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E97EE" w14:textId="77777777" w:rsidR="00440827" w:rsidRDefault="00440827" w:rsidP="00B53E8B">
      <w:pPr>
        <w:spacing w:after="0" w:line="240" w:lineRule="auto"/>
        <w:jc w:val="both"/>
        <w:rPr>
          <w:rFonts w:ascii="Calibri" w:eastAsia="Calibri" w:hAnsi="Calibri" w:cs="Calibri"/>
          <w:b/>
        </w:rPr>
      </w:pPr>
    </w:p>
    <w:p w14:paraId="72552376" w14:textId="5B2EF17D" w:rsidR="00D63930" w:rsidRDefault="00B11A04" w:rsidP="00B53E8B">
      <w:pPr>
        <w:spacing w:after="0" w:line="240" w:lineRule="auto"/>
        <w:jc w:val="both"/>
        <w:rPr>
          <w:rFonts w:ascii="Calibri" w:eastAsia="Calibri" w:hAnsi="Calibri" w:cs="Calibri"/>
          <w:b/>
          <w:u w:val="single"/>
        </w:rPr>
      </w:pPr>
      <w:bookmarkStart w:id="0" w:name="_Hlk213083024"/>
      <w:r w:rsidRPr="00B073D9">
        <w:rPr>
          <w:b/>
          <w:bCs/>
          <w:sz w:val="20"/>
          <w:szCs w:val="20"/>
          <w:highlight w:val="yellow"/>
          <w:lang w:val="en-GB"/>
        </w:rPr>
        <w:t xml:space="preserve">Femoral shaft fracture epidemiology in adults and outcomes at four hospitals in the </w:t>
      </w:r>
      <w:r w:rsidRPr="00B073D9">
        <w:rPr>
          <w:b/>
          <w:bCs/>
          <w:highlight w:val="yellow"/>
          <w:lang w:val="en-GB"/>
        </w:rPr>
        <w:t>Western Cameroon</w:t>
      </w:r>
    </w:p>
    <w:p w14:paraId="220BCF39" w14:textId="77777777" w:rsidR="00B11A04" w:rsidRDefault="00B11A04" w:rsidP="00B53E8B">
      <w:pPr>
        <w:spacing w:after="0" w:line="240" w:lineRule="auto"/>
        <w:jc w:val="both"/>
        <w:rPr>
          <w:rFonts w:ascii="Calibri" w:eastAsia="Calibri" w:hAnsi="Calibri" w:cs="Calibri"/>
          <w:b/>
          <w:u w:val="single"/>
        </w:rPr>
      </w:pPr>
    </w:p>
    <w:p w14:paraId="718271B9" w14:textId="77777777" w:rsidR="00B11A04" w:rsidRDefault="00B11A04" w:rsidP="00B53E8B">
      <w:pPr>
        <w:spacing w:after="0" w:line="240" w:lineRule="auto"/>
        <w:jc w:val="both"/>
        <w:rPr>
          <w:rFonts w:ascii="Calibri" w:eastAsia="Calibri" w:hAnsi="Calibri" w:cs="Calibri"/>
          <w:b/>
          <w:u w:val="single"/>
        </w:rPr>
      </w:pPr>
    </w:p>
    <w:p w14:paraId="3558F903" w14:textId="7B150C36" w:rsidR="00B6306E" w:rsidRPr="00964F6D" w:rsidRDefault="00B6306E" w:rsidP="00B53E8B">
      <w:pPr>
        <w:spacing w:after="0" w:line="240" w:lineRule="auto"/>
        <w:jc w:val="both"/>
        <w:rPr>
          <w:rFonts w:ascii="Calibri" w:eastAsia="Calibri" w:hAnsi="Calibri" w:cs="Calibri"/>
          <w:b/>
          <w:u w:val="single"/>
        </w:rPr>
      </w:pPr>
      <w:r w:rsidRPr="00964F6D">
        <w:rPr>
          <w:rFonts w:ascii="Calibri" w:eastAsia="Calibri" w:hAnsi="Calibri" w:cs="Calibri"/>
          <w:b/>
          <w:u w:val="single"/>
        </w:rPr>
        <w:t xml:space="preserve">Abstract </w:t>
      </w:r>
    </w:p>
    <w:p w14:paraId="3155C96C" w14:textId="77777777" w:rsidR="00B6306E" w:rsidRPr="00964F6D" w:rsidRDefault="00B6306E" w:rsidP="00B53E8B">
      <w:pPr>
        <w:spacing w:after="0" w:line="240" w:lineRule="auto"/>
        <w:jc w:val="both"/>
        <w:rPr>
          <w:rFonts w:ascii="Times New Roman" w:eastAsia="Times New Roman" w:hAnsi="Times New Roman" w:cs="Times New Roman"/>
          <w:b/>
          <w:bCs/>
          <w:sz w:val="24"/>
          <w:szCs w:val="24"/>
          <w:lang w:eastAsia="fr-FR"/>
        </w:rPr>
      </w:pPr>
      <w:r w:rsidRPr="00964F6D">
        <w:rPr>
          <w:rFonts w:ascii="Calibri" w:eastAsia="Calibri" w:hAnsi="Calibri" w:cs="Calibri"/>
          <w:b/>
        </w:rPr>
        <w:t>Introduction</w:t>
      </w:r>
      <w:r w:rsidRPr="00964F6D">
        <w:rPr>
          <w:rFonts w:ascii="Times New Roman" w:eastAsia="Times New Roman" w:hAnsi="Times New Roman" w:cs="Times New Roman"/>
          <w:b/>
          <w:bCs/>
          <w:sz w:val="24"/>
          <w:szCs w:val="24"/>
          <w:lang w:eastAsia="fr-FR"/>
        </w:rPr>
        <w:t xml:space="preserve"> </w:t>
      </w:r>
    </w:p>
    <w:p w14:paraId="431D0C33" w14:textId="0CFD88A7" w:rsidR="00B6306E" w:rsidRPr="00964F6D" w:rsidRDefault="00B6306E" w:rsidP="00B53E8B">
      <w:pPr>
        <w:spacing w:after="0" w:line="240" w:lineRule="auto"/>
        <w:jc w:val="both"/>
        <w:rPr>
          <w:rFonts w:ascii="Calibri" w:eastAsia="Calibri" w:hAnsi="Calibri" w:cs="Calibri"/>
        </w:rPr>
      </w:pPr>
      <w:r w:rsidRPr="00964F6D">
        <w:rPr>
          <w:rFonts w:ascii="Calibri" w:eastAsia="Calibri" w:hAnsi="Calibri" w:cs="Calibri"/>
        </w:rPr>
        <w:t xml:space="preserve">Femoral shaft fractures (FSFs) in adults are a major trauma emergency, with high functional morbidity when treatment is delayed or inappropriate. In </w:t>
      </w:r>
      <w:r w:rsidR="00B11A04" w:rsidRPr="00B11A04">
        <w:rPr>
          <w:sz w:val="20"/>
          <w:szCs w:val="20"/>
          <w:highlight w:val="yellow"/>
          <w:lang w:val="en-GB"/>
        </w:rPr>
        <w:t>middle income countries with low resource hospital settings like in the Western Cameroon</w:t>
      </w:r>
      <w:r w:rsidRPr="00964F6D">
        <w:rPr>
          <w:rFonts w:ascii="Calibri" w:eastAsia="Calibri" w:hAnsi="Calibri" w:cs="Calibri"/>
        </w:rPr>
        <w:t>, optimizing treatment remains an organizational and technical challenge.</w:t>
      </w:r>
    </w:p>
    <w:p w14:paraId="4C69E3CF" w14:textId="77777777" w:rsidR="00B6306E" w:rsidRPr="00964F6D" w:rsidRDefault="00B6306E" w:rsidP="00B53E8B">
      <w:pPr>
        <w:spacing w:after="0" w:line="240" w:lineRule="auto"/>
        <w:jc w:val="both"/>
        <w:rPr>
          <w:rFonts w:ascii="Calibri" w:eastAsia="Calibri" w:hAnsi="Calibri" w:cs="Calibri"/>
          <w:b/>
        </w:rPr>
      </w:pPr>
      <w:r w:rsidRPr="00964F6D">
        <w:rPr>
          <w:rFonts w:ascii="Calibri" w:eastAsia="Calibri" w:hAnsi="Calibri" w:cs="Calibri"/>
          <w:b/>
        </w:rPr>
        <w:t xml:space="preserve">Materials and methods </w:t>
      </w:r>
    </w:p>
    <w:p w14:paraId="15554987" w14:textId="38C3E233" w:rsidR="00B6306E" w:rsidRPr="00964F6D" w:rsidRDefault="00B6306E" w:rsidP="00B53E8B">
      <w:pPr>
        <w:spacing w:after="0" w:line="240" w:lineRule="auto"/>
        <w:jc w:val="both"/>
        <w:rPr>
          <w:rFonts w:ascii="Calibri" w:eastAsia="Calibri" w:hAnsi="Calibri" w:cs="Calibri"/>
        </w:rPr>
      </w:pPr>
      <w:r w:rsidRPr="00964F6D">
        <w:rPr>
          <w:rFonts w:ascii="Calibri" w:eastAsia="Calibri" w:hAnsi="Calibri" w:cs="Calibri"/>
        </w:rPr>
        <w:t xml:space="preserve">This was </w:t>
      </w:r>
      <w:r w:rsidR="00B11A04" w:rsidRPr="00B11A04">
        <w:rPr>
          <w:sz w:val="20"/>
          <w:szCs w:val="20"/>
          <w:highlight w:val="yellow"/>
          <w:lang w:val="en-GB"/>
        </w:rPr>
        <w:t>a multicentre hospital based study done for four year in West Cameron</w:t>
      </w:r>
      <w:r w:rsidR="00B11A04" w:rsidRPr="00B11A04">
        <w:rPr>
          <w:rFonts w:ascii="Calibri" w:eastAsia="Calibri" w:hAnsi="Calibri" w:cs="Calibri"/>
          <w:highlight w:val="yellow"/>
        </w:rPr>
        <w:t xml:space="preserve"> with</w:t>
      </w:r>
      <w:r w:rsidRPr="00B11A04">
        <w:rPr>
          <w:rFonts w:ascii="Calibri" w:eastAsia="Calibri" w:hAnsi="Calibri" w:cs="Calibri"/>
          <w:highlight w:val="yellow"/>
        </w:rPr>
        <w:t xml:space="preserve"> cross-sectional, descriptive, and analytical study</w:t>
      </w:r>
      <w:r w:rsidR="00B11A04" w:rsidRPr="00B11A04">
        <w:rPr>
          <w:rFonts w:ascii="Calibri" w:eastAsia="Calibri" w:hAnsi="Calibri" w:cs="Calibri"/>
          <w:highlight w:val="yellow"/>
        </w:rPr>
        <w:t xml:space="preserve"> design</w:t>
      </w:r>
      <w:r w:rsidRPr="00964F6D">
        <w:rPr>
          <w:rFonts w:ascii="Calibri" w:eastAsia="Calibri" w:hAnsi="Calibri" w:cs="Calibri"/>
        </w:rPr>
        <w:t xml:space="preserve"> combining retrospective (January 1, 2020, to December 31, 2024) and prospective (January 1 to April 30, 2025) data collection, conducted in four referral hospitals in the West Region. Patients admitted for femoral shaft fractures were studied in terms of their clinical profile, treatment, and </w:t>
      </w:r>
      <w:r w:rsidR="00B53E8B" w:rsidRPr="00964F6D">
        <w:rPr>
          <w:rFonts w:ascii="Calibri" w:eastAsia="Calibri" w:hAnsi="Calibri" w:cs="Calibri"/>
        </w:rPr>
        <w:t>evolution</w:t>
      </w:r>
      <w:r w:rsidRPr="00964F6D">
        <w:rPr>
          <w:rFonts w:ascii="Calibri" w:eastAsia="Calibri" w:hAnsi="Calibri" w:cs="Calibri"/>
        </w:rPr>
        <w:t>. To analyze prognostic factors, a case-control study (“complicated cases” versus “uncomplicated cases”) was conducted in strict compliance with ethical procedures. Statistical analysis was performed using SPSS.</w:t>
      </w:r>
    </w:p>
    <w:p w14:paraId="1071B0B6" w14:textId="77777777"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bookmarkStart w:id="1" w:name="_GoBack"/>
      <w:r w:rsidRPr="00964F6D">
        <w:rPr>
          <w:rFonts w:asciiTheme="minorHAnsi" w:hAnsiTheme="minorHAnsi" w:cstheme="minorHAnsi"/>
          <w:b/>
          <w:bCs/>
          <w:sz w:val="22"/>
          <w:szCs w:val="22"/>
        </w:rPr>
        <w:t>Result</w:t>
      </w:r>
      <w:bookmarkEnd w:id="1"/>
      <w:r w:rsidRPr="00964F6D">
        <w:rPr>
          <w:rFonts w:asciiTheme="minorHAnsi" w:hAnsiTheme="minorHAnsi" w:cstheme="minorHAnsi"/>
          <w:b/>
          <w:bCs/>
          <w:sz w:val="22"/>
          <w:szCs w:val="22"/>
        </w:rPr>
        <w:t>s</w:t>
      </w:r>
    </w:p>
    <w:p w14:paraId="7494E7DE" w14:textId="516B7DB3"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Five hundred and twenty (520) femoral shaft fractures were studied, including 6 bilateral fractures (1.15%)</w:t>
      </w:r>
      <w:r w:rsidR="00B11A04">
        <w:rPr>
          <w:rFonts w:asciiTheme="minorHAnsi" w:hAnsiTheme="minorHAnsi" w:cstheme="minorHAnsi"/>
          <w:sz w:val="22"/>
          <w:szCs w:val="22"/>
        </w:rPr>
        <w:t xml:space="preserve"> </w:t>
      </w:r>
      <w:r w:rsidR="00B11A04" w:rsidRPr="00B11A04">
        <w:rPr>
          <w:rFonts w:asciiTheme="minorHAnsi" w:hAnsiTheme="minorHAnsi" w:cstheme="minorHAnsi"/>
          <w:sz w:val="22"/>
          <w:szCs w:val="22"/>
          <w:highlight w:val="yellow"/>
        </w:rPr>
        <w:t>and have brought new local data</w:t>
      </w:r>
      <w:r w:rsidRPr="00964F6D">
        <w:rPr>
          <w:rFonts w:asciiTheme="minorHAnsi" w:hAnsiTheme="minorHAnsi" w:cstheme="minorHAnsi"/>
          <w:sz w:val="22"/>
          <w:szCs w:val="22"/>
        </w:rPr>
        <w:t xml:space="preserve">. The average age was 39 ± 17 years and the sex ratio was 2.33 in favor of men. The cause was a road traffic accident in 428 cases (82.31%), of which 332 (80.58%) involved a motorcycle. Closed fractures accounted for 388 (74.6%) </w:t>
      </w:r>
      <w:proofErr w:type="gramStart"/>
      <w:r w:rsidRPr="00964F6D">
        <w:rPr>
          <w:rFonts w:asciiTheme="minorHAnsi" w:hAnsiTheme="minorHAnsi" w:cstheme="minorHAnsi"/>
          <w:sz w:val="22"/>
          <w:szCs w:val="22"/>
        </w:rPr>
        <w:t>cases;</w:t>
      </w:r>
      <w:proofErr w:type="gramEnd"/>
      <w:r w:rsidRPr="00964F6D">
        <w:rPr>
          <w:rFonts w:asciiTheme="minorHAnsi" w:hAnsiTheme="minorHAnsi" w:cstheme="minorHAnsi"/>
          <w:sz w:val="22"/>
          <w:szCs w:val="22"/>
        </w:rPr>
        <w:t xml:space="preserve"> the AO 32-A type predominated with 268 (51.5%) cases. The median time to surgery was 7 days. There were 376 (72.31%) intramedullary nails, of which 369 (70.96%) were locked and 120 (23.07%) were screw plates/plate blades, 70 (13.46%) pins, 24 (4.62%) external fixators, and 24 (4.62%) steel wires. Union was achieved in 408 (78.46%) cases, with a mean time to full weight-bearing without a </w:t>
      </w:r>
      <w:r w:rsidR="00B53E8B" w:rsidRPr="00964F6D">
        <w:rPr>
          <w:rFonts w:asciiTheme="minorHAnsi" w:hAnsiTheme="minorHAnsi" w:cstheme="minorHAnsi"/>
          <w:sz w:val="22"/>
          <w:szCs w:val="22"/>
        </w:rPr>
        <w:t>crutch</w:t>
      </w:r>
      <w:r w:rsidRPr="00964F6D">
        <w:rPr>
          <w:rFonts w:asciiTheme="minorHAnsi" w:hAnsiTheme="minorHAnsi" w:cstheme="minorHAnsi"/>
          <w:sz w:val="22"/>
          <w:szCs w:val="22"/>
        </w:rPr>
        <w:t xml:space="preserve"> of 6.2+3.4 months. Postoperative complications occurred in 128 (24.62%) cases, including 29 (5.58%) cases of pseudarthrosis. Factors independently associated with complications </w:t>
      </w:r>
      <w:proofErr w:type="gramStart"/>
      <w:r w:rsidRPr="00964F6D">
        <w:rPr>
          <w:rFonts w:asciiTheme="minorHAnsi" w:hAnsiTheme="minorHAnsi" w:cstheme="minorHAnsi"/>
          <w:sz w:val="22"/>
          <w:szCs w:val="22"/>
        </w:rPr>
        <w:t>were:</w:t>
      </w:r>
      <w:proofErr w:type="gramEnd"/>
      <w:r w:rsidRPr="00964F6D">
        <w:rPr>
          <w:rFonts w:asciiTheme="minorHAnsi" w:hAnsiTheme="minorHAnsi" w:cstheme="minorHAnsi"/>
          <w:sz w:val="22"/>
          <w:szCs w:val="22"/>
        </w:rPr>
        <w:t xml:space="preserve"> poor reduction (aOR 13.08; 95% CI 4.31–39.66), major medical </w:t>
      </w:r>
      <w:r w:rsidR="00B11A04" w:rsidRPr="00B11A04">
        <w:rPr>
          <w:rFonts w:asciiTheme="minorHAnsi" w:hAnsiTheme="minorHAnsi" w:cstheme="minorHAnsi"/>
          <w:sz w:val="22"/>
          <w:szCs w:val="22"/>
          <w:highlight w:val="yellow"/>
        </w:rPr>
        <w:t>comorbidity</w:t>
      </w:r>
      <w:r w:rsidRPr="00964F6D">
        <w:rPr>
          <w:rFonts w:asciiTheme="minorHAnsi" w:hAnsiTheme="minorHAnsi" w:cstheme="minorHAnsi"/>
          <w:sz w:val="22"/>
          <w:szCs w:val="22"/>
        </w:rPr>
        <w:t xml:space="preserve"> (aOR 4.04; 1.30–12.50) and </w:t>
      </w:r>
      <w:r w:rsidR="000A0155" w:rsidRPr="00964F6D">
        <w:rPr>
          <w:rFonts w:asciiTheme="minorHAnsi" w:hAnsiTheme="minorHAnsi" w:cstheme="minorHAnsi"/>
          <w:sz w:val="22"/>
          <w:szCs w:val="22"/>
        </w:rPr>
        <w:t xml:space="preserve">a </w:t>
      </w:r>
      <w:r w:rsidRPr="00964F6D">
        <w:rPr>
          <w:rFonts w:asciiTheme="minorHAnsi" w:hAnsiTheme="minorHAnsi" w:cstheme="minorHAnsi"/>
          <w:sz w:val="22"/>
          <w:szCs w:val="22"/>
        </w:rPr>
        <w:t xml:space="preserve">delay &gt; 24 hours between trauma and admission (aOR 4.03; 1.58–10.30). </w:t>
      </w:r>
    </w:p>
    <w:p w14:paraId="0F9020DE" w14:textId="77777777"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Conclusion</w:t>
      </w:r>
    </w:p>
    <w:p w14:paraId="2749A9CF" w14:textId="4F06F251" w:rsidR="00B81743" w:rsidRPr="00964F6D" w:rsidRDefault="00B11A04" w:rsidP="00B53E8B">
      <w:pPr>
        <w:pStyle w:val="NormalWeb"/>
        <w:spacing w:before="0" w:beforeAutospacing="0" w:after="0" w:afterAutospacing="0"/>
        <w:jc w:val="both"/>
        <w:rPr>
          <w:rFonts w:asciiTheme="minorHAnsi" w:hAnsiTheme="minorHAnsi" w:cstheme="minorHAnsi"/>
          <w:sz w:val="22"/>
          <w:szCs w:val="22"/>
        </w:rPr>
      </w:pPr>
      <w:r w:rsidRPr="00B11A04">
        <w:rPr>
          <w:rFonts w:asciiTheme="minorHAnsi" w:hAnsiTheme="minorHAnsi" w:cstheme="minorHAnsi"/>
          <w:sz w:val="22"/>
          <w:szCs w:val="22"/>
          <w:highlight w:val="yellow"/>
        </w:rPr>
        <w:t>This study of 520 fractures in Western Cameroon, revealed that</w:t>
      </w:r>
      <w:r>
        <w:rPr>
          <w:rFonts w:asciiTheme="minorHAnsi" w:hAnsiTheme="minorHAnsi" w:cstheme="minorHAnsi"/>
          <w:sz w:val="22"/>
          <w:szCs w:val="22"/>
        </w:rPr>
        <w:t xml:space="preserve"> s</w:t>
      </w:r>
      <w:r w:rsidR="00B81743" w:rsidRPr="00964F6D">
        <w:rPr>
          <w:rFonts w:asciiTheme="minorHAnsi" w:hAnsiTheme="minorHAnsi" w:cstheme="minorHAnsi"/>
          <w:sz w:val="22"/>
          <w:szCs w:val="22"/>
        </w:rPr>
        <w:t xml:space="preserve">table closed nailing of a simple mid-third diaphyseal fracture, performed promptly after proper reduction in a young, non-diabetic, non-smoking patient, offers the best outcome. </w:t>
      </w:r>
      <w:r w:rsidR="000A0155" w:rsidRPr="00964F6D">
        <w:rPr>
          <w:rFonts w:asciiTheme="minorHAnsi" w:hAnsiTheme="minorHAnsi" w:cstheme="minorHAnsi"/>
          <w:sz w:val="22"/>
          <w:szCs w:val="22"/>
        </w:rPr>
        <w:t>Factors associated to poor outcome should be considered by those working in areas similar to ours.</w:t>
      </w:r>
    </w:p>
    <w:p w14:paraId="500436C6" w14:textId="475B09C8"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roofErr w:type="gramStart"/>
      <w:r w:rsidRPr="00964F6D">
        <w:rPr>
          <w:rFonts w:asciiTheme="minorHAnsi" w:hAnsiTheme="minorHAnsi" w:cstheme="minorHAnsi"/>
          <w:b/>
          <w:bCs/>
          <w:sz w:val="22"/>
          <w:szCs w:val="22"/>
        </w:rPr>
        <w:t>Keywords:</w:t>
      </w:r>
      <w:proofErr w:type="gramEnd"/>
      <w:r w:rsidRPr="00964F6D">
        <w:rPr>
          <w:rFonts w:asciiTheme="minorHAnsi" w:hAnsiTheme="minorHAnsi" w:cstheme="minorHAnsi"/>
          <w:sz w:val="22"/>
          <w:szCs w:val="22"/>
        </w:rPr>
        <w:t xml:space="preserve"> </w:t>
      </w:r>
      <w:r w:rsidR="00E54095">
        <w:rPr>
          <w:rFonts w:asciiTheme="minorHAnsi" w:hAnsiTheme="minorHAnsi" w:cstheme="minorHAnsi"/>
          <w:sz w:val="22"/>
          <w:szCs w:val="22"/>
        </w:rPr>
        <w:t>F</w:t>
      </w:r>
      <w:r w:rsidRPr="00964F6D">
        <w:rPr>
          <w:rFonts w:asciiTheme="minorHAnsi" w:hAnsiTheme="minorHAnsi" w:cstheme="minorHAnsi"/>
          <w:sz w:val="22"/>
          <w:szCs w:val="22"/>
        </w:rPr>
        <w:t>emoral diaphyseal fracture, osteosynthesis, complications, prognostic factors</w:t>
      </w:r>
    </w:p>
    <w:bookmarkEnd w:id="0"/>
    <w:p w14:paraId="3C2A2078" w14:textId="77777777" w:rsidR="00A73E68" w:rsidRPr="00964F6D" w:rsidRDefault="00A73E68" w:rsidP="00B53E8B">
      <w:pPr>
        <w:spacing w:after="0" w:line="240" w:lineRule="auto"/>
        <w:jc w:val="both"/>
        <w:rPr>
          <w:rFonts w:cstheme="minorHAnsi"/>
          <w:b/>
          <w:u w:val="single"/>
        </w:rPr>
      </w:pPr>
    </w:p>
    <w:p w14:paraId="3F687795" w14:textId="77777777" w:rsidR="00A73E68" w:rsidRPr="00964F6D" w:rsidRDefault="00A73E68" w:rsidP="00B53E8B">
      <w:pPr>
        <w:spacing w:after="0" w:line="240" w:lineRule="auto"/>
        <w:jc w:val="both"/>
        <w:rPr>
          <w:rFonts w:cstheme="minorHAnsi"/>
          <w:b/>
          <w:u w:val="single"/>
        </w:rPr>
      </w:pPr>
    </w:p>
    <w:p w14:paraId="05F23806" w14:textId="57AF03F0"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u w:val="single"/>
        </w:rPr>
      </w:pPr>
      <w:r w:rsidRPr="00964F6D">
        <w:rPr>
          <w:rFonts w:asciiTheme="minorHAnsi" w:hAnsiTheme="minorHAnsi" w:cstheme="minorHAnsi"/>
          <w:b/>
          <w:bCs/>
          <w:sz w:val="22"/>
          <w:szCs w:val="22"/>
          <w:u w:val="single"/>
        </w:rPr>
        <w:t>Introduction</w:t>
      </w:r>
    </w:p>
    <w:p w14:paraId="385BF7CD" w14:textId="097270E9" w:rsidR="00B81743" w:rsidRPr="00964F6D" w:rsidRDefault="003C2BCD" w:rsidP="00B53E8B">
      <w:pPr>
        <w:pStyle w:val="NormalWeb"/>
        <w:spacing w:before="0" w:beforeAutospacing="0" w:after="0" w:afterAutospacing="0"/>
        <w:jc w:val="both"/>
        <w:rPr>
          <w:rFonts w:asciiTheme="minorHAnsi" w:hAnsiTheme="minorHAnsi" w:cstheme="minorHAnsi"/>
          <w:sz w:val="22"/>
          <w:szCs w:val="22"/>
        </w:rPr>
      </w:pPr>
      <w:r w:rsidRPr="007F5F4D">
        <w:rPr>
          <w:rFonts w:asciiTheme="minorHAnsi" w:hAnsiTheme="minorHAnsi" w:cstheme="minorHAnsi"/>
          <w:sz w:val="22"/>
          <w:szCs w:val="22"/>
          <w:highlight w:val="yellow"/>
        </w:rPr>
        <w:t>The femoral shaft begins at</w:t>
      </w:r>
      <w:r w:rsidRPr="007F5F4D">
        <w:rPr>
          <w:rFonts w:asciiTheme="minorHAnsi" w:hAnsiTheme="minorHAnsi" w:cstheme="minorHAnsi"/>
          <w:sz w:val="22"/>
          <w:szCs w:val="22"/>
        </w:rPr>
        <w:t xml:space="preserve"> the inferior border of the lesser trochanter and ends proximal to the condyles at a distance equal to the greatest width of the femoral </w:t>
      </w:r>
      <w:proofErr w:type="gramStart"/>
      <w:r w:rsidRPr="007F5F4D">
        <w:rPr>
          <w:rFonts w:asciiTheme="minorHAnsi" w:hAnsiTheme="minorHAnsi" w:cstheme="minorHAnsi"/>
          <w:sz w:val="22"/>
          <w:szCs w:val="22"/>
        </w:rPr>
        <w:t>condyles</w:t>
      </w:r>
      <w:r w:rsidRPr="007F5F4D">
        <w:rPr>
          <w:rFonts w:asciiTheme="minorHAnsi" w:hAnsiTheme="minorHAnsi" w:cstheme="minorHAnsi"/>
          <w:sz w:val="22"/>
          <w:szCs w:val="22"/>
          <w:highlight w:val="yellow"/>
        </w:rPr>
        <w:t>[</w:t>
      </w:r>
      <w:proofErr w:type="gramEnd"/>
      <w:r w:rsidRPr="007F5F4D">
        <w:rPr>
          <w:rFonts w:asciiTheme="minorHAnsi" w:hAnsiTheme="minorHAnsi" w:cstheme="minorHAnsi"/>
          <w:sz w:val="22"/>
          <w:szCs w:val="22"/>
          <w:highlight w:val="yellow"/>
        </w:rPr>
        <w:t>1].</w:t>
      </w:r>
      <w:r w:rsidRPr="007F5F4D">
        <w:rPr>
          <w:rFonts w:asciiTheme="minorHAnsi" w:hAnsiTheme="minorHAnsi" w:cstheme="minorHAnsi"/>
          <w:sz w:val="22"/>
          <w:szCs w:val="22"/>
        </w:rPr>
        <w:t xml:space="preserve"> </w:t>
      </w:r>
      <w:r w:rsidR="00B81743" w:rsidRPr="00964F6D">
        <w:rPr>
          <w:rFonts w:asciiTheme="minorHAnsi" w:hAnsiTheme="minorHAnsi" w:cstheme="minorHAnsi"/>
          <w:sz w:val="22"/>
          <w:szCs w:val="22"/>
        </w:rPr>
        <w:t xml:space="preserve">Femoral shaft fractures </w:t>
      </w:r>
      <w:r w:rsidR="00B81743" w:rsidRPr="00D162DD">
        <w:rPr>
          <w:rFonts w:asciiTheme="minorHAnsi" w:hAnsiTheme="minorHAnsi" w:cstheme="minorHAnsi"/>
          <w:sz w:val="22"/>
          <w:szCs w:val="22"/>
          <w:highlight w:val="yellow"/>
        </w:rPr>
        <w:t xml:space="preserve">account for </w:t>
      </w:r>
      <w:r w:rsidR="001757A8" w:rsidRPr="00D162DD">
        <w:rPr>
          <w:rFonts w:asciiTheme="minorHAnsi" w:hAnsiTheme="minorHAnsi" w:cstheme="minorHAnsi"/>
          <w:sz w:val="22"/>
          <w:szCs w:val="22"/>
          <w:highlight w:val="yellow"/>
        </w:rPr>
        <w:t>4-10%</w:t>
      </w:r>
      <w:r w:rsidR="001757A8" w:rsidRPr="007F5F4D">
        <w:rPr>
          <w:rFonts w:asciiTheme="minorHAnsi" w:hAnsiTheme="minorHAnsi" w:cstheme="minorHAnsi"/>
          <w:sz w:val="22"/>
          <w:szCs w:val="22"/>
        </w:rPr>
        <w:t xml:space="preserve"> </w:t>
      </w:r>
      <w:r w:rsidR="007F5F4D" w:rsidRPr="007F5F4D">
        <w:rPr>
          <w:rFonts w:asciiTheme="minorHAnsi" w:hAnsiTheme="minorHAnsi" w:cstheme="minorHAnsi"/>
          <w:sz w:val="22"/>
          <w:szCs w:val="22"/>
        </w:rPr>
        <w:t>of all</w:t>
      </w:r>
      <w:r w:rsidR="00B81743" w:rsidRPr="007F5F4D">
        <w:rPr>
          <w:rFonts w:asciiTheme="minorHAnsi" w:hAnsiTheme="minorHAnsi" w:cstheme="minorHAnsi"/>
          <w:sz w:val="22"/>
          <w:szCs w:val="22"/>
        </w:rPr>
        <w:t xml:space="preserve"> fem</w:t>
      </w:r>
      <w:r w:rsidR="001757A8" w:rsidRPr="007F5F4D">
        <w:rPr>
          <w:rFonts w:asciiTheme="minorHAnsi" w:hAnsiTheme="minorHAnsi" w:cstheme="minorHAnsi"/>
          <w:sz w:val="22"/>
          <w:szCs w:val="22"/>
        </w:rPr>
        <w:t>oral</w:t>
      </w:r>
      <w:r w:rsidR="00B81743" w:rsidRPr="007F5F4D">
        <w:rPr>
          <w:rFonts w:asciiTheme="minorHAnsi" w:hAnsiTheme="minorHAnsi" w:cstheme="minorHAnsi"/>
          <w:sz w:val="22"/>
          <w:szCs w:val="22"/>
        </w:rPr>
        <w:t xml:space="preserve"> </w:t>
      </w:r>
      <w:r w:rsidR="00B81743" w:rsidRPr="007F5F4D">
        <w:rPr>
          <w:rFonts w:asciiTheme="minorHAnsi" w:hAnsiTheme="minorHAnsi" w:cstheme="minorHAnsi"/>
          <w:sz w:val="22"/>
          <w:szCs w:val="22"/>
          <w:highlight w:val="yellow"/>
        </w:rPr>
        <w:t>fractures [</w:t>
      </w:r>
      <w:r w:rsidR="001757A8" w:rsidRPr="007F5F4D">
        <w:rPr>
          <w:rFonts w:asciiTheme="minorHAnsi" w:hAnsiTheme="minorHAnsi" w:cstheme="minorHAnsi"/>
          <w:sz w:val="22"/>
          <w:szCs w:val="22"/>
          <w:highlight w:val="yellow"/>
        </w:rPr>
        <w:t>2</w:t>
      </w:r>
      <w:r w:rsidR="00B81743" w:rsidRPr="007F5F4D">
        <w:rPr>
          <w:rFonts w:asciiTheme="minorHAnsi" w:hAnsiTheme="minorHAnsi" w:cstheme="minorHAnsi"/>
          <w:sz w:val="22"/>
          <w:szCs w:val="22"/>
          <w:highlight w:val="yellow"/>
        </w:rPr>
        <w:t>].</w:t>
      </w:r>
      <w:r w:rsidR="00B81743" w:rsidRPr="00964F6D">
        <w:rPr>
          <w:rFonts w:asciiTheme="minorHAnsi" w:hAnsiTheme="minorHAnsi" w:cstheme="minorHAnsi"/>
          <w:sz w:val="22"/>
          <w:szCs w:val="22"/>
        </w:rPr>
        <w:t xml:space="preserve"> Their annual incidence is estimated at between 1 and 2.9 </w:t>
      </w:r>
      <w:proofErr w:type="gramStart"/>
      <w:r w:rsidR="00B81743" w:rsidRPr="00964F6D">
        <w:rPr>
          <w:rFonts w:asciiTheme="minorHAnsi" w:hAnsiTheme="minorHAnsi" w:cstheme="minorHAnsi"/>
          <w:sz w:val="22"/>
          <w:szCs w:val="22"/>
        </w:rPr>
        <w:t>million</w:t>
      </w:r>
      <w:proofErr w:type="gramEnd"/>
      <w:r w:rsidR="00B81743" w:rsidRPr="00964F6D">
        <w:rPr>
          <w:rFonts w:asciiTheme="minorHAnsi" w:hAnsiTheme="minorHAnsi" w:cstheme="minorHAnsi"/>
          <w:sz w:val="22"/>
          <w:szCs w:val="22"/>
        </w:rPr>
        <w:t xml:space="preserve"> cases worldwide, with 15.7 to 45.5 cases per 100,000 inhabitants in non-industrialized countries and approximately twice as many in industrialized countries </w:t>
      </w:r>
      <w:r w:rsidR="00B81743" w:rsidRPr="007F5F4D">
        <w:rPr>
          <w:rFonts w:asciiTheme="minorHAnsi" w:hAnsiTheme="minorHAnsi" w:cstheme="minorHAnsi"/>
          <w:sz w:val="22"/>
          <w:szCs w:val="22"/>
          <w:highlight w:val="yellow"/>
        </w:rPr>
        <w:t>[</w:t>
      </w:r>
      <w:r w:rsidR="001757A8" w:rsidRPr="007F5F4D">
        <w:rPr>
          <w:rFonts w:asciiTheme="minorHAnsi" w:hAnsiTheme="minorHAnsi" w:cstheme="minorHAnsi"/>
          <w:sz w:val="22"/>
          <w:szCs w:val="22"/>
          <w:highlight w:val="yellow"/>
        </w:rPr>
        <w:t>3</w:t>
      </w:r>
      <w:r w:rsidR="00B81743" w:rsidRPr="007F5F4D">
        <w:rPr>
          <w:rFonts w:asciiTheme="minorHAnsi" w:hAnsiTheme="minorHAnsi" w:cstheme="minorHAnsi"/>
          <w:sz w:val="22"/>
          <w:szCs w:val="22"/>
          <w:highlight w:val="yellow"/>
        </w:rPr>
        <w:t>].</w:t>
      </w:r>
      <w:r w:rsidR="00B81743" w:rsidRPr="00964F6D">
        <w:rPr>
          <w:rFonts w:asciiTheme="minorHAnsi" w:hAnsiTheme="minorHAnsi" w:cstheme="minorHAnsi"/>
          <w:sz w:val="22"/>
          <w:szCs w:val="22"/>
        </w:rPr>
        <w:t xml:space="preserve"> They mainly affect young, active individuals involved in road traffic accidents. They require violent trauma and are therefore associated with other traumatic injuries and have significant socioeconomic repercussions </w:t>
      </w:r>
      <w:r w:rsidR="00B81743" w:rsidRPr="007F5F4D">
        <w:rPr>
          <w:rFonts w:asciiTheme="minorHAnsi" w:hAnsiTheme="minorHAnsi" w:cstheme="minorHAnsi"/>
          <w:sz w:val="22"/>
          <w:szCs w:val="22"/>
          <w:highlight w:val="yellow"/>
        </w:rPr>
        <w:t>[</w:t>
      </w:r>
      <w:r w:rsidR="00A648A1" w:rsidRPr="007F5F4D">
        <w:rPr>
          <w:rFonts w:asciiTheme="minorHAnsi" w:hAnsiTheme="minorHAnsi" w:cstheme="minorHAnsi"/>
          <w:sz w:val="22"/>
          <w:szCs w:val="22"/>
          <w:highlight w:val="yellow"/>
        </w:rPr>
        <w:t>4</w:t>
      </w:r>
      <w:r w:rsidR="00B81743" w:rsidRPr="007F5F4D">
        <w:rPr>
          <w:rFonts w:asciiTheme="minorHAnsi" w:hAnsiTheme="minorHAnsi" w:cstheme="minorHAnsi"/>
          <w:sz w:val="22"/>
          <w:szCs w:val="22"/>
          <w:highlight w:val="yellow"/>
        </w:rPr>
        <w:t>,</w:t>
      </w:r>
      <w:r w:rsidR="00A648A1" w:rsidRPr="007F5F4D">
        <w:rPr>
          <w:rFonts w:asciiTheme="minorHAnsi" w:hAnsiTheme="minorHAnsi" w:cstheme="minorHAnsi"/>
          <w:sz w:val="22"/>
          <w:szCs w:val="22"/>
          <w:highlight w:val="yellow"/>
        </w:rPr>
        <w:t>5</w:t>
      </w:r>
      <w:r w:rsidR="00B81743" w:rsidRPr="007F5F4D">
        <w:rPr>
          <w:rFonts w:asciiTheme="minorHAnsi" w:hAnsiTheme="minorHAnsi" w:cstheme="minorHAnsi"/>
          <w:sz w:val="22"/>
          <w:szCs w:val="22"/>
          <w:highlight w:val="yellow"/>
        </w:rPr>
        <w:t>].</w:t>
      </w:r>
      <w:r w:rsidR="00B81743" w:rsidRPr="00964F6D">
        <w:rPr>
          <w:rFonts w:asciiTheme="minorHAnsi" w:hAnsiTheme="minorHAnsi" w:cstheme="minorHAnsi"/>
          <w:sz w:val="22"/>
          <w:szCs w:val="22"/>
        </w:rPr>
        <w:t xml:space="preserve"> In Cameroon, simple fractures are the most common, and the most commonly used treatment modalities are intramedullary nails, screw plates, and external </w:t>
      </w:r>
      <w:r w:rsidR="00B81743" w:rsidRPr="007F5F4D">
        <w:rPr>
          <w:rFonts w:asciiTheme="minorHAnsi" w:hAnsiTheme="minorHAnsi" w:cstheme="minorHAnsi"/>
          <w:sz w:val="22"/>
          <w:szCs w:val="22"/>
          <w:highlight w:val="yellow"/>
        </w:rPr>
        <w:t>fixators [</w:t>
      </w:r>
      <w:r w:rsidR="00A648A1" w:rsidRPr="007F5F4D">
        <w:rPr>
          <w:rFonts w:asciiTheme="minorHAnsi" w:hAnsiTheme="minorHAnsi" w:cstheme="minorHAnsi"/>
          <w:sz w:val="22"/>
          <w:szCs w:val="22"/>
          <w:highlight w:val="yellow"/>
        </w:rPr>
        <w:t>5</w:t>
      </w:r>
      <w:r w:rsidR="00B81743" w:rsidRPr="007F5F4D">
        <w:rPr>
          <w:rFonts w:asciiTheme="minorHAnsi" w:hAnsiTheme="minorHAnsi" w:cstheme="minorHAnsi"/>
          <w:sz w:val="22"/>
          <w:szCs w:val="22"/>
          <w:highlight w:val="yellow"/>
        </w:rPr>
        <w:t>].</w:t>
      </w:r>
      <w:r w:rsidR="00B81743" w:rsidRPr="00964F6D">
        <w:rPr>
          <w:rFonts w:asciiTheme="minorHAnsi" w:hAnsiTheme="minorHAnsi" w:cstheme="minorHAnsi"/>
          <w:sz w:val="22"/>
          <w:szCs w:val="22"/>
        </w:rPr>
        <w:t xml:space="preserve"> Despite the available data, to our knowledge, no local study has focused on femoral shaft fractures in semi-urban areas. The epidemiological, clinical, therapeutic, and evolutionary profiles, as well as the factors associated with complications, are therefore </w:t>
      </w:r>
      <w:r w:rsidR="006363E2" w:rsidRPr="00964F6D">
        <w:rPr>
          <w:rFonts w:asciiTheme="minorHAnsi" w:hAnsiTheme="minorHAnsi" w:cstheme="minorHAnsi"/>
          <w:sz w:val="22"/>
          <w:szCs w:val="22"/>
        </w:rPr>
        <w:t xml:space="preserve">loccally </w:t>
      </w:r>
      <w:r w:rsidR="00B81743" w:rsidRPr="00964F6D">
        <w:rPr>
          <w:rFonts w:asciiTheme="minorHAnsi" w:hAnsiTheme="minorHAnsi" w:cstheme="minorHAnsi"/>
          <w:sz w:val="22"/>
          <w:szCs w:val="22"/>
        </w:rPr>
        <w:t xml:space="preserve">unknown. This </w:t>
      </w:r>
      <w:r w:rsidR="006363E2" w:rsidRPr="00964F6D">
        <w:rPr>
          <w:rFonts w:asciiTheme="minorHAnsi" w:hAnsiTheme="minorHAnsi" w:cstheme="minorHAnsi"/>
          <w:sz w:val="22"/>
          <w:szCs w:val="22"/>
        </w:rPr>
        <w:t>wa</w:t>
      </w:r>
      <w:r w:rsidR="00B81743" w:rsidRPr="00964F6D">
        <w:rPr>
          <w:rFonts w:asciiTheme="minorHAnsi" w:hAnsiTheme="minorHAnsi" w:cstheme="minorHAnsi"/>
          <w:sz w:val="22"/>
          <w:szCs w:val="22"/>
        </w:rPr>
        <w:t>s the subject of the present study, which aimed to improve the management of these fractures in this environment.</w:t>
      </w:r>
    </w:p>
    <w:p w14:paraId="5CA141F6" w14:textId="77777777" w:rsidR="00052071" w:rsidRDefault="00052071" w:rsidP="00B53E8B">
      <w:pPr>
        <w:spacing w:after="0" w:line="240" w:lineRule="auto"/>
        <w:jc w:val="both"/>
        <w:rPr>
          <w:rFonts w:ascii="Calibri" w:eastAsia="Calibri" w:hAnsi="Calibri" w:cs="Calibri"/>
          <w:b/>
          <w:bCs/>
          <w:u w:val="single"/>
        </w:rPr>
      </w:pPr>
    </w:p>
    <w:p w14:paraId="2662EC03" w14:textId="49910CB4" w:rsidR="00B81743" w:rsidRPr="00964F6D" w:rsidRDefault="00B81743" w:rsidP="00B53E8B">
      <w:pPr>
        <w:spacing w:after="0" w:line="240" w:lineRule="auto"/>
        <w:jc w:val="both"/>
        <w:rPr>
          <w:rFonts w:cstheme="minorHAnsi"/>
        </w:rPr>
      </w:pPr>
      <w:r w:rsidRPr="00964F6D">
        <w:rPr>
          <w:rFonts w:ascii="Calibri" w:eastAsia="Calibri" w:hAnsi="Calibri" w:cs="Calibri"/>
          <w:b/>
          <w:bCs/>
          <w:u w:val="single"/>
        </w:rPr>
        <w:t>Methodology</w:t>
      </w:r>
    </w:p>
    <w:p w14:paraId="3C0506D5" w14:textId="744D03F5"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We conducted a multicenter cross-sectional study that was both descriptive and analytical, with prospective and retrospective data collection. It lasted 5 years and 4 </w:t>
      </w:r>
      <w:proofErr w:type="gramStart"/>
      <w:r w:rsidRPr="00964F6D">
        <w:rPr>
          <w:rFonts w:asciiTheme="minorHAnsi" w:hAnsiTheme="minorHAnsi" w:cstheme="minorHAnsi"/>
          <w:sz w:val="22"/>
          <w:szCs w:val="22"/>
        </w:rPr>
        <w:t>months:</w:t>
      </w:r>
      <w:proofErr w:type="gramEnd"/>
      <w:r w:rsidRPr="00964F6D">
        <w:rPr>
          <w:rFonts w:asciiTheme="minorHAnsi" w:hAnsiTheme="minorHAnsi" w:cstheme="minorHAnsi"/>
          <w:sz w:val="22"/>
          <w:szCs w:val="22"/>
        </w:rPr>
        <w:t xml:space="preserve"> from January 1, 2020, to January 1, 2025, for the retrospective phase, and from February 1, 2025, to April 30, 2025, for the prospective phase. Our study was conducted in four hospitals in the West Region that have an orthopedic trauma surgeon and perform </w:t>
      </w:r>
      <w:proofErr w:type="gramStart"/>
      <w:r w:rsidRPr="00964F6D">
        <w:rPr>
          <w:rFonts w:asciiTheme="minorHAnsi" w:hAnsiTheme="minorHAnsi" w:cstheme="minorHAnsi"/>
          <w:sz w:val="22"/>
          <w:szCs w:val="22"/>
        </w:rPr>
        <w:t>osteosynthesis:</w:t>
      </w:r>
      <w:proofErr w:type="gramEnd"/>
      <w:r w:rsidRPr="00964F6D">
        <w:rPr>
          <w:rFonts w:asciiTheme="minorHAnsi" w:hAnsiTheme="minorHAnsi" w:cstheme="minorHAnsi"/>
          <w:sz w:val="22"/>
          <w:szCs w:val="22"/>
        </w:rPr>
        <w:t xml:space="preserve"> Dschang Regional Annex Hospital; </w:t>
      </w:r>
      <w:r w:rsidR="006363E2" w:rsidRPr="00964F6D">
        <w:rPr>
          <w:rFonts w:asciiTheme="minorHAnsi" w:hAnsiTheme="minorHAnsi" w:cstheme="minorHAnsi"/>
          <w:sz w:val="22"/>
          <w:szCs w:val="22"/>
        </w:rPr>
        <w:t>Our Lady of Health</w:t>
      </w:r>
      <w:r w:rsidRPr="00964F6D">
        <w:rPr>
          <w:rFonts w:asciiTheme="minorHAnsi" w:hAnsiTheme="minorHAnsi" w:cstheme="minorHAnsi"/>
          <w:sz w:val="22"/>
          <w:szCs w:val="22"/>
        </w:rPr>
        <w:t xml:space="preserve"> Hospital in Bats</w:t>
      </w:r>
      <w:r w:rsidR="006363E2" w:rsidRPr="00964F6D">
        <w:rPr>
          <w:rFonts w:asciiTheme="minorHAnsi" w:hAnsiTheme="minorHAnsi" w:cstheme="minorHAnsi"/>
          <w:sz w:val="22"/>
          <w:szCs w:val="22"/>
        </w:rPr>
        <w:t>e</w:t>
      </w:r>
      <w:r w:rsidRPr="00964F6D">
        <w:rPr>
          <w:rFonts w:asciiTheme="minorHAnsi" w:hAnsiTheme="minorHAnsi" w:cstheme="minorHAnsi"/>
          <w:sz w:val="22"/>
          <w:szCs w:val="22"/>
        </w:rPr>
        <w:t>nla</w:t>
      </w:r>
      <w:r w:rsidR="006363E2" w:rsidRPr="00964F6D">
        <w:rPr>
          <w:rFonts w:asciiTheme="minorHAnsi" w:hAnsiTheme="minorHAnsi" w:cstheme="minorHAnsi"/>
          <w:sz w:val="22"/>
          <w:szCs w:val="22"/>
        </w:rPr>
        <w:t>, Bafoussam Regional Hospital</w:t>
      </w:r>
      <w:r w:rsidRPr="00964F6D">
        <w:rPr>
          <w:rFonts w:asciiTheme="minorHAnsi" w:hAnsiTheme="minorHAnsi" w:cstheme="minorHAnsi"/>
          <w:sz w:val="22"/>
          <w:szCs w:val="22"/>
        </w:rPr>
        <w:t xml:space="preserve"> (HRB) and Mbouo Protestant Hospital in Bandjoun. </w:t>
      </w:r>
    </w:p>
    <w:p w14:paraId="27E3E7C1" w14:textId="17B739EB"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lastRenderedPageBreak/>
        <w:t xml:space="preserve">All femoral shaft fractures </w:t>
      </w:r>
      <w:r w:rsidR="006E69E4" w:rsidRPr="00964F6D">
        <w:rPr>
          <w:rFonts w:asciiTheme="minorHAnsi" w:hAnsiTheme="minorHAnsi" w:cstheme="minorHAnsi"/>
          <w:sz w:val="22"/>
          <w:szCs w:val="22"/>
        </w:rPr>
        <w:t>operated</w:t>
      </w:r>
      <w:r w:rsidRPr="00964F6D">
        <w:rPr>
          <w:rFonts w:asciiTheme="minorHAnsi" w:hAnsiTheme="minorHAnsi" w:cstheme="minorHAnsi"/>
          <w:sz w:val="22"/>
          <w:szCs w:val="22"/>
        </w:rPr>
        <w:t xml:space="preserve"> at our study sites during the study period and involving patients aged 16 years or older were included in our study. Patients who were lost to follow-up, those who refused to participate in the study, and finally those with unusable records were excluded from the study.</w:t>
      </w:r>
    </w:p>
    <w:p w14:paraId="6D3EB0CD" w14:textId="0FF39DD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This was a consecutive sampling study. Patients who met the criteria were recruited on a</w:t>
      </w:r>
      <w:r w:rsidR="006E69E4" w:rsidRPr="00964F6D">
        <w:rPr>
          <w:rFonts w:asciiTheme="minorHAnsi" w:hAnsiTheme="minorHAnsi" w:cstheme="minorHAnsi"/>
          <w:sz w:val="22"/>
          <w:szCs w:val="22"/>
        </w:rPr>
        <w:t xml:space="preserve"> consecutive </w:t>
      </w:r>
      <w:r w:rsidRPr="00964F6D">
        <w:rPr>
          <w:rFonts w:asciiTheme="minorHAnsi" w:hAnsiTheme="minorHAnsi" w:cstheme="minorHAnsi"/>
          <w:sz w:val="22"/>
          <w:szCs w:val="22"/>
        </w:rPr>
        <w:t xml:space="preserve">basis during the study period. After obtaining our research authorizations and ethical clearance, we began our recruitment with the retrospective phase, examining records and files to identify patients who had suffered fractures.   </w:t>
      </w:r>
    </w:p>
    <w:p w14:paraId="119DC617" w14:textId="672FE8BA"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For the prospective phase, patients admitted to the emergency department, surgery department, and operating room for femoral shaft fractures at the various study sites were approached for their informed consent</w:t>
      </w:r>
      <w:r w:rsidR="006E69E4" w:rsidRPr="00964F6D">
        <w:rPr>
          <w:rFonts w:asciiTheme="minorHAnsi" w:hAnsiTheme="minorHAnsi" w:cstheme="minorHAnsi"/>
          <w:sz w:val="22"/>
          <w:szCs w:val="22"/>
        </w:rPr>
        <w:t>.</w:t>
      </w:r>
    </w:p>
    <w:p w14:paraId="6CC52583"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623D0587" w14:textId="15858613"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 nested case-control analysis stud</w:t>
      </w:r>
      <w:r w:rsidR="006E69E4" w:rsidRPr="00964F6D">
        <w:rPr>
          <w:rFonts w:asciiTheme="minorHAnsi" w:hAnsiTheme="minorHAnsi" w:cstheme="minorHAnsi"/>
          <w:sz w:val="22"/>
          <w:szCs w:val="22"/>
        </w:rPr>
        <w:t xml:space="preserve">ied </w:t>
      </w:r>
      <w:r w:rsidRPr="00964F6D">
        <w:rPr>
          <w:rFonts w:asciiTheme="minorHAnsi" w:hAnsiTheme="minorHAnsi" w:cstheme="minorHAnsi"/>
          <w:sz w:val="22"/>
          <w:szCs w:val="22"/>
        </w:rPr>
        <w:t xml:space="preserve">the factors associated with complications of femoral shaft </w:t>
      </w:r>
      <w:proofErr w:type="gramStart"/>
      <w:r w:rsidRPr="00964F6D">
        <w:rPr>
          <w:rFonts w:asciiTheme="minorHAnsi" w:hAnsiTheme="minorHAnsi" w:cstheme="minorHAnsi"/>
          <w:sz w:val="22"/>
          <w:szCs w:val="22"/>
        </w:rPr>
        <w:t>fractures:</w:t>
      </w:r>
      <w:proofErr w:type="gramEnd"/>
    </w:p>
    <w:p w14:paraId="73FF509C" w14:textId="0A8C02EA" w:rsidR="006E69E4"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t>
      </w:r>
      <w:r w:rsidR="006E69E4" w:rsidRPr="00964F6D">
        <w:rPr>
          <w:rFonts w:asciiTheme="minorHAnsi" w:hAnsiTheme="minorHAnsi" w:cstheme="minorHAnsi"/>
          <w:sz w:val="22"/>
          <w:szCs w:val="22"/>
        </w:rPr>
        <w:t xml:space="preserve"> « </w:t>
      </w:r>
      <w:r w:rsidRPr="00964F6D">
        <w:rPr>
          <w:rFonts w:asciiTheme="minorHAnsi" w:hAnsiTheme="minorHAnsi" w:cstheme="minorHAnsi"/>
          <w:sz w:val="22"/>
          <w:szCs w:val="22"/>
        </w:rPr>
        <w:t>Cases</w:t>
      </w:r>
      <w:r w:rsidR="006E69E4" w:rsidRPr="00964F6D">
        <w:rPr>
          <w:rFonts w:asciiTheme="minorHAnsi" w:hAnsiTheme="minorHAnsi" w:cstheme="minorHAnsi"/>
          <w:sz w:val="22"/>
          <w:szCs w:val="22"/>
        </w:rPr>
        <w:t> »</w:t>
      </w:r>
      <w:r w:rsidRPr="00964F6D">
        <w:rPr>
          <w:rFonts w:asciiTheme="minorHAnsi" w:hAnsiTheme="minorHAnsi" w:cstheme="minorHAnsi"/>
          <w:sz w:val="22"/>
          <w:szCs w:val="22"/>
        </w:rPr>
        <w:t xml:space="preserve"> were patients who underwent surgery for femoral shaft fractures and had a postoperative complication.</w:t>
      </w:r>
    </w:p>
    <w:p w14:paraId="4C73B65B" w14:textId="7614181A" w:rsidR="00B81743" w:rsidRPr="00964F6D" w:rsidRDefault="006E69E4"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 </w:t>
      </w:r>
      <w:r w:rsidR="00B81743" w:rsidRPr="00964F6D">
        <w:rPr>
          <w:rFonts w:asciiTheme="minorHAnsi" w:hAnsiTheme="minorHAnsi" w:cstheme="minorHAnsi"/>
          <w:sz w:val="22"/>
          <w:szCs w:val="22"/>
        </w:rPr>
        <w:t>Controls</w:t>
      </w:r>
      <w:r w:rsidRPr="00964F6D">
        <w:rPr>
          <w:rFonts w:asciiTheme="minorHAnsi" w:hAnsiTheme="minorHAnsi" w:cstheme="minorHAnsi"/>
          <w:sz w:val="22"/>
          <w:szCs w:val="22"/>
        </w:rPr>
        <w:t> »</w:t>
      </w:r>
      <w:r w:rsidR="00B81743" w:rsidRPr="00964F6D">
        <w:rPr>
          <w:rFonts w:asciiTheme="minorHAnsi" w:hAnsiTheme="minorHAnsi" w:cstheme="minorHAnsi"/>
          <w:sz w:val="22"/>
          <w:szCs w:val="22"/>
        </w:rPr>
        <w:t xml:space="preserve"> were selected from among patients who underwent surgery during the same period and had no complications.</w:t>
      </w:r>
    </w:p>
    <w:p w14:paraId="1F040B86" w14:textId="59A468AA"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 </w:t>
      </w:r>
      <w:r w:rsidR="006E69E4" w:rsidRPr="00964F6D">
        <w:rPr>
          <w:rFonts w:asciiTheme="minorHAnsi" w:hAnsiTheme="minorHAnsi" w:cstheme="minorHAnsi"/>
          <w:sz w:val="22"/>
          <w:szCs w:val="22"/>
        </w:rPr>
        <w:t>Matching : t</w:t>
      </w:r>
      <w:r w:rsidRPr="00964F6D">
        <w:rPr>
          <w:rFonts w:asciiTheme="minorHAnsi" w:hAnsiTheme="minorHAnsi" w:cstheme="minorHAnsi"/>
          <w:sz w:val="22"/>
          <w:szCs w:val="22"/>
        </w:rPr>
        <w:t>he controls were of the same sex and age +/- 5 years as the cases. Each case had two controls.</w:t>
      </w:r>
    </w:p>
    <w:p w14:paraId="793ADB3C"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We estimated the minimum size of our descriptive study population using Cochran's </w:t>
      </w:r>
      <w:proofErr w:type="gramStart"/>
      <w:r w:rsidRPr="00964F6D">
        <w:rPr>
          <w:rFonts w:asciiTheme="minorHAnsi" w:hAnsiTheme="minorHAnsi" w:cstheme="minorHAnsi"/>
          <w:sz w:val="22"/>
          <w:szCs w:val="22"/>
        </w:rPr>
        <w:t>formula:</w:t>
      </w:r>
      <w:proofErr w:type="gramEnd"/>
    </w:p>
    <w:p w14:paraId="61F9788B"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N= [z² p (1-p)] / e² where</w:t>
      </w:r>
    </w:p>
    <w:p w14:paraId="3A924E21"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roofErr w:type="gramStart"/>
      <w:r w:rsidRPr="00964F6D">
        <w:rPr>
          <w:rFonts w:asciiTheme="minorHAnsi" w:hAnsiTheme="minorHAnsi" w:cstheme="minorHAnsi"/>
          <w:sz w:val="22"/>
          <w:szCs w:val="22"/>
        </w:rPr>
        <w:t>n</w:t>
      </w:r>
      <w:proofErr w:type="gramEnd"/>
      <w:r w:rsidRPr="00964F6D">
        <w:rPr>
          <w:rFonts w:asciiTheme="minorHAnsi" w:hAnsiTheme="minorHAnsi" w:cstheme="minorHAnsi"/>
          <w:sz w:val="22"/>
          <w:szCs w:val="22"/>
        </w:rPr>
        <w:t xml:space="preserve"> = minimum required sample size</w:t>
      </w:r>
    </w:p>
    <w:p w14:paraId="19CC1577"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roofErr w:type="gramStart"/>
      <w:r w:rsidRPr="00964F6D">
        <w:rPr>
          <w:rFonts w:asciiTheme="minorHAnsi" w:hAnsiTheme="minorHAnsi" w:cstheme="minorHAnsi"/>
          <w:sz w:val="22"/>
          <w:szCs w:val="22"/>
        </w:rPr>
        <w:t>z</w:t>
      </w:r>
      <w:proofErr w:type="gramEnd"/>
      <w:r w:rsidRPr="00964F6D">
        <w:rPr>
          <w:rFonts w:asciiTheme="minorHAnsi" w:hAnsiTheme="minorHAnsi" w:cstheme="minorHAnsi"/>
          <w:sz w:val="22"/>
          <w:szCs w:val="22"/>
        </w:rPr>
        <w:t xml:space="preserve"> = 95% confidence interval. Let t= 1.96</w:t>
      </w:r>
    </w:p>
    <w:p w14:paraId="45604907" w14:textId="20A88BD1"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roofErr w:type="gramStart"/>
      <w:r w:rsidRPr="00964F6D">
        <w:rPr>
          <w:rFonts w:asciiTheme="minorHAnsi" w:hAnsiTheme="minorHAnsi" w:cstheme="minorHAnsi"/>
          <w:sz w:val="22"/>
          <w:szCs w:val="22"/>
        </w:rPr>
        <w:t>p</w:t>
      </w:r>
      <w:proofErr w:type="gramEnd"/>
      <w:r w:rsidRPr="00964F6D">
        <w:rPr>
          <w:rFonts w:asciiTheme="minorHAnsi" w:hAnsiTheme="minorHAnsi" w:cstheme="minorHAnsi"/>
          <w:sz w:val="22"/>
          <w:szCs w:val="22"/>
        </w:rPr>
        <w:t xml:space="preserve"> = prevalence of the phenomenon studied, i.e., 63.3%. Prevalence according to a similar study conducted in Cameroon </w:t>
      </w:r>
      <w:r w:rsidR="006E69E4" w:rsidRPr="007F5F4D">
        <w:rPr>
          <w:rFonts w:asciiTheme="minorHAnsi" w:hAnsiTheme="minorHAnsi" w:cstheme="minorHAnsi"/>
          <w:sz w:val="22"/>
          <w:szCs w:val="22"/>
          <w:highlight w:val="yellow"/>
        </w:rPr>
        <w:t>[</w:t>
      </w:r>
      <w:r w:rsidR="00A648A1" w:rsidRPr="007F5F4D">
        <w:rPr>
          <w:rFonts w:asciiTheme="minorHAnsi" w:hAnsiTheme="minorHAnsi" w:cstheme="minorHAnsi"/>
          <w:sz w:val="22"/>
          <w:szCs w:val="22"/>
          <w:highlight w:val="yellow"/>
        </w:rPr>
        <w:t>5</w:t>
      </w:r>
      <w:r w:rsidR="006E69E4" w:rsidRPr="007F5F4D">
        <w:rPr>
          <w:rFonts w:asciiTheme="minorHAnsi" w:hAnsiTheme="minorHAnsi" w:cstheme="minorHAnsi"/>
          <w:sz w:val="22"/>
          <w:szCs w:val="22"/>
          <w:highlight w:val="yellow"/>
        </w:rPr>
        <w:t>]</w:t>
      </w:r>
      <w:r w:rsidR="006E69E4" w:rsidRPr="00964F6D">
        <w:rPr>
          <w:rFonts w:asciiTheme="minorHAnsi" w:hAnsiTheme="minorHAnsi" w:cstheme="minorHAnsi"/>
          <w:sz w:val="22"/>
          <w:szCs w:val="22"/>
        </w:rPr>
        <w:t xml:space="preserve"> </w:t>
      </w:r>
      <w:r w:rsidRPr="00964F6D">
        <w:rPr>
          <w:rFonts w:asciiTheme="minorHAnsi" w:hAnsiTheme="minorHAnsi" w:cstheme="minorHAnsi"/>
          <w:sz w:val="22"/>
          <w:szCs w:val="22"/>
        </w:rPr>
        <w:t>in 2024 by Fonkoue et al</w:t>
      </w:r>
      <w:r w:rsidR="006E69E4" w:rsidRPr="00964F6D">
        <w:rPr>
          <w:rFonts w:asciiTheme="minorHAnsi" w:hAnsiTheme="minorHAnsi" w:cstheme="minorHAnsi"/>
          <w:sz w:val="22"/>
          <w:szCs w:val="22"/>
        </w:rPr>
        <w:t>.</w:t>
      </w:r>
    </w:p>
    <w:p w14:paraId="19DE605F"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roofErr w:type="gramStart"/>
      <w:r w:rsidRPr="00964F6D">
        <w:rPr>
          <w:rFonts w:asciiTheme="minorHAnsi" w:hAnsiTheme="minorHAnsi" w:cstheme="minorHAnsi"/>
          <w:sz w:val="22"/>
          <w:szCs w:val="22"/>
        </w:rPr>
        <w:t>e</w:t>
      </w:r>
      <w:proofErr w:type="gramEnd"/>
      <w:r w:rsidRPr="00964F6D">
        <w:rPr>
          <w:rFonts w:asciiTheme="minorHAnsi" w:hAnsiTheme="minorHAnsi" w:cstheme="minorHAnsi"/>
          <w:sz w:val="22"/>
          <w:szCs w:val="22"/>
        </w:rPr>
        <w:t xml:space="preserve"> = margin of error at 5% (standard value 0.05). That is, n = 357, the minimum size of the descriptive component.</w:t>
      </w:r>
    </w:p>
    <w:p w14:paraId="6FE6AA40"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 sample size for the analytical component was calculated using Table 7 of the Lemeshow Sample Size table, taking into account the following </w:t>
      </w:r>
      <w:proofErr w:type="gramStart"/>
      <w:r w:rsidRPr="00964F6D">
        <w:rPr>
          <w:rFonts w:asciiTheme="minorHAnsi" w:hAnsiTheme="minorHAnsi" w:cstheme="minorHAnsi"/>
          <w:sz w:val="22"/>
          <w:szCs w:val="22"/>
        </w:rPr>
        <w:t>estimates:</w:t>
      </w:r>
      <w:proofErr w:type="gramEnd"/>
      <w:r w:rsidRPr="00964F6D">
        <w:rPr>
          <w:rFonts w:asciiTheme="minorHAnsi" w:hAnsiTheme="minorHAnsi" w:cstheme="minorHAnsi"/>
          <w:sz w:val="22"/>
          <w:szCs w:val="22"/>
        </w:rPr>
        <w:t xml:space="preserve"> </w:t>
      </w:r>
    </w:p>
    <w:p w14:paraId="7F1E3D20"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Number of controls per </w:t>
      </w:r>
      <w:proofErr w:type="gramStart"/>
      <w:r w:rsidRPr="00964F6D">
        <w:rPr>
          <w:rFonts w:asciiTheme="minorHAnsi" w:hAnsiTheme="minorHAnsi" w:cstheme="minorHAnsi"/>
          <w:sz w:val="22"/>
          <w:szCs w:val="22"/>
        </w:rPr>
        <w:t>case:</w:t>
      </w:r>
      <w:proofErr w:type="gramEnd"/>
      <w:r w:rsidRPr="00964F6D">
        <w:rPr>
          <w:rFonts w:asciiTheme="minorHAnsi" w:hAnsiTheme="minorHAnsi" w:cstheme="minorHAnsi"/>
          <w:sz w:val="22"/>
          <w:szCs w:val="22"/>
        </w:rPr>
        <w:t xml:space="preserve"> 2 </w:t>
      </w:r>
    </w:p>
    <w:p w14:paraId="461BF9C6"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Proportion of exposed </w:t>
      </w:r>
      <w:proofErr w:type="gramStart"/>
      <w:r w:rsidRPr="00964F6D">
        <w:rPr>
          <w:rFonts w:asciiTheme="minorHAnsi" w:hAnsiTheme="minorHAnsi" w:cstheme="minorHAnsi"/>
          <w:sz w:val="22"/>
          <w:szCs w:val="22"/>
        </w:rPr>
        <w:t>controls:</w:t>
      </w:r>
      <w:proofErr w:type="gramEnd"/>
      <w:r w:rsidRPr="00964F6D">
        <w:rPr>
          <w:rFonts w:asciiTheme="minorHAnsi" w:hAnsiTheme="minorHAnsi" w:cstheme="minorHAnsi"/>
          <w:sz w:val="22"/>
          <w:szCs w:val="22"/>
        </w:rPr>
        <w:t xml:space="preserve"> 50% </w:t>
      </w:r>
    </w:p>
    <w:p w14:paraId="3A49F23A"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Confidence </w:t>
      </w:r>
      <w:proofErr w:type="gramStart"/>
      <w:r w:rsidRPr="00964F6D">
        <w:rPr>
          <w:rFonts w:asciiTheme="minorHAnsi" w:hAnsiTheme="minorHAnsi" w:cstheme="minorHAnsi"/>
          <w:sz w:val="22"/>
          <w:szCs w:val="22"/>
        </w:rPr>
        <w:t>interval:</w:t>
      </w:r>
      <w:proofErr w:type="gramEnd"/>
      <w:r w:rsidRPr="00964F6D">
        <w:rPr>
          <w:rFonts w:asciiTheme="minorHAnsi" w:hAnsiTheme="minorHAnsi" w:cstheme="minorHAnsi"/>
          <w:sz w:val="22"/>
          <w:szCs w:val="22"/>
        </w:rPr>
        <w:t xml:space="preserve"> 90% </w:t>
      </w:r>
    </w:p>
    <w:p w14:paraId="41DE77FB"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roofErr w:type="gramStart"/>
      <w:r w:rsidRPr="00964F6D">
        <w:rPr>
          <w:rFonts w:asciiTheme="minorHAnsi" w:hAnsiTheme="minorHAnsi" w:cstheme="minorHAnsi"/>
          <w:sz w:val="22"/>
          <w:szCs w:val="22"/>
        </w:rPr>
        <w:t>Power:</w:t>
      </w:r>
      <w:proofErr w:type="gramEnd"/>
      <w:r w:rsidRPr="00964F6D">
        <w:rPr>
          <w:rFonts w:asciiTheme="minorHAnsi" w:hAnsiTheme="minorHAnsi" w:cstheme="minorHAnsi"/>
          <w:sz w:val="22"/>
          <w:szCs w:val="22"/>
        </w:rPr>
        <w:t xml:space="preserve"> 80% </w:t>
      </w:r>
    </w:p>
    <w:p w14:paraId="0EADBB04"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Expected </w:t>
      </w:r>
      <w:proofErr w:type="gramStart"/>
      <w:r w:rsidRPr="00964F6D">
        <w:rPr>
          <w:rFonts w:asciiTheme="minorHAnsi" w:hAnsiTheme="minorHAnsi" w:cstheme="minorHAnsi"/>
          <w:sz w:val="22"/>
          <w:szCs w:val="22"/>
        </w:rPr>
        <w:t>OR:</w:t>
      </w:r>
      <w:proofErr w:type="gramEnd"/>
      <w:r w:rsidRPr="00964F6D">
        <w:rPr>
          <w:rFonts w:asciiTheme="minorHAnsi" w:hAnsiTheme="minorHAnsi" w:cstheme="minorHAnsi"/>
          <w:sz w:val="22"/>
          <w:szCs w:val="22"/>
        </w:rPr>
        <w:t xml:space="preserve"> 2.4 </w:t>
      </w:r>
    </w:p>
    <w:p w14:paraId="39EC5255"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We obtained a minimum sample size estimated at 78 cases for 156 controls. </w:t>
      </w:r>
    </w:p>
    <w:p w14:paraId="3A1F6477"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With the help of a statistician, the data collected was entered into a CS Pro version 7.5 data mask and analyzed in SPSS version 26.0. Chi-square tests of independence and Fisher's exact tests were used with p&lt;0.05. Bivariate and then multivariate analyses were performed, with adjusted odds ratios calculated.</w:t>
      </w:r>
    </w:p>
    <w:p w14:paraId="52970594" w14:textId="77777777" w:rsidR="006E69E4" w:rsidRPr="00964F6D" w:rsidRDefault="006E69E4" w:rsidP="00B53E8B">
      <w:pPr>
        <w:jc w:val="both"/>
        <w:rPr>
          <w:b/>
          <w:bCs/>
        </w:rPr>
      </w:pPr>
    </w:p>
    <w:p w14:paraId="615DFE0C"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00B02BCA" w14:textId="77777777"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u w:val="single"/>
        </w:rPr>
      </w:pPr>
      <w:r w:rsidRPr="00964F6D">
        <w:rPr>
          <w:rFonts w:asciiTheme="minorHAnsi" w:hAnsiTheme="minorHAnsi" w:cstheme="minorHAnsi"/>
          <w:b/>
          <w:bCs/>
          <w:sz w:val="22"/>
          <w:szCs w:val="22"/>
          <w:u w:val="single"/>
        </w:rPr>
        <w:t>Results</w:t>
      </w:r>
    </w:p>
    <w:p w14:paraId="018CA008" w14:textId="77777777"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General data</w:t>
      </w:r>
    </w:p>
    <w:p w14:paraId="0AE3F680" w14:textId="37E2CEF5" w:rsidR="00B81743" w:rsidRPr="00964F6D" w:rsidRDefault="006E69E4"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We had</w:t>
      </w:r>
      <w:r w:rsidR="00B81743" w:rsidRPr="00964F6D">
        <w:rPr>
          <w:rFonts w:asciiTheme="minorHAnsi" w:hAnsiTheme="minorHAnsi" w:cstheme="minorHAnsi"/>
          <w:sz w:val="22"/>
          <w:szCs w:val="22"/>
        </w:rPr>
        <w:t xml:space="preserve"> 520 femoral shaft fractures that were operated on, </w:t>
      </w:r>
      <w:r w:rsidRPr="00964F6D">
        <w:rPr>
          <w:rFonts w:asciiTheme="minorHAnsi" w:hAnsiTheme="minorHAnsi" w:cstheme="minorHAnsi"/>
          <w:sz w:val="22"/>
          <w:szCs w:val="22"/>
        </w:rPr>
        <w:t>followed</w:t>
      </w:r>
      <w:r w:rsidR="00B81743" w:rsidRPr="00964F6D">
        <w:rPr>
          <w:rFonts w:asciiTheme="minorHAnsi" w:hAnsiTheme="minorHAnsi" w:cstheme="minorHAnsi"/>
          <w:sz w:val="22"/>
          <w:szCs w:val="22"/>
        </w:rPr>
        <w:t xml:space="preserve">, and documented. We had a total </w:t>
      </w:r>
      <w:proofErr w:type="gramStart"/>
      <w:r w:rsidR="00B81743" w:rsidRPr="00964F6D">
        <w:rPr>
          <w:rFonts w:asciiTheme="minorHAnsi" w:hAnsiTheme="minorHAnsi" w:cstheme="minorHAnsi"/>
          <w:sz w:val="22"/>
          <w:szCs w:val="22"/>
        </w:rPr>
        <w:t>of:</w:t>
      </w:r>
      <w:proofErr w:type="gramEnd"/>
    </w:p>
    <w:p w14:paraId="66745630"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- 6,032 consultations for fractures, including</w:t>
      </w:r>
    </w:p>
    <w:p w14:paraId="181B5E28"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- 4,453 lower limb fractures and 1,579 upper limb </w:t>
      </w:r>
      <w:proofErr w:type="gramStart"/>
      <w:r w:rsidRPr="00964F6D">
        <w:rPr>
          <w:rFonts w:asciiTheme="minorHAnsi" w:hAnsiTheme="minorHAnsi" w:cstheme="minorHAnsi"/>
          <w:sz w:val="22"/>
          <w:szCs w:val="22"/>
        </w:rPr>
        <w:t>fractures;</w:t>
      </w:r>
      <w:proofErr w:type="gramEnd"/>
    </w:p>
    <w:p w14:paraId="6CF7E26B"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- 1,053 femur fractures and</w:t>
      </w:r>
    </w:p>
    <w:p w14:paraId="7CB6246B"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- 637 femoral shaft fractures, representing 10.56% of patients consulting for fractures. </w:t>
      </w:r>
    </w:p>
    <w:p w14:paraId="72A01F52"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Femoral shaft fractures therefore represent 10.56% of all fractures, 14.30% of lower limb fractures, and 60.4% of femur fractures. </w:t>
      </w:r>
    </w:p>
    <w:p w14:paraId="03DE6FC6" w14:textId="4F7B0F72"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Of the 637 cases, 520 were included in the study, while 117 (18.37%) participants were excluded due to incomplete follow-up, missing files, or unusable data. Our results therefore </w:t>
      </w:r>
      <w:r w:rsidR="00A8540A" w:rsidRPr="00964F6D">
        <w:rPr>
          <w:rFonts w:asciiTheme="minorHAnsi" w:hAnsiTheme="minorHAnsi" w:cstheme="minorHAnsi"/>
          <w:sz w:val="22"/>
          <w:szCs w:val="22"/>
        </w:rPr>
        <w:t>concern</w:t>
      </w:r>
      <w:r w:rsidRPr="00964F6D">
        <w:rPr>
          <w:rFonts w:asciiTheme="minorHAnsi" w:hAnsiTheme="minorHAnsi" w:cstheme="minorHAnsi"/>
          <w:sz w:val="22"/>
          <w:szCs w:val="22"/>
        </w:rPr>
        <w:t xml:space="preserve"> 520 </w:t>
      </w:r>
      <w:r w:rsidR="00A8540A" w:rsidRPr="00964F6D">
        <w:rPr>
          <w:rFonts w:asciiTheme="minorHAnsi" w:hAnsiTheme="minorHAnsi" w:cstheme="minorHAnsi"/>
          <w:sz w:val="22"/>
          <w:szCs w:val="22"/>
        </w:rPr>
        <w:t xml:space="preserve">femoral shaft </w:t>
      </w:r>
      <w:r w:rsidRPr="00964F6D">
        <w:rPr>
          <w:rFonts w:asciiTheme="minorHAnsi" w:hAnsiTheme="minorHAnsi" w:cstheme="minorHAnsi"/>
          <w:sz w:val="22"/>
          <w:szCs w:val="22"/>
        </w:rPr>
        <w:t xml:space="preserve">fractures that were actually operated on, followed up, and documented. </w:t>
      </w:r>
    </w:p>
    <w:p w14:paraId="0772B076" w14:textId="1CD4B3BA"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Males (364 cases, or 70%) were more represented than females (156 cases, or 30%), with a sex ratio of 2.33. The average age was 39 ± 17 [17-94] years, and the [20-</w:t>
      </w:r>
      <w:proofErr w:type="gramStart"/>
      <w:r w:rsidRPr="00964F6D">
        <w:rPr>
          <w:rFonts w:asciiTheme="minorHAnsi" w:hAnsiTheme="minorHAnsi" w:cstheme="minorHAnsi"/>
          <w:sz w:val="22"/>
          <w:szCs w:val="22"/>
        </w:rPr>
        <w:t>30[ age</w:t>
      </w:r>
      <w:proofErr w:type="gramEnd"/>
      <w:r w:rsidRPr="00964F6D">
        <w:rPr>
          <w:rFonts w:asciiTheme="minorHAnsi" w:hAnsiTheme="minorHAnsi" w:cstheme="minorHAnsi"/>
          <w:sz w:val="22"/>
          <w:szCs w:val="22"/>
        </w:rPr>
        <w:t xml:space="preserve"> group was the most represented with 164 (31.54%) cases, followed by the [30-40[ age group with 88 (16.9%) cases. More than half of the participants </w:t>
      </w:r>
      <w:r w:rsidR="00A8540A" w:rsidRPr="00964F6D">
        <w:rPr>
          <w:rFonts w:asciiTheme="minorHAnsi" w:hAnsiTheme="minorHAnsi" w:cstheme="minorHAnsi"/>
          <w:sz w:val="22"/>
          <w:szCs w:val="22"/>
        </w:rPr>
        <w:t xml:space="preserve">that is </w:t>
      </w:r>
      <w:r w:rsidRPr="00964F6D">
        <w:rPr>
          <w:rFonts w:asciiTheme="minorHAnsi" w:hAnsiTheme="minorHAnsi" w:cstheme="minorHAnsi"/>
          <w:sz w:val="22"/>
          <w:szCs w:val="22"/>
        </w:rPr>
        <w:t>300</w:t>
      </w:r>
      <w:r w:rsidR="00A8540A" w:rsidRPr="00964F6D">
        <w:rPr>
          <w:rFonts w:asciiTheme="minorHAnsi" w:hAnsiTheme="minorHAnsi" w:cstheme="minorHAnsi"/>
          <w:sz w:val="22"/>
          <w:szCs w:val="22"/>
        </w:rPr>
        <w:t xml:space="preserve"> </w:t>
      </w:r>
      <w:proofErr w:type="gramStart"/>
      <w:r w:rsidR="00A8540A" w:rsidRPr="00964F6D">
        <w:rPr>
          <w:rFonts w:asciiTheme="minorHAnsi" w:hAnsiTheme="minorHAnsi" w:cstheme="minorHAnsi"/>
          <w:sz w:val="22"/>
          <w:szCs w:val="22"/>
        </w:rPr>
        <w:t>(</w:t>
      </w:r>
      <w:r w:rsidRPr="00964F6D">
        <w:rPr>
          <w:rFonts w:asciiTheme="minorHAnsi" w:hAnsiTheme="minorHAnsi" w:cstheme="minorHAnsi"/>
          <w:sz w:val="22"/>
          <w:szCs w:val="22"/>
        </w:rPr>
        <w:t xml:space="preserve"> 57.69</w:t>
      </w:r>
      <w:proofErr w:type="gramEnd"/>
      <w:r w:rsidRPr="00964F6D">
        <w:rPr>
          <w:rFonts w:asciiTheme="minorHAnsi" w:hAnsiTheme="minorHAnsi" w:cstheme="minorHAnsi"/>
          <w:sz w:val="22"/>
          <w:szCs w:val="22"/>
        </w:rPr>
        <w:t xml:space="preserve">%) were under 40 years of age. The majority had a primary education level with 280 (53.84%) cases, and the professions were motorcycle taxi driver with 68 (13.07%) cases, housewife with 64 (12.31%) cases, farmer with 66 (12.69%) cases, and student with 54 (10.39%) cases. </w:t>
      </w:r>
    </w:p>
    <w:p w14:paraId="1F7B43C0" w14:textId="77777777"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Etiological profile</w:t>
      </w:r>
    </w:p>
    <w:p w14:paraId="56E2D9F7" w14:textId="18678A50"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lastRenderedPageBreak/>
        <w:t xml:space="preserve">The cause was a road accident in 428 cases (82.31%), </w:t>
      </w:r>
      <w:r w:rsidR="00A8540A" w:rsidRPr="00964F6D">
        <w:rPr>
          <w:rFonts w:asciiTheme="minorHAnsi" w:hAnsiTheme="minorHAnsi" w:cstheme="minorHAnsi"/>
          <w:sz w:val="22"/>
          <w:szCs w:val="22"/>
        </w:rPr>
        <w:t>28</w:t>
      </w:r>
      <w:r w:rsidRPr="00964F6D">
        <w:rPr>
          <w:rFonts w:asciiTheme="minorHAnsi" w:hAnsiTheme="minorHAnsi" w:cstheme="minorHAnsi"/>
          <w:sz w:val="22"/>
          <w:szCs w:val="22"/>
        </w:rPr>
        <w:t xml:space="preserve"> domestic accident (5.39%), </w:t>
      </w:r>
      <w:r w:rsidR="00A8540A" w:rsidRPr="00964F6D">
        <w:rPr>
          <w:rFonts w:asciiTheme="minorHAnsi" w:hAnsiTheme="minorHAnsi" w:cstheme="minorHAnsi"/>
          <w:sz w:val="22"/>
          <w:szCs w:val="22"/>
        </w:rPr>
        <w:t>0</w:t>
      </w:r>
      <w:r w:rsidRPr="00964F6D">
        <w:rPr>
          <w:rFonts w:asciiTheme="minorHAnsi" w:hAnsiTheme="minorHAnsi" w:cstheme="minorHAnsi"/>
          <w:sz w:val="22"/>
          <w:szCs w:val="22"/>
        </w:rPr>
        <w:t xml:space="preserve"> recreational accident (0%), </w:t>
      </w:r>
      <w:r w:rsidR="00A8540A" w:rsidRPr="00964F6D">
        <w:rPr>
          <w:rFonts w:asciiTheme="minorHAnsi" w:hAnsiTheme="minorHAnsi" w:cstheme="minorHAnsi"/>
          <w:sz w:val="22"/>
          <w:szCs w:val="22"/>
        </w:rPr>
        <w:t>2</w:t>
      </w:r>
      <w:r w:rsidRPr="00964F6D">
        <w:rPr>
          <w:rFonts w:asciiTheme="minorHAnsi" w:hAnsiTheme="minorHAnsi" w:cstheme="minorHAnsi"/>
          <w:sz w:val="22"/>
          <w:szCs w:val="22"/>
        </w:rPr>
        <w:t xml:space="preserve"> workplace accident (0.4%), </w:t>
      </w:r>
      <w:r w:rsidR="00A8540A" w:rsidRPr="00964F6D">
        <w:rPr>
          <w:rFonts w:asciiTheme="minorHAnsi" w:hAnsiTheme="minorHAnsi" w:cstheme="minorHAnsi"/>
          <w:sz w:val="22"/>
          <w:szCs w:val="22"/>
        </w:rPr>
        <w:t>2</w:t>
      </w:r>
      <w:r w:rsidRPr="00964F6D">
        <w:rPr>
          <w:rFonts w:asciiTheme="minorHAnsi" w:hAnsiTheme="minorHAnsi" w:cstheme="minorHAnsi"/>
          <w:sz w:val="22"/>
          <w:szCs w:val="22"/>
        </w:rPr>
        <w:t xml:space="preserve"> sports accident (0.4%), </w:t>
      </w:r>
      <w:r w:rsidR="00A8540A" w:rsidRPr="00964F6D">
        <w:rPr>
          <w:rFonts w:asciiTheme="minorHAnsi" w:hAnsiTheme="minorHAnsi" w:cstheme="minorHAnsi"/>
          <w:sz w:val="22"/>
          <w:szCs w:val="22"/>
        </w:rPr>
        <w:t>32</w:t>
      </w:r>
      <w:r w:rsidRPr="00964F6D">
        <w:rPr>
          <w:rFonts w:asciiTheme="minorHAnsi" w:hAnsiTheme="minorHAnsi" w:cstheme="minorHAnsi"/>
          <w:sz w:val="22"/>
          <w:szCs w:val="22"/>
        </w:rPr>
        <w:t xml:space="preserve"> fall</w:t>
      </w:r>
      <w:r w:rsidR="00A8540A" w:rsidRPr="00964F6D">
        <w:rPr>
          <w:rFonts w:asciiTheme="minorHAnsi" w:hAnsiTheme="minorHAnsi" w:cstheme="minorHAnsi"/>
          <w:sz w:val="22"/>
          <w:szCs w:val="22"/>
        </w:rPr>
        <w:t>s</w:t>
      </w:r>
      <w:r w:rsidRPr="00964F6D">
        <w:rPr>
          <w:rFonts w:asciiTheme="minorHAnsi" w:hAnsiTheme="minorHAnsi" w:cstheme="minorHAnsi"/>
          <w:sz w:val="22"/>
          <w:szCs w:val="22"/>
        </w:rPr>
        <w:t xml:space="preserve"> (6.15%) and</w:t>
      </w:r>
      <w:r w:rsidR="00A8540A" w:rsidRPr="00964F6D">
        <w:rPr>
          <w:rFonts w:asciiTheme="minorHAnsi" w:hAnsiTheme="minorHAnsi" w:cstheme="minorHAnsi"/>
          <w:sz w:val="22"/>
          <w:szCs w:val="22"/>
        </w:rPr>
        <w:t xml:space="preserve"> 10</w:t>
      </w:r>
      <w:r w:rsidRPr="00964F6D">
        <w:rPr>
          <w:rFonts w:asciiTheme="minorHAnsi" w:hAnsiTheme="minorHAnsi" w:cstheme="minorHAnsi"/>
          <w:sz w:val="22"/>
          <w:szCs w:val="22"/>
        </w:rPr>
        <w:t xml:space="preserve"> armed conflict </w:t>
      </w:r>
      <w:r w:rsidR="00A8540A" w:rsidRPr="00964F6D">
        <w:rPr>
          <w:rFonts w:asciiTheme="minorHAnsi" w:hAnsiTheme="minorHAnsi" w:cstheme="minorHAnsi"/>
          <w:sz w:val="22"/>
          <w:szCs w:val="22"/>
        </w:rPr>
        <w:t xml:space="preserve">trauma </w:t>
      </w:r>
      <w:r w:rsidRPr="00964F6D">
        <w:rPr>
          <w:rFonts w:asciiTheme="minorHAnsi" w:hAnsiTheme="minorHAnsi" w:cstheme="minorHAnsi"/>
          <w:sz w:val="22"/>
          <w:szCs w:val="22"/>
        </w:rPr>
        <w:t>(3.17%).</w:t>
      </w:r>
    </w:p>
    <w:p w14:paraId="57D0C1EE" w14:textId="4AB5E9C4"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type of road accident according to the</w:t>
      </w:r>
      <w:r w:rsidR="00A8540A" w:rsidRPr="00964F6D">
        <w:rPr>
          <w:rFonts w:asciiTheme="minorHAnsi" w:hAnsiTheme="minorHAnsi" w:cstheme="minorHAnsi"/>
          <w:sz w:val="22"/>
          <w:szCs w:val="22"/>
        </w:rPr>
        <w:t xml:space="preserve"> types</w:t>
      </w:r>
      <w:r w:rsidRPr="00964F6D">
        <w:rPr>
          <w:rFonts w:asciiTheme="minorHAnsi" w:hAnsiTheme="minorHAnsi" w:cstheme="minorHAnsi"/>
          <w:sz w:val="22"/>
          <w:szCs w:val="22"/>
        </w:rPr>
        <w:t xml:space="preserve"> or vehicles involved was</w:t>
      </w:r>
    </w:p>
    <w:p w14:paraId="7EACA232"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Motorcycle-motorcycle 214 (41.15%)</w:t>
      </w:r>
    </w:p>
    <w:p w14:paraId="3FD75718"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Motorcycle-pedestrian 84 (16.15%)</w:t>
      </w:r>
    </w:p>
    <w:p w14:paraId="4335022B"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Car-pedestrian 60 (11.54%)</w:t>
      </w:r>
    </w:p>
    <w:p w14:paraId="63A10C47"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Car-motorcycle 34 (6.54%)</w:t>
      </w:r>
    </w:p>
    <w:p w14:paraId="3460E5C5"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Car-car 20 (3.85%)</w:t>
      </w:r>
    </w:p>
    <w:p w14:paraId="045B9894"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mechanism of occurrence was direct in 494 cases (95%) and indirect in 26 cases (5%).</w:t>
      </w:r>
    </w:p>
    <w:p w14:paraId="12238F43" w14:textId="77777777"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Clinical profile</w:t>
      </w:r>
    </w:p>
    <w:p w14:paraId="793BC5B8"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Consultation was immediate in 460 cases (88.46%) or delayed in 60 cases (11.54%) due to transfer delays, financial delays, or visits to traditional healers.</w:t>
      </w:r>
    </w:p>
    <w:p w14:paraId="051D2686"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 functional signs </w:t>
      </w:r>
      <w:proofErr w:type="gramStart"/>
      <w:r w:rsidRPr="00964F6D">
        <w:rPr>
          <w:rFonts w:asciiTheme="minorHAnsi" w:hAnsiTheme="minorHAnsi" w:cstheme="minorHAnsi"/>
          <w:sz w:val="22"/>
          <w:szCs w:val="22"/>
        </w:rPr>
        <w:t>were:</w:t>
      </w:r>
      <w:proofErr w:type="gramEnd"/>
      <w:r w:rsidRPr="00964F6D">
        <w:rPr>
          <w:rFonts w:asciiTheme="minorHAnsi" w:hAnsiTheme="minorHAnsi" w:cstheme="minorHAnsi"/>
          <w:sz w:val="22"/>
          <w:szCs w:val="22"/>
        </w:rPr>
        <w:t xml:space="preserve"> pain in 520 (100%) cases, functional impotence in 520 (100%) cases, and deformity in 4 (0.77%) cases.</w:t>
      </w:r>
    </w:p>
    <w:p w14:paraId="4A5B8DC3" w14:textId="350E68EC" w:rsidR="00B81743" w:rsidRPr="00964F6D" w:rsidRDefault="00A8540A"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past t</w:t>
      </w:r>
      <w:r w:rsidR="00B81743" w:rsidRPr="00964F6D">
        <w:rPr>
          <w:rFonts w:asciiTheme="minorHAnsi" w:hAnsiTheme="minorHAnsi" w:cstheme="minorHAnsi"/>
          <w:sz w:val="22"/>
          <w:szCs w:val="22"/>
        </w:rPr>
        <w:t xml:space="preserve">raumatic history </w:t>
      </w:r>
      <w:r w:rsidRPr="00964F6D">
        <w:rPr>
          <w:rFonts w:asciiTheme="minorHAnsi" w:hAnsiTheme="minorHAnsi" w:cstheme="minorHAnsi"/>
          <w:sz w:val="22"/>
          <w:szCs w:val="22"/>
        </w:rPr>
        <w:t>revealed</w:t>
      </w:r>
      <w:r w:rsidR="00B81743" w:rsidRPr="00964F6D">
        <w:rPr>
          <w:rFonts w:asciiTheme="minorHAnsi" w:hAnsiTheme="minorHAnsi" w:cstheme="minorHAnsi"/>
          <w:sz w:val="22"/>
          <w:szCs w:val="22"/>
        </w:rPr>
        <w:t xml:space="preserve"> </w:t>
      </w:r>
      <w:r w:rsidRPr="00964F6D">
        <w:rPr>
          <w:rFonts w:asciiTheme="minorHAnsi" w:hAnsiTheme="minorHAnsi" w:cstheme="minorHAnsi"/>
          <w:sz w:val="22"/>
          <w:szCs w:val="22"/>
        </w:rPr>
        <w:t xml:space="preserve">12 </w:t>
      </w:r>
      <w:r w:rsidR="00B81743" w:rsidRPr="00964F6D">
        <w:rPr>
          <w:rFonts w:asciiTheme="minorHAnsi" w:hAnsiTheme="minorHAnsi" w:cstheme="minorHAnsi"/>
          <w:sz w:val="22"/>
          <w:szCs w:val="22"/>
        </w:rPr>
        <w:t xml:space="preserve">femur fractures (2.31%, including 10 on the same side) and </w:t>
      </w:r>
      <w:r w:rsidRPr="00964F6D">
        <w:rPr>
          <w:rFonts w:asciiTheme="minorHAnsi" w:hAnsiTheme="minorHAnsi" w:cstheme="minorHAnsi"/>
          <w:sz w:val="22"/>
          <w:szCs w:val="22"/>
        </w:rPr>
        <w:t xml:space="preserve">2 </w:t>
      </w:r>
      <w:r w:rsidR="00B81743" w:rsidRPr="00964F6D">
        <w:rPr>
          <w:rFonts w:asciiTheme="minorHAnsi" w:hAnsiTheme="minorHAnsi" w:cstheme="minorHAnsi"/>
          <w:sz w:val="22"/>
          <w:szCs w:val="22"/>
        </w:rPr>
        <w:t>periprosthetic fractures on hip prostheses (0.38%). We did not have any fractures on knee prostheses.</w:t>
      </w:r>
    </w:p>
    <w:p w14:paraId="355A5CB0"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Of the 136 (26.15%) patients with a medical history, there were 110 (80.88%) cases of high blood pressure, 68 (50%) had type II diabetes, 8 (5.88%) had obesity, 7 (5.14%) had geriatric syndrome (with dependence, incontinence, vision problems, and falls), and 14 (10.24%) had menopause. There were also 224 (43.08%) cases of alcoholism and 172 (33.08%) cases of smoking.</w:t>
      </w:r>
    </w:p>
    <w:p w14:paraId="66A2A686" w14:textId="7BBCF4D2"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Regarding lifestyle before the fracture, 472 (90.77%) of our patients were able to walk before the fracture, and 48 (9.23%) patients were unable to walk before the fracture, including 24 (50%) with a c</w:t>
      </w:r>
      <w:r w:rsidR="005E7C85" w:rsidRPr="00964F6D">
        <w:rPr>
          <w:rFonts w:asciiTheme="minorHAnsi" w:hAnsiTheme="minorHAnsi" w:cstheme="minorHAnsi"/>
          <w:sz w:val="22"/>
          <w:szCs w:val="22"/>
        </w:rPr>
        <w:t>rutch</w:t>
      </w:r>
      <w:r w:rsidRPr="00964F6D">
        <w:rPr>
          <w:rFonts w:asciiTheme="minorHAnsi" w:hAnsiTheme="minorHAnsi" w:cstheme="minorHAnsi"/>
          <w:sz w:val="22"/>
          <w:szCs w:val="22"/>
        </w:rPr>
        <w:t>, 22 (45.83%) with two c</w:t>
      </w:r>
      <w:r w:rsidR="005E7C85" w:rsidRPr="00964F6D">
        <w:rPr>
          <w:rFonts w:asciiTheme="minorHAnsi" w:hAnsiTheme="minorHAnsi" w:cstheme="minorHAnsi"/>
          <w:sz w:val="22"/>
          <w:szCs w:val="22"/>
        </w:rPr>
        <w:t>rutches</w:t>
      </w:r>
      <w:r w:rsidRPr="00964F6D">
        <w:rPr>
          <w:rFonts w:asciiTheme="minorHAnsi" w:hAnsiTheme="minorHAnsi" w:cstheme="minorHAnsi"/>
          <w:sz w:val="22"/>
          <w:szCs w:val="22"/>
        </w:rPr>
        <w:t xml:space="preserve">, 3 (6.25%) with a wheelchair, and 4 (8.33%) were bedridden for long periods. </w:t>
      </w:r>
    </w:p>
    <w:p w14:paraId="08DB53AD"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 general condition was marked by preserved consciousness in 302 (58.08%) cases and impaired consciousness in 194 (37.31%) cases. </w:t>
      </w:r>
    </w:p>
    <w:p w14:paraId="33616308"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In 516 (99.23%) cases, patients had a vicious attitude, in 520 (100%) cases, swelling of the limb, and in 492 (94.62%) cases, apparent shortening. </w:t>
      </w:r>
    </w:p>
    <w:p w14:paraId="3A20F356"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right femoral shaft was fractured more often (264 cases, or 50.77%) than the left (250 cases, or 48.08%), and there were 6 bilateral fractures (1.15%).</w:t>
      </w:r>
    </w:p>
    <w:p w14:paraId="1D240462"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proximal third had 98 cases (18.85%), the middle third had 268 cases (51.54%), and the distal third had 154 cases (29.62%).</w:t>
      </w:r>
    </w:p>
    <w:p w14:paraId="09C8EAC9"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There were 388 closed fractures (74.62%) compared to 138 open fractures (26.54%). </w:t>
      </w:r>
    </w:p>
    <w:p w14:paraId="7BE3E9EC"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Among the 388 closed fractures, there were soft tissue injuries of the following </w:t>
      </w:r>
      <w:proofErr w:type="gramStart"/>
      <w:r w:rsidRPr="00964F6D">
        <w:rPr>
          <w:rFonts w:asciiTheme="minorHAnsi" w:hAnsiTheme="minorHAnsi" w:cstheme="minorHAnsi"/>
          <w:sz w:val="22"/>
          <w:szCs w:val="22"/>
        </w:rPr>
        <w:t>types:</w:t>
      </w:r>
      <w:proofErr w:type="gramEnd"/>
      <w:r w:rsidRPr="00964F6D">
        <w:rPr>
          <w:rFonts w:asciiTheme="minorHAnsi" w:hAnsiTheme="minorHAnsi" w:cstheme="minorHAnsi"/>
          <w:sz w:val="22"/>
          <w:szCs w:val="22"/>
        </w:rPr>
        <w:t xml:space="preserve"> Tscherne 0 in 4 cases (1.03%), Tscherne 1 in 88 cases (22.68%), Tscherne 2 in 290 cases (74.74%), and Tscherne 3 in 6 cases (1.55%). </w:t>
      </w:r>
    </w:p>
    <w:p w14:paraId="7191F8D2"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According to the Gustillo and Anderson classification of the 138 (26.54%) open fractures, there were 52 grade II fractures (37.68%), 80 grade III fractures (57.97%), including 46 IIIA (33.33%), 33 IIIB (23.91%), and 52 IIIC (37.68%).</w:t>
      </w:r>
    </w:p>
    <w:p w14:paraId="08037452"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In addition, there were 4 sacral pressure sores (0.77%), including 2 stage II and 2 stage III. </w:t>
      </w:r>
    </w:p>
    <w:p w14:paraId="07923427" w14:textId="0D933DE2"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 xml:space="preserve">Radiological </w:t>
      </w:r>
      <w:r w:rsidR="00BE3CB9" w:rsidRPr="00964F6D">
        <w:rPr>
          <w:rFonts w:asciiTheme="minorHAnsi" w:hAnsiTheme="minorHAnsi" w:cstheme="minorHAnsi"/>
          <w:b/>
          <w:bCs/>
          <w:sz w:val="22"/>
          <w:szCs w:val="22"/>
        </w:rPr>
        <w:t>findings</w:t>
      </w:r>
    </w:p>
    <w:p w14:paraId="0EE75ECA" w14:textId="42E84A99"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Table </w:t>
      </w:r>
      <w:r w:rsidR="00E54095">
        <w:rPr>
          <w:rFonts w:asciiTheme="minorHAnsi" w:hAnsiTheme="minorHAnsi" w:cstheme="minorHAnsi"/>
          <w:sz w:val="22"/>
          <w:szCs w:val="22"/>
        </w:rPr>
        <w:t>1</w:t>
      </w:r>
      <w:r w:rsidRPr="00964F6D">
        <w:rPr>
          <w:rFonts w:asciiTheme="minorHAnsi" w:hAnsiTheme="minorHAnsi" w:cstheme="minorHAnsi"/>
          <w:sz w:val="22"/>
          <w:szCs w:val="22"/>
        </w:rPr>
        <w:t xml:space="preserve"> presents the radiological results of fracture types according to the Swiss Association for Osteosynthesis (AO). </w:t>
      </w:r>
    </w:p>
    <w:p w14:paraId="12D24D43" w14:textId="328471FD"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Table </w:t>
      </w:r>
      <w:proofErr w:type="gramStart"/>
      <w:r w:rsidR="00E54095">
        <w:rPr>
          <w:rFonts w:asciiTheme="minorHAnsi" w:hAnsiTheme="minorHAnsi" w:cstheme="minorHAnsi"/>
          <w:sz w:val="22"/>
          <w:szCs w:val="22"/>
        </w:rPr>
        <w:t>1</w:t>
      </w:r>
      <w:r w:rsidRPr="00964F6D">
        <w:rPr>
          <w:rFonts w:asciiTheme="minorHAnsi" w:hAnsiTheme="minorHAnsi" w:cstheme="minorHAnsi"/>
          <w:sz w:val="22"/>
          <w:szCs w:val="22"/>
        </w:rPr>
        <w:t>:</w:t>
      </w:r>
      <w:proofErr w:type="gramEnd"/>
      <w:r w:rsidRPr="00964F6D">
        <w:rPr>
          <w:rFonts w:asciiTheme="minorHAnsi" w:hAnsiTheme="minorHAnsi" w:cstheme="minorHAnsi"/>
          <w:sz w:val="22"/>
          <w:szCs w:val="22"/>
        </w:rPr>
        <w:t xml:space="preserve"> Morphological assessment of patients admitted for FDF</w:t>
      </w:r>
    </w:p>
    <w:p w14:paraId="54C3758F" w14:textId="6482B15D" w:rsidR="00B81743" w:rsidRPr="00964F6D" w:rsidRDefault="00B81743" w:rsidP="00B53E8B">
      <w:pPr>
        <w:pStyle w:val="Caption"/>
        <w:spacing w:line="240" w:lineRule="auto"/>
        <w:rPr>
          <w:rFonts w:asciiTheme="minorHAnsi" w:hAnsiTheme="minorHAnsi" w:cstheme="minorHAnsi"/>
        </w:rPr>
      </w:pPr>
    </w:p>
    <w:tbl>
      <w:tblPr>
        <w:tblStyle w:val="ListTable6Colorful12"/>
        <w:tblW w:w="9105" w:type="dxa"/>
        <w:jc w:val="center"/>
        <w:tblLook w:val="06A0" w:firstRow="1" w:lastRow="0" w:firstColumn="1" w:lastColumn="0" w:noHBand="1" w:noVBand="1"/>
      </w:tblPr>
      <w:tblGrid>
        <w:gridCol w:w="2834"/>
        <w:gridCol w:w="2835"/>
        <w:gridCol w:w="1209"/>
        <w:gridCol w:w="2227"/>
      </w:tblGrid>
      <w:tr w:rsidR="00B81743" w:rsidRPr="00964F6D" w14:paraId="7A14F3BD" w14:textId="77777777" w:rsidTr="0071153C">
        <w:trPr>
          <w:cnfStyle w:val="100000000000" w:firstRow="1" w:lastRow="0" w:firstColumn="0" w:lastColumn="0" w:oddVBand="0" w:evenVBand="0" w:oddHBand="0" w:evenHBand="0" w:firstRowFirstColumn="0" w:firstRowLastColumn="0" w:lastRowFirstColumn="0" w:lastRowLastColumn="0"/>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single" w:sz="18" w:space="0" w:color="auto"/>
              <w:left w:val="nil"/>
              <w:bottom w:val="single" w:sz="18" w:space="0" w:color="auto"/>
              <w:right w:val="nil"/>
            </w:tcBorders>
            <w:noWrap/>
            <w:hideMark/>
          </w:tcPr>
          <w:p w14:paraId="6981DD51"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Classes</w:t>
            </w:r>
          </w:p>
        </w:tc>
        <w:tc>
          <w:tcPr>
            <w:tcW w:w="2835" w:type="dxa"/>
            <w:tcBorders>
              <w:top w:val="single" w:sz="18" w:space="0" w:color="auto"/>
              <w:left w:val="nil"/>
              <w:bottom w:val="single" w:sz="18" w:space="0" w:color="auto"/>
              <w:right w:val="nil"/>
            </w:tcBorders>
          </w:tcPr>
          <w:p w14:paraId="36146716" w14:textId="1C2895D0" w:rsidR="00B81743" w:rsidRPr="00964F6D" w:rsidRDefault="00B81743"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Crit</w:t>
            </w:r>
            <w:r w:rsidR="00947D1F" w:rsidRPr="00964F6D">
              <w:rPr>
                <w:rFonts w:asciiTheme="minorHAnsi" w:eastAsia="Times New Roman" w:hAnsiTheme="minorHAnsi" w:cstheme="minorHAnsi"/>
                <w:color w:val="auto"/>
                <w:lang w:eastAsia="fr-FR"/>
              </w:rPr>
              <w:t>erias</w:t>
            </w:r>
          </w:p>
        </w:tc>
        <w:tc>
          <w:tcPr>
            <w:tcW w:w="1209" w:type="dxa"/>
            <w:tcBorders>
              <w:top w:val="single" w:sz="18" w:space="0" w:color="auto"/>
              <w:left w:val="nil"/>
              <w:bottom w:val="single" w:sz="18" w:space="0" w:color="auto"/>
              <w:right w:val="nil"/>
            </w:tcBorders>
            <w:noWrap/>
            <w:hideMark/>
          </w:tcPr>
          <w:p w14:paraId="47C377BB" w14:textId="6BA899C6" w:rsidR="00B81743" w:rsidRPr="00964F6D" w:rsidRDefault="00947D1F"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Numbers</w:t>
            </w:r>
          </w:p>
        </w:tc>
        <w:tc>
          <w:tcPr>
            <w:tcW w:w="2227" w:type="dxa"/>
            <w:tcBorders>
              <w:top w:val="single" w:sz="18" w:space="0" w:color="auto"/>
              <w:left w:val="nil"/>
              <w:bottom w:val="single" w:sz="18" w:space="0" w:color="auto"/>
              <w:right w:val="nil"/>
            </w:tcBorders>
            <w:noWrap/>
            <w:hideMark/>
          </w:tcPr>
          <w:p w14:paraId="30D51860" w14:textId="77777777" w:rsidR="00B81743" w:rsidRPr="00964F6D" w:rsidRDefault="00B81743"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Proportions</w:t>
            </w:r>
          </w:p>
        </w:tc>
      </w:tr>
      <w:tr w:rsidR="00B81743" w:rsidRPr="00964F6D" w14:paraId="67F5D0D7"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noWrap/>
            <w:hideMark/>
          </w:tcPr>
          <w:p w14:paraId="10D783D6"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32 A</w:t>
            </w:r>
          </w:p>
        </w:tc>
        <w:tc>
          <w:tcPr>
            <w:tcW w:w="2835" w:type="dxa"/>
            <w:tcBorders>
              <w:top w:val="nil"/>
              <w:left w:val="nil"/>
              <w:bottom w:val="nil"/>
              <w:right w:val="nil"/>
            </w:tcBorders>
          </w:tcPr>
          <w:p w14:paraId="36E96B0E" w14:textId="5CED1453" w:rsidR="00B81743" w:rsidRPr="00964F6D" w:rsidRDefault="00947D1F"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Simple f</w:t>
            </w:r>
            <w:r w:rsidR="00B81743" w:rsidRPr="00964F6D">
              <w:rPr>
                <w:rFonts w:asciiTheme="minorHAnsi" w:eastAsia="Times New Roman" w:hAnsiTheme="minorHAnsi" w:cstheme="minorHAnsi"/>
                <w:b/>
                <w:bCs/>
                <w:color w:val="auto"/>
                <w:lang w:eastAsia="fr-FR"/>
              </w:rPr>
              <w:t>racture</w:t>
            </w:r>
          </w:p>
        </w:tc>
        <w:tc>
          <w:tcPr>
            <w:tcW w:w="1209" w:type="dxa"/>
            <w:tcBorders>
              <w:top w:val="nil"/>
              <w:left w:val="nil"/>
              <w:bottom w:val="nil"/>
              <w:right w:val="nil"/>
            </w:tcBorders>
            <w:noWrap/>
            <w:hideMark/>
          </w:tcPr>
          <w:p w14:paraId="33BCC86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268</w:t>
            </w:r>
          </w:p>
        </w:tc>
        <w:tc>
          <w:tcPr>
            <w:tcW w:w="2227" w:type="dxa"/>
            <w:tcBorders>
              <w:top w:val="nil"/>
              <w:left w:val="nil"/>
              <w:bottom w:val="nil"/>
              <w:right w:val="nil"/>
            </w:tcBorders>
            <w:noWrap/>
            <w:hideMark/>
          </w:tcPr>
          <w:p w14:paraId="6C613331"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51,54%</w:t>
            </w:r>
          </w:p>
        </w:tc>
      </w:tr>
      <w:tr w:rsidR="00B81743" w:rsidRPr="00964F6D" w14:paraId="19334E39"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noWrap/>
            <w:hideMark/>
          </w:tcPr>
          <w:p w14:paraId="5C59B3A0"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A1</w:t>
            </w:r>
          </w:p>
        </w:tc>
        <w:tc>
          <w:tcPr>
            <w:tcW w:w="2835" w:type="dxa"/>
            <w:tcBorders>
              <w:top w:val="nil"/>
              <w:left w:val="nil"/>
              <w:bottom w:val="nil"/>
              <w:right w:val="nil"/>
            </w:tcBorders>
          </w:tcPr>
          <w:p w14:paraId="784CF410" w14:textId="49AC884C"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Spiro</w:t>
            </w:r>
            <w:r w:rsidR="00BE3CB9" w:rsidRPr="00964F6D">
              <w:rPr>
                <w:rFonts w:asciiTheme="minorHAnsi" w:eastAsia="Times New Roman" w:hAnsiTheme="minorHAnsi" w:cstheme="minorHAnsi"/>
                <w:color w:val="auto"/>
                <w:lang w:eastAsia="fr-FR"/>
              </w:rPr>
              <w:t>i</w:t>
            </w:r>
            <w:r w:rsidRPr="00964F6D">
              <w:rPr>
                <w:rFonts w:asciiTheme="minorHAnsi" w:eastAsia="Times New Roman" w:hAnsiTheme="minorHAnsi" w:cstheme="minorHAnsi"/>
                <w:color w:val="auto"/>
                <w:lang w:eastAsia="fr-FR"/>
              </w:rPr>
              <w:t>d</w:t>
            </w:r>
          </w:p>
        </w:tc>
        <w:tc>
          <w:tcPr>
            <w:tcW w:w="1209" w:type="dxa"/>
            <w:tcBorders>
              <w:top w:val="nil"/>
              <w:left w:val="nil"/>
              <w:bottom w:val="nil"/>
              <w:right w:val="nil"/>
            </w:tcBorders>
            <w:noWrap/>
            <w:hideMark/>
          </w:tcPr>
          <w:p w14:paraId="3B3BFC14"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64</w:t>
            </w:r>
          </w:p>
        </w:tc>
        <w:tc>
          <w:tcPr>
            <w:tcW w:w="2227" w:type="dxa"/>
            <w:tcBorders>
              <w:top w:val="nil"/>
              <w:left w:val="nil"/>
              <w:bottom w:val="nil"/>
              <w:right w:val="nil"/>
            </w:tcBorders>
            <w:noWrap/>
            <w:hideMark/>
          </w:tcPr>
          <w:p w14:paraId="07426542"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12,31%</w:t>
            </w:r>
          </w:p>
        </w:tc>
      </w:tr>
      <w:tr w:rsidR="00B81743" w:rsidRPr="00964F6D" w14:paraId="54A83810"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noWrap/>
            <w:hideMark/>
          </w:tcPr>
          <w:p w14:paraId="604CB1DA"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A2</w:t>
            </w:r>
          </w:p>
        </w:tc>
        <w:tc>
          <w:tcPr>
            <w:tcW w:w="2835" w:type="dxa"/>
            <w:tcBorders>
              <w:top w:val="nil"/>
              <w:left w:val="nil"/>
              <w:bottom w:val="nil"/>
              <w:right w:val="nil"/>
            </w:tcBorders>
          </w:tcPr>
          <w:p w14:paraId="794FED88"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 xml:space="preserve">Oblique </w:t>
            </w:r>
            <w:r w:rsidRPr="00964F6D">
              <w:rPr>
                <w:rFonts w:asciiTheme="minorHAnsi" w:eastAsia="Times New Roman" w:hAnsiTheme="minorHAnsi" w:cstheme="minorHAnsi"/>
                <w:color w:val="auto"/>
                <w:u w:val="single"/>
                <w:lang w:eastAsia="fr-FR"/>
              </w:rPr>
              <w:t>&gt;</w:t>
            </w:r>
            <w:r w:rsidRPr="00964F6D">
              <w:rPr>
                <w:rFonts w:asciiTheme="minorHAnsi" w:eastAsia="Times New Roman" w:hAnsiTheme="minorHAnsi" w:cstheme="minorHAnsi"/>
                <w:color w:val="auto"/>
                <w:lang w:eastAsia="fr-FR"/>
              </w:rPr>
              <w:t>30%</w:t>
            </w:r>
          </w:p>
        </w:tc>
        <w:tc>
          <w:tcPr>
            <w:tcW w:w="1209" w:type="dxa"/>
            <w:tcBorders>
              <w:top w:val="nil"/>
              <w:left w:val="nil"/>
              <w:bottom w:val="nil"/>
              <w:right w:val="nil"/>
            </w:tcBorders>
            <w:noWrap/>
            <w:hideMark/>
          </w:tcPr>
          <w:p w14:paraId="0A58657B"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160</w:t>
            </w:r>
          </w:p>
        </w:tc>
        <w:tc>
          <w:tcPr>
            <w:tcW w:w="2227" w:type="dxa"/>
            <w:tcBorders>
              <w:top w:val="nil"/>
              <w:left w:val="nil"/>
              <w:bottom w:val="nil"/>
              <w:right w:val="nil"/>
            </w:tcBorders>
            <w:noWrap/>
            <w:hideMark/>
          </w:tcPr>
          <w:p w14:paraId="7C39E8E3"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30,77%</w:t>
            </w:r>
          </w:p>
        </w:tc>
      </w:tr>
      <w:tr w:rsidR="00B81743" w:rsidRPr="00964F6D" w14:paraId="16D8A40B"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noWrap/>
            <w:hideMark/>
          </w:tcPr>
          <w:p w14:paraId="547B915B"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A3</w:t>
            </w:r>
          </w:p>
        </w:tc>
        <w:tc>
          <w:tcPr>
            <w:tcW w:w="2835" w:type="dxa"/>
            <w:tcBorders>
              <w:top w:val="nil"/>
              <w:left w:val="nil"/>
              <w:bottom w:val="nil"/>
              <w:right w:val="nil"/>
            </w:tcBorders>
          </w:tcPr>
          <w:p w14:paraId="23843E35"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Transverse &lt; 30%</w:t>
            </w:r>
          </w:p>
        </w:tc>
        <w:tc>
          <w:tcPr>
            <w:tcW w:w="1209" w:type="dxa"/>
            <w:tcBorders>
              <w:top w:val="nil"/>
              <w:left w:val="nil"/>
              <w:bottom w:val="nil"/>
              <w:right w:val="nil"/>
            </w:tcBorders>
            <w:noWrap/>
            <w:hideMark/>
          </w:tcPr>
          <w:p w14:paraId="23532B2E"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44</w:t>
            </w:r>
          </w:p>
        </w:tc>
        <w:tc>
          <w:tcPr>
            <w:tcW w:w="2227" w:type="dxa"/>
            <w:tcBorders>
              <w:top w:val="nil"/>
              <w:left w:val="nil"/>
              <w:bottom w:val="nil"/>
              <w:right w:val="nil"/>
            </w:tcBorders>
            <w:noWrap/>
            <w:hideMark/>
          </w:tcPr>
          <w:p w14:paraId="48AC58D4"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8,46%</w:t>
            </w:r>
          </w:p>
        </w:tc>
      </w:tr>
      <w:tr w:rsidR="00B81743" w:rsidRPr="00964F6D" w14:paraId="7CD07148"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shd w:val="clear" w:color="auto" w:fill="F2F2F2"/>
            <w:noWrap/>
            <w:hideMark/>
          </w:tcPr>
          <w:p w14:paraId="101A0A79"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32 B</w:t>
            </w:r>
          </w:p>
        </w:tc>
        <w:tc>
          <w:tcPr>
            <w:tcW w:w="2835" w:type="dxa"/>
            <w:tcBorders>
              <w:top w:val="nil"/>
              <w:left w:val="nil"/>
              <w:bottom w:val="nil"/>
              <w:right w:val="nil"/>
            </w:tcBorders>
            <w:shd w:val="clear" w:color="auto" w:fill="F2F2F2"/>
          </w:tcPr>
          <w:p w14:paraId="52107A94" w14:textId="3066612B"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 xml:space="preserve">Fracture </w:t>
            </w:r>
            <w:r w:rsidR="00947D1F" w:rsidRPr="00964F6D">
              <w:rPr>
                <w:rFonts w:asciiTheme="minorHAnsi" w:eastAsia="Times New Roman" w:hAnsiTheme="minorHAnsi" w:cstheme="minorHAnsi"/>
                <w:b/>
                <w:bCs/>
                <w:color w:val="auto"/>
                <w:lang w:eastAsia="fr-FR"/>
              </w:rPr>
              <w:t>with a 3</w:t>
            </w:r>
            <w:r w:rsidR="00947D1F" w:rsidRPr="00964F6D">
              <w:rPr>
                <w:rFonts w:asciiTheme="minorHAnsi" w:eastAsia="Times New Roman" w:hAnsiTheme="minorHAnsi" w:cstheme="minorHAnsi"/>
                <w:b/>
                <w:bCs/>
                <w:color w:val="auto"/>
                <w:vertAlign w:val="superscript"/>
                <w:lang w:eastAsia="fr-FR"/>
              </w:rPr>
              <w:t>rd</w:t>
            </w:r>
            <w:r w:rsidRPr="00964F6D">
              <w:rPr>
                <w:rFonts w:asciiTheme="minorHAnsi" w:eastAsia="Times New Roman" w:hAnsiTheme="minorHAnsi" w:cstheme="minorHAnsi"/>
                <w:b/>
                <w:bCs/>
                <w:color w:val="auto"/>
                <w:lang w:eastAsia="fr-FR"/>
              </w:rPr>
              <w:t xml:space="preserve"> fragment</w:t>
            </w:r>
          </w:p>
        </w:tc>
        <w:tc>
          <w:tcPr>
            <w:tcW w:w="1209" w:type="dxa"/>
            <w:tcBorders>
              <w:top w:val="nil"/>
              <w:left w:val="nil"/>
              <w:bottom w:val="nil"/>
              <w:right w:val="nil"/>
            </w:tcBorders>
            <w:shd w:val="clear" w:color="auto" w:fill="F2F2F2"/>
            <w:noWrap/>
            <w:hideMark/>
          </w:tcPr>
          <w:p w14:paraId="5D3B6990"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196</w:t>
            </w:r>
          </w:p>
        </w:tc>
        <w:tc>
          <w:tcPr>
            <w:tcW w:w="2227" w:type="dxa"/>
            <w:tcBorders>
              <w:top w:val="nil"/>
              <w:left w:val="nil"/>
              <w:bottom w:val="nil"/>
              <w:right w:val="nil"/>
            </w:tcBorders>
            <w:shd w:val="clear" w:color="auto" w:fill="F2F2F2"/>
            <w:noWrap/>
            <w:hideMark/>
          </w:tcPr>
          <w:p w14:paraId="4B4DA56F"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37,69%</w:t>
            </w:r>
          </w:p>
        </w:tc>
      </w:tr>
      <w:tr w:rsidR="00B81743" w:rsidRPr="00964F6D" w14:paraId="684C8CF1"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shd w:val="clear" w:color="auto" w:fill="F2F2F2"/>
            <w:noWrap/>
            <w:hideMark/>
          </w:tcPr>
          <w:p w14:paraId="6396CED1"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B1</w:t>
            </w:r>
          </w:p>
        </w:tc>
        <w:tc>
          <w:tcPr>
            <w:tcW w:w="2835" w:type="dxa"/>
            <w:tcBorders>
              <w:top w:val="nil"/>
              <w:left w:val="nil"/>
              <w:bottom w:val="nil"/>
              <w:right w:val="nil"/>
            </w:tcBorders>
            <w:shd w:val="clear" w:color="auto" w:fill="F2F2F2"/>
          </w:tcPr>
          <w:p w14:paraId="2B8904EA" w14:textId="780E9A9B"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Spiro</w:t>
            </w:r>
            <w:r w:rsidR="00BE3CB9" w:rsidRPr="00964F6D">
              <w:rPr>
                <w:rFonts w:asciiTheme="minorHAnsi" w:eastAsia="Times New Roman" w:hAnsiTheme="minorHAnsi" w:cstheme="minorHAnsi"/>
                <w:color w:val="auto"/>
                <w:lang w:eastAsia="fr-FR"/>
              </w:rPr>
              <w:t>i</w:t>
            </w:r>
            <w:r w:rsidRPr="00964F6D">
              <w:rPr>
                <w:rFonts w:asciiTheme="minorHAnsi" w:eastAsia="Times New Roman" w:hAnsiTheme="minorHAnsi" w:cstheme="minorHAnsi"/>
                <w:color w:val="auto"/>
                <w:lang w:eastAsia="fr-FR"/>
              </w:rPr>
              <w:t xml:space="preserve">d </w:t>
            </w:r>
          </w:p>
        </w:tc>
        <w:tc>
          <w:tcPr>
            <w:tcW w:w="1209" w:type="dxa"/>
            <w:tcBorders>
              <w:top w:val="nil"/>
              <w:left w:val="nil"/>
              <w:bottom w:val="nil"/>
              <w:right w:val="nil"/>
            </w:tcBorders>
            <w:shd w:val="clear" w:color="auto" w:fill="F2F2F2"/>
            <w:noWrap/>
            <w:hideMark/>
          </w:tcPr>
          <w:p w14:paraId="428E4872"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78</w:t>
            </w:r>
          </w:p>
        </w:tc>
        <w:tc>
          <w:tcPr>
            <w:tcW w:w="2227" w:type="dxa"/>
            <w:tcBorders>
              <w:top w:val="nil"/>
              <w:left w:val="nil"/>
              <w:bottom w:val="nil"/>
              <w:right w:val="nil"/>
            </w:tcBorders>
            <w:shd w:val="clear" w:color="auto" w:fill="F2F2F2"/>
            <w:noWrap/>
            <w:hideMark/>
          </w:tcPr>
          <w:p w14:paraId="677E032C"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15%</w:t>
            </w:r>
          </w:p>
        </w:tc>
      </w:tr>
      <w:tr w:rsidR="00B81743" w:rsidRPr="00964F6D" w14:paraId="4113F433"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shd w:val="clear" w:color="auto" w:fill="F2F2F2"/>
            <w:noWrap/>
            <w:hideMark/>
          </w:tcPr>
          <w:p w14:paraId="5BC7F136"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B2</w:t>
            </w:r>
          </w:p>
        </w:tc>
        <w:tc>
          <w:tcPr>
            <w:tcW w:w="2835" w:type="dxa"/>
            <w:tcBorders>
              <w:top w:val="nil"/>
              <w:left w:val="nil"/>
              <w:bottom w:val="nil"/>
              <w:right w:val="nil"/>
            </w:tcBorders>
            <w:shd w:val="clear" w:color="auto" w:fill="F2F2F2"/>
          </w:tcPr>
          <w:p w14:paraId="207D8188"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 xml:space="preserve">Transverse </w:t>
            </w:r>
          </w:p>
        </w:tc>
        <w:tc>
          <w:tcPr>
            <w:tcW w:w="1209" w:type="dxa"/>
            <w:tcBorders>
              <w:top w:val="nil"/>
              <w:left w:val="nil"/>
              <w:bottom w:val="nil"/>
              <w:right w:val="nil"/>
            </w:tcBorders>
            <w:shd w:val="clear" w:color="auto" w:fill="F2F2F2"/>
            <w:noWrap/>
            <w:hideMark/>
          </w:tcPr>
          <w:p w14:paraId="09DEFAE1"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102</w:t>
            </w:r>
          </w:p>
        </w:tc>
        <w:tc>
          <w:tcPr>
            <w:tcW w:w="2227" w:type="dxa"/>
            <w:tcBorders>
              <w:top w:val="nil"/>
              <w:left w:val="nil"/>
              <w:bottom w:val="nil"/>
              <w:right w:val="nil"/>
            </w:tcBorders>
            <w:shd w:val="clear" w:color="auto" w:fill="F2F2F2"/>
            <w:noWrap/>
            <w:hideMark/>
          </w:tcPr>
          <w:p w14:paraId="4A4B2D41"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19,62%</w:t>
            </w:r>
          </w:p>
        </w:tc>
      </w:tr>
      <w:tr w:rsidR="00B81743" w:rsidRPr="00964F6D" w14:paraId="4837D1CB"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shd w:val="clear" w:color="auto" w:fill="F2F2F2"/>
            <w:noWrap/>
            <w:hideMark/>
          </w:tcPr>
          <w:p w14:paraId="358C1D59"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B3</w:t>
            </w:r>
          </w:p>
        </w:tc>
        <w:tc>
          <w:tcPr>
            <w:tcW w:w="2835" w:type="dxa"/>
            <w:tcBorders>
              <w:top w:val="nil"/>
              <w:left w:val="nil"/>
              <w:bottom w:val="nil"/>
              <w:right w:val="nil"/>
            </w:tcBorders>
            <w:shd w:val="clear" w:color="auto" w:fill="F2F2F2"/>
          </w:tcPr>
          <w:p w14:paraId="5B4EAA7C" w14:textId="15D60F6B"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Fragment</w:t>
            </w:r>
            <w:r w:rsidR="00947D1F" w:rsidRPr="00964F6D">
              <w:rPr>
                <w:rFonts w:asciiTheme="minorHAnsi" w:eastAsia="Times New Roman" w:hAnsiTheme="minorHAnsi" w:cstheme="minorHAnsi"/>
                <w:color w:val="auto"/>
                <w:lang w:eastAsia="fr-FR"/>
              </w:rPr>
              <w:t>ed</w:t>
            </w:r>
            <w:r w:rsidRPr="00964F6D">
              <w:rPr>
                <w:rFonts w:asciiTheme="minorHAnsi" w:eastAsia="Times New Roman" w:hAnsiTheme="minorHAnsi" w:cstheme="minorHAnsi"/>
                <w:color w:val="auto"/>
                <w:lang w:eastAsia="fr-FR"/>
              </w:rPr>
              <w:t xml:space="preserve"> </w:t>
            </w:r>
          </w:p>
        </w:tc>
        <w:tc>
          <w:tcPr>
            <w:tcW w:w="1209" w:type="dxa"/>
            <w:tcBorders>
              <w:top w:val="nil"/>
              <w:left w:val="nil"/>
              <w:bottom w:val="nil"/>
              <w:right w:val="nil"/>
            </w:tcBorders>
            <w:shd w:val="clear" w:color="auto" w:fill="F2F2F2"/>
            <w:noWrap/>
            <w:hideMark/>
          </w:tcPr>
          <w:p w14:paraId="73EF3800"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16</w:t>
            </w:r>
          </w:p>
        </w:tc>
        <w:tc>
          <w:tcPr>
            <w:tcW w:w="2227" w:type="dxa"/>
            <w:tcBorders>
              <w:top w:val="nil"/>
              <w:left w:val="nil"/>
              <w:bottom w:val="nil"/>
              <w:right w:val="nil"/>
            </w:tcBorders>
            <w:shd w:val="clear" w:color="auto" w:fill="F2F2F2"/>
            <w:noWrap/>
            <w:hideMark/>
          </w:tcPr>
          <w:p w14:paraId="3B4459DA"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3,08%</w:t>
            </w:r>
          </w:p>
        </w:tc>
      </w:tr>
      <w:tr w:rsidR="00B81743" w:rsidRPr="00964F6D" w14:paraId="1C5CABA1"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noWrap/>
            <w:hideMark/>
          </w:tcPr>
          <w:p w14:paraId="20782B2B"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32 C</w:t>
            </w:r>
          </w:p>
        </w:tc>
        <w:tc>
          <w:tcPr>
            <w:tcW w:w="2835" w:type="dxa"/>
            <w:tcBorders>
              <w:top w:val="nil"/>
              <w:left w:val="nil"/>
              <w:bottom w:val="nil"/>
              <w:right w:val="nil"/>
            </w:tcBorders>
          </w:tcPr>
          <w:p w14:paraId="3D1CE2F8" w14:textId="757E6ABA" w:rsidR="00B81743" w:rsidRPr="00964F6D" w:rsidRDefault="00947D1F"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Complex f</w:t>
            </w:r>
            <w:r w:rsidR="00B81743" w:rsidRPr="00964F6D">
              <w:rPr>
                <w:rFonts w:asciiTheme="minorHAnsi" w:eastAsia="Times New Roman" w:hAnsiTheme="minorHAnsi" w:cstheme="minorHAnsi"/>
                <w:b/>
                <w:bCs/>
                <w:color w:val="auto"/>
                <w:lang w:eastAsia="fr-FR"/>
              </w:rPr>
              <w:t>racture</w:t>
            </w:r>
          </w:p>
        </w:tc>
        <w:tc>
          <w:tcPr>
            <w:tcW w:w="1209" w:type="dxa"/>
            <w:tcBorders>
              <w:top w:val="nil"/>
              <w:left w:val="nil"/>
              <w:bottom w:val="nil"/>
              <w:right w:val="nil"/>
            </w:tcBorders>
            <w:noWrap/>
            <w:hideMark/>
          </w:tcPr>
          <w:p w14:paraId="183C0F7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56</w:t>
            </w:r>
          </w:p>
        </w:tc>
        <w:tc>
          <w:tcPr>
            <w:tcW w:w="2227" w:type="dxa"/>
            <w:tcBorders>
              <w:top w:val="nil"/>
              <w:left w:val="nil"/>
              <w:bottom w:val="nil"/>
              <w:right w:val="nil"/>
            </w:tcBorders>
            <w:noWrap/>
            <w:hideMark/>
          </w:tcPr>
          <w:p w14:paraId="532A6475"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10,77%</w:t>
            </w:r>
          </w:p>
        </w:tc>
      </w:tr>
      <w:tr w:rsidR="00B81743" w:rsidRPr="00964F6D" w14:paraId="0BCA04DB"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noWrap/>
            <w:hideMark/>
          </w:tcPr>
          <w:p w14:paraId="2A311223"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C1</w:t>
            </w:r>
          </w:p>
        </w:tc>
        <w:tc>
          <w:tcPr>
            <w:tcW w:w="2835" w:type="dxa"/>
            <w:tcBorders>
              <w:top w:val="nil"/>
              <w:left w:val="nil"/>
              <w:bottom w:val="nil"/>
              <w:right w:val="nil"/>
            </w:tcBorders>
          </w:tcPr>
          <w:p w14:paraId="3791899B" w14:textId="7687F6FB"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Spiro</w:t>
            </w:r>
            <w:r w:rsidR="00BE3CB9" w:rsidRPr="00964F6D">
              <w:rPr>
                <w:rFonts w:asciiTheme="minorHAnsi" w:eastAsia="Times New Roman" w:hAnsiTheme="minorHAnsi" w:cstheme="minorHAnsi"/>
                <w:color w:val="auto"/>
                <w:lang w:eastAsia="fr-FR"/>
              </w:rPr>
              <w:t>i</w:t>
            </w:r>
            <w:r w:rsidRPr="00964F6D">
              <w:rPr>
                <w:rFonts w:asciiTheme="minorHAnsi" w:eastAsia="Times New Roman" w:hAnsiTheme="minorHAnsi" w:cstheme="minorHAnsi"/>
                <w:color w:val="auto"/>
                <w:lang w:eastAsia="fr-FR"/>
              </w:rPr>
              <w:t>d bifocal</w:t>
            </w:r>
          </w:p>
        </w:tc>
        <w:tc>
          <w:tcPr>
            <w:tcW w:w="1209" w:type="dxa"/>
            <w:tcBorders>
              <w:top w:val="nil"/>
              <w:left w:val="nil"/>
              <w:bottom w:val="nil"/>
              <w:right w:val="nil"/>
            </w:tcBorders>
            <w:noWrap/>
            <w:hideMark/>
          </w:tcPr>
          <w:p w14:paraId="6558BE52"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20</w:t>
            </w:r>
          </w:p>
        </w:tc>
        <w:tc>
          <w:tcPr>
            <w:tcW w:w="2227" w:type="dxa"/>
            <w:tcBorders>
              <w:top w:val="nil"/>
              <w:left w:val="nil"/>
              <w:bottom w:val="nil"/>
              <w:right w:val="nil"/>
            </w:tcBorders>
            <w:noWrap/>
            <w:hideMark/>
          </w:tcPr>
          <w:p w14:paraId="188A46C7"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3,85%</w:t>
            </w:r>
          </w:p>
        </w:tc>
      </w:tr>
      <w:tr w:rsidR="00B81743" w:rsidRPr="00964F6D" w14:paraId="4650E520"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nil"/>
              <w:right w:val="nil"/>
            </w:tcBorders>
            <w:noWrap/>
            <w:hideMark/>
          </w:tcPr>
          <w:p w14:paraId="602900C0"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lastRenderedPageBreak/>
              <w:t>C2</w:t>
            </w:r>
          </w:p>
        </w:tc>
        <w:tc>
          <w:tcPr>
            <w:tcW w:w="2835" w:type="dxa"/>
            <w:tcBorders>
              <w:top w:val="nil"/>
              <w:left w:val="nil"/>
              <w:bottom w:val="nil"/>
              <w:right w:val="nil"/>
            </w:tcBorders>
          </w:tcPr>
          <w:p w14:paraId="200EB2A0" w14:textId="48D29C0E"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Transverse bifocal</w:t>
            </w:r>
          </w:p>
        </w:tc>
        <w:tc>
          <w:tcPr>
            <w:tcW w:w="1209" w:type="dxa"/>
            <w:tcBorders>
              <w:top w:val="nil"/>
              <w:left w:val="nil"/>
              <w:bottom w:val="nil"/>
              <w:right w:val="nil"/>
            </w:tcBorders>
            <w:noWrap/>
            <w:hideMark/>
          </w:tcPr>
          <w:p w14:paraId="6EE754AD"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6</w:t>
            </w:r>
          </w:p>
        </w:tc>
        <w:tc>
          <w:tcPr>
            <w:tcW w:w="2227" w:type="dxa"/>
            <w:tcBorders>
              <w:top w:val="nil"/>
              <w:left w:val="nil"/>
              <w:bottom w:val="nil"/>
              <w:right w:val="nil"/>
            </w:tcBorders>
            <w:noWrap/>
            <w:hideMark/>
          </w:tcPr>
          <w:p w14:paraId="3BA865A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1,15%</w:t>
            </w:r>
          </w:p>
        </w:tc>
      </w:tr>
      <w:tr w:rsidR="00B81743" w:rsidRPr="00964F6D" w14:paraId="26F5CDF2" w14:textId="77777777" w:rsidTr="0071153C">
        <w:trPr>
          <w:trHeight w:val="302"/>
          <w:jc w:val="center"/>
        </w:trPr>
        <w:tc>
          <w:tcPr>
            <w:cnfStyle w:val="001000000000" w:firstRow="0" w:lastRow="0" w:firstColumn="1" w:lastColumn="0" w:oddVBand="0" w:evenVBand="0" w:oddHBand="0" w:evenHBand="0" w:firstRowFirstColumn="0" w:firstRowLastColumn="0" w:lastRowFirstColumn="0" w:lastRowLastColumn="0"/>
            <w:tcW w:w="2834" w:type="dxa"/>
            <w:tcBorders>
              <w:top w:val="nil"/>
              <w:left w:val="nil"/>
              <w:bottom w:val="single" w:sz="18" w:space="0" w:color="auto"/>
              <w:right w:val="nil"/>
            </w:tcBorders>
            <w:noWrap/>
            <w:hideMark/>
          </w:tcPr>
          <w:p w14:paraId="2872E993" w14:textId="77777777" w:rsidR="00B81743" w:rsidRPr="00964F6D" w:rsidRDefault="00B81743" w:rsidP="00B53E8B">
            <w:pPr>
              <w:jc w:val="both"/>
              <w:rPr>
                <w:rFonts w:asciiTheme="minorHAnsi" w:eastAsia="Times New Roman" w:hAnsiTheme="minorHAnsi" w:cstheme="minorHAnsi"/>
                <w:b w:val="0"/>
                <w:bCs w:val="0"/>
                <w:color w:val="auto"/>
                <w:lang w:eastAsia="fr-FR"/>
              </w:rPr>
            </w:pPr>
            <w:r w:rsidRPr="00964F6D">
              <w:rPr>
                <w:rFonts w:asciiTheme="minorHAnsi" w:eastAsia="Times New Roman" w:hAnsiTheme="minorHAnsi" w:cstheme="minorHAnsi"/>
                <w:color w:val="auto"/>
                <w:lang w:eastAsia="fr-FR"/>
              </w:rPr>
              <w:t>C3</w:t>
            </w:r>
          </w:p>
        </w:tc>
        <w:tc>
          <w:tcPr>
            <w:tcW w:w="2835" w:type="dxa"/>
            <w:tcBorders>
              <w:top w:val="nil"/>
              <w:left w:val="nil"/>
              <w:bottom w:val="single" w:sz="18" w:space="0" w:color="auto"/>
              <w:right w:val="nil"/>
            </w:tcBorders>
          </w:tcPr>
          <w:p w14:paraId="5B7763EC" w14:textId="46058CE3"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Irr</w:t>
            </w:r>
            <w:r w:rsidR="00BE3CB9" w:rsidRPr="00964F6D">
              <w:rPr>
                <w:rFonts w:asciiTheme="minorHAnsi" w:eastAsia="Times New Roman" w:hAnsiTheme="minorHAnsi" w:cstheme="minorHAnsi"/>
                <w:color w:val="auto"/>
                <w:lang w:eastAsia="fr-FR"/>
              </w:rPr>
              <w:t>e</w:t>
            </w:r>
            <w:r w:rsidRPr="00964F6D">
              <w:rPr>
                <w:rFonts w:asciiTheme="minorHAnsi" w:eastAsia="Times New Roman" w:hAnsiTheme="minorHAnsi" w:cstheme="minorHAnsi"/>
                <w:color w:val="auto"/>
                <w:lang w:eastAsia="fr-FR"/>
              </w:rPr>
              <w:t>gul</w:t>
            </w:r>
            <w:r w:rsidR="00BE3CB9" w:rsidRPr="00964F6D">
              <w:rPr>
                <w:rFonts w:asciiTheme="minorHAnsi" w:eastAsia="Times New Roman" w:hAnsiTheme="minorHAnsi" w:cstheme="minorHAnsi"/>
                <w:color w:val="auto"/>
                <w:lang w:eastAsia="fr-FR"/>
              </w:rPr>
              <w:t>ar</w:t>
            </w:r>
          </w:p>
        </w:tc>
        <w:tc>
          <w:tcPr>
            <w:tcW w:w="1209" w:type="dxa"/>
            <w:tcBorders>
              <w:top w:val="nil"/>
              <w:left w:val="nil"/>
              <w:bottom w:val="single" w:sz="18" w:space="0" w:color="auto"/>
              <w:right w:val="nil"/>
            </w:tcBorders>
            <w:noWrap/>
            <w:hideMark/>
          </w:tcPr>
          <w:p w14:paraId="0E41456E"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30</w:t>
            </w:r>
          </w:p>
        </w:tc>
        <w:tc>
          <w:tcPr>
            <w:tcW w:w="2227" w:type="dxa"/>
            <w:tcBorders>
              <w:top w:val="nil"/>
              <w:left w:val="nil"/>
              <w:bottom w:val="single" w:sz="18" w:space="0" w:color="auto"/>
              <w:right w:val="nil"/>
            </w:tcBorders>
            <w:noWrap/>
            <w:hideMark/>
          </w:tcPr>
          <w:p w14:paraId="791147A0"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5,77%</w:t>
            </w:r>
          </w:p>
        </w:tc>
      </w:tr>
    </w:tbl>
    <w:p w14:paraId="00A854A2"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28D80544" w14:textId="2ECC0BE0"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 xml:space="preserve">Biological </w:t>
      </w:r>
      <w:r w:rsidR="00BE3CB9" w:rsidRPr="00964F6D">
        <w:rPr>
          <w:rFonts w:asciiTheme="minorHAnsi" w:hAnsiTheme="minorHAnsi" w:cstheme="minorHAnsi"/>
          <w:b/>
          <w:bCs/>
          <w:sz w:val="22"/>
          <w:szCs w:val="22"/>
        </w:rPr>
        <w:t>findings</w:t>
      </w:r>
    </w:p>
    <w:p w14:paraId="024EDCBF"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 description of the patients' biological assessment prior to treatment shows that 400 (76.92%) patients had anemia, including 144 (27.69%) with mild anemia, 212 (40.77%) with moderate anemia, and 44 (8.46%) with severe preoperative anemia; 178 (34.23%) had leukopenia; 94 (18.08%) had hyperleukocytosis; 246 (47.31%) had thrombocytopenia; 198 (38.08%) had hyperglycemia; 37 (7.12%) had elevated blood urea; 124 (23.85%) had increased creatinine levels; 138 (26.54%) had low prothrombin times; 216 (41.54%) had prolonged kaolin cephalin times; and 57 (10.96%) had positive serology for human immunodeficiency virus.</w:t>
      </w:r>
    </w:p>
    <w:p w14:paraId="2677331A"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6C71B7B8" w14:textId="77777777" w:rsidR="00037B99" w:rsidRPr="00037B99" w:rsidRDefault="00037B99" w:rsidP="00B53E8B">
      <w:pPr>
        <w:pStyle w:val="NormalWeb"/>
        <w:spacing w:before="0" w:beforeAutospacing="0" w:after="0" w:afterAutospacing="0"/>
        <w:jc w:val="both"/>
        <w:rPr>
          <w:rFonts w:asciiTheme="minorHAnsi" w:hAnsiTheme="minorHAnsi" w:cstheme="minorHAnsi"/>
          <w:b/>
          <w:bCs/>
          <w:sz w:val="22"/>
          <w:szCs w:val="22"/>
          <w:highlight w:val="yellow"/>
        </w:rPr>
      </w:pPr>
      <w:r w:rsidRPr="00037B99">
        <w:rPr>
          <w:rFonts w:asciiTheme="minorHAnsi" w:hAnsiTheme="minorHAnsi" w:cstheme="minorHAnsi"/>
          <w:b/>
          <w:bCs/>
          <w:sz w:val="22"/>
          <w:szCs w:val="22"/>
          <w:highlight w:val="yellow"/>
        </w:rPr>
        <w:t>Associated injuries</w:t>
      </w:r>
    </w:p>
    <w:p w14:paraId="52ABE865" w14:textId="1C354C9A" w:rsidR="00B81743" w:rsidRPr="00037B99" w:rsidRDefault="00B81743" w:rsidP="00B53E8B">
      <w:pPr>
        <w:pStyle w:val="NormalWeb"/>
        <w:spacing w:before="0" w:beforeAutospacing="0" w:after="0" w:afterAutospacing="0"/>
        <w:jc w:val="both"/>
        <w:rPr>
          <w:rFonts w:asciiTheme="minorHAnsi" w:hAnsiTheme="minorHAnsi" w:cstheme="minorHAnsi"/>
          <w:sz w:val="22"/>
          <w:szCs w:val="22"/>
          <w:highlight w:val="yellow"/>
        </w:rPr>
      </w:pPr>
      <w:r w:rsidRPr="00037B99">
        <w:rPr>
          <w:rFonts w:asciiTheme="minorHAnsi" w:hAnsiTheme="minorHAnsi" w:cstheme="minorHAnsi"/>
          <w:sz w:val="22"/>
          <w:szCs w:val="22"/>
          <w:highlight w:val="yellow"/>
        </w:rPr>
        <w:t xml:space="preserve">The diagnosis of associated injuries </w:t>
      </w:r>
      <w:r w:rsidR="00037B99" w:rsidRPr="00037B99">
        <w:rPr>
          <w:rFonts w:asciiTheme="minorHAnsi" w:hAnsiTheme="minorHAnsi" w:cstheme="minorHAnsi"/>
          <w:sz w:val="22"/>
          <w:szCs w:val="22"/>
          <w:highlight w:val="yellow"/>
        </w:rPr>
        <w:t xml:space="preserve">(after clinical and paraclinical investigations) </w:t>
      </w:r>
      <w:r w:rsidRPr="00037B99">
        <w:rPr>
          <w:rFonts w:asciiTheme="minorHAnsi" w:hAnsiTheme="minorHAnsi" w:cstheme="minorHAnsi"/>
          <w:sz w:val="22"/>
          <w:szCs w:val="22"/>
          <w:highlight w:val="yellow"/>
        </w:rPr>
        <w:t xml:space="preserve">is shown in the table </w:t>
      </w:r>
      <w:r w:rsidR="00E54095">
        <w:rPr>
          <w:rFonts w:asciiTheme="minorHAnsi" w:hAnsiTheme="minorHAnsi" w:cstheme="minorHAnsi"/>
          <w:sz w:val="22"/>
          <w:szCs w:val="22"/>
          <w:highlight w:val="yellow"/>
        </w:rPr>
        <w:t>2</w:t>
      </w:r>
      <w:r w:rsidRPr="00037B99">
        <w:rPr>
          <w:rFonts w:asciiTheme="minorHAnsi" w:hAnsiTheme="minorHAnsi" w:cstheme="minorHAnsi"/>
          <w:sz w:val="22"/>
          <w:szCs w:val="22"/>
          <w:highlight w:val="yellow"/>
        </w:rPr>
        <w:t>.</w:t>
      </w:r>
    </w:p>
    <w:p w14:paraId="27FF5996" w14:textId="6C7DD225"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037B99">
        <w:rPr>
          <w:rFonts w:asciiTheme="minorHAnsi" w:hAnsiTheme="minorHAnsi" w:cstheme="minorHAnsi"/>
          <w:b/>
          <w:bCs/>
          <w:sz w:val="22"/>
          <w:szCs w:val="22"/>
          <w:highlight w:val="yellow"/>
        </w:rPr>
        <w:t xml:space="preserve">Table </w:t>
      </w:r>
      <w:proofErr w:type="gramStart"/>
      <w:r w:rsidR="00E54095">
        <w:rPr>
          <w:rFonts w:asciiTheme="minorHAnsi" w:hAnsiTheme="minorHAnsi" w:cstheme="minorHAnsi"/>
          <w:b/>
          <w:bCs/>
          <w:sz w:val="22"/>
          <w:szCs w:val="22"/>
          <w:highlight w:val="yellow"/>
        </w:rPr>
        <w:t>2</w:t>
      </w:r>
      <w:r w:rsidRPr="00037B99">
        <w:rPr>
          <w:rFonts w:asciiTheme="minorHAnsi" w:hAnsiTheme="minorHAnsi" w:cstheme="minorHAnsi"/>
          <w:b/>
          <w:bCs/>
          <w:sz w:val="22"/>
          <w:szCs w:val="22"/>
          <w:highlight w:val="yellow"/>
        </w:rPr>
        <w:t>:</w:t>
      </w:r>
      <w:proofErr w:type="gramEnd"/>
      <w:r w:rsidRPr="00037B99">
        <w:rPr>
          <w:rFonts w:asciiTheme="minorHAnsi" w:hAnsiTheme="minorHAnsi" w:cstheme="minorHAnsi"/>
          <w:b/>
          <w:bCs/>
          <w:sz w:val="22"/>
          <w:szCs w:val="22"/>
          <w:highlight w:val="yellow"/>
        </w:rPr>
        <w:t xml:space="preserve"> Associated injuries</w:t>
      </w:r>
    </w:p>
    <w:p w14:paraId="0A1CA2BE"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tbl>
      <w:tblPr>
        <w:tblStyle w:val="ListTable6Colorful12"/>
        <w:tblW w:w="9371" w:type="dxa"/>
        <w:jc w:val="center"/>
        <w:tblLook w:val="06A0" w:firstRow="1" w:lastRow="0" w:firstColumn="1" w:lastColumn="0" w:noHBand="1" w:noVBand="1"/>
      </w:tblPr>
      <w:tblGrid>
        <w:gridCol w:w="5545"/>
        <w:gridCol w:w="1346"/>
        <w:gridCol w:w="2480"/>
      </w:tblGrid>
      <w:tr w:rsidR="00B81743" w:rsidRPr="00964F6D" w14:paraId="1C6A59D0" w14:textId="77777777" w:rsidTr="0071153C">
        <w:trPr>
          <w:cnfStyle w:val="100000000000" w:firstRow="1" w:lastRow="0" w:firstColumn="0" w:lastColumn="0" w:oddVBand="0" w:evenVBand="0" w:oddHBand="0"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single" w:sz="18" w:space="0" w:color="auto"/>
              <w:left w:val="nil"/>
              <w:bottom w:val="single" w:sz="18" w:space="0" w:color="auto"/>
              <w:right w:val="nil"/>
            </w:tcBorders>
            <w:noWrap/>
            <w:hideMark/>
          </w:tcPr>
          <w:p w14:paraId="62FC1BE8" w14:textId="77777777" w:rsidR="00B81743" w:rsidRPr="00964F6D" w:rsidRDefault="00B81743"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Variables</w:t>
            </w:r>
          </w:p>
        </w:tc>
        <w:tc>
          <w:tcPr>
            <w:tcW w:w="1346" w:type="dxa"/>
            <w:tcBorders>
              <w:top w:val="single" w:sz="18" w:space="0" w:color="auto"/>
              <w:left w:val="nil"/>
              <w:bottom w:val="single" w:sz="18" w:space="0" w:color="auto"/>
              <w:right w:val="nil"/>
            </w:tcBorders>
            <w:noWrap/>
            <w:hideMark/>
          </w:tcPr>
          <w:p w14:paraId="7CC78000" w14:textId="7E2FBDFE" w:rsidR="00B81743" w:rsidRPr="00964F6D" w:rsidRDefault="00BE3CB9"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Numbers</w:t>
            </w:r>
          </w:p>
        </w:tc>
        <w:tc>
          <w:tcPr>
            <w:tcW w:w="2480" w:type="dxa"/>
            <w:tcBorders>
              <w:top w:val="single" w:sz="18" w:space="0" w:color="auto"/>
              <w:left w:val="nil"/>
              <w:bottom w:val="single" w:sz="18" w:space="0" w:color="auto"/>
              <w:right w:val="nil"/>
            </w:tcBorders>
            <w:noWrap/>
            <w:hideMark/>
          </w:tcPr>
          <w:p w14:paraId="0C866F59" w14:textId="77777777" w:rsidR="00B81743" w:rsidRPr="00964F6D" w:rsidRDefault="00B81743"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Proportions (%)</w:t>
            </w:r>
          </w:p>
        </w:tc>
      </w:tr>
      <w:tr w:rsidR="00B81743" w:rsidRPr="00964F6D" w14:paraId="7EBFB5EE"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3704480C" w14:textId="4D0C9919"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Brain traumatic injury</w:t>
            </w:r>
          </w:p>
        </w:tc>
        <w:tc>
          <w:tcPr>
            <w:tcW w:w="1346" w:type="dxa"/>
            <w:tcBorders>
              <w:top w:val="nil"/>
              <w:left w:val="nil"/>
              <w:bottom w:val="nil"/>
              <w:right w:val="nil"/>
            </w:tcBorders>
            <w:noWrap/>
            <w:hideMark/>
          </w:tcPr>
          <w:p w14:paraId="3A4CB2C6"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50</w:t>
            </w:r>
          </w:p>
        </w:tc>
        <w:tc>
          <w:tcPr>
            <w:tcW w:w="2480" w:type="dxa"/>
            <w:tcBorders>
              <w:top w:val="nil"/>
              <w:left w:val="nil"/>
              <w:bottom w:val="nil"/>
              <w:right w:val="nil"/>
            </w:tcBorders>
            <w:noWrap/>
            <w:vAlign w:val="bottom"/>
            <w:hideMark/>
          </w:tcPr>
          <w:p w14:paraId="2B733B8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9,62</w:t>
            </w:r>
          </w:p>
        </w:tc>
      </w:tr>
      <w:tr w:rsidR="00B81743" w:rsidRPr="00964F6D" w14:paraId="6E3DB679"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1BB37063" w14:textId="56C2EC97"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Other upper limb fractures</w:t>
            </w:r>
          </w:p>
        </w:tc>
        <w:tc>
          <w:tcPr>
            <w:tcW w:w="1346" w:type="dxa"/>
            <w:tcBorders>
              <w:top w:val="nil"/>
              <w:left w:val="nil"/>
              <w:bottom w:val="nil"/>
              <w:right w:val="nil"/>
            </w:tcBorders>
            <w:noWrap/>
            <w:hideMark/>
          </w:tcPr>
          <w:p w14:paraId="4DEB426E"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12</w:t>
            </w:r>
          </w:p>
        </w:tc>
        <w:tc>
          <w:tcPr>
            <w:tcW w:w="2480" w:type="dxa"/>
            <w:tcBorders>
              <w:top w:val="nil"/>
              <w:left w:val="nil"/>
              <w:bottom w:val="nil"/>
              <w:right w:val="nil"/>
            </w:tcBorders>
            <w:noWrap/>
            <w:vAlign w:val="bottom"/>
            <w:hideMark/>
          </w:tcPr>
          <w:p w14:paraId="55606634"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2,31</w:t>
            </w:r>
          </w:p>
        </w:tc>
      </w:tr>
      <w:tr w:rsidR="00B81743" w:rsidRPr="00964F6D" w14:paraId="7BE686F6"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tcPr>
          <w:p w14:paraId="508E3B23" w14:textId="505E09AF"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T</w:t>
            </w:r>
            <w:r w:rsidR="00B81743" w:rsidRPr="00964F6D">
              <w:rPr>
                <w:rFonts w:asciiTheme="minorHAnsi" w:eastAsia="Times New Roman" w:hAnsiTheme="minorHAnsi" w:cstheme="minorHAnsi"/>
                <w:color w:val="auto"/>
                <w:lang w:eastAsia="fr-FR"/>
              </w:rPr>
              <w:t>horaci</w:t>
            </w:r>
            <w:r w:rsidRPr="00964F6D">
              <w:rPr>
                <w:rFonts w:asciiTheme="minorHAnsi" w:eastAsia="Times New Roman" w:hAnsiTheme="minorHAnsi" w:cstheme="minorHAnsi"/>
                <w:color w:val="auto"/>
                <w:lang w:eastAsia="fr-FR"/>
              </w:rPr>
              <w:t>c contusion</w:t>
            </w:r>
          </w:p>
        </w:tc>
        <w:tc>
          <w:tcPr>
            <w:tcW w:w="1346" w:type="dxa"/>
            <w:tcBorders>
              <w:top w:val="nil"/>
              <w:left w:val="nil"/>
              <w:bottom w:val="nil"/>
              <w:right w:val="nil"/>
            </w:tcBorders>
            <w:noWrap/>
          </w:tcPr>
          <w:p w14:paraId="7B7F9F3A"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6</w:t>
            </w:r>
          </w:p>
        </w:tc>
        <w:tc>
          <w:tcPr>
            <w:tcW w:w="2480" w:type="dxa"/>
            <w:tcBorders>
              <w:top w:val="nil"/>
              <w:left w:val="nil"/>
              <w:bottom w:val="nil"/>
              <w:right w:val="nil"/>
            </w:tcBorders>
            <w:noWrap/>
            <w:vAlign w:val="bottom"/>
          </w:tcPr>
          <w:p w14:paraId="6A0C7B63"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964F6D">
              <w:rPr>
                <w:rFonts w:asciiTheme="minorHAnsi" w:hAnsiTheme="minorHAnsi" w:cstheme="minorHAnsi"/>
                <w:color w:val="auto"/>
              </w:rPr>
              <w:t>1,15</w:t>
            </w:r>
          </w:p>
        </w:tc>
      </w:tr>
      <w:tr w:rsidR="00B81743" w:rsidRPr="00964F6D" w14:paraId="459C5871"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55D49130" w14:textId="7B1E6244"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Abodminal c</w:t>
            </w:r>
            <w:r w:rsidR="00B81743" w:rsidRPr="00964F6D">
              <w:rPr>
                <w:rFonts w:asciiTheme="minorHAnsi" w:eastAsia="Times New Roman" w:hAnsiTheme="minorHAnsi" w:cstheme="minorHAnsi"/>
                <w:color w:val="auto"/>
                <w:lang w:eastAsia="fr-FR"/>
              </w:rPr>
              <w:t>ontusion</w:t>
            </w:r>
          </w:p>
        </w:tc>
        <w:tc>
          <w:tcPr>
            <w:tcW w:w="1346" w:type="dxa"/>
            <w:tcBorders>
              <w:top w:val="nil"/>
              <w:left w:val="nil"/>
              <w:bottom w:val="nil"/>
              <w:right w:val="nil"/>
            </w:tcBorders>
            <w:noWrap/>
            <w:hideMark/>
          </w:tcPr>
          <w:p w14:paraId="56D2C82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4</w:t>
            </w:r>
          </w:p>
        </w:tc>
        <w:tc>
          <w:tcPr>
            <w:tcW w:w="2480" w:type="dxa"/>
            <w:tcBorders>
              <w:top w:val="nil"/>
              <w:left w:val="nil"/>
              <w:bottom w:val="nil"/>
              <w:right w:val="nil"/>
            </w:tcBorders>
            <w:noWrap/>
            <w:vAlign w:val="bottom"/>
            <w:hideMark/>
          </w:tcPr>
          <w:p w14:paraId="6F55B20C"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0,77</w:t>
            </w:r>
          </w:p>
        </w:tc>
      </w:tr>
      <w:tr w:rsidR="00B81743" w:rsidRPr="00964F6D" w14:paraId="1D7F2821"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tcPr>
          <w:p w14:paraId="19F9B80D" w14:textId="77777777" w:rsidR="00B81743" w:rsidRPr="00964F6D" w:rsidRDefault="00B81743" w:rsidP="00B53E8B">
            <w:pPr>
              <w:jc w:val="both"/>
              <w:rPr>
                <w:rFonts w:asciiTheme="minorHAnsi" w:eastAsia="Times New Roman" w:hAnsiTheme="minorHAnsi" w:cstheme="minorHAnsi"/>
                <w:color w:val="auto"/>
                <w:lang w:eastAsia="fr-FR"/>
              </w:rPr>
            </w:pPr>
          </w:p>
        </w:tc>
        <w:tc>
          <w:tcPr>
            <w:tcW w:w="1346" w:type="dxa"/>
            <w:tcBorders>
              <w:top w:val="nil"/>
              <w:left w:val="nil"/>
              <w:bottom w:val="nil"/>
              <w:right w:val="nil"/>
            </w:tcBorders>
            <w:noWrap/>
          </w:tcPr>
          <w:p w14:paraId="1C168BC3"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p>
        </w:tc>
        <w:tc>
          <w:tcPr>
            <w:tcW w:w="2480" w:type="dxa"/>
            <w:tcBorders>
              <w:top w:val="nil"/>
              <w:left w:val="nil"/>
              <w:bottom w:val="nil"/>
              <w:right w:val="nil"/>
            </w:tcBorders>
            <w:noWrap/>
            <w:vAlign w:val="bottom"/>
          </w:tcPr>
          <w:p w14:paraId="27FC84CB"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p>
        </w:tc>
      </w:tr>
      <w:tr w:rsidR="00B81743" w:rsidRPr="00964F6D" w14:paraId="6AB9A741"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tcPr>
          <w:p w14:paraId="32333F4C" w14:textId="77777777" w:rsidR="00B81743" w:rsidRPr="00964F6D" w:rsidRDefault="00B81743" w:rsidP="00B53E8B">
            <w:pPr>
              <w:jc w:val="both"/>
              <w:rPr>
                <w:rFonts w:asciiTheme="minorHAnsi" w:eastAsia="Times New Roman" w:hAnsiTheme="minorHAnsi" w:cstheme="minorHAnsi"/>
                <w:color w:val="auto"/>
                <w:lang w:eastAsia="fr-FR"/>
              </w:rPr>
            </w:pPr>
          </w:p>
        </w:tc>
        <w:tc>
          <w:tcPr>
            <w:tcW w:w="1346" w:type="dxa"/>
            <w:tcBorders>
              <w:top w:val="nil"/>
              <w:left w:val="nil"/>
              <w:bottom w:val="nil"/>
              <w:right w:val="nil"/>
            </w:tcBorders>
            <w:noWrap/>
          </w:tcPr>
          <w:p w14:paraId="7310211F"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p>
        </w:tc>
        <w:tc>
          <w:tcPr>
            <w:tcW w:w="2480" w:type="dxa"/>
            <w:tcBorders>
              <w:top w:val="nil"/>
              <w:left w:val="nil"/>
              <w:bottom w:val="nil"/>
              <w:right w:val="nil"/>
            </w:tcBorders>
            <w:noWrap/>
            <w:vAlign w:val="bottom"/>
          </w:tcPr>
          <w:p w14:paraId="4CD38C4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p>
        </w:tc>
      </w:tr>
      <w:tr w:rsidR="00B81743" w:rsidRPr="00964F6D" w14:paraId="5CE11C1B"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6F52678A" w14:textId="444399A3"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Pelvic rim injury</w:t>
            </w:r>
          </w:p>
        </w:tc>
        <w:tc>
          <w:tcPr>
            <w:tcW w:w="1346" w:type="dxa"/>
            <w:tcBorders>
              <w:top w:val="nil"/>
              <w:left w:val="nil"/>
              <w:bottom w:val="nil"/>
              <w:right w:val="nil"/>
            </w:tcBorders>
            <w:noWrap/>
            <w:hideMark/>
          </w:tcPr>
          <w:p w14:paraId="475B0DCC"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10</w:t>
            </w:r>
          </w:p>
        </w:tc>
        <w:tc>
          <w:tcPr>
            <w:tcW w:w="2480" w:type="dxa"/>
            <w:tcBorders>
              <w:top w:val="nil"/>
              <w:left w:val="nil"/>
              <w:bottom w:val="nil"/>
              <w:right w:val="nil"/>
            </w:tcBorders>
            <w:noWrap/>
            <w:vAlign w:val="bottom"/>
            <w:hideMark/>
          </w:tcPr>
          <w:p w14:paraId="0B2D1DE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1,92</w:t>
            </w:r>
          </w:p>
        </w:tc>
      </w:tr>
      <w:tr w:rsidR="00B81743" w:rsidRPr="00964F6D" w14:paraId="17E70CD7"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430014F2" w14:textId="1B84A1A9"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Other femoral fractures</w:t>
            </w:r>
          </w:p>
        </w:tc>
        <w:tc>
          <w:tcPr>
            <w:tcW w:w="1346" w:type="dxa"/>
            <w:tcBorders>
              <w:top w:val="nil"/>
              <w:left w:val="nil"/>
              <w:bottom w:val="nil"/>
              <w:right w:val="nil"/>
            </w:tcBorders>
            <w:noWrap/>
            <w:hideMark/>
          </w:tcPr>
          <w:p w14:paraId="7530594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2</w:t>
            </w:r>
          </w:p>
        </w:tc>
        <w:tc>
          <w:tcPr>
            <w:tcW w:w="2480" w:type="dxa"/>
            <w:tcBorders>
              <w:top w:val="nil"/>
              <w:left w:val="nil"/>
              <w:bottom w:val="nil"/>
              <w:right w:val="nil"/>
            </w:tcBorders>
            <w:noWrap/>
            <w:vAlign w:val="bottom"/>
            <w:hideMark/>
          </w:tcPr>
          <w:p w14:paraId="5ADE2966"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0,38</w:t>
            </w:r>
          </w:p>
        </w:tc>
      </w:tr>
      <w:tr w:rsidR="00B81743" w:rsidRPr="00964F6D" w14:paraId="34B66A29"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15E46555" w14:textId="1E7DC955"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Facial trauma</w:t>
            </w:r>
          </w:p>
        </w:tc>
        <w:tc>
          <w:tcPr>
            <w:tcW w:w="1346" w:type="dxa"/>
            <w:tcBorders>
              <w:top w:val="nil"/>
              <w:left w:val="nil"/>
              <w:bottom w:val="nil"/>
              <w:right w:val="nil"/>
            </w:tcBorders>
            <w:noWrap/>
            <w:hideMark/>
          </w:tcPr>
          <w:p w14:paraId="76101D75"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2</w:t>
            </w:r>
          </w:p>
        </w:tc>
        <w:tc>
          <w:tcPr>
            <w:tcW w:w="2480" w:type="dxa"/>
            <w:tcBorders>
              <w:top w:val="nil"/>
              <w:left w:val="nil"/>
              <w:bottom w:val="nil"/>
              <w:right w:val="nil"/>
            </w:tcBorders>
            <w:noWrap/>
            <w:vAlign w:val="bottom"/>
            <w:hideMark/>
          </w:tcPr>
          <w:p w14:paraId="6346F874"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0,38</w:t>
            </w:r>
          </w:p>
        </w:tc>
      </w:tr>
      <w:tr w:rsidR="00B81743" w:rsidRPr="00964F6D" w14:paraId="33D1E0D7"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55136F93" w14:textId="7CB74934"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Knee injury</w:t>
            </w:r>
          </w:p>
        </w:tc>
        <w:tc>
          <w:tcPr>
            <w:tcW w:w="1346" w:type="dxa"/>
            <w:tcBorders>
              <w:top w:val="nil"/>
              <w:left w:val="nil"/>
              <w:bottom w:val="nil"/>
              <w:right w:val="nil"/>
            </w:tcBorders>
            <w:noWrap/>
            <w:hideMark/>
          </w:tcPr>
          <w:p w14:paraId="65AC3B95"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18</w:t>
            </w:r>
          </w:p>
        </w:tc>
        <w:tc>
          <w:tcPr>
            <w:tcW w:w="2480" w:type="dxa"/>
            <w:tcBorders>
              <w:top w:val="nil"/>
              <w:left w:val="nil"/>
              <w:bottom w:val="nil"/>
              <w:right w:val="nil"/>
            </w:tcBorders>
            <w:noWrap/>
            <w:vAlign w:val="bottom"/>
            <w:hideMark/>
          </w:tcPr>
          <w:p w14:paraId="1B76B386"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3,46</w:t>
            </w:r>
          </w:p>
        </w:tc>
      </w:tr>
      <w:tr w:rsidR="00B81743" w:rsidRPr="00964F6D" w14:paraId="2E3E1170"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nil"/>
              <w:right w:val="nil"/>
            </w:tcBorders>
            <w:noWrap/>
            <w:hideMark/>
          </w:tcPr>
          <w:p w14:paraId="15AB64AF" w14:textId="6FA0BBA0"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Leg fracture</w:t>
            </w:r>
          </w:p>
        </w:tc>
        <w:tc>
          <w:tcPr>
            <w:tcW w:w="1346" w:type="dxa"/>
            <w:tcBorders>
              <w:top w:val="nil"/>
              <w:left w:val="nil"/>
              <w:bottom w:val="nil"/>
              <w:right w:val="nil"/>
            </w:tcBorders>
            <w:noWrap/>
            <w:hideMark/>
          </w:tcPr>
          <w:p w14:paraId="6B425979"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58</w:t>
            </w:r>
          </w:p>
        </w:tc>
        <w:tc>
          <w:tcPr>
            <w:tcW w:w="2480" w:type="dxa"/>
            <w:tcBorders>
              <w:top w:val="nil"/>
              <w:left w:val="nil"/>
              <w:bottom w:val="nil"/>
              <w:right w:val="nil"/>
            </w:tcBorders>
            <w:noWrap/>
            <w:vAlign w:val="bottom"/>
            <w:hideMark/>
          </w:tcPr>
          <w:p w14:paraId="6B6F773B"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11,15</w:t>
            </w:r>
          </w:p>
        </w:tc>
      </w:tr>
      <w:tr w:rsidR="00B81743" w:rsidRPr="00964F6D" w14:paraId="619FF512" w14:textId="77777777" w:rsidTr="0071153C">
        <w:trPr>
          <w:trHeight w:val="304"/>
          <w:jc w:val="center"/>
        </w:trPr>
        <w:tc>
          <w:tcPr>
            <w:cnfStyle w:val="001000000000" w:firstRow="0" w:lastRow="0" w:firstColumn="1" w:lastColumn="0" w:oddVBand="0" w:evenVBand="0" w:oddHBand="0" w:evenHBand="0" w:firstRowFirstColumn="0" w:firstRowLastColumn="0" w:lastRowFirstColumn="0" w:lastRowLastColumn="0"/>
            <w:tcW w:w="5545" w:type="dxa"/>
            <w:tcBorders>
              <w:top w:val="nil"/>
              <w:left w:val="nil"/>
              <w:bottom w:val="single" w:sz="18" w:space="0" w:color="auto"/>
              <w:right w:val="nil"/>
            </w:tcBorders>
            <w:noWrap/>
            <w:hideMark/>
          </w:tcPr>
          <w:p w14:paraId="1E2FCB09" w14:textId="1B53FA72" w:rsidR="00B81743" w:rsidRPr="00964F6D" w:rsidRDefault="00BE3CB9"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None</w:t>
            </w:r>
          </w:p>
        </w:tc>
        <w:tc>
          <w:tcPr>
            <w:tcW w:w="1346" w:type="dxa"/>
            <w:tcBorders>
              <w:top w:val="nil"/>
              <w:left w:val="nil"/>
              <w:bottom w:val="single" w:sz="18" w:space="0" w:color="auto"/>
              <w:right w:val="nil"/>
            </w:tcBorders>
            <w:noWrap/>
            <w:hideMark/>
          </w:tcPr>
          <w:p w14:paraId="2A8CC77A"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350</w:t>
            </w:r>
          </w:p>
        </w:tc>
        <w:tc>
          <w:tcPr>
            <w:tcW w:w="2480" w:type="dxa"/>
            <w:tcBorders>
              <w:top w:val="nil"/>
              <w:left w:val="nil"/>
              <w:bottom w:val="single" w:sz="18" w:space="0" w:color="auto"/>
              <w:right w:val="nil"/>
            </w:tcBorders>
            <w:noWrap/>
            <w:vAlign w:val="bottom"/>
            <w:hideMark/>
          </w:tcPr>
          <w:p w14:paraId="75CD576D" w14:textId="77777777" w:rsidR="00B81743" w:rsidRPr="00964F6D" w:rsidRDefault="00B81743"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hAnsiTheme="minorHAnsi" w:cstheme="minorHAnsi"/>
                <w:color w:val="auto"/>
              </w:rPr>
              <w:t>67,31</w:t>
            </w:r>
          </w:p>
        </w:tc>
      </w:tr>
    </w:tbl>
    <w:p w14:paraId="6C7BEDBB"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74D22587" w14:textId="77777777" w:rsidR="00B81743" w:rsidRPr="00964F6D" w:rsidRDefault="00B81743"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Therapeutic profile</w:t>
      </w:r>
    </w:p>
    <w:p w14:paraId="3CF6911F"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 waiting time for osteosynthesis was 7 to 14 days for 495 (95.19%) participants. The waiting time was less than one week for 18 cases (3.46%) and more than two weeks for six cases (1.15%). </w:t>
      </w:r>
    </w:p>
    <w:p w14:paraId="5A2A2D73" w14:textId="5192BA0A"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Orthopedic treatment was performed in 174 cases (34.46%</w:t>
      </w:r>
      <w:proofErr w:type="gramStart"/>
      <w:r w:rsidRPr="00964F6D">
        <w:rPr>
          <w:rFonts w:asciiTheme="minorHAnsi" w:hAnsiTheme="minorHAnsi" w:cstheme="minorHAnsi"/>
          <w:sz w:val="22"/>
          <w:szCs w:val="22"/>
        </w:rPr>
        <w:t>):</w:t>
      </w:r>
      <w:proofErr w:type="gramEnd"/>
      <w:r w:rsidRPr="00964F6D">
        <w:rPr>
          <w:rFonts w:asciiTheme="minorHAnsi" w:hAnsiTheme="minorHAnsi" w:cstheme="minorHAnsi"/>
          <w:sz w:val="22"/>
          <w:szCs w:val="22"/>
        </w:rPr>
        <w:t xml:space="preserve"> traction in 64 cases (12.31%), transosseous traction in 110 cases (21.15%)</w:t>
      </w:r>
      <w:r w:rsidR="000B74BB" w:rsidRPr="00964F6D">
        <w:rPr>
          <w:rFonts w:asciiTheme="minorHAnsi" w:hAnsiTheme="minorHAnsi" w:cstheme="minorHAnsi"/>
          <w:sz w:val="22"/>
          <w:szCs w:val="22"/>
        </w:rPr>
        <w:t xml:space="preserve"> and posterior long leg</w:t>
      </w:r>
      <w:r w:rsidRPr="00964F6D">
        <w:rPr>
          <w:rFonts w:asciiTheme="minorHAnsi" w:hAnsiTheme="minorHAnsi" w:cstheme="minorHAnsi"/>
          <w:sz w:val="22"/>
          <w:szCs w:val="22"/>
        </w:rPr>
        <w:t xml:space="preserve"> plaster cast in 68 cases (13.08%).</w:t>
      </w:r>
    </w:p>
    <w:p w14:paraId="1F1E70CB"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Spinal anesthesia was used in 518 cases (99.62%) and there were 2 (0.38%) cases of general anesthesia.</w:t>
      </w:r>
    </w:p>
    <w:p w14:paraId="6DD9D151"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58400BC2"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With regard to osteosynthesis, closed reduction was performed in 390 (75%) cases and open reduction in 130 (25%) cases. </w:t>
      </w:r>
    </w:p>
    <w:p w14:paraId="2C0FEAB8" w14:textId="68928F1D"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Among the 390 (75%) closed</w:t>
      </w:r>
      <w:r w:rsidR="00426B13" w:rsidRPr="00964F6D">
        <w:rPr>
          <w:rFonts w:asciiTheme="minorHAnsi" w:hAnsiTheme="minorHAnsi" w:cstheme="minorHAnsi"/>
          <w:sz w:val="22"/>
          <w:szCs w:val="22"/>
        </w:rPr>
        <w:t xml:space="preserve"> reduction</w:t>
      </w:r>
      <w:r w:rsidRPr="00964F6D">
        <w:rPr>
          <w:rFonts w:asciiTheme="minorHAnsi" w:hAnsiTheme="minorHAnsi" w:cstheme="minorHAnsi"/>
          <w:sz w:val="22"/>
          <w:szCs w:val="22"/>
        </w:rPr>
        <w:t xml:space="preserve"> fractures, there were 369 (70.96%) locked intramedullary nails </w:t>
      </w:r>
      <w:r w:rsidR="00426B13" w:rsidRPr="00964F6D">
        <w:rPr>
          <w:rFonts w:asciiTheme="minorHAnsi" w:hAnsiTheme="minorHAnsi" w:cstheme="minorHAnsi"/>
          <w:sz w:val="22"/>
          <w:szCs w:val="22"/>
        </w:rPr>
        <w:t xml:space="preserve">(Closed Reduction and Internal fixation or CRIF) </w:t>
      </w:r>
      <w:r w:rsidRPr="00964F6D">
        <w:rPr>
          <w:rFonts w:asciiTheme="minorHAnsi" w:hAnsiTheme="minorHAnsi" w:cstheme="minorHAnsi"/>
          <w:sz w:val="22"/>
          <w:szCs w:val="22"/>
        </w:rPr>
        <w:t>and 21 (4.04%) external fixators</w:t>
      </w:r>
      <w:r w:rsidR="00426B13" w:rsidRPr="00964F6D">
        <w:rPr>
          <w:rFonts w:asciiTheme="minorHAnsi" w:hAnsiTheme="minorHAnsi" w:cstheme="minorHAnsi"/>
          <w:sz w:val="22"/>
          <w:szCs w:val="22"/>
        </w:rPr>
        <w:t xml:space="preserve"> (Closed reduction and external fixation CREF)</w:t>
      </w:r>
      <w:r w:rsidRPr="00964F6D">
        <w:rPr>
          <w:rFonts w:asciiTheme="minorHAnsi" w:hAnsiTheme="minorHAnsi" w:cstheme="minorHAnsi"/>
          <w:sz w:val="22"/>
          <w:szCs w:val="22"/>
        </w:rPr>
        <w:t>.</w:t>
      </w:r>
    </w:p>
    <w:p w14:paraId="79AC5521" w14:textId="25F9A7F1"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Among the 130 (25%) open </w:t>
      </w:r>
      <w:r w:rsidR="00426B13" w:rsidRPr="00964F6D">
        <w:rPr>
          <w:rFonts w:asciiTheme="minorHAnsi" w:hAnsiTheme="minorHAnsi" w:cstheme="minorHAnsi"/>
          <w:sz w:val="22"/>
          <w:szCs w:val="22"/>
        </w:rPr>
        <w:t xml:space="preserve">reduction </w:t>
      </w:r>
      <w:r w:rsidRPr="00964F6D">
        <w:rPr>
          <w:rFonts w:asciiTheme="minorHAnsi" w:hAnsiTheme="minorHAnsi" w:cstheme="minorHAnsi"/>
          <w:sz w:val="22"/>
          <w:szCs w:val="22"/>
        </w:rPr>
        <w:t>fractures, there were 7 (1.35%) non-locking intramedullary nails, 120 (23.07%) screw plates</w:t>
      </w:r>
      <w:r w:rsidR="00426B13" w:rsidRPr="00964F6D">
        <w:rPr>
          <w:rFonts w:asciiTheme="minorHAnsi" w:hAnsiTheme="minorHAnsi" w:cstheme="minorHAnsi"/>
          <w:sz w:val="22"/>
          <w:szCs w:val="22"/>
        </w:rPr>
        <w:t>, leading to 127 (24,42%) Open Reduction and Internfal Fixation or ORIF)</w:t>
      </w:r>
      <w:r w:rsidRPr="00964F6D">
        <w:rPr>
          <w:rFonts w:asciiTheme="minorHAnsi" w:hAnsiTheme="minorHAnsi" w:cstheme="minorHAnsi"/>
          <w:sz w:val="22"/>
          <w:szCs w:val="22"/>
        </w:rPr>
        <w:t>, and 3 (0.58%) external fixators</w:t>
      </w:r>
      <w:r w:rsidR="00426B13" w:rsidRPr="00964F6D">
        <w:rPr>
          <w:rFonts w:asciiTheme="minorHAnsi" w:hAnsiTheme="minorHAnsi" w:cstheme="minorHAnsi"/>
          <w:sz w:val="22"/>
          <w:szCs w:val="22"/>
        </w:rPr>
        <w:t xml:space="preserve"> (Open Reduction and External Fixation or OREF)</w:t>
      </w:r>
      <w:r w:rsidRPr="00964F6D">
        <w:rPr>
          <w:rFonts w:asciiTheme="minorHAnsi" w:hAnsiTheme="minorHAnsi" w:cstheme="minorHAnsi"/>
          <w:sz w:val="22"/>
          <w:szCs w:val="22"/>
        </w:rPr>
        <w:t>.</w:t>
      </w:r>
    </w:p>
    <w:p w14:paraId="634ACD58"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5D2C1BB6" w14:textId="77777777" w:rsidR="00B81743" w:rsidRPr="00964F6D" w:rsidRDefault="00B81743" w:rsidP="00B53E8B">
      <w:pPr>
        <w:pStyle w:val="NormalWeb"/>
        <w:spacing w:before="0" w:beforeAutospacing="0" w:after="0" w:afterAutospacing="0"/>
        <w:jc w:val="both"/>
        <w:rPr>
          <w:rFonts w:asciiTheme="minorHAnsi" w:hAnsiTheme="minorHAnsi" w:cstheme="minorHAnsi"/>
          <w:sz w:val="22"/>
          <w:szCs w:val="22"/>
        </w:rPr>
      </w:pPr>
    </w:p>
    <w:p w14:paraId="7B775621" w14:textId="6EB06500"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In total, there were 376 (72.31%) intramedullary nails, of which 369 (70.96%) were locked and 7 (1.35%) were unlocked, 120 (23.07%) screw plates (screw plates and plate blades), 24 (4.62%) external fixators, 70 pins (13.46%), and 24 steel wires (4.61%). There were mixed osteosyntheses and replacements of temporary external fixators with internal fixat</w:t>
      </w:r>
      <w:r w:rsidR="00426B13" w:rsidRPr="00964F6D">
        <w:rPr>
          <w:rFonts w:asciiTheme="minorHAnsi" w:hAnsiTheme="minorHAnsi" w:cstheme="minorHAnsi"/>
          <w:sz w:val="22"/>
          <w:szCs w:val="22"/>
        </w:rPr>
        <w:t>i</w:t>
      </w:r>
      <w:r w:rsidRPr="00964F6D">
        <w:rPr>
          <w:rFonts w:asciiTheme="minorHAnsi" w:hAnsiTheme="minorHAnsi" w:cstheme="minorHAnsi"/>
          <w:sz w:val="22"/>
          <w:szCs w:val="22"/>
        </w:rPr>
        <w:t>o</w:t>
      </w:r>
      <w:r w:rsidR="00426B13" w:rsidRPr="00964F6D">
        <w:rPr>
          <w:rFonts w:asciiTheme="minorHAnsi" w:hAnsiTheme="minorHAnsi" w:cstheme="minorHAnsi"/>
          <w:sz w:val="22"/>
          <w:szCs w:val="22"/>
        </w:rPr>
        <w:t>n</w:t>
      </w:r>
      <w:r w:rsidRPr="00964F6D">
        <w:rPr>
          <w:rFonts w:asciiTheme="minorHAnsi" w:hAnsiTheme="minorHAnsi" w:cstheme="minorHAnsi"/>
          <w:sz w:val="22"/>
          <w:szCs w:val="22"/>
        </w:rPr>
        <w:t>s.</w:t>
      </w:r>
    </w:p>
    <w:p w14:paraId="2C3033F0"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50455315"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lastRenderedPageBreak/>
        <w:t>The quality of reduction was good in 466 cases (91.37%) and poor in 38 cases (7.45%), including 16 (3.14%) cases of unstable assembly and 22 (4.31%) cases of inappropriate material or very complex fractures.</w:t>
      </w:r>
    </w:p>
    <w:p w14:paraId="0E911EC1"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duration of surgery was 2 hours for 350 cases (68.63%), 2-3 hours for 200 cases (39.22%), and 4 hours for 44 cases (8.63%). The average cost of surgery ranged from 250,000 to 350,000 CFA francs.</w:t>
      </w:r>
    </w:p>
    <w:p w14:paraId="70558895"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1C65BE5B"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Transfusions were performed using 452 bags, including 424 units of whole blood, 12 units of fresh blood, 2 units of fresh frozen plasma, 4 units of packed red blood cells, and 8 units of platelet concentrates.</w:t>
      </w:r>
    </w:p>
    <w:p w14:paraId="06447736"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A total of 290 (56.87%) patients received transfusions (moderate and severe anemia). The number of bags per patient was 1 for 122 cases (23.92%), 3 </w:t>
      </w:r>
      <w:proofErr w:type="gramStart"/>
      <w:r w:rsidRPr="00964F6D">
        <w:rPr>
          <w:rFonts w:asciiTheme="minorHAnsi" w:hAnsiTheme="minorHAnsi" w:cstheme="minorHAnsi"/>
          <w:sz w:val="22"/>
          <w:szCs w:val="22"/>
        </w:rPr>
        <w:t>for</w:t>
      </w:r>
      <w:proofErr w:type="gramEnd"/>
      <w:r w:rsidRPr="00964F6D">
        <w:rPr>
          <w:rFonts w:asciiTheme="minorHAnsi" w:hAnsiTheme="minorHAnsi" w:cstheme="minorHAnsi"/>
          <w:sz w:val="22"/>
          <w:szCs w:val="22"/>
        </w:rPr>
        <w:t xml:space="preserve"> 88 cases (1.73%), 4 for 78 cases (1.53%), and 5 bags for two patients (0.04%).</w:t>
      </w:r>
    </w:p>
    <w:p w14:paraId="0B9E1768"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5BD4CEA8"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dressing was changed less than 5 times in 44 patients (8.46%), 6 to 10 times in 200 (39.22%), and more than 10 times in 250 patients (48.08%).</w:t>
      </w:r>
    </w:p>
    <w:p w14:paraId="0E08E797" w14:textId="77777777" w:rsidR="000A604D" w:rsidRPr="00964F6D" w:rsidRDefault="000A604D"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Medication management</w:t>
      </w:r>
    </w:p>
    <w:p w14:paraId="06A93632"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All 138 (100%) patients with open fractures received antibiotic prophylaxis upon admission, based on either cefazolin or amoxicillin clavulanic acid. </w:t>
      </w:r>
    </w:p>
    <w:p w14:paraId="2490C155"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A protocol of intraoperative and postoperative antibiotic therapy was applied to both open and closed fractures regardless of the hospital, consisting of third-generation cephalosporin in 416 (80%) cases, aminoglycosides 318 (61.15%), imidazoles 258 (49.62%), and fluoroquinolones 196 (37.69%) mainly. The duration of treatment was 5 days for aminoglycosides and for other </w:t>
      </w:r>
      <w:proofErr w:type="gramStart"/>
      <w:r w:rsidRPr="00964F6D">
        <w:rPr>
          <w:rFonts w:asciiTheme="minorHAnsi" w:hAnsiTheme="minorHAnsi" w:cstheme="minorHAnsi"/>
          <w:sz w:val="22"/>
          <w:szCs w:val="22"/>
        </w:rPr>
        <w:t>antibiotics:</w:t>
      </w:r>
      <w:proofErr w:type="gramEnd"/>
      <w:r w:rsidRPr="00964F6D">
        <w:rPr>
          <w:rFonts w:asciiTheme="minorHAnsi" w:hAnsiTheme="minorHAnsi" w:cstheme="minorHAnsi"/>
          <w:sz w:val="22"/>
          <w:szCs w:val="22"/>
        </w:rPr>
        <w:t xml:space="preserve"> 10 days for 210 (50%) cases, 11 to 20 days in 104 (20%) cases, and more than 21 days for 156 (30%) cases.</w:t>
      </w:r>
    </w:p>
    <w:p w14:paraId="605590F3" w14:textId="77777777" w:rsidR="000A604D" w:rsidRPr="00964F6D" w:rsidRDefault="000A604D" w:rsidP="00FE2F40">
      <w:pPr>
        <w:pStyle w:val="NormalWeb"/>
        <w:spacing w:before="0" w:beforeAutospacing="0" w:after="0" w:afterAutospacing="0"/>
        <w:jc w:val="both"/>
        <w:rPr>
          <w:rFonts w:asciiTheme="minorHAnsi" w:hAnsiTheme="minorHAnsi" w:cstheme="minorHAnsi"/>
          <w:sz w:val="22"/>
          <w:szCs w:val="22"/>
        </w:rPr>
      </w:pPr>
    </w:p>
    <w:p w14:paraId="4DA6A786" w14:textId="77777777" w:rsidR="000A604D" w:rsidRPr="00964F6D" w:rsidRDefault="000A604D" w:rsidP="00FE2F40">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Approximately 510 (98.08%) had received </w:t>
      </w:r>
      <w:proofErr w:type="gramStart"/>
      <w:r w:rsidRPr="00964F6D">
        <w:rPr>
          <w:rFonts w:asciiTheme="minorHAnsi" w:hAnsiTheme="minorHAnsi" w:cstheme="minorHAnsi"/>
          <w:sz w:val="22"/>
          <w:szCs w:val="22"/>
        </w:rPr>
        <w:t>analgesics:</w:t>
      </w:r>
      <w:proofErr w:type="gramEnd"/>
      <w:r w:rsidRPr="00964F6D">
        <w:rPr>
          <w:rFonts w:asciiTheme="minorHAnsi" w:hAnsiTheme="minorHAnsi" w:cstheme="minorHAnsi"/>
          <w:sz w:val="22"/>
          <w:szCs w:val="22"/>
        </w:rPr>
        <w:t xml:space="preserve"> paracetamol 440 (84.62%), tramadol 318 (61.15%), nefopam/Acupan 252 (48.46%), and diclofenac 356 (68.46%).</w:t>
      </w:r>
    </w:p>
    <w:p w14:paraId="0D759314" w14:textId="77777777" w:rsidR="000A604D" w:rsidRPr="00964F6D" w:rsidRDefault="000A604D" w:rsidP="00FE2F40">
      <w:pPr>
        <w:pStyle w:val="NormalWeb"/>
        <w:spacing w:before="0" w:beforeAutospacing="0" w:after="0" w:afterAutospacing="0"/>
        <w:jc w:val="both"/>
        <w:rPr>
          <w:rFonts w:asciiTheme="minorHAnsi" w:hAnsiTheme="minorHAnsi" w:cstheme="minorHAnsi"/>
          <w:sz w:val="22"/>
          <w:szCs w:val="22"/>
        </w:rPr>
      </w:pPr>
    </w:p>
    <w:p w14:paraId="7298201C" w14:textId="77777777" w:rsidR="000A604D" w:rsidRPr="00964F6D" w:rsidRDefault="000A604D" w:rsidP="00FE2F40">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All patients had received tetanus serum (100.0%). Only 74 (14.23%) received calcium supplementation and 6 (1.15%) received vitamin D supplementation.</w:t>
      </w:r>
    </w:p>
    <w:p w14:paraId="5114B4B4" w14:textId="77777777" w:rsidR="000A604D" w:rsidRPr="00964F6D" w:rsidRDefault="000A604D" w:rsidP="00FE2F40">
      <w:pPr>
        <w:pStyle w:val="NormalWeb"/>
        <w:spacing w:before="0" w:beforeAutospacing="0" w:after="0" w:afterAutospacing="0"/>
        <w:jc w:val="both"/>
        <w:rPr>
          <w:rFonts w:asciiTheme="minorHAnsi" w:hAnsiTheme="minorHAnsi" w:cstheme="minorHAnsi"/>
          <w:sz w:val="22"/>
          <w:szCs w:val="22"/>
        </w:rPr>
      </w:pPr>
    </w:p>
    <w:p w14:paraId="7086042F" w14:textId="77777777" w:rsidR="00FE2F40" w:rsidRPr="00964F6D" w:rsidRDefault="00FE2F40" w:rsidP="00FE2F40">
      <w:pPr>
        <w:pStyle w:val="NormalWeb"/>
        <w:spacing w:before="0" w:beforeAutospacing="0" w:after="0" w:afterAutospacing="0"/>
        <w:rPr>
          <w:rFonts w:asciiTheme="minorHAnsi" w:hAnsiTheme="minorHAnsi" w:cstheme="minorHAnsi"/>
          <w:sz w:val="22"/>
          <w:szCs w:val="22"/>
        </w:rPr>
      </w:pPr>
      <w:r w:rsidRPr="00964F6D">
        <w:rPr>
          <w:rFonts w:asciiTheme="minorHAnsi" w:hAnsiTheme="minorHAnsi" w:cstheme="minorHAnsi"/>
          <w:sz w:val="22"/>
          <w:szCs w:val="22"/>
        </w:rPr>
        <w:t xml:space="preserve">Thromboembolic disease was prevented using low molecular weight heparins in 466 (89.62%) cases and vitamin K antagonists in 50 (9.62%) cases, with treatment lasting between 5 and 10 days. </w:t>
      </w:r>
    </w:p>
    <w:p w14:paraId="605B7250" w14:textId="77777777" w:rsidR="00FE2F40" w:rsidRPr="00964F6D" w:rsidRDefault="00FE2F40" w:rsidP="00FE2F40">
      <w:pPr>
        <w:pStyle w:val="NormalWeb"/>
        <w:spacing w:before="0" w:beforeAutospacing="0" w:after="0" w:afterAutospacing="0"/>
        <w:rPr>
          <w:rFonts w:asciiTheme="minorHAnsi" w:hAnsiTheme="minorHAnsi" w:cstheme="minorHAnsi"/>
          <w:sz w:val="22"/>
          <w:szCs w:val="22"/>
        </w:rPr>
      </w:pPr>
      <w:r w:rsidRPr="00964F6D">
        <w:rPr>
          <w:rFonts w:asciiTheme="minorHAnsi" w:hAnsiTheme="minorHAnsi" w:cstheme="minorHAnsi"/>
          <w:sz w:val="22"/>
          <w:szCs w:val="22"/>
        </w:rPr>
        <w:t>For cases of osteoporosis in the elderly, there were 48 cases (9.23%) treated with bisphosphonates and 4 cases (0.8%) treated with tribolone hormone replacement therapy for menopause.</w:t>
      </w:r>
    </w:p>
    <w:p w14:paraId="2F3D4EFD" w14:textId="77777777" w:rsidR="00FE2F40" w:rsidRPr="00964F6D" w:rsidRDefault="00FE2F40" w:rsidP="00FE2F40">
      <w:pPr>
        <w:pStyle w:val="NormalWeb"/>
        <w:spacing w:before="0" w:beforeAutospacing="0" w:after="0" w:afterAutospacing="0"/>
        <w:rPr>
          <w:rFonts w:asciiTheme="minorHAnsi" w:hAnsiTheme="minorHAnsi" w:cstheme="minorHAnsi"/>
          <w:sz w:val="22"/>
          <w:szCs w:val="22"/>
        </w:rPr>
      </w:pPr>
      <w:r w:rsidRPr="00964F6D">
        <w:rPr>
          <w:rFonts w:asciiTheme="minorHAnsi" w:hAnsiTheme="minorHAnsi" w:cstheme="minorHAnsi"/>
          <w:sz w:val="22"/>
          <w:szCs w:val="22"/>
        </w:rPr>
        <w:t>Preventive measures for bedsores were taken in approximately 488 (93.46%) patients.</w:t>
      </w:r>
    </w:p>
    <w:p w14:paraId="5E0C1746" w14:textId="77777777" w:rsidR="00FE2F40" w:rsidRPr="00964F6D" w:rsidRDefault="00FE2F40" w:rsidP="00FE2F40">
      <w:pPr>
        <w:pStyle w:val="NormalWeb"/>
        <w:spacing w:before="0" w:beforeAutospacing="0" w:after="0" w:afterAutospacing="0"/>
        <w:rPr>
          <w:rFonts w:asciiTheme="minorHAnsi" w:hAnsiTheme="minorHAnsi" w:cstheme="minorHAnsi"/>
          <w:sz w:val="22"/>
          <w:szCs w:val="22"/>
        </w:rPr>
      </w:pPr>
      <w:r w:rsidRPr="00964F6D">
        <w:rPr>
          <w:rFonts w:asciiTheme="minorHAnsi" w:hAnsiTheme="minorHAnsi" w:cstheme="minorHAnsi"/>
          <w:sz w:val="22"/>
          <w:szCs w:val="22"/>
        </w:rPr>
        <w:t>Physical therapy was performed in 494 (95%) patients, with fewer than 10 sessions in 200 cases (38.46%), 10-40 sessions in 250 (48.08%), and more than 40 sessions in 44 cases (8.46%).</w:t>
      </w:r>
    </w:p>
    <w:p w14:paraId="10E5D0B1" w14:textId="77777777" w:rsidR="00FE2F40" w:rsidRPr="00964F6D" w:rsidRDefault="00FE2F40" w:rsidP="00FE2F40">
      <w:pPr>
        <w:pStyle w:val="NormalWeb"/>
      </w:pPr>
    </w:p>
    <w:p w14:paraId="1E9FE094" w14:textId="3C66126E" w:rsidR="000A604D" w:rsidRPr="00964F6D" w:rsidRDefault="000A604D"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Evolutive profile</w:t>
      </w:r>
    </w:p>
    <w:p w14:paraId="767754A5" w14:textId="61AD08C3"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Our average follow-up period was 38 months. The time to full weight bearing without crutches was 6.2+3.4 months. The rate of uncomplicated healing during the study period was 408/520, or 78.46%, after an average follow-up period of 38 months. We had 392 (75.39%) cases with a good outcome and 128 (24.62%) cases with complications, including 11 (2.12%) cases requiring repeat</w:t>
      </w:r>
      <w:r w:rsidR="00FE2F40" w:rsidRPr="00964F6D">
        <w:rPr>
          <w:rFonts w:asciiTheme="minorHAnsi" w:hAnsiTheme="minorHAnsi" w:cstheme="minorHAnsi"/>
          <w:sz w:val="22"/>
          <w:szCs w:val="22"/>
        </w:rPr>
        <w:t>ed</w:t>
      </w:r>
      <w:r w:rsidRPr="00964F6D">
        <w:rPr>
          <w:rFonts w:asciiTheme="minorHAnsi" w:hAnsiTheme="minorHAnsi" w:cstheme="minorHAnsi"/>
          <w:sz w:val="22"/>
          <w:szCs w:val="22"/>
        </w:rPr>
        <w:t xml:space="preserve"> surgery.</w:t>
      </w:r>
    </w:p>
    <w:p w14:paraId="5AF737B3"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We had 36 (6.92%) short-term complications, including 24 (4.62%) local, 8 (1.54%) locoregional, and 20 (3.85%) general complications.</w:t>
      </w:r>
    </w:p>
    <w:p w14:paraId="5920AE4F"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We had 58 (11.15%) medium-term complications, including 20 (3.84%) local, 38 (7.31%) locoregional, and 2 (0.4%) general complications.</w:t>
      </w:r>
    </w:p>
    <w:p w14:paraId="55CBF632"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We had 36 (6.92%) long-term complications.</w:t>
      </w:r>
    </w:p>
    <w:p w14:paraId="0CB0D2C7"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Among the immediate intraoperative or postoperative complications, there were 14 (2.69%) hemorrhages, 8 (1.45%) vascular lesions, and 2 (0.4%) nerve lesions. </w:t>
      </w:r>
    </w:p>
    <w:p w14:paraId="7692E45F"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3D5C6DF2"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Short-term postoperative complications </w:t>
      </w:r>
      <w:proofErr w:type="gramStart"/>
      <w:r w:rsidRPr="00964F6D">
        <w:rPr>
          <w:rFonts w:asciiTheme="minorHAnsi" w:hAnsiTheme="minorHAnsi" w:cstheme="minorHAnsi"/>
          <w:sz w:val="22"/>
          <w:szCs w:val="22"/>
        </w:rPr>
        <w:t>included:</w:t>
      </w:r>
      <w:proofErr w:type="gramEnd"/>
      <w:r w:rsidRPr="00964F6D">
        <w:rPr>
          <w:rFonts w:asciiTheme="minorHAnsi" w:hAnsiTheme="minorHAnsi" w:cstheme="minorHAnsi"/>
          <w:sz w:val="22"/>
          <w:szCs w:val="22"/>
        </w:rPr>
        <w:t xml:space="preserve"> 9 (1.73%) surgical site infections, 6 (1.15%) deep vein thromboses, 2 (0.4%) loosening of osteosynthesis material, 2 (0.4%) compartment syndromes, and 2 (0.4%) severe anemias.</w:t>
      </w:r>
    </w:p>
    <w:p w14:paraId="1DF2B1F6"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22 (4.23%) medium-term complications were infections and 11 (2.12%) delayed union/pseudarthrosis, 8 (1.54%) deep vein thrombosis, 6 algoneurodystrophy (1.15%), and 2 (0.4%) shortening of 2 centimeters</w:t>
      </w:r>
    </w:p>
    <w:p w14:paraId="02A1E411"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lastRenderedPageBreak/>
        <w:t>The 36 (6.92%) long-term complications were 15 cases of lameness/stiffness (2.88%), 11 (2.12%) infections, 8 (1.54%) pseudarthrosis, and two (0.4%) shortening. There were 11 (2.12%) surgical revisions.</w:t>
      </w:r>
    </w:p>
    <w:p w14:paraId="17B70E69"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 Womac score assessment of participants who were still symptomatic showed a mean score of minimal to moderate pain (1.92/4), as well as stiffness (2.01/4) and function (1.92/4). </w:t>
      </w:r>
    </w:p>
    <w:p w14:paraId="64B08865"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0D2EFF3E" w14:textId="77777777" w:rsidR="000A604D" w:rsidRPr="00964F6D" w:rsidRDefault="000A604D"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Case-control analysis of factors associated with postoperative complications</w:t>
      </w:r>
    </w:p>
    <w:p w14:paraId="5F029E60"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We had 128 cases of postoperative complications that were matched with 256 cases without complications in order to identify associated factors using bivariate and multivariate analysis.</w:t>
      </w:r>
    </w:p>
    <w:p w14:paraId="0282B334"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In bivariate analysis, the following factors were associated: healthcare training (p=0.000), age group &gt; 70 years (p=0.002), single marital status (p=0.000), low educational level (p=0.003), ability to pay for surgery costs on time (p=0.001), presence of medical history (p=0.000), particularly high blood pressure (p=0.014) and diabetes (p=0.02), geriatric syndrome (p=0.000), the presence of lower limb prostheses (p=0.013), alcoholism (p=0.008), smoking (p=0.000), the ability to walk before the fracture (p=0.000), simple fall/osteoporotic fracture (p=0.002), fall from a height (p=0.000), fracture caused by projectiles (p=0.000), long delay in consultation (p=0.000), fracture located in the middle third of the diaphysis (p=0.000) and in the distal third (p=0.000), treatment delay greater than 14 days (p=0.021), absence of traction (p=0.000), quality of reduction (p=0.000), and failure to attend physical therapy sessions (p=0.04).</w:t>
      </w:r>
    </w:p>
    <w:p w14:paraId="6B217BB3"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2FC91E8B" w14:textId="012B3896"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However, in multivariate analysis (Table </w:t>
      </w:r>
      <w:r w:rsidR="00E54095">
        <w:rPr>
          <w:rFonts w:asciiTheme="minorHAnsi" w:hAnsiTheme="minorHAnsi" w:cstheme="minorHAnsi"/>
          <w:sz w:val="22"/>
          <w:szCs w:val="22"/>
        </w:rPr>
        <w:t>3</w:t>
      </w:r>
      <w:r w:rsidRPr="00964F6D">
        <w:rPr>
          <w:rFonts w:asciiTheme="minorHAnsi" w:hAnsiTheme="minorHAnsi" w:cstheme="minorHAnsi"/>
          <w:sz w:val="22"/>
          <w:szCs w:val="22"/>
        </w:rPr>
        <w:t>), those who had poor reduction (aOR = 13.08; 95% CI = 4.31-39.</w:t>
      </w:r>
      <w:proofErr w:type="gramStart"/>
      <w:r w:rsidRPr="00964F6D">
        <w:rPr>
          <w:rFonts w:asciiTheme="minorHAnsi" w:hAnsiTheme="minorHAnsi" w:cstheme="minorHAnsi"/>
          <w:sz w:val="22"/>
          <w:szCs w:val="22"/>
        </w:rPr>
        <w:t>66;</w:t>
      </w:r>
      <w:proofErr w:type="gramEnd"/>
      <w:r w:rsidRPr="00964F6D">
        <w:rPr>
          <w:rFonts w:asciiTheme="minorHAnsi" w:hAnsiTheme="minorHAnsi" w:cstheme="minorHAnsi"/>
          <w:sz w:val="22"/>
          <w:szCs w:val="22"/>
        </w:rPr>
        <w:t xml:space="preserve"> p = 0.000), those with a medical history (aOR = 4.04; 95% CI = 1.3-12.5; p = 0.000), and those who delayed going to the hospital after the fracture occurred (aOR = 4.03; 95% CI = 1.3-12.5; p = 0.000) were associated with a higher risk of nonunion.</w:t>
      </w:r>
    </w:p>
    <w:p w14:paraId="51A58D71"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odds ratio for nonunion was 0.016 for those who had a medical history and 0.016 for those who delayed going to the hospital after the fracture occurred.</w:t>
      </w:r>
    </w:p>
    <w:p w14:paraId="573004D0"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roofErr w:type="gramStart"/>
      <w:r w:rsidRPr="00964F6D">
        <w:rPr>
          <w:rFonts w:asciiTheme="minorHAnsi" w:hAnsiTheme="minorHAnsi" w:cstheme="minorHAnsi"/>
          <w:sz w:val="22"/>
          <w:szCs w:val="22"/>
        </w:rPr>
        <w:t>p</w:t>
      </w:r>
      <w:proofErr w:type="gramEnd"/>
      <w:r w:rsidRPr="00964F6D">
        <w:rPr>
          <w:rFonts w:asciiTheme="minorHAnsi" w:hAnsiTheme="minorHAnsi" w:cstheme="minorHAnsi"/>
          <w:sz w:val="22"/>
          <w:szCs w:val="22"/>
        </w:rPr>
        <w:t xml:space="preserve"> = 0.016) and those who delayed going to the hospital after the fracture occurred</w:t>
      </w:r>
    </w:p>
    <w:p w14:paraId="68357474"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w:t>
      </w:r>
      <w:proofErr w:type="gramStart"/>
      <w:r w:rsidRPr="00964F6D">
        <w:rPr>
          <w:rFonts w:asciiTheme="minorHAnsi" w:hAnsiTheme="minorHAnsi" w:cstheme="minorHAnsi"/>
          <w:sz w:val="22"/>
          <w:szCs w:val="22"/>
        </w:rPr>
        <w:t>aOR</w:t>
      </w:r>
      <w:proofErr w:type="gramEnd"/>
      <w:r w:rsidRPr="00964F6D">
        <w:rPr>
          <w:rFonts w:asciiTheme="minorHAnsi" w:hAnsiTheme="minorHAnsi" w:cstheme="minorHAnsi"/>
          <w:sz w:val="22"/>
          <w:szCs w:val="22"/>
        </w:rPr>
        <w:t xml:space="preserve"> = 4.03; 95% CI = 1.58-10.3; p = 0.04) were at greater risk of developing</w:t>
      </w:r>
    </w:p>
    <w:p w14:paraId="65C17EA0"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roofErr w:type="gramStart"/>
      <w:r w:rsidRPr="00964F6D">
        <w:rPr>
          <w:rFonts w:asciiTheme="minorHAnsi" w:hAnsiTheme="minorHAnsi" w:cstheme="minorHAnsi"/>
          <w:sz w:val="22"/>
          <w:szCs w:val="22"/>
        </w:rPr>
        <w:t>postoperative</w:t>
      </w:r>
      <w:proofErr w:type="gramEnd"/>
      <w:r w:rsidRPr="00964F6D">
        <w:rPr>
          <w:rFonts w:asciiTheme="minorHAnsi" w:hAnsiTheme="minorHAnsi" w:cstheme="minorHAnsi"/>
          <w:sz w:val="22"/>
          <w:szCs w:val="22"/>
        </w:rPr>
        <w:t xml:space="preserve"> complications. </w:t>
      </w:r>
    </w:p>
    <w:p w14:paraId="4B239CF6"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3049653B"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Meanwhile, those under the age of 20 (aOR = 0.11; 95% CI = 0.02-0.</w:t>
      </w:r>
      <w:proofErr w:type="gramStart"/>
      <w:r w:rsidRPr="00964F6D">
        <w:rPr>
          <w:rFonts w:asciiTheme="minorHAnsi" w:hAnsiTheme="minorHAnsi" w:cstheme="minorHAnsi"/>
          <w:sz w:val="22"/>
          <w:szCs w:val="22"/>
        </w:rPr>
        <w:t>77;</w:t>
      </w:r>
      <w:proofErr w:type="gramEnd"/>
      <w:r w:rsidRPr="00964F6D">
        <w:rPr>
          <w:rFonts w:asciiTheme="minorHAnsi" w:hAnsiTheme="minorHAnsi" w:cstheme="minorHAnsi"/>
          <w:sz w:val="22"/>
          <w:szCs w:val="22"/>
        </w:rPr>
        <w:t xml:space="preserve"> p = 0.026) who had</w:t>
      </w:r>
    </w:p>
    <w:p w14:paraId="0ABD5670"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roofErr w:type="gramStart"/>
      <w:r w:rsidRPr="00964F6D">
        <w:rPr>
          <w:rFonts w:asciiTheme="minorHAnsi" w:hAnsiTheme="minorHAnsi" w:cstheme="minorHAnsi"/>
          <w:sz w:val="22"/>
          <w:szCs w:val="22"/>
        </w:rPr>
        <w:t>a</w:t>
      </w:r>
      <w:proofErr w:type="gramEnd"/>
      <w:r w:rsidRPr="00964F6D">
        <w:rPr>
          <w:rFonts w:asciiTheme="minorHAnsi" w:hAnsiTheme="minorHAnsi" w:cstheme="minorHAnsi"/>
          <w:sz w:val="22"/>
          <w:szCs w:val="22"/>
        </w:rPr>
        <w:t xml:space="preserve"> fracture of the middle third of the MI (aOR = 0.32; 95% CI = 0.14-0.73; p = 0.035) and those who did not require walking assistance (aOR = 0.31; 95% CI = 0.11-0.92; p = 0.035) had a lower</w:t>
      </w:r>
    </w:p>
    <w:p w14:paraId="1CA9BD8A"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roofErr w:type="gramStart"/>
      <w:r w:rsidRPr="00964F6D">
        <w:rPr>
          <w:rFonts w:asciiTheme="minorHAnsi" w:hAnsiTheme="minorHAnsi" w:cstheme="minorHAnsi"/>
          <w:sz w:val="22"/>
          <w:szCs w:val="22"/>
        </w:rPr>
        <w:t>risk</w:t>
      </w:r>
      <w:proofErr w:type="gramEnd"/>
      <w:r w:rsidRPr="00964F6D">
        <w:rPr>
          <w:rFonts w:asciiTheme="minorHAnsi" w:hAnsiTheme="minorHAnsi" w:cstheme="minorHAnsi"/>
          <w:sz w:val="22"/>
          <w:szCs w:val="22"/>
        </w:rPr>
        <w:t xml:space="preserve"> of developing postoperative complications. </w:t>
      </w:r>
    </w:p>
    <w:p w14:paraId="36D9091C"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40D06D7B" w14:textId="478216A6"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Table </w:t>
      </w:r>
      <w:proofErr w:type="gramStart"/>
      <w:r w:rsidR="00E54095">
        <w:rPr>
          <w:rFonts w:asciiTheme="minorHAnsi" w:hAnsiTheme="minorHAnsi" w:cstheme="minorHAnsi"/>
          <w:sz w:val="22"/>
          <w:szCs w:val="22"/>
        </w:rPr>
        <w:t>3</w:t>
      </w:r>
      <w:r w:rsidRPr="00964F6D">
        <w:rPr>
          <w:rFonts w:asciiTheme="minorHAnsi" w:hAnsiTheme="minorHAnsi" w:cstheme="minorHAnsi"/>
          <w:sz w:val="22"/>
          <w:szCs w:val="22"/>
        </w:rPr>
        <w:t>:</w:t>
      </w:r>
      <w:proofErr w:type="gramEnd"/>
      <w:r w:rsidRPr="00964F6D">
        <w:rPr>
          <w:rFonts w:asciiTheme="minorHAnsi" w:hAnsiTheme="minorHAnsi" w:cstheme="minorHAnsi"/>
          <w:sz w:val="22"/>
          <w:szCs w:val="22"/>
        </w:rPr>
        <w:t xml:space="preserve"> Factors associated with postoperative </w:t>
      </w:r>
      <w:r w:rsidR="002C1B99" w:rsidRPr="00964F6D">
        <w:rPr>
          <w:rFonts w:asciiTheme="minorHAnsi" w:hAnsiTheme="minorHAnsi" w:cstheme="minorHAnsi"/>
          <w:sz w:val="22"/>
          <w:szCs w:val="22"/>
        </w:rPr>
        <w:t xml:space="preserve">femoral shaft </w:t>
      </w:r>
      <w:r w:rsidRPr="00964F6D">
        <w:rPr>
          <w:rFonts w:asciiTheme="minorHAnsi" w:hAnsiTheme="minorHAnsi" w:cstheme="minorHAnsi"/>
          <w:sz w:val="22"/>
          <w:szCs w:val="22"/>
        </w:rPr>
        <w:t>complications</w:t>
      </w:r>
    </w:p>
    <w:tbl>
      <w:tblPr>
        <w:tblStyle w:val="ListTable6Colorful12"/>
        <w:tblW w:w="9357" w:type="dxa"/>
        <w:jc w:val="center"/>
        <w:tblBorders>
          <w:top w:val="single" w:sz="18" w:space="0" w:color="auto"/>
          <w:bottom w:val="single" w:sz="18" w:space="0" w:color="auto"/>
        </w:tblBorders>
        <w:tblLayout w:type="fixed"/>
        <w:tblLook w:val="06A0" w:firstRow="1" w:lastRow="0" w:firstColumn="1" w:lastColumn="0" w:noHBand="1" w:noVBand="1"/>
      </w:tblPr>
      <w:tblGrid>
        <w:gridCol w:w="2127"/>
        <w:gridCol w:w="1275"/>
        <w:gridCol w:w="993"/>
        <w:gridCol w:w="850"/>
        <w:gridCol w:w="2925"/>
        <w:gridCol w:w="1187"/>
      </w:tblGrid>
      <w:tr w:rsidR="000A604D" w:rsidRPr="00964F6D" w14:paraId="39F45E50" w14:textId="77777777" w:rsidTr="002C1B99">
        <w:trPr>
          <w:cnfStyle w:val="100000000000" w:firstRow="1" w:lastRow="0" w:firstColumn="0" w:lastColumn="0" w:oddVBand="0" w:evenVBand="0" w:oddHBand="0" w:evenHBand="0" w:firstRowFirstColumn="0" w:firstRowLastColumn="0" w:lastRowFirstColumn="0" w:lastRowLastColumn="0"/>
          <w:trHeight w:val="459"/>
          <w:jc w:val="center"/>
        </w:trPr>
        <w:tc>
          <w:tcPr>
            <w:cnfStyle w:val="001000000000" w:firstRow="0" w:lastRow="0" w:firstColumn="1" w:lastColumn="0" w:oddVBand="0" w:evenVBand="0" w:oddHBand="0" w:evenHBand="0" w:firstRowFirstColumn="0" w:firstRowLastColumn="0" w:lastRowFirstColumn="0" w:lastRowLastColumn="0"/>
            <w:tcW w:w="2127" w:type="dxa"/>
            <w:tcBorders>
              <w:bottom w:val="nil"/>
            </w:tcBorders>
            <w:vAlign w:val="center"/>
          </w:tcPr>
          <w:p w14:paraId="59EC8254" w14:textId="77777777" w:rsidR="000A604D" w:rsidRPr="00964F6D" w:rsidRDefault="000A604D"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Variables</w:t>
            </w:r>
          </w:p>
        </w:tc>
        <w:tc>
          <w:tcPr>
            <w:tcW w:w="1275" w:type="dxa"/>
            <w:tcBorders>
              <w:bottom w:val="nil"/>
            </w:tcBorders>
            <w:vAlign w:val="center"/>
          </w:tcPr>
          <w:p w14:paraId="6150B225" w14:textId="2C985808" w:rsidR="000A604D" w:rsidRPr="00964F6D" w:rsidRDefault="000A604D"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Modalit</w:t>
            </w:r>
            <w:r w:rsidR="00FE2F40" w:rsidRPr="00964F6D">
              <w:rPr>
                <w:rFonts w:asciiTheme="minorHAnsi" w:eastAsia="Times New Roman" w:hAnsiTheme="minorHAnsi" w:cstheme="minorHAnsi"/>
                <w:color w:val="auto"/>
                <w:lang w:eastAsia="fr-FR"/>
              </w:rPr>
              <w:t>ies</w:t>
            </w:r>
          </w:p>
        </w:tc>
        <w:tc>
          <w:tcPr>
            <w:tcW w:w="1843" w:type="dxa"/>
            <w:gridSpan w:val="2"/>
            <w:tcBorders>
              <w:bottom w:val="single" w:sz="4" w:space="0" w:color="auto"/>
            </w:tcBorders>
            <w:noWrap/>
          </w:tcPr>
          <w:p w14:paraId="6FCF2947" w14:textId="77777777" w:rsidR="000A604D" w:rsidRPr="00964F6D" w:rsidRDefault="000A604D"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Complications</w:t>
            </w:r>
          </w:p>
        </w:tc>
        <w:tc>
          <w:tcPr>
            <w:tcW w:w="2925" w:type="dxa"/>
            <w:tcBorders>
              <w:bottom w:val="nil"/>
            </w:tcBorders>
            <w:vAlign w:val="center"/>
          </w:tcPr>
          <w:p w14:paraId="796F81F3" w14:textId="77777777" w:rsidR="000A604D" w:rsidRPr="00964F6D" w:rsidRDefault="000A604D"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ORa (IC à 95%)</w:t>
            </w:r>
          </w:p>
        </w:tc>
        <w:tc>
          <w:tcPr>
            <w:tcW w:w="1187" w:type="dxa"/>
            <w:tcBorders>
              <w:bottom w:val="nil"/>
            </w:tcBorders>
            <w:vAlign w:val="center"/>
          </w:tcPr>
          <w:p w14:paraId="45D93C8A" w14:textId="77777777" w:rsidR="000A604D" w:rsidRPr="00964F6D" w:rsidRDefault="000A604D" w:rsidP="00B53E8B">
            <w:pPr>
              <w:jc w:val="both"/>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P-value</w:t>
            </w:r>
          </w:p>
        </w:tc>
      </w:tr>
      <w:tr w:rsidR="002C1B99" w:rsidRPr="00964F6D" w14:paraId="5EEB6EE2" w14:textId="77777777" w:rsidTr="002C1B99">
        <w:trPr>
          <w:trHeight w:val="459"/>
          <w:jc w:val="center"/>
        </w:trPr>
        <w:tc>
          <w:tcPr>
            <w:cnfStyle w:val="001000000000" w:firstRow="0" w:lastRow="0" w:firstColumn="1" w:lastColumn="0" w:oddVBand="0" w:evenVBand="0" w:oddHBand="0" w:evenHBand="0" w:firstRowFirstColumn="0" w:firstRowLastColumn="0" w:lastRowFirstColumn="0" w:lastRowLastColumn="0"/>
            <w:tcW w:w="2127" w:type="dxa"/>
            <w:tcBorders>
              <w:top w:val="nil"/>
              <w:bottom w:val="single" w:sz="18" w:space="0" w:color="auto"/>
            </w:tcBorders>
            <w:vAlign w:val="center"/>
          </w:tcPr>
          <w:p w14:paraId="6ED2F748" w14:textId="77777777" w:rsidR="000A604D" w:rsidRPr="00964F6D" w:rsidRDefault="000A604D" w:rsidP="00B53E8B">
            <w:pPr>
              <w:jc w:val="both"/>
              <w:rPr>
                <w:rFonts w:asciiTheme="minorHAnsi" w:eastAsia="Times New Roman" w:hAnsiTheme="minorHAnsi" w:cstheme="minorHAnsi"/>
                <w:color w:val="auto"/>
                <w:lang w:eastAsia="fr-FR"/>
              </w:rPr>
            </w:pPr>
          </w:p>
        </w:tc>
        <w:tc>
          <w:tcPr>
            <w:tcW w:w="1275" w:type="dxa"/>
            <w:tcBorders>
              <w:top w:val="nil"/>
              <w:bottom w:val="single" w:sz="18" w:space="0" w:color="auto"/>
            </w:tcBorders>
            <w:vAlign w:val="center"/>
          </w:tcPr>
          <w:p w14:paraId="2E65654A"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p>
        </w:tc>
        <w:tc>
          <w:tcPr>
            <w:tcW w:w="993" w:type="dxa"/>
            <w:tcBorders>
              <w:top w:val="single" w:sz="4" w:space="0" w:color="auto"/>
              <w:bottom w:val="single" w:sz="18" w:space="0" w:color="auto"/>
            </w:tcBorders>
            <w:noWrap/>
          </w:tcPr>
          <w:p w14:paraId="02EBA386" w14:textId="0E68740D" w:rsidR="000A604D" w:rsidRPr="00964F6D" w:rsidRDefault="002C1B99"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Yes</w:t>
            </w:r>
          </w:p>
        </w:tc>
        <w:tc>
          <w:tcPr>
            <w:tcW w:w="850" w:type="dxa"/>
            <w:tcBorders>
              <w:top w:val="single" w:sz="4" w:space="0" w:color="auto"/>
              <w:bottom w:val="single" w:sz="18" w:space="0" w:color="auto"/>
            </w:tcBorders>
            <w:noWrap/>
          </w:tcPr>
          <w:p w14:paraId="24ED04C7" w14:textId="5838D882"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No</w:t>
            </w:r>
          </w:p>
        </w:tc>
        <w:tc>
          <w:tcPr>
            <w:tcW w:w="2925" w:type="dxa"/>
            <w:tcBorders>
              <w:top w:val="nil"/>
              <w:bottom w:val="single" w:sz="18" w:space="0" w:color="auto"/>
            </w:tcBorders>
            <w:vAlign w:val="center"/>
          </w:tcPr>
          <w:p w14:paraId="33DD0982"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p>
        </w:tc>
        <w:tc>
          <w:tcPr>
            <w:tcW w:w="1187" w:type="dxa"/>
            <w:tcBorders>
              <w:top w:val="nil"/>
              <w:bottom w:val="single" w:sz="18" w:space="0" w:color="auto"/>
            </w:tcBorders>
            <w:vAlign w:val="center"/>
          </w:tcPr>
          <w:p w14:paraId="41C28815"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p>
        </w:tc>
      </w:tr>
      <w:tr w:rsidR="000A604D" w:rsidRPr="00964F6D" w14:paraId="433D91A3" w14:textId="77777777" w:rsidTr="00FE2F40">
        <w:trPr>
          <w:trHeight w:val="354"/>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18" w:space="0" w:color="auto"/>
              <w:bottom w:val="nil"/>
            </w:tcBorders>
            <w:vAlign w:val="center"/>
            <w:hideMark/>
          </w:tcPr>
          <w:p w14:paraId="0909CB77" w14:textId="77777777" w:rsidR="000A604D" w:rsidRPr="00964F6D" w:rsidRDefault="000A604D"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Age</w:t>
            </w:r>
          </w:p>
        </w:tc>
        <w:tc>
          <w:tcPr>
            <w:tcW w:w="1275" w:type="dxa"/>
            <w:tcBorders>
              <w:top w:val="single" w:sz="18" w:space="0" w:color="auto"/>
              <w:bottom w:val="nil"/>
            </w:tcBorders>
            <w:noWrap/>
            <w:hideMark/>
          </w:tcPr>
          <w:p w14:paraId="57CF5544" w14:textId="72909186"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color w:val="auto"/>
                <w:lang w:eastAsia="fr-FR"/>
              </w:rPr>
              <w:t xml:space="preserve">≥ 70 </w:t>
            </w:r>
            <w:r w:rsidR="00FE2F40" w:rsidRPr="00964F6D">
              <w:rPr>
                <w:rFonts w:asciiTheme="minorHAnsi" w:eastAsia="Times New Roman" w:hAnsiTheme="minorHAnsi" w:cstheme="minorHAnsi"/>
                <w:b/>
                <w:color w:val="auto"/>
                <w:lang w:eastAsia="fr-FR"/>
              </w:rPr>
              <w:t>years</w:t>
            </w:r>
          </w:p>
        </w:tc>
        <w:tc>
          <w:tcPr>
            <w:tcW w:w="993" w:type="dxa"/>
            <w:tcBorders>
              <w:top w:val="single" w:sz="18" w:space="0" w:color="auto"/>
              <w:bottom w:val="nil"/>
            </w:tcBorders>
            <w:noWrap/>
            <w:hideMark/>
          </w:tcPr>
          <w:p w14:paraId="48070505"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10</w:t>
            </w:r>
          </w:p>
        </w:tc>
        <w:tc>
          <w:tcPr>
            <w:tcW w:w="850" w:type="dxa"/>
            <w:tcBorders>
              <w:top w:val="single" w:sz="18" w:space="0" w:color="auto"/>
              <w:bottom w:val="nil"/>
            </w:tcBorders>
            <w:noWrap/>
            <w:hideMark/>
          </w:tcPr>
          <w:p w14:paraId="50585932"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46</w:t>
            </w:r>
          </w:p>
        </w:tc>
        <w:tc>
          <w:tcPr>
            <w:tcW w:w="2925" w:type="dxa"/>
            <w:tcBorders>
              <w:top w:val="single" w:sz="18" w:space="0" w:color="auto"/>
              <w:bottom w:val="nil"/>
            </w:tcBorders>
            <w:noWrap/>
            <w:hideMark/>
          </w:tcPr>
          <w:p w14:paraId="6862BED5"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1,1 (1,02 ; 7 ,7)</w:t>
            </w:r>
          </w:p>
        </w:tc>
        <w:tc>
          <w:tcPr>
            <w:tcW w:w="1187" w:type="dxa"/>
            <w:tcBorders>
              <w:top w:val="single" w:sz="18" w:space="0" w:color="auto"/>
              <w:bottom w:val="nil"/>
            </w:tcBorders>
            <w:noWrap/>
            <w:hideMark/>
          </w:tcPr>
          <w:p w14:paraId="2F3FF242"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0,026</w:t>
            </w:r>
          </w:p>
        </w:tc>
      </w:tr>
      <w:tr w:rsidR="00FE2F40" w:rsidRPr="00964F6D" w14:paraId="7C287F4F" w14:textId="77777777" w:rsidTr="00FE2F40">
        <w:trPr>
          <w:trHeight w:val="354"/>
          <w:jc w:val="center"/>
        </w:trPr>
        <w:tc>
          <w:tcPr>
            <w:cnfStyle w:val="001000000000" w:firstRow="0" w:lastRow="0" w:firstColumn="1" w:lastColumn="0" w:oddVBand="0" w:evenVBand="0" w:oddHBand="0" w:evenHBand="0" w:firstRowFirstColumn="0" w:firstRowLastColumn="0" w:lastRowFirstColumn="0" w:lastRowLastColumn="0"/>
            <w:tcW w:w="2127" w:type="dxa"/>
            <w:tcBorders>
              <w:top w:val="nil"/>
            </w:tcBorders>
            <w:shd w:val="clear" w:color="auto" w:fill="D9D9D9"/>
            <w:vAlign w:val="center"/>
          </w:tcPr>
          <w:p w14:paraId="2C08F4E1" w14:textId="6B75FD53" w:rsidR="000A604D" w:rsidRPr="00964F6D" w:rsidRDefault="000A604D"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Sex</w:t>
            </w:r>
          </w:p>
        </w:tc>
        <w:tc>
          <w:tcPr>
            <w:tcW w:w="1275" w:type="dxa"/>
            <w:tcBorders>
              <w:top w:val="nil"/>
            </w:tcBorders>
            <w:shd w:val="clear" w:color="auto" w:fill="D9D9D9"/>
            <w:noWrap/>
          </w:tcPr>
          <w:p w14:paraId="6EA72D55" w14:textId="37ED958F"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Style w:val="fontstyle01"/>
                <w:rFonts w:asciiTheme="minorHAnsi" w:hAnsiTheme="minorHAnsi" w:cstheme="minorHAnsi" w:hint="default"/>
                <w:b/>
                <w:color w:val="auto"/>
                <w:sz w:val="22"/>
                <w:szCs w:val="22"/>
              </w:rPr>
            </w:pPr>
            <w:r w:rsidRPr="00964F6D">
              <w:rPr>
                <w:rStyle w:val="fontstyle01"/>
                <w:rFonts w:asciiTheme="minorHAnsi" w:hAnsiTheme="minorHAnsi" w:cstheme="minorHAnsi" w:hint="default"/>
                <w:b/>
                <w:color w:val="auto"/>
                <w:sz w:val="22"/>
                <w:szCs w:val="22"/>
              </w:rPr>
              <w:t>Ma</w:t>
            </w:r>
            <w:r w:rsidR="00FE2F40" w:rsidRPr="00964F6D">
              <w:rPr>
                <w:rStyle w:val="fontstyle01"/>
                <w:rFonts w:asciiTheme="minorHAnsi" w:hAnsiTheme="minorHAnsi" w:cstheme="minorHAnsi" w:hint="default"/>
                <w:b/>
                <w:color w:val="auto"/>
                <w:sz w:val="22"/>
                <w:szCs w:val="22"/>
              </w:rPr>
              <w:t>le</w:t>
            </w:r>
          </w:p>
        </w:tc>
        <w:tc>
          <w:tcPr>
            <w:tcW w:w="993" w:type="dxa"/>
            <w:tcBorders>
              <w:top w:val="nil"/>
            </w:tcBorders>
            <w:shd w:val="clear" w:color="auto" w:fill="D9D9D9"/>
            <w:noWrap/>
          </w:tcPr>
          <w:p w14:paraId="1E830EAA"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Style w:val="fontstyle01"/>
                <w:rFonts w:asciiTheme="minorHAnsi" w:hAnsiTheme="minorHAnsi" w:cstheme="minorHAnsi" w:hint="default"/>
                <w:b/>
                <w:color w:val="auto"/>
                <w:sz w:val="22"/>
                <w:szCs w:val="22"/>
              </w:rPr>
            </w:pPr>
            <w:r w:rsidRPr="00964F6D">
              <w:rPr>
                <w:rStyle w:val="fontstyle01"/>
                <w:rFonts w:asciiTheme="minorHAnsi" w:hAnsiTheme="minorHAnsi" w:cstheme="minorHAnsi" w:hint="default"/>
                <w:b/>
                <w:color w:val="auto"/>
                <w:sz w:val="22"/>
                <w:szCs w:val="22"/>
              </w:rPr>
              <w:t>66</w:t>
            </w:r>
          </w:p>
        </w:tc>
        <w:tc>
          <w:tcPr>
            <w:tcW w:w="850" w:type="dxa"/>
            <w:tcBorders>
              <w:top w:val="nil"/>
            </w:tcBorders>
            <w:shd w:val="clear" w:color="auto" w:fill="D9D9D9"/>
            <w:noWrap/>
          </w:tcPr>
          <w:p w14:paraId="24D6621B"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Style w:val="fontstyle01"/>
                <w:rFonts w:asciiTheme="minorHAnsi" w:hAnsiTheme="minorHAnsi" w:cstheme="minorHAnsi" w:hint="default"/>
                <w:b/>
                <w:color w:val="auto"/>
                <w:sz w:val="22"/>
                <w:szCs w:val="22"/>
              </w:rPr>
            </w:pPr>
            <w:r w:rsidRPr="00964F6D">
              <w:rPr>
                <w:rStyle w:val="fontstyle01"/>
                <w:rFonts w:asciiTheme="minorHAnsi" w:hAnsiTheme="minorHAnsi" w:cstheme="minorHAnsi" w:hint="default"/>
                <w:b/>
                <w:color w:val="auto"/>
                <w:sz w:val="22"/>
                <w:szCs w:val="22"/>
              </w:rPr>
              <w:t>284</w:t>
            </w:r>
          </w:p>
        </w:tc>
        <w:tc>
          <w:tcPr>
            <w:tcW w:w="2925" w:type="dxa"/>
            <w:tcBorders>
              <w:top w:val="nil"/>
            </w:tcBorders>
            <w:shd w:val="clear" w:color="auto" w:fill="D9D9D9"/>
            <w:noWrap/>
          </w:tcPr>
          <w:p w14:paraId="4F7E7130"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1,31(0,66 ; 2,6)</w:t>
            </w:r>
          </w:p>
        </w:tc>
        <w:tc>
          <w:tcPr>
            <w:tcW w:w="1187" w:type="dxa"/>
            <w:tcBorders>
              <w:top w:val="nil"/>
            </w:tcBorders>
            <w:shd w:val="clear" w:color="auto" w:fill="D9D9D9"/>
            <w:noWrap/>
          </w:tcPr>
          <w:p w14:paraId="40C90DF0"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 xml:space="preserve">0,002 </w:t>
            </w:r>
          </w:p>
        </w:tc>
      </w:tr>
      <w:tr w:rsidR="000A604D" w:rsidRPr="00964F6D" w14:paraId="090053E3" w14:textId="77777777" w:rsidTr="00FE2F40">
        <w:trPr>
          <w:trHeight w:val="354"/>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38A8F2B6" w14:textId="548485FF" w:rsidR="000A604D" w:rsidRPr="00964F6D" w:rsidRDefault="000A604D"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Diab</w:t>
            </w:r>
            <w:r w:rsidR="00FE2F40" w:rsidRPr="00964F6D">
              <w:rPr>
                <w:rFonts w:asciiTheme="minorHAnsi" w:eastAsia="Times New Roman" w:hAnsiTheme="minorHAnsi" w:cstheme="minorHAnsi"/>
                <w:color w:val="auto"/>
                <w:lang w:eastAsia="fr-FR"/>
              </w:rPr>
              <w:t>etes</w:t>
            </w:r>
          </w:p>
        </w:tc>
        <w:tc>
          <w:tcPr>
            <w:tcW w:w="1275" w:type="dxa"/>
            <w:noWrap/>
          </w:tcPr>
          <w:p w14:paraId="4473F114" w14:textId="7581086C" w:rsidR="000A604D" w:rsidRPr="00964F6D" w:rsidRDefault="00FE2F40"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 xml:space="preserve">Yes </w:t>
            </w:r>
          </w:p>
        </w:tc>
        <w:tc>
          <w:tcPr>
            <w:tcW w:w="993" w:type="dxa"/>
            <w:noWrap/>
          </w:tcPr>
          <w:p w14:paraId="2EF4789D"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Style w:val="fontstyle01"/>
                <w:rFonts w:asciiTheme="minorHAnsi" w:hAnsiTheme="minorHAnsi" w:cstheme="minorHAnsi" w:hint="default"/>
                <w:b/>
                <w:color w:val="auto"/>
                <w:sz w:val="22"/>
                <w:szCs w:val="22"/>
              </w:rPr>
              <w:t>102</w:t>
            </w:r>
          </w:p>
        </w:tc>
        <w:tc>
          <w:tcPr>
            <w:tcW w:w="850" w:type="dxa"/>
            <w:noWrap/>
          </w:tcPr>
          <w:p w14:paraId="73C3EB89"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Style w:val="fontstyle01"/>
                <w:rFonts w:asciiTheme="minorHAnsi" w:hAnsiTheme="minorHAnsi" w:cstheme="minorHAnsi" w:hint="default"/>
                <w:b/>
                <w:color w:val="auto"/>
                <w:sz w:val="22"/>
                <w:szCs w:val="22"/>
              </w:rPr>
              <w:t>358</w:t>
            </w:r>
          </w:p>
        </w:tc>
        <w:tc>
          <w:tcPr>
            <w:tcW w:w="2925" w:type="dxa"/>
            <w:noWrap/>
          </w:tcPr>
          <w:p w14:paraId="3E2FD211"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4,03 (1,58 ; 10,3)</w:t>
            </w:r>
          </w:p>
        </w:tc>
        <w:tc>
          <w:tcPr>
            <w:tcW w:w="1187" w:type="dxa"/>
            <w:noWrap/>
          </w:tcPr>
          <w:p w14:paraId="4B9AB436"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0,004</w:t>
            </w:r>
          </w:p>
        </w:tc>
      </w:tr>
      <w:tr w:rsidR="00FE2F40" w:rsidRPr="00964F6D" w14:paraId="5D1CCF45" w14:textId="77777777" w:rsidTr="00FE2F40">
        <w:trPr>
          <w:trHeight w:val="354"/>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D9D9D9"/>
            <w:vAlign w:val="center"/>
          </w:tcPr>
          <w:p w14:paraId="6C9EDDE4" w14:textId="20B7739D" w:rsidR="000A604D" w:rsidRPr="00964F6D" w:rsidRDefault="000A604D"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T</w:t>
            </w:r>
            <w:r w:rsidR="00FE2F40" w:rsidRPr="00964F6D">
              <w:rPr>
                <w:rFonts w:asciiTheme="minorHAnsi" w:eastAsia="Times New Roman" w:hAnsiTheme="minorHAnsi" w:cstheme="minorHAnsi"/>
                <w:color w:val="auto"/>
                <w:lang w:eastAsia="fr-FR"/>
              </w:rPr>
              <w:t>o</w:t>
            </w:r>
            <w:r w:rsidRPr="00964F6D">
              <w:rPr>
                <w:rFonts w:asciiTheme="minorHAnsi" w:eastAsia="Times New Roman" w:hAnsiTheme="minorHAnsi" w:cstheme="minorHAnsi"/>
                <w:color w:val="auto"/>
                <w:lang w:eastAsia="fr-FR"/>
              </w:rPr>
              <w:t>bac</w:t>
            </w:r>
            <w:r w:rsidR="00FE2F40" w:rsidRPr="00964F6D">
              <w:rPr>
                <w:rFonts w:asciiTheme="minorHAnsi" w:eastAsia="Times New Roman" w:hAnsiTheme="minorHAnsi" w:cstheme="minorHAnsi"/>
                <w:color w:val="auto"/>
                <w:lang w:eastAsia="fr-FR"/>
              </w:rPr>
              <w:t>co</w:t>
            </w:r>
          </w:p>
        </w:tc>
        <w:tc>
          <w:tcPr>
            <w:tcW w:w="1275" w:type="dxa"/>
            <w:shd w:val="clear" w:color="auto" w:fill="D9D9D9"/>
            <w:noWrap/>
          </w:tcPr>
          <w:p w14:paraId="25B35709" w14:textId="02F7A5D0" w:rsidR="000A604D" w:rsidRPr="00964F6D" w:rsidRDefault="00FE2F40"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Y</w:t>
            </w:r>
            <w:r w:rsidRPr="00964F6D">
              <w:rPr>
                <w:rFonts w:eastAsia="Times New Roman"/>
                <w:b/>
                <w:bCs/>
                <w:lang w:eastAsia="fr-FR"/>
              </w:rPr>
              <w:t xml:space="preserve">es </w:t>
            </w:r>
          </w:p>
        </w:tc>
        <w:tc>
          <w:tcPr>
            <w:tcW w:w="993" w:type="dxa"/>
            <w:shd w:val="clear" w:color="auto" w:fill="D9D9D9"/>
            <w:noWrap/>
          </w:tcPr>
          <w:p w14:paraId="6C1EBAA0"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b/>
                <w:bCs/>
                <w:color w:val="auto"/>
                <w:lang w:eastAsia="fr-FR"/>
              </w:rPr>
              <w:t>36</w:t>
            </w:r>
          </w:p>
        </w:tc>
        <w:tc>
          <w:tcPr>
            <w:tcW w:w="850" w:type="dxa"/>
            <w:shd w:val="clear" w:color="auto" w:fill="D9D9D9"/>
            <w:noWrap/>
          </w:tcPr>
          <w:p w14:paraId="71EA7B77"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b/>
                <w:bCs/>
                <w:color w:val="auto"/>
                <w:lang w:eastAsia="fr-FR"/>
              </w:rPr>
              <w:t>12</w:t>
            </w:r>
          </w:p>
        </w:tc>
        <w:tc>
          <w:tcPr>
            <w:tcW w:w="2925" w:type="dxa"/>
            <w:shd w:val="clear" w:color="auto" w:fill="D9D9D9"/>
            <w:noWrap/>
          </w:tcPr>
          <w:p w14:paraId="4B8F816F"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1 ,2 (1,4 ; 1 ,92)</w:t>
            </w:r>
          </w:p>
        </w:tc>
        <w:tc>
          <w:tcPr>
            <w:tcW w:w="1187" w:type="dxa"/>
            <w:shd w:val="clear" w:color="auto" w:fill="D9D9D9"/>
            <w:noWrap/>
          </w:tcPr>
          <w:p w14:paraId="5B656D3E" w14:textId="6A590F8A" w:rsidR="000A604D" w:rsidRPr="00964F6D" w:rsidRDefault="000A604D" w:rsidP="002C1B99">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0,035</w:t>
            </w:r>
          </w:p>
        </w:tc>
      </w:tr>
      <w:tr w:rsidR="000A604D" w:rsidRPr="00964F6D" w14:paraId="02E0B988" w14:textId="77777777" w:rsidTr="00FE2F40">
        <w:trPr>
          <w:trHeight w:val="354"/>
          <w:jc w:val="center"/>
        </w:trPr>
        <w:tc>
          <w:tcPr>
            <w:cnfStyle w:val="001000000000" w:firstRow="0" w:lastRow="0" w:firstColumn="1" w:lastColumn="0" w:oddVBand="0" w:evenVBand="0" w:oddHBand="0" w:evenHBand="0" w:firstRowFirstColumn="0" w:firstRowLastColumn="0" w:lastRowFirstColumn="0" w:lastRowLastColumn="0"/>
            <w:tcW w:w="2127" w:type="dxa"/>
            <w:vAlign w:val="center"/>
            <w:hideMark/>
          </w:tcPr>
          <w:p w14:paraId="35486B8D" w14:textId="559720F1" w:rsidR="000A604D" w:rsidRPr="00964F6D" w:rsidRDefault="00FE2F40"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Treat</w:t>
            </w:r>
            <w:r w:rsidR="000A604D" w:rsidRPr="00964F6D">
              <w:rPr>
                <w:rFonts w:asciiTheme="minorHAnsi" w:eastAsia="Times New Roman" w:hAnsiTheme="minorHAnsi" w:cstheme="minorHAnsi"/>
                <w:color w:val="auto"/>
                <w:lang w:eastAsia="fr-FR"/>
              </w:rPr>
              <w:t>ment</w:t>
            </w:r>
            <w:r w:rsidRPr="00964F6D">
              <w:rPr>
                <w:rFonts w:asciiTheme="minorHAnsi" w:eastAsia="Times New Roman" w:hAnsiTheme="minorHAnsi" w:cstheme="minorHAnsi"/>
                <w:color w:val="auto"/>
                <w:lang w:eastAsia="fr-FR"/>
              </w:rPr>
              <w:t xml:space="preserve"> delay</w:t>
            </w:r>
          </w:p>
        </w:tc>
        <w:tc>
          <w:tcPr>
            <w:tcW w:w="1275" w:type="dxa"/>
            <w:noWrap/>
            <w:hideMark/>
          </w:tcPr>
          <w:p w14:paraId="3652BFC3"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b/>
                <w:bCs/>
                <w:color w:val="auto"/>
                <w:lang w:eastAsia="fr-FR"/>
              </w:rPr>
              <w:t>Long</w:t>
            </w:r>
          </w:p>
        </w:tc>
        <w:tc>
          <w:tcPr>
            <w:tcW w:w="993" w:type="dxa"/>
            <w:noWrap/>
            <w:hideMark/>
          </w:tcPr>
          <w:p w14:paraId="1F9376E1"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b/>
                <w:bCs/>
                <w:color w:val="auto"/>
                <w:lang w:eastAsia="fr-FR"/>
              </w:rPr>
              <w:t>66</w:t>
            </w:r>
          </w:p>
        </w:tc>
        <w:tc>
          <w:tcPr>
            <w:tcW w:w="850" w:type="dxa"/>
            <w:noWrap/>
            <w:hideMark/>
          </w:tcPr>
          <w:p w14:paraId="774463CF"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b/>
                <w:bCs/>
                <w:color w:val="auto"/>
                <w:lang w:eastAsia="fr-FR"/>
              </w:rPr>
              <w:t>318</w:t>
            </w:r>
          </w:p>
        </w:tc>
        <w:tc>
          <w:tcPr>
            <w:tcW w:w="2925" w:type="dxa"/>
            <w:noWrap/>
            <w:hideMark/>
          </w:tcPr>
          <w:p w14:paraId="15B606BF"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4,04 (1,3 ; 12,5)</w:t>
            </w:r>
          </w:p>
        </w:tc>
        <w:tc>
          <w:tcPr>
            <w:tcW w:w="1187" w:type="dxa"/>
            <w:noWrap/>
            <w:hideMark/>
          </w:tcPr>
          <w:p w14:paraId="032D7B52"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0,016</w:t>
            </w:r>
          </w:p>
        </w:tc>
      </w:tr>
      <w:tr w:rsidR="00FE2F40" w:rsidRPr="00964F6D" w14:paraId="75CDF75B" w14:textId="77777777" w:rsidTr="00FE2F40">
        <w:trPr>
          <w:trHeight w:val="354"/>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D9D9D9"/>
            <w:vAlign w:val="center"/>
          </w:tcPr>
          <w:p w14:paraId="023A477E" w14:textId="2D6A6D08" w:rsidR="000A604D" w:rsidRPr="00964F6D" w:rsidRDefault="000A604D" w:rsidP="00B53E8B">
            <w:pPr>
              <w:jc w:val="both"/>
              <w:rPr>
                <w:rFonts w:asciiTheme="minorHAnsi" w:eastAsia="Times New Roman" w:hAnsiTheme="minorHAnsi" w:cstheme="minorHAnsi"/>
                <w:color w:val="auto"/>
                <w:lang w:eastAsia="fr-FR"/>
              </w:rPr>
            </w:pPr>
            <w:r w:rsidRPr="00964F6D">
              <w:rPr>
                <w:rFonts w:asciiTheme="minorHAnsi" w:eastAsia="Times New Roman" w:hAnsiTheme="minorHAnsi" w:cstheme="minorHAnsi"/>
                <w:color w:val="auto"/>
                <w:lang w:eastAsia="fr-FR"/>
              </w:rPr>
              <w:t>R</w:t>
            </w:r>
            <w:r w:rsidR="00FE2F40" w:rsidRPr="00964F6D">
              <w:rPr>
                <w:rFonts w:asciiTheme="minorHAnsi" w:eastAsia="Times New Roman" w:hAnsiTheme="minorHAnsi" w:cstheme="minorHAnsi"/>
                <w:color w:val="auto"/>
                <w:lang w:eastAsia="fr-FR"/>
              </w:rPr>
              <w:t>e</w:t>
            </w:r>
            <w:r w:rsidRPr="00964F6D">
              <w:rPr>
                <w:rFonts w:asciiTheme="minorHAnsi" w:eastAsia="Times New Roman" w:hAnsiTheme="minorHAnsi" w:cstheme="minorHAnsi"/>
                <w:color w:val="auto"/>
                <w:lang w:eastAsia="fr-FR"/>
              </w:rPr>
              <w:t xml:space="preserve">duction </w:t>
            </w:r>
            <w:r w:rsidR="00FE2F40" w:rsidRPr="00964F6D">
              <w:rPr>
                <w:rFonts w:asciiTheme="minorHAnsi" w:eastAsia="Times New Roman" w:hAnsiTheme="minorHAnsi" w:cstheme="minorHAnsi"/>
                <w:color w:val="auto"/>
                <w:lang w:eastAsia="fr-FR"/>
              </w:rPr>
              <w:t>quality</w:t>
            </w:r>
          </w:p>
        </w:tc>
        <w:tc>
          <w:tcPr>
            <w:tcW w:w="1275" w:type="dxa"/>
            <w:shd w:val="clear" w:color="auto" w:fill="D9D9D9"/>
            <w:noWrap/>
          </w:tcPr>
          <w:p w14:paraId="10D54FEA" w14:textId="6D1898DE" w:rsidR="000A604D" w:rsidRPr="00964F6D" w:rsidRDefault="00FE2F40"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Poor</w:t>
            </w:r>
          </w:p>
        </w:tc>
        <w:tc>
          <w:tcPr>
            <w:tcW w:w="993" w:type="dxa"/>
            <w:shd w:val="clear" w:color="auto" w:fill="D9D9D9"/>
            <w:noWrap/>
          </w:tcPr>
          <w:p w14:paraId="62677720"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b/>
                <w:bCs/>
                <w:color w:val="auto"/>
                <w:lang w:eastAsia="fr-FR"/>
              </w:rPr>
              <w:t>98</w:t>
            </w:r>
          </w:p>
        </w:tc>
        <w:tc>
          <w:tcPr>
            <w:tcW w:w="850" w:type="dxa"/>
            <w:shd w:val="clear" w:color="auto" w:fill="D9D9D9"/>
            <w:noWrap/>
          </w:tcPr>
          <w:p w14:paraId="3651E355"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fr-FR"/>
              </w:rPr>
            </w:pPr>
            <w:r w:rsidRPr="00964F6D">
              <w:rPr>
                <w:rFonts w:asciiTheme="minorHAnsi" w:eastAsia="Times New Roman" w:hAnsiTheme="minorHAnsi" w:cstheme="minorHAnsi"/>
                <w:b/>
                <w:bCs/>
                <w:color w:val="auto"/>
                <w:lang w:eastAsia="fr-FR"/>
              </w:rPr>
              <w:t>368</w:t>
            </w:r>
          </w:p>
        </w:tc>
        <w:tc>
          <w:tcPr>
            <w:tcW w:w="2925" w:type="dxa"/>
            <w:shd w:val="clear" w:color="auto" w:fill="D9D9D9"/>
            <w:noWrap/>
          </w:tcPr>
          <w:p w14:paraId="7E8AF9EF"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13,08 (4,31 ; 39,66)</w:t>
            </w:r>
          </w:p>
        </w:tc>
        <w:tc>
          <w:tcPr>
            <w:tcW w:w="1187" w:type="dxa"/>
            <w:shd w:val="clear" w:color="auto" w:fill="D9D9D9"/>
            <w:noWrap/>
          </w:tcPr>
          <w:p w14:paraId="34A33FA9" w14:textId="77777777" w:rsidR="000A604D" w:rsidRPr="00964F6D" w:rsidRDefault="000A604D" w:rsidP="00B53E8B">
            <w:pPr>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color w:val="auto"/>
                <w:lang w:eastAsia="fr-FR"/>
              </w:rPr>
            </w:pPr>
            <w:r w:rsidRPr="00964F6D">
              <w:rPr>
                <w:rFonts w:asciiTheme="minorHAnsi" w:eastAsia="Times New Roman" w:hAnsiTheme="minorHAnsi" w:cstheme="minorHAnsi"/>
                <w:b/>
                <w:bCs/>
                <w:color w:val="auto"/>
                <w:lang w:eastAsia="fr-FR"/>
              </w:rPr>
              <w:t>0,000</w:t>
            </w:r>
          </w:p>
        </w:tc>
      </w:tr>
    </w:tbl>
    <w:p w14:paraId="13AB0D3F"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roofErr w:type="gramStart"/>
      <w:r w:rsidRPr="00964F6D">
        <w:rPr>
          <w:rFonts w:asciiTheme="minorHAnsi" w:hAnsiTheme="minorHAnsi" w:cstheme="minorHAnsi"/>
          <w:sz w:val="22"/>
          <w:szCs w:val="22"/>
        </w:rPr>
        <w:t>ORa:</w:t>
      </w:r>
      <w:proofErr w:type="gramEnd"/>
      <w:r w:rsidRPr="00964F6D">
        <w:rPr>
          <w:rFonts w:asciiTheme="minorHAnsi" w:hAnsiTheme="minorHAnsi" w:cstheme="minorHAnsi"/>
          <w:sz w:val="22"/>
          <w:szCs w:val="22"/>
        </w:rPr>
        <w:t xml:space="preserve"> Adjusted odds ratio; CI: Confidence interval</w:t>
      </w:r>
    </w:p>
    <w:p w14:paraId="2427EBAD" w14:textId="77777777" w:rsidR="000A604D" w:rsidRPr="00964F6D" w:rsidRDefault="000A604D" w:rsidP="00B53E8B">
      <w:pPr>
        <w:pStyle w:val="NormalWeb"/>
        <w:spacing w:before="0" w:beforeAutospacing="0" w:after="0" w:afterAutospacing="0"/>
        <w:jc w:val="both"/>
        <w:rPr>
          <w:rFonts w:asciiTheme="minorHAnsi" w:hAnsiTheme="minorHAnsi" w:cstheme="minorHAnsi"/>
          <w:sz w:val="22"/>
          <w:szCs w:val="22"/>
        </w:rPr>
      </w:pPr>
    </w:p>
    <w:p w14:paraId="2A8911C2" w14:textId="77777777" w:rsidR="000A604D" w:rsidRPr="00964F6D" w:rsidRDefault="000A604D" w:rsidP="00B53E8B">
      <w:pPr>
        <w:pStyle w:val="NormalWeb"/>
        <w:spacing w:before="0" w:beforeAutospacing="0" w:after="0" w:afterAutospacing="0"/>
        <w:jc w:val="both"/>
        <w:rPr>
          <w:rFonts w:asciiTheme="minorHAnsi" w:hAnsiTheme="minorHAnsi" w:cstheme="minorHAnsi"/>
          <w:b/>
          <w:bCs/>
          <w:sz w:val="22"/>
          <w:szCs w:val="22"/>
          <w:u w:val="single"/>
        </w:rPr>
      </w:pPr>
      <w:r w:rsidRPr="00964F6D">
        <w:rPr>
          <w:rFonts w:asciiTheme="minorHAnsi" w:hAnsiTheme="minorHAnsi" w:cstheme="minorHAnsi"/>
          <w:b/>
          <w:bCs/>
          <w:sz w:val="22"/>
          <w:szCs w:val="22"/>
          <w:u w:val="single"/>
        </w:rPr>
        <w:t>Discussion</w:t>
      </w:r>
    </w:p>
    <w:p w14:paraId="677B0502" w14:textId="77777777" w:rsidR="000A604D" w:rsidRPr="00964F6D" w:rsidRDefault="000A604D"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V.1.1. Etiological profile</w:t>
      </w:r>
    </w:p>
    <w:p w14:paraId="42704AF8" w14:textId="3F44AA73" w:rsidR="000A604D" w:rsidRPr="00964F6D" w:rsidRDefault="002C1B9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The road traffic accident</w:t>
      </w:r>
      <w:r w:rsidR="000A604D" w:rsidRPr="00964F6D">
        <w:rPr>
          <w:rFonts w:asciiTheme="minorHAnsi" w:hAnsiTheme="minorHAnsi" w:cstheme="minorHAnsi"/>
          <w:sz w:val="22"/>
          <w:szCs w:val="22"/>
        </w:rPr>
        <w:t xml:space="preserve"> was the most common cause </w:t>
      </w:r>
      <w:r w:rsidR="007B344C" w:rsidRPr="00964F6D">
        <w:rPr>
          <w:rFonts w:asciiTheme="minorHAnsi" w:hAnsiTheme="minorHAnsi" w:cstheme="minorHAnsi"/>
          <w:sz w:val="22"/>
          <w:szCs w:val="22"/>
        </w:rPr>
        <w:t xml:space="preserve">femoral diaphysis fracture (FDF) with </w:t>
      </w:r>
      <w:r w:rsidR="000A604D" w:rsidRPr="00964F6D">
        <w:rPr>
          <w:rFonts w:asciiTheme="minorHAnsi" w:hAnsiTheme="minorHAnsi" w:cstheme="minorHAnsi"/>
          <w:sz w:val="22"/>
          <w:szCs w:val="22"/>
        </w:rPr>
        <w:t>82.31%</w:t>
      </w:r>
      <w:r w:rsidR="007B344C" w:rsidRPr="00964F6D">
        <w:rPr>
          <w:rFonts w:asciiTheme="minorHAnsi" w:hAnsiTheme="minorHAnsi" w:cstheme="minorHAnsi"/>
          <w:sz w:val="22"/>
          <w:szCs w:val="22"/>
        </w:rPr>
        <w:t xml:space="preserve"> of cases</w:t>
      </w:r>
      <w:r w:rsidR="000A604D" w:rsidRPr="00964F6D">
        <w:rPr>
          <w:rFonts w:asciiTheme="minorHAnsi" w:hAnsiTheme="minorHAnsi" w:cstheme="minorHAnsi"/>
          <w:sz w:val="22"/>
          <w:szCs w:val="22"/>
        </w:rPr>
        <w:t xml:space="preserve">. This result is similar to the study by Fonkoué et al. </w:t>
      </w:r>
      <w:proofErr w:type="gramStart"/>
      <w:r w:rsidR="000A604D" w:rsidRPr="00964F6D">
        <w:rPr>
          <w:rFonts w:asciiTheme="minorHAnsi" w:hAnsiTheme="minorHAnsi" w:cstheme="minorHAnsi"/>
          <w:sz w:val="22"/>
          <w:szCs w:val="22"/>
        </w:rPr>
        <w:t>conducted</w:t>
      </w:r>
      <w:proofErr w:type="gramEnd"/>
      <w:r w:rsidR="000A604D" w:rsidRPr="00964F6D">
        <w:rPr>
          <w:rFonts w:asciiTheme="minorHAnsi" w:hAnsiTheme="minorHAnsi" w:cstheme="minorHAnsi"/>
          <w:sz w:val="22"/>
          <w:szCs w:val="22"/>
        </w:rPr>
        <w:t xml:space="preserve"> in Yaoundé in 2024, Ngo et al. </w:t>
      </w:r>
      <w:proofErr w:type="gramStart"/>
      <w:r w:rsidR="000A604D" w:rsidRPr="00964F6D">
        <w:rPr>
          <w:rFonts w:asciiTheme="minorHAnsi" w:hAnsiTheme="minorHAnsi" w:cstheme="minorHAnsi"/>
          <w:sz w:val="22"/>
          <w:szCs w:val="22"/>
        </w:rPr>
        <w:t>in</w:t>
      </w:r>
      <w:proofErr w:type="gramEnd"/>
      <w:r w:rsidR="000A604D" w:rsidRPr="00964F6D">
        <w:rPr>
          <w:rFonts w:asciiTheme="minorHAnsi" w:hAnsiTheme="minorHAnsi" w:cstheme="minorHAnsi"/>
          <w:sz w:val="22"/>
          <w:szCs w:val="22"/>
        </w:rPr>
        <w:t xml:space="preserve"> Douala in 2023, and Touré et al. </w:t>
      </w:r>
      <w:proofErr w:type="gramStart"/>
      <w:r w:rsidR="000A604D" w:rsidRPr="00964F6D">
        <w:rPr>
          <w:rFonts w:asciiTheme="minorHAnsi" w:hAnsiTheme="minorHAnsi" w:cstheme="minorHAnsi"/>
          <w:sz w:val="22"/>
          <w:szCs w:val="22"/>
        </w:rPr>
        <w:t>in</w:t>
      </w:r>
      <w:proofErr w:type="gramEnd"/>
      <w:r w:rsidR="000A604D" w:rsidRPr="00964F6D">
        <w:rPr>
          <w:rFonts w:asciiTheme="minorHAnsi" w:hAnsiTheme="minorHAnsi" w:cstheme="minorHAnsi"/>
          <w:sz w:val="22"/>
          <w:szCs w:val="22"/>
        </w:rPr>
        <w:t xml:space="preserve"> Mali in 2019, which found 82.8%, 79.9%, and 85.4%, respectively</w:t>
      </w:r>
      <w:r w:rsidR="007F5F4D">
        <w:rPr>
          <w:rFonts w:asciiTheme="minorHAnsi" w:hAnsiTheme="minorHAnsi" w:cstheme="minorHAnsi"/>
          <w:sz w:val="22"/>
          <w:szCs w:val="22"/>
        </w:rPr>
        <w:t xml:space="preserve"> </w:t>
      </w:r>
      <w:r w:rsidR="000A604D" w:rsidRPr="007F5F4D">
        <w:rPr>
          <w:rFonts w:asciiTheme="minorHAnsi" w:hAnsiTheme="minorHAnsi" w:cstheme="minorHAnsi"/>
          <w:sz w:val="22"/>
          <w:szCs w:val="22"/>
          <w:highlight w:val="yellow"/>
        </w:rPr>
        <w:t>[</w:t>
      </w:r>
      <w:r w:rsidR="00A648A1" w:rsidRPr="007F5F4D">
        <w:rPr>
          <w:rFonts w:asciiTheme="minorHAnsi" w:hAnsiTheme="minorHAnsi" w:cstheme="minorHAnsi"/>
          <w:sz w:val="22"/>
          <w:szCs w:val="22"/>
          <w:highlight w:val="yellow"/>
        </w:rPr>
        <w:t>5</w:t>
      </w:r>
      <w:r w:rsidR="000A604D" w:rsidRPr="007F5F4D">
        <w:rPr>
          <w:rFonts w:asciiTheme="minorHAnsi" w:hAnsiTheme="minorHAnsi" w:cstheme="minorHAnsi"/>
          <w:sz w:val="22"/>
          <w:szCs w:val="22"/>
          <w:highlight w:val="yellow"/>
        </w:rPr>
        <w:t>–</w:t>
      </w:r>
      <w:r w:rsidR="00A648A1" w:rsidRPr="007F5F4D">
        <w:rPr>
          <w:rFonts w:asciiTheme="minorHAnsi" w:hAnsiTheme="minorHAnsi" w:cstheme="minorHAnsi"/>
          <w:sz w:val="22"/>
          <w:szCs w:val="22"/>
          <w:highlight w:val="yellow"/>
        </w:rPr>
        <w:t>7</w:t>
      </w:r>
      <w:r w:rsidR="000A604D" w:rsidRPr="007F5F4D">
        <w:rPr>
          <w:rFonts w:asciiTheme="minorHAnsi" w:hAnsiTheme="minorHAnsi" w:cstheme="minorHAnsi"/>
          <w:sz w:val="22"/>
          <w:szCs w:val="22"/>
          <w:highlight w:val="yellow"/>
        </w:rPr>
        <w:t>].</w:t>
      </w:r>
      <w:r w:rsidR="000A604D" w:rsidRPr="00964F6D">
        <w:rPr>
          <w:rFonts w:asciiTheme="minorHAnsi" w:hAnsiTheme="minorHAnsi" w:cstheme="minorHAnsi"/>
          <w:sz w:val="22"/>
          <w:szCs w:val="22"/>
        </w:rPr>
        <w:t xml:space="preserve"> This high frequency could be explained by the absence of and failure to comply with traffic lights, poor road conditions, failure to comply with traffic </w:t>
      </w:r>
      <w:r w:rsidR="000A604D" w:rsidRPr="00964F6D">
        <w:rPr>
          <w:rFonts w:asciiTheme="minorHAnsi" w:hAnsiTheme="minorHAnsi" w:cstheme="minorHAnsi"/>
          <w:sz w:val="22"/>
          <w:szCs w:val="22"/>
        </w:rPr>
        <w:lastRenderedPageBreak/>
        <w:t>regulations, speeding, drunk driving, or driving while fatigued. Furthermore, these were mainly related to motorcycle accidents, in line with the literature in developing countries</w:t>
      </w:r>
      <w:r w:rsidR="007F5F4D">
        <w:rPr>
          <w:rFonts w:asciiTheme="minorHAnsi" w:hAnsiTheme="minorHAnsi" w:cstheme="minorHAnsi"/>
          <w:sz w:val="22"/>
          <w:szCs w:val="22"/>
        </w:rPr>
        <w:t xml:space="preserve"> </w:t>
      </w:r>
      <w:r w:rsidR="000A604D" w:rsidRPr="007F5F4D">
        <w:rPr>
          <w:rFonts w:asciiTheme="minorHAnsi" w:hAnsiTheme="minorHAnsi" w:cstheme="minorHAnsi"/>
          <w:sz w:val="22"/>
          <w:szCs w:val="22"/>
          <w:highlight w:val="yellow"/>
        </w:rPr>
        <w:t>[</w:t>
      </w:r>
      <w:r w:rsidR="00A648A1" w:rsidRPr="007F5F4D">
        <w:rPr>
          <w:rFonts w:asciiTheme="minorHAnsi" w:hAnsiTheme="minorHAnsi" w:cstheme="minorHAnsi"/>
          <w:sz w:val="22"/>
          <w:szCs w:val="22"/>
          <w:highlight w:val="yellow"/>
        </w:rPr>
        <w:t>8</w:t>
      </w:r>
      <w:r w:rsidR="00466B13" w:rsidRPr="007F5F4D">
        <w:rPr>
          <w:rFonts w:asciiTheme="minorHAnsi" w:hAnsiTheme="minorHAnsi" w:cstheme="minorHAnsi"/>
          <w:sz w:val="22"/>
          <w:szCs w:val="22"/>
          <w:highlight w:val="yellow"/>
        </w:rPr>
        <w:t>,</w:t>
      </w:r>
      <w:r w:rsidR="00A648A1" w:rsidRPr="007F5F4D">
        <w:rPr>
          <w:rFonts w:asciiTheme="minorHAnsi" w:hAnsiTheme="minorHAnsi" w:cstheme="minorHAnsi"/>
          <w:sz w:val="22"/>
          <w:szCs w:val="22"/>
          <w:highlight w:val="yellow"/>
        </w:rPr>
        <w:t>9</w:t>
      </w:r>
      <w:r w:rsidR="000A604D" w:rsidRPr="007F5F4D">
        <w:rPr>
          <w:rFonts w:asciiTheme="minorHAnsi" w:hAnsiTheme="minorHAnsi" w:cstheme="minorHAnsi"/>
          <w:sz w:val="22"/>
          <w:szCs w:val="22"/>
          <w:highlight w:val="yellow"/>
        </w:rPr>
        <w:t>,</w:t>
      </w:r>
      <w:r w:rsidR="00A648A1" w:rsidRPr="007F5F4D">
        <w:rPr>
          <w:rFonts w:asciiTheme="minorHAnsi" w:hAnsiTheme="minorHAnsi" w:cstheme="minorHAnsi"/>
          <w:sz w:val="22"/>
          <w:szCs w:val="22"/>
          <w:highlight w:val="yellow"/>
        </w:rPr>
        <w:t>10</w:t>
      </w:r>
      <w:r w:rsidR="000A604D" w:rsidRPr="007F5F4D">
        <w:rPr>
          <w:rFonts w:asciiTheme="minorHAnsi" w:hAnsiTheme="minorHAnsi" w:cstheme="minorHAnsi"/>
          <w:sz w:val="22"/>
          <w:szCs w:val="22"/>
          <w:highlight w:val="yellow"/>
        </w:rPr>
        <w:t>].</w:t>
      </w:r>
      <w:r w:rsidR="000A604D" w:rsidRPr="00964F6D">
        <w:rPr>
          <w:rFonts w:asciiTheme="minorHAnsi" w:hAnsiTheme="minorHAnsi" w:cstheme="minorHAnsi"/>
          <w:sz w:val="22"/>
          <w:szCs w:val="22"/>
        </w:rPr>
        <w:t xml:space="preserve"> FDFs were linked to a direct mechanism in 95% of patients. This is higher than the frequency found by Touré et al. </w:t>
      </w:r>
      <w:proofErr w:type="gramStart"/>
      <w:r w:rsidR="000A604D" w:rsidRPr="00964F6D">
        <w:rPr>
          <w:rFonts w:asciiTheme="minorHAnsi" w:hAnsiTheme="minorHAnsi" w:cstheme="minorHAnsi"/>
          <w:sz w:val="22"/>
          <w:szCs w:val="22"/>
        </w:rPr>
        <w:t>in</w:t>
      </w:r>
      <w:proofErr w:type="gramEnd"/>
      <w:r w:rsidR="000A604D" w:rsidRPr="00964F6D">
        <w:rPr>
          <w:rFonts w:asciiTheme="minorHAnsi" w:hAnsiTheme="minorHAnsi" w:cstheme="minorHAnsi"/>
          <w:sz w:val="22"/>
          <w:szCs w:val="22"/>
        </w:rPr>
        <w:t xml:space="preserve"> Mali in 2019 and Ngo </w:t>
      </w:r>
      <w:r w:rsidR="00CE5175">
        <w:rPr>
          <w:rFonts w:asciiTheme="minorHAnsi" w:hAnsiTheme="minorHAnsi" w:cstheme="minorHAnsi"/>
          <w:sz w:val="22"/>
          <w:szCs w:val="22"/>
        </w:rPr>
        <w:t xml:space="preserve">Ngote </w:t>
      </w:r>
      <w:r w:rsidR="000A604D" w:rsidRPr="00964F6D">
        <w:rPr>
          <w:rFonts w:asciiTheme="minorHAnsi" w:hAnsiTheme="minorHAnsi" w:cstheme="minorHAnsi"/>
          <w:sz w:val="22"/>
          <w:szCs w:val="22"/>
        </w:rPr>
        <w:t xml:space="preserve">et al. </w:t>
      </w:r>
      <w:proofErr w:type="gramStart"/>
      <w:r w:rsidR="000A604D" w:rsidRPr="00964F6D">
        <w:rPr>
          <w:rFonts w:asciiTheme="minorHAnsi" w:hAnsiTheme="minorHAnsi" w:cstheme="minorHAnsi"/>
          <w:sz w:val="22"/>
          <w:szCs w:val="22"/>
        </w:rPr>
        <w:t>in</w:t>
      </w:r>
      <w:proofErr w:type="gramEnd"/>
      <w:r w:rsidR="000A604D" w:rsidRPr="00964F6D">
        <w:rPr>
          <w:rFonts w:asciiTheme="minorHAnsi" w:hAnsiTheme="minorHAnsi" w:cstheme="minorHAnsi"/>
          <w:sz w:val="22"/>
          <w:szCs w:val="22"/>
        </w:rPr>
        <w:t xml:space="preserve"> Douala in 2023, with 85.4% and 82.7% respectively </w:t>
      </w:r>
      <w:r w:rsidR="000A604D" w:rsidRPr="007F5F4D">
        <w:rPr>
          <w:rFonts w:asciiTheme="minorHAnsi" w:hAnsiTheme="minorHAnsi" w:cstheme="minorHAnsi"/>
          <w:sz w:val="22"/>
          <w:szCs w:val="22"/>
          <w:highlight w:val="yellow"/>
        </w:rPr>
        <w:t>[</w:t>
      </w:r>
      <w:r w:rsidR="00052071">
        <w:rPr>
          <w:rFonts w:asciiTheme="minorHAnsi" w:hAnsiTheme="minorHAnsi" w:cstheme="minorHAnsi"/>
          <w:sz w:val="22"/>
          <w:szCs w:val="22"/>
          <w:highlight w:val="yellow"/>
        </w:rPr>
        <w:t>6,</w:t>
      </w:r>
      <w:r w:rsidR="00A648A1" w:rsidRPr="007F5F4D">
        <w:rPr>
          <w:rFonts w:asciiTheme="minorHAnsi" w:hAnsiTheme="minorHAnsi" w:cstheme="minorHAnsi"/>
          <w:sz w:val="22"/>
          <w:szCs w:val="22"/>
          <w:highlight w:val="yellow"/>
        </w:rPr>
        <w:t>7</w:t>
      </w:r>
      <w:r w:rsidR="000A604D" w:rsidRPr="007F5F4D">
        <w:rPr>
          <w:rFonts w:asciiTheme="minorHAnsi" w:hAnsiTheme="minorHAnsi" w:cstheme="minorHAnsi"/>
          <w:sz w:val="22"/>
          <w:szCs w:val="22"/>
          <w:highlight w:val="yellow"/>
        </w:rPr>
        <w:t>].</w:t>
      </w:r>
      <w:r w:rsidR="000A604D" w:rsidRPr="00964F6D">
        <w:rPr>
          <w:rFonts w:asciiTheme="minorHAnsi" w:hAnsiTheme="minorHAnsi" w:cstheme="minorHAnsi"/>
          <w:sz w:val="22"/>
          <w:szCs w:val="22"/>
        </w:rPr>
        <w:t xml:space="preserve"> This difference could be explained, on the one hand, by the difference in methodology and, on the other hand, by the fact that our study focused mainly on FDFs, unlike the study by Azza et al., which focused on the entire femur. </w:t>
      </w:r>
    </w:p>
    <w:p w14:paraId="51ECF659"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V.1.2. Clinical profile</w:t>
      </w:r>
    </w:p>
    <w:p w14:paraId="0AB386D5" w14:textId="14F22CEC"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Pain and functional impairment were the main reasons for consultation, with a frequency of 100%. These signs constitute the classic diagnostic triad for diaphyseal femoral fractures.</w:t>
      </w:r>
    </w:p>
    <w:p w14:paraId="24484C55" w14:textId="20CAE614"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 average waiting time for surgical osteosynthesis was 10[7-14] days. This delay is longer than that reported by Mitchel et al. </w:t>
      </w:r>
      <w:proofErr w:type="gramStart"/>
      <w:r w:rsidRPr="00964F6D">
        <w:rPr>
          <w:rFonts w:asciiTheme="minorHAnsi" w:hAnsiTheme="minorHAnsi" w:cstheme="minorHAnsi"/>
          <w:sz w:val="22"/>
          <w:szCs w:val="22"/>
        </w:rPr>
        <w:t>in</w:t>
      </w:r>
      <w:proofErr w:type="gramEnd"/>
      <w:r w:rsidRPr="00964F6D">
        <w:rPr>
          <w:rFonts w:asciiTheme="minorHAnsi" w:hAnsiTheme="minorHAnsi" w:cstheme="minorHAnsi"/>
          <w:sz w:val="22"/>
          <w:szCs w:val="22"/>
        </w:rPr>
        <w:t xml:space="preserve"> the United States of America in 2023 and </w:t>
      </w:r>
      <w:r w:rsidR="00052071">
        <w:rPr>
          <w:rFonts w:asciiTheme="minorHAnsi" w:hAnsiTheme="minorHAnsi" w:cstheme="minorHAnsi"/>
          <w:sz w:val="22"/>
          <w:szCs w:val="22"/>
        </w:rPr>
        <w:t>Bouhelo</w:t>
      </w:r>
      <w:r w:rsidR="00CE5175">
        <w:rPr>
          <w:rFonts w:asciiTheme="minorHAnsi" w:hAnsiTheme="minorHAnsi" w:cstheme="minorHAnsi"/>
          <w:sz w:val="22"/>
          <w:szCs w:val="22"/>
        </w:rPr>
        <w:t>-Pam</w:t>
      </w:r>
      <w:r w:rsidR="00052071">
        <w:rPr>
          <w:rFonts w:asciiTheme="minorHAnsi" w:hAnsiTheme="minorHAnsi" w:cstheme="minorHAnsi"/>
          <w:sz w:val="22"/>
          <w:szCs w:val="22"/>
        </w:rPr>
        <w:t xml:space="preserve"> et al. In Brazzavile</w:t>
      </w:r>
      <w:r w:rsidRPr="00964F6D">
        <w:rPr>
          <w:rFonts w:asciiTheme="minorHAnsi" w:hAnsiTheme="minorHAnsi" w:cstheme="minorHAnsi"/>
          <w:sz w:val="22"/>
          <w:szCs w:val="22"/>
        </w:rPr>
        <w:t>,</w:t>
      </w:r>
      <w:r w:rsidR="00052071">
        <w:rPr>
          <w:rFonts w:asciiTheme="minorHAnsi" w:hAnsiTheme="minorHAnsi" w:cstheme="minorHAnsi"/>
          <w:sz w:val="22"/>
          <w:szCs w:val="22"/>
        </w:rPr>
        <w:t xml:space="preserve"> in 2024</w:t>
      </w:r>
      <w:r w:rsidRPr="00964F6D">
        <w:rPr>
          <w:rFonts w:asciiTheme="minorHAnsi" w:hAnsiTheme="minorHAnsi" w:cstheme="minorHAnsi"/>
          <w:sz w:val="22"/>
          <w:szCs w:val="22"/>
        </w:rPr>
        <w:t xml:space="preserve"> where the delay for surgical treatment was “within the first 24 hours after fracture” and “</w:t>
      </w:r>
      <w:r w:rsidR="00052071">
        <w:rPr>
          <w:rFonts w:asciiTheme="minorHAnsi" w:hAnsiTheme="minorHAnsi" w:cstheme="minorHAnsi"/>
          <w:sz w:val="22"/>
          <w:szCs w:val="22"/>
        </w:rPr>
        <w:t xml:space="preserve">29.11 </w:t>
      </w:r>
      <w:r w:rsidRPr="00964F6D">
        <w:rPr>
          <w:rFonts w:asciiTheme="minorHAnsi" w:hAnsiTheme="minorHAnsi" w:cstheme="minorHAnsi"/>
          <w:sz w:val="22"/>
          <w:szCs w:val="22"/>
        </w:rPr>
        <w:t xml:space="preserve">days,” </w:t>
      </w:r>
      <w:r w:rsidRPr="007F5F4D">
        <w:rPr>
          <w:rFonts w:asciiTheme="minorHAnsi" w:hAnsiTheme="minorHAnsi" w:cstheme="minorHAnsi"/>
          <w:sz w:val="22"/>
          <w:szCs w:val="22"/>
          <w:highlight w:val="yellow"/>
        </w:rPr>
        <w:t>respectively</w:t>
      </w:r>
      <w:r w:rsidR="007F5F4D" w:rsidRPr="007F5F4D">
        <w:rPr>
          <w:rFonts w:asciiTheme="minorHAnsi" w:hAnsiTheme="minorHAnsi" w:cstheme="minorHAnsi"/>
          <w:sz w:val="22"/>
          <w:szCs w:val="22"/>
          <w:highlight w:val="yellow"/>
        </w:rPr>
        <w:t xml:space="preserve"> </w:t>
      </w:r>
      <w:r w:rsidRPr="007F5F4D">
        <w:rPr>
          <w:rFonts w:asciiTheme="minorHAnsi" w:hAnsiTheme="minorHAnsi" w:cstheme="minorHAnsi"/>
          <w:sz w:val="22"/>
          <w:szCs w:val="22"/>
          <w:highlight w:val="yellow"/>
        </w:rPr>
        <w:t>[1</w:t>
      </w:r>
      <w:r w:rsidR="00052071">
        <w:rPr>
          <w:rFonts w:asciiTheme="minorHAnsi" w:hAnsiTheme="minorHAnsi" w:cstheme="minorHAnsi"/>
          <w:sz w:val="22"/>
          <w:szCs w:val="22"/>
          <w:highlight w:val="yellow"/>
        </w:rPr>
        <w:t>1</w:t>
      </w:r>
      <w:r w:rsidRPr="007F5F4D">
        <w:rPr>
          <w:rFonts w:asciiTheme="minorHAnsi" w:hAnsiTheme="minorHAnsi" w:cstheme="minorHAnsi"/>
          <w:sz w:val="22"/>
          <w:szCs w:val="22"/>
          <w:highlight w:val="yellow"/>
        </w:rPr>
        <w:t>,1</w:t>
      </w:r>
      <w:r w:rsidR="00052071">
        <w:rPr>
          <w:rFonts w:asciiTheme="minorHAnsi" w:hAnsiTheme="minorHAnsi" w:cstheme="minorHAnsi"/>
          <w:sz w:val="22"/>
          <w:szCs w:val="22"/>
          <w:highlight w:val="yellow"/>
        </w:rPr>
        <w:t>2</w:t>
      </w:r>
      <w:r w:rsidRPr="007F5F4D">
        <w:rPr>
          <w:rFonts w:asciiTheme="minorHAnsi" w:hAnsiTheme="minorHAnsi" w:cstheme="minorHAnsi"/>
          <w:sz w:val="22"/>
          <w:szCs w:val="22"/>
          <w:highlight w:val="yellow"/>
        </w:rPr>
        <w:t>].</w:t>
      </w:r>
      <w:r w:rsidRPr="00964F6D">
        <w:rPr>
          <w:rFonts w:asciiTheme="minorHAnsi" w:hAnsiTheme="minorHAnsi" w:cstheme="minorHAnsi"/>
          <w:sz w:val="22"/>
          <w:szCs w:val="22"/>
        </w:rPr>
        <w:t xml:space="preserve"> This could be explained by the lack of permanent availability of surgical supplies, the time required for adequate preoperative planning with careful selection of the most appropriate fixation device, the absence of universal health coverage, and the high costs of surgery. </w:t>
      </w:r>
    </w:p>
    <w:p w14:paraId="52F49992" w14:textId="67811471"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 femur was affected equally on the right and left sides (48.08%). This result differs from the study conducted by Diallo et al. </w:t>
      </w:r>
      <w:proofErr w:type="gramStart"/>
      <w:r w:rsidRPr="00964F6D">
        <w:rPr>
          <w:rFonts w:asciiTheme="minorHAnsi" w:hAnsiTheme="minorHAnsi" w:cstheme="minorHAnsi"/>
          <w:sz w:val="22"/>
          <w:szCs w:val="22"/>
        </w:rPr>
        <w:t>in</w:t>
      </w:r>
      <w:proofErr w:type="gramEnd"/>
      <w:r w:rsidRPr="00964F6D">
        <w:rPr>
          <w:rFonts w:asciiTheme="minorHAnsi" w:hAnsiTheme="minorHAnsi" w:cstheme="minorHAnsi"/>
          <w:sz w:val="22"/>
          <w:szCs w:val="22"/>
        </w:rPr>
        <w:t xml:space="preserve"> Mali in 202</w:t>
      </w:r>
      <w:r w:rsidR="00C91E46">
        <w:rPr>
          <w:rFonts w:asciiTheme="minorHAnsi" w:hAnsiTheme="minorHAnsi" w:cstheme="minorHAnsi"/>
          <w:sz w:val="22"/>
          <w:szCs w:val="22"/>
        </w:rPr>
        <w:t>3</w:t>
      </w:r>
      <w:r w:rsidRPr="00964F6D">
        <w:rPr>
          <w:rFonts w:asciiTheme="minorHAnsi" w:hAnsiTheme="minorHAnsi" w:cstheme="minorHAnsi"/>
          <w:sz w:val="22"/>
          <w:szCs w:val="22"/>
        </w:rPr>
        <w:t>, which found a predominance on the left side with 60</w:t>
      </w:r>
      <w:r w:rsidRPr="002B77D1">
        <w:rPr>
          <w:rFonts w:asciiTheme="minorHAnsi" w:hAnsiTheme="minorHAnsi" w:cstheme="minorHAnsi"/>
          <w:sz w:val="22"/>
          <w:szCs w:val="22"/>
          <w:highlight w:val="yellow"/>
        </w:rPr>
        <w:t>%</w:t>
      </w:r>
      <w:r w:rsidR="007F5F4D">
        <w:rPr>
          <w:rFonts w:asciiTheme="minorHAnsi" w:hAnsiTheme="minorHAnsi" w:cstheme="minorHAnsi"/>
          <w:sz w:val="22"/>
          <w:szCs w:val="22"/>
          <w:highlight w:val="yellow"/>
        </w:rPr>
        <w:t xml:space="preserve"> </w:t>
      </w:r>
      <w:r w:rsidRPr="002B77D1">
        <w:rPr>
          <w:rFonts w:asciiTheme="minorHAnsi" w:hAnsiTheme="minorHAnsi" w:cstheme="minorHAnsi"/>
          <w:sz w:val="22"/>
          <w:szCs w:val="22"/>
          <w:highlight w:val="yellow"/>
        </w:rPr>
        <w:t>[1</w:t>
      </w:r>
      <w:r w:rsidR="00052071">
        <w:rPr>
          <w:rFonts w:asciiTheme="minorHAnsi" w:hAnsiTheme="minorHAnsi" w:cstheme="minorHAnsi"/>
          <w:sz w:val="22"/>
          <w:szCs w:val="22"/>
          <w:highlight w:val="yellow"/>
        </w:rPr>
        <w:t>3</w:t>
      </w:r>
      <w:r w:rsidRPr="002B77D1">
        <w:rPr>
          <w:rFonts w:asciiTheme="minorHAnsi" w:hAnsiTheme="minorHAnsi" w:cstheme="minorHAnsi"/>
          <w:sz w:val="22"/>
          <w:szCs w:val="22"/>
          <w:highlight w:val="yellow"/>
        </w:rPr>
        <w:t>].</w:t>
      </w:r>
      <w:r w:rsidRPr="00964F6D">
        <w:rPr>
          <w:rFonts w:asciiTheme="minorHAnsi" w:hAnsiTheme="minorHAnsi" w:cstheme="minorHAnsi"/>
          <w:sz w:val="22"/>
          <w:szCs w:val="22"/>
        </w:rPr>
        <w:t xml:space="preserve"> This difference could be explained by the sample sizes of the two studies. The middle third was the preferred site of fracture (51.54%), which is consistent with the study by </w:t>
      </w:r>
      <w:r w:rsidR="00C91E46">
        <w:rPr>
          <w:rFonts w:asciiTheme="minorHAnsi" w:hAnsiTheme="minorHAnsi" w:cstheme="minorHAnsi"/>
          <w:sz w:val="22"/>
          <w:szCs w:val="22"/>
        </w:rPr>
        <w:t xml:space="preserve">Nana </w:t>
      </w:r>
      <w:r w:rsidR="00C91E46" w:rsidRPr="00964F6D">
        <w:rPr>
          <w:rFonts w:asciiTheme="minorHAnsi" w:hAnsiTheme="minorHAnsi" w:cstheme="minorHAnsi"/>
          <w:sz w:val="22"/>
          <w:szCs w:val="22"/>
        </w:rPr>
        <w:t xml:space="preserve">et al. </w:t>
      </w:r>
      <w:proofErr w:type="gramStart"/>
      <w:r w:rsidR="00C91E46" w:rsidRPr="00964F6D">
        <w:rPr>
          <w:rFonts w:asciiTheme="minorHAnsi" w:hAnsiTheme="minorHAnsi" w:cstheme="minorHAnsi"/>
          <w:sz w:val="22"/>
          <w:szCs w:val="22"/>
        </w:rPr>
        <w:t>in</w:t>
      </w:r>
      <w:proofErr w:type="gramEnd"/>
      <w:r w:rsidR="00C91E46" w:rsidRPr="00964F6D">
        <w:rPr>
          <w:rFonts w:asciiTheme="minorHAnsi" w:hAnsiTheme="minorHAnsi" w:cstheme="minorHAnsi"/>
          <w:sz w:val="22"/>
          <w:szCs w:val="22"/>
        </w:rPr>
        <w:t xml:space="preserve"> Cameroon</w:t>
      </w:r>
      <w:r w:rsidR="00C91E46">
        <w:rPr>
          <w:rFonts w:asciiTheme="minorHAnsi" w:hAnsiTheme="minorHAnsi" w:cstheme="minorHAnsi"/>
          <w:sz w:val="22"/>
          <w:szCs w:val="22"/>
        </w:rPr>
        <w:t xml:space="preserve"> and </w:t>
      </w:r>
      <w:r w:rsidRPr="00964F6D">
        <w:rPr>
          <w:rFonts w:asciiTheme="minorHAnsi" w:hAnsiTheme="minorHAnsi" w:cstheme="minorHAnsi"/>
          <w:sz w:val="22"/>
          <w:szCs w:val="22"/>
        </w:rPr>
        <w:t xml:space="preserve">Diallo et al. </w:t>
      </w:r>
      <w:proofErr w:type="gramStart"/>
      <w:r w:rsidRPr="00964F6D">
        <w:rPr>
          <w:rFonts w:asciiTheme="minorHAnsi" w:hAnsiTheme="minorHAnsi" w:cstheme="minorHAnsi"/>
          <w:sz w:val="22"/>
          <w:szCs w:val="22"/>
        </w:rPr>
        <w:t>in</w:t>
      </w:r>
      <w:proofErr w:type="gramEnd"/>
      <w:r w:rsidRPr="00964F6D">
        <w:rPr>
          <w:rFonts w:asciiTheme="minorHAnsi" w:hAnsiTheme="minorHAnsi" w:cstheme="minorHAnsi"/>
          <w:sz w:val="22"/>
          <w:szCs w:val="22"/>
        </w:rPr>
        <w:t xml:space="preserve"> Mali in 202</w:t>
      </w:r>
      <w:r w:rsidR="00C91E46">
        <w:rPr>
          <w:rFonts w:asciiTheme="minorHAnsi" w:hAnsiTheme="minorHAnsi" w:cstheme="minorHAnsi"/>
          <w:sz w:val="22"/>
          <w:szCs w:val="22"/>
        </w:rPr>
        <w:t>3</w:t>
      </w:r>
      <w:r w:rsidR="00CE5175">
        <w:rPr>
          <w:rFonts w:asciiTheme="minorHAnsi" w:hAnsiTheme="minorHAnsi" w:cstheme="minorHAnsi"/>
          <w:sz w:val="22"/>
          <w:szCs w:val="22"/>
        </w:rPr>
        <w:t xml:space="preserve">, Testa G et al. In Italy in 2017 and Fu F et al. In 2025 </w:t>
      </w:r>
      <w:r w:rsidRPr="002B77D1">
        <w:rPr>
          <w:rFonts w:asciiTheme="minorHAnsi" w:hAnsiTheme="minorHAnsi" w:cstheme="minorHAnsi"/>
          <w:sz w:val="22"/>
          <w:szCs w:val="22"/>
          <w:highlight w:val="yellow"/>
        </w:rPr>
        <w:t>[</w:t>
      </w:r>
      <w:r w:rsidR="00C91E46">
        <w:rPr>
          <w:rFonts w:asciiTheme="minorHAnsi" w:hAnsiTheme="minorHAnsi" w:cstheme="minorHAnsi"/>
          <w:sz w:val="22"/>
          <w:szCs w:val="22"/>
          <w:highlight w:val="yellow"/>
        </w:rPr>
        <w:t>10,13</w:t>
      </w:r>
      <w:r w:rsidR="00CE5175">
        <w:rPr>
          <w:rFonts w:asciiTheme="minorHAnsi" w:hAnsiTheme="minorHAnsi" w:cstheme="minorHAnsi"/>
          <w:sz w:val="22"/>
          <w:szCs w:val="22"/>
        </w:rPr>
        <w:t>,14,15</w:t>
      </w:r>
      <w:r w:rsidRPr="00964F6D">
        <w:rPr>
          <w:rFonts w:asciiTheme="minorHAnsi" w:hAnsiTheme="minorHAnsi" w:cstheme="minorHAnsi"/>
          <w:sz w:val="22"/>
          <w:szCs w:val="22"/>
        </w:rPr>
        <w:t xml:space="preserve">]. This predominance in the middle third of the femoral diaphysis could be explained by the fact that the torsional force may be higher in this part of the bone </w:t>
      </w:r>
      <w:r w:rsidRPr="002B77D1">
        <w:rPr>
          <w:rFonts w:asciiTheme="minorHAnsi" w:hAnsiTheme="minorHAnsi" w:cstheme="minorHAnsi"/>
          <w:sz w:val="22"/>
          <w:szCs w:val="22"/>
          <w:highlight w:val="yellow"/>
        </w:rPr>
        <w:t>[</w:t>
      </w:r>
      <w:proofErr w:type="gramStart"/>
      <w:r w:rsidRPr="002B77D1">
        <w:rPr>
          <w:rFonts w:asciiTheme="minorHAnsi" w:hAnsiTheme="minorHAnsi" w:cstheme="minorHAnsi"/>
          <w:sz w:val="22"/>
          <w:szCs w:val="22"/>
          <w:highlight w:val="yellow"/>
        </w:rPr>
        <w:t>1</w:t>
      </w:r>
      <w:r w:rsidR="00CE5175">
        <w:rPr>
          <w:rFonts w:asciiTheme="minorHAnsi" w:hAnsiTheme="minorHAnsi" w:cstheme="minorHAnsi"/>
          <w:sz w:val="22"/>
          <w:szCs w:val="22"/>
          <w:highlight w:val="yellow"/>
        </w:rPr>
        <w:t>6</w:t>
      </w:r>
      <w:r w:rsidR="00C91E46">
        <w:rPr>
          <w:rFonts w:asciiTheme="minorHAnsi" w:hAnsiTheme="minorHAnsi" w:cstheme="minorHAnsi"/>
          <w:sz w:val="22"/>
          <w:szCs w:val="22"/>
          <w:highlight w:val="yellow"/>
        </w:rPr>
        <w:t xml:space="preserve"> </w:t>
      </w:r>
      <w:r w:rsidRPr="002B77D1">
        <w:rPr>
          <w:rFonts w:asciiTheme="minorHAnsi" w:hAnsiTheme="minorHAnsi" w:cstheme="minorHAnsi"/>
          <w:sz w:val="22"/>
          <w:szCs w:val="22"/>
          <w:highlight w:val="yellow"/>
        </w:rPr>
        <w:t>]</w:t>
      </w:r>
      <w:proofErr w:type="gramEnd"/>
      <w:r w:rsidRPr="002B77D1">
        <w:rPr>
          <w:rFonts w:asciiTheme="minorHAnsi" w:hAnsiTheme="minorHAnsi" w:cstheme="minorHAnsi"/>
          <w:sz w:val="22"/>
          <w:szCs w:val="22"/>
          <w:highlight w:val="yellow"/>
        </w:rPr>
        <w:t>.</w:t>
      </w:r>
    </w:p>
    <w:p w14:paraId="25A2EE02" w14:textId="60E0C98E"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Closed fractures were more common (74.62%). This result is more or less similar to that reported by Bombah et al. </w:t>
      </w:r>
      <w:proofErr w:type="gramStart"/>
      <w:r w:rsidRPr="00964F6D">
        <w:rPr>
          <w:rFonts w:asciiTheme="minorHAnsi" w:hAnsiTheme="minorHAnsi" w:cstheme="minorHAnsi"/>
          <w:sz w:val="22"/>
          <w:szCs w:val="22"/>
        </w:rPr>
        <w:t>at</w:t>
      </w:r>
      <w:proofErr w:type="gramEnd"/>
      <w:r w:rsidRPr="00964F6D">
        <w:rPr>
          <w:rFonts w:asciiTheme="minorHAnsi" w:hAnsiTheme="minorHAnsi" w:cstheme="minorHAnsi"/>
          <w:sz w:val="22"/>
          <w:szCs w:val="22"/>
        </w:rPr>
        <w:t xml:space="preserve"> the Ebolowa </w:t>
      </w:r>
      <w:r w:rsidR="003E2436">
        <w:rPr>
          <w:rFonts w:asciiTheme="minorHAnsi" w:hAnsiTheme="minorHAnsi" w:cstheme="minorHAnsi"/>
          <w:sz w:val="22"/>
          <w:szCs w:val="22"/>
        </w:rPr>
        <w:t xml:space="preserve">Centre Regional </w:t>
      </w:r>
      <w:r w:rsidRPr="00964F6D">
        <w:rPr>
          <w:rFonts w:asciiTheme="minorHAnsi" w:hAnsiTheme="minorHAnsi" w:cstheme="minorHAnsi"/>
          <w:sz w:val="22"/>
          <w:szCs w:val="22"/>
        </w:rPr>
        <w:t>Hospital in 2025, which was 71.9</w:t>
      </w:r>
      <w:r w:rsidRPr="007F5F4D">
        <w:rPr>
          <w:rFonts w:asciiTheme="minorHAnsi" w:hAnsiTheme="minorHAnsi" w:cstheme="minorHAnsi"/>
          <w:sz w:val="22"/>
          <w:szCs w:val="22"/>
          <w:highlight w:val="yellow"/>
        </w:rPr>
        <w:t>% [1</w:t>
      </w:r>
      <w:r w:rsidR="00CE5175">
        <w:rPr>
          <w:rFonts w:asciiTheme="minorHAnsi" w:hAnsiTheme="minorHAnsi" w:cstheme="minorHAnsi"/>
          <w:sz w:val="22"/>
          <w:szCs w:val="22"/>
          <w:highlight w:val="yellow"/>
        </w:rPr>
        <w:t>7</w:t>
      </w:r>
      <w:r w:rsidRPr="007F5F4D">
        <w:rPr>
          <w:rFonts w:asciiTheme="minorHAnsi" w:hAnsiTheme="minorHAnsi" w:cstheme="minorHAnsi"/>
          <w:sz w:val="22"/>
          <w:szCs w:val="22"/>
          <w:highlight w:val="yellow"/>
        </w:rPr>
        <w:t>].</w:t>
      </w:r>
      <w:r w:rsidRPr="00964F6D">
        <w:rPr>
          <w:rFonts w:asciiTheme="minorHAnsi" w:hAnsiTheme="minorHAnsi" w:cstheme="minorHAnsi"/>
          <w:sz w:val="22"/>
          <w:szCs w:val="22"/>
        </w:rPr>
        <w:t xml:space="preserve"> This could be explained by the fact that this study focused on the diaphyses of all long bones, unlike our study, which focused solely on </w:t>
      </w:r>
      <w:r w:rsidRPr="007F5F4D">
        <w:rPr>
          <w:rFonts w:asciiTheme="minorHAnsi" w:hAnsiTheme="minorHAnsi" w:cstheme="minorHAnsi"/>
          <w:sz w:val="22"/>
          <w:szCs w:val="22"/>
          <w:highlight w:val="yellow"/>
        </w:rPr>
        <w:t>the femur.</w:t>
      </w:r>
      <w:r w:rsidRPr="00964F6D">
        <w:rPr>
          <w:rFonts w:asciiTheme="minorHAnsi" w:hAnsiTheme="minorHAnsi" w:cstheme="minorHAnsi"/>
          <w:sz w:val="22"/>
          <w:szCs w:val="22"/>
        </w:rPr>
        <w:t xml:space="preserve"> Furthermore, this data remains lower than that reported by Gianluca et al. </w:t>
      </w:r>
      <w:proofErr w:type="gramStart"/>
      <w:r w:rsidRPr="00964F6D">
        <w:rPr>
          <w:rFonts w:asciiTheme="minorHAnsi" w:hAnsiTheme="minorHAnsi" w:cstheme="minorHAnsi"/>
          <w:sz w:val="22"/>
          <w:szCs w:val="22"/>
        </w:rPr>
        <w:t>in</w:t>
      </w:r>
      <w:proofErr w:type="gramEnd"/>
      <w:r w:rsidRPr="00964F6D">
        <w:rPr>
          <w:rFonts w:asciiTheme="minorHAnsi" w:hAnsiTheme="minorHAnsi" w:cstheme="minorHAnsi"/>
          <w:sz w:val="22"/>
          <w:szCs w:val="22"/>
        </w:rPr>
        <w:t xml:space="preserve"> Italy in 2024 and that of Fonkoué et al. </w:t>
      </w:r>
      <w:proofErr w:type="gramStart"/>
      <w:r w:rsidRPr="00964F6D">
        <w:rPr>
          <w:rFonts w:asciiTheme="minorHAnsi" w:hAnsiTheme="minorHAnsi" w:cstheme="minorHAnsi"/>
          <w:sz w:val="22"/>
          <w:szCs w:val="22"/>
        </w:rPr>
        <w:t>in</w:t>
      </w:r>
      <w:proofErr w:type="gramEnd"/>
      <w:r w:rsidRPr="00964F6D">
        <w:rPr>
          <w:rFonts w:asciiTheme="minorHAnsi" w:hAnsiTheme="minorHAnsi" w:cstheme="minorHAnsi"/>
          <w:sz w:val="22"/>
          <w:szCs w:val="22"/>
        </w:rPr>
        <w:t xml:space="preserve"> Yaoundé in 2024, which had closed fracture proportions of 83.91% and 83%, respectively. Our study was conducted in </w:t>
      </w:r>
      <w:proofErr w:type="gramStart"/>
      <w:r w:rsidRPr="00964F6D">
        <w:rPr>
          <w:rFonts w:asciiTheme="minorHAnsi" w:hAnsiTheme="minorHAnsi" w:cstheme="minorHAnsi"/>
          <w:sz w:val="22"/>
          <w:szCs w:val="22"/>
        </w:rPr>
        <w:t>a</w:t>
      </w:r>
      <w:proofErr w:type="gramEnd"/>
      <w:r w:rsidRPr="00964F6D">
        <w:rPr>
          <w:rFonts w:asciiTheme="minorHAnsi" w:hAnsiTheme="minorHAnsi" w:cstheme="minorHAnsi"/>
          <w:sz w:val="22"/>
          <w:szCs w:val="22"/>
        </w:rPr>
        <w:t xml:space="preserve"> semi-urban environment, with freer road infrastructure allowing high speeds, frequent interurban travel on busy roads, and less experienced drivers, leading to devastating collisions, unlike Yaoundé, which is an urban city, and Italy, which is a developed country with state-of-the-art infrastructure and more stringent regulations. Closed fractures are also more common among traditional masseurs in the suburbs than open fractures.</w:t>
      </w:r>
    </w:p>
    <w:p w14:paraId="68547285" w14:textId="21ED7F6A" w:rsidR="00101819" w:rsidRPr="00964F6D" w:rsidRDefault="00101819" w:rsidP="004F6942">
      <w:pPr>
        <w:pStyle w:val="NormalWeb"/>
        <w:spacing w:before="0" w:beforeAutospacing="0" w:after="0" w:afterAutospacing="0" w:line="360" w:lineRule="auto"/>
        <w:jc w:val="both"/>
        <w:rPr>
          <w:rFonts w:asciiTheme="minorHAnsi" w:hAnsiTheme="minorHAnsi" w:cstheme="minorHAnsi"/>
          <w:sz w:val="22"/>
          <w:szCs w:val="22"/>
        </w:rPr>
      </w:pPr>
      <w:r w:rsidRPr="00964F6D">
        <w:rPr>
          <w:rFonts w:asciiTheme="minorHAnsi" w:hAnsiTheme="minorHAnsi" w:cstheme="minorHAnsi"/>
          <w:sz w:val="22"/>
          <w:szCs w:val="22"/>
        </w:rPr>
        <w:t xml:space="preserve">Finally, 67.31% of patients had an isolated fracture, while 32.69% had other associated injuries, particularly pelvic or cranial injuries. This confirms the data showing that diaphyseal femur fractures often occur in a context of multiple trauma. In terms of morphological assessment, type A (51.54%) was predominant, and the most common subtype was A2, accounting for 30.77%. This result is </w:t>
      </w:r>
      <w:r w:rsidR="00A0040F" w:rsidRPr="007F5F4D">
        <w:rPr>
          <w:rFonts w:asciiTheme="minorHAnsi" w:hAnsiTheme="minorHAnsi" w:cstheme="minorHAnsi"/>
          <w:sz w:val="22"/>
          <w:szCs w:val="22"/>
          <w:highlight w:val="yellow"/>
        </w:rPr>
        <w:t>low</w:t>
      </w:r>
      <w:r w:rsidRPr="007F5F4D">
        <w:rPr>
          <w:rFonts w:asciiTheme="minorHAnsi" w:hAnsiTheme="minorHAnsi" w:cstheme="minorHAnsi"/>
          <w:sz w:val="22"/>
          <w:szCs w:val="22"/>
          <w:highlight w:val="yellow"/>
        </w:rPr>
        <w:t>er than that obtained by</w:t>
      </w:r>
      <w:r w:rsidR="004F6942" w:rsidRPr="007F5F4D">
        <w:rPr>
          <w:rFonts w:asciiTheme="minorHAnsi" w:hAnsiTheme="minorHAnsi" w:cstheme="minorHAnsi"/>
          <w:sz w:val="22"/>
          <w:szCs w:val="22"/>
          <w:highlight w:val="yellow"/>
        </w:rPr>
        <w:t xml:space="preserve"> </w:t>
      </w:r>
      <w:r w:rsidR="00A0040F" w:rsidRPr="007F5F4D">
        <w:rPr>
          <w:rFonts w:asciiTheme="minorHAnsi" w:hAnsiTheme="minorHAnsi" w:cstheme="minorHAnsi"/>
          <w:sz w:val="22"/>
          <w:szCs w:val="22"/>
          <w:highlight w:val="yellow"/>
        </w:rPr>
        <w:t>Ngo Ngote U</w:t>
      </w:r>
      <w:r w:rsidRPr="00964F6D">
        <w:rPr>
          <w:rFonts w:asciiTheme="minorHAnsi" w:hAnsiTheme="minorHAnsi" w:cstheme="minorHAnsi"/>
          <w:sz w:val="22"/>
          <w:szCs w:val="22"/>
        </w:rPr>
        <w:t xml:space="preserve"> in Cameroon in 202</w:t>
      </w:r>
      <w:r w:rsidR="004F6942">
        <w:rPr>
          <w:rFonts w:asciiTheme="minorHAnsi" w:hAnsiTheme="minorHAnsi" w:cstheme="minorHAnsi"/>
          <w:sz w:val="22"/>
          <w:szCs w:val="22"/>
        </w:rPr>
        <w:t>3</w:t>
      </w:r>
      <w:r w:rsidRPr="00964F6D">
        <w:rPr>
          <w:rFonts w:asciiTheme="minorHAnsi" w:hAnsiTheme="minorHAnsi" w:cstheme="minorHAnsi"/>
          <w:sz w:val="22"/>
          <w:szCs w:val="22"/>
        </w:rPr>
        <w:t xml:space="preserve">, who recorded type A fractures with frequencies </w:t>
      </w:r>
      <w:r w:rsidRPr="007F5F4D">
        <w:rPr>
          <w:rFonts w:asciiTheme="minorHAnsi" w:hAnsiTheme="minorHAnsi" w:cstheme="minorHAnsi"/>
          <w:sz w:val="22"/>
          <w:szCs w:val="22"/>
          <w:highlight w:val="yellow"/>
        </w:rPr>
        <w:t xml:space="preserve">of </w:t>
      </w:r>
      <w:r w:rsidR="00A0040F" w:rsidRPr="007F5F4D">
        <w:rPr>
          <w:rFonts w:asciiTheme="minorHAnsi" w:hAnsiTheme="minorHAnsi" w:cstheme="minorHAnsi"/>
          <w:sz w:val="22"/>
          <w:szCs w:val="22"/>
          <w:highlight w:val="yellow"/>
        </w:rPr>
        <w:t>55</w:t>
      </w:r>
      <w:r w:rsidRPr="007F5F4D">
        <w:rPr>
          <w:rFonts w:asciiTheme="minorHAnsi" w:hAnsiTheme="minorHAnsi" w:cstheme="minorHAnsi"/>
          <w:sz w:val="22"/>
          <w:szCs w:val="22"/>
          <w:highlight w:val="yellow"/>
        </w:rPr>
        <w:t>.</w:t>
      </w:r>
      <w:r w:rsidR="00A0040F" w:rsidRPr="007F5F4D">
        <w:rPr>
          <w:rFonts w:asciiTheme="minorHAnsi" w:hAnsiTheme="minorHAnsi" w:cstheme="minorHAnsi"/>
          <w:sz w:val="22"/>
          <w:szCs w:val="22"/>
          <w:highlight w:val="yellow"/>
        </w:rPr>
        <w:t>3</w:t>
      </w:r>
      <w:proofErr w:type="gramStart"/>
      <w:r w:rsidRPr="007F5F4D">
        <w:rPr>
          <w:rFonts w:asciiTheme="minorHAnsi" w:hAnsiTheme="minorHAnsi" w:cstheme="minorHAnsi"/>
          <w:sz w:val="22"/>
          <w:szCs w:val="22"/>
          <w:highlight w:val="yellow"/>
        </w:rPr>
        <w:t>%[</w:t>
      </w:r>
      <w:proofErr w:type="gramEnd"/>
      <w:r w:rsidR="00CE5175">
        <w:rPr>
          <w:rFonts w:asciiTheme="minorHAnsi" w:hAnsiTheme="minorHAnsi" w:cstheme="minorHAnsi"/>
          <w:sz w:val="22"/>
          <w:szCs w:val="22"/>
          <w:highlight w:val="yellow"/>
        </w:rPr>
        <w:t>6</w:t>
      </w:r>
      <w:r w:rsidRPr="007F5F4D">
        <w:rPr>
          <w:rFonts w:asciiTheme="minorHAnsi" w:hAnsiTheme="minorHAnsi" w:cstheme="minorHAnsi"/>
          <w:sz w:val="22"/>
          <w:szCs w:val="22"/>
          <w:highlight w:val="yellow"/>
        </w:rPr>
        <w:t>].</w:t>
      </w:r>
      <w:r w:rsidRPr="00964F6D">
        <w:rPr>
          <w:rFonts w:asciiTheme="minorHAnsi" w:hAnsiTheme="minorHAnsi" w:cstheme="minorHAnsi"/>
          <w:sz w:val="22"/>
          <w:szCs w:val="22"/>
        </w:rPr>
        <w:t xml:space="preserve"> </w:t>
      </w:r>
    </w:p>
    <w:p w14:paraId="6F6B4C15" w14:textId="77777777" w:rsidR="00CE5175" w:rsidRDefault="00CE5175" w:rsidP="00B53E8B">
      <w:pPr>
        <w:pStyle w:val="NormalWeb"/>
        <w:spacing w:before="0" w:beforeAutospacing="0" w:after="0" w:afterAutospacing="0"/>
        <w:jc w:val="both"/>
        <w:rPr>
          <w:rFonts w:asciiTheme="minorHAnsi" w:hAnsiTheme="minorHAnsi" w:cstheme="minorHAnsi"/>
          <w:b/>
          <w:bCs/>
          <w:sz w:val="22"/>
          <w:szCs w:val="22"/>
        </w:rPr>
      </w:pPr>
    </w:p>
    <w:p w14:paraId="379A3B6D" w14:textId="77777777" w:rsidR="00CE5175" w:rsidRDefault="00CE5175" w:rsidP="00B53E8B">
      <w:pPr>
        <w:pStyle w:val="NormalWeb"/>
        <w:spacing w:before="0" w:beforeAutospacing="0" w:after="0" w:afterAutospacing="0"/>
        <w:jc w:val="both"/>
        <w:rPr>
          <w:rFonts w:asciiTheme="minorHAnsi" w:hAnsiTheme="minorHAnsi" w:cstheme="minorHAnsi"/>
          <w:b/>
          <w:bCs/>
          <w:sz w:val="22"/>
          <w:szCs w:val="22"/>
        </w:rPr>
      </w:pPr>
    </w:p>
    <w:p w14:paraId="3AFF4ED6" w14:textId="0252A540"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V.1.3. Therapeutic profile</w:t>
      </w:r>
    </w:p>
    <w:p w14:paraId="6F803A3C" w14:textId="5368EDB8"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In our study, 100% of patients underwent surgical treatment. This result is similar to the study conducted </w:t>
      </w:r>
      <w:r w:rsidRPr="007F5F4D">
        <w:rPr>
          <w:rFonts w:asciiTheme="minorHAnsi" w:hAnsiTheme="minorHAnsi" w:cstheme="minorHAnsi"/>
          <w:sz w:val="22"/>
          <w:szCs w:val="22"/>
          <w:highlight w:val="yellow"/>
        </w:rPr>
        <w:t xml:space="preserve">by </w:t>
      </w:r>
      <w:r w:rsidR="00FD4C38" w:rsidRPr="007F5F4D">
        <w:rPr>
          <w:rFonts w:asciiTheme="minorHAnsi" w:hAnsiTheme="minorHAnsi" w:cstheme="minorHAnsi"/>
          <w:sz w:val="22"/>
          <w:szCs w:val="22"/>
          <w:highlight w:val="yellow"/>
        </w:rPr>
        <w:t>Ngo Ngote U</w:t>
      </w:r>
      <w:r w:rsidR="00A648A1" w:rsidRPr="007F5F4D">
        <w:rPr>
          <w:rFonts w:asciiTheme="minorHAnsi" w:hAnsiTheme="minorHAnsi" w:cstheme="minorHAnsi"/>
          <w:sz w:val="22"/>
          <w:szCs w:val="22"/>
          <w:highlight w:val="yellow"/>
        </w:rPr>
        <w:t xml:space="preserve"> </w:t>
      </w:r>
      <w:r w:rsidRPr="007F5F4D">
        <w:rPr>
          <w:rFonts w:asciiTheme="minorHAnsi" w:hAnsiTheme="minorHAnsi" w:cstheme="minorHAnsi"/>
          <w:sz w:val="22"/>
          <w:szCs w:val="22"/>
          <w:highlight w:val="yellow"/>
        </w:rPr>
        <w:t>et al</w:t>
      </w:r>
      <w:r w:rsidR="00A648A1" w:rsidRPr="007F5F4D">
        <w:rPr>
          <w:rFonts w:asciiTheme="minorHAnsi" w:hAnsiTheme="minorHAnsi" w:cstheme="minorHAnsi"/>
          <w:sz w:val="22"/>
          <w:szCs w:val="22"/>
          <w:highlight w:val="yellow"/>
        </w:rPr>
        <w:t>.</w:t>
      </w:r>
      <w:r w:rsidRPr="007F5F4D">
        <w:rPr>
          <w:rFonts w:asciiTheme="minorHAnsi" w:hAnsiTheme="minorHAnsi" w:cstheme="minorHAnsi"/>
          <w:sz w:val="22"/>
          <w:szCs w:val="22"/>
          <w:highlight w:val="yellow"/>
        </w:rPr>
        <w:t xml:space="preserve"> </w:t>
      </w:r>
      <w:proofErr w:type="gramStart"/>
      <w:r w:rsidRPr="007F5F4D">
        <w:rPr>
          <w:rFonts w:asciiTheme="minorHAnsi" w:hAnsiTheme="minorHAnsi" w:cstheme="minorHAnsi"/>
          <w:sz w:val="22"/>
          <w:szCs w:val="22"/>
          <w:highlight w:val="yellow"/>
        </w:rPr>
        <w:t>in</w:t>
      </w:r>
      <w:proofErr w:type="gramEnd"/>
      <w:r w:rsidRPr="007F5F4D">
        <w:rPr>
          <w:rFonts w:asciiTheme="minorHAnsi" w:hAnsiTheme="minorHAnsi" w:cstheme="minorHAnsi"/>
          <w:sz w:val="22"/>
          <w:szCs w:val="22"/>
          <w:highlight w:val="yellow"/>
        </w:rPr>
        <w:t xml:space="preserve"> </w:t>
      </w:r>
      <w:r w:rsidR="00A648A1" w:rsidRPr="007F5F4D">
        <w:rPr>
          <w:rFonts w:asciiTheme="minorHAnsi" w:hAnsiTheme="minorHAnsi" w:cstheme="minorHAnsi"/>
          <w:sz w:val="22"/>
          <w:szCs w:val="22"/>
          <w:highlight w:val="yellow"/>
        </w:rPr>
        <w:t>Cameroon</w:t>
      </w:r>
      <w:r w:rsidRPr="007F5F4D">
        <w:rPr>
          <w:rFonts w:asciiTheme="minorHAnsi" w:hAnsiTheme="minorHAnsi" w:cstheme="minorHAnsi"/>
          <w:sz w:val="22"/>
          <w:szCs w:val="22"/>
          <w:highlight w:val="yellow"/>
        </w:rPr>
        <w:t xml:space="preserve">, which reported </w:t>
      </w:r>
      <w:r w:rsidR="00A648A1" w:rsidRPr="007F5F4D">
        <w:rPr>
          <w:rFonts w:asciiTheme="minorHAnsi" w:hAnsiTheme="minorHAnsi" w:cstheme="minorHAnsi"/>
          <w:sz w:val="22"/>
          <w:szCs w:val="22"/>
          <w:highlight w:val="yellow"/>
        </w:rPr>
        <w:t>in 202</w:t>
      </w:r>
      <w:r w:rsidR="00FD4C38" w:rsidRPr="007F5F4D">
        <w:rPr>
          <w:rFonts w:asciiTheme="minorHAnsi" w:hAnsiTheme="minorHAnsi" w:cstheme="minorHAnsi"/>
          <w:sz w:val="22"/>
          <w:szCs w:val="22"/>
          <w:highlight w:val="yellow"/>
        </w:rPr>
        <w:t>3</w:t>
      </w:r>
      <w:r w:rsidR="00A648A1" w:rsidRPr="007F5F4D">
        <w:rPr>
          <w:rFonts w:asciiTheme="minorHAnsi" w:hAnsiTheme="minorHAnsi" w:cstheme="minorHAnsi"/>
          <w:sz w:val="22"/>
          <w:szCs w:val="22"/>
          <w:highlight w:val="yellow"/>
        </w:rPr>
        <w:t xml:space="preserve">, </w:t>
      </w:r>
      <w:r w:rsidRPr="007F5F4D">
        <w:rPr>
          <w:rFonts w:asciiTheme="minorHAnsi" w:hAnsiTheme="minorHAnsi" w:cstheme="minorHAnsi"/>
          <w:sz w:val="22"/>
          <w:szCs w:val="22"/>
          <w:highlight w:val="yellow"/>
        </w:rPr>
        <w:t xml:space="preserve">a frequency of </w:t>
      </w:r>
      <w:r w:rsidR="00A648A1" w:rsidRPr="007F5F4D">
        <w:rPr>
          <w:rFonts w:asciiTheme="minorHAnsi" w:hAnsiTheme="minorHAnsi" w:cstheme="minorHAnsi"/>
          <w:sz w:val="22"/>
          <w:szCs w:val="22"/>
          <w:highlight w:val="yellow"/>
        </w:rPr>
        <w:t xml:space="preserve">100 </w:t>
      </w:r>
      <w:r w:rsidRPr="007F5F4D">
        <w:rPr>
          <w:rFonts w:asciiTheme="minorHAnsi" w:hAnsiTheme="minorHAnsi" w:cstheme="minorHAnsi"/>
          <w:sz w:val="22"/>
          <w:szCs w:val="22"/>
          <w:highlight w:val="yellow"/>
        </w:rPr>
        <w:t>%[</w:t>
      </w:r>
      <w:r w:rsidR="00CE5175">
        <w:rPr>
          <w:rFonts w:asciiTheme="minorHAnsi" w:hAnsiTheme="minorHAnsi" w:cstheme="minorHAnsi"/>
          <w:sz w:val="22"/>
          <w:szCs w:val="22"/>
          <w:highlight w:val="yellow"/>
        </w:rPr>
        <w:t>6</w:t>
      </w:r>
      <w:r w:rsidRPr="007F5F4D">
        <w:rPr>
          <w:rFonts w:asciiTheme="minorHAnsi" w:hAnsiTheme="minorHAnsi" w:cstheme="minorHAnsi"/>
          <w:sz w:val="22"/>
          <w:szCs w:val="22"/>
          <w:highlight w:val="yellow"/>
        </w:rPr>
        <w:t>]</w:t>
      </w:r>
      <w:r w:rsidR="00A648A1" w:rsidRPr="007F5F4D">
        <w:rPr>
          <w:rFonts w:asciiTheme="minorHAnsi" w:hAnsiTheme="minorHAnsi" w:cstheme="minorHAnsi"/>
          <w:sz w:val="22"/>
          <w:szCs w:val="22"/>
          <w:highlight w:val="yellow"/>
        </w:rPr>
        <w:t xml:space="preserve"> </w:t>
      </w:r>
      <w:r w:rsidR="00FD4C38" w:rsidRPr="007F5F4D">
        <w:rPr>
          <w:rFonts w:asciiTheme="minorHAnsi" w:hAnsiTheme="minorHAnsi" w:cstheme="minorHAnsi"/>
          <w:sz w:val="22"/>
          <w:szCs w:val="22"/>
          <w:highlight w:val="yellow"/>
        </w:rPr>
        <w:t>.</w:t>
      </w:r>
      <w:r w:rsidR="00FD4C38">
        <w:rPr>
          <w:rFonts w:asciiTheme="minorHAnsi" w:hAnsiTheme="minorHAnsi" w:cstheme="minorHAnsi"/>
          <w:sz w:val="22"/>
          <w:szCs w:val="22"/>
        </w:rPr>
        <w:t xml:space="preserve"> </w:t>
      </w:r>
      <w:r w:rsidRPr="00964F6D">
        <w:rPr>
          <w:rFonts w:asciiTheme="minorHAnsi" w:hAnsiTheme="minorHAnsi" w:cstheme="minorHAnsi"/>
          <w:sz w:val="22"/>
          <w:szCs w:val="22"/>
        </w:rPr>
        <w:t>This could be explained by the need for surgical treatment in adults</w:t>
      </w:r>
      <w:r w:rsidR="00A648A1">
        <w:rPr>
          <w:rFonts w:asciiTheme="minorHAnsi" w:hAnsiTheme="minorHAnsi" w:cstheme="minorHAnsi"/>
          <w:sz w:val="22"/>
          <w:szCs w:val="22"/>
        </w:rPr>
        <w:t xml:space="preserve"> for femoral </w:t>
      </w:r>
      <w:r w:rsidR="00FD4C38">
        <w:rPr>
          <w:rFonts w:asciiTheme="minorHAnsi" w:hAnsiTheme="minorHAnsi" w:cstheme="minorHAnsi"/>
          <w:sz w:val="22"/>
          <w:szCs w:val="22"/>
        </w:rPr>
        <w:t>shaft fractures</w:t>
      </w:r>
      <w:r w:rsidRPr="00964F6D">
        <w:rPr>
          <w:rFonts w:asciiTheme="minorHAnsi" w:hAnsiTheme="minorHAnsi" w:cstheme="minorHAnsi"/>
          <w:sz w:val="22"/>
          <w:szCs w:val="22"/>
        </w:rPr>
        <w:t xml:space="preserve">. </w:t>
      </w:r>
    </w:p>
    <w:p w14:paraId="25470F7A" w14:textId="28A072FA"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Most of the surgery was performed using a closed approach during the study period (52.31%), which differs from the approach used by Fonkoué </w:t>
      </w:r>
      <w:r w:rsidR="00A0040F">
        <w:rPr>
          <w:rFonts w:asciiTheme="minorHAnsi" w:hAnsiTheme="minorHAnsi" w:cstheme="minorHAnsi"/>
          <w:sz w:val="22"/>
          <w:szCs w:val="22"/>
        </w:rPr>
        <w:t xml:space="preserve">Loïc </w:t>
      </w:r>
      <w:r w:rsidRPr="00964F6D">
        <w:rPr>
          <w:rFonts w:asciiTheme="minorHAnsi" w:hAnsiTheme="minorHAnsi" w:cstheme="minorHAnsi"/>
          <w:sz w:val="22"/>
          <w:szCs w:val="22"/>
        </w:rPr>
        <w:t xml:space="preserve">et al. </w:t>
      </w:r>
      <w:proofErr w:type="gramStart"/>
      <w:r w:rsidRPr="00964F6D">
        <w:rPr>
          <w:rFonts w:asciiTheme="minorHAnsi" w:hAnsiTheme="minorHAnsi" w:cstheme="minorHAnsi"/>
          <w:sz w:val="22"/>
          <w:szCs w:val="22"/>
        </w:rPr>
        <w:t>in</w:t>
      </w:r>
      <w:proofErr w:type="gramEnd"/>
      <w:r w:rsidRPr="00964F6D">
        <w:rPr>
          <w:rFonts w:asciiTheme="minorHAnsi" w:hAnsiTheme="minorHAnsi" w:cstheme="minorHAnsi"/>
          <w:sz w:val="22"/>
          <w:szCs w:val="22"/>
        </w:rPr>
        <w:t xml:space="preserve"> 2014 in Yaoundé, who performed open </w:t>
      </w:r>
      <w:r w:rsidRPr="007F5F4D">
        <w:rPr>
          <w:rFonts w:asciiTheme="minorHAnsi" w:hAnsiTheme="minorHAnsi" w:cstheme="minorHAnsi"/>
          <w:sz w:val="22"/>
          <w:szCs w:val="22"/>
          <w:highlight w:val="yellow"/>
        </w:rPr>
        <w:t>osteosynthesis [</w:t>
      </w:r>
      <w:r w:rsidR="00A0040F" w:rsidRPr="007F5F4D">
        <w:rPr>
          <w:rFonts w:asciiTheme="minorHAnsi" w:hAnsiTheme="minorHAnsi" w:cstheme="minorHAnsi"/>
          <w:sz w:val="22"/>
          <w:szCs w:val="22"/>
          <w:highlight w:val="yellow"/>
        </w:rPr>
        <w:t>5</w:t>
      </w:r>
      <w:r w:rsidRPr="007F5F4D">
        <w:rPr>
          <w:rFonts w:asciiTheme="minorHAnsi" w:hAnsiTheme="minorHAnsi" w:cstheme="minorHAnsi"/>
          <w:sz w:val="22"/>
          <w:szCs w:val="22"/>
          <w:highlight w:val="yellow"/>
        </w:rPr>
        <w:t>].</w:t>
      </w:r>
      <w:r w:rsidRPr="00964F6D">
        <w:rPr>
          <w:rFonts w:asciiTheme="minorHAnsi" w:hAnsiTheme="minorHAnsi" w:cstheme="minorHAnsi"/>
          <w:sz w:val="22"/>
          <w:szCs w:val="22"/>
        </w:rPr>
        <w:t xml:space="preserve"> In the event of unavailability of equipment for closed-fracture locked intramedullary </w:t>
      </w:r>
      <w:proofErr w:type="gramStart"/>
      <w:r w:rsidRPr="00964F6D">
        <w:rPr>
          <w:rFonts w:asciiTheme="minorHAnsi" w:hAnsiTheme="minorHAnsi" w:cstheme="minorHAnsi"/>
          <w:sz w:val="22"/>
          <w:szCs w:val="22"/>
        </w:rPr>
        <w:t>nailing:</w:t>
      </w:r>
      <w:proofErr w:type="gramEnd"/>
      <w:r w:rsidRPr="00964F6D">
        <w:rPr>
          <w:rFonts w:asciiTheme="minorHAnsi" w:hAnsiTheme="minorHAnsi" w:cstheme="minorHAnsi"/>
          <w:sz w:val="22"/>
          <w:szCs w:val="22"/>
        </w:rPr>
        <w:t xml:space="preserve"> fluoroscopy, traction table, open-fracture locked nailing remains the most appropriate second-line treatment. </w:t>
      </w:r>
    </w:p>
    <w:p w14:paraId="41554328" w14:textId="22DA8035"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However, in our context, the technique of osteosynthesis using screw plates is still considered. In our series, osteosynthesis using screw plates was performed in 14.62% of patients. This option is sometimes still used in specific contexts (very distal fractures or when other equipment is unavailable), although it is associated with a higher risk of delayed union, pseudarthrosis, and infection in the literature. </w:t>
      </w:r>
      <w:r w:rsidR="00A52644">
        <w:rPr>
          <w:rFonts w:asciiTheme="minorHAnsi" w:hAnsiTheme="minorHAnsi" w:cstheme="minorHAnsi"/>
          <w:sz w:val="22"/>
          <w:szCs w:val="22"/>
        </w:rPr>
        <w:t xml:space="preserve">The pseudarthrosis proportion ranges from 8 to 19% </w:t>
      </w:r>
      <w:r w:rsidR="00A52644" w:rsidRPr="007F5F4D">
        <w:rPr>
          <w:rFonts w:asciiTheme="minorHAnsi" w:hAnsiTheme="minorHAnsi" w:cstheme="minorHAnsi"/>
          <w:sz w:val="22"/>
          <w:szCs w:val="22"/>
          <w:highlight w:val="yellow"/>
        </w:rPr>
        <w:t>[1</w:t>
      </w:r>
      <w:r w:rsidR="00CE5175">
        <w:rPr>
          <w:rFonts w:asciiTheme="minorHAnsi" w:hAnsiTheme="minorHAnsi" w:cstheme="minorHAnsi"/>
          <w:sz w:val="22"/>
          <w:szCs w:val="22"/>
          <w:highlight w:val="yellow"/>
        </w:rPr>
        <w:t>8</w:t>
      </w:r>
      <w:r w:rsidR="00A52644" w:rsidRPr="007F5F4D">
        <w:rPr>
          <w:rFonts w:asciiTheme="minorHAnsi" w:hAnsiTheme="minorHAnsi" w:cstheme="minorHAnsi"/>
          <w:sz w:val="22"/>
          <w:szCs w:val="22"/>
          <w:highlight w:val="yellow"/>
        </w:rPr>
        <w:t>]</w:t>
      </w:r>
      <w:r w:rsidR="00A52644">
        <w:rPr>
          <w:rFonts w:asciiTheme="minorHAnsi" w:hAnsiTheme="minorHAnsi" w:cstheme="minorHAnsi"/>
          <w:sz w:val="22"/>
          <w:szCs w:val="22"/>
        </w:rPr>
        <w:t xml:space="preserve"> </w:t>
      </w:r>
      <w:r w:rsidRPr="00964F6D">
        <w:rPr>
          <w:rFonts w:asciiTheme="minorHAnsi" w:hAnsiTheme="minorHAnsi" w:cstheme="minorHAnsi"/>
          <w:sz w:val="22"/>
          <w:szCs w:val="22"/>
        </w:rPr>
        <w:t xml:space="preserve">in patients operated on with screw plates, compared </w:t>
      </w:r>
      <w:proofErr w:type="gramStart"/>
      <w:r w:rsidRPr="00964F6D">
        <w:rPr>
          <w:rFonts w:asciiTheme="minorHAnsi" w:hAnsiTheme="minorHAnsi" w:cstheme="minorHAnsi"/>
          <w:sz w:val="22"/>
          <w:szCs w:val="22"/>
        </w:rPr>
        <w:t xml:space="preserve">to </w:t>
      </w:r>
      <w:r w:rsidR="00203E84" w:rsidRPr="00203E84">
        <w:rPr>
          <w:rFonts w:asciiTheme="minorHAnsi" w:hAnsiTheme="minorHAnsi" w:cstheme="minorHAnsi"/>
          <w:sz w:val="22"/>
          <w:szCs w:val="22"/>
        </w:rPr>
        <w:t> </w:t>
      </w:r>
      <w:r w:rsidR="00EE35A9" w:rsidRPr="007F5F4D">
        <w:rPr>
          <w:rFonts w:asciiTheme="minorHAnsi" w:hAnsiTheme="minorHAnsi" w:cstheme="minorHAnsi"/>
          <w:sz w:val="22"/>
          <w:szCs w:val="22"/>
          <w:highlight w:val="yellow"/>
        </w:rPr>
        <w:t>94.5</w:t>
      </w:r>
      <w:proofErr w:type="gramEnd"/>
      <w:r w:rsidR="00EE35A9" w:rsidRPr="007F5F4D">
        <w:rPr>
          <w:rFonts w:asciiTheme="minorHAnsi" w:hAnsiTheme="minorHAnsi" w:cstheme="minorHAnsi"/>
          <w:sz w:val="22"/>
          <w:szCs w:val="22"/>
          <w:highlight w:val="yellow"/>
        </w:rPr>
        <w:t>% and 93.2%,</w:t>
      </w:r>
      <w:r w:rsidR="00EE35A9" w:rsidRPr="00203E84">
        <w:rPr>
          <w:rFonts w:asciiTheme="minorHAnsi" w:hAnsiTheme="minorHAnsi" w:cstheme="minorHAnsi"/>
          <w:sz w:val="22"/>
          <w:szCs w:val="22"/>
        </w:rPr>
        <w:t xml:space="preserve"> healing rate for antegrade and retrograde intra medullary nailing respectively </w:t>
      </w:r>
      <w:r w:rsidRPr="007F5F4D">
        <w:rPr>
          <w:rFonts w:asciiTheme="minorHAnsi" w:hAnsiTheme="minorHAnsi" w:cstheme="minorHAnsi"/>
          <w:sz w:val="22"/>
          <w:szCs w:val="22"/>
          <w:highlight w:val="yellow"/>
        </w:rPr>
        <w:t>[</w:t>
      </w:r>
      <w:r w:rsidR="00CE5175">
        <w:rPr>
          <w:rFonts w:asciiTheme="minorHAnsi" w:hAnsiTheme="minorHAnsi" w:cstheme="minorHAnsi"/>
          <w:sz w:val="22"/>
          <w:szCs w:val="22"/>
          <w:highlight w:val="yellow"/>
        </w:rPr>
        <w:t>19</w:t>
      </w:r>
      <w:r w:rsidRPr="007F5F4D">
        <w:rPr>
          <w:rFonts w:asciiTheme="minorHAnsi" w:hAnsiTheme="minorHAnsi" w:cstheme="minorHAnsi"/>
          <w:sz w:val="22"/>
          <w:szCs w:val="22"/>
          <w:highlight w:val="yellow"/>
        </w:rPr>
        <w:t>]</w:t>
      </w:r>
      <w:r w:rsidR="00203E84" w:rsidRPr="007F5F4D">
        <w:rPr>
          <w:rFonts w:asciiTheme="minorHAnsi" w:hAnsiTheme="minorHAnsi" w:cstheme="minorHAnsi"/>
          <w:sz w:val="22"/>
          <w:szCs w:val="22"/>
          <w:highlight w:val="yellow"/>
        </w:rPr>
        <w:t xml:space="preserve"> and to 96.7% success rate at 6 months [</w:t>
      </w:r>
      <w:r w:rsidR="00CE5175">
        <w:rPr>
          <w:rFonts w:asciiTheme="minorHAnsi" w:hAnsiTheme="minorHAnsi" w:cstheme="minorHAnsi"/>
          <w:sz w:val="22"/>
          <w:szCs w:val="22"/>
          <w:highlight w:val="yellow"/>
        </w:rPr>
        <w:t>20</w:t>
      </w:r>
      <w:r w:rsidR="00203E84" w:rsidRPr="007F5F4D">
        <w:rPr>
          <w:rFonts w:asciiTheme="minorHAnsi" w:hAnsiTheme="minorHAnsi" w:cstheme="minorHAnsi"/>
          <w:sz w:val="22"/>
          <w:szCs w:val="22"/>
          <w:highlight w:val="yellow"/>
        </w:rPr>
        <w:t>]</w:t>
      </w:r>
      <w:r w:rsidRPr="007F5F4D">
        <w:rPr>
          <w:rFonts w:asciiTheme="minorHAnsi" w:hAnsiTheme="minorHAnsi" w:cstheme="minorHAnsi"/>
          <w:sz w:val="22"/>
          <w:szCs w:val="22"/>
          <w:highlight w:val="yellow"/>
        </w:rPr>
        <w:t>.</w:t>
      </w:r>
      <w:r w:rsidRPr="00964F6D">
        <w:rPr>
          <w:rFonts w:asciiTheme="minorHAnsi" w:hAnsiTheme="minorHAnsi" w:cstheme="minorHAnsi"/>
          <w:sz w:val="22"/>
          <w:szCs w:val="22"/>
        </w:rPr>
        <w:t xml:space="preserve"> Even in open fractures, </w:t>
      </w:r>
      <w:r w:rsidRPr="00964F6D">
        <w:rPr>
          <w:rFonts w:asciiTheme="minorHAnsi" w:hAnsiTheme="minorHAnsi" w:cstheme="minorHAnsi"/>
          <w:sz w:val="22"/>
          <w:szCs w:val="22"/>
        </w:rPr>
        <w:lastRenderedPageBreak/>
        <w:t>has better results than screw plates and external fixators and can be used in open fractures or in polytrauma patients</w:t>
      </w:r>
      <w:r w:rsidR="00C53C81">
        <w:rPr>
          <w:rFonts w:asciiTheme="minorHAnsi" w:hAnsiTheme="minorHAnsi" w:cstheme="minorHAnsi"/>
          <w:sz w:val="22"/>
          <w:szCs w:val="22"/>
        </w:rPr>
        <w:t>, after plating failure</w:t>
      </w:r>
      <w:r w:rsidR="00A0040F">
        <w:rPr>
          <w:rFonts w:asciiTheme="minorHAnsi" w:hAnsiTheme="minorHAnsi" w:cstheme="minorHAnsi"/>
          <w:sz w:val="22"/>
          <w:szCs w:val="22"/>
        </w:rPr>
        <w:t xml:space="preserve"> </w:t>
      </w:r>
      <w:r w:rsidRPr="002B77D1">
        <w:rPr>
          <w:rFonts w:asciiTheme="minorHAnsi" w:hAnsiTheme="minorHAnsi" w:cstheme="minorHAnsi"/>
          <w:sz w:val="22"/>
          <w:szCs w:val="22"/>
          <w:highlight w:val="yellow"/>
          <w:u w:val="single"/>
        </w:rPr>
        <w:t>[</w:t>
      </w:r>
      <w:r w:rsidR="00CE5175">
        <w:rPr>
          <w:rFonts w:asciiTheme="minorHAnsi" w:hAnsiTheme="minorHAnsi" w:cstheme="minorHAnsi"/>
          <w:sz w:val="22"/>
          <w:szCs w:val="22"/>
          <w:u w:val="single"/>
        </w:rPr>
        <w:t>18</w:t>
      </w:r>
      <w:r w:rsidRPr="00964F6D">
        <w:rPr>
          <w:rFonts w:asciiTheme="minorHAnsi" w:hAnsiTheme="minorHAnsi" w:cstheme="minorHAnsi"/>
          <w:sz w:val="22"/>
          <w:szCs w:val="22"/>
        </w:rPr>
        <w:t>]</w:t>
      </w:r>
      <w:r w:rsidR="00C53C81">
        <w:rPr>
          <w:rFonts w:asciiTheme="minorHAnsi" w:hAnsiTheme="minorHAnsi" w:cstheme="minorHAnsi"/>
          <w:sz w:val="22"/>
          <w:szCs w:val="22"/>
        </w:rPr>
        <w:t xml:space="preserve"> or temporary external fixation</w:t>
      </w:r>
      <w:r w:rsidRPr="00964F6D">
        <w:rPr>
          <w:rFonts w:asciiTheme="minorHAnsi" w:hAnsiTheme="minorHAnsi" w:cstheme="minorHAnsi"/>
          <w:sz w:val="22"/>
          <w:szCs w:val="22"/>
        </w:rPr>
        <w:t xml:space="preserve">. </w:t>
      </w:r>
    </w:p>
    <w:p w14:paraId="7BAE0422" w14:textId="42049326"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b/>
          <w:bCs/>
          <w:sz w:val="22"/>
          <w:szCs w:val="22"/>
        </w:rPr>
        <w:t xml:space="preserve">V.1.4. </w:t>
      </w:r>
      <w:r w:rsidR="002A17D4" w:rsidRPr="00964F6D">
        <w:rPr>
          <w:rFonts w:asciiTheme="minorHAnsi" w:hAnsiTheme="minorHAnsi" w:cstheme="minorHAnsi"/>
          <w:b/>
          <w:bCs/>
          <w:sz w:val="22"/>
          <w:szCs w:val="22"/>
        </w:rPr>
        <w:t>Evolution</w:t>
      </w:r>
      <w:r w:rsidRPr="00964F6D">
        <w:rPr>
          <w:rFonts w:asciiTheme="minorHAnsi" w:hAnsiTheme="minorHAnsi" w:cstheme="minorHAnsi"/>
          <w:b/>
          <w:bCs/>
          <w:sz w:val="22"/>
          <w:szCs w:val="22"/>
        </w:rPr>
        <w:t xml:space="preserve"> profile</w:t>
      </w:r>
    </w:p>
    <w:p w14:paraId="5DE1825D" w14:textId="32F48A3E"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The majority of patients achieved recovery without complications (78.46%). This result corroborates that reported by Diallo et al. </w:t>
      </w:r>
      <w:proofErr w:type="gramStart"/>
      <w:r w:rsidRPr="00964F6D">
        <w:rPr>
          <w:rFonts w:asciiTheme="minorHAnsi" w:hAnsiTheme="minorHAnsi" w:cstheme="minorHAnsi"/>
          <w:sz w:val="22"/>
          <w:szCs w:val="22"/>
        </w:rPr>
        <w:t>in</w:t>
      </w:r>
      <w:proofErr w:type="gramEnd"/>
      <w:r w:rsidRPr="00964F6D">
        <w:rPr>
          <w:rFonts w:asciiTheme="minorHAnsi" w:hAnsiTheme="minorHAnsi" w:cstheme="minorHAnsi"/>
          <w:sz w:val="22"/>
          <w:szCs w:val="22"/>
        </w:rPr>
        <w:t xml:space="preserve"> Mali in 2023, where 96.3% of cases of recovery without complications were </w:t>
      </w:r>
      <w:r w:rsidRPr="007F5F4D">
        <w:rPr>
          <w:rFonts w:asciiTheme="minorHAnsi" w:hAnsiTheme="minorHAnsi" w:cstheme="minorHAnsi"/>
          <w:sz w:val="22"/>
          <w:szCs w:val="22"/>
          <w:highlight w:val="yellow"/>
        </w:rPr>
        <w:t>noted [1</w:t>
      </w:r>
      <w:r w:rsidR="00CE5175">
        <w:rPr>
          <w:rFonts w:asciiTheme="minorHAnsi" w:hAnsiTheme="minorHAnsi" w:cstheme="minorHAnsi"/>
          <w:sz w:val="22"/>
          <w:szCs w:val="22"/>
          <w:highlight w:val="yellow"/>
        </w:rPr>
        <w:t>3</w:t>
      </w:r>
      <w:r w:rsidRPr="007F5F4D">
        <w:rPr>
          <w:rFonts w:asciiTheme="minorHAnsi" w:hAnsiTheme="minorHAnsi" w:cstheme="minorHAnsi"/>
          <w:sz w:val="22"/>
          <w:szCs w:val="22"/>
          <w:highlight w:val="yellow"/>
        </w:rPr>
        <w:t>].</w:t>
      </w:r>
      <w:r w:rsidRPr="00964F6D">
        <w:rPr>
          <w:rFonts w:asciiTheme="minorHAnsi" w:hAnsiTheme="minorHAnsi" w:cstheme="minorHAnsi"/>
          <w:sz w:val="22"/>
          <w:szCs w:val="22"/>
        </w:rPr>
        <w:t xml:space="preserve"> This similarity could be explained by the similar study sites.</w:t>
      </w:r>
    </w:p>
    <w:p w14:paraId="2F5306EC" w14:textId="4F24D322"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Complications were found in 128 (24.61%) of the patients in this study. These complication rates are high compared to data in the Western literature. In fact, a pseudarthrosis rate or infection rate of less than 1% is considered normal after closed nailing with locking intramedullary nails with reaming, the standard treatmen</w:t>
      </w:r>
      <w:r w:rsidRPr="002B77D1">
        <w:rPr>
          <w:rFonts w:asciiTheme="minorHAnsi" w:hAnsiTheme="minorHAnsi" w:cstheme="minorHAnsi"/>
          <w:sz w:val="22"/>
          <w:szCs w:val="22"/>
          <w:highlight w:val="yellow"/>
        </w:rPr>
        <w:t>t.</w:t>
      </w:r>
      <w:r w:rsidRPr="00964F6D">
        <w:rPr>
          <w:rFonts w:asciiTheme="minorHAnsi" w:hAnsiTheme="minorHAnsi" w:cstheme="minorHAnsi"/>
          <w:sz w:val="22"/>
          <w:szCs w:val="22"/>
        </w:rPr>
        <w:t xml:space="preserve"> A higher complication rate is reported in cases of open treatment</w:t>
      </w:r>
      <w:r w:rsidRPr="002B77D1">
        <w:rPr>
          <w:rFonts w:asciiTheme="minorHAnsi" w:hAnsiTheme="minorHAnsi" w:cstheme="minorHAnsi"/>
          <w:sz w:val="22"/>
          <w:szCs w:val="22"/>
          <w:highlight w:val="yellow"/>
        </w:rPr>
        <w:t>.</w:t>
      </w:r>
      <w:r w:rsidRPr="00964F6D">
        <w:rPr>
          <w:rFonts w:asciiTheme="minorHAnsi" w:hAnsiTheme="minorHAnsi" w:cstheme="minorHAnsi"/>
          <w:sz w:val="22"/>
          <w:szCs w:val="22"/>
        </w:rPr>
        <w:t xml:space="preserve"> The rate of uncomplicated healing during the study period was 78.46%, and at a mean follow-up of 38 months, 85% of patients had achieved bone healing on radiography. </w:t>
      </w:r>
    </w:p>
    <w:p w14:paraId="308F9226" w14:textId="1E6D2626"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However, only 68% of patients regained their initial knee joint range of motion, limb equality, and normal gait as before the accident. This consolidation rate is low compared to Western literature, where it is now </w:t>
      </w:r>
      <w:r w:rsidRPr="007F5F4D">
        <w:rPr>
          <w:rFonts w:asciiTheme="minorHAnsi" w:hAnsiTheme="minorHAnsi" w:cstheme="minorHAnsi"/>
          <w:sz w:val="22"/>
          <w:szCs w:val="22"/>
          <w:highlight w:val="yellow"/>
        </w:rPr>
        <w:t>over 9</w:t>
      </w:r>
      <w:r w:rsidR="00C53C81" w:rsidRPr="007F5F4D">
        <w:rPr>
          <w:rFonts w:asciiTheme="minorHAnsi" w:hAnsiTheme="minorHAnsi" w:cstheme="minorHAnsi"/>
          <w:sz w:val="22"/>
          <w:szCs w:val="22"/>
          <w:highlight w:val="yellow"/>
        </w:rPr>
        <w:t>3</w:t>
      </w:r>
      <w:r w:rsidRPr="007F5F4D">
        <w:rPr>
          <w:rFonts w:asciiTheme="minorHAnsi" w:hAnsiTheme="minorHAnsi" w:cstheme="minorHAnsi"/>
          <w:sz w:val="22"/>
          <w:szCs w:val="22"/>
          <w:highlight w:val="yellow"/>
        </w:rPr>
        <w:t>% [</w:t>
      </w:r>
      <w:r w:rsidR="00C53C81" w:rsidRPr="007F5F4D">
        <w:rPr>
          <w:rFonts w:asciiTheme="minorHAnsi" w:hAnsiTheme="minorHAnsi" w:cstheme="minorHAnsi"/>
          <w:sz w:val="22"/>
          <w:szCs w:val="22"/>
          <w:highlight w:val="yellow"/>
        </w:rPr>
        <w:t>20,21</w:t>
      </w:r>
      <w:r w:rsidRPr="007F5F4D">
        <w:rPr>
          <w:rFonts w:asciiTheme="minorHAnsi" w:hAnsiTheme="minorHAnsi" w:cstheme="minorHAnsi"/>
          <w:sz w:val="22"/>
          <w:szCs w:val="22"/>
          <w:highlight w:val="yellow"/>
        </w:rPr>
        <w:t>].</w:t>
      </w:r>
      <w:r w:rsidRPr="00964F6D">
        <w:rPr>
          <w:rFonts w:asciiTheme="minorHAnsi" w:hAnsiTheme="minorHAnsi" w:cstheme="minorHAnsi"/>
          <w:sz w:val="22"/>
          <w:szCs w:val="22"/>
        </w:rPr>
        <w:t xml:space="preserve"> Failures of osteosynthesis material accounted for 15 (3%) of patients who underwent surgery and had a postoperative follow-up X-ray. The reasons reported included the use of inappropriate materials (7, 47%) and instability of the material (8, 53%). This result is slightly lower than that </w:t>
      </w:r>
      <w:r w:rsidRPr="007F5F4D">
        <w:rPr>
          <w:rFonts w:asciiTheme="minorHAnsi" w:hAnsiTheme="minorHAnsi" w:cstheme="minorHAnsi"/>
          <w:sz w:val="22"/>
          <w:szCs w:val="22"/>
          <w:highlight w:val="yellow"/>
        </w:rPr>
        <w:t xml:space="preserve">reported by </w:t>
      </w:r>
      <w:r w:rsidR="00DA3EAA" w:rsidRPr="007F5F4D">
        <w:rPr>
          <w:rFonts w:asciiTheme="minorHAnsi" w:hAnsiTheme="minorHAnsi" w:cstheme="minorHAnsi"/>
          <w:sz w:val="22"/>
          <w:szCs w:val="22"/>
          <w:highlight w:val="yellow"/>
        </w:rPr>
        <w:t xml:space="preserve">[5] </w:t>
      </w:r>
      <w:r w:rsidRPr="007F5F4D">
        <w:rPr>
          <w:rFonts w:asciiTheme="minorHAnsi" w:hAnsiTheme="minorHAnsi" w:cstheme="minorHAnsi"/>
          <w:sz w:val="22"/>
          <w:szCs w:val="22"/>
          <w:highlight w:val="yellow"/>
        </w:rPr>
        <w:t>Fonkoue</w:t>
      </w:r>
      <w:r w:rsidRPr="00964F6D">
        <w:rPr>
          <w:rFonts w:asciiTheme="minorHAnsi" w:hAnsiTheme="minorHAnsi" w:cstheme="minorHAnsi"/>
          <w:sz w:val="22"/>
          <w:szCs w:val="22"/>
        </w:rPr>
        <w:t xml:space="preserve"> et al. </w:t>
      </w:r>
      <w:proofErr w:type="gramStart"/>
      <w:r w:rsidRPr="00964F6D">
        <w:rPr>
          <w:rFonts w:asciiTheme="minorHAnsi" w:hAnsiTheme="minorHAnsi" w:cstheme="minorHAnsi"/>
          <w:sz w:val="22"/>
          <w:szCs w:val="22"/>
        </w:rPr>
        <w:t>in</w:t>
      </w:r>
      <w:proofErr w:type="gramEnd"/>
      <w:r w:rsidRPr="00964F6D">
        <w:rPr>
          <w:rFonts w:asciiTheme="minorHAnsi" w:hAnsiTheme="minorHAnsi" w:cstheme="minorHAnsi"/>
          <w:sz w:val="22"/>
          <w:szCs w:val="22"/>
        </w:rPr>
        <w:t xml:space="preserve"> Yaoundé in 2024, who found 30% complications distributed as follows: 11% infections, 9% delayed union, 11% pseudarthrosis, and 11% failure of osteosynthesis material, but remains high compared </w:t>
      </w:r>
      <w:r w:rsidRPr="007F5F4D">
        <w:rPr>
          <w:rFonts w:asciiTheme="minorHAnsi" w:hAnsiTheme="minorHAnsi" w:cstheme="minorHAnsi"/>
          <w:sz w:val="22"/>
          <w:szCs w:val="22"/>
          <w:highlight w:val="yellow"/>
        </w:rPr>
        <w:t>to standard norms.</w:t>
      </w:r>
      <w:r w:rsidRPr="00964F6D">
        <w:rPr>
          <w:rFonts w:asciiTheme="minorHAnsi" w:hAnsiTheme="minorHAnsi" w:cstheme="minorHAnsi"/>
          <w:sz w:val="22"/>
          <w:szCs w:val="22"/>
        </w:rPr>
        <w:t xml:space="preserve"> This could be explained not only by the long duration of surgery in some cases and a lack of intraoperative antibiotic prophylaxis for open fractures, but also in other cases by the surgical team and finally by the choice of material in relation to the fracture.  </w:t>
      </w:r>
      <w:r w:rsidR="00CE5175">
        <w:rPr>
          <w:rFonts w:asciiTheme="minorHAnsi" w:hAnsiTheme="minorHAnsi" w:cstheme="minorHAnsi"/>
          <w:sz w:val="22"/>
          <w:szCs w:val="22"/>
        </w:rPr>
        <w:t>Among t</w:t>
      </w:r>
      <w:r w:rsidR="00CE5175" w:rsidRPr="00964F6D">
        <w:rPr>
          <w:rFonts w:asciiTheme="minorHAnsi" w:hAnsiTheme="minorHAnsi" w:cstheme="minorHAnsi"/>
          <w:sz w:val="22"/>
          <w:szCs w:val="22"/>
        </w:rPr>
        <w:t>he 36 (6.92%) long-term complications were 15 cases of stiffness (2.88%)</w:t>
      </w:r>
      <w:r w:rsidR="00CE5175">
        <w:rPr>
          <w:rFonts w:asciiTheme="minorHAnsi" w:hAnsiTheme="minorHAnsi" w:cstheme="minorHAnsi"/>
          <w:sz w:val="22"/>
          <w:szCs w:val="22"/>
        </w:rPr>
        <w:t xml:space="preserve"> that could have been pevented by proper </w:t>
      </w:r>
      <w:proofErr w:type="gramStart"/>
      <w:r w:rsidR="00CE5175" w:rsidRPr="00CE5175">
        <w:rPr>
          <w:rFonts w:asciiTheme="minorHAnsi" w:hAnsiTheme="minorHAnsi" w:cstheme="minorHAnsi"/>
          <w:sz w:val="22"/>
          <w:szCs w:val="22"/>
          <w:highlight w:val="yellow"/>
        </w:rPr>
        <w:t>phyiotherapy[</w:t>
      </w:r>
      <w:proofErr w:type="gramEnd"/>
      <w:r w:rsidR="00CE5175" w:rsidRPr="00CE5175">
        <w:rPr>
          <w:rFonts w:asciiTheme="minorHAnsi" w:hAnsiTheme="minorHAnsi" w:cstheme="minorHAnsi"/>
          <w:sz w:val="22"/>
          <w:szCs w:val="22"/>
          <w:highlight w:val="yellow"/>
        </w:rPr>
        <w:t>22]</w:t>
      </w:r>
      <w:r w:rsidR="00CE5175">
        <w:rPr>
          <w:rFonts w:asciiTheme="minorHAnsi" w:hAnsiTheme="minorHAnsi" w:cstheme="minorHAnsi"/>
          <w:sz w:val="22"/>
          <w:szCs w:val="22"/>
        </w:rPr>
        <w:t xml:space="preserve"> </w:t>
      </w:r>
    </w:p>
    <w:p w14:paraId="01D848D4"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V.1.4. Factors related to complications</w:t>
      </w:r>
    </w:p>
    <w:p w14:paraId="50953DB8"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 xml:space="preserve">V.1.4.1. Association between age and the occurrence of complications </w:t>
      </w:r>
    </w:p>
    <w:p w14:paraId="50EFC13C" w14:textId="3002D95C" w:rsidR="00094790" w:rsidRDefault="00094790" w:rsidP="00B53E8B">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More than 320 cases (61.5%) were aged 20-50 years. This is superposable to Fu F et al. </w:t>
      </w:r>
      <w:proofErr w:type="gramStart"/>
      <w:r>
        <w:rPr>
          <w:rFonts w:asciiTheme="minorHAnsi" w:hAnsiTheme="minorHAnsi" w:cstheme="minorHAnsi"/>
          <w:sz w:val="22"/>
          <w:szCs w:val="22"/>
        </w:rPr>
        <w:t>who</w:t>
      </w:r>
      <w:proofErr w:type="gramEnd"/>
      <w:r>
        <w:rPr>
          <w:rFonts w:asciiTheme="minorHAnsi" w:hAnsiTheme="minorHAnsi" w:cstheme="minorHAnsi"/>
          <w:sz w:val="22"/>
          <w:szCs w:val="22"/>
        </w:rPr>
        <w:t xml:space="preserve"> </w:t>
      </w:r>
      <w:r w:rsidRPr="007F5F4D">
        <w:rPr>
          <w:rFonts w:asciiTheme="minorHAnsi" w:hAnsiTheme="minorHAnsi" w:cstheme="minorHAnsi"/>
          <w:sz w:val="22"/>
          <w:szCs w:val="22"/>
          <w:highlight w:val="yellow"/>
        </w:rPr>
        <w:t>had [</w:t>
      </w:r>
      <w:r w:rsidR="00CE5175">
        <w:rPr>
          <w:rFonts w:asciiTheme="minorHAnsi" w:hAnsiTheme="minorHAnsi" w:cstheme="minorHAnsi"/>
          <w:sz w:val="22"/>
          <w:szCs w:val="22"/>
          <w:highlight w:val="yellow"/>
        </w:rPr>
        <w:t>15</w:t>
      </w:r>
      <w:r w:rsidRPr="007F5F4D">
        <w:rPr>
          <w:rFonts w:asciiTheme="minorHAnsi" w:hAnsiTheme="minorHAnsi" w:cstheme="minorHAnsi"/>
          <w:sz w:val="22"/>
          <w:szCs w:val="22"/>
          <w:highlight w:val="yellow"/>
        </w:rPr>
        <w:t>] many</w:t>
      </w:r>
      <w:r>
        <w:rPr>
          <w:rFonts w:asciiTheme="minorHAnsi" w:hAnsiTheme="minorHAnsi" w:cstheme="minorHAnsi"/>
          <w:sz w:val="22"/>
          <w:szCs w:val="22"/>
        </w:rPr>
        <w:t xml:space="preserve"> cases between 16 and 50 years. This is the active population.</w:t>
      </w:r>
    </w:p>
    <w:p w14:paraId="086D8FB1" w14:textId="0081F771"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In this study, it was proven that being aged 71 or over increases the risk of postoperative complications</w:t>
      </w:r>
      <w:r w:rsidR="00094790">
        <w:rPr>
          <w:rFonts w:asciiTheme="minorHAnsi" w:hAnsiTheme="minorHAnsi" w:cstheme="minorHAnsi"/>
          <w:sz w:val="22"/>
          <w:szCs w:val="22"/>
        </w:rPr>
        <w:t xml:space="preserve"> f</w:t>
      </w:r>
      <w:r w:rsidRPr="00964F6D">
        <w:rPr>
          <w:rFonts w:asciiTheme="minorHAnsi" w:hAnsiTheme="minorHAnsi" w:cstheme="minorHAnsi"/>
          <w:sz w:val="22"/>
          <w:szCs w:val="22"/>
        </w:rPr>
        <w:t xml:space="preserve">emoral shaft fracture by a factor of 1.1. This result is similar to that obtained by </w:t>
      </w:r>
      <w:r w:rsidR="0040503A" w:rsidRPr="00E7041D">
        <w:rPr>
          <w:rFonts w:asciiTheme="minorHAnsi" w:hAnsiTheme="minorHAnsi" w:cstheme="minorHAnsi"/>
        </w:rPr>
        <w:t>Yuan H</w:t>
      </w:r>
      <w:r w:rsidRPr="00964F6D">
        <w:rPr>
          <w:rFonts w:asciiTheme="minorHAnsi" w:hAnsiTheme="minorHAnsi" w:cstheme="minorHAnsi"/>
          <w:sz w:val="22"/>
          <w:szCs w:val="22"/>
        </w:rPr>
        <w:t xml:space="preserve"> </w:t>
      </w:r>
      <w:r w:rsidRPr="002B77D1">
        <w:rPr>
          <w:rFonts w:asciiTheme="minorHAnsi" w:hAnsiTheme="minorHAnsi" w:cstheme="minorHAnsi"/>
          <w:sz w:val="22"/>
          <w:szCs w:val="22"/>
          <w:highlight w:val="yellow"/>
        </w:rPr>
        <w:t>[2</w:t>
      </w:r>
      <w:r w:rsidR="00CE5175">
        <w:rPr>
          <w:rFonts w:asciiTheme="minorHAnsi" w:hAnsiTheme="minorHAnsi" w:cstheme="minorHAnsi"/>
          <w:sz w:val="22"/>
          <w:szCs w:val="22"/>
          <w:highlight w:val="yellow"/>
        </w:rPr>
        <w:t>1</w:t>
      </w:r>
      <w:r w:rsidRPr="002B77D1">
        <w:rPr>
          <w:rFonts w:asciiTheme="minorHAnsi" w:hAnsiTheme="minorHAnsi" w:cstheme="minorHAnsi"/>
          <w:sz w:val="22"/>
          <w:szCs w:val="22"/>
          <w:highlight w:val="yellow"/>
        </w:rPr>
        <w:t>]</w:t>
      </w:r>
      <w:r w:rsidRPr="00964F6D">
        <w:rPr>
          <w:rFonts w:asciiTheme="minorHAnsi" w:hAnsiTheme="minorHAnsi" w:cstheme="minorHAnsi"/>
          <w:sz w:val="22"/>
          <w:szCs w:val="22"/>
        </w:rPr>
        <w:t xml:space="preserve"> et al. </w:t>
      </w:r>
      <w:proofErr w:type="gramStart"/>
      <w:r w:rsidRPr="00964F6D">
        <w:rPr>
          <w:rFonts w:asciiTheme="minorHAnsi" w:hAnsiTheme="minorHAnsi" w:cstheme="minorHAnsi"/>
          <w:sz w:val="22"/>
          <w:szCs w:val="22"/>
        </w:rPr>
        <w:t>in</w:t>
      </w:r>
      <w:proofErr w:type="gramEnd"/>
      <w:r w:rsidRPr="00964F6D">
        <w:rPr>
          <w:rFonts w:asciiTheme="minorHAnsi" w:hAnsiTheme="minorHAnsi" w:cstheme="minorHAnsi"/>
          <w:sz w:val="22"/>
          <w:szCs w:val="22"/>
        </w:rPr>
        <w:t xml:space="preserve"> 20</w:t>
      </w:r>
      <w:r w:rsidR="0040503A">
        <w:rPr>
          <w:rFonts w:asciiTheme="minorHAnsi" w:hAnsiTheme="minorHAnsi" w:cstheme="minorHAnsi"/>
          <w:sz w:val="22"/>
          <w:szCs w:val="22"/>
        </w:rPr>
        <w:t>22</w:t>
      </w:r>
      <w:r w:rsidRPr="00964F6D">
        <w:rPr>
          <w:rFonts w:asciiTheme="minorHAnsi" w:hAnsiTheme="minorHAnsi" w:cstheme="minorHAnsi"/>
          <w:sz w:val="22"/>
          <w:szCs w:val="22"/>
        </w:rPr>
        <w:t xml:space="preserve"> in </w:t>
      </w:r>
      <w:r w:rsidR="0040503A">
        <w:rPr>
          <w:rFonts w:asciiTheme="minorHAnsi" w:hAnsiTheme="minorHAnsi" w:cstheme="minorHAnsi"/>
          <w:sz w:val="22"/>
          <w:szCs w:val="22"/>
        </w:rPr>
        <w:t>China</w:t>
      </w:r>
      <w:r w:rsidRPr="00964F6D">
        <w:rPr>
          <w:rFonts w:asciiTheme="minorHAnsi" w:hAnsiTheme="minorHAnsi" w:cstheme="minorHAnsi"/>
          <w:sz w:val="22"/>
          <w:szCs w:val="22"/>
        </w:rPr>
        <w:t xml:space="preserve">. This similarity can be explained by the fact that advanced age is associated with osteoporosis and osteoblastic senescence. On the other hand, there is a dysfunction of bone </w:t>
      </w:r>
      <w:proofErr w:type="gramStart"/>
      <w:r w:rsidRPr="00964F6D">
        <w:rPr>
          <w:rFonts w:asciiTheme="minorHAnsi" w:hAnsiTheme="minorHAnsi" w:cstheme="minorHAnsi"/>
          <w:sz w:val="22"/>
          <w:szCs w:val="22"/>
        </w:rPr>
        <w:t>remodeling:</w:t>
      </w:r>
      <w:proofErr w:type="gramEnd"/>
      <w:r w:rsidRPr="00964F6D">
        <w:rPr>
          <w:rFonts w:asciiTheme="minorHAnsi" w:hAnsiTheme="minorHAnsi" w:cstheme="minorHAnsi"/>
          <w:sz w:val="22"/>
          <w:szCs w:val="22"/>
        </w:rPr>
        <w:t xml:space="preserve"> with age, the bone remodeling cycle is slower, less efficient, subject to increased bone resorption, and less well repaired (formation of more fragile or delayed callus). This explains the spontaneous fractures, delayed healing, and frequent non-unions in elderly patients.</w:t>
      </w:r>
    </w:p>
    <w:p w14:paraId="2BEFABFC"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V.1.4.2. Association between gender and the occurrence of complications</w:t>
      </w:r>
    </w:p>
    <w:p w14:paraId="24A5AFF3" w14:textId="5BA7645D"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In this study, it was observed that the patient's gender increased the risk of postoperative complications in femoral shaft fractures by 1.31 times. This data is similar to that reported by Fonkoue </w:t>
      </w:r>
      <w:r w:rsidR="00C83BBD">
        <w:rPr>
          <w:rFonts w:asciiTheme="minorHAnsi" w:hAnsiTheme="minorHAnsi" w:cstheme="minorHAnsi"/>
          <w:sz w:val="22"/>
          <w:szCs w:val="22"/>
        </w:rPr>
        <w:t xml:space="preserve">Loïc </w:t>
      </w:r>
      <w:r w:rsidRPr="00964F6D">
        <w:rPr>
          <w:rFonts w:asciiTheme="minorHAnsi" w:hAnsiTheme="minorHAnsi" w:cstheme="minorHAnsi"/>
          <w:sz w:val="22"/>
          <w:szCs w:val="22"/>
        </w:rPr>
        <w:t xml:space="preserve">et al. </w:t>
      </w:r>
      <w:proofErr w:type="gramStart"/>
      <w:r w:rsidRPr="00964F6D">
        <w:rPr>
          <w:rFonts w:asciiTheme="minorHAnsi" w:hAnsiTheme="minorHAnsi" w:cstheme="minorHAnsi"/>
          <w:sz w:val="22"/>
          <w:szCs w:val="22"/>
        </w:rPr>
        <w:t>in</w:t>
      </w:r>
      <w:proofErr w:type="gramEnd"/>
      <w:r w:rsidRPr="00964F6D">
        <w:rPr>
          <w:rFonts w:asciiTheme="minorHAnsi" w:hAnsiTheme="minorHAnsi" w:cstheme="minorHAnsi"/>
          <w:sz w:val="22"/>
          <w:szCs w:val="22"/>
        </w:rPr>
        <w:t xml:space="preserve"> 2024 in </w:t>
      </w:r>
      <w:r w:rsidRPr="007F5F4D">
        <w:rPr>
          <w:rFonts w:asciiTheme="minorHAnsi" w:hAnsiTheme="minorHAnsi" w:cstheme="minorHAnsi"/>
          <w:sz w:val="22"/>
          <w:szCs w:val="22"/>
          <w:highlight w:val="yellow"/>
        </w:rPr>
        <w:t>Yaoundé</w:t>
      </w:r>
      <w:r w:rsidR="00C83BBD" w:rsidRPr="007F5F4D">
        <w:rPr>
          <w:rFonts w:asciiTheme="minorHAnsi" w:hAnsiTheme="minorHAnsi" w:cstheme="minorHAnsi"/>
          <w:sz w:val="22"/>
          <w:szCs w:val="22"/>
          <w:highlight w:val="yellow"/>
        </w:rPr>
        <w:t xml:space="preserve"> [5]</w:t>
      </w:r>
      <w:r w:rsidRPr="007F5F4D">
        <w:rPr>
          <w:rFonts w:asciiTheme="minorHAnsi" w:hAnsiTheme="minorHAnsi" w:cstheme="minorHAnsi"/>
          <w:sz w:val="22"/>
          <w:szCs w:val="22"/>
          <w:highlight w:val="yellow"/>
        </w:rPr>
        <w:t>,</w:t>
      </w:r>
      <w:r w:rsidRPr="00964F6D">
        <w:rPr>
          <w:rFonts w:asciiTheme="minorHAnsi" w:hAnsiTheme="minorHAnsi" w:cstheme="minorHAnsi"/>
          <w:sz w:val="22"/>
          <w:szCs w:val="22"/>
        </w:rPr>
        <w:t xml:space="preserve"> Ngo </w:t>
      </w:r>
      <w:r w:rsidR="00C83BBD">
        <w:rPr>
          <w:rFonts w:asciiTheme="minorHAnsi" w:hAnsiTheme="minorHAnsi" w:cstheme="minorHAnsi"/>
          <w:sz w:val="22"/>
          <w:szCs w:val="22"/>
        </w:rPr>
        <w:t xml:space="preserve">Ngote U </w:t>
      </w:r>
      <w:r w:rsidRPr="00964F6D">
        <w:rPr>
          <w:rFonts w:asciiTheme="minorHAnsi" w:hAnsiTheme="minorHAnsi" w:cstheme="minorHAnsi"/>
          <w:sz w:val="22"/>
          <w:szCs w:val="22"/>
        </w:rPr>
        <w:t xml:space="preserve">et al. </w:t>
      </w:r>
      <w:proofErr w:type="gramStart"/>
      <w:r w:rsidRPr="00964F6D">
        <w:rPr>
          <w:rFonts w:asciiTheme="minorHAnsi" w:hAnsiTheme="minorHAnsi" w:cstheme="minorHAnsi"/>
          <w:sz w:val="22"/>
          <w:szCs w:val="22"/>
        </w:rPr>
        <w:t>in</w:t>
      </w:r>
      <w:proofErr w:type="gramEnd"/>
      <w:r w:rsidRPr="00964F6D">
        <w:rPr>
          <w:rFonts w:asciiTheme="minorHAnsi" w:hAnsiTheme="minorHAnsi" w:cstheme="minorHAnsi"/>
          <w:sz w:val="22"/>
          <w:szCs w:val="22"/>
        </w:rPr>
        <w:t xml:space="preserve"> 2023 in </w:t>
      </w:r>
      <w:r w:rsidRPr="007F5F4D">
        <w:rPr>
          <w:rFonts w:asciiTheme="minorHAnsi" w:hAnsiTheme="minorHAnsi" w:cstheme="minorHAnsi"/>
          <w:sz w:val="22"/>
          <w:szCs w:val="22"/>
          <w:highlight w:val="yellow"/>
        </w:rPr>
        <w:t>Douala</w:t>
      </w:r>
      <w:r w:rsidR="0040503A" w:rsidRPr="007F5F4D">
        <w:rPr>
          <w:rFonts w:asciiTheme="minorHAnsi" w:hAnsiTheme="minorHAnsi" w:cstheme="minorHAnsi"/>
          <w:sz w:val="22"/>
          <w:szCs w:val="22"/>
          <w:highlight w:val="yellow"/>
        </w:rPr>
        <w:t xml:space="preserve"> </w:t>
      </w:r>
      <w:r w:rsidRPr="007F5F4D">
        <w:rPr>
          <w:rFonts w:asciiTheme="minorHAnsi" w:hAnsiTheme="minorHAnsi" w:cstheme="minorHAnsi"/>
          <w:sz w:val="22"/>
          <w:szCs w:val="22"/>
          <w:highlight w:val="yellow"/>
        </w:rPr>
        <w:t>[</w:t>
      </w:r>
      <w:r w:rsidR="00CE5175">
        <w:rPr>
          <w:rFonts w:asciiTheme="minorHAnsi" w:hAnsiTheme="minorHAnsi" w:cstheme="minorHAnsi"/>
          <w:sz w:val="22"/>
          <w:szCs w:val="22"/>
          <w:highlight w:val="yellow"/>
        </w:rPr>
        <w:t>6</w:t>
      </w:r>
      <w:r w:rsidRPr="007F5F4D">
        <w:rPr>
          <w:rFonts w:asciiTheme="minorHAnsi" w:hAnsiTheme="minorHAnsi" w:cstheme="minorHAnsi"/>
          <w:sz w:val="22"/>
          <w:szCs w:val="22"/>
          <w:highlight w:val="yellow"/>
        </w:rPr>
        <w:t>].</w:t>
      </w:r>
      <w:r w:rsidRPr="00964F6D">
        <w:rPr>
          <w:rFonts w:asciiTheme="minorHAnsi" w:hAnsiTheme="minorHAnsi" w:cstheme="minorHAnsi"/>
          <w:sz w:val="22"/>
          <w:szCs w:val="22"/>
        </w:rPr>
        <w:t xml:space="preserve"> This could simply be explained by the fact that men are more exposed to high-energy trauma, resulting in more complex fractures. With age and andropause, there is a gradual loss of bone mass, but the temptation to engage in highly traumatic activities sometimes remains strong.</w:t>
      </w:r>
    </w:p>
    <w:p w14:paraId="1433DD98" w14:textId="77777777" w:rsidR="00CE5175" w:rsidRDefault="00CE5175" w:rsidP="00B53E8B">
      <w:pPr>
        <w:pStyle w:val="NormalWeb"/>
        <w:spacing w:before="0" w:beforeAutospacing="0" w:after="0" w:afterAutospacing="0"/>
        <w:jc w:val="both"/>
        <w:rPr>
          <w:rFonts w:asciiTheme="minorHAnsi" w:hAnsiTheme="minorHAnsi" w:cstheme="minorHAnsi"/>
          <w:b/>
          <w:bCs/>
          <w:sz w:val="22"/>
          <w:szCs w:val="22"/>
        </w:rPr>
      </w:pPr>
    </w:p>
    <w:p w14:paraId="46B781F0" w14:textId="77777777" w:rsidR="00CE5175" w:rsidRDefault="00CE5175" w:rsidP="00B53E8B">
      <w:pPr>
        <w:pStyle w:val="NormalWeb"/>
        <w:spacing w:before="0" w:beforeAutospacing="0" w:after="0" w:afterAutospacing="0"/>
        <w:jc w:val="both"/>
        <w:rPr>
          <w:rFonts w:asciiTheme="minorHAnsi" w:hAnsiTheme="minorHAnsi" w:cstheme="minorHAnsi"/>
          <w:b/>
          <w:bCs/>
          <w:sz w:val="22"/>
          <w:szCs w:val="22"/>
        </w:rPr>
      </w:pPr>
    </w:p>
    <w:p w14:paraId="79691C7D" w14:textId="77777777" w:rsidR="00CE5175" w:rsidRDefault="00CE5175" w:rsidP="00B53E8B">
      <w:pPr>
        <w:pStyle w:val="NormalWeb"/>
        <w:spacing w:before="0" w:beforeAutospacing="0" w:after="0" w:afterAutospacing="0"/>
        <w:jc w:val="both"/>
        <w:rPr>
          <w:rFonts w:asciiTheme="minorHAnsi" w:hAnsiTheme="minorHAnsi" w:cstheme="minorHAnsi"/>
          <w:b/>
          <w:bCs/>
          <w:sz w:val="22"/>
          <w:szCs w:val="22"/>
        </w:rPr>
      </w:pPr>
    </w:p>
    <w:p w14:paraId="21F80B23" w14:textId="0900A93C"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V.1.4.3. Association between diabetes and the occurrence of postoperative complications</w:t>
      </w:r>
    </w:p>
    <w:p w14:paraId="20C87866" w14:textId="7BD70CD5"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Diabetes increases the risk of complications by 4.03 times. This result is </w:t>
      </w:r>
      <w:r w:rsidR="00EB4148">
        <w:rPr>
          <w:rFonts w:asciiTheme="minorHAnsi" w:hAnsiTheme="minorHAnsi" w:cstheme="minorHAnsi"/>
          <w:sz w:val="22"/>
          <w:szCs w:val="22"/>
        </w:rPr>
        <w:t>different from</w:t>
      </w:r>
      <w:r w:rsidRPr="00964F6D">
        <w:rPr>
          <w:rFonts w:asciiTheme="minorHAnsi" w:hAnsiTheme="minorHAnsi" w:cstheme="minorHAnsi"/>
          <w:sz w:val="22"/>
          <w:szCs w:val="22"/>
        </w:rPr>
        <w:t xml:space="preserve"> th</w:t>
      </w:r>
      <w:r w:rsidR="00EB4148">
        <w:rPr>
          <w:rFonts w:asciiTheme="minorHAnsi" w:hAnsiTheme="minorHAnsi" w:cstheme="minorHAnsi"/>
          <w:sz w:val="22"/>
          <w:szCs w:val="22"/>
        </w:rPr>
        <w:t>e one</w:t>
      </w:r>
      <w:r w:rsidRPr="00964F6D">
        <w:rPr>
          <w:rFonts w:asciiTheme="minorHAnsi" w:hAnsiTheme="minorHAnsi" w:cstheme="minorHAnsi"/>
          <w:sz w:val="22"/>
          <w:szCs w:val="22"/>
        </w:rPr>
        <w:t xml:space="preserve"> reported by </w:t>
      </w:r>
      <w:r w:rsidR="00EB4148">
        <w:rPr>
          <w:rFonts w:ascii="Helvetica" w:hAnsi="Helvetica"/>
          <w:color w:val="222222"/>
          <w:sz w:val="18"/>
          <w:szCs w:val="18"/>
          <w:shd w:val="clear" w:color="auto" w:fill="FFFFFF"/>
        </w:rPr>
        <w:t>Jürgens L</w:t>
      </w:r>
      <w:r w:rsidRPr="00964F6D">
        <w:rPr>
          <w:rFonts w:asciiTheme="minorHAnsi" w:hAnsiTheme="minorHAnsi" w:cstheme="minorHAnsi"/>
          <w:sz w:val="22"/>
          <w:szCs w:val="22"/>
        </w:rPr>
        <w:t xml:space="preserve"> et al. </w:t>
      </w:r>
      <w:proofErr w:type="gramStart"/>
      <w:r w:rsidRPr="00964F6D">
        <w:rPr>
          <w:rFonts w:asciiTheme="minorHAnsi" w:hAnsiTheme="minorHAnsi" w:cstheme="minorHAnsi"/>
          <w:sz w:val="22"/>
          <w:szCs w:val="22"/>
        </w:rPr>
        <w:t>in</w:t>
      </w:r>
      <w:proofErr w:type="gramEnd"/>
      <w:r w:rsidRPr="00964F6D">
        <w:rPr>
          <w:rFonts w:asciiTheme="minorHAnsi" w:hAnsiTheme="minorHAnsi" w:cstheme="minorHAnsi"/>
          <w:sz w:val="22"/>
          <w:szCs w:val="22"/>
        </w:rPr>
        <w:t xml:space="preserve"> </w:t>
      </w:r>
      <w:r w:rsidR="00EB4148">
        <w:rPr>
          <w:rFonts w:asciiTheme="minorHAnsi" w:hAnsiTheme="minorHAnsi" w:cstheme="minorHAnsi"/>
          <w:sz w:val="22"/>
          <w:szCs w:val="22"/>
        </w:rPr>
        <w:t>2024</w:t>
      </w:r>
      <w:r w:rsidRPr="00964F6D">
        <w:rPr>
          <w:rFonts w:asciiTheme="minorHAnsi" w:hAnsiTheme="minorHAnsi" w:cstheme="minorHAnsi"/>
          <w:sz w:val="22"/>
          <w:szCs w:val="22"/>
        </w:rPr>
        <w:t xml:space="preserve"> in </w:t>
      </w:r>
      <w:r w:rsidR="00EB4148">
        <w:rPr>
          <w:rFonts w:asciiTheme="minorHAnsi" w:hAnsiTheme="minorHAnsi" w:cstheme="minorHAnsi"/>
          <w:sz w:val="22"/>
          <w:szCs w:val="22"/>
        </w:rPr>
        <w:t>Germany</w:t>
      </w:r>
      <w:r w:rsidRPr="00964F6D">
        <w:rPr>
          <w:rFonts w:asciiTheme="minorHAnsi" w:hAnsiTheme="minorHAnsi" w:cstheme="minorHAnsi"/>
          <w:sz w:val="22"/>
          <w:szCs w:val="22"/>
        </w:rPr>
        <w:t xml:space="preserve"> </w:t>
      </w:r>
      <w:r w:rsidRPr="007F5F4D">
        <w:rPr>
          <w:rFonts w:asciiTheme="minorHAnsi" w:hAnsiTheme="minorHAnsi" w:cstheme="minorHAnsi"/>
          <w:sz w:val="22"/>
          <w:szCs w:val="22"/>
          <w:highlight w:val="yellow"/>
        </w:rPr>
        <w:t>[</w:t>
      </w:r>
      <w:r w:rsidR="00EB4148" w:rsidRPr="007F5F4D">
        <w:rPr>
          <w:rFonts w:asciiTheme="minorHAnsi" w:hAnsiTheme="minorHAnsi" w:cstheme="minorHAnsi"/>
          <w:sz w:val="22"/>
          <w:szCs w:val="22"/>
          <w:highlight w:val="yellow"/>
        </w:rPr>
        <w:t>2</w:t>
      </w:r>
      <w:r w:rsidR="00CE5175">
        <w:rPr>
          <w:rFonts w:asciiTheme="minorHAnsi" w:hAnsiTheme="minorHAnsi" w:cstheme="minorHAnsi"/>
          <w:sz w:val="22"/>
          <w:szCs w:val="22"/>
          <w:highlight w:val="yellow"/>
        </w:rPr>
        <w:t>3</w:t>
      </w:r>
      <w:r w:rsidRPr="007F5F4D">
        <w:rPr>
          <w:rFonts w:asciiTheme="minorHAnsi" w:hAnsiTheme="minorHAnsi" w:cstheme="minorHAnsi"/>
          <w:sz w:val="22"/>
          <w:szCs w:val="22"/>
          <w:highlight w:val="yellow"/>
        </w:rPr>
        <w:t>]</w:t>
      </w:r>
      <w:r w:rsidR="00AF2770" w:rsidRPr="007F5F4D">
        <w:rPr>
          <w:rFonts w:asciiTheme="minorHAnsi" w:hAnsiTheme="minorHAnsi" w:cstheme="minorHAnsi"/>
          <w:sz w:val="22"/>
          <w:szCs w:val="22"/>
          <w:highlight w:val="yellow"/>
        </w:rPr>
        <w:t>, a developped country</w:t>
      </w:r>
      <w:r w:rsidRPr="007F5F4D">
        <w:rPr>
          <w:rFonts w:asciiTheme="minorHAnsi" w:hAnsiTheme="minorHAnsi" w:cstheme="minorHAnsi"/>
          <w:sz w:val="22"/>
          <w:szCs w:val="22"/>
          <w:highlight w:val="yellow"/>
        </w:rPr>
        <w:t>.</w:t>
      </w:r>
      <w:r w:rsidRPr="00964F6D">
        <w:rPr>
          <w:rFonts w:asciiTheme="minorHAnsi" w:hAnsiTheme="minorHAnsi" w:cstheme="minorHAnsi"/>
          <w:sz w:val="22"/>
          <w:szCs w:val="22"/>
        </w:rPr>
        <w:t xml:space="preserve"> When diabetes is poorly controlled, it is an aggravating factor in the occurrence of complications for infectious, vascular, and metabolic reasons.</w:t>
      </w:r>
    </w:p>
    <w:p w14:paraId="5B3DDD2C"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V.1.4.4. Association between smoking and the occurrence of complications</w:t>
      </w:r>
    </w:p>
    <w:p w14:paraId="6F5ABC2B" w14:textId="1741E55E" w:rsidR="00101819" w:rsidRPr="005561F5" w:rsidRDefault="00101819" w:rsidP="005561F5">
      <w:pPr>
        <w:rPr>
          <w:rFonts w:eastAsia="Times New Roman" w:cstheme="minorHAnsi"/>
          <w:lang w:eastAsia="fr-FR"/>
        </w:rPr>
      </w:pPr>
      <w:r w:rsidRPr="00964F6D">
        <w:rPr>
          <w:rFonts w:cstheme="minorHAnsi"/>
        </w:rPr>
        <w:t xml:space="preserve">In this study, smoking was found to be a factor associated with the occurrence of postoperative complications in femoral shaft fractures. </w:t>
      </w:r>
      <w:r w:rsidR="00AF2770" w:rsidRPr="00964F6D">
        <w:rPr>
          <w:rFonts w:cstheme="minorHAnsi"/>
        </w:rPr>
        <w:t xml:space="preserve">This could be explained by the fact that tobacco abuse is one of the main factors contributing to poor fracture healing. </w:t>
      </w:r>
      <w:r w:rsidRPr="00964F6D">
        <w:rPr>
          <w:rFonts w:cstheme="minorHAnsi"/>
        </w:rPr>
        <w:t>This result is similar to that foun</w:t>
      </w:r>
      <w:r w:rsidRPr="007F5F4D">
        <w:rPr>
          <w:rFonts w:cstheme="minorHAnsi"/>
          <w:highlight w:val="yellow"/>
        </w:rPr>
        <w:t xml:space="preserve">d </w:t>
      </w:r>
      <w:proofErr w:type="gramStart"/>
      <w:r w:rsidRPr="007F5F4D">
        <w:rPr>
          <w:rFonts w:cstheme="minorHAnsi"/>
          <w:highlight w:val="yellow"/>
        </w:rPr>
        <w:t xml:space="preserve">by </w:t>
      </w:r>
      <w:r w:rsidR="00AF2770" w:rsidRPr="007F5F4D">
        <w:rPr>
          <w:rFonts w:cstheme="minorHAnsi"/>
          <w:highlight w:val="yellow"/>
        </w:rPr>
        <w:t xml:space="preserve"> </w:t>
      </w:r>
      <w:r w:rsidR="005561F5" w:rsidRPr="007F5F4D">
        <w:rPr>
          <w:rFonts w:cstheme="minorHAnsi"/>
          <w:highlight w:val="yellow"/>
        </w:rPr>
        <w:t>Scolaro</w:t>
      </w:r>
      <w:proofErr w:type="gramEnd"/>
      <w:r w:rsidR="005561F5" w:rsidRPr="007F5F4D">
        <w:rPr>
          <w:rFonts w:cstheme="minorHAnsi"/>
          <w:highlight w:val="yellow"/>
        </w:rPr>
        <w:t xml:space="preserve"> J in Calfornia for whom </w:t>
      </w:r>
      <w:r w:rsidR="005561F5" w:rsidRPr="007F5F4D">
        <w:rPr>
          <w:rFonts w:eastAsia="Times New Roman" w:cstheme="minorHAnsi"/>
          <w:highlight w:val="yellow"/>
          <w:lang w:eastAsia="fr-FR"/>
        </w:rPr>
        <w:t xml:space="preserve">Smoking significantly increased the risk of nonunion of </w:t>
      </w:r>
      <w:r w:rsidR="001B79BB" w:rsidRPr="007F5F4D">
        <w:rPr>
          <w:rFonts w:eastAsia="Times New Roman" w:cstheme="minorHAnsi"/>
          <w:highlight w:val="yellow"/>
          <w:lang w:eastAsia="fr-FR"/>
        </w:rPr>
        <w:t xml:space="preserve">all </w:t>
      </w:r>
      <w:r w:rsidR="005561F5" w:rsidRPr="007F5F4D">
        <w:rPr>
          <w:rFonts w:eastAsia="Times New Roman" w:cstheme="minorHAnsi"/>
          <w:highlight w:val="yellow"/>
          <w:lang w:eastAsia="fr-FR"/>
        </w:rPr>
        <w:t>fractures in 2014 [2</w:t>
      </w:r>
      <w:r w:rsidR="00CE5175">
        <w:rPr>
          <w:rFonts w:eastAsia="Times New Roman" w:cstheme="minorHAnsi"/>
          <w:highlight w:val="yellow"/>
          <w:lang w:eastAsia="fr-FR"/>
        </w:rPr>
        <w:t>4</w:t>
      </w:r>
      <w:r w:rsidR="005561F5" w:rsidRPr="007F5F4D">
        <w:rPr>
          <w:rFonts w:eastAsia="Times New Roman" w:cstheme="minorHAnsi"/>
          <w:highlight w:val="yellow"/>
          <w:lang w:eastAsia="fr-FR"/>
        </w:rPr>
        <w:t>].</w:t>
      </w:r>
    </w:p>
    <w:p w14:paraId="76ECA86D"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 xml:space="preserve">V.1.4.4. Association between the delay in treatment and the occurrence of complications </w:t>
      </w:r>
    </w:p>
    <w:p w14:paraId="70064ED0" w14:textId="31E83946" w:rsidR="00101819" w:rsidRPr="00964F6D" w:rsidRDefault="00787469" w:rsidP="00B53E8B">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xml:space="preserve">Delay in treatment increased by 4 the risk of complicaions. </w:t>
      </w:r>
      <w:r w:rsidR="00101819" w:rsidRPr="00964F6D">
        <w:rPr>
          <w:rFonts w:asciiTheme="minorHAnsi" w:hAnsiTheme="minorHAnsi" w:cstheme="minorHAnsi"/>
          <w:sz w:val="22"/>
          <w:szCs w:val="22"/>
        </w:rPr>
        <w:t>This result is similar to th</w:t>
      </w:r>
      <w:r>
        <w:rPr>
          <w:rFonts w:asciiTheme="minorHAnsi" w:hAnsiTheme="minorHAnsi" w:cstheme="minorHAnsi"/>
          <w:sz w:val="22"/>
          <w:szCs w:val="22"/>
        </w:rPr>
        <w:t>e one</w:t>
      </w:r>
      <w:r w:rsidR="00101819" w:rsidRPr="00964F6D">
        <w:rPr>
          <w:rFonts w:asciiTheme="minorHAnsi" w:hAnsiTheme="minorHAnsi" w:cstheme="minorHAnsi"/>
          <w:sz w:val="22"/>
          <w:szCs w:val="22"/>
        </w:rPr>
        <w:t xml:space="preserve"> found by </w:t>
      </w:r>
      <w:r w:rsidRPr="0058318A">
        <w:rPr>
          <w:rFonts w:asciiTheme="minorHAnsi" w:hAnsiTheme="minorHAnsi" w:cstheme="minorHAnsi"/>
          <w:color w:val="1B1B1B"/>
          <w:shd w:val="clear" w:color="auto" w:fill="FFFFFF"/>
        </w:rPr>
        <w:t>Obey MR</w:t>
      </w:r>
      <w:r w:rsidR="00101819" w:rsidRPr="00964F6D">
        <w:rPr>
          <w:rFonts w:asciiTheme="minorHAnsi" w:hAnsiTheme="minorHAnsi" w:cstheme="minorHAnsi"/>
          <w:sz w:val="22"/>
          <w:szCs w:val="22"/>
        </w:rPr>
        <w:t xml:space="preserve"> et al. </w:t>
      </w:r>
      <w:proofErr w:type="gramStart"/>
      <w:r w:rsidR="00101819" w:rsidRPr="00964F6D">
        <w:rPr>
          <w:rFonts w:asciiTheme="minorHAnsi" w:hAnsiTheme="minorHAnsi" w:cstheme="minorHAnsi"/>
          <w:sz w:val="22"/>
          <w:szCs w:val="22"/>
        </w:rPr>
        <w:t>in</w:t>
      </w:r>
      <w:proofErr w:type="gramEnd"/>
      <w:r w:rsidR="00101819" w:rsidRPr="00964F6D">
        <w:rPr>
          <w:rFonts w:asciiTheme="minorHAnsi" w:hAnsiTheme="minorHAnsi" w:cstheme="minorHAnsi"/>
          <w:sz w:val="22"/>
          <w:szCs w:val="22"/>
        </w:rPr>
        <w:t xml:space="preserve"> </w:t>
      </w:r>
      <w:r w:rsidRPr="007F5F4D">
        <w:rPr>
          <w:rFonts w:asciiTheme="minorHAnsi" w:hAnsiTheme="minorHAnsi" w:cstheme="minorHAnsi"/>
          <w:sz w:val="22"/>
          <w:szCs w:val="22"/>
          <w:highlight w:val="yellow"/>
        </w:rPr>
        <w:t>Whashington</w:t>
      </w:r>
      <w:r w:rsidR="00101819" w:rsidRPr="007F5F4D">
        <w:rPr>
          <w:rFonts w:asciiTheme="minorHAnsi" w:hAnsiTheme="minorHAnsi" w:cstheme="minorHAnsi"/>
          <w:sz w:val="22"/>
          <w:szCs w:val="22"/>
          <w:highlight w:val="yellow"/>
        </w:rPr>
        <w:t>, United States, in 20</w:t>
      </w:r>
      <w:r w:rsidRPr="007F5F4D">
        <w:rPr>
          <w:rFonts w:asciiTheme="minorHAnsi" w:hAnsiTheme="minorHAnsi" w:cstheme="minorHAnsi"/>
          <w:sz w:val="22"/>
          <w:szCs w:val="22"/>
          <w:highlight w:val="yellow"/>
        </w:rPr>
        <w:t>22</w:t>
      </w:r>
      <w:r w:rsidR="00101819" w:rsidRPr="007F5F4D">
        <w:rPr>
          <w:rFonts w:asciiTheme="minorHAnsi" w:hAnsiTheme="minorHAnsi" w:cstheme="minorHAnsi"/>
          <w:sz w:val="22"/>
          <w:szCs w:val="22"/>
          <w:highlight w:val="yellow"/>
        </w:rPr>
        <w:t>[</w:t>
      </w:r>
      <w:r w:rsidR="001B79BB" w:rsidRPr="007F5F4D">
        <w:rPr>
          <w:rFonts w:asciiTheme="minorHAnsi" w:hAnsiTheme="minorHAnsi" w:cstheme="minorHAnsi"/>
          <w:sz w:val="22"/>
          <w:szCs w:val="22"/>
          <w:highlight w:val="yellow"/>
        </w:rPr>
        <w:t>2</w:t>
      </w:r>
      <w:r w:rsidR="00CE5175">
        <w:rPr>
          <w:rFonts w:asciiTheme="minorHAnsi" w:hAnsiTheme="minorHAnsi" w:cstheme="minorHAnsi"/>
          <w:sz w:val="22"/>
          <w:szCs w:val="22"/>
          <w:highlight w:val="yellow"/>
        </w:rPr>
        <w:t>5</w:t>
      </w:r>
      <w:r w:rsidR="00101819" w:rsidRPr="007F5F4D">
        <w:rPr>
          <w:rFonts w:asciiTheme="minorHAnsi" w:hAnsiTheme="minorHAnsi" w:cstheme="minorHAnsi"/>
          <w:sz w:val="22"/>
          <w:szCs w:val="22"/>
          <w:highlight w:val="yellow"/>
        </w:rPr>
        <w:t>].</w:t>
      </w:r>
      <w:r w:rsidR="00101819" w:rsidRPr="00964F6D">
        <w:rPr>
          <w:rFonts w:asciiTheme="minorHAnsi" w:hAnsiTheme="minorHAnsi" w:cstheme="minorHAnsi"/>
          <w:sz w:val="22"/>
          <w:szCs w:val="22"/>
        </w:rPr>
        <w:t xml:space="preserve"> The consensus in modern medical literature agrees on the principle of early surgical stabilization of diaphyseal femur fractures, ideally within 24 to 48 hours of the trauma, in order to improve </w:t>
      </w:r>
      <w:r w:rsidR="00101819" w:rsidRPr="00964F6D">
        <w:rPr>
          <w:rFonts w:asciiTheme="minorHAnsi" w:hAnsiTheme="minorHAnsi" w:cstheme="minorHAnsi"/>
          <w:sz w:val="22"/>
          <w:szCs w:val="22"/>
        </w:rPr>
        <w:lastRenderedPageBreak/>
        <w:t>the patient's overall prognosis and reduce morbidity and mortality. After a fracture, a fracture hematoma develops and fibrous callus formation begins, creating strong adhesions between bone fragments and surrounding soft tissues. The local inflammatory process that sets in and the reactive hypervascularization of the fracture site make hemostasis more difficult and increase the risk of infection and pseudarthrosis.</w:t>
      </w:r>
    </w:p>
    <w:p w14:paraId="67FF6701" w14:textId="77777777"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V.1.4.5. Association between the type of osteosynthesis and the occurrence of complications</w:t>
      </w:r>
    </w:p>
    <w:p w14:paraId="4C1F8E1E" w14:textId="7A74A0DA"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Poor reduction and stabilization increase the risk of complications by a factor of 13. </w:t>
      </w:r>
      <w:r w:rsidR="009350EE">
        <w:rPr>
          <w:rFonts w:asciiTheme="minorHAnsi" w:hAnsiTheme="minorHAnsi" w:cstheme="minorHAnsi"/>
          <w:sz w:val="22"/>
          <w:szCs w:val="22"/>
        </w:rPr>
        <w:t xml:space="preserve">It also varies concerning the fracture type and the open or close osteosnthesis. </w:t>
      </w:r>
      <w:r w:rsidRPr="00964F6D">
        <w:rPr>
          <w:rFonts w:asciiTheme="minorHAnsi" w:hAnsiTheme="minorHAnsi" w:cstheme="minorHAnsi"/>
          <w:sz w:val="22"/>
          <w:szCs w:val="22"/>
        </w:rPr>
        <w:t xml:space="preserve">This corroborates </w:t>
      </w:r>
      <w:r w:rsidR="009350EE" w:rsidRPr="007F5F4D">
        <w:rPr>
          <w:rFonts w:asciiTheme="minorHAnsi" w:hAnsiTheme="minorHAnsi" w:cstheme="minorHAnsi"/>
          <w:sz w:val="22"/>
          <w:szCs w:val="22"/>
          <w:highlight w:val="yellow"/>
        </w:rPr>
        <w:t xml:space="preserve">with Gambuti E et al. </w:t>
      </w:r>
      <w:proofErr w:type="gramStart"/>
      <w:r w:rsidR="009350EE" w:rsidRPr="007F5F4D">
        <w:rPr>
          <w:rFonts w:asciiTheme="minorHAnsi" w:hAnsiTheme="minorHAnsi" w:cstheme="minorHAnsi"/>
          <w:sz w:val="22"/>
          <w:szCs w:val="22"/>
          <w:highlight w:val="yellow"/>
        </w:rPr>
        <w:t>in</w:t>
      </w:r>
      <w:proofErr w:type="gramEnd"/>
      <w:r w:rsidR="009350EE" w:rsidRPr="007F5F4D">
        <w:rPr>
          <w:rFonts w:asciiTheme="minorHAnsi" w:hAnsiTheme="minorHAnsi" w:cstheme="minorHAnsi"/>
          <w:sz w:val="22"/>
          <w:szCs w:val="22"/>
          <w:highlight w:val="yellow"/>
        </w:rPr>
        <w:t xml:space="preserve"> 2025 in Italy, for whom the open reduction and synthesis of the third fragment is a statistically significant complication predictor</w:t>
      </w:r>
      <w:r w:rsidR="009350EE">
        <w:rPr>
          <w:rFonts w:asciiTheme="minorHAnsi" w:hAnsiTheme="minorHAnsi" w:cstheme="minorHAnsi"/>
          <w:sz w:val="22"/>
          <w:szCs w:val="22"/>
        </w:rPr>
        <w:t>[</w:t>
      </w:r>
      <w:r w:rsidR="000A1ED1">
        <w:rPr>
          <w:rFonts w:asciiTheme="minorHAnsi" w:hAnsiTheme="minorHAnsi" w:cstheme="minorHAnsi"/>
          <w:sz w:val="22"/>
          <w:szCs w:val="22"/>
        </w:rPr>
        <w:t>2</w:t>
      </w:r>
      <w:r w:rsidR="00CE5175">
        <w:rPr>
          <w:rFonts w:asciiTheme="minorHAnsi" w:hAnsiTheme="minorHAnsi" w:cstheme="minorHAnsi"/>
          <w:sz w:val="22"/>
          <w:szCs w:val="22"/>
        </w:rPr>
        <w:t>6</w:t>
      </w:r>
      <w:r w:rsidR="000A1ED1">
        <w:rPr>
          <w:rFonts w:asciiTheme="minorHAnsi" w:hAnsiTheme="minorHAnsi" w:cstheme="minorHAnsi"/>
          <w:sz w:val="22"/>
          <w:szCs w:val="22"/>
        </w:rPr>
        <w:t>].</w:t>
      </w:r>
      <w:r w:rsidR="007B4691">
        <w:rPr>
          <w:rFonts w:asciiTheme="minorHAnsi" w:hAnsiTheme="minorHAnsi" w:cstheme="minorHAnsi"/>
          <w:sz w:val="22"/>
          <w:szCs w:val="22"/>
        </w:rPr>
        <w:t xml:space="preserve"> For patients with plating or external fixators we prefer restricted weigt bearing. </w:t>
      </w:r>
      <w:r w:rsidR="007B4691" w:rsidRPr="007F5F4D">
        <w:rPr>
          <w:rFonts w:asciiTheme="minorHAnsi" w:hAnsiTheme="minorHAnsi" w:cstheme="minorHAnsi"/>
          <w:sz w:val="22"/>
          <w:szCs w:val="22"/>
          <w:highlight w:val="yellow"/>
        </w:rPr>
        <w:t>Comparative studies evaluating patients undergoing distal femur fracture fixation with early or restricted weight-bearing shows no statistically significant difference in the revision or complication rate between the two groups [2</w:t>
      </w:r>
      <w:r w:rsidR="00CE5175">
        <w:rPr>
          <w:rFonts w:asciiTheme="minorHAnsi" w:hAnsiTheme="minorHAnsi" w:cstheme="minorHAnsi"/>
          <w:sz w:val="22"/>
          <w:szCs w:val="22"/>
          <w:highlight w:val="yellow"/>
        </w:rPr>
        <w:t>7</w:t>
      </w:r>
      <w:r w:rsidR="007B4691" w:rsidRPr="007F5F4D">
        <w:rPr>
          <w:rFonts w:asciiTheme="minorHAnsi" w:hAnsiTheme="minorHAnsi" w:cstheme="minorHAnsi"/>
          <w:sz w:val="22"/>
          <w:szCs w:val="22"/>
          <w:highlight w:val="yellow"/>
        </w:rPr>
        <w:t>].</w:t>
      </w:r>
    </w:p>
    <w:p w14:paraId="505F82FD" w14:textId="136C0395"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Limitations of nailing</w:t>
      </w:r>
    </w:p>
    <w:p w14:paraId="7B310D08"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ECM may be limited for very specific </w:t>
      </w:r>
      <w:proofErr w:type="gramStart"/>
      <w:r w:rsidRPr="00964F6D">
        <w:rPr>
          <w:rFonts w:asciiTheme="minorHAnsi" w:hAnsiTheme="minorHAnsi" w:cstheme="minorHAnsi"/>
          <w:sz w:val="22"/>
          <w:szCs w:val="22"/>
        </w:rPr>
        <w:t>fractures:</w:t>
      </w:r>
      <w:proofErr w:type="gramEnd"/>
      <w:r w:rsidRPr="00964F6D">
        <w:rPr>
          <w:rFonts w:asciiTheme="minorHAnsi" w:hAnsiTheme="minorHAnsi" w:cstheme="minorHAnsi"/>
          <w:sz w:val="22"/>
          <w:szCs w:val="22"/>
        </w:rPr>
        <w:t xml:space="preserve"> fractures too close to the epiphyses (extreme subtrochanteric or supra/intercondylar fractures) where distal or proximal locking is difficult, or femurs with a medullary canal that is too narrow or deformed, are relative contraindications. In addition, infection around the nail, although rare, is a devastating complication that often requires removal of the hardware.</w:t>
      </w:r>
    </w:p>
    <w:p w14:paraId="23CDE60B"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b/>
          <w:bCs/>
          <w:sz w:val="22"/>
          <w:szCs w:val="22"/>
        </w:rPr>
        <w:t xml:space="preserve">Limitations of screw </w:t>
      </w:r>
      <w:proofErr w:type="gramStart"/>
      <w:r w:rsidRPr="00964F6D">
        <w:rPr>
          <w:rFonts w:asciiTheme="minorHAnsi" w:hAnsiTheme="minorHAnsi" w:cstheme="minorHAnsi"/>
          <w:b/>
          <w:bCs/>
          <w:sz w:val="22"/>
          <w:szCs w:val="22"/>
        </w:rPr>
        <w:t>plates</w:t>
      </w:r>
      <w:r w:rsidRPr="00964F6D">
        <w:rPr>
          <w:rFonts w:asciiTheme="minorHAnsi" w:hAnsiTheme="minorHAnsi" w:cstheme="minorHAnsi"/>
          <w:sz w:val="22"/>
          <w:szCs w:val="22"/>
        </w:rPr>
        <w:t>:</w:t>
      </w:r>
      <w:proofErr w:type="gramEnd"/>
      <w:r w:rsidRPr="00964F6D">
        <w:rPr>
          <w:rFonts w:asciiTheme="minorHAnsi" w:hAnsiTheme="minorHAnsi" w:cstheme="minorHAnsi"/>
          <w:sz w:val="22"/>
          <w:szCs w:val="22"/>
        </w:rPr>
        <w:t xml:space="preserve"> open reduction, loss of hematoma, and less stable assembly.</w:t>
      </w:r>
    </w:p>
    <w:p w14:paraId="3FEC84CA" w14:textId="31D2353C" w:rsidR="00101819" w:rsidRPr="00964F6D" w:rsidRDefault="00101819"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Limitations of external fixators</w:t>
      </w:r>
    </w:p>
    <w:p w14:paraId="6FAF013D" w14:textId="77777777" w:rsidR="00101819" w:rsidRPr="00964F6D" w:rsidRDefault="00101819"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External fixators have been used primarily in emergency situations, for highly contaminated open fractures, or for severe polytrauma requiring rapid and temporary stabilization. Its main limitation is its inferior mechanical stability compared to internal implants, particularly in terms of torsion and axial compression. This limited stability can lead to a high risk of pseudarthrosis or malunion if the fixator is kept in place as a definitive treatment without satisfactory consolidation. The risk of infection along the pin paths is a complication. Finally, in most cases, the external fixator is a temporary solution for femoral shaft </w:t>
      </w:r>
      <w:proofErr w:type="gramStart"/>
      <w:r w:rsidRPr="00964F6D">
        <w:rPr>
          <w:rFonts w:asciiTheme="minorHAnsi" w:hAnsiTheme="minorHAnsi" w:cstheme="minorHAnsi"/>
          <w:sz w:val="22"/>
          <w:szCs w:val="22"/>
        </w:rPr>
        <w:t>fractures;</w:t>
      </w:r>
      <w:proofErr w:type="gramEnd"/>
      <w:r w:rsidRPr="00964F6D">
        <w:rPr>
          <w:rFonts w:asciiTheme="minorHAnsi" w:hAnsiTheme="minorHAnsi" w:cstheme="minorHAnsi"/>
          <w:sz w:val="22"/>
          <w:szCs w:val="22"/>
        </w:rPr>
        <w:t xml:space="preserve"> a second surgery to convert it to internal osteosynthesis (nail or plate) is almost always necessary once the patient's condition and soft tissues allow it.</w:t>
      </w:r>
    </w:p>
    <w:p w14:paraId="5D834579" w14:textId="77777777" w:rsidR="00A73E68" w:rsidRPr="00964F6D" w:rsidRDefault="00A73E68"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 xml:space="preserve">V.2.1. Limitations of the study </w:t>
      </w:r>
    </w:p>
    <w:p w14:paraId="100D1305" w14:textId="77777777" w:rsidR="00A73E68" w:rsidRPr="00964F6D" w:rsidRDefault="00A73E68"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We had the advantage of conducting a multicenter study over a period of five years. However, as our study was retrospective in nature, we encountered difficulties in collecting data. We had to call patients to obtain reliable and complete information. As communication was difficult with some elderly patients, information was obtained from caregivers, thereby reducing the accuracy of some information (memory bias). In cases of doubt, in addition to phone calls, we summoned and re-examined certain patients. </w:t>
      </w:r>
    </w:p>
    <w:p w14:paraId="609F550C" w14:textId="77777777" w:rsidR="00A73E68" w:rsidRPr="00964F6D" w:rsidRDefault="00A73E68" w:rsidP="00B53E8B">
      <w:pPr>
        <w:pStyle w:val="NormalWeb"/>
        <w:spacing w:before="0" w:beforeAutospacing="0" w:after="0" w:afterAutospacing="0"/>
        <w:jc w:val="both"/>
        <w:rPr>
          <w:rFonts w:asciiTheme="minorHAnsi" w:hAnsiTheme="minorHAnsi" w:cstheme="minorHAnsi"/>
          <w:sz w:val="22"/>
          <w:szCs w:val="22"/>
        </w:rPr>
      </w:pPr>
    </w:p>
    <w:p w14:paraId="5B8E89F8" w14:textId="77777777" w:rsidR="00A73E68" w:rsidRPr="00964F6D" w:rsidRDefault="00A73E68" w:rsidP="00B53E8B">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Conclusion</w:t>
      </w:r>
    </w:p>
    <w:p w14:paraId="064FDC6B" w14:textId="77777777" w:rsidR="00A73E68" w:rsidRPr="00964F6D" w:rsidRDefault="00A73E68"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This study of 520 adult patients admitted for femoral shaft fractures in four hospitals in the West region reveals Closed-fracture intramedullary nailing, used in nearly 70% of cases, is the gold standard treatment, with rapid healing rates and a proven safety profile.</w:t>
      </w:r>
    </w:p>
    <w:p w14:paraId="40C7A8DF" w14:textId="77777777" w:rsidR="00A73E68" w:rsidRPr="00964F6D" w:rsidRDefault="00A73E68" w:rsidP="00B53E8B">
      <w:pPr>
        <w:pStyle w:val="NormalWeb"/>
        <w:spacing w:before="0" w:beforeAutospacing="0" w:after="0" w:afterAutospacing="0"/>
        <w:jc w:val="both"/>
        <w:rPr>
          <w:rFonts w:asciiTheme="minorHAnsi" w:hAnsiTheme="minorHAnsi" w:cstheme="minorHAnsi"/>
          <w:sz w:val="22"/>
          <w:szCs w:val="22"/>
        </w:rPr>
      </w:pPr>
      <w:r w:rsidRPr="00964F6D">
        <w:rPr>
          <w:rFonts w:asciiTheme="minorHAnsi" w:hAnsiTheme="minorHAnsi" w:cstheme="minorHAnsi"/>
          <w:sz w:val="22"/>
          <w:szCs w:val="22"/>
        </w:rPr>
        <w:t xml:space="preserve">Poor reduction of complex fractures is associated with a high complication rate in elderly, diabetic smokers who undergo late surgery, and these prognostic factors should be taken into account by all authors working in conditions similar to ours. </w:t>
      </w:r>
    </w:p>
    <w:p w14:paraId="46A64F19" w14:textId="1EF87BFB" w:rsidR="00A73E68" w:rsidRPr="00964F6D" w:rsidRDefault="00A73E68" w:rsidP="00B53E8B">
      <w:pPr>
        <w:pStyle w:val="NormalWeb"/>
        <w:spacing w:before="0" w:beforeAutospacing="0" w:after="0" w:afterAutospacing="0"/>
        <w:jc w:val="both"/>
        <w:rPr>
          <w:rFonts w:asciiTheme="minorHAnsi" w:hAnsiTheme="minorHAnsi" w:cstheme="minorHAnsi"/>
          <w:sz w:val="22"/>
          <w:szCs w:val="22"/>
        </w:rPr>
      </w:pPr>
    </w:p>
    <w:p w14:paraId="36AF582B" w14:textId="2EB2162E" w:rsidR="00E54095" w:rsidRPr="00964F6D" w:rsidRDefault="00E54095" w:rsidP="00E54095">
      <w:pPr>
        <w:spacing w:after="0"/>
        <w:jc w:val="both"/>
        <w:rPr>
          <w:b/>
          <w:bCs/>
        </w:rPr>
      </w:pPr>
      <w:bookmarkStart w:id="2" w:name="_Hlk204003461"/>
      <w:bookmarkStart w:id="3" w:name="_Hlk209007716"/>
      <w:r w:rsidRPr="00964F6D">
        <w:rPr>
          <w:b/>
          <w:bCs/>
        </w:rPr>
        <w:t xml:space="preserve">Ethical </w:t>
      </w:r>
      <w:r>
        <w:rPr>
          <w:b/>
          <w:bCs/>
        </w:rPr>
        <w:t>Approval and Consent :</w:t>
      </w:r>
    </w:p>
    <w:p w14:paraId="7FD62F4E" w14:textId="77777777" w:rsidR="00E54095" w:rsidRPr="00964F6D" w:rsidRDefault="00E54095" w:rsidP="00E54095">
      <w:pPr>
        <w:jc w:val="both"/>
      </w:pPr>
      <w:r w:rsidRPr="00964F6D">
        <w:t>Ethical clearance CE 380/29/01/2025/CE/CRERSH-OU/VP was obtained from the West Region Ethics Committee of Cameroon. Also, on site permission to conduct the study was also obtained from the authorities of the study sites namely : the Catholic Centre Our Lady of Health of Batsengla in Dschang, Mbouo Protestant Hospital of Bandjoun, West Regional Hospital of Bafoussam, and Dschang Annex Regional Hospital. Written informed consent was obtained before the commencement of data collection and measures like coding was taken to ensure patient confidentiality and privacy.</w:t>
      </w:r>
    </w:p>
    <w:p w14:paraId="2857510D" w14:textId="77777777" w:rsidR="00E54095" w:rsidRDefault="00E54095" w:rsidP="00B53E8B">
      <w:pPr>
        <w:spacing w:after="0"/>
        <w:jc w:val="both"/>
        <w:rPr>
          <w:rFonts w:ascii="Calibri" w:eastAsia="Calibri" w:hAnsi="Calibri" w:cs="Times New Roman"/>
          <w:b/>
          <w:bCs/>
          <w:kern w:val="2"/>
          <w:lang w:val="en-US"/>
        </w:rPr>
      </w:pPr>
    </w:p>
    <w:p w14:paraId="2F801087" w14:textId="77777777" w:rsidR="00E54095" w:rsidRDefault="00E54095" w:rsidP="00B53E8B">
      <w:pPr>
        <w:spacing w:after="0"/>
        <w:jc w:val="both"/>
        <w:rPr>
          <w:rFonts w:ascii="Calibri" w:eastAsia="Calibri" w:hAnsi="Calibri" w:cs="Times New Roman"/>
          <w:b/>
          <w:bCs/>
          <w:kern w:val="2"/>
          <w:lang w:val="en-US"/>
        </w:rPr>
      </w:pPr>
    </w:p>
    <w:p w14:paraId="000C075A" w14:textId="38CD1A8B" w:rsidR="00B53E8B" w:rsidRPr="00964F6D" w:rsidRDefault="00B53E8B" w:rsidP="00B53E8B">
      <w:pPr>
        <w:spacing w:after="0"/>
        <w:jc w:val="both"/>
        <w:rPr>
          <w:rFonts w:ascii="Calibri" w:eastAsia="Calibri" w:hAnsi="Calibri" w:cs="Times New Roman"/>
          <w:b/>
          <w:bCs/>
          <w:kern w:val="2"/>
          <w:lang w:val="en-US"/>
        </w:rPr>
      </w:pPr>
      <w:r w:rsidRPr="00964F6D">
        <w:rPr>
          <w:rFonts w:ascii="Calibri" w:eastAsia="Calibri" w:hAnsi="Calibri" w:cs="Times New Roman"/>
          <w:b/>
          <w:bCs/>
          <w:kern w:val="2"/>
          <w:lang w:val="en-US"/>
        </w:rPr>
        <w:t>Disclaimer (Artificial intelligence)</w:t>
      </w:r>
    </w:p>
    <w:p w14:paraId="6882B3E7" w14:textId="77777777" w:rsidR="00B53E8B" w:rsidRPr="00964F6D" w:rsidRDefault="00B53E8B" w:rsidP="00B53E8B">
      <w:pPr>
        <w:spacing w:after="0"/>
        <w:jc w:val="both"/>
        <w:rPr>
          <w:rFonts w:ascii="Calibri" w:eastAsia="Calibri" w:hAnsi="Calibri" w:cs="Times New Roman"/>
          <w:kern w:val="2"/>
          <w:lang w:val="en-US"/>
        </w:rPr>
      </w:pPr>
      <w:r w:rsidRPr="00964F6D">
        <w:rPr>
          <w:rFonts w:ascii="Calibri" w:eastAsia="Calibri" w:hAnsi="Calibri" w:cs="Times New Roman"/>
          <w:kern w:val="2"/>
          <w:lang w:val="en-US"/>
        </w:rPr>
        <w:t xml:space="preserve">Author(s) hereby declare that NO generative AI technologies such as Large Language Models (ChatGPT, COPILOT, etc.) and text-to-image generators have been used during the writing or editing of this manuscript. </w:t>
      </w:r>
    </w:p>
    <w:p w14:paraId="4882C86B" w14:textId="77777777" w:rsidR="0094700D" w:rsidRDefault="0094700D" w:rsidP="00FE078F">
      <w:pPr>
        <w:pStyle w:val="NormalWeb"/>
        <w:spacing w:before="0" w:beforeAutospacing="0" w:after="0" w:afterAutospacing="0"/>
        <w:jc w:val="both"/>
        <w:rPr>
          <w:rFonts w:asciiTheme="minorHAnsi" w:hAnsiTheme="minorHAnsi" w:cstheme="minorHAnsi"/>
          <w:b/>
          <w:bCs/>
          <w:sz w:val="22"/>
          <w:szCs w:val="22"/>
        </w:rPr>
      </w:pPr>
      <w:bookmarkStart w:id="4" w:name="_Hlk215492422"/>
      <w:bookmarkEnd w:id="2"/>
      <w:bookmarkEnd w:id="3"/>
    </w:p>
    <w:p w14:paraId="711F0A15" w14:textId="77777777" w:rsidR="0094700D" w:rsidRDefault="0094700D" w:rsidP="00FE078F">
      <w:pPr>
        <w:pStyle w:val="NormalWeb"/>
        <w:spacing w:before="0" w:beforeAutospacing="0" w:after="0" w:afterAutospacing="0"/>
        <w:jc w:val="both"/>
        <w:rPr>
          <w:rFonts w:asciiTheme="minorHAnsi" w:hAnsiTheme="minorHAnsi" w:cstheme="minorHAnsi"/>
          <w:b/>
          <w:bCs/>
          <w:sz w:val="22"/>
          <w:szCs w:val="22"/>
        </w:rPr>
      </w:pPr>
    </w:p>
    <w:p w14:paraId="1F9E4702" w14:textId="5C4F8145" w:rsidR="00FE078F" w:rsidRPr="00964F6D" w:rsidRDefault="00FE078F" w:rsidP="00FE078F">
      <w:pPr>
        <w:pStyle w:val="NormalWeb"/>
        <w:spacing w:before="0" w:beforeAutospacing="0" w:after="0" w:afterAutospacing="0"/>
        <w:jc w:val="both"/>
        <w:rPr>
          <w:rFonts w:asciiTheme="minorHAnsi" w:hAnsiTheme="minorHAnsi" w:cstheme="minorHAnsi"/>
          <w:b/>
          <w:bCs/>
          <w:sz w:val="22"/>
          <w:szCs w:val="22"/>
        </w:rPr>
      </w:pPr>
      <w:r w:rsidRPr="00964F6D">
        <w:rPr>
          <w:rFonts w:asciiTheme="minorHAnsi" w:hAnsiTheme="minorHAnsi" w:cstheme="minorHAnsi"/>
          <w:b/>
          <w:bCs/>
          <w:sz w:val="22"/>
          <w:szCs w:val="22"/>
        </w:rPr>
        <w:t>References</w:t>
      </w:r>
    </w:p>
    <w:p w14:paraId="01566899"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bookmarkStart w:id="5" w:name="_Hlk213047150"/>
      <w:bookmarkStart w:id="6" w:name="_Hlk215706642"/>
      <w:bookmarkEnd w:id="4"/>
      <w:r w:rsidRPr="00E4103A">
        <w:rPr>
          <w:rFonts w:eastAsia="Times New Roman" w:cstheme="minorHAnsi"/>
          <w:color w:val="000000"/>
          <w:highlight w:val="yellow"/>
          <w:lang w:eastAsia="fr-FR"/>
        </w:rPr>
        <w:t>Orthopaedic Trauma Association Committee for Coding and Classification. Fracture and dislocation compendium. J Orthop Trauma. </w:t>
      </w:r>
      <w:proofErr w:type="gramStart"/>
      <w:r w:rsidRPr="00E4103A">
        <w:rPr>
          <w:rFonts w:eastAsia="Times New Roman" w:cstheme="minorHAnsi"/>
          <w:color w:val="000000"/>
          <w:highlight w:val="yellow"/>
          <w:lang w:eastAsia="fr-FR"/>
        </w:rPr>
        <w:t>1996;</w:t>
      </w:r>
      <w:proofErr w:type="gramEnd"/>
      <w:r w:rsidRPr="00E4103A">
        <w:rPr>
          <w:rFonts w:eastAsia="Times New Roman" w:cstheme="minorHAnsi"/>
          <w:color w:val="000000"/>
          <w:highlight w:val="yellow"/>
          <w:lang w:eastAsia="fr-FR"/>
        </w:rPr>
        <w:t>10 Suppl 1:v-ix, 1-154. </w:t>
      </w:r>
      <w:hyperlink r:id="rId8" w:history="1">
        <w:r w:rsidRPr="00E4103A">
          <w:rPr>
            <w:rStyle w:val="Hyperlink"/>
            <w:rFonts w:eastAsia="Times New Roman" w:cstheme="minorHAnsi"/>
            <w:highlight w:val="yellow"/>
            <w:lang w:eastAsia="fr-FR"/>
          </w:rPr>
          <w:t>https://pubmed.ncbi.nlm.nih.gov/8814583/</w:t>
        </w:r>
      </w:hyperlink>
      <w:r w:rsidRPr="00E4103A">
        <w:rPr>
          <w:rFonts w:eastAsia="Times New Roman" w:cstheme="minorHAnsi"/>
          <w:color w:val="000000"/>
          <w:highlight w:val="yellow"/>
          <w:lang w:eastAsia="fr-FR"/>
        </w:rPr>
        <w:t xml:space="preserve">. </w:t>
      </w:r>
    </w:p>
    <w:p w14:paraId="6AF7648F"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E4103A">
        <w:rPr>
          <w:rFonts w:cstheme="minorHAnsi"/>
          <w:highlight w:val="yellow"/>
        </w:rPr>
        <w:t xml:space="preserve">Constance B-B, Noémie D, Julie B, Antoine B, Philippe A, Christophe C, Frédéric F, Florence C, Karine B, Christian R, Bernard C and Thierry T. Fréquence réelle des fractures fémorales ordinaires et atypiques sous-trochantériennes et diaphysaires en France en se basant sur l’analyse des radiographies et des dossiers médicaux. </w:t>
      </w:r>
      <w:r w:rsidRPr="00E4103A">
        <w:rPr>
          <w:rFonts w:cstheme="minorHAnsi"/>
          <w:i/>
          <w:iCs/>
          <w:highlight w:val="yellow"/>
        </w:rPr>
        <w:t>Revue du Rhumatisme</w:t>
      </w:r>
      <w:r w:rsidRPr="00E4103A">
        <w:rPr>
          <w:rFonts w:cstheme="minorHAnsi"/>
          <w:highlight w:val="yellow"/>
        </w:rPr>
        <w:t>, Volume 80, Issue 2, 2013, Pages 167-172, ISSN 1169-8330.</w:t>
      </w:r>
    </w:p>
    <w:p w14:paraId="2FD9BDE2" w14:textId="77777777" w:rsidR="00CE5175" w:rsidRPr="00E4103A" w:rsidRDefault="00E96060" w:rsidP="00CE5175">
      <w:pPr>
        <w:pStyle w:val="ListParagraph"/>
        <w:spacing w:after="0"/>
        <w:rPr>
          <w:rFonts w:cstheme="minorHAnsi"/>
          <w:highlight w:val="yellow"/>
          <w:u w:val="single"/>
        </w:rPr>
      </w:pPr>
      <w:hyperlink r:id="rId9" w:history="1">
        <w:r w:rsidR="00CE5175" w:rsidRPr="00E4103A">
          <w:rPr>
            <w:rStyle w:val="Hyperlink"/>
            <w:rFonts w:cstheme="minorHAnsi"/>
            <w:highlight w:val="yellow"/>
          </w:rPr>
          <w:t>https://www.sciencedirect.com/science/article/pii/S1169833012002256</w:t>
        </w:r>
      </w:hyperlink>
      <w:r w:rsidR="00CE5175" w:rsidRPr="00E4103A">
        <w:rPr>
          <w:rFonts w:cstheme="minorHAnsi"/>
          <w:highlight w:val="yellow"/>
          <w:u w:val="single"/>
        </w:rPr>
        <w:t xml:space="preserve"> </w:t>
      </w:r>
    </w:p>
    <w:p w14:paraId="4F5656C0"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E4103A">
        <w:rPr>
          <w:rStyle w:val="full-name"/>
          <w:rFonts w:cstheme="minorHAnsi"/>
          <w:color w:val="212121"/>
          <w:highlight w:val="yellow"/>
          <w:shd w:val="clear" w:color="auto" w:fill="FFFFFF"/>
        </w:rPr>
        <w:t>Vos T</w:t>
      </w:r>
      <w:r w:rsidRPr="00E4103A">
        <w:rPr>
          <w:rStyle w:val="comma"/>
          <w:rFonts w:cstheme="minorHAnsi"/>
          <w:color w:val="212121"/>
          <w:highlight w:val="yellow"/>
          <w:shd w:val="clear" w:color="auto" w:fill="FFFFFF"/>
        </w:rPr>
        <w:t>,</w:t>
      </w:r>
      <w:r w:rsidRPr="00E4103A">
        <w:rPr>
          <w:rStyle w:val="full-name"/>
          <w:rFonts w:cstheme="minorHAnsi"/>
          <w:color w:val="212121"/>
          <w:highlight w:val="yellow"/>
          <w:shd w:val="clear" w:color="auto" w:fill="FFFFFF"/>
        </w:rPr>
        <w:t xml:space="preserve"> Lim SS</w:t>
      </w:r>
      <w:r w:rsidRPr="00E4103A">
        <w:rPr>
          <w:rStyle w:val="comma"/>
          <w:rFonts w:cstheme="minorHAnsi"/>
          <w:color w:val="212121"/>
          <w:highlight w:val="yellow"/>
          <w:shd w:val="clear" w:color="auto" w:fill="FFFFFF"/>
        </w:rPr>
        <w:t>,</w:t>
      </w:r>
      <w:r w:rsidRPr="00E4103A">
        <w:rPr>
          <w:rStyle w:val="full-name"/>
          <w:rFonts w:cstheme="minorHAnsi"/>
          <w:color w:val="212121"/>
          <w:highlight w:val="yellow"/>
          <w:shd w:val="clear" w:color="auto" w:fill="FFFFFF"/>
        </w:rPr>
        <w:t xml:space="preserve"> Abbafati C and other disease and injury collaborators. </w:t>
      </w:r>
      <w:r w:rsidRPr="00E4103A">
        <w:rPr>
          <w:rFonts w:eastAsia="Times New Roman" w:cstheme="minorHAnsi"/>
          <w:highlight w:val="yellow"/>
          <w:lang w:val="en-GB" w:eastAsia="fr-FR"/>
        </w:rPr>
        <w:t xml:space="preserve">Global Burden of Disease Study 2019. Global burden of 369 diseases and injuries in 204 countries and territories, 1990-2019: a systematic </w:t>
      </w:r>
      <w:proofErr w:type="gramStart"/>
      <w:r w:rsidRPr="00E4103A">
        <w:rPr>
          <w:rFonts w:eastAsia="Times New Roman" w:cstheme="minorHAnsi"/>
          <w:highlight w:val="yellow"/>
          <w:lang w:val="en-GB" w:eastAsia="fr-FR"/>
        </w:rPr>
        <w:t>analysis  for</w:t>
      </w:r>
      <w:proofErr w:type="gramEnd"/>
      <w:r w:rsidRPr="00E4103A">
        <w:rPr>
          <w:rFonts w:eastAsia="Times New Roman" w:cstheme="minorHAnsi"/>
          <w:highlight w:val="yellow"/>
          <w:lang w:val="en-GB" w:eastAsia="fr-FR"/>
        </w:rPr>
        <w:t xml:space="preserve"> the Global Burden of Disease Study 2019. </w:t>
      </w:r>
      <w:r w:rsidRPr="00E4103A">
        <w:rPr>
          <w:rFonts w:eastAsia="Times New Roman" w:cstheme="minorHAnsi"/>
          <w:highlight w:val="yellow"/>
          <w:lang w:eastAsia="fr-FR"/>
        </w:rPr>
        <w:t xml:space="preserve">Lancet. 17 oct </w:t>
      </w:r>
      <w:proofErr w:type="gramStart"/>
      <w:r w:rsidRPr="00E4103A">
        <w:rPr>
          <w:rFonts w:eastAsia="Times New Roman" w:cstheme="minorHAnsi"/>
          <w:highlight w:val="yellow"/>
          <w:lang w:eastAsia="fr-FR"/>
        </w:rPr>
        <w:t>2020;</w:t>
      </w:r>
      <w:proofErr w:type="gramEnd"/>
      <w:r w:rsidRPr="00E4103A">
        <w:rPr>
          <w:rFonts w:eastAsia="Times New Roman" w:cstheme="minorHAnsi"/>
          <w:highlight w:val="yellow"/>
          <w:lang w:eastAsia="fr-FR"/>
        </w:rPr>
        <w:t>396(10258):1204</w:t>
      </w:r>
      <w:r w:rsidRPr="00E4103A">
        <w:rPr>
          <w:rFonts w:eastAsia="Times New Roman" w:cstheme="minorHAnsi"/>
          <w:highlight w:val="yellow"/>
          <w:lang w:eastAsia="fr-FR"/>
        </w:rPr>
        <w:noBreakHyphen/>
        <w:t>22.</w:t>
      </w:r>
      <w:r w:rsidRPr="00E4103A">
        <w:rPr>
          <w:highlight w:val="yellow"/>
        </w:rPr>
        <w:t xml:space="preserve"> </w:t>
      </w:r>
      <w:hyperlink r:id="rId10" w:history="1">
        <w:r w:rsidRPr="00E4103A">
          <w:rPr>
            <w:rStyle w:val="Hyperlink"/>
            <w:rFonts w:eastAsia="Times New Roman" w:cstheme="minorHAnsi"/>
            <w:highlight w:val="yellow"/>
            <w:lang w:eastAsia="fr-FR"/>
          </w:rPr>
          <w:t>https://doi.org/10.1016/S0140-6736(20)30925-9</w:t>
        </w:r>
      </w:hyperlink>
      <w:r w:rsidRPr="00E4103A">
        <w:rPr>
          <w:rFonts w:eastAsia="Times New Roman" w:cstheme="minorHAnsi"/>
          <w:highlight w:val="yellow"/>
          <w:lang w:eastAsia="fr-FR"/>
        </w:rPr>
        <w:t xml:space="preserve"> </w:t>
      </w:r>
    </w:p>
    <w:p w14:paraId="3E4AE0D0"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E4103A">
        <w:rPr>
          <w:highlight w:val="yellow"/>
        </w:rPr>
        <w:t xml:space="preserve">Razzouki K, Saidi H, Fikry T. Prise en charge chirurgicale des fractures de la diaphyse fémorale chez l’adulte. [CHU Mohammed VI] : Marrakech ; Thèse de médecine. Thèse N°X2011 ; 2011. </w:t>
      </w:r>
      <w:proofErr w:type="gramStart"/>
      <w:r w:rsidRPr="00E4103A">
        <w:rPr>
          <w:highlight w:val="yellow"/>
        </w:rPr>
        <w:t>p</w:t>
      </w:r>
      <w:proofErr w:type="gramEnd"/>
      <w:r w:rsidRPr="00E4103A">
        <w:rPr>
          <w:highlight w:val="yellow"/>
        </w:rPr>
        <w:t xml:space="preserve">1-126. </w:t>
      </w:r>
      <w:hyperlink r:id="rId11" w:history="1">
        <w:r w:rsidRPr="00E4103A">
          <w:rPr>
            <w:rStyle w:val="Hyperlink"/>
            <w:highlight w:val="yellow"/>
          </w:rPr>
          <w:t>http://toubkal.imist.ma/handle/123456789/19973</w:t>
        </w:r>
      </w:hyperlink>
      <w:r w:rsidRPr="00E4103A">
        <w:rPr>
          <w:highlight w:val="yellow"/>
        </w:rPr>
        <w:t xml:space="preserve"> </w:t>
      </w:r>
    </w:p>
    <w:p w14:paraId="599F55F7"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E4103A">
        <w:rPr>
          <w:rFonts w:eastAsia="Times New Roman" w:cstheme="minorHAnsi"/>
          <w:highlight w:val="yellow"/>
          <w:lang w:eastAsia="fr-FR"/>
        </w:rPr>
        <w:t xml:space="preserve">Loïc F, Kennedy M, Axel L, Olivier N, Ulrich T, Guiemse M, et al. Aspects Épidémiologiques, Cliniques et Thérapeutiques des Fractures Diaphysaires du Fémur à Yaoundé. Health Sciences and Disease. 28 mars </w:t>
      </w:r>
      <w:proofErr w:type="gramStart"/>
      <w:r w:rsidRPr="00E4103A">
        <w:rPr>
          <w:rFonts w:eastAsia="Times New Roman" w:cstheme="minorHAnsi"/>
          <w:highlight w:val="yellow"/>
          <w:lang w:eastAsia="fr-FR"/>
        </w:rPr>
        <w:t>2024;</w:t>
      </w:r>
      <w:proofErr w:type="gramEnd"/>
      <w:r w:rsidRPr="00E4103A">
        <w:rPr>
          <w:rFonts w:eastAsia="Times New Roman" w:cstheme="minorHAnsi"/>
          <w:highlight w:val="yellow"/>
          <w:lang w:eastAsia="fr-FR"/>
        </w:rPr>
        <w:t xml:space="preserve">25(4)79-84.  </w:t>
      </w:r>
      <w:hyperlink r:id="rId12" w:history="1">
        <w:r w:rsidRPr="00E4103A">
          <w:rPr>
            <w:rStyle w:val="Hyperlink"/>
            <w:rFonts w:eastAsia="Times New Roman" w:cstheme="minorHAnsi"/>
            <w:highlight w:val="yellow"/>
            <w:lang w:eastAsia="fr-FR"/>
          </w:rPr>
          <w:t>https://doi.org/10.5281/hsd.v25i4.5537</w:t>
        </w:r>
      </w:hyperlink>
      <w:r w:rsidRPr="00E4103A">
        <w:rPr>
          <w:rFonts w:eastAsia="Times New Roman" w:cstheme="minorHAnsi"/>
          <w:highlight w:val="yellow"/>
          <w:lang w:eastAsia="fr-FR"/>
        </w:rPr>
        <w:t xml:space="preserve"> </w:t>
      </w:r>
    </w:p>
    <w:p w14:paraId="50B1CCBB"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val="en-GB" w:eastAsia="fr-FR"/>
        </w:rPr>
      </w:pPr>
      <w:r>
        <w:rPr>
          <w:rFonts w:eastAsia="Times New Roman" w:cstheme="minorHAnsi"/>
          <w:highlight w:val="yellow"/>
          <w:lang w:val="en-GB" w:eastAsia="fr-FR"/>
        </w:rPr>
        <w:t xml:space="preserve">Ngo </w:t>
      </w:r>
      <w:r w:rsidRPr="00E4103A">
        <w:rPr>
          <w:rFonts w:eastAsia="Times New Roman" w:cstheme="minorHAnsi"/>
          <w:highlight w:val="yellow"/>
          <w:lang w:val="en-GB" w:eastAsia="fr-FR"/>
        </w:rPr>
        <w:t xml:space="preserve">Ngote U, Bombah FM, Batchom AD, Nyekel R, Engbang JP, Eone DH, et al. Management of femoral shaft fractures at Laquintinie Hospital of Douala: a report of 179 cases. </w:t>
      </w:r>
      <w:r w:rsidRPr="00E4103A">
        <w:rPr>
          <w:rFonts w:eastAsia="Times New Roman" w:cstheme="minorHAnsi"/>
          <w:highlight w:val="yellow"/>
          <w:lang w:eastAsia="fr-FR"/>
        </w:rPr>
        <w:t xml:space="preserve">Health Sciences and Disease. </w:t>
      </w:r>
      <w:r w:rsidRPr="00E4103A">
        <w:rPr>
          <w:rFonts w:eastAsia="Times New Roman" w:cstheme="minorHAnsi"/>
          <w:highlight w:val="yellow"/>
          <w:lang w:val="en-GB" w:eastAsia="fr-FR"/>
        </w:rPr>
        <w:t xml:space="preserve">26 août 2023;24(9)75-78. </w:t>
      </w:r>
      <w:hyperlink r:id="rId13" w:history="1">
        <w:r w:rsidRPr="00E4103A">
          <w:rPr>
            <w:rStyle w:val="Hyperlink"/>
            <w:rFonts w:eastAsia="Times New Roman" w:cstheme="minorHAnsi"/>
            <w:highlight w:val="yellow"/>
            <w:lang w:val="en-GB" w:eastAsia="fr-FR"/>
          </w:rPr>
          <w:t>https://doi.org/10.5281/hsd.v24i9.4774</w:t>
        </w:r>
      </w:hyperlink>
      <w:r w:rsidRPr="00E4103A">
        <w:rPr>
          <w:rFonts w:eastAsia="Times New Roman" w:cstheme="minorHAnsi"/>
          <w:highlight w:val="yellow"/>
          <w:lang w:val="en-GB" w:eastAsia="fr-FR"/>
        </w:rPr>
        <w:t xml:space="preserve">  </w:t>
      </w:r>
    </w:p>
    <w:p w14:paraId="50080045"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val="en-GB" w:eastAsia="fr-FR"/>
        </w:rPr>
      </w:pPr>
      <w:r w:rsidRPr="00E4103A">
        <w:rPr>
          <w:rFonts w:eastAsia="Times New Roman" w:cstheme="minorHAnsi"/>
          <w:highlight w:val="yellow"/>
          <w:lang w:eastAsia="fr-FR"/>
        </w:rPr>
        <w:t xml:space="preserve">Toure L, Traore T, Lawson E, Chigblo P, Hans-Moevi A. Épidémiologie et Traitement Chirurgical des Pseudarthroses Aseptiques de la Diaphyse Fémorale à l’Hôpital de Sikasso (Mali). Health Sciences and Disease. </w:t>
      </w:r>
      <w:r w:rsidRPr="00E4103A">
        <w:rPr>
          <w:rFonts w:eastAsia="Times New Roman" w:cstheme="minorHAnsi"/>
          <w:highlight w:val="yellow"/>
          <w:lang w:val="en-GB" w:eastAsia="fr-FR"/>
        </w:rPr>
        <w:t xml:space="preserve"> 2021;22(3):99-102. </w:t>
      </w:r>
      <w:hyperlink r:id="rId14" w:history="1">
        <w:r w:rsidRPr="00E4103A">
          <w:rPr>
            <w:rStyle w:val="Hyperlink"/>
            <w:rFonts w:eastAsia="Times New Roman" w:cstheme="minorHAnsi"/>
            <w:highlight w:val="yellow"/>
            <w:lang w:val="en-GB" w:eastAsia="fr-FR"/>
          </w:rPr>
          <w:t>https://vertexaisearch.cloud.google.com/grounding-api-redirect/AUZIYQGiuGP0yTJMgegMpWkuNJYg8k3l738_xs4mGFnXHJRx0yTWQzA2MF06DXPDnGd8HO0ga-gZ-blX3raixegDe9sloX_Go4bWjOP53SeYhdD4JTGwHPNXgt3WnsH4pBqdsfsjSBJU72FfRDf8DrHUMPzHSio</w:t>
        </w:r>
      </w:hyperlink>
      <w:r w:rsidRPr="00E4103A">
        <w:rPr>
          <w:rFonts w:eastAsia="Times New Roman" w:cstheme="minorHAnsi"/>
          <w:highlight w:val="yellow"/>
          <w:lang w:val="en-GB" w:eastAsia="fr-FR"/>
        </w:rPr>
        <w:t xml:space="preserve">=  </w:t>
      </w:r>
    </w:p>
    <w:p w14:paraId="5DFF24D7"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val="en-GB" w:eastAsia="fr-FR"/>
        </w:rPr>
      </w:pPr>
      <w:r w:rsidRPr="00E4103A">
        <w:rPr>
          <w:rStyle w:val="text"/>
          <w:rFonts w:cstheme="minorHAnsi"/>
          <w:highlight w:val="yellow"/>
        </w:rPr>
        <w:t>Mbaga Ntjam</w:t>
      </w:r>
      <w:r w:rsidRPr="00E4103A">
        <w:rPr>
          <w:rStyle w:val="react-xocs-alternative-link"/>
          <w:rFonts w:cstheme="minorHAnsi"/>
          <w:highlight w:val="yellow"/>
        </w:rPr>
        <w:t xml:space="preserve"> AC</w:t>
      </w:r>
      <w:r w:rsidRPr="00E4103A">
        <w:rPr>
          <w:rFonts w:cstheme="minorHAnsi"/>
          <w:highlight w:val="yellow"/>
        </w:rPr>
        <w:t>, </w:t>
      </w:r>
      <w:r w:rsidRPr="00E4103A">
        <w:rPr>
          <w:rStyle w:val="text"/>
          <w:rFonts w:cstheme="minorHAnsi"/>
          <w:highlight w:val="yellow"/>
        </w:rPr>
        <w:t>Fonkoué</w:t>
      </w:r>
      <w:r w:rsidRPr="00E4103A">
        <w:rPr>
          <w:rStyle w:val="react-xocs-alternative-link"/>
          <w:rFonts w:cstheme="minorHAnsi"/>
          <w:highlight w:val="yellow"/>
        </w:rPr>
        <w:t xml:space="preserve"> L</w:t>
      </w:r>
      <w:r w:rsidRPr="00E4103A">
        <w:rPr>
          <w:rFonts w:cstheme="minorHAnsi"/>
          <w:highlight w:val="yellow"/>
        </w:rPr>
        <w:t>, </w:t>
      </w:r>
      <w:r w:rsidRPr="00E4103A">
        <w:rPr>
          <w:rStyle w:val="given-name"/>
          <w:rFonts w:cstheme="minorHAnsi"/>
          <w:highlight w:val="yellow"/>
        </w:rPr>
        <w:t>Kennedy</w:t>
      </w:r>
      <w:r w:rsidRPr="00E4103A">
        <w:rPr>
          <w:rStyle w:val="react-xocs-alternative-link"/>
          <w:rFonts w:cstheme="minorHAnsi"/>
          <w:highlight w:val="yellow"/>
        </w:rPr>
        <w:t> </w:t>
      </w:r>
      <w:r w:rsidRPr="00E4103A">
        <w:rPr>
          <w:rStyle w:val="text"/>
          <w:rFonts w:cstheme="minorHAnsi"/>
          <w:highlight w:val="yellow"/>
        </w:rPr>
        <w:t>M</w:t>
      </w:r>
      <w:r w:rsidRPr="00E4103A">
        <w:rPr>
          <w:rFonts w:cstheme="minorHAnsi"/>
          <w:highlight w:val="yellow"/>
        </w:rPr>
        <w:t>, </w:t>
      </w:r>
      <w:r w:rsidRPr="00E4103A">
        <w:rPr>
          <w:rStyle w:val="text"/>
          <w:rFonts w:cstheme="minorHAnsi"/>
          <w:highlight w:val="yellow"/>
        </w:rPr>
        <w:t>Kikah NE</w:t>
      </w:r>
      <w:r w:rsidRPr="00E4103A">
        <w:rPr>
          <w:rFonts w:cstheme="minorHAnsi"/>
          <w:highlight w:val="yellow"/>
        </w:rPr>
        <w:t>, </w:t>
      </w:r>
      <w:r w:rsidRPr="00E4103A">
        <w:rPr>
          <w:rStyle w:val="text"/>
          <w:rFonts w:cstheme="minorHAnsi"/>
          <w:highlight w:val="yellow"/>
        </w:rPr>
        <w:t>Itambi MA</w:t>
      </w:r>
      <w:r w:rsidRPr="00E4103A">
        <w:rPr>
          <w:rFonts w:cstheme="minorHAnsi"/>
          <w:highlight w:val="yellow"/>
        </w:rPr>
        <w:t>, </w:t>
      </w:r>
      <w:r w:rsidRPr="00E4103A">
        <w:rPr>
          <w:rStyle w:val="text"/>
          <w:rFonts w:cstheme="minorHAnsi"/>
          <w:highlight w:val="yellow"/>
        </w:rPr>
        <w:t>Farikou</w:t>
      </w:r>
      <w:r w:rsidRPr="00E4103A">
        <w:rPr>
          <w:rStyle w:val="react-xocs-alternative-link"/>
          <w:rFonts w:cstheme="minorHAnsi"/>
          <w:highlight w:val="yellow"/>
        </w:rPr>
        <w:t xml:space="preserve"> I</w:t>
      </w:r>
      <w:r w:rsidRPr="00E4103A">
        <w:rPr>
          <w:rFonts w:cstheme="minorHAnsi"/>
          <w:highlight w:val="yellow"/>
        </w:rPr>
        <w:t xml:space="preserve">, Eone </w:t>
      </w:r>
      <w:r w:rsidRPr="00E4103A">
        <w:rPr>
          <w:rStyle w:val="given-name"/>
          <w:rFonts w:cstheme="minorHAnsi"/>
          <w:highlight w:val="yellow"/>
        </w:rPr>
        <w:t>D</w:t>
      </w:r>
      <w:r w:rsidRPr="00E4103A">
        <w:rPr>
          <w:rStyle w:val="text"/>
          <w:rFonts w:cstheme="minorHAnsi"/>
          <w:highlight w:val="yellow"/>
        </w:rPr>
        <w:t>H</w:t>
      </w:r>
      <w:r w:rsidRPr="00E4103A">
        <w:rPr>
          <w:rStyle w:val="react-xocs-alternative-link"/>
          <w:rFonts w:cstheme="minorHAnsi"/>
          <w:highlight w:val="yellow"/>
        </w:rPr>
        <w:t xml:space="preserve">. </w:t>
      </w:r>
      <w:r w:rsidRPr="00E4103A">
        <w:rPr>
          <w:rFonts w:eastAsia="Times New Roman" w:cstheme="minorHAnsi"/>
          <w:kern w:val="36"/>
          <w:highlight w:val="yellow"/>
          <w:lang w:eastAsia="fr-FR"/>
        </w:rPr>
        <w:t>Comment réaliser un enclouage centromédullaire verrouillé du fémur par approche mini-invasive sans table orthopédique ? Retour d’expérience en contexte africain subsaharien</w:t>
      </w:r>
      <w:r w:rsidRPr="00E4103A">
        <w:rPr>
          <w:rFonts w:eastAsia="Times New Roman" w:cstheme="minorHAnsi"/>
          <w:kern w:val="36"/>
          <w:highlight w:val="yellow"/>
          <w:lang w:val="en" w:eastAsia="fr-FR"/>
        </w:rPr>
        <w:t xml:space="preserve">How to perform a locked intramedullary nailing of the femur by minimally invasive approach without traction </w:t>
      </w:r>
      <w:proofErr w:type="gramStart"/>
      <w:r w:rsidRPr="00E4103A">
        <w:rPr>
          <w:rFonts w:eastAsia="Times New Roman" w:cstheme="minorHAnsi"/>
          <w:kern w:val="36"/>
          <w:highlight w:val="yellow"/>
          <w:lang w:val="en" w:eastAsia="fr-FR"/>
        </w:rPr>
        <w:t>table?</w:t>
      </w:r>
      <w:proofErr w:type="gramEnd"/>
      <w:r w:rsidRPr="00E4103A">
        <w:rPr>
          <w:rFonts w:eastAsia="Times New Roman" w:cstheme="minorHAnsi"/>
          <w:kern w:val="36"/>
          <w:highlight w:val="yellow"/>
          <w:lang w:val="en" w:eastAsia="fr-FR"/>
        </w:rPr>
        <w:t xml:space="preserve"> Feedback from the Sub-Saharan African contex. </w:t>
      </w:r>
      <w:hyperlink r:id="rId15" w:tooltip="Go to Revue de Chirurgie Orthopédique et Traumatologique on ScienceDirect" w:history="1">
        <w:r w:rsidRPr="00E4103A">
          <w:rPr>
            <w:rStyle w:val="anchor-text"/>
            <w:rFonts w:cstheme="minorHAnsi"/>
            <w:highlight w:val="yellow"/>
          </w:rPr>
          <w:t>Revue de Chirurgie Orthopédique et Traumatologique</w:t>
        </w:r>
      </w:hyperlink>
      <w:r w:rsidRPr="00E4103A">
        <w:rPr>
          <w:rFonts w:cstheme="minorHAnsi"/>
          <w:highlight w:val="yellow"/>
        </w:rPr>
        <w:t xml:space="preserve">. </w:t>
      </w:r>
      <w:hyperlink r:id="rId16" w:tooltip="Go to table of contents for this volume/issue" w:history="1">
        <w:r w:rsidRPr="00E4103A">
          <w:rPr>
            <w:rStyle w:val="anchor-text"/>
            <w:rFonts w:cstheme="minorHAnsi"/>
            <w:highlight w:val="yellow"/>
          </w:rPr>
          <w:t>Volume 110, Issue 2</w:t>
        </w:r>
      </w:hyperlink>
      <w:r w:rsidRPr="00E4103A">
        <w:rPr>
          <w:rFonts w:cstheme="minorHAnsi"/>
          <w:highlight w:val="yellow"/>
        </w:rPr>
        <w:t>, April 2024, Pages 292-299</w:t>
      </w:r>
      <w:r w:rsidRPr="00E4103A">
        <w:rPr>
          <w:rFonts w:eastAsia="Times New Roman" w:cstheme="minorHAnsi"/>
          <w:highlight w:val="yellow"/>
          <w:lang w:val="en-GB" w:eastAsia="fr-FR"/>
        </w:rPr>
        <w:t>.</w:t>
      </w:r>
      <w:r w:rsidRPr="00E4103A">
        <w:rPr>
          <w:highlight w:val="yellow"/>
        </w:rPr>
        <w:t xml:space="preserve"> </w:t>
      </w:r>
      <w:hyperlink r:id="rId17" w:history="1">
        <w:r w:rsidRPr="00E4103A">
          <w:rPr>
            <w:rStyle w:val="Hyperlink"/>
            <w:rFonts w:eastAsia="Times New Roman" w:cstheme="minorHAnsi"/>
            <w:highlight w:val="yellow"/>
            <w:lang w:val="en-GB" w:eastAsia="fr-FR"/>
          </w:rPr>
          <w:t>https://doi.org/10.1016/j.rcot.2023.04.007</w:t>
        </w:r>
      </w:hyperlink>
      <w:r w:rsidRPr="00E4103A">
        <w:rPr>
          <w:rFonts w:eastAsia="Times New Roman" w:cstheme="minorHAnsi"/>
          <w:highlight w:val="yellow"/>
          <w:lang w:val="en-GB" w:eastAsia="fr-FR"/>
        </w:rPr>
        <w:t xml:space="preserve"> </w:t>
      </w:r>
    </w:p>
    <w:p w14:paraId="20353AC7"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val="en-GB" w:eastAsia="fr-FR"/>
        </w:rPr>
      </w:pPr>
      <w:r w:rsidRPr="00E4103A">
        <w:rPr>
          <w:rStyle w:val="name"/>
          <w:rFonts w:cstheme="minorHAnsi"/>
          <w:highlight w:val="yellow"/>
          <w:shd w:val="clear" w:color="auto" w:fill="FFFFFF"/>
        </w:rPr>
        <w:t>Stephen A</w:t>
      </w:r>
      <w:r w:rsidRPr="00E4103A">
        <w:rPr>
          <w:rFonts w:cstheme="minorHAnsi"/>
          <w:highlight w:val="yellow"/>
        </w:rPr>
        <w:t>A</w:t>
      </w:r>
      <w:r w:rsidRPr="00E4103A">
        <w:rPr>
          <w:rFonts w:cstheme="minorHAnsi"/>
          <w:highlight w:val="yellow"/>
          <w:shd w:val="clear" w:color="auto" w:fill="FFFFFF"/>
        </w:rPr>
        <w:t>, </w:t>
      </w:r>
      <w:r w:rsidRPr="00E4103A">
        <w:rPr>
          <w:rStyle w:val="name"/>
          <w:rFonts w:cstheme="minorHAnsi"/>
          <w:highlight w:val="yellow"/>
          <w:shd w:val="clear" w:color="auto" w:fill="FFFFFF"/>
        </w:rPr>
        <w:t>Isaac O</w:t>
      </w:r>
      <w:r w:rsidRPr="00E4103A">
        <w:rPr>
          <w:rFonts w:cstheme="minorHAnsi"/>
          <w:highlight w:val="yellow"/>
        </w:rPr>
        <w:t>A</w:t>
      </w:r>
      <w:r w:rsidRPr="00E4103A">
        <w:rPr>
          <w:rFonts w:cstheme="minorHAnsi"/>
          <w:highlight w:val="yellow"/>
          <w:shd w:val="clear" w:color="auto" w:fill="FFFFFF"/>
        </w:rPr>
        <w:t>, </w:t>
      </w:r>
      <w:r w:rsidRPr="00E4103A">
        <w:rPr>
          <w:rStyle w:val="name"/>
          <w:rFonts w:cstheme="minorHAnsi"/>
          <w:highlight w:val="yellow"/>
          <w:shd w:val="clear" w:color="auto" w:fill="FFFFFF"/>
        </w:rPr>
        <w:t>James IO</w:t>
      </w:r>
      <w:r w:rsidRPr="00E4103A">
        <w:rPr>
          <w:rFonts w:cstheme="minorHAnsi"/>
          <w:highlight w:val="yellow"/>
          <w:shd w:val="clear" w:color="auto" w:fill="FFFFFF"/>
        </w:rPr>
        <w:t>, </w:t>
      </w:r>
      <w:r w:rsidRPr="00E4103A">
        <w:rPr>
          <w:rStyle w:val="name"/>
          <w:rFonts w:cstheme="minorHAnsi"/>
          <w:highlight w:val="yellow"/>
          <w:shd w:val="clear" w:color="auto" w:fill="FFFFFF"/>
        </w:rPr>
        <w:t>Oluwafemi OO</w:t>
      </w:r>
      <w:r w:rsidRPr="00E4103A">
        <w:rPr>
          <w:rFonts w:cstheme="minorHAnsi"/>
          <w:highlight w:val="yellow"/>
          <w:shd w:val="clear" w:color="auto" w:fill="FFFFFF"/>
        </w:rPr>
        <w:t>, </w:t>
      </w:r>
      <w:r w:rsidRPr="00E4103A">
        <w:rPr>
          <w:rStyle w:val="name"/>
          <w:rFonts w:cstheme="minorHAnsi"/>
          <w:highlight w:val="yellow"/>
          <w:shd w:val="clear" w:color="auto" w:fill="FFFFFF"/>
        </w:rPr>
        <w:t>Imri GA</w:t>
      </w:r>
      <w:r w:rsidRPr="00E4103A">
        <w:rPr>
          <w:rFonts w:cstheme="minorHAnsi"/>
          <w:highlight w:val="yellow"/>
          <w:shd w:val="clear" w:color="auto" w:fill="FFFFFF"/>
        </w:rPr>
        <w:t>, </w:t>
      </w:r>
      <w:r w:rsidRPr="00E4103A">
        <w:rPr>
          <w:rStyle w:val="name"/>
          <w:rFonts w:cstheme="minorHAnsi"/>
          <w:highlight w:val="yellow"/>
          <w:shd w:val="clear" w:color="auto" w:fill="FFFFFF"/>
        </w:rPr>
        <w:t>Samuel UE</w:t>
      </w:r>
      <w:r w:rsidRPr="00E4103A">
        <w:rPr>
          <w:rFonts w:cstheme="minorHAnsi"/>
          <w:highlight w:val="yellow"/>
          <w:shd w:val="clear" w:color="auto" w:fill="FFFFFF"/>
        </w:rPr>
        <w:t xml:space="preserve">. </w:t>
      </w:r>
      <w:r w:rsidRPr="00E4103A">
        <w:rPr>
          <w:rFonts w:cstheme="minorHAnsi"/>
          <w:highlight w:val="yellow"/>
        </w:rPr>
        <w:t xml:space="preserve">Locked intramedullary nailing of open fractures in resource-poor </w:t>
      </w:r>
      <w:proofErr w:type="gramStart"/>
      <w:r w:rsidRPr="00E4103A">
        <w:rPr>
          <w:rFonts w:cstheme="minorHAnsi"/>
          <w:highlight w:val="yellow"/>
        </w:rPr>
        <w:t>settings:</w:t>
      </w:r>
      <w:proofErr w:type="gramEnd"/>
      <w:r w:rsidRPr="00E4103A">
        <w:rPr>
          <w:rFonts w:cstheme="minorHAnsi"/>
          <w:highlight w:val="yellow"/>
        </w:rPr>
        <w:t xml:space="preserve"> a prospective observational study of challenges and functional outcomes in 101 fractures at Ogbomoso, Nigeria. BMC Musculoskelet Disord</w:t>
      </w:r>
      <w:r w:rsidRPr="00E4103A">
        <w:rPr>
          <w:rFonts w:cstheme="minorHAnsi"/>
          <w:highlight w:val="yellow"/>
          <w:shd w:val="clear" w:color="auto" w:fill="FFFFFF"/>
        </w:rPr>
        <w:t xml:space="preserve">. 2023 Mar </w:t>
      </w:r>
      <w:proofErr w:type="gramStart"/>
      <w:r w:rsidRPr="00E4103A">
        <w:rPr>
          <w:rFonts w:cstheme="minorHAnsi"/>
          <w:highlight w:val="yellow"/>
          <w:shd w:val="clear" w:color="auto" w:fill="FFFFFF"/>
        </w:rPr>
        <w:t>7;</w:t>
      </w:r>
      <w:proofErr w:type="gramEnd"/>
      <w:r w:rsidRPr="00E4103A">
        <w:rPr>
          <w:rFonts w:cstheme="minorHAnsi"/>
          <w:highlight w:val="yellow"/>
          <w:shd w:val="clear" w:color="auto" w:fill="FFFFFF"/>
        </w:rPr>
        <w:t xml:space="preserve">24:170. </w:t>
      </w:r>
      <w:proofErr w:type="gramStart"/>
      <w:r w:rsidRPr="00E4103A">
        <w:rPr>
          <w:rFonts w:cstheme="minorHAnsi"/>
          <w:highlight w:val="yellow"/>
          <w:shd w:val="clear" w:color="auto" w:fill="FFFFFF"/>
        </w:rPr>
        <w:t>doi:</w:t>
      </w:r>
      <w:proofErr w:type="gramEnd"/>
      <w:r w:rsidRPr="00E4103A">
        <w:rPr>
          <w:rFonts w:cstheme="minorHAnsi"/>
          <w:highlight w:val="yellow"/>
          <w:shd w:val="clear" w:color="auto" w:fill="FFFFFF"/>
        </w:rPr>
        <w:t> 10.1186/s12891-023-06271-7</w:t>
      </w:r>
      <w:r w:rsidRPr="00E4103A">
        <w:rPr>
          <w:rFonts w:cstheme="minorHAnsi"/>
          <w:highlight w:val="yellow"/>
        </w:rPr>
        <w:t>.</w:t>
      </w:r>
      <w:r w:rsidRPr="00E4103A">
        <w:rPr>
          <w:highlight w:val="yellow"/>
        </w:rPr>
        <w:t xml:space="preserve"> </w:t>
      </w:r>
      <w:hyperlink r:id="rId18" w:history="1">
        <w:r w:rsidRPr="00E4103A">
          <w:rPr>
            <w:rStyle w:val="Hyperlink"/>
            <w:rFonts w:cstheme="minorHAnsi"/>
            <w:highlight w:val="yellow"/>
          </w:rPr>
          <w:t>https://doi.org/10.1186/s12891-023-06271-7</w:t>
        </w:r>
      </w:hyperlink>
      <w:r w:rsidRPr="00E4103A">
        <w:rPr>
          <w:rFonts w:cstheme="minorHAnsi"/>
          <w:highlight w:val="yellow"/>
        </w:rPr>
        <w:t xml:space="preserve"> </w:t>
      </w:r>
    </w:p>
    <w:p w14:paraId="351CA2A2"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E4103A">
        <w:rPr>
          <w:rFonts w:eastAsia="Times New Roman" w:cstheme="minorHAnsi"/>
          <w:highlight w:val="yellow"/>
          <w:lang w:val="en-GB" w:eastAsia="fr-FR"/>
        </w:rPr>
        <w:t xml:space="preserve">Nana CT, Pius F, Martin MN, Mbongnu M, Movuh SD, Bombah FM, et al. Epidemiological and Clinical Pattern of Open Fractures of Long Bones of the Lower Limbs in the South-West Region of Cameroon: A 5-Year Review. </w:t>
      </w:r>
      <w:r w:rsidRPr="00E4103A">
        <w:rPr>
          <w:rFonts w:eastAsia="Times New Roman" w:cstheme="minorHAnsi"/>
          <w:highlight w:val="yellow"/>
          <w:lang w:eastAsia="fr-FR"/>
        </w:rPr>
        <w:t xml:space="preserve">Open Journal of Orthopedics. 6 sept </w:t>
      </w:r>
      <w:proofErr w:type="gramStart"/>
      <w:r w:rsidRPr="00E4103A">
        <w:rPr>
          <w:rFonts w:eastAsia="Times New Roman" w:cstheme="minorHAnsi"/>
          <w:highlight w:val="yellow"/>
          <w:lang w:eastAsia="fr-FR"/>
        </w:rPr>
        <w:t>2021;</w:t>
      </w:r>
      <w:proofErr w:type="gramEnd"/>
      <w:r w:rsidRPr="00E4103A">
        <w:rPr>
          <w:rFonts w:eastAsia="Times New Roman" w:cstheme="minorHAnsi"/>
          <w:highlight w:val="yellow"/>
          <w:lang w:eastAsia="fr-FR"/>
        </w:rPr>
        <w:t>11(9):278</w:t>
      </w:r>
      <w:r w:rsidRPr="00E4103A">
        <w:rPr>
          <w:rFonts w:eastAsia="Times New Roman" w:cstheme="minorHAnsi"/>
          <w:highlight w:val="yellow"/>
          <w:lang w:eastAsia="fr-FR"/>
        </w:rPr>
        <w:noBreakHyphen/>
        <w:t>87.</w:t>
      </w:r>
      <w:r w:rsidRPr="00E4103A">
        <w:rPr>
          <w:highlight w:val="yellow"/>
        </w:rPr>
        <w:t xml:space="preserve"> </w:t>
      </w:r>
      <w:hyperlink r:id="rId19" w:history="1">
        <w:r w:rsidRPr="00E4103A">
          <w:rPr>
            <w:rStyle w:val="Hyperlink"/>
            <w:rFonts w:eastAsia="Times New Roman" w:cstheme="minorHAnsi"/>
            <w:highlight w:val="yellow"/>
            <w:lang w:eastAsia="fr-FR"/>
          </w:rPr>
          <w:t>https://doi.org/10.4236/ojo.2021.119026</w:t>
        </w:r>
      </w:hyperlink>
      <w:r w:rsidRPr="00E4103A">
        <w:rPr>
          <w:rFonts w:eastAsia="Times New Roman" w:cstheme="minorHAnsi"/>
          <w:highlight w:val="yellow"/>
          <w:lang w:eastAsia="fr-FR"/>
        </w:rPr>
        <w:t xml:space="preserve"> </w:t>
      </w:r>
    </w:p>
    <w:p w14:paraId="2697FF7D"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E4103A">
        <w:rPr>
          <w:highlight w:val="yellow"/>
        </w:rPr>
        <w:t xml:space="preserve">Mitchel RO, David CC, Daniel AB, Dustin S, Christopher MM, Marschall BB, Philip RW, Anna NM. </w:t>
      </w:r>
      <w:r w:rsidRPr="00E4103A">
        <w:rPr>
          <w:rFonts w:eastAsia="Times New Roman" w:cstheme="minorHAnsi"/>
          <w:highlight w:val="yellow"/>
          <w:lang w:val="en-GB" w:eastAsia="fr-FR"/>
        </w:rPr>
        <w:t xml:space="preserve">In-Hospital Morbidity and Mortality with Delays to Femoral Shaft Fracture Fixation - PMC. </w:t>
      </w:r>
      <w:r w:rsidRPr="00E4103A">
        <w:rPr>
          <w:highlight w:val="yellow"/>
        </w:rPr>
        <w:t xml:space="preserve">J Orthop Trauma. 2022 May </w:t>
      </w:r>
      <w:proofErr w:type="gramStart"/>
      <w:r w:rsidRPr="00E4103A">
        <w:rPr>
          <w:highlight w:val="yellow"/>
        </w:rPr>
        <w:t>01;</w:t>
      </w:r>
      <w:proofErr w:type="gramEnd"/>
      <w:r w:rsidRPr="00E4103A">
        <w:rPr>
          <w:highlight w:val="yellow"/>
        </w:rPr>
        <w:t xml:space="preserve"> 36(5): 239–245. </w:t>
      </w:r>
      <w:hyperlink r:id="rId20" w:history="1">
        <w:r w:rsidRPr="00E4103A">
          <w:rPr>
            <w:rStyle w:val="Hyperlink"/>
            <w:highlight w:val="yellow"/>
          </w:rPr>
          <w:t>https://doi.org/10.1097/BOT.0000000000002271</w:t>
        </w:r>
      </w:hyperlink>
      <w:r w:rsidRPr="00E4103A">
        <w:rPr>
          <w:highlight w:val="yellow"/>
        </w:rPr>
        <w:t xml:space="preserve"> </w:t>
      </w:r>
    </w:p>
    <w:p w14:paraId="303121B2"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E4103A">
        <w:rPr>
          <w:highlight w:val="yellow"/>
        </w:rPr>
        <w:t xml:space="preserve">Bouhelo-Pam KPB, Bilongo Bouyou ASW, Ikounga PY and al. Osteosynthesis of femoral shaft fractures at Brazzaville University </w:t>
      </w:r>
      <w:proofErr w:type="gramStart"/>
      <w:r w:rsidRPr="00E4103A">
        <w:rPr>
          <w:highlight w:val="yellow"/>
        </w:rPr>
        <w:t>Hospital:</w:t>
      </w:r>
      <w:proofErr w:type="gramEnd"/>
      <w:r w:rsidRPr="00E4103A">
        <w:rPr>
          <w:highlight w:val="yellow"/>
        </w:rPr>
        <w:t xml:space="preserve"> Nail versus screw plate. International Journal of Orthopaedics Sciences.2024 ; 10(1) :107-112. </w:t>
      </w:r>
      <w:hyperlink r:id="rId21" w:history="1">
        <w:r w:rsidRPr="00E4103A">
          <w:rPr>
            <w:rStyle w:val="Hyperlink"/>
            <w:highlight w:val="yellow"/>
          </w:rPr>
          <w:t>https://doi.org/10.22271/ortho.2024.v10.i1b.3504</w:t>
        </w:r>
      </w:hyperlink>
      <w:r w:rsidRPr="00E4103A">
        <w:rPr>
          <w:highlight w:val="yellow"/>
        </w:rPr>
        <w:t xml:space="preserve"> </w:t>
      </w:r>
    </w:p>
    <w:p w14:paraId="67E687D9"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val="en-GB" w:eastAsia="fr-FR"/>
        </w:rPr>
      </w:pPr>
      <w:r w:rsidRPr="00E4103A">
        <w:rPr>
          <w:rFonts w:eastAsia="Times New Roman" w:cstheme="minorHAnsi"/>
          <w:highlight w:val="yellow"/>
          <w:lang w:eastAsia="fr-FR"/>
        </w:rPr>
        <w:t>Diallo S, Tambasi SI, Traoré T, Touré L, Maiga IM, Bagayoko DK, et al. Prise en Charge des Fractures de la Diaphyse Fémorale dans un Hôpital de Deuxième Référence du Mali. Health Sciences and Disease.</w:t>
      </w:r>
      <w:r w:rsidRPr="00E4103A">
        <w:rPr>
          <w:rFonts w:eastAsia="Times New Roman" w:cstheme="minorHAnsi"/>
          <w:highlight w:val="yellow"/>
          <w:lang w:val="en-GB" w:eastAsia="fr-FR"/>
        </w:rPr>
        <w:t xml:space="preserve"> 2023;24(4). P118-122.</w:t>
      </w:r>
      <w:r w:rsidRPr="00E4103A">
        <w:rPr>
          <w:highlight w:val="yellow"/>
        </w:rPr>
        <w:t xml:space="preserve"> </w:t>
      </w:r>
      <w:hyperlink r:id="rId22" w:history="1">
        <w:r w:rsidRPr="00E4103A">
          <w:rPr>
            <w:rStyle w:val="Hyperlink"/>
            <w:rFonts w:eastAsia="Times New Roman" w:cstheme="minorHAnsi"/>
            <w:highlight w:val="yellow"/>
            <w:lang w:val="en-GB" w:eastAsia="fr-FR"/>
          </w:rPr>
          <w:t>https://www.hsd-fmsb.org/index.php/hsd/article/view/584</w:t>
        </w:r>
      </w:hyperlink>
      <w:r w:rsidRPr="00E4103A">
        <w:rPr>
          <w:rFonts w:eastAsia="Times New Roman" w:cstheme="minorHAnsi"/>
          <w:highlight w:val="yellow"/>
          <w:lang w:val="en-GB" w:eastAsia="fr-FR"/>
        </w:rPr>
        <w:t xml:space="preserve"> </w:t>
      </w:r>
    </w:p>
    <w:p w14:paraId="11F6760A"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E4103A">
        <w:rPr>
          <w:rFonts w:eastAsia="Times New Roman" w:cstheme="minorHAnsi"/>
          <w:highlight w:val="yellow"/>
          <w:lang w:val="en-GB" w:eastAsia="fr-FR"/>
        </w:rPr>
        <w:t xml:space="preserve">Testa G, Aloj D, Ghirri A, Petruccelli E, Pavone V, Massé A. Treatment of femoral shaft fractures with monoaxial external fixation in polytrauma patients. </w:t>
      </w:r>
      <w:r w:rsidRPr="00E4103A">
        <w:rPr>
          <w:rFonts w:eastAsia="Times New Roman" w:cstheme="minorHAnsi"/>
          <w:highlight w:val="yellow"/>
          <w:lang w:eastAsia="fr-FR"/>
        </w:rPr>
        <w:t xml:space="preserve">F1000Res. </w:t>
      </w:r>
      <w:proofErr w:type="gramStart"/>
      <w:r w:rsidRPr="00E4103A">
        <w:rPr>
          <w:rFonts w:eastAsia="Times New Roman" w:cstheme="minorHAnsi"/>
          <w:highlight w:val="yellow"/>
          <w:lang w:eastAsia="fr-FR"/>
        </w:rPr>
        <w:t>2017;</w:t>
      </w:r>
      <w:proofErr w:type="gramEnd"/>
      <w:r w:rsidRPr="00E4103A">
        <w:rPr>
          <w:rFonts w:eastAsia="Times New Roman" w:cstheme="minorHAnsi"/>
          <w:highlight w:val="yellow"/>
          <w:lang w:eastAsia="fr-FR"/>
        </w:rPr>
        <w:t>6:1333.</w:t>
      </w:r>
      <w:r w:rsidRPr="00E4103A">
        <w:rPr>
          <w:highlight w:val="yellow"/>
        </w:rPr>
        <w:t xml:space="preserve"> </w:t>
      </w:r>
      <w:hyperlink r:id="rId23" w:history="1">
        <w:r w:rsidRPr="00E4103A">
          <w:rPr>
            <w:rStyle w:val="Hyperlink"/>
            <w:rFonts w:eastAsia="Times New Roman" w:cstheme="minorHAnsi"/>
            <w:highlight w:val="yellow"/>
            <w:lang w:eastAsia="fr-FR"/>
          </w:rPr>
          <w:t>https://doi.org/10.12688/f1000research.11893.1</w:t>
        </w:r>
      </w:hyperlink>
      <w:r w:rsidRPr="00E4103A">
        <w:rPr>
          <w:rFonts w:eastAsia="Times New Roman" w:cstheme="minorHAnsi"/>
          <w:highlight w:val="yellow"/>
          <w:lang w:eastAsia="fr-FR"/>
        </w:rPr>
        <w:t xml:space="preserve"> </w:t>
      </w:r>
    </w:p>
    <w:p w14:paraId="371B07D1" w14:textId="77777777" w:rsidR="00CE5175" w:rsidRPr="00E4103A" w:rsidRDefault="00CE5175" w:rsidP="00CE5175">
      <w:pPr>
        <w:numPr>
          <w:ilvl w:val="0"/>
          <w:numId w:val="1"/>
        </w:numPr>
        <w:tabs>
          <w:tab w:val="clear" w:pos="720"/>
        </w:tabs>
        <w:spacing w:after="0" w:line="240" w:lineRule="auto"/>
        <w:ind w:left="709" w:hanging="709"/>
        <w:jc w:val="both"/>
        <w:rPr>
          <w:rFonts w:cstheme="minorHAnsi"/>
          <w:highlight w:val="yellow"/>
        </w:rPr>
      </w:pPr>
      <w:r w:rsidRPr="00E4103A">
        <w:rPr>
          <w:rFonts w:eastAsia="Times New Roman" w:cstheme="minorHAnsi"/>
          <w:highlight w:val="yellow"/>
          <w:lang w:val="en-GB" w:eastAsia="fr-FR"/>
        </w:rPr>
        <w:lastRenderedPageBreak/>
        <w:t xml:space="preserve">Fu F, Liu B, Pu H, Wang Y, Zhang P, Wei </w:t>
      </w:r>
      <w:proofErr w:type="gramStart"/>
      <w:r w:rsidRPr="00E4103A">
        <w:rPr>
          <w:rFonts w:eastAsia="Times New Roman" w:cstheme="minorHAnsi"/>
          <w:highlight w:val="yellow"/>
          <w:lang w:val="en-GB" w:eastAsia="fr-FR"/>
        </w:rPr>
        <w:t>S  &amp;</w:t>
      </w:r>
      <w:proofErr w:type="gramEnd"/>
      <w:r w:rsidRPr="00E4103A">
        <w:rPr>
          <w:rFonts w:eastAsia="Times New Roman" w:cstheme="minorHAnsi"/>
          <w:highlight w:val="yellow"/>
          <w:lang w:val="en-GB" w:eastAsia="fr-FR"/>
        </w:rPr>
        <w:t xml:space="preserve"> Ye H. Global Trends in the Incidence and Primary Causes of Femoral Fractures, Excluding Femoral Neck Fractures: A Global Epidemiological Study. Risk Management and Healthcare Policy, 2025:18 p117-129. </w:t>
      </w:r>
      <w:hyperlink r:id="rId24" w:history="1">
        <w:r w:rsidRPr="00E4103A">
          <w:rPr>
            <w:rStyle w:val="Hyperlink"/>
            <w:rFonts w:eastAsia="Times New Roman" w:cstheme="minorHAnsi"/>
            <w:highlight w:val="yellow"/>
            <w:lang w:val="en-GB" w:eastAsia="fr-FR"/>
          </w:rPr>
          <w:t>https://pubmed.ncbi.nlm.nih.gov/39816786/</w:t>
        </w:r>
      </w:hyperlink>
      <w:r w:rsidRPr="00E4103A">
        <w:rPr>
          <w:rFonts w:eastAsia="Times New Roman" w:cstheme="minorHAnsi"/>
          <w:highlight w:val="yellow"/>
          <w:lang w:val="en-GB" w:eastAsia="fr-FR"/>
        </w:rPr>
        <w:t xml:space="preserve"> </w:t>
      </w:r>
    </w:p>
    <w:p w14:paraId="2307C0E2"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E4103A">
        <w:rPr>
          <w:highlight w:val="yellow"/>
        </w:rPr>
        <w:t xml:space="preserve">Bonnomet F, Clavert P, Cognet JM. </w:t>
      </w:r>
      <w:r w:rsidRPr="00E4103A">
        <w:rPr>
          <w:rFonts w:eastAsia="Times New Roman" w:cstheme="minorHAnsi"/>
          <w:highlight w:val="yellow"/>
          <w:lang w:eastAsia="fr-FR"/>
        </w:rPr>
        <w:t xml:space="preserve">Fracture de la diaphyse fémorale de l’adulte. </w:t>
      </w:r>
      <w:r w:rsidRPr="00E4103A">
        <w:rPr>
          <w:rFonts w:eastAsia="Times New Roman" w:cstheme="minorHAnsi"/>
          <w:highlight w:val="yellow"/>
          <w:lang w:val="en-GB" w:eastAsia="fr-FR"/>
        </w:rPr>
        <w:t xml:space="preserve">Encyclopédie médico-chirurgicale </w:t>
      </w:r>
      <w:r w:rsidRPr="00E4103A">
        <w:rPr>
          <w:highlight w:val="yellow"/>
        </w:rPr>
        <w:t>(Elsevier, Paris)</w:t>
      </w:r>
      <w:r w:rsidRPr="00E4103A">
        <w:rPr>
          <w:rFonts w:eastAsia="Times New Roman" w:cstheme="minorHAnsi"/>
          <w:highlight w:val="yellow"/>
          <w:lang w:val="en-GB" w:eastAsia="fr-FR"/>
        </w:rPr>
        <w:t>. 2006;</w:t>
      </w:r>
      <w:r w:rsidRPr="00E4103A">
        <w:rPr>
          <w:highlight w:val="yellow"/>
        </w:rPr>
        <w:t xml:space="preserve"> Appareil locomoteur, T3, 14-078-A10, 1(4):1-23. </w:t>
      </w:r>
      <w:hyperlink r:id="rId25" w:history="1">
        <w:r w:rsidRPr="00E4103A">
          <w:rPr>
            <w:rStyle w:val="Hyperlink"/>
            <w:highlight w:val="yellow"/>
          </w:rPr>
          <w:t>https://doi.org/10.1016/S0246-0521(06)40322-3</w:t>
        </w:r>
      </w:hyperlink>
      <w:r w:rsidRPr="00E4103A">
        <w:rPr>
          <w:highlight w:val="yellow"/>
        </w:rPr>
        <w:t xml:space="preserve"> </w:t>
      </w:r>
    </w:p>
    <w:p w14:paraId="7B7F5D6A"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E4103A">
        <w:rPr>
          <w:highlight w:val="yellow"/>
        </w:rPr>
        <w:t xml:space="preserve">Bombah FM, Bisay Souhe UB, Batchom AD, Tagta AR, Nyekel R, Bilogui WC, Nyankoué Mebouinz F, Dikongué Dikongué F, Ebogo SW, Etoundi Bekoe S, Handy Eone D. Management of diaphyseal fractures of the limbs in adults at the Ebolowa Centre Regional </w:t>
      </w:r>
      <w:proofErr w:type="gramStart"/>
      <w:r w:rsidRPr="00E4103A">
        <w:rPr>
          <w:highlight w:val="yellow"/>
        </w:rPr>
        <w:t>Hospital:</w:t>
      </w:r>
      <w:proofErr w:type="gramEnd"/>
      <w:r w:rsidRPr="00E4103A">
        <w:rPr>
          <w:highlight w:val="yellow"/>
        </w:rPr>
        <w:t xml:space="preserve"> technical indications and results. </w:t>
      </w:r>
      <w:r w:rsidRPr="00E4103A">
        <w:rPr>
          <w:i/>
          <w:iCs/>
          <w:highlight w:val="yellow"/>
        </w:rPr>
        <w:t>J Sci Dis</w:t>
      </w:r>
      <w:r w:rsidRPr="00E4103A">
        <w:rPr>
          <w:highlight w:val="yellow"/>
        </w:rPr>
        <w:t xml:space="preserve"> </w:t>
      </w:r>
      <w:proofErr w:type="gramStart"/>
      <w:r w:rsidRPr="00E4103A">
        <w:rPr>
          <w:highlight w:val="yellow"/>
        </w:rPr>
        <w:t>2025;</w:t>
      </w:r>
      <w:proofErr w:type="gramEnd"/>
      <w:r w:rsidRPr="00E4103A">
        <w:rPr>
          <w:highlight w:val="yellow"/>
        </w:rPr>
        <w:t xml:space="preserve"> Vol 3 (1): 75-80. </w:t>
      </w:r>
      <w:hyperlink r:id="rId26" w:history="1">
        <w:r w:rsidRPr="00E4103A">
          <w:rPr>
            <w:rStyle w:val="Hyperlink"/>
            <w:highlight w:val="yellow"/>
          </w:rPr>
          <w:t>https://www.researchgate.net/publication/389270808_Citation_as</w:t>
        </w:r>
      </w:hyperlink>
    </w:p>
    <w:p w14:paraId="602F9801"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E4103A">
        <w:rPr>
          <w:rFonts w:eastAsia="Times New Roman" w:cstheme="minorHAnsi"/>
          <w:highlight w:val="yellow"/>
          <w:lang w:eastAsia="fr-FR"/>
        </w:rPr>
        <w:t xml:space="preserve">Oesman I, Kurniawan D and Feby Canintika A. Intramedullary nailing as a treatment for non-unions of femoral shaft fractures after plating </w:t>
      </w:r>
      <w:proofErr w:type="gramStart"/>
      <w:r w:rsidRPr="00E4103A">
        <w:rPr>
          <w:rFonts w:eastAsia="Times New Roman" w:cstheme="minorHAnsi"/>
          <w:highlight w:val="yellow"/>
          <w:lang w:eastAsia="fr-FR"/>
        </w:rPr>
        <w:t>failure:</w:t>
      </w:r>
      <w:proofErr w:type="gramEnd"/>
      <w:r w:rsidRPr="00E4103A">
        <w:rPr>
          <w:rFonts w:eastAsia="Times New Roman" w:cstheme="minorHAnsi"/>
          <w:highlight w:val="yellow"/>
          <w:lang w:eastAsia="fr-FR"/>
        </w:rPr>
        <w:t xml:space="preserve"> A case series, International Journal of Surgery Case Reports. 2023 ; Volume </w:t>
      </w:r>
      <w:proofErr w:type="gramStart"/>
      <w:r w:rsidRPr="00E4103A">
        <w:rPr>
          <w:rFonts w:eastAsia="Times New Roman" w:cstheme="minorHAnsi"/>
          <w:highlight w:val="yellow"/>
          <w:lang w:eastAsia="fr-FR"/>
        </w:rPr>
        <w:t>103.</w:t>
      </w:r>
      <w:r w:rsidRPr="00E4103A">
        <w:rPr>
          <w:highlight w:val="yellow"/>
        </w:rPr>
        <w:t>107908.</w:t>
      </w:r>
      <w:r w:rsidRPr="00E4103A">
        <w:rPr>
          <w:rFonts w:eastAsia="Times New Roman" w:cstheme="minorHAnsi"/>
          <w:highlight w:val="yellow"/>
          <w:lang w:eastAsia="fr-FR"/>
        </w:rPr>
        <w:t>ISSN</w:t>
      </w:r>
      <w:proofErr w:type="gramEnd"/>
      <w:r w:rsidRPr="00E4103A">
        <w:rPr>
          <w:rFonts w:eastAsia="Times New Roman" w:cstheme="minorHAnsi"/>
          <w:highlight w:val="yellow"/>
          <w:lang w:eastAsia="fr-FR"/>
        </w:rPr>
        <w:t>2210-2612.</w:t>
      </w:r>
      <w:hyperlink r:id="rId27" w:history="1">
        <w:r w:rsidRPr="00E4103A">
          <w:rPr>
            <w:rStyle w:val="Hyperlink"/>
            <w:rFonts w:eastAsia="Times New Roman" w:cstheme="minorHAnsi"/>
            <w:highlight w:val="yellow"/>
            <w:lang w:eastAsia="fr-FR"/>
          </w:rPr>
          <w:t>https://doi.org/10.1016/j.ijscr.2023.107908</w:t>
        </w:r>
      </w:hyperlink>
      <w:r w:rsidRPr="00E4103A">
        <w:rPr>
          <w:rFonts w:eastAsia="Times New Roman" w:cstheme="minorHAnsi"/>
          <w:highlight w:val="yellow"/>
          <w:lang w:eastAsia="fr-FR"/>
        </w:rPr>
        <w:t xml:space="preserve">. </w:t>
      </w:r>
    </w:p>
    <w:p w14:paraId="1CE738CE"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E4103A">
        <w:rPr>
          <w:rFonts w:eastAsia="Times New Roman" w:cstheme="minorHAnsi"/>
          <w:highlight w:val="yellow"/>
          <w:lang w:eastAsia="fr-FR"/>
        </w:rPr>
        <w:t xml:space="preserve">Zhang F, Zhu L, Li Y, Chen A. Retrograde versus antegrade intramedullary nailing for femoral </w:t>
      </w:r>
      <w:proofErr w:type="gramStart"/>
      <w:r w:rsidRPr="00E4103A">
        <w:rPr>
          <w:rFonts w:eastAsia="Times New Roman" w:cstheme="minorHAnsi"/>
          <w:highlight w:val="yellow"/>
          <w:lang w:eastAsia="fr-FR"/>
        </w:rPr>
        <w:t>fractures:</w:t>
      </w:r>
      <w:proofErr w:type="gramEnd"/>
      <w:r w:rsidRPr="00E4103A">
        <w:rPr>
          <w:rFonts w:eastAsia="Times New Roman" w:cstheme="minorHAnsi"/>
          <w:highlight w:val="yellow"/>
          <w:lang w:eastAsia="fr-FR"/>
        </w:rPr>
        <w:t xml:space="preserve"> a meta-analysis of randomized controlled trials. Curr Med Res Opin. </w:t>
      </w:r>
      <w:proofErr w:type="gramStart"/>
      <w:r w:rsidRPr="00E4103A">
        <w:rPr>
          <w:rFonts w:eastAsia="Times New Roman" w:cstheme="minorHAnsi"/>
          <w:highlight w:val="yellow"/>
          <w:lang w:eastAsia="fr-FR"/>
        </w:rPr>
        <w:t>2015;</w:t>
      </w:r>
      <w:proofErr w:type="gramEnd"/>
      <w:r w:rsidRPr="00E4103A">
        <w:rPr>
          <w:rFonts w:eastAsia="Times New Roman" w:cstheme="minorHAnsi"/>
          <w:highlight w:val="yellow"/>
          <w:lang w:eastAsia="fr-FR"/>
        </w:rPr>
        <w:t xml:space="preserve">31(10):1897-902. </w:t>
      </w:r>
      <w:proofErr w:type="gramStart"/>
      <w:r w:rsidRPr="00E4103A">
        <w:rPr>
          <w:rFonts w:eastAsia="Times New Roman" w:cstheme="minorHAnsi"/>
          <w:highlight w:val="yellow"/>
          <w:lang w:eastAsia="fr-FR"/>
        </w:rPr>
        <w:t>doi:</w:t>
      </w:r>
      <w:proofErr w:type="gramEnd"/>
      <w:r w:rsidRPr="00E4103A">
        <w:rPr>
          <w:rFonts w:eastAsia="Times New Roman" w:cstheme="minorHAnsi"/>
          <w:highlight w:val="yellow"/>
          <w:lang w:eastAsia="fr-FR"/>
        </w:rPr>
        <w:t xml:space="preserve"> 10.1185/03007995.2015.1078783. Epub 2015 Sep 4. </w:t>
      </w:r>
      <w:proofErr w:type="gramStart"/>
      <w:r w:rsidRPr="00E4103A">
        <w:rPr>
          <w:rFonts w:eastAsia="Times New Roman" w:cstheme="minorHAnsi"/>
          <w:highlight w:val="yellow"/>
          <w:lang w:eastAsia="fr-FR"/>
        </w:rPr>
        <w:t>PMID:</w:t>
      </w:r>
      <w:proofErr w:type="gramEnd"/>
      <w:r w:rsidRPr="00E4103A">
        <w:rPr>
          <w:rFonts w:eastAsia="Times New Roman" w:cstheme="minorHAnsi"/>
          <w:highlight w:val="yellow"/>
          <w:lang w:eastAsia="fr-FR"/>
        </w:rPr>
        <w:t xml:space="preserve"> 26337195. </w:t>
      </w:r>
      <w:hyperlink r:id="rId28" w:history="1">
        <w:r w:rsidRPr="00E4103A">
          <w:rPr>
            <w:rStyle w:val="Hyperlink"/>
            <w:rFonts w:eastAsia="Times New Roman" w:cstheme="minorHAnsi"/>
            <w:highlight w:val="yellow"/>
            <w:lang w:eastAsia="fr-FR"/>
          </w:rPr>
          <w:t>https://pubmed.ncbi.nlm.nih.gov/26337195/</w:t>
        </w:r>
      </w:hyperlink>
      <w:r w:rsidRPr="00E4103A">
        <w:rPr>
          <w:rFonts w:eastAsia="Times New Roman" w:cstheme="minorHAnsi"/>
          <w:highlight w:val="yellow"/>
          <w:lang w:eastAsia="fr-FR"/>
        </w:rPr>
        <w:t xml:space="preserve"> </w:t>
      </w:r>
    </w:p>
    <w:p w14:paraId="6D7AF387"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E4103A">
        <w:rPr>
          <w:rFonts w:eastAsia="Times New Roman" w:cstheme="minorHAnsi"/>
          <w:highlight w:val="yellow"/>
          <w:lang w:eastAsia="fr-FR"/>
        </w:rPr>
        <w:t xml:space="preserve">Rodrigues FL, Ferrari ALM, Faria FF, Pinto RLE, Lopes MF, Santos MEA, Varela EC, Filho MJL, Cecyn MN, Oliveira NHCD. Intramedullary Nailing in Femoral Diaphyseal </w:t>
      </w:r>
      <w:proofErr w:type="gramStart"/>
      <w:r w:rsidRPr="00E4103A">
        <w:rPr>
          <w:rFonts w:eastAsia="Times New Roman" w:cstheme="minorHAnsi"/>
          <w:highlight w:val="yellow"/>
          <w:lang w:eastAsia="fr-FR"/>
        </w:rPr>
        <w:t>Fractures:</w:t>
      </w:r>
      <w:proofErr w:type="gramEnd"/>
      <w:r w:rsidRPr="00E4103A">
        <w:rPr>
          <w:rFonts w:eastAsia="Times New Roman" w:cstheme="minorHAnsi"/>
          <w:highlight w:val="yellow"/>
          <w:lang w:eastAsia="fr-FR"/>
        </w:rPr>
        <w:t xml:space="preserve"> A Retrospective Multicenter Cohort Study. </w:t>
      </w:r>
      <w:r w:rsidRPr="00E4103A">
        <w:rPr>
          <w:rFonts w:eastAsia="Times New Roman" w:cstheme="minorHAnsi"/>
          <w:i/>
          <w:iCs/>
          <w:highlight w:val="yellow"/>
          <w:lang w:eastAsia="fr-FR"/>
        </w:rPr>
        <w:t>Life</w:t>
      </w:r>
      <w:r w:rsidRPr="00E4103A">
        <w:rPr>
          <w:rFonts w:eastAsia="Times New Roman" w:cstheme="minorHAnsi"/>
          <w:highlight w:val="yellow"/>
          <w:lang w:eastAsia="fr-FR"/>
        </w:rPr>
        <w:t xml:space="preserve">. </w:t>
      </w:r>
      <w:proofErr w:type="gramStart"/>
      <w:r w:rsidRPr="00E4103A">
        <w:rPr>
          <w:rFonts w:eastAsia="Times New Roman" w:cstheme="minorHAnsi"/>
          <w:highlight w:val="yellow"/>
          <w:lang w:eastAsia="fr-FR"/>
        </w:rPr>
        <w:t>2025;</w:t>
      </w:r>
      <w:proofErr w:type="gramEnd"/>
      <w:r w:rsidRPr="00E4103A">
        <w:rPr>
          <w:rFonts w:eastAsia="Times New Roman" w:cstheme="minorHAnsi"/>
          <w:highlight w:val="yellow"/>
          <w:lang w:eastAsia="fr-FR"/>
        </w:rPr>
        <w:t xml:space="preserve"> 15(4):540. </w:t>
      </w:r>
      <w:hyperlink r:id="rId29" w:history="1">
        <w:r w:rsidRPr="00E4103A">
          <w:rPr>
            <w:rStyle w:val="Hyperlink"/>
            <w:rFonts w:eastAsia="Times New Roman" w:cstheme="minorHAnsi"/>
            <w:highlight w:val="yellow"/>
            <w:lang w:eastAsia="fr-FR"/>
          </w:rPr>
          <w:t>https://doi.org/10.3390/life15040540</w:t>
        </w:r>
      </w:hyperlink>
      <w:r w:rsidRPr="00E4103A">
        <w:rPr>
          <w:rFonts w:eastAsia="Times New Roman" w:cstheme="minorHAnsi"/>
          <w:highlight w:val="yellow"/>
          <w:lang w:eastAsia="fr-FR"/>
        </w:rPr>
        <w:t xml:space="preserve"> </w:t>
      </w:r>
    </w:p>
    <w:p w14:paraId="20DD60D4" w14:textId="77777777" w:rsidR="00CE5175"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E4103A">
        <w:rPr>
          <w:rFonts w:eastAsia="Times New Roman" w:cstheme="minorHAnsi"/>
          <w:highlight w:val="yellow"/>
          <w:lang w:eastAsia="fr-FR"/>
        </w:rPr>
        <w:t xml:space="preserve">Yuan H, Yu H, Zhu Y, Xiang L, Wang H. Effect of Age on the Patterns of Traumatic Femoral </w:t>
      </w:r>
      <w:proofErr w:type="gramStart"/>
      <w:r w:rsidRPr="00E4103A">
        <w:rPr>
          <w:rFonts w:eastAsia="Times New Roman" w:cstheme="minorHAnsi"/>
          <w:highlight w:val="yellow"/>
          <w:lang w:eastAsia="fr-FR"/>
        </w:rPr>
        <w:t>Fractures:</w:t>
      </w:r>
      <w:proofErr w:type="gramEnd"/>
      <w:r w:rsidRPr="00E4103A">
        <w:rPr>
          <w:rFonts w:eastAsia="Times New Roman" w:cstheme="minorHAnsi"/>
          <w:highlight w:val="yellow"/>
          <w:lang w:eastAsia="fr-FR"/>
        </w:rPr>
        <w:t xml:space="preserve"> Seven Years of Experience at a Regional Tertiary Hospital. Orthop Surg. 2022 </w:t>
      </w:r>
      <w:proofErr w:type="gramStart"/>
      <w:r w:rsidRPr="00E4103A">
        <w:rPr>
          <w:rFonts w:eastAsia="Times New Roman" w:cstheme="minorHAnsi"/>
          <w:highlight w:val="yellow"/>
          <w:lang w:eastAsia="fr-FR"/>
        </w:rPr>
        <w:t>Sep;</w:t>
      </w:r>
      <w:proofErr w:type="gramEnd"/>
      <w:r w:rsidRPr="00E4103A">
        <w:rPr>
          <w:rFonts w:eastAsia="Times New Roman" w:cstheme="minorHAnsi"/>
          <w:highlight w:val="yellow"/>
          <w:lang w:eastAsia="fr-FR"/>
        </w:rPr>
        <w:t xml:space="preserve">14(9):2132-2140. </w:t>
      </w:r>
      <w:proofErr w:type="gramStart"/>
      <w:r w:rsidRPr="00E4103A">
        <w:rPr>
          <w:rFonts w:eastAsia="Times New Roman" w:cstheme="minorHAnsi"/>
          <w:highlight w:val="yellow"/>
          <w:lang w:eastAsia="fr-FR"/>
        </w:rPr>
        <w:t>doi:</w:t>
      </w:r>
      <w:proofErr w:type="gramEnd"/>
      <w:r w:rsidRPr="00E4103A">
        <w:rPr>
          <w:rFonts w:eastAsia="Times New Roman" w:cstheme="minorHAnsi"/>
          <w:highlight w:val="yellow"/>
          <w:lang w:eastAsia="fr-FR"/>
        </w:rPr>
        <w:t xml:space="preserve"> 10.1111/os.13410. Epub 2022 Aug 5. </w:t>
      </w:r>
      <w:proofErr w:type="gramStart"/>
      <w:r w:rsidRPr="00E4103A">
        <w:rPr>
          <w:rFonts w:eastAsia="Times New Roman" w:cstheme="minorHAnsi"/>
          <w:highlight w:val="yellow"/>
          <w:lang w:eastAsia="fr-FR"/>
        </w:rPr>
        <w:t>PMID:</w:t>
      </w:r>
      <w:proofErr w:type="gramEnd"/>
      <w:r w:rsidRPr="00E4103A">
        <w:rPr>
          <w:rFonts w:eastAsia="Times New Roman" w:cstheme="minorHAnsi"/>
          <w:highlight w:val="yellow"/>
          <w:lang w:eastAsia="fr-FR"/>
        </w:rPr>
        <w:t xml:space="preserve"> 35929600; PMCID: PMC9483057. </w:t>
      </w:r>
      <w:hyperlink r:id="rId30" w:history="1">
        <w:r w:rsidRPr="00E4103A">
          <w:rPr>
            <w:rStyle w:val="Hyperlink"/>
            <w:rFonts w:eastAsia="Times New Roman" w:cstheme="minorHAnsi"/>
            <w:highlight w:val="yellow"/>
            <w:lang w:eastAsia="fr-FR"/>
          </w:rPr>
          <w:t>https://pmc.ncbi.nlm.nih.gov/articles/PMC9483057/</w:t>
        </w:r>
      </w:hyperlink>
    </w:p>
    <w:p w14:paraId="67D87650" w14:textId="77777777" w:rsidR="00CE5175" w:rsidRPr="0009260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09260A">
        <w:rPr>
          <w:highlight w:val="yellow"/>
        </w:rPr>
        <w:t xml:space="preserve">Alagnidea EH, Hans Moevib </w:t>
      </w:r>
      <w:proofErr w:type="gramStart"/>
      <w:r w:rsidRPr="0009260A">
        <w:rPr>
          <w:highlight w:val="yellow"/>
        </w:rPr>
        <w:t>AA,c</w:t>
      </w:r>
      <w:proofErr w:type="gramEnd"/>
      <w:r w:rsidRPr="0009260A">
        <w:rPr>
          <w:highlight w:val="yellow"/>
        </w:rPr>
        <w:t xml:space="preserve"> , Kpadonoua TG, Niama Nattaa DD, Azanmassoa H, Nindorera F. Osteosynthesis for femoral diaphyseal fracture: Place of physiotherapy for the functional recuperation. Journal de réadaptation médicale Elsevier Masson </w:t>
      </w:r>
      <w:proofErr w:type="gramStart"/>
      <w:r w:rsidRPr="0009260A">
        <w:rPr>
          <w:highlight w:val="yellow"/>
        </w:rPr>
        <w:t>2015;</w:t>
      </w:r>
      <w:proofErr w:type="gramEnd"/>
      <w:r w:rsidRPr="0009260A">
        <w:rPr>
          <w:highlight w:val="yellow"/>
        </w:rPr>
        <w:t xml:space="preserve">35:75-82. </w:t>
      </w:r>
      <w:hyperlink r:id="rId31" w:history="1">
        <w:r w:rsidRPr="0009260A">
          <w:rPr>
            <w:rStyle w:val="Hyperlink"/>
            <w:highlight w:val="yellow"/>
          </w:rPr>
          <w:t>https://doi.org/10.1016/j.jrm.2014.10.004</w:t>
        </w:r>
      </w:hyperlink>
    </w:p>
    <w:p w14:paraId="763FB7F8" w14:textId="77777777" w:rsidR="00CE5175" w:rsidRPr="00E4103A" w:rsidRDefault="00CE5175" w:rsidP="00CE5175">
      <w:pPr>
        <w:numPr>
          <w:ilvl w:val="0"/>
          <w:numId w:val="1"/>
        </w:numPr>
        <w:tabs>
          <w:tab w:val="clear" w:pos="720"/>
        </w:tabs>
        <w:spacing w:after="0" w:line="240" w:lineRule="auto"/>
        <w:ind w:left="709" w:hanging="709"/>
        <w:jc w:val="both"/>
        <w:rPr>
          <w:rFonts w:eastAsia="Times New Roman" w:cstheme="minorHAnsi"/>
          <w:highlight w:val="yellow"/>
          <w:lang w:eastAsia="fr-FR"/>
        </w:rPr>
      </w:pPr>
      <w:r w:rsidRPr="00E4103A">
        <w:rPr>
          <w:rFonts w:cstheme="minorHAnsi"/>
          <w:color w:val="000000" w:themeColor="text1"/>
          <w:highlight w:val="yellow"/>
          <w:shd w:val="clear" w:color="auto" w:fill="FFFFFF"/>
        </w:rPr>
        <w:t xml:space="preserve">Jürgens L, Sarabhai T, Kostev K. In-Hospital Mortality Among Elderly Patients Hospitalized for Femur Fracture with and Without Diabetes </w:t>
      </w:r>
      <w:proofErr w:type="gramStart"/>
      <w:r w:rsidRPr="00E4103A">
        <w:rPr>
          <w:rFonts w:cstheme="minorHAnsi"/>
          <w:color w:val="000000" w:themeColor="text1"/>
          <w:highlight w:val="yellow"/>
          <w:shd w:val="clear" w:color="auto" w:fill="FFFFFF"/>
        </w:rPr>
        <w:t>Mellitus:</w:t>
      </w:r>
      <w:proofErr w:type="gramEnd"/>
      <w:r w:rsidRPr="00E4103A">
        <w:rPr>
          <w:rFonts w:cstheme="minorHAnsi"/>
          <w:color w:val="000000" w:themeColor="text1"/>
          <w:highlight w:val="yellow"/>
          <w:shd w:val="clear" w:color="auto" w:fill="FFFFFF"/>
        </w:rPr>
        <w:t xml:space="preserve"> A Multicenter Case–Control Study. </w:t>
      </w:r>
      <w:r w:rsidRPr="00E4103A">
        <w:rPr>
          <w:rStyle w:val="Emphasis"/>
          <w:rFonts w:cstheme="minorHAnsi"/>
          <w:color w:val="000000" w:themeColor="text1"/>
          <w:highlight w:val="yellow"/>
          <w:shd w:val="clear" w:color="auto" w:fill="FFFFFF"/>
        </w:rPr>
        <w:t>Journal of Clinical Medicine</w:t>
      </w:r>
      <w:r w:rsidRPr="00E4103A">
        <w:rPr>
          <w:rFonts w:cstheme="minorHAnsi"/>
          <w:color w:val="000000" w:themeColor="text1"/>
          <w:highlight w:val="yellow"/>
          <w:shd w:val="clear" w:color="auto" w:fill="FFFFFF"/>
        </w:rPr>
        <w:t xml:space="preserve">. </w:t>
      </w:r>
      <w:proofErr w:type="gramStart"/>
      <w:r w:rsidRPr="00E4103A">
        <w:rPr>
          <w:rFonts w:cstheme="minorHAnsi"/>
          <w:color w:val="000000" w:themeColor="text1"/>
          <w:highlight w:val="yellow"/>
          <w:shd w:val="clear" w:color="auto" w:fill="FFFFFF"/>
        </w:rPr>
        <w:t>2024;</w:t>
      </w:r>
      <w:proofErr w:type="gramEnd"/>
      <w:r w:rsidRPr="00E4103A">
        <w:rPr>
          <w:rFonts w:cstheme="minorHAnsi"/>
          <w:color w:val="000000" w:themeColor="text1"/>
          <w:highlight w:val="yellow"/>
          <w:shd w:val="clear" w:color="auto" w:fill="FFFFFF"/>
        </w:rPr>
        <w:t xml:space="preserve"> 13(21):6484</w:t>
      </w:r>
      <w:r w:rsidRPr="00E4103A">
        <w:rPr>
          <w:rFonts w:cstheme="minorHAnsi"/>
          <w:color w:val="222222"/>
          <w:highlight w:val="yellow"/>
          <w:shd w:val="clear" w:color="auto" w:fill="FFFFFF"/>
        </w:rPr>
        <w:t xml:space="preserve">. </w:t>
      </w:r>
      <w:hyperlink r:id="rId32" w:history="1">
        <w:r w:rsidRPr="00E4103A">
          <w:rPr>
            <w:rStyle w:val="Hyperlink"/>
            <w:rFonts w:cstheme="minorHAnsi"/>
            <w:highlight w:val="yellow"/>
            <w:shd w:val="clear" w:color="auto" w:fill="FFFFFF"/>
          </w:rPr>
          <w:t>https://doi.org/10.3390/jcm13216484</w:t>
        </w:r>
      </w:hyperlink>
      <w:r w:rsidRPr="00E4103A">
        <w:rPr>
          <w:rFonts w:cstheme="minorHAnsi"/>
          <w:color w:val="222222"/>
          <w:highlight w:val="yellow"/>
          <w:shd w:val="clear" w:color="auto" w:fill="FFFFFF"/>
        </w:rPr>
        <w:t xml:space="preserve">. </w:t>
      </w:r>
      <w:hyperlink r:id="rId33" w:history="1">
        <w:r w:rsidRPr="00E4103A">
          <w:rPr>
            <w:rStyle w:val="Hyperlink"/>
            <w:rFonts w:cstheme="minorHAnsi"/>
            <w:highlight w:val="yellow"/>
            <w:shd w:val="clear" w:color="auto" w:fill="FFFFFF"/>
          </w:rPr>
          <w:t>https://www.mdpi.com/2077-0383/13/21/6484</w:t>
        </w:r>
      </w:hyperlink>
    </w:p>
    <w:p w14:paraId="0581AE4B" w14:textId="77777777" w:rsidR="00CE5175" w:rsidRPr="00E4103A" w:rsidRDefault="00CE5175" w:rsidP="00CE5175">
      <w:pPr>
        <w:numPr>
          <w:ilvl w:val="0"/>
          <w:numId w:val="1"/>
        </w:numPr>
        <w:tabs>
          <w:tab w:val="clear" w:pos="720"/>
        </w:tabs>
        <w:spacing w:after="0" w:line="240" w:lineRule="auto"/>
        <w:ind w:left="709" w:hanging="709"/>
        <w:rPr>
          <w:rFonts w:eastAsia="Times New Roman" w:cstheme="minorHAnsi"/>
          <w:highlight w:val="yellow"/>
          <w:lang w:eastAsia="fr-FR"/>
        </w:rPr>
      </w:pPr>
      <w:r w:rsidRPr="00E4103A">
        <w:rPr>
          <w:rFonts w:eastAsia="Times New Roman" w:cstheme="minorHAnsi"/>
          <w:highlight w:val="yellow"/>
          <w:lang w:eastAsia="fr-FR"/>
        </w:rPr>
        <w:t xml:space="preserve">Scolaro J, Schenker M, Yannascoli S &amp; Baldwin K, Mehta S &amp; Ahn J. Cigarette Smoking Increases Complications Following </w:t>
      </w:r>
      <w:proofErr w:type="gramStart"/>
      <w:r w:rsidRPr="00E4103A">
        <w:rPr>
          <w:rFonts w:eastAsia="Times New Roman" w:cstheme="minorHAnsi"/>
          <w:highlight w:val="yellow"/>
          <w:lang w:eastAsia="fr-FR"/>
        </w:rPr>
        <w:t>Fracture:</w:t>
      </w:r>
      <w:proofErr w:type="gramEnd"/>
      <w:r w:rsidRPr="00E4103A">
        <w:rPr>
          <w:rFonts w:eastAsia="Times New Roman" w:cstheme="minorHAnsi"/>
          <w:highlight w:val="yellow"/>
          <w:lang w:eastAsia="fr-FR"/>
        </w:rPr>
        <w:t xml:space="preserve"> A Systematic Review. </w:t>
      </w:r>
      <w:r w:rsidRPr="00E4103A">
        <w:rPr>
          <w:rFonts w:eastAsia="Times New Roman" w:cstheme="minorHAnsi"/>
          <w:i/>
          <w:iCs/>
          <w:highlight w:val="yellow"/>
          <w:lang w:eastAsia="fr-FR"/>
        </w:rPr>
        <w:t>The Journal of bone and joint surgery</w:t>
      </w:r>
      <w:r w:rsidRPr="00E4103A">
        <w:rPr>
          <w:rFonts w:eastAsia="Times New Roman" w:cstheme="minorHAnsi"/>
          <w:highlight w:val="yellow"/>
          <w:lang w:eastAsia="fr-FR"/>
        </w:rPr>
        <w:t xml:space="preserve">. 2014. American volume. 96. p674-81. 10.2106/JBJS.M.00081.   </w:t>
      </w:r>
      <w:hyperlink r:id="rId34" w:history="1">
        <w:r w:rsidRPr="00E4103A">
          <w:rPr>
            <w:rStyle w:val="Hyperlink"/>
            <w:rFonts w:eastAsia="Times New Roman" w:cstheme="minorHAnsi"/>
            <w:highlight w:val="yellow"/>
            <w:lang w:eastAsia="fr-FR"/>
          </w:rPr>
          <w:t>https://www.researchgate.net/publication/261751703_Cigarette_Smoking_Increases_Complications_Following_Fracture_A_Systematic_Review</w:t>
        </w:r>
      </w:hyperlink>
    </w:p>
    <w:p w14:paraId="5B0816D6" w14:textId="77777777" w:rsidR="00CE5175" w:rsidRPr="00E4103A" w:rsidRDefault="00CE5175" w:rsidP="00CE5175">
      <w:pPr>
        <w:numPr>
          <w:ilvl w:val="0"/>
          <w:numId w:val="1"/>
        </w:numPr>
        <w:tabs>
          <w:tab w:val="clear" w:pos="720"/>
        </w:tabs>
        <w:spacing w:after="0" w:line="240" w:lineRule="auto"/>
        <w:ind w:left="709" w:hanging="709"/>
        <w:rPr>
          <w:rFonts w:eastAsia="Times New Roman" w:cstheme="minorHAnsi"/>
          <w:color w:val="000000" w:themeColor="text1"/>
          <w:highlight w:val="yellow"/>
          <w:lang w:eastAsia="fr-FR"/>
        </w:rPr>
      </w:pPr>
      <w:r w:rsidRPr="00E4103A">
        <w:rPr>
          <w:rFonts w:cstheme="minorHAnsi"/>
          <w:color w:val="000000" w:themeColor="text1"/>
          <w:highlight w:val="yellow"/>
          <w:shd w:val="clear" w:color="auto" w:fill="FFFFFF"/>
        </w:rPr>
        <w:t xml:space="preserve">Obey MR, Clever DC, Bechtold DA, Stwalley D, McAndrew CM, Berkes MB, Wolinsky PR, Miller AN. In-Hospital Morbidity and Mortality With Delays in Femoral Shaft Fracture Fixation. J Orthop Trauma. </w:t>
      </w:r>
      <w:proofErr w:type="gramStart"/>
      <w:r w:rsidRPr="00E4103A">
        <w:rPr>
          <w:rFonts w:cstheme="minorHAnsi"/>
          <w:color w:val="000000" w:themeColor="text1"/>
          <w:highlight w:val="yellow"/>
          <w:shd w:val="clear" w:color="auto" w:fill="FFFFFF"/>
        </w:rPr>
        <w:t>2022;</w:t>
      </w:r>
      <w:proofErr w:type="gramEnd"/>
      <w:r w:rsidRPr="00E4103A">
        <w:rPr>
          <w:rFonts w:cstheme="minorHAnsi"/>
          <w:color w:val="000000" w:themeColor="text1"/>
          <w:highlight w:val="yellow"/>
          <w:shd w:val="clear" w:color="auto" w:fill="FFFFFF"/>
        </w:rPr>
        <w:t xml:space="preserve">36(5):239-245. </w:t>
      </w:r>
      <w:proofErr w:type="gramStart"/>
      <w:r w:rsidRPr="00E4103A">
        <w:rPr>
          <w:rFonts w:cstheme="minorHAnsi"/>
          <w:color w:val="000000" w:themeColor="text1"/>
          <w:highlight w:val="yellow"/>
          <w:shd w:val="clear" w:color="auto" w:fill="FFFFFF"/>
        </w:rPr>
        <w:t>doi:</w:t>
      </w:r>
      <w:proofErr w:type="gramEnd"/>
      <w:r w:rsidRPr="00E4103A">
        <w:rPr>
          <w:rFonts w:cstheme="minorHAnsi"/>
          <w:color w:val="000000" w:themeColor="text1"/>
          <w:highlight w:val="yellow"/>
          <w:shd w:val="clear" w:color="auto" w:fill="FFFFFF"/>
        </w:rPr>
        <w:t xml:space="preserve"> 10.1097/BOT.0000000000002271. </w:t>
      </w:r>
      <w:proofErr w:type="gramStart"/>
      <w:r w:rsidRPr="00E4103A">
        <w:rPr>
          <w:rFonts w:cstheme="minorHAnsi"/>
          <w:color w:val="000000" w:themeColor="text1"/>
          <w:highlight w:val="yellow"/>
          <w:shd w:val="clear" w:color="auto" w:fill="FFFFFF"/>
        </w:rPr>
        <w:t>PMID:</w:t>
      </w:r>
      <w:proofErr w:type="gramEnd"/>
      <w:r w:rsidRPr="00E4103A">
        <w:rPr>
          <w:rFonts w:cstheme="minorHAnsi"/>
          <w:color w:val="000000" w:themeColor="text1"/>
          <w:highlight w:val="yellow"/>
          <w:shd w:val="clear" w:color="auto" w:fill="FFFFFF"/>
        </w:rPr>
        <w:t xml:space="preserve"> 34520446; PMCID: PMC8918437.</w:t>
      </w:r>
      <w:r w:rsidRPr="00E4103A">
        <w:rPr>
          <w:rFonts w:cstheme="minorHAnsi"/>
          <w:color w:val="000000" w:themeColor="text1"/>
          <w:highlight w:val="yellow"/>
        </w:rPr>
        <w:t xml:space="preserve"> </w:t>
      </w:r>
      <w:hyperlink r:id="rId35" w:history="1">
        <w:r w:rsidRPr="00E4103A">
          <w:rPr>
            <w:rStyle w:val="Hyperlink"/>
            <w:rFonts w:cstheme="minorHAnsi"/>
            <w:highlight w:val="yellow"/>
            <w:shd w:val="clear" w:color="auto" w:fill="FFFFFF"/>
          </w:rPr>
          <w:t>https://pmc.ncbi.nlm.nih.gov/articles/PMC8918437/</w:t>
        </w:r>
      </w:hyperlink>
      <w:r w:rsidRPr="00E4103A">
        <w:rPr>
          <w:rFonts w:cstheme="minorHAnsi"/>
          <w:color w:val="000000" w:themeColor="text1"/>
          <w:highlight w:val="yellow"/>
          <w:shd w:val="clear" w:color="auto" w:fill="FFFFFF"/>
        </w:rPr>
        <w:t xml:space="preserve"> </w:t>
      </w:r>
    </w:p>
    <w:p w14:paraId="6060F44B" w14:textId="77777777" w:rsidR="00CE5175" w:rsidRPr="00E4103A" w:rsidRDefault="00CE5175" w:rsidP="00CE5175">
      <w:pPr>
        <w:numPr>
          <w:ilvl w:val="0"/>
          <w:numId w:val="1"/>
        </w:numPr>
        <w:tabs>
          <w:tab w:val="clear" w:pos="720"/>
        </w:tabs>
        <w:spacing w:after="0" w:line="240" w:lineRule="auto"/>
        <w:ind w:left="709" w:hanging="709"/>
        <w:rPr>
          <w:rFonts w:eastAsia="Times New Roman" w:cstheme="minorHAnsi"/>
          <w:color w:val="000000" w:themeColor="text1"/>
          <w:highlight w:val="yellow"/>
          <w:lang w:eastAsia="fr-FR"/>
        </w:rPr>
      </w:pPr>
      <w:r w:rsidRPr="00E4103A">
        <w:rPr>
          <w:rFonts w:cstheme="minorHAnsi"/>
          <w:color w:val="1B1B1B"/>
          <w:highlight w:val="yellow"/>
          <w:shd w:val="clear" w:color="auto" w:fill="FFFFFF"/>
        </w:rPr>
        <w:t xml:space="preserve">Gambuti E, Caldaria A, Spadoni E, Biagi N, Azzolina D, Saracco A, Guerzoni MV, Massari L and Caruso G. Third fragment femoral shaft </w:t>
      </w:r>
      <w:proofErr w:type="gramStart"/>
      <w:r w:rsidRPr="00E4103A">
        <w:rPr>
          <w:rFonts w:cstheme="minorHAnsi"/>
          <w:color w:val="1B1B1B"/>
          <w:highlight w:val="yellow"/>
          <w:shd w:val="clear" w:color="auto" w:fill="FFFFFF"/>
        </w:rPr>
        <w:t>fracture:</w:t>
      </w:r>
      <w:proofErr w:type="gramEnd"/>
      <w:r w:rsidRPr="00E4103A">
        <w:rPr>
          <w:rFonts w:cstheme="minorHAnsi"/>
          <w:color w:val="1B1B1B"/>
          <w:highlight w:val="yellow"/>
          <w:shd w:val="clear" w:color="auto" w:fill="FFFFFF"/>
        </w:rPr>
        <w:t xml:space="preserve"> A retrospective analysis of complications and predictive factors for non-union and delayed union. Orthopaedics &amp; </w:t>
      </w:r>
      <w:proofErr w:type="gramStart"/>
      <w:r w:rsidRPr="00E4103A">
        <w:rPr>
          <w:rFonts w:cstheme="minorHAnsi"/>
          <w:color w:val="1B1B1B"/>
          <w:highlight w:val="yellow"/>
          <w:shd w:val="clear" w:color="auto" w:fill="FFFFFF"/>
        </w:rPr>
        <w:t>Traumatology:</w:t>
      </w:r>
      <w:proofErr w:type="gramEnd"/>
      <w:r w:rsidRPr="00E4103A">
        <w:rPr>
          <w:rFonts w:cstheme="minorHAnsi"/>
          <w:color w:val="1B1B1B"/>
          <w:highlight w:val="yellow"/>
          <w:shd w:val="clear" w:color="auto" w:fill="FFFFFF"/>
        </w:rPr>
        <w:t xml:space="preserve"> Surgery &amp; Research. 2025</w:t>
      </w:r>
      <w:proofErr w:type="gramStart"/>
      <w:r w:rsidRPr="00E4103A">
        <w:rPr>
          <w:rFonts w:cstheme="minorHAnsi"/>
          <w:color w:val="1B1B1B"/>
          <w:highlight w:val="yellow"/>
          <w:shd w:val="clear" w:color="auto" w:fill="FFFFFF"/>
        </w:rPr>
        <w:t> ;Volume</w:t>
      </w:r>
      <w:proofErr w:type="gramEnd"/>
      <w:r w:rsidRPr="00E4103A">
        <w:rPr>
          <w:rFonts w:cstheme="minorHAnsi"/>
          <w:color w:val="1B1B1B"/>
          <w:highlight w:val="yellow"/>
          <w:shd w:val="clear" w:color="auto" w:fill="FFFFFF"/>
        </w:rPr>
        <w:t xml:space="preserve"> 111, Issue 7, 104295, ISSN 1877-0568 </w:t>
      </w:r>
      <w:hyperlink r:id="rId36" w:history="1">
        <w:r w:rsidRPr="00E4103A">
          <w:rPr>
            <w:rStyle w:val="Hyperlink"/>
            <w:rFonts w:cstheme="minorHAnsi"/>
            <w:highlight w:val="yellow"/>
            <w:shd w:val="clear" w:color="auto" w:fill="FFFFFF"/>
          </w:rPr>
          <w:t>https://doi.org/10.1016/j.otsr.2025.104295</w:t>
        </w:r>
      </w:hyperlink>
      <w:r w:rsidRPr="00E4103A">
        <w:rPr>
          <w:rFonts w:cstheme="minorHAnsi"/>
          <w:color w:val="1B1B1B"/>
          <w:highlight w:val="yellow"/>
          <w:shd w:val="clear" w:color="auto" w:fill="FFFFFF"/>
        </w:rPr>
        <w:t xml:space="preserve">. </w:t>
      </w:r>
      <w:hyperlink r:id="rId37" w:history="1">
        <w:r w:rsidRPr="00E4103A">
          <w:rPr>
            <w:rStyle w:val="Hyperlink"/>
            <w:rFonts w:cstheme="minorHAnsi"/>
            <w:highlight w:val="yellow"/>
            <w:shd w:val="clear" w:color="auto" w:fill="FFFFFF"/>
          </w:rPr>
          <w:t>https://www.sciencedirect.com/science/article/pii/S1877056825001422</w:t>
        </w:r>
      </w:hyperlink>
      <w:r w:rsidRPr="00E4103A">
        <w:rPr>
          <w:rFonts w:cstheme="minorHAnsi"/>
          <w:color w:val="1B1B1B"/>
          <w:highlight w:val="yellow"/>
          <w:shd w:val="clear" w:color="auto" w:fill="FFFFFF"/>
        </w:rPr>
        <w:t xml:space="preserve"> </w:t>
      </w:r>
    </w:p>
    <w:bookmarkEnd w:id="5"/>
    <w:p w14:paraId="0288D850" w14:textId="77777777" w:rsidR="00CE5175" w:rsidRPr="00E4103A" w:rsidRDefault="00CE5175" w:rsidP="00CE5175">
      <w:pPr>
        <w:numPr>
          <w:ilvl w:val="0"/>
          <w:numId w:val="1"/>
        </w:numPr>
        <w:tabs>
          <w:tab w:val="clear" w:pos="720"/>
        </w:tabs>
        <w:spacing w:after="0" w:line="240" w:lineRule="auto"/>
        <w:ind w:left="709" w:hanging="709"/>
        <w:jc w:val="both"/>
        <w:rPr>
          <w:highlight w:val="yellow"/>
        </w:rPr>
      </w:pPr>
      <w:r w:rsidRPr="00E4103A">
        <w:rPr>
          <w:rFonts w:eastAsia="Times New Roman" w:cstheme="minorHAnsi"/>
          <w:highlight w:val="yellow"/>
          <w:lang w:val="en-GB" w:eastAsia="fr-FR"/>
        </w:rPr>
        <w:t xml:space="preserve">Aebischer AS, Gouk CJ, &amp; Steer R. Early weight‐bearing following distal femur fracture fixation–a systematic review and meta‐analysis. ANZ Journal of Surgery, 2025; 95(6): 1108-1114. </w:t>
      </w:r>
      <w:hyperlink r:id="rId38" w:history="1">
        <w:r w:rsidRPr="00E4103A">
          <w:rPr>
            <w:rStyle w:val="Hyperlink"/>
            <w:rFonts w:eastAsia="Times New Roman" w:cstheme="minorHAnsi"/>
            <w:highlight w:val="yellow"/>
            <w:lang w:val="en-GB" w:eastAsia="fr-FR"/>
          </w:rPr>
          <w:t>https://pubmed.ncbi.nlm.nih.gov/39465540/</w:t>
        </w:r>
      </w:hyperlink>
      <w:r w:rsidRPr="00E4103A">
        <w:rPr>
          <w:rFonts w:eastAsia="Times New Roman" w:cstheme="minorHAnsi"/>
          <w:highlight w:val="yellow"/>
          <w:lang w:val="en-GB" w:eastAsia="fr-FR"/>
        </w:rPr>
        <w:t xml:space="preserve"> </w:t>
      </w:r>
    </w:p>
    <w:bookmarkEnd w:id="6"/>
    <w:p w14:paraId="703C6F33" w14:textId="77777777" w:rsidR="00284830" w:rsidRPr="00A73E68" w:rsidRDefault="00284830" w:rsidP="00B53E8B">
      <w:pPr>
        <w:spacing w:after="0" w:line="240" w:lineRule="auto"/>
        <w:jc w:val="both"/>
        <w:rPr>
          <w:rFonts w:cstheme="minorHAnsi"/>
        </w:rPr>
      </w:pPr>
    </w:p>
    <w:sectPr w:rsidR="00284830" w:rsidRPr="00A73E68" w:rsidSect="00A73E68">
      <w:headerReference w:type="even" r:id="rId39"/>
      <w:headerReference w:type="default" r:id="rId40"/>
      <w:footerReference w:type="even" r:id="rId41"/>
      <w:footerReference w:type="default" r:id="rId42"/>
      <w:headerReference w:type="first" r:id="rId43"/>
      <w:footerReference w:type="first" r:id="rId4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2592D" w14:textId="77777777" w:rsidR="00E96060" w:rsidRDefault="00E96060" w:rsidP="00A73E68">
      <w:pPr>
        <w:spacing w:after="0" w:line="240" w:lineRule="auto"/>
      </w:pPr>
      <w:r>
        <w:separator/>
      </w:r>
    </w:p>
  </w:endnote>
  <w:endnote w:type="continuationSeparator" w:id="0">
    <w:p w14:paraId="386AFD04" w14:textId="77777777" w:rsidR="00E96060" w:rsidRDefault="00E96060" w:rsidP="00A73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80"/>
    <w:family w:val="auto"/>
    <w:pitch w:val="default"/>
    <w:sig w:usb0="00000000" w:usb1="08070000" w:usb2="00000010" w:usb3="00000000" w:csb0="0002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54E9A" w14:textId="77777777" w:rsidR="00D63930" w:rsidRDefault="00D63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2872097"/>
      <w:docPartObj>
        <w:docPartGallery w:val="Page Numbers (Bottom of Page)"/>
        <w:docPartUnique/>
      </w:docPartObj>
    </w:sdtPr>
    <w:sdtEndPr/>
    <w:sdtContent>
      <w:p w14:paraId="69B0E44D" w14:textId="0F213C11" w:rsidR="00A73E68" w:rsidRDefault="00A73E68">
        <w:pPr>
          <w:pStyle w:val="Footer"/>
          <w:jc w:val="right"/>
        </w:pPr>
        <w:r>
          <w:fldChar w:fldCharType="begin"/>
        </w:r>
        <w:r>
          <w:instrText>PAGE   \* MERGEFORMAT</w:instrText>
        </w:r>
        <w:r>
          <w:fldChar w:fldCharType="separate"/>
        </w:r>
        <w:r>
          <w:t>2</w:t>
        </w:r>
        <w:r>
          <w:fldChar w:fldCharType="end"/>
        </w:r>
      </w:p>
    </w:sdtContent>
  </w:sdt>
  <w:p w14:paraId="79B09C84" w14:textId="77777777" w:rsidR="00A73E68" w:rsidRDefault="00A73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6592" w14:textId="77777777" w:rsidR="00D63930" w:rsidRDefault="00D63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8C293" w14:textId="77777777" w:rsidR="00E96060" w:rsidRDefault="00E96060" w:rsidP="00A73E68">
      <w:pPr>
        <w:spacing w:after="0" w:line="240" w:lineRule="auto"/>
      </w:pPr>
      <w:r>
        <w:separator/>
      </w:r>
    </w:p>
  </w:footnote>
  <w:footnote w:type="continuationSeparator" w:id="0">
    <w:p w14:paraId="2F8C54C0" w14:textId="77777777" w:rsidR="00E96060" w:rsidRDefault="00E96060" w:rsidP="00A73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4EEC" w14:textId="4772EA91" w:rsidR="00D63930" w:rsidRDefault="00E96060">
    <w:pPr>
      <w:pStyle w:val="Header"/>
    </w:pPr>
    <w:r>
      <w:rPr>
        <w:noProof/>
      </w:rPr>
      <w:pict w14:anchorId="57CBF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498454" o:spid="_x0000_s2050" type="#_x0000_t136" style="position:absolute;margin-left:0;margin-top:0;width:620.7pt;height:117.0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FD91D" w14:textId="1DEAFDCE" w:rsidR="00D63930" w:rsidRDefault="00E96060">
    <w:pPr>
      <w:pStyle w:val="Header"/>
    </w:pPr>
    <w:r>
      <w:rPr>
        <w:noProof/>
      </w:rPr>
      <w:pict w14:anchorId="431BD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498455" o:spid="_x0000_s2051" type="#_x0000_t136" style="position:absolute;margin-left:0;margin-top:0;width:620.7pt;height:117.0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A6B09" w14:textId="19B0F66C" w:rsidR="00D63930" w:rsidRDefault="00E96060">
    <w:pPr>
      <w:pStyle w:val="Header"/>
    </w:pPr>
    <w:r>
      <w:rPr>
        <w:noProof/>
      </w:rPr>
      <w:pict w14:anchorId="3A70E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498453" o:spid="_x0000_s2049" type="#_x0000_t136" style="position:absolute;margin-left:0;margin-top:0;width:620.7pt;height:117.0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4"/>
    <w:multiLevelType w:val="multilevel"/>
    <w:tmpl w:val="359AA54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572F5CC2"/>
    <w:multiLevelType w:val="hybridMultilevel"/>
    <w:tmpl w:val="AC6E84AC"/>
    <w:lvl w:ilvl="0" w:tplc="46B855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30"/>
    <w:rsid w:val="00000A47"/>
    <w:rsid w:val="000319F3"/>
    <w:rsid w:val="00037B99"/>
    <w:rsid w:val="00052071"/>
    <w:rsid w:val="00056794"/>
    <w:rsid w:val="0007317E"/>
    <w:rsid w:val="00094790"/>
    <w:rsid w:val="000A0155"/>
    <w:rsid w:val="000A1ED1"/>
    <w:rsid w:val="000A604D"/>
    <w:rsid w:val="000B74BB"/>
    <w:rsid w:val="000E6F1F"/>
    <w:rsid w:val="00101819"/>
    <w:rsid w:val="001757A8"/>
    <w:rsid w:val="0018368E"/>
    <w:rsid w:val="001B7358"/>
    <w:rsid w:val="001B79BB"/>
    <w:rsid w:val="00203721"/>
    <w:rsid w:val="00203E84"/>
    <w:rsid w:val="0022287D"/>
    <w:rsid w:val="002319F9"/>
    <w:rsid w:val="00284830"/>
    <w:rsid w:val="002A17D4"/>
    <w:rsid w:val="002B77D1"/>
    <w:rsid w:val="002C1B99"/>
    <w:rsid w:val="003435B9"/>
    <w:rsid w:val="003437B2"/>
    <w:rsid w:val="003C2BCD"/>
    <w:rsid w:val="003E2436"/>
    <w:rsid w:val="0040503A"/>
    <w:rsid w:val="00414519"/>
    <w:rsid w:val="00415CEB"/>
    <w:rsid w:val="00426B13"/>
    <w:rsid w:val="00440827"/>
    <w:rsid w:val="00466B13"/>
    <w:rsid w:val="004F6942"/>
    <w:rsid w:val="00524795"/>
    <w:rsid w:val="005561F5"/>
    <w:rsid w:val="005D57A5"/>
    <w:rsid w:val="005E7C85"/>
    <w:rsid w:val="006363E2"/>
    <w:rsid w:val="00674157"/>
    <w:rsid w:val="006B5A05"/>
    <w:rsid w:val="006E69E4"/>
    <w:rsid w:val="00715BC3"/>
    <w:rsid w:val="00721DF1"/>
    <w:rsid w:val="007529DB"/>
    <w:rsid w:val="007611F6"/>
    <w:rsid w:val="00787469"/>
    <w:rsid w:val="00787939"/>
    <w:rsid w:val="007B344C"/>
    <w:rsid w:val="007B4691"/>
    <w:rsid w:val="007E3B4C"/>
    <w:rsid w:val="007F5F4D"/>
    <w:rsid w:val="00810ECC"/>
    <w:rsid w:val="00824680"/>
    <w:rsid w:val="00825CD8"/>
    <w:rsid w:val="008D3287"/>
    <w:rsid w:val="009350EE"/>
    <w:rsid w:val="0094700D"/>
    <w:rsid w:val="00947D1F"/>
    <w:rsid w:val="00964F6D"/>
    <w:rsid w:val="00976056"/>
    <w:rsid w:val="009C12AD"/>
    <w:rsid w:val="00A0040F"/>
    <w:rsid w:val="00A1083E"/>
    <w:rsid w:val="00A52644"/>
    <w:rsid w:val="00A648A1"/>
    <w:rsid w:val="00A73E68"/>
    <w:rsid w:val="00A8540A"/>
    <w:rsid w:val="00A91CDE"/>
    <w:rsid w:val="00AB183E"/>
    <w:rsid w:val="00AC08C7"/>
    <w:rsid w:val="00AE17D4"/>
    <w:rsid w:val="00AF2770"/>
    <w:rsid w:val="00B11A04"/>
    <w:rsid w:val="00B14842"/>
    <w:rsid w:val="00B25865"/>
    <w:rsid w:val="00B51853"/>
    <w:rsid w:val="00B53E8B"/>
    <w:rsid w:val="00B6306E"/>
    <w:rsid w:val="00B81743"/>
    <w:rsid w:val="00B81E59"/>
    <w:rsid w:val="00BE3CB9"/>
    <w:rsid w:val="00C53C81"/>
    <w:rsid w:val="00C83BBD"/>
    <w:rsid w:val="00C91E46"/>
    <w:rsid w:val="00CA5462"/>
    <w:rsid w:val="00CE4F82"/>
    <w:rsid w:val="00CE5175"/>
    <w:rsid w:val="00D12272"/>
    <w:rsid w:val="00D162DD"/>
    <w:rsid w:val="00D63930"/>
    <w:rsid w:val="00DA0801"/>
    <w:rsid w:val="00DA3EAA"/>
    <w:rsid w:val="00DF71AF"/>
    <w:rsid w:val="00E035C0"/>
    <w:rsid w:val="00E13ABF"/>
    <w:rsid w:val="00E54095"/>
    <w:rsid w:val="00E96060"/>
    <w:rsid w:val="00EA3A08"/>
    <w:rsid w:val="00EB4148"/>
    <w:rsid w:val="00EE35A9"/>
    <w:rsid w:val="00F505AA"/>
    <w:rsid w:val="00FD3AE4"/>
    <w:rsid w:val="00FD4C38"/>
    <w:rsid w:val="00FE078F"/>
    <w:rsid w:val="00FE2F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8A7109"/>
  <w15:chartTrackingRefBased/>
  <w15:docId w15:val="{B957BFDA-7F93-406E-81F9-D46A81B67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228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48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284830"/>
    <w:rPr>
      <w:color w:val="0000FF"/>
      <w:u w:val="single"/>
    </w:rPr>
  </w:style>
  <w:style w:type="paragraph" w:styleId="Caption">
    <w:name w:val="caption"/>
    <w:basedOn w:val="Normal"/>
    <w:next w:val="Normal"/>
    <w:uiPriority w:val="35"/>
    <w:qFormat/>
    <w:rsid w:val="00B81743"/>
    <w:pPr>
      <w:spacing w:after="0" w:line="360" w:lineRule="auto"/>
      <w:jc w:val="both"/>
      <w:outlineLvl w:val="0"/>
    </w:pPr>
    <w:rPr>
      <w:rFonts w:ascii="Calibri" w:eastAsia="Calibri" w:hAnsi="Calibri" w:cs="Calibri"/>
      <w:b/>
      <w:bCs/>
    </w:rPr>
  </w:style>
  <w:style w:type="table" w:customStyle="1" w:styleId="ListTable6Colorful12">
    <w:name w:val="List Table 6 Colorful12"/>
    <w:basedOn w:val="TableNormal"/>
    <w:uiPriority w:val="51"/>
    <w:rsid w:val="00B81743"/>
    <w:pPr>
      <w:spacing w:after="0" w:line="240" w:lineRule="auto"/>
    </w:pPr>
    <w:rPr>
      <w:rFonts w:ascii="Calibri" w:eastAsia="Calibri" w:hAnsi="Calibri"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01">
    <w:name w:val="fontstyle01"/>
    <w:basedOn w:val="DefaultParagraphFont"/>
    <w:rsid w:val="000A604D"/>
    <w:rPr>
      <w:rFonts w:ascii="TimesNewRomanPSMT" w:eastAsia="TimesNewRomanPSMT" w:hAnsi="TimesNewRomanPSMT" w:hint="eastAsia"/>
      <w:b w:val="0"/>
      <w:bCs w:val="0"/>
      <w:i w:val="0"/>
      <w:iCs w:val="0"/>
      <w:color w:val="000000"/>
      <w:sz w:val="24"/>
      <w:szCs w:val="24"/>
    </w:rPr>
  </w:style>
  <w:style w:type="paragraph" w:styleId="Header">
    <w:name w:val="header"/>
    <w:basedOn w:val="Normal"/>
    <w:link w:val="HeaderChar"/>
    <w:uiPriority w:val="99"/>
    <w:unhideWhenUsed/>
    <w:rsid w:val="00A73E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73E68"/>
  </w:style>
  <w:style w:type="paragraph" w:styleId="Footer">
    <w:name w:val="footer"/>
    <w:basedOn w:val="Normal"/>
    <w:link w:val="FooterChar"/>
    <w:uiPriority w:val="99"/>
    <w:unhideWhenUsed/>
    <w:rsid w:val="00A73E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73E68"/>
  </w:style>
  <w:style w:type="paragraph" w:customStyle="1" w:styleId="Default">
    <w:name w:val="Default"/>
    <w:rsid w:val="00A73E68"/>
    <w:pPr>
      <w:autoSpaceDE w:val="0"/>
      <w:autoSpaceDN w:val="0"/>
      <w:adjustRightInd w:val="0"/>
      <w:spacing w:after="0" w:line="240" w:lineRule="auto"/>
    </w:pPr>
    <w:rPr>
      <w:rFonts w:ascii="Times New Roman" w:eastAsia="Calibri" w:hAnsi="Times New Roman" w:cs="Times New Roman"/>
      <w:color w:val="000000"/>
      <w:sz w:val="24"/>
      <w:szCs w:val="24"/>
      <w:lang w:eastAsia="fr-FR"/>
    </w:rPr>
  </w:style>
  <w:style w:type="character" w:customStyle="1" w:styleId="full-name">
    <w:name w:val="full-name"/>
    <w:basedOn w:val="DefaultParagraphFont"/>
    <w:rsid w:val="00824680"/>
  </w:style>
  <w:style w:type="character" w:customStyle="1" w:styleId="comma">
    <w:name w:val="comma"/>
    <w:basedOn w:val="DefaultParagraphFont"/>
    <w:rsid w:val="00824680"/>
  </w:style>
  <w:style w:type="character" w:customStyle="1" w:styleId="Heading2Char">
    <w:name w:val="Heading 2 Char"/>
    <w:basedOn w:val="DefaultParagraphFont"/>
    <w:link w:val="Heading2"/>
    <w:uiPriority w:val="9"/>
    <w:rsid w:val="0022287D"/>
    <w:rPr>
      <w:rFonts w:asciiTheme="majorHAnsi" w:eastAsiaTheme="majorEastAsia" w:hAnsiTheme="majorHAnsi" w:cstheme="majorBidi"/>
      <w:color w:val="2F5496" w:themeColor="accent1" w:themeShade="BF"/>
      <w:sz w:val="26"/>
      <w:szCs w:val="26"/>
    </w:rPr>
  </w:style>
  <w:style w:type="character" w:customStyle="1" w:styleId="anchor-text">
    <w:name w:val="anchor-text"/>
    <w:basedOn w:val="DefaultParagraphFont"/>
    <w:rsid w:val="0022287D"/>
  </w:style>
  <w:style w:type="character" w:customStyle="1" w:styleId="react-xocs-alternative-link">
    <w:name w:val="react-xocs-alternative-link"/>
    <w:basedOn w:val="DefaultParagraphFont"/>
    <w:rsid w:val="0022287D"/>
  </w:style>
  <w:style w:type="character" w:customStyle="1" w:styleId="given-name">
    <w:name w:val="given-name"/>
    <w:basedOn w:val="DefaultParagraphFont"/>
    <w:rsid w:val="0022287D"/>
  </w:style>
  <w:style w:type="character" w:customStyle="1" w:styleId="text">
    <w:name w:val="text"/>
    <w:basedOn w:val="DefaultParagraphFont"/>
    <w:rsid w:val="0022287D"/>
  </w:style>
  <w:style w:type="character" w:customStyle="1" w:styleId="name">
    <w:name w:val="name"/>
    <w:basedOn w:val="DefaultParagraphFont"/>
    <w:rsid w:val="00B51853"/>
  </w:style>
  <w:style w:type="paragraph" w:styleId="ListParagraph">
    <w:name w:val="List Paragraph"/>
    <w:basedOn w:val="Normal"/>
    <w:uiPriority w:val="34"/>
    <w:qFormat/>
    <w:rsid w:val="00B51853"/>
    <w:pPr>
      <w:ind w:left="720"/>
      <w:contextualSpacing/>
    </w:pPr>
  </w:style>
  <w:style w:type="character" w:styleId="UnresolvedMention">
    <w:name w:val="Unresolved Mention"/>
    <w:basedOn w:val="DefaultParagraphFont"/>
    <w:uiPriority w:val="99"/>
    <w:semiHidden/>
    <w:unhideWhenUsed/>
    <w:rsid w:val="00203721"/>
    <w:rPr>
      <w:color w:val="605E5C"/>
      <w:shd w:val="clear" w:color="auto" w:fill="E1DFDD"/>
    </w:rPr>
  </w:style>
  <w:style w:type="character" w:styleId="Emphasis">
    <w:name w:val="Emphasis"/>
    <w:basedOn w:val="DefaultParagraphFont"/>
    <w:uiPriority w:val="20"/>
    <w:qFormat/>
    <w:rsid w:val="0094700D"/>
    <w:rPr>
      <w:i/>
      <w:iCs/>
    </w:rPr>
  </w:style>
  <w:style w:type="character" w:styleId="FollowedHyperlink">
    <w:name w:val="FollowedHyperlink"/>
    <w:basedOn w:val="DefaultParagraphFont"/>
    <w:uiPriority w:val="99"/>
    <w:semiHidden/>
    <w:unhideWhenUsed/>
    <w:rsid w:val="00CE51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70884">
      <w:bodyDiv w:val="1"/>
      <w:marLeft w:val="0"/>
      <w:marRight w:val="0"/>
      <w:marTop w:val="0"/>
      <w:marBottom w:val="0"/>
      <w:divBdr>
        <w:top w:val="none" w:sz="0" w:space="0" w:color="auto"/>
        <w:left w:val="none" w:sz="0" w:space="0" w:color="auto"/>
        <w:bottom w:val="none" w:sz="0" w:space="0" w:color="auto"/>
        <w:right w:val="none" w:sz="0" w:space="0" w:color="auto"/>
      </w:divBdr>
    </w:div>
    <w:div w:id="161093738">
      <w:bodyDiv w:val="1"/>
      <w:marLeft w:val="0"/>
      <w:marRight w:val="0"/>
      <w:marTop w:val="0"/>
      <w:marBottom w:val="0"/>
      <w:divBdr>
        <w:top w:val="none" w:sz="0" w:space="0" w:color="auto"/>
        <w:left w:val="none" w:sz="0" w:space="0" w:color="auto"/>
        <w:bottom w:val="none" w:sz="0" w:space="0" w:color="auto"/>
        <w:right w:val="none" w:sz="0" w:space="0" w:color="auto"/>
      </w:divBdr>
    </w:div>
    <w:div w:id="173999672">
      <w:bodyDiv w:val="1"/>
      <w:marLeft w:val="0"/>
      <w:marRight w:val="0"/>
      <w:marTop w:val="0"/>
      <w:marBottom w:val="0"/>
      <w:divBdr>
        <w:top w:val="none" w:sz="0" w:space="0" w:color="auto"/>
        <w:left w:val="none" w:sz="0" w:space="0" w:color="auto"/>
        <w:bottom w:val="none" w:sz="0" w:space="0" w:color="auto"/>
        <w:right w:val="none" w:sz="0" w:space="0" w:color="auto"/>
      </w:divBdr>
    </w:div>
    <w:div w:id="205336654">
      <w:bodyDiv w:val="1"/>
      <w:marLeft w:val="0"/>
      <w:marRight w:val="0"/>
      <w:marTop w:val="0"/>
      <w:marBottom w:val="0"/>
      <w:divBdr>
        <w:top w:val="none" w:sz="0" w:space="0" w:color="auto"/>
        <w:left w:val="none" w:sz="0" w:space="0" w:color="auto"/>
        <w:bottom w:val="none" w:sz="0" w:space="0" w:color="auto"/>
        <w:right w:val="none" w:sz="0" w:space="0" w:color="auto"/>
      </w:divBdr>
    </w:div>
    <w:div w:id="256064033">
      <w:bodyDiv w:val="1"/>
      <w:marLeft w:val="0"/>
      <w:marRight w:val="0"/>
      <w:marTop w:val="0"/>
      <w:marBottom w:val="0"/>
      <w:divBdr>
        <w:top w:val="none" w:sz="0" w:space="0" w:color="auto"/>
        <w:left w:val="none" w:sz="0" w:space="0" w:color="auto"/>
        <w:bottom w:val="none" w:sz="0" w:space="0" w:color="auto"/>
        <w:right w:val="none" w:sz="0" w:space="0" w:color="auto"/>
      </w:divBdr>
    </w:div>
    <w:div w:id="288631859">
      <w:bodyDiv w:val="1"/>
      <w:marLeft w:val="0"/>
      <w:marRight w:val="0"/>
      <w:marTop w:val="0"/>
      <w:marBottom w:val="0"/>
      <w:divBdr>
        <w:top w:val="none" w:sz="0" w:space="0" w:color="auto"/>
        <w:left w:val="none" w:sz="0" w:space="0" w:color="auto"/>
        <w:bottom w:val="none" w:sz="0" w:space="0" w:color="auto"/>
        <w:right w:val="none" w:sz="0" w:space="0" w:color="auto"/>
      </w:divBdr>
    </w:div>
    <w:div w:id="311830103">
      <w:bodyDiv w:val="1"/>
      <w:marLeft w:val="0"/>
      <w:marRight w:val="0"/>
      <w:marTop w:val="0"/>
      <w:marBottom w:val="0"/>
      <w:divBdr>
        <w:top w:val="none" w:sz="0" w:space="0" w:color="auto"/>
        <w:left w:val="none" w:sz="0" w:space="0" w:color="auto"/>
        <w:bottom w:val="none" w:sz="0" w:space="0" w:color="auto"/>
        <w:right w:val="none" w:sz="0" w:space="0" w:color="auto"/>
      </w:divBdr>
    </w:div>
    <w:div w:id="318047812">
      <w:bodyDiv w:val="1"/>
      <w:marLeft w:val="0"/>
      <w:marRight w:val="0"/>
      <w:marTop w:val="0"/>
      <w:marBottom w:val="0"/>
      <w:divBdr>
        <w:top w:val="none" w:sz="0" w:space="0" w:color="auto"/>
        <w:left w:val="none" w:sz="0" w:space="0" w:color="auto"/>
        <w:bottom w:val="none" w:sz="0" w:space="0" w:color="auto"/>
        <w:right w:val="none" w:sz="0" w:space="0" w:color="auto"/>
      </w:divBdr>
    </w:div>
    <w:div w:id="343895883">
      <w:bodyDiv w:val="1"/>
      <w:marLeft w:val="0"/>
      <w:marRight w:val="0"/>
      <w:marTop w:val="0"/>
      <w:marBottom w:val="0"/>
      <w:divBdr>
        <w:top w:val="none" w:sz="0" w:space="0" w:color="auto"/>
        <w:left w:val="none" w:sz="0" w:space="0" w:color="auto"/>
        <w:bottom w:val="none" w:sz="0" w:space="0" w:color="auto"/>
        <w:right w:val="none" w:sz="0" w:space="0" w:color="auto"/>
      </w:divBdr>
    </w:div>
    <w:div w:id="367266881">
      <w:bodyDiv w:val="1"/>
      <w:marLeft w:val="0"/>
      <w:marRight w:val="0"/>
      <w:marTop w:val="0"/>
      <w:marBottom w:val="0"/>
      <w:divBdr>
        <w:top w:val="none" w:sz="0" w:space="0" w:color="auto"/>
        <w:left w:val="none" w:sz="0" w:space="0" w:color="auto"/>
        <w:bottom w:val="none" w:sz="0" w:space="0" w:color="auto"/>
        <w:right w:val="none" w:sz="0" w:space="0" w:color="auto"/>
      </w:divBdr>
    </w:div>
    <w:div w:id="370494196">
      <w:bodyDiv w:val="1"/>
      <w:marLeft w:val="0"/>
      <w:marRight w:val="0"/>
      <w:marTop w:val="0"/>
      <w:marBottom w:val="0"/>
      <w:divBdr>
        <w:top w:val="none" w:sz="0" w:space="0" w:color="auto"/>
        <w:left w:val="none" w:sz="0" w:space="0" w:color="auto"/>
        <w:bottom w:val="none" w:sz="0" w:space="0" w:color="auto"/>
        <w:right w:val="none" w:sz="0" w:space="0" w:color="auto"/>
      </w:divBdr>
    </w:div>
    <w:div w:id="485248798">
      <w:bodyDiv w:val="1"/>
      <w:marLeft w:val="0"/>
      <w:marRight w:val="0"/>
      <w:marTop w:val="0"/>
      <w:marBottom w:val="0"/>
      <w:divBdr>
        <w:top w:val="none" w:sz="0" w:space="0" w:color="auto"/>
        <w:left w:val="none" w:sz="0" w:space="0" w:color="auto"/>
        <w:bottom w:val="none" w:sz="0" w:space="0" w:color="auto"/>
        <w:right w:val="none" w:sz="0" w:space="0" w:color="auto"/>
      </w:divBdr>
    </w:div>
    <w:div w:id="493105203">
      <w:bodyDiv w:val="1"/>
      <w:marLeft w:val="0"/>
      <w:marRight w:val="0"/>
      <w:marTop w:val="0"/>
      <w:marBottom w:val="0"/>
      <w:divBdr>
        <w:top w:val="none" w:sz="0" w:space="0" w:color="auto"/>
        <w:left w:val="none" w:sz="0" w:space="0" w:color="auto"/>
        <w:bottom w:val="none" w:sz="0" w:space="0" w:color="auto"/>
        <w:right w:val="none" w:sz="0" w:space="0" w:color="auto"/>
      </w:divBdr>
    </w:div>
    <w:div w:id="635913343">
      <w:bodyDiv w:val="1"/>
      <w:marLeft w:val="0"/>
      <w:marRight w:val="0"/>
      <w:marTop w:val="0"/>
      <w:marBottom w:val="0"/>
      <w:divBdr>
        <w:top w:val="none" w:sz="0" w:space="0" w:color="auto"/>
        <w:left w:val="none" w:sz="0" w:space="0" w:color="auto"/>
        <w:bottom w:val="none" w:sz="0" w:space="0" w:color="auto"/>
        <w:right w:val="none" w:sz="0" w:space="0" w:color="auto"/>
      </w:divBdr>
    </w:div>
    <w:div w:id="702369614">
      <w:bodyDiv w:val="1"/>
      <w:marLeft w:val="0"/>
      <w:marRight w:val="0"/>
      <w:marTop w:val="0"/>
      <w:marBottom w:val="0"/>
      <w:divBdr>
        <w:top w:val="none" w:sz="0" w:space="0" w:color="auto"/>
        <w:left w:val="none" w:sz="0" w:space="0" w:color="auto"/>
        <w:bottom w:val="none" w:sz="0" w:space="0" w:color="auto"/>
        <w:right w:val="none" w:sz="0" w:space="0" w:color="auto"/>
      </w:divBdr>
    </w:div>
    <w:div w:id="757483317">
      <w:bodyDiv w:val="1"/>
      <w:marLeft w:val="0"/>
      <w:marRight w:val="0"/>
      <w:marTop w:val="0"/>
      <w:marBottom w:val="0"/>
      <w:divBdr>
        <w:top w:val="none" w:sz="0" w:space="0" w:color="auto"/>
        <w:left w:val="none" w:sz="0" w:space="0" w:color="auto"/>
        <w:bottom w:val="none" w:sz="0" w:space="0" w:color="auto"/>
        <w:right w:val="none" w:sz="0" w:space="0" w:color="auto"/>
      </w:divBdr>
    </w:div>
    <w:div w:id="808590127">
      <w:bodyDiv w:val="1"/>
      <w:marLeft w:val="0"/>
      <w:marRight w:val="0"/>
      <w:marTop w:val="0"/>
      <w:marBottom w:val="0"/>
      <w:divBdr>
        <w:top w:val="none" w:sz="0" w:space="0" w:color="auto"/>
        <w:left w:val="none" w:sz="0" w:space="0" w:color="auto"/>
        <w:bottom w:val="none" w:sz="0" w:space="0" w:color="auto"/>
        <w:right w:val="none" w:sz="0" w:space="0" w:color="auto"/>
      </w:divBdr>
    </w:div>
    <w:div w:id="910312914">
      <w:bodyDiv w:val="1"/>
      <w:marLeft w:val="0"/>
      <w:marRight w:val="0"/>
      <w:marTop w:val="0"/>
      <w:marBottom w:val="0"/>
      <w:divBdr>
        <w:top w:val="none" w:sz="0" w:space="0" w:color="auto"/>
        <w:left w:val="none" w:sz="0" w:space="0" w:color="auto"/>
        <w:bottom w:val="none" w:sz="0" w:space="0" w:color="auto"/>
        <w:right w:val="none" w:sz="0" w:space="0" w:color="auto"/>
      </w:divBdr>
    </w:div>
    <w:div w:id="925961949">
      <w:bodyDiv w:val="1"/>
      <w:marLeft w:val="0"/>
      <w:marRight w:val="0"/>
      <w:marTop w:val="0"/>
      <w:marBottom w:val="0"/>
      <w:divBdr>
        <w:top w:val="none" w:sz="0" w:space="0" w:color="auto"/>
        <w:left w:val="none" w:sz="0" w:space="0" w:color="auto"/>
        <w:bottom w:val="none" w:sz="0" w:space="0" w:color="auto"/>
        <w:right w:val="none" w:sz="0" w:space="0" w:color="auto"/>
      </w:divBdr>
    </w:div>
    <w:div w:id="943608359">
      <w:bodyDiv w:val="1"/>
      <w:marLeft w:val="0"/>
      <w:marRight w:val="0"/>
      <w:marTop w:val="0"/>
      <w:marBottom w:val="0"/>
      <w:divBdr>
        <w:top w:val="none" w:sz="0" w:space="0" w:color="auto"/>
        <w:left w:val="none" w:sz="0" w:space="0" w:color="auto"/>
        <w:bottom w:val="none" w:sz="0" w:space="0" w:color="auto"/>
        <w:right w:val="none" w:sz="0" w:space="0" w:color="auto"/>
      </w:divBdr>
    </w:div>
    <w:div w:id="943923722">
      <w:bodyDiv w:val="1"/>
      <w:marLeft w:val="0"/>
      <w:marRight w:val="0"/>
      <w:marTop w:val="0"/>
      <w:marBottom w:val="0"/>
      <w:divBdr>
        <w:top w:val="none" w:sz="0" w:space="0" w:color="auto"/>
        <w:left w:val="none" w:sz="0" w:space="0" w:color="auto"/>
        <w:bottom w:val="none" w:sz="0" w:space="0" w:color="auto"/>
        <w:right w:val="none" w:sz="0" w:space="0" w:color="auto"/>
      </w:divBdr>
    </w:div>
    <w:div w:id="979842113">
      <w:bodyDiv w:val="1"/>
      <w:marLeft w:val="0"/>
      <w:marRight w:val="0"/>
      <w:marTop w:val="0"/>
      <w:marBottom w:val="0"/>
      <w:divBdr>
        <w:top w:val="none" w:sz="0" w:space="0" w:color="auto"/>
        <w:left w:val="none" w:sz="0" w:space="0" w:color="auto"/>
        <w:bottom w:val="none" w:sz="0" w:space="0" w:color="auto"/>
        <w:right w:val="none" w:sz="0" w:space="0" w:color="auto"/>
      </w:divBdr>
    </w:div>
    <w:div w:id="992366501">
      <w:bodyDiv w:val="1"/>
      <w:marLeft w:val="0"/>
      <w:marRight w:val="0"/>
      <w:marTop w:val="0"/>
      <w:marBottom w:val="0"/>
      <w:divBdr>
        <w:top w:val="none" w:sz="0" w:space="0" w:color="auto"/>
        <w:left w:val="none" w:sz="0" w:space="0" w:color="auto"/>
        <w:bottom w:val="none" w:sz="0" w:space="0" w:color="auto"/>
        <w:right w:val="none" w:sz="0" w:space="0" w:color="auto"/>
      </w:divBdr>
    </w:div>
    <w:div w:id="1035538563">
      <w:bodyDiv w:val="1"/>
      <w:marLeft w:val="0"/>
      <w:marRight w:val="0"/>
      <w:marTop w:val="0"/>
      <w:marBottom w:val="0"/>
      <w:divBdr>
        <w:top w:val="none" w:sz="0" w:space="0" w:color="auto"/>
        <w:left w:val="none" w:sz="0" w:space="0" w:color="auto"/>
        <w:bottom w:val="none" w:sz="0" w:space="0" w:color="auto"/>
        <w:right w:val="none" w:sz="0" w:space="0" w:color="auto"/>
      </w:divBdr>
    </w:div>
    <w:div w:id="1088385777">
      <w:bodyDiv w:val="1"/>
      <w:marLeft w:val="0"/>
      <w:marRight w:val="0"/>
      <w:marTop w:val="0"/>
      <w:marBottom w:val="0"/>
      <w:divBdr>
        <w:top w:val="none" w:sz="0" w:space="0" w:color="auto"/>
        <w:left w:val="none" w:sz="0" w:space="0" w:color="auto"/>
        <w:bottom w:val="none" w:sz="0" w:space="0" w:color="auto"/>
        <w:right w:val="none" w:sz="0" w:space="0" w:color="auto"/>
      </w:divBdr>
    </w:div>
    <w:div w:id="1100565450">
      <w:bodyDiv w:val="1"/>
      <w:marLeft w:val="0"/>
      <w:marRight w:val="0"/>
      <w:marTop w:val="0"/>
      <w:marBottom w:val="0"/>
      <w:divBdr>
        <w:top w:val="none" w:sz="0" w:space="0" w:color="auto"/>
        <w:left w:val="none" w:sz="0" w:space="0" w:color="auto"/>
        <w:bottom w:val="none" w:sz="0" w:space="0" w:color="auto"/>
        <w:right w:val="none" w:sz="0" w:space="0" w:color="auto"/>
      </w:divBdr>
    </w:div>
    <w:div w:id="1146510106">
      <w:bodyDiv w:val="1"/>
      <w:marLeft w:val="0"/>
      <w:marRight w:val="0"/>
      <w:marTop w:val="0"/>
      <w:marBottom w:val="0"/>
      <w:divBdr>
        <w:top w:val="none" w:sz="0" w:space="0" w:color="auto"/>
        <w:left w:val="none" w:sz="0" w:space="0" w:color="auto"/>
        <w:bottom w:val="none" w:sz="0" w:space="0" w:color="auto"/>
        <w:right w:val="none" w:sz="0" w:space="0" w:color="auto"/>
      </w:divBdr>
    </w:div>
    <w:div w:id="1162351946">
      <w:bodyDiv w:val="1"/>
      <w:marLeft w:val="0"/>
      <w:marRight w:val="0"/>
      <w:marTop w:val="0"/>
      <w:marBottom w:val="0"/>
      <w:divBdr>
        <w:top w:val="none" w:sz="0" w:space="0" w:color="auto"/>
        <w:left w:val="none" w:sz="0" w:space="0" w:color="auto"/>
        <w:bottom w:val="none" w:sz="0" w:space="0" w:color="auto"/>
        <w:right w:val="none" w:sz="0" w:space="0" w:color="auto"/>
      </w:divBdr>
    </w:div>
    <w:div w:id="1348867349">
      <w:bodyDiv w:val="1"/>
      <w:marLeft w:val="0"/>
      <w:marRight w:val="0"/>
      <w:marTop w:val="0"/>
      <w:marBottom w:val="0"/>
      <w:divBdr>
        <w:top w:val="none" w:sz="0" w:space="0" w:color="auto"/>
        <w:left w:val="none" w:sz="0" w:space="0" w:color="auto"/>
        <w:bottom w:val="none" w:sz="0" w:space="0" w:color="auto"/>
        <w:right w:val="none" w:sz="0" w:space="0" w:color="auto"/>
      </w:divBdr>
    </w:div>
    <w:div w:id="1415979866">
      <w:bodyDiv w:val="1"/>
      <w:marLeft w:val="0"/>
      <w:marRight w:val="0"/>
      <w:marTop w:val="0"/>
      <w:marBottom w:val="0"/>
      <w:divBdr>
        <w:top w:val="none" w:sz="0" w:space="0" w:color="auto"/>
        <w:left w:val="none" w:sz="0" w:space="0" w:color="auto"/>
        <w:bottom w:val="none" w:sz="0" w:space="0" w:color="auto"/>
        <w:right w:val="none" w:sz="0" w:space="0" w:color="auto"/>
      </w:divBdr>
    </w:div>
    <w:div w:id="1427577555">
      <w:bodyDiv w:val="1"/>
      <w:marLeft w:val="0"/>
      <w:marRight w:val="0"/>
      <w:marTop w:val="0"/>
      <w:marBottom w:val="0"/>
      <w:divBdr>
        <w:top w:val="none" w:sz="0" w:space="0" w:color="auto"/>
        <w:left w:val="none" w:sz="0" w:space="0" w:color="auto"/>
        <w:bottom w:val="none" w:sz="0" w:space="0" w:color="auto"/>
        <w:right w:val="none" w:sz="0" w:space="0" w:color="auto"/>
      </w:divBdr>
    </w:div>
    <w:div w:id="1550144312">
      <w:bodyDiv w:val="1"/>
      <w:marLeft w:val="0"/>
      <w:marRight w:val="0"/>
      <w:marTop w:val="0"/>
      <w:marBottom w:val="0"/>
      <w:divBdr>
        <w:top w:val="none" w:sz="0" w:space="0" w:color="auto"/>
        <w:left w:val="none" w:sz="0" w:space="0" w:color="auto"/>
        <w:bottom w:val="none" w:sz="0" w:space="0" w:color="auto"/>
        <w:right w:val="none" w:sz="0" w:space="0" w:color="auto"/>
      </w:divBdr>
    </w:div>
    <w:div w:id="1584951087">
      <w:bodyDiv w:val="1"/>
      <w:marLeft w:val="0"/>
      <w:marRight w:val="0"/>
      <w:marTop w:val="0"/>
      <w:marBottom w:val="0"/>
      <w:divBdr>
        <w:top w:val="none" w:sz="0" w:space="0" w:color="auto"/>
        <w:left w:val="none" w:sz="0" w:space="0" w:color="auto"/>
        <w:bottom w:val="none" w:sz="0" w:space="0" w:color="auto"/>
        <w:right w:val="none" w:sz="0" w:space="0" w:color="auto"/>
      </w:divBdr>
    </w:div>
    <w:div w:id="1639452106">
      <w:bodyDiv w:val="1"/>
      <w:marLeft w:val="0"/>
      <w:marRight w:val="0"/>
      <w:marTop w:val="0"/>
      <w:marBottom w:val="0"/>
      <w:divBdr>
        <w:top w:val="none" w:sz="0" w:space="0" w:color="auto"/>
        <w:left w:val="none" w:sz="0" w:space="0" w:color="auto"/>
        <w:bottom w:val="none" w:sz="0" w:space="0" w:color="auto"/>
        <w:right w:val="none" w:sz="0" w:space="0" w:color="auto"/>
      </w:divBdr>
    </w:div>
    <w:div w:id="1640039126">
      <w:bodyDiv w:val="1"/>
      <w:marLeft w:val="0"/>
      <w:marRight w:val="0"/>
      <w:marTop w:val="0"/>
      <w:marBottom w:val="0"/>
      <w:divBdr>
        <w:top w:val="none" w:sz="0" w:space="0" w:color="auto"/>
        <w:left w:val="none" w:sz="0" w:space="0" w:color="auto"/>
        <w:bottom w:val="none" w:sz="0" w:space="0" w:color="auto"/>
        <w:right w:val="none" w:sz="0" w:space="0" w:color="auto"/>
      </w:divBdr>
    </w:div>
    <w:div w:id="1708292266">
      <w:bodyDiv w:val="1"/>
      <w:marLeft w:val="0"/>
      <w:marRight w:val="0"/>
      <w:marTop w:val="0"/>
      <w:marBottom w:val="0"/>
      <w:divBdr>
        <w:top w:val="none" w:sz="0" w:space="0" w:color="auto"/>
        <w:left w:val="none" w:sz="0" w:space="0" w:color="auto"/>
        <w:bottom w:val="none" w:sz="0" w:space="0" w:color="auto"/>
        <w:right w:val="none" w:sz="0" w:space="0" w:color="auto"/>
      </w:divBdr>
    </w:div>
    <w:div w:id="1774782859">
      <w:bodyDiv w:val="1"/>
      <w:marLeft w:val="0"/>
      <w:marRight w:val="0"/>
      <w:marTop w:val="0"/>
      <w:marBottom w:val="0"/>
      <w:divBdr>
        <w:top w:val="none" w:sz="0" w:space="0" w:color="auto"/>
        <w:left w:val="none" w:sz="0" w:space="0" w:color="auto"/>
        <w:bottom w:val="none" w:sz="0" w:space="0" w:color="auto"/>
        <w:right w:val="none" w:sz="0" w:space="0" w:color="auto"/>
      </w:divBdr>
    </w:div>
    <w:div w:id="1833982588">
      <w:bodyDiv w:val="1"/>
      <w:marLeft w:val="0"/>
      <w:marRight w:val="0"/>
      <w:marTop w:val="0"/>
      <w:marBottom w:val="0"/>
      <w:divBdr>
        <w:top w:val="none" w:sz="0" w:space="0" w:color="auto"/>
        <w:left w:val="none" w:sz="0" w:space="0" w:color="auto"/>
        <w:bottom w:val="none" w:sz="0" w:space="0" w:color="auto"/>
        <w:right w:val="none" w:sz="0" w:space="0" w:color="auto"/>
      </w:divBdr>
    </w:div>
    <w:div w:id="1854496539">
      <w:bodyDiv w:val="1"/>
      <w:marLeft w:val="0"/>
      <w:marRight w:val="0"/>
      <w:marTop w:val="0"/>
      <w:marBottom w:val="0"/>
      <w:divBdr>
        <w:top w:val="none" w:sz="0" w:space="0" w:color="auto"/>
        <w:left w:val="none" w:sz="0" w:space="0" w:color="auto"/>
        <w:bottom w:val="none" w:sz="0" w:space="0" w:color="auto"/>
        <w:right w:val="none" w:sz="0" w:space="0" w:color="auto"/>
      </w:divBdr>
    </w:div>
    <w:div w:id="1878196724">
      <w:bodyDiv w:val="1"/>
      <w:marLeft w:val="0"/>
      <w:marRight w:val="0"/>
      <w:marTop w:val="0"/>
      <w:marBottom w:val="0"/>
      <w:divBdr>
        <w:top w:val="none" w:sz="0" w:space="0" w:color="auto"/>
        <w:left w:val="none" w:sz="0" w:space="0" w:color="auto"/>
        <w:bottom w:val="none" w:sz="0" w:space="0" w:color="auto"/>
        <w:right w:val="none" w:sz="0" w:space="0" w:color="auto"/>
      </w:divBdr>
    </w:div>
    <w:div w:id="1886409150">
      <w:bodyDiv w:val="1"/>
      <w:marLeft w:val="0"/>
      <w:marRight w:val="0"/>
      <w:marTop w:val="0"/>
      <w:marBottom w:val="0"/>
      <w:divBdr>
        <w:top w:val="none" w:sz="0" w:space="0" w:color="auto"/>
        <w:left w:val="none" w:sz="0" w:space="0" w:color="auto"/>
        <w:bottom w:val="none" w:sz="0" w:space="0" w:color="auto"/>
        <w:right w:val="none" w:sz="0" w:space="0" w:color="auto"/>
      </w:divBdr>
    </w:div>
    <w:div w:id="1894583430">
      <w:bodyDiv w:val="1"/>
      <w:marLeft w:val="0"/>
      <w:marRight w:val="0"/>
      <w:marTop w:val="0"/>
      <w:marBottom w:val="0"/>
      <w:divBdr>
        <w:top w:val="none" w:sz="0" w:space="0" w:color="auto"/>
        <w:left w:val="none" w:sz="0" w:space="0" w:color="auto"/>
        <w:bottom w:val="none" w:sz="0" w:space="0" w:color="auto"/>
        <w:right w:val="none" w:sz="0" w:space="0" w:color="auto"/>
      </w:divBdr>
    </w:div>
    <w:div w:id="1964731768">
      <w:bodyDiv w:val="1"/>
      <w:marLeft w:val="0"/>
      <w:marRight w:val="0"/>
      <w:marTop w:val="0"/>
      <w:marBottom w:val="0"/>
      <w:divBdr>
        <w:top w:val="none" w:sz="0" w:space="0" w:color="auto"/>
        <w:left w:val="none" w:sz="0" w:space="0" w:color="auto"/>
        <w:bottom w:val="none" w:sz="0" w:space="0" w:color="auto"/>
        <w:right w:val="none" w:sz="0" w:space="0" w:color="auto"/>
      </w:divBdr>
    </w:div>
    <w:div w:id="2008560160">
      <w:bodyDiv w:val="1"/>
      <w:marLeft w:val="0"/>
      <w:marRight w:val="0"/>
      <w:marTop w:val="0"/>
      <w:marBottom w:val="0"/>
      <w:divBdr>
        <w:top w:val="none" w:sz="0" w:space="0" w:color="auto"/>
        <w:left w:val="none" w:sz="0" w:space="0" w:color="auto"/>
        <w:bottom w:val="none" w:sz="0" w:space="0" w:color="auto"/>
        <w:right w:val="none" w:sz="0" w:space="0" w:color="auto"/>
      </w:divBdr>
    </w:div>
    <w:div w:id="202227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281/hsd.v24i9.4774" TargetMode="External"/><Relationship Id="rId18" Type="http://schemas.openxmlformats.org/officeDocument/2006/relationships/hyperlink" Target="https://doi.org/10.1186/s12891-023-06271-7" TargetMode="External"/><Relationship Id="rId26" Type="http://schemas.openxmlformats.org/officeDocument/2006/relationships/hyperlink" Target="https://www.researchgate.net/publication/389270808_Citation_as" TargetMode="External"/><Relationship Id="rId39" Type="http://schemas.openxmlformats.org/officeDocument/2006/relationships/header" Target="header1.xml"/><Relationship Id="rId21" Type="http://schemas.openxmlformats.org/officeDocument/2006/relationships/hyperlink" Target="https://doi.org/10.22271/ortho.2024.v10.i1b.3504" TargetMode="External"/><Relationship Id="rId34" Type="http://schemas.openxmlformats.org/officeDocument/2006/relationships/hyperlink" Target="https://www.researchgate.net/publication/261751703_Cigarette_Smoking_Increases_Complications_Following_Fracture_A_Systematic_Review"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ciencedirect.com/journal/revue-de-chirurgie-orthopedique-et-traumatologique/vol/110/issue/2" TargetMode="External"/><Relationship Id="rId29" Type="http://schemas.openxmlformats.org/officeDocument/2006/relationships/hyperlink" Target="https://doi.org/10.3390/life150405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ubkal.imist.ma/handle/123456789/19973" TargetMode="External"/><Relationship Id="rId24" Type="http://schemas.openxmlformats.org/officeDocument/2006/relationships/hyperlink" Target="https://pubmed.ncbi.nlm.nih.gov/39816786/" TargetMode="External"/><Relationship Id="rId32" Type="http://schemas.openxmlformats.org/officeDocument/2006/relationships/hyperlink" Target="https://doi.org/10.3390/jcm13216484" TargetMode="External"/><Relationship Id="rId37" Type="http://schemas.openxmlformats.org/officeDocument/2006/relationships/hyperlink" Target="https://www.sciencedirect.com/science/article/pii/S187705682500142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iencedirect.com/journal/revue-de-chirurgie-orthopedique-et-traumatologique" TargetMode="External"/><Relationship Id="rId23" Type="http://schemas.openxmlformats.org/officeDocument/2006/relationships/hyperlink" Target="https://doi.org/10.12688/f1000research.11893.1" TargetMode="External"/><Relationship Id="rId28" Type="http://schemas.openxmlformats.org/officeDocument/2006/relationships/hyperlink" Target="https://pubmed.ncbi.nlm.nih.gov/26337195/" TargetMode="External"/><Relationship Id="rId36" Type="http://schemas.openxmlformats.org/officeDocument/2006/relationships/hyperlink" Target="https://doi.org/10.1016/j.otsr.2025.104295" TargetMode="External"/><Relationship Id="rId10" Type="http://schemas.openxmlformats.org/officeDocument/2006/relationships/hyperlink" Target="https://doi.org/10.1016/S0140-6736(20)30925-9" TargetMode="External"/><Relationship Id="rId19" Type="http://schemas.openxmlformats.org/officeDocument/2006/relationships/hyperlink" Target="https://doi.org/10.4236/ojo.2021.119026" TargetMode="External"/><Relationship Id="rId31" Type="http://schemas.openxmlformats.org/officeDocument/2006/relationships/hyperlink" Target="https://doi.org/10.1016/j.jrm.2014.10.004"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sciencedirect.com/science/article/pii/S1169833012002256" TargetMode="External"/><Relationship Id="rId14" Type="http://schemas.openxmlformats.org/officeDocument/2006/relationships/hyperlink" Target="https://vertexaisearch.cloud.google.com/grounding-api-redirect/AUZIYQGiuGP0yTJMgegMpWkuNJYg8k3l738_xs4mGFnXHJRx0yTWQzA2MF06DXPDnGd8HO0ga-gZ-blX3raixegDe9sloX_Go4bWjOP53SeYhdD4JTGwHPNXgt3WnsH4pBqdsfsjSBJU72FfRDf8DrHUMPzHSio" TargetMode="External"/><Relationship Id="rId22" Type="http://schemas.openxmlformats.org/officeDocument/2006/relationships/hyperlink" Target="https://www.hsd-fmsb.org/index.php/hsd/article/view/584" TargetMode="External"/><Relationship Id="rId27" Type="http://schemas.openxmlformats.org/officeDocument/2006/relationships/hyperlink" Target="https://doi.org/10.1016/j.ijscr.2023.107908" TargetMode="External"/><Relationship Id="rId30" Type="http://schemas.openxmlformats.org/officeDocument/2006/relationships/hyperlink" Target="https://pmc.ncbi.nlm.nih.gov/articles/PMC9483057/" TargetMode="External"/><Relationship Id="rId35" Type="http://schemas.openxmlformats.org/officeDocument/2006/relationships/hyperlink" Target="https://pmc.ncbi.nlm.nih.gov/articles/PMC8918437/" TargetMode="External"/><Relationship Id="rId43" Type="http://schemas.openxmlformats.org/officeDocument/2006/relationships/header" Target="header3.xml"/><Relationship Id="rId8" Type="http://schemas.openxmlformats.org/officeDocument/2006/relationships/hyperlink" Target="https://pubmed.ncbi.nlm.nih.gov/8814583/" TargetMode="External"/><Relationship Id="rId3" Type="http://schemas.openxmlformats.org/officeDocument/2006/relationships/styles" Target="styles.xml"/><Relationship Id="rId12" Type="http://schemas.openxmlformats.org/officeDocument/2006/relationships/hyperlink" Target="https://doi.org/10.5281/hsd.v25i4.5537" TargetMode="External"/><Relationship Id="rId17" Type="http://schemas.openxmlformats.org/officeDocument/2006/relationships/hyperlink" Target="https://doi.org/10.1016/j.rcot.2023.04.007" TargetMode="External"/><Relationship Id="rId25" Type="http://schemas.openxmlformats.org/officeDocument/2006/relationships/hyperlink" Target="https://doi.org/10.1016/S0246-0521(06)40322-3" TargetMode="External"/><Relationship Id="rId33" Type="http://schemas.openxmlformats.org/officeDocument/2006/relationships/hyperlink" Target="https://www.mdpi.com/2077-0383/13/21/6484" TargetMode="External"/><Relationship Id="rId38" Type="http://schemas.openxmlformats.org/officeDocument/2006/relationships/hyperlink" Target="https://pubmed.ncbi.nlm.nih.gov/39465540/" TargetMode="External"/><Relationship Id="rId46" Type="http://schemas.openxmlformats.org/officeDocument/2006/relationships/theme" Target="theme/theme1.xml"/><Relationship Id="rId20" Type="http://schemas.openxmlformats.org/officeDocument/2006/relationships/hyperlink" Target="https://doi.org/10.1097/BOT.0000000000002271" TargetMode="External"/><Relationship Id="rId41"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3DB56-5368-482E-9568-CF85575A2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11</Pages>
  <Words>7147</Words>
  <Characters>40740</Characters>
  <Application>Microsoft Office Word</Application>
  <DocSecurity>0</DocSecurity>
  <Lines>339</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Editor-1183</cp:lastModifiedBy>
  <cp:revision>18</cp:revision>
  <dcterms:created xsi:type="dcterms:W3CDTF">2025-11-05T07:17:00Z</dcterms:created>
  <dcterms:modified xsi:type="dcterms:W3CDTF">2025-12-05T09:48:00Z</dcterms:modified>
</cp:coreProperties>
</file>