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61DE0" w14:textId="77777777" w:rsidR="00532944" w:rsidRPr="00175078" w:rsidRDefault="00532944" w:rsidP="00175078">
      <w:pPr>
        <w:pStyle w:val="Title"/>
        <w:spacing w:after="0"/>
        <w:rPr>
          <w:rFonts w:ascii="Arial" w:hAnsi="Arial" w:cs="Arial"/>
          <w:i/>
          <w:iCs/>
          <w:sz w:val="24"/>
          <w:szCs w:val="14"/>
        </w:rPr>
      </w:pPr>
    </w:p>
    <w:p w14:paraId="302A5878" w14:textId="6C3C5809" w:rsidR="00A258C3" w:rsidRPr="00790ADA" w:rsidRDefault="008A7B45" w:rsidP="008A7B45">
      <w:pPr>
        <w:pStyle w:val="Author"/>
        <w:spacing w:line="240" w:lineRule="auto"/>
        <w:rPr>
          <w:rFonts w:ascii="Arial" w:hAnsi="Arial" w:cs="Arial"/>
          <w:sz w:val="36"/>
        </w:rPr>
      </w:pPr>
      <w:r w:rsidRPr="008A7B45">
        <w:rPr>
          <w:rFonts w:ascii="Arial" w:hAnsi="Arial" w:cs="Arial"/>
          <w:bCs/>
          <w:iCs/>
          <w:kern w:val="28"/>
          <w:sz w:val="36"/>
          <w:highlight w:val="yellow"/>
        </w:rPr>
        <w:t>Evaluation of serum Phosphate and Luteinizing Hormone (LH) levels in HIV Patients on ART Attending River State University Teaching Hospital in Port Harcourt</w:t>
      </w:r>
      <w:r w:rsidR="00B00015">
        <w:rPr>
          <w:rFonts w:ascii="Arial" w:hAnsi="Arial" w:cs="Arial"/>
          <w:bCs/>
          <w:iCs/>
          <w:kern w:val="28"/>
          <w:sz w:val="36"/>
          <w:highlight w:val="yellow"/>
        </w:rPr>
        <w:t xml:space="preserve">, </w:t>
      </w:r>
      <w:r w:rsidRPr="008A7B45">
        <w:rPr>
          <w:rFonts w:ascii="Arial" w:hAnsi="Arial" w:cs="Arial"/>
          <w:bCs/>
          <w:iCs/>
          <w:kern w:val="28"/>
          <w:sz w:val="36"/>
          <w:highlight w:val="yellow"/>
        </w:rPr>
        <w:t>Nigeria</w:t>
      </w:r>
    </w:p>
    <w:p w14:paraId="7113F526" w14:textId="77777777" w:rsidR="00790ADA" w:rsidRDefault="00790ADA" w:rsidP="00441B6F">
      <w:pPr>
        <w:pStyle w:val="Affiliation"/>
        <w:spacing w:after="0" w:line="240" w:lineRule="auto"/>
        <w:jc w:val="both"/>
        <w:rPr>
          <w:rFonts w:ascii="Arial" w:hAnsi="Arial" w:cs="Arial"/>
        </w:rPr>
      </w:pPr>
    </w:p>
    <w:p w14:paraId="0371CC46" w14:textId="77777777" w:rsidR="00B01FCD" w:rsidRPr="00FB3A86" w:rsidRDefault="002D2997" w:rsidP="00441B6F">
      <w:pPr>
        <w:pStyle w:val="Copyright"/>
        <w:spacing w:after="0" w:line="240" w:lineRule="auto"/>
        <w:jc w:val="both"/>
        <w:rPr>
          <w:rFonts w:ascii="Arial" w:hAnsi="Arial" w:cs="Arial"/>
        </w:rPr>
        <w:sectPr w:rsidR="00B01FCD" w:rsidRPr="00FB3A86" w:rsidSect="0040001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9F4E19" wp14:editId="2E83F13F">
                <wp:extent cx="5303520" cy="635"/>
                <wp:effectExtent l="0" t="0" r="11430" b="18415"/>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C5D6FD"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GWVHO4AQAAagMAAA4AAABkcnMvZTJvRG9jLnhtbKxTTY/TMBC9I/EfLN9p0q6KIGq6hy7L&#10;ZYGVFn7A1HYSC8djedym/feM3Y+lcEPkMMr4eZ7nvbFX94fRib2JZNG3cj6rpTBeoba+b+WP74/v&#10;PkhBCbwGh9608mhI3q/fvllNoTELHNBpEwWTeGqm0MohpdBUFanBjEAzDMYz2GEcIXEa+0pHmJh9&#10;dNWirt9XE0YdIipDxKsPJ1CuC3/XGZW+dR2ZJFwrubdUYixxW2K1XkHTRwiDVec+4B/aGMF6PvVK&#10;9QAJxC7av6hGqyISdmmmcKyw66wyRQTLmdd/yHkZIJgiht2hcPWJ/h+t+rp/jsJqHp4UHkaekVhI&#10;wbZMgRpGN/45ZmHq4F/CE6qflMHqBs0JBebZTl9QMwXsEhY7Dl0cczULFYdi+PHVdnNIQvHq8q6+&#10;Wy54POoKVtBcSkOk9NngKPJPKylFsP2QNug9jxfjvBwE+ydKpTNoLhX5YI+P1rkMQOO8mFjnx3pZ&#10;lxpCZ3WGM0ix325cFHvIV6V8xQbu5GZfxJ3XJ77BgP50SRJYd064xPmzR9mWk5db1Ee26GIez5O3&#10;3FyY3/NS/vpE1r8AAAD//wMAUEsDBBQABgAIAAAAIQCOAqPy2wAAAAgBAAAPAAAAZHJzL2Rvd25y&#10;ZXYueG1sTI/BTsNADETvSPzDykhcEN1QRBWl2VQIxIkDoeUDnMRNoma9UXbTLH+PywUuI1ljj+fl&#10;u2gHdabJ944NPKwSUMS1a3puDXwd3u5TUD4gNzg4JgPf5GFXXF/lmDVu4U8670OrJIR9hga6EMZM&#10;a193ZNGv3Egs3tFNFoOMU6ubCRcJt4NeJ8lGW+xZPnQ40ktH9Wk/WwPxY8MhlmmsFp7ffXpXRrSl&#10;Mbc38XUr8rwFFSiGvwu4MEh/KKRY5WZuvBoMCE34VfHSx6c1qOqypHSR6/8AxQ8AAAD//wMAUEsB&#10;Ai0AFAAGAAgAAAAhAFoik6P/AAAA5QEAABMAAAAAAAAAAAAAAAAAAAAAAFtDb250ZW50X1R5cGVz&#10;XS54bWxQSwECLQAUAAYACAAAACEAp0rPONcAAACWAQAACwAAAAAAAAAAAAAAAAAwAQAAX3JlbHMv&#10;LnJlbHNQSwECLQAUAAYACAAAACEAwZZUc7gBAABqAwAADgAAAAAAAAAAAAAAAAAwAgAAZHJzL2Uy&#10;b0RvYy54bWxQSwECLQAUAAYACAAAACEAjgKj8tsAAAAIAQAADwAAAAAAAAAAAAAAAAAUBAAAZHJz&#10;L2Rvd25yZXYueG1sUEsFBgAAAAAEAAQA8wAAABwFAAAAAA==&#10;" strokeweight="1.5pt">
                <o:lock v:ext="edit" shapetype="f"/>
                <w10:anchorlock/>
              </v:shape>
            </w:pict>
          </mc:Fallback>
        </mc:AlternateContent>
      </w:r>
      <w:r w:rsidR="00FB3A86">
        <w:rPr>
          <w:rFonts w:ascii="Arial" w:hAnsi="Arial" w:cs="Arial"/>
        </w:rPr>
        <w:t>.</w:t>
      </w:r>
    </w:p>
    <w:p w14:paraId="3FB65C1E" w14:textId="5F8D43E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F8B7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9CAF49" w14:textId="77777777" w:rsidTr="001E44FE">
        <w:tc>
          <w:tcPr>
            <w:tcW w:w="9576" w:type="dxa"/>
            <w:shd w:val="clear" w:color="auto" w:fill="F2F2F2"/>
          </w:tcPr>
          <w:p w14:paraId="770E33D3" w14:textId="4E330FF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 </w:t>
            </w:r>
            <w:r w:rsidR="00B00015">
              <w:rPr>
                <w:rFonts w:ascii="Arial" w:eastAsia="Calibri" w:hAnsi="Arial" w:cs="Arial"/>
                <w:b/>
                <w:szCs w:val="22"/>
              </w:rPr>
              <w:t>T</w:t>
            </w:r>
            <w:r w:rsidR="0083483D" w:rsidRPr="0083483D">
              <w:rPr>
                <w:rFonts w:ascii="Arial" w:eastAsia="Calibri" w:hAnsi="Arial" w:cs="Arial"/>
                <w:szCs w:val="22"/>
              </w:rPr>
              <w:t>o assess serum phosphate and</w:t>
            </w:r>
            <w:r w:rsidR="00B73DDD">
              <w:t xml:space="preserve"> </w:t>
            </w:r>
            <w:r w:rsidR="00AE0C1C">
              <w:rPr>
                <w:rFonts w:ascii="Arial" w:eastAsia="Calibri" w:hAnsi="Arial" w:cs="Arial"/>
                <w:szCs w:val="22"/>
              </w:rPr>
              <w:t>l</w:t>
            </w:r>
            <w:r w:rsidR="00AE0C1C" w:rsidRPr="00B73DDD">
              <w:rPr>
                <w:rFonts w:ascii="Arial" w:eastAsia="Calibri" w:hAnsi="Arial" w:cs="Arial"/>
                <w:szCs w:val="22"/>
              </w:rPr>
              <w:t>uteinizing</w:t>
            </w:r>
            <w:r w:rsidR="00B73DDD" w:rsidRPr="00B73DDD">
              <w:rPr>
                <w:rFonts w:ascii="Arial" w:eastAsia="Calibri" w:hAnsi="Arial" w:cs="Arial"/>
                <w:szCs w:val="22"/>
              </w:rPr>
              <w:t xml:space="preserve"> </w:t>
            </w:r>
            <w:r w:rsidR="00B73DDD">
              <w:rPr>
                <w:rFonts w:ascii="Arial" w:eastAsia="Calibri" w:hAnsi="Arial" w:cs="Arial"/>
                <w:szCs w:val="22"/>
              </w:rPr>
              <w:t>h</w:t>
            </w:r>
            <w:r w:rsidR="00B73DDD" w:rsidRPr="00B73DDD">
              <w:rPr>
                <w:rFonts w:ascii="Arial" w:eastAsia="Calibri" w:hAnsi="Arial" w:cs="Arial"/>
                <w:szCs w:val="22"/>
              </w:rPr>
              <w:t>ormone</w:t>
            </w:r>
            <w:r w:rsidR="0083483D" w:rsidRPr="0083483D">
              <w:rPr>
                <w:rFonts w:ascii="Arial" w:eastAsia="Calibri" w:hAnsi="Arial" w:cs="Arial"/>
                <w:szCs w:val="22"/>
              </w:rPr>
              <w:t xml:space="preserve"> </w:t>
            </w:r>
            <w:r w:rsidR="00B73DDD">
              <w:rPr>
                <w:rFonts w:ascii="Arial" w:eastAsia="Calibri" w:hAnsi="Arial" w:cs="Arial"/>
                <w:szCs w:val="22"/>
              </w:rPr>
              <w:t>(</w:t>
            </w:r>
            <w:r w:rsidR="0083483D" w:rsidRPr="0083483D">
              <w:rPr>
                <w:rFonts w:ascii="Arial" w:eastAsia="Calibri" w:hAnsi="Arial" w:cs="Arial"/>
                <w:szCs w:val="22"/>
              </w:rPr>
              <w:t>LH</w:t>
            </w:r>
            <w:r w:rsidR="00B73DDD">
              <w:rPr>
                <w:rFonts w:ascii="Arial" w:eastAsia="Calibri" w:hAnsi="Arial" w:cs="Arial"/>
                <w:szCs w:val="22"/>
              </w:rPr>
              <w:t>)</w:t>
            </w:r>
            <w:r w:rsidR="0083483D" w:rsidRPr="0083483D">
              <w:rPr>
                <w:rFonts w:ascii="Arial" w:eastAsia="Calibri" w:hAnsi="Arial" w:cs="Arial"/>
                <w:szCs w:val="22"/>
              </w:rPr>
              <w:t xml:space="preserve"> levels in HIV patients on </w:t>
            </w:r>
            <w:r w:rsidR="00B73DDD">
              <w:rPr>
                <w:rFonts w:ascii="Arial" w:eastAsia="Calibri" w:hAnsi="Arial" w:cs="Arial"/>
                <w:szCs w:val="22"/>
              </w:rPr>
              <w:t>a</w:t>
            </w:r>
            <w:r w:rsidR="00B73DDD" w:rsidRPr="00B73DDD">
              <w:rPr>
                <w:rFonts w:ascii="Arial" w:eastAsia="Calibri" w:hAnsi="Arial" w:cs="Arial"/>
                <w:szCs w:val="22"/>
              </w:rPr>
              <w:t xml:space="preserve">ntiretroviral </w:t>
            </w:r>
            <w:r w:rsidR="00B73DDD">
              <w:rPr>
                <w:rFonts w:ascii="Arial" w:eastAsia="Calibri" w:hAnsi="Arial" w:cs="Arial"/>
                <w:szCs w:val="22"/>
              </w:rPr>
              <w:t>t</w:t>
            </w:r>
            <w:r w:rsidR="00B73DDD" w:rsidRPr="00B73DDD">
              <w:rPr>
                <w:rFonts w:ascii="Arial" w:eastAsia="Calibri" w:hAnsi="Arial" w:cs="Arial"/>
                <w:szCs w:val="22"/>
              </w:rPr>
              <w:t xml:space="preserve">herapy </w:t>
            </w:r>
            <w:r w:rsidR="00B73DDD">
              <w:rPr>
                <w:rFonts w:ascii="Arial" w:eastAsia="Calibri" w:hAnsi="Arial" w:cs="Arial"/>
                <w:szCs w:val="22"/>
              </w:rPr>
              <w:t>(</w:t>
            </w:r>
            <w:r w:rsidR="0083483D" w:rsidRPr="0083483D">
              <w:rPr>
                <w:rFonts w:ascii="Arial" w:eastAsia="Calibri" w:hAnsi="Arial" w:cs="Arial"/>
                <w:szCs w:val="22"/>
              </w:rPr>
              <w:t>ART</w:t>
            </w:r>
            <w:r w:rsidR="00B73DDD">
              <w:rPr>
                <w:rFonts w:ascii="Arial" w:eastAsia="Calibri" w:hAnsi="Arial" w:cs="Arial"/>
                <w:szCs w:val="22"/>
              </w:rPr>
              <w:t>)</w:t>
            </w:r>
            <w:r w:rsidR="0083483D" w:rsidRPr="0083483D">
              <w:rPr>
                <w:rFonts w:ascii="Arial" w:eastAsia="Calibri" w:hAnsi="Arial" w:cs="Arial"/>
                <w:szCs w:val="22"/>
              </w:rPr>
              <w:t xml:space="preserve"> attending Rivers State University Teaching Hospital in Port Harcourt, Nigeria.</w:t>
            </w:r>
          </w:p>
          <w:p w14:paraId="76E71B5D" w14:textId="6F93F6F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DA6F86" w:rsidRPr="00BA1B01">
              <w:rPr>
                <w:rFonts w:ascii="Arial" w:eastAsia="Calibri" w:hAnsi="Arial" w:cs="Arial"/>
                <w:b/>
                <w:szCs w:val="22"/>
              </w:rPr>
              <w:t>:</w:t>
            </w:r>
            <w:r w:rsidR="00B73DDD">
              <w:rPr>
                <w:rFonts w:ascii="Arial" w:eastAsia="Calibri" w:hAnsi="Arial" w:cs="Arial"/>
                <w:b/>
                <w:szCs w:val="22"/>
              </w:rPr>
              <w:t xml:space="preserve"> </w:t>
            </w:r>
            <w:r w:rsidR="00B73DDD">
              <w:rPr>
                <w:rFonts w:ascii="Arial" w:eastAsia="Calibri" w:hAnsi="Arial" w:cs="Arial"/>
                <w:szCs w:val="22"/>
              </w:rPr>
              <w:t>Analytical</w:t>
            </w:r>
            <w:r w:rsidR="00DA6F86" w:rsidRPr="00BA1B01">
              <w:rPr>
                <w:rFonts w:ascii="Arial" w:eastAsia="Calibri" w:hAnsi="Arial" w:cs="Arial"/>
                <w:szCs w:val="22"/>
              </w:rPr>
              <w:t xml:space="preserve"> </w:t>
            </w:r>
            <w:r w:rsidR="00B73DDD">
              <w:rPr>
                <w:rFonts w:ascii="Arial" w:eastAsia="Calibri" w:hAnsi="Arial" w:cs="Arial"/>
                <w:szCs w:val="22"/>
              </w:rPr>
              <w:t>c</w:t>
            </w:r>
            <w:r w:rsidR="00DA6F86" w:rsidRPr="00BA1B01">
              <w:rPr>
                <w:rFonts w:ascii="Arial" w:eastAsia="Calibri" w:hAnsi="Arial" w:cs="Arial"/>
                <w:szCs w:val="22"/>
              </w:rPr>
              <w:t>ross</w:t>
            </w:r>
            <w:r w:rsidR="0083483D">
              <w:rPr>
                <w:rFonts w:ascii="Arial" w:eastAsia="Calibri" w:hAnsi="Arial" w:cs="Arial"/>
                <w:szCs w:val="22"/>
              </w:rPr>
              <w:t>-sectional study.</w:t>
            </w:r>
          </w:p>
          <w:p w14:paraId="1B11A66A" w14:textId="653BFFF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3483D" w:rsidRPr="0083483D">
              <w:rPr>
                <w:rFonts w:ascii="Arial" w:eastAsia="Calibri" w:hAnsi="Arial" w:cs="Arial"/>
                <w:szCs w:val="22"/>
              </w:rPr>
              <w:t>Rivers State University Teaching Hospital in Port Harcourt, Nigeria.</w:t>
            </w:r>
            <w:r w:rsidRPr="00BA1B01">
              <w:rPr>
                <w:rFonts w:ascii="Arial" w:eastAsia="Calibri" w:hAnsi="Arial" w:cs="Arial"/>
                <w:szCs w:val="22"/>
              </w:rPr>
              <w:t xml:space="preserve">, between </w:t>
            </w:r>
            <w:r w:rsidR="00DA6F86">
              <w:rPr>
                <w:rFonts w:ascii="Arial" w:eastAsia="Calibri" w:hAnsi="Arial" w:cs="Arial"/>
                <w:szCs w:val="22"/>
              </w:rPr>
              <w:t xml:space="preserve">September and </w:t>
            </w:r>
            <w:r w:rsidR="00DA6F86" w:rsidRPr="0094664C">
              <w:rPr>
                <w:rFonts w:ascii="Arial" w:eastAsia="Calibri" w:hAnsi="Arial" w:cs="Arial"/>
                <w:szCs w:val="22"/>
                <w:highlight w:val="yellow"/>
              </w:rPr>
              <w:t>November</w:t>
            </w:r>
            <w:r w:rsidR="0094664C" w:rsidRPr="0094664C">
              <w:rPr>
                <w:rFonts w:ascii="Arial" w:eastAsia="Calibri" w:hAnsi="Arial" w:cs="Arial"/>
                <w:szCs w:val="22"/>
                <w:highlight w:val="yellow"/>
              </w:rPr>
              <w:t>,</w:t>
            </w:r>
            <w:r w:rsidRPr="0094664C">
              <w:rPr>
                <w:rFonts w:ascii="Arial" w:eastAsia="Calibri" w:hAnsi="Arial" w:cs="Arial"/>
                <w:szCs w:val="22"/>
                <w:highlight w:val="yellow"/>
              </w:rPr>
              <w:t xml:space="preserve"> 20</w:t>
            </w:r>
            <w:r w:rsidR="00DA6F86" w:rsidRPr="0094664C">
              <w:rPr>
                <w:rFonts w:ascii="Arial" w:eastAsia="Calibri" w:hAnsi="Arial" w:cs="Arial"/>
                <w:szCs w:val="22"/>
                <w:highlight w:val="yellow"/>
              </w:rPr>
              <w:t>25</w:t>
            </w:r>
            <w:r w:rsidRPr="00BA1B01">
              <w:rPr>
                <w:rFonts w:ascii="Arial" w:eastAsia="Calibri" w:hAnsi="Arial" w:cs="Arial"/>
                <w:szCs w:val="22"/>
              </w:rPr>
              <w:t>.</w:t>
            </w:r>
          </w:p>
          <w:p w14:paraId="0F29EC14" w14:textId="37AE52F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3483D" w:rsidRPr="0083483D">
              <w:rPr>
                <w:rFonts w:ascii="Arial" w:eastAsia="Calibri" w:hAnsi="Arial" w:cs="Arial"/>
                <w:szCs w:val="22"/>
              </w:rPr>
              <w:t xml:space="preserve">An analytical cross-sectional study was conducted involving 50 participants: 25 HIV-positive </w:t>
            </w:r>
            <w:r w:rsidR="00B73DDD">
              <w:rPr>
                <w:rFonts w:ascii="Arial" w:eastAsia="Calibri" w:hAnsi="Arial" w:cs="Arial"/>
                <w:szCs w:val="22"/>
              </w:rPr>
              <w:t>subjects</w:t>
            </w:r>
            <w:r w:rsidR="0083483D" w:rsidRPr="0083483D">
              <w:rPr>
                <w:rFonts w:ascii="Arial" w:eastAsia="Calibri" w:hAnsi="Arial" w:cs="Arial"/>
                <w:szCs w:val="22"/>
              </w:rPr>
              <w:t xml:space="preserve"> on stable ART</w:t>
            </w:r>
            <w:r w:rsidR="002767BD">
              <w:rPr>
                <w:rFonts w:ascii="Arial" w:eastAsia="Calibri" w:hAnsi="Arial" w:cs="Arial"/>
                <w:szCs w:val="22"/>
              </w:rPr>
              <w:t xml:space="preserve"> attending </w:t>
            </w:r>
            <w:r w:rsidR="002767BD" w:rsidRPr="0083483D">
              <w:rPr>
                <w:rFonts w:ascii="Arial" w:eastAsia="Calibri" w:hAnsi="Arial" w:cs="Arial"/>
                <w:szCs w:val="22"/>
              </w:rPr>
              <w:t xml:space="preserve">Rivers State University Teaching Hospital in Port Harcourt, </w:t>
            </w:r>
            <w:r w:rsidR="0083483D" w:rsidRPr="0083483D">
              <w:rPr>
                <w:rFonts w:ascii="Arial" w:eastAsia="Calibri" w:hAnsi="Arial" w:cs="Arial"/>
                <w:szCs w:val="22"/>
              </w:rPr>
              <w:t>and 25 HIV-negative control</w:t>
            </w:r>
            <w:r w:rsidR="00B73DDD">
              <w:rPr>
                <w:rFonts w:ascii="Arial" w:eastAsia="Calibri" w:hAnsi="Arial" w:cs="Arial"/>
                <w:szCs w:val="22"/>
              </w:rPr>
              <w:t xml:space="preserve"> </w:t>
            </w:r>
            <w:r w:rsidR="0083483D" w:rsidRPr="0083483D">
              <w:rPr>
                <w:rFonts w:ascii="Arial" w:eastAsia="Calibri" w:hAnsi="Arial" w:cs="Arial"/>
                <w:szCs w:val="22"/>
              </w:rPr>
              <w:t>s</w:t>
            </w:r>
            <w:r w:rsidR="00B73DDD">
              <w:rPr>
                <w:rFonts w:ascii="Arial" w:eastAsia="Calibri" w:hAnsi="Arial" w:cs="Arial"/>
                <w:szCs w:val="22"/>
              </w:rPr>
              <w:t>ubjects</w:t>
            </w:r>
            <w:r w:rsidR="0083483D" w:rsidRPr="0083483D">
              <w:rPr>
                <w:rFonts w:ascii="Arial" w:eastAsia="Calibri" w:hAnsi="Arial" w:cs="Arial"/>
                <w:szCs w:val="22"/>
              </w:rPr>
              <w:t>.</w:t>
            </w:r>
            <w:r w:rsidR="006019DF">
              <w:rPr>
                <w:rFonts w:ascii="Arial" w:eastAsia="Calibri" w:hAnsi="Arial" w:cs="Arial"/>
                <w:szCs w:val="22"/>
              </w:rPr>
              <w:t xml:space="preserve"> </w:t>
            </w:r>
            <w:r w:rsidR="006019DF">
              <w:rPr>
                <w:rFonts w:ascii="Arial" w:hAnsi="Arial" w:cs="Arial"/>
              </w:rPr>
              <w:t>E</w:t>
            </w:r>
            <w:r w:rsidR="006019DF" w:rsidRPr="00B7687A">
              <w:rPr>
                <w:rFonts w:ascii="Arial" w:hAnsi="Arial" w:cs="Arial"/>
              </w:rPr>
              <w:t xml:space="preserve">ligible </w:t>
            </w:r>
            <w:r w:rsidR="006019DF">
              <w:rPr>
                <w:rFonts w:ascii="Arial" w:hAnsi="Arial" w:cs="Arial"/>
              </w:rPr>
              <w:t>subjects</w:t>
            </w:r>
            <w:r w:rsidR="006019DF" w:rsidRPr="00B7687A">
              <w:rPr>
                <w:rFonts w:ascii="Arial" w:hAnsi="Arial" w:cs="Arial"/>
              </w:rPr>
              <w:t xml:space="preserve"> who met the inclusion criteria and provided consent </w:t>
            </w:r>
            <w:r w:rsidR="004C100D" w:rsidRPr="00B7687A">
              <w:rPr>
                <w:rFonts w:ascii="Arial" w:hAnsi="Arial" w:cs="Arial"/>
              </w:rPr>
              <w:t>were</w:t>
            </w:r>
            <w:r w:rsidR="006019DF" w:rsidRPr="00B7687A">
              <w:rPr>
                <w:rFonts w:ascii="Arial" w:hAnsi="Arial" w:cs="Arial"/>
              </w:rPr>
              <w:t xml:space="preserve"> enrolled into the study until the target sample size was achieved.</w:t>
            </w:r>
            <w:r w:rsidR="006019DF">
              <w:rPr>
                <w:rFonts w:ascii="Arial" w:hAnsi="Arial" w:cs="Arial"/>
              </w:rPr>
              <w:t xml:space="preserve"> Five mL of blood was collected from each of the participants and</w:t>
            </w:r>
            <w:r w:rsidR="0083483D" w:rsidRPr="0083483D">
              <w:rPr>
                <w:rFonts w:ascii="Arial" w:eastAsia="Calibri" w:hAnsi="Arial" w:cs="Arial"/>
                <w:szCs w:val="22"/>
              </w:rPr>
              <w:t xml:space="preserve"> </w:t>
            </w:r>
            <w:r w:rsidR="006019DF">
              <w:rPr>
                <w:rFonts w:ascii="Arial" w:eastAsia="Calibri" w:hAnsi="Arial" w:cs="Arial"/>
                <w:szCs w:val="22"/>
              </w:rPr>
              <w:t>s</w:t>
            </w:r>
            <w:r w:rsidR="0083483D" w:rsidRPr="0083483D">
              <w:rPr>
                <w:rFonts w:ascii="Arial" w:eastAsia="Calibri" w:hAnsi="Arial" w:cs="Arial"/>
                <w:szCs w:val="22"/>
              </w:rPr>
              <w:t xml:space="preserve">erum phosphate was determined using the UV-phosphomolybdate method, </w:t>
            </w:r>
            <w:r w:rsidR="006019DF">
              <w:rPr>
                <w:rFonts w:ascii="Arial" w:eastAsia="Calibri" w:hAnsi="Arial" w:cs="Arial"/>
                <w:szCs w:val="22"/>
              </w:rPr>
              <w:t>while</w:t>
            </w:r>
            <w:r w:rsidR="0083483D" w:rsidRPr="0083483D">
              <w:rPr>
                <w:rFonts w:ascii="Arial" w:eastAsia="Calibri" w:hAnsi="Arial" w:cs="Arial"/>
                <w:szCs w:val="22"/>
              </w:rPr>
              <w:t xml:space="preserve"> LH was measured using </w:t>
            </w:r>
            <w:r w:rsidR="006019DF">
              <w:rPr>
                <w:rFonts w:ascii="Arial" w:eastAsia="Calibri" w:hAnsi="Arial" w:cs="Arial"/>
                <w:szCs w:val="22"/>
              </w:rPr>
              <w:t>the</w:t>
            </w:r>
            <w:r w:rsidR="0083483D" w:rsidRPr="0083483D">
              <w:rPr>
                <w:rFonts w:ascii="Arial" w:eastAsia="Calibri" w:hAnsi="Arial" w:cs="Arial"/>
                <w:szCs w:val="22"/>
              </w:rPr>
              <w:t xml:space="preserve"> ELISA</w:t>
            </w:r>
            <w:r w:rsidR="006019DF">
              <w:rPr>
                <w:rFonts w:ascii="Arial" w:eastAsia="Calibri" w:hAnsi="Arial" w:cs="Arial"/>
                <w:szCs w:val="22"/>
              </w:rPr>
              <w:t xml:space="preserve"> method</w:t>
            </w:r>
            <w:r w:rsidR="0083483D" w:rsidRPr="0083483D">
              <w:rPr>
                <w:rFonts w:ascii="Arial" w:eastAsia="Calibri" w:hAnsi="Arial" w:cs="Arial"/>
                <w:szCs w:val="22"/>
              </w:rPr>
              <w:t xml:space="preserve">. Data </w:t>
            </w:r>
            <w:r w:rsidR="00AC2CA6" w:rsidRPr="0083483D">
              <w:rPr>
                <w:rFonts w:ascii="Arial" w:eastAsia="Calibri" w:hAnsi="Arial" w:cs="Arial"/>
                <w:szCs w:val="22"/>
              </w:rPr>
              <w:t>was</w:t>
            </w:r>
            <w:r w:rsidR="0083483D" w:rsidRPr="0083483D">
              <w:rPr>
                <w:rFonts w:ascii="Arial" w:eastAsia="Calibri" w:hAnsi="Arial" w:cs="Arial"/>
                <w:szCs w:val="22"/>
              </w:rPr>
              <w:t xml:space="preserve"> analyzed using SPSS, with t-tests and ANOVA employed for group comparisons</w:t>
            </w:r>
            <w:r w:rsidR="00AC2CA6">
              <w:rPr>
                <w:rFonts w:ascii="Arial" w:eastAsia="Calibri" w:hAnsi="Arial" w:cs="Arial"/>
                <w:szCs w:val="22"/>
              </w:rPr>
              <w:t xml:space="preserve"> and r</w:t>
            </w:r>
            <w:r w:rsidR="00AC2CA6" w:rsidRPr="002323F5">
              <w:rPr>
                <w:rFonts w:ascii="Arial" w:eastAsia="Calibri" w:hAnsi="Arial" w:cs="Arial"/>
                <w:szCs w:val="22"/>
              </w:rPr>
              <w:t>esults were considered statistically significant at 95% confidence interval (p&lt;0.05</w:t>
            </w:r>
            <w:r w:rsidR="00AC2CA6">
              <w:rPr>
                <w:rFonts w:ascii="Arial" w:eastAsia="Calibri" w:hAnsi="Arial" w:cs="Arial"/>
                <w:szCs w:val="22"/>
              </w:rPr>
              <w:t>)</w:t>
            </w:r>
            <w:r w:rsidR="004C100D">
              <w:rPr>
                <w:rFonts w:ascii="Arial" w:eastAsia="Calibri" w:hAnsi="Arial" w:cs="Arial"/>
                <w:szCs w:val="22"/>
              </w:rPr>
              <w:t>.</w:t>
            </w:r>
          </w:p>
          <w:p w14:paraId="56527E40" w14:textId="52FE9D6A"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A4718" w:rsidRPr="001A4718">
              <w:rPr>
                <w:rFonts w:ascii="Arial" w:eastAsia="Calibri" w:hAnsi="Arial" w:cs="Arial"/>
                <w:szCs w:val="22"/>
              </w:rPr>
              <w:t xml:space="preserve">HIV-positive </w:t>
            </w:r>
            <w:r w:rsidR="00AC2CA6">
              <w:rPr>
                <w:rFonts w:ascii="Arial" w:hAnsi="Arial" w:cs="Arial"/>
              </w:rPr>
              <w:t>subjects</w:t>
            </w:r>
            <w:r w:rsidR="001A4718" w:rsidRPr="001A4718">
              <w:rPr>
                <w:rFonts w:ascii="Arial" w:eastAsia="Calibri" w:hAnsi="Arial" w:cs="Arial"/>
                <w:szCs w:val="22"/>
              </w:rPr>
              <w:t xml:space="preserve"> exhibited significantly lower mean serum phosphate levels (1.48 ± 0.13 mg/dL) compared to HIV-negative control</w:t>
            </w:r>
            <w:r w:rsidR="00AC2CA6">
              <w:rPr>
                <w:rFonts w:ascii="Arial" w:eastAsia="Calibri" w:hAnsi="Arial" w:cs="Arial"/>
                <w:szCs w:val="22"/>
              </w:rPr>
              <w:t xml:space="preserve"> </w:t>
            </w:r>
            <w:r w:rsidR="00AC2CA6">
              <w:rPr>
                <w:rFonts w:ascii="Arial" w:hAnsi="Arial" w:cs="Arial"/>
              </w:rPr>
              <w:t>subjects</w:t>
            </w:r>
            <w:r w:rsidR="001A4718" w:rsidRPr="001A4718">
              <w:rPr>
                <w:rFonts w:ascii="Arial" w:eastAsia="Calibri" w:hAnsi="Arial" w:cs="Arial"/>
                <w:szCs w:val="22"/>
              </w:rPr>
              <w:t xml:space="preserve"> (1.73 ± 0.17 mg/dL) (p=0.001). There was no statistically significant difference in overall mean LH levels between the HIV-positive (11.80 ± 13.36 mIU/ml) and HIV-negative (10.57 ± 11.16 mIU/ml) groups (p=0.726). However, within the HIV-positive cohort, significant gender and age differences were observed. HIV-positive females had markedly higher LH levels (21.15 ± 14.30 mIU/ml) than males (3.17 ± 1.15 mIU/ml) (p=0.001). Furthermore, LH levels declined significantly with increasing age (p=0.001), while serum phosphate also varied significantly by age (p=0.008). </w:t>
            </w:r>
          </w:p>
          <w:p w14:paraId="7901656B" w14:textId="124FE720" w:rsidR="00505F06" w:rsidRPr="00BA1B01" w:rsidRDefault="00BA1B01" w:rsidP="00B911A2">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A4718" w:rsidRPr="001A4718">
              <w:rPr>
                <w:rFonts w:ascii="Arial" w:eastAsia="Calibri" w:hAnsi="Arial" w:cs="Arial"/>
                <w:szCs w:val="22"/>
              </w:rPr>
              <w:t xml:space="preserve">This study </w:t>
            </w:r>
            <w:r w:rsidR="00AC2CA6">
              <w:rPr>
                <w:rFonts w:ascii="Arial" w:eastAsia="Calibri" w:hAnsi="Arial" w:cs="Arial"/>
                <w:szCs w:val="22"/>
              </w:rPr>
              <w:t>showed</w:t>
            </w:r>
            <w:r w:rsidR="001A4718" w:rsidRPr="001A4718">
              <w:rPr>
                <w:rFonts w:ascii="Arial" w:eastAsia="Calibri" w:hAnsi="Arial" w:cs="Arial"/>
                <w:szCs w:val="22"/>
              </w:rPr>
              <w:t xml:space="preserve"> that HIV infection and ART use are significantly associated with reduced serum phosphate levels.</w:t>
            </w:r>
          </w:p>
        </w:tc>
      </w:tr>
    </w:tbl>
    <w:p w14:paraId="789E02A9" w14:textId="4BE80820" w:rsidR="00790ADA" w:rsidRDefault="00A24E7E" w:rsidP="00441B6F">
      <w:pPr>
        <w:pStyle w:val="Body"/>
        <w:spacing w:after="0"/>
        <w:rPr>
          <w:rFonts w:ascii="Arial" w:hAnsi="Arial" w:cs="Arial"/>
          <w:i/>
        </w:rPr>
      </w:pPr>
      <w:r>
        <w:rPr>
          <w:rFonts w:ascii="Arial" w:hAnsi="Arial" w:cs="Arial"/>
          <w:i/>
        </w:rPr>
        <w:t xml:space="preserve">Keywords: </w:t>
      </w:r>
      <w:r w:rsidR="000307BF" w:rsidRPr="000307BF">
        <w:rPr>
          <w:rFonts w:ascii="Arial" w:hAnsi="Arial" w:cs="Arial"/>
          <w:i/>
        </w:rPr>
        <w:t>Serum Phosphate and Luteinizing Hormone</w:t>
      </w:r>
      <w:r w:rsidR="00545CC8">
        <w:rPr>
          <w:rFonts w:ascii="Arial" w:hAnsi="Arial" w:cs="Arial"/>
          <w:i/>
        </w:rPr>
        <w:t>,</w:t>
      </w:r>
      <w:r w:rsidR="00CA20AF" w:rsidRPr="00CA20AF">
        <w:rPr>
          <w:rFonts w:ascii="Arial" w:hAnsi="Arial" w:cs="Arial"/>
          <w:i/>
        </w:rPr>
        <w:t xml:space="preserve"> HIV Patients</w:t>
      </w:r>
      <w:r w:rsidR="00545CC8">
        <w:rPr>
          <w:rFonts w:ascii="Arial" w:hAnsi="Arial" w:cs="Arial"/>
          <w:i/>
        </w:rPr>
        <w:t>,</w:t>
      </w:r>
      <w:r w:rsidR="00CA20AF" w:rsidRPr="00CA20AF">
        <w:rPr>
          <w:rFonts w:ascii="Arial" w:hAnsi="Arial" w:cs="Arial"/>
          <w:i/>
        </w:rPr>
        <w:t xml:space="preserve"> Antiretroviral Therapy</w:t>
      </w:r>
      <w:r w:rsidR="00545CC8">
        <w:rPr>
          <w:rFonts w:ascii="Arial" w:hAnsi="Arial" w:cs="Arial"/>
          <w:i/>
        </w:rPr>
        <w:t>,</w:t>
      </w:r>
      <w:r w:rsidR="00CA20AF" w:rsidRPr="00CA20AF">
        <w:rPr>
          <w:rFonts w:ascii="Arial" w:hAnsi="Arial" w:cs="Arial"/>
          <w:i/>
        </w:rPr>
        <w:t xml:space="preserve"> Rivers State University Teaching Hospital</w:t>
      </w:r>
    </w:p>
    <w:p w14:paraId="23CDEE98" w14:textId="77777777" w:rsidR="00545CC8" w:rsidRDefault="00545CC8" w:rsidP="00441B6F">
      <w:pPr>
        <w:pStyle w:val="AbstHead"/>
        <w:spacing w:after="0"/>
        <w:jc w:val="both"/>
        <w:rPr>
          <w:rFonts w:ascii="Arial" w:hAnsi="Arial" w:cs="Arial"/>
        </w:rPr>
      </w:pPr>
    </w:p>
    <w:p w14:paraId="70A49566" w14:textId="23C3A64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C577D57" w14:textId="142080DC" w:rsidR="00301931" w:rsidRPr="00301931" w:rsidRDefault="00301931" w:rsidP="00301931">
      <w:pPr>
        <w:pStyle w:val="Body"/>
        <w:rPr>
          <w:rFonts w:ascii="Arial" w:eastAsia="Calibri" w:hAnsi="Arial" w:cs="Arial"/>
          <w:szCs w:val="22"/>
        </w:rPr>
      </w:pPr>
      <w:r w:rsidRPr="00301931">
        <w:rPr>
          <w:rFonts w:ascii="Arial" w:eastAsia="Calibri" w:hAnsi="Arial" w:cs="Arial"/>
          <w:szCs w:val="22"/>
        </w:rPr>
        <w:t xml:space="preserve">The Human Immunodeficiency Virus (HIV) infection remains a global public health challenge, with a profound impact on morbidity and mortality worldwide, despite advancements in its management. According to the </w:t>
      </w:r>
      <w:bookmarkStart w:id="0" w:name="_Hlk215652979"/>
      <w:r w:rsidRPr="00B54D1E">
        <w:rPr>
          <w:rFonts w:ascii="Arial" w:eastAsia="Calibri" w:hAnsi="Arial" w:cs="Arial"/>
          <w:szCs w:val="22"/>
        </w:rPr>
        <w:t xml:space="preserve">World Health </w:t>
      </w:r>
      <w:r w:rsidR="000F352A" w:rsidRPr="00B54D1E">
        <w:rPr>
          <w:rFonts w:ascii="Arial" w:eastAsia="Calibri" w:hAnsi="Arial" w:cs="Arial"/>
          <w:szCs w:val="22"/>
        </w:rPr>
        <w:t>Organization [</w:t>
      </w:r>
      <w:r w:rsidR="00065E3D" w:rsidRPr="00B54D1E">
        <w:rPr>
          <w:rFonts w:ascii="Arial" w:hAnsi="Arial" w:cs="Arial"/>
        </w:rPr>
        <w:t>1</w:t>
      </w:r>
      <w:r w:rsidR="00006699" w:rsidRPr="00B54D1E">
        <w:rPr>
          <w:rFonts w:ascii="Arial" w:hAnsi="Arial" w:cs="Arial"/>
        </w:rPr>
        <w:t>]</w:t>
      </w:r>
      <w:r w:rsidRPr="00B54D1E">
        <w:rPr>
          <w:rFonts w:ascii="Arial" w:eastAsia="Calibri" w:hAnsi="Arial" w:cs="Arial"/>
          <w:szCs w:val="22"/>
        </w:rPr>
        <w:t xml:space="preserve">, </w:t>
      </w:r>
      <w:bookmarkEnd w:id="0"/>
      <w:r w:rsidRPr="00B54D1E">
        <w:rPr>
          <w:rFonts w:ascii="Arial" w:eastAsia="Calibri" w:hAnsi="Arial" w:cs="Arial"/>
          <w:szCs w:val="22"/>
        </w:rPr>
        <w:t>approximately 40.8 million Sub Saharan Africa bears the disproportionate burden of the epidemic</w:t>
      </w:r>
      <w:r w:rsidRPr="00301931">
        <w:rPr>
          <w:rFonts w:ascii="Arial" w:eastAsia="Calibri" w:hAnsi="Arial" w:cs="Arial"/>
          <w:szCs w:val="22"/>
        </w:rPr>
        <w:t xml:space="preserve">, accounting for a significant percentage of people living with HIV worldwide. </w:t>
      </w:r>
      <w:r w:rsidR="007557A8" w:rsidRPr="00301931">
        <w:rPr>
          <w:rFonts w:ascii="Arial" w:eastAsia="Calibri" w:hAnsi="Arial" w:cs="Arial"/>
          <w:szCs w:val="22"/>
        </w:rPr>
        <w:t>AIDS-</w:t>
      </w:r>
      <w:r w:rsidR="00AE0C1C" w:rsidRPr="00301931">
        <w:rPr>
          <w:rFonts w:ascii="Arial" w:eastAsia="Calibri" w:hAnsi="Arial" w:cs="Arial"/>
          <w:szCs w:val="22"/>
        </w:rPr>
        <w:t>related the</w:t>
      </w:r>
      <w:r w:rsidRPr="00301931">
        <w:rPr>
          <w:rFonts w:ascii="Arial" w:eastAsia="Calibri" w:hAnsi="Arial" w:cs="Arial"/>
          <w:szCs w:val="22"/>
        </w:rPr>
        <w:t xml:space="preserve"> most populous </w:t>
      </w:r>
      <w:r w:rsidR="00B15633" w:rsidRPr="00301931">
        <w:rPr>
          <w:rFonts w:ascii="Arial" w:eastAsia="Calibri" w:hAnsi="Arial" w:cs="Arial"/>
          <w:szCs w:val="22"/>
        </w:rPr>
        <w:t>country,</w:t>
      </w:r>
      <w:r w:rsidRPr="00301931">
        <w:rPr>
          <w:rFonts w:ascii="Arial" w:eastAsia="Calibri" w:hAnsi="Arial" w:cs="Arial"/>
          <w:szCs w:val="22"/>
        </w:rPr>
        <w:t xml:space="preserve"> people globally were living with HIV, with 1.3 million new infections and 630,000 AIDS related deaths </w:t>
      </w:r>
      <w:bookmarkStart w:id="1" w:name="_Hlk215652994"/>
      <w:r w:rsidR="00006699" w:rsidRPr="00006699">
        <w:rPr>
          <w:rFonts w:ascii="Arial" w:hAnsi="Arial" w:cs="Arial"/>
        </w:rPr>
        <w:t>[</w:t>
      </w:r>
      <w:r w:rsidR="00065E3D" w:rsidRPr="00065E3D">
        <w:rPr>
          <w:rFonts w:ascii="Arial" w:hAnsi="Arial" w:cs="Arial"/>
        </w:rPr>
        <w:t>2</w:t>
      </w:r>
      <w:r w:rsidR="00006699" w:rsidRPr="00065E3D">
        <w:rPr>
          <w:rFonts w:ascii="Arial" w:hAnsi="Arial" w:cs="Arial"/>
        </w:rPr>
        <w:t>]</w:t>
      </w:r>
      <w:r w:rsidRPr="00065E3D">
        <w:rPr>
          <w:rFonts w:ascii="Arial" w:eastAsia="Calibri" w:hAnsi="Arial" w:cs="Arial"/>
          <w:szCs w:val="22"/>
        </w:rPr>
        <w:t xml:space="preserve">. </w:t>
      </w:r>
      <w:bookmarkEnd w:id="1"/>
      <w:r w:rsidR="007557A8" w:rsidRPr="00065E3D">
        <w:rPr>
          <w:rFonts w:ascii="Arial" w:eastAsia="Calibri" w:hAnsi="Arial" w:cs="Arial"/>
          <w:szCs w:val="22"/>
        </w:rPr>
        <w:t>Sahara</w:t>
      </w:r>
      <w:r w:rsidR="007557A8" w:rsidRPr="00301931">
        <w:rPr>
          <w:rFonts w:ascii="Arial" w:eastAsia="Calibri" w:hAnsi="Arial" w:cs="Arial"/>
          <w:szCs w:val="22"/>
        </w:rPr>
        <w:t xml:space="preserve"> Africa</w:t>
      </w:r>
      <w:r w:rsidRPr="00301931">
        <w:rPr>
          <w:rFonts w:ascii="Arial" w:eastAsia="Calibri" w:hAnsi="Arial" w:cs="Arial"/>
          <w:szCs w:val="22"/>
        </w:rPr>
        <w:t xml:space="preserve"> has one of the largest HIV epidemics globally, with an estimated 1.9 million people living with HIV. The virus primarily targets the immune system, specifically CD4+ </w:t>
      </w:r>
      <w:r w:rsidR="00042DE2" w:rsidRPr="00301931">
        <w:rPr>
          <w:rFonts w:ascii="Arial" w:eastAsia="Calibri" w:hAnsi="Arial" w:cs="Arial"/>
          <w:szCs w:val="22"/>
        </w:rPr>
        <w:t>T cells</w:t>
      </w:r>
      <w:r w:rsidRPr="00301931">
        <w:rPr>
          <w:rFonts w:ascii="Arial" w:eastAsia="Calibri" w:hAnsi="Arial" w:cs="Arial"/>
          <w:szCs w:val="22"/>
        </w:rPr>
        <w:t xml:space="preserve">, leading to progressive immunodeficiency and increased susceptibility to opportunistic </w:t>
      </w:r>
      <w:r w:rsidRPr="00301931">
        <w:rPr>
          <w:rFonts w:ascii="Arial" w:eastAsia="Calibri" w:hAnsi="Arial" w:cs="Arial"/>
          <w:szCs w:val="22"/>
        </w:rPr>
        <w:lastRenderedPageBreak/>
        <w:t xml:space="preserve">infections and certain cancers, collectively known as </w:t>
      </w:r>
      <w:r w:rsidR="007557A8" w:rsidRPr="00301931">
        <w:rPr>
          <w:rFonts w:ascii="Arial" w:eastAsia="Calibri" w:hAnsi="Arial" w:cs="Arial"/>
          <w:szCs w:val="22"/>
        </w:rPr>
        <w:t>acquired immunodeficiency syndrome</w:t>
      </w:r>
      <w:r w:rsidRPr="00301931">
        <w:rPr>
          <w:rFonts w:ascii="Arial" w:eastAsia="Calibri" w:hAnsi="Arial" w:cs="Arial"/>
          <w:szCs w:val="22"/>
        </w:rPr>
        <w:t xml:space="preserve"> (AIDS) </w:t>
      </w:r>
      <w:bookmarkStart w:id="2" w:name="_Hlk215653002"/>
      <w:r w:rsidR="00006699" w:rsidRPr="00006699">
        <w:rPr>
          <w:rFonts w:ascii="Arial" w:hAnsi="Arial" w:cs="Arial"/>
        </w:rPr>
        <w:t>[</w:t>
      </w:r>
      <w:r w:rsidR="00065E3D">
        <w:rPr>
          <w:rFonts w:ascii="Arial" w:hAnsi="Arial" w:cs="Arial"/>
        </w:rPr>
        <w:t>3</w:t>
      </w:r>
      <w:r w:rsidR="00006699" w:rsidRPr="00006699">
        <w:rPr>
          <w:rFonts w:ascii="Arial" w:hAnsi="Arial" w:cs="Arial"/>
        </w:rPr>
        <w:t>]</w:t>
      </w:r>
    </w:p>
    <w:bookmarkEnd w:id="2"/>
    <w:p w14:paraId="43707A4D" w14:textId="3E334753" w:rsidR="00301931" w:rsidRPr="00301931" w:rsidRDefault="00301931" w:rsidP="00301931">
      <w:pPr>
        <w:pStyle w:val="Body"/>
        <w:rPr>
          <w:rFonts w:ascii="Arial" w:eastAsia="Calibri" w:hAnsi="Arial" w:cs="Arial"/>
          <w:szCs w:val="22"/>
        </w:rPr>
      </w:pPr>
      <w:r w:rsidRPr="00301931">
        <w:rPr>
          <w:rFonts w:ascii="Arial" w:eastAsia="Calibri" w:hAnsi="Arial" w:cs="Arial"/>
          <w:szCs w:val="22"/>
        </w:rPr>
        <w:t xml:space="preserve">The advent of Antiretroviral Therapy (ART) has been a cornerstone in the global response to the HIV/AIDS epidemic. It has revolutionized the management of HIV infection, transforming it from a rapidly fatal disease into a manageable chronic condition. ART involves the use of a combination of antiretroviral drugs that target different stages of the HIV life cycle, thereby suppressing viral replication, reducing viral load, and allowing the immune system to recover </w:t>
      </w:r>
      <w:r w:rsidR="00006699" w:rsidRPr="00006699">
        <w:rPr>
          <w:rFonts w:ascii="Arial" w:hAnsi="Arial" w:cs="Arial"/>
        </w:rPr>
        <w:t>[</w:t>
      </w:r>
      <w:r w:rsidR="00FB7570">
        <w:rPr>
          <w:rFonts w:ascii="Arial" w:hAnsi="Arial" w:cs="Arial"/>
        </w:rPr>
        <w:t>4</w:t>
      </w:r>
      <w:r w:rsidR="00006699" w:rsidRPr="00006699">
        <w:rPr>
          <w:rFonts w:ascii="Arial" w:hAnsi="Arial" w:cs="Arial"/>
        </w:rPr>
        <w:t>]</w:t>
      </w:r>
      <w:r w:rsidRPr="00006699">
        <w:rPr>
          <w:rFonts w:ascii="Arial" w:eastAsia="Calibri" w:hAnsi="Arial" w:cs="Arial"/>
          <w:szCs w:val="22"/>
        </w:rPr>
        <w:t xml:space="preserve">. </w:t>
      </w:r>
      <w:r w:rsidRPr="00301931">
        <w:rPr>
          <w:rFonts w:ascii="Arial" w:eastAsia="Calibri" w:hAnsi="Arial" w:cs="Arial"/>
          <w:szCs w:val="22"/>
        </w:rPr>
        <w:t xml:space="preserve">The introduction of highly active antiretroviral therapy (HAART) in the </w:t>
      </w:r>
      <w:r w:rsidR="007557A8" w:rsidRPr="00301931">
        <w:rPr>
          <w:rFonts w:ascii="Arial" w:eastAsia="Calibri" w:hAnsi="Arial" w:cs="Arial"/>
          <w:szCs w:val="22"/>
        </w:rPr>
        <w:t>mid-1990s</w:t>
      </w:r>
      <w:r w:rsidRPr="00301931">
        <w:rPr>
          <w:rFonts w:ascii="Arial" w:eastAsia="Calibri" w:hAnsi="Arial" w:cs="Arial"/>
          <w:szCs w:val="22"/>
        </w:rPr>
        <w:t xml:space="preserve"> which combines multiple medications targeting different stages of the HIV life cycle, has proven to be highly effective in suppressing viral replication, restoring immune function, and improving the overall health and longevity of individuals living with HIV,  led to a decline in HIV related morbidity and mortality, thereby improving quality of life and life expectancy of people living with HIV (</w:t>
      </w:r>
      <w:r w:rsidRPr="00442ECF">
        <w:rPr>
          <w:rFonts w:ascii="Arial" w:eastAsia="Calibri" w:hAnsi="Arial" w:cs="Arial"/>
          <w:szCs w:val="22"/>
        </w:rPr>
        <w:t xml:space="preserve">PLHIV) </w:t>
      </w:r>
      <w:bookmarkStart w:id="3" w:name="_Hlk215653013"/>
      <w:r w:rsidR="00006699" w:rsidRPr="00442ECF">
        <w:rPr>
          <w:rFonts w:ascii="Arial" w:hAnsi="Arial" w:cs="Arial"/>
        </w:rPr>
        <w:t>[</w:t>
      </w:r>
      <w:r w:rsidR="00FB7570" w:rsidRPr="00442ECF">
        <w:rPr>
          <w:rFonts w:ascii="Arial" w:hAnsi="Arial" w:cs="Arial"/>
        </w:rPr>
        <w:t>5</w:t>
      </w:r>
      <w:r w:rsidR="00006699" w:rsidRPr="00442ECF">
        <w:rPr>
          <w:rFonts w:ascii="Arial" w:hAnsi="Arial" w:cs="Arial"/>
        </w:rPr>
        <w:t>]</w:t>
      </w:r>
      <w:r w:rsidRPr="00442ECF">
        <w:rPr>
          <w:rFonts w:ascii="Arial" w:eastAsia="Calibri" w:hAnsi="Arial" w:cs="Arial"/>
          <w:szCs w:val="22"/>
        </w:rPr>
        <w:t>.</w:t>
      </w:r>
      <w:bookmarkEnd w:id="3"/>
    </w:p>
    <w:p w14:paraId="4D10B403" w14:textId="69CB0477" w:rsidR="00301931" w:rsidRPr="00301931" w:rsidRDefault="00301931" w:rsidP="00301931">
      <w:pPr>
        <w:pStyle w:val="Body"/>
        <w:rPr>
          <w:rFonts w:ascii="Arial" w:eastAsia="Calibri" w:hAnsi="Arial" w:cs="Arial"/>
          <w:szCs w:val="22"/>
        </w:rPr>
      </w:pPr>
      <w:r w:rsidRPr="00301931">
        <w:rPr>
          <w:rFonts w:ascii="Arial" w:eastAsia="Calibri" w:hAnsi="Arial" w:cs="Arial"/>
          <w:szCs w:val="22"/>
        </w:rPr>
        <w:t xml:space="preserve">Modern ART regimens typically consist of a combination of three or more antiretroviral drugs from at least two different drug classes. The main classes of </w:t>
      </w:r>
      <w:r w:rsidR="00AE0C1C" w:rsidRPr="00301931">
        <w:rPr>
          <w:rFonts w:ascii="Arial" w:eastAsia="Calibri" w:hAnsi="Arial" w:cs="Arial"/>
          <w:szCs w:val="22"/>
        </w:rPr>
        <w:t>antiretroviral</w:t>
      </w:r>
      <w:r w:rsidRPr="00301931">
        <w:rPr>
          <w:rFonts w:ascii="Arial" w:eastAsia="Calibri" w:hAnsi="Arial" w:cs="Arial"/>
          <w:szCs w:val="22"/>
        </w:rPr>
        <w:t xml:space="preserve"> </w:t>
      </w:r>
      <w:r w:rsidR="00AE0C1C" w:rsidRPr="00301931">
        <w:rPr>
          <w:rFonts w:ascii="Arial" w:eastAsia="Calibri" w:hAnsi="Arial" w:cs="Arial"/>
          <w:szCs w:val="22"/>
        </w:rPr>
        <w:t>therapy</w:t>
      </w:r>
      <w:r w:rsidRPr="00301931">
        <w:rPr>
          <w:rFonts w:ascii="Arial" w:eastAsia="Calibri" w:hAnsi="Arial" w:cs="Arial"/>
          <w:szCs w:val="22"/>
        </w:rPr>
        <w:t xml:space="preserve"> </w:t>
      </w:r>
      <w:r w:rsidR="007557A8" w:rsidRPr="00301931">
        <w:rPr>
          <w:rFonts w:ascii="Arial" w:eastAsia="Calibri" w:hAnsi="Arial" w:cs="Arial"/>
          <w:szCs w:val="22"/>
        </w:rPr>
        <w:t>include</w:t>
      </w:r>
      <w:r w:rsidRPr="00301931">
        <w:rPr>
          <w:rFonts w:ascii="Arial" w:eastAsia="Calibri" w:hAnsi="Arial" w:cs="Arial"/>
          <w:szCs w:val="22"/>
        </w:rPr>
        <w:t xml:space="preserve"> Nucleoside/Nucleotide Reverse Transcriptase Inhibitors (NNRTIs), Protease Inhibitors (PIs), Integrase Strand Transfer Inhibitors (INSTIs), and Entry Inhibitors (Panel on Antiretroviral Guidelines for Adults and Adolescents, oviral drugs </w:t>
      </w:r>
      <w:r w:rsidR="007557A8" w:rsidRPr="00301931">
        <w:rPr>
          <w:rFonts w:ascii="Arial" w:eastAsia="Calibri" w:hAnsi="Arial" w:cs="Arial"/>
          <w:szCs w:val="22"/>
        </w:rPr>
        <w:t>include</w:t>
      </w:r>
      <w:r w:rsidRPr="00301931">
        <w:rPr>
          <w:rFonts w:ascii="Arial" w:eastAsia="Calibri" w:hAnsi="Arial" w:cs="Arial"/>
          <w:szCs w:val="22"/>
        </w:rPr>
        <w:t xml:space="preserve"> Nucleoside/Nucleotide Reverse Transcriptase Inhibitors (NRTIs), </w:t>
      </w:r>
      <w:r w:rsidR="007557A8" w:rsidRPr="00301931">
        <w:rPr>
          <w:rFonts w:ascii="Arial" w:eastAsia="Calibri" w:hAnsi="Arial" w:cs="Arial"/>
          <w:szCs w:val="22"/>
        </w:rPr>
        <w:t>Non-Nucleoside</w:t>
      </w:r>
      <w:r w:rsidRPr="00301931">
        <w:rPr>
          <w:rFonts w:ascii="Arial" w:eastAsia="Calibri" w:hAnsi="Arial" w:cs="Arial"/>
          <w:szCs w:val="22"/>
        </w:rPr>
        <w:t xml:space="preserve"> Reverse. The choice of ART regimen depends on various factors, including viral load, CD4 count, potential drug interactions, </w:t>
      </w:r>
      <w:r w:rsidR="007557A8" w:rsidRPr="00301931">
        <w:rPr>
          <w:rFonts w:ascii="Arial" w:eastAsia="Calibri" w:hAnsi="Arial" w:cs="Arial"/>
          <w:szCs w:val="22"/>
        </w:rPr>
        <w:t>preexisting</w:t>
      </w:r>
      <w:r w:rsidRPr="00301931">
        <w:rPr>
          <w:rFonts w:ascii="Arial" w:eastAsia="Calibri" w:hAnsi="Arial" w:cs="Arial"/>
          <w:szCs w:val="22"/>
        </w:rPr>
        <w:t xml:space="preserve"> medical conditions, and patient adherence </w:t>
      </w:r>
      <w:bookmarkStart w:id="4" w:name="_Hlk215653024"/>
      <w:r w:rsidR="00006699" w:rsidRPr="00006699">
        <w:rPr>
          <w:rFonts w:ascii="Arial" w:hAnsi="Arial" w:cs="Arial"/>
        </w:rPr>
        <w:t>[</w:t>
      </w:r>
      <w:r w:rsidR="00FB7570">
        <w:rPr>
          <w:rFonts w:ascii="Arial" w:hAnsi="Arial" w:cs="Arial"/>
        </w:rPr>
        <w:t>6,7</w:t>
      </w:r>
      <w:r w:rsidR="00FB7570" w:rsidRPr="00FB7570">
        <w:rPr>
          <w:rFonts w:ascii="Arial" w:hAnsi="Arial" w:cs="Arial"/>
        </w:rPr>
        <w:t>,8</w:t>
      </w:r>
      <w:r w:rsidR="00006699" w:rsidRPr="00FB7570">
        <w:rPr>
          <w:rFonts w:ascii="Arial" w:hAnsi="Arial" w:cs="Arial"/>
        </w:rPr>
        <w:t>]</w:t>
      </w:r>
      <w:r w:rsidRPr="00FB7570">
        <w:rPr>
          <w:rFonts w:ascii="Arial" w:eastAsia="Calibri" w:hAnsi="Arial" w:cs="Arial"/>
          <w:szCs w:val="22"/>
        </w:rPr>
        <w:t>.</w:t>
      </w:r>
    </w:p>
    <w:bookmarkEnd w:id="4"/>
    <w:p w14:paraId="14D6C157" w14:textId="67F3A05E" w:rsidR="00301931" w:rsidRPr="00301931" w:rsidRDefault="007557A8" w:rsidP="00301931">
      <w:pPr>
        <w:pStyle w:val="Body"/>
        <w:rPr>
          <w:rFonts w:ascii="Arial" w:eastAsia="Calibri" w:hAnsi="Arial" w:cs="Arial"/>
          <w:szCs w:val="22"/>
        </w:rPr>
      </w:pPr>
      <w:r w:rsidRPr="00301931">
        <w:rPr>
          <w:rFonts w:ascii="Arial" w:eastAsia="Calibri" w:hAnsi="Arial" w:cs="Arial"/>
          <w:szCs w:val="22"/>
        </w:rPr>
        <w:t>Although</w:t>
      </w:r>
      <w:r w:rsidR="00301931" w:rsidRPr="00301931">
        <w:rPr>
          <w:rFonts w:ascii="Arial" w:eastAsia="Calibri" w:hAnsi="Arial" w:cs="Arial"/>
          <w:szCs w:val="22"/>
        </w:rPr>
        <w:t xml:space="preserve"> Antiretroviral Therapy (ART) has been highly effective in controlling HIV, its </w:t>
      </w:r>
      <w:r w:rsidRPr="00301931">
        <w:rPr>
          <w:rFonts w:ascii="Arial" w:eastAsia="Calibri" w:hAnsi="Arial" w:cs="Arial"/>
          <w:szCs w:val="22"/>
        </w:rPr>
        <w:t>long-term</w:t>
      </w:r>
      <w:r w:rsidR="00301931" w:rsidRPr="00301931">
        <w:rPr>
          <w:rFonts w:ascii="Arial" w:eastAsia="Calibri" w:hAnsi="Arial" w:cs="Arial"/>
          <w:szCs w:val="22"/>
        </w:rPr>
        <w:t xml:space="preserve"> use can be associated with various adverse effects, including metabolic complications, endocrine disturbances, renal dysfunction, and bone mineral density abnormalities </w:t>
      </w:r>
      <w:r w:rsidR="00006699" w:rsidRPr="00006699">
        <w:rPr>
          <w:rFonts w:ascii="Arial" w:hAnsi="Arial" w:cs="Arial"/>
        </w:rPr>
        <w:t>[</w:t>
      </w:r>
      <w:r w:rsidR="00FB7570">
        <w:rPr>
          <w:rFonts w:ascii="Arial" w:hAnsi="Arial" w:cs="Arial"/>
        </w:rPr>
        <w:t>9</w:t>
      </w:r>
      <w:r w:rsidR="00006699" w:rsidRPr="00006699">
        <w:rPr>
          <w:rFonts w:ascii="Arial" w:hAnsi="Arial" w:cs="Arial"/>
        </w:rPr>
        <w:t>]</w:t>
      </w:r>
      <w:r w:rsidR="00301931" w:rsidRPr="00006699">
        <w:rPr>
          <w:rFonts w:ascii="Arial" w:eastAsia="Calibri" w:hAnsi="Arial" w:cs="Arial"/>
          <w:szCs w:val="22"/>
        </w:rPr>
        <w:t xml:space="preserve">. </w:t>
      </w:r>
      <w:r w:rsidR="00301931" w:rsidRPr="00301931">
        <w:rPr>
          <w:rFonts w:ascii="Arial" w:eastAsia="Calibri" w:hAnsi="Arial" w:cs="Arial"/>
          <w:szCs w:val="22"/>
        </w:rPr>
        <w:t xml:space="preserve">These complications can significantly impact the overall health and </w:t>
      </w:r>
      <w:r w:rsidRPr="00301931">
        <w:rPr>
          <w:rFonts w:ascii="Arial" w:eastAsia="Calibri" w:hAnsi="Arial" w:cs="Arial"/>
          <w:szCs w:val="22"/>
        </w:rPr>
        <w:t>well-being</w:t>
      </w:r>
      <w:r w:rsidR="00301931" w:rsidRPr="00301931">
        <w:rPr>
          <w:rFonts w:ascii="Arial" w:eastAsia="Calibri" w:hAnsi="Arial" w:cs="Arial"/>
          <w:szCs w:val="22"/>
        </w:rPr>
        <w:t xml:space="preserve"> of people living with HIV (PLHIV), necessitating careful monitoring and management </w:t>
      </w:r>
      <w:r w:rsidR="00006699" w:rsidRPr="00006699">
        <w:rPr>
          <w:rFonts w:ascii="Arial" w:hAnsi="Arial" w:cs="Arial"/>
        </w:rPr>
        <w:t>[</w:t>
      </w:r>
      <w:r w:rsidR="00FB7570">
        <w:rPr>
          <w:rFonts w:ascii="Arial" w:hAnsi="Arial" w:cs="Arial"/>
        </w:rPr>
        <w:t>5,10</w:t>
      </w:r>
      <w:r w:rsidR="00006699" w:rsidRPr="00006699">
        <w:rPr>
          <w:rFonts w:ascii="Arial" w:hAnsi="Arial" w:cs="Arial"/>
        </w:rPr>
        <w:t>]</w:t>
      </w:r>
      <w:r w:rsidR="00FB7570">
        <w:rPr>
          <w:rFonts w:ascii="Arial" w:hAnsi="Arial" w:cs="Arial"/>
        </w:rPr>
        <w:t xml:space="preserve">. </w:t>
      </w:r>
      <w:r w:rsidR="00301931" w:rsidRPr="00301931">
        <w:rPr>
          <w:rFonts w:ascii="Arial" w:eastAsia="Calibri" w:hAnsi="Arial" w:cs="Arial"/>
          <w:szCs w:val="22"/>
        </w:rPr>
        <w:t xml:space="preserve">Beyond viral suppression, the </w:t>
      </w:r>
      <w:r w:rsidRPr="00301931">
        <w:rPr>
          <w:rFonts w:ascii="Arial" w:eastAsia="Calibri" w:hAnsi="Arial" w:cs="Arial"/>
          <w:szCs w:val="22"/>
        </w:rPr>
        <w:t>long-term</w:t>
      </w:r>
      <w:r w:rsidR="00301931" w:rsidRPr="00301931">
        <w:rPr>
          <w:rFonts w:ascii="Arial" w:eastAsia="Calibri" w:hAnsi="Arial" w:cs="Arial"/>
          <w:szCs w:val="22"/>
        </w:rPr>
        <w:t xml:space="preserve"> health of individuals on ART is increasingly a focus of research and clinical attention. Among the various physiological systems affected by HIV infection and its treatment, the endocrine system, particularly the </w:t>
      </w:r>
      <w:r w:rsidRPr="00301931">
        <w:rPr>
          <w:rFonts w:ascii="Arial" w:eastAsia="Calibri" w:hAnsi="Arial" w:cs="Arial"/>
          <w:szCs w:val="22"/>
        </w:rPr>
        <w:t>hypothalamic pituitary gonadal</w:t>
      </w:r>
      <w:r w:rsidR="00301931" w:rsidRPr="00301931">
        <w:rPr>
          <w:rFonts w:ascii="Arial" w:eastAsia="Calibri" w:hAnsi="Arial" w:cs="Arial"/>
          <w:szCs w:val="22"/>
        </w:rPr>
        <w:t xml:space="preserve"> (HPG) axis, is particularly vulnerable </w:t>
      </w:r>
      <w:r w:rsidR="00006699" w:rsidRPr="00006699">
        <w:rPr>
          <w:rFonts w:ascii="Arial" w:hAnsi="Arial" w:cs="Arial"/>
        </w:rPr>
        <w:t>[</w:t>
      </w:r>
      <w:r w:rsidR="00FB7570">
        <w:rPr>
          <w:rFonts w:ascii="Arial" w:hAnsi="Arial" w:cs="Arial"/>
        </w:rPr>
        <w:t>11,12</w:t>
      </w:r>
      <w:r w:rsidR="00006699" w:rsidRPr="00006699">
        <w:rPr>
          <w:rFonts w:ascii="Arial" w:hAnsi="Arial" w:cs="Arial"/>
        </w:rPr>
        <w:t>]</w:t>
      </w:r>
      <w:r w:rsidR="00301931" w:rsidRPr="00301931">
        <w:rPr>
          <w:rFonts w:ascii="Arial" w:eastAsia="Calibri" w:hAnsi="Arial" w:cs="Arial"/>
          <w:szCs w:val="22"/>
        </w:rPr>
        <w:t xml:space="preserve">. Luteinizing Hormone (LH), a gonadotropic hormone produced by the pituitary gland, is a crucial biomarker in this context. It plays a central role in regulating reproductive function by stimulating testosterone production in men and ovulation in women </w:t>
      </w:r>
      <w:r w:rsidR="00006699" w:rsidRPr="00006699">
        <w:rPr>
          <w:rFonts w:ascii="Arial" w:hAnsi="Arial" w:cs="Arial"/>
        </w:rPr>
        <w:t>[</w:t>
      </w:r>
      <w:r w:rsidR="00FB7570">
        <w:rPr>
          <w:rFonts w:ascii="Arial" w:hAnsi="Arial" w:cs="Arial"/>
        </w:rPr>
        <w:t>13,14</w:t>
      </w:r>
      <w:r w:rsidR="00006699" w:rsidRPr="00006699">
        <w:rPr>
          <w:rFonts w:ascii="Arial" w:hAnsi="Arial" w:cs="Arial"/>
        </w:rPr>
        <w:t>]</w:t>
      </w:r>
      <w:r w:rsidR="00301931" w:rsidRPr="00301931">
        <w:rPr>
          <w:rFonts w:ascii="Arial" w:eastAsia="Calibri" w:hAnsi="Arial" w:cs="Arial"/>
          <w:szCs w:val="22"/>
        </w:rPr>
        <w:t>.</w:t>
      </w:r>
    </w:p>
    <w:p w14:paraId="0DC3EFD0" w14:textId="36703920" w:rsidR="00301931" w:rsidRPr="00301931" w:rsidRDefault="00301931" w:rsidP="00301931">
      <w:pPr>
        <w:pStyle w:val="Body"/>
        <w:rPr>
          <w:rFonts w:ascii="Arial" w:eastAsia="Calibri" w:hAnsi="Arial" w:cs="Arial"/>
          <w:szCs w:val="22"/>
        </w:rPr>
      </w:pPr>
      <w:r w:rsidRPr="00301931">
        <w:rPr>
          <w:rFonts w:ascii="Arial" w:eastAsia="Calibri" w:hAnsi="Arial" w:cs="Arial"/>
          <w:szCs w:val="22"/>
        </w:rPr>
        <w:t>Disruptions in LH and other sex hormone levels are recognized as significant complications in PLHIV, both before and during ART. Hypogonadism, characterized by low levels of sex hormones like testosterone, is a common endocrine disorder in HIV infected men, with prevalence rates reported to be as high as 50% in some studies</w:t>
      </w:r>
      <w:r w:rsidR="006830E6">
        <w:rPr>
          <w:rFonts w:ascii="Arial" w:eastAsia="Calibri" w:hAnsi="Arial" w:cs="Arial"/>
          <w:szCs w:val="22"/>
        </w:rPr>
        <w:t>.</w:t>
      </w:r>
      <w:r w:rsidRPr="00301931">
        <w:rPr>
          <w:rFonts w:ascii="Arial" w:eastAsia="Calibri" w:hAnsi="Arial" w:cs="Arial"/>
          <w:szCs w:val="22"/>
        </w:rPr>
        <w:t xml:space="preserve"> This condition can be caused by defects at different levels of the HPG axis. While HIV infection itself can directly impact the testes (primary hypogonadism), a more frequent cause is a disruption at the level of the pituitary or hypothalamus (secondary or tertiary hypogonadism), which is reflected in inappropriately low or normal LH levels despite low testosterone</w:t>
      </w:r>
      <w:r w:rsidR="00006699" w:rsidRPr="00006699">
        <w:rPr>
          <w:rFonts w:ascii="Arial" w:hAnsi="Arial" w:cs="Arial"/>
        </w:rPr>
        <w:t xml:space="preserve"> [</w:t>
      </w:r>
      <w:r w:rsidR="006830E6">
        <w:rPr>
          <w:rFonts w:ascii="Arial" w:hAnsi="Arial" w:cs="Arial"/>
        </w:rPr>
        <w:t>11,12</w:t>
      </w:r>
      <w:r w:rsidR="00006699" w:rsidRPr="00006699">
        <w:rPr>
          <w:rFonts w:ascii="Arial" w:hAnsi="Arial" w:cs="Arial"/>
        </w:rPr>
        <w:t>]</w:t>
      </w:r>
      <w:r w:rsidRPr="00301931">
        <w:rPr>
          <w:rFonts w:ascii="Arial" w:eastAsia="Calibri" w:hAnsi="Arial" w:cs="Arial"/>
          <w:szCs w:val="22"/>
        </w:rPr>
        <w:t>.</w:t>
      </w:r>
    </w:p>
    <w:p w14:paraId="30D3C3CC" w14:textId="5BE423C0" w:rsidR="00301931" w:rsidRPr="00301931" w:rsidRDefault="00301931" w:rsidP="00301931">
      <w:pPr>
        <w:pStyle w:val="Body"/>
        <w:rPr>
          <w:rFonts w:ascii="Arial" w:eastAsia="Calibri" w:hAnsi="Arial" w:cs="Arial"/>
          <w:szCs w:val="22"/>
        </w:rPr>
      </w:pPr>
      <w:r w:rsidRPr="00301931">
        <w:rPr>
          <w:rFonts w:ascii="Arial" w:eastAsia="Calibri" w:hAnsi="Arial" w:cs="Arial"/>
          <w:szCs w:val="22"/>
        </w:rPr>
        <w:t xml:space="preserve">Alterations in LH levels are a key concern. While the chronic inflammation, weight loss, and opportunistic infections associated with untreated HIV can suppress the HPG axis and lead to low LH </w:t>
      </w:r>
      <w:r w:rsidR="006830E6" w:rsidRPr="00006699">
        <w:rPr>
          <w:rFonts w:ascii="Arial" w:hAnsi="Arial" w:cs="Arial"/>
        </w:rPr>
        <w:t>[</w:t>
      </w:r>
      <w:r w:rsidR="006830E6">
        <w:rPr>
          <w:rFonts w:ascii="Arial" w:hAnsi="Arial" w:cs="Arial"/>
        </w:rPr>
        <w:t>15</w:t>
      </w:r>
      <w:r w:rsidR="006830E6" w:rsidRPr="00006699">
        <w:rPr>
          <w:rFonts w:ascii="Arial" w:hAnsi="Arial" w:cs="Arial"/>
        </w:rPr>
        <w:t>]</w:t>
      </w:r>
      <w:r w:rsidRPr="00301931">
        <w:rPr>
          <w:rFonts w:ascii="Arial" w:eastAsia="Calibri" w:hAnsi="Arial" w:cs="Arial"/>
          <w:szCs w:val="22"/>
        </w:rPr>
        <w:t xml:space="preserve">, the effects of ART are complex. Some studies report that ART, particularly regimens containing protease inhibitors (PIs) or the </w:t>
      </w:r>
      <w:r w:rsidR="007557A8" w:rsidRPr="00301931">
        <w:rPr>
          <w:rFonts w:ascii="Arial" w:eastAsia="Calibri" w:hAnsi="Arial" w:cs="Arial"/>
          <w:szCs w:val="22"/>
        </w:rPr>
        <w:t>non-nucleoside</w:t>
      </w:r>
      <w:r w:rsidRPr="00301931">
        <w:rPr>
          <w:rFonts w:ascii="Arial" w:eastAsia="Calibri" w:hAnsi="Arial" w:cs="Arial"/>
          <w:szCs w:val="22"/>
        </w:rPr>
        <w:t xml:space="preserve"> reverse transcriptase inhibitor (NNRTI) efavirenz, may contribute to hormonal </w:t>
      </w:r>
      <w:r w:rsidR="006830E6" w:rsidRPr="00301931">
        <w:rPr>
          <w:rFonts w:ascii="Arial" w:eastAsia="Calibri" w:hAnsi="Arial" w:cs="Arial"/>
          <w:szCs w:val="22"/>
        </w:rPr>
        <w:t xml:space="preserve">disturbances </w:t>
      </w:r>
      <w:r w:rsidR="006830E6" w:rsidRPr="00006699">
        <w:rPr>
          <w:rFonts w:ascii="Arial" w:hAnsi="Arial" w:cs="Arial"/>
        </w:rPr>
        <w:t>[</w:t>
      </w:r>
      <w:r w:rsidR="006830E6">
        <w:rPr>
          <w:rFonts w:ascii="Arial" w:hAnsi="Arial" w:cs="Arial"/>
        </w:rPr>
        <w:t>11,12,16</w:t>
      </w:r>
      <w:r w:rsidR="00006699" w:rsidRPr="00006699">
        <w:rPr>
          <w:rFonts w:ascii="Arial" w:hAnsi="Arial" w:cs="Arial"/>
        </w:rPr>
        <w:t>]</w:t>
      </w:r>
      <w:r w:rsidRPr="00301931">
        <w:rPr>
          <w:rFonts w:ascii="Arial" w:eastAsia="Calibri" w:hAnsi="Arial" w:cs="Arial"/>
          <w:szCs w:val="22"/>
        </w:rPr>
        <w:t xml:space="preserve">. For instance, efavirenz has been shown to have effects on sex hormone metabolism, and some PIs have </w:t>
      </w:r>
      <w:r w:rsidRPr="00301931">
        <w:rPr>
          <w:rFonts w:ascii="Arial" w:eastAsia="Calibri" w:hAnsi="Arial" w:cs="Arial"/>
          <w:szCs w:val="22"/>
        </w:rPr>
        <w:lastRenderedPageBreak/>
        <w:t xml:space="preserve">been linked to altered body composition and metabolic changes that can indirectly affect gonadal function </w:t>
      </w:r>
      <w:r w:rsidR="00006699" w:rsidRPr="00006699">
        <w:rPr>
          <w:rFonts w:ascii="Arial" w:hAnsi="Arial" w:cs="Arial"/>
        </w:rPr>
        <w:t>[</w:t>
      </w:r>
      <w:r w:rsidR="006830E6">
        <w:rPr>
          <w:rFonts w:ascii="Arial" w:hAnsi="Arial" w:cs="Arial"/>
        </w:rPr>
        <w:t>17</w:t>
      </w:r>
      <w:r w:rsidR="00006699" w:rsidRPr="00006699">
        <w:rPr>
          <w:rFonts w:ascii="Arial" w:hAnsi="Arial" w:cs="Arial"/>
        </w:rPr>
        <w:t>]</w:t>
      </w:r>
      <w:r w:rsidRPr="00301931">
        <w:rPr>
          <w:rFonts w:ascii="Arial" w:eastAsia="Calibri" w:hAnsi="Arial" w:cs="Arial"/>
          <w:szCs w:val="22"/>
        </w:rPr>
        <w:t>.</w:t>
      </w:r>
    </w:p>
    <w:p w14:paraId="13D416D9" w14:textId="786A6A98" w:rsidR="00B01FCD" w:rsidRDefault="00301931" w:rsidP="00301931">
      <w:pPr>
        <w:pStyle w:val="Body"/>
        <w:spacing w:after="0"/>
        <w:rPr>
          <w:rFonts w:ascii="Arial" w:hAnsi="Arial" w:cs="Arial"/>
        </w:rPr>
      </w:pPr>
      <w:r w:rsidRPr="00301931">
        <w:rPr>
          <w:rFonts w:ascii="Arial" w:eastAsia="Calibri" w:hAnsi="Arial" w:cs="Arial"/>
          <w:szCs w:val="22"/>
        </w:rPr>
        <w:t xml:space="preserve">Furthermore, the return to health phenomenon seen with successful ART does not always lead to a complete normalization of the HPG axis, testosterone levels may improve with viral suppression and improved health, LH levels can remain dysregulated, suggesting a persistent central defect </w:t>
      </w:r>
      <w:r w:rsidR="00006699" w:rsidRPr="00006699">
        <w:rPr>
          <w:rFonts w:ascii="Arial" w:hAnsi="Arial" w:cs="Arial"/>
        </w:rPr>
        <w:t>[</w:t>
      </w:r>
      <w:r w:rsidR="006830E6">
        <w:rPr>
          <w:rFonts w:ascii="Arial" w:hAnsi="Arial" w:cs="Arial"/>
        </w:rPr>
        <w:t>18,19</w:t>
      </w:r>
      <w:r w:rsidR="00006699" w:rsidRPr="00006699">
        <w:rPr>
          <w:rFonts w:ascii="Arial" w:hAnsi="Arial" w:cs="Arial"/>
        </w:rPr>
        <w:t>]</w:t>
      </w:r>
      <w:r w:rsidRPr="00301931">
        <w:rPr>
          <w:rFonts w:ascii="Arial" w:eastAsia="Calibri" w:hAnsi="Arial" w:cs="Arial"/>
          <w:szCs w:val="22"/>
        </w:rPr>
        <w:t>. This ongoing endocrine disruption can lead to significant clinical consequences, including decreased libido, erectile dysfunction, loss of muscle mass and bone density, fatigue, and depression, all of which substantially impair the quality of life for PLHIV</w:t>
      </w:r>
      <w:r w:rsidR="006830E6">
        <w:rPr>
          <w:rFonts w:ascii="Arial" w:eastAsia="Calibri" w:hAnsi="Arial" w:cs="Arial"/>
          <w:szCs w:val="22"/>
        </w:rPr>
        <w:t>.</w:t>
      </w:r>
      <w:r w:rsidRPr="00301931">
        <w:rPr>
          <w:rFonts w:ascii="Arial" w:eastAsia="Calibri" w:hAnsi="Arial" w:cs="Arial"/>
          <w:szCs w:val="22"/>
        </w:rPr>
        <w:t xml:space="preserve"> The interplay between the HIV virus itself, the associated chronic inflammation, and the specific effects of different ART drugs creates a complex endocrine environment that predisposes PLHIV to these hormonal imbalances </w:t>
      </w:r>
      <w:r w:rsidR="00006699" w:rsidRPr="00006699">
        <w:rPr>
          <w:rFonts w:ascii="Arial" w:hAnsi="Arial" w:cs="Arial"/>
        </w:rPr>
        <w:t>[</w:t>
      </w:r>
      <w:r w:rsidR="006830E6">
        <w:rPr>
          <w:rFonts w:ascii="Arial" w:hAnsi="Arial" w:cs="Arial"/>
        </w:rPr>
        <w:t>11,12</w:t>
      </w:r>
      <w:r w:rsidR="00006699" w:rsidRPr="00006699">
        <w:rPr>
          <w:rFonts w:ascii="Arial" w:hAnsi="Arial" w:cs="Arial"/>
        </w:rPr>
        <w:t>]</w:t>
      </w:r>
      <w:r w:rsidRPr="00301931">
        <w:rPr>
          <w:rFonts w:ascii="Arial" w:eastAsia="Calibri" w:hAnsi="Arial" w:cs="Arial"/>
          <w:szCs w:val="22"/>
        </w:rPr>
        <w:t>.</w:t>
      </w:r>
      <w:r w:rsidR="007557A8">
        <w:rPr>
          <w:rFonts w:ascii="Arial" w:eastAsia="Calibri" w:hAnsi="Arial" w:cs="Arial"/>
          <w:szCs w:val="22"/>
        </w:rPr>
        <w:t xml:space="preserve"> The aim of this study was </w:t>
      </w:r>
      <w:r w:rsidR="007557A8" w:rsidRPr="0083483D">
        <w:rPr>
          <w:rFonts w:ascii="Arial" w:eastAsia="Calibri" w:hAnsi="Arial" w:cs="Arial"/>
          <w:szCs w:val="22"/>
        </w:rPr>
        <w:t>to assess serum phosphate and</w:t>
      </w:r>
      <w:r w:rsidR="007557A8">
        <w:t xml:space="preserve"> </w:t>
      </w:r>
      <w:r w:rsidR="00AA2D8D">
        <w:rPr>
          <w:rFonts w:ascii="Arial" w:eastAsia="Calibri" w:hAnsi="Arial" w:cs="Arial"/>
          <w:szCs w:val="22"/>
        </w:rPr>
        <w:t>l</w:t>
      </w:r>
      <w:r w:rsidR="00AA2D8D" w:rsidRPr="00B73DDD">
        <w:rPr>
          <w:rFonts w:ascii="Arial" w:eastAsia="Calibri" w:hAnsi="Arial" w:cs="Arial"/>
          <w:szCs w:val="22"/>
        </w:rPr>
        <w:t>uteinizing</w:t>
      </w:r>
      <w:r w:rsidR="007557A8" w:rsidRPr="00B73DDD">
        <w:rPr>
          <w:rFonts w:ascii="Arial" w:eastAsia="Calibri" w:hAnsi="Arial" w:cs="Arial"/>
          <w:szCs w:val="22"/>
        </w:rPr>
        <w:t xml:space="preserve"> </w:t>
      </w:r>
      <w:r w:rsidR="007557A8">
        <w:rPr>
          <w:rFonts w:ascii="Arial" w:eastAsia="Calibri" w:hAnsi="Arial" w:cs="Arial"/>
          <w:szCs w:val="22"/>
        </w:rPr>
        <w:t>h</w:t>
      </w:r>
      <w:r w:rsidR="007557A8" w:rsidRPr="00B73DDD">
        <w:rPr>
          <w:rFonts w:ascii="Arial" w:eastAsia="Calibri" w:hAnsi="Arial" w:cs="Arial"/>
          <w:szCs w:val="22"/>
        </w:rPr>
        <w:t>ormone</w:t>
      </w:r>
      <w:r w:rsidR="007557A8" w:rsidRPr="0083483D">
        <w:rPr>
          <w:rFonts w:ascii="Arial" w:eastAsia="Calibri" w:hAnsi="Arial" w:cs="Arial"/>
          <w:szCs w:val="22"/>
        </w:rPr>
        <w:t xml:space="preserve"> </w:t>
      </w:r>
      <w:r w:rsidR="007557A8">
        <w:rPr>
          <w:rFonts w:ascii="Arial" w:eastAsia="Calibri" w:hAnsi="Arial" w:cs="Arial"/>
          <w:szCs w:val="22"/>
        </w:rPr>
        <w:t>(</w:t>
      </w:r>
      <w:r w:rsidR="007557A8" w:rsidRPr="0083483D">
        <w:rPr>
          <w:rFonts w:ascii="Arial" w:eastAsia="Calibri" w:hAnsi="Arial" w:cs="Arial"/>
          <w:szCs w:val="22"/>
        </w:rPr>
        <w:t>LH</w:t>
      </w:r>
      <w:r w:rsidR="007557A8">
        <w:rPr>
          <w:rFonts w:ascii="Arial" w:eastAsia="Calibri" w:hAnsi="Arial" w:cs="Arial"/>
          <w:szCs w:val="22"/>
        </w:rPr>
        <w:t>)</w:t>
      </w:r>
      <w:r w:rsidR="007557A8" w:rsidRPr="0083483D">
        <w:rPr>
          <w:rFonts w:ascii="Arial" w:eastAsia="Calibri" w:hAnsi="Arial" w:cs="Arial"/>
          <w:szCs w:val="22"/>
        </w:rPr>
        <w:t xml:space="preserve"> levels in HIV patients on </w:t>
      </w:r>
      <w:r w:rsidR="007557A8">
        <w:rPr>
          <w:rFonts w:ascii="Arial" w:eastAsia="Calibri" w:hAnsi="Arial" w:cs="Arial"/>
          <w:szCs w:val="22"/>
        </w:rPr>
        <w:t>a</w:t>
      </w:r>
      <w:r w:rsidR="007557A8" w:rsidRPr="00B73DDD">
        <w:rPr>
          <w:rFonts w:ascii="Arial" w:eastAsia="Calibri" w:hAnsi="Arial" w:cs="Arial"/>
          <w:szCs w:val="22"/>
        </w:rPr>
        <w:t xml:space="preserve">ntiretroviral </w:t>
      </w:r>
      <w:r w:rsidR="007557A8">
        <w:rPr>
          <w:rFonts w:ascii="Arial" w:eastAsia="Calibri" w:hAnsi="Arial" w:cs="Arial"/>
          <w:szCs w:val="22"/>
        </w:rPr>
        <w:t>t</w:t>
      </w:r>
      <w:r w:rsidR="007557A8" w:rsidRPr="00B73DDD">
        <w:rPr>
          <w:rFonts w:ascii="Arial" w:eastAsia="Calibri" w:hAnsi="Arial" w:cs="Arial"/>
          <w:szCs w:val="22"/>
        </w:rPr>
        <w:t xml:space="preserve">herapy </w:t>
      </w:r>
      <w:r w:rsidR="007557A8">
        <w:rPr>
          <w:rFonts w:ascii="Arial" w:eastAsia="Calibri" w:hAnsi="Arial" w:cs="Arial"/>
          <w:szCs w:val="22"/>
        </w:rPr>
        <w:t>(</w:t>
      </w:r>
      <w:r w:rsidR="007557A8" w:rsidRPr="0083483D">
        <w:rPr>
          <w:rFonts w:ascii="Arial" w:eastAsia="Calibri" w:hAnsi="Arial" w:cs="Arial"/>
          <w:szCs w:val="22"/>
        </w:rPr>
        <w:t>ART</w:t>
      </w:r>
      <w:r w:rsidR="007557A8">
        <w:rPr>
          <w:rFonts w:ascii="Arial" w:eastAsia="Calibri" w:hAnsi="Arial" w:cs="Arial"/>
          <w:szCs w:val="22"/>
        </w:rPr>
        <w:t>)</w:t>
      </w:r>
      <w:r w:rsidR="007557A8" w:rsidRPr="0083483D">
        <w:rPr>
          <w:rFonts w:ascii="Arial" w:eastAsia="Calibri" w:hAnsi="Arial" w:cs="Arial"/>
          <w:szCs w:val="22"/>
        </w:rPr>
        <w:t xml:space="preserve"> attending Rivers State University Teaching Hospital in Port Harcourt, Nigeria.</w:t>
      </w:r>
    </w:p>
    <w:p w14:paraId="4A7D3A81" w14:textId="77777777" w:rsidR="00790ADA" w:rsidRPr="00FB3A86" w:rsidRDefault="00790ADA" w:rsidP="00441B6F">
      <w:pPr>
        <w:pStyle w:val="Body"/>
        <w:spacing w:after="0"/>
        <w:rPr>
          <w:rFonts w:ascii="Arial" w:hAnsi="Arial" w:cs="Arial"/>
        </w:rPr>
      </w:pPr>
    </w:p>
    <w:p w14:paraId="413A3F21" w14:textId="2C4A0290" w:rsidR="007F7B32" w:rsidRDefault="00902823" w:rsidP="00ED4774">
      <w:pPr>
        <w:pStyle w:val="AbstHead"/>
        <w:jc w:val="both"/>
        <w:rPr>
          <w:rFonts w:ascii="Arial" w:hAnsi="Arial" w:cs="Arial"/>
        </w:rPr>
      </w:pPr>
      <w:r>
        <w:rPr>
          <w:rFonts w:ascii="Arial" w:hAnsi="Arial" w:cs="Arial"/>
        </w:rPr>
        <w:t>2. material</w:t>
      </w:r>
      <w:r w:rsidR="00401964">
        <w:rPr>
          <w:rFonts w:ascii="Arial" w:hAnsi="Arial" w:cs="Arial"/>
        </w:rPr>
        <w:t>S</w:t>
      </w:r>
      <w:r>
        <w:rPr>
          <w:rFonts w:ascii="Arial" w:hAnsi="Arial" w:cs="Arial"/>
        </w:rPr>
        <w:t xml:space="preserve"> and method</w:t>
      </w:r>
      <w:r w:rsidR="00000F8F">
        <w:rPr>
          <w:rFonts w:ascii="Arial" w:hAnsi="Arial" w:cs="Arial"/>
        </w:rPr>
        <w:t xml:space="preserve">s </w:t>
      </w:r>
    </w:p>
    <w:p w14:paraId="101DF159" w14:textId="7008E85F" w:rsidR="00ED4774" w:rsidRPr="00ED4774" w:rsidRDefault="00ED4774" w:rsidP="00ED4774">
      <w:pPr>
        <w:pStyle w:val="Body"/>
        <w:spacing w:after="0"/>
        <w:rPr>
          <w:rFonts w:ascii="Arial" w:eastAsia="Calibri" w:hAnsi="Arial" w:cs="Arial"/>
          <w:b/>
          <w:bCs/>
          <w:sz w:val="22"/>
          <w:szCs w:val="24"/>
        </w:rPr>
      </w:pPr>
      <w:r w:rsidRPr="00ED4774">
        <w:rPr>
          <w:rFonts w:ascii="Arial" w:hAnsi="Arial" w:cs="Arial"/>
          <w:b/>
          <w:bCs/>
          <w:sz w:val="22"/>
          <w:szCs w:val="22"/>
        </w:rPr>
        <w:t>2.1</w:t>
      </w:r>
      <w:r w:rsidR="0066510A" w:rsidRPr="00ED4774">
        <w:rPr>
          <w:rFonts w:ascii="Arial" w:eastAsia="Calibri" w:hAnsi="Arial" w:cs="Arial"/>
          <w:b/>
          <w:bCs/>
          <w:sz w:val="22"/>
          <w:szCs w:val="24"/>
        </w:rPr>
        <w:t xml:space="preserve"> </w:t>
      </w:r>
      <w:r w:rsidRPr="00ED4774">
        <w:rPr>
          <w:rFonts w:ascii="Arial" w:eastAsia="Calibri" w:hAnsi="Arial" w:cs="Arial"/>
          <w:b/>
          <w:bCs/>
          <w:sz w:val="22"/>
          <w:szCs w:val="24"/>
        </w:rPr>
        <w:t>Study Design</w:t>
      </w:r>
    </w:p>
    <w:p w14:paraId="1151C696" w14:textId="70857B07" w:rsidR="00790ADA" w:rsidRDefault="00ED4774" w:rsidP="00ED4774">
      <w:pPr>
        <w:pStyle w:val="Body"/>
        <w:spacing w:after="0"/>
        <w:rPr>
          <w:rFonts w:ascii="Arial" w:eastAsia="Calibri" w:hAnsi="Arial" w:cs="Arial"/>
          <w:szCs w:val="22"/>
        </w:rPr>
      </w:pPr>
      <w:r w:rsidRPr="00ED4774">
        <w:rPr>
          <w:rFonts w:ascii="Arial" w:eastAsia="Calibri" w:hAnsi="Arial" w:cs="Arial"/>
          <w:szCs w:val="22"/>
        </w:rPr>
        <w:t>The study employed analytical cross</w:t>
      </w:r>
      <w:r>
        <w:rPr>
          <w:rFonts w:ascii="Arial" w:eastAsia="Calibri" w:hAnsi="Arial" w:cs="Arial"/>
          <w:szCs w:val="22"/>
        </w:rPr>
        <w:t>-</w:t>
      </w:r>
      <w:r w:rsidRPr="00ED4774">
        <w:rPr>
          <w:rFonts w:ascii="Arial" w:eastAsia="Calibri" w:hAnsi="Arial" w:cs="Arial"/>
          <w:szCs w:val="22"/>
        </w:rPr>
        <w:t>sectional design to determine the serum phosphate and Luteinizing Hormone (LH) levels among HIV positive patients on Antiretroviral Therapy (ART) in Port Harcourt, Nigeria.</w:t>
      </w:r>
    </w:p>
    <w:p w14:paraId="0F3F5A74" w14:textId="6AE71641" w:rsidR="00ED4774" w:rsidRPr="00ED4774" w:rsidRDefault="00ED4774" w:rsidP="00ED4774">
      <w:pPr>
        <w:pStyle w:val="Body"/>
        <w:spacing w:before="240" w:after="0"/>
        <w:rPr>
          <w:rFonts w:ascii="Arial" w:eastAsia="Calibri" w:hAnsi="Arial" w:cs="Arial"/>
          <w:b/>
          <w:bCs/>
          <w:sz w:val="22"/>
          <w:szCs w:val="24"/>
        </w:rPr>
      </w:pPr>
      <w:r w:rsidRPr="00ED4774">
        <w:rPr>
          <w:rFonts w:ascii="Arial" w:eastAsia="Calibri" w:hAnsi="Arial" w:cs="Arial"/>
          <w:b/>
          <w:bCs/>
          <w:sz w:val="22"/>
          <w:szCs w:val="24"/>
        </w:rPr>
        <w:t xml:space="preserve">2.2 Study Area </w:t>
      </w:r>
    </w:p>
    <w:p w14:paraId="5AD78B53" w14:textId="106012E1" w:rsidR="00483C4E" w:rsidRDefault="00ED4774" w:rsidP="00483C4E">
      <w:pPr>
        <w:pStyle w:val="Body"/>
      </w:pPr>
      <w:r w:rsidRPr="00ED4774">
        <w:rPr>
          <w:rFonts w:ascii="Arial" w:eastAsia="Calibri" w:hAnsi="Arial" w:cs="Arial"/>
          <w:szCs w:val="22"/>
        </w:rPr>
        <w:t xml:space="preserve">This study was carried out in Port Harcourt, Nigeria. Port Harcourt is the capital of Rivers </w:t>
      </w:r>
      <w:r w:rsidR="007557A8" w:rsidRPr="00ED4774">
        <w:rPr>
          <w:rFonts w:ascii="Arial" w:eastAsia="Calibri" w:hAnsi="Arial" w:cs="Arial"/>
          <w:szCs w:val="22"/>
        </w:rPr>
        <w:t>State</w:t>
      </w:r>
      <w:r w:rsidRPr="00ED4774">
        <w:rPr>
          <w:rFonts w:ascii="Arial" w:eastAsia="Calibri" w:hAnsi="Arial" w:cs="Arial"/>
          <w:szCs w:val="22"/>
        </w:rPr>
        <w:t xml:space="preserve"> (with 23 local government areas).</w:t>
      </w:r>
      <w:r w:rsidR="00006699">
        <w:rPr>
          <w:rFonts w:ascii="Arial" w:eastAsia="Calibri" w:hAnsi="Arial" w:cs="Arial"/>
          <w:szCs w:val="22"/>
        </w:rPr>
        <w:t xml:space="preserve"> </w:t>
      </w:r>
      <w:r w:rsidRPr="00ED4774">
        <w:rPr>
          <w:rFonts w:ascii="Arial" w:eastAsia="Calibri" w:hAnsi="Arial" w:cs="Arial"/>
          <w:szCs w:val="22"/>
        </w:rPr>
        <w:t xml:space="preserve">Port Harcourt is a metropolis that is considered the commercial </w:t>
      </w:r>
      <w:r w:rsidR="00442ECF" w:rsidRPr="00ED4774">
        <w:rPr>
          <w:rFonts w:ascii="Arial" w:eastAsia="Calibri" w:hAnsi="Arial" w:cs="Arial"/>
          <w:szCs w:val="22"/>
        </w:rPr>
        <w:t>Centre</w:t>
      </w:r>
      <w:r w:rsidRPr="00ED4774">
        <w:rPr>
          <w:rFonts w:ascii="Arial" w:eastAsia="Calibri" w:hAnsi="Arial" w:cs="Arial"/>
          <w:szCs w:val="22"/>
        </w:rPr>
        <w:t xml:space="preserve"> of the Nigeria oil Industry with an estimated population of 1,148,665. It is a major industrial </w:t>
      </w:r>
      <w:r w:rsidR="00442ECF" w:rsidRPr="00ED4774">
        <w:rPr>
          <w:rFonts w:ascii="Arial" w:eastAsia="Calibri" w:hAnsi="Arial" w:cs="Arial"/>
          <w:szCs w:val="22"/>
        </w:rPr>
        <w:t>Centre</w:t>
      </w:r>
      <w:r w:rsidRPr="00ED4774">
        <w:rPr>
          <w:rFonts w:ascii="Arial" w:eastAsia="Calibri" w:hAnsi="Arial" w:cs="Arial"/>
          <w:szCs w:val="22"/>
        </w:rPr>
        <w:t xml:space="preserve"> as it has many multinational firms as well as other industrial concerns, particularly business related to the petroleum industry.</w:t>
      </w:r>
      <w:r w:rsidR="00483C4E" w:rsidRPr="00483C4E">
        <w:t xml:space="preserve"> </w:t>
      </w:r>
    </w:p>
    <w:p w14:paraId="60F8CB7C" w14:textId="77777777" w:rsidR="00B95029" w:rsidRPr="0065420A" w:rsidRDefault="00B95029" w:rsidP="00B95029">
      <w:pPr>
        <w:pStyle w:val="Body"/>
        <w:rPr>
          <w:rFonts w:ascii="Arial" w:eastAsia="Calibri" w:hAnsi="Arial" w:cs="Arial"/>
          <w:szCs w:val="22"/>
        </w:rPr>
      </w:pPr>
      <w:r>
        <w:rPr>
          <w:rFonts w:ascii="Arial" w:eastAsia="Calibri" w:hAnsi="Arial" w:cs="Arial"/>
          <w:noProof/>
          <w:szCs w:val="22"/>
        </w:rPr>
        <w:drawing>
          <wp:inline distT="0" distB="0" distL="0" distR="0" wp14:anchorId="6B45D408" wp14:editId="70E43322">
            <wp:extent cx="5359400" cy="3395980"/>
            <wp:effectExtent l="0" t="0" r="0" b="0"/>
            <wp:docPr id="307803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9400" cy="3395980"/>
                    </a:xfrm>
                    <a:prstGeom prst="rect">
                      <a:avLst/>
                    </a:prstGeom>
                    <a:noFill/>
                  </pic:spPr>
                </pic:pic>
              </a:graphicData>
            </a:graphic>
          </wp:inline>
        </w:drawing>
      </w:r>
    </w:p>
    <w:p w14:paraId="43A35021" w14:textId="5CE13180" w:rsidR="00B95029" w:rsidRPr="00B95029" w:rsidRDefault="00B95029" w:rsidP="00B95029">
      <w:pPr>
        <w:pStyle w:val="Body"/>
        <w:rPr>
          <w:rFonts w:ascii="Arial" w:eastAsia="Calibri" w:hAnsi="Arial" w:cs="Arial"/>
          <w:b/>
          <w:bCs/>
          <w:szCs w:val="22"/>
        </w:rPr>
      </w:pPr>
      <w:r w:rsidRPr="0065420A">
        <w:rPr>
          <w:rFonts w:ascii="Arial" w:eastAsia="Calibri" w:hAnsi="Arial" w:cs="Arial"/>
          <w:szCs w:val="22"/>
        </w:rPr>
        <w:lastRenderedPageBreak/>
        <w:t xml:space="preserve"> </w:t>
      </w:r>
      <w:r w:rsidRPr="00B95029">
        <w:rPr>
          <w:rFonts w:ascii="Arial" w:eastAsia="Calibri" w:hAnsi="Arial" w:cs="Arial"/>
          <w:b/>
          <w:bCs/>
          <w:szCs w:val="22"/>
        </w:rPr>
        <w:t xml:space="preserve">Figure 1 Map of Rivers State showing where Rivers State University Teaching Hospital is located </w:t>
      </w:r>
    </w:p>
    <w:p w14:paraId="40BE2072" w14:textId="27ACA72E" w:rsidR="00483C4E" w:rsidRPr="00483C4E" w:rsidRDefault="00483C4E" w:rsidP="00483C4E">
      <w:pPr>
        <w:pStyle w:val="Body"/>
        <w:spacing w:after="0"/>
        <w:rPr>
          <w:rFonts w:ascii="Arial" w:eastAsia="Calibri" w:hAnsi="Arial" w:cs="Arial"/>
          <w:b/>
          <w:bCs/>
          <w:sz w:val="22"/>
          <w:szCs w:val="24"/>
        </w:rPr>
      </w:pPr>
      <w:r w:rsidRPr="00483C4E">
        <w:rPr>
          <w:rFonts w:ascii="Arial" w:eastAsia="Calibri" w:hAnsi="Arial" w:cs="Arial"/>
          <w:b/>
          <w:bCs/>
          <w:sz w:val="22"/>
          <w:szCs w:val="24"/>
        </w:rPr>
        <w:t>2.3 Study Population</w:t>
      </w:r>
    </w:p>
    <w:p w14:paraId="0974B25A" w14:textId="515E7AAF" w:rsidR="00ED4774" w:rsidRDefault="00483C4E" w:rsidP="00483C4E">
      <w:pPr>
        <w:pStyle w:val="Body"/>
        <w:spacing w:after="0"/>
        <w:rPr>
          <w:rFonts w:ascii="Arial" w:eastAsia="Calibri" w:hAnsi="Arial" w:cs="Arial"/>
          <w:szCs w:val="22"/>
        </w:rPr>
      </w:pPr>
      <w:r w:rsidRPr="00483C4E">
        <w:rPr>
          <w:rFonts w:ascii="Arial" w:eastAsia="Calibri" w:hAnsi="Arial" w:cs="Arial"/>
          <w:szCs w:val="22"/>
        </w:rPr>
        <w:t xml:space="preserve">The study population consisted of adult HIV positive </w:t>
      </w:r>
      <w:r w:rsidR="007557A8">
        <w:rPr>
          <w:rFonts w:ascii="Arial" w:eastAsia="Calibri" w:hAnsi="Arial" w:cs="Arial"/>
          <w:szCs w:val="22"/>
        </w:rPr>
        <w:t>subjects</w:t>
      </w:r>
      <w:r w:rsidRPr="00483C4E">
        <w:rPr>
          <w:rFonts w:ascii="Arial" w:eastAsia="Calibri" w:hAnsi="Arial" w:cs="Arial"/>
          <w:szCs w:val="22"/>
        </w:rPr>
        <w:t xml:space="preserve"> attending the Rivers State University Teaching Hospita</w:t>
      </w:r>
      <w:r w:rsidR="006019DF">
        <w:rPr>
          <w:rFonts w:ascii="Arial" w:eastAsia="Calibri" w:hAnsi="Arial" w:cs="Arial"/>
          <w:szCs w:val="22"/>
        </w:rPr>
        <w:t xml:space="preserve">l </w:t>
      </w:r>
      <w:r w:rsidRPr="00483C4E">
        <w:rPr>
          <w:rFonts w:ascii="Arial" w:eastAsia="Calibri" w:hAnsi="Arial" w:cs="Arial"/>
          <w:szCs w:val="22"/>
        </w:rPr>
        <w:t xml:space="preserve">in Port Harcourt, Nigeria, who were on stable antiretroviral therapy for at least six months. This duration was chosen to ensure patients </w:t>
      </w:r>
      <w:r w:rsidR="007557A8" w:rsidRPr="00483C4E">
        <w:rPr>
          <w:rFonts w:ascii="Arial" w:eastAsia="Calibri" w:hAnsi="Arial" w:cs="Arial"/>
          <w:szCs w:val="22"/>
        </w:rPr>
        <w:t>achieved</w:t>
      </w:r>
      <w:r w:rsidRPr="00483C4E">
        <w:rPr>
          <w:rFonts w:ascii="Arial" w:eastAsia="Calibri" w:hAnsi="Arial" w:cs="Arial"/>
          <w:szCs w:val="22"/>
        </w:rPr>
        <w:t xml:space="preserve"> a stable state of viral suppression and to allow for the potential development of </w:t>
      </w:r>
      <w:r w:rsidR="00006699" w:rsidRPr="00483C4E">
        <w:rPr>
          <w:rFonts w:ascii="Arial" w:eastAsia="Calibri" w:hAnsi="Arial" w:cs="Arial"/>
          <w:szCs w:val="22"/>
        </w:rPr>
        <w:t>ART related</w:t>
      </w:r>
      <w:r w:rsidRPr="00483C4E">
        <w:rPr>
          <w:rFonts w:ascii="Arial" w:eastAsia="Calibri" w:hAnsi="Arial" w:cs="Arial"/>
          <w:szCs w:val="22"/>
        </w:rPr>
        <w:t xml:space="preserve"> metabolic and endocrine side effects. The study included both male and female patients to allow for the exploration of gender specific differences.</w:t>
      </w:r>
    </w:p>
    <w:p w14:paraId="7C9D27D7" w14:textId="4EC10202" w:rsidR="00483C4E" w:rsidRPr="00483C4E" w:rsidRDefault="003C6EE7" w:rsidP="007557A8">
      <w:pPr>
        <w:pStyle w:val="Body"/>
        <w:spacing w:before="240"/>
        <w:rPr>
          <w:rFonts w:ascii="Arial" w:eastAsia="Calibri" w:hAnsi="Arial" w:cs="Arial"/>
          <w:b/>
          <w:bCs/>
          <w:sz w:val="22"/>
          <w:szCs w:val="24"/>
        </w:rPr>
      </w:pPr>
      <w:r>
        <w:rPr>
          <w:rFonts w:ascii="Arial" w:eastAsia="Calibri" w:hAnsi="Arial" w:cs="Arial"/>
          <w:b/>
          <w:bCs/>
          <w:sz w:val="22"/>
          <w:szCs w:val="24"/>
        </w:rPr>
        <w:t>2</w:t>
      </w:r>
      <w:r w:rsidR="00483C4E" w:rsidRPr="00483C4E">
        <w:rPr>
          <w:rFonts w:ascii="Arial" w:eastAsia="Calibri" w:hAnsi="Arial" w:cs="Arial"/>
          <w:b/>
          <w:bCs/>
          <w:sz w:val="22"/>
          <w:szCs w:val="24"/>
        </w:rPr>
        <w:t>.4. Eligibility Criteria</w:t>
      </w:r>
    </w:p>
    <w:p w14:paraId="24DCB847" w14:textId="4638E8C2" w:rsidR="00483C4E" w:rsidRPr="007557A8" w:rsidRDefault="003C6EE7" w:rsidP="007557A8">
      <w:pPr>
        <w:pStyle w:val="Body"/>
        <w:spacing w:after="0"/>
        <w:rPr>
          <w:rFonts w:ascii="Arial" w:eastAsia="Calibri" w:hAnsi="Arial" w:cs="Arial"/>
          <w:b/>
          <w:bCs/>
          <w:szCs w:val="22"/>
        </w:rPr>
      </w:pPr>
      <w:r>
        <w:rPr>
          <w:rFonts w:ascii="Arial" w:eastAsia="Calibri" w:hAnsi="Arial" w:cs="Arial"/>
          <w:b/>
          <w:bCs/>
          <w:szCs w:val="22"/>
        </w:rPr>
        <w:t>2</w:t>
      </w:r>
      <w:r w:rsidR="00483C4E" w:rsidRPr="007557A8">
        <w:rPr>
          <w:rFonts w:ascii="Arial" w:eastAsia="Calibri" w:hAnsi="Arial" w:cs="Arial"/>
          <w:b/>
          <w:bCs/>
          <w:szCs w:val="22"/>
        </w:rPr>
        <w:t>.4.1 Inclusion Criteria:</w:t>
      </w:r>
    </w:p>
    <w:p w14:paraId="42964DC4" w14:textId="3FAB129C" w:rsidR="00483C4E" w:rsidRPr="00483C4E" w:rsidRDefault="00483C4E" w:rsidP="007557A8">
      <w:pPr>
        <w:pStyle w:val="Body"/>
        <w:spacing w:after="0"/>
        <w:rPr>
          <w:rFonts w:ascii="Arial" w:eastAsia="Calibri" w:hAnsi="Arial" w:cs="Arial"/>
          <w:szCs w:val="22"/>
        </w:rPr>
      </w:pPr>
      <w:r w:rsidRPr="00483C4E">
        <w:rPr>
          <w:rFonts w:ascii="Arial" w:eastAsia="Calibri" w:hAnsi="Arial" w:cs="Arial"/>
          <w:szCs w:val="22"/>
        </w:rPr>
        <w:t xml:space="preserve">Participants were required to meet </w:t>
      </w:r>
      <w:r w:rsidR="007557A8" w:rsidRPr="00483C4E">
        <w:rPr>
          <w:rFonts w:ascii="Arial" w:eastAsia="Calibri" w:hAnsi="Arial" w:cs="Arial"/>
          <w:szCs w:val="22"/>
        </w:rPr>
        <w:t>all</w:t>
      </w:r>
      <w:r w:rsidRPr="00483C4E">
        <w:rPr>
          <w:rFonts w:ascii="Arial" w:eastAsia="Calibri" w:hAnsi="Arial" w:cs="Arial"/>
          <w:szCs w:val="22"/>
        </w:rPr>
        <w:t xml:space="preserve"> the following criteria:</w:t>
      </w:r>
    </w:p>
    <w:p w14:paraId="1B32271B" w14:textId="77777777" w:rsidR="00483C4E" w:rsidRPr="00483C4E" w:rsidRDefault="00483C4E" w:rsidP="007557A8">
      <w:pPr>
        <w:pStyle w:val="Body"/>
        <w:spacing w:after="0"/>
        <w:rPr>
          <w:rFonts w:ascii="Arial" w:eastAsia="Calibri" w:hAnsi="Arial" w:cs="Arial"/>
          <w:szCs w:val="22"/>
        </w:rPr>
      </w:pPr>
      <w:r w:rsidRPr="00483C4E">
        <w:rPr>
          <w:rFonts w:ascii="Arial" w:eastAsia="Calibri" w:hAnsi="Arial" w:cs="Arial"/>
          <w:szCs w:val="22"/>
        </w:rPr>
        <w:t>i.</w:t>
      </w:r>
      <w:r w:rsidRPr="00483C4E">
        <w:rPr>
          <w:rFonts w:ascii="Arial" w:eastAsia="Calibri" w:hAnsi="Arial" w:cs="Arial"/>
          <w:szCs w:val="22"/>
        </w:rPr>
        <w:tab/>
        <w:t>Be aged 18 years or older.</w:t>
      </w:r>
    </w:p>
    <w:p w14:paraId="6E12F48C" w14:textId="77777777" w:rsidR="00483C4E" w:rsidRPr="00483C4E" w:rsidRDefault="00483C4E" w:rsidP="007557A8">
      <w:pPr>
        <w:pStyle w:val="Body"/>
        <w:spacing w:after="0"/>
        <w:rPr>
          <w:rFonts w:ascii="Arial" w:eastAsia="Calibri" w:hAnsi="Arial" w:cs="Arial"/>
          <w:szCs w:val="22"/>
        </w:rPr>
      </w:pPr>
      <w:r w:rsidRPr="00483C4E">
        <w:rPr>
          <w:rFonts w:ascii="Arial" w:eastAsia="Calibri" w:hAnsi="Arial" w:cs="Arial"/>
          <w:szCs w:val="22"/>
        </w:rPr>
        <w:t>ii.</w:t>
      </w:r>
      <w:r w:rsidRPr="00483C4E">
        <w:rPr>
          <w:rFonts w:ascii="Arial" w:eastAsia="Calibri" w:hAnsi="Arial" w:cs="Arial"/>
          <w:szCs w:val="22"/>
        </w:rPr>
        <w:tab/>
        <w:t>Be HIV positive.</w:t>
      </w:r>
    </w:p>
    <w:p w14:paraId="683C9279" w14:textId="77777777" w:rsidR="00483C4E" w:rsidRPr="00483C4E" w:rsidRDefault="00483C4E" w:rsidP="007557A8">
      <w:pPr>
        <w:pStyle w:val="Body"/>
        <w:spacing w:after="0"/>
        <w:rPr>
          <w:rFonts w:ascii="Arial" w:eastAsia="Calibri" w:hAnsi="Arial" w:cs="Arial"/>
          <w:szCs w:val="22"/>
        </w:rPr>
      </w:pPr>
      <w:r w:rsidRPr="00483C4E">
        <w:rPr>
          <w:rFonts w:ascii="Arial" w:eastAsia="Calibri" w:hAnsi="Arial" w:cs="Arial"/>
          <w:szCs w:val="22"/>
        </w:rPr>
        <w:t>iii.</w:t>
      </w:r>
      <w:r w:rsidRPr="00483C4E">
        <w:rPr>
          <w:rFonts w:ascii="Arial" w:eastAsia="Calibri" w:hAnsi="Arial" w:cs="Arial"/>
          <w:szCs w:val="22"/>
        </w:rPr>
        <w:tab/>
        <w:t>Be on a stable regimen of Antiretroviral Therapy (ART) for at least six months.</w:t>
      </w:r>
    </w:p>
    <w:p w14:paraId="49EEA3BA" w14:textId="76CC1048" w:rsidR="00483C4E" w:rsidRDefault="00483C4E" w:rsidP="007557A8">
      <w:pPr>
        <w:pStyle w:val="Body"/>
        <w:spacing w:after="0"/>
        <w:rPr>
          <w:rFonts w:ascii="Arial" w:eastAsia="Calibri" w:hAnsi="Arial" w:cs="Arial"/>
          <w:szCs w:val="22"/>
        </w:rPr>
      </w:pPr>
      <w:r w:rsidRPr="00483C4E">
        <w:rPr>
          <w:rFonts w:ascii="Arial" w:eastAsia="Calibri" w:hAnsi="Arial" w:cs="Arial"/>
          <w:szCs w:val="22"/>
        </w:rPr>
        <w:t>iv.</w:t>
      </w:r>
      <w:r w:rsidRPr="00483C4E">
        <w:rPr>
          <w:rFonts w:ascii="Arial" w:eastAsia="Calibri" w:hAnsi="Arial" w:cs="Arial"/>
          <w:szCs w:val="22"/>
        </w:rPr>
        <w:tab/>
        <w:t>Be willing and able to provide written informed consent.</w:t>
      </w:r>
    </w:p>
    <w:p w14:paraId="7933989B" w14:textId="77777777" w:rsidR="00483C4E" w:rsidRDefault="00483C4E" w:rsidP="007557A8">
      <w:pPr>
        <w:pStyle w:val="Body"/>
        <w:spacing w:after="0"/>
        <w:rPr>
          <w:rFonts w:ascii="Arial" w:eastAsia="Calibri" w:hAnsi="Arial" w:cs="Arial"/>
          <w:szCs w:val="22"/>
        </w:rPr>
      </w:pPr>
    </w:p>
    <w:p w14:paraId="6AE89898" w14:textId="4396635E" w:rsidR="00B7687A" w:rsidRPr="007557A8" w:rsidRDefault="003C6EE7" w:rsidP="007557A8">
      <w:pPr>
        <w:pStyle w:val="Body"/>
        <w:spacing w:after="0"/>
        <w:rPr>
          <w:rFonts w:ascii="Arial" w:hAnsi="Arial" w:cs="Arial"/>
          <w:b/>
          <w:bCs/>
        </w:rPr>
      </w:pPr>
      <w:r>
        <w:rPr>
          <w:rFonts w:ascii="Arial" w:hAnsi="Arial" w:cs="Arial"/>
          <w:b/>
          <w:bCs/>
        </w:rPr>
        <w:t>2</w:t>
      </w:r>
      <w:r w:rsidR="00B7687A" w:rsidRPr="007557A8">
        <w:rPr>
          <w:rFonts w:ascii="Arial" w:hAnsi="Arial" w:cs="Arial"/>
          <w:b/>
          <w:bCs/>
        </w:rPr>
        <w:t>.</w:t>
      </w:r>
      <w:r w:rsidR="007557A8">
        <w:rPr>
          <w:rFonts w:ascii="Arial" w:hAnsi="Arial" w:cs="Arial"/>
          <w:b/>
          <w:bCs/>
        </w:rPr>
        <w:t xml:space="preserve">4.2 </w:t>
      </w:r>
      <w:r w:rsidR="00B7687A" w:rsidRPr="007557A8">
        <w:rPr>
          <w:rFonts w:ascii="Arial" w:hAnsi="Arial" w:cs="Arial"/>
          <w:b/>
          <w:bCs/>
        </w:rPr>
        <w:t>Exclusion Criteria:</w:t>
      </w:r>
    </w:p>
    <w:p w14:paraId="7832EEEF" w14:textId="05BC350B" w:rsidR="00B7687A" w:rsidRPr="00B7687A" w:rsidRDefault="00B7687A" w:rsidP="007557A8">
      <w:pPr>
        <w:pStyle w:val="Body"/>
        <w:numPr>
          <w:ilvl w:val="0"/>
          <w:numId w:val="31"/>
        </w:numPr>
        <w:spacing w:after="0"/>
        <w:rPr>
          <w:rFonts w:ascii="Arial" w:hAnsi="Arial" w:cs="Arial"/>
        </w:rPr>
      </w:pPr>
      <w:r w:rsidRPr="00B7687A">
        <w:rPr>
          <w:rFonts w:ascii="Arial" w:hAnsi="Arial" w:cs="Arial"/>
        </w:rPr>
        <w:t>Current pregnancy or breastfeeding.</w:t>
      </w:r>
    </w:p>
    <w:p w14:paraId="5505406F" w14:textId="204B9B13" w:rsidR="00B7687A" w:rsidRPr="00B7687A" w:rsidRDefault="00B7687A" w:rsidP="007557A8">
      <w:pPr>
        <w:pStyle w:val="Body"/>
        <w:numPr>
          <w:ilvl w:val="0"/>
          <w:numId w:val="31"/>
        </w:numPr>
        <w:spacing w:after="0"/>
        <w:rPr>
          <w:rFonts w:ascii="Arial" w:hAnsi="Arial" w:cs="Arial"/>
        </w:rPr>
      </w:pPr>
      <w:r w:rsidRPr="00B7687A">
        <w:rPr>
          <w:rFonts w:ascii="Arial" w:hAnsi="Arial" w:cs="Arial"/>
        </w:rPr>
        <w:t xml:space="preserve">A known history of </w:t>
      </w:r>
      <w:r w:rsidR="007557A8" w:rsidRPr="00B7687A">
        <w:rPr>
          <w:rFonts w:ascii="Arial" w:hAnsi="Arial" w:cs="Arial"/>
        </w:rPr>
        <w:t>preexisting</w:t>
      </w:r>
      <w:r w:rsidRPr="00B7687A">
        <w:rPr>
          <w:rFonts w:ascii="Arial" w:hAnsi="Arial" w:cs="Arial"/>
        </w:rPr>
        <w:t xml:space="preserve"> renal disease or metabolic bone disorders unrelated to HIV.</w:t>
      </w:r>
    </w:p>
    <w:p w14:paraId="4585B4AC" w14:textId="0F88E499" w:rsidR="00B7687A" w:rsidRPr="00B7687A" w:rsidRDefault="00B7687A" w:rsidP="007557A8">
      <w:pPr>
        <w:pStyle w:val="Body"/>
        <w:numPr>
          <w:ilvl w:val="0"/>
          <w:numId w:val="31"/>
        </w:numPr>
        <w:spacing w:after="0"/>
        <w:rPr>
          <w:rFonts w:ascii="Arial" w:hAnsi="Arial" w:cs="Arial"/>
        </w:rPr>
      </w:pPr>
      <w:r w:rsidRPr="00B7687A">
        <w:rPr>
          <w:rFonts w:ascii="Arial" w:hAnsi="Arial" w:cs="Arial"/>
        </w:rPr>
        <w:t xml:space="preserve">A known history of </w:t>
      </w:r>
      <w:r w:rsidR="007557A8" w:rsidRPr="00B7687A">
        <w:rPr>
          <w:rFonts w:ascii="Arial" w:hAnsi="Arial" w:cs="Arial"/>
        </w:rPr>
        <w:t>preexisting</w:t>
      </w:r>
      <w:r w:rsidRPr="00B7687A">
        <w:rPr>
          <w:rFonts w:ascii="Arial" w:hAnsi="Arial" w:cs="Arial"/>
        </w:rPr>
        <w:t xml:space="preserve"> endocrine disorders (e.g., pituitary or primary gonadal failure).</w:t>
      </w:r>
    </w:p>
    <w:p w14:paraId="3570F5DD" w14:textId="11B67A02" w:rsidR="00B7687A" w:rsidRPr="00B7687A" w:rsidRDefault="00B7687A" w:rsidP="007557A8">
      <w:pPr>
        <w:pStyle w:val="Body"/>
        <w:numPr>
          <w:ilvl w:val="0"/>
          <w:numId w:val="31"/>
        </w:numPr>
        <w:spacing w:after="0"/>
        <w:rPr>
          <w:rFonts w:ascii="Arial" w:hAnsi="Arial" w:cs="Arial"/>
        </w:rPr>
      </w:pPr>
      <w:r w:rsidRPr="00B7687A">
        <w:rPr>
          <w:rFonts w:ascii="Arial" w:hAnsi="Arial" w:cs="Arial"/>
        </w:rPr>
        <w:t>Current use of medications known to significantly affect phosphate or LH levels (e.g., corticosteroids, hormonal contraceptives, phosphate supplements).</w:t>
      </w:r>
    </w:p>
    <w:p w14:paraId="4994EEC9" w14:textId="20734996" w:rsidR="00B7687A" w:rsidRPr="00B7687A" w:rsidRDefault="00B7687A" w:rsidP="007557A8">
      <w:pPr>
        <w:pStyle w:val="Body"/>
        <w:numPr>
          <w:ilvl w:val="0"/>
          <w:numId w:val="31"/>
        </w:numPr>
        <w:rPr>
          <w:rFonts w:ascii="Arial" w:hAnsi="Arial" w:cs="Arial"/>
        </w:rPr>
      </w:pPr>
      <w:r w:rsidRPr="00B7687A">
        <w:rPr>
          <w:rFonts w:ascii="Arial" w:hAnsi="Arial" w:cs="Arial"/>
        </w:rPr>
        <w:t>Presence of an acute, severe opportunistic infection or other critical illness at the time of recruitment</w:t>
      </w:r>
    </w:p>
    <w:p w14:paraId="71996424" w14:textId="4D16A1BF" w:rsidR="00B7687A" w:rsidRPr="007557A8" w:rsidRDefault="003C6EE7" w:rsidP="00B7687A">
      <w:pPr>
        <w:pStyle w:val="Body"/>
        <w:rPr>
          <w:rFonts w:ascii="Arial" w:hAnsi="Arial" w:cs="Arial"/>
          <w:b/>
          <w:bCs/>
          <w:sz w:val="22"/>
          <w:szCs w:val="22"/>
        </w:rPr>
      </w:pPr>
      <w:r>
        <w:rPr>
          <w:rFonts w:ascii="Arial" w:hAnsi="Arial" w:cs="Arial"/>
          <w:b/>
          <w:bCs/>
          <w:sz w:val="22"/>
          <w:szCs w:val="22"/>
        </w:rPr>
        <w:t>2</w:t>
      </w:r>
      <w:r w:rsidR="00B7687A" w:rsidRPr="007557A8">
        <w:rPr>
          <w:rFonts w:ascii="Arial" w:hAnsi="Arial" w:cs="Arial"/>
          <w:b/>
          <w:bCs/>
          <w:sz w:val="22"/>
          <w:szCs w:val="22"/>
        </w:rPr>
        <w:t>.5 Sample Size Determination</w:t>
      </w:r>
    </w:p>
    <w:p w14:paraId="24A3B217" w14:textId="5729606B" w:rsidR="00B7687A" w:rsidRDefault="00B7687A" w:rsidP="007557A8">
      <w:pPr>
        <w:pStyle w:val="Body"/>
        <w:spacing w:after="0"/>
        <w:rPr>
          <w:rFonts w:ascii="Arial" w:hAnsi="Arial" w:cs="Arial"/>
        </w:rPr>
      </w:pPr>
      <w:r w:rsidRPr="00B7687A">
        <w:rPr>
          <w:rFonts w:ascii="Arial" w:hAnsi="Arial" w:cs="Arial"/>
        </w:rPr>
        <w:t xml:space="preserve">The sample size for this study was calculated using Cochran formula for </w:t>
      </w:r>
      <w:r w:rsidR="007557A8" w:rsidRPr="00B7687A">
        <w:rPr>
          <w:rFonts w:ascii="Arial" w:hAnsi="Arial" w:cs="Arial"/>
        </w:rPr>
        <w:t>cross sectional</w:t>
      </w:r>
      <w:r w:rsidRPr="00B7687A">
        <w:rPr>
          <w:rFonts w:ascii="Arial" w:hAnsi="Arial" w:cs="Arial"/>
        </w:rPr>
        <w:t xml:space="preserve"> studies </w:t>
      </w:r>
      <w:bookmarkStart w:id="5" w:name="_Hlk215653088"/>
      <w:r w:rsidR="00006699" w:rsidRPr="00006699">
        <w:rPr>
          <w:rFonts w:ascii="Arial" w:hAnsi="Arial" w:cs="Arial"/>
        </w:rPr>
        <w:t>[</w:t>
      </w:r>
      <w:r w:rsidR="006830E6" w:rsidRPr="006830E6">
        <w:rPr>
          <w:rFonts w:ascii="Arial" w:hAnsi="Arial" w:cs="Arial"/>
        </w:rPr>
        <w:t>20</w:t>
      </w:r>
      <w:r w:rsidR="00006699" w:rsidRPr="006830E6">
        <w:rPr>
          <w:rFonts w:ascii="Arial" w:hAnsi="Arial" w:cs="Arial"/>
        </w:rPr>
        <w:t>]</w:t>
      </w:r>
      <w:r w:rsidR="007557A8" w:rsidRPr="006830E6">
        <w:rPr>
          <w:rFonts w:ascii="Arial" w:hAnsi="Arial" w:cs="Arial"/>
        </w:rPr>
        <w:t>.</w:t>
      </w:r>
      <w:bookmarkEnd w:id="5"/>
    </w:p>
    <w:p w14:paraId="37D9EDFD" w14:textId="77777777" w:rsidR="0094664C" w:rsidRPr="0094664C" w:rsidRDefault="0094664C" w:rsidP="0094664C">
      <w:pPr>
        <w:pStyle w:val="Body"/>
        <w:spacing w:after="0"/>
        <w:rPr>
          <w:rFonts w:ascii="Arial" w:hAnsi="Arial" w:cs="Arial"/>
          <w:highlight w:val="yellow"/>
        </w:rPr>
      </w:pPr>
      <w:r w:rsidRPr="0094664C">
        <w:rPr>
          <w:rFonts w:ascii="Arial" w:hAnsi="Arial" w:cs="Arial"/>
        </w:rPr>
        <w:t>"</w:t>
      </w:r>
      <w:r w:rsidRPr="0094664C">
        <w:rPr>
          <w:rFonts w:ascii="Arial" w:hAnsi="Arial" w:cs="Arial"/>
          <w:highlight w:val="yellow"/>
        </w:rPr>
        <w:t>n=</w:t>
      </w:r>
      <w:proofErr w:type="gramStart"/>
      <w:r w:rsidRPr="0094664C">
        <w:rPr>
          <w:rFonts w:ascii="Arial" w:hAnsi="Arial" w:cs="Arial"/>
          <w:highlight w:val="yellow"/>
        </w:rPr>
        <w:t>"  (</w:t>
      </w:r>
      <w:proofErr w:type="gramEnd"/>
      <w:r w:rsidRPr="0094664C">
        <w:rPr>
          <w:rFonts w:ascii="Arial" w:hAnsi="Arial" w:cs="Arial"/>
          <w:highlight w:val="yellow"/>
        </w:rPr>
        <w:t>"Z" ^"2"  "</w:t>
      </w:r>
      <w:proofErr w:type="spellStart"/>
      <w:r w:rsidRPr="0094664C">
        <w:rPr>
          <w:rFonts w:ascii="Arial" w:hAnsi="Arial" w:cs="Arial"/>
          <w:highlight w:val="yellow"/>
        </w:rPr>
        <w:t>pq</w:t>
      </w:r>
      <w:proofErr w:type="spellEnd"/>
      <w:r w:rsidRPr="0094664C">
        <w:rPr>
          <w:rFonts w:ascii="Arial" w:hAnsi="Arial" w:cs="Arial"/>
          <w:highlight w:val="yellow"/>
        </w:rPr>
        <w:t xml:space="preserve">" )/"d" ^"2"  </w:t>
      </w:r>
    </w:p>
    <w:p w14:paraId="3E8BD4F5" w14:textId="77777777" w:rsidR="0094664C" w:rsidRPr="0094664C" w:rsidRDefault="0094664C" w:rsidP="0094664C">
      <w:pPr>
        <w:pStyle w:val="Body"/>
        <w:spacing w:after="0"/>
        <w:rPr>
          <w:rFonts w:ascii="Arial" w:hAnsi="Arial" w:cs="Arial"/>
          <w:highlight w:val="yellow"/>
        </w:rPr>
      </w:pPr>
      <w:r w:rsidRPr="0094664C">
        <w:rPr>
          <w:rFonts w:ascii="Arial" w:hAnsi="Arial" w:cs="Arial"/>
          <w:highlight w:val="yellow"/>
        </w:rPr>
        <w:t xml:space="preserve">Where: </w:t>
      </w:r>
    </w:p>
    <w:p w14:paraId="157590E0" w14:textId="77777777" w:rsidR="0094664C" w:rsidRPr="0094664C" w:rsidRDefault="0094664C" w:rsidP="0094664C">
      <w:pPr>
        <w:pStyle w:val="Body"/>
        <w:spacing w:after="0"/>
        <w:rPr>
          <w:rFonts w:ascii="Arial" w:hAnsi="Arial" w:cs="Arial"/>
          <w:highlight w:val="yellow"/>
        </w:rPr>
      </w:pPr>
      <w:r w:rsidRPr="0094664C">
        <w:rPr>
          <w:rFonts w:ascii="Arial" w:hAnsi="Arial" w:cs="Arial"/>
          <w:highlight w:val="yellow"/>
        </w:rPr>
        <w:t>n = sample size</w:t>
      </w:r>
    </w:p>
    <w:p w14:paraId="5A439AFE" w14:textId="77777777" w:rsidR="0094664C" w:rsidRPr="0094664C" w:rsidRDefault="0094664C" w:rsidP="0094664C">
      <w:pPr>
        <w:pStyle w:val="Body"/>
        <w:spacing w:after="0"/>
        <w:rPr>
          <w:rFonts w:ascii="Arial" w:hAnsi="Arial" w:cs="Arial"/>
          <w:highlight w:val="yellow"/>
        </w:rPr>
      </w:pPr>
      <w:r w:rsidRPr="0094664C">
        <w:rPr>
          <w:rFonts w:ascii="Arial" w:hAnsi="Arial" w:cs="Arial"/>
          <w:highlight w:val="yellow"/>
        </w:rPr>
        <w:t xml:space="preserve">Z = </w:t>
      </w:r>
      <w:proofErr w:type="gramStart"/>
      <w:r w:rsidRPr="0094664C">
        <w:rPr>
          <w:rFonts w:ascii="Arial" w:hAnsi="Arial" w:cs="Arial"/>
          <w:highlight w:val="yellow"/>
        </w:rPr>
        <w:t>Z  score</w:t>
      </w:r>
      <w:proofErr w:type="gramEnd"/>
      <w:r w:rsidRPr="0094664C">
        <w:rPr>
          <w:rFonts w:ascii="Arial" w:hAnsi="Arial" w:cs="Arial"/>
          <w:highlight w:val="yellow"/>
        </w:rPr>
        <w:t xml:space="preserve"> corresponding to a 95% confidence level; 1.96</w:t>
      </w:r>
    </w:p>
    <w:p w14:paraId="6E9DF643" w14:textId="77777777" w:rsidR="0094664C" w:rsidRPr="0094664C" w:rsidRDefault="0094664C" w:rsidP="0094664C">
      <w:pPr>
        <w:pStyle w:val="Body"/>
        <w:spacing w:after="0"/>
        <w:rPr>
          <w:rFonts w:ascii="Arial" w:hAnsi="Arial" w:cs="Arial"/>
          <w:highlight w:val="yellow"/>
        </w:rPr>
      </w:pPr>
      <w:r w:rsidRPr="0094664C">
        <w:rPr>
          <w:rFonts w:ascii="Arial" w:hAnsi="Arial" w:cs="Arial"/>
          <w:highlight w:val="yellow"/>
        </w:rPr>
        <w:t>p = prevalence of hyperphosphatemia or altered Luteinizing Hormone (LH) levels in the target population; 0.5</w:t>
      </w:r>
    </w:p>
    <w:p w14:paraId="3CFD4913" w14:textId="77777777" w:rsidR="0094664C" w:rsidRPr="0094664C" w:rsidRDefault="0094664C" w:rsidP="0094664C">
      <w:pPr>
        <w:pStyle w:val="Body"/>
        <w:spacing w:after="0"/>
        <w:rPr>
          <w:rFonts w:ascii="Arial" w:hAnsi="Arial" w:cs="Arial"/>
          <w:highlight w:val="yellow"/>
        </w:rPr>
      </w:pPr>
      <w:r w:rsidRPr="0094664C">
        <w:rPr>
          <w:rFonts w:ascii="Arial" w:hAnsi="Arial" w:cs="Arial"/>
          <w:highlight w:val="yellow"/>
        </w:rPr>
        <w:t>q = 1    p (i.e., 1   0.5 = 0.5)</w:t>
      </w:r>
    </w:p>
    <w:p w14:paraId="7668416E" w14:textId="5BE9248F" w:rsidR="0094664C" w:rsidRPr="00B7687A" w:rsidRDefault="0094664C" w:rsidP="0094664C">
      <w:pPr>
        <w:pStyle w:val="Body"/>
        <w:spacing w:after="0"/>
        <w:rPr>
          <w:rFonts w:ascii="Arial" w:hAnsi="Arial" w:cs="Arial"/>
        </w:rPr>
      </w:pPr>
      <w:r w:rsidRPr="0094664C">
        <w:rPr>
          <w:rFonts w:ascii="Arial" w:hAnsi="Arial" w:cs="Arial"/>
          <w:highlight w:val="yellow"/>
        </w:rPr>
        <w:t>d = margin of error, set at 5% (0.05)</w:t>
      </w:r>
    </w:p>
    <w:p w14:paraId="38ACA978" w14:textId="77777777" w:rsidR="00B7687A" w:rsidRPr="00B7687A" w:rsidRDefault="00B7687A" w:rsidP="007557A8">
      <w:pPr>
        <w:pStyle w:val="Body"/>
        <w:spacing w:after="0"/>
        <w:rPr>
          <w:rFonts w:ascii="Arial" w:hAnsi="Arial" w:cs="Arial"/>
        </w:rPr>
      </w:pPr>
      <w:r w:rsidRPr="00B7687A">
        <w:rPr>
          <w:rFonts w:ascii="Arial" w:hAnsi="Arial" w:cs="Arial"/>
        </w:rPr>
        <w:t>However, target population is small (&lt;1000), finite population correction (FPC) was used,</w:t>
      </w:r>
    </w:p>
    <w:p w14:paraId="4F282E67" w14:textId="77777777" w:rsidR="00B7687A" w:rsidRPr="00B7687A" w:rsidRDefault="00B7687A" w:rsidP="007557A8">
      <w:pPr>
        <w:pStyle w:val="Body"/>
        <w:spacing w:after="0"/>
        <w:rPr>
          <w:rFonts w:ascii="Arial" w:hAnsi="Arial" w:cs="Arial"/>
        </w:rPr>
      </w:pPr>
      <w:r w:rsidRPr="00B7687A">
        <w:rPr>
          <w:rFonts w:ascii="Arial" w:hAnsi="Arial" w:cs="Arial"/>
        </w:rPr>
        <w:t>Final adjusted sample size = 50</w:t>
      </w:r>
    </w:p>
    <w:p w14:paraId="53890D0B" w14:textId="0FF95D30" w:rsidR="00B7687A" w:rsidRPr="00963B7F" w:rsidRDefault="003C6EE7" w:rsidP="007557A8">
      <w:pPr>
        <w:pStyle w:val="Body"/>
        <w:spacing w:before="240"/>
        <w:rPr>
          <w:rFonts w:ascii="Arial" w:hAnsi="Arial" w:cs="Arial"/>
          <w:b/>
          <w:bCs/>
          <w:sz w:val="22"/>
          <w:szCs w:val="22"/>
        </w:rPr>
      </w:pPr>
      <w:r>
        <w:rPr>
          <w:rFonts w:ascii="Arial" w:hAnsi="Arial" w:cs="Arial"/>
          <w:b/>
          <w:bCs/>
          <w:sz w:val="22"/>
          <w:szCs w:val="22"/>
        </w:rPr>
        <w:t>2</w:t>
      </w:r>
      <w:r w:rsidR="00B7687A" w:rsidRPr="00963B7F">
        <w:rPr>
          <w:rFonts w:ascii="Arial" w:hAnsi="Arial" w:cs="Arial"/>
          <w:b/>
          <w:bCs/>
          <w:sz w:val="22"/>
          <w:szCs w:val="22"/>
        </w:rPr>
        <w:t>.6 Sampling Technique</w:t>
      </w:r>
    </w:p>
    <w:p w14:paraId="4BC640DA" w14:textId="77777777" w:rsidR="00B7687A" w:rsidRPr="00B7687A" w:rsidRDefault="00B7687A" w:rsidP="00B7687A">
      <w:pPr>
        <w:pStyle w:val="Body"/>
        <w:rPr>
          <w:rFonts w:ascii="Arial" w:hAnsi="Arial" w:cs="Arial"/>
        </w:rPr>
      </w:pPr>
      <w:r w:rsidRPr="00B7687A">
        <w:rPr>
          <w:rFonts w:ascii="Arial" w:hAnsi="Arial" w:cs="Arial"/>
        </w:rPr>
        <w:t xml:space="preserve">A systematic random sampling technique was employed for participant recruitment. On clinic days, every eligible patient who met the inclusion criteria and provided consent was enrolled into the study until the target sample size was achieved. </w:t>
      </w:r>
    </w:p>
    <w:p w14:paraId="0FB2CD94" w14:textId="622F04B6" w:rsidR="00B7687A" w:rsidRPr="00963B7F" w:rsidRDefault="003C6EE7" w:rsidP="00B7687A">
      <w:pPr>
        <w:pStyle w:val="Body"/>
        <w:rPr>
          <w:rFonts w:ascii="Arial" w:hAnsi="Arial" w:cs="Arial"/>
          <w:b/>
          <w:bCs/>
          <w:sz w:val="22"/>
          <w:szCs w:val="22"/>
        </w:rPr>
      </w:pPr>
      <w:r>
        <w:rPr>
          <w:rFonts w:ascii="Arial" w:hAnsi="Arial" w:cs="Arial"/>
          <w:b/>
          <w:bCs/>
          <w:sz w:val="22"/>
          <w:szCs w:val="22"/>
        </w:rPr>
        <w:lastRenderedPageBreak/>
        <w:t>2</w:t>
      </w:r>
      <w:r w:rsidR="00B7687A" w:rsidRPr="00963B7F">
        <w:rPr>
          <w:rFonts w:ascii="Arial" w:hAnsi="Arial" w:cs="Arial"/>
          <w:b/>
          <w:bCs/>
          <w:sz w:val="22"/>
          <w:szCs w:val="22"/>
        </w:rPr>
        <w:t>.7</w:t>
      </w:r>
      <w:r w:rsidR="00963B7F">
        <w:rPr>
          <w:rFonts w:ascii="Arial" w:hAnsi="Arial" w:cs="Arial"/>
          <w:b/>
          <w:bCs/>
          <w:sz w:val="22"/>
          <w:szCs w:val="22"/>
        </w:rPr>
        <w:t xml:space="preserve"> </w:t>
      </w:r>
      <w:r w:rsidR="00B7687A" w:rsidRPr="00963B7F">
        <w:rPr>
          <w:rFonts w:ascii="Arial" w:hAnsi="Arial" w:cs="Arial"/>
          <w:b/>
          <w:bCs/>
          <w:sz w:val="22"/>
          <w:szCs w:val="22"/>
        </w:rPr>
        <w:t>Data Collection</w:t>
      </w:r>
    </w:p>
    <w:p w14:paraId="59856D32" w14:textId="540162E2" w:rsidR="00B7687A" w:rsidRPr="00B7687A" w:rsidRDefault="00B7687A" w:rsidP="00B7687A">
      <w:pPr>
        <w:pStyle w:val="Body"/>
        <w:rPr>
          <w:rFonts w:ascii="Arial" w:hAnsi="Arial" w:cs="Arial"/>
        </w:rPr>
      </w:pPr>
      <w:r w:rsidRPr="00B7687A">
        <w:rPr>
          <w:rFonts w:ascii="Arial" w:hAnsi="Arial" w:cs="Arial"/>
        </w:rPr>
        <w:t xml:space="preserve">After obtaining informed consent, a </w:t>
      </w:r>
      <w:r w:rsidR="00963B7F" w:rsidRPr="00B7687A">
        <w:rPr>
          <w:rFonts w:ascii="Arial" w:hAnsi="Arial" w:cs="Arial"/>
        </w:rPr>
        <w:t>pretested</w:t>
      </w:r>
      <w:r w:rsidRPr="00B7687A">
        <w:rPr>
          <w:rFonts w:ascii="Arial" w:hAnsi="Arial" w:cs="Arial"/>
        </w:rPr>
        <w:t xml:space="preserve">, structured questionnaire was administered to the patient as samples were </w:t>
      </w:r>
      <w:r w:rsidR="00006699" w:rsidRPr="00B7687A">
        <w:rPr>
          <w:rFonts w:ascii="Arial" w:hAnsi="Arial" w:cs="Arial"/>
        </w:rPr>
        <w:t>collected and</w:t>
      </w:r>
      <w:r w:rsidRPr="00B7687A">
        <w:rPr>
          <w:rFonts w:ascii="Arial" w:hAnsi="Arial" w:cs="Arial"/>
        </w:rPr>
        <w:t xml:space="preserve"> the questionnaire was designed to gather information</w:t>
      </w:r>
      <w:r w:rsidR="00963B7F">
        <w:rPr>
          <w:rFonts w:ascii="Arial" w:hAnsi="Arial" w:cs="Arial"/>
        </w:rPr>
        <w:t>.</w:t>
      </w:r>
    </w:p>
    <w:p w14:paraId="6A9E012D" w14:textId="34D1DFB7" w:rsidR="00B7687A" w:rsidRPr="00963B7F" w:rsidRDefault="003C6EE7" w:rsidP="00B7687A">
      <w:pPr>
        <w:pStyle w:val="Body"/>
        <w:rPr>
          <w:rFonts w:ascii="Arial" w:hAnsi="Arial" w:cs="Arial"/>
          <w:b/>
          <w:bCs/>
          <w:sz w:val="22"/>
          <w:szCs w:val="22"/>
        </w:rPr>
      </w:pPr>
      <w:r>
        <w:rPr>
          <w:rFonts w:ascii="Arial" w:hAnsi="Arial" w:cs="Arial"/>
          <w:b/>
          <w:bCs/>
          <w:sz w:val="22"/>
          <w:szCs w:val="22"/>
        </w:rPr>
        <w:t>2</w:t>
      </w:r>
      <w:r w:rsidR="00B7687A" w:rsidRPr="00963B7F">
        <w:rPr>
          <w:rFonts w:ascii="Arial" w:hAnsi="Arial" w:cs="Arial"/>
          <w:b/>
          <w:bCs/>
          <w:sz w:val="22"/>
          <w:szCs w:val="22"/>
        </w:rPr>
        <w:t>.8 Blood Sample Collection and Handling</w:t>
      </w:r>
    </w:p>
    <w:p w14:paraId="4A9FF902" w14:textId="4624A7F7" w:rsidR="00B7687A" w:rsidRPr="00B7687A" w:rsidRDefault="00963B7F" w:rsidP="00B7687A">
      <w:pPr>
        <w:pStyle w:val="Body"/>
        <w:rPr>
          <w:rFonts w:ascii="Arial" w:hAnsi="Arial" w:cs="Arial"/>
        </w:rPr>
      </w:pPr>
      <w:r>
        <w:rPr>
          <w:rFonts w:ascii="Arial" w:hAnsi="Arial" w:cs="Arial"/>
        </w:rPr>
        <w:t>Five (</w:t>
      </w:r>
      <w:r w:rsidR="00B7687A" w:rsidRPr="00B7687A">
        <w:rPr>
          <w:rFonts w:ascii="Arial" w:hAnsi="Arial" w:cs="Arial"/>
        </w:rPr>
        <w:t>5</w:t>
      </w:r>
      <w:r>
        <w:rPr>
          <w:rFonts w:ascii="Arial" w:hAnsi="Arial" w:cs="Arial"/>
        </w:rPr>
        <w:t>)</w:t>
      </w:r>
      <w:r w:rsidR="00B7687A" w:rsidRPr="00B7687A">
        <w:rPr>
          <w:rFonts w:ascii="Arial" w:hAnsi="Arial" w:cs="Arial"/>
        </w:rPr>
        <w:t xml:space="preserve"> ml of venous blood was collected from each participant by a qualified phlebotomist under aseptic conditions. The blood was drawn into a serum separator tube (SST). The sample was allowed to clot at room temperature for 30 minutes and then centrifuged at 3000 rpm for 10 minutes to separate the serum. The resulting serum was carefully aliquoted into two clearly labeled cryovials for the estimation of phosphate and LH levels. The serum samples were stored at </w:t>
      </w:r>
      <w:r w:rsidR="00A830E3">
        <w:rPr>
          <w:rFonts w:ascii="Arial" w:hAnsi="Arial" w:cs="Arial"/>
        </w:rPr>
        <w:t>-</w:t>
      </w:r>
      <w:r w:rsidR="00B7687A" w:rsidRPr="00B7687A">
        <w:rPr>
          <w:rFonts w:ascii="Arial" w:hAnsi="Arial" w:cs="Arial"/>
        </w:rPr>
        <w:t xml:space="preserve">20°C until the </w:t>
      </w:r>
      <w:r w:rsidR="00A830E3" w:rsidRPr="00B7687A">
        <w:rPr>
          <w:rFonts w:ascii="Arial" w:hAnsi="Arial" w:cs="Arial"/>
        </w:rPr>
        <w:t>laboratory</w:t>
      </w:r>
      <w:r w:rsidR="00B7687A" w:rsidRPr="00B7687A">
        <w:rPr>
          <w:rFonts w:ascii="Arial" w:hAnsi="Arial" w:cs="Arial"/>
        </w:rPr>
        <w:t xml:space="preserve"> analysis to maintain sample integrity.</w:t>
      </w:r>
    </w:p>
    <w:p w14:paraId="76209D83" w14:textId="4A9F2692" w:rsidR="00B7687A" w:rsidRPr="003C6EE7" w:rsidRDefault="003C6EE7" w:rsidP="00B7687A">
      <w:pPr>
        <w:pStyle w:val="Body"/>
        <w:rPr>
          <w:rFonts w:ascii="Arial" w:hAnsi="Arial" w:cs="Arial"/>
          <w:b/>
          <w:bCs/>
          <w:sz w:val="22"/>
          <w:szCs w:val="22"/>
        </w:rPr>
      </w:pPr>
      <w:r>
        <w:rPr>
          <w:rFonts w:ascii="Arial" w:hAnsi="Arial" w:cs="Arial"/>
          <w:b/>
          <w:bCs/>
          <w:sz w:val="22"/>
          <w:szCs w:val="22"/>
        </w:rPr>
        <w:t>2</w:t>
      </w:r>
      <w:r w:rsidR="00B7687A" w:rsidRPr="003C6EE7">
        <w:rPr>
          <w:rFonts w:ascii="Arial" w:hAnsi="Arial" w:cs="Arial"/>
          <w:b/>
          <w:bCs/>
          <w:sz w:val="22"/>
          <w:szCs w:val="22"/>
        </w:rPr>
        <w:t>.9</w:t>
      </w:r>
      <w:r w:rsidRPr="003C6EE7">
        <w:rPr>
          <w:rFonts w:ascii="Arial" w:hAnsi="Arial" w:cs="Arial"/>
          <w:b/>
          <w:bCs/>
          <w:sz w:val="22"/>
          <w:szCs w:val="22"/>
        </w:rPr>
        <w:t xml:space="preserve"> </w:t>
      </w:r>
      <w:r w:rsidR="00B7687A" w:rsidRPr="003C6EE7">
        <w:rPr>
          <w:rFonts w:ascii="Arial" w:hAnsi="Arial" w:cs="Arial"/>
          <w:b/>
          <w:bCs/>
          <w:sz w:val="22"/>
          <w:szCs w:val="22"/>
        </w:rPr>
        <w:t>Laboratory Analysis</w:t>
      </w:r>
    </w:p>
    <w:p w14:paraId="419E7FE1" w14:textId="2F82A495" w:rsidR="00B7687A" w:rsidRPr="003C6EE7" w:rsidRDefault="003C6EE7" w:rsidP="00B7687A">
      <w:pPr>
        <w:pStyle w:val="Body"/>
        <w:rPr>
          <w:rFonts w:ascii="Arial" w:hAnsi="Arial" w:cs="Arial"/>
          <w:b/>
          <w:bCs/>
        </w:rPr>
      </w:pPr>
      <w:r w:rsidRPr="003C6EE7">
        <w:rPr>
          <w:rFonts w:ascii="Arial" w:hAnsi="Arial" w:cs="Arial"/>
          <w:b/>
          <w:bCs/>
        </w:rPr>
        <w:t>2</w:t>
      </w:r>
      <w:r w:rsidR="00B7687A" w:rsidRPr="003C6EE7">
        <w:rPr>
          <w:rFonts w:ascii="Arial" w:hAnsi="Arial" w:cs="Arial"/>
          <w:b/>
          <w:bCs/>
        </w:rPr>
        <w:t>.9.1 Estimation of Serum Phosphate</w:t>
      </w:r>
    </w:p>
    <w:p w14:paraId="789CB2B3" w14:textId="77777777" w:rsidR="00B7687A" w:rsidRPr="00B7687A" w:rsidRDefault="00B7687A" w:rsidP="00B7687A">
      <w:pPr>
        <w:pStyle w:val="Body"/>
        <w:rPr>
          <w:rFonts w:ascii="Arial" w:hAnsi="Arial" w:cs="Arial"/>
        </w:rPr>
      </w:pPr>
      <w:r w:rsidRPr="00B7687A">
        <w:rPr>
          <w:rFonts w:ascii="Arial" w:hAnsi="Arial" w:cs="Arial"/>
        </w:rPr>
        <w:t>Serum phosphate concentration was determined using UV-phosphomolybdate method with reagents from Spectrum Diagnostics.</w:t>
      </w:r>
    </w:p>
    <w:p w14:paraId="2E8086AC" w14:textId="70B05056" w:rsidR="00B7687A" w:rsidRPr="003C6EE7" w:rsidRDefault="003C6EE7" w:rsidP="00B7687A">
      <w:pPr>
        <w:pStyle w:val="Body"/>
        <w:rPr>
          <w:rFonts w:ascii="Arial" w:hAnsi="Arial" w:cs="Arial"/>
          <w:b/>
          <w:bCs/>
        </w:rPr>
      </w:pPr>
      <w:r w:rsidRPr="003C6EE7">
        <w:rPr>
          <w:rFonts w:ascii="Arial" w:hAnsi="Arial" w:cs="Arial"/>
          <w:b/>
          <w:bCs/>
        </w:rPr>
        <w:t>2</w:t>
      </w:r>
      <w:r w:rsidR="00B7687A" w:rsidRPr="003C6EE7">
        <w:rPr>
          <w:rFonts w:ascii="Arial" w:hAnsi="Arial" w:cs="Arial"/>
          <w:b/>
          <w:bCs/>
        </w:rPr>
        <w:t xml:space="preserve">.9.1.1 </w:t>
      </w:r>
      <w:r w:rsidR="00B7687A" w:rsidRPr="003C6EE7">
        <w:rPr>
          <w:rFonts w:ascii="Arial" w:hAnsi="Arial" w:cs="Arial"/>
          <w:b/>
          <w:bCs/>
        </w:rPr>
        <w:tab/>
        <w:t>Principle of the Method</w:t>
      </w:r>
    </w:p>
    <w:p w14:paraId="13BB41E3" w14:textId="24E4358C" w:rsidR="00B7687A" w:rsidRPr="00B7687A" w:rsidRDefault="00B7687A" w:rsidP="00B7687A">
      <w:pPr>
        <w:pStyle w:val="Body"/>
        <w:rPr>
          <w:rFonts w:ascii="Arial" w:hAnsi="Arial" w:cs="Arial"/>
        </w:rPr>
      </w:pPr>
      <w:r w:rsidRPr="00B7687A">
        <w:rPr>
          <w:rFonts w:ascii="Arial" w:hAnsi="Arial" w:cs="Arial"/>
        </w:rPr>
        <w:t xml:space="preserve">The method is based on the reaction of inorganic phosphate present in the serum sample with an acidic molybdate solution to form a </w:t>
      </w:r>
      <w:r w:rsidR="003C6EE7" w:rsidRPr="00B7687A">
        <w:rPr>
          <w:rFonts w:ascii="Arial" w:hAnsi="Arial" w:cs="Arial"/>
        </w:rPr>
        <w:t>yellow colored</w:t>
      </w:r>
      <w:r w:rsidRPr="00B7687A">
        <w:rPr>
          <w:rFonts w:ascii="Arial" w:hAnsi="Arial" w:cs="Arial"/>
        </w:rPr>
        <w:t xml:space="preserve"> phosphomolybdate complex.</w:t>
      </w:r>
    </w:p>
    <w:p w14:paraId="11DB6D4C" w14:textId="77777777" w:rsidR="00B7687A" w:rsidRPr="00B7687A" w:rsidRDefault="00B7687A" w:rsidP="00B7687A">
      <w:pPr>
        <w:pStyle w:val="Body"/>
        <w:rPr>
          <w:rFonts w:ascii="Arial" w:hAnsi="Arial" w:cs="Arial"/>
        </w:rPr>
      </w:pPr>
      <w:r w:rsidRPr="00B7687A">
        <w:rPr>
          <w:rFonts w:ascii="Arial" w:hAnsi="Arial" w:cs="Arial"/>
        </w:rPr>
        <w:t>Phosphate + Molybdate Reagent (in acidic medium) → Ammonium Phosphomolybdate Complex (Yellow)</w:t>
      </w:r>
    </w:p>
    <w:p w14:paraId="29FCA932" w14:textId="77777777" w:rsidR="00B7687A" w:rsidRPr="00B7687A" w:rsidRDefault="00B7687A" w:rsidP="00B7687A">
      <w:pPr>
        <w:pStyle w:val="Body"/>
        <w:rPr>
          <w:rFonts w:ascii="Arial" w:hAnsi="Arial" w:cs="Arial"/>
        </w:rPr>
      </w:pPr>
      <w:r w:rsidRPr="00B7687A">
        <w:rPr>
          <w:rFonts w:ascii="Arial" w:hAnsi="Arial" w:cs="Arial"/>
        </w:rPr>
        <w:t>The intensity of the yellow color produced is directly proportional to the concentration of inorganic phosphate in the sample. The absorbance of this colored complex is measured spectrophotometrically at a wavelength of 340 nm. The concentration of phosphate in the patient's serum is then calculated by comparing its absorbance to that of a known standard.</w:t>
      </w:r>
    </w:p>
    <w:p w14:paraId="0AAD47F5" w14:textId="0432984D" w:rsidR="00B7687A" w:rsidRPr="003C6EE7" w:rsidRDefault="003C6EE7" w:rsidP="00B7687A">
      <w:pPr>
        <w:pStyle w:val="Body"/>
        <w:rPr>
          <w:rFonts w:ascii="Arial" w:hAnsi="Arial" w:cs="Arial"/>
          <w:b/>
          <w:bCs/>
        </w:rPr>
      </w:pPr>
      <w:r w:rsidRPr="003C6EE7">
        <w:rPr>
          <w:rFonts w:ascii="Arial" w:hAnsi="Arial" w:cs="Arial"/>
          <w:b/>
          <w:bCs/>
        </w:rPr>
        <w:t>2</w:t>
      </w:r>
      <w:r w:rsidR="00B7687A" w:rsidRPr="003C6EE7">
        <w:rPr>
          <w:rFonts w:ascii="Arial" w:hAnsi="Arial" w:cs="Arial"/>
          <w:b/>
          <w:bCs/>
        </w:rPr>
        <w:t>.9.2 Estimation of</w:t>
      </w:r>
      <w:r w:rsidR="00006699">
        <w:rPr>
          <w:rFonts w:ascii="Arial" w:hAnsi="Arial" w:cs="Arial"/>
          <w:b/>
          <w:bCs/>
        </w:rPr>
        <w:t xml:space="preserve"> </w:t>
      </w:r>
      <w:r w:rsidR="00006699" w:rsidRPr="00006699">
        <w:rPr>
          <w:rFonts w:ascii="Arial" w:hAnsi="Arial" w:cs="Arial"/>
          <w:b/>
          <w:bCs/>
        </w:rPr>
        <w:t>Luteinizing</w:t>
      </w:r>
      <w:r w:rsidR="00B7687A" w:rsidRPr="003C6EE7">
        <w:rPr>
          <w:rFonts w:ascii="Arial" w:hAnsi="Arial" w:cs="Arial"/>
          <w:b/>
          <w:bCs/>
        </w:rPr>
        <w:t xml:space="preserve"> Hormone (</w:t>
      </w:r>
      <w:r w:rsidR="00006699">
        <w:rPr>
          <w:rFonts w:ascii="Arial" w:hAnsi="Arial" w:cs="Arial"/>
          <w:b/>
          <w:bCs/>
        </w:rPr>
        <w:t>L</w:t>
      </w:r>
      <w:r w:rsidR="00B7687A" w:rsidRPr="003C6EE7">
        <w:rPr>
          <w:rFonts w:ascii="Arial" w:hAnsi="Arial" w:cs="Arial"/>
          <w:b/>
          <w:bCs/>
        </w:rPr>
        <w:t>H)</w:t>
      </w:r>
    </w:p>
    <w:p w14:paraId="34AE2AEA" w14:textId="50B04B43" w:rsidR="00B7687A" w:rsidRPr="00B7687A" w:rsidRDefault="00B7687A" w:rsidP="00B7687A">
      <w:pPr>
        <w:pStyle w:val="Body"/>
        <w:rPr>
          <w:rFonts w:ascii="Arial" w:hAnsi="Arial" w:cs="Arial"/>
        </w:rPr>
      </w:pPr>
      <w:r w:rsidRPr="00B7687A">
        <w:rPr>
          <w:rFonts w:ascii="Arial" w:hAnsi="Arial" w:cs="Arial"/>
        </w:rPr>
        <w:t>Serum intact LH levels were measured using a quantitative sandwich ELISA technique with a commercial kit from AccuBind (Monobind Inc., USA).</w:t>
      </w:r>
    </w:p>
    <w:p w14:paraId="18B13398" w14:textId="52A6B82F" w:rsidR="00B7687A" w:rsidRPr="003C6EE7" w:rsidRDefault="003C6EE7" w:rsidP="00B7687A">
      <w:pPr>
        <w:pStyle w:val="Body"/>
        <w:rPr>
          <w:rFonts w:ascii="Arial" w:hAnsi="Arial" w:cs="Arial"/>
          <w:b/>
          <w:bCs/>
        </w:rPr>
      </w:pPr>
      <w:r>
        <w:rPr>
          <w:rFonts w:ascii="Arial" w:hAnsi="Arial" w:cs="Arial"/>
          <w:b/>
          <w:bCs/>
        </w:rPr>
        <w:t>2</w:t>
      </w:r>
      <w:r w:rsidR="00B7687A" w:rsidRPr="003C6EE7">
        <w:rPr>
          <w:rFonts w:ascii="Arial" w:hAnsi="Arial" w:cs="Arial"/>
          <w:b/>
          <w:bCs/>
        </w:rPr>
        <w:t xml:space="preserve">.9.2.1 </w:t>
      </w:r>
      <w:r w:rsidR="00B7687A" w:rsidRPr="003C6EE7">
        <w:rPr>
          <w:rFonts w:ascii="Arial" w:hAnsi="Arial" w:cs="Arial"/>
          <w:b/>
          <w:bCs/>
        </w:rPr>
        <w:tab/>
        <w:t>Principle of the Method</w:t>
      </w:r>
    </w:p>
    <w:p w14:paraId="611506DD" w14:textId="73D3BAAB" w:rsidR="00B7687A" w:rsidRPr="00B7687A" w:rsidRDefault="00B7687A" w:rsidP="00B7687A">
      <w:pPr>
        <w:pStyle w:val="Body"/>
        <w:rPr>
          <w:rFonts w:ascii="Arial" w:hAnsi="Arial" w:cs="Arial"/>
        </w:rPr>
      </w:pPr>
      <w:r w:rsidRPr="00B7687A">
        <w:rPr>
          <w:rFonts w:ascii="Arial" w:hAnsi="Arial" w:cs="Arial"/>
        </w:rPr>
        <w:t xml:space="preserve">The AccuBind LH ELISA is a </w:t>
      </w:r>
      <w:r w:rsidR="003C6EE7" w:rsidRPr="00B7687A">
        <w:rPr>
          <w:rFonts w:ascii="Arial" w:hAnsi="Arial" w:cs="Arial"/>
        </w:rPr>
        <w:t>solid phase</w:t>
      </w:r>
      <w:r w:rsidRPr="00B7687A">
        <w:rPr>
          <w:rFonts w:ascii="Arial" w:hAnsi="Arial" w:cs="Arial"/>
        </w:rPr>
        <w:t xml:space="preserve">, sandwich immunoassay that utilizes a </w:t>
      </w:r>
      <w:r w:rsidR="003C6EE7" w:rsidRPr="00B7687A">
        <w:rPr>
          <w:rFonts w:ascii="Arial" w:hAnsi="Arial" w:cs="Arial"/>
        </w:rPr>
        <w:t>streptavidin coated</w:t>
      </w:r>
      <w:r w:rsidRPr="00B7687A">
        <w:rPr>
          <w:rFonts w:ascii="Arial" w:hAnsi="Arial" w:cs="Arial"/>
        </w:rPr>
        <w:t xml:space="preserve"> microplate. The assay begins when patient serum, a specific biotinylated monoclonal </w:t>
      </w:r>
      <w:r w:rsidR="003C6EE7" w:rsidRPr="00B7687A">
        <w:rPr>
          <w:rFonts w:ascii="Arial" w:hAnsi="Arial" w:cs="Arial"/>
        </w:rPr>
        <w:t>anti LH</w:t>
      </w:r>
      <w:r w:rsidRPr="00B7687A">
        <w:rPr>
          <w:rFonts w:ascii="Arial" w:hAnsi="Arial" w:cs="Arial"/>
        </w:rPr>
        <w:t xml:space="preserve"> antibody, and an </w:t>
      </w:r>
      <w:r w:rsidR="003C6EE7" w:rsidRPr="00B7687A">
        <w:rPr>
          <w:rFonts w:ascii="Arial" w:hAnsi="Arial" w:cs="Arial"/>
        </w:rPr>
        <w:t>enzyme conjugated</w:t>
      </w:r>
      <w:r w:rsidRPr="00B7687A">
        <w:rPr>
          <w:rFonts w:ascii="Arial" w:hAnsi="Arial" w:cs="Arial"/>
        </w:rPr>
        <w:t xml:space="preserve"> (Horseradish </w:t>
      </w:r>
      <w:r w:rsidR="003C6EE7" w:rsidRPr="00B7687A">
        <w:rPr>
          <w:rFonts w:ascii="Arial" w:hAnsi="Arial" w:cs="Arial"/>
        </w:rPr>
        <w:t>Peroxidase HRP</w:t>
      </w:r>
      <w:r w:rsidRPr="00B7687A">
        <w:rPr>
          <w:rFonts w:ascii="Arial" w:hAnsi="Arial" w:cs="Arial"/>
        </w:rPr>
        <w:t xml:space="preserve">) </w:t>
      </w:r>
      <w:r w:rsidR="003C6EE7" w:rsidRPr="00B7687A">
        <w:rPr>
          <w:rFonts w:ascii="Arial" w:hAnsi="Arial" w:cs="Arial"/>
        </w:rPr>
        <w:t>anti LH</w:t>
      </w:r>
      <w:r w:rsidRPr="00B7687A">
        <w:rPr>
          <w:rFonts w:ascii="Arial" w:hAnsi="Arial" w:cs="Arial"/>
        </w:rPr>
        <w:t xml:space="preserve"> antibody are added to the microwells. During incubation, the LH present in the sample simultaneously binds to both the biotinylated and </w:t>
      </w:r>
      <w:r w:rsidR="003C6EE7" w:rsidRPr="00B7687A">
        <w:rPr>
          <w:rFonts w:ascii="Arial" w:hAnsi="Arial" w:cs="Arial"/>
        </w:rPr>
        <w:t>enzyme conjugated</w:t>
      </w:r>
      <w:r w:rsidRPr="00B7687A">
        <w:rPr>
          <w:rFonts w:ascii="Arial" w:hAnsi="Arial" w:cs="Arial"/>
        </w:rPr>
        <w:t xml:space="preserve"> antibodies, forming an "</w:t>
      </w:r>
      <w:r w:rsidR="003C6EE7" w:rsidRPr="00B7687A">
        <w:rPr>
          <w:rFonts w:ascii="Arial" w:hAnsi="Arial" w:cs="Arial"/>
        </w:rPr>
        <w:t>Antibody LH Antibody Enzyme</w:t>
      </w:r>
      <w:r w:rsidRPr="00B7687A">
        <w:rPr>
          <w:rFonts w:ascii="Arial" w:hAnsi="Arial" w:cs="Arial"/>
        </w:rPr>
        <w:t xml:space="preserve">" sandwich complex. This complex is then captured and immobilized onto the well surface through the </w:t>
      </w:r>
      <w:r w:rsidR="003C6EE7" w:rsidRPr="00B7687A">
        <w:rPr>
          <w:rFonts w:ascii="Arial" w:hAnsi="Arial" w:cs="Arial"/>
        </w:rPr>
        <w:t>high affinity</w:t>
      </w:r>
      <w:r w:rsidRPr="00B7687A">
        <w:rPr>
          <w:rFonts w:ascii="Arial" w:hAnsi="Arial" w:cs="Arial"/>
        </w:rPr>
        <w:t xml:space="preserve"> interaction between streptavidin and biotin. After incubation, the wells are washed thoroughly to remove any unbound </w:t>
      </w:r>
      <w:r w:rsidR="003C6EE7" w:rsidRPr="00B7687A">
        <w:rPr>
          <w:rFonts w:ascii="Arial" w:hAnsi="Arial" w:cs="Arial"/>
        </w:rPr>
        <w:t>enzyme conjugated</w:t>
      </w:r>
      <w:r w:rsidRPr="00B7687A">
        <w:rPr>
          <w:rFonts w:ascii="Arial" w:hAnsi="Arial" w:cs="Arial"/>
        </w:rPr>
        <w:t xml:space="preserve"> antibodies and other serum components. A chromogenic substrate, Tetramethylbenzidine (TMB), is then added, which is catalyzed by the HRP enzyme in the captured complex to </w:t>
      </w:r>
      <w:r w:rsidRPr="00B7687A">
        <w:rPr>
          <w:rFonts w:ascii="Arial" w:hAnsi="Arial" w:cs="Arial"/>
        </w:rPr>
        <w:lastRenderedPageBreak/>
        <w:t xml:space="preserve">produce a </w:t>
      </w:r>
      <w:r w:rsidR="003C6EE7" w:rsidRPr="00B7687A">
        <w:rPr>
          <w:rFonts w:ascii="Arial" w:hAnsi="Arial" w:cs="Arial"/>
        </w:rPr>
        <w:t>blue colored</w:t>
      </w:r>
      <w:r w:rsidRPr="00B7687A">
        <w:rPr>
          <w:rFonts w:ascii="Arial" w:hAnsi="Arial" w:cs="Arial"/>
        </w:rPr>
        <w:t xml:space="preserve"> product. The reaction is subsequently stopped by the addition of an acid solution, changing the color from blue to yellow. The intensity of this yellow color, which is directly proportional to the concentration of LH in the original sample, is measured spectrophotometrically at a wavelength of 450 nm.</w:t>
      </w:r>
    </w:p>
    <w:p w14:paraId="3A952C7B" w14:textId="5CB13EC4" w:rsidR="00B7687A" w:rsidRPr="003C6EE7" w:rsidRDefault="003C6EE7" w:rsidP="00B7687A">
      <w:pPr>
        <w:pStyle w:val="Body"/>
        <w:rPr>
          <w:rFonts w:ascii="Arial" w:hAnsi="Arial" w:cs="Arial"/>
          <w:b/>
          <w:bCs/>
        </w:rPr>
      </w:pPr>
      <w:r w:rsidRPr="003C6EE7">
        <w:rPr>
          <w:rFonts w:ascii="Arial" w:hAnsi="Arial" w:cs="Arial"/>
          <w:b/>
          <w:bCs/>
        </w:rPr>
        <w:t>2</w:t>
      </w:r>
      <w:r w:rsidR="00B7687A" w:rsidRPr="003C6EE7">
        <w:rPr>
          <w:rFonts w:ascii="Arial" w:hAnsi="Arial" w:cs="Arial"/>
          <w:b/>
          <w:bCs/>
        </w:rPr>
        <w:t>.10</w:t>
      </w:r>
      <w:r>
        <w:rPr>
          <w:rFonts w:ascii="Arial" w:hAnsi="Arial" w:cs="Arial"/>
          <w:b/>
          <w:bCs/>
        </w:rPr>
        <w:t xml:space="preserve"> </w:t>
      </w:r>
      <w:r w:rsidR="00B7687A" w:rsidRPr="003C6EE7">
        <w:rPr>
          <w:rFonts w:ascii="Arial" w:hAnsi="Arial" w:cs="Arial"/>
          <w:b/>
          <w:bCs/>
        </w:rPr>
        <w:t>Quality Control</w:t>
      </w:r>
    </w:p>
    <w:p w14:paraId="07D83E3B" w14:textId="796D85A8" w:rsidR="00B7687A" w:rsidRPr="00B7687A" w:rsidRDefault="00B7687A" w:rsidP="00B7687A">
      <w:pPr>
        <w:pStyle w:val="Body"/>
        <w:rPr>
          <w:rFonts w:ascii="Arial" w:hAnsi="Arial" w:cs="Arial"/>
        </w:rPr>
      </w:pPr>
      <w:r w:rsidRPr="00B7687A">
        <w:rPr>
          <w:rFonts w:ascii="Arial" w:hAnsi="Arial" w:cs="Arial"/>
        </w:rPr>
        <w:t xml:space="preserve">Strict quality control measures were implemented. For both assays, commercial control sera (high, medium, and low concentrations) were run with each batch of samples. Results were plotted on </w:t>
      </w:r>
      <w:r w:rsidR="003C6EE7" w:rsidRPr="00B7687A">
        <w:rPr>
          <w:rFonts w:ascii="Arial" w:hAnsi="Arial" w:cs="Arial"/>
        </w:rPr>
        <w:t>Levey Jennings</w:t>
      </w:r>
      <w:r w:rsidRPr="00B7687A">
        <w:rPr>
          <w:rFonts w:ascii="Arial" w:hAnsi="Arial" w:cs="Arial"/>
        </w:rPr>
        <w:t xml:space="preserve"> charts to monitor assay performance. Any run where control values fell outside the acceptable range was rejected and repeated. All laboratory equipment was regularly calibrated and maintained.</w:t>
      </w:r>
    </w:p>
    <w:p w14:paraId="0DD82538" w14:textId="1DAF1F6E" w:rsidR="00B7687A" w:rsidRPr="003C6EE7" w:rsidRDefault="003C6EE7" w:rsidP="00B7687A">
      <w:pPr>
        <w:pStyle w:val="Body"/>
        <w:rPr>
          <w:rFonts w:ascii="Arial" w:hAnsi="Arial" w:cs="Arial"/>
          <w:b/>
          <w:bCs/>
        </w:rPr>
      </w:pPr>
      <w:r w:rsidRPr="003C6EE7">
        <w:rPr>
          <w:rFonts w:ascii="Arial" w:hAnsi="Arial" w:cs="Arial"/>
          <w:b/>
          <w:bCs/>
        </w:rPr>
        <w:t>2</w:t>
      </w:r>
      <w:r w:rsidR="00B7687A" w:rsidRPr="003C6EE7">
        <w:rPr>
          <w:rFonts w:ascii="Arial" w:hAnsi="Arial" w:cs="Arial"/>
          <w:b/>
          <w:bCs/>
        </w:rPr>
        <w:t>.11 Data Analysis</w:t>
      </w:r>
    </w:p>
    <w:p w14:paraId="38188945" w14:textId="135EDD81" w:rsidR="00B7687A" w:rsidRPr="00B7687A" w:rsidRDefault="00EA7006" w:rsidP="00B7687A">
      <w:pPr>
        <w:pStyle w:val="Body"/>
        <w:rPr>
          <w:rFonts w:ascii="Arial" w:hAnsi="Arial" w:cs="Arial"/>
        </w:rPr>
      </w:pPr>
      <w:r>
        <w:rPr>
          <w:rFonts w:ascii="Arial" w:hAnsi="Arial" w:cs="Arial"/>
        </w:rPr>
        <w:t>Data was</w:t>
      </w:r>
      <w:r w:rsidR="00B7687A" w:rsidRPr="00B7687A">
        <w:rPr>
          <w:rFonts w:ascii="Arial" w:hAnsi="Arial" w:cs="Arial"/>
        </w:rPr>
        <w:t xml:space="preserve"> analyzed using the Statistical Package for the Social Sciences (SPSS) version 25.0. Descriptive statistics were used to summarize the data; continuous variables were presented as mean ± standard deviation (SD), while categorical variables were presented as frequencies and </w:t>
      </w:r>
      <w:r w:rsidRPr="00B7687A">
        <w:rPr>
          <w:rFonts w:ascii="Arial" w:hAnsi="Arial" w:cs="Arial"/>
        </w:rPr>
        <w:t>percentages.</w:t>
      </w:r>
      <w:r w:rsidR="00B7687A" w:rsidRPr="00B7687A">
        <w:rPr>
          <w:rFonts w:ascii="Arial" w:hAnsi="Arial" w:cs="Arial"/>
        </w:rPr>
        <w:t xml:space="preserve"> ANOVA was employed to compare the mean levels across more than two groups</w:t>
      </w:r>
      <w:r>
        <w:rPr>
          <w:rFonts w:ascii="Arial" w:hAnsi="Arial" w:cs="Arial"/>
        </w:rPr>
        <w:t>,</w:t>
      </w:r>
      <w:r w:rsidR="00B7687A" w:rsidRPr="00B7687A">
        <w:rPr>
          <w:rFonts w:ascii="Arial" w:hAnsi="Arial" w:cs="Arial"/>
        </w:rPr>
        <w:t xml:space="preserve"> Tukey HSD post-hoc test was performed to identify which specific groups differed from each other. An independent t-test was used to compare the mean between two independent </w:t>
      </w:r>
      <w:r w:rsidR="00B67B07" w:rsidRPr="00B7687A">
        <w:rPr>
          <w:rFonts w:ascii="Arial" w:hAnsi="Arial" w:cs="Arial"/>
        </w:rPr>
        <w:t>groups;</w:t>
      </w:r>
      <w:r w:rsidR="00B7687A" w:rsidRPr="00B7687A">
        <w:rPr>
          <w:rFonts w:ascii="Arial" w:hAnsi="Arial" w:cs="Arial"/>
        </w:rPr>
        <w:t xml:space="preserve"> Pearson correlation was used to examine the relationship between </w:t>
      </w:r>
      <w:r w:rsidR="00B67B07">
        <w:rPr>
          <w:rFonts w:ascii="Arial" w:hAnsi="Arial" w:cs="Arial"/>
        </w:rPr>
        <w:t>variables</w:t>
      </w:r>
      <w:r w:rsidR="00B7687A" w:rsidRPr="00B7687A">
        <w:rPr>
          <w:rFonts w:ascii="Arial" w:hAnsi="Arial" w:cs="Arial"/>
        </w:rPr>
        <w:t xml:space="preserve">. A </w:t>
      </w:r>
      <w:r w:rsidRPr="00B7687A">
        <w:rPr>
          <w:rFonts w:ascii="Arial" w:hAnsi="Arial" w:cs="Arial"/>
        </w:rPr>
        <w:t>p</w:t>
      </w:r>
      <w:r w:rsidR="00B67B07">
        <w:rPr>
          <w:rFonts w:ascii="Arial" w:hAnsi="Arial" w:cs="Arial"/>
        </w:rPr>
        <w:t>-</w:t>
      </w:r>
      <w:r w:rsidRPr="00B7687A">
        <w:rPr>
          <w:rFonts w:ascii="Arial" w:hAnsi="Arial" w:cs="Arial"/>
        </w:rPr>
        <w:t>value</w:t>
      </w:r>
      <w:r w:rsidR="00B7687A" w:rsidRPr="00B7687A">
        <w:rPr>
          <w:rFonts w:ascii="Arial" w:hAnsi="Arial" w:cs="Arial"/>
        </w:rPr>
        <w:t xml:space="preserve"> of less than 0.05 was considered statistically significant for all tests.</w:t>
      </w:r>
    </w:p>
    <w:p w14:paraId="093C2C02" w14:textId="77777777" w:rsidR="00902823" w:rsidRDefault="00000F8F" w:rsidP="00B67B07">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69BDBBA" w14:textId="1DC1F738" w:rsidR="00B7687A" w:rsidRPr="00B67B07" w:rsidRDefault="00B7687A" w:rsidP="00B7687A">
      <w:pPr>
        <w:spacing w:line="480" w:lineRule="auto"/>
        <w:rPr>
          <w:rFonts w:ascii="Arial" w:hAnsi="Arial" w:cs="Arial"/>
          <w:b/>
          <w:bCs/>
        </w:rPr>
      </w:pPr>
      <w:r w:rsidRPr="00B67B07">
        <w:rPr>
          <w:rFonts w:ascii="Arial" w:hAnsi="Arial" w:cs="Arial"/>
          <w:b/>
          <w:bCs/>
        </w:rPr>
        <w:t>Table 1: Distribution of Gender and Age by HIV Status</w:t>
      </w:r>
    </w:p>
    <w:tbl>
      <w:tblPr>
        <w:tblW w:w="897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81"/>
        <w:gridCol w:w="1236"/>
        <w:gridCol w:w="2453"/>
        <w:gridCol w:w="2375"/>
        <w:gridCol w:w="1532"/>
      </w:tblGrid>
      <w:tr w:rsidR="00B7687A" w:rsidRPr="00B67B07" w14:paraId="580AEEC6" w14:textId="77777777" w:rsidTr="00B67B07">
        <w:trPr>
          <w:trHeight w:val="304"/>
          <w:tblHeader/>
          <w:tblCellSpacing w:w="15" w:type="dxa"/>
        </w:trPr>
        <w:tc>
          <w:tcPr>
            <w:tcW w:w="0" w:type="auto"/>
            <w:vAlign w:val="center"/>
          </w:tcPr>
          <w:p w14:paraId="64493B25" w14:textId="77777777" w:rsidR="00B7687A" w:rsidRPr="00B67B07" w:rsidRDefault="00B7687A" w:rsidP="00B67B07">
            <w:pPr>
              <w:rPr>
                <w:rFonts w:ascii="Arial" w:hAnsi="Arial" w:cs="Arial"/>
                <w:b/>
                <w:bCs/>
              </w:rPr>
            </w:pPr>
            <w:r w:rsidRPr="00B67B07">
              <w:rPr>
                <w:rFonts w:ascii="Arial" w:hAnsi="Arial" w:cs="Arial"/>
                <w:b/>
                <w:bCs/>
              </w:rPr>
              <w:t>Variable</w:t>
            </w:r>
          </w:p>
        </w:tc>
        <w:tc>
          <w:tcPr>
            <w:tcW w:w="0" w:type="auto"/>
            <w:vAlign w:val="center"/>
          </w:tcPr>
          <w:p w14:paraId="686EECB4" w14:textId="77777777" w:rsidR="00B7687A" w:rsidRPr="00B67B07" w:rsidRDefault="00B7687A" w:rsidP="00B67B07">
            <w:pPr>
              <w:jc w:val="center"/>
              <w:rPr>
                <w:rFonts w:ascii="Arial" w:hAnsi="Arial" w:cs="Arial"/>
                <w:b/>
                <w:bCs/>
              </w:rPr>
            </w:pPr>
            <w:r w:rsidRPr="00B67B07">
              <w:rPr>
                <w:rFonts w:ascii="Arial" w:hAnsi="Arial" w:cs="Arial"/>
                <w:b/>
                <w:bCs/>
              </w:rPr>
              <w:t>Category</w:t>
            </w:r>
          </w:p>
        </w:tc>
        <w:tc>
          <w:tcPr>
            <w:tcW w:w="0" w:type="auto"/>
            <w:vAlign w:val="center"/>
          </w:tcPr>
          <w:p w14:paraId="027BB5AC" w14:textId="77777777" w:rsidR="00B7687A" w:rsidRPr="00B67B07" w:rsidRDefault="00B7687A" w:rsidP="00B67B07">
            <w:pPr>
              <w:jc w:val="center"/>
              <w:rPr>
                <w:rFonts w:ascii="Arial" w:hAnsi="Arial" w:cs="Arial"/>
                <w:b/>
                <w:bCs/>
              </w:rPr>
            </w:pPr>
            <w:r w:rsidRPr="00B67B07">
              <w:rPr>
                <w:rFonts w:ascii="Arial" w:hAnsi="Arial" w:cs="Arial"/>
                <w:b/>
                <w:bCs/>
              </w:rPr>
              <w:t>HIV  Negative (n = 25)</w:t>
            </w:r>
          </w:p>
        </w:tc>
        <w:tc>
          <w:tcPr>
            <w:tcW w:w="0" w:type="auto"/>
            <w:vAlign w:val="center"/>
          </w:tcPr>
          <w:p w14:paraId="5EF539C2" w14:textId="77777777" w:rsidR="00B7687A" w:rsidRPr="00B67B07" w:rsidRDefault="00B7687A" w:rsidP="00B67B07">
            <w:pPr>
              <w:jc w:val="center"/>
              <w:rPr>
                <w:rFonts w:ascii="Arial" w:hAnsi="Arial" w:cs="Arial"/>
                <w:b/>
                <w:bCs/>
              </w:rPr>
            </w:pPr>
            <w:r w:rsidRPr="00B67B07">
              <w:rPr>
                <w:rFonts w:ascii="Arial" w:hAnsi="Arial" w:cs="Arial"/>
                <w:b/>
                <w:bCs/>
              </w:rPr>
              <w:t>HIV  Positive (n = 25)</w:t>
            </w:r>
          </w:p>
        </w:tc>
        <w:tc>
          <w:tcPr>
            <w:tcW w:w="0" w:type="auto"/>
            <w:vAlign w:val="center"/>
          </w:tcPr>
          <w:p w14:paraId="00B5C31D" w14:textId="77777777" w:rsidR="00B7687A" w:rsidRPr="00B67B07" w:rsidRDefault="00B7687A" w:rsidP="00B67B07">
            <w:pPr>
              <w:jc w:val="center"/>
              <w:rPr>
                <w:rFonts w:ascii="Arial" w:hAnsi="Arial" w:cs="Arial"/>
                <w:b/>
                <w:bCs/>
              </w:rPr>
            </w:pPr>
            <w:r w:rsidRPr="00B67B07">
              <w:rPr>
                <w:rFonts w:ascii="Arial" w:hAnsi="Arial" w:cs="Arial"/>
                <w:b/>
                <w:bCs/>
              </w:rPr>
              <w:t>Total (n = 50)</w:t>
            </w:r>
          </w:p>
        </w:tc>
      </w:tr>
      <w:tr w:rsidR="00B7687A" w:rsidRPr="00B67B07" w14:paraId="63BF333E" w14:textId="77777777" w:rsidTr="00B67B07">
        <w:trPr>
          <w:trHeight w:val="207"/>
          <w:tblCellSpacing w:w="15" w:type="dxa"/>
        </w:trPr>
        <w:tc>
          <w:tcPr>
            <w:tcW w:w="0" w:type="auto"/>
            <w:tcBorders>
              <w:top w:val="single" w:sz="4" w:space="0" w:color="auto"/>
              <w:bottom w:val="nil"/>
            </w:tcBorders>
            <w:vAlign w:val="center"/>
          </w:tcPr>
          <w:p w14:paraId="36770776" w14:textId="77777777" w:rsidR="00B7687A" w:rsidRPr="00B67B07" w:rsidRDefault="00B7687A" w:rsidP="00B67B07">
            <w:pPr>
              <w:rPr>
                <w:rFonts w:ascii="Arial" w:hAnsi="Arial" w:cs="Arial"/>
                <w:b/>
                <w:bCs/>
              </w:rPr>
            </w:pPr>
            <w:r w:rsidRPr="00B67B07">
              <w:rPr>
                <w:rFonts w:ascii="Arial" w:hAnsi="Arial" w:cs="Arial"/>
                <w:b/>
                <w:bCs/>
              </w:rPr>
              <w:t>Gender</w:t>
            </w:r>
          </w:p>
        </w:tc>
        <w:tc>
          <w:tcPr>
            <w:tcW w:w="0" w:type="auto"/>
            <w:tcBorders>
              <w:top w:val="single" w:sz="4" w:space="0" w:color="auto"/>
              <w:bottom w:val="nil"/>
            </w:tcBorders>
            <w:vAlign w:val="center"/>
          </w:tcPr>
          <w:p w14:paraId="0F65FD88" w14:textId="77777777" w:rsidR="00B7687A" w:rsidRPr="00B67B07" w:rsidRDefault="00B7687A" w:rsidP="00B67B07">
            <w:pPr>
              <w:jc w:val="center"/>
              <w:rPr>
                <w:rFonts w:ascii="Arial" w:hAnsi="Arial" w:cs="Arial"/>
              </w:rPr>
            </w:pPr>
            <w:r w:rsidRPr="00B67B07">
              <w:rPr>
                <w:rFonts w:ascii="Arial" w:hAnsi="Arial" w:cs="Arial"/>
              </w:rPr>
              <w:t>Male</w:t>
            </w:r>
          </w:p>
        </w:tc>
        <w:tc>
          <w:tcPr>
            <w:tcW w:w="0" w:type="auto"/>
            <w:tcBorders>
              <w:top w:val="single" w:sz="4" w:space="0" w:color="auto"/>
              <w:bottom w:val="nil"/>
            </w:tcBorders>
            <w:vAlign w:val="center"/>
          </w:tcPr>
          <w:p w14:paraId="56BBFEB5" w14:textId="77777777" w:rsidR="00B7687A" w:rsidRPr="00B67B07" w:rsidRDefault="00B7687A" w:rsidP="00B67B07">
            <w:pPr>
              <w:jc w:val="center"/>
              <w:rPr>
                <w:rFonts w:ascii="Arial" w:hAnsi="Arial" w:cs="Arial"/>
              </w:rPr>
            </w:pPr>
            <w:r w:rsidRPr="00B67B07">
              <w:rPr>
                <w:rFonts w:ascii="Arial" w:hAnsi="Arial" w:cs="Arial"/>
              </w:rPr>
              <w:t>15 (60.0%)</w:t>
            </w:r>
          </w:p>
        </w:tc>
        <w:tc>
          <w:tcPr>
            <w:tcW w:w="0" w:type="auto"/>
            <w:tcBorders>
              <w:top w:val="single" w:sz="4" w:space="0" w:color="auto"/>
              <w:bottom w:val="nil"/>
            </w:tcBorders>
            <w:vAlign w:val="center"/>
          </w:tcPr>
          <w:p w14:paraId="0527375B" w14:textId="77777777" w:rsidR="00B7687A" w:rsidRPr="00B67B07" w:rsidRDefault="00B7687A" w:rsidP="00B67B07">
            <w:pPr>
              <w:jc w:val="center"/>
              <w:rPr>
                <w:rFonts w:ascii="Arial" w:hAnsi="Arial" w:cs="Arial"/>
              </w:rPr>
            </w:pPr>
            <w:r w:rsidRPr="00B67B07">
              <w:rPr>
                <w:rFonts w:ascii="Arial" w:hAnsi="Arial" w:cs="Arial"/>
              </w:rPr>
              <w:t>13 (52.0%)</w:t>
            </w:r>
          </w:p>
        </w:tc>
        <w:tc>
          <w:tcPr>
            <w:tcW w:w="0" w:type="auto"/>
            <w:tcBorders>
              <w:top w:val="single" w:sz="4" w:space="0" w:color="auto"/>
              <w:bottom w:val="nil"/>
            </w:tcBorders>
            <w:vAlign w:val="center"/>
          </w:tcPr>
          <w:p w14:paraId="4C834A1E" w14:textId="77777777" w:rsidR="00B7687A" w:rsidRPr="00B67B07" w:rsidRDefault="00B7687A" w:rsidP="00B67B07">
            <w:pPr>
              <w:jc w:val="center"/>
              <w:rPr>
                <w:rFonts w:ascii="Arial" w:hAnsi="Arial" w:cs="Arial"/>
              </w:rPr>
            </w:pPr>
            <w:r w:rsidRPr="00B67B07">
              <w:rPr>
                <w:rFonts w:ascii="Arial" w:hAnsi="Arial" w:cs="Arial"/>
              </w:rPr>
              <w:t>28 (56.0%)</w:t>
            </w:r>
          </w:p>
        </w:tc>
      </w:tr>
      <w:tr w:rsidR="00B7687A" w:rsidRPr="00B67B07" w14:paraId="554F4542" w14:textId="77777777" w:rsidTr="00B67B07">
        <w:trPr>
          <w:trHeight w:val="208"/>
          <w:tblCellSpacing w:w="15" w:type="dxa"/>
        </w:trPr>
        <w:tc>
          <w:tcPr>
            <w:tcW w:w="0" w:type="auto"/>
            <w:vAlign w:val="center"/>
          </w:tcPr>
          <w:p w14:paraId="391DC344" w14:textId="77777777" w:rsidR="00B7687A" w:rsidRPr="00B67B07" w:rsidRDefault="00B7687A" w:rsidP="00B67B07">
            <w:pPr>
              <w:rPr>
                <w:rFonts w:ascii="Arial" w:hAnsi="Arial" w:cs="Arial"/>
                <w:b/>
                <w:bCs/>
              </w:rPr>
            </w:pPr>
          </w:p>
        </w:tc>
        <w:tc>
          <w:tcPr>
            <w:tcW w:w="0" w:type="auto"/>
            <w:vAlign w:val="center"/>
          </w:tcPr>
          <w:p w14:paraId="45D8D734" w14:textId="77777777" w:rsidR="00B7687A" w:rsidRPr="00B67B07" w:rsidRDefault="00B7687A" w:rsidP="00B67B07">
            <w:pPr>
              <w:jc w:val="center"/>
              <w:rPr>
                <w:rFonts w:ascii="Arial" w:hAnsi="Arial" w:cs="Arial"/>
              </w:rPr>
            </w:pPr>
            <w:r w:rsidRPr="00B67B07">
              <w:rPr>
                <w:rFonts w:ascii="Arial" w:hAnsi="Arial" w:cs="Arial"/>
              </w:rPr>
              <w:t>Female</w:t>
            </w:r>
          </w:p>
        </w:tc>
        <w:tc>
          <w:tcPr>
            <w:tcW w:w="0" w:type="auto"/>
            <w:vAlign w:val="center"/>
          </w:tcPr>
          <w:p w14:paraId="2AC4B504" w14:textId="77777777" w:rsidR="00B7687A" w:rsidRPr="00B67B07" w:rsidRDefault="00B7687A" w:rsidP="00B67B07">
            <w:pPr>
              <w:jc w:val="center"/>
              <w:rPr>
                <w:rFonts w:ascii="Arial" w:hAnsi="Arial" w:cs="Arial"/>
              </w:rPr>
            </w:pPr>
            <w:r w:rsidRPr="00B67B07">
              <w:rPr>
                <w:rFonts w:ascii="Arial" w:hAnsi="Arial" w:cs="Arial"/>
              </w:rPr>
              <w:t>10 (40.0%)</w:t>
            </w:r>
          </w:p>
        </w:tc>
        <w:tc>
          <w:tcPr>
            <w:tcW w:w="0" w:type="auto"/>
            <w:vAlign w:val="center"/>
          </w:tcPr>
          <w:p w14:paraId="57612D19" w14:textId="77777777" w:rsidR="00B7687A" w:rsidRPr="00B67B07" w:rsidRDefault="00B7687A" w:rsidP="00B67B07">
            <w:pPr>
              <w:jc w:val="center"/>
              <w:rPr>
                <w:rFonts w:ascii="Arial" w:hAnsi="Arial" w:cs="Arial"/>
              </w:rPr>
            </w:pPr>
            <w:r w:rsidRPr="00B67B07">
              <w:rPr>
                <w:rFonts w:ascii="Arial" w:hAnsi="Arial" w:cs="Arial"/>
              </w:rPr>
              <w:t>12 (48.0%)</w:t>
            </w:r>
          </w:p>
        </w:tc>
        <w:tc>
          <w:tcPr>
            <w:tcW w:w="0" w:type="auto"/>
            <w:vAlign w:val="center"/>
          </w:tcPr>
          <w:p w14:paraId="460BFF55" w14:textId="77777777" w:rsidR="00B7687A" w:rsidRPr="00B67B07" w:rsidRDefault="00B7687A" w:rsidP="00B67B07">
            <w:pPr>
              <w:jc w:val="center"/>
              <w:rPr>
                <w:rFonts w:ascii="Arial" w:hAnsi="Arial" w:cs="Arial"/>
              </w:rPr>
            </w:pPr>
            <w:r w:rsidRPr="00B67B07">
              <w:rPr>
                <w:rFonts w:ascii="Arial" w:hAnsi="Arial" w:cs="Arial"/>
              </w:rPr>
              <w:t>22 (44.0%)</w:t>
            </w:r>
          </w:p>
        </w:tc>
      </w:tr>
      <w:tr w:rsidR="00B7687A" w:rsidRPr="00B67B07" w14:paraId="0688C301" w14:textId="77777777" w:rsidTr="00B67B07">
        <w:trPr>
          <w:trHeight w:val="55"/>
          <w:tblCellSpacing w:w="15" w:type="dxa"/>
        </w:trPr>
        <w:tc>
          <w:tcPr>
            <w:tcW w:w="0" w:type="auto"/>
            <w:vAlign w:val="center"/>
          </w:tcPr>
          <w:p w14:paraId="5D20C599" w14:textId="77777777" w:rsidR="00B7687A" w:rsidRPr="00B67B07" w:rsidRDefault="00B7687A" w:rsidP="00B67B07">
            <w:pPr>
              <w:rPr>
                <w:rFonts w:ascii="Arial" w:hAnsi="Arial" w:cs="Arial"/>
                <w:b/>
                <w:bCs/>
              </w:rPr>
            </w:pPr>
            <w:r w:rsidRPr="00B67B07">
              <w:rPr>
                <w:rFonts w:ascii="Arial" w:hAnsi="Arial" w:cs="Arial"/>
                <w:b/>
                <w:bCs/>
              </w:rPr>
              <w:t>Age (Years)</w:t>
            </w:r>
          </w:p>
        </w:tc>
        <w:tc>
          <w:tcPr>
            <w:tcW w:w="0" w:type="auto"/>
            <w:vAlign w:val="center"/>
          </w:tcPr>
          <w:p w14:paraId="4D496981" w14:textId="77777777" w:rsidR="00B7687A" w:rsidRPr="00B67B07" w:rsidRDefault="00B7687A" w:rsidP="00B67B07">
            <w:pPr>
              <w:jc w:val="center"/>
              <w:rPr>
                <w:rFonts w:ascii="Arial" w:hAnsi="Arial" w:cs="Arial"/>
              </w:rPr>
            </w:pPr>
            <w:r w:rsidRPr="00B67B07">
              <w:rPr>
                <w:rFonts w:ascii="Arial" w:hAnsi="Arial" w:cs="Arial"/>
              </w:rPr>
              <w:t>Mean ± SD</w:t>
            </w:r>
          </w:p>
        </w:tc>
        <w:tc>
          <w:tcPr>
            <w:tcW w:w="0" w:type="auto"/>
            <w:vAlign w:val="center"/>
          </w:tcPr>
          <w:p w14:paraId="14615B6C" w14:textId="77777777" w:rsidR="00B7687A" w:rsidRPr="00B67B07" w:rsidRDefault="00B7687A" w:rsidP="00B67B07">
            <w:pPr>
              <w:jc w:val="center"/>
              <w:rPr>
                <w:rFonts w:ascii="Arial" w:hAnsi="Arial" w:cs="Arial"/>
              </w:rPr>
            </w:pPr>
            <w:r w:rsidRPr="00B67B07">
              <w:rPr>
                <w:rFonts w:ascii="Arial" w:hAnsi="Arial" w:cs="Arial"/>
              </w:rPr>
              <w:t>41.14 ± 11.46</w:t>
            </w:r>
          </w:p>
        </w:tc>
        <w:tc>
          <w:tcPr>
            <w:tcW w:w="0" w:type="auto"/>
            <w:vAlign w:val="center"/>
          </w:tcPr>
          <w:p w14:paraId="75FD04BD" w14:textId="77777777" w:rsidR="00B7687A" w:rsidRPr="00B67B07" w:rsidRDefault="00B7687A" w:rsidP="00B67B07">
            <w:pPr>
              <w:jc w:val="center"/>
              <w:rPr>
                <w:rFonts w:ascii="Arial" w:hAnsi="Arial" w:cs="Arial"/>
              </w:rPr>
            </w:pPr>
            <w:r w:rsidRPr="00B67B07">
              <w:rPr>
                <w:rFonts w:ascii="Arial" w:hAnsi="Arial" w:cs="Arial"/>
              </w:rPr>
              <w:t>42.72 ± 15.93</w:t>
            </w:r>
          </w:p>
        </w:tc>
        <w:tc>
          <w:tcPr>
            <w:tcW w:w="0" w:type="auto"/>
            <w:vAlign w:val="center"/>
          </w:tcPr>
          <w:p w14:paraId="06ABC3F2" w14:textId="77777777" w:rsidR="00B7687A" w:rsidRPr="00B67B07" w:rsidRDefault="00B7687A" w:rsidP="00B67B07">
            <w:pPr>
              <w:jc w:val="center"/>
              <w:rPr>
                <w:rFonts w:ascii="Arial" w:hAnsi="Arial" w:cs="Arial"/>
              </w:rPr>
            </w:pPr>
            <w:r w:rsidRPr="00B67B07">
              <w:rPr>
                <w:rFonts w:ascii="Arial" w:hAnsi="Arial" w:cs="Arial"/>
              </w:rPr>
              <w:t xml:space="preserve"> </w:t>
            </w:r>
          </w:p>
        </w:tc>
      </w:tr>
    </w:tbl>
    <w:p w14:paraId="7D7E2442" w14:textId="77777777" w:rsidR="00B7687A" w:rsidRPr="00B67B07" w:rsidRDefault="00B7687A" w:rsidP="00401964">
      <w:pPr>
        <w:pStyle w:val="Body"/>
        <w:spacing w:after="0"/>
        <w:rPr>
          <w:rFonts w:ascii="Arial" w:hAnsi="Arial" w:cs="Arial"/>
        </w:rPr>
      </w:pPr>
    </w:p>
    <w:p w14:paraId="37A12F52" w14:textId="77777777" w:rsidR="00B7687A" w:rsidRPr="00B67B07" w:rsidRDefault="00B7687A" w:rsidP="00401964">
      <w:pPr>
        <w:pStyle w:val="Body"/>
        <w:spacing w:after="0"/>
        <w:rPr>
          <w:rFonts w:ascii="Arial" w:hAnsi="Arial" w:cs="Arial"/>
        </w:rPr>
      </w:pPr>
    </w:p>
    <w:p w14:paraId="66A16377" w14:textId="58D26961" w:rsidR="00B7687A" w:rsidRPr="00B67B07" w:rsidRDefault="00B7687A" w:rsidP="00B7687A">
      <w:pPr>
        <w:pStyle w:val="Heading2"/>
        <w:rPr>
          <w:rFonts w:ascii="Arial" w:hAnsi="Arial" w:cs="Arial"/>
          <w:b/>
          <w:bCs/>
          <w:color w:val="auto"/>
          <w:sz w:val="20"/>
          <w:szCs w:val="20"/>
        </w:rPr>
      </w:pPr>
      <w:bookmarkStart w:id="6" w:name="_Toc13311"/>
      <w:bookmarkStart w:id="7" w:name="_Toc1698"/>
      <w:bookmarkStart w:id="8" w:name="_Toc27454"/>
      <w:r w:rsidRPr="00B67B07">
        <w:rPr>
          <w:rFonts w:ascii="Arial" w:hAnsi="Arial" w:cs="Arial"/>
          <w:b/>
          <w:bCs/>
          <w:color w:val="auto"/>
          <w:sz w:val="20"/>
          <w:szCs w:val="20"/>
        </w:rPr>
        <w:t>Table 2: Comparison of Serum Phosphate and Luteinizing Hormone (LH) Between HIV  positive and HIV  negative Subjects</w:t>
      </w:r>
      <w:bookmarkEnd w:id="6"/>
      <w:bookmarkEnd w:id="7"/>
      <w:bookmarkEnd w:id="8"/>
    </w:p>
    <w:tbl>
      <w:tblPr>
        <w:tblW w:w="8789"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33"/>
        <w:gridCol w:w="1595"/>
        <w:gridCol w:w="1701"/>
        <w:gridCol w:w="1134"/>
        <w:gridCol w:w="1134"/>
        <w:gridCol w:w="992"/>
      </w:tblGrid>
      <w:tr w:rsidR="00B7687A" w:rsidRPr="00B67B07" w14:paraId="11961F0F" w14:textId="77777777" w:rsidTr="00B67B07">
        <w:trPr>
          <w:trHeight w:val="152"/>
          <w:tblHeader/>
          <w:tblCellSpacing w:w="15" w:type="dxa"/>
        </w:trPr>
        <w:tc>
          <w:tcPr>
            <w:tcW w:w="2188" w:type="dxa"/>
            <w:vAlign w:val="center"/>
          </w:tcPr>
          <w:p w14:paraId="5871B055" w14:textId="77777777" w:rsidR="00B7687A" w:rsidRPr="00B67B07" w:rsidRDefault="00B7687A" w:rsidP="00B67B07">
            <w:pPr>
              <w:rPr>
                <w:rFonts w:ascii="Arial" w:hAnsi="Arial" w:cs="Arial"/>
                <w:b/>
                <w:bCs/>
              </w:rPr>
            </w:pPr>
            <w:r w:rsidRPr="00B67B07">
              <w:rPr>
                <w:rFonts w:ascii="Arial" w:hAnsi="Arial" w:cs="Arial"/>
                <w:b/>
                <w:bCs/>
              </w:rPr>
              <w:t>Parameter</w:t>
            </w:r>
          </w:p>
        </w:tc>
        <w:tc>
          <w:tcPr>
            <w:tcW w:w="1565" w:type="dxa"/>
            <w:vAlign w:val="center"/>
          </w:tcPr>
          <w:p w14:paraId="1C86A07F" w14:textId="77777777" w:rsidR="00B7687A" w:rsidRPr="00B67B07" w:rsidRDefault="00B7687A" w:rsidP="00B67B07">
            <w:pPr>
              <w:jc w:val="center"/>
              <w:rPr>
                <w:rFonts w:ascii="Arial" w:hAnsi="Arial" w:cs="Arial"/>
                <w:b/>
                <w:bCs/>
              </w:rPr>
            </w:pPr>
            <w:r w:rsidRPr="00B67B07">
              <w:rPr>
                <w:rFonts w:ascii="Arial" w:hAnsi="Arial" w:cs="Arial"/>
                <w:b/>
                <w:bCs/>
              </w:rPr>
              <w:t>HIV  positive (n=25)</w:t>
            </w:r>
          </w:p>
        </w:tc>
        <w:tc>
          <w:tcPr>
            <w:tcW w:w="1671" w:type="dxa"/>
            <w:vAlign w:val="center"/>
          </w:tcPr>
          <w:p w14:paraId="73C7E606" w14:textId="77777777" w:rsidR="00B7687A" w:rsidRPr="00B67B07" w:rsidRDefault="00B7687A" w:rsidP="00B67B07">
            <w:pPr>
              <w:jc w:val="center"/>
              <w:rPr>
                <w:rFonts w:ascii="Arial" w:hAnsi="Arial" w:cs="Arial"/>
                <w:b/>
                <w:bCs/>
              </w:rPr>
            </w:pPr>
            <w:r w:rsidRPr="00B67B07">
              <w:rPr>
                <w:rFonts w:ascii="Arial" w:hAnsi="Arial" w:cs="Arial"/>
                <w:b/>
                <w:bCs/>
              </w:rPr>
              <w:t>HIV  negative (n=25)</w:t>
            </w:r>
          </w:p>
        </w:tc>
        <w:tc>
          <w:tcPr>
            <w:tcW w:w="1104" w:type="dxa"/>
            <w:vAlign w:val="center"/>
          </w:tcPr>
          <w:p w14:paraId="56D075BB" w14:textId="77777777" w:rsidR="00B7687A" w:rsidRPr="00B67B07" w:rsidRDefault="00B7687A" w:rsidP="00B67B07">
            <w:pPr>
              <w:jc w:val="center"/>
              <w:rPr>
                <w:rFonts w:ascii="Arial" w:hAnsi="Arial" w:cs="Arial"/>
                <w:b/>
                <w:bCs/>
              </w:rPr>
            </w:pPr>
            <w:r w:rsidRPr="00B67B07">
              <w:rPr>
                <w:rFonts w:ascii="Arial" w:hAnsi="Arial" w:cs="Arial"/>
                <w:b/>
                <w:bCs/>
              </w:rPr>
              <w:t>t  value</w:t>
            </w:r>
          </w:p>
        </w:tc>
        <w:tc>
          <w:tcPr>
            <w:tcW w:w="1104" w:type="dxa"/>
            <w:vAlign w:val="center"/>
          </w:tcPr>
          <w:p w14:paraId="16416306" w14:textId="77777777" w:rsidR="00B7687A" w:rsidRPr="00B67B07" w:rsidRDefault="00B7687A" w:rsidP="00B67B07">
            <w:pPr>
              <w:jc w:val="center"/>
              <w:rPr>
                <w:rFonts w:ascii="Arial" w:hAnsi="Arial" w:cs="Arial"/>
                <w:b/>
                <w:bCs/>
              </w:rPr>
            </w:pPr>
            <w:r w:rsidRPr="00B67B07">
              <w:rPr>
                <w:rFonts w:ascii="Arial" w:hAnsi="Arial" w:cs="Arial"/>
                <w:b/>
                <w:bCs/>
              </w:rPr>
              <w:t>p  value</w:t>
            </w:r>
          </w:p>
        </w:tc>
        <w:tc>
          <w:tcPr>
            <w:tcW w:w="947" w:type="dxa"/>
            <w:vAlign w:val="center"/>
          </w:tcPr>
          <w:p w14:paraId="658099B8" w14:textId="77777777" w:rsidR="00B7687A" w:rsidRPr="00B67B07" w:rsidRDefault="00B7687A" w:rsidP="00B67B07">
            <w:pPr>
              <w:jc w:val="center"/>
              <w:rPr>
                <w:rFonts w:ascii="Arial" w:hAnsi="Arial" w:cs="Arial"/>
                <w:b/>
                <w:bCs/>
              </w:rPr>
            </w:pPr>
            <w:r w:rsidRPr="00B67B07">
              <w:rPr>
                <w:rFonts w:ascii="Arial" w:hAnsi="Arial" w:cs="Arial"/>
                <w:b/>
                <w:bCs/>
              </w:rPr>
              <w:t>Remark</w:t>
            </w:r>
          </w:p>
        </w:tc>
      </w:tr>
      <w:tr w:rsidR="00B7687A" w:rsidRPr="00B67B07" w14:paraId="6449DB5B" w14:textId="77777777" w:rsidTr="00B67B07">
        <w:trPr>
          <w:trHeight w:val="281"/>
          <w:tblCellSpacing w:w="15" w:type="dxa"/>
        </w:trPr>
        <w:tc>
          <w:tcPr>
            <w:tcW w:w="2188" w:type="dxa"/>
            <w:tcBorders>
              <w:top w:val="single" w:sz="4" w:space="0" w:color="auto"/>
              <w:bottom w:val="nil"/>
            </w:tcBorders>
            <w:vAlign w:val="center"/>
          </w:tcPr>
          <w:p w14:paraId="4732358D" w14:textId="77777777" w:rsidR="00B7687A" w:rsidRPr="00B67B07" w:rsidRDefault="00B7687A" w:rsidP="00B67B07">
            <w:pPr>
              <w:rPr>
                <w:rFonts w:ascii="Arial" w:hAnsi="Arial" w:cs="Arial"/>
                <w:b/>
                <w:bCs/>
              </w:rPr>
            </w:pPr>
            <w:r w:rsidRPr="00B67B07">
              <w:rPr>
                <w:rFonts w:ascii="Arial" w:hAnsi="Arial" w:cs="Arial"/>
                <w:b/>
                <w:bCs/>
              </w:rPr>
              <w:t>Serum Phosphate (mg/dL)</w:t>
            </w:r>
          </w:p>
        </w:tc>
        <w:tc>
          <w:tcPr>
            <w:tcW w:w="1565" w:type="dxa"/>
            <w:tcBorders>
              <w:top w:val="single" w:sz="4" w:space="0" w:color="auto"/>
              <w:bottom w:val="nil"/>
            </w:tcBorders>
            <w:vAlign w:val="center"/>
          </w:tcPr>
          <w:p w14:paraId="6C3D376A" w14:textId="77777777" w:rsidR="00B7687A" w:rsidRPr="00B67B07" w:rsidRDefault="00B7687A" w:rsidP="00B67B07">
            <w:pPr>
              <w:jc w:val="center"/>
              <w:rPr>
                <w:rFonts w:ascii="Arial" w:hAnsi="Arial" w:cs="Arial"/>
              </w:rPr>
            </w:pPr>
            <w:r w:rsidRPr="00B67B07">
              <w:rPr>
                <w:rFonts w:ascii="Arial" w:hAnsi="Arial" w:cs="Arial"/>
              </w:rPr>
              <w:t>1.48 ± 0.13</w:t>
            </w:r>
          </w:p>
        </w:tc>
        <w:tc>
          <w:tcPr>
            <w:tcW w:w="1671" w:type="dxa"/>
            <w:tcBorders>
              <w:top w:val="single" w:sz="4" w:space="0" w:color="auto"/>
              <w:bottom w:val="nil"/>
            </w:tcBorders>
            <w:vAlign w:val="center"/>
          </w:tcPr>
          <w:p w14:paraId="0383CB82" w14:textId="77777777" w:rsidR="00B7687A" w:rsidRPr="00B67B07" w:rsidRDefault="00B7687A" w:rsidP="00B67B07">
            <w:pPr>
              <w:jc w:val="center"/>
              <w:rPr>
                <w:rFonts w:ascii="Arial" w:hAnsi="Arial" w:cs="Arial"/>
              </w:rPr>
            </w:pPr>
            <w:r w:rsidRPr="00B67B07">
              <w:rPr>
                <w:rFonts w:ascii="Arial" w:hAnsi="Arial" w:cs="Arial"/>
              </w:rPr>
              <w:t>1.73 ± 0.17</w:t>
            </w:r>
          </w:p>
        </w:tc>
        <w:tc>
          <w:tcPr>
            <w:tcW w:w="1104" w:type="dxa"/>
            <w:tcBorders>
              <w:top w:val="single" w:sz="4" w:space="0" w:color="auto"/>
              <w:bottom w:val="nil"/>
            </w:tcBorders>
            <w:vAlign w:val="center"/>
          </w:tcPr>
          <w:p w14:paraId="7222E036" w14:textId="77777777" w:rsidR="00B7687A" w:rsidRPr="00B67B07" w:rsidRDefault="00B7687A" w:rsidP="00B67B07">
            <w:pPr>
              <w:jc w:val="center"/>
              <w:rPr>
                <w:rFonts w:ascii="Arial" w:hAnsi="Arial" w:cs="Arial"/>
              </w:rPr>
            </w:pPr>
            <w:r w:rsidRPr="00B67B07">
              <w:rPr>
                <w:rFonts w:ascii="Arial" w:hAnsi="Arial" w:cs="Arial"/>
              </w:rPr>
              <w:t xml:space="preserve">  5.95</w:t>
            </w:r>
          </w:p>
        </w:tc>
        <w:tc>
          <w:tcPr>
            <w:tcW w:w="1104" w:type="dxa"/>
            <w:tcBorders>
              <w:top w:val="single" w:sz="4" w:space="0" w:color="auto"/>
              <w:bottom w:val="nil"/>
            </w:tcBorders>
            <w:vAlign w:val="center"/>
          </w:tcPr>
          <w:p w14:paraId="3F007B57" w14:textId="77777777" w:rsidR="00B7687A" w:rsidRPr="00B67B07" w:rsidRDefault="00B7687A" w:rsidP="00B67B07">
            <w:pPr>
              <w:jc w:val="center"/>
              <w:rPr>
                <w:rFonts w:ascii="Arial" w:hAnsi="Arial" w:cs="Arial"/>
              </w:rPr>
            </w:pPr>
            <w:r w:rsidRPr="00B67B07">
              <w:rPr>
                <w:rFonts w:ascii="Arial" w:hAnsi="Arial" w:cs="Arial"/>
              </w:rPr>
              <w:t>0.001</w:t>
            </w:r>
          </w:p>
        </w:tc>
        <w:tc>
          <w:tcPr>
            <w:tcW w:w="947" w:type="dxa"/>
            <w:tcBorders>
              <w:top w:val="single" w:sz="4" w:space="0" w:color="auto"/>
              <w:bottom w:val="nil"/>
            </w:tcBorders>
            <w:vAlign w:val="center"/>
          </w:tcPr>
          <w:p w14:paraId="10889F09" w14:textId="77777777" w:rsidR="00B7687A" w:rsidRPr="00B67B07" w:rsidRDefault="00B7687A" w:rsidP="00B67B07">
            <w:pPr>
              <w:jc w:val="center"/>
              <w:rPr>
                <w:rFonts w:ascii="Arial" w:hAnsi="Arial" w:cs="Arial"/>
              </w:rPr>
            </w:pPr>
            <w:r w:rsidRPr="00B67B07">
              <w:rPr>
                <w:rFonts w:ascii="Arial" w:hAnsi="Arial" w:cs="Arial"/>
              </w:rPr>
              <w:t>SS</w:t>
            </w:r>
          </w:p>
        </w:tc>
      </w:tr>
      <w:tr w:rsidR="00B7687A" w:rsidRPr="00B67B07" w14:paraId="7E5E4328" w14:textId="77777777" w:rsidTr="00B67B07">
        <w:trPr>
          <w:trHeight w:val="38"/>
          <w:tblCellSpacing w:w="15" w:type="dxa"/>
        </w:trPr>
        <w:tc>
          <w:tcPr>
            <w:tcW w:w="2188" w:type="dxa"/>
            <w:vAlign w:val="center"/>
          </w:tcPr>
          <w:p w14:paraId="00713004" w14:textId="77777777" w:rsidR="00B7687A" w:rsidRPr="00B67B07" w:rsidRDefault="00B7687A" w:rsidP="00B67B07">
            <w:pPr>
              <w:rPr>
                <w:rFonts w:ascii="Arial" w:hAnsi="Arial" w:cs="Arial"/>
                <w:b/>
                <w:bCs/>
              </w:rPr>
            </w:pPr>
            <w:r w:rsidRPr="00B67B07">
              <w:rPr>
                <w:rFonts w:ascii="Arial" w:hAnsi="Arial" w:cs="Arial"/>
                <w:b/>
                <w:bCs/>
              </w:rPr>
              <w:t>LH (mIU/ml)</w:t>
            </w:r>
          </w:p>
        </w:tc>
        <w:tc>
          <w:tcPr>
            <w:tcW w:w="1565" w:type="dxa"/>
            <w:vAlign w:val="center"/>
          </w:tcPr>
          <w:p w14:paraId="114BC9E5" w14:textId="77777777" w:rsidR="00B7687A" w:rsidRPr="00B67B07" w:rsidRDefault="00B7687A" w:rsidP="00B67B07">
            <w:pPr>
              <w:jc w:val="center"/>
              <w:rPr>
                <w:rFonts w:ascii="Arial" w:hAnsi="Arial" w:cs="Arial"/>
              </w:rPr>
            </w:pPr>
            <w:r w:rsidRPr="00B67B07">
              <w:rPr>
                <w:rFonts w:ascii="Arial" w:hAnsi="Arial" w:cs="Arial"/>
              </w:rPr>
              <w:t>11.80 ± 13.36</w:t>
            </w:r>
          </w:p>
        </w:tc>
        <w:tc>
          <w:tcPr>
            <w:tcW w:w="1671" w:type="dxa"/>
            <w:vAlign w:val="center"/>
          </w:tcPr>
          <w:p w14:paraId="238D11C3" w14:textId="77777777" w:rsidR="00B7687A" w:rsidRPr="00B67B07" w:rsidRDefault="00B7687A" w:rsidP="00B67B07">
            <w:pPr>
              <w:jc w:val="center"/>
              <w:rPr>
                <w:rFonts w:ascii="Arial" w:hAnsi="Arial" w:cs="Arial"/>
              </w:rPr>
            </w:pPr>
            <w:r w:rsidRPr="00B67B07">
              <w:rPr>
                <w:rFonts w:ascii="Arial" w:hAnsi="Arial" w:cs="Arial"/>
              </w:rPr>
              <w:t>10.57 ± 11.16</w:t>
            </w:r>
          </w:p>
        </w:tc>
        <w:tc>
          <w:tcPr>
            <w:tcW w:w="1104" w:type="dxa"/>
            <w:vAlign w:val="center"/>
          </w:tcPr>
          <w:p w14:paraId="75EF3453" w14:textId="77777777" w:rsidR="00B7687A" w:rsidRPr="00B67B07" w:rsidRDefault="00B7687A" w:rsidP="00B67B07">
            <w:pPr>
              <w:jc w:val="center"/>
              <w:rPr>
                <w:rFonts w:ascii="Arial" w:hAnsi="Arial" w:cs="Arial"/>
              </w:rPr>
            </w:pPr>
            <w:r w:rsidRPr="00B67B07">
              <w:rPr>
                <w:rFonts w:ascii="Arial" w:hAnsi="Arial" w:cs="Arial"/>
              </w:rPr>
              <w:t>0.35</w:t>
            </w:r>
          </w:p>
        </w:tc>
        <w:tc>
          <w:tcPr>
            <w:tcW w:w="1104" w:type="dxa"/>
            <w:vAlign w:val="center"/>
          </w:tcPr>
          <w:p w14:paraId="74B74B79" w14:textId="77777777" w:rsidR="00B7687A" w:rsidRPr="00B67B07" w:rsidRDefault="00B7687A" w:rsidP="00B67B07">
            <w:pPr>
              <w:jc w:val="center"/>
              <w:rPr>
                <w:rFonts w:ascii="Arial" w:hAnsi="Arial" w:cs="Arial"/>
              </w:rPr>
            </w:pPr>
            <w:r w:rsidRPr="00B67B07">
              <w:rPr>
                <w:rFonts w:ascii="Arial" w:hAnsi="Arial" w:cs="Arial"/>
              </w:rPr>
              <w:t>0.726</w:t>
            </w:r>
          </w:p>
        </w:tc>
        <w:tc>
          <w:tcPr>
            <w:tcW w:w="947" w:type="dxa"/>
            <w:vAlign w:val="center"/>
          </w:tcPr>
          <w:p w14:paraId="36D7582B" w14:textId="77777777" w:rsidR="00B7687A" w:rsidRPr="00B67B07" w:rsidRDefault="00B7687A" w:rsidP="00B67B07">
            <w:pPr>
              <w:jc w:val="center"/>
              <w:rPr>
                <w:rFonts w:ascii="Arial" w:hAnsi="Arial" w:cs="Arial"/>
              </w:rPr>
            </w:pPr>
            <w:r w:rsidRPr="00B67B07">
              <w:rPr>
                <w:rFonts w:ascii="Arial" w:hAnsi="Arial" w:cs="Arial"/>
              </w:rPr>
              <w:t>NS</w:t>
            </w:r>
          </w:p>
        </w:tc>
      </w:tr>
    </w:tbl>
    <w:p w14:paraId="0143580F" w14:textId="77777777" w:rsidR="00B7687A" w:rsidRPr="00B67B07" w:rsidRDefault="00B7687A" w:rsidP="00B67B07">
      <w:pPr>
        <w:rPr>
          <w:rFonts w:ascii="Arial" w:hAnsi="Arial" w:cs="Arial"/>
          <w:i/>
          <w:iCs/>
        </w:rPr>
      </w:pPr>
      <w:r w:rsidRPr="00B67B07">
        <w:rPr>
          <w:rFonts w:ascii="Arial" w:hAnsi="Arial" w:cs="Arial"/>
          <w:i/>
          <w:iCs/>
        </w:rPr>
        <w:t>KEY: LH = Luteinizing Hormone; SS = Statistically Significant (p &lt; 0.05); NS = Not Significant (p &gt; 0.05). Values are expressed as Mean ± Standard Deviation.</w:t>
      </w:r>
    </w:p>
    <w:p w14:paraId="77DA9BE4" w14:textId="77777777" w:rsidR="00B67B07" w:rsidRPr="00B67B07" w:rsidRDefault="00B67B07" w:rsidP="00B7687A">
      <w:pPr>
        <w:pStyle w:val="Heading2"/>
        <w:rPr>
          <w:rFonts w:ascii="Arial" w:hAnsi="Arial" w:cs="Arial"/>
          <w:color w:val="auto"/>
          <w:sz w:val="20"/>
          <w:szCs w:val="20"/>
        </w:rPr>
      </w:pPr>
      <w:bookmarkStart w:id="9" w:name="_Toc32313"/>
      <w:bookmarkStart w:id="10" w:name="_Toc15290"/>
      <w:bookmarkStart w:id="11" w:name="_Toc2802"/>
    </w:p>
    <w:p w14:paraId="2DD35CB7" w14:textId="3BD2196E" w:rsidR="00B7687A" w:rsidRPr="00B67B07" w:rsidRDefault="00B7687A" w:rsidP="00B7687A">
      <w:pPr>
        <w:pStyle w:val="Heading2"/>
        <w:rPr>
          <w:rFonts w:ascii="Arial" w:hAnsi="Arial" w:cs="Arial"/>
          <w:b/>
          <w:bCs/>
          <w:color w:val="auto"/>
          <w:sz w:val="20"/>
          <w:szCs w:val="20"/>
        </w:rPr>
      </w:pPr>
      <w:r w:rsidRPr="00B67B07">
        <w:rPr>
          <w:rFonts w:ascii="Arial" w:hAnsi="Arial" w:cs="Arial"/>
          <w:b/>
          <w:bCs/>
          <w:color w:val="auto"/>
          <w:sz w:val="20"/>
          <w:szCs w:val="20"/>
        </w:rPr>
        <w:t xml:space="preserve">Table 3: Comparison of Serum Phosphate and Luteinizing Hormone (LH) Between Male and Female </w:t>
      </w:r>
      <w:r w:rsidR="00B67B07" w:rsidRPr="00B67B07">
        <w:rPr>
          <w:rFonts w:ascii="Arial" w:hAnsi="Arial" w:cs="Arial"/>
          <w:b/>
          <w:bCs/>
          <w:color w:val="auto"/>
          <w:sz w:val="20"/>
          <w:szCs w:val="20"/>
        </w:rPr>
        <w:t>HIV positive</w:t>
      </w:r>
      <w:r w:rsidRPr="00B67B07">
        <w:rPr>
          <w:rFonts w:ascii="Arial" w:hAnsi="Arial" w:cs="Arial"/>
          <w:b/>
          <w:bCs/>
          <w:color w:val="auto"/>
          <w:sz w:val="20"/>
          <w:szCs w:val="20"/>
        </w:rPr>
        <w:t xml:space="preserve"> Subjects</w:t>
      </w:r>
      <w:bookmarkEnd w:id="9"/>
      <w:bookmarkEnd w:id="10"/>
      <w:bookmarkEnd w:id="11"/>
    </w:p>
    <w:tbl>
      <w:tblPr>
        <w:tblW w:w="850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1418"/>
        <w:gridCol w:w="1559"/>
        <w:gridCol w:w="1134"/>
        <w:gridCol w:w="1417"/>
        <w:gridCol w:w="1134"/>
      </w:tblGrid>
      <w:tr w:rsidR="00B7687A" w:rsidRPr="00B67B07" w14:paraId="1DAFB889" w14:textId="77777777" w:rsidTr="00B67B07">
        <w:trPr>
          <w:trHeight w:val="358"/>
          <w:tblHeader/>
          <w:tblCellSpacing w:w="15" w:type="dxa"/>
        </w:trPr>
        <w:tc>
          <w:tcPr>
            <w:tcW w:w="1798" w:type="dxa"/>
            <w:vAlign w:val="center"/>
          </w:tcPr>
          <w:p w14:paraId="2098A5CF" w14:textId="77777777" w:rsidR="00B7687A" w:rsidRPr="00B67B07" w:rsidRDefault="00B7687A" w:rsidP="00B67B07">
            <w:pPr>
              <w:rPr>
                <w:rFonts w:ascii="Arial" w:hAnsi="Arial" w:cs="Arial"/>
                <w:b/>
                <w:bCs/>
              </w:rPr>
            </w:pPr>
            <w:r w:rsidRPr="00B67B07">
              <w:rPr>
                <w:rFonts w:ascii="Arial" w:hAnsi="Arial" w:cs="Arial"/>
                <w:b/>
                <w:bCs/>
              </w:rPr>
              <w:t>Parameter</w:t>
            </w:r>
          </w:p>
        </w:tc>
        <w:tc>
          <w:tcPr>
            <w:tcW w:w="1388" w:type="dxa"/>
            <w:vAlign w:val="center"/>
          </w:tcPr>
          <w:p w14:paraId="1B1DBB10" w14:textId="77777777" w:rsidR="00B7687A" w:rsidRPr="00B67B07" w:rsidRDefault="00B7687A" w:rsidP="00B67B07">
            <w:pPr>
              <w:jc w:val="center"/>
              <w:rPr>
                <w:rFonts w:ascii="Arial" w:hAnsi="Arial" w:cs="Arial"/>
                <w:b/>
                <w:bCs/>
              </w:rPr>
            </w:pPr>
            <w:r w:rsidRPr="00B67B07">
              <w:rPr>
                <w:rFonts w:ascii="Arial" w:hAnsi="Arial" w:cs="Arial"/>
                <w:b/>
                <w:bCs/>
              </w:rPr>
              <w:t>Male (n=13)</w:t>
            </w:r>
          </w:p>
        </w:tc>
        <w:tc>
          <w:tcPr>
            <w:tcW w:w="1529" w:type="dxa"/>
            <w:vAlign w:val="center"/>
          </w:tcPr>
          <w:p w14:paraId="5E9E0584" w14:textId="77777777" w:rsidR="00B7687A" w:rsidRPr="00B67B07" w:rsidRDefault="00B7687A" w:rsidP="00B67B07">
            <w:pPr>
              <w:jc w:val="center"/>
              <w:rPr>
                <w:rFonts w:ascii="Arial" w:hAnsi="Arial" w:cs="Arial"/>
                <w:b/>
                <w:bCs/>
              </w:rPr>
            </w:pPr>
            <w:r w:rsidRPr="00B67B07">
              <w:rPr>
                <w:rFonts w:ascii="Arial" w:hAnsi="Arial" w:cs="Arial"/>
                <w:b/>
                <w:bCs/>
              </w:rPr>
              <w:t>Female (n=12)</w:t>
            </w:r>
          </w:p>
        </w:tc>
        <w:tc>
          <w:tcPr>
            <w:tcW w:w="1104" w:type="dxa"/>
            <w:vAlign w:val="center"/>
          </w:tcPr>
          <w:p w14:paraId="6F467556" w14:textId="77777777" w:rsidR="00B7687A" w:rsidRPr="00B67B07" w:rsidRDefault="00B7687A" w:rsidP="00B67B07">
            <w:pPr>
              <w:jc w:val="center"/>
              <w:rPr>
                <w:rFonts w:ascii="Arial" w:hAnsi="Arial" w:cs="Arial"/>
                <w:b/>
                <w:bCs/>
              </w:rPr>
            </w:pPr>
            <w:r w:rsidRPr="00B67B07">
              <w:rPr>
                <w:rFonts w:ascii="Arial" w:hAnsi="Arial" w:cs="Arial"/>
                <w:b/>
                <w:bCs/>
              </w:rPr>
              <w:t>t  value</w:t>
            </w:r>
          </w:p>
        </w:tc>
        <w:tc>
          <w:tcPr>
            <w:tcW w:w="1387" w:type="dxa"/>
            <w:vAlign w:val="center"/>
          </w:tcPr>
          <w:p w14:paraId="7D106304" w14:textId="77777777" w:rsidR="00B7687A" w:rsidRPr="00B67B07" w:rsidRDefault="00B7687A" w:rsidP="00B67B07">
            <w:pPr>
              <w:jc w:val="center"/>
              <w:rPr>
                <w:rFonts w:ascii="Arial" w:hAnsi="Arial" w:cs="Arial"/>
                <w:b/>
                <w:bCs/>
              </w:rPr>
            </w:pPr>
            <w:r w:rsidRPr="00B67B07">
              <w:rPr>
                <w:rFonts w:ascii="Arial" w:hAnsi="Arial" w:cs="Arial"/>
                <w:b/>
                <w:bCs/>
              </w:rPr>
              <w:t>p  value</w:t>
            </w:r>
          </w:p>
        </w:tc>
        <w:tc>
          <w:tcPr>
            <w:tcW w:w="1089" w:type="dxa"/>
            <w:vAlign w:val="center"/>
          </w:tcPr>
          <w:p w14:paraId="78B39D8A" w14:textId="77777777" w:rsidR="00B7687A" w:rsidRPr="00B67B07" w:rsidRDefault="00B7687A" w:rsidP="00B67B07">
            <w:pPr>
              <w:jc w:val="center"/>
              <w:rPr>
                <w:rFonts w:ascii="Arial" w:hAnsi="Arial" w:cs="Arial"/>
                <w:b/>
                <w:bCs/>
              </w:rPr>
            </w:pPr>
            <w:r w:rsidRPr="00B67B07">
              <w:rPr>
                <w:rFonts w:ascii="Arial" w:hAnsi="Arial" w:cs="Arial"/>
                <w:b/>
                <w:bCs/>
              </w:rPr>
              <w:t>Remark</w:t>
            </w:r>
          </w:p>
        </w:tc>
      </w:tr>
      <w:tr w:rsidR="00B7687A" w:rsidRPr="00B67B07" w14:paraId="09CBD2E8" w14:textId="77777777" w:rsidTr="00B67B07">
        <w:trPr>
          <w:trHeight w:val="207"/>
          <w:tblCellSpacing w:w="15" w:type="dxa"/>
        </w:trPr>
        <w:tc>
          <w:tcPr>
            <w:tcW w:w="1798" w:type="dxa"/>
            <w:tcBorders>
              <w:top w:val="single" w:sz="4" w:space="0" w:color="auto"/>
              <w:bottom w:val="nil"/>
            </w:tcBorders>
            <w:vAlign w:val="center"/>
          </w:tcPr>
          <w:p w14:paraId="79472DEB" w14:textId="77777777" w:rsidR="00B7687A" w:rsidRPr="00B67B07" w:rsidRDefault="00B7687A" w:rsidP="00B67B07">
            <w:pPr>
              <w:rPr>
                <w:rFonts w:ascii="Arial" w:hAnsi="Arial" w:cs="Arial"/>
              </w:rPr>
            </w:pPr>
            <w:r w:rsidRPr="00B67B07">
              <w:rPr>
                <w:rFonts w:ascii="Arial" w:hAnsi="Arial" w:cs="Arial"/>
              </w:rPr>
              <w:t>Serum Phosphate (mg/dL)</w:t>
            </w:r>
          </w:p>
        </w:tc>
        <w:tc>
          <w:tcPr>
            <w:tcW w:w="1388" w:type="dxa"/>
            <w:tcBorders>
              <w:top w:val="single" w:sz="4" w:space="0" w:color="auto"/>
              <w:bottom w:val="nil"/>
            </w:tcBorders>
            <w:vAlign w:val="center"/>
          </w:tcPr>
          <w:p w14:paraId="3AB97B85" w14:textId="77777777" w:rsidR="00B7687A" w:rsidRPr="00B67B07" w:rsidRDefault="00B7687A" w:rsidP="00B67B07">
            <w:pPr>
              <w:jc w:val="center"/>
              <w:rPr>
                <w:rFonts w:ascii="Arial" w:hAnsi="Arial" w:cs="Arial"/>
              </w:rPr>
            </w:pPr>
            <w:r w:rsidRPr="00B67B07">
              <w:rPr>
                <w:rFonts w:ascii="Arial" w:hAnsi="Arial" w:cs="Arial"/>
              </w:rPr>
              <w:t>1.46 ± 0.10</w:t>
            </w:r>
          </w:p>
        </w:tc>
        <w:tc>
          <w:tcPr>
            <w:tcW w:w="1529" w:type="dxa"/>
            <w:tcBorders>
              <w:top w:val="single" w:sz="4" w:space="0" w:color="auto"/>
              <w:bottom w:val="nil"/>
            </w:tcBorders>
            <w:vAlign w:val="center"/>
          </w:tcPr>
          <w:p w14:paraId="78C46D90" w14:textId="77777777" w:rsidR="00B7687A" w:rsidRPr="00B67B07" w:rsidRDefault="00B7687A" w:rsidP="00B67B07">
            <w:pPr>
              <w:jc w:val="center"/>
              <w:rPr>
                <w:rFonts w:ascii="Arial" w:hAnsi="Arial" w:cs="Arial"/>
              </w:rPr>
            </w:pPr>
            <w:r w:rsidRPr="00B67B07">
              <w:rPr>
                <w:rFonts w:ascii="Arial" w:hAnsi="Arial" w:cs="Arial"/>
              </w:rPr>
              <w:t>1.49 ± 0.15</w:t>
            </w:r>
          </w:p>
        </w:tc>
        <w:tc>
          <w:tcPr>
            <w:tcW w:w="1104" w:type="dxa"/>
            <w:tcBorders>
              <w:top w:val="single" w:sz="4" w:space="0" w:color="auto"/>
              <w:bottom w:val="nil"/>
            </w:tcBorders>
            <w:vAlign w:val="center"/>
          </w:tcPr>
          <w:p w14:paraId="22AC1BC2" w14:textId="77777777" w:rsidR="00B7687A" w:rsidRPr="00B67B07" w:rsidRDefault="00B7687A" w:rsidP="00B67B07">
            <w:pPr>
              <w:jc w:val="center"/>
              <w:rPr>
                <w:rFonts w:ascii="Arial" w:hAnsi="Arial" w:cs="Arial"/>
              </w:rPr>
            </w:pPr>
            <w:r w:rsidRPr="00B67B07">
              <w:rPr>
                <w:rFonts w:ascii="Arial" w:hAnsi="Arial" w:cs="Arial"/>
              </w:rPr>
              <w:t xml:space="preserve">  0.67</w:t>
            </w:r>
          </w:p>
        </w:tc>
        <w:tc>
          <w:tcPr>
            <w:tcW w:w="1387" w:type="dxa"/>
            <w:tcBorders>
              <w:top w:val="single" w:sz="4" w:space="0" w:color="auto"/>
              <w:bottom w:val="nil"/>
            </w:tcBorders>
            <w:vAlign w:val="center"/>
          </w:tcPr>
          <w:p w14:paraId="3FB1B16D" w14:textId="77777777" w:rsidR="00B7687A" w:rsidRPr="00B67B07" w:rsidRDefault="00B7687A" w:rsidP="00B67B07">
            <w:pPr>
              <w:jc w:val="center"/>
              <w:rPr>
                <w:rFonts w:ascii="Arial" w:hAnsi="Arial" w:cs="Arial"/>
              </w:rPr>
            </w:pPr>
            <w:r w:rsidRPr="00B67B07">
              <w:rPr>
                <w:rFonts w:ascii="Arial" w:hAnsi="Arial" w:cs="Arial"/>
              </w:rPr>
              <w:t>0.510</w:t>
            </w:r>
          </w:p>
        </w:tc>
        <w:tc>
          <w:tcPr>
            <w:tcW w:w="1089" w:type="dxa"/>
            <w:tcBorders>
              <w:top w:val="single" w:sz="4" w:space="0" w:color="auto"/>
              <w:bottom w:val="nil"/>
            </w:tcBorders>
            <w:vAlign w:val="center"/>
          </w:tcPr>
          <w:p w14:paraId="1EF0752C" w14:textId="77777777" w:rsidR="00B7687A" w:rsidRPr="00B67B07" w:rsidRDefault="00B7687A" w:rsidP="00B67B07">
            <w:pPr>
              <w:jc w:val="center"/>
              <w:rPr>
                <w:rFonts w:ascii="Arial" w:hAnsi="Arial" w:cs="Arial"/>
              </w:rPr>
            </w:pPr>
            <w:r w:rsidRPr="00B67B07">
              <w:rPr>
                <w:rFonts w:ascii="Arial" w:hAnsi="Arial" w:cs="Arial"/>
              </w:rPr>
              <w:t>NS</w:t>
            </w:r>
          </w:p>
        </w:tc>
      </w:tr>
      <w:tr w:rsidR="00B7687A" w:rsidRPr="00B67B07" w14:paraId="6AA54BD7" w14:textId="77777777" w:rsidTr="00B67B07">
        <w:trPr>
          <w:trHeight w:val="239"/>
          <w:tblCellSpacing w:w="15" w:type="dxa"/>
        </w:trPr>
        <w:tc>
          <w:tcPr>
            <w:tcW w:w="1798" w:type="dxa"/>
            <w:vAlign w:val="center"/>
          </w:tcPr>
          <w:p w14:paraId="6B66D16A" w14:textId="77777777" w:rsidR="00B7687A" w:rsidRPr="00B67B07" w:rsidRDefault="00B7687A" w:rsidP="00B67B07">
            <w:pPr>
              <w:rPr>
                <w:rFonts w:ascii="Arial" w:hAnsi="Arial" w:cs="Arial"/>
              </w:rPr>
            </w:pPr>
            <w:r w:rsidRPr="00B67B07">
              <w:rPr>
                <w:rFonts w:ascii="Arial" w:hAnsi="Arial" w:cs="Arial"/>
              </w:rPr>
              <w:t>LH (mIU/ml)</w:t>
            </w:r>
          </w:p>
        </w:tc>
        <w:tc>
          <w:tcPr>
            <w:tcW w:w="1388" w:type="dxa"/>
            <w:vAlign w:val="center"/>
          </w:tcPr>
          <w:p w14:paraId="627CC61E" w14:textId="77777777" w:rsidR="00B7687A" w:rsidRPr="00B67B07" w:rsidRDefault="00B7687A" w:rsidP="00B67B07">
            <w:pPr>
              <w:jc w:val="center"/>
              <w:rPr>
                <w:rFonts w:ascii="Arial" w:hAnsi="Arial" w:cs="Arial"/>
              </w:rPr>
            </w:pPr>
            <w:r w:rsidRPr="00B67B07">
              <w:rPr>
                <w:rFonts w:ascii="Arial" w:hAnsi="Arial" w:cs="Arial"/>
              </w:rPr>
              <w:t>3.17 ± 1.15</w:t>
            </w:r>
          </w:p>
        </w:tc>
        <w:tc>
          <w:tcPr>
            <w:tcW w:w="1529" w:type="dxa"/>
            <w:vAlign w:val="center"/>
          </w:tcPr>
          <w:p w14:paraId="67C95B6A" w14:textId="77777777" w:rsidR="00B7687A" w:rsidRPr="00B67B07" w:rsidRDefault="00B7687A" w:rsidP="00B67B07">
            <w:pPr>
              <w:jc w:val="center"/>
              <w:rPr>
                <w:rFonts w:ascii="Arial" w:hAnsi="Arial" w:cs="Arial"/>
              </w:rPr>
            </w:pPr>
            <w:r w:rsidRPr="00B67B07">
              <w:rPr>
                <w:rFonts w:ascii="Arial" w:hAnsi="Arial" w:cs="Arial"/>
              </w:rPr>
              <w:t>21.15 ± 14.30</w:t>
            </w:r>
          </w:p>
        </w:tc>
        <w:tc>
          <w:tcPr>
            <w:tcW w:w="1104" w:type="dxa"/>
            <w:vAlign w:val="center"/>
          </w:tcPr>
          <w:p w14:paraId="32C4EEA4" w14:textId="77777777" w:rsidR="00B7687A" w:rsidRPr="00B67B07" w:rsidRDefault="00B7687A" w:rsidP="00B67B07">
            <w:pPr>
              <w:jc w:val="center"/>
              <w:rPr>
                <w:rFonts w:ascii="Arial" w:hAnsi="Arial" w:cs="Arial"/>
              </w:rPr>
            </w:pPr>
            <w:r w:rsidRPr="00B67B07">
              <w:rPr>
                <w:rFonts w:ascii="Arial" w:hAnsi="Arial" w:cs="Arial"/>
              </w:rPr>
              <w:t xml:space="preserve">  4.52</w:t>
            </w:r>
          </w:p>
        </w:tc>
        <w:tc>
          <w:tcPr>
            <w:tcW w:w="1387" w:type="dxa"/>
            <w:vAlign w:val="center"/>
          </w:tcPr>
          <w:p w14:paraId="4803CA17" w14:textId="77777777" w:rsidR="00B7687A" w:rsidRPr="00B67B07" w:rsidRDefault="00B7687A" w:rsidP="00B67B07">
            <w:pPr>
              <w:jc w:val="center"/>
              <w:rPr>
                <w:rFonts w:ascii="Arial" w:hAnsi="Arial" w:cs="Arial"/>
              </w:rPr>
            </w:pPr>
            <w:r w:rsidRPr="00B67B07">
              <w:rPr>
                <w:rFonts w:ascii="Arial" w:hAnsi="Arial" w:cs="Arial"/>
              </w:rPr>
              <w:t>0.001S</w:t>
            </w:r>
          </w:p>
        </w:tc>
        <w:tc>
          <w:tcPr>
            <w:tcW w:w="1089" w:type="dxa"/>
            <w:vAlign w:val="center"/>
          </w:tcPr>
          <w:p w14:paraId="546CBD41" w14:textId="77777777" w:rsidR="00B7687A" w:rsidRPr="00B67B07" w:rsidRDefault="00B7687A" w:rsidP="00B67B07">
            <w:pPr>
              <w:jc w:val="center"/>
              <w:rPr>
                <w:rFonts w:ascii="Arial" w:hAnsi="Arial" w:cs="Arial"/>
              </w:rPr>
            </w:pPr>
            <w:r w:rsidRPr="00B67B07">
              <w:rPr>
                <w:rFonts w:ascii="Arial" w:hAnsi="Arial" w:cs="Arial"/>
              </w:rPr>
              <w:t>SS</w:t>
            </w:r>
          </w:p>
        </w:tc>
      </w:tr>
    </w:tbl>
    <w:p w14:paraId="625B6027" w14:textId="5D42ED2D" w:rsidR="00B7687A" w:rsidRPr="00B67B07" w:rsidRDefault="00B7687A" w:rsidP="00B67B07">
      <w:pPr>
        <w:rPr>
          <w:rFonts w:ascii="Arial" w:hAnsi="Arial" w:cs="Arial"/>
          <w:i/>
          <w:iCs/>
        </w:rPr>
      </w:pPr>
      <w:r w:rsidRPr="00B67B07">
        <w:rPr>
          <w:rFonts w:ascii="Arial" w:hAnsi="Arial" w:cs="Arial"/>
          <w:i/>
          <w:iCs/>
        </w:rPr>
        <w:t>K</w:t>
      </w:r>
      <w:r w:rsidR="00B67B07" w:rsidRPr="00B67B07">
        <w:rPr>
          <w:rFonts w:ascii="Arial" w:hAnsi="Arial" w:cs="Arial"/>
          <w:i/>
          <w:iCs/>
        </w:rPr>
        <w:t>ey</w:t>
      </w:r>
      <w:r w:rsidRPr="00B67B07">
        <w:rPr>
          <w:rFonts w:ascii="Arial" w:hAnsi="Arial" w:cs="Arial"/>
          <w:i/>
          <w:iCs/>
        </w:rPr>
        <w:t>: LH = Luteinizing Hormone; SS = Statistically Significant (p &lt; 0.05); NS = Not Significant (p &gt; 0.05). Values are expressed as Mean ± Standard Deviation.</w:t>
      </w:r>
    </w:p>
    <w:p w14:paraId="2581CF1F" w14:textId="77777777" w:rsidR="00B67B07" w:rsidRDefault="00B67B07" w:rsidP="00B7687A">
      <w:pPr>
        <w:pStyle w:val="Heading2"/>
        <w:rPr>
          <w:rFonts w:ascii="Arial" w:hAnsi="Arial" w:cs="Arial"/>
          <w:color w:val="auto"/>
          <w:sz w:val="20"/>
          <w:szCs w:val="20"/>
        </w:rPr>
      </w:pPr>
      <w:bookmarkStart w:id="12" w:name="_Toc4480"/>
      <w:bookmarkStart w:id="13" w:name="_Toc25706"/>
      <w:bookmarkStart w:id="14" w:name="_Toc18645"/>
    </w:p>
    <w:p w14:paraId="083DEC73" w14:textId="5E30DD1D" w:rsidR="00B7687A" w:rsidRPr="00B67B07" w:rsidRDefault="00B7687A" w:rsidP="00B7687A">
      <w:pPr>
        <w:pStyle w:val="Heading2"/>
        <w:rPr>
          <w:rFonts w:ascii="Arial" w:hAnsi="Arial" w:cs="Arial"/>
          <w:b/>
          <w:bCs/>
          <w:color w:val="auto"/>
          <w:sz w:val="20"/>
          <w:szCs w:val="20"/>
        </w:rPr>
      </w:pPr>
      <w:r w:rsidRPr="00B67B07">
        <w:rPr>
          <w:rFonts w:ascii="Arial" w:hAnsi="Arial" w:cs="Arial"/>
          <w:b/>
          <w:bCs/>
          <w:color w:val="auto"/>
          <w:sz w:val="20"/>
          <w:szCs w:val="20"/>
        </w:rPr>
        <w:t xml:space="preserve">Table 4: Comparison of Serum Phosphate and Luteinizing Hormone (LH) Across Age Brackets of </w:t>
      </w:r>
      <w:r w:rsidR="00B67B07" w:rsidRPr="00B67B07">
        <w:rPr>
          <w:rFonts w:ascii="Arial" w:hAnsi="Arial" w:cs="Arial"/>
          <w:b/>
          <w:bCs/>
          <w:color w:val="auto"/>
          <w:sz w:val="20"/>
          <w:szCs w:val="20"/>
        </w:rPr>
        <w:t>HIV positive</w:t>
      </w:r>
      <w:r w:rsidRPr="00B67B07">
        <w:rPr>
          <w:rFonts w:ascii="Arial" w:hAnsi="Arial" w:cs="Arial"/>
          <w:b/>
          <w:bCs/>
          <w:color w:val="auto"/>
          <w:sz w:val="20"/>
          <w:szCs w:val="20"/>
        </w:rPr>
        <w:t xml:space="preserve"> Subjects</w:t>
      </w:r>
      <w:bookmarkEnd w:id="12"/>
      <w:bookmarkEnd w:id="13"/>
      <w:bookmarkEnd w:id="14"/>
    </w:p>
    <w:tbl>
      <w:tblPr>
        <w:tblW w:w="949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35"/>
        <w:gridCol w:w="1440"/>
        <w:gridCol w:w="1620"/>
        <w:gridCol w:w="1530"/>
        <w:gridCol w:w="990"/>
        <w:gridCol w:w="990"/>
        <w:gridCol w:w="993"/>
      </w:tblGrid>
      <w:tr w:rsidR="00B7687A" w:rsidRPr="00B67B07" w14:paraId="278C950C" w14:textId="77777777" w:rsidTr="00FB07B3">
        <w:trPr>
          <w:trHeight w:val="494"/>
          <w:tblHeader/>
          <w:tblCellSpacing w:w="15" w:type="dxa"/>
        </w:trPr>
        <w:tc>
          <w:tcPr>
            <w:tcW w:w="1890" w:type="dxa"/>
            <w:tcBorders>
              <w:top w:val="nil"/>
              <w:bottom w:val="nil"/>
            </w:tcBorders>
            <w:vAlign w:val="center"/>
          </w:tcPr>
          <w:p w14:paraId="4AA4AAF4" w14:textId="77777777" w:rsidR="00B7687A" w:rsidRPr="00B67B07" w:rsidRDefault="00B7687A" w:rsidP="00B67B07">
            <w:pPr>
              <w:rPr>
                <w:rFonts w:ascii="Arial" w:hAnsi="Arial" w:cs="Arial"/>
                <w:b/>
                <w:bCs/>
              </w:rPr>
            </w:pPr>
            <w:r w:rsidRPr="00B67B07">
              <w:rPr>
                <w:rFonts w:ascii="Arial" w:hAnsi="Arial" w:cs="Arial"/>
                <w:b/>
                <w:bCs/>
              </w:rPr>
              <w:t>Parameter</w:t>
            </w:r>
          </w:p>
        </w:tc>
        <w:tc>
          <w:tcPr>
            <w:tcW w:w="1410" w:type="dxa"/>
            <w:tcBorders>
              <w:top w:val="nil"/>
              <w:bottom w:val="nil"/>
            </w:tcBorders>
            <w:vAlign w:val="center"/>
          </w:tcPr>
          <w:p w14:paraId="2A3F2ECE" w14:textId="77777777" w:rsidR="00B7687A" w:rsidRPr="00B67B07" w:rsidRDefault="00B7687A" w:rsidP="00B67B07">
            <w:pPr>
              <w:jc w:val="center"/>
              <w:rPr>
                <w:rFonts w:ascii="Arial" w:hAnsi="Arial" w:cs="Arial"/>
                <w:b/>
                <w:bCs/>
              </w:rPr>
            </w:pPr>
            <w:r w:rsidRPr="00B67B07">
              <w:rPr>
                <w:rFonts w:ascii="Arial" w:hAnsi="Arial" w:cs="Arial"/>
                <w:b/>
                <w:bCs/>
              </w:rPr>
              <w:t>18–32 yrs (n=10)</w:t>
            </w:r>
          </w:p>
        </w:tc>
        <w:tc>
          <w:tcPr>
            <w:tcW w:w="1590" w:type="dxa"/>
            <w:tcBorders>
              <w:top w:val="nil"/>
              <w:bottom w:val="nil"/>
            </w:tcBorders>
            <w:vAlign w:val="center"/>
          </w:tcPr>
          <w:p w14:paraId="54F35858" w14:textId="77777777" w:rsidR="00B7687A" w:rsidRPr="00B67B07" w:rsidRDefault="00B7687A" w:rsidP="00B67B07">
            <w:pPr>
              <w:jc w:val="center"/>
              <w:rPr>
                <w:rFonts w:ascii="Arial" w:hAnsi="Arial" w:cs="Arial"/>
                <w:b/>
                <w:bCs/>
              </w:rPr>
            </w:pPr>
            <w:r w:rsidRPr="00B67B07">
              <w:rPr>
                <w:rFonts w:ascii="Arial" w:hAnsi="Arial" w:cs="Arial"/>
                <w:b/>
                <w:bCs/>
              </w:rPr>
              <w:t>33–47 yrs (n=2)</w:t>
            </w:r>
          </w:p>
        </w:tc>
        <w:tc>
          <w:tcPr>
            <w:tcW w:w="1500" w:type="dxa"/>
            <w:tcBorders>
              <w:top w:val="nil"/>
              <w:bottom w:val="nil"/>
            </w:tcBorders>
            <w:vAlign w:val="center"/>
          </w:tcPr>
          <w:p w14:paraId="16911B10" w14:textId="77777777" w:rsidR="00B7687A" w:rsidRPr="00B67B07" w:rsidRDefault="00B7687A" w:rsidP="00B67B07">
            <w:pPr>
              <w:jc w:val="center"/>
              <w:rPr>
                <w:rFonts w:ascii="Arial" w:hAnsi="Arial" w:cs="Arial"/>
                <w:b/>
                <w:bCs/>
              </w:rPr>
            </w:pPr>
            <w:r w:rsidRPr="00B67B07">
              <w:rPr>
                <w:rFonts w:ascii="Arial" w:hAnsi="Arial" w:cs="Arial"/>
                <w:b/>
                <w:bCs/>
              </w:rPr>
              <w:t>48–62 yrs (n=13)</w:t>
            </w:r>
          </w:p>
        </w:tc>
        <w:tc>
          <w:tcPr>
            <w:tcW w:w="960" w:type="dxa"/>
            <w:tcBorders>
              <w:top w:val="nil"/>
              <w:bottom w:val="nil"/>
            </w:tcBorders>
            <w:vAlign w:val="center"/>
          </w:tcPr>
          <w:p w14:paraId="57C7E84A" w14:textId="77777777" w:rsidR="00B7687A" w:rsidRPr="00B67B07" w:rsidRDefault="00B7687A" w:rsidP="00B67B07">
            <w:pPr>
              <w:jc w:val="center"/>
              <w:rPr>
                <w:rFonts w:ascii="Arial" w:hAnsi="Arial" w:cs="Arial"/>
                <w:b/>
                <w:bCs/>
              </w:rPr>
            </w:pPr>
            <w:r w:rsidRPr="00B67B07">
              <w:rPr>
                <w:rFonts w:ascii="Arial" w:hAnsi="Arial" w:cs="Arial"/>
                <w:b/>
                <w:bCs/>
              </w:rPr>
              <w:t>F  value</w:t>
            </w:r>
          </w:p>
        </w:tc>
        <w:tc>
          <w:tcPr>
            <w:tcW w:w="960" w:type="dxa"/>
            <w:tcBorders>
              <w:top w:val="nil"/>
              <w:bottom w:val="nil"/>
            </w:tcBorders>
            <w:vAlign w:val="center"/>
          </w:tcPr>
          <w:p w14:paraId="2B27308E" w14:textId="77777777" w:rsidR="00B7687A" w:rsidRPr="00B67B07" w:rsidRDefault="00B7687A" w:rsidP="00B67B07">
            <w:pPr>
              <w:jc w:val="center"/>
              <w:rPr>
                <w:rFonts w:ascii="Arial" w:hAnsi="Arial" w:cs="Arial"/>
                <w:b/>
                <w:bCs/>
              </w:rPr>
            </w:pPr>
            <w:r w:rsidRPr="00B67B07">
              <w:rPr>
                <w:rFonts w:ascii="Arial" w:hAnsi="Arial" w:cs="Arial"/>
                <w:b/>
                <w:bCs/>
              </w:rPr>
              <w:t>p  value</w:t>
            </w:r>
          </w:p>
        </w:tc>
        <w:tc>
          <w:tcPr>
            <w:tcW w:w="948" w:type="dxa"/>
            <w:tcBorders>
              <w:top w:val="nil"/>
              <w:bottom w:val="nil"/>
            </w:tcBorders>
            <w:vAlign w:val="center"/>
          </w:tcPr>
          <w:p w14:paraId="197E90FA" w14:textId="77777777" w:rsidR="00B7687A" w:rsidRPr="00B67B07" w:rsidRDefault="00B7687A" w:rsidP="00B67B07">
            <w:pPr>
              <w:jc w:val="center"/>
              <w:rPr>
                <w:rFonts w:ascii="Arial" w:hAnsi="Arial" w:cs="Arial"/>
                <w:b/>
                <w:bCs/>
              </w:rPr>
            </w:pPr>
            <w:r w:rsidRPr="00B67B07">
              <w:rPr>
                <w:rFonts w:ascii="Arial" w:hAnsi="Arial" w:cs="Arial"/>
                <w:b/>
                <w:bCs/>
              </w:rPr>
              <w:t>Remark</w:t>
            </w:r>
          </w:p>
        </w:tc>
      </w:tr>
      <w:tr w:rsidR="00B7687A" w:rsidRPr="00B67B07" w14:paraId="068C440D" w14:textId="77777777" w:rsidTr="00FB07B3">
        <w:trPr>
          <w:trHeight w:val="755"/>
          <w:tblCellSpacing w:w="15" w:type="dxa"/>
        </w:trPr>
        <w:tc>
          <w:tcPr>
            <w:tcW w:w="1890" w:type="dxa"/>
            <w:tcBorders>
              <w:top w:val="single" w:sz="4" w:space="0" w:color="auto"/>
              <w:bottom w:val="nil"/>
            </w:tcBorders>
            <w:vAlign w:val="center"/>
          </w:tcPr>
          <w:p w14:paraId="573EB91C" w14:textId="77777777" w:rsidR="00B7687A" w:rsidRPr="00B67B07" w:rsidRDefault="00B7687A" w:rsidP="00B67B07">
            <w:pPr>
              <w:rPr>
                <w:rFonts w:ascii="Arial" w:hAnsi="Arial" w:cs="Arial"/>
              </w:rPr>
            </w:pPr>
            <w:r w:rsidRPr="00B67B07">
              <w:rPr>
                <w:rFonts w:ascii="Arial" w:hAnsi="Arial" w:cs="Arial"/>
              </w:rPr>
              <w:t>Serum Phosphate (mg/dL)</w:t>
            </w:r>
          </w:p>
        </w:tc>
        <w:tc>
          <w:tcPr>
            <w:tcW w:w="1410" w:type="dxa"/>
            <w:tcBorders>
              <w:top w:val="single" w:sz="4" w:space="0" w:color="auto"/>
              <w:bottom w:val="nil"/>
            </w:tcBorders>
            <w:vAlign w:val="center"/>
          </w:tcPr>
          <w:p w14:paraId="1C505984" w14:textId="77777777" w:rsidR="00B7687A" w:rsidRPr="00B67B07" w:rsidRDefault="00B7687A" w:rsidP="00B67B07">
            <w:pPr>
              <w:jc w:val="center"/>
              <w:rPr>
                <w:rFonts w:ascii="Arial" w:hAnsi="Arial" w:cs="Arial"/>
              </w:rPr>
            </w:pPr>
            <w:r w:rsidRPr="00B67B07">
              <w:rPr>
                <w:rFonts w:ascii="Arial" w:hAnsi="Arial" w:cs="Arial"/>
              </w:rPr>
              <w:t>1.52 ± 0.17ᵇ</w:t>
            </w:r>
          </w:p>
        </w:tc>
        <w:tc>
          <w:tcPr>
            <w:tcW w:w="1590" w:type="dxa"/>
            <w:tcBorders>
              <w:top w:val="single" w:sz="4" w:space="0" w:color="auto"/>
              <w:bottom w:val="nil"/>
            </w:tcBorders>
            <w:vAlign w:val="center"/>
          </w:tcPr>
          <w:p w14:paraId="5186D779" w14:textId="77777777" w:rsidR="00B7687A" w:rsidRPr="00B67B07" w:rsidRDefault="00B7687A" w:rsidP="00B67B07">
            <w:pPr>
              <w:jc w:val="center"/>
              <w:rPr>
                <w:rFonts w:ascii="Arial" w:hAnsi="Arial" w:cs="Arial"/>
              </w:rPr>
            </w:pPr>
            <w:r w:rsidRPr="00B67B07">
              <w:rPr>
                <w:rFonts w:ascii="Arial" w:hAnsi="Arial" w:cs="Arial"/>
              </w:rPr>
              <w:t>1.73 ± 0.17ᵃ</w:t>
            </w:r>
          </w:p>
        </w:tc>
        <w:tc>
          <w:tcPr>
            <w:tcW w:w="1500" w:type="dxa"/>
            <w:tcBorders>
              <w:top w:val="single" w:sz="4" w:space="0" w:color="auto"/>
              <w:bottom w:val="nil"/>
            </w:tcBorders>
            <w:vAlign w:val="center"/>
          </w:tcPr>
          <w:p w14:paraId="3D05117A" w14:textId="77777777" w:rsidR="00B7687A" w:rsidRPr="00B67B07" w:rsidRDefault="00B7687A" w:rsidP="00B67B07">
            <w:pPr>
              <w:jc w:val="center"/>
              <w:rPr>
                <w:rFonts w:ascii="Arial" w:hAnsi="Arial" w:cs="Arial"/>
              </w:rPr>
            </w:pPr>
            <w:r w:rsidRPr="00B67B07">
              <w:rPr>
                <w:rFonts w:ascii="Arial" w:hAnsi="Arial" w:cs="Arial"/>
              </w:rPr>
              <w:t>1.57 ± 0.19ᵇ</w:t>
            </w:r>
          </w:p>
        </w:tc>
        <w:tc>
          <w:tcPr>
            <w:tcW w:w="960" w:type="dxa"/>
            <w:tcBorders>
              <w:top w:val="single" w:sz="4" w:space="0" w:color="auto"/>
              <w:bottom w:val="nil"/>
            </w:tcBorders>
            <w:vAlign w:val="center"/>
          </w:tcPr>
          <w:p w14:paraId="067C4AF8" w14:textId="77777777" w:rsidR="00B7687A" w:rsidRPr="00B67B07" w:rsidRDefault="00B7687A" w:rsidP="00B67B07">
            <w:pPr>
              <w:jc w:val="center"/>
              <w:rPr>
                <w:rFonts w:ascii="Arial" w:hAnsi="Arial" w:cs="Arial"/>
              </w:rPr>
            </w:pPr>
            <w:r w:rsidRPr="00B67B07">
              <w:rPr>
                <w:rFonts w:ascii="Arial" w:hAnsi="Arial" w:cs="Arial"/>
              </w:rPr>
              <w:t>5.36</w:t>
            </w:r>
          </w:p>
        </w:tc>
        <w:tc>
          <w:tcPr>
            <w:tcW w:w="960" w:type="dxa"/>
            <w:tcBorders>
              <w:top w:val="single" w:sz="4" w:space="0" w:color="auto"/>
              <w:bottom w:val="nil"/>
            </w:tcBorders>
            <w:vAlign w:val="center"/>
          </w:tcPr>
          <w:p w14:paraId="6954B0CE" w14:textId="77777777" w:rsidR="00B7687A" w:rsidRPr="00B67B07" w:rsidRDefault="00B7687A" w:rsidP="00B67B07">
            <w:pPr>
              <w:jc w:val="center"/>
              <w:rPr>
                <w:rFonts w:ascii="Arial" w:hAnsi="Arial" w:cs="Arial"/>
              </w:rPr>
            </w:pPr>
            <w:r w:rsidRPr="00B67B07">
              <w:rPr>
                <w:rFonts w:ascii="Arial" w:hAnsi="Arial" w:cs="Arial"/>
              </w:rPr>
              <w:t>0.008</w:t>
            </w:r>
          </w:p>
        </w:tc>
        <w:tc>
          <w:tcPr>
            <w:tcW w:w="948" w:type="dxa"/>
            <w:tcBorders>
              <w:top w:val="single" w:sz="4" w:space="0" w:color="auto"/>
              <w:bottom w:val="nil"/>
            </w:tcBorders>
            <w:vAlign w:val="center"/>
          </w:tcPr>
          <w:p w14:paraId="710FCF2F" w14:textId="77777777" w:rsidR="00B7687A" w:rsidRPr="00B67B07" w:rsidRDefault="00B7687A" w:rsidP="00B67B07">
            <w:pPr>
              <w:jc w:val="center"/>
              <w:rPr>
                <w:rFonts w:ascii="Arial" w:hAnsi="Arial" w:cs="Arial"/>
              </w:rPr>
            </w:pPr>
            <w:r w:rsidRPr="00B67B07">
              <w:rPr>
                <w:rFonts w:ascii="Arial" w:hAnsi="Arial" w:cs="Arial"/>
              </w:rPr>
              <w:t>SS</w:t>
            </w:r>
          </w:p>
        </w:tc>
      </w:tr>
      <w:tr w:rsidR="00B7687A" w:rsidRPr="00B67B07" w14:paraId="62B05F66" w14:textId="77777777" w:rsidTr="00FB07B3">
        <w:trPr>
          <w:trHeight w:val="38"/>
          <w:tblCellSpacing w:w="15" w:type="dxa"/>
        </w:trPr>
        <w:tc>
          <w:tcPr>
            <w:tcW w:w="1890" w:type="dxa"/>
            <w:vAlign w:val="center"/>
          </w:tcPr>
          <w:p w14:paraId="4E1B5182" w14:textId="77777777" w:rsidR="00B7687A" w:rsidRPr="00B67B07" w:rsidRDefault="00B7687A" w:rsidP="00B67B07">
            <w:pPr>
              <w:rPr>
                <w:rFonts w:ascii="Arial" w:hAnsi="Arial" w:cs="Arial"/>
              </w:rPr>
            </w:pPr>
            <w:r w:rsidRPr="00B67B07">
              <w:rPr>
                <w:rFonts w:ascii="Arial" w:hAnsi="Arial" w:cs="Arial"/>
              </w:rPr>
              <w:t>LH (mIU/ml)</w:t>
            </w:r>
          </w:p>
        </w:tc>
        <w:tc>
          <w:tcPr>
            <w:tcW w:w="1410" w:type="dxa"/>
            <w:vAlign w:val="center"/>
          </w:tcPr>
          <w:p w14:paraId="0912B734" w14:textId="77777777" w:rsidR="00B7687A" w:rsidRPr="00B67B07" w:rsidRDefault="00B7687A" w:rsidP="00B67B07">
            <w:pPr>
              <w:jc w:val="center"/>
              <w:rPr>
                <w:rFonts w:ascii="Arial" w:hAnsi="Arial" w:cs="Arial"/>
              </w:rPr>
            </w:pPr>
            <w:r w:rsidRPr="00B67B07">
              <w:rPr>
                <w:rFonts w:ascii="Arial" w:hAnsi="Arial" w:cs="Arial"/>
              </w:rPr>
              <w:t>26.19 ± 12.79ᵃ</w:t>
            </w:r>
          </w:p>
        </w:tc>
        <w:tc>
          <w:tcPr>
            <w:tcW w:w="1590" w:type="dxa"/>
            <w:vAlign w:val="center"/>
          </w:tcPr>
          <w:p w14:paraId="2E0B0A9A" w14:textId="77777777" w:rsidR="00B7687A" w:rsidRPr="00B67B07" w:rsidRDefault="00B7687A" w:rsidP="00B67B07">
            <w:pPr>
              <w:jc w:val="center"/>
              <w:rPr>
                <w:rFonts w:ascii="Arial" w:hAnsi="Arial" w:cs="Arial"/>
              </w:rPr>
            </w:pPr>
            <w:r w:rsidRPr="00B67B07">
              <w:rPr>
                <w:rFonts w:ascii="Arial" w:hAnsi="Arial" w:cs="Arial"/>
              </w:rPr>
              <w:t>6.79 ± 1.50ᵇ</w:t>
            </w:r>
          </w:p>
        </w:tc>
        <w:tc>
          <w:tcPr>
            <w:tcW w:w="1500" w:type="dxa"/>
            <w:vAlign w:val="center"/>
          </w:tcPr>
          <w:p w14:paraId="78A27F12" w14:textId="77777777" w:rsidR="00B7687A" w:rsidRPr="00B67B07" w:rsidRDefault="00B7687A" w:rsidP="00B67B07">
            <w:pPr>
              <w:jc w:val="center"/>
              <w:rPr>
                <w:rFonts w:ascii="Arial" w:hAnsi="Arial" w:cs="Arial"/>
              </w:rPr>
            </w:pPr>
            <w:r w:rsidRPr="00B67B07">
              <w:rPr>
                <w:rFonts w:ascii="Arial" w:hAnsi="Arial" w:cs="Arial"/>
              </w:rPr>
              <w:t>3.23 ± 1.26ᶜ</w:t>
            </w:r>
          </w:p>
        </w:tc>
        <w:tc>
          <w:tcPr>
            <w:tcW w:w="960" w:type="dxa"/>
            <w:vAlign w:val="center"/>
          </w:tcPr>
          <w:p w14:paraId="0CF1E089" w14:textId="77777777" w:rsidR="00B7687A" w:rsidRPr="00B67B07" w:rsidRDefault="00B7687A" w:rsidP="00B67B07">
            <w:pPr>
              <w:jc w:val="center"/>
              <w:rPr>
                <w:rFonts w:ascii="Arial" w:hAnsi="Arial" w:cs="Arial"/>
              </w:rPr>
            </w:pPr>
            <w:r w:rsidRPr="00B67B07">
              <w:rPr>
                <w:rFonts w:ascii="Arial" w:hAnsi="Arial" w:cs="Arial"/>
              </w:rPr>
              <w:t>49.30</w:t>
            </w:r>
          </w:p>
        </w:tc>
        <w:tc>
          <w:tcPr>
            <w:tcW w:w="960" w:type="dxa"/>
            <w:vAlign w:val="center"/>
          </w:tcPr>
          <w:p w14:paraId="363F9926" w14:textId="77777777" w:rsidR="00B7687A" w:rsidRPr="00B67B07" w:rsidRDefault="00B7687A" w:rsidP="00B67B07">
            <w:pPr>
              <w:jc w:val="center"/>
              <w:rPr>
                <w:rFonts w:ascii="Arial" w:hAnsi="Arial" w:cs="Arial"/>
              </w:rPr>
            </w:pPr>
            <w:r w:rsidRPr="00B67B07">
              <w:rPr>
                <w:rFonts w:ascii="Arial" w:hAnsi="Arial" w:cs="Arial"/>
              </w:rPr>
              <w:t>0.000</w:t>
            </w:r>
          </w:p>
        </w:tc>
        <w:tc>
          <w:tcPr>
            <w:tcW w:w="948" w:type="dxa"/>
            <w:vAlign w:val="center"/>
          </w:tcPr>
          <w:p w14:paraId="40E3152E" w14:textId="77777777" w:rsidR="00B7687A" w:rsidRPr="00B67B07" w:rsidRDefault="00B7687A" w:rsidP="00B67B07">
            <w:pPr>
              <w:jc w:val="center"/>
              <w:rPr>
                <w:rFonts w:ascii="Arial" w:hAnsi="Arial" w:cs="Arial"/>
              </w:rPr>
            </w:pPr>
            <w:r w:rsidRPr="00B67B07">
              <w:rPr>
                <w:rFonts w:ascii="Arial" w:hAnsi="Arial" w:cs="Arial"/>
              </w:rPr>
              <w:t>SS</w:t>
            </w:r>
          </w:p>
        </w:tc>
      </w:tr>
    </w:tbl>
    <w:p w14:paraId="2348B628" w14:textId="77777777" w:rsidR="00B7687A" w:rsidRPr="00FB07B3" w:rsidRDefault="00B7687A" w:rsidP="00FB07B3">
      <w:pPr>
        <w:rPr>
          <w:rFonts w:ascii="Arial" w:hAnsi="Arial" w:cs="Arial"/>
          <w:i/>
          <w:iCs/>
        </w:rPr>
      </w:pPr>
      <w:r w:rsidRPr="00FB07B3">
        <w:rPr>
          <w:rFonts w:ascii="Arial" w:hAnsi="Arial" w:cs="Arial"/>
          <w:i/>
          <w:iCs/>
        </w:rPr>
        <w:t>KEY: LH = Luteinizing Hormone; SS = Statistically Significant (p &lt; 0.05); NS = Not Significant (p &gt; 0.05). Values are expressed as Mean ± Standard Deviation. Values with different superscripts (ᵃ, ᵇ, ᶜ) in the same row differ significantly at p &lt; 0.05 (Tukey HSD).</w:t>
      </w:r>
    </w:p>
    <w:p w14:paraId="27939E75" w14:textId="77777777" w:rsidR="00FB07B3" w:rsidRDefault="00FB07B3" w:rsidP="00B7687A">
      <w:pPr>
        <w:jc w:val="both"/>
        <w:rPr>
          <w:rFonts w:ascii="Arial" w:hAnsi="Arial" w:cs="Arial"/>
          <w:b/>
          <w:bCs/>
        </w:rPr>
      </w:pPr>
    </w:p>
    <w:p w14:paraId="20699F4A" w14:textId="41E1D02A" w:rsidR="00B7687A" w:rsidRPr="00B67B07" w:rsidRDefault="00B7687A" w:rsidP="00B7687A">
      <w:pPr>
        <w:jc w:val="both"/>
        <w:rPr>
          <w:rFonts w:ascii="Arial" w:hAnsi="Arial" w:cs="Arial"/>
        </w:rPr>
      </w:pPr>
      <w:r w:rsidRPr="00B67B07">
        <w:rPr>
          <w:rFonts w:ascii="Arial" w:hAnsi="Arial" w:cs="Arial"/>
          <w:b/>
          <w:bCs/>
        </w:rPr>
        <w:t>Table 5: Comparison of Serum Phosphate and Luteinizing Hormone (LH) Between Single and Married HIV-positive Patients on ART</w:t>
      </w:r>
    </w:p>
    <w:tbl>
      <w:tblPr>
        <w:tblW w:w="808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1559"/>
        <w:gridCol w:w="1560"/>
        <w:gridCol w:w="708"/>
        <w:gridCol w:w="1276"/>
        <w:gridCol w:w="1134"/>
      </w:tblGrid>
      <w:tr w:rsidR="00B7687A" w:rsidRPr="00B67B07" w14:paraId="2E22499A" w14:textId="77777777" w:rsidTr="00FB07B3">
        <w:trPr>
          <w:trHeight w:val="594"/>
          <w:tblHeader/>
          <w:tblCellSpacing w:w="15" w:type="dxa"/>
        </w:trPr>
        <w:tc>
          <w:tcPr>
            <w:tcW w:w="1798" w:type="dxa"/>
            <w:vAlign w:val="center"/>
          </w:tcPr>
          <w:p w14:paraId="0F10A9AF" w14:textId="77777777" w:rsidR="00B7687A" w:rsidRPr="00B67B07" w:rsidRDefault="00B7687A" w:rsidP="00273016">
            <w:pPr>
              <w:rPr>
                <w:rFonts w:ascii="Arial" w:hAnsi="Arial" w:cs="Arial"/>
                <w:b/>
                <w:bCs/>
              </w:rPr>
            </w:pPr>
            <w:r w:rsidRPr="00B67B07">
              <w:rPr>
                <w:rFonts w:ascii="Arial" w:hAnsi="Arial" w:cs="Arial"/>
                <w:b/>
                <w:bCs/>
              </w:rPr>
              <w:t>Parameter</w:t>
            </w:r>
          </w:p>
        </w:tc>
        <w:tc>
          <w:tcPr>
            <w:tcW w:w="1529" w:type="dxa"/>
            <w:vAlign w:val="center"/>
          </w:tcPr>
          <w:p w14:paraId="0D4A6336" w14:textId="77777777" w:rsidR="00B7687A" w:rsidRPr="00B67B07" w:rsidRDefault="00B7687A" w:rsidP="00273016">
            <w:pPr>
              <w:jc w:val="center"/>
              <w:rPr>
                <w:rFonts w:ascii="Arial" w:hAnsi="Arial" w:cs="Arial"/>
                <w:b/>
                <w:bCs/>
              </w:rPr>
            </w:pPr>
            <w:r w:rsidRPr="00B67B07">
              <w:rPr>
                <w:rFonts w:ascii="Arial" w:hAnsi="Arial" w:cs="Arial"/>
                <w:b/>
                <w:bCs/>
              </w:rPr>
              <w:t xml:space="preserve">Single </w:t>
            </w:r>
          </w:p>
          <w:p w14:paraId="79CCD0C7" w14:textId="77777777" w:rsidR="00B7687A" w:rsidRPr="00B67B07" w:rsidRDefault="00B7687A" w:rsidP="00273016">
            <w:pPr>
              <w:jc w:val="center"/>
              <w:rPr>
                <w:rFonts w:ascii="Arial" w:hAnsi="Arial" w:cs="Arial"/>
                <w:b/>
                <w:bCs/>
              </w:rPr>
            </w:pPr>
            <w:r w:rsidRPr="00B67B07">
              <w:rPr>
                <w:rFonts w:ascii="Arial" w:hAnsi="Arial" w:cs="Arial"/>
                <w:b/>
                <w:bCs/>
              </w:rPr>
              <w:t>(n=14)</w:t>
            </w:r>
          </w:p>
        </w:tc>
        <w:tc>
          <w:tcPr>
            <w:tcW w:w="1530" w:type="dxa"/>
            <w:vAlign w:val="center"/>
          </w:tcPr>
          <w:p w14:paraId="41724B0B" w14:textId="77777777" w:rsidR="00B7687A" w:rsidRPr="00B67B07" w:rsidRDefault="00B7687A" w:rsidP="00273016">
            <w:pPr>
              <w:jc w:val="center"/>
              <w:rPr>
                <w:rFonts w:ascii="Arial" w:hAnsi="Arial" w:cs="Arial"/>
                <w:b/>
                <w:bCs/>
              </w:rPr>
            </w:pPr>
            <w:r w:rsidRPr="00B67B07">
              <w:rPr>
                <w:rFonts w:ascii="Arial" w:hAnsi="Arial" w:cs="Arial"/>
                <w:b/>
                <w:bCs/>
              </w:rPr>
              <w:t xml:space="preserve">Married </w:t>
            </w:r>
          </w:p>
          <w:p w14:paraId="58B5BC70" w14:textId="77777777" w:rsidR="00B7687A" w:rsidRPr="00B67B07" w:rsidRDefault="00B7687A" w:rsidP="00273016">
            <w:pPr>
              <w:jc w:val="center"/>
              <w:rPr>
                <w:rFonts w:ascii="Arial" w:hAnsi="Arial" w:cs="Arial"/>
                <w:b/>
                <w:bCs/>
              </w:rPr>
            </w:pPr>
            <w:r w:rsidRPr="00B67B07">
              <w:rPr>
                <w:rFonts w:ascii="Arial" w:hAnsi="Arial" w:cs="Arial"/>
                <w:b/>
                <w:bCs/>
              </w:rPr>
              <w:t>(n=11)</w:t>
            </w:r>
          </w:p>
        </w:tc>
        <w:tc>
          <w:tcPr>
            <w:tcW w:w="678" w:type="dxa"/>
            <w:vAlign w:val="center"/>
          </w:tcPr>
          <w:p w14:paraId="4F0AED8D" w14:textId="77777777" w:rsidR="00B7687A" w:rsidRPr="00B67B07" w:rsidRDefault="00B7687A" w:rsidP="00273016">
            <w:pPr>
              <w:jc w:val="center"/>
              <w:rPr>
                <w:rFonts w:ascii="Arial" w:hAnsi="Arial" w:cs="Arial"/>
                <w:b/>
                <w:bCs/>
              </w:rPr>
            </w:pPr>
            <w:r w:rsidRPr="00B67B07">
              <w:rPr>
                <w:rFonts w:ascii="Arial" w:hAnsi="Arial" w:cs="Arial"/>
                <w:b/>
                <w:bCs/>
              </w:rPr>
              <w:t>t-value</w:t>
            </w:r>
          </w:p>
        </w:tc>
        <w:tc>
          <w:tcPr>
            <w:tcW w:w="1246" w:type="dxa"/>
            <w:vAlign w:val="center"/>
          </w:tcPr>
          <w:p w14:paraId="71482465" w14:textId="77777777" w:rsidR="00B7687A" w:rsidRPr="00B67B07" w:rsidRDefault="00B7687A" w:rsidP="00273016">
            <w:pPr>
              <w:jc w:val="center"/>
              <w:rPr>
                <w:rFonts w:ascii="Arial" w:hAnsi="Arial" w:cs="Arial"/>
                <w:b/>
                <w:bCs/>
              </w:rPr>
            </w:pPr>
            <w:r w:rsidRPr="00B67B07">
              <w:rPr>
                <w:rFonts w:ascii="Arial" w:hAnsi="Arial" w:cs="Arial"/>
                <w:b/>
                <w:bCs/>
              </w:rPr>
              <w:t>p-value</w:t>
            </w:r>
          </w:p>
        </w:tc>
        <w:tc>
          <w:tcPr>
            <w:tcW w:w="1089" w:type="dxa"/>
            <w:vAlign w:val="center"/>
          </w:tcPr>
          <w:p w14:paraId="77A91F4A" w14:textId="77777777" w:rsidR="00B7687A" w:rsidRPr="00B67B07" w:rsidRDefault="00B7687A" w:rsidP="00273016">
            <w:pPr>
              <w:jc w:val="center"/>
              <w:rPr>
                <w:rFonts w:ascii="Arial" w:hAnsi="Arial" w:cs="Arial"/>
                <w:b/>
                <w:bCs/>
              </w:rPr>
            </w:pPr>
            <w:r w:rsidRPr="00B67B07">
              <w:rPr>
                <w:rFonts w:ascii="Arial" w:hAnsi="Arial" w:cs="Arial"/>
                <w:b/>
                <w:bCs/>
              </w:rPr>
              <w:t>Remark</w:t>
            </w:r>
          </w:p>
        </w:tc>
      </w:tr>
      <w:tr w:rsidR="00B7687A" w:rsidRPr="00B67B07" w14:paraId="30F902CE" w14:textId="77777777" w:rsidTr="00FB07B3">
        <w:trPr>
          <w:trHeight w:val="232"/>
          <w:tblCellSpacing w:w="15" w:type="dxa"/>
        </w:trPr>
        <w:tc>
          <w:tcPr>
            <w:tcW w:w="1798" w:type="dxa"/>
            <w:tcBorders>
              <w:top w:val="single" w:sz="4" w:space="0" w:color="auto"/>
              <w:bottom w:val="nil"/>
            </w:tcBorders>
            <w:vAlign w:val="center"/>
          </w:tcPr>
          <w:p w14:paraId="746E6C30" w14:textId="77777777" w:rsidR="00B7687A" w:rsidRPr="00B67B07" w:rsidRDefault="00B7687A" w:rsidP="00273016">
            <w:pPr>
              <w:rPr>
                <w:rFonts w:ascii="Arial" w:hAnsi="Arial" w:cs="Arial"/>
              </w:rPr>
            </w:pPr>
            <w:r w:rsidRPr="00B67B07">
              <w:rPr>
                <w:rFonts w:ascii="Arial" w:hAnsi="Arial" w:cs="Arial"/>
                <w:b/>
                <w:bCs/>
              </w:rPr>
              <w:t>Serum Phosphate (mg/dL)</w:t>
            </w:r>
          </w:p>
        </w:tc>
        <w:tc>
          <w:tcPr>
            <w:tcW w:w="1529" w:type="dxa"/>
            <w:tcBorders>
              <w:top w:val="single" w:sz="4" w:space="0" w:color="auto"/>
              <w:bottom w:val="nil"/>
            </w:tcBorders>
            <w:vAlign w:val="center"/>
          </w:tcPr>
          <w:p w14:paraId="4B396612" w14:textId="77777777" w:rsidR="00B7687A" w:rsidRPr="00B67B07" w:rsidRDefault="00B7687A" w:rsidP="00273016">
            <w:pPr>
              <w:jc w:val="center"/>
              <w:rPr>
                <w:rFonts w:ascii="Arial" w:hAnsi="Arial" w:cs="Arial"/>
              </w:rPr>
            </w:pPr>
            <w:r w:rsidRPr="00B67B07">
              <w:rPr>
                <w:rFonts w:ascii="Arial" w:hAnsi="Arial" w:cs="Arial"/>
              </w:rPr>
              <w:t>1.50 ± 0.14</w:t>
            </w:r>
          </w:p>
        </w:tc>
        <w:tc>
          <w:tcPr>
            <w:tcW w:w="1530" w:type="dxa"/>
            <w:tcBorders>
              <w:top w:val="single" w:sz="4" w:space="0" w:color="auto"/>
              <w:bottom w:val="nil"/>
            </w:tcBorders>
            <w:vAlign w:val="center"/>
          </w:tcPr>
          <w:p w14:paraId="740DAB75" w14:textId="77777777" w:rsidR="00B7687A" w:rsidRPr="00B67B07" w:rsidRDefault="00B7687A" w:rsidP="00273016">
            <w:pPr>
              <w:jc w:val="center"/>
              <w:rPr>
                <w:rFonts w:ascii="Arial" w:hAnsi="Arial" w:cs="Arial"/>
              </w:rPr>
            </w:pPr>
            <w:r w:rsidRPr="00B67B07">
              <w:rPr>
                <w:rFonts w:ascii="Arial" w:hAnsi="Arial" w:cs="Arial"/>
              </w:rPr>
              <w:t>1.44 ± 0.10</w:t>
            </w:r>
          </w:p>
        </w:tc>
        <w:tc>
          <w:tcPr>
            <w:tcW w:w="678" w:type="dxa"/>
            <w:tcBorders>
              <w:top w:val="single" w:sz="4" w:space="0" w:color="auto"/>
              <w:bottom w:val="nil"/>
            </w:tcBorders>
            <w:vAlign w:val="center"/>
          </w:tcPr>
          <w:p w14:paraId="4B77AF6C" w14:textId="77777777" w:rsidR="00B7687A" w:rsidRPr="00B67B07" w:rsidRDefault="00B7687A" w:rsidP="00273016">
            <w:pPr>
              <w:jc w:val="center"/>
              <w:rPr>
                <w:rFonts w:ascii="Arial" w:hAnsi="Arial" w:cs="Arial"/>
              </w:rPr>
            </w:pPr>
            <w:r w:rsidRPr="00B67B07">
              <w:rPr>
                <w:rFonts w:ascii="Arial" w:hAnsi="Arial" w:cs="Arial"/>
              </w:rPr>
              <w:t>1.28</w:t>
            </w:r>
          </w:p>
        </w:tc>
        <w:tc>
          <w:tcPr>
            <w:tcW w:w="1246" w:type="dxa"/>
            <w:tcBorders>
              <w:top w:val="single" w:sz="4" w:space="0" w:color="auto"/>
              <w:bottom w:val="nil"/>
            </w:tcBorders>
            <w:vAlign w:val="center"/>
          </w:tcPr>
          <w:p w14:paraId="4991AF41" w14:textId="77777777" w:rsidR="00B7687A" w:rsidRPr="00B67B07" w:rsidRDefault="00B7687A" w:rsidP="00273016">
            <w:pPr>
              <w:jc w:val="center"/>
              <w:rPr>
                <w:rFonts w:ascii="Arial" w:hAnsi="Arial" w:cs="Arial"/>
              </w:rPr>
            </w:pPr>
            <w:r w:rsidRPr="00B67B07">
              <w:rPr>
                <w:rFonts w:ascii="Arial" w:hAnsi="Arial" w:cs="Arial"/>
              </w:rPr>
              <w:t>0.213</w:t>
            </w:r>
          </w:p>
        </w:tc>
        <w:tc>
          <w:tcPr>
            <w:tcW w:w="1089" w:type="dxa"/>
            <w:tcBorders>
              <w:top w:val="single" w:sz="4" w:space="0" w:color="auto"/>
              <w:bottom w:val="nil"/>
            </w:tcBorders>
            <w:vAlign w:val="center"/>
          </w:tcPr>
          <w:p w14:paraId="74FD3577" w14:textId="77777777" w:rsidR="00B7687A" w:rsidRPr="00B67B07" w:rsidRDefault="00B7687A" w:rsidP="00273016">
            <w:pPr>
              <w:jc w:val="center"/>
              <w:rPr>
                <w:rFonts w:ascii="Arial" w:hAnsi="Arial" w:cs="Arial"/>
              </w:rPr>
            </w:pPr>
            <w:r w:rsidRPr="00B67B07">
              <w:rPr>
                <w:rFonts w:ascii="Arial" w:hAnsi="Arial" w:cs="Arial"/>
              </w:rPr>
              <w:t>NS</w:t>
            </w:r>
          </w:p>
        </w:tc>
      </w:tr>
      <w:tr w:rsidR="00B7687A" w:rsidRPr="00B67B07" w14:paraId="63D7EBC2" w14:textId="77777777" w:rsidTr="00FB07B3">
        <w:trPr>
          <w:trHeight w:val="233"/>
          <w:tblCellSpacing w:w="15" w:type="dxa"/>
        </w:trPr>
        <w:tc>
          <w:tcPr>
            <w:tcW w:w="1798" w:type="dxa"/>
            <w:vAlign w:val="center"/>
          </w:tcPr>
          <w:p w14:paraId="5BED53F4" w14:textId="77777777" w:rsidR="00B7687A" w:rsidRPr="00B67B07" w:rsidRDefault="00B7687A" w:rsidP="00273016">
            <w:pPr>
              <w:rPr>
                <w:rFonts w:ascii="Arial" w:hAnsi="Arial" w:cs="Arial"/>
              </w:rPr>
            </w:pPr>
            <w:r w:rsidRPr="00B67B07">
              <w:rPr>
                <w:rFonts w:ascii="Arial" w:hAnsi="Arial" w:cs="Arial"/>
                <w:b/>
                <w:bCs/>
              </w:rPr>
              <w:t>LH (mIU/ml)</w:t>
            </w:r>
          </w:p>
        </w:tc>
        <w:tc>
          <w:tcPr>
            <w:tcW w:w="1529" w:type="dxa"/>
            <w:vAlign w:val="center"/>
          </w:tcPr>
          <w:p w14:paraId="3ABA9D8B" w14:textId="77777777" w:rsidR="00B7687A" w:rsidRPr="00B67B07" w:rsidRDefault="00B7687A" w:rsidP="00273016">
            <w:pPr>
              <w:jc w:val="center"/>
              <w:rPr>
                <w:rFonts w:ascii="Arial" w:hAnsi="Arial" w:cs="Arial"/>
              </w:rPr>
            </w:pPr>
            <w:r w:rsidRPr="00B67B07">
              <w:rPr>
                <w:rFonts w:ascii="Arial" w:hAnsi="Arial" w:cs="Arial"/>
              </w:rPr>
              <w:t>11.49 ± 11.64</w:t>
            </w:r>
          </w:p>
        </w:tc>
        <w:tc>
          <w:tcPr>
            <w:tcW w:w="1530" w:type="dxa"/>
            <w:vAlign w:val="center"/>
          </w:tcPr>
          <w:p w14:paraId="243AB889" w14:textId="77777777" w:rsidR="00B7687A" w:rsidRPr="00B67B07" w:rsidRDefault="00B7687A" w:rsidP="00273016">
            <w:pPr>
              <w:jc w:val="center"/>
              <w:rPr>
                <w:rFonts w:ascii="Arial" w:hAnsi="Arial" w:cs="Arial"/>
              </w:rPr>
            </w:pPr>
            <w:r w:rsidRPr="00B67B07">
              <w:rPr>
                <w:rFonts w:ascii="Arial" w:hAnsi="Arial" w:cs="Arial"/>
              </w:rPr>
              <w:t>12.20 ± 15.87</w:t>
            </w:r>
          </w:p>
        </w:tc>
        <w:tc>
          <w:tcPr>
            <w:tcW w:w="678" w:type="dxa"/>
            <w:vAlign w:val="center"/>
          </w:tcPr>
          <w:p w14:paraId="7BC62DD7" w14:textId="77777777" w:rsidR="00B7687A" w:rsidRPr="00B67B07" w:rsidRDefault="00B7687A" w:rsidP="00273016">
            <w:pPr>
              <w:jc w:val="center"/>
              <w:rPr>
                <w:rFonts w:ascii="Arial" w:hAnsi="Arial" w:cs="Arial"/>
              </w:rPr>
            </w:pPr>
            <w:r w:rsidRPr="00B67B07">
              <w:rPr>
                <w:rFonts w:ascii="Arial" w:hAnsi="Arial" w:cs="Arial"/>
              </w:rPr>
              <w:t>-0.13</w:t>
            </w:r>
          </w:p>
        </w:tc>
        <w:tc>
          <w:tcPr>
            <w:tcW w:w="1246" w:type="dxa"/>
            <w:vAlign w:val="center"/>
          </w:tcPr>
          <w:p w14:paraId="7CD99BA5" w14:textId="77777777" w:rsidR="00B7687A" w:rsidRPr="00B67B07" w:rsidRDefault="00B7687A" w:rsidP="00273016">
            <w:pPr>
              <w:jc w:val="center"/>
              <w:rPr>
                <w:rFonts w:ascii="Arial" w:hAnsi="Arial" w:cs="Arial"/>
              </w:rPr>
            </w:pPr>
            <w:r w:rsidRPr="00B67B07">
              <w:rPr>
                <w:rFonts w:ascii="Arial" w:hAnsi="Arial" w:cs="Arial"/>
              </w:rPr>
              <w:t>0.897</w:t>
            </w:r>
          </w:p>
        </w:tc>
        <w:tc>
          <w:tcPr>
            <w:tcW w:w="1089" w:type="dxa"/>
            <w:vAlign w:val="center"/>
          </w:tcPr>
          <w:p w14:paraId="43350399" w14:textId="77777777" w:rsidR="00B7687A" w:rsidRPr="00B67B07" w:rsidRDefault="00B7687A" w:rsidP="00273016">
            <w:pPr>
              <w:jc w:val="center"/>
              <w:rPr>
                <w:rFonts w:ascii="Arial" w:hAnsi="Arial" w:cs="Arial"/>
              </w:rPr>
            </w:pPr>
            <w:r w:rsidRPr="00B67B07">
              <w:rPr>
                <w:rFonts w:ascii="Arial" w:hAnsi="Arial" w:cs="Arial"/>
              </w:rPr>
              <w:t>NS</w:t>
            </w:r>
          </w:p>
        </w:tc>
      </w:tr>
    </w:tbl>
    <w:p w14:paraId="6D7C4FE2" w14:textId="31D620E3" w:rsidR="00B7687A" w:rsidRPr="00B67B07" w:rsidRDefault="00B7687A" w:rsidP="00B7687A">
      <w:pPr>
        <w:rPr>
          <w:rFonts w:ascii="Arial" w:hAnsi="Arial" w:cs="Arial"/>
        </w:rPr>
      </w:pPr>
      <w:r w:rsidRPr="00B67B07">
        <w:rPr>
          <w:rFonts w:ascii="Arial" w:hAnsi="Arial" w:cs="Arial"/>
          <w:b/>
          <w:bCs/>
        </w:rPr>
        <w:t>K</w:t>
      </w:r>
      <w:r w:rsidR="00FB07B3" w:rsidRPr="00B67B07">
        <w:rPr>
          <w:rFonts w:ascii="Arial" w:hAnsi="Arial" w:cs="Arial"/>
          <w:b/>
          <w:bCs/>
        </w:rPr>
        <w:t>ey</w:t>
      </w:r>
      <w:r w:rsidRPr="00B67B07">
        <w:rPr>
          <w:rFonts w:ascii="Arial" w:hAnsi="Arial" w:cs="Arial"/>
          <w:b/>
          <w:bCs/>
        </w:rPr>
        <w:t>:</w:t>
      </w:r>
      <w:r w:rsidRPr="00B67B07">
        <w:rPr>
          <w:rFonts w:ascii="Arial" w:hAnsi="Arial" w:cs="Arial"/>
        </w:rPr>
        <w:t xml:space="preserve"> LH = Luteinizing Hormone; SS = Statistically Significant (p &lt; 0.05); NS = Not Significant (p &gt; 0.05). Values are expressed as Mean ± Standard Deviation.</w:t>
      </w:r>
    </w:p>
    <w:p w14:paraId="016C3281" w14:textId="77777777" w:rsidR="00B7687A" w:rsidRPr="00B67B07" w:rsidRDefault="00B7687A" w:rsidP="00401964">
      <w:pPr>
        <w:pStyle w:val="Body"/>
        <w:spacing w:after="0"/>
        <w:rPr>
          <w:rFonts w:ascii="Arial" w:hAnsi="Arial" w:cs="Arial"/>
        </w:rPr>
      </w:pPr>
    </w:p>
    <w:p w14:paraId="2261BD04" w14:textId="7527760F" w:rsidR="00B7687A" w:rsidRPr="00B67B07" w:rsidRDefault="00B7687A" w:rsidP="00B7687A">
      <w:pPr>
        <w:jc w:val="both"/>
        <w:rPr>
          <w:rFonts w:ascii="Arial" w:hAnsi="Arial" w:cs="Arial"/>
        </w:rPr>
      </w:pPr>
      <w:r w:rsidRPr="00B67B07">
        <w:rPr>
          <w:rFonts w:ascii="Arial" w:hAnsi="Arial" w:cs="Arial"/>
          <w:b/>
          <w:bCs/>
        </w:rPr>
        <w:t>Table 6: Comparison of Serum Phosphate and Luteinizing Hormone (LH) Between HIV-positive Patients on ART According to Educational Level</w:t>
      </w:r>
    </w:p>
    <w:tbl>
      <w:tblPr>
        <w:tblW w:w="836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1559"/>
        <w:gridCol w:w="1560"/>
        <w:gridCol w:w="850"/>
        <w:gridCol w:w="1276"/>
        <w:gridCol w:w="1276"/>
      </w:tblGrid>
      <w:tr w:rsidR="00B7687A" w:rsidRPr="00B67B07" w14:paraId="182C3FC1" w14:textId="77777777" w:rsidTr="00FB07B3">
        <w:trPr>
          <w:trHeight w:val="581"/>
          <w:tblHeader/>
          <w:tblCellSpacing w:w="15" w:type="dxa"/>
        </w:trPr>
        <w:tc>
          <w:tcPr>
            <w:tcW w:w="1798" w:type="dxa"/>
            <w:vAlign w:val="center"/>
          </w:tcPr>
          <w:p w14:paraId="1A9D08F7" w14:textId="77777777" w:rsidR="00B7687A" w:rsidRPr="00B67B07" w:rsidRDefault="00B7687A" w:rsidP="00273016">
            <w:pPr>
              <w:rPr>
                <w:rFonts w:ascii="Arial" w:hAnsi="Arial" w:cs="Arial"/>
                <w:b/>
                <w:bCs/>
              </w:rPr>
            </w:pPr>
            <w:r w:rsidRPr="00B67B07">
              <w:rPr>
                <w:rFonts w:ascii="Arial" w:hAnsi="Arial" w:cs="Arial"/>
                <w:b/>
                <w:bCs/>
              </w:rPr>
              <w:t>Parameter</w:t>
            </w:r>
          </w:p>
        </w:tc>
        <w:tc>
          <w:tcPr>
            <w:tcW w:w="1529" w:type="dxa"/>
            <w:vAlign w:val="center"/>
          </w:tcPr>
          <w:p w14:paraId="156D9C49" w14:textId="77777777" w:rsidR="00B7687A" w:rsidRPr="00B67B07" w:rsidRDefault="00B7687A" w:rsidP="00273016">
            <w:pPr>
              <w:jc w:val="center"/>
              <w:rPr>
                <w:rFonts w:ascii="Arial" w:hAnsi="Arial" w:cs="Arial"/>
                <w:b/>
                <w:bCs/>
              </w:rPr>
            </w:pPr>
            <w:r w:rsidRPr="00B67B07">
              <w:rPr>
                <w:rFonts w:ascii="Arial" w:hAnsi="Arial" w:cs="Arial"/>
                <w:b/>
                <w:bCs/>
              </w:rPr>
              <w:t>Secondary</w:t>
            </w:r>
          </w:p>
          <w:p w14:paraId="29116AF9" w14:textId="77777777" w:rsidR="00B7687A" w:rsidRPr="00B67B07" w:rsidRDefault="00B7687A" w:rsidP="00273016">
            <w:pPr>
              <w:jc w:val="center"/>
              <w:rPr>
                <w:rFonts w:ascii="Arial" w:hAnsi="Arial" w:cs="Arial"/>
                <w:b/>
                <w:bCs/>
              </w:rPr>
            </w:pPr>
            <w:r w:rsidRPr="00B67B07">
              <w:rPr>
                <w:rFonts w:ascii="Arial" w:hAnsi="Arial" w:cs="Arial"/>
                <w:b/>
                <w:bCs/>
              </w:rPr>
              <w:t>(n=8)</w:t>
            </w:r>
          </w:p>
        </w:tc>
        <w:tc>
          <w:tcPr>
            <w:tcW w:w="1530" w:type="dxa"/>
            <w:vAlign w:val="center"/>
          </w:tcPr>
          <w:p w14:paraId="1C418CC1" w14:textId="77777777" w:rsidR="00B7687A" w:rsidRPr="00B67B07" w:rsidRDefault="00B7687A" w:rsidP="00273016">
            <w:pPr>
              <w:jc w:val="center"/>
              <w:rPr>
                <w:rFonts w:ascii="Arial" w:hAnsi="Arial" w:cs="Arial"/>
                <w:b/>
                <w:bCs/>
              </w:rPr>
            </w:pPr>
            <w:r w:rsidRPr="00B67B07">
              <w:rPr>
                <w:rFonts w:ascii="Arial" w:hAnsi="Arial" w:cs="Arial"/>
                <w:b/>
                <w:bCs/>
              </w:rPr>
              <w:t>Tertiary</w:t>
            </w:r>
          </w:p>
          <w:p w14:paraId="19C187BB" w14:textId="77777777" w:rsidR="00B7687A" w:rsidRPr="00B67B07" w:rsidRDefault="00B7687A" w:rsidP="00273016">
            <w:pPr>
              <w:jc w:val="center"/>
              <w:rPr>
                <w:rFonts w:ascii="Arial" w:hAnsi="Arial" w:cs="Arial"/>
                <w:b/>
                <w:bCs/>
              </w:rPr>
            </w:pPr>
            <w:r w:rsidRPr="00B67B07">
              <w:rPr>
                <w:rFonts w:ascii="Arial" w:hAnsi="Arial" w:cs="Arial"/>
                <w:b/>
                <w:bCs/>
              </w:rPr>
              <w:t>(n=17)</w:t>
            </w:r>
          </w:p>
        </w:tc>
        <w:tc>
          <w:tcPr>
            <w:tcW w:w="820" w:type="dxa"/>
            <w:vAlign w:val="center"/>
          </w:tcPr>
          <w:p w14:paraId="3080CC94" w14:textId="77777777" w:rsidR="00B7687A" w:rsidRPr="00B67B07" w:rsidRDefault="00B7687A" w:rsidP="00273016">
            <w:pPr>
              <w:jc w:val="center"/>
              <w:rPr>
                <w:rFonts w:ascii="Arial" w:hAnsi="Arial" w:cs="Arial"/>
                <w:b/>
                <w:bCs/>
              </w:rPr>
            </w:pPr>
            <w:r w:rsidRPr="00B67B07">
              <w:rPr>
                <w:rFonts w:ascii="Arial" w:hAnsi="Arial" w:cs="Arial"/>
                <w:b/>
                <w:bCs/>
              </w:rPr>
              <w:t>t-value</w:t>
            </w:r>
          </w:p>
        </w:tc>
        <w:tc>
          <w:tcPr>
            <w:tcW w:w="1246" w:type="dxa"/>
            <w:vAlign w:val="center"/>
          </w:tcPr>
          <w:p w14:paraId="583513B8" w14:textId="77777777" w:rsidR="00B7687A" w:rsidRPr="00B67B07" w:rsidRDefault="00B7687A" w:rsidP="00273016">
            <w:pPr>
              <w:jc w:val="center"/>
              <w:rPr>
                <w:rFonts w:ascii="Arial" w:hAnsi="Arial" w:cs="Arial"/>
                <w:b/>
                <w:bCs/>
              </w:rPr>
            </w:pPr>
            <w:r w:rsidRPr="00B67B07">
              <w:rPr>
                <w:rFonts w:ascii="Arial" w:hAnsi="Arial" w:cs="Arial"/>
                <w:b/>
                <w:bCs/>
              </w:rPr>
              <w:t>p-value</w:t>
            </w:r>
          </w:p>
        </w:tc>
        <w:tc>
          <w:tcPr>
            <w:tcW w:w="1231" w:type="dxa"/>
            <w:vAlign w:val="center"/>
          </w:tcPr>
          <w:p w14:paraId="07425E67" w14:textId="77777777" w:rsidR="00B7687A" w:rsidRPr="00B67B07" w:rsidRDefault="00B7687A" w:rsidP="00273016">
            <w:pPr>
              <w:jc w:val="center"/>
              <w:rPr>
                <w:rFonts w:ascii="Arial" w:hAnsi="Arial" w:cs="Arial"/>
                <w:b/>
                <w:bCs/>
              </w:rPr>
            </w:pPr>
            <w:r w:rsidRPr="00B67B07">
              <w:rPr>
                <w:rFonts w:ascii="Arial" w:hAnsi="Arial" w:cs="Arial"/>
                <w:b/>
                <w:bCs/>
              </w:rPr>
              <w:t>Remark</w:t>
            </w:r>
          </w:p>
        </w:tc>
      </w:tr>
      <w:tr w:rsidR="00B7687A" w:rsidRPr="00B67B07" w14:paraId="60B941F1" w14:textId="77777777" w:rsidTr="00FB07B3">
        <w:trPr>
          <w:trHeight w:val="115"/>
          <w:tblCellSpacing w:w="15" w:type="dxa"/>
        </w:trPr>
        <w:tc>
          <w:tcPr>
            <w:tcW w:w="1798" w:type="dxa"/>
            <w:tcBorders>
              <w:top w:val="single" w:sz="4" w:space="0" w:color="auto"/>
              <w:bottom w:val="nil"/>
            </w:tcBorders>
            <w:vAlign w:val="center"/>
          </w:tcPr>
          <w:p w14:paraId="74969AA3" w14:textId="77777777" w:rsidR="00B7687A" w:rsidRPr="00B67B07" w:rsidRDefault="00B7687A" w:rsidP="00273016">
            <w:pPr>
              <w:rPr>
                <w:rFonts w:ascii="Arial" w:hAnsi="Arial" w:cs="Arial"/>
              </w:rPr>
            </w:pPr>
            <w:r w:rsidRPr="00B67B07">
              <w:rPr>
                <w:rFonts w:ascii="Arial" w:hAnsi="Arial" w:cs="Arial"/>
                <w:b/>
                <w:bCs/>
              </w:rPr>
              <w:t>Serum Phosphate (mg/dL)</w:t>
            </w:r>
          </w:p>
        </w:tc>
        <w:tc>
          <w:tcPr>
            <w:tcW w:w="1529" w:type="dxa"/>
            <w:tcBorders>
              <w:top w:val="single" w:sz="4" w:space="0" w:color="auto"/>
              <w:bottom w:val="nil"/>
            </w:tcBorders>
            <w:vAlign w:val="center"/>
          </w:tcPr>
          <w:p w14:paraId="50B76303" w14:textId="77777777" w:rsidR="00B7687A" w:rsidRPr="00B67B07" w:rsidRDefault="00B7687A" w:rsidP="00273016">
            <w:pPr>
              <w:jc w:val="center"/>
              <w:rPr>
                <w:rFonts w:ascii="Arial" w:hAnsi="Arial" w:cs="Arial"/>
              </w:rPr>
            </w:pPr>
            <w:r w:rsidRPr="00B67B07">
              <w:rPr>
                <w:rFonts w:ascii="Arial" w:hAnsi="Arial" w:cs="Arial"/>
              </w:rPr>
              <w:t>1.49 ± 0.09</w:t>
            </w:r>
          </w:p>
        </w:tc>
        <w:tc>
          <w:tcPr>
            <w:tcW w:w="1530" w:type="dxa"/>
            <w:tcBorders>
              <w:top w:val="single" w:sz="4" w:space="0" w:color="auto"/>
              <w:bottom w:val="nil"/>
            </w:tcBorders>
            <w:vAlign w:val="center"/>
          </w:tcPr>
          <w:p w14:paraId="265E576A" w14:textId="77777777" w:rsidR="00B7687A" w:rsidRPr="00B67B07" w:rsidRDefault="00B7687A" w:rsidP="00273016">
            <w:pPr>
              <w:jc w:val="center"/>
              <w:rPr>
                <w:rFonts w:ascii="Arial" w:hAnsi="Arial" w:cs="Arial"/>
              </w:rPr>
            </w:pPr>
            <w:r w:rsidRPr="00B67B07">
              <w:rPr>
                <w:rFonts w:ascii="Arial" w:hAnsi="Arial" w:cs="Arial"/>
              </w:rPr>
              <w:t>1.47 ± 0.15</w:t>
            </w:r>
          </w:p>
        </w:tc>
        <w:tc>
          <w:tcPr>
            <w:tcW w:w="820" w:type="dxa"/>
            <w:tcBorders>
              <w:top w:val="single" w:sz="4" w:space="0" w:color="auto"/>
              <w:bottom w:val="nil"/>
            </w:tcBorders>
            <w:vAlign w:val="center"/>
          </w:tcPr>
          <w:p w14:paraId="0C4C3183" w14:textId="77777777" w:rsidR="00B7687A" w:rsidRPr="00B67B07" w:rsidRDefault="00B7687A" w:rsidP="00273016">
            <w:pPr>
              <w:jc w:val="center"/>
              <w:rPr>
                <w:rFonts w:ascii="Arial" w:hAnsi="Arial" w:cs="Arial"/>
              </w:rPr>
            </w:pPr>
            <w:r w:rsidRPr="00B67B07">
              <w:rPr>
                <w:rFonts w:ascii="Arial" w:hAnsi="Arial" w:cs="Arial"/>
              </w:rPr>
              <w:t>0.48</w:t>
            </w:r>
          </w:p>
        </w:tc>
        <w:tc>
          <w:tcPr>
            <w:tcW w:w="1246" w:type="dxa"/>
            <w:tcBorders>
              <w:top w:val="single" w:sz="4" w:space="0" w:color="auto"/>
              <w:bottom w:val="nil"/>
            </w:tcBorders>
            <w:vAlign w:val="center"/>
          </w:tcPr>
          <w:p w14:paraId="62142450" w14:textId="77777777" w:rsidR="00B7687A" w:rsidRPr="00B67B07" w:rsidRDefault="00B7687A" w:rsidP="00273016">
            <w:pPr>
              <w:jc w:val="center"/>
              <w:rPr>
                <w:rFonts w:ascii="Arial" w:hAnsi="Arial" w:cs="Arial"/>
              </w:rPr>
            </w:pPr>
            <w:r w:rsidRPr="00B67B07">
              <w:rPr>
                <w:rFonts w:ascii="Arial" w:hAnsi="Arial" w:cs="Arial"/>
              </w:rPr>
              <w:t>0.638</w:t>
            </w:r>
          </w:p>
        </w:tc>
        <w:tc>
          <w:tcPr>
            <w:tcW w:w="1231" w:type="dxa"/>
            <w:tcBorders>
              <w:top w:val="single" w:sz="4" w:space="0" w:color="auto"/>
              <w:bottom w:val="nil"/>
            </w:tcBorders>
            <w:vAlign w:val="center"/>
          </w:tcPr>
          <w:p w14:paraId="39C1F3F8" w14:textId="77777777" w:rsidR="00B7687A" w:rsidRPr="00B67B07" w:rsidRDefault="00B7687A" w:rsidP="00273016">
            <w:pPr>
              <w:jc w:val="center"/>
              <w:rPr>
                <w:rFonts w:ascii="Arial" w:hAnsi="Arial" w:cs="Arial"/>
              </w:rPr>
            </w:pPr>
            <w:r w:rsidRPr="00B67B07">
              <w:rPr>
                <w:rFonts w:ascii="Arial" w:hAnsi="Arial" w:cs="Arial"/>
              </w:rPr>
              <w:t>NS</w:t>
            </w:r>
          </w:p>
        </w:tc>
      </w:tr>
      <w:tr w:rsidR="00B7687A" w:rsidRPr="00B67B07" w14:paraId="066A053E" w14:textId="77777777" w:rsidTr="00FB07B3">
        <w:trPr>
          <w:trHeight w:val="102"/>
          <w:tblCellSpacing w:w="15" w:type="dxa"/>
        </w:trPr>
        <w:tc>
          <w:tcPr>
            <w:tcW w:w="1798" w:type="dxa"/>
            <w:vAlign w:val="center"/>
          </w:tcPr>
          <w:p w14:paraId="3E239404" w14:textId="77777777" w:rsidR="00B7687A" w:rsidRPr="00B67B07" w:rsidRDefault="00B7687A" w:rsidP="00273016">
            <w:pPr>
              <w:rPr>
                <w:rFonts w:ascii="Arial" w:hAnsi="Arial" w:cs="Arial"/>
              </w:rPr>
            </w:pPr>
            <w:r w:rsidRPr="00B67B07">
              <w:rPr>
                <w:rFonts w:ascii="Arial" w:hAnsi="Arial" w:cs="Arial"/>
                <w:b/>
                <w:bCs/>
              </w:rPr>
              <w:t>LH (mIU/ml)</w:t>
            </w:r>
          </w:p>
        </w:tc>
        <w:tc>
          <w:tcPr>
            <w:tcW w:w="1529" w:type="dxa"/>
            <w:vAlign w:val="center"/>
          </w:tcPr>
          <w:p w14:paraId="75F232A5" w14:textId="77777777" w:rsidR="00B7687A" w:rsidRPr="00B67B07" w:rsidRDefault="00B7687A" w:rsidP="00273016">
            <w:pPr>
              <w:jc w:val="center"/>
              <w:rPr>
                <w:rFonts w:ascii="Arial" w:hAnsi="Arial" w:cs="Arial"/>
              </w:rPr>
            </w:pPr>
            <w:r w:rsidRPr="00B67B07">
              <w:rPr>
                <w:rFonts w:ascii="Arial" w:hAnsi="Arial" w:cs="Arial"/>
              </w:rPr>
              <w:t>13.32 ± 12.14</w:t>
            </w:r>
          </w:p>
        </w:tc>
        <w:tc>
          <w:tcPr>
            <w:tcW w:w="1530" w:type="dxa"/>
            <w:vAlign w:val="center"/>
          </w:tcPr>
          <w:p w14:paraId="678DD1EF" w14:textId="77777777" w:rsidR="00B7687A" w:rsidRPr="00B67B07" w:rsidRDefault="00B7687A" w:rsidP="00273016">
            <w:pPr>
              <w:jc w:val="center"/>
              <w:rPr>
                <w:rFonts w:ascii="Arial" w:hAnsi="Arial" w:cs="Arial"/>
              </w:rPr>
            </w:pPr>
            <w:r w:rsidRPr="00B67B07">
              <w:rPr>
                <w:rFonts w:ascii="Arial" w:hAnsi="Arial" w:cs="Arial"/>
              </w:rPr>
              <w:t>11.09 ± 14.19</w:t>
            </w:r>
          </w:p>
        </w:tc>
        <w:tc>
          <w:tcPr>
            <w:tcW w:w="820" w:type="dxa"/>
            <w:vAlign w:val="center"/>
          </w:tcPr>
          <w:p w14:paraId="46BBB08A" w14:textId="77777777" w:rsidR="00B7687A" w:rsidRPr="00B67B07" w:rsidRDefault="00B7687A" w:rsidP="00273016">
            <w:pPr>
              <w:jc w:val="center"/>
              <w:rPr>
                <w:rFonts w:ascii="Arial" w:hAnsi="Arial" w:cs="Arial"/>
              </w:rPr>
            </w:pPr>
            <w:r w:rsidRPr="00B67B07">
              <w:rPr>
                <w:rFonts w:ascii="Arial" w:hAnsi="Arial" w:cs="Arial"/>
              </w:rPr>
              <w:t>0.38</w:t>
            </w:r>
          </w:p>
        </w:tc>
        <w:tc>
          <w:tcPr>
            <w:tcW w:w="1246" w:type="dxa"/>
            <w:vAlign w:val="center"/>
          </w:tcPr>
          <w:p w14:paraId="29707B7F" w14:textId="77777777" w:rsidR="00B7687A" w:rsidRPr="00B67B07" w:rsidRDefault="00B7687A" w:rsidP="00273016">
            <w:pPr>
              <w:jc w:val="center"/>
              <w:rPr>
                <w:rFonts w:ascii="Arial" w:hAnsi="Arial" w:cs="Arial"/>
              </w:rPr>
            </w:pPr>
            <w:r w:rsidRPr="00B67B07">
              <w:rPr>
                <w:rFonts w:ascii="Arial" w:hAnsi="Arial" w:cs="Arial"/>
              </w:rPr>
              <w:t>0.705</w:t>
            </w:r>
          </w:p>
        </w:tc>
        <w:tc>
          <w:tcPr>
            <w:tcW w:w="1231" w:type="dxa"/>
            <w:vAlign w:val="center"/>
          </w:tcPr>
          <w:p w14:paraId="5B3E770D" w14:textId="77777777" w:rsidR="00B7687A" w:rsidRPr="00B67B07" w:rsidRDefault="00B7687A" w:rsidP="00273016">
            <w:pPr>
              <w:jc w:val="center"/>
              <w:rPr>
                <w:rFonts w:ascii="Arial" w:hAnsi="Arial" w:cs="Arial"/>
              </w:rPr>
            </w:pPr>
            <w:r w:rsidRPr="00B67B07">
              <w:rPr>
                <w:rFonts w:ascii="Arial" w:hAnsi="Arial" w:cs="Arial"/>
              </w:rPr>
              <w:t>NS</w:t>
            </w:r>
          </w:p>
        </w:tc>
      </w:tr>
    </w:tbl>
    <w:p w14:paraId="393D2AEF" w14:textId="4D04579C" w:rsidR="00B7687A" w:rsidRPr="00B67B07" w:rsidRDefault="00B7687A" w:rsidP="00401964">
      <w:pPr>
        <w:pStyle w:val="Body"/>
        <w:spacing w:after="0"/>
        <w:rPr>
          <w:rFonts w:ascii="Arial" w:hAnsi="Arial" w:cs="Arial"/>
        </w:rPr>
      </w:pPr>
      <w:r w:rsidRPr="00FB07B3">
        <w:rPr>
          <w:rFonts w:ascii="Arial" w:hAnsi="Arial" w:cs="Arial"/>
        </w:rPr>
        <w:t>K</w:t>
      </w:r>
      <w:r w:rsidR="00FB07B3" w:rsidRPr="00FB07B3">
        <w:rPr>
          <w:rFonts w:ascii="Arial" w:hAnsi="Arial" w:cs="Arial"/>
        </w:rPr>
        <w:t>ey</w:t>
      </w:r>
      <w:r w:rsidRPr="00B67B07">
        <w:rPr>
          <w:rFonts w:ascii="Arial" w:hAnsi="Arial" w:cs="Arial"/>
          <w:b/>
          <w:bCs/>
        </w:rPr>
        <w:t>:</w:t>
      </w:r>
      <w:r w:rsidRPr="00B67B07">
        <w:rPr>
          <w:rFonts w:ascii="Arial" w:hAnsi="Arial" w:cs="Arial"/>
        </w:rPr>
        <w:t xml:space="preserve"> LH = Luteinizing Hormone; SS = Statistically Significant (p &lt; 0.05); NS = Not Significant (p &gt; 0.05). Values are expressed as Mean ± Standard Deviation</w:t>
      </w:r>
    </w:p>
    <w:p w14:paraId="5FD1D617" w14:textId="77777777" w:rsidR="00B7687A" w:rsidRPr="00B67B07" w:rsidRDefault="00B7687A" w:rsidP="00401964">
      <w:pPr>
        <w:pStyle w:val="Body"/>
        <w:spacing w:after="0"/>
        <w:rPr>
          <w:rFonts w:ascii="Arial" w:hAnsi="Arial" w:cs="Arial"/>
        </w:rPr>
      </w:pPr>
    </w:p>
    <w:p w14:paraId="05639EE7" w14:textId="5CBE2274" w:rsidR="00B7687A" w:rsidRPr="00B67B07" w:rsidRDefault="00B7687A" w:rsidP="00B7687A">
      <w:pPr>
        <w:jc w:val="both"/>
        <w:rPr>
          <w:rFonts w:ascii="Arial" w:hAnsi="Arial" w:cs="Arial"/>
        </w:rPr>
      </w:pPr>
      <w:bookmarkStart w:id="15" w:name="_GoBack"/>
      <w:r w:rsidRPr="00B67B07">
        <w:rPr>
          <w:rFonts w:ascii="Arial" w:hAnsi="Arial" w:cs="Arial"/>
          <w:b/>
          <w:bCs/>
        </w:rPr>
        <w:t>Table</w:t>
      </w:r>
      <w:bookmarkEnd w:id="15"/>
      <w:r w:rsidRPr="00B67B07">
        <w:rPr>
          <w:rFonts w:ascii="Arial" w:hAnsi="Arial" w:cs="Arial"/>
          <w:b/>
          <w:bCs/>
        </w:rPr>
        <w:t xml:space="preserve"> 7: Correlation Between Serum Phosphate and Luteinizing Hormone (LH) Among HIV-positive Patients on ART</w:t>
      </w:r>
    </w:p>
    <w:tbl>
      <w:tblPr>
        <w:tblW w:w="8364" w:type="dxa"/>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3232"/>
        <w:gridCol w:w="3233"/>
        <w:gridCol w:w="1090"/>
        <w:gridCol w:w="809"/>
      </w:tblGrid>
      <w:tr w:rsidR="00B7687A" w:rsidRPr="00B67B07" w14:paraId="598BA37F" w14:textId="77777777" w:rsidTr="00A640E6">
        <w:trPr>
          <w:trHeight w:val="204"/>
          <w:tblHeader/>
          <w:tblCellSpacing w:w="15" w:type="dxa"/>
        </w:trPr>
        <w:tc>
          <w:tcPr>
            <w:tcW w:w="0" w:type="auto"/>
            <w:vAlign w:val="center"/>
          </w:tcPr>
          <w:p w14:paraId="59D3BEF6" w14:textId="77777777" w:rsidR="00B7687A" w:rsidRPr="00B67B07" w:rsidRDefault="00B7687A" w:rsidP="00273016">
            <w:pPr>
              <w:rPr>
                <w:rFonts w:ascii="Arial" w:hAnsi="Arial" w:cs="Arial"/>
                <w:b/>
                <w:bCs/>
              </w:rPr>
            </w:pPr>
            <w:r w:rsidRPr="00B67B07">
              <w:rPr>
                <w:rFonts w:ascii="Arial" w:hAnsi="Arial" w:cs="Arial"/>
                <w:b/>
                <w:bCs/>
              </w:rPr>
              <w:lastRenderedPageBreak/>
              <w:t>Variables</w:t>
            </w:r>
          </w:p>
        </w:tc>
        <w:tc>
          <w:tcPr>
            <w:tcW w:w="0" w:type="auto"/>
            <w:vAlign w:val="center"/>
          </w:tcPr>
          <w:p w14:paraId="2B51C24E" w14:textId="77777777" w:rsidR="00B7687A" w:rsidRPr="00B67B07" w:rsidRDefault="00B7687A" w:rsidP="00273016">
            <w:pPr>
              <w:rPr>
                <w:rFonts w:ascii="Arial" w:hAnsi="Arial" w:cs="Arial"/>
                <w:b/>
                <w:bCs/>
              </w:rPr>
            </w:pPr>
            <w:r w:rsidRPr="00B67B07">
              <w:rPr>
                <w:rFonts w:ascii="Arial" w:hAnsi="Arial" w:cs="Arial"/>
                <w:b/>
                <w:bCs/>
              </w:rPr>
              <w:t>Pearson Correlation (r)</w:t>
            </w:r>
          </w:p>
        </w:tc>
        <w:tc>
          <w:tcPr>
            <w:tcW w:w="0" w:type="auto"/>
            <w:vAlign w:val="center"/>
          </w:tcPr>
          <w:p w14:paraId="7A97E321" w14:textId="77777777" w:rsidR="00B7687A" w:rsidRPr="00B67B07" w:rsidRDefault="00B7687A" w:rsidP="00273016">
            <w:pPr>
              <w:rPr>
                <w:rFonts w:ascii="Arial" w:hAnsi="Arial" w:cs="Arial"/>
                <w:b/>
                <w:bCs/>
              </w:rPr>
            </w:pPr>
            <w:r w:rsidRPr="00B67B07">
              <w:rPr>
                <w:rFonts w:ascii="Arial" w:hAnsi="Arial" w:cs="Arial"/>
                <w:b/>
                <w:bCs/>
              </w:rPr>
              <w:t>p-value</w:t>
            </w:r>
          </w:p>
        </w:tc>
        <w:tc>
          <w:tcPr>
            <w:tcW w:w="93" w:type="dxa"/>
            <w:vAlign w:val="center"/>
          </w:tcPr>
          <w:p w14:paraId="2FF15D0E" w14:textId="77777777" w:rsidR="00B7687A" w:rsidRPr="00B67B07" w:rsidRDefault="00B7687A" w:rsidP="00273016">
            <w:pPr>
              <w:rPr>
                <w:rFonts w:ascii="Arial" w:hAnsi="Arial" w:cs="Arial"/>
                <w:b/>
                <w:bCs/>
              </w:rPr>
            </w:pPr>
            <w:r w:rsidRPr="00B67B07">
              <w:rPr>
                <w:rFonts w:ascii="Arial" w:hAnsi="Arial" w:cs="Arial"/>
                <w:b/>
                <w:bCs/>
              </w:rPr>
              <w:t>Remark</w:t>
            </w:r>
          </w:p>
        </w:tc>
      </w:tr>
      <w:tr w:rsidR="00B7687A" w:rsidRPr="00B67B07" w14:paraId="1797C7EB" w14:textId="77777777" w:rsidTr="00A640E6">
        <w:trPr>
          <w:trHeight w:val="125"/>
          <w:tblCellSpacing w:w="15" w:type="dxa"/>
        </w:trPr>
        <w:tc>
          <w:tcPr>
            <w:tcW w:w="0" w:type="auto"/>
            <w:tcBorders>
              <w:top w:val="single" w:sz="4" w:space="0" w:color="auto"/>
              <w:bottom w:val="single" w:sz="4" w:space="0" w:color="auto"/>
            </w:tcBorders>
            <w:vAlign w:val="center"/>
          </w:tcPr>
          <w:p w14:paraId="5D0C2EEE" w14:textId="77777777" w:rsidR="00B7687A" w:rsidRPr="00B67B07" w:rsidRDefault="00B7687A" w:rsidP="00273016">
            <w:pPr>
              <w:rPr>
                <w:rFonts w:ascii="Arial" w:hAnsi="Arial" w:cs="Arial"/>
              </w:rPr>
            </w:pPr>
            <w:r w:rsidRPr="00B67B07">
              <w:rPr>
                <w:rFonts w:ascii="Arial" w:hAnsi="Arial" w:cs="Arial"/>
              </w:rPr>
              <w:t>Serum Phosphate vs LH</w:t>
            </w:r>
          </w:p>
        </w:tc>
        <w:tc>
          <w:tcPr>
            <w:tcW w:w="0" w:type="auto"/>
            <w:tcBorders>
              <w:top w:val="single" w:sz="4" w:space="0" w:color="auto"/>
              <w:bottom w:val="single" w:sz="4" w:space="0" w:color="auto"/>
            </w:tcBorders>
            <w:vAlign w:val="center"/>
          </w:tcPr>
          <w:p w14:paraId="37713A9A" w14:textId="77777777" w:rsidR="00B7687A" w:rsidRPr="00B67B07" w:rsidRDefault="00B7687A" w:rsidP="00273016">
            <w:pPr>
              <w:rPr>
                <w:rFonts w:ascii="Arial" w:hAnsi="Arial" w:cs="Arial"/>
              </w:rPr>
            </w:pPr>
            <w:r w:rsidRPr="00B67B07">
              <w:rPr>
                <w:rFonts w:ascii="Arial" w:hAnsi="Arial" w:cs="Arial"/>
              </w:rPr>
              <w:t>-0.156</w:t>
            </w:r>
          </w:p>
        </w:tc>
        <w:tc>
          <w:tcPr>
            <w:tcW w:w="0" w:type="auto"/>
            <w:tcBorders>
              <w:top w:val="single" w:sz="4" w:space="0" w:color="auto"/>
              <w:bottom w:val="single" w:sz="4" w:space="0" w:color="auto"/>
            </w:tcBorders>
            <w:vAlign w:val="center"/>
          </w:tcPr>
          <w:p w14:paraId="0DE1ED21" w14:textId="77777777" w:rsidR="00B7687A" w:rsidRPr="00B67B07" w:rsidRDefault="00B7687A" w:rsidP="00273016">
            <w:pPr>
              <w:rPr>
                <w:rFonts w:ascii="Arial" w:hAnsi="Arial" w:cs="Arial"/>
              </w:rPr>
            </w:pPr>
            <w:r w:rsidRPr="00B67B07">
              <w:rPr>
                <w:rFonts w:ascii="Arial" w:hAnsi="Arial" w:cs="Arial"/>
              </w:rPr>
              <w:t>0.455</w:t>
            </w:r>
          </w:p>
        </w:tc>
        <w:tc>
          <w:tcPr>
            <w:tcW w:w="93" w:type="dxa"/>
            <w:tcBorders>
              <w:top w:val="single" w:sz="4" w:space="0" w:color="auto"/>
              <w:bottom w:val="single" w:sz="4" w:space="0" w:color="auto"/>
            </w:tcBorders>
            <w:vAlign w:val="center"/>
          </w:tcPr>
          <w:p w14:paraId="2F52D3E5" w14:textId="77777777" w:rsidR="00B7687A" w:rsidRPr="00B67B07" w:rsidRDefault="00B7687A" w:rsidP="00273016">
            <w:pPr>
              <w:rPr>
                <w:rFonts w:ascii="Arial" w:hAnsi="Arial" w:cs="Arial"/>
              </w:rPr>
            </w:pPr>
            <w:r w:rsidRPr="00B67B07">
              <w:rPr>
                <w:rFonts w:ascii="Arial" w:hAnsi="Arial" w:cs="Arial"/>
              </w:rPr>
              <w:t>NS</w:t>
            </w:r>
          </w:p>
        </w:tc>
      </w:tr>
    </w:tbl>
    <w:p w14:paraId="34DD400A" w14:textId="3E4D4A85" w:rsidR="00B7687A" w:rsidRPr="00FB07B3" w:rsidRDefault="00FB07B3" w:rsidP="00B7687A">
      <w:pPr>
        <w:jc w:val="both"/>
        <w:rPr>
          <w:rFonts w:ascii="Arial" w:hAnsi="Arial" w:cs="Arial"/>
          <w:i/>
          <w:iCs/>
        </w:rPr>
      </w:pPr>
      <w:r w:rsidRPr="00FB07B3">
        <w:rPr>
          <w:rFonts w:ascii="Arial" w:hAnsi="Arial" w:cs="Arial"/>
          <w:i/>
          <w:iCs/>
        </w:rPr>
        <w:t xml:space="preserve">Key: </w:t>
      </w:r>
      <w:r w:rsidR="00B7687A" w:rsidRPr="00FB07B3">
        <w:rPr>
          <w:rFonts w:ascii="Arial" w:hAnsi="Arial" w:cs="Arial"/>
          <w:i/>
          <w:iCs/>
        </w:rPr>
        <w:t>LH = Luteinizing Hormone; NS = Not Significant (p &gt; 0.05). Values are expressed as Mean ± Standard Deviation. A negative correlation (r = -0.156) indicates an inverse but statistically non-significant relationship between serum phosphate and LH levels among HIV-positive patients on ART.</w:t>
      </w:r>
    </w:p>
    <w:p w14:paraId="771E46CD" w14:textId="77777777" w:rsidR="00B7687A" w:rsidRDefault="00B7687A" w:rsidP="00401964">
      <w:pPr>
        <w:pStyle w:val="Body"/>
        <w:spacing w:after="0"/>
        <w:rPr>
          <w:rFonts w:ascii="Arial" w:hAnsi="Arial" w:cs="Arial"/>
        </w:rPr>
      </w:pPr>
    </w:p>
    <w:p w14:paraId="4F5BB486" w14:textId="77777777" w:rsidR="00790ADA" w:rsidRDefault="00790ADA" w:rsidP="00441B6F">
      <w:pPr>
        <w:pStyle w:val="Body"/>
        <w:spacing w:after="0"/>
        <w:rPr>
          <w:rFonts w:ascii="Arial" w:hAnsi="Arial" w:cs="Arial"/>
        </w:rPr>
      </w:pPr>
    </w:p>
    <w:p w14:paraId="79C3BE23" w14:textId="5D66838A" w:rsidR="00B7687A" w:rsidRPr="00B7687A" w:rsidRDefault="00B7687A" w:rsidP="00B7687A">
      <w:pPr>
        <w:pStyle w:val="Body"/>
        <w:rPr>
          <w:rFonts w:ascii="Arial" w:hAnsi="Arial" w:cs="Arial"/>
        </w:rPr>
      </w:pPr>
      <w:r w:rsidRPr="00B7687A">
        <w:rPr>
          <w:rFonts w:ascii="Arial" w:hAnsi="Arial" w:cs="Arial"/>
        </w:rPr>
        <w:t>The study was carried out to assess serum phosphate and luteinizing hormone (LH) levels in HIV patients undergoing antiretroviral therapy (ART) in Rivers State University Teaching Hospital, Port Harcourt, Nigeria, with the aim of determining the relationship between these two parameters and their implications.  A critical factor noted during the study was that all patients in the HIV-positive cohort were receiving the same combination ART regimen: Zidovudine (AZT), Tenofovir Disoproxil Fumarate (TDF), Lamivudine (3TC), and Atazanavir (ATV). The inclusion of Tenofovir Disoproxil Fumarate (TDF) is of immediate and central importance. TDF is a nucleotide reverse transcriptase inhibitor (NRTI) that is highly effective but also widely recognized for its potential to induce nephrotoxicity. Specifically, it is strongly associated with renal tubular dysfunction, a condition that impairs the reabsorption of solutes, leading directly to the urinary wasting of phosphate and consequent hypophosphatemia</w:t>
      </w:r>
      <w:r w:rsidR="00CB2EEF">
        <w:rPr>
          <w:rFonts w:ascii="Arial" w:hAnsi="Arial" w:cs="Arial"/>
        </w:rPr>
        <w:t>.</w:t>
      </w:r>
    </w:p>
    <w:p w14:paraId="65622C7D" w14:textId="7327F513" w:rsidR="00B7687A" w:rsidRPr="00B7687A" w:rsidRDefault="00B7687A" w:rsidP="00B7687A">
      <w:pPr>
        <w:pStyle w:val="Body"/>
        <w:rPr>
          <w:rFonts w:ascii="Arial" w:hAnsi="Arial" w:cs="Arial"/>
        </w:rPr>
      </w:pPr>
      <w:r w:rsidRPr="00D018DF">
        <w:rPr>
          <w:rFonts w:ascii="Arial" w:hAnsi="Arial" w:cs="Arial"/>
          <w:highlight w:val="yellow"/>
        </w:rPr>
        <w:t>The study found that mean serum phosphate concentration was significantly lower in HIV-positive individuals compared to HIV-negative controls (p = 0.001</w:t>
      </w:r>
      <w:r w:rsidRPr="00B7687A">
        <w:rPr>
          <w:rFonts w:ascii="Arial" w:hAnsi="Arial" w:cs="Arial"/>
        </w:rPr>
        <w:t xml:space="preserve">).  This relative hypophosphatemia is cause almost certainly by the TDF component of the patients' ART regimen. The mechanism is well established: TDF can accumulate in the proximal renal tubular cells, causing mitochondrial toxicity and leading to proximal renal tubulopathy, or Fanconi-like </w:t>
      </w:r>
      <w:r w:rsidR="00FB07B3" w:rsidRPr="00B7687A">
        <w:rPr>
          <w:rFonts w:ascii="Arial" w:hAnsi="Arial" w:cs="Arial"/>
        </w:rPr>
        <w:t xml:space="preserve">syndrome </w:t>
      </w:r>
      <w:r w:rsidR="00006699" w:rsidRPr="00006699">
        <w:rPr>
          <w:rFonts w:ascii="Arial" w:hAnsi="Arial" w:cs="Arial"/>
        </w:rPr>
        <w:t>[</w:t>
      </w:r>
      <w:r w:rsidR="00CB2EEF">
        <w:rPr>
          <w:rFonts w:ascii="Arial" w:hAnsi="Arial" w:cs="Arial"/>
        </w:rPr>
        <w:t>21</w:t>
      </w:r>
      <w:r w:rsidR="00006699" w:rsidRPr="00006699">
        <w:rPr>
          <w:rFonts w:ascii="Arial" w:hAnsi="Arial" w:cs="Arial"/>
        </w:rPr>
        <w:t>]</w:t>
      </w:r>
      <w:r w:rsidRPr="00B7687A">
        <w:rPr>
          <w:rFonts w:ascii="Arial" w:hAnsi="Arial" w:cs="Arial"/>
        </w:rPr>
        <w:t xml:space="preserve">. This dysfunction impairs the kidney's ability to reabsorb essential solutes, including glucose, amino acids, and, most notably, phosphate. </w:t>
      </w:r>
    </w:p>
    <w:p w14:paraId="118B2FE7" w14:textId="02C32B5A" w:rsidR="00B7687A" w:rsidRPr="00B7687A" w:rsidRDefault="00B7687A" w:rsidP="00B7687A">
      <w:pPr>
        <w:pStyle w:val="Body"/>
        <w:rPr>
          <w:rFonts w:ascii="Arial" w:hAnsi="Arial" w:cs="Arial"/>
        </w:rPr>
      </w:pPr>
      <w:r w:rsidRPr="00B7687A">
        <w:rPr>
          <w:rFonts w:ascii="Arial" w:hAnsi="Arial" w:cs="Arial"/>
        </w:rPr>
        <w:t xml:space="preserve">This is consistent with several previous studies reporting hypophosphatemia as a frequent metabolic abnormality in HIV patients undergoing ART </w:t>
      </w:r>
      <w:r w:rsidR="00006699" w:rsidRPr="00006699">
        <w:rPr>
          <w:rFonts w:ascii="Arial" w:hAnsi="Arial" w:cs="Arial"/>
        </w:rPr>
        <w:t>[</w:t>
      </w:r>
      <w:r w:rsidR="00CB2EEF">
        <w:rPr>
          <w:rFonts w:ascii="Arial" w:hAnsi="Arial" w:cs="Arial"/>
        </w:rPr>
        <w:t>21,22</w:t>
      </w:r>
      <w:r w:rsidR="00006699" w:rsidRPr="00006699">
        <w:rPr>
          <w:rFonts w:ascii="Arial" w:hAnsi="Arial" w:cs="Arial"/>
        </w:rPr>
        <w:t>]</w:t>
      </w:r>
      <w:r w:rsidRPr="00B7687A">
        <w:rPr>
          <w:rFonts w:ascii="Arial" w:hAnsi="Arial" w:cs="Arial"/>
        </w:rPr>
        <w:t xml:space="preserve">. The reduction in serum phosphate can be attributed to renal phosphate </w:t>
      </w:r>
      <w:r w:rsidR="00CB2EEF" w:rsidRPr="00B7687A">
        <w:rPr>
          <w:rFonts w:ascii="Arial" w:hAnsi="Arial" w:cs="Arial"/>
        </w:rPr>
        <w:t>waste</w:t>
      </w:r>
      <w:r w:rsidRPr="00B7687A">
        <w:rPr>
          <w:rFonts w:ascii="Arial" w:hAnsi="Arial" w:cs="Arial"/>
        </w:rPr>
        <w:t xml:space="preserve">, also often associated with tenofovir disoproxil fumarate (TDF) based regimens, which impair proximal tubular reabsorption </w:t>
      </w:r>
      <w:r w:rsidR="00FD002B" w:rsidRPr="00006699">
        <w:rPr>
          <w:rFonts w:ascii="Arial" w:hAnsi="Arial" w:cs="Arial"/>
        </w:rPr>
        <w:t>[</w:t>
      </w:r>
      <w:r w:rsidR="00CB2EEF">
        <w:rPr>
          <w:rFonts w:ascii="Arial" w:hAnsi="Arial" w:cs="Arial"/>
        </w:rPr>
        <w:t>23</w:t>
      </w:r>
      <w:r w:rsidR="00FD002B" w:rsidRPr="00006699">
        <w:rPr>
          <w:rFonts w:ascii="Arial" w:hAnsi="Arial" w:cs="Arial"/>
        </w:rPr>
        <w:t>]</w:t>
      </w:r>
      <w:r w:rsidRPr="00B7687A">
        <w:rPr>
          <w:rFonts w:ascii="Arial" w:hAnsi="Arial" w:cs="Arial"/>
        </w:rPr>
        <w:t>. Tenofovir-induced renal tubular dysfunction leads to phosphate leakage and decreased serum levels, which may predispose patients to osteomalacia, bone mineral density loss, and muscular weakness</w:t>
      </w:r>
      <w:r w:rsidR="00CB2EEF">
        <w:rPr>
          <w:rFonts w:ascii="Arial" w:hAnsi="Arial" w:cs="Arial"/>
        </w:rPr>
        <w:t xml:space="preserve"> </w:t>
      </w:r>
      <w:r w:rsidR="00FD002B" w:rsidRPr="00006699">
        <w:rPr>
          <w:rFonts w:ascii="Arial" w:hAnsi="Arial" w:cs="Arial"/>
        </w:rPr>
        <w:t>[</w:t>
      </w:r>
      <w:r w:rsidR="00CB2EEF">
        <w:rPr>
          <w:rFonts w:ascii="Arial" w:hAnsi="Arial" w:cs="Arial"/>
        </w:rPr>
        <w:t>24,25</w:t>
      </w:r>
      <w:r w:rsidR="00FD002B" w:rsidRPr="00006699">
        <w:rPr>
          <w:rFonts w:ascii="Arial" w:hAnsi="Arial" w:cs="Arial"/>
        </w:rPr>
        <w:t>]</w:t>
      </w:r>
      <w:r w:rsidRPr="00B7687A">
        <w:rPr>
          <w:rFonts w:ascii="Arial" w:hAnsi="Arial" w:cs="Arial"/>
        </w:rPr>
        <w:t xml:space="preserve">. Similarly, studies conducted in sub-Saharan Africa have demonstrated comparable patterns. A </w:t>
      </w:r>
      <w:r w:rsidR="00FB07B3" w:rsidRPr="00B7687A">
        <w:rPr>
          <w:rFonts w:ascii="Arial" w:hAnsi="Arial" w:cs="Arial"/>
        </w:rPr>
        <w:t>study reported</w:t>
      </w:r>
      <w:r w:rsidRPr="00B7687A">
        <w:rPr>
          <w:rFonts w:ascii="Arial" w:hAnsi="Arial" w:cs="Arial"/>
        </w:rPr>
        <w:t xml:space="preserve"> significantly reduced serum phosphate among TDF-treated HIV patients relative to non-TDF users</w:t>
      </w:r>
      <w:r w:rsidR="00FD002B" w:rsidRPr="00FD002B">
        <w:rPr>
          <w:rFonts w:ascii="Arial" w:hAnsi="Arial" w:cs="Arial"/>
        </w:rPr>
        <w:t xml:space="preserve"> </w:t>
      </w:r>
      <w:r w:rsidR="00FD002B" w:rsidRPr="00006699">
        <w:rPr>
          <w:rFonts w:ascii="Arial" w:hAnsi="Arial" w:cs="Arial"/>
        </w:rPr>
        <w:t>[</w:t>
      </w:r>
      <w:r w:rsidR="00CB2EEF">
        <w:rPr>
          <w:rFonts w:ascii="Arial" w:hAnsi="Arial" w:cs="Arial"/>
        </w:rPr>
        <w:t>26</w:t>
      </w:r>
      <w:r w:rsidR="00FD002B" w:rsidRPr="00006699">
        <w:rPr>
          <w:rFonts w:ascii="Arial" w:hAnsi="Arial" w:cs="Arial"/>
        </w:rPr>
        <w:t>]</w:t>
      </w:r>
      <w:r w:rsidRPr="00B7687A">
        <w:rPr>
          <w:rFonts w:ascii="Arial" w:hAnsi="Arial" w:cs="Arial"/>
        </w:rPr>
        <w:t>. It causes chronic hypophosphatemia, even when mild</w:t>
      </w:r>
      <w:r w:rsidR="00FB07B3" w:rsidRPr="00B7687A">
        <w:rPr>
          <w:rFonts w:ascii="Arial" w:hAnsi="Arial" w:cs="Arial"/>
        </w:rPr>
        <w:t>, and is</w:t>
      </w:r>
      <w:r w:rsidRPr="00B7687A">
        <w:rPr>
          <w:rFonts w:ascii="Arial" w:hAnsi="Arial" w:cs="Arial"/>
        </w:rPr>
        <w:t xml:space="preserve"> a primary driver of metabolic bone disease. It disrupts normal bone mineralization, leading to conditions like osteomalacia and osteoporosis </w:t>
      </w:r>
      <w:r w:rsidR="00FD002B" w:rsidRPr="00006699">
        <w:rPr>
          <w:rFonts w:ascii="Arial" w:hAnsi="Arial" w:cs="Arial"/>
        </w:rPr>
        <w:t>[</w:t>
      </w:r>
      <w:r w:rsidR="00CB2EEF">
        <w:rPr>
          <w:rFonts w:ascii="Arial" w:hAnsi="Arial" w:cs="Arial"/>
        </w:rPr>
        <w:t>24</w:t>
      </w:r>
      <w:r w:rsidR="00FD002B" w:rsidRPr="00006699">
        <w:rPr>
          <w:rFonts w:ascii="Arial" w:hAnsi="Arial" w:cs="Arial"/>
        </w:rPr>
        <w:t>]</w:t>
      </w:r>
      <w:r w:rsidRPr="00B7687A">
        <w:rPr>
          <w:rFonts w:ascii="Arial" w:hAnsi="Arial" w:cs="Arial"/>
        </w:rPr>
        <w:t xml:space="preserve">. This significantly elevates the long-term risk of fragility fractures, a major source of morbidity and reduced quality of life in the aging HIV population </w:t>
      </w:r>
      <w:r w:rsidR="00CB2EEF" w:rsidRPr="00006699">
        <w:rPr>
          <w:rFonts w:ascii="Arial" w:hAnsi="Arial" w:cs="Arial"/>
        </w:rPr>
        <w:t>[</w:t>
      </w:r>
      <w:r w:rsidR="00CB2EEF">
        <w:rPr>
          <w:rFonts w:ascii="Arial" w:hAnsi="Arial" w:cs="Arial"/>
        </w:rPr>
        <w:t>21</w:t>
      </w:r>
      <w:r w:rsidR="00CB2EEF" w:rsidRPr="00006699">
        <w:rPr>
          <w:rFonts w:ascii="Arial" w:hAnsi="Arial" w:cs="Arial"/>
        </w:rPr>
        <w:t>]</w:t>
      </w:r>
      <w:r w:rsidRPr="00B7687A">
        <w:rPr>
          <w:rFonts w:ascii="Arial" w:hAnsi="Arial" w:cs="Arial"/>
        </w:rPr>
        <w:t xml:space="preserve">. This </w:t>
      </w:r>
      <w:r w:rsidR="00FB07B3" w:rsidRPr="00B7687A">
        <w:rPr>
          <w:rFonts w:ascii="Arial" w:hAnsi="Arial" w:cs="Arial"/>
        </w:rPr>
        <w:t>affirms</w:t>
      </w:r>
      <w:r w:rsidRPr="00B7687A">
        <w:rPr>
          <w:rFonts w:ascii="Arial" w:hAnsi="Arial" w:cs="Arial"/>
        </w:rPr>
        <w:t xml:space="preserve"> the hypothesis that serum phosphate levels are significantly altered in HIV positive individuals on ART.</w:t>
      </w:r>
    </w:p>
    <w:p w14:paraId="23B973FC" w14:textId="000F6690" w:rsidR="00B7687A" w:rsidRPr="00B7687A" w:rsidRDefault="00B7687A" w:rsidP="00B7687A">
      <w:pPr>
        <w:pStyle w:val="Body"/>
        <w:rPr>
          <w:rFonts w:ascii="Arial" w:hAnsi="Arial" w:cs="Arial"/>
        </w:rPr>
      </w:pPr>
      <w:r w:rsidRPr="0094664C">
        <w:rPr>
          <w:rFonts w:ascii="Arial" w:hAnsi="Arial" w:cs="Arial"/>
          <w:highlight w:val="yellow"/>
        </w:rPr>
        <w:t xml:space="preserve">In contrast to serum phosphate, the mean serum LH levels </w:t>
      </w:r>
      <w:r w:rsidR="00FB07B3" w:rsidRPr="0094664C">
        <w:rPr>
          <w:rFonts w:ascii="Arial" w:hAnsi="Arial" w:cs="Arial"/>
          <w:highlight w:val="yellow"/>
        </w:rPr>
        <w:t>were</w:t>
      </w:r>
      <w:r w:rsidRPr="0094664C">
        <w:rPr>
          <w:rFonts w:ascii="Arial" w:hAnsi="Arial" w:cs="Arial"/>
          <w:highlight w:val="yellow"/>
        </w:rPr>
        <w:t xml:space="preserve"> slightly higher in HIV-positive participants than in HIV-negative subjects</w:t>
      </w:r>
      <w:r w:rsidR="0094664C" w:rsidRPr="0094664C">
        <w:rPr>
          <w:rFonts w:ascii="Arial" w:hAnsi="Arial" w:cs="Arial"/>
          <w:highlight w:val="yellow"/>
        </w:rPr>
        <w:t>, however,</w:t>
      </w:r>
      <w:r w:rsidRPr="0094664C">
        <w:rPr>
          <w:rFonts w:ascii="Arial" w:hAnsi="Arial" w:cs="Arial"/>
          <w:highlight w:val="yellow"/>
        </w:rPr>
        <w:t xml:space="preserve"> the difference was</w:t>
      </w:r>
      <w:r w:rsidRPr="00B7687A">
        <w:rPr>
          <w:rFonts w:ascii="Arial" w:hAnsi="Arial" w:cs="Arial"/>
        </w:rPr>
        <w:t xml:space="preserve"> not statistically significant (p = 0.726). </w:t>
      </w:r>
      <w:r w:rsidRPr="00D018DF">
        <w:rPr>
          <w:rFonts w:ascii="Arial" w:hAnsi="Arial" w:cs="Arial"/>
          <w:highlight w:val="yellow"/>
        </w:rPr>
        <w:t>This suggests that overall gonadotropic function was not markedly impaired across the study population. However, within the HIV-positive cohort, gender-specific patterns emerged. Female participants recorded significantly higher LH concentrations than their male counterparts (p = 0.001).</w:t>
      </w:r>
      <w:r w:rsidRPr="00B7687A">
        <w:rPr>
          <w:rFonts w:ascii="Arial" w:hAnsi="Arial" w:cs="Arial"/>
        </w:rPr>
        <w:t xml:space="preserve"> This disparity aligns with the established physiological roles of LH in ovarian steroidogenesis and follicular maturation in women, as well as reports </w:t>
      </w:r>
      <w:r w:rsidRPr="00B7687A">
        <w:rPr>
          <w:rFonts w:ascii="Arial" w:hAnsi="Arial" w:cs="Arial"/>
        </w:rPr>
        <w:lastRenderedPageBreak/>
        <w:t xml:space="preserve">that HIV infection may alter hypothalamic–pituitary–gonadal (HPG) axis function differently in each sex </w:t>
      </w:r>
      <w:r w:rsidR="00FD002B" w:rsidRPr="00006699">
        <w:rPr>
          <w:rFonts w:ascii="Arial" w:hAnsi="Arial" w:cs="Arial"/>
        </w:rPr>
        <w:t>[</w:t>
      </w:r>
      <w:r w:rsidR="001C683C">
        <w:rPr>
          <w:rFonts w:ascii="Arial" w:hAnsi="Arial" w:cs="Arial"/>
        </w:rPr>
        <w:t>27,28</w:t>
      </w:r>
      <w:r w:rsidR="00FD002B" w:rsidRPr="00006699">
        <w:rPr>
          <w:rFonts w:ascii="Arial" w:hAnsi="Arial" w:cs="Arial"/>
        </w:rPr>
        <w:t>]</w:t>
      </w:r>
      <w:r w:rsidRPr="00B7687A">
        <w:rPr>
          <w:rFonts w:ascii="Arial" w:hAnsi="Arial" w:cs="Arial"/>
        </w:rPr>
        <w:t>.</w:t>
      </w:r>
    </w:p>
    <w:p w14:paraId="1CA34478" w14:textId="33C20E34" w:rsidR="00B7687A" w:rsidRPr="00B7687A" w:rsidRDefault="00B7687A" w:rsidP="00B7687A">
      <w:pPr>
        <w:pStyle w:val="Body"/>
        <w:rPr>
          <w:rFonts w:ascii="Arial" w:hAnsi="Arial" w:cs="Arial"/>
        </w:rPr>
      </w:pPr>
      <w:r w:rsidRPr="00B7687A">
        <w:rPr>
          <w:rFonts w:ascii="Arial" w:hAnsi="Arial" w:cs="Arial"/>
        </w:rPr>
        <w:t xml:space="preserve">In men, low LH levels may reflect secondary hypogonadism, often seen in chronic HIV infection and associated with factors such as prolonged illness, weight loss, and ART-related endocrine disruption </w:t>
      </w:r>
      <w:r w:rsidR="00FD002B" w:rsidRPr="00006699">
        <w:rPr>
          <w:rFonts w:ascii="Arial" w:hAnsi="Arial" w:cs="Arial"/>
        </w:rPr>
        <w:t>[</w:t>
      </w:r>
      <w:r w:rsidR="001C683C">
        <w:rPr>
          <w:rFonts w:ascii="Arial" w:hAnsi="Arial" w:cs="Arial"/>
        </w:rPr>
        <w:t>29</w:t>
      </w:r>
      <w:r w:rsidR="00FD002B" w:rsidRPr="00006699">
        <w:rPr>
          <w:rFonts w:ascii="Arial" w:hAnsi="Arial" w:cs="Arial"/>
        </w:rPr>
        <w:t>]</w:t>
      </w:r>
      <w:r w:rsidRPr="00B7687A">
        <w:rPr>
          <w:rFonts w:ascii="Arial" w:hAnsi="Arial" w:cs="Arial"/>
        </w:rPr>
        <w:t xml:space="preserve">. Conversely, elevated LH in women could indicate compensatory pituitary stimulation in response to reduced ovarian responsiveness or early ovarian insufficiency induced by HIV or ART exposure </w:t>
      </w:r>
      <w:r w:rsidR="00FD002B" w:rsidRPr="00006699">
        <w:rPr>
          <w:rFonts w:ascii="Arial" w:hAnsi="Arial" w:cs="Arial"/>
        </w:rPr>
        <w:t>[</w:t>
      </w:r>
      <w:r w:rsidR="001C683C">
        <w:rPr>
          <w:rFonts w:ascii="Arial" w:hAnsi="Arial" w:cs="Arial"/>
        </w:rPr>
        <w:t>30</w:t>
      </w:r>
      <w:r w:rsidR="00FD002B" w:rsidRPr="00006699">
        <w:rPr>
          <w:rFonts w:ascii="Arial" w:hAnsi="Arial" w:cs="Arial"/>
        </w:rPr>
        <w:t>]</w:t>
      </w:r>
      <w:r w:rsidRPr="00B7687A">
        <w:rPr>
          <w:rFonts w:ascii="Arial" w:hAnsi="Arial" w:cs="Arial"/>
        </w:rPr>
        <w:t xml:space="preserve">. These hormonal perturbations mirror causes a disrupted reproductive hormone balance among HIV-positive women of reproductive age, attributing such changes to immune endocrine </w:t>
      </w:r>
      <w:r w:rsidR="00FD002B" w:rsidRPr="00006699">
        <w:rPr>
          <w:rFonts w:ascii="Arial" w:hAnsi="Arial" w:cs="Arial"/>
        </w:rPr>
        <w:t>[</w:t>
      </w:r>
      <w:r w:rsidR="001C683C">
        <w:rPr>
          <w:rFonts w:ascii="Arial" w:hAnsi="Arial" w:cs="Arial"/>
        </w:rPr>
        <w:t>15,31,32</w:t>
      </w:r>
      <w:r w:rsidR="00FD002B" w:rsidRPr="00006699">
        <w:rPr>
          <w:rFonts w:ascii="Arial" w:hAnsi="Arial" w:cs="Arial"/>
        </w:rPr>
        <w:t>]</w:t>
      </w:r>
      <w:r w:rsidR="00FD002B">
        <w:rPr>
          <w:rFonts w:ascii="Arial" w:hAnsi="Arial" w:cs="Arial"/>
        </w:rPr>
        <w:t>.</w:t>
      </w:r>
    </w:p>
    <w:p w14:paraId="3E8672BB" w14:textId="3B331C1A" w:rsidR="00B7687A" w:rsidRPr="00B7687A" w:rsidRDefault="00B7687A" w:rsidP="00B7687A">
      <w:pPr>
        <w:pStyle w:val="Body"/>
        <w:rPr>
          <w:rFonts w:ascii="Arial" w:hAnsi="Arial" w:cs="Arial"/>
        </w:rPr>
      </w:pPr>
      <w:r w:rsidRPr="004A7FDD">
        <w:rPr>
          <w:rFonts w:ascii="Arial" w:hAnsi="Arial" w:cs="Arial"/>
          <w:highlight w:val="yellow"/>
        </w:rPr>
        <w:t xml:space="preserve">The analysis by age revealed significant differences for both analytes. Serum phosphate levels were highest among participants aged 33-47 years and lowest in those aged 18–32 years (p = 0.008). This trend is consistent with prior observations that younger HIV patients on prolonged ART often experience greater renal tubular phosphate loss due to higher metabolic activity and longer drug exposure </w:t>
      </w:r>
      <w:r w:rsidR="00FD002B" w:rsidRPr="004A7FDD">
        <w:rPr>
          <w:rFonts w:ascii="Arial" w:hAnsi="Arial" w:cs="Arial"/>
          <w:highlight w:val="yellow"/>
        </w:rPr>
        <w:t>[</w:t>
      </w:r>
      <w:r w:rsidR="002B56E9" w:rsidRPr="004A7FDD">
        <w:rPr>
          <w:rFonts w:ascii="Arial" w:hAnsi="Arial" w:cs="Arial"/>
          <w:highlight w:val="yellow"/>
        </w:rPr>
        <w:t>17,33</w:t>
      </w:r>
      <w:r w:rsidR="00FD002B" w:rsidRPr="004A7FDD">
        <w:rPr>
          <w:rFonts w:ascii="Arial" w:hAnsi="Arial" w:cs="Arial"/>
          <w:highlight w:val="yellow"/>
        </w:rPr>
        <w:t>]</w:t>
      </w:r>
      <w:r w:rsidRPr="004A7FDD">
        <w:rPr>
          <w:rFonts w:ascii="Arial" w:hAnsi="Arial" w:cs="Arial"/>
          <w:highlight w:val="yellow"/>
        </w:rPr>
        <w:t>. In contrast, LH levels exhibited an inverse age trend (p = 0.001), declining progressively with increasing age. The youngest group (18-32 years) showed markedly higher LH</w:t>
      </w:r>
      <w:r w:rsidR="004A7FDD" w:rsidRPr="004A7FDD">
        <w:rPr>
          <w:rFonts w:ascii="Arial" w:hAnsi="Arial" w:cs="Arial"/>
          <w:highlight w:val="yellow"/>
        </w:rPr>
        <w:t xml:space="preserve">, </w:t>
      </w:r>
      <w:r w:rsidRPr="004A7FDD">
        <w:rPr>
          <w:rFonts w:ascii="Arial" w:hAnsi="Arial" w:cs="Arial"/>
          <w:highlight w:val="yellow"/>
        </w:rPr>
        <w:t>while the oldest group (48-62 years) had the lowest</w:t>
      </w:r>
      <w:r w:rsidR="004A7FDD" w:rsidRPr="004A7FDD">
        <w:rPr>
          <w:rFonts w:ascii="Arial" w:hAnsi="Arial" w:cs="Arial"/>
          <w:highlight w:val="yellow"/>
        </w:rPr>
        <w:t xml:space="preserve">. </w:t>
      </w:r>
      <w:r w:rsidRPr="004A7FDD">
        <w:rPr>
          <w:rFonts w:ascii="Arial" w:hAnsi="Arial" w:cs="Arial"/>
          <w:highlight w:val="yellow"/>
        </w:rPr>
        <w:t xml:space="preserve">Age-related decline in LH among HIV-positive adults may reflect progressive hypothalamic–pituitary axis suppression, chronic systemic inflammation, or the cumulative metabolic burden of ART </w:t>
      </w:r>
      <w:r w:rsidR="00FD002B" w:rsidRPr="004A7FDD">
        <w:rPr>
          <w:rFonts w:ascii="Arial" w:hAnsi="Arial" w:cs="Arial"/>
          <w:highlight w:val="yellow"/>
        </w:rPr>
        <w:t>[</w:t>
      </w:r>
      <w:r w:rsidR="002B56E9" w:rsidRPr="004A7FDD">
        <w:rPr>
          <w:rFonts w:ascii="Arial" w:hAnsi="Arial" w:cs="Arial"/>
          <w:highlight w:val="yellow"/>
        </w:rPr>
        <w:t>34,35</w:t>
      </w:r>
      <w:r w:rsidR="00FD002B" w:rsidRPr="004A7FDD">
        <w:rPr>
          <w:rFonts w:ascii="Arial" w:hAnsi="Arial" w:cs="Arial"/>
          <w:highlight w:val="yellow"/>
        </w:rPr>
        <w:t>]</w:t>
      </w:r>
      <w:r w:rsidRPr="004A7FDD">
        <w:rPr>
          <w:rFonts w:ascii="Arial" w:hAnsi="Arial" w:cs="Arial"/>
          <w:highlight w:val="yellow"/>
        </w:rPr>
        <w:t xml:space="preserve">. They also align with previous reports that aging HIV patients exhibit altered gonadotropin dynamics, contributing to premature reproductive senescence and hypogonadism </w:t>
      </w:r>
      <w:r w:rsidR="00FD002B" w:rsidRPr="004A7FDD">
        <w:rPr>
          <w:rFonts w:ascii="Arial" w:hAnsi="Arial" w:cs="Arial"/>
          <w:highlight w:val="yellow"/>
        </w:rPr>
        <w:t>[</w:t>
      </w:r>
      <w:r w:rsidR="002B56E9" w:rsidRPr="004A7FDD">
        <w:rPr>
          <w:rFonts w:ascii="Arial" w:hAnsi="Arial" w:cs="Arial"/>
          <w:highlight w:val="yellow"/>
        </w:rPr>
        <w:t>36,37</w:t>
      </w:r>
      <w:r w:rsidR="00FD002B" w:rsidRPr="004A7FDD">
        <w:rPr>
          <w:rFonts w:ascii="Arial" w:hAnsi="Arial" w:cs="Arial"/>
          <w:highlight w:val="yellow"/>
        </w:rPr>
        <w:t>]</w:t>
      </w:r>
      <w:r w:rsidRPr="004A7FDD">
        <w:rPr>
          <w:rFonts w:ascii="Arial" w:hAnsi="Arial" w:cs="Arial"/>
          <w:highlight w:val="yellow"/>
        </w:rPr>
        <w:t>.</w:t>
      </w:r>
    </w:p>
    <w:p w14:paraId="46EC402F" w14:textId="295E9F89" w:rsidR="00B7687A" w:rsidRPr="00B7687A" w:rsidRDefault="00B7687A" w:rsidP="00B7687A">
      <w:pPr>
        <w:pStyle w:val="Body"/>
        <w:rPr>
          <w:rFonts w:ascii="Arial" w:hAnsi="Arial" w:cs="Arial"/>
        </w:rPr>
      </w:pPr>
      <w:r w:rsidRPr="00B7687A">
        <w:rPr>
          <w:rFonts w:ascii="Arial" w:hAnsi="Arial" w:cs="Arial"/>
        </w:rPr>
        <w:t xml:space="preserve">Although this study primarily compared individual parameters, the inverse age-related behavior of phosphate </w:t>
      </w:r>
      <w:r w:rsidRPr="00A107A9">
        <w:rPr>
          <w:rFonts w:ascii="Arial" w:hAnsi="Arial" w:cs="Arial"/>
          <w:highlight w:val="yellow"/>
        </w:rPr>
        <w:t xml:space="preserve">and LH </w:t>
      </w:r>
      <w:r w:rsidR="00A107A9" w:rsidRPr="00A107A9">
        <w:rPr>
          <w:rFonts w:ascii="Arial" w:hAnsi="Arial" w:cs="Arial"/>
          <w:highlight w:val="yellow"/>
        </w:rPr>
        <w:t>may contribute to</w:t>
      </w:r>
      <w:r w:rsidRPr="00A107A9">
        <w:rPr>
          <w:rFonts w:ascii="Arial" w:hAnsi="Arial" w:cs="Arial"/>
          <w:highlight w:val="yellow"/>
        </w:rPr>
        <w:t xml:space="preserve"> potential physiological</w:t>
      </w:r>
      <w:r w:rsidRPr="00B7687A">
        <w:rPr>
          <w:rFonts w:ascii="Arial" w:hAnsi="Arial" w:cs="Arial"/>
        </w:rPr>
        <w:t xml:space="preserve"> interconnections. Phosphate metabolism and gonadal hormone regulation share regulatory links via energy homeostasis and vitamin D metabolism</w:t>
      </w:r>
      <w:r w:rsidR="00FD002B" w:rsidRPr="00FD002B">
        <w:rPr>
          <w:rFonts w:ascii="Arial" w:hAnsi="Arial" w:cs="Arial"/>
        </w:rPr>
        <w:t xml:space="preserve"> </w:t>
      </w:r>
      <w:r w:rsidR="00FD002B" w:rsidRPr="00006699">
        <w:rPr>
          <w:rFonts w:ascii="Arial" w:hAnsi="Arial" w:cs="Arial"/>
        </w:rPr>
        <w:t>[</w:t>
      </w:r>
      <w:r w:rsidR="002B56E9">
        <w:rPr>
          <w:rFonts w:ascii="Arial" w:hAnsi="Arial" w:cs="Arial"/>
        </w:rPr>
        <w:t>38</w:t>
      </w:r>
      <w:r w:rsidR="00FD002B" w:rsidRPr="00006699">
        <w:rPr>
          <w:rFonts w:ascii="Arial" w:hAnsi="Arial" w:cs="Arial"/>
        </w:rPr>
        <w:t>]</w:t>
      </w:r>
      <w:r w:rsidRPr="00B7687A">
        <w:rPr>
          <w:rFonts w:ascii="Arial" w:hAnsi="Arial" w:cs="Arial"/>
        </w:rPr>
        <w:t xml:space="preserve">. Hypophosphatemia, as observed here, may indirectly influence LH secretion through impaired energy signaling or altered feedback mechanisms within the HPG axis. Studies in both </w:t>
      </w:r>
      <w:r w:rsidR="00FB07B3" w:rsidRPr="00B7687A">
        <w:rPr>
          <w:rFonts w:ascii="Arial" w:hAnsi="Arial" w:cs="Arial"/>
        </w:rPr>
        <w:t>human</w:t>
      </w:r>
      <w:r w:rsidRPr="00B7687A">
        <w:rPr>
          <w:rFonts w:ascii="Arial" w:hAnsi="Arial" w:cs="Arial"/>
        </w:rPr>
        <w:t xml:space="preserve"> and animal models suggest that phosphate deficiency and metabolic acidosis can reduce gonadotropin synthesis by inhibiting pituitary responsiveness </w:t>
      </w:r>
      <w:r w:rsidR="00FD002B" w:rsidRPr="00006699">
        <w:rPr>
          <w:rFonts w:ascii="Arial" w:hAnsi="Arial" w:cs="Arial"/>
        </w:rPr>
        <w:t>[</w:t>
      </w:r>
      <w:r w:rsidR="00BC0D87">
        <w:rPr>
          <w:rFonts w:ascii="Arial" w:hAnsi="Arial" w:cs="Arial"/>
        </w:rPr>
        <w:t>39,40</w:t>
      </w:r>
      <w:r w:rsidR="00FD002B" w:rsidRPr="00006699">
        <w:rPr>
          <w:rFonts w:ascii="Arial" w:hAnsi="Arial" w:cs="Arial"/>
        </w:rPr>
        <w:t>]</w:t>
      </w:r>
      <w:r w:rsidRPr="00B7687A">
        <w:rPr>
          <w:rFonts w:ascii="Arial" w:hAnsi="Arial" w:cs="Arial"/>
        </w:rPr>
        <w:t>. Thus, the observed alterations, though not directly correlated, could reflect underlying systemic disruptions in metabolic-hormonal balance among ART-treated individuals.</w:t>
      </w:r>
    </w:p>
    <w:p w14:paraId="70671327" w14:textId="3DB0B30A" w:rsidR="00B7687A" w:rsidRPr="00B7687A" w:rsidRDefault="00B7687A" w:rsidP="00B7687A">
      <w:pPr>
        <w:pStyle w:val="Body"/>
        <w:rPr>
          <w:rFonts w:ascii="Arial" w:hAnsi="Arial" w:cs="Arial"/>
        </w:rPr>
      </w:pPr>
      <w:r w:rsidRPr="00B7687A">
        <w:rPr>
          <w:rFonts w:ascii="Arial" w:hAnsi="Arial" w:cs="Arial"/>
        </w:rPr>
        <w:t xml:space="preserve"> Pearson correlation analysis revealed a weak, negative, and statistically non-significant relationship (r = -0.156) between serum phosphate and Luteinizing Hormone levels among the HIV-positive patients (p = 0.455). The two </w:t>
      </w:r>
      <w:r w:rsidR="00FB07B3" w:rsidRPr="00B7687A">
        <w:rPr>
          <w:rFonts w:ascii="Arial" w:hAnsi="Arial" w:cs="Arial"/>
        </w:rPr>
        <w:t>systems</w:t>
      </w:r>
      <w:r w:rsidRPr="00B7687A">
        <w:rPr>
          <w:rFonts w:ascii="Arial" w:hAnsi="Arial" w:cs="Arial"/>
        </w:rPr>
        <w:t xml:space="preserve"> are physiologically distinct and independently regulated. </w:t>
      </w:r>
      <w:r w:rsidR="00FB07B3" w:rsidRPr="00B7687A">
        <w:rPr>
          <w:rFonts w:ascii="Arial" w:hAnsi="Arial" w:cs="Arial"/>
        </w:rPr>
        <w:t>Serum</w:t>
      </w:r>
      <w:r w:rsidRPr="00B7687A">
        <w:rPr>
          <w:rFonts w:ascii="Arial" w:hAnsi="Arial" w:cs="Arial"/>
        </w:rPr>
        <w:t xml:space="preserve"> phosphate concentration in this cohort is primarily governed by renal tubular function and directly impacted by the pharmacological toxicity of TDF, while LH secretion is governed by the complex hypothalamic-pituitary-gonadal (HPG) axis, an endocrine feedback loop involving GnRH, gonadal steroids (estrogen, testosterone), and inhibin. There is no known direct physiological crosstalk that links renal phosphate handling to pituitary LH secretion.</w:t>
      </w:r>
    </w:p>
    <w:p w14:paraId="42774297" w14:textId="54511292" w:rsidR="00B7687A" w:rsidRPr="00B7687A" w:rsidRDefault="00B7687A" w:rsidP="00B7687A">
      <w:pPr>
        <w:pStyle w:val="Body"/>
        <w:rPr>
          <w:rFonts w:ascii="Arial" w:hAnsi="Arial" w:cs="Arial"/>
        </w:rPr>
      </w:pPr>
      <w:r w:rsidRPr="00B7687A">
        <w:rPr>
          <w:rFonts w:ascii="Arial" w:hAnsi="Arial" w:cs="Arial"/>
        </w:rPr>
        <w:t>The findings of this study</w:t>
      </w:r>
      <w:r w:rsidR="00DC1610">
        <w:rPr>
          <w:rFonts w:ascii="Arial" w:hAnsi="Arial" w:cs="Arial"/>
        </w:rPr>
        <w:t xml:space="preserve"> </w:t>
      </w:r>
      <w:r w:rsidR="00DC1610" w:rsidRPr="00DC1610">
        <w:rPr>
          <w:rFonts w:ascii="Arial" w:hAnsi="Arial" w:cs="Arial"/>
          <w:highlight w:val="yellow"/>
        </w:rPr>
        <w:t>may</w:t>
      </w:r>
      <w:r w:rsidRPr="00B7687A">
        <w:rPr>
          <w:rFonts w:ascii="Arial" w:hAnsi="Arial" w:cs="Arial"/>
        </w:rPr>
        <w:t xml:space="preserve"> have significant implications for HIV management. Hypophosphatemia, if unmonitored, can contribute to musculoskeletal complications and exacerbate ART-associated bone demineralization, which is already prevalent in HIV-infected populations </w:t>
      </w:r>
      <w:r w:rsidR="00FD002B" w:rsidRPr="00006699">
        <w:rPr>
          <w:rFonts w:ascii="Arial" w:hAnsi="Arial" w:cs="Arial"/>
        </w:rPr>
        <w:t>[</w:t>
      </w:r>
      <w:r w:rsidR="00BC0D87">
        <w:rPr>
          <w:rFonts w:ascii="Arial" w:hAnsi="Arial" w:cs="Arial"/>
        </w:rPr>
        <w:t>39,40</w:t>
      </w:r>
      <w:r w:rsidR="00FD002B" w:rsidRPr="00006699">
        <w:rPr>
          <w:rFonts w:ascii="Arial" w:hAnsi="Arial" w:cs="Arial"/>
        </w:rPr>
        <w:t>]</w:t>
      </w:r>
      <w:r w:rsidR="00FD002B">
        <w:rPr>
          <w:rFonts w:ascii="Arial" w:hAnsi="Arial" w:cs="Arial"/>
        </w:rPr>
        <w:t xml:space="preserve">. </w:t>
      </w:r>
      <w:r w:rsidRPr="00307D4B">
        <w:rPr>
          <w:rFonts w:ascii="Arial" w:hAnsi="Arial" w:cs="Arial"/>
          <w:highlight w:val="yellow"/>
        </w:rPr>
        <w:t>Moreover, subtle hormonal imbalances may</w:t>
      </w:r>
      <w:r w:rsidR="00307D4B" w:rsidRPr="00307D4B">
        <w:rPr>
          <w:rFonts w:ascii="Arial" w:hAnsi="Arial" w:cs="Arial"/>
          <w:highlight w:val="yellow"/>
        </w:rPr>
        <w:t xml:space="preserve"> contribute to the</w:t>
      </w:r>
      <w:r w:rsidRPr="00307D4B">
        <w:rPr>
          <w:rFonts w:ascii="Arial" w:hAnsi="Arial" w:cs="Arial"/>
          <w:highlight w:val="yellow"/>
        </w:rPr>
        <w:t xml:space="preserve"> </w:t>
      </w:r>
      <w:r w:rsidR="00307D4B" w:rsidRPr="00307D4B">
        <w:rPr>
          <w:rFonts w:ascii="Arial" w:hAnsi="Arial" w:cs="Arial"/>
          <w:highlight w:val="yellow"/>
        </w:rPr>
        <w:t>impairment of</w:t>
      </w:r>
      <w:r w:rsidRPr="00B7687A">
        <w:rPr>
          <w:rFonts w:ascii="Arial" w:hAnsi="Arial" w:cs="Arial"/>
        </w:rPr>
        <w:t xml:space="preserve"> reproductive health and contribute to reduced fertility potential, particularly in women with elevated LH. Therefore, routine screening for phosphate and LH abnormalities should form part of ART follow-up protocols. Early detection and intervention through dietary phosphate </w:t>
      </w:r>
      <w:r w:rsidRPr="00B7687A">
        <w:rPr>
          <w:rFonts w:ascii="Arial" w:hAnsi="Arial" w:cs="Arial"/>
        </w:rPr>
        <w:lastRenderedPageBreak/>
        <w:t>supplementation, vitamin D optimization, and ART regimen modification could mitigate long-term complications.</w:t>
      </w:r>
    </w:p>
    <w:p w14:paraId="35AB32CC" w14:textId="77777777" w:rsidR="00B7687A" w:rsidRPr="00FB3A86" w:rsidRDefault="00B7687A" w:rsidP="00441B6F">
      <w:pPr>
        <w:pStyle w:val="Body"/>
        <w:spacing w:after="0"/>
        <w:rPr>
          <w:rFonts w:ascii="Arial" w:hAnsi="Arial" w:cs="Arial"/>
        </w:rPr>
      </w:pPr>
    </w:p>
    <w:p w14:paraId="0C294C1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2C5F5B5" w14:textId="03D579EA" w:rsidR="00B01FCD" w:rsidRDefault="00B7687A" w:rsidP="00B7687A">
      <w:pPr>
        <w:pStyle w:val="Body"/>
        <w:spacing w:after="0"/>
        <w:rPr>
          <w:rFonts w:ascii="Arial" w:hAnsi="Arial" w:cs="Arial"/>
        </w:rPr>
      </w:pPr>
      <w:r w:rsidRPr="00B7687A">
        <w:rPr>
          <w:rFonts w:ascii="Arial" w:hAnsi="Arial" w:cs="Arial"/>
        </w:rPr>
        <w:t xml:space="preserve">The results </w:t>
      </w:r>
      <w:r w:rsidR="00FB07B3" w:rsidRPr="00B7687A">
        <w:rPr>
          <w:rFonts w:ascii="Arial" w:hAnsi="Arial" w:cs="Arial"/>
        </w:rPr>
        <w:t>show</w:t>
      </w:r>
      <w:r w:rsidRPr="00B7687A">
        <w:rPr>
          <w:rFonts w:ascii="Arial" w:hAnsi="Arial" w:cs="Arial"/>
        </w:rPr>
        <w:t xml:space="preserve"> the need for comprehensive biochemical monitoring in HIV care to detect early signs of mineral and hormonal imbalance. The results reject the null hypothesis that there is no significant difference in serum phosphate levels between HIV-positive and HIV-negative individuals, confirming that ART and HIV infection significantly lower phosphate concentration. However, the null hypothesis regarding LH levels could not be rejected, as no significant overall difference was observed. Significant associations with age and gender further validate the objective to identify demographic factors influencing these parameters. The findings collectively</w:t>
      </w:r>
      <w:r w:rsidR="004E0987">
        <w:rPr>
          <w:rFonts w:ascii="Arial" w:hAnsi="Arial" w:cs="Arial"/>
        </w:rPr>
        <w:t xml:space="preserve"> </w:t>
      </w:r>
      <w:r w:rsidR="004E0987" w:rsidRPr="004E0987">
        <w:rPr>
          <w:rFonts w:ascii="Arial" w:hAnsi="Arial" w:cs="Arial"/>
          <w:highlight w:val="yellow"/>
        </w:rPr>
        <w:t>may</w:t>
      </w:r>
      <w:r w:rsidRPr="00B7687A">
        <w:rPr>
          <w:rFonts w:ascii="Arial" w:hAnsi="Arial" w:cs="Arial"/>
        </w:rPr>
        <w:t xml:space="preserve"> suggest that while ART contributes to metabolic disruptions, hormonal effects are more nuanced and may depend on sex and age.</w:t>
      </w:r>
    </w:p>
    <w:p w14:paraId="7F6FCEC2" w14:textId="77777777" w:rsidR="00790ADA" w:rsidRPr="00FB3A86" w:rsidRDefault="00790ADA" w:rsidP="00441B6F">
      <w:pPr>
        <w:pStyle w:val="Body"/>
        <w:spacing w:after="0"/>
        <w:rPr>
          <w:rFonts w:ascii="Arial" w:hAnsi="Arial" w:cs="Arial"/>
        </w:rPr>
      </w:pPr>
    </w:p>
    <w:p w14:paraId="2CEB78A4" w14:textId="6210D48B"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3C415BB" w14:textId="34CAA667" w:rsidR="00EA7006" w:rsidRDefault="00B00015" w:rsidP="00EA7006">
      <w:pPr>
        <w:pStyle w:val="ReferHead"/>
        <w:spacing w:after="0"/>
        <w:jc w:val="both"/>
        <w:rPr>
          <w:rFonts w:ascii="Arial" w:hAnsi="Arial" w:cs="Arial"/>
          <w:b w:val="0"/>
          <w:caps w:val="0"/>
          <w:sz w:val="20"/>
        </w:rPr>
      </w:pPr>
      <w:r>
        <w:rPr>
          <w:rFonts w:ascii="Arial" w:hAnsi="Arial" w:cs="Arial"/>
          <w:b w:val="0"/>
          <w:caps w:val="0"/>
          <w:sz w:val="20"/>
        </w:rPr>
        <w:t>Written i</w:t>
      </w:r>
      <w:r w:rsidR="00EA7006" w:rsidRPr="00EA7006">
        <w:rPr>
          <w:rFonts w:ascii="Arial" w:hAnsi="Arial" w:cs="Arial"/>
          <w:b w:val="0"/>
          <w:caps w:val="0"/>
          <w:sz w:val="20"/>
        </w:rPr>
        <w:t>nformed consent was obtained from every participant after the study's purpose, procedures, potential risks, and benefits have been fully explained in a language they understand. Participation was entirely voluntary, and participants could withdraw at any time without penalty or loss of medical care. All data was anonymized and kept confidential to protect participant privacy</w:t>
      </w:r>
      <w:r w:rsidR="003D33EC">
        <w:rPr>
          <w:rFonts w:ascii="Arial" w:hAnsi="Arial" w:cs="Arial"/>
          <w:b w:val="0"/>
          <w:caps w:val="0"/>
          <w:sz w:val="20"/>
        </w:rPr>
        <w:t>.</w:t>
      </w:r>
    </w:p>
    <w:p w14:paraId="04827AA2" w14:textId="77777777" w:rsidR="00EA7006" w:rsidRDefault="00EA7006" w:rsidP="00EA7006">
      <w:pPr>
        <w:pStyle w:val="ReferHead"/>
        <w:spacing w:after="0"/>
        <w:jc w:val="both"/>
        <w:rPr>
          <w:rFonts w:ascii="Arial" w:hAnsi="Arial" w:cs="Arial"/>
          <w:b w:val="0"/>
          <w:caps w:val="0"/>
          <w:sz w:val="20"/>
        </w:rPr>
      </w:pPr>
    </w:p>
    <w:p w14:paraId="77F608EF" w14:textId="7735D44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1575947" w14:textId="5D5E9575" w:rsidR="00CD6856" w:rsidRDefault="00EA7006" w:rsidP="00441B6F">
      <w:pPr>
        <w:pStyle w:val="ReferHead"/>
        <w:spacing w:after="0"/>
        <w:jc w:val="both"/>
        <w:rPr>
          <w:rFonts w:ascii="Arial" w:hAnsi="Arial" w:cs="Arial"/>
          <w:b w:val="0"/>
          <w:caps w:val="0"/>
          <w:sz w:val="20"/>
        </w:rPr>
      </w:pPr>
      <w:r w:rsidRPr="00EA7006">
        <w:rPr>
          <w:rFonts w:ascii="Arial" w:hAnsi="Arial" w:cs="Arial"/>
          <w:b w:val="0"/>
          <w:caps w:val="0"/>
          <w:sz w:val="20"/>
        </w:rPr>
        <w:t>Ethical approval was obtained from the Health Research Ethics Committee</w:t>
      </w:r>
      <w:r w:rsidR="00036D8B">
        <w:rPr>
          <w:rFonts w:ascii="Arial" w:hAnsi="Arial" w:cs="Arial"/>
          <w:b w:val="0"/>
          <w:caps w:val="0"/>
          <w:sz w:val="20"/>
        </w:rPr>
        <w:t>, Rivers State Hospital Management Board</w:t>
      </w:r>
      <w:r w:rsidRPr="00EA7006">
        <w:rPr>
          <w:rFonts w:ascii="Arial" w:hAnsi="Arial" w:cs="Arial"/>
          <w:b w:val="0"/>
          <w:caps w:val="0"/>
          <w:sz w:val="20"/>
        </w:rPr>
        <w:t xml:space="preserve">. </w:t>
      </w:r>
    </w:p>
    <w:p w14:paraId="109893C1" w14:textId="77777777" w:rsidR="00B00015" w:rsidRDefault="00B00015" w:rsidP="00441B6F">
      <w:pPr>
        <w:pStyle w:val="ReferHead"/>
        <w:spacing w:after="0"/>
        <w:jc w:val="both"/>
        <w:rPr>
          <w:rFonts w:ascii="Arial" w:hAnsi="Arial" w:cs="Arial"/>
          <w:b w:val="0"/>
          <w:caps w:val="0"/>
          <w:sz w:val="20"/>
        </w:rPr>
      </w:pPr>
    </w:p>
    <w:p w14:paraId="6019B800" w14:textId="77777777" w:rsidR="00E32CF8" w:rsidRPr="00B00015" w:rsidRDefault="00E32CF8" w:rsidP="00E32CF8">
      <w:pPr>
        <w:rPr>
          <w:b/>
          <w:highlight w:val="yellow"/>
        </w:rPr>
      </w:pPr>
      <w:r w:rsidRPr="00B00015">
        <w:rPr>
          <w:b/>
          <w:highlight w:val="yellow"/>
        </w:rPr>
        <w:t>Disclaimer (Artificial intelligence)</w:t>
      </w:r>
    </w:p>
    <w:p w14:paraId="55B4BC8E" w14:textId="77777777" w:rsidR="00E32CF8" w:rsidRPr="00740879" w:rsidRDefault="00E32CF8" w:rsidP="00E32CF8">
      <w:pPr>
        <w:rPr>
          <w:highlight w:val="yellow"/>
        </w:rPr>
      </w:pPr>
      <w:r w:rsidRPr="00740879">
        <w:rPr>
          <w:highlight w:val="yellow"/>
        </w:rPr>
        <w:t xml:space="preserve">Option 1: </w:t>
      </w:r>
    </w:p>
    <w:p w14:paraId="11B26449" w14:textId="77777777" w:rsidR="00E32CF8" w:rsidRPr="00740879" w:rsidRDefault="00E32CF8" w:rsidP="00E32CF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3BE100D" w14:textId="77777777" w:rsidR="00E32CF8" w:rsidRPr="00740879" w:rsidRDefault="00E32CF8" w:rsidP="00E32CF8">
      <w:pPr>
        <w:rPr>
          <w:highlight w:val="yellow"/>
        </w:rPr>
      </w:pPr>
      <w:r w:rsidRPr="00740879">
        <w:rPr>
          <w:highlight w:val="yellow"/>
        </w:rPr>
        <w:t xml:space="preserve">Option 2: </w:t>
      </w:r>
    </w:p>
    <w:p w14:paraId="2D7A79CC" w14:textId="77777777" w:rsidR="00E32CF8" w:rsidRPr="00740879" w:rsidRDefault="00E32CF8" w:rsidP="00E32CF8">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9F4DFE" w14:textId="77777777" w:rsidR="00E32CF8" w:rsidRPr="00740879" w:rsidRDefault="00E32CF8" w:rsidP="00E32CF8">
      <w:pPr>
        <w:rPr>
          <w:highlight w:val="yellow"/>
        </w:rPr>
      </w:pPr>
      <w:r w:rsidRPr="00740879">
        <w:rPr>
          <w:highlight w:val="yellow"/>
        </w:rPr>
        <w:t>Details of the AI usage are given below:</w:t>
      </w:r>
    </w:p>
    <w:p w14:paraId="507FDCAB" w14:textId="77777777" w:rsidR="00E32CF8" w:rsidRPr="00740879" w:rsidRDefault="00E32CF8" w:rsidP="00E32CF8">
      <w:pPr>
        <w:rPr>
          <w:highlight w:val="yellow"/>
        </w:rPr>
      </w:pPr>
      <w:r w:rsidRPr="00740879">
        <w:rPr>
          <w:highlight w:val="yellow"/>
        </w:rPr>
        <w:t>1.</w:t>
      </w:r>
    </w:p>
    <w:p w14:paraId="54416C54" w14:textId="77777777" w:rsidR="00E32CF8" w:rsidRPr="00740879" w:rsidRDefault="00E32CF8" w:rsidP="00E32CF8">
      <w:pPr>
        <w:rPr>
          <w:highlight w:val="yellow"/>
        </w:rPr>
      </w:pPr>
      <w:r w:rsidRPr="00740879">
        <w:rPr>
          <w:highlight w:val="yellow"/>
        </w:rPr>
        <w:t>2.</w:t>
      </w:r>
    </w:p>
    <w:p w14:paraId="6CE5B50B" w14:textId="77777777" w:rsidR="00E32CF8" w:rsidRPr="00D047BB" w:rsidRDefault="00E32CF8" w:rsidP="00E32CF8">
      <w:r w:rsidRPr="00740879">
        <w:rPr>
          <w:highlight w:val="yellow"/>
        </w:rPr>
        <w:t>3.</w:t>
      </w:r>
    </w:p>
    <w:p w14:paraId="53CA6EE7" w14:textId="77777777" w:rsidR="00E32CF8" w:rsidRDefault="00E32CF8" w:rsidP="00441B6F">
      <w:pPr>
        <w:pStyle w:val="ReferHead"/>
        <w:spacing w:after="0"/>
        <w:jc w:val="both"/>
        <w:rPr>
          <w:rFonts w:ascii="Arial" w:hAnsi="Arial" w:cs="Arial"/>
          <w:b w:val="0"/>
          <w:caps w:val="0"/>
          <w:sz w:val="20"/>
        </w:rPr>
      </w:pPr>
    </w:p>
    <w:p w14:paraId="56E46676" w14:textId="77777777" w:rsidR="00B01FCD" w:rsidRDefault="00B01FCD" w:rsidP="00EA7006">
      <w:pPr>
        <w:pStyle w:val="ReferHead"/>
        <w:spacing w:before="240"/>
        <w:jc w:val="both"/>
        <w:rPr>
          <w:rFonts w:ascii="Arial" w:hAnsi="Arial" w:cs="Arial"/>
        </w:rPr>
      </w:pPr>
      <w:r w:rsidRPr="00FB3A86">
        <w:rPr>
          <w:rFonts w:ascii="Arial" w:hAnsi="Arial" w:cs="Arial"/>
        </w:rPr>
        <w:t>References</w:t>
      </w:r>
    </w:p>
    <w:p w14:paraId="2E8DBEAA" w14:textId="59CF4864" w:rsidR="003C0D94" w:rsidRPr="00192884" w:rsidRDefault="001F1CC5" w:rsidP="001F1CC5">
      <w:pPr>
        <w:pStyle w:val="NormalWeb"/>
        <w:numPr>
          <w:ilvl w:val="0"/>
          <w:numId w:val="32"/>
        </w:numPr>
        <w:spacing w:before="0" w:beforeAutospacing="0" w:after="240" w:afterAutospacing="0"/>
        <w:jc w:val="both"/>
        <w:rPr>
          <w:rFonts w:ascii="Arial" w:hAnsi="Arial" w:cs="Arial"/>
          <w:sz w:val="20"/>
          <w:szCs w:val="20"/>
        </w:rPr>
      </w:pPr>
      <w:r w:rsidRPr="001F1CC5">
        <w:rPr>
          <w:rFonts w:ascii="Arial" w:eastAsia="Calibri" w:hAnsi="Arial" w:cs="Arial"/>
          <w:sz w:val="20"/>
          <w:szCs w:val="20"/>
        </w:rPr>
        <w:t xml:space="preserve">World Health Organization. (2025). HIV data and statistics. </w:t>
      </w:r>
      <w:hyperlink r:id="rId15" w:history="1">
        <w:r w:rsidRPr="00F317B4">
          <w:rPr>
            <w:rStyle w:val="Hyperlink"/>
            <w:rFonts w:ascii="Arial" w:eastAsia="Calibri" w:hAnsi="Arial" w:cs="Arial"/>
            <w:sz w:val="20"/>
            <w:szCs w:val="20"/>
          </w:rPr>
          <w:t>https://www.who.int/teams/global-hiv-hepatitis-and-stis-programmes/hiv/strategic-information/hiv-data-and-statistics</w:t>
        </w:r>
      </w:hyperlink>
      <w:r>
        <w:rPr>
          <w:rFonts w:ascii="Arial" w:eastAsia="Calibri" w:hAnsi="Arial" w:cs="Arial"/>
          <w:sz w:val="20"/>
          <w:szCs w:val="20"/>
        </w:rPr>
        <w:t xml:space="preserve"> </w:t>
      </w:r>
    </w:p>
    <w:p w14:paraId="0ED840B9" w14:textId="24DB2F2B" w:rsidR="003C0D94" w:rsidRPr="00192884" w:rsidRDefault="005B15DD" w:rsidP="005B15DD">
      <w:pPr>
        <w:pStyle w:val="NormalWeb"/>
        <w:numPr>
          <w:ilvl w:val="0"/>
          <w:numId w:val="32"/>
        </w:numPr>
        <w:spacing w:before="0" w:beforeAutospacing="0" w:after="240" w:afterAutospacing="0"/>
        <w:jc w:val="both"/>
        <w:rPr>
          <w:rFonts w:ascii="Arial" w:hAnsi="Arial" w:cs="Arial"/>
          <w:sz w:val="20"/>
          <w:szCs w:val="20"/>
        </w:rPr>
      </w:pPr>
      <w:r w:rsidRPr="005B15DD">
        <w:rPr>
          <w:rFonts w:ascii="Arial" w:hAnsi="Arial" w:cs="Arial"/>
          <w:sz w:val="20"/>
          <w:szCs w:val="20"/>
        </w:rPr>
        <w:t xml:space="preserve">World Health Organization. (2025). HIV drug resistance: Fact sheet. </w:t>
      </w:r>
      <w:hyperlink r:id="rId16" w:history="1">
        <w:r w:rsidRPr="00F317B4">
          <w:rPr>
            <w:rStyle w:val="Hyperlink"/>
            <w:rFonts w:ascii="Arial" w:hAnsi="Arial" w:cs="Arial"/>
            <w:sz w:val="20"/>
            <w:szCs w:val="20"/>
          </w:rPr>
          <w:t>https://www.who.int/news-room/fact-sheets/detail/hiv-drug-resistance</w:t>
        </w:r>
      </w:hyperlink>
      <w:r>
        <w:rPr>
          <w:rFonts w:ascii="Arial" w:hAnsi="Arial" w:cs="Arial"/>
          <w:sz w:val="20"/>
          <w:szCs w:val="20"/>
        </w:rPr>
        <w:t xml:space="preserve"> </w:t>
      </w:r>
    </w:p>
    <w:p w14:paraId="1937BF31" w14:textId="07316102" w:rsidR="003C0D94" w:rsidRPr="00192884" w:rsidRDefault="005A05F8" w:rsidP="005A05F8">
      <w:pPr>
        <w:pStyle w:val="NormalWeb"/>
        <w:numPr>
          <w:ilvl w:val="0"/>
          <w:numId w:val="32"/>
        </w:numPr>
        <w:spacing w:before="0" w:beforeAutospacing="0" w:after="0" w:afterAutospacing="0"/>
        <w:jc w:val="both"/>
        <w:rPr>
          <w:rFonts w:ascii="Arial" w:hAnsi="Arial" w:cs="Arial"/>
          <w:sz w:val="20"/>
          <w:szCs w:val="20"/>
        </w:rPr>
      </w:pPr>
      <w:r w:rsidRPr="005A05F8">
        <w:rPr>
          <w:rFonts w:ascii="Arial" w:hAnsi="Arial" w:cs="Arial"/>
          <w:sz w:val="20"/>
          <w:szCs w:val="20"/>
        </w:rPr>
        <w:lastRenderedPageBreak/>
        <w:t xml:space="preserve">Fauci, A. S., &amp; Lane, H. C. (2020). Four decades of HIV/AIDS – Much accomplished, much to do. The New England Journal of Medicine, 383(1), 1-4. </w:t>
      </w:r>
      <w:hyperlink r:id="rId17" w:history="1">
        <w:r w:rsidRPr="00F317B4">
          <w:rPr>
            <w:rStyle w:val="Hyperlink"/>
            <w:rFonts w:ascii="Arial" w:hAnsi="Arial" w:cs="Arial"/>
            <w:sz w:val="20"/>
            <w:szCs w:val="20"/>
          </w:rPr>
          <w:t>https://doi.org/10.1056/NEJMp1916753</w:t>
        </w:r>
      </w:hyperlink>
      <w:r>
        <w:rPr>
          <w:rFonts w:ascii="Arial" w:hAnsi="Arial" w:cs="Arial"/>
          <w:sz w:val="20"/>
          <w:szCs w:val="20"/>
        </w:rPr>
        <w:t xml:space="preserve"> </w:t>
      </w:r>
    </w:p>
    <w:p w14:paraId="0AAE874E" w14:textId="1CDA1D56" w:rsidR="003C0D94" w:rsidRPr="00192884" w:rsidRDefault="00CF2BC3" w:rsidP="00CF2BC3">
      <w:pPr>
        <w:pStyle w:val="NormalWeb"/>
        <w:numPr>
          <w:ilvl w:val="0"/>
          <w:numId w:val="32"/>
        </w:numPr>
        <w:spacing w:beforeLines="100" w:before="240" w:beforeAutospacing="0" w:afterLines="100" w:after="240" w:afterAutospacing="0"/>
        <w:jc w:val="both"/>
        <w:rPr>
          <w:rFonts w:ascii="Arial" w:hAnsi="Arial" w:cs="Arial"/>
          <w:sz w:val="20"/>
          <w:szCs w:val="20"/>
        </w:rPr>
      </w:pPr>
      <w:r w:rsidRPr="00CF2BC3">
        <w:rPr>
          <w:rFonts w:ascii="Arial" w:hAnsi="Arial" w:cs="Arial"/>
          <w:sz w:val="20"/>
          <w:szCs w:val="20"/>
        </w:rPr>
        <w:t xml:space="preserve">Deeks, S. G., Lewin, S. R., &amp; Havlir, D. V. (2013). The end of AIDS: HIV infection as a chronic disease. Lancet, 382(9903), 1525-33. </w:t>
      </w:r>
      <w:hyperlink r:id="rId18" w:history="1">
        <w:r w:rsidRPr="00F317B4">
          <w:rPr>
            <w:rStyle w:val="Hyperlink"/>
            <w:rFonts w:ascii="Arial" w:hAnsi="Arial" w:cs="Arial"/>
            <w:sz w:val="20"/>
            <w:szCs w:val="20"/>
          </w:rPr>
          <w:t>https://doi.org/10.1016/S0140-6736(13)61809-7</w:t>
        </w:r>
      </w:hyperlink>
      <w:r>
        <w:rPr>
          <w:rFonts w:ascii="Arial" w:hAnsi="Arial" w:cs="Arial"/>
          <w:sz w:val="20"/>
          <w:szCs w:val="20"/>
        </w:rPr>
        <w:t xml:space="preserve"> </w:t>
      </w:r>
      <w:r w:rsidR="003C0D94" w:rsidRPr="00192884">
        <w:rPr>
          <w:rFonts w:ascii="Arial" w:hAnsi="Arial" w:cs="Arial"/>
          <w:sz w:val="20"/>
          <w:szCs w:val="20"/>
        </w:rPr>
        <w:t xml:space="preserve"> </w:t>
      </w:r>
    </w:p>
    <w:p w14:paraId="64898045" w14:textId="57271C55" w:rsidR="003C0D94" w:rsidRPr="00192884" w:rsidRDefault="00FB461B" w:rsidP="00FB461B">
      <w:pPr>
        <w:pStyle w:val="NormalWeb"/>
        <w:numPr>
          <w:ilvl w:val="0"/>
          <w:numId w:val="32"/>
        </w:numPr>
        <w:spacing w:before="0" w:beforeAutospacing="0" w:after="240" w:afterAutospacing="0"/>
        <w:jc w:val="both"/>
        <w:rPr>
          <w:rFonts w:ascii="Arial" w:hAnsi="Arial" w:cs="Arial"/>
          <w:sz w:val="20"/>
          <w:szCs w:val="20"/>
        </w:rPr>
      </w:pPr>
      <w:r w:rsidRPr="00FB461B">
        <w:rPr>
          <w:rFonts w:ascii="Arial" w:eastAsia="Calibri" w:hAnsi="Arial" w:cs="Arial"/>
          <w:sz w:val="20"/>
          <w:szCs w:val="20"/>
        </w:rPr>
        <w:t xml:space="preserve">Abduljalil, M. M., Umar, R. A., &amp; Abubakar, M. G. (2021). Impact of Highly Active Antiretroviral Therapy (HAART) on Some Immunological Indices and Quality of Life of HIV Positive Patients in Africa. Current Aspects in Pharmaceutical Research and Development, 4, 27–45. </w:t>
      </w:r>
      <w:hyperlink r:id="rId19" w:history="1">
        <w:r w:rsidRPr="00F317B4">
          <w:rPr>
            <w:rStyle w:val="Hyperlink"/>
            <w:rFonts w:ascii="Arial" w:eastAsia="Calibri" w:hAnsi="Arial" w:cs="Arial"/>
            <w:sz w:val="20"/>
            <w:szCs w:val="20"/>
          </w:rPr>
          <w:t>https://doi.org/10.9734/bpi/caprd/v4/13551D</w:t>
        </w:r>
      </w:hyperlink>
      <w:r>
        <w:rPr>
          <w:rFonts w:ascii="Arial" w:eastAsia="Calibri" w:hAnsi="Arial" w:cs="Arial"/>
          <w:sz w:val="20"/>
          <w:szCs w:val="20"/>
        </w:rPr>
        <w:t xml:space="preserve"> </w:t>
      </w:r>
    </w:p>
    <w:p w14:paraId="0A0AB51B" w14:textId="763D33F9" w:rsidR="003C0D94" w:rsidRPr="00192884" w:rsidRDefault="00A72C64" w:rsidP="00A72C64">
      <w:pPr>
        <w:pStyle w:val="NormalWeb"/>
        <w:numPr>
          <w:ilvl w:val="0"/>
          <w:numId w:val="32"/>
        </w:numPr>
        <w:spacing w:before="0" w:beforeAutospacing="0" w:after="240" w:afterAutospacing="0"/>
        <w:jc w:val="both"/>
        <w:rPr>
          <w:rFonts w:ascii="Arial" w:hAnsi="Arial" w:cs="Arial"/>
          <w:sz w:val="20"/>
          <w:szCs w:val="20"/>
        </w:rPr>
      </w:pPr>
      <w:r w:rsidRPr="00A72C64">
        <w:rPr>
          <w:rFonts w:ascii="Arial" w:hAnsi="Arial" w:cs="Arial"/>
          <w:sz w:val="20"/>
          <w:szCs w:val="20"/>
        </w:rPr>
        <w:t xml:space="preserve">Saag, M. S., Gandhi, R. T., Hoy, J. F., Landovitz, R. J., Thompson, M. A., Sax, P. E., Smith, D. M., Benson, C. A., Buchbinder, S. P., Del Rio, C., Eron, J. J., Jr, Fätkenheuer, G., Günthard, H. F., Molina, J. M., Jacobsen, D. M., &amp; Volberding, P. A. (2020). Antiretroviral drugs for treatment and prevention of HIV infection in adults: 2020 recommendations of the International Antiviral Society–USA Panel. JAMA, 324(16), 1651-1669. </w:t>
      </w:r>
      <w:hyperlink r:id="rId20" w:history="1">
        <w:r w:rsidRPr="00F317B4">
          <w:rPr>
            <w:rStyle w:val="Hyperlink"/>
            <w:rFonts w:ascii="Arial" w:hAnsi="Arial" w:cs="Arial"/>
            <w:sz w:val="20"/>
            <w:szCs w:val="20"/>
          </w:rPr>
          <w:t>https://doi.org/10.1001/jama.2020.17025</w:t>
        </w:r>
      </w:hyperlink>
      <w:r>
        <w:rPr>
          <w:rFonts w:ascii="Arial" w:hAnsi="Arial" w:cs="Arial"/>
          <w:sz w:val="20"/>
          <w:szCs w:val="20"/>
        </w:rPr>
        <w:t xml:space="preserve"> </w:t>
      </w:r>
    </w:p>
    <w:p w14:paraId="57D27EB6" w14:textId="024E2218" w:rsidR="003C0D94" w:rsidRPr="00192884" w:rsidRDefault="00A82552" w:rsidP="00A82552">
      <w:pPr>
        <w:pStyle w:val="NormalWeb"/>
        <w:numPr>
          <w:ilvl w:val="0"/>
          <w:numId w:val="32"/>
        </w:numPr>
        <w:spacing w:before="0" w:beforeAutospacing="0" w:after="240" w:afterAutospacing="0"/>
        <w:jc w:val="both"/>
        <w:rPr>
          <w:rFonts w:ascii="Arial" w:hAnsi="Arial" w:cs="Arial"/>
          <w:sz w:val="20"/>
          <w:szCs w:val="20"/>
        </w:rPr>
      </w:pPr>
      <w:r w:rsidRPr="00A82552">
        <w:rPr>
          <w:rFonts w:ascii="Arial" w:hAnsi="Arial" w:cs="Arial"/>
          <w:sz w:val="20"/>
          <w:szCs w:val="20"/>
        </w:rPr>
        <w:t xml:space="preserve">Panel on Antiretroviral Guidelines for Adults and Adolescents. (2025). Guidelines for the use of antiretroviral agents in adults and adolescents with HIV. U.S. Department of Health and Human Services. </w:t>
      </w:r>
      <w:hyperlink r:id="rId21" w:history="1">
        <w:r w:rsidRPr="00F317B4">
          <w:rPr>
            <w:rStyle w:val="Hyperlink"/>
            <w:rFonts w:ascii="Arial" w:hAnsi="Arial" w:cs="Arial"/>
            <w:sz w:val="20"/>
            <w:szCs w:val="20"/>
          </w:rPr>
          <w:t>https://www.ncbi.nlm.nih.gov/books/NBK586306/</w:t>
        </w:r>
      </w:hyperlink>
      <w:r>
        <w:rPr>
          <w:rFonts w:ascii="Arial" w:hAnsi="Arial" w:cs="Arial"/>
          <w:sz w:val="20"/>
          <w:szCs w:val="20"/>
        </w:rPr>
        <w:t xml:space="preserve"> </w:t>
      </w:r>
    </w:p>
    <w:p w14:paraId="4153E4E8" w14:textId="100159C6" w:rsidR="003C0D94" w:rsidRPr="00192884" w:rsidRDefault="008203D2" w:rsidP="008203D2">
      <w:pPr>
        <w:pStyle w:val="NormalWeb"/>
        <w:numPr>
          <w:ilvl w:val="0"/>
          <w:numId w:val="32"/>
        </w:numPr>
        <w:spacing w:before="0" w:beforeAutospacing="0" w:after="0" w:afterAutospacing="0"/>
        <w:jc w:val="both"/>
        <w:rPr>
          <w:rFonts w:ascii="Arial" w:hAnsi="Arial" w:cs="Arial"/>
          <w:sz w:val="20"/>
          <w:szCs w:val="20"/>
        </w:rPr>
      </w:pPr>
      <w:r w:rsidRPr="008203D2">
        <w:rPr>
          <w:rFonts w:ascii="Arial" w:hAnsi="Arial" w:cs="Arial"/>
          <w:sz w:val="20"/>
          <w:szCs w:val="20"/>
        </w:rPr>
        <w:t xml:space="preserve">Gandhi, R. T., Landovitz, R. J., Sax, P. E., Smith, D. M., Springer, S. A., Günthard, H. F., Thompson, M. A., Bedimo, R. J., Benson, C. A., Buchbinder, S. P., Crabtree-Ramirez, B. E., Del Rio, C., Eaton, E. F., Eron, J. J., Jr, Hoy, J. F., Lehmann, C., Molina, J. M., Jacobsen, D. M., &amp; Saag, M. S. (2025). Antiretroviral drugs for treatment and prevention of HIV in adults: 2024 recommendations of the International Antiviral Society–USA Panel. JAMA, 333(7), 609-628. </w:t>
      </w:r>
      <w:hyperlink r:id="rId22" w:history="1">
        <w:r w:rsidRPr="00F317B4">
          <w:rPr>
            <w:rStyle w:val="Hyperlink"/>
            <w:rFonts w:ascii="Arial" w:hAnsi="Arial" w:cs="Arial"/>
            <w:sz w:val="20"/>
            <w:szCs w:val="20"/>
          </w:rPr>
          <w:t>https://doi.org/10.1001/jama.2024.24543</w:t>
        </w:r>
      </w:hyperlink>
      <w:r>
        <w:rPr>
          <w:rFonts w:ascii="Arial" w:hAnsi="Arial" w:cs="Arial"/>
          <w:sz w:val="20"/>
          <w:szCs w:val="20"/>
        </w:rPr>
        <w:t xml:space="preserve"> </w:t>
      </w:r>
    </w:p>
    <w:p w14:paraId="4A817B7C" w14:textId="45B68D24" w:rsidR="003C0D94" w:rsidRPr="00192884" w:rsidRDefault="00BB5576" w:rsidP="00BB5576">
      <w:pPr>
        <w:pStyle w:val="NormalWeb"/>
        <w:numPr>
          <w:ilvl w:val="0"/>
          <w:numId w:val="32"/>
        </w:numPr>
        <w:spacing w:beforeLines="100" w:before="240" w:beforeAutospacing="0" w:afterLines="100" w:after="240" w:afterAutospacing="0"/>
        <w:jc w:val="both"/>
        <w:rPr>
          <w:rFonts w:ascii="Arial" w:eastAsia="Segoe UI" w:hAnsi="Arial" w:cs="Arial"/>
          <w:sz w:val="20"/>
          <w:szCs w:val="20"/>
          <w:shd w:val="clear" w:color="auto" w:fill="FFFFFF"/>
        </w:rPr>
      </w:pPr>
      <w:r w:rsidRPr="00BB5576">
        <w:rPr>
          <w:rFonts w:ascii="Arial" w:eastAsia="Segoe UI" w:hAnsi="Arial" w:cs="Arial"/>
          <w:sz w:val="20"/>
          <w:szCs w:val="20"/>
          <w:shd w:val="clear" w:color="auto" w:fill="FFFFFF"/>
        </w:rPr>
        <w:t xml:space="preserve">Endalamew, S. G., Assefa, S. K., Getachew, M. S., Arage, F. G., Asgedom, D. K., Terefe, B., &amp; Teshome, D. F. (2025). Incidence of Adverse Drug Reactions Among HIV Patients on Antiretroviral Drugs in Ethiopia: A Systematic Review and Meta-Analysis. AIDS Research and Treatment. </w:t>
      </w:r>
      <w:hyperlink r:id="rId23" w:history="1">
        <w:r w:rsidRPr="00F317B4">
          <w:rPr>
            <w:rStyle w:val="Hyperlink"/>
            <w:rFonts w:ascii="Arial" w:eastAsia="Segoe UI" w:hAnsi="Arial" w:cs="Arial"/>
            <w:sz w:val="20"/>
            <w:szCs w:val="20"/>
            <w:shd w:val="clear" w:color="auto" w:fill="FFFFFF"/>
          </w:rPr>
          <w:t>https://doi.org/10.1155/arat/8820274</w:t>
        </w:r>
      </w:hyperlink>
      <w:r>
        <w:rPr>
          <w:rFonts w:ascii="Arial" w:eastAsia="Segoe UI" w:hAnsi="Arial" w:cs="Arial"/>
          <w:sz w:val="20"/>
          <w:szCs w:val="20"/>
          <w:shd w:val="clear" w:color="auto" w:fill="FFFFFF"/>
        </w:rPr>
        <w:t xml:space="preserve"> </w:t>
      </w:r>
    </w:p>
    <w:p w14:paraId="646B30C4" w14:textId="3B1B2EDE" w:rsidR="003C0D94" w:rsidRPr="00192884" w:rsidRDefault="009118D1" w:rsidP="009118D1">
      <w:pPr>
        <w:pStyle w:val="NormalWeb"/>
        <w:numPr>
          <w:ilvl w:val="0"/>
          <w:numId w:val="32"/>
        </w:numPr>
        <w:spacing w:beforeLines="100" w:before="240" w:beforeAutospacing="0" w:afterLines="100" w:after="240" w:afterAutospacing="0"/>
        <w:jc w:val="both"/>
        <w:rPr>
          <w:rFonts w:ascii="Arial" w:hAnsi="Arial" w:cs="Arial"/>
          <w:sz w:val="20"/>
          <w:szCs w:val="20"/>
        </w:rPr>
      </w:pPr>
      <w:r w:rsidRPr="009118D1">
        <w:rPr>
          <w:rFonts w:ascii="Arial" w:hAnsi="Arial" w:cs="Arial"/>
          <w:sz w:val="20"/>
          <w:szCs w:val="20"/>
        </w:rPr>
        <w:t xml:space="preserve">Ciccarelli, N., Fabbiani, M., Di Giambenedetto, S., Fanti, I., Baldonero, E., Bracciale, L., Tamburrini, E., Cauda, R., De Luca, A., &amp; Silveri, M. C. (2011). Efavirenz associated with cognitive disorders in otherwise asymptomatic HIV-infected patients. Neurology, 76(16), 1403-1409. </w:t>
      </w:r>
      <w:hyperlink r:id="rId24" w:history="1">
        <w:r w:rsidRPr="00F317B4">
          <w:rPr>
            <w:rStyle w:val="Hyperlink"/>
            <w:rFonts w:ascii="Arial" w:hAnsi="Arial" w:cs="Arial"/>
            <w:sz w:val="20"/>
            <w:szCs w:val="20"/>
          </w:rPr>
          <w:t>https://doi.org/10.1212/WNL.0b013e31821670fb</w:t>
        </w:r>
      </w:hyperlink>
      <w:r>
        <w:rPr>
          <w:rFonts w:ascii="Arial" w:hAnsi="Arial" w:cs="Arial"/>
          <w:sz w:val="20"/>
          <w:szCs w:val="20"/>
        </w:rPr>
        <w:t xml:space="preserve"> </w:t>
      </w:r>
      <w:r w:rsidR="003C0D94" w:rsidRPr="00192884">
        <w:rPr>
          <w:rFonts w:ascii="Arial" w:hAnsi="Arial" w:cs="Arial"/>
          <w:sz w:val="20"/>
          <w:szCs w:val="20"/>
        </w:rPr>
        <w:t xml:space="preserve"> </w:t>
      </w:r>
    </w:p>
    <w:p w14:paraId="7F3ABE8B" w14:textId="55CDE522" w:rsidR="003C0D94" w:rsidRPr="00192884" w:rsidRDefault="00C66DE6" w:rsidP="00C66DE6">
      <w:pPr>
        <w:pStyle w:val="NormalWeb"/>
        <w:numPr>
          <w:ilvl w:val="0"/>
          <w:numId w:val="32"/>
        </w:numPr>
        <w:spacing w:beforeLines="100" w:before="240" w:beforeAutospacing="0" w:afterLines="100" w:after="240" w:afterAutospacing="0"/>
        <w:jc w:val="both"/>
        <w:rPr>
          <w:rFonts w:ascii="Arial" w:hAnsi="Arial" w:cs="Arial"/>
          <w:sz w:val="20"/>
          <w:szCs w:val="20"/>
        </w:rPr>
      </w:pPr>
      <w:r w:rsidRPr="00C66DE6">
        <w:rPr>
          <w:rFonts w:ascii="Arial" w:hAnsi="Arial" w:cs="Arial"/>
          <w:sz w:val="20"/>
          <w:szCs w:val="20"/>
        </w:rPr>
        <w:t xml:space="preserve">Quiros-Roldan, E., Porcelli, T., Pezzaioli, L. C., Degli Antoni, M., Paghera, S., Properzi, M., Focà, E., Carriero, C., Castelli, F., &amp; Ferlin, A. (2021). Hypogonadism and liver fibrosis in HIV-infected patients. Journal of Endocrinological Investigation, 44(9), 1971–1979. </w:t>
      </w:r>
      <w:hyperlink r:id="rId25" w:history="1">
        <w:r w:rsidRPr="00F317B4">
          <w:rPr>
            <w:rStyle w:val="Hyperlink"/>
            <w:rFonts w:ascii="Arial" w:hAnsi="Arial" w:cs="Arial"/>
            <w:sz w:val="20"/>
            <w:szCs w:val="20"/>
          </w:rPr>
          <w:t>https://doi.org/10.1007/s40618-021-01512-9</w:t>
        </w:r>
      </w:hyperlink>
      <w:r>
        <w:rPr>
          <w:rFonts w:ascii="Arial" w:hAnsi="Arial" w:cs="Arial"/>
          <w:sz w:val="20"/>
          <w:szCs w:val="20"/>
        </w:rPr>
        <w:t xml:space="preserve"> </w:t>
      </w:r>
    </w:p>
    <w:p w14:paraId="0BACD78E" w14:textId="2DB437F6" w:rsidR="003C0D94" w:rsidRPr="00192884" w:rsidRDefault="00107349" w:rsidP="00107349">
      <w:pPr>
        <w:pStyle w:val="NormalWeb"/>
        <w:numPr>
          <w:ilvl w:val="0"/>
          <w:numId w:val="32"/>
        </w:numPr>
        <w:spacing w:beforeLines="100" w:before="240" w:beforeAutospacing="0" w:afterLines="100" w:after="240" w:afterAutospacing="0"/>
        <w:jc w:val="both"/>
        <w:rPr>
          <w:rFonts w:ascii="Arial" w:hAnsi="Arial" w:cs="Arial"/>
          <w:sz w:val="20"/>
          <w:szCs w:val="20"/>
        </w:rPr>
      </w:pPr>
      <w:r w:rsidRPr="00107349">
        <w:rPr>
          <w:rFonts w:ascii="Arial" w:hAnsi="Arial" w:cs="Arial"/>
          <w:sz w:val="20"/>
          <w:szCs w:val="20"/>
        </w:rPr>
        <w:t xml:space="preserve">De Vincentis, S., &amp; Rochira, V. (2023). Update on acquired hypogonadism in men living with HIV: Pathogenesis, clinic, and treatment. Frontiers in Endocrinology, 14, 1201696. </w:t>
      </w:r>
      <w:hyperlink r:id="rId26" w:history="1">
        <w:r w:rsidRPr="00F317B4">
          <w:rPr>
            <w:rStyle w:val="Hyperlink"/>
            <w:rFonts w:ascii="Arial" w:hAnsi="Arial" w:cs="Arial"/>
            <w:sz w:val="20"/>
            <w:szCs w:val="20"/>
          </w:rPr>
          <w:t>https://doi.org/10.3389/fendo.2023.1201696</w:t>
        </w:r>
      </w:hyperlink>
      <w:r>
        <w:rPr>
          <w:rFonts w:ascii="Arial" w:hAnsi="Arial" w:cs="Arial"/>
          <w:sz w:val="20"/>
          <w:szCs w:val="20"/>
        </w:rPr>
        <w:t xml:space="preserve"> </w:t>
      </w:r>
      <w:r w:rsidR="003C0D94" w:rsidRPr="00192884">
        <w:rPr>
          <w:rFonts w:ascii="Arial" w:hAnsi="Arial" w:cs="Arial"/>
          <w:sz w:val="20"/>
          <w:szCs w:val="20"/>
        </w:rPr>
        <w:t xml:space="preserve"> </w:t>
      </w:r>
    </w:p>
    <w:p w14:paraId="00D61C36" w14:textId="44D4E24B" w:rsidR="003C0D94" w:rsidRPr="00192884" w:rsidRDefault="00C91309" w:rsidP="00C91309">
      <w:pPr>
        <w:pStyle w:val="NormalWeb"/>
        <w:numPr>
          <w:ilvl w:val="0"/>
          <w:numId w:val="32"/>
        </w:numPr>
        <w:spacing w:beforeLines="100" w:before="240" w:beforeAutospacing="0" w:afterLines="100" w:after="240" w:afterAutospacing="0"/>
        <w:jc w:val="both"/>
        <w:rPr>
          <w:rFonts w:ascii="Arial" w:hAnsi="Arial" w:cs="Arial"/>
          <w:sz w:val="20"/>
          <w:szCs w:val="20"/>
        </w:rPr>
      </w:pPr>
      <w:r w:rsidRPr="00C91309">
        <w:rPr>
          <w:rFonts w:ascii="Arial" w:hAnsi="Arial" w:cs="Arial"/>
          <w:sz w:val="20"/>
          <w:szCs w:val="20"/>
        </w:rPr>
        <w:t xml:space="preserve">Bain, J. (2010). Testosterone and the aging male: To treat or not to treat? Maturitas, 66(1), 16-22. </w:t>
      </w:r>
      <w:hyperlink r:id="rId27" w:history="1">
        <w:r w:rsidRPr="00F317B4">
          <w:rPr>
            <w:rStyle w:val="Hyperlink"/>
            <w:rFonts w:ascii="Arial" w:hAnsi="Arial" w:cs="Arial"/>
            <w:sz w:val="20"/>
            <w:szCs w:val="20"/>
          </w:rPr>
          <w:t>https://doi.org/10.1016/j.maturitas.2010.01.009</w:t>
        </w:r>
      </w:hyperlink>
      <w:r>
        <w:rPr>
          <w:rFonts w:ascii="Arial" w:hAnsi="Arial" w:cs="Arial"/>
          <w:sz w:val="20"/>
          <w:szCs w:val="20"/>
        </w:rPr>
        <w:t xml:space="preserve"> </w:t>
      </w:r>
    </w:p>
    <w:p w14:paraId="3104EAE1" w14:textId="08FC056A" w:rsidR="003C0D94" w:rsidRPr="00192884" w:rsidRDefault="005E32E7" w:rsidP="005E32E7">
      <w:pPr>
        <w:pStyle w:val="NormalWeb"/>
        <w:numPr>
          <w:ilvl w:val="0"/>
          <w:numId w:val="32"/>
        </w:numPr>
        <w:spacing w:beforeLines="100" w:before="240" w:beforeAutospacing="0" w:afterLines="100" w:after="240" w:afterAutospacing="0"/>
        <w:jc w:val="both"/>
        <w:rPr>
          <w:rFonts w:ascii="Arial" w:hAnsi="Arial" w:cs="Arial"/>
          <w:sz w:val="20"/>
          <w:szCs w:val="20"/>
        </w:rPr>
      </w:pPr>
      <w:r w:rsidRPr="005E32E7">
        <w:rPr>
          <w:rFonts w:ascii="Arial" w:hAnsi="Arial" w:cs="Arial"/>
          <w:sz w:val="20"/>
          <w:szCs w:val="20"/>
        </w:rPr>
        <w:lastRenderedPageBreak/>
        <w:t xml:space="preserve">Bhasin, S., Brito, J. P., Cunningham, G. R., Hayes, F. J., Hodis, H. N., Matsumoto, A. M., Snyder, P. J., Swerdloff, R. S., Wu, F. C., &amp; Yialamas, M. A. (2018). Testosterone therapy in men with hypogonadism: An Endocrine Society clinical practice guideline. The Journal of Clinical Endocrinology &amp; Metabolism, 103(5), 1715-1744. </w:t>
      </w:r>
      <w:hyperlink r:id="rId28" w:history="1">
        <w:r w:rsidRPr="00F317B4">
          <w:rPr>
            <w:rStyle w:val="Hyperlink"/>
            <w:rFonts w:ascii="Arial" w:hAnsi="Arial" w:cs="Arial"/>
            <w:sz w:val="20"/>
            <w:szCs w:val="20"/>
          </w:rPr>
          <w:t>https://doi.org/10.1210/jc.2018-00229</w:t>
        </w:r>
      </w:hyperlink>
      <w:r>
        <w:rPr>
          <w:rFonts w:ascii="Arial" w:hAnsi="Arial" w:cs="Arial"/>
          <w:sz w:val="20"/>
          <w:szCs w:val="20"/>
        </w:rPr>
        <w:t xml:space="preserve"> </w:t>
      </w:r>
      <w:r w:rsidR="003C0D94" w:rsidRPr="00192884">
        <w:rPr>
          <w:rFonts w:ascii="Arial" w:hAnsi="Arial" w:cs="Arial"/>
          <w:sz w:val="20"/>
          <w:szCs w:val="20"/>
        </w:rPr>
        <w:t xml:space="preserve"> </w:t>
      </w:r>
    </w:p>
    <w:p w14:paraId="24B39A79" w14:textId="24F21CE6" w:rsidR="003C0D94" w:rsidRPr="00192884" w:rsidRDefault="004930D2" w:rsidP="004930D2">
      <w:pPr>
        <w:pStyle w:val="NormalWeb"/>
        <w:numPr>
          <w:ilvl w:val="0"/>
          <w:numId w:val="32"/>
        </w:numPr>
        <w:spacing w:beforeLines="100" w:before="240" w:beforeAutospacing="0" w:afterLines="100" w:after="240" w:afterAutospacing="0"/>
        <w:jc w:val="both"/>
        <w:rPr>
          <w:rFonts w:ascii="Arial" w:eastAsia="Segoe UI" w:hAnsi="Arial" w:cs="Arial"/>
          <w:sz w:val="20"/>
          <w:szCs w:val="20"/>
          <w:shd w:val="clear" w:color="auto" w:fill="FFFFFF"/>
        </w:rPr>
      </w:pPr>
      <w:r w:rsidRPr="004930D2">
        <w:rPr>
          <w:rFonts w:ascii="Arial" w:eastAsia="Segoe UI" w:hAnsi="Arial" w:cs="Arial"/>
          <w:sz w:val="20"/>
          <w:szCs w:val="20"/>
          <w:shd w:val="clear" w:color="auto" w:fill="FFFFFF"/>
        </w:rPr>
        <w:t xml:space="preserve">Krishna, G. R., &amp; Haddad, L. B. (2020). Interactions between hormonal contraception and anti-retroviral therapy: An updated review. Current Obstetrics and Gynecology Reports, 9(3), 98–104. </w:t>
      </w:r>
      <w:hyperlink r:id="rId29" w:history="1">
        <w:r w:rsidRPr="00F317B4">
          <w:rPr>
            <w:rStyle w:val="Hyperlink"/>
            <w:rFonts w:ascii="Arial" w:eastAsia="Segoe UI" w:hAnsi="Arial" w:cs="Arial"/>
            <w:sz w:val="20"/>
            <w:szCs w:val="20"/>
            <w:shd w:val="clear" w:color="auto" w:fill="FFFFFF"/>
          </w:rPr>
          <w:t>https://doi.org/10.1007/s13669-020-00289-7</w:t>
        </w:r>
      </w:hyperlink>
      <w:r>
        <w:rPr>
          <w:rFonts w:ascii="Arial" w:eastAsia="Segoe UI" w:hAnsi="Arial" w:cs="Arial"/>
          <w:sz w:val="20"/>
          <w:szCs w:val="20"/>
          <w:shd w:val="clear" w:color="auto" w:fill="FFFFFF"/>
        </w:rPr>
        <w:t xml:space="preserve"> </w:t>
      </w:r>
      <w:r w:rsidR="003C0D94" w:rsidRPr="00192884">
        <w:rPr>
          <w:rFonts w:ascii="Arial" w:eastAsia="Segoe UI" w:hAnsi="Arial" w:cs="Arial"/>
          <w:sz w:val="20"/>
          <w:szCs w:val="20"/>
          <w:shd w:val="clear" w:color="auto" w:fill="FFFFFF"/>
        </w:rPr>
        <w:t xml:space="preserve"> </w:t>
      </w:r>
    </w:p>
    <w:p w14:paraId="1939E60B" w14:textId="40143234" w:rsidR="003C0D94" w:rsidRPr="00192884" w:rsidRDefault="001F529A" w:rsidP="001F529A">
      <w:pPr>
        <w:pStyle w:val="NormalWeb"/>
        <w:numPr>
          <w:ilvl w:val="0"/>
          <w:numId w:val="32"/>
        </w:numPr>
        <w:spacing w:beforeLines="100" w:before="240" w:beforeAutospacing="0" w:afterLines="100" w:after="240" w:afterAutospacing="0"/>
        <w:jc w:val="both"/>
        <w:rPr>
          <w:rFonts w:ascii="Arial" w:eastAsia="Segoe UI" w:hAnsi="Arial" w:cs="Arial"/>
          <w:sz w:val="20"/>
          <w:szCs w:val="20"/>
          <w:shd w:val="clear" w:color="auto" w:fill="FFFFFF"/>
        </w:rPr>
      </w:pPr>
      <w:r w:rsidRPr="001F529A">
        <w:rPr>
          <w:rFonts w:ascii="Arial" w:eastAsia="Segoe UI" w:hAnsi="Arial" w:cs="Arial"/>
          <w:sz w:val="20"/>
          <w:szCs w:val="20"/>
          <w:shd w:val="clear" w:color="auto" w:fill="FFFFFF"/>
        </w:rPr>
        <w:t xml:space="preserve">Chandiwana, N. C., Siedner, M. J., Marconi, V. C., Hill, A., Ali, M. K., Batterham, R. L., &amp; Venter, W. D. F. (2024). Weight Gain After HIV Therapy Initiation: Pathophysiology and Implications. The Journal of Clinical Endocrinology &amp; Metabolism, 109(2), e478–e87. </w:t>
      </w:r>
      <w:hyperlink r:id="rId30" w:history="1">
        <w:r w:rsidRPr="00F317B4">
          <w:rPr>
            <w:rStyle w:val="Hyperlink"/>
            <w:rFonts w:ascii="Arial" w:eastAsia="Segoe UI" w:hAnsi="Arial" w:cs="Arial"/>
            <w:sz w:val="20"/>
            <w:szCs w:val="20"/>
            <w:shd w:val="clear" w:color="auto" w:fill="FFFFFF"/>
          </w:rPr>
          <w:t>https://doi.org/10.1210/clinem/dgad411</w:t>
        </w:r>
      </w:hyperlink>
      <w:r>
        <w:rPr>
          <w:rFonts w:ascii="Arial" w:eastAsia="Segoe UI" w:hAnsi="Arial" w:cs="Arial"/>
          <w:sz w:val="20"/>
          <w:szCs w:val="20"/>
          <w:shd w:val="clear" w:color="auto" w:fill="FFFFFF"/>
        </w:rPr>
        <w:t xml:space="preserve"> </w:t>
      </w:r>
      <w:r w:rsidR="003C0D94" w:rsidRPr="00192884">
        <w:rPr>
          <w:rFonts w:ascii="Arial" w:eastAsia="Segoe UI" w:hAnsi="Arial" w:cs="Arial"/>
          <w:sz w:val="20"/>
          <w:szCs w:val="20"/>
          <w:shd w:val="clear" w:color="auto" w:fill="FFFFFF"/>
        </w:rPr>
        <w:t xml:space="preserve"> </w:t>
      </w:r>
    </w:p>
    <w:p w14:paraId="5D3AFA2A" w14:textId="7FBAE9C2" w:rsidR="003C0D94" w:rsidRPr="00192884" w:rsidRDefault="008F29A3" w:rsidP="008F29A3">
      <w:pPr>
        <w:pStyle w:val="NormalWeb"/>
        <w:numPr>
          <w:ilvl w:val="0"/>
          <w:numId w:val="32"/>
        </w:numPr>
        <w:spacing w:beforeLines="100" w:before="240" w:beforeAutospacing="0" w:afterLines="100" w:after="240" w:afterAutospacing="0"/>
        <w:jc w:val="both"/>
        <w:rPr>
          <w:rFonts w:ascii="Arial" w:hAnsi="Arial" w:cs="Arial"/>
          <w:sz w:val="20"/>
          <w:szCs w:val="20"/>
        </w:rPr>
      </w:pPr>
      <w:r w:rsidRPr="008F29A3">
        <w:rPr>
          <w:rFonts w:ascii="Arial" w:hAnsi="Arial" w:cs="Arial"/>
          <w:sz w:val="20"/>
          <w:szCs w:val="20"/>
        </w:rPr>
        <w:t xml:space="preserve">Shivakumar, Y. M., Burra, E., Shahid, K., Tamene, Y., Mody, S. P., Sadiq, K. O., &amp; Penumetcha, S. S. (2023). Tenofovir-Induced Renal Dysfunction Among HIV-Infected Patients: A Systematic Review. Cureus, 15(9): e45787. </w:t>
      </w:r>
      <w:hyperlink r:id="rId31" w:history="1">
        <w:r w:rsidRPr="00F317B4">
          <w:rPr>
            <w:rStyle w:val="Hyperlink"/>
            <w:rFonts w:ascii="Arial" w:hAnsi="Arial" w:cs="Arial"/>
            <w:sz w:val="20"/>
            <w:szCs w:val="20"/>
          </w:rPr>
          <w:t>https://doi.org/10.7759/cureus.45787</w:t>
        </w:r>
      </w:hyperlink>
      <w:r>
        <w:rPr>
          <w:rFonts w:ascii="Arial" w:hAnsi="Arial" w:cs="Arial"/>
          <w:sz w:val="20"/>
          <w:szCs w:val="20"/>
        </w:rPr>
        <w:t xml:space="preserve"> </w:t>
      </w:r>
    </w:p>
    <w:p w14:paraId="3A9C0E5D" w14:textId="41CDF6A6" w:rsidR="003C0D94" w:rsidRPr="00192884" w:rsidRDefault="009371C9" w:rsidP="009371C9">
      <w:pPr>
        <w:pStyle w:val="NormalWeb"/>
        <w:numPr>
          <w:ilvl w:val="0"/>
          <w:numId w:val="32"/>
        </w:numPr>
        <w:spacing w:beforeLines="100" w:before="240" w:beforeAutospacing="0" w:afterLines="100" w:after="240" w:afterAutospacing="0"/>
        <w:jc w:val="both"/>
        <w:rPr>
          <w:rFonts w:ascii="Arial" w:hAnsi="Arial" w:cs="Arial"/>
          <w:sz w:val="20"/>
          <w:szCs w:val="20"/>
        </w:rPr>
      </w:pPr>
      <w:r w:rsidRPr="009371C9">
        <w:rPr>
          <w:rFonts w:ascii="Arial" w:hAnsi="Arial" w:cs="Arial"/>
          <w:sz w:val="20"/>
          <w:szCs w:val="20"/>
        </w:rPr>
        <w:t xml:space="preserve">Zaid, D., &amp; Greenman, Y. (2019). Human immunodeficiency virus infection and the endocrine system. Endocrinology and Metabolism (Seoul), 34(2), 95-105. </w:t>
      </w:r>
      <w:hyperlink r:id="rId32" w:history="1">
        <w:r w:rsidRPr="00F317B4">
          <w:rPr>
            <w:rStyle w:val="Hyperlink"/>
            <w:rFonts w:ascii="Arial" w:hAnsi="Arial" w:cs="Arial"/>
            <w:sz w:val="20"/>
            <w:szCs w:val="20"/>
          </w:rPr>
          <w:t>https://doi.org/10.3803/EnM.2019.34.2.95</w:t>
        </w:r>
      </w:hyperlink>
      <w:r>
        <w:rPr>
          <w:rFonts w:ascii="Arial" w:hAnsi="Arial" w:cs="Arial"/>
          <w:sz w:val="20"/>
          <w:szCs w:val="20"/>
        </w:rPr>
        <w:t xml:space="preserve"> </w:t>
      </w:r>
      <w:r w:rsidR="003C0D94" w:rsidRPr="00192884">
        <w:rPr>
          <w:rFonts w:ascii="Arial" w:hAnsi="Arial" w:cs="Arial"/>
          <w:sz w:val="20"/>
          <w:szCs w:val="20"/>
        </w:rPr>
        <w:t xml:space="preserve"> </w:t>
      </w:r>
    </w:p>
    <w:p w14:paraId="0FDFD390" w14:textId="133E15FF" w:rsidR="003C0D94" w:rsidRPr="00192884" w:rsidRDefault="00FF6552" w:rsidP="00FF6552">
      <w:pPr>
        <w:pStyle w:val="NormalWeb"/>
        <w:numPr>
          <w:ilvl w:val="0"/>
          <w:numId w:val="32"/>
        </w:numPr>
        <w:spacing w:beforeLines="100" w:before="240" w:beforeAutospacing="0" w:afterLines="100" w:after="240" w:afterAutospacing="0"/>
        <w:jc w:val="both"/>
        <w:rPr>
          <w:rFonts w:ascii="Arial" w:hAnsi="Arial" w:cs="Arial"/>
          <w:sz w:val="20"/>
          <w:szCs w:val="20"/>
        </w:rPr>
      </w:pPr>
      <w:r w:rsidRPr="00FF6552">
        <w:rPr>
          <w:rFonts w:ascii="Arial" w:hAnsi="Arial" w:cs="Arial"/>
          <w:sz w:val="20"/>
          <w:szCs w:val="20"/>
        </w:rPr>
        <w:t xml:space="preserve">Sathi, S. R. T. T., &amp; Anastasopoulou, C. (2025). HIV-related endocrinopathies. In StatPearls. StatPearls Publishing. </w:t>
      </w:r>
      <w:hyperlink r:id="rId33" w:history="1">
        <w:r w:rsidRPr="00F317B4">
          <w:rPr>
            <w:rStyle w:val="Hyperlink"/>
            <w:rFonts w:ascii="Arial" w:hAnsi="Arial" w:cs="Arial"/>
            <w:sz w:val="20"/>
            <w:szCs w:val="20"/>
          </w:rPr>
          <w:t>https://www.ncbi.nlm.nih.gov/books/NBK599549/</w:t>
        </w:r>
      </w:hyperlink>
      <w:r>
        <w:rPr>
          <w:rFonts w:ascii="Arial" w:hAnsi="Arial" w:cs="Arial"/>
          <w:sz w:val="20"/>
          <w:szCs w:val="20"/>
        </w:rPr>
        <w:t xml:space="preserve"> </w:t>
      </w:r>
    </w:p>
    <w:p w14:paraId="18C4039F" w14:textId="6B93DC3C" w:rsidR="003C0D94" w:rsidRPr="00192884" w:rsidRDefault="00E05E66" w:rsidP="00E05E66">
      <w:pPr>
        <w:pStyle w:val="NormalWeb"/>
        <w:numPr>
          <w:ilvl w:val="0"/>
          <w:numId w:val="32"/>
        </w:numPr>
        <w:spacing w:before="0" w:beforeAutospacing="0" w:after="0" w:afterAutospacing="0"/>
        <w:jc w:val="both"/>
        <w:rPr>
          <w:rFonts w:ascii="Arial" w:hAnsi="Arial" w:cs="Arial"/>
          <w:sz w:val="20"/>
          <w:szCs w:val="20"/>
        </w:rPr>
      </w:pPr>
      <w:r w:rsidRPr="00E05E66">
        <w:rPr>
          <w:rFonts w:ascii="Arial" w:hAnsi="Arial" w:cs="Arial"/>
          <w:sz w:val="20"/>
          <w:szCs w:val="20"/>
        </w:rPr>
        <w:t xml:space="preserve">Cochran, W. G. (1977). Sampling techniques (3rd ed.). John Wiley &amp; Sons. </w:t>
      </w:r>
      <w:hyperlink r:id="rId34" w:history="1">
        <w:r w:rsidRPr="00F317B4">
          <w:rPr>
            <w:rStyle w:val="Hyperlink"/>
            <w:rFonts w:ascii="Arial" w:hAnsi="Arial" w:cs="Arial"/>
            <w:sz w:val="20"/>
            <w:szCs w:val="20"/>
          </w:rPr>
          <w:t>https://www.wiley.com/en-us/Sampling+Techniques%2C+3rd+Edition-p-9780471162407</w:t>
        </w:r>
      </w:hyperlink>
      <w:r>
        <w:rPr>
          <w:rFonts w:ascii="Arial" w:hAnsi="Arial" w:cs="Arial"/>
          <w:sz w:val="20"/>
          <w:szCs w:val="20"/>
        </w:rPr>
        <w:t xml:space="preserve"> </w:t>
      </w:r>
    </w:p>
    <w:p w14:paraId="32CBA91A" w14:textId="36D47C5F" w:rsidR="003C0D94" w:rsidRPr="00192884" w:rsidRDefault="004D29B5" w:rsidP="004D29B5">
      <w:pPr>
        <w:pStyle w:val="NormalWeb"/>
        <w:numPr>
          <w:ilvl w:val="0"/>
          <w:numId w:val="32"/>
        </w:numPr>
        <w:spacing w:beforeLines="100" w:before="240" w:beforeAutospacing="0" w:afterLines="100" w:after="240" w:afterAutospacing="0"/>
        <w:jc w:val="both"/>
        <w:rPr>
          <w:rFonts w:ascii="Arial" w:hAnsi="Arial" w:cs="Arial"/>
          <w:sz w:val="20"/>
          <w:szCs w:val="20"/>
        </w:rPr>
      </w:pPr>
      <w:r w:rsidRPr="004D29B5">
        <w:rPr>
          <w:rFonts w:ascii="Arial" w:hAnsi="Arial" w:cs="Arial"/>
          <w:sz w:val="20"/>
          <w:szCs w:val="20"/>
        </w:rPr>
        <w:t xml:space="preserve">Garza Tovar, O. A., Pérez, A. A. M., Pérez, M. E. G., Robledo, I. U., Galarza, F. F. G., &amp; Márquez, F. C. L. (2021). Serum electrolytes and renal alterations in HIV-seropositive Mexican subjects. Medicine, 100(20), e26016. </w:t>
      </w:r>
      <w:hyperlink r:id="rId35" w:history="1">
        <w:r w:rsidRPr="00F317B4">
          <w:rPr>
            <w:rStyle w:val="Hyperlink"/>
            <w:rFonts w:ascii="Arial" w:hAnsi="Arial" w:cs="Arial"/>
            <w:sz w:val="20"/>
            <w:szCs w:val="20"/>
          </w:rPr>
          <w:t>https://doi.org/10.1097/MD.0000000000026016</w:t>
        </w:r>
      </w:hyperlink>
      <w:r>
        <w:rPr>
          <w:rFonts w:ascii="Arial" w:hAnsi="Arial" w:cs="Arial"/>
          <w:sz w:val="20"/>
          <w:szCs w:val="20"/>
        </w:rPr>
        <w:t xml:space="preserve"> </w:t>
      </w:r>
    </w:p>
    <w:p w14:paraId="4A232914" w14:textId="730D032E" w:rsidR="003C0D94" w:rsidRPr="00192884" w:rsidRDefault="00A64B8E" w:rsidP="00A64B8E">
      <w:pPr>
        <w:pStyle w:val="NormalWeb"/>
        <w:numPr>
          <w:ilvl w:val="0"/>
          <w:numId w:val="32"/>
        </w:numPr>
        <w:spacing w:beforeLines="100" w:before="240" w:beforeAutospacing="0" w:afterLines="100" w:after="240" w:afterAutospacing="0"/>
        <w:jc w:val="both"/>
        <w:rPr>
          <w:rFonts w:ascii="Arial" w:hAnsi="Arial" w:cs="Arial"/>
          <w:sz w:val="20"/>
          <w:szCs w:val="20"/>
        </w:rPr>
      </w:pPr>
      <w:r w:rsidRPr="00A64B8E">
        <w:rPr>
          <w:rFonts w:ascii="Arial" w:hAnsi="Arial" w:cs="Arial"/>
          <w:sz w:val="20"/>
          <w:szCs w:val="20"/>
        </w:rPr>
        <w:t xml:space="preserve">Venter, W. D. F., Fabian, J., &amp; Feldman, C. (2018). An overview of tenofovir and renal disease for the HIV-treating clinician. Southern African Journal of HIV Medicine, 19(1), a817. </w:t>
      </w:r>
      <w:hyperlink r:id="rId36" w:history="1">
        <w:r w:rsidRPr="00F317B4">
          <w:rPr>
            <w:rStyle w:val="Hyperlink"/>
            <w:rFonts w:ascii="Arial" w:hAnsi="Arial" w:cs="Arial"/>
            <w:sz w:val="20"/>
            <w:szCs w:val="20"/>
          </w:rPr>
          <w:t>https://doi.org/10.4102/sajhivmed.v19i1.817</w:t>
        </w:r>
      </w:hyperlink>
      <w:r>
        <w:rPr>
          <w:rFonts w:ascii="Arial" w:hAnsi="Arial" w:cs="Arial"/>
          <w:sz w:val="20"/>
          <w:szCs w:val="20"/>
        </w:rPr>
        <w:t xml:space="preserve"> </w:t>
      </w:r>
    </w:p>
    <w:p w14:paraId="41EBCDEA" w14:textId="2EE020A2" w:rsidR="003C0D94" w:rsidRPr="00192884" w:rsidRDefault="00123016" w:rsidP="00123016">
      <w:pPr>
        <w:pStyle w:val="NormalWeb"/>
        <w:numPr>
          <w:ilvl w:val="0"/>
          <w:numId w:val="32"/>
        </w:numPr>
        <w:spacing w:beforeLines="100" w:before="240" w:beforeAutospacing="0" w:afterLines="100" w:after="240" w:afterAutospacing="0"/>
        <w:jc w:val="both"/>
        <w:rPr>
          <w:rFonts w:ascii="Arial" w:hAnsi="Arial" w:cs="Arial"/>
          <w:sz w:val="20"/>
          <w:szCs w:val="20"/>
        </w:rPr>
      </w:pPr>
      <w:r w:rsidRPr="00123016">
        <w:rPr>
          <w:rFonts w:ascii="Arial" w:hAnsi="Arial" w:cs="Arial"/>
          <w:sz w:val="20"/>
          <w:szCs w:val="20"/>
        </w:rPr>
        <w:t xml:space="preserve">Cooper, R. D., Wiebe, N., Smith, N., Keiser, P., Naicker, S., &amp; Tonelli, M. (2010). Systematic review and meta-analysis: Renal safety of tenofovir disoproxil fumarate in HIV-infected patients. Clinical Infectious Diseases, 51(5), 496-505. </w:t>
      </w:r>
      <w:hyperlink r:id="rId37" w:history="1">
        <w:r w:rsidRPr="00F317B4">
          <w:rPr>
            <w:rStyle w:val="Hyperlink"/>
            <w:rFonts w:ascii="Arial" w:hAnsi="Arial" w:cs="Arial"/>
            <w:sz w:val="20"/>
            <w:szCs w:val="20"/>
          </w:rPr>
          <w:t>https://doi.org/10.1086/655681</w:t>
        </w:r>
      </w:hyperlink>
      <w:r>
        <w:rPr>
          <w:rFonts w:ascii="Arial" w:hAnsi="Arial" w:cs="Arial"/>
          <w:sz w:val="20"/>
          <w:szCs w:val="20"/>
        </w:rPr>
        <w:t xml:space="preserve"> </w:t>
      </w:r>
    </w:p>
    <w:p w14:paraId="0E476832" w14:textId="334D5212" w:rsidR="003C0D94" w:rsidRPr="00192884" w:rsidRDefault="000D1FB6" w:rsidP="000D1FB6">
      <w:pPr>
        <w:pStyle w:val="NormalWeb"/>
        <w:numPr>
          <w:ilvl w:val="0"/>
          <w:numId w:val="32"/>
        </w:numPr>
        <w:spacing w:beforeLines="100" w:before="240" w:beforeAutospacing="0" w:afterLines="100" w:after="240" w:afterAutospacing="0"/>
        <w:jc w:val="both"/>
        <w:rPr>
          <w:rFonts w:ascii="Arial" w:hAnsi="Arial" w:cs="Arial"/>
          <w:sz w:val="20"/>
          <w:szCs w:val="20"/>
        </w:rPr>
      </w:pPr>
      <w:r w:rsidRPr="000D1FB6">
        <w:rPr>
          <w:rFonts w:ascii="Arial" w:hAnsi="Arial" w:cs="Arial"/>
          <w:sz w:val="20"/>
          <w:szCs w:val="20"/>
        </w:rPr>
        <w:t xml:space="preserve">Grant, P. M., &amp; Cotter, A. G. (2016). Tenofovir and bone health. Current Opinion in HIV and AIDS, 11(3), 326-332. </w:t>
      </w:r>
      <w:hyperlink r:id="rId38" w:history="1">
        <w:r w:rsidRPr="00F317B4">
          <w:rPr>
            <w:rStyle w:val="Hyperlink"/>
            <w:rFonts w:ascii="Arial" w:hAnsi="Arial" w:cs="Arial"/>
            <w:sz w:val="20"/>
            <w:szCs w:val="20"/>
          </w:rPr>
          <w:t>https://doi.org/10.1097/COH.0000000000000248</w:t>
        </w:r>
      </w:hyperlink>
      <w:r>
        <w:rPr>
          <w:rFonts w:ascii="Arial" w:hAnsi="Arial" w:cs="Arial"/>
          <w:sz w:val="20"/>
          <w:szCs w:val="20"/>
        </w:rPr>
        <w:t xml:space="preserve"> </w:t>
      </w:r>
    </w:p>
    <w:p w14:paraId="64750600" w14:textId="0FD1DBF7" w:rsidR="003C0D94" w:rsidRPr="00192884" w:rsidRDefault="005271F4" w:rsidP="005271F4">
      <w:pPr>
        <w:pStyle w:val="NormalWeb"/>
        <w:numPr>
          <w:ilvl w:val="0"/>
          <w:numId w:val="32"/>
        </w:numPr>
        <w:spacing w:beforeLines="100" w:before="240" w:beforeAutospacing="0" w:afterLines="100" w:after="240" w:afterAutospacing="0"/>
        <w:jc w:val="both"/>
        <w:rPr>
          <w:rFonts w:ascii="Arial" w:hAnsi="Arial" w:cs="Arial"/>
          <w:sz w:val="20"/>
          <w:szCs w:val="20"/>
        </w:rPr>
      </w:pPr>
      <w:r w:rsidRPr="005271F4">
        <w:rPr>
          <w:rFonts w:ascii="Arial" w:hAnsi="Arial" w:cs="Arial"/>
          <w:sz w:val="20"/>
          <w:szCs w:val="20"/>
        </w:rPr>
        <w:t xml:space="preserve">Gupta, S. K., Yeh, E., Kitch, D. W., Brown, T. T., Venuto, C. S., Morse, G. D., Ha, B., Melbourne, K., &amp; McComsey, G. A. (2017). Bone mineral density reductions after tenofovir disoproxil fumarate initiation and changes in phosphaturia: A secondary analysis of ACTG A5224s. The Journal of Antimicrobial Chemotherapy, 72(7), 2042–2048. </w:t>
      </w:r>
      <w:hyperlink r:id="rId39" w:history="1">
        <w:r w:rsidRPr="00F317B4">
          <w:rPr>
            <w:rStyle w:val="Hyperlink"/>
            <w:rFonts w:ascii="Arial" w:hAnsi="Arial" w:cs="Arial"/>
            <w:sz w:val="20"/>
            <w:szCs w:val="20"/>
          </w:rPr>
          <w:t>https://doi.org/10.1093/jac/dkx076</w:t>
        </w:r>
      </w:hyperlink>
      <w:r>
        <w:rPr>
          <w:rFonts w:ascii="Arial" w:hAnsi="Arial" w:cs="Arial"/>
          <w:sz w:val="20"/>
          <w:szCs w:val="20"/>
        </w:rPr>
        <w:t xml:space="preserve"> </w:t>
      </w:r>
      <w:r w:rsidR="003C0D94" w:rsidRPr="00192884">
        <w:rPr>
          <w:rFonts w:ascii="Arial" w:hAnsi="Arial" w:cs="Arial"/>
          <w:sz w:val="20"/>
          <w:szCs w:val="20"/>
        </w:rPr>
        <w:t>.</w:t>
      </w:r>
    </w:p>
    <w:p w14:paraId="787424E8" w14:textId="23D06441" w:rsidR="003C0D94" w:rsidRPr="00192884" w:rsidRDefault="003E65CB" w:rsidP="003E65CB">
      <w:pPr>
        <w:pStyle w:val="NormalWeb"/>
        <w:numPr>
          <w:ilvl w:val="0"/>
          <w:numId w:val="32"/>
        </w:numPr>
        <w:spacing w:beforeLines="100" w:before="240" w:beforeAutospacing="0" w:afterLines="100" w:after="240" w:afterAutospacing="0"/>
        <w:jc w:val="both"/>
        <w:rPr>
          <w:rFonts w:ascii="Arial" w:hAnsi="Arial" w:cs="Arial"/>
          <w:sz w:val="20"/>
          <w:szCs w:val="20"/>
        </w:rPr>
      </w:pPr>
      <w:r w:rsidRPr="003E65CB">
        <w:rPr>
          <w:rFonts w:ascii="Arial" w:hAnsi="Arial" w:cs="Arial"/>
          <w:sz w:val="20"/>
          <w:szCs w:val="20"/>
        </w:rPr>
        <w:lastRenderedPageBreak/>
        <w:t xml:space="preserve">Obiebi, I. P., &amp; Nwannadi, E. A. (2018). Tenofovir-induced renal tubular dysfunction among human immunodeficiency virus patients on antiretroviral therapy in Nigeria: Prospects for early detection of presymptomatic nephrotoxicity. Kidney Research and Clinical Practice, 37(3), 230-238. </w:t>
      </w:r>
      <w:hyperlink r:id="rId40" w:history="1">
        <w:r w:rsidRPr="00F317B4">
          <w:rPr>
            <w:rStyle w:val="Hyperlink"/>
            <w:rFonts w:ascii="Arial" w:hAnsi="Arial" w:cs="Arial"/>
            <w:sz w:val="20"/>
            <w:szCs w:val="20"/>
          </w:rPr>
          <w:t>https://doi.org/10.23876/j.krcp.2018.37.3.230</w:t>
        </w:r>
      </w:hyperlink>
      <w:r>
        <w:rPr>
          <w:rFonts w:ascii="Arial" w:hAnsi="Arial" w:cs="Arial"/>
          <w:sz w:val="20"/>
          <w:szCs w:val="20"/>
        </w:rPr>
        <w:t xml:space="preserve"> </w:t>
      </w:r>
    </w:p>
    <w:p w14:paraId="1AB8E29A" w14:textId="3205FFCD" w:rsidR="003C0D94" w:rsidRPr="00192884" w:rsidRDefault="00783683" w:rsidP="00783683">
      <w:pPr>
        <w:pStyle w:val="ListParagraph"/>
        <w:numPr>
          <w:ilvl w:val="0"/>
          <w:numId w:val="32"/>
        </w:numPr>
        <w:spacing w:after="0" w:line="240" w:lineRule="auto"/>
        <w:jc w:val="both"/>
        <w:rPr>
          <w:rFonts w:ascii="Arial" w:hAnsi="Arial" w:cs="Arial"/>
          <w:b/>
          <w:bCs/>
          <w:sz w:val="20"/>
          <w:szCs w:val="20"/>
        </w:rPr>
      </w:pPr>
      <w:r w:rsidRPr="00783683">
        <w:rPr>
          <w:rFonts w:ascii="Arial" w:eastAsia="Segoe UI" w:hAnsi="Arial" w:cs="Arial"/>
          <w:sz w:val="20"/>
          <w:szCs w:val="20"/>
          <w:shd w:val="clear" w:color="auto" w:fill="FFFFFF"/>
        </w:rPr>
        <w:t xml:space="preserve">Mirza, F. S., Luthra, P., &amp; Chirch, L. (2018). Endocrinological aspects of HIV infection. Journal of Endocrinological Investigation, 41(8), 881–899. </w:t>
      </w:r>
      <w:hyperlink r:id="rId41" w:history="1">
        <w:r w:rsidRPr="00F317B4">
          <w:rPr>
            <w:rStyle w:val="Hyperlink"/>
            <w:rFonts w:ascii="Arial" w:eastAsia="Segoe UI" w:hAnsi="Arial" w:cs="Arial"/>
            <w:sz w:val="20"/>
            <w:szCs w:val="20"/>
            <w:shd w:val="clear" w:color="auto" w:fill="FFFFFF"/>
          </w:rPr>
          <w:t>https://doi.org/10.1007/s40618-017-0812-x</w:t>
        </w:r>
      </w:hyperlink>
      <w:r>
        <w:rPr>
          <w:rFonts w:ascii="Arial" w:eastAsia="Segoe UI" w:hAnsi="Arial" w:cs="Arial"/>
          <w:sz w:val="20"/>
          <w:szCs w:val="20"/>
          <w:shd w:val="clear" w:color="auto" w:fill="FFFFFF"/>
        </w:rPr>
        <w:t xml:space="preserve"> </w:t>
      </w:r>
    </w:p>
    <w:p w14:paraId="41D9ED69" w14:textId="2BD6B0B7" w:rsidR="003C0D94" w:rsidRPr="00192884" w:rsidRDefault="00CC3831" w:rsidP="00CC3831">
      <w:pPr>
        <w:pStyle w:val="NormalWeb"/>
        <w:numPr>
          <w:ilvl w:val="0"/>
          <w:numId w:val="32"/>
        </w:numPr>
        <w:spacing w:beforeLines="100" w:before="240" w:beforeAutospacing="0" w:afterLines="100" w:after="240" w:afterAutospacing="0"/>
        <w:jc w:val="both"/>
        <w:rPr>
          <w:rFonts w:ascii="Arial" w:hAnsi="Arial" w:cs="Arial"/>
          <w:sz w:val="20"/>
          <w:szCs w:val="20"/>
        </w:rPr>
      </w:pPr>
      <w:r w:rsidRPr="00CC3831">
        <w:rPr>
          <w:rFonts w:ascii="Arial" w:hAnsi="Arial" w:cs="Arial"/>
          <w:sz w:val="20"/>
          <w:szCs w:val="20"/>
        </w:rPr>
        <w:t xml:space="preserve">Zaid, D., &amp; Greenman, Y. (2019). Human immunodeficiency virus infection and the endocrine system. Endocrinology and Metabolism (Seoul), 34(2), 95–105. </w:t>
      </w:r>
      <w:hyperlink r:id="rId42" w:history="1">
        <w:r w:rsidRPr="00F317B4">
          <w:rPr>
            <w:rStyle w:val="Hyperlink"/>
            <w:rFonts w:ascii="Arial" w:hAnsi="Arial" w:cs="Arial"/>
            <w:sz w:val="20"/>
            <w:szCs w:val="20"/>
          </w:rPr>
          <w:t>https://doi.org/10.3803/EnM.2019.34.2.95</w:t>
        </w:r>
      </w:hyperlink>
      <w:r>
        <w:rPr>
          <w:rFonts w:ascii="Arial" w:hAnsi="Arial" w:cs="Arial"/>
          <w:sz w:val="20"/>
          <w:szCs w:val="20"/>
        </w:rPr>
        <w:t xml:space="preserve"> </w:t>
      </w:r>
      <w:r w:rsidR="003C0D94" w:rsidRPr="00192884">
        <w:rPr>
          <w:rFonts w:ascii="Arial" w:hAnsi="Arial" w:cs="Arial"/>
          <w:sz w:val="20"/>
          <w:szCs w:val="20"/>
        </w:rPr>
        <w:t xml:space="preserve"> </w:t>
      </w:r>
    </w:p>
    <w:p w14:paraId="6075A936" w14:textId="741B0834" w:rsidR="003C0D94" w:rsidRPr="00192884" w:rsidRDefault="00C13F05" w:rsidP="00C13F05">
      <w:pPr>
        <w:pStyle w:val="NormalWeb"/>
        <w:numPr>
          <w:ilvl w:val="0"/>
          <w:numId w:val="32"/>
        </w:numPr>
        <w:spacing w:beforeLines="100" w:before="240" w:beforeAutospacing="0" w:afterLines="100" w:after="240" w:afterAutospacing="0"/>
        <w:jc w:val="both"/>
        <w:rPr>
          <w:rFonts w:ascii="Arial" w:eastAsia="Segoe UI" w:hAnsi="Arial" w:cs="Arial"/>
          <w:sz w:val="20"/>
          <w:szCs w:val="20"/>
          <w:shd w:val="clear" w:color="auto" w:fill="FFFFFF"/>
        </w:rPr>
      </w:pPr>
      <w:r w:rsidRPr="00C13F05">
        <w:rPr>
          <w:rFonts w:ascii="Arial" w:eastAsia="Segoe UI" w:hAnsi="Arial" w:cs="Arial"/>
          <w:sz w:val="20"/>
          <w:szCs w:val="20"/>
          <w:shd w:val="clear" w:color="auto" w:fill="FFFFFF"/>
        </w:rPr>
        <w:t xml:space="preserve">Alvarez, J. A., Yang, C. A., Ojuri, V., Buckley, K., Bedi, B., Musonge-Effoe, J., Soibi-Harry, A., &amp; Lahiri, C. D. (2024). Sex Differences in Metabolic Disorders of Aging and Obesity in People with HIV. Current HIV/AIDS Reports, 22(1), 3-5. </w:t>
      </w:r>
      <w:hyperlink r:id="rId43" w:history="1">
        <w:r w:rsidRPr="00F317B4">
          <w:rPr>
            <w:rStyle w:val="Hyperlink"/>
            <w:rFonts w:ascii="Arial" w:eastAsia="Segoe UI" w:hAnsi="Arial" w:cs="Arial"/>
            <w:sz w:val="20"/>
            <w:szCs w:val="20"/>
            <w:shd w:val="clear" w:color="auto" w:fill="FFFFFF"/>
          </w:rPr>
          <w:t>https://doi.org/10.1007/s11904-024-00711-2</w:t>
        </w:r>
      </w:hyperlink>
      <w:r>
        <w:rPr>
          <w:rFonts w:ascii="Arial" w:eastAsia="Segoe UI" w:hAnsi="Arial" w:cs="Arial"/>
          <w:sz w:val="20"/>
          <w:szCs w:val="20"/>
          <w:shd w:val="clear" w:color="auto" w:fill="FFFFFF"/>
        </w:rPr>
        <w:t xml:space="preserve"> </w:t>
      </w:r>
    </w:p>
    <w:p w14:paraId="1CE9752E" w14:textId="7353D2F0" w:rsidR="003C0D94" w:rsidRPr="00192884" w:rsidRDefault="00085C9B" w:rsidP="00085C9B">
      <w:pPr>
        <w:pStyle w:val="NormalWeb"/>
        <w:numPr>
          <w:ilvl w:val="0"/>
          <w:numId w:val="32"/>
        </w:numPr>
        <w:spacing w:beforeLines="100" w:before="240" w:beforeAutospacing="0" w:afterLines="100" w:after="240" w:afterAutospacing="0"/>
        <w:jc w:val="both"/>
        <w:rPr>
          <w:rFonts w:ascii="Arial" w:hAnsi="Arial" w:cs="Arial"/>
          <w:sz w:val="20"/>
          <w:szCs w:val="20"/>
        </w:rPr>
      </w:pPr>
      <w:r w:rsidRPr="00085C9B">
        <w:rPr>
          <w:rFonts w:ascii="Arial" w:hAnsi="Arial" w:cs="Arial"/>
          <w:sz w:val="20"/>
          <w:szCs w:val="20"/>
        </w:rPr>
        <w:t xml:space="preserve">Valera, H., Chen, A., &amp; Grive, K. J. (2025). The hypothalamic-pituitary-ovarian axis, ovarian disorders, and brain aging. Endocrinology. </w:t>
      </w:r>
      <w:hyperlink r:id="rId44" w:history="1">
        <w:r w:rsidRPr="00F317B4">
          <w:rPr>
            <w:rStyle w:val="Hyperlink"/>
            <w:rFonts w:ascii="Arial" w:hAnsi="Arial" w:cs="Arial"/>
            <w:sz w:val="20"/>
            <w:szCs w:val="20"/>
          </w:rPr>
          <w:t>https://doi.org/10.1210/endocr/bqaf137</w:t>
        </w:r>
      </w:hyperlink>
      <w:r>
        <w:rPr>
          <w:rFonts w:ascii="Arial" w:hAnsi="Arial" w:cs="Arial"/>
          <w:sz w:val="20"/>
          <w:szCs w:val="20"/>
        </w:rPr>
        <w:t xml:space="preserve"> </w:t>
      </w:r>
    </w:p>
    <w:p w14:paraId="43412327" w14:textId="213A962E" w:rsidR="003C0D94" w:rsidRPr="00192884" w:rsidRDefault="00B4625F" w:rsidP="00B4625F">
      <w:pPr>
        <w:pStyle w:val="NormalWeb"/>
        <w:numPr>
          <w:ilvl w:val="0"/>
          <w:numId w:val="32"/>
        </w:numPr>
        <w:spacing w:beforeLines="100" w:before="240" w:beforeAutospacing="0" w:afterLines="100" w:after="240" w:afterAutospacing="0"/>
        <w:jc w:val="both"/>
        <w:rPr>
          <w:rFonts w:ascii="Arial" w:hAnsi="Arial" w:cs="Arial"/>
          <w:sz w:val="20"/>
          <w:szCs w:val="20"/>
        </w:rPr>
      </w:pPr>
      <w:r w:rsidRPr="00B4625F">
        <w:rPr>
          <w:rFonts w:ascii="Arial" w:hAnsi="Arial" w:cs="Arial"/>
          <w:sz w:val="20"/>
          <w:szCs w:val="20"/>
        </w:rPr>
        <w:t xml:space="preserve">Wira, C. R., Rodriguez-Garcia, M., Shen, Z., Patel, M., &amp; Fahey, J. V. (2014). The role of sex hormones and the tissue environment in immune protection against HIV in the female reproductive tract. American Journal of Reproductive Immunology, 72(2), 171-181. </w:t>
      </w:r>
      <w:hyperlink r:id="rId45" w:history="1">
        <w:r w:rsidRPr="00F317B4">
          <w:rPr>
            <w:rStyle w:val="Hyperlink"/>
            <w:rFonts w:ascii="Arial" w:hAnsi="Arial" w:cs="Arial"/>
            <w:sz w:val="20"/>
            <w:szCs w:val="20"/>
          </w:rPr>
          <w:t>https://doi.org/10.1111/aji.12235</w:t>
        </w:r>
      </w:hyperlink>
      <w:r>
        <w:rPr>
          <w:rFonts w:ascii="Arial" w:hAnsi="Arial" w:cs="Arial"/>
          <w:sz w:val="20"/>
          <w:szCs w:val="20"/>
        </w:rPr>
        <w:t xml:space="preserve"> </w:t>
      </w:r>
    </w:p>
    <w:p w14:paraId="34EE66E9" w14:textId="6EB011BD" w:rsidR="003C0D94" w:rsidRPr="00192884" w:rsidRDefault="00842F1D" w:rsidP="00842F1D">
      <w:pPr>
        <w:pStyle w:val="NormalWeb"/>
        <w:numPr>
          <w:ilvl w:val="0"/>
          <w:numId w:val="32"/>
        </w:numPr>
        <w:spacing w:beforeLines="100" w:before="240" w:beforeAutospacing="0" w:afterLines="100" w:after="240" w:afterAutospacing="0"/>
        <w:jc w:val="both"/>
        <w:rPr>
          <w:rFonts w:ascii="Arial" w:hAnsi="Arial" w:cs="Arial"/>
          <w:sz w:val="20"/>
          <w:szCs w:val="20"/>
        </w:rPr>
      </w:pPr>
      <w:r w:rsidRPr="00842F1D">
        <w:rPr>
          <w:rFonts w:ascii="Arial" w:hAnsi="Arial" w:cs="Arial"/>
          <w:sz w:val="20"/>
          <w:szCs w:val="20"/>
        </w:rPr>
        <w:t xml:space="preserve">Nagappa, V., &amp; Shamantha, M. C. (2025). Gonadal hormonal changes in HIV-positive individuals following anti-retroviral therapy at K.R. Hospital, Mysuru, Karnataka, India. Asian Journal of Research in Infectious Diseases, 16(2), 56-62. </w:t>
      </w:r>
      <w:hyperlink r:id="rId46" w:history="1">
        <w:r w:rsidRPr="00F317B4">
          <w:rPr>
            <w:rStyle w:val="Hyperlink"/>
            <w:rFonts w:ascii="Arial" w:hAnsi="Arial" w:cs="Arial"/>
            <w:sz w:val="20"/>
            <w:szCs w:val="20"/>
          </w:rPr>
          <w:t>https://doi.org/10.9734/ajrid/2025/v16i2423</w:t>
        </w:r>
      </w:hyperlink>
      <w:r>
        <w:rPr>
          <w:rFonts w:ascii="Arial" w:hAnsi="Arial" w:cs="Arial"/>
          <w:sz w:val="20"/>
          <w:szCs w:val="20"/>
        </w:rPr>
        <w:t xml:space="preserve"> </w:t>
      </w:r>
    </w:p>
    <w:p w14:paraId="38EEC705" w14:textId="0C2EC27C" w:rsidR="003C0D94" w:rsidRPr="00192884" w:rsidRDefault="00CD78E8" w:rsidP="00CD78E8">
      <w:pPr>
        <w:pStyle w:val="NormalWeb"/>
        <w:numPr>
          <w:ilvl w:val="0"/>
          <w:numId w:val="32"/>
        </w:numPr>
        <w:spacing w:beforeLines="100" w:before="240" w:beforeAutospacing="0" w:afterLines="100" w:after="240" w:afterAutospacing="0"/>
        <w:jc w:val="both"/>
        <w:rPr>
          <w:rFonts w:ascii="Arial" w:hAnsi="Arial" w:cs="Arial"/>
          <w:sz w:val="20"/>
          <w:szCs w:val="20"/>
        </w:rPr>
      </w:pPr>
      <w:r w:rsidRPr="00CD78E8">
        <w:rPr>
          <w:rFonts w:ascii="Arial" w:hAnsi="Arial" w:cs="Arial"/>
          <w:sz w:val="20"/>
          <w:szCs w:val="20"/>
        </w:rPr>
        <w:t xml:space="preserve">Lee, J. E., Lee, S., Song, S. H., Kwak, I. S., &amp; Lee, S. H. (2019). Incidence and risk factors for tenofovir-associated nephrotoxicity among human immunodeficiency virus-infected patients in Korea. The Korean Journal of Internal Medicine, 34(2), 409-417. </w:t>
      </w:r>
      <w:hyperlink r:id="rId47" w:history="1">
        <w:r w:rsidRPr="00F317B4">
          <w:rPr>
            <w:rStyle w:val="Hyperlink"/>
            <w:rFonts w:ascii="Arial" w:hAnsi="Arial" w:cs="Arial"/>
            <w:sz w:val="20"/>
            <w:szCs w:val="20"/>
          </w:rPr>
          <w:t>https://doi.org/10.3904/kjim.2016.418</w:t>
        </w:r>
      </w:hyperlink>
      <w:r>
        <w:rPr>
          <w:rFonts w:ascii="Arial" w:hAnsi="Arial" w:cs="Arial"/>
          <w:sz w:val="20"/>
          <w:szCs w:val="20"/>
        </w:rPr>
        <w:t xml:space="preserve"> </w:t>
      </w:r>
    </w:p>
    <w:p w14:paraId="3B55E482" w14:textId="75C77653" w:rsidR="003C0D94" w:rsidRPr="00192884" w:rsidRDefault="00EE75B0" w:rsidP="00EE75B0">
      <w:pPr>
        <w:pStyle w:val="NormalWeb"/>
        <w:numPr>
          <w:ilvl w:val="0"/>
          <w:numId w:val="32"/>
        </w:numPr>
        <w:spacing w:beforeLines="100" w:before="240" w:beforeAutospacing="0" w:afterLines="100" w:after="240" w:afterAutospacing="0"/>
        <w:jc w:val="both"/>
        <w:rPr>
          <w:rFonts w:ascii="Arial" w:hAnsi="Arial" w:cs="Arial"/>
          <w:sz w:val="20"/>
          <w:szCs w:val="20"/>
        </w:rPr>
      </w:pPr>
      <w:r w:rsidRPr="00EE75B0">
        <w:rPr>
          <w:rFonts w:ascii="Arial" w:hAnsi="Arial" w:cs="Arial"/>
          <w:sz w:val="20"/>
          <w:szCs w:val="20"/>
        </w:rPr>
        <w:t xml:space="preserve">Sundermann, E. E., Erlandson, K. M., Pope, C. N., Rubtsova, A., Montoya, J., Moore, A. A., Marzolini, C., O'Brien, K. K., Pahwa, S., Payne, B. A. I., Rubin, L. H., Walmsley, S., Haughey, N. J., Montano, M., Karris, M. Y., Margolick, J. B., &amp; Moore, D. J. (2019). Current challenges and solutions in research and clinical care of older persons living with HIV: Findings presented at the 9th International Workshop on HIV and Aging. *AIDS Research and Human Retroviruses*, *35*(11-12), 985-998. </w:t>
      </w:r>
      <w:hyperlink r:id="rId48" w:history="1">
        <w:r w:rsidRPr="00F317B4">
          <w:rPr>
            <w:rStyle w:val="Hyperlink"/>
            <w:rFonts w:ascii="Arial" w:hAnsi="Arial" w:cs="Arial"/>
            <w:sz w:val="20"/>
            <w:szCs w:val="20"/>
          </w:rPr>
          <w:t>https://doi.org/10.1089/AID.2019.0100</w:t>
        </w:r>
      </w:hyperlink>
      <w:r>
        <w:rPr>
          <w:rFonts w:ascii="Arial" w:hAnsi="Arial" w:cs="Arial"/>
          <w:sz w:val="20"/>
          <w:szCs w:val="20"/>
        </w:rPr>
        <w:t xml:space="preserve"> </w:t>
      </w:r>
    </w:p>
    <w:p w14:paraId="692C12F6" w14:textId="777359BB" w:rsidR="003C0D94" w:rsidRPr="00192884" w:rsidRDefault="00BA0475" w:rsidP="00BA0475">
      <w:pPr>
        <w:pStyle w:val="NormalWeb"/>
        <w:numPr>
          <w:ilvl w:val="0"/>
          <w:numId w:val="32"/>
        </w:numPr>
        <w:spacing w:beforeLines="100" w:before="240" w:beforeAutospacing="0" w:afterLines="100" w:after="240" w:afterAutospacing="0"/>
        <w:jc w:val="both"/>
        <w:rPr>
          <w:rFonts w:ascii="Arial" w:hAnsi="Arial" w:cs="Arial"/>
          <w:sz w:val="20"/>
          <w:szCs w:val="20"/>
        </w:rPr>
      </w:pPr>
      <w:r w:rsidRPr="00BA0475">
        <w:rPr>
          <w:rFonts w:ascii="Arial" w:hAnsi="Arial" w:cs="Arial"/>
          <w:sz w:val="20"/>
          <w:szCs w:val="20"/>
        </w:rPr>
        <w:t xml:space="preserve">Prakoeswa, F. R. S., Maharani, F., Bestari, R. S., Aisyah, R., Ichsan, B., Nursanto, D., Listiansyah, R., &amp; Tuanaya, M. R. N. (2025). Aging and HIV: Recent findings in contributing factors. *AIDS Research and Treatment*, *2025*, Article ID 8814760. </w:t>
      </w:r>
      <w:hyperlink r:id="rId49" w:history="1">
        <w:r w:rsidRPr="00F317B4">
          <w:rPr>
            <w:rStyle w:val="Hyperlink"/>
            <w:rFonts w:ascii="Arial" w:hAnsi="Arial" w:cs="Arial"/>
            <w:sz w:val="20"/>
            <w:szCs w:val="20"/>
          </w:rPr>
          <w:t>https://doi.org/10.1155/arat/8814760</w:t>
        </w:r>
      </w:hyperlink>
      <w:r>
        <w:rPr>
          <w:rFonts w:ascii="Arial" w:hAnsi="Arial" w:cs="Arial"/>
          <w:sz w:val="20"/>
          <w:szCs w:val="20"/>
        </w:rPr>
        <w:t xml:space="preserve"> </w:t>
      </w:r>
    </w:p>
    <w:p w14:paraId="5AE048FF" w14:textId="6141C3EE" w:rsidR="003C0D94" w:rsidRPr="00192884" w:rsidRDefault="00B04833" w:rsidP="00B04833">
      <w:pPr>
        <w:pStyle w:val="NormalWeb"/>
        <w:numPr>
          <w:ilvl w:val="0"/>
          <w:numId w:val="32"/>
        </w:numPr>
        <w:spacing w:beforeLines="100" w:before="240" w:beforeAutospacing="0" w:afterLines="100" w:after="240" w:afterAutospacing="0"/>
        <w:jc w:val="both"/>
        <w:rPr>
          <w:rFonts w:ascii="Arial" w:hAnsi="Arial" w:cs="Arial"/>
          <w:sz w:val="20"/>
          <w:szCs w:val="20"/>
        </w:rPr>
      </w:pPr>
      <w:r w:rsidRPr="00B04833">
        <w:rPr>
          <w:rFonts w:ascii="Arial" w:hAnsi="Arial" w:cs="Arial"/>
          <w:sz w:val="20"/>
          <w:szCs w:val="20"/>
        </w:rPr>
        <w:t xml:space="preserve">Gianesin, K., Noguera-Julian, A., Zanchetta, M., Del Bianco, P., Petrara, M. R., Freguja, R., Rampon, O., Fortuny, C., Camós, M., Mozzo, E., Giaquinto, C., &amp; De </w:t>
      </w:r>
      <w:r w:rsidRPr="00B04833">
        <w:rPr>
          <w:rFonts w:ascii="Arial" w:hAnsi="Arial" w:cs="Arial"/>
          <w:sz w:val="20"/>
          <w:szCs w:val="20"/>
        </w:rPr>
        <w:lastRenderedPageBreak/>
        <w:t xml:space="preserve">Rossi, A. (2016). Premature aging and immune senescence in HIV-infected children. AIDS, 30(9), 1363-1373. </w:t>
      </w:r>
      <w:hyperlink r:id="rId50" w:history="1">
        <w:r w:rsidRPr="00F317B4">
          <w:rPr>
            <w:rStyle w:val="Hyperlink"/>
            <w:rFonts w:ascii="Arial" w:hAnsi="Arial" w:cs="Arial"/>
            <w:sz w:val="20"/>
            <w:szCs w:val="20"/>
          </w:rPr>
          <w:t>https://doi.org/10.1097/QAD.0000000000001093</w:t>
        </w:r>
      </w:hyperlink>
      <w:r>
        <w:rPr>
          <w:rFonts w:ascii="Arial" w:hAnsi="Arial" w:cs="Arial"/>
          <w:sz w:val="20"/>
          <w:szCs w:val="20"/>
        </w:rPr>
        <w:t xml:space="preserve"> </w:t>
      </w:r>
    </w:p>
    <w:p w14:paraId="695D5279" w14:textId="11572159" w:rsidR="003C0D94" w:rsidRPr="00192884" w:rsidRDefault="00260279" w:rsidP="00260279">
      <w:pPr>
        <w:pStyle w:val="NormalWeb"/>
        <w:numPr>
          <w:ilvl w:val="0"/>
          <w:numId w:val="32"/>
        </w:numPr>
        <w:spacing w:beforeLines="100" w:before="240" w:beforeAutospacing="0" w:afterLines="100" w:after="240" w:afterAutospacing="0"/>
        <w:jc w:val="both"/>
        <w:rPr>
          <w:rFonts w:ascii="Arial" w:hAnsi="Arial" w:cs="Arial"/>
          <w:sz w:val="20"/>
          <w:szCs w:val="20"/>
        </w:rPr>
      </w:pPr>
      <w:r w:rsidRPr="00260279">
        <w:rPr>
          <w:rFonts w:ascii="Arial" w:hAnsi="Arial" w:cs="Arial"/>
          <w:sz w:val="20"/>
          <w:szCs w:val="20"/>
        </w:rPr>
        <w:t xml:space="preserve">Iddi, S., Dika, H., Kidenya, B. R., &amp; Kalluvya, S. (2024). Serum gonadal hormones levels and hypogonadism in ART naïve newly diagnosed HIV infected adult males in Mwanza, Tanzania. BMC Endocrine Disorders, 24(1), 50. </w:t>
      </w:r>
      <w:hyperlink r:id="rId51" w:history="1">
        <w:r w:rsidRPr="00F317B4">
          <w:rPr>
            <w:rStyle w:val="Hyperlink"/>
            <w:rFonts w:ascii="Arial" w:hAnsi="Arial" w:cs="Arial"/>
            <w:sz w:val="20"/>
            <w:szCs w:val="20"/>
          </w:rPr>
          <w:t>https://doi.org/10.1186/s12902-024-01581-w</w:t>
        </w:r>
      </w:hyperlink>
      <w:r>
        <w:rPr>
          <w:rFonts w:ascii="Arial" w:hAnsi="Arial" w:cs="Arial"/>
          <w:sz w:val="20"/>
          <w:szCs w:val="20"/>
        </w:rPr>
        <w:t xml:space="preserve"> </w:t>
      </w:r>
    </w:p>
    <w:p w14:paraId="3C31E51E" w14:textId="4895E48E" w:rsidR="003C0D94" w:rsidRPr="00192884" w:rsidRDefault="0083331E" w:rsidP="0083331E">
      <w:pPr>
        <w:pStyle w:val="NormalWeb"/>
        <w:numPr>
          <w:ilvl w:val="0"/>
          <w:numId w:val="32"/>
        </w:numPr>
        <w:spacing w:beforeLines="100" w:before="240" w:beforeAutospacing="0" w:afterLines="100" w:after="240" w:afterAutospacing="0"/>
        <w:jc w:val="both"/>
        <w:rPr>
          <w:rFonts w:ascii="Arial" w:hAnsi="Arial" w:cs="Arial"/>
          <w:sz w:val="20"/>
          <w:szCs w:val="20"/>
        </w:rPr>
      </w:pPr>
      <w:r w:rsidRPr="0083331E">
        <w:rPr>
          <w:rFonts w:ascii="Arial" w:hAnsi="Arial" w:cs="Arial"/>
          <w:sz w:val="20"/>
          <w:szCs w:val="20"/>
        </w:rPr>
        <w:t xml:space="preserve">Fukumoto, S. (2014). Phosphate metabolism and vitamin D. BoneKEy Reports, 3, 497. </w:t>
      </w:r>
      <w:hyperlink r:id="rId52" w:history="1">
        <w:r w:rsidRPr="00F317B4">
          <w:rPr>
            <w:rStyle w:val="Hyperlink"/>
            <w:rFonts w:ascii="Arial" w:hAnsi="Arial" w:cs="Arial"/>
            <w:sz w:val="20"/>
            <w:szCs w:val="20"/>
          </w:rPr>
          <w:t>https://doi.org/10.1038/bonekey.2013.231</w:t>
        </w:r>
      </w:hyperlink>
      <w:r>
        <w:rPr>
          <w:rFonts w:ascii="Arial" w:hAnsi="Arial" w:cs="Arial"/>
          <w:sz w:val="20"/>
          <w:szCs w:val="20"/>
        </w:rPr>
        <w:t xml:space="preserve"> </w:t>
      </w:r>
    </w:p>
    <w:p w14:paraId="612F7EB9" w14:textId="13E05555" w:rsidR="003C0D94" w:rsidRPr="00192884" w:rsidRDefault="00A502BC" w:rsidP="00A502BC">
      <w:pPr>
        <w:pStyle w:val="NormalWeb"/>
        <w:numPr>
          <w:ilvl w:val="0"/>
          <w:numId w:val="32"/>
        </w:numPr>
        <w:spacing w:before="0" w:beforeAutospacing="0" w:after="0" w:afterAutospacing="0"/>
        <w:jc w:val="both"/>
        <w:rPr>
          <w:rFonts w:ascii="Arial" w:hAnsi="Arial" w:cs="Arial"/>
          <w:sz w:val="20"/>
          <w:szCs w:val="20"/>
        </w:rPr>
      </w:pPr>
      <w:r w:rsidRPr="00A502BC">
        <w:rPr>
          <w:rFonts w:ascii="Arial" w:hAnsi="Arial" w:cs="Arial"/>
          <w:sz w:val="20"/>
          <w:szCs w:val="20"/>
        </w:rPr>
        <w:t xml:space="preserve">Wiederkehr, M., &amp; Krapf, R. (2001). Metabolic and endocrine effects of metabolic acidosis in humans. Swiss Medical Weekly. </w:t>
      </w:r>
      <w:hyperlink r:id="rId53" w:history="1">
        <w:r w:rsidRPr="00F317B4">
          <w:rPr>
            <w:rStyle w:val="Hyperlink"/>
            <w:rFonts w:ascii="Arial" w:hAnsi="Arial" w:cs="Arial"/>
            <w:sz w:val="20"/>
            <w:szCs w:val="20"/>
          </w:rPr>
          <w:t>https://doi.org/10.4414/smw.2001.09666</w:t>
        </w:r>
      </w:hyperlink>
      <w:r>
        <w:rPr>
          <w:rFonts w:ascii="Arial" w:hAnsi="Arial" w:cs="Arial"/>
          <w:sz w:val="20"/>
          <w:szCs w:val="20"/>
        </w:rPr>
        <w:t xml:space="preserve"> </w:t>
      </w:r>
    </w:p>
    <w:p w14:paraId="761D5C57" w14:textId="54457284" w:rsidR="003C0D94" w:rsidRPr="00192884" w:rsidRDefault="00146137" w:rsidP="00146137">
      <w:pPr>
        <w:pStyle w:val="NormalWeb"/>
        <w:numPr>
          <w:ilvl w:val="0"/>
          <w:numId w:val="32"/>
        </w:numPr>
        <w:spacing w:beforeLines="100" w:before="240" w:beforeAutospacing="0" w:afterLines="100" w:after="240" w:afterAutospacing="0"/>
        <w:jc w:val="both"/>
        <w:rPr>
          <w:rFonts w:ascii="Arial" w:hAnsi="Arial" w:cs="Arial"/>
          <w:sz w:val="20"/>
          <w:szCs w:val="20"/>
        </w:rPr>
      </w:pPr>
      <w:r w:rsidRPr="00146137">
        <w:rPr>
          <w:rFonts w:ascii="Arial" w:hAnsi="Arial" w:cs="Arial"/>
          <w:sz w:val="20"/>
          <w:szCs w:val="20"/>
        </w:rPr>
        <w:t xml:space="preserve">Carpenter, T. O. (2022). Primary disorders of phosphate metabolism. In K. R. Feingold, S. F. Ahmed, B. Anawalt, et al. (Eds.), Endotext. MDText.com, Inc. </w:t>
      </w:r>
      <w:hyperlink r:id="rId54" w:history="1">
        <w:r w:rsidRPr="00F317B4">
          <w:rPr>
            <w:rStyle w:val="Hyperlink"/>
            <w:rFonts w:ascii="Arial" w:hAnsi="Arial" w:cs="Arial"/>
            <w:sz w:val="20"/>
            <w:szCs w:val="20"/>
          </w:rPr>
          <w:t>https://www.ncbi.nlm.nih.gov/books/NBK279172/</w:t>
        </w:r>
      </w:hyperlink>
      <w:r>
        <w:rPr>
          <w:rFonts w:ascii="Arial" w:hAnsi="Arial" w:cs="Arial"/>
          <w:sz w:val="20"/>
          <w:szCs w:val="20"/>
        </w:rPr>
        <w:t xml:space="preserve"> </w:t>
      </w:r>
    </w:p>
    <w:p w14:paraId="5F6C6D57" w14:textId="61180CAB" w:rsidR="003C0D94" w:rsidRPr="00192884" w:rsidRDefault="004D6B9C" w:rsidP="004D6B9C">
      <w:pPr>
        <w:pStyle w:val="NormalWeb"/>
        <w:numPr>
          <w:ilvl w:val="0"/>
          <w:numId w:val="32"/>
        </w:numPr>
        <w:spacing w:beforeLines="100" w:before="240" w:beforeAutospacing="0" w:afterLines="100" w:after="240" w:afterAutospacing="0"/>
        <w:jc w:val="both"/>
        <w:rPr>
          <w:rFonts w:ascii="Arial" w:hAnsi="Arial" w:cs="Arial"/>
          <w:sz w:val="20"/>
          <w:szCs w:val="20"/>
        </w:rPr>
      </w:pPr>
      <w:r w:rsidRPr="004D6B9C">
        <w:rPr>
          <w:rFonts w:ascii="Arial" w:hAnsi="Arial" w:cs="Arial"/>
          <w:sz w:val="20"/>
          <w:szCs w:val="20"/>
        </w:rPr>
        <w:t xml:space="preserve">Mateo, L., Holgado, S., Mariñoso, M. L., Pérez-Andrés, R., Bonjoch, A., Romeu, J., &amp; Olivé, A. (2016). Hypophosphatemic osteomalacia induced by tenofovir in HIV-infected patients. Clinical Rheumatology, 35(5), 1271-1279. </w:t>
      </w:r>
      <w:hyperlink r:id="rId55" w:history="1">
        <w:r w:rsidRPr="00F317B4">
          <w:rPr>
            <w:rStyle w:val="Hyperlink"/>
            <w:rFonts w:ascii="Arial" w:hAnsi="Arial" w:cs="Arial"/>
            <w:sz w:val="20"/>
            <w:szCs w:val="20"/>
          </w:rPr>
          <w:t>https://doi.org/10.1007/s10067-014-2627-x</w:t>
        </w:r>
      </w:hyperlink>
      <w:r>
        <w:rPr>
          <w:rFonts w:ascii="Arial" w:hAnsi="Arial" w:cs="Arial"/>
          <w:sz w:val="20"/>
          <w:szCs w:val="20"/>
        </w:rPr>
        <w:t xml:space="preserve"> </w:t>
      </w:r>
    </w:p>
    <w:p w14:paraId="5DAB86A2" w14:textId="4F06F998" w:rsidR="003C0D94" w:rsidRPr="00192884" w:rsidRDefault="00984F1A" w:rsidP="00984F1A">
      <w:pPr>
        <w:pStyle w:val="NormalWeb"/>
        <w:numPr>
          <w:ilvl w:val="0"/>
          <w:numId w:val="32"/>
        </w:numPr>
        <w:spacing w:beforeLines="100" w:before="240" w:beforeAutospacing="0" w:afterLines="100" w:after="240" w:afterAutospacing="0"/>
        <w:jc w:val="both"/>
        <w:rPr>
          <w:rFonts w:ascii="Arial" w:hAnsi="Arial" w:cs="Arial"/>
          <w:sz w:val="20"/>
          <w:szCs w:val="20"/>
        </w:rPr>
      </w:pPr>
      <w:r w:rsidRPr="00984F1A">
        <w:rPr>
          <w:rFonts w:ascii="Arial" w:hAnsi="Arial" w:cs="Arial"/>
          <w:sz w:val="20"/>
          <w:szCs w:val="20"/>
        </w:rPr>
        <w:t xml:space="preserve">Dumitrescu, F., Dragonu, L., Marcu, E. A., Pădureanu, V., Stoian, A. C., Rădoi-Troacă, C. L., Pădureanu, R., Duduveche, A., Georgescu, I. A., &amp; Giubelan, L. (2025). Bone mineral density in HIV-infected people–the experience of Craiova Regional Center. *Biomedicines*, *13*(9), 2305. </w:t>
      </w:r>
      <w:hyperlink r:id="rId56" w:history="1">
        <w:r w:rsidRPr="00F317B4">
          <w:rPr>
            <w:rStyle w:val="Hyperlink"/>
            <w:rFonts w:ascii="Arial" w:hAnsi="Arial" w:cs="Arial"/>
            <w:sz w:val="20"/>
            <w:szCs w:val="20"/>
          </w:rPr>
          <w:t>https://doi.org/10.3390/biomedicines13092305</w:t>
        </w:r>
      </w:hyperlink>
      <w:r>
        <w:rPr>
          <w:rFonts w:ascii="Arial" w:hAnsi="Arial" w:cs="Arial"/>
          <w:sz w:val="20"/>
          <w:szCs w:val="20"/>
        </w:rPr>
        <w:t xml:space="preserve"> </w:t>
      </w:r>
    </w:p>
    <w:p w14:paraId="6F14A7D8" w14:textId="11FA106D" w:rsidR="004D4277" w:rsidRPr="00FB3A86" w:rsidRDefault="004D4277" w:rsidP="00441B6F">
      <w:pPr>
        <w:pStyle w:val="Appendix"/>
        <w:spacing w:after="0"/>
        <w:jc w:val="both"/>
        <w:rPr>
          <w:rFonts w:ascii="Arial" w:hAnsi="Arial" w:cs="Arial"/>
          <w:b w:val="0"/>
        </w:rPr>
        <w:sectPr w:rsidR="004D4277" w:rsidRPr="00FB3A86" w:rsidSect="00400019">
          <w:headerReference w:type="even" r:id="rId57"/>
          <w:headerReference w:type="default" r:id="rId58"/>
          <w:footerReference w:type="default" r:id="rId59"/>
          <w:headerReference w:type="first" r:id="rId60"/>
          <w:type w:val="continuous"/>
          <w:pgSz w:w="12240" w:h="15840"/>
          <w:pgMar w:top="1440" w:right="2016" w:bottom="2016" w:left="2016" w:header="720" w:footer="1123" w:gutter="0"/>
          <w:cols w:space="720"/>
          <w:docGrid w:linePitch="272"/>
        </w:sectPr>
      </w:pPr>
    </w:p>
    <w:p w14:paraId="0677FFDC" w14:textId="77777777" w:rsidR="00B01FCD" w:rsidRPr="00FB3A86" w:rsidRDefault="00B01FCD" w:rsidP="00441B6F">
      <w:pPr>
        <w:pStyle w:val="Appendix"/>
        <w:spacing w:after="0"/>
        <w:jc w:val="both"/>
        <w:rPr>
          <w:rFonts w:ascii="Arial" w:hAnsi="Arial" w:cs="Arial"/>
          <w:b w:val="0"/>
        </w:rPr>
      </w:pPr>
    </w:p>
    <w:sectPr w:rsidR="00B01FCD" w:rsidRPr="00FB3A86" w:rsidSect="004000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B278E" w14:textId="77777777" w:rsidR="004C5CE7" w:rsidRDefault="004C5CE7" w:rsidP="00C37E61">
      <w:r>
        <w:separator/>
      </w:r>
    </w:p>
  </w:endnote>
  <w:endnote w:type="continuationSeparator" w:id="0">
    <w:p w14:paraId="11941E60" w14:textId="77777777" w:rsidR="004C5CE7" w:rsidRDefault="004C5C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886EB" w14:textId="77777777" w:rsidR="00400019" w:rsidRDefault="00400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538B4" w14:textId="77777777" w:rsidR="00400019" w:rsidRDefault="00400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849F6" w14:textId="4D16A6A1" w:rsidR="00754C9A" w:rsidRPr="00DC7EEB" w:rsidRDefault="00754C9A" w:rsidP="00DC7E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80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409C9" w14:textId="77777777" w:rsidR="004C5CE7" w:rsidRDefault="004C5CE7" w:rsidP="00C37E61">
      <w:r>
        <w:separator/>
      </w:r>
    </w:p>
  </w:footnote>
  <w:footnote w:type="continuationSeparator" w:id="0">
    <w:p w14:paraId="4262A2C2" w14:textId="77777777" w:rsidR="004C5CE7" w:rsidRDefault="004C5CE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3B12" w14:textId="0DAF9731" w:rsidR="00400019" w:rsidRDefault="004C5CE7">
    <w:pPr>
      <w:pStyle w:val="Header"/>
    </w:pPr>
    <w:r>
      <w:rPr>
        <w:noProof/>
      </w:rPr>
      <w:pict w14:anchorId="2EC31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57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3F7FD" w14:textId="28CA573E" w:rsidR="00400019" w:rsidRDefault="004C5CE7">
    <w:pPr>
      <w:pStyle w:val="Header"/>
    </w:pPr>
    <w:r>
      <w:rPr>
        <w:noProof/>
      </w:rPr>
      <w:pict w14:anchorId="2171E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57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E5E9C" w14:textId="7E3CE3E2" w:rsidR="00296529" w:rsidRPr="00296529" w:rsidRDefault="004C5CE7" w:rsidP="00296529">
    <w:pPr>
      <w:ind w:left="2160"/>
      <w:jc w:val="center"/>
      <w:rPr>
        <w:rFonts w:ascii="Times New Roman" w:eastAsia="Calibri" w:hAnsi="Times New Roman"/>
        <w:i/>
        <w:sz w:val="18"/>
        <w:szCs w:val="22"/>
      </w:rPr>
    </w:pPr>
    <w:r>
      <w:rPr>
        <w:noProof/>
      </w:rPr>
      <w:pict w14:anchorId="2B087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57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903F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EB2B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FB48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98D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582A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5F4C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8D4F3" w14:textId="01EFF0EA" w:rsidR="00400019" w:rsidRDefault="004C5CE7">
    <w:pPr>
      <w:pStyle w:val="Header"/>
    </w:pPr>
    <w:r>
      <w:rPr>
        <w:noProof/>
      </w:rPr>
      <w:pict w14:anchorId="58D51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578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064D8" w14:textId="51B5E0E0" w:rsidR="00400019" w:rsidRDefault="004C5CE7">
    <w:pPr>
      <w:pStyle w:val="Header"/>
    </w:pPr>
    <w:r>
      <w:rPr>
        <w:noProof/>
      </w:rPr>
      <w:pict w14:anchorId="3F985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578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8086A" w14:textId="21CAA82A" w:rsidR="00400019" w:rsidRDefault="004C5CE7">
    <w:pPr>
      <w:pStyle w:val="Header"/>
    </w:pPr>
    <w:r>
      <w:rPr>
        <w:noProof/>
      </w:rPr>
      <w:pict w14:anchorId="26DA5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577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B2597"/>
    <w:multiLevelType w:val="hybridMultilevel"/>
    <w:tmpl w:val="8D5220B8"/>
    <w:lvl w:ilvl="0" w:tplc="08090013">
      <w:start w:val="1"/>
      <w:numFmt w:val="upperRoman"/>
      <w:lvlText w:val="%1."/>
      <w:lvlJc w:val="righ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F6A07"/>
    <w:multiLevelType w:val="hybridMultilevel"/>
    <w:tmpl w:val="C6647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699"/>
    <w:rsid w:val="00011A3C"/>
    <w:rsid w:val="00030174"/>
    <w:rsid w:val="000307BF"/>
    <w:rsid w:val="00036D8B"/>
    <w:rsid w:val="00042DE2"/>
    <w:rsid w:val="0004579C"/>
    <w:rsid w:val="00065E3D"/>
    <w:rsid w:val="00077799"/>
    <w:rsid w:val="00085C9B"/>
    <w:rsid w:val="00097284"/>
    <w:rsid w:val="000A47FA"/>
    <w:rsid w:val="000A65D3"/>
    <w:rsid w:val="000B1E33"/>
    <w:rsid w:val="000D1FB6"/>
    <w:rsid w:val="000D689F"/>
    <w:rsid w:val="000E7B7B"/>
    <w:rsid w:val="000E7D62"/>
    <w:rsid w:val="000F352A"/>
    <w:rsid w:val="00103357"/>
    <w:rsid w:val="00107349"/>
    <w:rsid w:val="00123016"/>
    <w:rsid w:val="00123C9F"/>
    <w:rsid w:val="00126190"/>
    <w:rsid w:val="00130F17"/>
    <w:rsid w:val="001320BF"/>
    <w:rsid w:val="001328F7"/>
    <w:rsid w:val="00146137"/>
    <w:rsid w:val="00157854"/>
    <w:rsid w:val="00163BC4"/>
    <w:rsid w:val="00175078"/>
    <w:rsid w:val="00190EF4"/>
    <w:rsid w:val="00191062"/>
    <w:rsid w:val="00192B72"/>
    <w:rsid w:val="001A29D8"/>
    <w:rsid w:val="001A4718"/>
    <w:rsid w:val="001A5CAA"/>
    <w:rsid w:val="001B0427"/>
    <w:rsid w:val="001C683C"/>
    <w:rsid w:val="001D3A51"/>
    <w:rsid w:val="001D7C54"/>
    <w:rsid w:val="001E10D2"/>
    <w:rsid w:val="001E1DFA"/>
    <w:rsid w:val="001E1F73"/>
    <w:rsid w:val="001E25B4"/>
    <w:rsid w:val="001E44FE"/>
    <w:rsid w:val="001F1CC5"/>
    <w:rsid w:val="001F529A"/>
    <w:rsid w:val="00200595"/>
    <w:rsid w:val="00204835"/>
    <w:rsid w:val="00231920"/>
    <w:rsid w:val="0023195C"/>
    <w:rsid w:val="00235E09"/>
    <w:rsid w:val="0024282C"/>
    <w:rsid w:val="002460DC"/>
    <w:rsid w:val="00250985"/>
    <w:rsid w:val="002556F6"/>
    <w:rsid w:val="00260279"/>
    <w:rsid w:val="00261131"/>
    <w:rsid w:val="002767BD"/>
    <w:rsid w:val="00283105"/>
    <w:rsid w:val="00284C4C"/>
    <w:rsid w:val="00296529"/>
    <w:rsid w:val="002B27FB"/>
    <w:rsid w:val="002B56E9"/>
    <w:rsid w:val="002B685A"/>
    <w:rsid w:val="002C57D2"/>
    <w:rsid w:val="002D2997"/>
    <w:rsid w:val="002E0D56"/>
    <w:rsid w:val="00301931"/>
    <w:rsid w:val="00307D4B"/>
    <w:rsid w:val="00315186"/>
    <w:rsid w:val="0033343E"/>
    <w:rsid w:val="003512C2"/>
    <w:rsid w:val="00370936"/>
    <w:rsid w:val="00371FB6"/>
    <w:rsid w:val="003763C1"/>
    <w:rsid w:val="00376BBE"/>
    <w:rsid w:val="0039224F"/>
    <w:rsid w:val="00395507"/>
    <w:rsid w:val="003A43A4"/>
    <w:rsid w:val="003A7E18"/>
    <w:rsid w:val="003C0D94"/>
    <w:rsid w:val="003C4C86"/>
    <w:rsid w:val="003C6258"/>
    <w:rsid w:val="003C6EE7"/>
    <w:rsid w:val="003D33EC"/>
    <w:rsid w:val="003E2904"/>
    <w:rsid w:val="003E65CB"/>
    <w:rsid w:val="003F40B1"/>
    <w:rsid w:val="00400019"/>
    <w:rsid w:val="004009F8"/>
    <w:rsid w:val="00401927"/>
    <w:rsid w:val="00401964"/>
    <w:rsid w:val="0041027F"/>
    <w:rsid w:val="00412475"/>
    <w:rsid w:val="00423789"/>
    <w:rsid w:val="00440F43"/>
    <w:rsid w:val="00441B6F"/>
    <w:rsid w:val="00442ECF"/>
    <w:rsid w:val="00446221"/>
    <w:rsid w:val="00450E62"/>
    <w:rsid w:val="004539DB"/>
    <w:rsid w:val="00464223"/>
    <w:rsid w:val="00471A80"/>
    <w:rsid w:val="00483372"/>
    <w:rsid w:val="00483C4E"/>
    <w:rsid w:val="004847B8"/>
    <w:rsid w:val="004930D2"/>
    <w:rsid w:val="004A340D"/>
    <w:rsid w:val="004A7FDD"/>
    <w:rsid w:val="004C100D"/>
    <w:rsid w:val="004C5CE7"/>
    <w:rsid w:val="004D29B5"/>
    <w:rsid w:val="004D305E"/>
    <w:rsid w:val="004D4277"/>
    <w:rsid w:val="004D6B9C"/>
    <w:rsid w:val="004E0987"/>
    <w:rsid w:val="00502516"/>
    <w:rsid w:val="00505F06"/>
    <w:rsid w:val="00506828"/>
    <w:rsid w:val="005145E2"/>
    <w:rsid w:val="005271F4"/>
    <w:rsid w:val="0053056E"/>
    <w:rsid w:val="00532944"/>
    <w:rsid w:val="00545CC8"/>
    <w:rsid w:val="0055046E"/>
    <w:rsid w:val="00554FDA"/>
    <w:rsid w:val="00574C39"/>
    <w:rsid w:val="00592D2D"/>
    <w:rsid w:val="00597704"/>
    <w:rsid w:val="005A05F8"/>
    <w:rsid w:val="005B15DD"/>
    <w:rsid w:val="005C784C"/>
    <w:rsid w:val="005D17F6"/>
    <w:rsid w:val="005E32E7"/>
    <w:rsid w:val="005E5539"/>
    <w:rsid w:val="006019DF"/>
    <w:rsid w:val="00602BF5"/>
    <w:rsid w:val="00617106"/>
    <w:rsid w:val="00617FDD"/>
    <w:rsid w:val="00633614"/>
    <w:rsid w:val="00633F68"/>
    <w:rsid w:val="00636EB2"/>
    <w:rsid w:val="006375B8"/>
    <w:rsid w:val="0066510A"/>
    <w:rsid w:val="00673F9F"/>
    <w:rsid w:val="006830E6"/>
    <w:rsid w:val="00686953"/>
    <w:rsid w:val="00687DEA"/>
    <w:rsid w:val="00687E67"/>
    <w:rsid w:val="006967F7"/>
    <w:rsid w:val="006A250C"/>
    <w:rsid w:val="006A3D20"/>
    <w:rsid w:val="006B21D3"/>
    <w:rsid w:val="006B57D0"/>
    <w:rsid w:val="006D28B2"/>
    <w:rsid w:val="006D30FF"/>
    <w:rsid w:val="006D6940"/>
    <w:rsid w:val="006F11EC"/>
    <w:rsid w:val="0070082C"/>
    <w:rsid w:val="00714BAA"/>
    <w:rsid w:val="007369E6"/>
    <w:rsid w:val="00746E59"/>
    <w:rsid w:val="00754C9A"/>
    <w:rsid w:val="007557A8"/>
    <w:rsid w:val="0075599A"/>
    <w:rsid w:val="00761D52"/>
    <w:rsid w:val="0077749E"/>
    <w:rsid w:val="00783683"/>
    <w:rsid w:val="00787008"/>
    <w:rsid w:val="00790ADA"/>
    <w:rsid w:val="007A43F4"/>
    <w:rsid w:val="007D2288"/>
    <w:rsid w:val="007E088F"/>
    <w:rsid w:val="007F7B32"/>
    <w:rsid w:val="00804BC2"/>
    <w:rsid w:val="0081431A"/>
    <w:rsid w:val="008178FF"/>
    <w:rsid w:val="008203D2"/>
    <w:rsid w:val="008245EF"/>
    <w:rsid w:val="0083216F"/>
    <w:rsid w:val="0083331E"/>
    <w:rsid w:val="0083483D"/>
    <w:rsid w:val="00842F1D"/>
    <w:rsid w:val="00860000"/>
    <w:rsid w:val="00863BD3"/>
    <w:rsid w:val="00866D66"/>
    <w:rsid w:val="008671C6"/>
    <w:rsid w:val="00875803"/>
    <w:rsid w:val="008A7B45"/>
    <w:rsid w:val="008B459E"/>
    <w:rsid w:val="008B606D"/>
    <w:rsid w:val="008D1E92"/>
    <w:rsid w:val="008D3A10"/>
    <w:rsid w:val="008E13AE"/>
    <w:rsid w:val="008E1506"/>
    <w:rsid w:val="008E710C"/>
    <w:rsid w:val="008F29A3"/>
    <w:rsid w:val="008F69D6"/>
    <w:rsid w:val="009014F8"/>
    <w:rsid w:val="00902823"/>
    <w:rsid w:val="009118D1"/>
    <w:rsid w:val="00915CA6"/>
    <w:rsid w:val="00927834"/>
    <w:rsid w:val="009371C9"/>
    <w:rsid w:val="0094664C"/>
    <w:rsid w:val="009500A6"/>
    <w:rsid w:val="00957C18"/>
    <w:rsid w:val="00963B7F"/>
    <w:rsid w:val="009659BA"/>
    <w:rsid w:val="00983040"/>
    <w:rsid w:val="00984F1A"/>
    <w:rsid w:val="00996A72"/>
    <w:rsid w:val="009B2A9C"/>
    <w:rsid w:val="009B3FB9"/>
    <w:rsid w:val="009C0F84"/>
    <w:rsid w:val="009C1455"/>
    <w:rsid w:val="009C2465"/>
    <w:rsid w:val="009D35A0"/>
    <w:rsid w:val="009D7EB7"/>
    <w:rsid w:val="009E048A"/>
    <w:rsid w:val="009E08E9"/>
    <w:rsid w:val="009E3DB9"/>
    <w:rsid w:val="009E6E35"/>
    <w:rsid w:val="009F0EDA"/>
    <w:rsid w:val="00A03B96"/>
    <w:rsid w:val="00A05B19"/>
    <w:rsid w:val="00A06E9E"/>
    <w:rsid w:val="00A107A9"/>
    <w:rsid w:val="00A1134E"/>
    <w:rsid w:val="00A12C32"/>
    <w:rsid w:val="00A200B3"/>
    <w:rsid w:val="00A24E7E"/>
    <w:rsid w:val="00A258C3"/>
    <w:rsid w:val="00A258DC"/>
    <w:rsid w:val="00A301CC"/>
    <w:rsid w:val="00A347C0"/>
    <w:rsid w:val="00A502BC"/>
    <w:rsid w:val="00A51431"/>
    <w:rsid w:val="00A526AF"/>
    <w:rsid w:val="00A539AD"/>
    <w:rsid w:val="00A640E6"/>
    <w:rsid w:val="00A64B8E"/>
    <w:rsid w:val="00A72C64"/>
    <w:rsid w:val="00A82552"/>
    <w:rsid w:val="00A830E3"/>
    <w:rsid w:val="00A94063"/>
    <w:rsid w:val="00AA2D8D"/>
    <w:rsid w:val="00AA6219"/>
    <w:rsid w:val="00AA74E0"/>
    <w:rsid w:val="00AB703F"/>
    <w:rsid w:val="00AC2CA6"/>
    <w:rsid w:val="00AC6BB8"/>
    <w:rsid w:val="00AD3135"/>
    <w:rsid w:val="00AE008F"/>
    <w:rsid w:val="00AE0C1C"/>
    <w:rsid w:val="00B00015"/>
    <w:rsid w:val="00B01FCD"/>
    <w:rsid w:val="00B04833"/>
    <w:rsid w:val="00B15633"/>
    <w:rsid w:val="00B1776C"/>
    <w:rsid w:val="00B4625F"/>
    <w:rsid w:val="00B52896"/>
    <w:rsid w:val="00B54D1E"/>
    <w:rsid w:val="00B67B07"/>
    <w:rsid w:val="00B73AE6"/>
    <w:rsid w:val="00B73DDD"/>
    <w:rsid w:val="00B7687A"/>
    <w:rsid w:val="00B911A2"/>
    <w:rsid w:val="00B95029"/>
    <w:rsid w:val="00B95236"/>
    <w:rsid w:val="00B96BD9"/>
    <w:rsid w:val="00BA0475"/>
    <w:rsid w:val="00BA1B01"/>
    <w:rsid w:val="00BA2641"/>
    <w:rsid w:val="00BB37AA"/>
    <w:rsid w:val="00BB5576"/>
    <w:rsid w:val="00BC0D87"/>
    <w:rsid w:val="00BC53A0"/>
    <w:rsid w:val="00BC7CB7"/>
    <w:rsid w:val="00BD28FB"/>
    <w:rsid w:val="00BE62AD"/>
    <w:rsid w:val="00BF121F"/>
    <w:rsid w:val="00BF1F80"/>
    <w:rsid w:val="00BF77A6"/>
    <w:rsid w:val="00C13F05"/>
    <w:rsid w:val="00C166EF"/>
    <w:rsid w:val="00C17EB0"/>
    <w:rsid w:val="00C27F5F"/>
    <w:rsid w:val="00C30A0F"/>
    <w:rsid w:val="00C37E61"/>
    <w:rsid w:val="00C63EE8"/>
    <w:rsid w:val="00C66DE6"/>
    <w:rsid w:val="00C70F1B"/>
    <w:rsid w:val="00C71A47"/>
    <w:rsid w:val="00C7464C"/>
    <w:rsid w:val="00C85588"/>
    <w:rsid w:val="00C91309"/>
    <w:rsid w:val="00CA20AF"/>
    <w:rsid w:val="00CA3C5E"/>
    <w:rsid w:val="00CB2EEF"/>
    <w:rsid w:val="00CC3831"/>
    <w:rsid w:val="00CD6755"/>
    <w:rsid w:val="00CD6856"/>
    <w:rsid w:val="00CD78E8"/>
    <w:rsid w:val="00CE0089"/>
    <w:rsid w:val="00CE793C"/>
    <w:rsid w:val="00CF2BC3"/>
    <w:rsid w:val="00D018DF"/>
    <w:rsid w:val="00D173F1"/>
    <w:rsid w:val="00D35175"/>
    <w:rsid w:val="00D4121D"/>
    <w:rsid w:val="00D56D16"/>
    <w:rsid w:val="00D74C72"/>
    <w:rsid w:val="00D8295D"/>
    <w:rsid w:val="00DA6F86"/>
    <w:rsid w:val="00DC1610"/>
    <w:rsid w:val="00DC2A65"/>
    <w:rsid w:val="00DC7EEB"/>
    <w:rsid w:val="00DE15F0"/>
    <w:rsid w:val="00DE5663"/>
    <w:rsid w:val="00DE78AA"/>
    <w:rsid w:val="00E03E06"/>
    <w:rsid w:val="00E053D0"/>
    <w:rsid w:val="00E05E66"/>
    <w:rsid w:val="00E15994"/>
    <w:rsid w:val="00E3114E"/>
    <w:rsid w:val="00E31A70"/>
    <w:rsid w:val="00E32CF8"/>
    <w:rsid w:val="00E35B02"/>
    <w:rsid w:val="00E66496"/>
    <w:rsid w:val="00E66B35"/>
    <w:rsid w:val="00E66E10"/>
    <w:rsid w:val="00E769F6"/>
    <w:rsid w:val="00E8407C"/>
    <w:rsid w:val="00E84F3C"/>
    <w:rsid w:val="00E93332"/>
    <w:rsid w:val="00EA012C"/>
    <w:rsid w:val="00EA21B9"/>
    <w:rsid w:val="00EA7006"/>
    <w:rsid w:val="00EC28A7"/>
    <w:rsid w:val="00ED0288"/>
    <w:rsid w:val="00ED4774"/>
    <w:rsid w:val="00EE52CB"/>
    <w:rsid w:val="00EE75B0"/>
    <w:rsid w:val="00EF105E"/>
    <w:rsid w:val="00EF581D"/>
    <w:rsid w:val="00EF5BAF"/>
    <w:rsid w:val="00EF7FD8"/>
    <w:rsid w:val="00F06F59"/>
    <w:rsid w:val="00F17988"/>
    <w:rsid w:val="00F329FD"/>
    <w:rsid w:val="00F469F0"/>
    <w:rsid w:val="00F53273"/>
    <w:rsid w:val="00F755E4"/>
    <w:rsid w:val="00F75E23"/>
    <w:rsid w:val="00F77D02"/>
    <w:rsid w:val="00FB07B3"/>
    <w:rsid w:val="00FB3A86"/>
    <w:rsid w:val="00FB461B"/>
    <w:rsid w:val="00FB7570"/>
    <w:rsid w:val="00FD002B"/>
    <w:rsid w:val="00FD36C8"/>
    <w:rsid w:val="00FE04B9"/>
    <w:rsid w:val="00FE2F31"/>
    <w:rsid w:val="00FF2867"/>
    <w:rsid w:val="00FF48DE"/>
    <w:rsid w:val="00FF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FBC43E"/>
  <w15:docId w15:val="{F71FF34A-2883-C544-A802-F6109A71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768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ing2Char">
    <w:name w:val="Heading 2 Char"/>
    <w:basedOn w:val="DefaultParagraphFont"/>
    <w:link w:val="Heading2"/>
    <w:semiHidden/>
    <w:rsid w:val="00B7687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3C0D9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qFormat/>
    <w:rsid w:val="003C0D94"/>
    <w:pPr>
      <w:spacing w:before="100" w:beforeAutospacing="1" w:after="100" w:afterAutospacing="1"/>
    </w:pPr>
    <w:rPr>
      <w:rFonts w:ascii="Times New Roman" w:eastAsiaTheme="minorEastAsia" w:hAnsi="Times New Roman"/>
      <w:sz w:val="24"/>
      <w:szCs w:val="24"/>
      <w:lang w:val="en-GB" w:eastAsia="ko-KR"/>
    </w:rPr>
  </w:style>
  <w:style w:type="character" w:customStyle="1" w:styleId="UnresolvedMention1">
    <w:name w:val="Unresolved Mention1"/>
    <w:basedOn w:val="DefaultParagraphFont"/>
    <w:uiPriority w:val="99"/>
    <w:semiHidden/>
    <w:unhideWhenUsed/>
    <w:rsid w:val="00532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S0140-6736(13)61809-7" TargetMode="External"/><Relationship Id="rId26" Type="http://schemas.openxmlformats.org/officeDocument/2006/relationships/hyperlink" Target="https://doi.org/10.3389/fendo.2023.1201696" TargetMode="External"/><Relationship Id="rId39" Type="http://schemas.openxmlformats.org/officeDocument/2006/relationships/hyperlink" Target="https://doi.org/10.1093/jac/dkx076" TargetMode="External"/><Relationship Id="rId21" Type="http://schemas.openxmlformats.org/officeDocument/2006/relationships/hyperlink" Target="https://www.ncbi.nlm.nih.gov/books/NBK586306/" TargetMode="External"/><Relationship Id="rId34" Type="http://schemas.openxmlformats.org/officeDocument/2006/relationships/hyperlink" Target="https://www.wiley.com/en-us/Sampling+Techniques%2C+3rd+Edition-p-9780471162407" TargetMode="External"/><Relationship Id="rId42" Type="http://schemas.openxmlformats.org/officeDocument/2006/relationships/hyperlink" Target="https://doi.org/10.3803/EnM.2019.34.2.95" TargetMode="External"/><Relationship Id="rId47" Type="http://schemas.openxmlformats.org/officeDocument/2006/relationships/hyperlink" Target="https://doi.org/10.3904/kjim.2016.418" TargetMode="External"/><Relationship Id="rId50" Type="http://schemas.openxmlformats.org/officeDocument/2006/relationships/hyperlink" Target="https://doi.org/10.1097/QAD.0000000000001093" TargetMode="External"/><Relationship Id="rId55" Type="http://schemas.openxmlformats.org/officeDocument/2006/relationships/hyperlink" Target="https://doi.org/10.1007/s10067-014-2627-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ho.int/news-room/fact-sheets/detail/hiv-drug-resistance" TargetMode="External"/><Relationship Id="rId29" Type="http://schemas.openxmlformats.org/officeDocument/2006/relationships/hyperlink" Target="https://doi.org/10.1007/s13669-020-00289-7" TargetMode="External"/><Relationship Id="rId11" Type="http://schemas.openxmlformats.org/officeDocument/2006/relationships/footer" Target="footer2.xml"/><Relationship Id="rId24" Type="http://schemas.openxmlformats.org/officeDocument/2006/relationships/hyperlink" Target="https://doi.org/10.1212/WNL.0b013e31821670fb" TargetMode="External"/><Relationship Id="rId32" Type="http://schemas.openxmlformats.org/officeDocument/2006/relationships/hyperlink" Target="https://doi.org/10.3803/EnM.2019.34.2.95" TargetMode="External"/><Relationship Id="rId37" Type="http://schemas.openxmlformats.org/officeDocument/2006/relationships/hyperlink" Target="https://doi.org/10.1086/655681" TargetMode="External"/><Relationship Id="rId40" Type="http://schemas.openxmlformats.org/officeDocument/2006/relationships/hyperlink" Target="https://doi.org/10.23876/j.krcp.2018.37.3.230" TargetMode="External"/><Relationship Id="rId45" Type="http://schemas.openxmlformats.org/officeDocument/2006/relationships/hyperlink" Target="https://doi.org/10.1111/aji.12235" TargetMode="External"/><Relationship Id="rId53" Type="http://schemas.openxmlformats.org/officeDocument/2006/relationships/hyperlink" Target="https://doi.org/10.4414/smw.2001.09666" TargetMode="External"/><Relationship Id="rId58"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9734/bpi/caprd/v4/13551D" TargetMode="External"/><Relationship Id="rId14" Type="http://schemas.openxmlformats.org/officeDocument/2006/relationships/image" Target="media/image1.png"/><Relationship Id="rId22" Type="http://schemas.openxmlformats.org/officeDocument/2006/relationships/hyperlink" Target="https://doi.org/10.1001/jama.2024.24543" TargetMode="External"/><Relationship Id="rId27" Type="http://schemas.openxmlformats.org/officeDocument/2006/relationships/hyperlink" Target="https://doi.org/10.1016/j.maturitas.2010.01.009" TargetMode="External"/><Relationship Id="rId30" Type="http://schemas.openxmlformats.org/officeDocument/2006/relationships/hyperlink" Target="https://doi.org/10.1210/clinem/dgad411" TargetMode="External"/><Relationship Id="rId35" Type="http://schemas.openxmlformats.org/officeDocument/2006/relationships/hyperlink" Target="https://doi.org/10.1097/MD.0000000000026016" TargetMode="External"/><Relationship Id="rId43" Type="http://schemas.openxmlformats.org/officeDocument/2006/relationships/hyperlink" Target="https://doi.org/10.1007/s11904-024-00711-2" TargetMode="External"/><Relationship Id="rId48" Type="http://schemas.openxmlformats.org/officeDocument/2006/relationships/hyperlink" Target="https://doi.org/10.1089/AID.2019.0100" TargetMode="External"/><Relationship Id="rId56" Type="http://schemas.openxmlformats.org/officeDocument/2006/relationships/hyperlink" Target="https://doi.org/10.3390/biomedicines13092305" TargetMode="External"/><Relationship Id="rId8" Type="http://schemas.openxmlformats.org/officeDocument/2006/relationships/header" Target="header1.xml"/><Relationship Id="rId51" Type="http://schemas.openxmlformats.org/officeDocument/2006/relationships/hyperlink" Target="https://doi.org/10.1186/s12902-024-01581-w"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56/NEJMp1916753" TargetMode="External"/><Relationship Id="rId25" Type="http://schemas.openxmlformats.org/officeDocument/2006/relationships/hyperlink" Target="https://doi.org/10.1007/s40618-021-01512-9" TargetMode="External"/><Relationship Id="rId33" Type="http://schemas.openxmlformats.org/officeDocument/2006/relationships/hyperlink" Target="https://www.ncbi.nlm.nih.gov/books/NBK599549/" TargetMode="External"/><Relationship Id="rId38" Type="http://schemas.openxmlformats.org/officeDocument/2006/relationships/hyperlink" Target="https://doi.org/10.1097/COH.0000000000000248" TargetMode="External"/><Relationship Id="rId46" Type="http://schemas.openxmlformats.org/officeDocument/2006/relationships/hyperlink" Target="https://doi.org/10.9734/ajrid/2025/v16i2423" TargetMode="External"/><Relationship Id="rId59" Type="http://schemas.openxmlformats.org/officeDocument/2006/relationships/footer" Target="footer4.xml"/><Relationship Id="rId20" Type="http://schemas.openxmlformats.org/officeDocument/2006/relationships/hyperlink" Target="https://doi.org/10.1001/jama.2020.17025" TargetMode="External"/><Relationship Id="rId41" Type="http://schemas.openxmlformats.org/officeDocument/2006/relationships/hyperlink" Target="https://doi.org/10.1007/s40618-017-0812-x" TargetMode="External"/><Relationship Id="rId54" Type="http://schemas.openxmlformats.org/officeDocument/2006/relationships/hyperlink" Target="https://www.ncbi.nlm.nih.gov/books/NBK27917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ho.int/teams/global-hiv-hepatitis-and-stis-programmes/hiv/strategic-information/hiv-data-and-statistics" TargetMode="External"/><Relationship Id="rId23" Type="http://schemas.openxmlformats.org/officeDocument/2006/relationships/hyperlink" Target="https://doi.org/10.1155/arat/8820274" TargetMode="External"/><Relationship Id="rId28" Type="http://schemas.openxmlformats.org/officeDocument/2006/relationships/hyperlink" Target="https://doi.org/10.1210/jc.2018-00229" TargetMode="External"/><Relationship Id="rId36" Type="http://schemas.openxmlformats.org/officeDocument/2006/relationships/hyperlink" Target="https://doi.org/10.4102/sajhivmed.v19i1.817" TargetMode="External"/><Relationship Id="rId49" Type="http://schemas.openxmlformats.org/officeDocument/2006/relationships/hyperlink" Target="https://doi.org/10.1155/arat/8814760" TargetMode="External"/><Relationship Id="rId57" Type="http://schemas.openxmlformats.org/officeDocument/2006/relationships/header" Target="header4.xml"/><Relationship Id="rId10" Type="http://schemas.openxmlformats.org/officeDocument/2006/relationships/footer" Target="footer1.xml"/><Relationship Id="rId31" Type="http://schemas.openxmlformats.org/officeDocument/2006/relationships/hyperlink" Target="https://doi.org/10.7759/cureus.45787" TargetMode="External"/><Relationship Id="rId44" Type="http://schemas.openxmlformats.org/officeDocument/2006/relationships/hyperlink" Target="https://doi.org/10.1210/endocr/bqaf137" TargetMode="External"/><Relationship Id="rId52" Type="http://schemas.openxmlformats.org/officeDocument/2006/relationships/hyperlink" Target="https://doi.org/10.1038/bonekey.2013.231" TargetMode="Externa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565B2-F62A-4C1F-8654-CA6E13FD4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14</Pages>
  <Words>6249</Words>
  <Characters>35620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41786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9</cp:revision>
  <cp:lastPrinted>1999-07-06T11:00:00Z</cp:lastPrinted>
  <dcterms:created xsi:type="dcterms:W3CDTF">2025-12-11T16:50:00Z</dcterms:created>
  <dcterms:modified xsi:type="dcterms:W3CDTF">2025-12-17T10:59:00Z</dcterms:modified>
</cp:coreProperties>
</file>