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BA22E" w14:textId="77777777" w:rsidR="0092314E" w:rsidRDefault="0092314E" w:rsidP="00BC64FA">
      <w:pPr>
        <w:pStyle w:val="Author"/>
        <w:spacing w:line="240" w:lineRule="auto"/>
        <w:rPr>
          <w:rFonts w:ascii="Arial" w:hAnsi="Arial" w:cs="Arial"/>
          <w:bCs/>
          <w:color w:val="000000" w:themeColor="text1"/>
          <w:sz w:val="36"/>
          <w:szCs w:val="36"/>
        </w:rPr>
      </w:pPr>
    </w:p>
    <w:p w14:paraId="13CE0247" w14:textId="62E110A4" w:rsidR="00710161" w:rsidRPr="00BC64FA" w:rsidRDefault="00EA1A8F" w:rsidP="00BC64FA">
      <w:pPr>
        <w:pStyle w:val="Author"/>
        <w:spacing w:line="240" w:lineRule="auto"/>
        <w:rPr>
          <w:rFonts w:ascii="Arial" w:hAnsi="Arial" w:cs="Arial"/>
          <w:b w:val="0"/>
          <w:bCs/>
          <w:color w:val="000000" w:themeColor="text1"/>
          <w:sz w:val="36"/>
          <w:szCs w:val="36"/>
        </w:rPr>
      </w:pPr>
      <w:r w:rsidRPr="00BC64FA">
        <w:rPr>
          <w:rFonts w:ascii="Arial" w:hAnsi="Arial" w:cs="Arial"/>
          <w:bCs/>
          <w:color w:val="000000" w:themeColor="text1"/>
          <w:sz w:val="36"/>
          <w:szCs w:val="36"/>
        </w:rPr>
        <w:t xml:space="preserve">Resilience of Indonesian Nurses Working in </w:t>
      </w:r>
      <w:r w:rsidR="0033477F">
        <w:rPr>
          <w:rFonts w:ascii="Arial" w:hAnsi="Arial" w:cs="Arial"/>
          <w:bCs/>
          <w:color w:val="000000" w:themeColor="text1"/>
          <w:sz w:val="36"/>
          <w:szCs w:val="36"/>
        </w:rPr>
        <w:t xml:space="preserve">healthcare facility </w:t>
      </w:r>
      <w:r w:rsidR="000A6C4A">
        <w:rPr>
          <w:rFonts w:ascii="Arial" w:hAnsi="Arial" w:cs="Arial"/>
          <w:bCs/>
          <w:color w:val="000000" w:themeColor="text1"/>
          <w:sz w:val="36"/>
          <w:szCs w:val="36"/>
        </w:rPr>
        <w:t xml:space="preserve">in </w:t>
      </w:r>
      <w:r w:rsidRPr="00BC64FA">
        <w:rPr>
          <w:rFonts w:ascii="Arial" w:hAnsi="Arial" w:cs="Arial"/>
          <w:bCs/>
          <w:color w:val="000000" w:themeColor="text1"/>
          <w:sz w:val="36"/>
          <w:szCs w:val="36"/>
        </w:rPr>
        <w:t>Qatar: A Qualitative Research</w:t>
      </w:r>
    </w:p>
    <w:p w14:paraId="710D0343" w14:textId="77777777" w:rsidR="00BC64FA" w:rsidRDefault="00BC64FA" w:rsidP="00BC64FA">
      <w:pPr>
        <w:jc w:val="right"/>
        <w:rPr>
          <w:rFonts w:ascii="Arial" w:hAnsi="Arial" w:cs="Arial"/>
          <w:color w:val="000000" w:themeColor="text1"/>
        </w:rPr>
      </w:pPr>
    </w:p>
    <w:p w14:paraId="353F0902" w14:textId="36FDAA18" w:rsidR="00AA32F9" w:rsidRPr="000279F5" w:rsidRDefault="00AA32F9" w:rsidP="00BC64FA">
      <w:pPr>
        <w:spacing w:line="240" w:lineRule="auto"/>
        <w:jc w:val="right"/>
        <w:rPr>
          <w:rFonts w:ascii="Arial" w:hAnsi="Arial" w:cs="Arial"/>
          <w:sz w:val="20"/>
          <w:szCs w:val="20"/>
        </w:rPr>
      </w:pPr>
    </w:p>
    <w:p w14:paraId="64C4353F" w14:textId="48ADCABD" w:rsidR="009F1371" w:rsidRPr="000279F5" w:rsidRDefault="009F1371" w:rsidP="00BC64FA">
      <w:pPr>
        <w:spacing w:line="240" w:lineRule="auto"/>
        <w:jc w:val="righ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4E478834" wp14:editId="7BB2ED5C">
                <wp:simplePos x="0" y="0"/>
                <wp:positionH relativeFrom="column">
                  <wp:posOffset>-287383</wp:posOffset>
                </wp:positionH>
                <wp:positionV relativeFrom="paragraph">
                  <wp:posOffset>122791</wp:posOffset>
                </wp:positionV>
                <wp:extent cx="6264946" cy="36576"/>
                <wp:effectExtent l="0" t="0" r="21590" b="20955"/>
                <wp:wrapNone/>
                <wp:docPr id="1187018211" name="Straight Connector 4"/>
                <wp:cNvGraphicFramePr/>
                <a:graphic xmlns:a="http://schemas.openxmlformats.org/drawingml/2006/main">
                  <a:graphicData uri="http://schemas.microsoft.com/office/word/2010/wordprocessingShape">
                    <wps:wsp>
                      <wps:cNvCnPr/>
                      <wps:spPr>
                        <a:xfrm>
                          <a:off x="0" y="0"/>
                          <a:ext cx="6264946" cy="365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1D58A3F"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65pt,9.65pt" to="470.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rngEAAIwDAAAOAAAAZHJzL2Uyb0RvYy54bWysU8tu2zAQvAfoPxC815LdVGkFyzkkaC5F&#10;EqTtBzDU0iLKF5aMJf99lrQtF21RFEUvKz5mdneGq/X1ZA3bAUbtXceXi5ozcNL32m07/u3rp7cf&#10;OItJuF4Y76Dje4j8evPmYj2GFlZ+8KYHZJTExXYMHR9SCm1VRTmAFXHhAzi6VB6tSLTFbdWjGCm7&#10;NdWqrptq9NgH9BJipNPbwyXflPxKgUwPSkVIzHScekslYonPOVabtWi3KMKg5bEN8Q9dWKEdFZ1T&#10;3Yok2AvqX1JZLdFHr9JCelt5pbSEooHULOuf1HwZRICihcyJYbYp/r+08n534x6RbBhDbGN4xKxi&#10;Umjzl/pjUzFrP5sFU2KSDptVc/nxsuFM0t275v1Vk82szuSAMd2BtywvOm60y1pEK3afYzpATxDi&#10;ncuXVdobyGDjnkAx3VPBZWGXyYAbg2wn6E3778tj2YLMFKWNmUn1n0lHbKZBmZa/Jc7oUtG7NBOt&#10;dh5/VzVNp1bVAX9SfdCaZT/7fl8eo9hBT14MPY5nnqkf94V+/ok2rwAAAP//AwBQSwMEFAAGAAgA&#10;AAAhAKB/ZcnfAAAACQEAAA8AAABkcnMvZG93bnJldi54bWxMj8FOwzAQRO9I/IO1SNxaJ6GtaBqn&#10;qiohxAXRFO5uvHVSYjuynTT8PcupnHZXM5p9U2wn07ERfWidFZDOE2Boa6daqwV8Hl9mz8BClFbJ&#10;zlkU8IMBtuX9XSFz5a72gGMVNaMQG3IpoImxzzkPdYNGhrnr0ZJ2dt7ISKfXXHl5pXDT8SxJVtzI&#10;1tKHRva4b7D+rgYjoHvz45fe610YXg+r6vJxzt6PoxCPD9NuAyziFG9m+MMndCiJ6eQGqwLrBMwW&#10;yyeykrCmSYb1IqXlJCBbpsDLgv9vUP4CAAD//wMAUEsBAi0AFAAGAAgAAAAhALaDOJL+AAAA4QEA&#10;ABMAAAAAAAAAAAAAAAAAAAAAAFtDb250ZW50X1R5cGVzXS54bWxQSwECLQAUAAYACAAAACEAOP0h&#10;/9YAAACUAQAACwAAAAAAAAAAAAAAAAAvAQAAX3JlbHMvLnJlbHNQSwECLQAUAAYACAAAACEAt5/I&#10;q54BAACMAwAADgAAAAAAAAAAAAAAAAAuAgAAZHJzL2Uyb0RvYy54bWxQSwECLQAUAAYACAAAACEA&#10;oH9lyd8AAAAJAQAADwAAAAAAAAAAAAAAAAD4AwAAZHJzL2Rvd25yZXYueG1sUEsFBgAAAAAEAAQA&#10;8wAAAAQFAAAAAA==&#10;" strokecolor="black [3200]" strokeweight=".5pt">
                <v:stroke joinstyle="miter"/>
              </v:line>
            </w:pict>
          </mc:Fallback>
        </mc:AlternateContent>
      </w:r>
    </w:p>
    <w:p w14:paraId="3EACAC49" w14:textId="77777777" w:rsidR="00DA54D8" w:rsidRPr="00DA54D8" w:rsidRDefault="00DA54D8" w:rsidP="00DA54D8">
      <w:pPr>
        <w:keepNext/>
        <w:keepLines/>
        <w:outlineLvl w:val="0"/>
        <w:rPr>
          <w:rFonts w:ascii="Arial" w:eastAsiaTheme="majorEastAsia" w:hAnsi="Arial" w:cs="Arial"/>
          <w:b/>
          <w:bCs/>
          <w:color w:val="000000" w:themeColor="text1"/>
          <w:sz w:val="20"/>
          <w:szCs w:val="20"/>
        </w:rPr>
      </w:pPr>
      <w:r w:rsidRPr="00DA54D8">
        <w:rPr>
          <w:rFonts w:ascii="Arial" w:eastAsiaTheme="majorEastAsia" w:hAnsi="Arial" w:cs="Arial"/>
          <w:b/>
          <w:bCs/>
          <w:color w:val="000000" w:themeColor="text1"/>
          <w:sz w:val="20"/>
          <w:szCs w:val="20"/>
        </w:rPr>
        <w:t>Abstract</w:t>
      </w:r>
    </w:p>
    <w:p w14:paraId="015A3E45" w14:textId="0CFE0FA7" w:rsidR="00DA54D8" w:rsidRPr="00DA54D8" w:rsidRDefault="00DA54D8" w:rsidP="00DA54D8">
      <w:pPr>
        <w:jc w:val="both"/>
        <w:rPr>
          <w:rFonts w:ascii="Arial" w:hAnsi="Arial" w:cs="Arial"/>
          <w:color w:val="000000" w:themeColor="text1"/>
          <w:sz w:val="20"/>
          <w:szCs w:val="20"/>
        </w:rPr>
      </w:pPr>
      <w:r w:rsidRPr="00DA54D8">
        <w:rPr>
          <w:rFonts w:ascii="Arial" w:hAnsi="Arial" w:cs="Arial"/>
          <w:b/>
          <w:bCs/>
          <w:color w:val="000000" w:themeColor="text1"/>
          <w:sz w:val="20"/>
          <w:szCs w:val="20"/>
        </w:rPr>
        <w:t>Background:</w:t>
      </w:r>
      <w:r w:rsidRPr="00DA54D8">
        <w:rPr>
          <w:rFonts w:ascii="Arial" w:hAnsi="Arial" w:cs="Arial"/>
          <w:color w:val="000000" w:themeColor="text1"/>
          <w:sz w:val="20"/>
          <w:szCs w:val="20"/>
        </w:rPr>
        <w:t xml:space="preserve"> Indonesian nurses </w:t>
      </w:r>
      <w:r w:rsidRPr="0033477F">
        <w:rPr>
          <w:rFonts w:ascii="Arial" w:hAnsi="Arial" w:cs="Arial"/>
          <w:color w:val="EE0000"/>
          <w:sz w:val="20"/>
          <w:szCs w:val="20"/>
        </w:rPr>
        <w:t xml:space="preserve">working in </w:t>
      </w:r>
      <w:r w:rsidR="0033477F" w:rsidRPr="0033477F">
        <w:rPr>
          <w:rFonts w:ascii="Arial" w:hAnsi="Arial" w:cs="Arial"/>
          <w:color w:val="EE0000"/>
          <w:sz w:val="20"/>
          <w:szCs w:val="20"/>
        </w:rPr>
        <w:t>healthcare facility</w:t>
      </w:r>
      <w:r w:rsidR="000A6C4A">
        <w:rPr>
          <w:rFonts w:ascii="Arial" w:hAnsi="Arial" w:cs="Arial"/>
          <w:color w:val="EE0000"/>
          <w:sz w:val="20"/>
          <w:szCs w:val="20"/>
        </w:rPr>
        <w:t xml:space="preserve"> in</w:t>
      </w:r>
      <w:r w:rsidR="0033477F" w:rsidRPr="0033477F">
        <w:rPr>
          <w:rFonts w:ascii="Arial" w:hAnsi="Arial" w:cs="Arial"/>
          <w:color w:val="EE0000"/>
          <w:sz w:val="20"/>
          <w:szCs w:val="20"/>
        </w:rPr>
        <w:t xml:space="preserve"> </w:t>
      </w:r>
      <w:r w:rsidRPr="00DA54D8">
        <w:rPr>
          <w:rFonts w:ascii="Arial" w:hAnsi="Arial" w:cs="Arial"/>
          <w:color w:val="000000" w:themeColor="text1"/>
          <w:sz w:val="20"/>
          <w:szCs w:val="20"/>
        </w:rPr>
        <w:t>Qatar face unique challenges, including high-pressure clinical environments, cultural and linguistic barriers, and emotional strain. Understanding resilience strategies in this context is essential for improving nurse well-being and patient safety.</w:t>
      </w:r>
    </w:p>
    <w:p w14:paraId="7E13970F" w14:textId="77777777" w:rsidR="00DA54D8" w:rsidRPr="00DA54D8" w:rsidRDefault="00DA54D8" w:rsidP="00DA54D8">
      <w:pPr>
        <w:jc w:val="both"/>
        <w:rPr>
          <w:rFonts w:ascii="Arial" w:hAnsi="Arial" w:cs="Arial"/>
          <w:color w:val="000000" w:themeColor="text1"/>
          <w:sz w:val="20"/>
          <w:szCs w:val="20"/>
        </w:rPr>
      </w:pPr>
      <w:r w:rsidRPr="00DA54D8">
        <w:rPr>
          <w:rFonts w:ascii="Arial" w:hAnsi="Arial" w:cs="Arial"/>
          <w:b/>
          <w:bCs/>
          <w:color w:val="000000" w:themeColor="text1"/>
          <w:sz w:val="20"/>
          <w:szCs w:val="20"/>
        </w:rPr>
        <w:t>Objective:</w:t>
      </w:r>
      <w:r w:rsidRPr="00DA54D8">
        <w:rPr>
          <w:rFonts w:ascii="Arial" w:hAnsi="Arial" w:cs="Arial"/>
          <w:color w:val="000000" w:themeColor="text1"/>
          <w:sz w:val="20"/>
          <w:szCs w:val="20"/>
        </w:rPr>
        <w:t xml:space="preserve"> This study explores the resilience experiences of Indonesian nurses employed in emergency rooms, ambulance services, hospital, and primary health care clinics in Qatar, focusing on coping strategies, cultural adaptation, and organizational supports.</w:t>
      </w:r>
    </w:p>
    <w:p w14:paraId="50970AEB" w14:textId="5C88A185" w:rsidR="00DA54D8" w:rsidRPr="00DA54D8" w:rsidRDefault="00DA54D8" w:rsidP="00DA54D8">
      <w:pPr>
        <w:jc w:val="both"/>
        <w:rPr>
          <w:rFonts w:ascii="Arial" w:hAnsi="Arial" w:cs="Arial"/>
          <w:color w:val="000000" w:themeColor="text1"/>
          <w:sz w:val="20"/>
          <w:szCs w:val="20"/>
        </w:rPr>
      </w:pPr>
      <w:r w:rsidRPr="00DA54D8">
        <w:rPr>
          <w:rFonts w:ascii="Arial" w:hAnsi="Arial" w:cs="Arial"/>
          <w:b/>
          <w:bCs/>
          <w:color w:val="000000" w:themeColor="text1"/>
          <w:sz w:val="20"/>
          <w:szCs w:val="20"/>
        </w:rPr>
        <w:t>Methods:</w:t>
      </w:r>
      <w:r w:rsidRPr="00DA54D8">
        <w:rPr>
          <w:rFonts w:ascii="Arial" w:hAnsi="Arial" w:cs="Arial"/>
          <w:color w:val="000000" w:themeColor="text1"/>
          <w:sz w:val="20"/>
          <w:szCs w:val="20"/>
        </w:rPr>
        <w:t xml:space="preserve"> </w:t>
      </w:r>
      <w:r w:rsidR="0017075E" w:rsidRPr="0017075E">
        <w:rPr>
          <w:rFonts w:ascii="Arial" w:hAnsi="Arial" w:cs="Arial"/>
          <w:color w:val="000000" w:themeColor="text1"/>
          <w:sz w:val="20"/>
          <w:szCs w:val="20"/>
        </w:rPr>
        <w:t>A qualitative descriptive design was used with purposive sampling at a healthcare facility in Qatar. Data were collected through semi-structured interviews with ten Indonesian nurses and analyzed using thematic analysis. The study was guided by resilience frameworks, including Morse’s Resilience Framework for Nursing and Healthcare and Polk’s Middle-Range Theory of Resilience. Thematic analysis was conducted with NVivo software.</w:t>
      </w:r>
    </w:p>
    <w:p w14:paraId="4D8AB11D" w14:textId="77777777" w:rsidR="00DA54D8" w:rsidRPr="00DA54D8" w:rsidRDefault="00DA54D8" w:rsidP="00DA54D8">
      <w:pPr>
        <w:jc w:val="both"/>
        <w:rPr>
          <w:rFonts w:ascii="Arial" w:hAnsi="Arial" w:cs="Arial"/>
          <w:color w:val="000000" w:themeColor="text1"/>
          <w:sz w:val="20"/>
          <w:szCs w:val="20"/>
        </w:rPr>
      </w:pPr>
      <w:r w:rsidRPr="00DA54D8">
        <w:rPr>
          <w:rFonts w:ascii="Arial" w:hAnsi="Arial" w:cs="Arial"/>
          <w:b/>
          <w:bCs/>
          <w:color w:val="000000" w:themeColor="text1"/>
          <w:sz w:val="20"/>
          <w:szCs w:val="20"/>
        </w:rPr>
        <w:t>Results:</w:t>
      </w:r>
      <w:r w:rsidRPr="00DA54D8">
        <w:rPr>
          <w:rFonts w:ascii="Arial" w:hAnsi="Arial" w:cs="Arial"/>
          <w:color w:val="000000" w:themeColor="text1"/>
          <w:sz w:val="20"/>
          <w:szCs w:val="20"/>
        </w:rPr>
        <w:t xml:space="preserve"> </w:t>
      </w:r>
      <w:bookmarkStart w:id="0" w:name="_Hlk215646940"/>
      <w:r w:rsidRPr="00DA54D8">
        <w:rPr>
          <w:rFonts w:ascii="Arial" w:hAnsi="Arial" w:cs="Arial"/>
          <w:color w:val="000000" w:themeColor="text1"/>
          <w:sz w:val="20"/>
          <w:szCs w:val="20"/>
        </w:rPr>
        <w:t>Four major themes emerged: (1) Workplace Pressure Management through protocol adherence, task delegation, and structured communication; (2) Cultural and Linguistic Adaptation using simple English, Arabic phrases, visual aids, and interpreter support; (3) Resilience Capacities involving mindfulness, peer debriefing, and gratitude practices; and (4) Organizational Supports such as simulation drills, SBAR training, and access to counseling services. These strategies collectively enabled nurses to maintain emotional balance and deliver safe care under stress.</w:t>
      </w:r>
    </w:p>
    <w:bookmarkEnd w:id="0"/>
    <w:p w14:paraId="5CB973E9" w14:textId="09AB2581" w:rsidR="00DA54D8" w:rsidRPr="00DA54D8" w:rsidRDefault="00DA54D8" w:rsidP="00DA54D8">
      <w:pPr>
        <w:jc w:val="both"/>
        <w:rPr>
          <w:rFonts w:ascii="Arial" w:hAnsi="Arial" w:cs="Arial"/>
          <w:color w:val="000000" w:themeColor="text1"/>
          <w:sz w:val="20"/>
          <w:szCs w:val="20"/>
        </w:rPr>
      </w:pPr>
      <w:r w:rsidRPr="00DA54D8">
        <w:rPr>
          <w:rFonts w:ascii="Arial" w:hAnsi="Arial" w:cs="Arial"/>
          <w:b/>
          <w:bCs/>
          <w:color w:val="000000" w:themeColor="text1"/>
          <w:sz w:val="20"/>
          <w:szCs w:val="20"/>
        </w:rPr>
        <w:t>Conclusion:</w:t>
      </w:r>
      <w:r w:rsidRPr="00DA54D8">
        <w:rPr>
          <w:rFonts w:ascii="Arial" w:hAnsi="Arial" w:cs="Arial"/>
          <w:color w:val="000000" w:themeColor="text1"/>
          <w:sz w:val="20"/>
          <w:szCs w:val="20"/>
        </w:rPr>
        <w:t xml:space="preserve"> Resilience among Indonesian nurses</w:t>
      </w:r>
      <w:r w:rsidR="0033477F">
        <w:rPr>
          <w:rFonts w:ascii="Arial" w:hAnsi="Arial" w:cs="Arial"/>
          <w:color w:val="000000" w:themeColor="text1"/>
          <w:sz w:val="20"/>
          <w:szCs w:val="20"/>
        </w:rPr>
        <w:t xml:space="preserve"> working in healthcare facil</w:t>
      </w:r>
      <w:r w:rsidR="000A6C4A">
        <w:rPr>
          <w:rFonts w:ascii="Arial" w:hAnsi="Arial" w:cs="Arial"/>
          <w:color w:val="000000" w:themeColor="text1"/>
          <w:sz w:val="20"/>
          <w:szCs w:val="20"/>
        </w:rPr>
        <w:t>i</w:t>
      </w:r>
      <w:r w:rsidR="0033477F">
        <w:rPr>
          <w:rFonts w:ascii="Arial" w:hAnsi="Arial" w:cs="Arial"/>
          <w:color w:val="000000" w:themeColor="text1"/>
          <w:sz w:val="20"/>
          <w:szCs w:val="20"/>
        </w:rPr>
        <w:t>ty</w:t>
      </w:r>
      <w:r w:rsidRPr="00DA54D8">
        <w:rPr>
          <w:rFonts w:ascii="Arial" w:hAnsi="Arial" w:cs="Arial"/>
          <w:color w:val="000000" w:themeColor="text1"/>
          <w:sz w:val="20"/>
          <w:szCs w:val="20"/>
        </w:rPr>
        <w:t xml:space="preserve"> in Qatar is a dynamic, multi-layered process shaped by individual coping mechanisms, team solidarity, and organizational resources. Interventions that combine cultural competence training, resilience workshops, and supportive policies can strengthen nurse resilience and improve healthcare outcomes.</w:t>
      </w:r>
    </w:p>
    <w:p w14:paraId="51A08B55" w14:textId="0CFA654F" w:rsidR="00DA54D8" w:rsidRDefault="00DA54D8" w:rsidP="00DA54D8">
      <w:pPr>
        <w:rPr>
          <w:rFonts w:ascii="Arial" w:hAnsi="Arial" w:cs="Arial"/>
          <w:i/>
          <w:iCs/>
          <w:color w:val="000000" w:themeColor="text1"/>
          <w:sz w:val="20"/>
          <w:szCs w:val="20"/>
        </w:rPr>
      </w:pPr>
      <w:r w:rsidRPr="0025181C">
        <w:rPr>
          <w:rFonts w:ascii="Arial" w:hAnsi="Arial" w:cs="Arial"/>
          <w:b/>
          <w:i/>
          <w:iCs/>
          <w:color w:val="000000" w:themeColor="text1"/>
          <w:sz w:val="20"/>
          <w:szCs w:val="20"/>
        </w:rPr>
        <w:t>Keywords</w:t>
      </w:r>
      <w:r w:rsidRPr="00DA54D8">
        <w:rPr>
          <w:rFonts w:ascii="Arial" w:hAnsi="Arial" w:cs="Arial"/>
          <w:i/>
          <w:iCs/>
          <w:color w:val="000000" w:themeColor="text1"/>
          <w:sz w:val="20"/>
          <w:szCs w:val="20"/>
        </w:rPr>
        <w:t>: Resilience, Indonesian nurses, Qatar, qualitative research, coping strategies, cultural competence.</w:t>
      </w:r>
    </w:p>
    <w:p w14:paraId="7D0D35B4" w14:textId="77777777" w:rsidR="0025181C" w:rsidRPr="00DA54D8" w:rsidRDefault="0025181C" w:rsidP="00DA54D8">
      <w:pPr>
        <w:rPr>
          <w:rFonts w:ascii="Arial" w:hAnsi="Arial" w:cs="Arial"/>
          <w:i/>
          <w:iCs/>
          <w:color w:val="000000" w:themeColor="text1"/>
          <w:sz w:val="20"/>
          <w:szCs w:val="20"/>
        </w:rPr>
      </w:pPr>
    </w:p>
    <w:p w14:paraId="4AAB6B4C" w14:textId="77777777" w:rsidR="00BC64FA" w:rsidRDefault="00BC64FA" w:rsidP="00BC64FA">
      <w:pPr>
        <w:spacing w:line="240" w:lineRule="auto"/>
        <w:jc w:val="right"/>
        <w:rPr>
          <w:rFonts w:ascii="Arial" w:hAnsi="Arial" w:cs="Arial"/>
          <w:sz w:val="20"/>
          <w:szCs w:val="20"/>
        </w:rPr>
      </w:pPr>
    </w:p>
    <w:p w14:paraId="6A6F2363" w14:textId="77777777" w:rsidR="00D75DC9" w:rsidRPr="00BC64FA" w:rsidRDefault="00D75DC9" w:rsidP="00D75DC9">
      <w:pPr>
        <w:rPr>
          <w:rFonts w:ascii="Arial" w:hAnsi="Arial" w:cs="Arial"/>
          <w:sz w:val="20"/>
          <w:szCs w:val="20"/>
        </w:rPr>
      </w:pPr>
    </w:p>
    <w:p w14:paraId="4FEF0FD2" w14:textId="6510F836" w:rsidR="00630A0F" w:rsidRPr="002D1B52" w:rsidRDefault="00D8506C" w:rsidP="00164454">
      <w:pPr>
        <w:pStyle w:val="Heading1"/>
        <w:spacing w:before="120" w:after="120"/>
        <w:jc w:val="both"/>
        <w:rPr>
          <w:rFonts w:ascii="Arial" w:hAnsi="Arial" w:cs="Arial"/>
          <w:bCs/>
          <w:sz w:val="22"/>
          <w:szCs w:val="22"/>
        </w:rPr>
      </w:pPr>
      <w:r w:rsidRPr="002D1B52">
        <w:rPr>
          <w:rFonts w:ascii="Arial" w:hAnsi="Arial" w:cs="Arial"/>
          <w:bCs/>
          <w:sz w:val="22"/>
          <w:szCs w:val="22"/>
        </w:rPr>
        <w:lastRenderedPageBreak/>
        <w:t xml:space="preserve">1. </w:t>
      </w:r>
      <w:r w:rsidR="00630A0F" w:rsidRPr="002D1B52">
        <w:rPr>
          <w:rFonts w:ascii="Arial" w:hAnsi="Arial" w:cs="Arial"/>
          <w:bCs/>
          <w:sz w:val="22"/>
          <w:szCs w:val="22"/>
        </w:rPr>
        <w:t>Introduction</w:t>
      </w:r>
    </w:p>
    <w:p w14:paraId="73EE2A64" w14:textId="310B77D2" w:rsidR="00710161" w:rsidRPr="00BC64FA" w:rsidRDefault="00663668" w:rsidP="00164454">
      <w:pPr>
        <w:pStyle w:val="Heading2"/>
        <w:spacing w:before="120" w:after="120"/>
        <w:rPr>
          <w:rFonts w:ascii="Arial" w:hAnsi="Arial" w:cs="Arial"/>
          <w:bCs/>
          <w:color w:val="000000" w:themeColor="text1"/>
          <w:sz w:val="20"/>
          <w:szCs w:val="20"/>
        </w:rPr>
      </w:pPr>
      <w:r w:rsidRPr="00BC64FA">
        <w:rPr>
          <w:rFonts w:ascii="Arial" w:hAnsi="Arial" w:cs="Arial"/>
          <w:bCs/>
          <w:color w:val="000000" w:themeColor="text1"/>
          <w:sz w:val="20"/>
          <w:szCs w:val="20"/>
        </w:rPr>
        <w:t xml:space="preserve">1.1. </w:t>
      </w:r>
      <w:r w:rsidR="00710161" w:rsidRPr="00BC64FA">
        <w:rPr>
          <w:rFonts w:ascii="Arial" w:hAnsi="Arial" w:cs="Arial"/>
          <w:bCs/>
          <w:color w:val="000000" w:themeColor="text1"/>
          <w:sz w:val="20"/>
          <w:szCs w:val="20"/>
        </w:rPr>
        <w:t>Background</w:t>
      </w:r>
    </w:p>
    <w:p w14:paraId="61D01C34" w14:textId="38FC20F1" w:rsidR="00286634" w:rsidRPr="00BC64FA" w:rsidRDefault="00513C5D" w:rsidP="00164454">
      <w:pPr>
        <w:pStyle w:val="NormalWeb"/>
        <w:spacing w:before="120" w:beforeAutospacing="0" w:after="120" w:afterAutospacing="0" w:line="360" w:lineRule="auto"/>
        <w:jc w:val="both"/>
        <w:rPr>
          <w:rFonts w:ascii="Arial" w:hAnsi="Arial" w:cs="Arial"/>
          <w:color w:val="000000" w:themeColor="text1"/>
          <w:sz w:val="20"/>
          <w:szCs w:val="20"/>
        </w:rPr>
      </w:pPr>
      <w:r w:rsidRPr="00BC64FA">
        <w:rPr>
          <w:rFonts w:ascii="Arial" w:hAnsi="Arial" w:cs="Arial"/>
          <w:color w:val="000000" w:themeColor="text1"/>
          <w:sz w:val="20"/>
          <w:szCs w:val="20"/>
        </w:rPr>
        <w:t xml:space="preserve">Asian nurses working in Middle Eastern healthcare systems encounter multiple interrelated challenges that impact their professional performance and well-being. </w:t>
      </w:r>
      <w:r w:rsidRPr="00BC64FA">
        <w:rPr>
          <w:rStyle w:val="Strong"/>
          <w:rFonts w:ascii="Arial" w:eastAsiaTheme="majorEastAsia" w:hAnsi="Arial" w:cs="Arial"/>
          <w:b w:val="0"/>
          <w:bCs w:val="0"/>
          <w:color w:val="000000" w:themeColor="text1"/>
          <w:sz w:val="20"/>
          <w:szCs w:val="20"/>
        </w:rPr>
        <w:t>Cultural and language barriers</w:t>
      </w:r>
      <w:r w:rsidRPr="00BC64FA">
        <w:rPr>
          <w:rFonts w:ascii="Arial" w:hAnsi="Arial" w:cs="Arial"/>
          <w:color w:val="000000" w:themeColor="text1"/>
          <w:sz w:val="20"/>
          <w:szCs w:val="20"/>
        </w:rPr>
        <w:t xml:space="preserve"> are among the most significant issues, as limited Arabic proficiency and unfamiliarity with local customs often lead to communication difficulties and misunderstandings with patients and colleagues </w:t>
      </w:r>
      <w:r w:rsidR="009F4D2A" w:rsidRPr="00BC64FA">
        <w:rPr>
          <w:rFonts w:ascii="Arial" w:hAnsi="Arial" w:cs="Arial"/>
          <w:color w:val="000000" w:themeColor="text1"/>
          <w:sz w:val="20"/>
          <w:szCs w:val="20"/>
        </w:rPr>
        <w:fldChar w:fldCharType="begin" w:fldLock="1"/>
      </w:r>
      <w:r w:rsidR="00025652" w:rsidRPr="00BC64FA">
        <w:rPr>
          <w:rFonts w:ascii="Arial" w:hAnsi="Arial" w:cs="Arial"/>
          <w:color w:val="000000" w:themeColor="text1"/>
          <w:sz w:val="20"/>
          <w:szCs w:val="20"/>
        </w:rPr>
        <w:instrText>ADDIN CSL_CITATION {"citationItems":[{"id":"ITEM-1","itemData":{"DOI":"10.5742/MEJN2023.9378040","abstract":"Background. Nursing staff are typically multi-national, especially in Saudi Arabia, and Saudi nurses deal with multicultural patients, which creates a culturally diverse atmosphere. As a result, cultural competence is essential. Aim. To assess cultural competence among nurses in Saudi Arabia Methods. A systematic review was performed to assess cultural competence among nurses in Saudi Arabia. Findings. The study provides in-depth summaries of 11 papers included in this review. No studies published before 2014 investigated the cultural competence of Saudi Arabian nurses. However, the authors noted a sharp rise from 2020 in the number of studies dealing with this issue. Sample sizes ranged from 11 to 650 participants. Three studies were qualitative compared to eight quantitative studies. Seven studies focused on staff nurses, one on academic nurses, two on nursing students, and one on nurse leaders. Three concentrated on the academic setting, seven on clinical settings, and one on community settings. Most studies collected data from surveys, while a few used interviews and cross-sectional methodologies. Conclusion. Healthcare systems should be structured to encourage the empowerment of nurses from different nationalities and build effective communication policies to improve cultural competency among nurses. Future research should look at the relationship between individual training programs designed to increase cultural competence and their effect on the quality of patient care. Also, further research should incorporate a more diverse range of cultures. Keywords: Cultural competence, nurses, Saudi Arabia, patient outcome, knowledge, skills, attitude.","author":[{"dropping-particle":"","family":"Aboshaiqah","given":"Ahmad","non-dropping-particle":"","parse-names":false,"suffix":""}],"container-title":"Middle East Journal of Nursing","id":"ITEM-1","issue":"2","issued":{"date-parts":[["2023"]]},"title":"Cultural Competence in Nurses in Saudi Arabia: A Systematic Review","type":"article-journal","volume":"17"},"uris":["http://www.mendeley.com/documents/?uuid=8078db0e-1ca2-4c94-a23f-76e84c3ae814"]}],"mendeley":{"formattedCitation":"(Aboshaiqah, 2023)","plainTextFormattedCitation":"(Aboshaiqah, 2023)","previouslyFormattedCitation":"(Aboshaiqah, 2023)"},"properties":{"noteIndex":0},"schema":"https://github.com/citation-style-language/schema/raw/master/csl-citation.json"}</w:instrText>
      </w:r>
      <w:r w:rsidR="009F4D2A" w:rsidRPr="00BC64FA">
        <w:rPr>
          <w:rFonts w:ascii="Arial" w:hAnsi="Arial" w:cs="Arial"/>
          <w:color w:val="000000" w:themeColor="text1"/>
          <w:sz w:val="20"/>
          <w:szCs w:val="20"/>
        </w:rPr>
        <w:fldChar w:fldCharType="separate"/>
      </w:r>
      <w:r w:rsidR="009F4D2A" w:rsidRPr="00BC64FA">
        <w:rPr>
          <w:rFonts w:ascii="Arial" w:hAnsi="Arial" w:cs="Arial"/>
          <w:noProof/>
          <w:color w:val="000000" w:themeColor="text1"/>
          <w:sz w:val="20"/>
          <w:szCs w:val="20"/>
        </w:rPr>
        <w:t>(Aboshaiqah, 2023)</w:t>
      </w:r>
      <w:r w:rsidR="009F4D2A" w:rsidRPr="00BC64FA">
        <w:rPr>
          <w:rFonts w:ascii="Arial" w:hAnsi="Arial" w:cs="Arial"/>
          <w:color w:val="000000" w:themeColor="text1"/>
          <w:sz w:val="20"/>
          <w:szCs w:val="20"/>
        </w:rPr>
        <w:fldChar w:fldCharType="end"/>
      </w:r>
      <w:r w:rsidR="009F4D2A" w:rsidRPr="00BC64FA">
        <w:rPr>
          <w:rFonts w:ascii="Arial" w:hAnsi="Arial" w:cs="Arial"/>
          <w:color w:val="000000" w:themeColor="text1"/>
          <w:sz w:val="20"/>
          <w:szCs w:val="20"/>
        </w:rPr>
        <w:t xml:space="preserve">; </w:t>
      </w:r>
      <w:r w:rsidR="00025652" w:rsidRPr="00BC64FA">
        <w:rPr>
          <w:rFonts w:ascii="Arial" w:hAnsi="Arial" w:cs="Arial"/>
          <w:color w:val="000000" w:themeColor="text1"/>
          <w:sz w:val="20"/>
          <w:szCs w:val="20"/>
        </w:rPr>
        <w:fldChar w:fldCharType="begin" w:fldLock="1"/>
      </w:r>
      <w:r w:rsidR="00025652" w:rsidRPr="00BC64FA">
        <w:rPr>
          <w:rFonts w:ascii="Arial" w:hAnsi="Arial" w:cs="Arial"/>
          <w:color w:val="000000" w:themeColor="text1"/>
          <w:sz w:val="20"/>
          <w:szCs w:val="20"/>
        </w:rPr>
        <w:instrText>ADDIN CSL_CITATION {"citationItems":[{"id":"ITEM-1","itemData":{"DOI":"10.1136/bmjopen-2023-076326","ISSN":"2044-6055","abstract":"Objectives To identify language-related communication barriers that expatriate (non-Arabic) healthcare practitioners in the UAE encounter in their daily practice. Design Qualitative study utilising semi-structured in-depth interviews. The interviews were conducted in English language. Setting Different healthcare facilities across the UAE. These facilities were accessed for data collection over a period of 3 months from January 2023 to March 2023. Participants 14 purposively selected healthcare practitioners. Intervention No specific intervention was implemented; this study primarily aimed at gaining insights through interviews. Primary and secondary outcomes To understand the implications of language barriers on service quality, patient safety, and healthcare providers' well-being. Results Three main themes emerged from our analysis of participants' narratives: Feeling left alone, Trying to come closer to their patients and Feeling guilty, scared and dissatisfied. Conclusions Based on the perspectives and experiences of participating healthcare professionals, language barriers have notably influenced the delivery of healthcare services, patient safety and the well-being of both patients and practitioners in the UAE. There is a pressing need, as highlighted by these professionals, for the inclusion of professional interpreters and the provision of training to healthcare providers to enhance effective collaboration with these interpreters.","author":[{"dropping-particle":"","family":"Al-Yateem","given":"Nabeel","non-dropping-particle":"","parse-names":false,"suffix":""},{"dropping-particle":"","family":"Hijazi","given":"Heba","non-dropping-particle":"","parse-names":false,"suffix":""},{"dropping-particle":"","family":"Saifan","given":"Ahmad Rajeh","non-dropping-particle":"","parse-names":false,"suffix":""},{"dropping-particle":"","family":"Ahmad","given":"Alaa","non-dropping-particle":"","parse-names":false,"suffix":""},{"dropping-particle":"","family":"Masa'Deh","given":"Rami","non-dropping-particle":"","parse-names":false,"suffix":""},{"dropping-particle":"","family":"Alrimawi","given":"Intima","non-dropping-particle":"","parse-names":false,"suffix":""},{"dropping-particle":"","family":"Rahman","given":"Syed Azizur","non-dropping-particle":"","parse-names":false,"suffix":""},{"dropping-particle":"","family":"Subu","given":"Muhammad Arsyad","non-dropping-particle":"","parse-names":false,"suffix":""},{"dropping-particle":"","family":"Ahmed","given":"Fatma Refaat","non-dropping-particle":"","parse-names":false,"suffix":""}],"container-title":"BMJ Open","id":"ITEM-1","issue":"12","issued":{"date-parts":[["2023","12","22"]]},"page":"e076326","title":"Quality and safety issue: language barriers in healthcare, a qualitative study of non-Arab healthcare practitioners caring for Arabic patients in the UAE","type":"article-journal","volume":"13"},"uris":["http://www.mendeley.com/documents/?uuid=35a2f2db-1a1c-4f88-acb3-4db13de5e0db"]}],"mendeley":{"formattedCitation":"(Al-Yateem et al., 2023)","plainTextFormattedCitation":"(Al-Yateem et al., 2023)","previouslyFormattedCitation":"(Al-Yateem et al., 2023)"},"properties":{"noteIndex":0},"schema":"https://github.com/citation-style-language/schema/raw/master/csl-citation.json"}</w:instrText>
      </w:r>
      <w:r w:rsidR="00025652" w:rsidRPr="00BC64FA">
        <w:rPr>
          <w:rFonts w:ascii="Arial" w:hAnsi="Arial" w:cs="Arial"/>
          <w:color w:val="000000" w:themeColor="text1"/>
          <w:sz w:val="20"/>
          <w:szCs w:val="20"/>
        </w:rPr>
        <w:fldChar w:fldCharType="separate"/>
      </w:r>
      <w:r w:rsidR="00025652" w:rsidRPr="00BC64FA">
        <w:rPr>
          <w:rFonts w:ascii="Arial" w:hAnsi="Arial" w:cs="Arial"/>
          <w:noProof/>
          <w:color w:val="000000" w:themeColor="text1"/>
          <w:sz w:val="20"/>
          <w:szCs w:val="20"/>
        </w:rPr>
        <w:t>(Al-Yateem et al., 2023)</w:t>
      </w:r>
      <w:r w:rsidR="00025652" w:rsidRPr="00BC64FA">
        <w:rPr>
          <w:rFonts w:ascii="Arial" w:hAnsi="Arial" w:cs="Arial"/>
          <w:color w:val="000000" w:themeColor="text1"/>
          <w:sz w:val="20"/>
          <w:szCs w:val="20"/>
        </w:rPr>
        <w:fldChar w:fldCharType="end"/>
      </w:r>
      <w:r w:rsidR="00025652" w:rsidRPr="00BC64FA">
        <w:rPr>
          <w:rFonts w:ascii="Arial" w:hAnsi="Arial" w:cs="Arial"/>
          <w:color w:val="000000" w:themeColor="text1"/>
          <w:sz w:val="20"/>
          <w:szCs w:val="20"/>
        </w:rPr>
        <w:t xml:space="preserve">; </w:t>
      </w:r>
      <w:r w:rsidR="00025652" w:rsidRPr="00BC64FA">
        <w:rPr>
          <w:rFonts w:ascii="Arial" w:hAnsi="Arial" w:cs="Arial"/>
          <w:color w:val="000000" w:themeColor="text1"/>
          <w:sz w:val="20"/>
          <w:szCs w:val="20"/>
        </w:rPr>
        <w:fldChar w:fldCharType="begin" w:fldLock="1"/>
      </w:r>
      <w:r w:rsidR="00286634" w:rsidRPr="00BC64FA">
        <w:rPr>
          <w:rFonts w:ascii="Arial" w:hAnsi="Arial" w:cs="Arial"/>
          <w:color w:val="000000" w:themeColor="text1"/>
          <w:sz w:val="20"/>
          <w:szCs w:val="20"/>
        </w:rPr>
        <w:instrText>ADDIN CSL_CITATION {"citationItems":[{"id":"ITEM-1","itemData":{"DOI":"10.1111/jocn.15891","ISSN":"0962-1067","abstract":"Aims and objectives: This study investigated the challenges of cross-cultural communication among internationally qualified nurses, and the impact on nurse-to-nurse and nurse-to-patient relationships. Background: Open and authentic communication between nurses and patients is required as a foundation of patient-centred practice; however, this may be a challenge in cross-cultural settings. Design: An exploratory qualitative study with an inductive approach. Methods: Semi-structured, face-to-face interviews explored the influences on communication and practice of 21 internationally qualified nurses practising in the United Arab Emirates. Manual and software-driven processes guided coding and analysis of data. Caring theory guided the analysis of themes; while COREQ criteria guided research conduct and reporting. Results: Four key themes emerged; (a) Challenges in communication, (b) The science versus art of nursing; (c) The impact of ineffective communication and (d) Strategies for coping. Eleven sub-themes are reported within these themes. Overall, nurses felt they had sufficient language and nursing skills to undertake the technical or scientific aspects of their work; however, they reported experiencing restricted ability to participate in complex cross-cultural conversations, such as providing explanations and reassurance about treatment options or discussing end of life and treatment decisions. This limitation diminished the nurses’ ability to engage in the art of nursing and left them unable to employ themselves therapeutically to attain a sense of true presence with patients and their families. Conclusion: This article highlights the need for language and communication support, and Arabic-speaking advocates as partners in care for expatriate nurses. Relevance to practice: Internationally qualified nurses in this Middle Eastern setting lack cultural orientation and language skills to fully enact the art and true presence of nursing. Findings indicate that health service employers need to increase the employment of Arabic-speaking nurses and provide additional language for other expatriate nurses.","author":[{"dropping-particle":"","family":"Kuzemski","given":"Dawn","non-dropping-particle":"","parse-names":false,"suffix":""},{"dropping-particle":"","family":"Thirlwall","given":"Alison","non-dropping-particle":"","parse-names":false,"suffix":""},{"dropping-particle":"","family":"Brunton","given":"Margaret","non-dropping-particle":"","parse-names":false,"suffix":""},{"dropping-particle":"","family":"Brownie","given":"Sharon","non-dropping-particle":"","parse-names":false,"suffix":""}],"container-title":"Journal of Clinical Nursing","id":"ITEM-1","issue":"1-2","issued":{"date-parts":[["2022","1","14"]]},"page":"145-157","title":"I speak a little Arabic: Nursing communication in a cross</w:instrText>
      </w:r>
      <w:r w:rsidR="00286634" w:rsidRPr="00BC64FA">
        <w:rPr>
          <w:rFonts w:ascii="Cambria Math" w:hAnsi="Cambria Math" w:cs="Cambria Math"/>
          <w:color w:val="000000" w:themeColor="text1"/>
          <w:sz w:val="20"/>
          <w:szCs w:val="20"/>
        </w:rPr>
        <w:instrText>‐</w:instrText>
      </w:r>
      <w:r w:rsidR="00286634" w:rsidRPr="00BC64FA">
        <w:rPr>
          <w:rFonts w:ascii="Arial" w:hAnsi="Arial" w:cs="Arial"/>
          <w:color w:val="000000" w:themeColor="text1"/>
          <w:sz w:val="20"/>
          <w:szCs w:val="20"/>
        </w:rPr>
        <w:instrText>cultural context","type":"article-journal","volume":"31"},"uris":["http://www.mendeley.com/documents/?uuid=e3c93209-017e-4e56-b4ef-0970ca0d7b8c"]}],"mendeley":{"formattedCitation":"(Kuzemski et al., 2022)","plainTextFormattedCitation":"(Kuzemski et al., 2022)","previouslyFormattedCitation":"(Kuzemski et al., 2022)"},"properties":{"noteIndex":0},"schema":"https://github.com/citation-style-language/schema/raw/master/csl-citation.json"}</w:instrText>
      </w:r>
      <w:r w:rsidR="00025652" w:rsidRPr="00BC64FA">
        <w:rPr>
          <w:rFonts w:ascii="Arial" w:hAnsi="Arial" w:cs="Arial"/>
          <w:color w:val="000000" w:themeColor="text1"/>
          <w:sz w:val="20"/>
          <w:szCs w:val="20"/>
        </w:rPr>
        <w:fldChar w:fldCharType="separate"/>
      </w:r>
      <w:r w:rsidR="00025652" w:rsidRPr="00BC64FA">
        <w:rPr>
          <w:rFonts w:ascii="Arial" w:hAnsi="Arial" w:cs="Arial"/>
          <w:noProof/>
          <w:color w:val="000000" w:themeColor="text1"/>
          <w:sz w:val="20"/>
          <w:szCs w:val="20"/>
        </w:rPr>
        <w:t>(Kuzemski et al., 2022)</w:t>
      </w:r>
      <w:r w:rsidR="00025652" w:rsidRPr="00BC64FA">
        <w:rPr>
          <w:rFonts w:ascii="Arial" w:hAnsi="Arial" w:cs="Arial"/>
          <w:color w:val="000000" w:themeColor="text1"/>
          <w:sz w:val="20"/>
          <w:szCs w:val="20"/>
        </w:rPr>
        <w:fldChar w:fldCharType="end"/>
      </w:r>
      <w:r w:rsidR="00B71B10"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 xml:space="preserve">These cultural gaps are compounded by </w:t>
      </w:r>
      <w:r w:rsidRPr="00BC64FA">
        <w:rPr>
          <w:rStyle w:val="Strong"/>
          <w:rFonts w:ascii="Arial" w:eastAsiaTheme="majorEastAsia" w:hAnsi="Arial" w:cs="Arial"/>
          <w:b w:val="0"/>
          <w:bCs w:val="0"/>
          <w:color w:val="000000" w:themeColor="text1"/>
          <w:sz w:val="20"/>
          <w:szCs w:val="20"/>
        </w:rPr>
        <w:t>ethical and religious sensitivities</w:t>
      </w:r>
      <w:r w:rsidRPr="00BC64FA">
        <w:rPr>
          <w:rFonts w:ascii="Arial" w:hAnsi="Arial" w:cs="Arial"/>
          <w:color w:val="000000" w:themeColor="text1"/>
          <w:sz w:val="20"/>
          <w:szCs w:val="20"/>
        </w:rPr>
        <w:t>, where inadequate training in Islamic norms can result in ethical dilemmas during care delivery, particularly in sensitive areas such as end-of-life care</w:t>
      </w:r>
      <w:r w:rsidR="00286634" w:rsidRPr="00BC64FA">
        <w:rPr>
          <w:rFonts w:ascii="Arial" w:hAnsi="Arial" w:cs="Arial"/>
          <w:color w:val="000000" w:themeColor="text1"/>
          <w:sz w:val="20"/>
          <w:szCs w:val="20"/>
        </w:rPr>
        <w:t xml:space="preserve"> </w:t>
      </w:r>
      <w:r w:rsidR="00286634" w:rsidRPr="00BC64FA">
        <w:rPr>
          <w:rFonts w:ascii="Arial" w:hAnsi="Arial" w:cs="Arial"/>
          <w:color w:val="000000" w:themeColor="text1"/>
          <w:sz w:val="20"/>
          <w:szCs w:val="20"/>
        </w:rPr>
        <w:fldChar w:fldCharType="begin" w:fldLock="1"/>
      </w:r>
      <w:r w:rsidR="00286634" w:rsidRPr="00BC64FA">
        <w:rPr>
          <w:rFonts w:ascii="Arial" w:hAnsi="Arial" w:cs="Arial"/>
          <w:color w:val="000000" w:themeColor="text1"/>
          <w:sz w:val="20"/>
          <w:szCs w:val="20"/>
        </w:rPr>
        <w:instrText>ADDIN CSL_CITATION {"citationItems":[{"id":"ITEM-1","itemData":{"DOI":"10.29328/journal.cjncp.1001050","ISSN":"2639-9911","abstract":"Morality is a unique human subject. It is affected by a number of cultural factors, such as history, tradition, education, and religious beliefs. Ethics is based on two basic concepts: one is a \"value\" and the other is the duties \"must\". In the Islamic faith Health and illness as life and death are not mere facts, they include many values that must be respected. The disease, for example, is not only a medical scientific fact like other physiological phenomena. Despite the rise of secular people most of the arabs are believers and religion remains a significant force in society. Diseases and physical suffering have a big impact on the Muslim's life. It tests endurance, faith, and submission to one almighty God, who has healing powers for all patients. How staff ‘does’ good medical ethics depends on this perspective. To understand the Islamic contribution to medical ethics, five topics are discussed; first, obeying. God's commandments; second, categorising of commandments; third, the 5 guiding principles of Islamic Law (maqased); fourth, judging actions by intention and fifth, refers to a warrant belief in the divine decree and the predestination. In many Western countries multi-cultures and multi-religious textures are met including Muslim citizens and new immigrants. Medical Staff will be required at one point during their work to treat these Muslim patients; therefore, a minimum level of cultural awareness is a prerequisite for the delivery of care that is culturally sensitive. In this paper, there is the highlight of certain key teachings in Islamic medical issues and their applications. Hopefully, the insights gained will aid medical staff to better understand their Muslim patients and deliver care that pays due respect to their beliefs. Muslims in the U.S. and in Europe come from diverse backgrounds. Understanding their beliefs and observances is crucial for providing culturally competent care. In bringing any religious perspective to bear on medico-moral issues, a willingness to listen and courtesy in the debate is necessary.","author":[{"dropping-particle":"","family":"Dahamsheh","given":"Kamal","non-dropping-particle":"","parse-names":false,"suffix":""}],"container-title":"Clinical Journal of Nursing Care and Practice","id":"ITEM-1","issue":"1","issued":{"date-parts":[["2024","2","8"]]},"page":"001-006","title":"Medical Ethical Issues, an Islamic Perspective","type":"article-journal","volume":"8"},"uris":["http://www.mendeley.com/documents/?uuid=b570f008-f435-4181-afe2-cc1f8d8a223e"]}],"mendeley":{"formattedCitation":"(Dahamsheh, 2024)","plainTextFormattedCitation":"(Dahamsheh, 2024)","previouslyFormattedCitation":"(Dahamsheh, 2024)"},"properties":{"noteIndex":0},"schema":"https://github.com/citation-style-language/schema/raw/master/csl-citation.json"}</w:instrText>
      </w:r>
      <w:r w:rsidR="00286634" w:rsidRPr="00BC64FA">
        <w:rPr>
          <w:rFonts w:ascii="Arial" w:hAnsi="Arial" w:cs="Arial"/>
          <w:color w:val="000000" w:themeColor="text1"/>
          <w:sz w:val="20"/>
          <w:szCs w:val="20"/>
        </w:rPr>
        <w:fldChar w:fldCharType="separate"/>
      </w:r>
      <w:r w:rsidR="00286634" w:rsidRPr="00BC64FA">
        <w:rPr>
          <w:rFonts w:ascii="Arial" w:hAnsi="Arial" w:cs="Arial"/>
          <w:noProof/>
          <w:color w:val="000000" w:themeColor="text1"/>
          <w:sz w:val="20"/>
          <w:szCs w:val="20"/>
        </w:rPr>
        <w:t>(Dahamsheh, 2024)</w:t>
      </w:r>
      <w:r w:rsidR="00286634" w:rsidRPr="00BC64FA">
        <w:rPr>
          <w:rFonts w:ascii="Arial" w:hAnsi="Arial" w:cs="Arial"/>
          <w:color w:val="000000" w:themeColor="text1"/>
          <w:sz w:val="20"/>
          <w:szCs w:val="20"/>
        </w:rPr>
        <w:fldChar w:fldCharType="end"/>
      </w:r>
      <w:r w:rsidR="00286634" w:rsidRPr="00BC64FA">
        <w:rPr>
          <w:rFonts w:ascii="Arial" w:hAnsi="Arial" w:cs="Arial"/>
          <w:color w:val="000000" w:themeColor="text1"/>
          <w:sz w:val="20"/>
          <w:szCs w:val="20"/>
        </w:rPr>
        <w:t xml:space="preserve">; </w:t>
      </w:r>
      <w:r w:rsidR="00286634" w:rsidRPr="00BC64FA">
        <w:rPr>
          <w:rFonts w:ascii="Arial" w:hAnsi="Arial" w:cs="Arial"/>
          <w:color w:val="000000" w:themeColor="text1"/>
          <w:sz w:val="20"/>
          <w:szCs w:val="20"/>
        </w:rPr>
        <w:fldChar w:fldCharType="begin" w:fldLock="1"/>
      </w:r>
      <w:r w:rsidR="00781751" w:rsidRPr="00BC64FA">
        <w:rPr>
          <w:rFonts w:ascii="Arial" w:hAnsi="Arial" w:cs="Arial"/>
          <w:color w:val="000000" w:themeColor="text1"/>
          <w:sz w:val="20"/>
          <w:szCs w:val="20"/>
        </w:rPr>
        <w:instrText>ADDIN CSL_CITATION {"citationItems":[{"id":"ITEM-1","itemData":{"DOI":"10.1177/09697330241291159","ISSN":"0969-7330","author":[{"dropping-particle":"","family":"Wong","given":"Valery","non-dropping-particle":"","parse-names":false,"suffix":""},{"dropping-particle":"","family":"Hassan","given":"Norasyikin","non-dropping-particle":"","parse-names":false,"suffix":""},{"dropping-particle":"","family":"Wong","given":"Yoke Ping","non-dropping-particle":"","parse-names":false,"suffix":""},{"dropping-particle":"","family":"Chua","given":"Sophia Yen Nee","non-dropping-particle":"","parse-names":false,"suffix":""},{"dropping-particle":"","family":"Abdul Rahman","given":"Shaliza","non-dropping-particle":"","parse-names":false,"suffix":""},{"dropping-particle":"","family":"Mohamad","given":"Mas Linda","non-dropping-particle":"","parse-names":false,"suffix":""},{"dropping-particle":"","family":"Lim","given":"Siriwan","non-dropping-particle":"","parse-names":false,"suffix":""}],"container-title":"Nursing Ethics","id":"ITEM-1","issue":"4","issued":{"date-parts":[["2025","6","22"]]},"page":"1162-1176","title":"Nurses’ adherence to ethical principles – A qualitative study","type":"article-journal","volume":"32"},"uris":["http://www.mendeley.com/documents/?uuid=d0aa3d3c-7201-4698-997f-63d7ef244239"]}],"mendeley":{"formattedCitation":"(Wong et al., 2025)","plainTextFormattedCitation":"(Wong et al., 2025)","previouslyFormattedCitation":"(Wong et al., 2025)"},"properties":{"noteIndex":0},"schema":"https://github.com/citation-style-language/schema/raw/master/csl-citation.json"}</w:instrText>
      </w:r>
      <w:r w:rsidR="00286634" w:rsidRPr="00BC64FA">
        <w:rPr>
          <w:rFonts w:ascii="Arial" w:hAnsi="Arial" w:cs="Arial"/>
          <w:color w:val="000000" w:themeColor="text1"/>
          <w:sz w:val="20"/>
          <w:szCs w:val="20"/>
        </w:rPr>
        <w:fldChar w:fldCharType="separate"/>
      </w:r>
      <w:r w:rsidR="00286634" w:rsidRPr="00BC64FA">
        <w:rPr>
          <w:rFonts w:ascii="Arial" w:hAnsi="Arial" w:cs="Arial"/>
          <w:noProof/>
          <w:color w:val="000000" w:themeColor="text1"/>
          <w:sz w:val="20"/>
          <w:szCs w:val="20"/>
        </w:rPr>
        <w:t>(Wong et al., 2025)</w:t>
      </w:r>
      <w:r w:rsidR="00286634" w:rsidRPr="00BC64FA">
        <w:rPr>
          <w:rFonts w:ascii="Arial" w:hAnsi="Arial" w:cs="Arial"/>
          <w:color w:val="000000" w:themeColor="text1"/>
          <w:sz w:val="20"/>
          <w:szCs w:val="20"/>
        </w:rPr>
        <w:fldChar w:fldCharType="end"/>
      </w:r>
      <w:r w:rsidR="00286634" w:rsidRPr="00BC64FA">
        <w:rPr>
          <w:rFonts w:ascii="Arial" w:hAnsi="Arial" w:cs="Arial"/>
          <w:color w:val="000000" w:themeColor="text1"/>
          <w:sz w:val="20"/>
          <w:szCs w:val="20"/>
        </w:rPr>
        <w:t>.</w:t>
      </w:r>
    </w:p>
    <w:p w14:paraId="0E2B20FF" w14:textId="1FFC2101" w:rsidR="00781751" w:rsidRPr="00BC64FA" w:rsidRDefault="00513C5D" w:rsidP="00164454">
      <w:pPr>
        <w:pStyle w:val="NormalWeb"/>
        <w:spacing w:before="120" w:beforeAutospacing="0" w:after="120" w:afterAutospacing="0" w:line="360" w:lineRule="auto"/>
        <w:jc w:val="both"/>
        <w:rPr>
          <w:rFonts w:ascii="Arial" w:hAnsi="Arial" w:cs="Arial"/>
          <w:color w:val="000000" w:themeColor="text1"/>
          <w:sz w:val="20"/>
          <w:szCs w:val="20"/>
          <w:lang w:val="sv-SE"/>
        </w:rPr>
      </w:pPr>
      <w:r w:rsidRPr="00BC64FA">
        <w:rPr>
          <w:rFonts w:ascii="Arial" w:hAnsi="Arial" w:cs="Arial"/>
          <w:color w:val="000000" w:themeColor="text1"/>
          <w:sz w:val="20"/>
          <w:szCs w:val="20"/>
        </w:rPr>
        <w:t xml:space="preserve">Another major concern is </w:t>
      </w:r>
      <w:r w:rsidRPr="00BC64FA">
        <w:rPr>
          <w:rStyle w:val="Strong"/>
          <w:rFonts w:ascii="Arial" w:eastAsiaTheme="majorEastAsia" w:hAnsi="Arial" w:cs="Arial"/>
          <w:b w:val="0"/>
          <w:bCs w:val="0"/>
          <w:color w:val="000000" w:themeColor="text1"/>
          <w:sz w:val="20"/>
          <w:szCs w:val="20"/>
        </w:rPr>
        <w:t>workplace discrimination and bias</w:t>
      </w:r>
      <w:r w:rsidRPr="00BC64FA">
        <w:rPr>
          <w:rFonts w:ascii="Arial" w:hAnsi="Arial" w:cs="Arial"/>
          <w:color w:val="000000" w:themeColor="text1"/>
          <w:sz w:val="20"/>
          <w:szCs w:val="20"/>
        </w:rPr>
        <w:t xml:space="preserve">, with studies highlighting nationality-based prejudice that undermines morale and job satisfaction </w:t>
      </w:r>
      <w:r w:rsidR="00781751" w:rsidRPr="00BC64FA">
        <w:rPr>
          <w:rFonts w:ascii="Arial" w:hAnsi="Arial" w:cs="Arial"/>
          <w:color w:val="000000" w:themeColor="text1"/>
          <w:sz w:val="20"/>
          <w:szCs w:val="20"/>
        </w:rPr>
        <w:fldChar w:fldCharType="begin" w:fldLock="1"/>
      </w:r>
      <w:r w:rsidR="00781751" w:rsidRPr="00BC64FA">
        <w:rPr>
          <w:rFonts w:ascii="Arial" w:hAnsi="Arial" w:cs="Arial"/>
          <w:color w:val="000000" w:themeColor="text1"/>
          <w:sz w:val="20"/>
          <w:szCs w:val="20"/>
        </w:rPr>
        <w:instrText>ADDIN CSL_CITATION {"citationItems":[{"id":"ITEM-1","itemData":{"DOI":"10.36348/sjnhc.2022.v05i04.002","ISSN":"26167921","abstract":"Job satisfaction is considered one of the most important parameters in measuring the performance of the employees. In this study, the researcher has discussed different factors that lead to dissatisfaction among expat nurses working in the Saudi healthcare sector, and has used positivism philosophy. Different survey instruments were used to collect primary data for this study: and the JSS (quantitative component). Firstly, nurses were provided with a self-administrated JSS. The JSS was developed to analyse nine job satisfaction scales, each containing four subscales. The reliability coefficient for descriptive statistics was computed at 0.84, above the threshold mark of 0.70. T-tests were used in this research. During the study, it was observed that out of the 100 married participants, 43 were at the position of Charge nurse and only one of them was working as a director in the organisation. The researcher conducted t-tests to identify the factors that lead to job dissatisfaction among the expats at Hali’s public hospitals in Saudi Arabia. Herein it was observed that very few chances of getting a promotion were of the main causes of job dissatisfaction among the expat nurses. Here the p-value was 0.00, lower than the threshold requirement of 0.05. In conclusion, the chances of getting a promotion were very less due to the fact that they were not native to the country. Also, nurses were not happy with the benefits that they receive in the organisation. That is, expats do not get too many benefits in the host nations.","author":[{"dropping-particle":"","family":"Alanazi","given":"Abdulaziz Khalaf","non-dropping-particle":"","parse-names":false,"suffix":""},{"dropping-particle":"","family":"Yates","given":"Caroline","non-dropping-particle":"","parse-names":false,"suffix":""}],"container-title":"Saudi Journal of Nursing and Health Care","id":"ITEM-1","issue":"4","issued":{"date-parts":[["2022","4","19"]]},"page":"76-83","title":"Factors behind Expatriates Nurses Job Dissatisfaction in Hail’s Public Hospitals, Saudi Arabia","type":"article-journal","volume":"5"},"uris":["http://www.mendeley.com/documents/?uuid=05695876-8e61-4b3c-98df-8c65d245ad32"]}],"mendeley":{"formattedCitation":"(Alanazi &amp; Yates, 2022)","plainTextFormattedCitation":"(Alanazi &amp; Yates, 2022)","previouslyFormattedCitation":"(Alanazi &amp; Yates, 2022)"},"properties":{"noteIndex":0},"schema":"https://github.com/citation-style-language/schema/raw/master/csl-citation.json"}</w:instrText>
      </w:r>
      <w:r w:rsidR="00781751" w:rsidRPr="00BC64FA">
        <w:rPr>
          <w:rFonts w:ascii="Arial" w:hAnsi="Arial" w:cs="Arial"/>
          <w:color w:val="000000" w:themeColor="text1"/>
          <w:sz w:val="20"/>
          <w:szCs w:val="20"/>
        </w:rPr>
        <w:fldChar w:fldCharType="separate"/>
      </w:r>
      <w:r w:rsidR="00781751" w:rsidRPr="00BC64FA">
        <w:rPr>
          <w:rFonts w:ascii="Arial" w:hAnsi="Arial" w:cs="Arial"/>
          <w:noProof/>
          <w:color w:val="000000" w:themeColor="text1"/>
          <w:sz w:val="20"/>
          <w:szCs w:val="20"/>
        </w:rPr>
        <w:t>(Alanazi &amp; Yates, 2022)</w:t>
      </w:r>
      <w:r w:rsidR="00781751" w:rsidRPr="00BC64FA">
        <w:rPr>
          <w:rFonts w:ascii="Arial" w:hAnsi="Arial" w:cs="Arial"/>
          <w:color w:val="000000" w:themeColor="text1"/>
          <w:sz w:val="20"/>
          <w:szCs w:val="20"/>
        </w:rPr>
        <w:fldChar w:fldCharType="end"/>
      </w:r>
      <w:r w:rsidR="00781751" w:rsidRPr="00BC64FA">
        <w:rPr>
          <w:rFonts w:ascii="Arial" w:hAnsi="Arial" w:cs="Arial"/>
          <w:color w:val="000000" w:themeColor="text1"/>
          <w:sz w:val="20"/>
          <w:szCs w:val="20"/>
        </w:rPr>
        <w:t xml:space="preserve">; </w:t>
      </w:r>
      <w:r w:rsidR="00781751" w:rsidRPr="00BC64FA">
        <w:rPr>
          <w:rFonts w:ascii="Arial" w:hAnsi="Arial" w:cs="Arial"/>
          <w:color w:val="000000" w:themeColor="text1"/>
          <w:sz w:val="20"/>
          <w:szCs w:val="20"/>
        </w:rPr>
        <w:fldChar w:fldCharType="begin" w:fldLock="1"/>
      </w:r>
      <w:r w:rsidR="00BA1345" w:rsidRPr="00BC64FA">
        <w:rPr>
          <w:rFonts w:ascii="Arial" w:hAnsi="Arial" w:cs="Arial"/>
          <w:color w:val="000000" w:themeColor="text1"/>
          <w:sz w:val="20"/>
          <w:szCs w:val="20"/>
        </w:rPr>
        <w:instrText>ADDIN CSL_CITATION {"citationItems":[{"id":"ITEM-1","itemData":{"DOI":"10.1111/jan.16838","ISSN":"0309-2402","abstract":"Aim: To provide a comprehensive understanding of the cultural adaptation and professional integration experiences of migrant nurses in the receiving country. Design: A convergent parallel mixed methods design with concurrent sampling was employed. Methods: Professional nurses who migrated from various Middle Eastern and North African countries, including Egypt, Syria, Palestine, Yemen, Jordan, Iraq and Saudi Arabia, were enrolled. The Quantitative data was collected through an online questionnaire involving open-ended questions for the qualitative data. Data was collected from November 2023 to March 2024. Findings: One hundred five nurses responded to the quantitative questionnaire, and 32 answered the open-ended questions. The findings revealed that mean scores for cultural competence and professional self-concept were 83.41 ± 12.90 and 76.28 ± 11.16, respectively. Migrant nurses experienced challenges such as language barriers (91.4%), social interaction (82.9%) and difficulties adapting to daily living activities (100%). The majority of them reported positive outcomes as better working conditions (91.4%), higher standard of living (89.5%) and professional development opportunities (94.3%). Nurses emphasised accepting cultural diversity, participating in cultural competency training, building relationships with local colleagues and utilising support mechanisms and mentorship for cultural adaptation. Conclusion: This study highlighted the importance of support systems, cultural competency training and integration initiatives to facilitate successful adaptation and professional integration. Implications for Profession: Orientation programs and cultural competency training should be developed to support migrant nurses. Initiatives should include language acquisition support, financial assistance for certification programs and promotion of diversity and inclusion in healthcare settings. Impact: This study addressed the challenges migrant nurses face when transitioning to a new cultural and professional environment. It found that migrant nurses experience difficulties with language, social interaction and daily living activities. The research impacted healthcare institutions by guiding the development of orientation programs and cultural competency training, supporting policymakers in addressing systemic barriers and empowering migrant nurses with practical strategies for adaptation. Reporting Method: This study adhered to the Good Reporting of A Mixed Met…","author":[{"dropping-particle":"","family":"Atta","given":"Mohamed Hussein Ramadan","non-dropping-particle":"","parse-names":false,"suffix":""},{"dropping-particle":"","family":"Baraka","given":"Azza Abd Elrazek","non-dropping-particle":"","parse-names":false,"suffix":""},{"dropping-particle":"","family":"Hassan","given":"Eman Arafa","non-dropping-particle":"","parse-names":false,"suffix":""}],"container-title":"Journal of Advanced Nursing","id":"ITEM-1","issue":"12","issued":{"date-parts":[["2025","12","25"]]},"page":"8897-8913","title":"Challenges and Opportunities Faced by Migrant Nurses in the Receiving Country: A Mixed</w:instrText>
      </w:r>
      <w:r w:rsidR="00BA1345" w:rsidRPr="00BC64FA">
        <w:rPr>
          <w:rFonts w:ascii="Cambria Math" w:hAnsi="Cambria Math" w:cs="Cambria Math"/>
          <w:color w:val="000000" w:themeColor="text1"/>
          <w:sz w:val="20"/>
          <w:szCs w:val="20"/>
        </w:rPr>
        <w:instrText>‐</w:instrText>
      </w:r>
      <w:r w:rsidR="00BA1345" w:rsidRPr="00BC64FA">
        <w:rPr>
          <w:rFonts w:ascii="Arial" w:hAnsi="Arial" w:cs="Arial"/>
          <w:color w:val="000000" w:themeColor="text1"/>
          <w:sz w:val="20"/>
          <w:szCs w:val="20"/>
        </w:rPr>
        <w:instrText>Methods Study on Cultural Adaptation and Professional Integration","type":"article-journal","volume":"81"},"uris":["http://www.mendeley.com/documents/?uuid=16daa01f-d3d7-4852-9063-5f5b85ecb0c8"]}],"mendeley":{"formattedCitation":"(Atta et al., 2025)","plainTextFormattedCitation":"(Atta et al., 2025)","previouslyFormattedCitation":"(Atta et al., 2025)"},"properties":{"noteIndex":0},"schema":"https://github.com/citation-style-language/schema/raw/master/csl-citation.json"}</w:instrText>
      </w:r>
      <w:r w:rsidR="00781751" w:rsidRPr="00BC64FA">
        <w:rPr>
          <w:rFonts w:ascii="Arial" w:hAnsi="Arial" w:cs="Arial"/>
          <w:color w:val="000000" w:themeColor="text1"/>
          <w:sz w:val="20"/>
          <w:szCs w:val="20"/>
        </w:rPr>
        <w:fldChar w:fldCharType="separate"/>
      </w:r>
      <w:r w:rsidR="00781751" w:rsidRPr="00BC64FA">
        <w:rPr>
          <w:rFonts w:ascii="Arial" w:hAnsi="Arial" w:cs="Arial"/>
          <w:noProof/>
          <w:color w:val="000000" w:themeColor="text1"/>
          <w:sz w:val="20"/>
          <w:szCs w:val="20"/>
        </w:rPr>
        <w:t>(Atta et al., 2025)</w:t>
      </w:r>
      <w:r w:rsidR="00781751" w:rsidRPr="00BC64FA">
        <w:rPr>
          <w:rFonts w:ascii="Arial" w:hAnsi="Arial" w:cs="Arial"/>
          <w:color w:val="000000" w:themeColor="text1"/>
          <w:sz w:val="20"/>
          <w:szCs w:val="20"/>
        </w:rPr>
        <w:fldChar w:fldCharType="end"/>
      </w:r>
      <w:r w:rsidR="00781751" w:rsidRPr="00BC64FA">
        <w:rPr>
          <w:rFonts w:ascii="Arial" w:hAnsi="Arial" w:cs="Arial"/>
          <w:color w:val="000000" w:themeColor="text1"/>
          <w:sz w:val="20"/>
          <w:szCs w:val="20"/>
        </w:rPr>
        <w:t>.</w:t>
      </w:r>
      <w:r w:rsidR="001256A7"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 xml:space="preserve">This discrimination, coupled with </w:t>
      </w:r>
      <w:r w:rsidRPr="00BC64FA">
        <w:rPr>
          <w:rStyle w:val="Strong"/>
          <w:rFonts w:ascii="Arial" w:eastAsiaTheme="majorEastAsia" w:hAnsi="Arial" w:cs="Arial"/>
          <w:b w:val="0"/>
          <w:bCs w:val="0"/>
          <w:color w:val="000000" w:themeColor="text1"/>
          <w:sz w:val="20"/>
          <w:szCs w:val="20"/>
        </w:rPr>
        <w:t>poor working conditions, limited career progression, and lack of organizational support</w:t>
      </w:r>
      <w:r w:rsidRPr="00BC64FA">
        <w:rPr>
          <w:rFonts w:ascii="Arial" w:hAnsi="Arial" w:cs="Arial"/>
          <w:color w:val="000000" w:themeColor="text1"/>
          <w:sz w:val="20"/>
          <w:szCs w:val="20"/>
        </w:rPr>
        <w:t xml:space="preserve">, contributes to </w:t>
      </w:r>
      <w:r w:rsidRPr="00BC64FA">
        <w:rPr>
          <w:rStyle w:val="Strong"/>
          <w:rFonts w:ascii="Arial" w:eastAsiaTheme="majorEastAsia" w:hAnsi="Arial" w:cs="Arial"/>
          <w:b w:val="0"/>
          <w:bCs w:val="0"/>
          <w:color w:val="000000" w:themeColor="text1"/>
          <w:sz w:val="20"/>
          <w:szCs w:val="20"/>
        </w:rPr>
        <w:t>job dissatisfaction and high turnover rates</w:t>
      </w:r>
      <w:r w:rsidRPr="00BC64FA">
        <w:rPr>
          <w:rFonts w:ascii="Arial" w:hAnsi="Arial" w:cs="Arial"/>
          <w:color w:val="000000" w:themeColor="text1"/>
          <w:sz w:val="20"/>
          <w:szCs w:val="20"/>
        </w:rPr>
        <w:t xml:space="preserve"> among expatriate nurses</w:t>
      </w:r>
      <w:r w:rsidR="001256A7" w:rsidRPr="00BC64FA">
        <w:rPr>
          <w:rFonts w:ascii="Arial" w:hAnsi="Arial" w:cs="Arial"/>
          <w:color w:val="000000" w:themeColor="text1"/>
          <w:sz w:val="20"/>
          <w:szCs w:val="20"/>
        </w:rPr>
        <w:t xml:space="preserve"> </w:t>
      </w:r>
      <w:r w:rsidR="001256A7" w:rsidRPr="00BC64FA">
        <w:rPr>
          <w:rFonts w:ascii="Arial" w:hAnsi="Arial" w:cs="Arial"/>
          <w:color w:val="000000" w:themeColor="text1"/>
          <w:sz w:val="20"/>
          <w:szCs w:val="20"/>
        </w:rPr>
        <w:fldChar w:fldCharType="begin" w:fldLock="1"/>
      </w:r>
      <w:r w:rsidR="001256A7" w:rsidRPr="00BC64FA">
        <w:rPr>
          <w:rFonts w:ascii="Arial" w:hAnsi="Arial" w:cs="Arial"/>
          <w:color w:val="000000" w:themeColor="text1"/>
          <w:sz w:val="20"/>
          <w:szCs w:val="20"/>
        </w:rPr>
        <w:instrText>ADDIN CSL_CITATION {"citationItems":[{"id":"ITEM-1","itemData":{"DOI":"10.1177/23779608251362315","ISSN":"2377-9608","abstract":"OBJECTIVE To explore the relationships between job satisfaction, work environment, and intention to leave among registered nurses in the United Arab Emirates (UAE), and to identify potential predictors of intention to leave. METHODS A cross-sectional study was conducted to collect data from registered nurses working in governmental hospitals in the UAE between October and November 2022. A convenience sampling method was used to recruit 294 participants. RESULTS Approximately 40.8% of nurses reported a high intention to leave their jobs. Significant correlations were found between the intention to leave and several factors, including education level (P = .038), years of experience (P = .033), employment status (P = .002), and nationality (P = .037). Regression analysis revealed that both the work environment and job satisfaction were significant predictors of intention to leave (β = 1.156, P = .015; β = 0.857, P = .015, respectively). CONCLUSIONS The findings of this study indicate that both the work environment and job satisfaction are significant and independent predictors of nurses' intention to leave their positions in the UAE. To reduce turnover, nursing managers and healthcare leaders should prioritize strategies that enhance work conditions, support professional development, reduce burnout, and offer competitive compensation, ultimately promoting nurse retention and better patient care.","author":[{"dropping-particle":"","family":"Aljawarneh","given":"Yousef","non-dropping-particle":"","parse-names":false,"suffix":""},{"dropping-particle":"","family":"Al-Bashaireh","given":"Ahmad","non-dropping-particle":"","parse-names":false,"suffix":""},{"dropping-particle":"","family":"Alotai</w:instrText>
      </w:r>
      <w:r w:rsidR="001256A7" w:rsidRPr="00BC64FA">
        <w:rPr>
          <w:rFonts w:ascii="Arial" w:hAnsi="Arial" w:cs="Arial"/>
          <w:color w:val="000000" w:themeColor="text1"/>
          <w:sz w:val="20"/>
          <w:szCs w:val="20"/>
          <w:lang w:val="sv-SE"/>
        </w:rPr>
        <w:instrText>bi","given":"Nader E.","non-dropping-particle":"","parse-names":false,"suffix":""},{"dropping-particle":"","family":"Kawafha","given":"Mariam","non-dropping-particle":"","parse-names":false,"suffix":""},{"dropping-particle":"","family":"Alkouri","given":"Osama","non-dropping-particle":"","parse-names":false,"suffix":""},{"dropping-particle":"","family":"Almesmari","given":"Tarfah","non-dropping-particle":"","parse-names":false,"suffix":""},{"dropping-particle":"","family":"Alnuaimi","given":"Bashayer","non-dropping-particle":"","parse-names":false,"suffix":""},{"dropping-particle":"","family":"Alabdouli","given":"Sarah","non-dropping-particle":"","parse-names":false,"suffix":""},{"dropping-particle":"","family":"Alsereidi","given":"Maryam","non-dropping-particle":"","parse-names":false,"suffix":""}],"container-title":"SAGE Open Nursing","id":"ITEM-1","issued":{"date-parts":[["2025","1","23"]]},"title":"Associations Between Intention to Leave, Job Satisfaction, and Work Environment Among Registered Nurses: A Cross-Sectional Study in the United Arab Emirates","type":"article-journal","volume":"11"},"uris":["http://www.mendeley.com/documents/?uuid=efa51f0a-d227-4ae0-b50c-447f5b53c758"]}],"mendeley":{"formattedCitation":"(Aljawarneh et al., 2025)","plainTextFormattedCitation":"(Aljawarneh et al., 2025)","previouslyFormattedCitation":"(Aljawarneh et al., 2025)"},"properties":{"noteIndex":0},"schema":"https://github.com/citation-style-language/schema/raw/master/csl-citation.json"}</w:instrText>
      </w:r>
      <w:r w:rsidR="001256A7" w:rsidRPr="00BC64FA">
        <w:rPr>
          <w:rFonts w:ascii="Arial" w:hAnsi="Arial" w:cs="Arial"/>
          <w:color w:val="000000" w:themeColor="text1"/>
          <w:sz w:val="20"/>
          <w:szCs w:val="20"/>
        </w:rPr>
        <w:fldChar w:fldCharType="separate"/>
      </w:r>
      <w:r w:rsidR="001256A7" w:rsidRPr="00BC64FA">
        <w:rPr>
          <w:rFonts w:ascii="Arial" w:hAnsi="Arial" w:cs="Arial"/>
          <w:noProof/>
          <w:color w:val="000000" w:themeColor="text1"/>
          <w:sz w:val="20"/>
          <w:szCs w:val="20"/>
          <w:lang w:val="sv-SE"/>
        </w:rPr>
        <w:t>(Aljawarneh et al., 2025)</w:t>
      </w:r>
      <w:r w:rsidR="001256A7" w:rsidRPr="00BC64FA">
        <w:rPr>
          <w:rFonts w:ascii="Arial" w:hAnsi="Arial" w:cs="Arial"/>
          <w:color w:val="000000" w:themeColor="text1"/>
          <w:sz w:val="20"/>
          <w:szCs w:val="20"/>
        </w:rPr>
        <w:fldChar w:fldCharType="end"/>
      </w:r>
      <w:r w:rsidR="001256A7" w:rsidRPr="00BC64FA">
        <w:rPr>
          <w:rFonts w:ascii="Arial" w:hAnsi="Arial" w:cs="Arial"/>
          <w:color w:val="000000" w:themeColor="text1"/>
          <w:sz w:val="20"/>
          <w:szCs w:val="20"/>
          <w:lang w:val="sv-SE"/>
        </w:rPr>
        <w:t xml:space="preserve">; </w:t>
      </w:r>
      <w:r w:rsidR="001256A7" w:rsidRPr="00BC64FA">
        <w:rPr>
          <w:rFonts w:ascii="Arial" w:hAnsi="Arial" w:cs="Arial"/>
          <w:color w:val="000000" w:themeColor="text1"/>
          <w:sz w:val="20"/>
          <w:szCs w:val="20"/>
        </w:rPr>
        <w:fldChar w:fldCharType="begin" w:fldLock="1"/>
      </w:r>
      <w:r w:rsidR="001256A7" w:rsidRPr="00BC64FA">
        <w:rPr>
          <w:rFonts w:ascii="Arial" w:hAnsi="Arial" w:cs="Arial"/>
          <w:color w:val="000000" w:themeColor="text1"/>
          <w:sz w:val="20"/>
          <w:szCs w:val="20"/>
          <w:lang w:val="sv-SE"/>
        </w:rPr>
        <w:instrText>ADDIN CSL_CITATION {"citationItems":[{"id":"ITEM-1","itemData":{"DOI":"10.36348/sjnhc.2022.v05i04.002","ISSN":"26167921","abstract":"Job satisfaction is considered one of the most important parameters in measuring the performance of the employees. In this study, the researcher has discussed different factors that lead to dissatisfaction among expat nurses working in the Saudi healthcare sector, and has used positivism philosophy. Different survey instruments were used to collect primary data for this study: and the JSS (quantitative component). Firstly, nurses were provided with a self-administrated JSS. The JSS was developed to analyse nine job satisfaction scales, each containing four subscales. The reliability coefficient for descriptive statistics was computed at 0.84, above the threshold mark of 0.70. T-tests were used in this research. During the study, it was observed that out of the 100 married participants, 43 were at the position of Charge nurse and only one of them was working as a director in the organisation. The researcher conducted t-tests to identify the factors that lead to job dissatisfaction among the expats at Hali’s public hospitals in Saudi Arabia. Herein it was observed that very few chances of getting a promotion were of the main causes of job dissatisfaction among the expat nurses. Here the p-value was 0.00, lower than the threshold requirement of 0.05. In conclusion, the chances of getting a promotion were very less due to the fact that they were not native to the country. Also, nurses were not happy with the benefits that they receive in the organisation. That is, expats do not get too many benefits in the host nations.","author":[{"dropping-particle":"","family":"Alanazi","given":"Abdulaziz Khalaf","non-dropping-particle":"","parse-names":false,"suffix":""},{"dropping-particle":"","family":"Yates","given":"Caroline","non-dropping-particle":"","parse-names":false,"suffix":""}],"container-title":"Saudi Journal of Nursing and Health Care","id":"ITEM-1","issue":"4","issued":{"date-parts":[["2022","4","19"]]},"page":"76-83","title":"Factors behind Expatriates Nurses Job Dissatisfaction in Hail’s Public Hospitals, Saudi Arabia","type":"article-journal","volume":"5"},"uris":["http://www.mendeley.com/documents/?uuid=05695876-8e61-4b3c-98df-8c65d245ad32"]}],"mendeley":{"formattedCitation":"(Alanazi &amp; Yates, 2022)","plainTextFormattedCitation":"(Alanazi &amp; Yates, 2022)","previouslyFormattedCitation":"(Alanazi &amp; Yates, 2022)"},"properties":{"noteIndex":0},"schema":"https://github.com/citation-style-language/schema/raw/master/csl-citation.json"}</w:instrText>
      </w:r>
      <w:r w:rsidR="001256A7" w:rsidRPr="00BC64FA">
        <w:rPr>
          <w:rFonts w:ascii="Arial" w:hAnsi="Arial" w:cs="Arial"/>
          <w:color w:val="000000" w:themeColor="text1"/>
          <w:sz w:val="20"/>
          <w:szCs w:val="20"/>
        </w:rPr>
        <w:fldChar w:fldCharType="separate"/>
      </w:r>
      <w:r w:rsidR="001256A7" w:rsidRPr="00BC64FA">
        <w:rPr>
          <w:rFonts w:ascii="Arial" w:hAnsi="Arial" w:cs="Arial"/>
          <w:noProof/>
          <w:color w:val="000000" w:themeColor="text1"/>
          <w:sz w:val="20"/>
          <w:szCs w:val="20"/>
          <w:lang w:val="sv-SE"/>
        </w:rPr>
        <w:t>(Alanazi &amp; Yates, 2022)</w:t>
      </w:r>
      <w:r w:rsidR="001256A7" w:rsidRPr="00BC64FA">
        <w:rPr>
          <w:rFonts w:ascii="Arial" w:hAnsi="Arial" w:cs="Arial"/>
          <w:color w:val="000000" w:themeColor="text1"/>
          <w:sz w:val="20"/>
          <w:szCs w:val="20"/>
        </w:rPr>
        <w:fldChar w:fldCharType="end"/>
      </w:r>
      <w:r w:rsidR="001256A7" w:rsidRPr="00BC64FA">
        <w:rPr>
          <w:rFonts w:ascii="Arial" w:hAnsi="Arial" w:cs="Arial"/>
          <w:color w:val="000000" w:themeColor="text1"/>
          <w:sz w:val="20"/>
          <w:szCs w:val="20"/>
          <w:lang w:val="sv-SE"/>
        </w:rPr>
        <w:t>.</w:t>
      </w:r>
      <w:r w:rsidRPr="00BC64FA">
        <w:rPr>
          <w:rFonts w:ascii="Arial" w:hAnsi="Arial" w:cs="Arial"/>
          <w:color w:val="000000" w:themeColor="text1"/>
          <w:sz w:val="20"/>
          <w:szCs w:val="20"/>
          <w:lang w:val="sv-SE"/>
        </w:rPr>
        <w:t xml:space="preserve"> </w:t>
      </w:r>
    </w:p>
    <w:p w14:paraId="50F4E858" w14:textId="63245801" w:rsidR="00BC64FA" w:rsidRDefault="00513C5D" w:rsidP="00164454">
      <w:pPr>
        <w:pStyle w:val="NormalWeb"/>
        <w:spacing w:before="120" w:beforeAutospacing="0" w:after="120" w:afterAutospacing="0" w:line="360" w:lineRule="auto"/>
        <w:jc w:val="both"/>
        <w:rPr>
          <w:rStyle w:val="Strong"/>
          <w:rFonts w:ascii="Arial" w:eastAsiaTheme="majorEastAsia" w:hAnsi="Arial" w:cs="Arial"/>
          <w:b w:val="0"/>
          <w:bCs w:val="0"/>
          <w:color w:val="000000" w:themeColor="text1"/>
          <w:sz w:val="20"/>
          <w:szCs w:val="20"/>
        </w:rPr>
      </w:pPr>
      <w:r w:rsidRPr="00473879">
        <w:rPr>
          <w:rFonts w:ascii="Arial" w:hAnsi="Arial" w:cs="Arial"/>
          <w:color w:val="000000" w:themeColor="text1"/>
          <w:sz w:val="20"/>
          <w:szCs w:val="20"/>
        </w:rPr>
        <w:t xml:space="preserve">Furthermore, healthcare organizations often fail to provide </w:t>
      </w:r>
      <w:r w:rsidRPr="00473879">
        <w:rPr>
          <w:rStyle w:val="Strong"/>
          <w:rFonts w:ascii="Arial" w:eastAsiaTheme="majorEastAsia" w:hAnsi="Arial" w:cs="Arial"/>
          <w:b w:val="0"/>
          <w:bCs w:val="0"/>
          <w:color w:val="000000" w:themeColor="text1"/>
          <w:sz w:val="20"/>
          <w:szCs w:val="20"/>
        </w:rPr>
        <w:t>adequate cultural competence training</w:t>
      </w:r>
      <w:r w:rsidRPr="00473879">
        <w:rPr>
          <w:rFonts w:ascii="Arial" w:hAnsi="Arial" w:cs="Arial"/>
          <w:color w:val="000000" w:themeColor="text1"/>
          <w:sz w:val="20"/>
          <w:szCs w:val="20"/>
        </w:rPr>
        <w:t>, leaving nurses ill-equipped to meet diverse patient needs</w:t>
      </w:r>
      <w:r w:rsidR="001256A7" w:rsidRPr="00473879">
        <w:rPr>
          <w:rFonts w:ascii="Arial" w:hAnsi="Arial" w:cs="Arial"/>
          <w:color w:val="000000" w:themeColor="text1"/>
          <w:sz w:val="20"/>
          <w:szCs w:val="20"/>
        </w:rPr>
        <w:t xml:space="preserve"> </w:t>
      </w:r>
      <w:r w:rsidR="001256A7" w:rsidRPr="00BC64FA">
        <w:rPr>
          <w:rFonts w:ascii="Arial" w:hAnsi="Arial" w:cs="Arial"/>
          <w:color w:val="000000" w:themeColor="text1"/>
          <w:sz w:val="20"/>
          <w:szCs w:val="20"/>
        </w:rPr>
        <w:fldChar w:fldCharType="begin" w:fldLock="1"/>
      </w:r>
      <w:r w:rsidR="001256A7" w:rsidRPr="00473879">
        <w:rPr>
          <w:rFonts w:ascii="Arial" w:hAnsi="Arial" w:cs="Arial"/>
          <w:color w:val="000000" w:themeColor="text1"/>
          <w:sz w:val="20"/>
          <w:szCs w:val="20"/>
        </w:rPr>
        <w:instrText>ADDIN CSL_CITATION {"citationItems":[{"id":"ITEM-1","itemData":{"DOI":"10.5742/MEJN2023.9378040","abstract":"Background. Nursing staff are typically multi-national, especially in Saudi Arabia, and Saudi nurses deal with multicultural patients, which creates a culturally diverse atmosphere. As a result, cultural competence is essential. Aim. To assess cultural competence among nurses in Saudi Arabia Methods. A systematic review was performed to assess cultural competence among nurses in Saudi Arabia. Findings. The study provides in-depth summaries of 11 papers included in this review. No studies published before 2014 investigated the cultural competence of Saudi Arabian nurses. However, the authors noted a sharp rise from 2020 in the number of studies dealing with this issue. Sample sizes ranged from 11 to 650 participants. Three studies were qualitative compared to eight quantitative studies. Seven studies focused on staff nurses, one on academic nurses, two on nursing students, and one on nurse leaders. Three concentrated on the academic setting, seven on clinical settings, and one on community settings. Most studies collected data from surveys, while a few used interviews and cross-sectional methodologies. Conclusion. Healthcare systems should be structured to encourage the empowerment of nurses from different nationalities and build effective communication policies to improve cultural competency among nurses. Future research should look at the relationship between individual training programs designed to increase cultural competence and their effect on the quality of patient care. Also, further research should incorporate a more diverse range of cultures. Keywords: Cultural competence, nurses, Saudi Arabia, patient outcome, knowledge, skills, attitude.","author":[{"dropping-particle":"","family":"Aboshaiqah","given":"Ahmad","non-dropping-particle":"","parse-names":false,"suffix":""}],"container-title":"Middle East Journal of Nursing","id":"ITEM-1","issue":"2","issued":{"date-parts":[["2023"]]},"title":"Cultural Competence in Nurses in Saudi Arabia: A Systematic Review","type":"article-journal","volume":"17"},"uris":["http://www.mendeley.com/documents/?uuid=8078db0e-1ca2-4c94-a23f-76e84c3ae814"]}],"mendeley":{"formattedCitation":"(Aboshaiqah, 2023)","plainTextFormattedCitation":"(Aboshaiqah, 2023)","previouslyFormattedCitation":"(Aboshaiqah, 2023)"},"properties":{"noteIndex":0},"schema":"https://github.com/citation-style-language/schema/raw/master/csl-citation.json"}</w:instrText>
      </w:r>
      <w:r w:rsidR="001256A7" w:rsidRPr="00BC64FA">
        <w:rPr>
          <w:rFonts w:ascii="Arial" w:hAnsi="Arial" w:cs="Arial"/>
          <w:color w:val="000000" w:themeColor="text1"/>
          <w:sz w:val="20"/>
          <w:szCs w:val="20"/>
        </w:rPr>
        <w:fldChar w:fldCharType="separate"/>
      </w:r>
      <w:r w:rsidR="001256A7" w:rsidRPr="00473879">
        <w:rPr>
          <w:rFonts w:ascii="Arial" w:hAnsi="Arial" w:cs="Arial"/>
          <w:noProof/>
          <w:color w:val="000000" w:themeColor="text1"/>
          <w:sz w:val="20"/>
          <w:szCs w:val="20"/>
        </w:rPr>
        <w:t>(Aboshaiqah, 2023)</w:t>
      </w:r>
      <w:r w:rsidR="001256A7" w:rsidRPr="00BC64FA">
        <w:rPr>
          <w:rFonts w:ascii="Arial" w:hAnsi="Arial" w:cs="Arial"/>
          <w:color w:val="000000" w:themeColor="text1"/>
          <w:sz w:val="20"/>
          <w:szCs w:val="20"/>
        </w:rPr>
        <w:fldChar w:fldCharType="end"/>
      </w:r>
      <w:r w:rsidR="001256A7" w:rsidRPr="00473879">
        <w:rPr>
          <w:rFonts w:ascii="Arial" w:hAnsi="Arial" w:cs="Arial"/>
          <w:color w:val="000000" w:themeColor="text1"/>
          <w:sz w:val="20"/>
          <w:szCs w:val="20"/>
        </w:rPr>
        <w:t xml:space="preserve">. </w:t>
      </w:r>
      <w:r w:rsidRPr="00BC64FA">
        <w:rPr>
          <w:rFonts w:ascii="Arial" w:hAnsi="Arial" w:cs="Arial"/>
          <w:color w:val="000000" w:themeColor="text1"/>
          <w:sz w:val="20"/>
          <w:szCs w:val="20"/>
        </w:rPr>
        <w:t xml:space="preserve">The migration process itself introduces </w:t>
      </w:r>
      <w:r w:rsidRPr="00BC64FA">
        <w:rPr>
          <w:rStyle w:val="Strong"/>
          <w:rFonts w:ascii="Arial" w:eastAsiaTheme="majorEastAsia" w:hAnsi="Arial" w:cs="Arial"/>
          <w:b w:val="0"/>
          <w:bCs w:val="0"/>
          <w:color w:val="000000" w:themeColor="text1"/>
          <w:sz w:val="20"/>
          <w:szCs w:val="20"/>
        </w:rPr>
        <w:t>adaptation stress</w:t>
      </w:r>
      <w:r w:rsidRPr="00BC64FA">
        <w:rPr>
          <w:rFonts w:ascii="Arial" w:hAnsi="Arial" w:cs="Arial"/>
          <w:color w:val="000000" w:themeColor="text1"/>
          <w:sz w:val="20"/>
          <w:szCs w:val="20"/>
        </w:rPr>
        <w:t xml:space="preserve">, including psychological strain, social isolation, and homesickness, which negatively affect mental health and professional integration </w:t>
      </w:r>
      <w:r w:rsidR="008D672F" w:rsidRPr="00BC64FA">
        <w:rPr>
          <w:rFonts w:ascii="Arial" w:hAnsi="Arial" w:cs="Arial"/>
          <w:color w:val="000000" w:themeColor="text1"/>
          <w:sz w:val="20"/>
          <w:szCs w:val="20"/>
        </w:rPr>
        <w:fldChar w:fldCharType="begin" w:fldLock="1"/>
      </w:r>
      <w:r w:rsidR="008D672F" w:rsidRPr="00BC64FA">
        <w:rPr>
          <w:rFonts w:ascii="Arial" w:hAnsi="Arial" w:cs="Arial"/>
          <w:color w:val="000000" w:themeColor="text1"/>
          <w:sz w:val="20"/>
          <w:szCs w:val="20"/>
        </w:rPr>
        <w:instrText>ADDIN CSL_CITATION {"citationItems":[{"id":"ITEM-1","itemData":{"DOI":"10.1186/s12960-024-00900-5","ISSN":"1478-4491","abstract":"Background: Given nurses’ increasing international mobility, Asian internationally educated nurses (IENs) represent a critical human resource highly sought after within the global healthcare workforce. Developed countries have grown excessively reliant on them, leading to heightened competition among these countries. Hence, this review aims to uncover factors underlying the retention of Asian IENs in host countries to facilitate the development of more effective staff retention strategies. Methods: A mixed-methods systematic review was conducted using the Joanna Briggs Institute methodology for mixed-method systematic review. A search was undertaken across the following electronic databases for studies published in English during 2013–2022: CINAHL, Embase, PubMed, Scopus, Web of Science and PsycINFO. Two of the researchers critically appraised included articles independently using the Joanna Briggs Critical Appraisal Tools and Mixed Methods Appraisal Tool (version 2018). A data-based convergent integrated approach was adopted for data synthesis. Results: Of the 27 included articles (19 qualitative and eight quantitative), five each were conducted in Asia (Japan, Taiwan, Singapore and Malaysia), Australia and Europe (Italy, Norway and the United Kingdom); four each in the United States and the Middle East (Saudi Arabia and Kuwait); two in Canada; and one each in New Zealand and South Africa. Five themes emerged from the data synthesis: (1) desire for better career prospects, (2) occupational downward mobility, (3) inequality in career advancement, (4) acculturation and (5) support system. Conclusion: This systematic review investigated the factors influencing AMN retention and identified several promising retention strategies: granting them permanent residency, ensuring transparency in credentialing assessment, providing equal opportunities for career advancement, instituting induction programmes for newly employed Asian IENs, enabling families to be with them and building workplace social support. Retention strategies that embrace the Asian IENs’ perspectives and experiences are envisioned to ensure a sustainable nursing workforce.","author":[{"dropping-particle":"","family":"Ung","given":"Danny Shin Kai","non-dropping-particle":"","parse-names":false,"suffix":""},{"dropping-particle":"","family":"Goh","given":"Yong Shian","non-dropping-particle":"","parse-names":false,"suffix":""},{"dropping-particle":"","family":"Poon","given":"Ryan Yuan Sheng","non-dropping-particle":"","parse-names":false,"suffix":""},{"dropping-particle":"","family":"Lin","given":"Yongxing Patrick","non-dropping-particle":"","parse-names":false,"suffix":""},{"dropping-particle":"","family":"Seah","given":"Betsy","non-dropping-particle":"","parse-names":false,"suffix":""},{"dropping-particle":"","family":"Lopez","given":"Violeta","non-dropping-particle":"","parse-names":false,"suffix":""},{"dropping-particle":"","family":"Mikkonen","given":"Kristina","non-dropping-particle":"","parse-names":false,"suffix":""},{"dropping-particle":"","family":"Yong","given":"Keng Kwang","non-dropping-particle":"","parse-names":false,"suffix":""},{"dropping-particle":"","family":"Liaw","given":"Sok Ying","non-dropping-particle":"","parse-names":false,"suffix":""}],"container-title":"Human Resources for Health","id":"ITEM-1","issue":"1","issued":{"date-parts":[["2024","3","1"]]},"page":"17","title":"Global migration and factors influencing retention of Asian internationally educated nurses: a systematic review","type":"article-journal","volume":"22"},"uris":["http://www.mendeley.com/documents/?uuid=0392fbd4-4c0d-40c5-bf5e-955d6ef2a683"]}],"mendeley":{"formattedCitation":"(Ung et al., 2024)","plainTextFormattedCitation":"(Ung et al., 2024)","previouslyFormattedCitation":"(Ung et al., 2024)"},"properties":{"noteIndex":0},"schema":"https://github.com/citation-style-language/schema/raw/master/csl-citation.json"}</w:instrText>
      </w:r>
      <w:r w:rsidR="008D672F" w:rsidRPr="00BC64FA">
        <w:rPr>
          <w:rFonts w:ascii="Arial" w:hAnsi="Arial" w:cs="Arial"/>
          <w:color w:val="000000" w:themeColor="text1"/>
          <w:sz w:val="20"/>
          <w:szCs w:val="20"/>
        </w:rPr>
        <w:fldChar w:fldCharType="separate"/>
      </w:r>
      <w:r w:rsidR="008D672F" w:rsidRPr="00BC64FA">
        <w:rPr>
          <w:rFonts w:ascii="Arial" w:hAnsi="Arial" w:cs="Arial"/>
          <w:noProof/>
          <w:color w:val="000000" w:themeColor="text1"/>
          <w:sz w:val="20"/>
          <w:szCs w:val="20"/>
        </w:rPr>
        <w:t>(Ung et al., 2024)</w:t>
      </w:r>
      <w:r w:rsidR="008D672F" w:rsidRPr="00BC64FA">
        <w:rPr>
          <w:rFonts w:ascii="Arial" w:hAnsi="Arial" w:cs="Arial"/>
          <w:color w:val="000000" w:themeColor="text1"/>
          <w:sz w:val="20"/>
          <w:szCs w:val="20"/>
        </w:rPr>
        <w:fldChar w:fldCharType="end"/>
      </w:r>
      <w:r w:rsidR="008D672F"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 xml:space="preserve">Additionally, </w:t>
      </w:r>
      <w:r w:rsidRPr="00BC64FA">
        <w:rPr>
          <w:rStyle w:val="Strong"/>
          <w:rFonts w:ascii="Arial" w:eastAsiaTheme="majorEastAsia" w:hAnsi="Arial" w:cs="Arial"/>
          <w:b w:val="0"/>
          <w:bCs w:val="0"/>
          <w:color w:val="000000" w:themeColor="text1"/>
          <w:sz w:val="20"/>
          <w:szCs w:val="20"/>
        </w:rPr>
        <w:t xml:space="preserve">professional </w:t>
      </w:r>
    </w:p>
    <w:p w14:paraId="0EFBB15F" w14:textId="6CCEB4A4" w:rsidR="008D672F" w:rsidRPr="00BC64FA" w:rsidRDefault="00513C5D" w:rsidP="00164454">
      <w:pPr>
        <w:pStyle w:val="NormalWeb"/>
        <w:spacing w:before="120" w:beforeAutospacing="0" w:after="120" w:afterAutospacing="0" w:line="360" w:lineRule="auto"/>
        <w:jc w:val="both"/>
        <w:rPr>
          <w:rFonts w:ascii="Arial" w:hAnsi="Arial" w:cs="Arial"/>
          <w:color w:val="000000" w:themeColor="text1"/>
          <w:sz w:val="20"/>
          <w:szCs w:val="20"/>
        </w:rPr>
      </w:pPr>
      <w:r w:rsidRPr="00BC64FA">
        <w:rPr>
          <w:rStyle w:val="Strong"/>
          <w:rFonts w:ascii="Arial" w:eastAsiaTheme="majorEastAsia" w:hAnsi="Arial" w:cs="Arial"/>
          <w:b w:val="0"/>
          <w:bCs w:val="0"/>
          <w:color w:val="000000" w:themeColor="text1"/>
          <w:sz w:val="20"/>
          <w:szCs w:val="20"/>
        </w:rPr>
        <w:t>integration issues</w:t>
      </w:r>
      <w:r w:rsidRPr="00BC64FA">
        <w:rPr>
          <w:rFonts w:ascii="Arial" w:hAnsi="Arial" w:cs="Arial"/>
          <w:color w:val="000000" w:themeColor="text1"/>
          <w:sz w:val="20"/>
          <w:szCs w:val="20"/>
        </w:rPr>
        <w:t xml:space="preserve"> arise due to difficulties in credential recognition and adapting to local clinical protocols </w:t>
      </w:r>
      <w:r w:rsidR="008D672F" w:rsidRPr="00BC64FA">
        <w:rPr>
          <w:rFonts w:ascii="Arial" w:hAnsi="Arial" w:cs="Arial"/>
          <w:color w:val="000000" w:themeColor="text1"/>
          <w:sz w:val="20"/>
          <w:szCs w:val="20"/>
        </w:rPr>
        <w:fldChar w:fldCharType="begin" w:fldLock="1"/>
      </w:r>
      <w:r w:rsidR="008D672F" w:rsidRPr="00BC64FA">
        <w:rPr>
          <w:rFonts w:ascii="Arial" w:hAnsi="Arial" w:cs="Arial"/>
          <w:color w:val="000000" w:themeColor="text1"/>
          <w:sz w:val="20"/>
          <w:szCs w:val="20"/>
        </w:rPr>
        <w:instrText>ADDIN CSL_CITATION {"citationItems":[{"id":"ITEM-1","itemData":{"DOI":"10.1111/jan.16838","ISSN":"0309-2402","abstract":"Aim: To provide a comprehensive understanding of the cultural adaptation and professional integration experiences of migrant nurses in the receiving country. Design: A convergent parallel mixed methods design with concurrent sampling was employed. Methods: Professional nurses who migrated from various Middle Eastern and North African countries, including Egypt, Syria, Palestine, Yemen, Jordan, Iraq and Saudi Arabia, were enrolled. The Quantitative data was collected through an online questionnaire involving open-ended questions for the qualitative data. Data was collected from November 2023 to March 2024. Findings: One hundred five nurses responded to the quantitative questionnaire, and 32 answered the open-ended questions. The findings revealed that mean scores for cultural competence and professional self-concept were 83.41 ± 12.90 and 76.28 ± 11.16, respectively. Migrant nurses experienced challenges such as language barriers (91.4%), social interaction (82.9%) and difficulties adapting to daily living activities (100%). The majority of them reported positive outcomes as better working conditions (91.4%), higher standard of living (89.5%) and professional development opportunities (94.3%). Nurses emphasised accepting cultural diversity, participating in cultural competency training, building relationships with local colleagues and utilising support mechanisms and mentorship for cultural adaptation. Conclusion: This study highlighted the importance of support systems, cultural competency training and integration initiatives to facilitate successful adaptation and professional integration. Implications for Profession: Orientation programs and cultural competency training should be developed to support migrant nurses. Initiatives should include language acquisition support, financial assistance for certification programs and promotion of diversity and inclusion in healthcare settings. Impact: This study addressed the challenges migrant nurses face when transitioning to a new cultural and professional environment. It found that migrant nurses experience difficulties with language, social interaction and daily living activities. The research impacted healthcare institutions by guiding the development of orientation programs and cultural competency training, supporting policymakers in addressing systemic barriers and empowering migrant nurses with practical strategies for adaptation. Reporting Method: This study adhered to the Good Reporting of A Mixed Met…","author":[{"dropping-particle":"","family":"Atta","given":"Mohamed Hussein Ramadan","non-dropping-particle":"","parse-names":false,"suffix":""},{"dropping-particle":"","family":"Baraka","given":"Azza Abd Elrazek","non-dropping-particle":"","parse-names":false,"suffix":""},{"dropping-particle":"","family":"Hassan","given":"Eman Arafa","non-dropping-particle":"","parse-names":false,"suffix":""}],"container-title":"Journal of Advanced Nursing","id":"ITEM-1","issue":"12","issued":{"date-parts":[["2025","12","25"]]},"page":"8897-8913","title":"Challenges and Opportunities Faced by Migrant Nurses in the Receiving Country: A Mixed</w:instrText>
      </w:r>
      <w:r w:rsidR="008D672F" w:rsidRPr="00BC64FA">
        <w:rPr>
          <w:rFonts w:ascii="Cambria Math" w:hAnsi="Cambria Math" w:cs="Cambria Math"/>
          <w:color w:val="000000" w:themeColor="text1"/>
          <w:sz w:val="20"/>
          <w:szCs w:val="20"/>
        </w:rPr>
        <w:instrText>‐</w:instrText>
      </w:r>
      <w:r w:rsidR="008D672F" w:rsidRPr="00BC64FA">
        <w:rPr>
          <w:rFonts w:ascii="Arial" w:hAnsi="Arial" w:cs="Arial"/>
          <w:color w:val="000000" w:themeColor="text1"/>
          <w:sz w:val="20"/>
          <w:szCs w:val="20"/>
        </w:rPr>
        <w:instrText>Methods Study on Cultural Adaptation and Professional Integration","type":"article-journal","volume":"81"},"uris":["http://www.mendeley.com/documents/?uuid=16daa01f-d3d7-4852-9063-5f5b85ecb0c8"]}],"mendeley":{"formattedCitation":"(Atta et al., 2025)","plainTextFormattedCitation":"(Atta et al., 2025)","previouslyFormattedCitation":"(Atta et al., 2025)"},"properties":{"noteIndex":0},"schema":"https://github.com/citation-style-language/schema/raw/master/csl-citation.json"}</w:instrText>
      </w:r>
      <w:r w:rsidR="008D672F" w:rsidRPr="00BC64FA">
        <w:rPr>
          <w:rFonts w:ascii="Arial" w:hAnsi="Arial" w:cs="Arial"/>
          <w:color w:val="000000" w:themeColor="text1"/>
          <w:sz w:val="20"/>
          <w:szCs w:val="20"/>
        </w:rPr>
        <w:fldChar w:fldCharType="separate"/>
      </w:r>
      <w:r w:rsidR="008D672F" w:rsidRPr="00BC64FA">
        <w:rPr>
          <w:rFonts w:ascii="Arial" w:hAnsi="Arial" w:cs="Arial"/>
          <w:noProof/>
          <w:color w:val="000000" w:themeColor="text1"/>
          <w:sz w:val="20"/>
          <w:szCs w:val="20"/>
        </w:rPr>
        <w:t>(Atta et al., 2025)</w:t>
      </w:r>
      <w:r w:rsidR="008D672F" w:rsidRPr="00BC64FA">
        <w:rPr>
          <w:rFonts w:ascii="Arial" w:hAnsi="Arial" w:cs="Arial"/>
          <w:color w:val="000000" w:themeColor="text1"/>
          <w:sz w:val="20"/>
          <w:szCs w:val="20"/>
        </w:rPr>
        <w:fldChar w:fldCharType="end"/>
      </w:r>
      <w:r w:rsidR="008D672F"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 xml:space="preserve">These factors collectively lead to </w:t>
      </w:r>
      <w:r w:rsidRPr="00BC64FA">
        <w:rPr>
          <w:rStyle w:val="Strong"/>
          <w:rFonts w:ascii="Arial" w:eastAsiaTheme="majorEastAsia" w:hAnsi="Arial" w:cs="Arial"/>
          <w:b w:val="0"/>
          <w:bCs w:val="0"/>
          <w:color w:val="000000" w:themeColor="text1"/>
          <w:sz w:val="20"/>
          <w:szCs w:val="20"/>
        </w:rPr>
        <w:t>retention challenges</w:t>
      </w:r>
      <w:r w:rsidRPr="00BC64FA">
        <w:rPr>
          <w:rFonts w:ascii="Arial" w:hAnsi="Arial" w:cs="Arial"/>
          <w:color w:val="000000" w:themeColor="text1"/>
          <w:sz w:val="20"/>
          <w:szCs w:val="20"/>
        </w:rPr>
        <w:t>, as nurses struggle with cultural isolation, lack of support, and poor work-life balance</w:t>
      </w:r>
      <w:r w:rsidR="008D672F" w:rsidRPr="00BC64FA">
        <w:rPr>
          <w:rFonts w:ascii="Arial" w:hAnsi="Arial" w:cs="Arial"/>
          <w:color w:val="000000" w:themeColor="text1"/>
          <w:sz w:val="20"/>
          <w:szCs w:val="20"/>
        </w:rPr>
        <w:t xml:space="preserve"> </w:t>
      </w:r>
      <w:r w:rsidR="008D672F" w:rsidRPr="00BC64FA">
        <w:rPr>
          <w:rFonts w:ascii="Arial" w:hAnsi="Arial" w:cs="Arial"/>
          <w:color w:val="000000" w:themeColor="text1"/>
          <w:sz w:val="20"/>
          <w:szCs w:val="20"/>
        </w:rPr>
        <w:fldChar w:fldCharType="begin" w:fldLock="1"/>
      </w:r>
      <w:r w:rsidR="0006460E" w:rsidRPr="00BC64FA">
        <w:rPr>
          <w:rFonts w:ascii="Arial" w:hAnsi="Arial" w:cs="Arial"/>
          <w:color w:val="000000" w:themeColor="text1"/>
          <w:sz w:val="20"/>
          <w:szCs w:val="20"/>
        </w:rPr>
        <w:instrText>ADDIN CSL_CITATION {"citationItems":[{"id":"ITEM-1","itemData":{"DOI":"10.1186/s12960-024-00900-5","ISSN":"1478-4491","abstract":"Background: Given nurses’ increasing international mobility, Asian internationally educated nurses (IENs) represent a critical human resource highly sought after within the global healthcare workforce. Developed countries have grown excessively reliant on them, leading to heightened competition among these countries. Hence, this review aims to uncover factors underlying the retention of Asian IENs in host countries to facilitate the development of more effective staff retention strategies. Methods: A mixed-methods systematic review was conducted using the Joanna Briggs Institute methodology for mixed-method systematic review. A search was undertaken across the following electronic databases for studies published in English during 2013–2022: CINAHL, Embase, PubMed, Scopus, Web of Science and PsycINFO. Two of the researchers critically appraised included articles independently using the Joanna Briggs Critical Appraisal Tools and Mixed Methods Appraisal Tool (version 2018). A data-based convergent integrated approach was adopted for data synthesis. Results: Of the 27 included articles (19 qualitative and eight quantitative), five each were conducted in Asia (Japan, Taiwan, Singapore and Malaysia), Australia and Europe (Italy, Norway and the United Kingdom); four each in the United States and the Middle East (Saudi Arabia and Kuwait); two in Canada; and one each in New Zealand and South Africa. Five themes emerged from the data synthesis: (1) desire for better career prospects, (2) occupational downward mobility, (3) inequality in career advancement, (4) acculturation and (5) support system. Conclusion: This systematic review investigated the factors influencing AMN retention and identified several promising retention strategies: granting them permanent residency, ensuring transparency in credentialing assessment, providing equal opportunities for career advancement, instituting induction programmes for newly employed Asian IENs, enabling families to be with them and building workplace social support. Retention strategies that embrace the Asian IENs’ perspectives and experiences are envisioned to ensure a sustainable nursing workforce.","author":[{"dropping-particle":"","family":"Ung","given":"Danny Shin Kai","non-dropping-particle":"","parse-names":false,"suffix":""},{"dropping-particle":"","family":"Goh","given":"Yong Shian","non-dropping-particle":"","parse-names":false,"suffix":""},{"dropping-particle":"","family":"Poon","given":"Ryan Yuan Sheng","non-dropping-particle":"","parse-names":false,"suffix":""},{"dropping-particle":"","family":"Lin","given":"Yongxing Patrick","non-dropping-particle":"","parse-names":false,"suffix":""},{"dropping-particle":"","family":"Seah","given":"Betsy","non-dropping-particle":"","parse-names":false,"suffix":""},{"dropping-particle":"","family":"Lopez","given":"Violeta","non-dropping-particle":"","parse-names":false,"suffix":""},{"dropping-particle":"","family":"Mikkonen","given":"Kristina","non-dropping-particle":"","parse-names":false,"suffix":""},{"dropping-particle":"","family":"Yong","given":"Keng Kwang","non-dropping-particle":"","parse-names":false,"suffix":""},{"dropping-particle":"","family":"Liaw","given":"Sok Ying","non-dropping-particle":"","parse-names":false,"suffix":""}],"container-title":"Human Resources for Health","id":"ITEM-1","issue":"1","issued":{"date-parts":[["2024","3","1"]]},"page":"17","title":"Global migration and factors influencing retention of Asian internationally educated nurses: a systematic review","type":"article-journal","volume":"22"},"uris":["http://www.mendeley.com/documents/?uuid=0392fbd4-4c0d-40c5-bf5e-955d6ef2a683"]}],"mendeley":{"formattedCitation":"(Ung et al., 2024)","plainTextFormattedCitation":"(Ung et al., 2024)","previouslyFormattedCitation":"(Ung et al., 2024)"},"properties":{"noteIndex":0},"schema":"https://github.com/citation-style-language/schema/raw/master/csl-citation.json"}</w:instrText>
      </w:r>
      <w:r w:rsidR="008D672F" w:rsidRPr="00BC64FA">
        <w:rPr>
          <w:rFonts w:ascii="Arial" w:hAnsi="Arial" w:cs="Arial"/>
          <w:color w:val="000000" w:themeColor="text1"/>
          <w:sz w:val="20"/>
          <w:szCs w:val="20"/>
        </w:rPr>
        <w:fldChar w:fldCharType="separate"/>
      </w:r>
      <w:r w:rsidR="008D672F" w:rsidRPr="00BC64FA">
        <w:rPr>
          <w:rFonts w:ascii="Arial" w:hAnsi="Arial" w:cs="Arial"/>
          <w:noProof/>
          <w:color w:val="000000" w:themeColor="text1"/>
          <w:sz w:val="20"/>
          <w:szCs w:val="20"/>
        </w:rPr>
        <w:t>(Ung et al., 2024)</w:t>
      </w:r>
      <w:r w:rsidR="008D672F" w:rsidRPr="00BC64FA">
        <w:rPr>
          <w:rFonts w:ascii="Arial" w:hAnsi="Arial" w:cs="Arial"/>
          <w:color w:val="000000" w:themeColor="text1"/>
          <w:sz w:val="20"/>
          <w:szCs w:val="20"/>
        </w:rPr>
        <w:fldChar w:fldCharType="end"/>
      </w:r>
      <w:r w:rsidR="008D672F" w:rsidRPr="00BC64FA">
        <w:rPr>
          <w:rFonts w:ascii="Arial" w:hAnsi="Arial" w:cs="Arial"/>
          <w:color w:val="000000" w:themeColor="text1"/>
          <w:sz w:val="20"/>
          <w:szCs w:val="20"/>
        </w:rPr>
        <w:t xml:space="preserve">; </w:t>
      </w:r>
      <w:r w:rsidR="0006460E" w:rsidRPr="00BC64FA">
        <w:rPr>
          <w:rFonts w:ascii="Arial" w:hAnsi="Arial" w:cs="Arial"/>
          <w:color w:val="000000" w:themeColor="text1"/>
          <w:sz w:val="20"/>
          <w:szCs w:val="20"/>
        </w:rPr>
        <w:fldChar w:fldCharType="begin" w:fldLock="1"/>
      </w:r>
      <w:r w:rsidR="0006460E" w:rsidRPr="00BC64FA">
        <w:rPr>
          <w:rFonts w:ascii="Arial" w:hAnsi="Arial" w:cs="Arial"/>
          <w:color w:val="000000" w:themeColor="text1"/>
          <w:sz w:val="20"/>
          <w:szCs w:val="20"/>
        </w:rPr>
        <w:instrText>ADDIN CSL_CITATION {"citationItems":[{"id":"ITEM-1","itemData":{"DOI":"10.1177/23779608251362315","ISSN":"2377-9608","abstract":"OBJECTIVE To explore the relationships between job satisfaction, work environment, and intention to leave among registered nurses in the United Arab Emirates (UAE), and to identify potential predictors of intention to leave. METHODS A cross-sectional study was conducted to collect data from registered nurses working in governmental hospitals in the UAE between October and November 2022. A convenience sampling method was used to recruit 294 participants. RESULTS Approximately 40.8% of nurses reported a high intention to leave their jobs. Significant correlations were found between the intention to leave and several factors, including education level (P = .038), years of experience (P = .033), employment status (P = .002), and nationality (P = .037). Regression analysis revealed that both the work environment and job satisfaction were significant predictors of intention to leave (β = 1.156, P = .015; β = 0.857, P = .015, respectively). CONCLUSIONS The findings of this study indicate that both the work environment and job satisfaction are significant and independent predictors of nurses' intention to leave their positions in the UAE. To reduce turnover, nursing managers and healthcare leaders should prioritize strategies that enhance work conditions, support professional development, reduce burnout, and offer competitive compensation, ultimately promoting nurse retention and better patient care.","author":[{"dropping-particle":"","family":"Aljawarneh","given":"Yousef","non-dropping-particle":"","parse-names":false,"suffix":""},{"dropping-particle":"","family":"Al-Bashaireh","given":"Ahmad","non-dropping-particle":"","parse-names":false,"suffix":""},{"dropping-particle":"","family":"Alotaibi","given":"Nader E.","non-dropping-particle":"","parse-names":false,"suffix":""},{"dropping-particle":"","family":"Kawafha","given":"Mariam","non-dropping-particle":"","parse-names":false,"suffix":""},{"dropping-particle":"","family":"Alkouri","given":"Osama","non-dropping-particle":"","parse-names":false,"suffix":""},{"dropping-particle":"","family":"Almesmari","given":"Tarfah","non-dropping-particle":"","parse-names":false,"suffix":""},{"dropping-particle":"","family":"Alnuaimi","given":"Bashayer","non-dropping-particle":"","parse-names":false,"suffix":""},{"dropping-particle":"","family":"Alabdouli","given":"Sarah","non-dropping-particle":"","parse-names":false,"suffix":""},{"dropping-particle":"","family":"Alsereidi","given":"Maryam","non-dropping-particle":"","parse-names":false,"suffix":""}],"container-title":"SAGE Open Nursing","id":"ITEM-1","issued":{"date-parts":[["2025","1","23"]]},"title":"Associations Between Intention to Leave, Job Satisfaction, and Work Environment Among Registered Nurses: A Cross-Sectional Study in the United Arab Emirates","type":"article-journal","volume":"11"},"uris":["http://www.mendeley.com/documents/?uuid=efa51f0a-d227-4ae0-b50c-447f5b53c758"]}],"mendeley":{"formattedCitation":"(Aljawarneh et al., 2025)","plainTextFormattedCitation":"(Aljawarneh et al., 2025)","previouslyFormattedCitation":"(Aljawarneh et al., 2025)"},"properties":{"noteIndex":0},"schema":"https://github.com/citation-style-language/schema/raw/master/csl-citation.json"}</w:instrText>
      </w:r>
      <w:r w:rsidR="0006460E" w:rsidRPr="00BC64FA">
        <w:rPr>
          <w:rFonts w:ascii="Arial" w:hAnsi="Arial" w:cs="Arial"/>
          <w:color w:val="000000" w:themeColor="text1"/>
          <w:sz w:val="20"/>
          <w:szCs w:val="20"/>
        </w:rPr>
        <w:fldChar w:fldCharType="separate"/>
      </w:r>
      <w:r w:rsidR="0006460E" w:rsidRPr="00BC64FA">
        <w:rPr>
          <w:rFonts w:ascii="Arial" w:hAnsi="Arial" w:cs="Arial"/>
          <w:noProof/>
          <w:color w:val="000000" w:themeColor="text1"/>
          <w:sz w:val="20"/>
          <w:szCs w:val="20"/>
        </w:rPr>
        <w:t>(Aljawarneh et al., 2025)</w:t>
      </w:r>
      <w:r w:rsidR="0006460E" w:rsidRPr="00BC64FA">
        <w:rPr>
          <w:rFonts w:ascii="Arial" w:hAnsi="Arial" w:cs="Arial"/>
          <w:color w:val="000000" w:themeColor="text1"/>
          <w:sz w:val="20"/>
          <w:szCs w:val="20"/>
        </w:rPr>
        <w:fldChar w:fldCharType="end"/>
      </w:r>
      <w:r w:rsidR="0006460E" w:rsidRPr="00BC64FA">
        <w:rPr>
          <w:rFonts w:ascii="Arial" w:hAnsi="Arial" w:cs="Arial"/>
          <w:color w:val="000000" w:themeColor="text1"/>
          <w:sz w:val="20"/>
          <w:szCs w:val="20"/>
        </w:rPr>
        <w:t>.</w:t>
      </w:r>
    </w:p>
    <w:p w14:paraId="40035A97" w14:textId="77777777" w:rsidR="00513C5D" w:rsidRPr="00BC64FA" w:rsidRDefault="00513C5D" w:rsidP="00164454">
      <w:pPr>
        <w:pStyle w:val="NormalWeb"/>
        <w:spacing w:before="120" w:beforeAutospacing="0" w:after="120" w:afterAutospacing="0" w:line="360" w:lineRule="auto"/>
        <w:jc w:val="both"/>
        <w:rPr>
          <w:rFonts w:ascii="Arial" w:hAnsi="Arial" w:cs="Arial"/>
          <w:color w:val="000000" w:themeColor="text1"/>
          <w:sz w:val="20"/>
          <w:szCs w:val="20"/>
        </w:rPr>
      </w:pPr>
      <w:r w:rsidRPr="00BC64FA">
        <w:rPr>
          <w:rFonts w:ascii="Arial" w:hAnsi="Arial" w:cs="Arial"/>
          <w:color w:val="000000" w:themeColor="text1"/>
          <w:sz w:val="20"/>
          <w:szCs w:val="20"/>
        </w:rPr>
        <w:t>In summary, the gaps and problems faced by Asian nurses in the Middle East are multifaceted, encompassing cultural, linguistic, organizational, and psychosocial dimensions. Addressing these issues requires comprehensive strategies, including cultural competence training, policy reforms to reduce discrimination, and support systems to enhance adaptation and retention.</w:t>
      </w:r>
    </w:p>
    <w:p w14:paraId="7CE3F703" w14:textId="73144929" w:rsidR="00513C5D" w:rsidRPr="00BC64FA" w:rsidRDefault="00513C5D"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Asian nurses in Middle Eastern healthcare systems encounter multifaceted challenges that affect their professional integration, job satisfaction, and patient care quality. The most prominent issues include:</w:t>
      </w:r>
    </w:p>
    <w:p w14:paraId="419A94A9" w14:textId="6223E466" w:rsidR="0006460E" w:rsidRPr="00BC64FA" w:rsidRDefault="0006460E" w:rsidP="00156506">
      <w:pPr>
        <w:pStyle w:val="ListParagraph"/>
        <w:numPr>
          <w:ilvl w:val="0"/>
          <w:numId w:val="24"/>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Asian nurses often face difficulties in communicating with Arabic-speaking patients and adapting to Islamic cultural norms. These barriers lead to misunderstandings, reduced patient satisfaction, and stress in clinical interactions </w:t>
      </w: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{"citationItems":[{"id":"ITEM-1","itemData":{"DOI":"10.1111/jocn.15891","ISSN":"0962-1067","abstract":"Aims and objectives: This study investigated the challenges of cross-cultural communication among internationally qualified nurses, and the impact on nurse-to-nurse and nurse-to-patient relationships. Background: Open and authentic communication between nurses and patients is required as a foundation of patient-centred practice; however, this may be a challenge in cross-cultural settings. Design: An exploratory qualitative study with an inductive approach. Methods: Semi-structured, face-to-face interviews explored the influences on communication and practice of 21 internationally qualified nurses practising in the United Arab Emirates. Manual and software-driven processes guided coding and analysis of data. Caring theory guided the analysis of themes; while COREQ criteria guided research conduct and reporting. Results: Four key themes emerged; (a) Challenges in communication, (b) The science versus art of nursing; (c) The impact of ineffective communication and (d) Strategies for coping. Eleven sub-themes are reported within these themes. Overall, nurses felt they had sufficient language and nursing skills to undertake the technical or scientific aspects of their work; however, they reported experiencing restricted ability to participate in complex cross-cultural conversations, such as providing explanations and reassurance about treatment options or discussing end of life and treatment decisions. This limitation diminished the nurses’ ability to engage in the art of nursing and left them unable to employ themselves therapeutically to attain a sense of true presence with patients and their families. Conclusion: This article highlights the need for language and communication support, and Arabic-speaking advocates as partners in care for expatriate nurses. Relevance to practice: Internationally qualified nurses in this Middle Eastern setting lack cultural orientation and language skills to fully enact the art and true presence of nursing. Findings indicate that health service employers need to increase the employment of Arabic-speaking nurses and provide additional language for other expatriate nurses.","author":[{"dropping-particle":"","family":"Kuzemski","given":"Dawn","non-dropping-particle":"","parse-names":false,"suffix":""},{"dropping-particle":"","family":"Thirlwall","given":"Alison","non-dropping-particle":"","parse-names":false,"suffix":""},{"dropping-particle":"","family":"Brunton","given":"Margaret","non-dropping-particle":"","parse-names":false,"suffix":""},{"dropping-particle":"","family":"Brownie","given":"Sharon","non-dropping-particle":"","parse-names":false,"suffix":""}],"container-title":"Journal of Clinical Nursing","id":"ITEM-1","issue":"1-2","issued":{"date-parts":[["2022","1","14"]]},"page":"145-157","title":"I speak a little Arabic: Nursing communication in a cross</w:instrText>
      </w:r>
      <w:r w:rsidRPr="00BC64FA">
        <w:rPr>
          <w:rFonts w:ascii="Cambria Math" w:hAnsi="Cambria Math" w:cs="Cambria Math"/>
          <w:color w:val="000000" w:themeColor="text1"/>
          <w:sz w:val="20"/>
          <w:szCs w:val="20"/>
        </w:rPr>
        <w:instrText>‐</w:instrText>
      </w:r>
      <w:r w:rsidRPr="00BC64FA">
        <w:rPr>
          <w:rFonts w:ascii="Arial" w:hAnsi="Arial" w:cs="Arial"/>
          <w:color w:val="000000" w:themeColor="text1"/>
          <w:sz w:val="20"/>
          <w:szCs w:val="20"/>
        </w:rPr>
        <w:instrText>cultural context","type":"article-journal","volume":"31"},"uris":["http://www.mendeley.com/documents/?uuid=e3c93209-017e-4e56-b4ef-0970ca0d7b8c"]}],"mendeley":{"formattedCitation":"(Kuzemski et al., 2022)","plainTextFormattedCitation":"(Kuzemski et al., 2022)","previouslyFormattedCitation":"(Kuzemski et al., 2022)"},"properties":{"noteIndex":0},"schema":"https://github.com/citation-style-language/schema/raw/master/csl-citation.json"}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(Kuzemski et al., 2022)</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{"citationItems":[{"id":"ITEM-1","itemData":{"DOI":"10.3390/clinpract15010019","ISSN":"2039-7283","abstract":"Background/Objectives: Effective communication between nurses and patients plays a crucial role in the delivery of quality healthcare services, especially when caring for patients from diverse cultural backgrounds. It fosters trust, understanding, and collaboration and contributes to better health outcomes and satisfactory nurse–patient relationships. The aim of the study is to assess the factors and barriers affecting nurses’ communication when providing care for patients from diverse cultural backgrounds in Jeddah, Saudi Arabia. Methods: A cross-sectional quantitative descriptive design is used with an online survey instrument. The study involved registered nurses employed in Jeddah’s hospitals. The study utilized a convenience sample for data collection and used the latest version of the statistical package for the social sciences (SPSS version 21) for data entry and analysis. Results: A study of 367 participants found significant barriers to nurse–patient communication, with a mean score of 2.84 on a three-point scale. Key challenges included language differences between nurses and patients with a mean score of 2.87, and cultural and religious differences with a mean score of 2.83 and 2.81, as well as nurses’ communication skills, attitudes, and self-confidence and patients’ awareness, attitudes, and resistance to communication. The multifaceted nature of these barriers emphasizes the need for targeted interventions to improve nurse–patient interactions and enhance care quality. Conclusions: The study highlights the impact of various factors on effective communication between nurses and patients, emphasizing the need for nurses to develop their communication skills and to receive adequate training from nursing officials.","author":[{"dropping-particle":"","family":"Alharazi","given":"Ruba M.","non-dropping-particle":"","parse-names":false,"suffix":""},{"dropping-particle":"","family":"Abdulrahim","given":"Rahaf J.","non-dropping-particle":"","parse-names":false,"suffix":""},{"dropping-particle":"","family":"Mazuzah","given":"Alhanouf H.","non-dropping-particle":"","parse-names":false,"suffix":""},{"dropping-particle":"","family":"Almutairi","given":"Reem M.","non-dropping-particle":"","parse-names":false,"suffix":""},{"dropping-particle":"","family":"Almutary","given":"Hayfa","non-dropping-particle":"","parse-names":false,"suffix":""},{"dropping-particle":"","family":"Alhofaian","given":"Aisha","non-dropping-particle":"","parse-names":false,"suffix":""}],"container-title":"Clinics and Practice","id":"ITEM-1","issue":"1","issued":{"date-parts":[["2025","1","14"]]},"page":"19","title":"Barriers and Factors Affecting Nursing Communication When Providing Patient Care in Jeddah","type":"article-journal","volume":"15"},"uris":["http://www.mendeley.com/documents/?uuid=f4de5791-e17e-48fa-9ef6-e22954f53afb"]}],"mendeley":{"formattedCitation":"(Alharazi et al., 2025)","plainTextFormattedCitation":"(Alharazi et al., 2025)","previouslyFormattedCitation":"(Alharazi et al., 2025)"},"properties":{"noteIndex":0},"schema":"https://github.com/citation-style-language/schema/raw/master/csl-citation.json"}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(Alharazi et al., 2025)</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w:t>
      </w:r>
    </w:p>
    <w:p w14:paraId="4D450525" w14:textId="3BB5AF67" w:rsidR="0006460E" w:rsidRPr="00BC64FA" w:rsidRDefault="0006460E" w:rsidP="00156506">
      <w:pPr>
        <w:pStyle w:val="ListParagraph"/>
        <w:numPr>
          <w:ilvl w:val="0"/>
          <w:numId w:val="24"/>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Nationality-based discrimination and stereotyping are reported among expatriate nurses, affecting morale and career progression. Discrimination often manifests in limited promotion opportunities and unequal treatment </w:t>
      </w: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{"citationItems":[{"id":"ITEM-1","itemData":{"DOI":"10.36348/sjnhc.2022.v05i04.002","ISSN":"26167921","abstract":"Job satisfaction is considered one of the most important parameters in measuring the performance of the employees. In this study, the researcher has discussed different factors that lead to dissatisfaction among expat nurses working in the Saudi healthcare sector, and has used positivism philosophy. Different survey instruments were used to collect primary data for this study: and the JSS (quantitative component). Firstly, nurses were provided with a self-administrated JSS. The JSS was developed to analyse nine job satisfaction scales, each containing four subscales. The reliability coefficient for descriptive statistics was computed at 0.84, above the threshold mark of 0.70. T-tests were used in this research. During the study, it was observed that out of the 100 married participants, 43 were at the position of Charge nurse and only one of them was working as a director in the organisation. The researcher conducted t-tests to identify the factors that lead to job dissatisfaction among the expats at Hali’s public hospitals in Saudi Arabia. Herein it was observed that very few chances of getting a promotion were of the main causes of job dissatisfaction among the expat nurses. Here the p-value was 0.00, lower than the threshold requirement of 0.05. In conclusion, the chances of getting a promotion were very less due to the fact that they were not native to the country. Also, nurses were not happy with the benefits that they receive in the organisation. That is, expats do not get too many benefits in the host nations.","author":[{"dropping-particle":"","family":"Alanazi","given":"Abdulaziz Khalaf","non-dropping-particle":"","parse-names":false,"suffix":""},{"dropping-particle":"","family":"Yates","given":"Caroline","non-dropping-particle":"","parse-names":false,"suffix":""}],"container-title":"Saudi Journal of Nursing and Health Care","id":"ITEM-1","issue":"4","issued":{"date-parts":[["2022","4","19"]]},"page":"76-83","title":"Factors behind Expatriates Nurses Job Dissatisfaction in Hail’s Public Hospitals, Saudi Arabia","type":"article-journal","volume":"5"},"uris":["http://www.mendeley.com/documents/?uuid=05695876-8e61-4b3c-98df-8c65d245ad32"]}],"mendeley":{"formattedCitation":"(Alanazi &amp; Yates, 2022)","plainTextFormattedCitation":"(Alanazi &amp; Yates, 2022)","previouslyFormattedCitation":"(Alanazi &amp; Yates, 2022)"},"properties":{"noteIndex":0},"schema":"https://github.com/citation-style-language/schema/raw/master/csl-citation.json"}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(Alanazi &amp; Yates, 2022)</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w:t>
      </w:r>
    </w:p>
    <w:p w14:paraId="6739FF1D" w14:textId="53071A0E" w:rsidR="0006460E" w:rsidRPr="00BC64FA" w:rsidRDefault="0006460E" w:rsidP="00156506">
      <w:pPr>
        <w:pStyle w:val="ListParagraph"/>
        <w:numPr>
          <w:ilvl w:val="0"/>
          <w:numId w:val="24"/>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lastRenderedPageBreak/>
        <w:t xml:space="preserve">Poor working conditions, lack of career advancement, and inadequate organizational support contribute to dissatisfaction and high turnover among Asian nurses in the Middle East </w:t>
      </w: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{"citationItems":[{"id":"ITEM-1","itemData":{"DOI":"10.1177/23779608251362315","ISSN":"2377-9608","abstract":"OBJECTIVE To explore the relationships between job satisfaction, work environment, and intention to leave among registered nurses in the United Arab Emirates (UAE), and to identify potential predictors of intention to leave. METHODS A cross-sectional study was conducted to collect data from registered nurses working in governmental hospitals in the UAE between October and November 2022. A convenience sampling method was used to recruit 294 participants. RESULTS Approximately 40.8% of nurses reported a high intention to leave their jobs. Significant correlations were found between the intention to leave and several factors, including education level (P = .038), years of experience (P = .033), employment status (P = .002), and nationality (P = .037). Regression analysis revealed that both the work environment and job satisfaction were significant predictors of intention to leave (β = 1.156, P = .015; β = 0.857, P = .015, respectively). CONCLUSIONS The findings of this study indicate that both the work environment and job satisfaction are significant and independent predictors of nurses' intention to leave their positions in the UAE. To reduce turnover, nursing managers and healthcare leaders should prioritize strategies that enhance work conditions, support professional development, reduce burnout, and offer competitive compensation, ultimately promoting nurse retention and better patient care.","author":[{"dropping-particle":"","family":"Aljawarneh","given":"Yousef","non-dropping-particle":"","parse-names":false,"suffix":""},{"dropping-particle":"","family":"Al-Bashaireh","given":"Ahmad","non-dropping-particle":"","parse-names":false,"suffix":""},{"dropping-particle":"","family":"Alotaibi","given":"Nader E.","non-dropping-particle":"","parse-names":false,"suffix":""},{"dropping-particle":"","family":"Kawafha","given":"Mariam","non-dropping-particle":"","parse-names":false,"suffix":""},{"dropping-particle":"","family":"Alkouri","given":"Osama","non-dropping-particle":"","parse-names":false,"suffix":""},{"dropping-particle":"","family":"Almesmari","given":"Tarfah","non-dropping-particle":"","parse-names":false,"suffix":""},{"dropping-particle":"","family":"Alnuaimi","given":"Bashayer","non-dropping-particle":"","parse-names":false,"suffix":""},{"dropping-particle":"","family":"Alabdouli","given":"Sarah","non-dropping-particle":"","parse-names":false,"suffix":""},{"dropping-particle":"","family":"Alsereidi","given":"Maryam","non-dropping-particle":"","parse-names":false,"suffix":""}],"container-title":"SAGE Open Nursing","id":"ITEM-1","issued":{"date-parts":[["2025","1","23"]]},"title":"Associations Between Intention to Leave, Job Satisfaction, and Work Environment Among Registered Nurses: A Cross-Sectional Study in the United Arab Emirates","type":"article-journal","volume":"11"},"uris":["http://www.mendeley.com/documents/?uuid=efa51f0a-d227-4ae0-b50c-447f5b53c758"]}],"mendeley":{"formattedCitation":"(Aljawarneh et al., 2025)","plainTextFormattedCitation":"(Aljawarneh et al., 2025)","previouslyFormattedCitation":"(Aljawarneh et al., 2025)"},"properties":{"noteIndex":0},"schema":"https://github.com/citation-style-language/schema/raw/master/csl-citation.json"}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(Aljawarneh et al., 2025)</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w:t>
      </w:r>
    </w:p>
    <w:p w14:paraId="7C7C645A" w14:textId="0B3E917E" w:rsidR="0006460E" w:rsidRPr="00BC64FA" w:rsidRDefault="0006460E" w:rsidP="00156506">
      <w:pPr>
        <w:pStyle w:val="ListParagraph"/>
        <w:numPr>
          <w:ilvl w:val="0"/>
          <w:numId w:val="24"/>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Healthcare systems often lack structured cultural competence programs, leaving nurses unprepared for diverse patient needs and ethical dilemmas </w:t>
      </w: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{"citationItems":[{"id":"ITEM-1","itemData":{"DOI":"10.5742/MEJN2023.9378040","abstract":"Background. Nursing staff are typically multi-national, especially in Saudi Arabia, and Saudi nurses deal with multicultural patients, which creates a culturally diverse atmosphere. As a result, cultural competence is essential. Aim. To assess cultural competence among nurses in Saudi Arabia Methods. A systematic review was performed to assess cultural competence among nurses in Saudi Arabia. Findings. The study provides in-depth summaries of 11 papers included in this review. No studies published before 2014 investigated the cultural competence of Saudi Arabian nurses. However, the authors noted a sharp rise from 2020 in the number of studies dealing with this issue. Sample sizes ranged from 11 to 650 participants. Three studies were qualitative compared to eight quantitative studies. Seven studies focused on staff nurses, one on academic nurses, two on nursing students, and one on nurse leaders. Three concentrated on the academic setting, seven on clinical settings, and one on community settings. Most studies collected data from surveys, while a few used interviews and cross-sectional methodologies. Conclusion. Healthcare systems should be structured to encourage the empowerment of nurses from different nationalities and build effective communication policies to improve cultural competency among nurses. Future research should look at the relationship between individual training programs designed to increase cultural competence and their effect on the quality of patient care. Also, further research should incorporate a more diverse range of cultures. Keywords: Cultural competence, nurses, Saudi Arabia, patient outcome, knowledge, skills, attitude.","author":[{"dropping-particle":"","family":"Aboshaiqah","given":"Ahmad","non-dropping-particle":"","parse-names":false,"suffix":""}],"container-title":"Middle East Journal of Nursing","id":"ITEM-1","issue":"2","issued":{"date-parts":[["2023"]]},"title":"Cultural Competence in Nurses in Saudi Arabia: A Systematic Review","type":"article-journal","volume":"17"},"uris":["http://www.mendeley.com/documents/?uuid=964e9a66-5319-4845-a06c-ebb70c62a1d5"]}],"mendeley":{"formattedCitation":"(Aboshaiqah, 2023)","plainTextFormattedCitation":"(Aboshaiqah, 2023)","previouslyFormattedCitation":"(Aboshaiqah, 2023)"},"properties":{"noteIndex":0},"schema":"https://github.com/citation-style-language/schema/raw/master/csl-citation.json"}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(Aboshaiqah, 2023)</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{"citationItems":[{"id":"ITEM-1","itemData":{"DOI":"10.7748/nm.2025.e2164","ISSN":"1354-5760","abstract":"Cultural competence, which encompasses cultural awareness, cultural skills, cultural desire, cultural encounters and self-efficacy, is essential for delivering effective, equitable, person-centred care and improving health outcomes in a diverse population. This ‘How to’ article details ways in which nurses can promote cultural competence in nursing practice, by taking practical steps to ensure they and the organisations they work for are providing accessible and culturally relevant care and services that meet the needs of local populations. • Nurses should critically reflect on their cultural background and consider how it may influence their practice and interactions with patients from backgrounds different to their own. • Reviewing, evaluating and updating local resources related to cultural competence can help to ensure these are current and fit for purpose. • Interacting with diverse cultural groups, for example through local community events, can enhance cultural awareness and connection between healthcare providers and patients from diverse backgrounds. • Requesting and sharing constructive feedback on interactions with and care approaches to patients from diverse cultural backgrounds can help nurses to identify cultural competence development needs.","author":[{"dropping-particle":"","family":"Collins","given":"Guy Dominic","non-dropping-particle":"","parse-names":false,"suffix":""},{"dropping-particle":"","family":"Hager","given":"Jane Mary","non-dropping-particle":"","parse-names":false,"suffix":""}],"container-title":"Nursing Management","id":"ITEM-1","issued":{"date-parts":[["2025","5","28"]]},"title":"How to promote cultural competence in nursing practice","type":"article-journal"},"uris":["http://www.mendeley.com/documents/?uuid=c9b209bd-afe2-44f4-aec6-a3cd23a446dd"]}],"mendeley":{"formattedCitation":"(Collins &amp; Hager, 2025)","plainTextFormattedCitation":"(Collins &amp; Hager, 2025)","previouslyFormattedCitation":"(Collins &amp; Hager, 2025)"},"properties":{"noteIndex":0},"schema":"https://github.com/citation-style-language/schema/raw/master/csl-citation.json"}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(Collins &amp; Hager, 2025)</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w:t>
      </w:r>
    </w:p>
    <w:p w14:paraId="104AA99A" w14:textId="0B87EFEF" w:rsidR="0006460E" w:rsidRPr="00BC64FA" w:rsidRDefault="0006460E" w:rsidP="00156506">
      <w:pPr>
        <w:pStyle w:val="ListParagraph"/>
        <w:numPr>
          <w:ilvl w:val="0"/>
          <w:numId w:val="24"/>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Asian nurses experience psychological strain, social isolation, and homesickness during migration, which affects mental health and professional integration </w:t>
      </w: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{"citationItems":[{"id":"ITEM-1","itemData":{"DOI":"10.1186/s12960-024-00900-5","ISSN":"1478-4491","abstract":"Background: Given nurses’ increasing international mobility, Asian internationally educated nurses (IENs) represent a critical human resource highly sought after within the global healthcare workforce. Developed countries have grown excessively reliant on them, leading to heightened competition among these countries. Hence, this review aims to uncover factors underlying the retention of Asian IENs in host countries to facilitate the development of more effective staff retention strategies. Methods: A mixed-methods systematic review was conducted using the Joanna Briggs Institute methodology for mixed-method systematic review. A search was undertaken across the following electronic databases for studies published in English during 2013–2022: CINAHL, Embase, PubMed, Scopus, Web of Science and PsycINFO. Two of the researchers critically appraised included articles independently using the Joanna Briggs Critical Appraisal Tools and Mixed Methods Appraisal Tool (version 2018). A data-based convergent integrated approach was adopted for data synthesis. Results: Of the 27 included articles (19 qualitative and eight quantitative), five each were conducted in Asia (Japan, Taiwan, Singapore and Malaysia), Australia and Europe (Italy, Norway and the United Kingdom); four each in the United States and the Middle East (Saudi Arabia and Kuwait); two in Canada; and one each in New Zealand and South Africa. Five themes emerged from the data synthesis: (1) desire for better career prospects, (2) occupational downward mobility, (3) inequality in career advancement, (4) acculturation and (5) support system. Conclusion: This systematic review investigated the factors influencing AMN retention and identified several promising retention strategies: granting them permanent residency, ensuring transparency in credentialing assessment, providing equal opportunities for career advancement, instituting induction programmes for newly employed Asian IENs, enabling families to be with them and building workplace social support. Retention strategies that embrace the Asian IENs’ perspectives and experiences are envisioned to ensure a sustainable nursing workforce.","author":[{"dropping-particle":"","family":"Ung","given":"Danny Shin Kai","non-dropping-particle":"","parse-names":false,"suffix":""},{"dropping-particle":"","family":"Goh","given":"Yong Shian","non-dropping-particle":"","parse-names":false,"suffix":""},{"dropping-particle":"","family":"Poon","given":"Ryan Yuan Sheng","non-dropping-particle":"","parse-names":false,"suffix":""},{"dropping-particle":"","family":"Lin","given":"Yongxing Patrick","non-dropping-particle":"","parse-names":false,"suffix":""},{"dropping-particle":"","family":"Seah","given":"Betsy","non-dropping-particle":"","parse-names":false,"suffix":""},{"dropping-particle":"","family":"Lopez","given":"Violeta","non-dropping-particle":"","parse-names":false,"suffix":""},{"dropping-particle":"","family":"Mikkonen","given":"Kristina","non-dropping-particle":"","parse-names":false,"suffix":""},{"dropping-particle":"","family":"Yong","given":"Keng Kwang","non-dropping-particle":"","parse-names":false,"suffix":""},{"dropping-particle":"","family":"Liaw","given":"Sok Ying","non-dropping-particle":"","parse-names":false,"suffix":""}],"container-title":"Human Resources for Health","id":"ITEM-1","issue":"1","issued":{"date-parts":[["2024","3","1"]]},"page":"17","title":"Global migration and factors influencing retention of Asian internationally educated nurses: a systematic review","type":"article-journal","volume":"22"},"uris":["http://www.mendeley.com/documents/?uuid=0392fbd4-4c0d-40c5-bf5e-955d6ef2a683"]}],"mendeley":{"formattedCitation":"(Ung et al., 2024)","plainTextFormattedCitation":"(Ung et al., 2024)","previouslyFormattedCitation":"(Ung et al., 2024)"},"properties":{"noteIndex":0},"schema":"https://github.com/citation-style-language/schema/raw/master/csl-citation.json"}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(Ung et al., 2024)</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fldChar w:fldCharType="begin" w:fldLock="1"/>
      </w:r>
      <w:r w:rsidR="00972846" w:rsidRPr="00BC64FA">
        <w:rPr>
          <w:rFonts w:ascii="Arial" w:hAnsi="Arial" w:cs="Arial"/>
          <w:color w:val="000000" w:themeColor="text1"/>
          <w:sz w:val="20"/>
          <w:szCs w:val="20"/>
        </w:rPr>
        <w:instrText>ADDIN CSL_CITATION {"citationItems":[{"id":"ITEM-1","itemData":{"DOI":"10.1111/inr.12787","ISSN":"0020-8132","abstract":"Aim: To synthesize knowledge extracted from the literature about protecting factors and challenges to resilience, among migrant nurses, and specifically how knowledge synthesized through the process of the literature review is relevant to nursing and health policy. Background: How nurses, in general, face challenges is well documented and is often linked to the concept of resilience; however, there seems to be a lack of systematic knowledge synthesis focusing on the resilience of internationally educated nurses following migration. Method: The review was guided by the PRISMA guidelines, and a systematic search of peer-reviewed qualitative and mixed-method articles reporting empirical research was performed in the MEDLINE, CINAHL, PsycINFO and Academic Search Ultimate databases. Methodological rigour was assessed by the Joanna Briggs’ checklist, and a structured theme-based ecological framework, inspired by Ungar's model of resilience, was chosen. Results: Following critical appraisal, 37 studies were included that identified both challenges and individual, contextual and structural protective factors in host countries and are linked to resilience. Discussion: Resilience of internationally educated nurses depends on a combination of individual and contextual protective factors, with the major emphasis being placed on individual protective factors. It is crucial to consider resilience in ensuring that internationally educated nurses’ experience is appreciated, as this is necessary if nurses are to deliver the best possible health service while integrating into their host country. Implication for nursing and health policy: Authorities, managers in clinical practice and education, trade unions and nurses in general should be aware of the coping strategies, the strengths and supportive factors that can promote resilience and be aware of the challenges that undermine resilience and negatively impact internationally educated nurses’ practice and social interactions.","author":[{"dropping-particle":"","family":"Dahl","given":"Kari","non-dropping-particle":"","parse-names":false,"suffix":""},{"dropping-particle":"","family":"Nortvedt","given":"Line","non-dropping-particle":"","parse-names":false,"suffix":""},{"dropping-particle":"","family":"Schrøder","given":"Judith","non-dropping-particle":"","parse-names":false,"suffix":""},{"dropping-particle":"","family":"Bjørnnes","given":"Ann Kristin","non-dropping-particle":"","parse-names":false,"suffix":""}],"container-title":"International Nursing Review","id":"ITEM-1","issue":"3","issued":{"date-parts":[["2022","9","22"]]},"page":"405-415","title":"Internationally educated nurses and resilience: A systematic literature review","type":"article-journal","volume":"69"},"uris":["http://www.mendeley.com/documents/?uuid=bebbda5e-9910-4137-9370-c3a9d04d0a44"]}],"mendeley":{"formattedCitation":"(Dahl et al., 2022)","plainTextFormattedCitation":"(Dahl et al., 2022)","previouslyFormattedCitation":"(Dahl et al., 2022)"},"properties":{"noteIndex":0},"schema":"https://github.com/citation-style-language/schema/raw/master/csl-citation.json"}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(Dahl et al., 2022)</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w:t>
      </w:r>
    </w:p>
    <w:p w14:paraId="4652F211" w14:textId="226351BC" w:rsidR="0006460E" w:rsidRPr="00BC64FA" w:rsidRDefault="00972846" w:rsidP="00156506">
      <w:pPr>
        <w:pStyle w:val="ListParagraph"/>
        <w:numPr>
          <w:ilvl w:val="0"/>
          <w:numId w:val="24"/>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Credential recognition and adaptation to local clinical protocols remain significant barriers for migrant nurses, limiting their ability to fully integrate into healthcare teams </w:t>
      </w: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{"citationItems":[{"id":"ITEM-1","itemData":{"DOI":"10.1111/jan.16838","ISSN":"0309-2402","abstract":"Aim: To provide a comprehensive understanding of the cultural adaptation and professional integration experiences of migrant nurses in the receiving country. Design: A convergent parallel mixed methods design with concurrent sampling was employed. Methods: Professional nurses who migrated from various Middle Eastern and North African countries, including Egypt, Syria, Palestine, Yemen, Jordan, Iraq and Saudi Arabia, were enrolled. The Quantitative data was collected through an online questionnaire involving open-ended questions for the qualitative data. Data was collected from November 2023 to March 2024. Findings: One hundred five nurses responded to the quantitative questionnaire, and 32 answered the open-ended questions. The findings revealed that mean scores for cultural competence and professional self-concept were 83.41 ± 12.90 and 76.28 ± 11.16, respectively. Migrant nurses experienced challenges such as language barriers (91.4%), social interaction (82.9%) and difficulties adapting to daily living activities (100%). The majority of them reported positive outcomes as better working conditions (91.4%), higher standard of living (89.5%) and professional development opportunities (94.3%). Nurses emphasised accepting cultural diversity, participating in cultural competency training, building relationships with local colleagues and utilising support mechanisms and mentorship for cultural adaptation. Conclusion: This study highlighted the importance of support systems, cultural competency training and integration initiatives to facilitate successful adaptation and professional integration. Implications for Profession: Orientation programs and cultural competency training should be developed to support migrant nurses. Initiatives should include language acquisition support, financial assistance for certification programs and promotion of diversity and inclusion in healthcare settings. Impact: This study addressed the challenges migrant nurses face when transitioning to a new cultural and professional environment. It found that migrant nurses experience difficulties with language, social interaction and daily living activities. The research impacted healthcare institutions by guiding the development of orientation programs and cultural competency training, supporting policymakers in addressing systemic barriers and empowering migrant nurses with practical strategies for adaptation. Reporting Method: This study adhered to the Good Reporting of A Mixed Met…","author":[{"dropping-particle":"","family":"Atta","given":"Mohamed Hussein Ramadan","non-dropping-particle":"","parse-names":false,"suffix":""},{"dropping-particle":"","family":"Baraka","given":"Azza Abd Elrazek","non-dropping-particle":"","parse-names":false,"suffix":""},{"dropping-particle":"","family":"Hassan","given":"Eman Arafa","non-dropping-particle":"","parse-names":false,"suffix":""}],"container-title":"Journal of Advanced Nursing","id":"ITEM-1","issue":"12","issued":{"date-parts":[["2025","12","25"]]},"page":"8897-8913","title":"Challenges and Opportunities Faced by Migrant Nurses in the Receiving Country: A Mixed</w:instrText>
      </w:r>
      <w:r w:rsidRPr="00BC64FA">
        <w:rPr>
          <w:rFonts w:ascii="Cambria Math" w:hAnsi="Cambria Math" w:cs="Cambria Math"/>
          <w:color w:val="000000" w:themeColor="text1"/>
          <w:sz w:val="20"/>
          <w:szCs w:val="20"/>
        </w:rPr>
        <w:instrText>‐</w:instrText>
      </w:r>
      <w:r w:rsidRPr="00BC64FA">
        <w:rPr>
          <w:rFonts w:ascii="Arial" w:hAnsi="Arial" w:cs="Arial"/>
          <w:color w:val="000000" w:themeColor="text1"/>
          <w:sz w:val="20"/>
          <w:szCs w:val="20"/>
        </w:rPr>
        <w:instrText>Methods Study on Cultural Adaptation and Professional Integration","type":"article-journal","volume":"81"},"uris":["http://www.mendeley.com/documents/?uuid=16daa01f-d3d7-4852-9063-5f5b85ecb0c8"]}],"mendeley":{"formattedCitation":"(Atta et al., 2025)","plainTextFormattedCitation":"(Atta et al., 2025)","previouslyFormattedCitation":"(Atta et al., 2025)"},"properties":{"noteIndex":0},"schema":"https://github.com/citation-style-language/schema/raw/master/csl-citation.json"}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(Atta et al., 2025)</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w:t>
      </w:r>
    </w:p>
    <w:p w14:paraId="4F301E17" w14:textId="3A2B85EA" w:rsidR="00972846" w:rsidRPr="00BC64FA" w:rsidRDefault="00972846" w:rsidP="00156506">
      <w:pPr>
        <w:pStyle w:val="ListParagraph"/>
        <w:numPr>
          <w:ilvl w:val="0"/>
          <w:numId w:val="24"/>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Factors such as cultural isolation, lack of support systems, and poor work-life balance negatively impact retention rates among Asian nurses </w:t>
      </w: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{"citationItems":[{"id":"ITEM-1","itemData":{"DOI":"10.1177/10436596251318027","ISSN":"1043-6596","abstract":"Introduction: The increased globalization of nurses has prompted organizations to explore innovative strategies to retain their workforce. However, due to cultural variations and increased workforce diversity, a one-size-fits-all retention strategy may not be effective. Methodology: In this paper, we discuss nurse migration and retention to identify points of intersection and possible theories that can be applied. Results: Nurse migration and retention share a common motivation thread, indicating that a motivation theory could effectively integrate both concepts. Self-determination theory (SDT) is particularly relevant as it suggests that the needs for autonomy, competence, and relatedness influence motivation and retention and that these are universal, transcending cultural boundaries. Discussion: Addressing migrant nurse retention is crucial. The continued international recruitment poses a threat, as any intake by host countries further depletes the already scarce pool of nurses in some source countries. The perspective offered by the SDT may prove instrumental in developing effective strategies for retaining migrant nurses.","author":[{"dropping-particle":"","family":"Villamin","given":"Princess","non-dropping-particle":"","parse-names":false,"suffix":""},{"dropping-particle":"","family":"Lopez","given":"Violeta","non-dropping-particle":"","parse-names":false,"suffix":""},{"dropping-particle":"","family":"Thapa","given":"Deependra Kaji","non-dropping-particle":"","parse-names":false,"suffix":""},{"dropping-particle":"","family":"Cleary","given":"Michelle","non-dropping-particle":"","parse-names":false,"suffix":""}],"container-title":"Journal of Transcultural Nursing","id":"ITEM-1","issue":"4","issued":{"date-parts":[["2025","7","14"]]},"page":"352-362","title":"Retaining a Multicultural Nursing Workforce: A Self-Determination Theory Perspective","type":"article-journal","volume":"36"},"uris":["http://www.mendeley.com/documents/?uuid=e81cb061-ef2d-40d5-8608-b38675d801bd"]}],"mendeley":{"formattedCitation":"(Villamin et al., 2025)","plainTextFormattedCitation":"(Villamin et al., 2025)","previouslyFormattedCitation":"(Villamin et al., 2025)"},"properties":{"noteIndex":0},"schema":"https://github.com/citation-style-language/schema/raw/master/csl-citation.json"}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(Villamin et al., 2025)</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w:t>
      </w:r>
    </w:p>
    <w:p w14:paraId="32164FCF" w14:textId="0DAB834F" w:rsidR="00513C5D" w:rsidRPr="00BC64FA" w:rsidRDefault="00972846" w:rsidP="00156506">
      <w:pPr>
        <w:pStyle w:val="ListParagraph"/>
        <w:numPr>
          <w:ilvl w:val="0"/>
          <w:numId w:val="24"/>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Asian nurses often lack adequate training in Islamic cultural norms, leading to ethical dilemmas in areas such as end-of-life care and patient autonomy </w:t>
      </w:r>
      <w:r w:rsidRPr="00BC64FA">
        <w:rPr>
          <w:rFonts w:ascii="Arial" w:hAnsi="Arial" w:cs="Arial"/>
          <w:color w:val="000000" w:themeColor="text1"/>
          <w:sz w:val="20"/>
          <w:szCs w:val="20"/>
        </w:rPr>
        <w:fldChar w:fldCharType="begin" w:fldLock="1"/>
      </w:r>
      <w:r w:rsidR="00CE1D9A" w:rsidRPr="00BC64FA">
        <w:rPr>
          <w:rFonts w:ascii="Arial" w:hAnsi="Arial" w:cs="Arial"/>
          <w:color w:val="000000" w:themeColor="text1"/>
          <w:sz w:val="20"/>
          <w:szCs w:val="20"/>
        </w:rPr>
        <w:instrText>ADDIN CSL_CITATION {"citationItems":[{"id":"ITEM-1","itemData":{"DOI":"10.5742/MEJN2023.9378030","abstract":"Introduction: Diabetic management programs play an important role in supporting people who live with diabetes and preventing diabetes related complications. These programs need to be culturally relevant to be successful. Aim: To explore culturally specific diabetic management programs within primary health care settings that can be adapted to the context of Qatar. Method: This literature review was guided by Cronin et al.’s (2008) framework and included 17 scholarly articles published between 2011 and 2021. The Mixed Method Appraisal Tool was used to critically appraise the quality of these articles. Results: The main components of culturally specific diabetic management programs are information and understanding, cultural norms, cultural interventions, and personal motivation. Discussion: In order to ameliorate diabetes management for clients, culture needs to be considered when providing education. Key terms: Diabetes, cultural, self-management","author":[{"dropping-particle":"","family":"Itaiwah","given":"Dena Mohamed Zayed","non-dropping-particle":"","parse-names":false,"suffix":""},{"dropping-particle":"","family":"Johnson","given":"Jessie","non-dropping-particle":"","parse-names":false,"suffix":""},{"dropping-particle":"","family":"Abdulla","given":"Ebtesam","non-dropping-particle":"","parse-names":false,"suffix":""},{"dropping-particle":"","family":"Forgrave","given":"Daniel","non-dropping-particle":"","parse-names":false,"suffix":""},{"dropping-particle":"","family":"Mohammed","given":"Shehnaaz","non-dropping-particle":"","parse-names":false,"suffix":""}],"container-title":"Middle East Journal of Nursing","id":"ITEM-1","issued":{"date-parts":[["2023"]]},"title":"Assessing the Effectiveness of Culturally Specific Diabetic Management Programs within Primary Health Care Settings: A Review of the Literature","type":"article-journal"},"uris":["http://www.mendeley.com/documents/?uuid=a6067575-4cae-4ed1-9469-d101fcceb499"]}],"mendeley":{"formattedCitation":"(Itaiwah et al., 2023)","plainTextFormattedCitation":"(Itaiwah et al., 2023)","previouslyFormattedCitation":"(Itaiwah et al., 2023)"},"properties":{"noteIndex":0},"schema":"https://github.com/citation-style-language/schema/raw/master/csl-citation.json"}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(Itaiwah et al., 2023)</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w:t>
      </w:r>
    </w:p>
    <w:p w14:paraId="702A56AA" w14:textId="0743AA1F" w:rsidR="00C00859" w:rsidRPr="00BC64FA" w:rsidRDefault="00C00859" w:rsidP="00164454">
      <w:pPr>
        <w:spacing w:before="120" w:after="120"/>
        <w:jc w:val="both"/>
        <w:rPr>
          <w:rFonts w:ascii="Arial" w:hAnsi="Arial" w:cs="Arial"/>
          <w:color w:val="000000" w:themeColor="text1"/>
          <w:sz w:val="20"/>
          <w:szCs w:val="20"/>
        </w:rPr>
      </w:pPr>
      <w:r w:rsidRPr="0033477F">
        <w:rPr>
          <w:rFonts w:ascii="Arial" w:hAnsi="Arial" w:cs="Arial"/>
          <w:color w:val="EE0000"/>
          <w:sz w:val="20"/>
          <w:szCs w:val="20"/>
        </w:rPr>
        <w:t>Since 20</w:t>
      </w:r>
      <w:r w:rsidR="0033477F" w:rsidRPr="0033477F">
        <w:rPr>
          <w:rFonts w:ascii="Arial" w:hAnsi="Arial" w:cs="Arial"/>
          <w:color w:val="EE0000"/>
          <w:sz w:val="20"/>
          <w:szCs w:val="20"/>
        </w:rPr>
        <w:t>0</w:t>
      </w:r>
      <w:r w:rsidRPr="0033477F">
        <w:rPr>
          <w:rFonts w:ascii="Arial" w:hAnsi="Arial" w:cs="Arial"/>
          <w:color w:val="EE0000"/>
          <w:sz w:val="20"/>
          <w:szCs w:val="20"/>
        </w:rPr>
        <w:t xml:space="preserve">6, </w:t>
      </w:r>
      <w:r w:rsidRPr="00BC64FA">
        <w:rPr>
          <w:rFonts w:ascii="Arial" w:hAnsi="Arial" w:cs="Arial"/>
          <w:color w:val="000000" w:themeColor="text1"/>
          <w:sz w:val="20"/>
          <w:szCs w:val="20"/>
        </w:rPr>
        <w:t xml:space="preserve">a total of 55 Indonesian nurses </w:t>
      </w:r>
      <w:r w:rsidR="00972846" w:rsidRPr="00BC64FA">
        <w:rPr>
          <w:rFonts w:ascii="Arial" w:hAnsi="Arial" w:cs="Arial"/>
          <w:color w:val="000000" w:themeColor="text1"/>
          <w:sz w:val="20"/>
          <w:szCs w:val="20"/>
        </w:rPr>
        <w:t>has</w:t>
      </w:r>
      <w:r w:rsidRPr="00BC64FA">
        <w:rPr>
          <w:rFonts w:ascii="Arial" w:hAnsi="Arial" w:cs="Arial"/>
          <w:color w:val="000000" w:themeColor="text1"/>
          <w:sz w:val="20"/>
          <w:szCs w:val="20"/>
        </w:rPr>
        <w:t xml:space="preserve"> been employed in Qatar across various healthcare settings. These nurses have taken on diverse roles, including positions in inpatient wards, outpatient clinics, and emergency services</w:t>
      </w:r>
      <w:r w:rsidR="00CE1D9A" w:rsidRPr="00BC64FA">
        <w:rPr>
          <w:rFonts w:ascii="Arial" w:hAnsi="Arial" w:cs="Arial"/>
          <w:color w:val="000000" w:themeColor="text1"/>
          <w:sz w:val="20"/>
          <w:szCs w:val="20"/>
        </w:rPr>
        <w:t xml:space="preserve"> </w:t>
      </w:r>
      <w:r w:rsidR="00CE1D9A" w:rsidRPr="00BC64FA">
        <w:rPr>
          <w:rFonts w:ascii="Arial" w:hAnsi="Arial" w:cs="Arial"/>
          <w:color w:val="000000" w:themeColor="text1"/>
          <w:sz w:val="20"/>
          <w:szCs w:val="20"/>
        </w:rPr>
        <w:fldChar w:fldCharType="begin" w:fldLock="1"/>
      </w:r>
      <w:r w:rsidR="00F65087" w:rsidRPr="00BC64FA">
        <w:rPr>
          <w:rFonts w:ascii="Arial" w:hAnsi="Arial" w:cs="Arial"/>
          <w:color w:val="000000" w:themeColor="text1"/>
          <w:sz w:val="20"/>
          <w:szCs w:val="20"/>
        </w:rPr>
        <w:instrText>ADDIN CSL_CITATION {"citationItems":[{"id":"ITEM-1","itemData":{"DOI":"10.36348/sjnhc.2022.v05i07.001","ISSN":"26167921","abstract":"Introduction: Since March 11, 2020, the COVID-19 pandemic has disrupted social and business activities, resulting in many companies going out of business due to limited economic transactions. All health care sectors are required to performed COVID-19 screening before services are carried out and provide COVID-19 vaccination services. Aim: The purpose of this study was to describe the motivational experience and performance of Indonesian nurses working in Qatar during the pandemic COVID-19. Research Methods: This type of research is qualitative, using 15 Indonesian nurses as informants were working in Qatar. In Qatar there are 51 Indonesian nurses who are actively working as registered nurses. The research instruments used were interviews and recordings. Interviews with informants were conducted one by one. The data that has been entered into the Nvivo system, then a qualitative content analysis is carried out to find the matics related to work motivation and performance. Results: The results show that Indonesian nurses still want to work in Qatar until they retire for the following reasons: (1) getting a high salary, (2) being able to live as a family in Qatar, (3) there are opportunities for international standard school children in Qatar with free from the company, (4) get leave tickets for family members every year, and (5) get premium class health insurance for employees and their family members. The themes of work motivation found in Indonesian nurses who worked during the pandemic COVID-19 in Qatar were: (1) good financial support, (2) leadership support, (3) personal protective equipment support, (4) occupational health support, (5) work environment support, (6) family support, (7) work obligations, and (8) professional obligations. The performance of Indonesian nurses during the COVID-19 pandemic was demonstrated by: (1) working comfortably because personal protective equipment facilities were adequate and work facilities were quite comfortable even in the summer, (2) working by carrying out special work procedures in handling COVID-19, (3) work in accordance with working conditions, especially in the use of personal protective equipment, (4) work carefully when dealing with highly virulent infectious diseases, and (5) work professionally in accordance with nursing process standards. Conclusion: Indonesian nurses still want to work in Qatar due of getting a high salary and family living allowances in Qatar, being able to gather with family membe…","author":[{"dropping-particle":"","family":"Setiaman","given":"Sobur","non-dropping-particle":"","parse-names":false,"suffix":""},{"dropping-particle":"","family":"Peristiowati","given":"Yuly","non-dropping-particle":"","parse-names":false,"suffix":""},{"dropping-particle":"","family":"Ambarika","given":"Rahmania","non-dropping-particle":"","parse-names":false,"suffix":""},{"dropping-particle":"","family":"Puspitasari","given":"Yenny","non-dropping-particle":"","parse-names":false,"suffix":""}],"container-title":"Saudi Journal of Nursing and Health Care","id":"ITEM-1","issue":"7","issued":{"date-parts":[["2022"]]},"page":"130-140","title":"Work Motivation and Performance among Indonesia Nurses during Pandemic COVID-19 at Qatar","type":"article-journal","volume":"5"},"uris":["http://www.mendeley.com/documents/?uuid=2d4879a4-00b3-45b6-9e0c-228da209b834"]}],"mendeley":{"formattedCitation":"(Setiaman et al., 2022)","plainTextFormattedCitation":"(Setiaman et al., 2022)","previouslyFormattedCitation":"(Setiaman et al., 2022)"},"properties":{"noteIndex":0},"schema":"https://github.com/citation-style-language/schema/raw/master/csl-citation.json"}</w:instrText>
      </w:r>
      <w:r w:rsidR="00CE1D9A" w:rsidRPr="00BC64FA">
        <w:rPr>
          <w:rFonts w:ascii="Arial" w:hAnsi="Arial" w:cs="Arial"/>
          <w:color w:val="000000" w:themeColor="text1"/>
          <w:sz w:val="20"/>
          <w:szCs w:val="20"/>
        </w:rPr>
        <w:fldChar w:fldCharType="separate"/>
      </w:r>
      <w:r w:rsidR="00CE1D9A" w:rsidRPr="00BC64FA">
        <w:rPr>
          <w:rFonts w:ascii="Arial" w:hAnsi="Arial" w:cs="Arial"/>
          <w:noProof/>
          <w:color w:val="000000" w:themeColor="text1"/>
          <w:sz w:val="20"/>
          <w:szCs w:val="20"/>
        </w:rPr>
        <w:t>(Setiaman et al., 2022)</w:t>
      </w:r>
      <w:r w:rsidR="00CE1D9A"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Their presence reflects the growing reliance on internationally educated nurses to meet the increasing demand for skilled healthcare professionals in the region. The recruitment of Indonesian nurses is often driven by their strong clinical skills, adaptability, and reputation for compassionate care, which align well with the cultural expectations of patient-centered services in Qatar.</w:t>
      </w:r>
    </w:p>
    <w:p w14:paraId="234BAB86" w14:textId="77777777" w:rsidR="00C00859" w:rsidRPr="00BC64FA" w:rsidRDefault="00C00859"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Despite their valuable contributions, Indonesian nurses face several challenges in adapting to the Middle Eastern healthcare environment. Language barriers, cultural differences, and unfamiliarity with local healthcare protocols can create obstacles in communication and clinical practice. Additionally, issues such as limited career advancement opportunities, workplace discrimination, and adaptation stress have been reported among expatriate nurses in the region. These challenges highlight the need for structured orientation programs, cultural competence training, and supportive policies to ensure smooth integration and retention of Indonesian nurses in Qatar’s healthcare system.</w:t>
      </w:r>
    </w:p>
    <w:p w14:paraId="1D92E6D2" w14:textId="77777777" w:rsidR="00537BA1" w:rsidRPr="00BC64FA" w:rsidRDefault="00537BA1"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Resilience is a critical attribute for nurses working in Qatar due to the unique challenges of the healthcare environment in the region. Nurses often face high-pressure situations, including heavy workloads, diverse patient populations, and emergencies that demand quick decision-making. For expatriate nurses, such as those from Indonesia, these challenges are compounded by cultural differences, language barriers, and adaptation stress. Resilience enables nurses to maintain emotional stability, cope effectively with stress, and continue delivering safe, high-quality care despite these obstacles.</w:t>
      </w:r>
    </w:p>
    <w:p w14:paraId="27ADC920" w14:textId="77777777" w:rsidR="00537BA1" w:rsidRPr="00BC64FA" w:rsidRDefault="00537BA1"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Moreover, resilience contributes to job satisfaction, mental well-being, and retention in a multicultural healthcare setting. Nurses who demonstrate resilience are better equipped to handle ethical dilemmas, adapt to organizational changes, and recover from setbacks without compromising patient care. In Qatar, where healthcare systems rely heavily on expatriate staff, fostering resilience is essential not only for individual well-being but also for sustaining workforce stability and improving overall healthcare outcomes.</w:t>
      </w:r>
    </w:p>
    <w:p w14:paraId="17973EAE" w14:textId="77777777" w:rsidR="00537BA1" w:rsidRPr="00BC64FA" w:rsidRDefault="00537BA1" w:rsidP="00164454">
      <w:pPr>
        <w:spacing w:before="120" w:after="120"/>
        <w:ind w:left="360"/>
        <w:jc w:val="both"/>
        <w:rPr>
          <w:rFonts w:ascii="Arial" w:hAnsi="Arial" w:cs="Arial"/>
          <w:color w:val="000000" w:themeColor="text1"/>
          <w:sz w:val="20"/>
          <w:szCs w:val="20"/>
        </w:rPr>
      </w:pPr>
    </w:p>
    <w:p w14:paraId="3350A918" w14:textId="20007C46" w:rsidR="00CE1D9A" w:rsidRPr="00BC64FA" w:rsidRDefault="00663668" w:rsidP="00164454">
      <w:pPr>
        <w:pStyle w:val="Heading2"/>
        <w:spacing w:before="120" w:after="120"/>
        <w:jc w:val="both"/>
        <w:rPr>
          <w:rFonts w:ascii="Arial" w:eastAsia="Times New Roman" w:hAnsi="Arial" w:cs="Arial"/>
          <w:bCs/>
          <w:color w:val="000000" w:themeColor="text1"/>
          <w:sz w:val="20"/>
          <w:szCs w:val="20"/>
        </w:rPr>
      </w:pPr>
      <w:r w:rsidRPr="00BC64FA">
        <w:rPr>
          <w:rFonts w:ascii="Arial" w:eastAsia="Times New Roman" w:hAnsi="Arial" w:cs="Arial"/>
          <w:bCs/>
          <w:color w:val="000000" w:themeColor="text1"/>
          <w:sz w:val="20"/>
          <w:szCs w:val="20"/>
        </w:rPr>
        <w:t xml:space="preserve">1.2. </w:t>
      </w:r>
      <w:r w:rsidR="00CE1D9A" w:rsidRPr="00BC64FA">
        <w:rPr>
          <w:rFonts w:ascii="Arial" w:eastAsia="Times New Roman" w:hAnsi="Arial" w:cs="Arial"/>
          <w:bCs/>
          <w:color w:val="000000" w:themeColor="text1"/>
          <w:sz w:val="20"/>
          <w:szCs w:val="20"/>
        </w:rPr>
        <w:t xml:space="preserve">Aim of this research </w:t>
      </w:r>
    </w:p>
    <w:p w14:paraId="3873CE7E" w14:textId="77777777" w:rsidR="00CE1D9A" w:rsidRPr="00BC64FA" w:rsidRDefault="00CE1D9A" w:rsidP="00164454">
      <w:pPr>
        <w:pStyle w:val="NormalWeb"/>
        <w:spacing w:before="120" w:beforeAutospacing="0" w:after="120" w:afterAutospacing="0" w:line="360" w:lineRule="auto"/>
        <w:jc w:val="both"/>
        <w:rPr>
          <w:rFonts w:ascii="Arial" w:hAnsi="Arial" w:cs="Arial"/>
          <w:color w:val="000000" w:themeColor="text1"/>
          <w:sz w:val="20"/>
          <w:szCs w:val="20"/>
        </w:rPr>
      </w:pPr>
      <w:r w:rsidRPr="00BC64FA">
        <w:rPr>
          <w:rFonts w:ascii="Arial" w:hAnsi="Arial" w:cs="Arial"/>
          <w:color w:val="000000" w:themeColor="text1"/>
          <w:sz w:val="20"/>
          <w:szCs w:val="20"/>
        </w:rPr>
        <w:t xml:space="preserve">The purpose of this research is to explore how Indonesian nurses working in Qatar demonstrate resilience when confronted with challenging situations in high-pressure healthcare environments. </w:t>
      </w:r>
    </w:p>
    <w:p w14:paraId="4DC58A45" w14:textId="77777777" w:rsidR="00CE1D9A" w:rsidRPr="00BC64FA" w:rsidRDefault="00CE1D9A" w:rsidP="00164454">
      <w:pPr>
        <w:pStyle w:val="NormalWeb"/>
        <w:spacing w:before="120" w:beforeAutospacing="0" w:after="120" w:afterAutospacing="0" w:line="360" w:lineRule="auto"/>
        <w:jc w:val="both"/>
        <w:rPr>
          <w:rFonts w:ascii="Arial" w:hAnsi="Arial" w:cs="Arial"/>
          <w:color w:val="000000" w:themeColor="text1"/>
          <w:sz w:val="20"/>
          <w:szCs w:val="20"/>
        </w:rPr>
      </w:pPr>
      <w:r w:rsidRPr="00BC64FA">
        <w:rPr>
          <w:rFonts w:ascii="Arial" w:hAnsi="Arial" w:cs="Arial"/>
          <w:color w:val="000000" w:themeColor="text1"/>
          <w:sz w:val="20"/>
          <w:szCs w:val="20"/>
        </w:rPr>
        <w:t>Specifically, the study aims were:</w:t>
      </w:r>
    </w:p>
    <w:p w14:paraId="2E565262" w14:textId="77777777" w:rsidR="00CE1D9A" w:rsidRPr="00BC64FA" w:rsidRDefault="00CE1D9A" w:rsidP="00156506">
      <w:pPr>
        <w:pStyle w:val="NormalWeb"/>
        <w:numPr>
          <w:ilvl w:val="0"/>
          <w:numId w:val="23"/>
        </w:numPr>
        <w:spacing w:before="120" w:beforeAutospacing="0" w:after="120" w:afterAutospacing="0" w:line="360" w:lineRule="auto"/>
        <w:jc w:val="both"/>
        <w:rPr>
          <w:rFonts w:ascii="Arial" w:hAnsi="Arial" w:cs="Arial"/>
          <w:color w:val="000000" w:themeColor="text1"/>
          <w:sz w:val="20"/>
          <w:szCs w:val="20"/>
        </w:rPr>
      </w:pPr>
      <w:r w:rsidRPr="00BC64FA">
        <w:rPr>
          <w:rFonts w:ascii="Arial" w:hAnsi="Arial" w:cs="Arial"/>
          <w:color w:val="000000" w:themeColor="text1"/>
          <w:sz w:val="20"/>
          <w:szCs w:val="20"/>
        </w:rPr>
        <w:t xml:space="preserve">To identify the coping strategies, personal and professional factors, and organizational support systems that contribute to their ability to adapt and maintain well-being under stress. </w:t>
      </w:r>
    </w:p>
    <w:p w14:paraId="51FC07CB" w14:textId="029D520E" w:rsidR="00CE1D9A" w:rsidRPr="00BC64FA" w:rsidRDefault="00CE1D9A" w:rsidP="00156506">
      <w:pPr>
        <w:pStyle w:val="NormalWeb"/>
        <w:numPr>
          <w:ilvl w:val="0"/>
          <w:numId w:val="23"/>
        </w:numPr>
        <w:spacing w:before="120" w:beforeAutospacing="0" w:after="120" w:afterAutospacing="0" w:line="360" w:lineRule="auto"/>
        <w:jc w:val="both"/>
        <w:rPr>
          <w:rFonts w:ascii="Arial" w:hAnsi="Arial" w:cs="Arial"/>
          <w:color w:val="000000" w:themeColor="text1"/>
          <w:sz w:val="20"/>
          <w:szCs w:val="20"/>
        </w:rPr>
      </w:pPr>
      <w:r w:rsidRPr="00BC64FA">
        <w:rPr>
          <w:rFonts w:ascii="Arial" w:hAnsi="Arial" w:cs="Arial"/>
          <w:color w:val="000000" w:themeColor="text1"/>
          <w:sz w:val="20"/>
          <w:szCs w:val="20"/>
        </w:rPr>
        <w:t>By understanding these resilience mechanisms, the research seeks to provide insights that can inform policies and interventions to enhance nurse retention, job satisfaction, and quality of patient care in multicultural healthcare settings.</w:t>
      </w:r>
    </w:p>
    <w:p w14:paraId="5C870D28" w14:textId="4DAC39C2" w:rsidR="00BD28F7" w:rsidRPr="00BC64FA" w:rsidRDefault="00663668" w:rsidP="00164454">
      <w:pPr>
        <w:pStyle w:val="Heading2"/>
        <w:spacing w:before="120" w:after="120"/>
        <w:jc w:val="both"/>
        <w:rPr>
          <w:rFonts w:ascii="Arial" w:eastAsia="Times New Roman" w:hAnsi="Arial" w:cs="Arial"/>
          <w:bCs/>
          <w:color w:val="000000" w:themeColor="text1"/>
          <w:sz w:val="20"/>
          <w:szCs w:val="20"/>
        </w:rPr>
      </w:pPr>
      <w:r w:rsidRPr="00BC64FA">
        <w:rPr>
          <w:rFonts w:ascii="Arial" w:eastAsia="Times New Roman" w:hAnsi="Arial" w:cs="Arial"/>
          <w:bCs/>
          <w:color w:val="000000" w:themeColor="text1"/>
          <w:sz w:val="20"/>
          <w:szCs w:val="20"/>
        </w:rPr>
        <w:t xml:space="preserve">1.3. </w:t>
      </w:r>
      <w:r w:rsidR="00BD28F7" w:rsidRPr="00BC64FA">
        <w:rPr>
          <w:rFonts w:ascii="Arial" w:eastAsia="Times New Roman" w:hAnsi="Arial" w:cs="Arial"/>
          <w:bCs/>
          <w:color w:val="000000" w:themeColor="text1"/>
          <w:sz w:val="20"/>
          <w:szCs w:val="20"/>
        </w:rPr>
        <w:t xml:space="preserve">Significant </w:t>
      </w:r>
      <w:r w:rsidR="00164454" w:rsidRPr="00BC64FA">
        <w:rPr>
          <w:rFonts w:ascii="Arial" w:eastAsia="Times New Roman" w:hAnsi="Arial" w:cs="Arial"/>
          <w:bCs/>
          <w:color w:val="000000" w:themeColor="text1"/>
          <w:sz w:val="20"/>
          <w:szCs w:val="20"/>
        </w:rPr>
        <w:t>Study</w:t>
      </w:r>
    </w:p>
    <w:p w14:paraId="1DACE74E" w14:textId="77777777" w:rsidR="00BD28F7" w:rsidRPr="00BC64FA" w:rsidRDefault="00BD28F7" w:rsidP="00164454">
      <w:pPr>
        <w:pStyle w:val="NormalWeb"/>
        <w:spacing w:before="120" w:beforeAutospacing="0" w:after="120" w:afterAutospacing="0" w:line="360" w:lineRule="auto"/>
        <w:jc w:val="both"/>
        <w:rPr>
          <w:rFonts w:ascii="Arial" w:hAnsi="Arial" w:cs="Arial"/>
          <w:color w:val="000000" w:themeColor="text1"/>
          <w:sz w:val="20"/>
          <w:szCs w:val="20"/>
        </w:rPr>
      </w:pPr>
      <w:r w:rsidRPr="00BC64FA">
        <w:rPr>
          <w:rFonts w:ascii="Arial" w:hAnsi="Arial" w:cs="Arial"/>
          <w:color w:val="000000" w:themeColor="text1"/>
          <w:sz w:val="20"/>
          <w:szCs w:val="20"/>
        </w:rPr>
        <w:t>Studying resilience among Indonesian nurses in Qatar is highly significant because these nurses operate in multicultural, high-pressure healthcare environments where language barriers, cultural differences, and organizational demands intersect. Resilience is critical for maintaining mental health, job satisfaction, and patient safety in such contexts.</w:t>
      </w:r>
    </w:p>
    <w:p w14:paraId="0D326871" w14:textId="77777777" w:rsidR="00BD28F7" w:rsidRPr="00BC64FA" w:rsidRDefault="00BD28F7" w:rsidP="00164454">
      <w:p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Key reasons why this research matters:</w:t>
      </w:r>
    </w:p>
    <w:p w14:paraId="64EEB312" w14:textId="77777777" w:rsidR="00817FF6" w:rsidRPr="00BC64FA" w:rsidRDefault="00BD28F7" w:rsidP="00156506">
      <w:pPr>
        <w:numPr>
          <w:ilvl w:val="0"/>
          <w:numId w:val="22"/>
        </w:num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Workforce Sustainability</w:t>
      </w:r>
    </w:p>
    <w:p w14:paraId="61DD6701" w14:textId="51C3F083" w:rsidR="00BD28F7" w:rsidRPr="00BC64FA" w:rsidRDefault="00BD28F7" w:rsidP="00164454">
      <w:pPr>
        <w:spacing w:before="120" w:after="120"/>
        <w:ind w:left="720"/>
        <w:jc w:val="both"/>
        <w:rPr>
          <w:rFonts w:ascii="Arial" w:hAnsi="Arial" w:cs="Arial"/>
          <w:color w:val="000000" w:themeColor="text1"/>
          <w:sz w:val="20"/>
          <w:szCs w:val="20"/>
        </w:rPr>
      </w:pPr>
      <w:r w:rsidRPr="00BC64FA">
        <w:rPr>
          <w:rFonts w:ascii="Arial" w:hAnsi="Arial" w:cs="Arial"/>
          <w:color w:val="000000" w:themeColor="text1"/>
          <w:sz w:val="20"/>
          <w:szCs w:val="20"/>
        </w:rPr>
        <w:t>Indonesian nurses form a vital part of Qatar’s healthcare system. Understanding resilience helps reduce burnout and turnover, ensuring continuity of care.</w:t>
      </w:r>
    </w:p>
    <w:p w14:paraId="26FD5524" w14:textId="77777777" w:rsidR="00817FF6" w:rsidRPr="00BC64FA" w:rsidRDefault="00BD28F7" w:rsidP="00156506">
      <w:pPr>
        <w:numPr>
          <w:ilvl w:val="0"/>
          <w:numId w:val="22"/>
        </w:num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Cultural Adaptation</w:t>
      </w:r>
    </w:p>
    <w:p w14:paraId="05C574CC" w14:textId="08D6796F" w:rsidR="00BD28F7" w:rsidRPr="00BC64FA" w:rsidRDefault="00BD28F7" w:rsidP="00164454">
      <w:pPr>
        <w:spacing w:before="120" w:after="120"/>
        <w:ind w:left="720"/>
        <w:jc w:val="both"/>
        <w:rPr>
          <w:rFonts w:ascii="Arial" w:hAnsi="Arial" w:cs="Arial"/>
          <w:color w:val="000000" w:themeColor="text1"/>
          <w:sz w:val="20"/>
          <w:szCs w:val="20"/>
        </w:rPr>
      </w:pPr>
      <w:r w:rsidRPr="00BC64FA">
        <w:rPr>
          <w:rFonts w:ascii="Arial" w:hAnsi="Arial" w:cs="Arial"/>
          <w:color w:val="000000" w:themeColor="text1"/>
          <w:sz w:val="20"/>
          <w:szCs w:val="20"/>
        </w:rPr>
        <w:t>Nurses face unique challenges in adapting to Arabic culture and language. Exploring resilience strategies provides insights into effective cultural competence training.</w:t>
      </w:r>
    </w:p>
    <w:p w14:paraId="690AF3FB" w14:textId="77777777" w:rsidR="00817FF6" w:rsidRPr="00BC64FA" w:rsidRDefault="00BD28F7" w:rsidP="00156506">
      <w:pPr>
        <w:numPr>
          <w:ilvl w:val="0"/>
          <w:numId w:val="22"/>
        </w:num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Policy Development</w:t>
      </w:r>
    </w:p>
    <w:p w14:paraId="031E6B03" w14:textId="05AA1597" w:rsidR="00BD28F7" w:rsidRPr="00BC64FA" w:rsidRDefault="00BD28F7" w:rsidP="00164454">
      <w:pPr>
        <w:spacing w:before="120" w:after="120"/>
        <w:ind w:left="720"/>
        <w:jc w:val="both"/>
        <w:rPr>
          <w:rFonts w:ascii="Arial" w:hAnsi="Arial" w:cs="Arial"/>
          <w:color w:val="000000" w:themeColor="text1"/>
          <w:sz w:val="20"/>
          <w:szCs w:val="20"/>
        </w:rPr>
      </w:pPr>
      <w:r w:rsidRPr="00BC64FA">
        <w:rPr>
          <w:rFonts w:ascii="Arial" w:hAnsi="Arial" w:cs="Arial"/>
          <w:color w:val="000000" w:themeColor="text1"/>
          <w:sz w:val="20"/>
          <w:szCs w:val="20"/>
        </w:rPr>
        <w:t>Findings can inform organizational policies on mental health support, simulation training, and interpreter access, improving nurse well-being and patient outcomes.</w:t>
      </w:r>
    </w:p>
    <w:p w14:paraId="20CCA774" w14:textId="77777777" w:rsidR="00817FF6" w:rsidRPr="00BC64FA" w:rsidRDefault="00BD28F7" w:rsidP="00156506">
      <w:pPr>
        <w:numPr>
          <w:ilvl w:val="0"/>
          <w:numId w:val="22"/>
        </w:num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Global Relevance</w:t>
      </w:r>
    </w:p>
    <w:p w14:paraId="40FC0EB5" w14:textId="68BFCA9C" w:rsidR="00BD28F7" w:rsidRPr="00BC64FA" w:rsidRDefault="00BD28F7" w:rsidP="00164454">
      <w:pPr>
        <w:spacing w:before="120" w:after="120"/>
        <w:ind w:left="720"/>
        <w:jc w:val="both"/>
        <w:rPr>
          <w:rFonts w:ascii="Arial" w:hAnsi="Arial" w:cs="Arial"/>
          <w:color w:val="000000" w:themeColor="text1"/>
          <w:sz w:val="20"/>
          <w:szCs w:val="20"/>
        </w:rPr>
      </w:pPr>
      <w:r w:rsidRPr="00BC64FA">
        <w:rPr>
          <w:rFonts w:ascii="Arial" w:hAnsi="Arial" w:cs="Arial"/>
          <w:color w:val="000000" w:themeColor="text1"/>
          <w:sz w:val="20"/>
          <w:szCs w:val="20"/>
        </w:rPr>
        <w:t>This research contributes to international literature on resilience among migrant nurses, aligning with studies on internationally educated nurses and their coping strategies in host countries.</w:t>
      </w:r>
    </w:p>
    <w:p w14:paraId="4DEFF54A" w14:textId="77777777" w:rsidR="00BD28F7" w:rsidRPr="00BC64FA" w:rsidRDefault="00BD28F7" w:rsidP="00164454">
      <w:pPr>
        <w:spacing w:before="120" w:after="120"/>
        <w:rPr>
          <w:rFonts w:ascii="Arial" w:hAnsi="Arial" w:cs="Arial"/>
          <w:color w:val="000000" w:themeColor="text1"/>
          <w:sz w:val="20"/>
          <w:szCs w:val="20"/>
        </w:rPr>
      </w:pPr>
    </w:p>
    <w:p w14:paraId="3CFC1BB5" w14:textId="15871980" w:rsidR="0024540E" w:rsidRPr="002D1B52" w:rsidRDefault="00D8506C" w:rsidP="00164454">
      <w:pPr>
        <w:pStyle w:val="Heading1"/>
        <w:spacing w:before="120" w:after="120"/>
        <w:jc w:val="both"/>
        <w:rPr>
          <w:rFonts w:ascii="Arial" w:hAnsi="Arial" w:cs="Arial"/>
          <w:bCs/>
          <w:sz w:val="22"/>
          <w:szCs w:val="22"/>
        </w:rPr>
      </w:pPr>
      <w:r w:rsidRPr="002D1B52">
        <w:rPr>
          <w:rFonts w:ascii="Arial" w:hAnsi="Arial" w:cs="Arial"/>
          <w:bCs/>
          <w:sz w:val="22"/>
          <w:szCs w:val="22"/>
        </w:rPr>
        <w:lastRenderedPageBreak/>
        <w:t xml:space="preserve">2. </w:t>
      </w:r>
      <w:r w:rsidR="0024540E" w:rsidRPr="002D1B52">
        <w:rPr>
          <w:rFonts w:ascii="Arial" w:hAnsi="Arial" w:cs="Arial"/>
          <w:bCs/>
          <w:sz w:val="22"/>
          <w:szCs w:val="22"/>
        </w:rPr>
        <w:t>Framework theory</w:t>
      </w:r>
    </w:p>
    <w:p w14:paraId="0FA21604" w14:textId="405CFC7A" w:rsidR="0024540E" w:rsidRPr="00BC64FA" w:rsidRDefault="00663668" w:rsidP="00164454">
      <w:pPr>
        <w:pStyle w:val="Heading2"/>
        <w:spacing w:before="120" w:after="120"/>
        <w:rPr>
          <w:rFonts w:ascii="Arial" w:hAnsi="Arial" w:cs="Arial"/>
          <w:bCs/>
          <w:color w:val="000000" w:themeColor="text1"/>
          <w:sz w:val="20"/>
          <w:szCs w:val="20"/>
        </w:rPr>
      </w:pPr>
      <w:r w:rsidRPr="00BC64FA">
        <w:rPr>
          <w:rFonts w:ascii="Arial" w:hAnsi="Arial" w:cs="Arial"/>
          <w:bCs/>
          <w:color w:val="000000" w:themeColor="text1"/>
          <w:sz w:val="20"/>
          <w:szCs w:val="20"/>
        </w:rPr>
        <w:t>2.</w:t>
      </w:r>
      <w:r w:rsidR="0024540E" w:rsidRPr="00BC64FA">
        <w:rPr>
          <w:rFonts w:ascii="Arial" w:hAnsi="Arial" w:cs="Arial"/>
          <w:bCs/>
          <w:color w:val="000000" w:themeColor="text1"/>
          <w:sz w:val="20"/>
          <w:szCs w:val="20"/>
        </w:rPr>
        <w:t>1. Resilience Framework for Nursing and Healthcare</w:t>
      </w:r>
    </w:p>
    <w:p w14:paraId="11D804B1" w14:textId="68BEDBEA" w:rsidR="0024540E" w:rsidRPr="00BC64FA" w:rsidRDefault="0024540E"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This framework views resilience as a dynamic, ongoing process rather than a fixed trait. It emphasizes that resilience develops through adaptive coping strategies in response to stressors and challenges in healthcare environments</w:t>
      </w:r>
      <w:r w:rsidR="00F65087" w:rsidRPr="00BC64FA">
        <w:rPr>
          <w:rFonts w:ascii="Arial" w:hAnsi="Arial" w:cs="Arial"/>
          <w:color w:val="000000" w:themeColor="text1"/>
          <w:sz w:val="20"/>
          <w:szCs w:val="20"/>
        </w:rPr>
        <w:t xml:space="preserve"> </w:t>
      </w:r>
      <w:r w:rsidR="00F65087" w:rsidRPr="00BC64FA">
        <w:rPr>
          <w:rFonts w:ascii="Arial" w:hAnsi="Arial" w:cs="Arial"/>
          <w:color w:val="000000" w:themeColor="text1"/>
          <w:sz w:val="20"/>
          <w:szCs w:val="20"/>
        </w:rPr>
        <w:fldChar w:fldCharType="begin" w:fldLock="1"/>
      </w:r>
      <w:r w:rsidR="007224DB" w:rsidRPr="00BC64FA">
        <w:rPr>
          <w:rFonts w:ascii="Arial" w:hAnsi="Arial" w:cs="Arial"/>
          <w:color w:val="000000" w:themeColor="text1"/>
          <w:sz w:val="20"/>
          <w:szCs w:val="20"/>
        </w:rPr>
        <w:instrText>ADDIN CSL_CITATION {"citationItems":[{"id":"ITEM-1","itemData":{"DOI":"10.1177/23333936211005475","ISSN":"2333-3936","abstract":"Despite four decades of resilience research, resilience remains a poor fit for practice as a scientific construct. Using the literature, we explored the concepts attributed to the development of resilience, identifying those that mitigate symptoms of distress caused by adversity and facilitate coping in seven classes of illness: transplants, cancer, mental illness, episodic illness, chronic and painful illness, unexpected events, and illness within a dyadic relationship. We identified protective, compensatory, and challenge-related coping-concept strategies that healthcare workers and patients use during the adversity experience. Healthcare-worker assessment and selection of appropriate coping concepts enable the individual to control their distress, resulting in attainment of equanimity and the state of resilience, permitting the resilient individual to work toward recovery, recalibration, and readjustment. We inductively developed and linked these conceptual components into a dynamic framework, The Resilience Framework for Nursing and Healthcare, making it widely applicable for healthcare across a variety of patients.","author":[{"dropping-particle":"","family":"Morse","given":"Janice M.","non-dropping-particle":"","parse-names":false,"suffix":""},{"dropping-particle":"","family":"Kent-Marvick","given":"Jacqueline","non-dropping-particle":"","parse-names":false,"suffix":""},{"dropping-particle":"","family":"Barry","given":"Lisa A.","non-dropping-particle":"","parse-names":false,"suffix":""},{"dropping-particle":"","family":"Harvey","given":"Jennifer","non-dropping-particle":"","parse-names":false,"suffix":""},{"dropping-particle":"","family":"Okang","given":"Esther Narkie","non-dropping-particle":"","parse-names":false,"suffix":""},{"dropping-particle":"","family":"Rudd","given":"Elizabeth A.","non-dropping-particle":"","parse-names":false,"suffix":""},{"dropping-particle":"","family":"Wang","given":"Ching-Yu","non-dropping-particle":"","parse-names":false,"suffix":""},{"dropping-particle":"","family":"Williams","given":"Marcia R.","non-dropping-particle":"","parse-names":false,"suffix":""}],"container-title":"Global Qualitative Nursing Research","id":"ITEM-1","issued":{"date-parts":[["2021","1","31"]]},"title":"Developing the Resilience Framework for Nursing and Healthcare","type":"article-journal","volume":"8"},"uris":["http://www.mendeley.com/documents/?uuid=14760c30-f0ec-4784-9301-c552bb6fdcd3"]}],"mendeley":{"formattedCitation":"(Morse et al., 2021)","plainTextFormattedCitation":"(Morse et al., 2021)","previouslyFormattedCitation":"(Morse et al., 2021)"},"properties":{"noteIndex":0},"schema":"https://github.com/citation-style-language/schema/raw/master/csl-citation.json"}</w:instrText>
      </w:r>
      <w:r w:rsidR="00F65087" w:rsidRPr="00BC64FA">
        <w:rPr>
          <w:rFonts w:ascii="Arial" w:hAnsi="Arial" w:cs="Arial"/>
          <w:color w:val="000000" w:themeColor="text1"/>
          <w:sz w:val="20"/>
          <w:szCs w:val="20"/>
        </w:rPr>
        <w:fldChar w:fldCharType="separate"/>
      </w:r>
      <w:r w:rsidR="00F65087" w:rsidRPr="00BC64FA">
        <w:rPr>
          <w:rFonts w:ascii="Arial" w:hAnsi="Arial" w:cs="Arial"/>
          <w:noProof/>
          <w:color w:val="000000" w:themeColor="text1"/>
          <w:sz w:val="20"/>
          <w:szCs w:val="20"/>
        </w:rPr>
        <w:t>(Morse et al., 2021)</w:t>
      </w:r>
      <w:r w:rsidR="00F65087"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w:t>
      </w:r>
    </w:p>
    <w:p w14:paraId="2738AD67" w14:textId="1DF95D8D" w:rsidR="0024540E" w:rsidRPr="00BC64FA" w:rsidRDefault="0024540E" w:rsidP="00663668">
      <w:pPr>
        <w:rPr>
          <w:rFonts w:ascii="Arial" w:hAnsi="Arial" w:cs="Arial"/>
          <w:b/>
          <w:sz w:val="20"/>
          <w:szCs w:val="20"/>
        </w:rPr>
      </w:pPr>
      <w:r w:rsidRPr="00BC64FA">
        <w:rPr>
          <w:rFonts w:ascii="Arial" w:hAnsi="Arial" w:cs="Arial"/>
          <w:sz w:val="20"/>
          <w:szCs w:val="20"/>
        </w:rPr>
        <w:t>Core Components Resilience:</w:t>
      </w:r>
    </w:p>
    <w:p w14:paraId="44611D9D" w14:textId="77777777" w:rsidR="0024540E" w:rsidRPr="00BC64FA" w:rsidRDefault="0024540E" w:rsidP="00156506">
      <w:pPr>
        <w:pStyle w:val="ListParagraph"/>
        <w:numPr>
          <w:ilvl w:val="0"/>
          <w:numId w:val="14"/>
        </w:numPr>
        <w:spacing w:before="120" w:after="120"/>
        <w:ind w:left="360"/>
        <w:rPr>
          <w:rFonts w:ascii="Arial" w:hAnsi="Arial" w:cs="Arial"/>
          <w:color w:val="000000" w:themeColor="text1"/>
          <w:sz w:val="20"/>
          <w:szCs w:val="20"/>
        </w:rPr>
      </w:pPr>
      <w:r w:rsidRPr="00BC64FA">
        <w:rPr>
          <w:rFonts w:ascii="Arial" w:hAnsi="Arial" w:cs="Arial"/>
          <w:color w:val="000000" w:themeColor="text1"/>
          <w:sz w:val="20"/>
          <w:szCs w:val="20"/>
        </w:rPr>
        <w:t>Protective Strategies: Actions that shield nurses from stress, such as mindfulness, hydration, and peer support.</w:t>
      </w:r>
    </w:p>
    <w:p w14:paraId="5CB9D7AA" w14:textId="32CE6385" w:rsidR="0024540E" w:rsidRPr="00BC64FA" w:rsidRDefault="0024540E" w:rsidP="00156506">
      <w:pPr>
        <w:pStyle w:val="ListParagraph"/>
        <w:numPr>
          <w:ilvl w:val="0"/>
          <w:numId w:val="14"/>
        </w:numPr>
        <w:spacing w:before="120" w:after="120"/>
        <w:ind w:left="360"/>
        <w:rPr>
          <w:rFonts w:ascii="Arial" w:hAnsi="Arial" w:cs="Arial"/>
          <w:color w:val="000000" w:themeColor="text1"/>
          <w:sz w:val="20"/>
          <w:szCs w:val="20"/>
        </w:rPr>
      </w:pPr>
      <w:r w:rsidRPr="00BC64FA">
        <w:rPr>
          <w:rFonts w:ascii="Arial" w:hAnsi="Arial" w:cs="Arial"/>
          <w:color w:val="000000" w:themeColor="text1"/>
          <w:sz w:val="20"/>
          <w:szCs w:val="20"/>
        </w:rPr>
        <w:t xml:space="preserve">Compensatory Strategies: Adjustments that help maintain performance under strain, like task delegation and structured communication (SBAR, </w:t>
      </w:r>
      <w:r w:rsidR="006D50E0" w:rsidRPr="00BC64FA">
        <w:rPr>
          <w:rFonts w:ascii="Arial" w:hAnsi="Arial" w:cs="Arial"/>
          <w:color w:val="000000" w:themeColor="text1"/>
          <w:sz w:val="20"/>
          <w:szCs w:val="20"/>
        </w:rPr>
        <w:t>closed loop</w:t>
      </w:r>
      <w:r w:rsidRPr="00BC64FA">
        <w:rPr>
          <w:rFonts w:ascii="Arial" w:hAnsi="Arial" w:cs="Arial"/>
          <w:color w:val="000000" w:themeColor="text1"/>
          <w:sz w:val="20"/>
          <w:szCs w:val="20"/>
        </w:rPr>
        <w:t>).</w:t>
      </w:r>
    </w:p>
    <w:p w14:paraId="60938779" w14:textId="77777777" w:rsidR="0024540E" w:rsidRPr="00BC64FA" w:rsidRDefault="0024540E" w:rsidP="00156506">
      <w:pPr>
        <w:pStyle w:val="ListParagraph"/>
        <w:numPr>
          <w:ilvl w:val="0"/>
          <w:numId w:val="14"/>
        </w:numPr>
        <w:spacing w:before="120" w:after="120"/>
        <w:ind w:left="360"/>
        <w:rPr>
          <w:rFonts w:ascii="Arial" w:hAnsi="Arial" w:cs="Arial"/>
          <w:color w:val="000000" w:themeColor="text1"/>
          <w:sz w:val="20"/>
          <w:szCs w:val="20"/>
        </w:rPr>
      </w:pPr>
      <w:r w:rsidRPr="00BC64FA">
        <w:rPr>
          <w:rFonts w:ascii="Arial" w:hAnsi="Arial" w:cs="Arial"/>
          <w:color w:val="000000" w:themeColor="text1"/>
          <w:sz w:val="20"/>
          <w:szCs w:val="20"/>
        </w:rPr>
        <w:t>Challenge-Related Strategies: Proactive behaviors that turn adversity into growth opportunities, such as participating in simulation drills or learning from critical incidents.</w:t>
      </w:r>
    </w:p>
    <w:p w14:paraId="16C10A52" w14:textId="31B71426" w:rsidR="0024540E" w:rsidRPr="00BC64FA" w:rsidRDefault="0024540E"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Goal Resilience: To achieve equanimity (emotional balance) and recovery, enabling nurses to continue providing safe, effective care despite high-pressure conditions.</w:t>
      </w:r>
    </w:p>
    <w:p w14:paraId="1751B367" w14:textId="4981954A" w:rsidR="0024540E" w:rsidRPr="00BC64FA" w:rsidRDefault="00663668" w:rsidP="00164454">
      <w:pPr>
        <w:pStyle w:val="Heading2"/>
        <w:spacing w:before="120" w:after="120"/>
        <w:rPr>
          <w:rFonts w:ascii="Arial" w:hAnsi="Arial" w:cs="Arial"/>
          <w:bCs/>
          <w:color w:val="000000" w:themeColor="text1"/>
          <w:sz w:val="20"/>
          <w:szCs w:val="20"/>
        </w:rPr>
      </w:pPr>
      <w:r w:rsidRPr="00BC64FA">
        <w:rPr>
          <w:rFonts w:ascii="Arial" w:hAnsi="Arial" w:cs="Arial"/>
          <w:bCs/>
          <w:color w:val="000000" w:themeColor="text1"/>
          <w:sz w:val="20"/>
          <w:szCs w:val="20"/>
        </w:rPr>
        <w:t>2.</w:t>
      </w:r>
      <w:r w:rsidR="0024540E" w:rsidRPr="00BC64FA">
        <w:rPr>
          <w:rFonts w:ascii="Arial" w:hAnsi="Arial" w:cs="Arial"/>
          <w:bCs/>
          <w:color w:val="000000" w:themeColor="text1"/>
          <w:sz w:val="20"/>
          <w:szCs w:val="20"/>
        </w:rPr>
        <w:t>2. Middle-Range Theory of Resilience</w:t>
      </w:r>
    </w:p>
    <w:p w14:paraId="39DA1C0E" w14:textId="77A8A4C3" w:rsidR="0024540E" w:rsidRPr="00BC64FA" w:rsidRDefault="0024540E" w:rsidP="00663668">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Polk (1997) conceptualizes resilience as a multidimensional construct that enables individuals to adapt positively to stress and adversity. It is not a single trait but a combination of patterns that interact to support coping and recovery</w:t>
      </w:r>
      <w:r w:rsidR="009E03C3" w:rsidRPr="00BC64FA">
        <w:rPr>
          <w:rFonts w:ascii="Arial" w:hAnsi="Arial" w:cs="Arial"/>
          <w:color w:val="000000" w:themeColor="text1"/>
          <w:sz w:val="20"/>
          <w:szCs w:val="20"/>
        </w:rPr>
        <w:t xml:space="preserve"> </w:t>
      </w:r>
      <w:r w:rsidR="009E03C3" w:rsidRPr="00BC64FA">
        <w:rPr>
          <w:rFonts w:ascii="Arial" w:hAnsi="Arial" w:cs="Arial"/>
          <w:color w:val="000000" w:themeColor="text1"/>
          <w:sz w:val="20"/>
          <w:szCs w:val="20"/>
        </w:rPr>
        <w:fldChar w:fldCharType="begin" w:fldLock="1"/>
      </w:r>
      <w:r w:rsidR="009E03C3" w:rsidRPr="00BC64FA">
        <w:rPr>
          <w:rFonts w:ascii="Arial" w:hAnsi="Arial" w:cs="Arial"/>
          <w:color w:val="000000" w:themeColor="text1"/>
          <w:sz w:val="20"/>
          <w:szCs w:val="20"/>
        </w:rPr>
        <w:instrText>ADDIN CSL_CITATION {"citationItems":[{"id":"ITEM-1","itemData":{"DOI":"10.1097/00012272-199703000-00002","ISSN":"0161-9268","abstract":"The ability to transform disaster into a growth experience and move forward defines the concept of resilience. Nursing is concerned with individuals in this process of moving through adversity and with its own contribution to that process. However, when one examines the literature on resilience for insight into its nature, inconsistencies emerge, suggesting that further theoretical delineation of the concept is needed. This article reports a concept synthesis of resilience undertaken to clarify this confusion. A model, disclosed through the literature, postulates resilience as a four-dimensional construct with the simultaneity paradigm of nursing science.","author":[{"dropping-particle":"V.","family":"Polk","given":"Laura","non-dropping-particle":"","parse-names":false,"suffix":""}],"container-title":"Advances in Nursing Science","id":"ITEM-1","issue":"3","issued":{"date-parts":[["1997","3"]]},"page":"1-13","title":"Toward a Middle-Range Theory of Resilience","type":"article-journal","volume":"19"},"uris":["http://www.mendeley.com/documents/?uuid=4817acb1-daf4-4216-b0c9-c815b8c41756"]}],"mendeley":{"formattedCitation":"(Polk, 1997)","plainTextFormattedCitation":"(Polk, 1997)","previouslyFormattedCitation":"(Polk, 1997)"},"properties":{"noteIndex":0},"schema":"https://github.com/citation-style-language/schema/raw/master/csl-citation.json"}</w:instrText>
      </w:r>
      <w:r w:rsidR="009E03C3" w:rsidRPr="00BC64FA">
        <w:rPr>
          <w:rFonts w:ascii="Arial" w:hAnsi="Arial" w:cs="Arial"/>
          <w:color w:val="000000" w:themeColor="text1"/>
          <w:sz w:val="20"/>
          <w:szCs w:val="20"/>
        </w:rPr>
        <w:fldChar w:fldCharType="separate"/>
      </w:r>
      <w:r w:rsidR="009E03C3" w:rsidRPr="00BC64FA">
        <w:rPr>
          <w:rFonts w:ascii="Arial" w:hAnsi="Arial" w:cs="Arial"/>
          <w:noProof/>
          <w:color w:val="000000" w:themeColor="text1"/>
          <w:sz w:val="20"/>
          <w:szCs w:val="20"/>
        </w:rPr>
        <w:t>(Polk, 1997)</w:t>
      </w:r>
      <w:r w:rsidR="009E03C3"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w:t>
      </w:r>
    </w:p>
    <w:p w14:paraId="7F731987" w14:textId="77777777" w:rsidR="0024540E" w:rsidRPr="00BC64FA" w:rsidRDefault="0024540E" w:rsidP="00663668">
      <w:pPr>
        <w:rPr>
          <w:rFonts w:ascii="Arial" w:hAnsi="Arial" w:cs="Arial"/>
          <w:b/>
          <w:sz w:val="20"/>
          <w:szCs w:val="20"/>
        </w:rPr>
      </w:pPr>
      <w:r w:rsidRPr="00BC64FA">
        <w:rPr>
          <w:rFonts w:ascii="Arial" w:hAnsi="Arial" w:cs="Arial"/>
          <w:sz w:val="20"/>
          <w:szCs w:val="20"/>
        </w:rPr>
        <w:t>Four Core Patterns:</w:t>
      </w:r>
    </w:p>
    <w:p w14:paraId="7DA74514" w14:textId="77777777" w:rsidR="0024540E" w:rsidRPr="00BC64FA" w:rsidRDefault="0024540E" w:rsidP="00156506">
      <w:pPr>
        <w:pStyle w:val="ListParagraph"/>
        <w:numPr>
          <w:ilvl w:val="0"/>
          <w:numId w:val="15"/>
        </w:num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Dispositional Pattern</w:t>
      </w:r>
    </w:p>
    <w:p w14:paraId="6F7C2F72" w14:textId="2926015D" w:rsidR="0024540E" w:rsidRPr="00BC64FA" w:rsidRDefault="00BC64FA" w:rsidP="00BC64FA">
      <w:pPr>
        <w:spacing w:before="120" w:after="120"/>
        <w:ind w:left="360"/>
        <w:jc w:val="both"/>
        <w:rPr>
          <w:rFonts w:ascii="Arial" w:hAnsi="Arial" w:cs="Arial"/>
          <w:color w:val="000000" w:themeColor="text1"/>
          <w:sz w:val="20"/>
          <w:szCs w:val="20"/>
        </w:rPr>
      </w:pPr>
      <w:r w:rsidRPr="00BC64FA">
        <w:rPr>
          <w:rFonts w:ascii="Arial" w:hAnsi="Arial" w:cs="Arial"/>
          <w:color w:val="000000" w:themeColor="text1"/>
          <w:sz w:val="20"/>
          <w:szCs w:val="20"/>
        </w:rPr>
        <w:t>Referring</w:t>
      </w:r>
      <w:r w:rsidR="0024540E" w:rsidRPr="00BC64FA">
        <w:rPr>
          <w:rFonts w:ascii="Arial" w:hAnsi="Arial" w:cs="Arial"/>
          <w:color w:val="000000" w:themeColor="text1"/>
          <w:sz w:val="20"/>
          <w:szCs w:val="20"/>
        </w:rPr>
        <w:t xml:space="preserve"> to personal characteristics such as optimism, self-efficacy, and physical health that influence resilience. Example in nursing: A nurse’s confidence in clinical skills during emergencies.</w:t>
      </w:r>
    </w:p>
    <w:p w14:paraId="0A350A46" w14:textId="77777777" w:rsidR="0024540E" w:rsidRPr="00BC64FA" w:rsidRDefault="0024540E" w:rsidP="00156506">
      <w:pPr>
        <w:pStyle w:val="ListParagraph"/>
        <w:numPr>
          <w:ilvl w:val="0"/>
          <w:numId w:val="15"/>
        </w:num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Relational Pattern</w:t>
      </w:r>
    </w:p>
    <w:p w14:paraId="071050F5" w14:textId="3B436913" w:rsidR="0024540E" w:rsidRPr="00BC64FA" w:rsidRDefault="0024540E" w:rsidP="00164454">
      <w:pPr>
        <w:spacing w:before="120" w:after="120"/>
        <w:ind w:left="360"/>
        <w:rPr>
          <w:rFonts w:ascii="Arial" w:hAnsi="Arial" w:cs="Arial"/>
          <w:color w:val="000000" w:themeColor="text1"/>
          <w:sz w:val="20"/>
          <w:szCs w:val="20"/>
        </w:rPr>
      </w:pPr>
      <w:r w:rsidRPr="00BC64FA">
        <w:rPr>
          <w:rFonts w:ascii="Arial" w:hAnsi="Arial" w:cs="Arial"/>
          <w:color w:val="000000" w:themeColor="text1"/>
          <w:sz w:val="20"/>
          <w:szCs w:val="20"/>
        </w:rPr>
        <w:t>Emphasizes the role of social support and interpersonal relationships in fostering resilience. Example: Peer debriefing, teamwork, and supportive leadership in high-pressure shifts.</w:t>
      </w:r>
    </w:p>
    <w:p w14:paraId="17FE685A" w14:textId="77777777" w:rsidR="0024540E" w:rsidRPr="00BC64FA" w:rsidRDefault="0024540E" w:rsidP="00156506">
      <w:pPr>
        <w:pStyle w:val="ListParagraph"/>
        <w:numPr>
          <w:ilvl w:val="0"/>
          <w:numId w:val="15"/>
        </w:num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Situational Pattern</w:t>
      </w:r>
    </w:p>
    <w:p w14:paraId="17446CE9" w14:textId="1CA55142" w:rsidR="0024540E" w:rsidRPr="00BC64FA" w:rsidRDefault="0024540E" w:rsidP="00164454">
      <w:pPr>
        <w:spacing w:before="120" w:after="120"/>
        <w:ind w:left="360"/>
        <w:rPr>
          <w:rFonts w:ascii="Arial" w:hAnsi="Arial" w:cs="Arial"/>
          <w:color w:val="000000" w:themeColor="text1"/>
          <w:sz w:val="20"/>
          <w:szCs w:val="20"/>
        </w:rPr>
      </w:pPr>
      <w:r w:rsidRPr="00BC64FA">
        <w:rPr>
          <w:rFonts w:ascii="Arial" w:hAnsi="Arial" w:cs="Arial"/>
          <w:color w:val="000000" w:themeColor="text1"/>
          <w:sz w:val="20"/>
          <w:szCs w:val="20"/>
        </w:rPr>
        <w:t>Focuses on the ability to assess and respond to specific stressors effectively. Example: Using SBAR and triage protocols during mass casualty incidents.</w:t>
      </w:r>
    </w:p>
    <w:p w14:paraId="3712E6EF" w14:textId="77777777" w:rsidR="0024540E" w:rsidRPr="00BC64FA" w:rsidRDefault="0024540E" w:rsidP="00156506">
      <w:pPr>
        <w:pStyle w:val="ListParagraph"/>
        <w:numPr>
          <w:ilvl w:val="0"/>
          <w:numId w:val="15"/>
        </w:num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Philosophical Pattern</w:t>
      </w:r>
    </w:p>
    <w:p w14:paraId="7FD46D83" w14:textId="5D0EAA18" w:rsidR="0024540E" w:rsidRPr="00BC64FA" w:rsidRDefault="0024540E" w:rsidP="00164454">
      <w:pPr>
        <w:spacing w:before="120" w:after="120"/>
        <w:ind w:left="360"/>
        <w:rPr>
          <w:rFonts w:ascii="Arial" w:hAnsi="Arial" w:cs="Arial"/>
          <w:color w:val="000000" w:themeColor="text1"/>
          <w:sz w:val="20"/>
          <w:szCs w:val="20"/>
        </w:rPr>
      </w:pPr>
      <w:r w:rsidRPr="00BC64FA">
        <w:rPr>
          <w:rFonts w:ascii="Arial" w:hAnsi="Arial" w:cs="Arial"/>
          <w:color w:val="000000" w:themeColor="text1"/>
          <w:sz w:val="20"/>
          <w:szCs w:val="20"/>
        </w:rPr>
        <w:lastRenderedPageBreak/>
        <w:t>Involves personal beliefs, values, and meaning-making that help individuals maintain purpose during adversity. Example: Nurses finding meaning in patient care and gratitude practices after difficult cases.</w:t>
      </w:r>
    </w:p>
    <w:p w14:paraId="137A48E2" w14:textId="06D43346" w:rsidR="0024540E" w:rsidRPr="00BC64FA" w:rsidRDefault="0024540E" w:rsidP="00164454">
      <w:pPr>
        <w:spacing w:before="120" w:after="120"/>
        <w:ind w:left="360"/>
        <w:jc w:val="both"/>
        <w:rPr>
          <w:rFonts w:ascii="Arial" w:hAnsi="Arial" w:cs="Arial"/>
          <w:color w:val="000000" w:themeColor="text1"/>
          <w:sz w:val="20"/>
          <w:szCs w:val="20"/>
        </w:rPr>
      </w:pPr>
      <w:r w:rsidRPr="00BC64FA">
        <w:rPr>
          <w:rFonts w:ascii="Arial" w:hAnsi="Arial" w:cs="Arial"/>
          <w:color w:val="000000" w:themeColor="text1"/>
          <w:sz w:val="20"/>
          <w:szCs w:val="20"/>
        </w:rPr>
        <w:t>Goal:</w:t>
      </w:r>
      <w:r w:rsidR="009E03C3"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To understand resilience as a holistic, adaptive process influenced by internal traits, external relationships, situational responses, and personal values.</w:t>
      </w:r>
    </w:p>
    <w:p w14:paraId="004CA666" w14:textId="0B3A0EE7" w:rsidR="0024540E" w:rsidRPr="00BC64FA" w:rsidRDefault="00663668" w:rsidP="00164454">
      <w:pPr>
        <w:pStyle w:val="Heading2"/>
        <w:spacing w:before="120" w:after="120"/>
        <w:rPr>
          <w:rFonts w:ascii="Arial" w:hAnsi="Arial" w:cs="Arial"/>
          <w:bCs/>
          <w:color w:val="000000" w:themeColor="text1"/>
          <w:sz w:val="20"/>
          <w:szCs w:val="20"/>
        </w:rPr>
      </w:pPr>
      <w:r w:rsidRPr="00BC64FA">
        <w:rPr>
          <w:rFonts w:ascii="Arial" w:hAnsi="Arial" w:cs="Arial"/>
          <w:bCs/>
          <w:color w:val="000000" w:themeColor="text1"/>
          <w:sz w:val="20"/>
          <w:szCs w:val="20"/>
        </w:rPr>
        <w:t>2.</w:t>
      </w:r>
      <w:r w:rsidR="0024540E" w:rsidRPr="00BC64FA">
        <w:rPr>
          <w:rFonts w:ascii="Arial" w:hAnsi="Arial" w:cs="Arial"/>
          <w:bCs/>
          <w:color w:val="000000" w:themeColor="text1"/>
          <w:sz w:val="20"/>
          <w:szCs w:val="20"/>
        </w:rPr>
        <w:t>3. Society-to-Cells Nursing Theory</w:t>
      </w:r>
    </w:p>
    <w:p w14:paraId="3DB334DE" w14:textId="3CFF85B4" w:rsidR="00D8506C" w:rsidRPr="00BC64FA" w:rsidRDefault="00D8506C"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This is a holistic nursing theory that emphasizes resilience as a potential existing at multiple levels of human experience—from society to community, family, and individual—affecting both psychological and physiological coping mechanisms</w:t>
      </w:r>
      <w:r w:rsidR="009E03C3" w:rsidRPr="00BC64FA">
        <w:rPr>
          <w:rFonts w:ascii="Arial" w:hAnsi="Arial" w:cs="Arial"/>
          <w:color w:val="000000" w:themeColor="text1"/>
          <w:sz w:val="20"/>
          <w:szCs w:val="20"/>
        </w:rPr>
        <w:t xml:space="preserve"> </w:t>
      </w:r>
      <w:r w:rsidR="009E03C3" w:rsidRPr="00BC64FA">
        <w:rPr>
          <w:rFonts w:ascii="Arial" w:hAnsi="Arial" w:cs="Arial"/>
          <w:color w:val="000000" w:themeColor="text1"/>
          <w:sz w:val="20"/>
          <w:szCs w:val="20"/>
        </w:rPr>
        <w:fldChar w:fldCharType="begin" w:fldLock="1"/>
      </w:r>
      <w:r w:rsidR="002805DA" w:rsidRPr="00BC64FA">
        <w:rPr>
          <w:rFonts w:ascii="Arial" w:hAnsi="Arial" w:cs="Arial"/>
          <w:color w:val="000000" w:themeColor="text1"/>
          <w:sz w:val="20"/>
          <w:szCs w:val="20"/>
        </w:rPr>
        <w:instrText>ADDIN CSL_CITATION {"citationItems":[{"id":"ITEM-1","itemData":{"DOI":"10.1097/ANS.0b013e3181fb2ea2","ISSN":"0161-9268","abstract":"The resilience potential of each human being is an essential focus of nursing care and research. An honored nursing tradition is viewing each patient in the context of family and culture and recognizing how these factors affect a patient's health and ability to be resilient. We present a society-to-cells nursing theory that formalizes and extends this holistic view of patients by delineating factors that contribute to resilience potential based on the society, community, and family environment in which people live, as well as individual variables that influence psychological, physiological, and cellular coping abilities. We also summarize how this perspective is essential to optimize patient care and to inform future nursing research. Copyright © 2010 Lippincott Williams &amp; Wilkins.","author":[{"dropping-particle":"","family":"Szanton","given":"Sarah L.","non-dropping-particle":"","parse-names":false,"suffix":""},{"dropping-particle":"","family":"Gill","given":"Jessica M.","non-dropping-particle":"","parse-names":false,"suffix":""}],"container-title":"Advances in Nursing Science","id":"ITEM-1","issue":"4","issued":{"date-parts":[["2010","10"]]},"page":"329-343","title":"Facilitating Resilience Using a Society-to-Cells Framework","type":"article-journal","volume":"33"},"uris":["http://www.mendeley.com/documents/?uuid=48afb7ec-f00b-49ee-8998-97361dd3d79d"]}],"mendeley":{"formattedCitation":"(Szanton &amp; Gill, 2010)","plainTextFormattedCitation":"(Szanton &amp; Gill, 2010)","previouslyFormattedCitation":"(Szanton &amp; Gill, 2010)"},"properties":{"noteIndex":0},"schema":"https://github.com/citation-style-language/schema/raw/master/csl-citation.json"}</w:instrText>
      </w:r>
      <w:r w:rsidR="009E03C3" w:rsidRPr="00BC64FA">
        <w:rPr>
          <w:rFonts w:ascii="Arial" w:hAnsi="Arial" w:cs="Arial"/>
          <w:color w:val="000000" w:themeColor="text1"/>
          <w:sz w:val="20"/>
          <w:szCs w:val="20"/>
        </w:rPr>
        <w:fldChar w:fldCharType="separate"/>
      </w:r>
      <w:r w:rsidR="009E03C3" w:rsidRPr="00BC64FA">
        <w:rPr>
          <w:rFonts w:ascii="Arial" w:hAnsi="Arial" w:cs="Arial"/>
          <w:noProof/>
          <w:color w:val="000000" w:themeColor="text1"/>
          <w:sz w:val="20"/>
          <w:szCs w:val="20"/>
        </w:rPr>
        <w:t>(Szanton &amp; Gill, 2010)</w:t>
      </w:r>
      <w:r w:rsidR="009E03C3"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w:t>
      </w:r>
    </w:p>
    <w:p w14:paraId="1F0001D1" w14:textId="77777777" w:rsidR="00D8506C" w:rsidRPr="00BC64FA" w:rsidRDefault="00D8506C" w:rsidP="00663668">
      <w:pPr>
        <w:rPr>
          <w:rFonts w:ascii="Arial" w:hAnsi="Arial" w:cs="Arial"/>
          <w:b/>
          <w:sz w:val="20"/>
          <w:szCs w:val="20"/>
        </w:rPr>
      </w:pPr>
      <w:r w:rsidRPr="00BC64FA">
        <w:rPr>
          <w:rFonts w:ascii="Arial" w:hAnsi="Arial" w:cs="Arial"/>
          <w:sz w:val="20"/>
          <w:szCs w:val="20"/>
        </w:rPr>
        <w:t>Core Idea:</w:t>
      </w:r>
    </w:p>
    <w:p w14:paraId="5E52683F" w14:textId="77777777" w:rsidR="00D8506C" w:rsidRPr="00BC64FA" w:rsidRDefault="00D8506C" w:rsidP="00156506">
      <w:pPr>
        <w:numPr>
          <w:ilvl w:val="0"/>
          <w:numId w:val="16"/>
        </w:numPr>
        <w:tabs>
          <w:tab w:val="clear" w:pos="720"/>
          <w:tab w:val="num" w:pos="360"/>
        </w:tabs>
        <w:spacing w:before="120" w:after="120"/>
        <w:ind w:left="360"/>
        <w:rPr>
          <w:rFonts w:ascii="Arial" w:hAnsi="Arial" w:cs="Arial"/>
          <w:color w:val="000000" w:themeColor="text1"/>
          <w:sz w:val="20"/>
          <w:szCs w:val="20"/>
        </w:rPr>
      </w:pPr>
      <w:r w:rsidRPr="00BC64FA">
        <w:rPr>
          <w:rFonts w:ascii="Arial" w:hAnsi="Arial" w:cs="Arial"/>
          <w:color w:val="000000" w:themeColor="text1"/>
          <w:sz w:val="20"/>
          <w:szCs w:val="20"/>
        </w:rPr>
        <w:t>Resilience is not isolated to the individual; it is shaped by social determinants, community resources, family support, and personal factors.</w:t>
      </w:r>
    </w:p>
    <w:p w14:paraId="1A761101" w14:textId="77777777" w:rsidR="00D8506C" w:rsidRPr="00BC64FA" w:rsidRDefault="00D8506C" w:rsidP="00156506">
      <w:pPr>
        <w:numPr>
          <w:ilvl w:val="0"/>
          <w:numId w:val="16"/>
        </w:numPr>
        <w:tabs>
          <w:tab w:val="clear" w:pos="720"/>
          <w:tab w:val="num" w:pos="360"/>
        </w:tabs>
        <w:spacing w:before="120" w:after="120"/>
        <w:ind w:left="360"/>
        <w:rPr>
          <w:rFonts w:ascii="Arial" w:hAnsi="Arial" w:cs="Arial"/>
          <w:color w:val="000000" w:themeColor="text1"/>
          <w:sz w:val="20"/>
          <w:szCs w:val="20"/>
        </w:rPr>
      </w:pPr>
      <w:r w:rsidRPr="00BC64FA">
        <w:rPr>
          <w:rFonts w:ascii="Arial" w:hAnsi="Arial" w:cs="Arial"/>
          <w:color w:val="000000" w:themeColor="text1"/>
          <w:sz w:val="20"/>
          <w:szCs w:val="20"/>
        </w:rPr>
        <w:t>Stress and recovery occur within a nested system, where each level influences the other.</w:t>
      </w:r>
    </w:p>
    <w:p w14:paraId="3E771E38" w14:textId="77777777" w:rsidR="00D8506C" w:rsidRPr="00BC64FA" w:rsidRDefault="00D8506C" w:rsidP="00663668">
      <w:pPr>
        <w:rPr>
          <w:rFonts w:ascii="Arial" w:hAnsi="Arial" w:cs="Arial"/>
          <w:b/>
          <w:sz w:val="20"/>
          <w:szCs w:val="20"/>
        </w:rPr>
      </w:pPr>
      <w:r w:rsidRPr="00BC64FA">
        <w:rPr>
          <w:rFonts w:ascii="Arial" w:hAnsi="Arial" w:cs="Arial"/>
          <w:sz w:val="20"/>
          <w:szCs w:val="20"/>
        </w:rPr>
        <w:t>Levels of Influence:</w:t>
      </w:r>
    </w:p>
    <w:p w14:paraId="7ACF0F6D" w14:textId="77777777" w:rsidR="00D8506C" w:rsidRPr="00BC64FA" w:rsidRDefault="00D8506C" w:rsidP="00156506">
      <w:pPr>
        <w:numPr>
          <w:ilvl w:val="0"/>
          <w:numId w:val="17"/>
        </w:numPr>
        <w:tabs>
          <w:tab w:val="clear" w:pos="720"/>
          <w:tab w:val="num" w:pos="360"/>
        </w:tabs>
        <w:spacing w:before="120" w:after="120"/>
        <w:ind w:left="360"/>
        <w:rPr>
          <w:rFonts w:ascii="Arial" w:hAnsi="Arial" w:cs="Arial"/>
          <w:color w:val="000000" w:themeColor="text1"/>
          <w:sz w:val="20"/>
          <w:szCs w:val="20"/>
        </w:rPr>
      </w:pPr>
      <w:r w:rsidRPr="00BC64FA">
        <w:rPr>
          <w:rFonts w:ascii="Arial" w:hAnsi="Arial" w:cs="Arial"/>
          <w:color w:val="000000" w:themeColor="text1"/>
          <w:sz w:val="20"/>
          <w:szCs w:val="20"/>
        </w:rPr>
        <w:t>Society: Policies, healthcare systems, cultural norms that enable or hinder resilience.</w:t>
      </w:r>
    </w:p>
    <w:p w14:paraId="748FB491" w14:textId="77777777" w:rsidR="00D8506C" w:rsidRPr="00BC64FA" w:rsidRDefault="00D8506C" w:rsidP="00156506">
      <w:pPr>
        <w:numPr>
          <w:ilvl w:val="0"/>
          <w:numId w:val="17"/>
        </w:numPr>
        <w:tabs>
          <w:tab w:val="clear" w:pos="720"/>
          <w:tab w:val="num" w:pos="360"/>
        </w:tabs>
        <w:spacing w:before="120" w:after="120"/>
        <w:ind w:left="360"/>
        <w:rPr>
          <w:rFonts w:ascii="Arial" w:hAnsi="Arial" w:cs="Arial"/>
          <w:color w:val="000000" w:themeColor="text1"/>
          <w:sz w:val="20"/>
          <w:szCs w:val="20"/>
        </w:rPr>
      </w:pPr>
      <w:r w:rsidRPr="00BC64FA">
        <w:rPr>
          <w:rFonts w:ascii="Arial" w:hAnsi="Arial" w:cs="Arial"/>
          <w:color w:val="000000" w:themeColor="text1"/>
          <w:sz w:val="20"/>
          <w:szCs w:val="20"/>
        </w:rPr>
        <w:t>Community: Local networks, peer support, and organizational culture.</w:t>
      </w:r>
    </w:p>
    <w:p w14:paraId="480F1523" w14:textId="77777777" w:rsidR="00D8506C" w:rsidRPr="00BC64FA" w:rsidRDefault="00D8506C" w:rsidP="00156506">
      <w:pPr>
        <w:numPr>
          <w:ilvl w:val="0"/>
          <w:numId w:val="17"/>
        </w:numPr>
        <w:tabs>
          <w:tab w:val="clear" w:pos="720"/>
          <w:tab w:val="num" w:pos="360"/>
        </w:tabs>
        <w:spacing w:before="120" w:after="120"/>
        <w:ind w:left="360"/>
        <w:rPr>
          <w:rFonts w:ascii="Arial" w:hAnsi="Arial" w:cs="Arial"/>
          <w:color w:val="000000" w:themeColor="text1"/>
          <w:sz w:val="20"/>
          <w:szCs w:val="20"/>
        </w:rPr>
      </w:pPr>
      <w:r w:rsidRPr="00BC64FA">
        <w:rPr>
          <w:rFonts w:ascii="Arial" w:hAnsi="Arial" w:cs="Arial"/>
          <w:color w:val="000000" w:themeColor="text1"/>
          <w:sz w:val="20"/>
          <w:szCs w:val="20"/>
        </w:rPr>
        <w:t>Family: Emotional and practical support during crises.</w:t>
      </w:r>
    </w:p>
    <w:p w14:paraId="05AAC04D" w14:textId="77777777" w:rsidR="00D8506C" w:rsidRPr="00BC64FA" w:rsidRDefault="00D8506C" w:rsidP="00156506">
      <w:pPr>
        <w:numPr>
          <w:ilvl w:val="0"/>
          <w:numId w:val="17"/>
        </w:numPr>
        <w:tabs>
          <w:tab w:val="clear" w:pos="720"/>
          <w:tab w:val="num" w:pos="360"/>
        </w:tabs>
        <w:spacing w:before="120" w:after="120"/>
        <w:ind w:left="360"/>
        <w:rPr>
          <w:rFonts w:ascii="Arial" w:hAnsi="Arial" w:cs="Arial"/>
          <w:color w:val="000000" w:themeColor="text1"/>
          <w:sz w:val="20"/>
          <w:szCs w:val="20"/>
        </w:rPr>
      </w:pPr>
      <w:r w:rsidRPr="00BC64FA">
        <w:rPr>
          <w:rFonts w:ascii="Arial" w:hAnsi="Arial" w:cs="Arial"/>
          <w:color w:val="000000" w:themeColor="text1"/>
          <w:sz w:val="20"/>
          <w:szCs w:val="20"/>
        </w:rPr>
        <w:t>Individual: Personal coping strategies, beliefs, and health behaviors.</w:t>
      </w:r>
    </w:p>
    <w:p w14:paraId="02A0029F" w14:textId="0705A717" w:rsidR="00D8506C" w:rsidRPr="00BC64FA" w:rsidRDefault="00D8506C" w:rsidP="00164454">
      <w:pPr>
        <w:spacing w:before="120" w:after="120"/>
        <w:jc w:val="both"/>
        <w:rPr>
          <w:rFonts w:ascii="Arial" w:hAnsi="Arial" w:cs="Arial"/>
          <w:sz w:val="20"/>
          <w:szCs w:val="20"/>
        </w:rPr>
      </w:pPr>
      <w:r w:rsidRPr="00BC64FA">
        <w:rPr>
          <w:rStyle w:val="Heading3Char"/>
          <w:rFonts w:ascii="Arial" w:hAnsi="Arial" w:cs="Arial"/>
          <w:b w:val="0"/>
          <w:bCs/>
          <w:sz w:val="20"/>
          <w:szCs w:val="20"/>
        </w:rPr>
        <w:t>Goal</w:t>
      </w:r>
      <w:r w:rsidRPr="00BC64FA">
        <w:rPr>
          <w:rStyle w:val="Heading3Char"/>
          <w:rFonts w:ascii="Arial" w:hAnsi="Arial" w:cs="Arial"/>
          <w:sz w:val="20"/>
          <w:szCs w:val="20"/>
        </w:rPr>
        <w:t>:</w:t>
      </w:r>
      <w:r w:rsidR="002805DA" w:rsidRPr="00BC64FA">
        <w:rPr>
          <w:rStyle w:val="Heading3Char"/>
          <w:rFonts w:ascii="Arial" w:hAnsi="Arial" w:cs="Arial"/>
          <w:sz w:val="20"/>
          <w:szCs w:val="20"/>
        </w:rPr>
        <w:t xml:space="preserve"> </w:t>
      </w:r>
      <w:r w:rsidRPr="00BC64FA">
        <w:rPr>
          <w:rFonts w:ascii="Arial" w:hAnsi="Arial" w:cs="Arial"/>
          <w:sz w:val="20"/>
          <w:szCs w:val="20"/>
        </w:rPr>
        <w:t>To design interventions that strengthen resilience across all levels, not just at the individual level, ensuring comprehensive support for nurses facing adversity.</w:t>
      </w:r>
    </w:p>
    <w:p w14:paraId="401A3FD9" w14:textId="20DE5820" w:rsidR="0024540E" w:rsidRPr="00BC64FA" w:rsidRDefault="00663668" w:rsidP="00164454">
      <w:pPr>
        <w:pStyle w:val="Heading2"/>
        <w:spacing w:before="120" w:after="120"/>
        <w:rPr>
          <w:rFonts w:ascii="Arial" w:hAnsi="Arial" w:cs="Arial"/>
          <w:bCs/>
          <w:color w:val="000000" w:themeColor="text1"/>
          <w:sz w:val="20"/>
          <w:szCs w:val="20"/>
        </w:rPr>
      </w:pPr>
      <w:r w:rsidRPr="00BC64FA">
        <w:rPr>
          <w:rFonts w:ascii="Arial" w:hAnsi="Arial" w:cs="Arial"/>
          <w:bCs/>
          <w:color w:val="000000" w:themeColor="text1"/>
          <w:sz w:val="20"/>
          <w:szCs w:val="20"/>
        </w:rPr>
        <w:t>2.</w:t>
      </w:r>
      <w:r w:rsidR="0024540E" w:rsidRPr="00BC64FA">
        <w:rPr>
          <w:rFonts w:ascii="Arial" w:hAnsi="Arial" w:cs="Arial"/>
          <w:bCs/>
          <w:color w:val="000000" w:themeColor="text1"/>
          <w:sz w:val="20"/>
          <w:szCs w:val="20"/>
        </w:rPr>
        <w:t>4. Psychological Resilience and Nursing Practice</w:t>
      </w:r>
    </w:p>
    <w:p w14:paraId="1410CFC0" w14:textId="0530F17E" w:rsidR="00D8506C" w:rsidRPr="00BC64FA" w:rsidRDefault="00D8506C"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Psychological resilience refers to a nurse’s ability to adapt positively and recover from stress, adversity, or trauma in the workplace</w:t>
      </w:r>
      <w:r w:rsidR="002805DA" w:rsidRPr="00BC64FA">
        <w:rPr>
          <w:rFonts w:ascii="Arial" w:hAnsi="Arial" w:cs="Arial"/>
          <w:color w:val="000000" w:themeColor="text1"/>
          <w:sz w:val="20"/>
          <w:szCs w:val="20"/>
        </w:rPr>
        <w:t xml:space="preserve"> </w:t>
      </w:r>
      <w:r w:rsidR="002805DA" w:rsidRPr="00BC64FA">
        <w:rPr>
          <w:rFonts w:ascii="Arial" w:hAnsi="Arial" w:cs="Arial"/>
          <w:color w:val="000000" w:themeColor="text1"/>
          <w:sz w:val="20"/>
          <w:szCs w:val="20"/>
        </w:rPr>
        <w:fldChar w:fldCharType="begin" w:fldLock="1"/>
      </w:r>
      <w:r w:rsidR="001A61AD" w:rsidRPr="00BC64FA">
        <w:rPr>
          <w:rFonts w:ascii="Arial" w:hAnsi="Arial" w:cs="Arial"/>
          <w:color w:val="000000" w:themeColor="text1"/>
          <w:sz w:val="20"/>
          <w:szCs w:val="20"/>
        </w:rPr>
        <w:instrText>ADDIN CSL_CITATION {"citationItems":[{"id":"ITEM-1","itemData":{"DOI":"10.3389/fpsyg.2024.1407206","ISSN":"1664-1078","abstract":"Background: This study aims to analyze the relationship between psychological resilience, perceived organizational support, and intention to stay among nurses. Additionally, it explores the mediating role of perceived organizational support in the relationship between psychological resilience and nurses’ intention to stay. Methods: A cross-sectional survey was conducted between August and September 2023, involving 1,402 nurses from five Grade 3A hospitals in Guangdong. The survey utilized several instruments, including the General Information Questionnaire (GIQ), the Chinese version of the Connor-Davidson Resilience Scale (CD-RISC), the Chinese version of the Perceived Organizational Support Scale (POSS), and the Chinese version of the Intention to Stay Scale (ITSS). The obtained data were analyzed using descriptive statistics and Pearson’s correlation coefficient, while the mediating effect of perceived organizational support was assessed using the PROCESS macro mediation model in SPSS. Results: The overall mean score for psychological resilience among nurses in the five Grade 3A hospitals in Guangdong was 60.54 ± 19.17, the overall mean score for perceived organizational support was 45.77 ± 11.49, and the mean score for intention to stay was 20.82 ± 4.65. The results of the statistical analysis revealed positive correlations between psychological resilience and intention to stay (r = 0.388, p &lt; 0.01), between perceived organizational support and psychological resilience (r = 0.570, p &lt; 0.01), and between perceived organizational support and intention to stay (r = 0.550, p &lt; 0.01). Additionally, perceived organizational support was found to mediate the relationship between psychological resilience and intention to stay, with a mediation effect value of 0.067, accounting for 71.28% of the total effect. Conclusion: Psychological resilience of nursing staff directly impacts their intention to stay and indirectly influences their caring behaviors, with perceived organizational support serving as a key mediator in both relationships. Therefore, nursing managers should implement targeted interventions to enhance nurses’ psychological resilience and perceived organizational support. Strengthening these factors can significantly increase nurses’ intention to stay in their jobs, improve the quality of care, and contribute to building a strong and stable nursing workforce.","author":[{"dropping-particle":"","family":"Pu","given":"Jiangfeng","non-dropping-particle":"","parse-names":false,"suffix":""},{"dropping-particle":"","family":"Wang","given":"Waner","non-dropping-particle":"","parse-names":false,"suffix":""},{"dropping-particle":"","family":"Li","given":"Gege","non-dropping-particle":"","parse-names":false,"suffix":""},{"dropping-particle":"","family":"Xie","given":"Zhanghao","non-dropping-particle":"","parse-names":false,"suffix":""},{"dropping-particle":"","family":"Fan","given":"Xuanhao","non-dropping-particle":"","parse-names":false,"suffix":""},{"dropping-particle":"","family":"Zhan","given":"Ningjing","non-dropping-particle":"","parse-names":false,"suffix":""},{"dropping-particle":"","family":"Xu","given":"Yixuan","non-dropping-particle":"","parse-names":false,"suffix":""},{"dropping-particle":"","family":"Huang","given":"Huigen","non-dropping-particle":"","parse-names":false,"suffix":""}],"container-title":"Frontiers in Psychology","id":"ITEM-1","issued":{"date-parts":[["2024","9","26"]]},"title":"Psychological resilience and intention to stay among nurses: the mediating role of perceived organizational support","type":"article-journal","volume":"15"},"uris":["http://www.mendeley.com/documents/?uuid=787777c6-c94d-4004-bd37-5574830d4ad9"]}],"mendeley":{"formattedCitation":"(Pu et al., 2024)","plainTextFormattedCitation":"(Pu et al., 2024)","previouslyFormattedCitation":"(Pu et al., 2024)"},"properties":{"noteIndex":0},"schema":"https://github.com/citation-style-language/schema/raw/master/csl-citation.json"}</w:instrText>
      </w:r>
      <w:r w:rsidR="002805DA" w:rsidRPr="00BC64FA">
        <w:rPr>
          <w:rFonts w:ascii="Arial" w:hAnsi="Arial" w:cs="Arial"/>
          <w:color w:val="000000" w:themeColor="text1"/>
          <w:sz w:val="20"/>
          <w:szCs w:val="20"/>
        </w:rPr>
        <w:fldChar w:fldCharType="separate"/>
      </w:r>
      <w:r w:rsidR="002805DA" w:rsidRPr="00BC64FA">
        <w:rPr>
          <w:rFonts w:ascii="Arial" w:hAnsi="Arial" w:cs="Arial"/>
          <w:noProof/>
          <w:color w:val="000000" w:themeColor="text1"/>
          <w:sz w:val="20"/>
          <w:szCs w:val="20"/>
        </w:rPr>
        <w:t>(Pu et al., 2024)</w:t>
      </w:r>
      <w:r w:rsidR="002805DA"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Research shows that resilience is strongly linked to:</w:t>
      </w:r>
    </w:p>
    <w:p w14:paraId="63FEBD75" w14:textId="77777777" w:rsidR="00D8506C" w:rsidRPr="00BC64FA" w:rsidRDefault="00D8506C" w:rsidP="00156506">
      <w:pPr>
        <w:numPr>
          <w:ilvl w:val="0"/>
          <w:numId w:val="18"/>
        </w:num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Intention to stay in the profession</w:t>
      </w:r>
    </w:p>
    <w:p w14:paraId="3EB720FF" w14:textId="77777777" w:rsidR="00D8506C" w:rsidRPr="00BC64FA" w:rsidRDefault="00D8506C" w:rsidP="00156506">
      <w:pPr>
        <w:numPr>
          <w:ilvl w:val="0"/>
          <w:numId w:val="18"/>
        </w:num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Higher job satisfaction</w:t>
      </w:r>
    </w:p>
    <w:p w14:paraId="1279BB45" w14:textId="77777777" w:rsidR="00D8506C" w:rsidRPr="00BC64FA" w:rsidRDefault="00D8506C" w:rsidP="00156506">
      <w:pPr>
        <w:numPr>
          <w:ilvl w:val="0"/>
          <w:numId w:val="18"/>
        </w:num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Lower burnout and emotional exhaustion</w:t>
      </w:r>
    </w:p>
    <w:p w14:paraId="7C121230" w14:textId="77777777" w:rsidR="00D8506C" w:rsidRPr="00BC64FA" w:rsidRDefault="00D8506C" w:rsidP="00663668">
      <w:pPr>
        <w:rPr>
          <w:rFonts w:ascii="Arial" w:hAnsi="Arial" w:cs="Arial"/>
          <w:b/>
          <w:sz w:val="20"/>
          <w:szCs w:val="20"/>
        </w:rPr>
      </w:pPr>
      <w:r w:rsidRPr="00BC64FA">
        <w:rPr>
          <w:rFonts w:ascii="Arial" w:hAnsi="Arial" w:cs="Arial"/>
          <w:sz w:val="20"/>
          <w:szCs w:val="20"/>
        </w:rPr>
        <w:t>Key Relationship:</w:t>
      </w:r>
    </w:p>
    <w:p w14:paraId="6311F75E" w14:textId="24635954" w:rsidR="00D8506C" w:rsidRPr="00BC64FA" w:rsidRDefault="00D8506C" w:rsidP="00164454">
      <w:pPr>
        <w:spacing w:before="120" w:after="120"/>
        <w:ind w:left="360"/>
        <w:rPr>
          <w:rFonts w:ascii="Arial" w:hAnsi="Arial" w:cs="Arial"/>
          <w:color w:val="000000" w:themeColor="text1"/>
          <w:sz w:val="20"/>
          <w:szCs w:val="20"/>
        </w:rPr>
      </w:pPr>
      <w:r w:rsidRPr="00BC64FA">
        <w:rPr>
          <w:rFonts w:ascii="Arial" w:hAnsi="Arial" w:cs="Arial"/>
          <w:color w:val="000000" w:themeColor="text1"/>
          <w:sz w:val="20"/>
          <w:szCs w:val="20"/>
        </w:rPr>
        <w:t xml:space="preserve">Organizational support acts as a mediator in this relationship. When nurses perceive strong support from their </w:t>
      </w:r>
      <w:r w:rsidR="00BC64FA" w:rsidRPr="00BC64FA">
        <w:rPr>
          <w:rFonts w:ascii="Arial" w:hAnsi="Arial" w:cs="Arial"/>
          <w:color w:val="000000" w:themeColor="text1"/>
          <w:sz w:val="20"/>
          <w:szCs w:val="20"/>
        </w:rPr>
        <w:t xml:space="preserve">organizations </w:t>
      </w:r>
      <w:r w:rsidRPr="00BC64FA">
        <w:rPr>
          <w:rFonts w:ascii="Arial" w:hAnsi="Arial" w:cs="Arial"/>
          <w:color w:val="000000" w:themeColor="text1"/>
          <w:sz w:val="20"/>
          <w:szCs w:val="20"/>
        </w:rPr>
        <w:t>such as access to counseling, fair workload distribution, and professional development—they are more likely to:</w:t>
      </w:r>
    </w:p>
    <w:p w14:paraId="434BBEEB" w14:textId="77777777" w:rsidR="00D8506C" w:rsidRPr="00BC64FA" w:rsidRDefault="00D8506C" w:rsidP="00156506">
      <w:pPr>
        <w:numPr>
          <w:ilvl w:val="0"/>
          <w:numId w:val="19"/>
        </w:numPr>
        <w:spacing w:before="120" w:after="120"/>
        <w:rPr>
          <w:rFonts w:ascii="Arial" w:hAnsi="Arial" w:cs="Arial"/>
          <w:color w:val="000000" w:themeColor="text1"/>
          <w:sz w:val="20"/>
          <w:szCs w:val="20"/>
        </w:rPr>
      </w:pPr>
      <w:r w:rsidRPr="00BC64FA">
        <w:rPr>
          <w:rFonts w:ascii="Arial" w:hAnsi="Arial" w:cs="Arial"/>
          <w:color w:val="000000" w:themeColor="text1"/>
          <w:sz w:val="20"/>
          <w:szCs w:val="20"/>
        </w:rPr>
        <w:lastRenderedPageBreak/>
        <w:t>Maintain resilience under pressure</w:t>
      </w:r>
    </w:p>
    <w:p w14:paraId="4BE81B2E" w14:textId="77777777" w:rsidR="00D8506C" w:rsidRPr="00BC64FA" w:rsidRDefault="00D8506C" w:rsidP="00156506">
      <w:pPr>
        <w:numPr>
          <w:ilvl w:val="0"/>
          <w:numId w:val="19"/>
        </w:num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Experience less burnout</w:t>
      </w:r>
    </w:p>
    <w:p w14:paraId="22679D70" w14:textId="0109F2AF" w:rsidR="00D8506C" w:rsidRPr="00BC64FA" w:rsidRDefault="00BC64FA" w:rsidP="00156506">
      <w:pPr>
        <w:numPr>
          <w:ilvl w:val="0"/>
          <w:numId w:val="19"/>
        </w:num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Committing</w:t>
      </w:r>
      <w:r w:rsidR="00D8506C" w:rsidRPr="00BC64FA">
        <w:rPr>
          <w:rFonts w:ascii="Arial" w:hAnsi="Arial" w:cs="Arial"/>
          <w:color w:val="000000" w:themeColor="text1"/>
          <w:sz w:val="20"/>
          <w:szCs w:val="20"/>
        </w:rPr>
        <w:t xml:space="preserve"> to long-term employment</w:t>
      </w:r>
    </w:p>
    <w:p w14:paraId="392BC9A5" w14:textId="77777777" w:rsidR="00D8506C" w:rsidRPr="00BC64FA" w:rsidRDefault="00D8506C" w:rsidP="00663668">
      <w:pPr>
        <w:rPr>
          <w:rFonts w:ascii="Arial" w:hAnsi="Arial" w:cs="Arial"/>
          <w:b/>
          <w:sz w:val="20"/>
          <w:szCs w:val="20"/>
        </w:rPr>
      </w:pPr>
      <w:r w:rsidRPr="00BC64FA">
        <w:rPr>
          <w:rFonts w:ascii="Arial" w:hAnsi="Arial" w:cs="Arial"/>
          <w:sz w:val="20"/>
          <w:szCs w:val="20"/>
        </w:rPr>
        <w:t>Practical Implications:</w:t>
      </w:r>
    </w:p>
    <w:p w14:paraId="7C267A66" w14:textId="1D755432" w:rsidR="00D8506C" w:rsidRPr="00BC64FA" w:rsidRDefault="00D8506C" w:rsidP="00156506">
      <w:pPr>
        <w:numPr>
          <w:ilvl w:val="0"/>
          <w:numId w:val="20"/>
        </w:num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Hospitals should implement Employee Assistance Programs (EAP), resilience workshops, and peer-support systems.</w:t>
      </w:r>
    </w:p>
    <w:p w14:paraId="3185A656" w14:textId="631780B3" w:rsidR="00D8506C" w:rsidRPr="00BC64FA" w:rsidRDefault="00D8506C" w:rsidP="00156506">
      <w:pPr>
        <w:numPr>
          <w:ilvl w:val="0"/>
          <w:numId w:val="20"/>
        </w:num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Leadership should foster psychological safety, encourage open communication, and provide resources for stress management.</w:t>
      </w:r>
    </w:p>
    <w:p w14:paraId="704C6D6C" w14:textId="26A8B3EE" w:rsidR="0024540E" w:rsidRPr="00BC64FA" w:rsidRDefault="00663668" w:rsidP="00164454">
      <w:pPr>
        <w:pStyle w:val="Heading2"/>
        <w:spacing w:before="120" w:after="120"/>
        <w:rPr>
          <w:rFonts w:ascii="Arial" w:hAnsi="Arial" w:cs="Arial"/>
          <w:bCs/>
          <w:color w:val="000000" w:themeColor="text1"/>
          <w:sz w:val="20"/>
          <w:szCs w:val="20"/>
        </w:rPr>
      </w:pPr>
      <w:r w:rsidRPr="00BC64FA">
        <w:rPr>
          <w:rFonts w:ascii="Arial" w:hAnsi="Arial" w:cs="Arial"/>
          <w:bCs/>
          <w:color w:val="000000" w:themeColor="text1"/>
          <w:sz w:val="20"/>
          <w:szCs w:val="20"/>
        </w:rPr>
        <w:t>2.</w:t>
      </w:r>
      <w:r w:rsidR="0024540E" w:rsidRPr="00BC64FA">
        <w:rPr>
          <w:rFonts w:ascii="Arial" w:hAnsi="Arial" w:cs="Arial"/>
          <w:bCs/>
          <w:color w:val="000000" w:themeColor="text1"/>
          <w:sz w:val="20"/>
          <w:szCs w:val="20"/>
        </w:rPr>
        <w:t>5. Social Cognitive Theory Applied to Nursing Resilience</w:t>
      </w:r>
    </w:p>
    <w:p w14:paraId="55A605D1" w14:textId="70E291E3" w:rsidR="00D8506C" w:rsidRPr="00BC64FA" w:rsidRDefault="00D8506C" w:rsidP="00164454">
      <w:p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Based on Bandura’s Social Cognitive Theory, resilience in nursing students (and practicing nurses) is shaped by three key mechanisms:</w:t>
      </w:r>
    </w:p>
    <w:p w14:paraId="5D3A17F6" w14:textId="77777777" w:rsidR="00D8506C" w:rsidRPr="00BC64FA" w:rsidRDefault="00D8506C" w:rsidP="00156506">
      <w:pPr>
        <w:numPr>
          <w:ilvl w:val="0"/>
          <w:numId w:val="21"/>
        </w:numPr>
        <w:tabs>
          <w:tab w:val="clear" w:pos="720"/>
          <w:tab w:val="num" w:pos="360"/>
        </w:tabs>
        <w:spacing w:before="120" w:after="120"/>
        <w:ind w:left="360"/>
        <w:rPr>
          <w:rFonts w:ascii="Arial" w:hAnsi="Arial" w:cs="Arial"/>
          <w:color w:val="000000" w:themeColor="text1"/>
          <w:sz w:val="20"/>
          <w:szCs w:val="20"/>
        </w:rPr>
      </w:pPr>
      <w:r w:rsidRPr="00BC64FA">
        <w:rPr>
          <w:rFonts w:ascii="Arial" w:hAnsi="Arial" w:cs="Arial"/>
          <w:color w:val="000000" w:themeColor="text1"/>
          <w:sz w:val="20"/>
          <w:szCs w:val="20"/>
        </w:rPr>
        <w:t>Self-Efficacy</w:t>
      </w:r>
    </w:p>
    <w:p w14:paraId="18B62DEF" w14:textId="77777777" w:rsidR="00D8506C" w:rsidRPr="00BC64FA" w:rsidRDefault="00D8506C" w:rsidP="00156506">
      <w:pPr>
        <w:numPr>
          <w:ilvl w:val="1"/>
          <w:numId w:val="21"/>
        </w:numPr>
        <w:tabs>
          <w:tab w:val="clear" w:pos="1440"/>
          <w:tab w:val="num" w:pos="1080"/>
        </w:tabs>
        <w:spacing w:before="120" w:after="120"/>
        <w:ind w:left="1080"/>
        <w:rPr>
          <w:rFonts w:ascii="Arial" w:hAnsi="Arial" w:cs="Arial"/>
          <w:color w:val="000000" w:themeColor="text1"/>
          <w:sz w:val="20"/>
          <w:szCs w:val="20"/>
        </w:rPr>
      </w:pPr>
      <w:r w:rsidRPr="00BC64FA">
        <w:rPr>
          <w:rFonts w:ascii="Arial" w:hAnsi="Arial" w:cs="Arial"/>
          <w:color w:val="000000" w:themeColor="text1"/>
          <w:sz w:val="20"/>
          <w:szCs w:val="20"/>
        </w:rPr>
        <w:t>Belief in one’s ability to manage challenges and succeed in clinical tasks.</w:t>
      </w:r>
    </w:p>
    <w:p w14:paraId="200CDD14" w14:textId="77777777" w:rsidR="00D8506C" w:rsidRPr="00BC64FA" w:rsidRDefault="00D8506C" w:rsidP="00156506">
      <w:pPr>
        <w:numPr>
          <w:ilvl w:val="1"/>
          <w:numId w:val="21"/>
        </w:numPr>
        <w:tabs>
          <w:tab w:val="clear" w:pos="1440"/>
          <w:tab w:val="num" w:pos="1080"/>
        </w:tabs>
        <w:spacing w:before="120" w:after="120"/>
        <w:ind w:left="1080"/>
        <w:rPr>
          <w:rFonts w:ascii="Arial" w:hAnsi="Arial" w:cs="Arial"/>
          <w:color w:val="000000" w:themeColor="text1"/>
          <w:sz w:val="20"/>
          <w:szCs w:val="20"/>
        </w:rPr>
      </w:pPr>
      <w:r w:rsidRPr="00BC64FA">
        <w:rPr>
          <w:rFonts w:ascii="Arial" w:hAnsi="Arial" w:cs="Arial"/>
          <w:color w:val="000000" w:themeColor="text1"/>
          <w:sz w:val="20"/>
          <w:szCs w:val="20"/>
        </w:rPr>
        <w:t>Example: Confidence gained through simulation drills and skill practice reduces anxiety during real emergencies.</w:t>
      </w:r>
    </w:p>
    <w:p w14:paraId="288A0509" w14:textId="77777777" w:rsidR="00D8506C" w:rsidRPr="00BC64FA" w:rsidRDefault="00D8506C" w:rsidP="00156506">
      <w:pPr>
        <w:numPr>
          <w:ilvl w:val="0"/>
          <w:numId w:val="21"/>
        </w:numPr>
        <w:tabs>
          <w:tab w:val="clear" w:pos="720"/>
          <w:tab w:val="num" w:pos="360"/>
        </w:tabs>
        <w:spacing w:before="120" w:after="120"/>
        <w:ind w:left="360"/>
        <w:rPr>
          <w:rFonts w:ascii="Arial" w:hAnsi="Arial" w:cs="Arial"/>
          <w:color w:val="000000" w:themeColor="text1"/>
          <w:sz w:val="20"/>
          <w:szCs w:val="20"/>
        </w:rPr>
      </w:pPr>
      <w:r w:rsidRPr="00BC64FA">
        <w:rPr>
          <w:rFonts w:ascii="Arial" w:hAnsi="Arial" w:cs="Arial"/>
          <w:color w:val="000000" w:themeColor="text1"/>
          <w:sz w:val="20"/>
          <w:szCs w:val="20"/>
        </w:rPr>
        <w:t>Observational Learning</w:t>
      </w:r>
    </w:p>
    <w:p w14:paraId="51EFE9A8" w14:textId="77777777" w:rsidR="00D8506C" w:rsidRPr="00BC64FA" w:rsidRDefault="00D8506C" w:rsidP="00156506">
      <w:pPr>
        <w:numPr>
          <w:ilvl w:val="1"/>
          <w:numId w:val="21"/>
        </w:numPr>
        <w:tabs>
          <w:tab w:val="clear" w:pos="1440"/>
          <w:tab w:val="num" w:pos="1080"/>
        </w:tabs>
        <w:spacing w:before="120" w:after="120"/>
        <w:ind w:left="1080"/>
        <w:rPr>
          <w:rFonts w:ascii="Arial" w:hAnsi="Arial" w:cs="Arial"/>
          <w:color w:val="000000" w:themeColor="text1"/>
          <w:sz w:val="20"/>
          <w:szCs w:val="20"/>
        </w:rPr>
      </w:pPr>
      <w:r w:rsidRPr="00BC64FA">
        <w:rPr>
          <w:rFonts w:ascii="Arial" w:hAnsi="Arial" w:cs="Arial"/>
          <w:color w:val="000000" w:themeColor="text1"/>
          <w:sz w:val="20"/>
          <w:szCs w:val="20"/>
        </w:rPr>
        <w:t>Learning resilience behaviors by observing role models (experienced nurses, mentors) in high-pressure situations.</w:t>
      </w:r>
    </w:p>
    <w:p w14:paraId="7BE3C57E" w14:textId="77777777" w:rsidR="00D8506C" w:rsidRPr="00BC64FA" w:rsidRDefault="00D8506C" w:rsidP="00156506">
      <w:pPr>
        <w:numPr>
          <w:ilvl w:val="1"/>
          <w:numId w:val="21"/>
        </w:numPr>
        <w:tabs>
          <w:tab w:val="clear" w:pos="1440"/>
          <w:tab w:val="num" w:pos="1080"/>
        </w:tabs>
        <w:spacing w:before="120" w:after="120"/>
        <w:ind w:left="1080"/>
        <w:rPr>
          <w:rFonts w:ascii="Arial" w:hAnsi="Arial" w:cs="Arial"/>
          <w:color w:val="000000" w:themeColor="text1"/>
          <w:sz w:val="20"/>
          <w:szCs w:val="20"/>
        </w:rPr>
      </w:pPr>
      <w:r w:rsidRPr="00BC64FA">
        <w:rPr>
          <w:rFonts w:ascii="Arial" w:hAnsi="Arial" w:cs="Arial"/>
          <w:color w:val="000000" w:themeColor="text1"/>
          <w:sz w:val="20"/>
          <w:szCs w:val="20"/>
        </w:rPr>
        <w:t>Example: Watching senior nurses calmly manage trauma cases teaches adaptive coping strategies.</w:t>
      </w:r>
    </w:p>
    <w:p w14:paraId="6C1C6F74" w14:textId="77777777" w:rsidR="00D8506C" w:rsidRPr="00BC64FA" w:rsidRDefault="00D8506C" w:rsidP="00156506">
      <w:pPr>
        <w:numPr>
          <w:ilvl w:val="0"/>
          <w:numId w:val="21"/>
        </w:numPr>
        <w:tabs>
          <w:tab w:val="clear" w:pos="720"/>
          <w:tab w:val="num" w:pos="360"/>
        </w:tabs>
        <w:spacing w:before="120" w:after="120"/>
        <w:ind w:left="360"/>
        <w:rPr>
          <w:rFonts w:ascii="Arial" w:hAnsi="Arial" w:cs="Arial"/>
          <w:color w:val="000000" w:themeColor="text1"/>
          <w:sz w:val="20"/>
          <w:szCs w:val="20"/>
        </w:rPr>
      </w:pPr>
      <w:r w:rsidRPr="00BC64FA">
        <w:rPr>
          <w:rFonts w:ascii="Arial" w:hAnsi="Arial" w:cs="Arial"/>
          <w:color w:val="000000" w:themeColor="text1"/>
          <w:sz w:val="20"/>
          <w:szCs w:val="20"/>
        </w:rPr>
        <w:t>Supportive Environment</w:t>
      </w:r>
    </w:p>
    <w:p w14:paraId="19EC9893" w14:textId="77777777" w:rsidR="00D8506C" w:rsidRPr="00BC64FA" w:rsidRDefault="00D8506C" w:rsidP="00156506">
      <w:pPr>
        <w:numPr>
          <w:ilvl w:val="1"/>
          <w:numId w:val="21"/>
        </w:numPr>
        <w:tabs>
          <w:tab w:val="clear" w:pos="1440"/>
          <w:tab w:val="num" w:pos="1080"/>
        </w:tabs>
        <w:spacing w:before="120" w:after="120"/>
        <w:ind w:left="1080"/>
        <w:rPr>
          <w:rFonts w:ascii="Arial" w:hAnsi="Arial" w:cs="Arial"/>
          <w:color w:val="000000" w:themeColor="text1"/>
          <w:sz w:val="20"/>
          <w:szCs w:val="20"/>
        </w:rPr>
      </w:pPr>
      <w:r w:rsidRPr="00BC64FA">
        <w:rPr>
          <w:rFonts w:ascii="Arial" w:hAnsi="Arial" w:cs="Arial"/>
          <w:color w:val="000000" w:themeColor="text1"/>
          <w:sz w:val="20"/>
          <w:szCs w:val="20"/>
        </w:rPr>
        <w:t>A positive, resource-rich environment that reinforces resilience through feedback, encouragement, and access to tools.</w:t>
      </w:r>
    </w:p>
    <w:p w14:paraId="24A5F461" w14:textId="77777777" w:rsidR="00D8506C" w:rsidRPr="00BC64FA" w:rsidRDefault="00D8506C" w:rsidP="00156506">
      <w:pPr>
        <w:numPr>
          <w:ilvl w:val="1"/>
          <w:numId w:val="21"/>
        </w:numPr>
        <w:tabs>
          <w:tab w:val="clear" w:pos="1440"/>
          <w:tab w:val="num" w:pos="1080"/>
        </w:tabs>
        <w:spacing w:before="120" w:after="120"/>
        <w:ind w:left="1080"/>
        <w:rPr>
          <w:rFonts w:ascii="Arial" w:hAnsi="Arial" w:cs="Arial"/>
          <w:color w:val="000000" w:themeColor="text1"/>
          <w:sz w:val="20"/>
          <w:szCs w:val="20"/>
        </w:rPr>
      </w:pPr>
      <w:r w:rsidRPr="00BC64FA">
        <w:rPr>
          <w:rFonts w:ascii="Arial" w:hAnsi="Arial" w:cs="Arial"/>
          <w:color w:val="000000" w:themeColor="text1"/>
          <w:sz w:val="20"/>
          <w:szCs w:val="20"/>
        </w:rPr>
        <w:t>Example: Peer support groups, structured debriefs, and organizational policies (EAP, resilience workshops) create a safety net.</w:t>
      </w:r>
    </w:p>
    <w:p w14:paraId="0D9CF0D4" w14:textId="066A9D52" w:rsidR="00D8506C" w:rsidRPr="00BC64FA" w:rsidRDefault="00D8506C" w:rsidP="00164454">
      <w:pPr>
        <w:spacing w:before="120" w:after="120"/>
        <w:ind w:left="360"/>
        <w:jc w:val="both"/>
        <w:rPr>
          <w:rFonts w:ascii="Arial" w:hAnsi="Arial" w:cs="Arial"/>
          <w:color w:val="000000" w:themeColor="text1"/>
          <w:sz w:val="20"/>
          <w:szCs w:val="20"/>
        </w:rPr>
      </w:pPr>
      <w:r w:rsidRPr="00BC64FA">
        <w:rPr>
          <w:rFonts w:ascii="Arial" w:hAnsi="Arial" w:cs="Arial"/>
          <w:color w:val="000000" w:themeColor="text1"/>
          <w:sz w:val="20"/>
          <w:szCs w:val="20"/>
        </w:rPr>
        <w:t>Goal:</w:t>
      </w:r>
      <w:r w:rsidR="001A61AD"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To enhance resilience by building self-efficacy, providing role models, and creating supportive systems that enable nurses to adapt and thrive under stress</w:t>
      </w:r>
      <w:r w:rsidR="001A61AD" w:rsidRPr="00BC64FA">
        <w:rPr>
          <w:rFonts w:ascii="Arial" w:hAnsi="Arial" w:cs="Arial"/>
          <w:color w:val="000000" w:themeColor="text1"/>
          <w:sz w:val="20"/>
          <w:szCs w:val="20"/>
        </w:rPr>
        <w:t xml:space="preserve"> </w:t>
      </w:r>
      <w:r w:rsidR="001A61AD" w:rsidRPr="00BC64FA">
        <w:rPr>
          <w:rFonts w:ascii="Arial" w:hAnsi="Arial" w:cs="Arial"/>
          <w:color w:val="000000" w:themeColor="text1"/>
          <w:sz w:val="20"/>
          <w:szCs w:val="20"/>
        </w:rPr>
        <w:fldChar w:fldCharType="begin" w:fldLock="1"/>
      </w:r>
      <w:r w:rsidR="00596A32" w:rsidRPr="00BC64FA">
        <w:rPr>
          <w:rFonts w:ascii="Arial" w:hAnsi="Arial" w:cs="Arial"/>
          <w:color w:val="000000" w:themeColor="text1"/>
          <w:sz w:val="20"/>
          <w:szCs w:val="20"/>
        </w:rPr>
        <w:instrText>ADDIN CSL_CITATION {"citationItems":[{"id":"ITEM-1","itemData":{"DOI":"10.3390/nursrep15070253","ISSN":"2039-4403","abstract":"Background/Objectives: In contemporary nursing education, clinical competence and psychological resilience are both essential; however, they are often treated as separate outcomes. Clinical placements are a central component of nursing education, and often expose students to high levels of stress, emotional challenges, and complex clinical demands. Building both clinical competence and psychological resilience during this phase is crucial to preparing students for the realities of professional practice. This narrative review, grounded in Bandura’s social cognitive theory (SCT), explores how educator behaviors, teaching strategies, and learning environments interact to influence both domains in undergraduate nursing students. Methods: A comprehensive search was conducted in PubMed, CINAHL, and PsycINFO for peer-reviewed articles published between 1 January 2000 and 2 May 2025. Relevant studies were thematically analyzed and were guided by Bandura’s SCT constructs, including observational learning, self-efficacy, and reciprocal determinism. No formal study appraisal was conducted due to the narrative nature of the review. Findings: Nineteen studies were included in the review. The findings highlight that reflective practices, structured feedback, peer learning, and strategies to build self-efficacy are central to building resilience and competence. Supportive educator behaviors such as mentoring, emotional support, and professional role modeling, were strongly associated with increased student confidence, emotional regulation, and adaptability. Psychologically safe clinical learning environments further enhanced self-efficacy and active engagement. In contrast, unsupportive or inconsistent environments were linked to student stress, disengagement, and reduced performance. Conclusions: This review highlights the need to move beyond traditional competency-based models toward an integrated approach that equally values psychological preparedness and resilience. Findings suggest a shift toward emotionally and socially integrated clinical education.","author":[{"dropping-particle":"","family":"Wille","given":"Elisabeth","non-dropping-particle":"","parse-names":false,"suffix":""},{"dropping-particle":"","family":"Opheim","given":"Helene Margrethe Storebø","non-dropping-particle":"","parse-names":false,"suffix":""},{"dropping-particle":"","family":"Princeton","given":"Daisy Michelle","non-dropping-particle":"","parse-names":false,"suffix":""},{"dropping-particle":"","family":"Kisa","given":"Sezer","non-dropping-particle":"","parse-names":false,"suffix":""},{"dropping-particle":"","family":"Hjerpaasen","given":"Kari Jonsbu","non-dropping-particle":"","parse-names":false,"suffix":""}],"container-title":"Nursing Reports","id":"ITEM-1","issue":"7","issued":{"date-parts":[["2025","7","11"]]},"page":"253","title":"Building Resilience and Competence in Bachelor Nursing Students: A Narrative Review Based on Social Cognitive Theory","type":"article-journal","volume":"15"},"uris":["http://www.mendeley.com/documents/?uuid=a7b797bf-c0b9-4c90-92c4-088b9b858c0c"]}],"mendeley":{"formattedCitation":"(Wille et al., 2025)","plainTextFormattedCitation":"(Wille et al., 2025)","previouslyFormattedCitation":"(Wille et al., 2025)"},"properties":{"noteIndex":0},"schema":"https://github.com/citation-style-language/schema/raw/master/csl-citation.json"}</w:instrText>
      </w:r>
      <w:r w:rsidR="001A61AD" w:rsidRPr="00BC64FA">
        <w:rPr>
          <w:rFonts w:ascii="Arial" w:hAnsi="Arial" w:cs="Arial"/>
          <w:color w:val="000000" w:themeColor="text1"/>
          <w:sz w:val="20"/>
          <w:szCs w:val="20"/>
        </w:rPr>
        <w:fldChar w:fldCharType="separate"/>
      </w:r>
      <w:r w:rsidR="001A61AD" w:rsidRPr="00BC64FA">
        <w:rPr>
          <w:rFonts w:ascii="Arial" w:hAnsi="Arial" w:cs="Arial"/>
          <w:noProof/>
          <w:color w:val="000000" w:themeColor="text1"/>
          <w:sz w:val="20"/>
          <w:szCs w:val="20"/>
        </w:rPr>
        <w:t>(Wille et al., 2025)</w:t>
      </w:r>
      <w:r w:rsidR="001A61AD"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w:t>
      </w:r>
    </w:p>
    <w:p w14:paraId="26602A40" w14:textId="700C6547" w:rsidR="00D8506C" w:rsidRPr="00BC64FA" w:rsidRDefault="00D8506C" w:rsidP="00164454">
      <w:pPr>
        <w:spacing w:before="120" w:after="120"/>
        <w:ind w:left="360"/>
        <w:jc w:val="both"/>
        <w:rPr>
          <w:rFonts w:ascii="Arial" w:hAnsi="Arial" w:cs="Arial"/>
          <w:color w:val="000000" w:themeColor="text1"/>
          <w:sz w:val="20"/>
          <w:szCs w:val="20"/>
        </w:rPr>
      </w:pPr>
      <w:r w:rsidRPr="00BC64FA">
        <w:rPr>
          <w:rFonts w:ascii="Arial" w:hAnsi="Arial" w:cs="Arial"/>
          <w:color w:val="000000" w:themeColor="text1"/>
          <w:sz w:val="20"/>
          <w:szCs w:val="20"/>
        </w:rPr>
        <w:t xml:space="preserve">Resilience in nursing is increasingly understood as a dynamic, multidimensional process rather than a fixed trait. The Resilience Framework for Nursing and Healthcare </w:t>
      </w:r>
      <w:r w:rsidR="007224DB" w:rsidRPr="00BC64FA">
        <w:rPr>
          <w:rFonts w:ascii="Arial" w:hAnsi="Arial" w:cs="Arial"/>
          <w:color w:val="000000" w:themeColor="text1"/>
          <w:sz w:val="20"/>
          <w:szCs w:val="20"/>
        </w:rPr>
        <w:fldChar w:fldCharType="begin" w:fldLock="1"/>
      </w:r>
      <w:r w:rsidR="000205EE" w:rsidRPr="00BC64FA">
        <w:rPr>
          <w:rFonts w:ascii="Arial" w:hAnsi="Arial" w:cs="Arial"/>
          <w:color w:val="000000" w:themeColor="text1"/>
          <w:sz w:val="20"/>
          <w:szCs w:val="20"/>
        </w:rPr>
        <w:instrText>ADDIN CSL_CITATION {"citationItems":[{"id":"ITEM-1","itemData":{"DOI":"10.1177/23333936211005475","ISSN":"2333-3936","abstract":"Despite four decades of resilience research, resilience remains a poor fit for practice as a scientific construct. Using the literature, we explored the concepts attributed to the development of resilience, identifying those that mitigate symptoms of distress caused by adversity and facilitate coping in seven classes of illness: transplants, cancer, mental illness, episodic illness, chronic and painful illness, unexpected events, and illness within a dyadic relationship. We identified protective, compensatory, and challenge-related coping-concept strategies that healthcare workers and patients use during the adversity experience. Healthcare-worker assessment and selection of appropriate coping concepts enable the individual to control their distress, resulting in attainment of equanimity and the state of resilience, permitting the resilient individual to work toward recovery, recalibration, and readjustment. We inductively developed and linked these conceptual components into a dynamic framework, The Resilience Framework for Nursing and Healthcare, making it widely applicable for healthcare across a variety of patients.","author":[{"dropping-particle":"","family":"Morse","given":"Janice M.","non-dropping-particle":"","parse-names":false,"suffix":""},{"dropping-particle":"","family":"Kent-Marvick","given":"Jacqueline","non-dropping-particle":"","parse-names":false,"suffix":""},{"dropping-particle":"","family":"Barry","given":"Lisa A.","non-dropping-particle":"","parse-names":false,"suffix":""},{"dropping-particle":"","family":"Harvey","given":"Jennifer","non-dropping-particle":"","parse-names":false,"suffix":""},{"dropping-particle":"","family":"Okang","given":"Esther Narkie","non-dropping-particle":"","parse-names":false,"suffix":""},{"dropping-particle":"","family":"Rudd","given":"Elizabeth A.","non-dropping-particle":"","parse-names":false,"suffix":""},{"dropping-particle":"","family":"Wang","given":"Ching-Yu","non-dropping-particle":"","parse-names":false,"suffix":""},{"dropping-particle":"","family":"Williams","given":"Marcia R.","non-dropping-particle":"","parse-names":false,"suffix":""}],"container-title":"Global Qualitative Nursing Research","id":"ITEM-1","issued":{"date-parts":[["2021","1","31"]]},"title":"Developing the Resilience Framework for Nursing and Healthcare","type":"article-journal","volume":"8"},"uris":["http://www.mendeley.com/documents/?uuid=14760c30-f0ec-4784-9301-c552bb6fdcd3"]}],"mendeley":{"formattedCitation":"(Morse et al., 2021)","plainTextFormattedCitation":"(Morse et al., 2021)","previouslyFormattedCitation":"(Morse et al., 2021)"},"properties":{"noteIndex":0},"schema":"https://github.com/citation-style-language/schema/raw/master/csl-citation.json"}</w:instrText>
      </w:r>
      <w:r w:rsidR="007224DB" w:rsidRPr="00BC64FA">
        <w:rPr>
          <w:rFonts w:ascii="Arial" w:hAnsi="Arial" w:cs="Arial"/>
          <w:color w:val="000000" w:themeColor="text1"/>
          <w:sz w:val="20"/>
          <w:szCs w:val="20"/>
        </w:rPr>
        <w:fldChar w:fldCharType="separate"/>
      </w:r>
      <w:r w:rsidR="007224DB" w:rsidRPr="00BC64FA">
        <w:rPr>
          <w:rFonts w:ascii="Arial" w:hAnsi="Arial" w:cs="Arial"/>
          <w:noProof/>
          <w:color w:val="000000" w:themeColor="text1"/>
          <w:sz w:val="20"/>
          <w:szCs w:val="20"/>
        </w:rPr>
        <w:t>(Morse et al., 2021)</w:t>
      </w:r>
      <w:r w:rsidR="007224DB"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emphasizes adaptive coping strategies—protective, compensatory, and challenge-related—that enable nurses to maintain emotional balance and recover from stress. Protective strategies such as mindfulness and </w:t>
      </w:r>
      <w:r w:rsidRPr="00BC64FA">
        <w:rPr>
          <w:rFonts w:ascii="Arial" w:hAnsi="Arial" w:cs="Arial"/>
          <w:color w:val="000000" w:themeColor="text1"/>
          <w:sz w:val="20"/>
          <w:szCs w:val="20"/>
        </w:rPr>
        <w:lastRenderedPageBreak/>
        <w:t>peer support shield nurses from immediate strain, while compensatory strategies like structured communication (SBAR) sustain performance under pressure. Challenge-related strategies, including simulation drills and post-incident learning, transform adversity into growth opportunities. Similarly, Polk’s Middle-Range Theory (1997) conceptualizes resilience through four interrelated patterns: dispositional (personal traits like optimism), relational (social support and teamwork), situational (effective response to stressors), and philosophical (values and meaning-making). Together, these frameworks highlight resilience as a holistic, adaptive process shaped by internal resources, external relationships, and situational demands.</w:t>
      </w:r>
    </w:p>
    <w:p w14:paraId="524195CB" w14:textId="7C7A0F72" w:rsidR="00D8506C" w:rsidRPr="00BC64FA" w:rsidRDefault="00D8506C" w:rsidP="00164454">
      <w:pPr>
        <w:spacing w:before="120" w:after="120"/>
        <w:ind w:left="360"/>
        <w:jc w:val="both"/>
        <w:rPr>
          <w:rFonts w:ascii="Arial" w:hAnsi="Arial" w:cs="Arial"/>
          <w:color w:val="000000" w:themeColor="text1"/>
          <w:sz w:val="20"/>
          <w:szCs w:val="20"/>
        </w:rPr>
      </w:pPr>
      <w:r w:rsidRPr="00BC64FA">
        <w:rPr>
          <w:rFonts w:ascii="Arial" w:hAnsi="Arial" w:cs="Arial"/>
          <w:color w:val="000000" w:themeColor="text1"/>
          <w:sz w:val="20"/>
          <w:szCs w:val="20"/>
        </w:rPr>
        <w:t>Expanding beyond the individual, the Society-to-Cells Theory</w:t>
      </w:r>
      <w:r w:rsidR="000205EE" w:rsidRPr="00BC64FA">
        <w:rPr>
          <w:rFonts w:ascii="Arial" w:hAnsi="Arial" w:cs="Arial"/>
          <w:color w:val="000000" w:themeColor="text1"/>
          <w:sz w:val="20"/>
          <w:szCs w:val="20"/>
        </w:rPr>
        <w:t xml:space="preserve"> </w:t>
      </w:r>
      <w:r w:rsidR="000205EE" w:rsidRPr="00BC64FA">
        <w:rPr>
          <w:rFonts w:ascii="Arial" w:hAnsi="Arial" w:cs="Arial"/>
          <w:color w:val="000000" w:themeColor="text1"/>
          <w:sz w:val="20"/>
          <w:szCs w:val="20"/>
        </w:rPr>
        <w:fldChar w:fldCharType="begin" w:fldLock="1"/>
      </w:r>
      <w:r w:rsidR="000205EE" w:rsidRPr="00BC64FA">
        <w:rPr>
          <w:rFonts w:ascii="Arial" w:hAnsi="Arial" w:cs="Arial"/>
          <w:color w:val="000000" w:themeColor="text1"/>
          <w:sz w:val="20"/>
          <w:szCs w:val="20"/>
        </w:rPr>
        <w:instrText>ADDIN CSL_CITATION {"citationItems":[{"id":"ITEM-1","itemData":{"DOI":"10.1097/ANS.0b013e3181fb2ea2","ISSN":"0161-9268","abstract":"The resilience potential of each human being is an essential focus of nursing care and research. An honored nursing tradition is viewing each patient in the context of family and culture and recognizing how these factors affect a patient's health and ability to be resilient. We present a society-to-cells nursing theory that formalizes and extends this holistic view of patients by delineating factors that contribute to resilience potential based on the society, community, and family environment in which people live, as well as individual variables that influence psychological, physiological, and cellular coping abilities. We also summarize how this perspective is essential to optimize patient care and to inform future nursing research. Copyright © 2010 Lippincott Williams &amp; Wilkins.","author":[{"dropping-particle":"","family":"Szanton","given":"Sarah L.","non-dropping-particle":"","parse-names":false,"suffix":""},{"dropping-particle":"","family":"Gill","given":"Jessica M.","non-dropping-particle":"","parse-names":false,"suffix":""}],"container-title":"Advances in Nursing Science","id":"ITEM-1","issue":"4","issued":{"date-parts":[["2010","10"]]},"page":"329-343","title":"Facilitating Resilience Using a Society-to-Cells Framework","type":"article-journal","volume":"33"},"uris":["http://www.mendeley.com/documents/?uuid=48afb7ec-f00b-49ee-8998-97361dd3d79d"]}],"mendeley":{"formattedCitation":"(Szanton &amp; Gill, 2010)","plainTextFormattedCitation":"(Szanton &amp; Gill, 2010)","previouslyFormattedCitation":"(Szanton &amp; Gill, 2010)"},"properties":{"noteIndex":0},"schema":"https://github.com/citation-style-language/schema/raw/master/csl-citation.json"}</w:instrText>
      </w:r>
      <w:r w:rsidR="000205EE" w:rsidRPr="00BC64FA">
        <w:rPr>
          <w:rFonts w:ascii="Arial" w:hAnsi="Arial" w:cs="Arial"/>
          <w:color w:val="000000" w:themeColor="text1"/>
          <w:sz w:val="20"/>
          <w:szCs w:val="20"/>
        </w:rPr>
        <w:fldChar w:fldCharType="separate"/>
      </w:r>
      <w:r w:rsidR="000205EE" w:rsidRPr="00BC64FA">
        <w:rPr>
          <w:rFonts w:ascii="Arial" w:hAnsi="Arial" w:cs="Arial"/>
          <w:noProof/>
          <w:color w:val="000000" w:themeColor="text1"/>
          <w:sz w:val="20"/>
          <w:szCs w:val="20"/>
        </w:rPr>
        <w:t>(Szanton &amp; Gill, 2010)</w:t>
      </w:r>
      <w:r w:rsidR="000205EE"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situates resilience within nested systems—society, community, family, and individual—underscoring the influence of social determinants, organizational culture, and family support on coping capacity. Psychological resilience research </w:t>
      </w:r>
      <w:r w:rsidR="000205EE" w:rsidRPr="00BC64FA">
        <w:rPr>
          <w:rFonts w:ascii="Arial" w:hAnsi="Arial" w:cs="Arial"/>
          <w:color w:val="000000" w:themeColor="text1"/>
          <w:sz w:val="20"/>
          <w:szCs w:val="20"/>
        </w:rPr>
        <w:fldChar w:fldCharType="begin" w:fldLock="1"/>
      </w:r>
      <w:r w:rsidR="000205EE" w:rsidRPr="00BC64FA">
        <w:rPr>
          <w:rFonts w:ascii="Arial" w:hAnsi="Arial" w:cs="Arial"/>
          <w:color w:val="000000" w:themeColor="text1"/>
          <w:sz w:val="20"/>
          <w:szCs w:val="20"/>
        </w:rPr>
        <w:instrText>ADDIN CSL_CITATION {"citationItems":[{"id":"ITEM-1","itemData":{"DOI":"10.3389/fpsyg.2024.1407206","ISSN":"1664-1078","abstract":"Background: This study aims to analyze the relationship between psychological resilience, perceived organizational support, and intention to stay among nurses. Additionally, it explores the mediating role of perceived organizational support in the relationship between psychological resilience and nurses’ intention to stay. Methods: A cross-sectional survey was conducted between August and September 2023, involving 1,402 nurses from five Grade 3A hospitals in Guangdong. The survey utilized several instruments, including the General Information Questionnaire (GIQ), the Chinese version of the Connor-Davidson Resilience Scale (CD-RISC), the Chinese version of the Perceived Organizational Support Scale (POSS), and the Chinese version of the Intention to Stay Scale (ITSS). The obtained data were analyzed using descriptive statistics and Pearson’s correlation coefficient, while the mediating effect of perceived organizational support was assessed using the PROCESS macro mediation model in SPSS. Results: The overall mean score for psychological resilience among nurses in the five Grade 3A hospitals in Guangdong was 60.54 ± 19.17, the overall mean score for perceived organizational support was 45.77 ± 11.49, and the mean score for intention to stay was 20.82 ± 4.65. The results of the statistical analysis revealed positive correlations between psychological resilience and intention to stay (r = 0.388, p &lt; 0.01), between perceived organizational support and psychological resilience (r = 0.570, p &lt; 0.01), and between perceived organizational support and intention to stay (r = 0.550, p &lt; 0.01). Additionally, perceived organizational support was found to mediate the relationship between psychological resilience and intention to stay, with a mediation effect value of 0.067, accounting for 71.28% of the total effect. Conclusion: Psychological resilience of nursing staff directly impacts their intention to stay and indirectly influences their caring behaviors, with perceived organizational support serving as a key mediator in both relationships. Therefore, nursing managers should implement targeted interventions to enhance nurses’ psychological resilience and perceived organizational support. Strengthening these factors can significantly increase nurses’ intention to stay in their jobs, improve the quality of care, and contribute to building a strong and stable nursing workforce.","author":[{"dropping-particle":"","family":"Pu","given":"Jiangfeng","non-dropping-particle":"","parse-names":false,"suffix":""},{"dropping-particle":"","family":"Wang","given":"Waner","non-dropping-particle":"","parse-names":false,"suffix":""},{"dropping-particle":"","family":"Li","given":"Gege","non-dropping-particle":"","parse-names":false,"suffix":""},{"dropping-particle":"","family":"Xie","given":"Zhanghao","non-dropping-particle":"","parse-names":false,"suffix":""},{"dropping-particle":"","family":"Fan","given":"Xuanhao","non-dropping-particle":"","parse-names":false,"suffix":""},{"dropping-particle":"","family":"Zhan","given":"Ningjing","non-dropping-particle":"","parse-names":false,"suffix":""},{"dropping-particle":"","family":"Xu","given":"Yixuan","non-dropping-particle":"","parse-names":false,"suffix":""},{"dropping-particle":"","family":"Huang","given":"Huigen","non-dropping-particle":"","parse-names":false,"suffix":""}],"container-title":"Frontiers in Psychology","id":"ITEM-1","issued":{"date-parts":[["2024","9","26"]]},"title":"Psychological resilience and intention to stay among nurses: the mediating role of perceived organizational support","type":"article-journal","volume":"15"},"uris":["http://www.mendeley.com/documents/?uuid=787777c6-c94d-4004-bd37-5574830d4ad9"]}],"mendeley":{"formattedCitation":"(Pu et al., 2024)","plainTextFormattedCitation":"(Pu et al., 2024)","previouslyFormattedCitation":"(Pu et al., 2024)"},"properties":{"noteIndex":0},"schema":"https://github.com/citation-style-language/schema/raw/master/csl-citation.json"}</w:instrText>
      </w:r>
      <w:r w:rsidR="000205EE" w:rsidRPr="00BC64FA">
        <w:rPr>
          <w:rFonts w:ascii="Arial" w:hAnsi="Arial" w:cs="Arial"/>
          <w:color w:val="000000" w:themeColor="text1"/>
          <w:sz w:val="20"/>
          <w:szCs w:val="20"/>
        </w:rPr>
        <w:fldChar w:fldCharType="separate"/>
      </w:r>
      <w:r w:rsidR="000205EE" w:rsidRPr="00BC64FA">
        <w:rPr>
          <w:rFonts w:ascii="Arial" w:hAnsi="Arial" w:cs="Arial"/>
          <w:noProof/>
          <w:color w:val="000000" w:themeColor="text1"/>
          <w:sz w:val="20"/>
          <w:szCs w:val="20"/>
        </w:rPr>
        <w:t>(Pu et al., 2024)</w:t>
      </w:r>
      <w:r w:rsidR="000205EE"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further demonstrates its link to job satisfaction, reduced burnout, and retention, with organizational support acting as a critical mediator. Finally, Bandura’s Social Cognitive Theory</w:t>
      </w:r>
      <w:r w:rsidR="000205EE" w:rsidRPr="00BC64FA">
        <w:rPr>
          <w:rFonts w:ascii="Arial" w:hAnsi="Arial" w:cs="Arial"/>
          <w:color w:val="000000" w:themeColor="text1"/>
          <w:sz w:val="20"/>
          <w:szCs w:val="20"/>
        </w:rPr>
        <w:t xml:space="preserve"> </w:t>
      </w:r>
      <w:r w:rsidR="000205EE" w:rsidRPr="00BC64FA">
        <w:rPr>
          <w:rFonts w:ascii="Arial" w:hAnsi="Arial" w:cs="Arial"/>
          <w:color w:val="000000" w:themeColor="text1"/>
          <w:sz w:val="20"/>
          <w:szCs w:val="20"/>
        </w:rPr>
        <w:fldChar w:fldCharType="begin" w:fldLock="1"/>
      </w:r>
      <w:r w:rsidR="000205EE" w:rsidRPr="00BC64FA">
        <w:rPr>
          <w:rFonts w:ascii="Arial" w:hAnsi="Arial" w:cs="Arial"/>
          <w:color w:val="000000" w:themeColor="text1"/>
          <w:sz w:val="20"/>
          <w:szCs w:val="20"/>
        </w:rPr>
        <w:instrText>ADDIN CSL_CITATION {"citationItems":[{"id":"ITEM-1","itemData":{"DOI":"10.3390/nursrep15070253","ISSN":"2039-4403","abstract":"Background/Objectives: In contemporary nursing education, clinical competence and psychological resilience are both essential; however, they are often treated as separate outcomes. Clinical placements are a central component of nursing education, and often expose students to high levels of stress, emotional challenges, and complex clinical demands. Building both clinical competence and psychological resilience during this phase is crucial to preparing students for the realities of professional practice. This narrative review, grounded in Bandura’s social cognitive theory (SCT), explores how educator behaviors, teaching strategies, and learning environments interact to influence both domains in undergraduate nursing students. Methods: A comprehensive search was conducted in PubMed, CINAHL, and PsycINFO for peer-reviewed articles published between 1 January 2000 and 2 May 2025. Relevant studies were thematically analyzed and were guided by Bandura’s SCT constructs, including observational learning, self-efficacy, and reciprocal determinism. No formal study appraisal was conducted due to the narrative nature of the review. Findings: Nineteen studies were included in the review. The findings highlight that reflective practices, structured feedback, peer learning, and strategies to build self-efficacy are central to building resilience and competence. Supportive educator behaviors such as mentoring, emotional support, and professional role modeling, were strongly associated with increased student confidence, emotional regulation, and adaptability. Psychologically safe clinical learning environments further enhanced self-efficacy and active engagement. In contrast, unsupportive or inconsistent environments were linked to student stress, disengagement, and reduced performance. Conclusions: This review highlights the need to move beyond traditional competency-based models toward an integrated approach that equally values psychological preparedness and resilience. Findings suggest a shift toward emotionally and socially integrated clinical education.","author":[{"dropping-particle":"","family":"Wille","given":"Elisabeth","non-dropping-particle":"","parse-names":false,"suffix":""},{"dropping-particle":"","family":"Opheim","given":"Helene Margrethe Storebø","non-dropping-particle":"","parse-names":false,"suffix":""},{"dropping-particle":"","family":"Princeton","given":"Daisy Michelle","non-dropping-particle":"","parse-names":false,"suffix":""},{"dropping-particle":"","family":"Kisa","given":"Sezer","non-dropping-particle":"","parse-names":false,"suffix":""},{"dropping-particle":"","family":"Hjerpaasen","given":"Kari Jonsbu","non-dropping-particle":"","parse-names":false,"suffix":""}],"container-title":"Nursing Reports","id":"ITEM-1","issue":"7","issued":{"date-parts":[["2025","7","11"]]},"page":"253","title":"Building Resilience and Competence in Bachelor Nursing Students: A Narrative Review Based on Social Cognitive Theory","type":"article-journal","volume":"15"},"uris":["http://www.mendeley.com/documents/?uuid=a7b797bf-c0b9-4c90-92c4-088b9b858c0c"]}],"mendeley":{"formattedCitation":"(Wille et al., 2025)","plainTextFormattedCitation":"(Wille et al., 2025)","previouslyFormattedCitation":"(Wille et al., 2025)"},"properties":{"noteIndex":0},"schema":"https://github.com/citation-style-language/schema/raw/master/csl-citation.json"}</w:instrText>
      </w:r>
      <w:r w:rsidR="000205EE" w:rsidRPr="00BC64FA">
        <w:rPr>
          <w:rFonts w:ascii="Arial" w:hAnsi="Arial" w:cs="Arial"/>
          <w:color w:val="000000" w:themeColor="text1"/>
          <w:sz w:val="20"/>
          <w:szCs w:val="20"/>
        </w:rPr>
        <w:fldChar w:fldCharType="separate"/>
      </w:r>
      <w:r w:rsidR="000205EE" w:rsidRPr="00BC64FA">
        <w:rPr>
          <w:rFonts w:ascii="Arial" w:hAnsi="Arial" w:cs="Arial"/>
          <w:noProof/>
          <w:color w:val="000000" w:themeColor="text1"/>
          <w:sz w:val="20"/>
          <w:szCs w:val="20"/>
        </w:rPr>
        <w:t>(Wille et al., 2025)</w:t>
      </w:r>
      <w:r w:rsidR="000205EE"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frames resilience development through self-efficacy, observational learning, and supportive environments, reinforcing the role of mentorship and structured feedback. Collectively, these theories advocate for multi-level interventions—combining personal coping strategies, cultural competence, peer support, and organizational policies—to foster resilience and sustain nursing performance in high-pressure healthcare settings.</w:t>
      </w:r>
    </w:p>
    <w:p w14:paraId="5EAFD9B8" w14:textId="77777777" w:rsidR="00D8506C" w:rsidRPr="00BC64FA" w:rsidRDefault="00D8506C" w:rsidP="00164454">
      <w:pPr>
        <w:spacing w:before="120" w:after="120"/>
        <w:ind w:left="360"/>
        <w:rPr>
          <w:rFonts w:ascii="Arial" w:hAnsi="Arial" w:cs="Arial"/>
          <w:color w:val="000000" w:themeColor="text1"/>
          <w:sz w:val="20"/>
          <w:szCs w:val="20"/>
        </w:rPr>
      </w:pPr>
    </w:p>
    <w:p w14:paraId="232E806C" w14:textId="0B757FC6" w:rsidR="00EA1A8F" w:rsidRPr="002D1B52" w:rsidRDefault="00D8506C" w:rsidP="00164454">
      <w:pPr>
        <w:pStyle w:val="Heading1"/>
        <w:spacing w:before="120" w:after="120"/>
        <w:jc w:val="both"/>
        <w:rPr>
          <w:rFonts w:ascii="Arial" w:hAnsi="Arial" w:cs="Arial"/>
          <w:bCs/>
          <w:sz w:val="22"/>
          <w:szCs w:val="22"/>
        </w:rPr>
      </w:pPr>
      <w:r w:rsidRPr="002D1B52">
        <w:rPr>
          <w:rFonts w:ascii="Arial" w:hAnsi="Arial" w:cs="Arial"/>
          <w:bCs/>
          <w:sz w:val="22"/>
          <w:szCs w:val="22"/>
        </w:rPr>
        <w:t xml:space="preserve">3. </w:t>
      </w:r>
      <w:r w:rsidR="00EA1A8F" w:rsidRPr="002D1B52">
        <w:rPr>
          <w:rFonts w:ascii="Arial" w:hAnsi="Arial" w:cs="Arial"/>
          <w:bCs/>
          <w:sz w:val="22"/>
          <w:szCs w:val="22"/>
        </w:rPr>
        <w:t>Methodology</w:t>
      </w:r>
    </w:p>
    <w:p w14:paraId="64531214" w14:textId="2F73BDCB" w:rsidR="003D13A9" w:rsidRPr="00BC64FA" w:rsidRDefault="00663668" w:rsidP="00663668">
      <w:pPr>
        <w:pStyle w:val="Heading2"/>
        <w:rPr>
          <w:rFonts w:ascii="Arial" w:hAnsi="Arial" w:cs="Arial"/>
          <w:sz w:val="20"/>
          <w:szCs w:val="20"/>
        </w:rPr>
      </w:pPr>
      <w:r w:rsidRPr="00BC64FA">
        <w:rPr>
          <w:rFonts w:ascii="Arial" w:hAnsi="Arial" w:cs="Arial"/>
          <w:sz w:val="20"/>
          <w:szCs w:val="20"/>
        </w:rPr>
        <w:t xml:space="preserve">3.1. </w:t>
      </w:r>
      <w:r w:rsidR="00EA1A8F" w:rsidRPr="00BC64FA">
        <w:rPr>
          <w:rFonts w:ascii="Arial" w:hAnsi="Arial" w:cs="Arial"/>
          <w:sz w:val="20"/>
          <w:szCs w:val="20"/>
        </w:rPr>
        <w:t>Design</w:t>
      </w:r>
    </w:p>
    <w:p w14:paraId="3C26486B" w14:textId="67330ADE" w:rsidR="003D13A9" w:rsidRPr="00BC64FA" w:rsidRDefault="00F61329" w:rsidP="00164454">
      <w:pPr>
        <w:spacing w:before="120" w:after="120"/>
        <w:jc w:val="both"/>
        <w:rPr>
          <w:rFonts w:ascii="Arial" w:hAnsi="Arial" w:cs="Arial"/>
          <w:color w:val="000000" w:themeColor="text1"/>
          <w:sz w:val="20"/>
          <w:szCs w:val="20"/>
        </w:rPr>
      </w:pPr>
      <w:r w:rsidRPr="00F61329">
        <w:rPr>
          <w:rFonts w:ascii="Arial" w:hAnsi="Arial" w:cs="Arial"/>
          <w:color w:val="000000" w:themeColor="text1"/>
          <w:sz w:val="20"/>
          <w:szCs w:val="20"/>
        </w:rPr>
        <w:t xml:space="preserve">A qualitative descriptive design was used with purposive sampling at a healthcare facility in Qatar. This study adopts a qualitative approach to explore the resilience experiences of Indonesian nurses working in </w:t>
      </w:r>
      <w:r>
        <w:rPr>
          <w:rFonts w:ascii="Arial" w:hAnsi="Arial" w:cs="Arial"/>
          <w:color w:val="000000" w:themeColor="text1"/>
          <w:sz w:val="20"/>
          <w:szCs w:val="20"/>
        </w:rPr>
        <w:t xml:space="preserve">healthcare facility in </w:t>
      </w:r>
      <w:r w:rsidRPr="00F61329">
        <w:rPr>
          <w:rFonts w:ascii="Arial" w:hAnsi="Arial" w:cs="Arial"/>
          <w:color w:val="000000" w:themeColor="text1"/>
          <w:sz w:val="20"/>
          <w:szCs w:val="20"/>
        </w:rPr>
        <w:t xml:space="preserve">Qatar. A qualitative method is appropriate because it enables an in-depth understanding of their personal experiences, perceptions, and coping strategies within their natural work context. </w:t>
      </w:r>
      <w:r w:rsidR="000205EE" w:rsidRPr="00BC64FA">
        <w:rPr>
          <w:rFonts w:ascii="Arial" w:hAnsi="Arial" w:cs="Arial"/>
          <w:color w:val="000000" w:themeColor="text1"/>
          <w:sz w:val="20"/>
          <w:szCs w:val="20"/>
        </w:rPr>
        <w:fldChar w:fldCharType="begin" w:fldLock="1"/>
      </w:r>
      <w:r w:rsidR="000205EE" w:rsidRPr="00BC64FA">
        <w:rPr>
          <w:rFonts w:ascii="Arial" w:hAnsi="Arial" w:cs="Arial"/>
          <w:color w:val="000000" w:themeColor="text1"/>
          <w:sz w:val="20"/>
          <w:szCs w:val="20"/>
        </w:rPr>
        <w:instrText>ADDIN CSL_CITATION {"citationItems":[{"id":"ITEM-1","itemData":{"DOI":"10.4324/9781003195689","ISBN":"9781003195689","author":[{"dropping-particle":"","family":"Kostere","given":"Sandra","non-dropping-particle":"","parse-names":false,"suffix":""},{"dropping-particle":"","family":"Kostere","given":"Kim","non-dropping-particle":"","parse-names":false,"suffix":""}],"id":"ITEM-1","issued":{"date-parts":[["2021","8","10"]]},"publisher":"Routledge","publisher-place":"London","title":"The Generic Qualitative Approach to a Dissertation in the Social Sciences","type":"book"},"uris":["http://www.mendeley.com/documents/?uuid=04fc9905-cd9b-473d-90a1-b9c6ae6d128a"]}],"mendeley":{"formattedCitation":"(Kostere &amp; Kostere, 2021)","plainTextFormattedCitation":"(Kostere &amp; Kostere, 2021)","previouslyFormattedCitation":"(Kostere &amp; Kostere, 2021)"},"properties":{"noteIndex":0},"schema":"https://github.com/citation-style-language/schema/raw/master/csl-citation.json"}</w:instrText>
      </w:r>
      <w:r w:rsidR="000205EE" w:rsidRPr="00BC64FA">
        <w:rPr>
          <w:rFonts w:ascii="Arial" w:hAnsi="Arial" w:cs="Arial"/>
          <w:color w:val="000000" w:themeColor="text1"/>
          <w:sz w:val="20"/>
          <w:szCs w:val="20"/>
        </w:rPr>
        <w:fldChar w:fldCharType="separate"/>
      </w:r>
      <w:r w:rsidR="000205EE" w:rsidRPr="00BC64FA">
        <w:rPr>
          <w:rFonts w:ascii="Arial" w:hAnsi="Arial" w:cs="Arial"/>
          <w:noProof/>
          <w:color w:val="000000" w:themeColor="text1"/>
          <w:sz w:val="20"/>
          <w:szCs w:val="20"/>
        </w:rPr>
        <w:t>(Kostere &amp; Kostere, 2021)</w:t>
      </w:r>
      <w:r w:rsidR="000205EE" w:rsidRPr="00BC64FA">
        <w:rPr>
          <w:rFonts w:ascii="Arial" w:hAnsi="Arial" w:cs="Arial"/>
          <w:color w:val="000000" w:themeColor="text1"/>
          <w:sz w:val="20"/>
          <w:szCs w:val="20"/>
        </w:rPr>
        <w:fldChar w:fldCharType="end"/>
      </w:r>
      <w:r w:rsidR="003D13A9" w:rsidRPr="00BC64FA">
        <w:rPr>
          <w:rFonts w:ascii="Arial" w:hAnsi="Arial" w:cs="Arial"/>
          <w:color w:val="000000" w:themeColor="text1"/>
          <w:sz w:val="20"/>
          <w:szCs w:val="20"/>
        </w:rPr>
        <w:t>. Rather than focusing on numerical data, this design emphasizes rich, descriptive insights that capture the complexity of resilience in high-pressure healthcare environment</w:t>
      </w:r>
      <w:r w:rsidR="000205EE" w:rsidRPr="00BC64FA">
        <w:rPr>
          <w:rFonts w:ascii="Arial" w:hAnsi="Arial" w:cs="Arial"/>
          <w:color w:val="000000" w:themeColor="text1"/>
          <w:sz w:val="20"/>
          <w:szCs w:val="20"/>
        </w:rPr>
        <w:t xml:space="preserve"> </w:t>
      </w:r>
      <w:r w:rsidR="000205EE" w:rsidRPr="00BC64FA">
        <w:rPr>
          <w:rFonts w:ascii="Arial" w:hAnsi="Arial" w:cs="Arial"/>
          <w:color w:val="000000" w:themeColor="text1"/>
          <w:sz w:val="20"/>
          <w:szCs w:val="20"/>
        </w:rPr>
        <w:fldChar w:fldCharType="begin" w:fldLock="1"/>
      </w:r>
      <w:r w:rsidR="00B83A8A" w:rsidRPr="00BC64FA">
        <w:rPr>
          <w:rFonts w:ascii="Arial" w:hAnsi="Arial" w:cs="Arial"/>
          <w:color w:val="000000" w:themeColor="text1"/>
          <w:sz w:val="20"/>
          <w:szCs w:val="20"/>
        </w:rPr>
        <w:instrText>ADDIN CSL_CITATION {"citationItems":[{"id":"ITEM-1","itemData":{"DOI":"10.1111/jan.14763","ISSN":"0309-2402","author":[{"dropping-particle":"","family":"Cooper","given":"Alannah L.","non-dropping-particle":"","parse-names":false,"suffix":""},{"dropping-particle":"","family":"Brown","given":"Janie A.","non-dropping-particle":"","parse-names":false,"suffix":""},{"dropping-particle":"","family":"Leslie","given":"Gavin D.","non-dropping-particle":"","parse-names":false,"suffix":""}],"container-title":"Journal of Advanced Nursing","id":"ITEM-1","issue":"6","issued":{"date-parts":[["2021","6","9"]]},"page":"2623-2640","title":"Nurse resilience for clinical practice: An integrative review","type":"article-journal","volume":"77"},"uris":["http://www.mendeley.com/documents/?uuid=34738e59-fbf6-4d1d-9d69-6f5215dd60e8"]}],"mendeley":{"formattedCitation":"(Cooper et al., 2021)","plainTextFormattedCitation":"(Cooper et al., 2021)","previouslyFormattedCitation":"(Cooper et al., 2021)"},"properties":{"noteIndex":0},"schema":"https://github.com/citation-style-language/schema/raw/master/csl-citation.json"}</w:instrText>
      </w:r>
      <w:r w:rsidR="000205EE" w:rsidRPr="00BC64FA">
        <w:rPr>
          <w:rFonts w:ascii="Arial" w:hAnsi="Arial" w:cs="Arial"/>
          <w:color w:val="000000" w:themeColor="text1"/>
          <w:sz w:val="20"/>
          <w:szCs w:val="20"/>
        </w:rPr>
        <w:fldChar w:fldCharType="separate"/>
      </w:r>
      <w:r w:rsidR="000205EE" w:rsidRPr="00BC64FA">
        <w:rPr>
          <w:rFonts w:ascii="Arial" w:hAnsi="Arial" w:cs="Arial"/>
          <w:noProof/>
          <w:color w:val="000000" w:themeColor="text1"/>
          <w:sz w:val="20"/>
          <w:szCs w:val="20"/>
        </w:rPr>
        <w:t>(Cooper et al., 2021)</w:t>
      </w:r>
      <w:r w:rsidR="000205EE" w:rsidRPr="00BC64FA">
        <w:rPr>
          <w:rFonts w:ascii="Arial" w:hAnsi="Arial" w:cs="Arial"/>
          <w:color w:val="000000" w:themeColor="text1"/>
          <w:sz w:val="20"/>
          <w:szCs w:val="20"/>
        </w:rPr>
        <w:fldChar w:fldCharType="end"/>
      </w:r>
      <w:r w:rsidR="003D13A9" w:rsidRPr="00BC64FA">
        <w:rPr>
          <w:rFonts w:ascii="Arial" w:hAnsi="Arial" w:cs="Arial"/>
          <w:color w:val="000000" w:themeColor="text1"/>
          <w:sz w:val="20"/>
          <w:szCs w:val="20"/>
        </w:rPr>
        <w:t>.</w:t>
      </w:r>
    </w:p>
    <w:p w14:paraId="455E1486" w14:textId="11D226A5" w:rsidR="003D13A9" w:rsidRPr="00BC64FA" w:rsidRDefault="00663668" w:rsidP="00164454">
      <w:pPr>
        <w:pStyle w:val="Heading2"/>
        <w:spacing w:before="120" w:after="120"/>
        <w:jc w:val="both"/>
        <w:rPr>
          <w:rFonts w:ascii="Arial" w:hAnsi="Arial" w:cs="Arial"/>
          <w:bCs/>
          <w:color w:val="000000" w:themeColor="text1"/>
          <w:sz w:val="20"/>
          <w:szCs w:val="20"/>
        </w:rPr>
      </w:pPr>
      <w:r w:rsidRPr="00BC64FA">
        <w:rPr>
          <w:rFonts w:ascii="Arial" w:hAnsi="Arial" w:cs="Arial"/>
          <w:bCs/>
          <w:color w:val="000000" w:themeColor="text1"/>
          <w:sz w:val="20"/>
          <w:szCs w:val="20"/>
        </w:rPr>
        <w:t xml:space="preserve">3.2. </w:t>
      </w:r>
      <w:r w:rsidR="00EA1A8F" w:rsidRPr="00BC64FA">
        <w:rPr>
          <w:rFonts w:ascii="Arial" w:hAnsi="Arial" w:cs="Arial"/>
          <w:bCs/>
          <w:color w:val="000000" w:themeColor="text1"/>
          <w:sz w:val="20"/>
          <w:szCs w:val="20"/>
        </w:rPr>
        <w:t>Participants</w:t>
      </w:r>
    </w:p>
    <w:p w14:paraId="6E51031D" w14:textId="77777777" w:rsidR="00806548" w:rsidRDefault="00EA1A8F"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Indonesian nurses working in </w:t>
      </w:r>
      <w:r w:rsidR="004727BF" w:rsidRPr="00BC64FA">
        <w:rPr>
          <w:rFonts w:ascii="Arial" w:hAnsi="Arial" w:cs="Arial"/>
          <w:color w:val="000000" w:themeColor="text1"/>
          <w:sz w:val="20"/>
          <w:szCs w:val="20"/>
        </w:rPr>
        <w:t xml:space="preserve">healthcare facility </w:t>
      </w:r>
      <w:r w:rsidR="004727BF">
        <w:rPr>
          <w:rFonts w:ascii="Arial" w:hAnsi="Arial" w:cs="Arial"/>
          <w:color w:val="000000" w:themeColor="text1"/>
          <w:sz w:val="20"/>
          <w:szCs w:val="20"/>
        </w:rPr>
        <w:t xml:space="preserve">in </w:t>
      </w:r>
      <w:r w:rsidRPr="00BC64FA">
        <w:rPr>
          <w:rFonts w:ascii="Arial" w:hAnsi="Arial" w:cs="Arial"/>
          <w:color w:val="000000" w:themeColor="text1"/>
          <w:sz w:val="20"/>
          <w:szCs w:val="20"/>
        </w:rPr>
        <w:t>Qatar.</w:t>
      </w:r>
      <w:r w:rsidR="00806548">
        <w:rPr>
          <w:rFonts w:ascii="Arial" w:hAnsi="Arial" w:cs="Arial"/>
          <w:color w:val="000000" w:themeColor="text1"/>
          <w:sz w:val="20"/>
          <w:szCs w:val="20"/>
        </w:rPr>
        <w:t xml:space="preserve"> </w:t>
      </w:r>
    </w:p>
    <w:p w14:paraId="5AFCB77E" w14:textId="77777777" w:rsidR="0086383C" w:rsidRDefault="00806548" w:rsidP="00164454">
      <w:pPr>
        <w:spacing w:before="120" w:after="120"/>
        <w:jc w:val="both"/>
        <w:rPr>
          <w:rFonts w:ascii="Arial" w:hAnsi="Arial" w:cs="Arial"/>
          <w:color w:val="000000" w:themeColor="text1"/>
          <w:sz w:val="20"/>
          <w:szCs w:val="20"/>
        </w:rPr>
      </w:pPr>
      <w:r>
        <w:rPr>
          <w:rFonts w:ascii="Arial" w:hAnsi="Arial" w:cs="Arial"/>
          <w:color w:val="000000" w:themeColor="text1"/>
          <w:sz w:val="20"/>
          <w:szCs w:val="20"/>
        </w:rPr>
        <w:t xml:space="preserve">Inclusion criteria: </w:t>
      </w:r>
    </w:p>
    <w:p w14:paraId="562E3B11" w14:textId="7F46D23F" w:rsidR="0086383C" w:rsidRPr="0086383C" w:rsidRDefault="0086383C" w:rsidP="0086383C">
      <w:pPr>
        <w:pStyle w:val="ListParagraph"/>
        <w:numPr>
          <w:ilvl w:val="0"/>
          <w:numId w:val="15"/>
        </w:numPr>
        <w:spacing w:before="120" w:after="120"/>
        <w:jc w:val="both"/>
        <w:rPr>
          <w:rFonts w:ascii="Arial" w:hAnsi="Arial" w:cs="Arial"/>
          <w:color w:val="000000" w:themeColor="text1"/>
          <w:sz w:val="20"/>
          <w:szCs w:val="20"/>
        </w:rPr>
      </w:pPr>
      <w:r w:rsidRPr="0086383C">
        <w:rPr>
          <w:rFonts w:ascii="Arial" w:hAnsi="Arial" w:cs="Arial"/>
          <w:color w:val="000000" w:themeColor="text1"/>
          <w:sz w:val="20"/>
          <w:szCs w:val="20"/>
        </w:rPr>
        <w:t>Indonesian nurses with more than one year of experience working in a healthcare facility in Qatar.</w:t>
      </w:r>
    </w:p>
    <w:p w14:paraId="385B720D" w14:textId="3E3DAF48" w:rsidR="0086383C" w:rsidRPr="0086383C" w:rsidRDefault="0086383C" w:rsidP="0086383C">
      <w:pPr>
        <w:pStyle w:val="ListParagraph"/>
        <w:numPr>
          <w:ilvl w:val="0"/>
          <w:numId w:val="15"/>
        </w:numPr>
        <w:spacing w:before="120" w:after="120"/>
        <w:jc w:val="both"/>
        <w:rPr>
          <w:rFonts w:ascii="Arial" w:hAnsi="Arial" w:cs="Arial"/>
          <w:color w:val="000000" w:themeColor="text1"/>
          <w:sz w:val="20"/>
          <w:szCs w:val="20"/>
        </w:rPr>
      </w:pPr>
      <w:r w:rsidRPr="0086383C">
        <w:rPr>
          <w:rFonts w:ascii="Arial" w:hAnsi="Arial" w:cs="Arial"/>
          <w:color w:val="000000" w:themeColor="text1"/>
          <w:sz w:val="20"/>
          <w:szCs w:val="20"/>
        </w:rPr>
        <w:t>Indonesian nurses holding nursing license from MOPH Qatar.</w:t>
      </w:r>
    </w:p>
    <w:p w14:paraId="5C4B7255" w14:textId="1804890D" w:rsidR="003D13A9" w:rsidRPr="00BC64FA" w:rsidRDefault="00663668" w:rsidP="00164454">
      <w:pPr>
        <w:pStyle w:val="Heading2"/>
        <w:spacing w:before="120" w:after="120"/>
        <w:jc w:val="both"/>
        <w:rPr>
          <w:rFonts w:ascii="Arial" w:hAnsi="Arial" w:cs="Arial"/>
          <w:bCs/>
          <w:color w:val="000000" w:themeColor="text1"/>
          <w:sz w:val="20"/>
          <w:szCs w:val="20"/>
        </w:rPr>
      </w:pPr>
      <w:r w:rsidRPr="00BC64FA">
        <w:rPr>
          <w:rFonts w:ascii="Arial" w:hAnsi="Arial" w:cs="Arial"/>
          <w:bCs/>
          <w:color w:val="000000" w:themeColor="text1"/>
          <w:sz w:val="20"/>
          <w:szCs w:val="20"/>
        </w:rPr>
        <w:lastRenderedPageBreak/>
        <w:t xml:space="preserve">3.3. </w:t>
      </w:r>
      <w:r w:rsidR="00EA1A8F" w:rsidRPr="00BC64FA">
        <w:rPr>
          <w:rFonts w:ascii="Arial" w:hAnsi="Arial" w:cs="Arial"/>
          <w:bCs/>
          <w:color w:val="000000" w:themeColor="text1"/>
          <w:sz w:val="20"/>
          <w:szCs w:val="20"/>
        </w:rPr>
        <w:t>Data Collection</w:t>
      </w:r>
    </w:p>
    <w:p w14:paraId="2FF2D493" w14:textId="6973F953" w:rsidR="006446F6" w:rsidRDefault="006446F6" w:rsidP="00164454">
      <w:pPr>
        <w:spacing w:before="120" w:after="120"/>
        <w:jc w:val="both"/>
        <w:rPr>
          <w:rFonts w:ascii="Arial" w:hAnsi="Arial" w:cs="Arial"/>
          <w:color w:val="000000" w:themeColor="text1"/>
          <w:sz w:val="20"/>
          <w:szCs w:val="20"/>
        </w:rPr>
      </w:pPr>
      <w:r w:rsidRPr="006446F6">
        <w:rPr>
          <w:rFonts w:ascii="Arial" w:hAnsi="Arial" w:cs="Arial"/>
          <w:color w:val="000000" w:themeColor="text1"/>
          <w:sz w:val="20"/>
          <w:szCs w:val="20"/>
        </w:rPr>
        <w:t xml:space="preserve">Both written and verbal consent were obtained, and strict procedures were followed to maintain participant confidentiality, protect their identities, and securely store all audio files and transcript data. Data were collected using semi-structured interviews, which allowed participants to freely share their experiences while enabling the researcher to probe more deeply into specific aspects of resilience </w:t>
      </w:r>
      <w:r w:rsidR="00B83A8A" w:rsidRPr="00BC64FA">
        <w:rPr>
          <w:rFonts w:ascii="Arial" w:hAnsi="Arial" w:cs="Arial"/>
          <w:color w:val="000000" w:themeColor="text1"/>
          <w:sz w:val="20"/>
          <w:szCs w:val="20"/>
        </w:rPr>
        <w:fldChar w:fldCharType="begin" w:fldLock="1"/>
      </w:r>
      <w:r w:rsidR="00746BFC" w:rsidRPr="00BC64FA">
        <w:rPr>
          <w:rFonts w:ascii="Arial" w:hAnsi="Arial" w:cs="Arial"/>
          <w:color w:val="000000" w:themeColor="text1"/>
          <w:sz w:val="20"/>
          <w:szCs w:val="20"/>
        </w:rPr>
        <w:instrText>ADDIN CSL_CITATION {"citationItems":[{"id":"ITEM-1","itemData":{"DOI":"10.1002/jac5.1441","ISSN":"2574-9870","abstract":"The popularity and value of qualitative research has increasingly been recognized in health and pharmacy services research. Although there is certainly an appropriate place in qualitative research for other data collection methods, a primary benefit of the semi</w:instrText>
      </w:r>
      <w:r w:rsidR="00746BFC" w:rsidRPr="00BC64FA">
        <w:rPr>
          <w:rFonts w:ascii="Cambria Math" w:hAnsi="Cambria Math" w:cs="Cambria Math"/>
          <w:color w:val="000000" w:themeColor="text1"/>
          <w:sz w:val="20"/>
          <w:szCs w:val="20"/>
        </w:rPr>
        <w:instrText>‐</w:instrText>
      </w:r>
      <w:r w:rsidR="00746BFC" w:rsidRPr="00BC64FA">
        <w:rPr>
          <w:rFonts w:ascii="Arial" w:hAnsi="Arial" w:cs="Arial"/>
          <w:color w:val="000000" w:themeColor="text1"/>
          <w:sz w:val="20"/>
          <w:szCs w:val="20"/>
        </w:rPr>
        <w:instrText>structured interview is that it permits interviews to be focused while still giving the investigator the autonomy to explore pertinent ideas that may come up in the course of the interview, which can further enhance understanding of the pharmacy service being assessed. The purpose of this narrative review is to summarize methodological considerations and procedures for conducting semi</w:instrText>
      </w:r>
      <w:r w:rsidR="00746BFC" w:rsidRPr="00BC64FA">
        <w:rPr>
          <w:rFonts w:ascii="Cambria Math" w:hAnsi="Cambria Math" w:cs="Cambria Math"/>
          <w:color w:val="000000" w:themeColor="text1"/>
          <w:sz w:val="20"/>
          <w:szCs w:val="20"/>
        </w:rPr>
        <w:instrText>‐</w:instrText>
      </w:r>
      <w:r w:rsidR="00746BFC" w:rsidRPr="00BC64FA">
        <w:rPr>
          <w:rFonts w:ascii="Arial" w:hAnsi="Arial" w:cs="Arial"/>
          <w:color w:val="000000" w:themeColor="text1"/>
          <w:sz w:val="20"/>
          <w:szCs w:val="20"/>
        </w:rPr>
        <w:instrText>structured interviews in pharmacy services research. In this article, we propose the Seven Steps to Conducting, Analyzing, and Reporting Semi</w:instrText>
      </w:r>
      <w:r w:rsidR="00746BFC" w:rsidRPr="00BC64FA">
        <w:rPr>
          <w:rFonts w:ascii="Cambria Math" w:hAnsi="Cambria Math" w:cs="Cambria Math"/>
          <w:color w:val="000000" w:themeColor="text1"/>
          <w:sz w:val="20"/>
          <w:szCs w:val="20"/>
        </w:rPr>
        <w:instrText>‐</w:instrText>
      </w:r>
      <w:r w:rsidR="00746BFC" w:rsidRPr="00BC64FA">
        <w:rPr>
          <w:rFonts w:ascii="Arial" w:hAnsi="Arial" w:cs="Arial"/>
          <w:color w:val="000000" w:themeColor="text1"/>
          <w:sz w:val="20"/>
          <w:szCs w:val="20"/>
        </w:rPr>
        <w:instrText>Structured Interview Data (7S CARS</w:instrText>
      </w:r>
      <w:r w:rsidR="00746BFC" w:rsidRPr="00BC64FA">
        <w:rPr>
          <w:rFonts w:ascii="Cambria Math" w:hAnsi="Cambria Math" w:cs="Cambria Math"/>
          <w:color w:val="000000" w:themeColor="text1"/>
          <w:sz w:val="20"/>
          <w:szCs w:val="20"/>
        </w:rPr>
        <w:instrText>‐</w:instrText>
      </w:r>
      <w:r w:rsidR="00746BFC" w:rsidRPr="00BC64FA">
        <w:rPr>
          <w:rFonts w:ascii="Arial" w:hAnsi="Arial" w:cs="Arial"/>
          <w:color w:val="000000" w:themeColor="text1"/>
          <w:sz w:val="20"/>
          <w:szCs w:val="20"/>
        </w:rPr>
        <w:instrText>SID) for Pharmacy Services Research. While many of the proposed steps can be applied to various qualitative methods and types of research, this narrative review intentionally focuses discussion on semi</w:instrText>
      </w:r>
      <w:r w:rsidR="00746BFC" w:rsidRPr="00BC64FA">
        <w:rPr>
          <w:rFonts w:ascii="Cambria Math" w:hAnsi="Cambria Math" w:cs="Cambria Math"/>
          <w:color w:val="000000" w:themeColor="text1"/>
          <w:sz w:val="20"/>
          <w:szCs w:val="20"/>
        </w:rPr>
        <w:instrText>‐</w:instrText>
      </w:r>
      <w:r w:rsidR="00746BFC" w:rsidRPr="00BC64FA">
        <w:rPr>
          <w:rFonts w:ascii="Arial" w:hAnsi="Arial" w:cs="Arial"/>
          <w:color w:val="000000" w:themeColor="text1"/>
          <w:sz w:val="20"/>
          <w:szCs w:val="20"/>
        </w:rPr>
        <w:instrText>structured interviews and pharmacy services research. These seven steps along with the cited resources and applicable examples provide novice qualitative researchers with a step</w:instrText>
      </w:r>
      <w:r w:rsidR="00746BFC" w:rsidRPr="00BC64FA">
        <w:rPr>
          <w:rFonts w:ascii="Cambria Math" w:hAnsi="Cambria Math" w:cs="Cambria Math"/>
          <w:color w:val="000000" w:themeColor="text1"/>
          <w:sz w:val="20"/>
          <w:szCs w:val="20"/>
        </w:rPr>
        <w:instrText>‐</w:instrText>
      </w:r>
      <w:r w:rsidR="00746BFC" w:rsidRPr="00BC64FA">
        <w:rPr>
          <w:rFonts w:ascii="Arial" w:hAnsi="Arial" w:cs="Arial"/>
          <w:color w:val="000000" w:themeColor="text1"/>
          <w:sz w:val="20"/>
          <w:szCs w:val="20"/>
        </w:rPr>
        <w:instrText>by</w:instrText>
      </w:r>
      <w:r w:rsidR="00746BFC" w:rsidRPr="00BC64FA">
        <w:rPr>
          <w:rFonts w:ascii="Cambria Math" w:hAnsi="Cambria Math" w:cs="Cambria Math"/>
          <w:color w:val="000000" w:themeColor="text1"/>
          <w:sz w:val="20"/>
          <w:szCs w:val="20"/>
        </w:rPr>
        <w:instrText>‐</w:instrText>
      </w:r>
      <w:r w:rsidR="00746BFC" w:rsidRPr="00BC64FA">
        <w:rPr>
          <w:rFonts w:ascii="Arial" w:hAnsi="Arial" w:cs="Arial"/>
          <w:color w:val="000000" w:themeColor="text1"/>
          <w:sz w:val="20"/>
          <w:szCs w:val="20"/>
        </w:rPr>
        <w:instrText>step introductory guide to conducting qualitative pharmacy services research using semi</w:instrText>
      </w:r>
      <w:r w:rsidR="00746BFC" w:rsidRPr="00BC64FA">
        <w:rPr>
          <w:rFonts w:ascii="Cambria Math" w:hAnsi="Cambria Math" w:cs="Cambria Math"/>
          <w:color w:val="000000" w:themeColor="text1"/>
          <w:sz w:val="20"/>
          <w:szCs w:val="20"/>
        </w:rPr>
        <w:instrText>‐</w:instrText>
      </w:r>
      <w:r w:rsidR="00746BFC" w:rsidRPr="00BC64FA">
        <w:rPr>
          <w:rFonts w:ascii="Arial" w:hAnsi="Arial" w:cs="Arial"/>
          <w:color w:val="000000" w:themeColor="text1"/>
          <w:sz w:val="20"/>
          <w:szCs w:val="20"/>
        </w:rPr>
        <w:instrText>structured interview methods. Finally, the 7S CARS</w:instrText>
      </w:r>
      <w:r w:rsidR="00746BFC" w:rsidRPr="00BC64FA">
        <w:rPr>
          <w:rFonts w:ascii="Cambria Math" w:hAnsi="Cambria Math" w:cs="Cambria Math"/>
          <w:color w:val="000000" w:themeColor="text1"/>
          <w:sz w:val="20"/>
          <w:szCs w:val="20"/>
        </w:rPr>
        <w:instrText>‐</w:instrText>
      </w:r>
      <w:r w:rsidR="00746BFC" w:rsidRPr="00BC64FA">
        <w:rPr>
          <w:rFonts w:ascii="Arial" w:hAnsi="Arial" w:cs="Arial"/>
          <w:color w:val="000000" w:themeColor="text1"/>
          <w:sz w:val="20"/>
          <w:szCs w:val="20"/>
        </w:rPr>
        <w:instrText>SID for Pharmacy Services Research is intended to be a tool for assisting readers, reviewers, and editors of the Journal of the American College of Clinical Pharmacy to better understand the methodology behind qualitative research papers using semi</w:instrText>
      </w:r>
      <w:r w:rsidR="00746BFC" w:rsidRPr="00BC64FA">
        <w:rPr>
          <w:rFonts w:ascii="Cambria Math" w:hAnsi="Cambria Math" w:cs="Cambria Math"/>
          <w:color w:val="000000" w:themeColor="text1"/>
          <w:sz w:val="20"/>
          <w:szCs w:val="20"/>
        </w:rPr>
        <w:instrText>‐</w:instrText>
      </w:r>
      <w:r w:rsidR="00746BFC" w:rsidRPr="00BC64FA">
        <w:rPr>
          <w:rFonts w:ascii="Arial" w:hAnsi="Arial" w:cs="Arial"/>
          <w:color w:val="000000" w:themeColor="text1"/>
          <w:sz w:val="20"/>
          <w:szCs w:val="20"/>
        </w:rPr>
        <w:instrText>structured interview methods.","author":[{"dropping-particle":"","family":"Adeoye</w:instrText>
      </w:r>
      <w:r w:rsidR="00746BFC" w:rsidRPr="00BC64FA">
        <w:rPr>
          <w:rFonts w:ascii="Cambria Math" w:hAnsi="Cambria Math" w:cs="Cambria Math"/>
          <w:color w:val="000000" w:themeColor="text1"/>
          <w:sz w:val="20"/>
          <w:szCs w:val="20"/>
        </w:rPr>
        <w:instrText>‐</w:instrText>
      </w:r>
      <w:r w:rsidR="00746BFC" w:rsidRPr="00BC64FA">
        <w:rPr>
          <w:rFonts w:ascii="Arial" w:hAnsi="Arial" w:cs="Arial"/>
          <w:color w:val="000000" w:themeColor="text1"/>
          <w:sz w:val="20"/>
          <w:szCs w:val="20"/>
        </w:rPr>
        <w:instrText>Olatunde","given":"Omolola A.","non-dropping-particle":"","parse-names":false,"suffix":""},{"dropping-particle":"","family":"Olenik","given":"Nicole L.","non-dropping-particle":"","parse-names":false,"suffix":""}],"container-title":"JACCP: JOURNAL OF THE AMERICAN COLLEGE OF CLINICAL PHARMACY","id":"ITEM-1","issue":"10","issued":{"date-parts":[["2021","10","2"]]},"page":"1358-1367","title":"Research and scholarly methods: Semi</w:instrText>
      </w:r>
      <w:r w:rsidR="00746BFC" w:rsidRPr="00BC64FA">
        <w:rPr>
          <w:rFonts w:ascii="Cambria Math" w:hAnsi="Cambria Math" w:cs="Cambria Math"/>
          <w:color w:val="000000" w:themeColor="text1"/>
          <w:sz w:val="20"/>
          <w:szCs w:val="20"/>
        </w:rPr>
        <w:instrText>‐</w:instrText>
      </w:r>
      <w:r w:rsidR="00746BFC" w:rsidRPr="00BC64FA">
        <w:rPr>
          <w:rFonts w:ascii="Arial" w:hAnsi="Arial" w:cs="Arial"/>
          <w:color w:val="000000" w:themeColor="text1"/>
          <w:sz w:val="20"/>
          <w:szCs w:val="20"/>
        </w:rPr>
        <w:instrText>structured interviews","type":"article-journal","volume":"4"},"uris":["http://www.mendeley.com/documents/?uuid=d4696a2c-3e5f-4f86-b927-ab1fdb61f807"]}],"mendeley":{"formattedCitation":"(Adeoye</w:instrText>
      </w:r>
      <w:r w:rsidR="00746BFC" w:rsidRPr="00BC64FA">
        <w:rPr>
          <w:rFonts w:ascii="Cambria Math" w:hAnsi="Cambria Math" w:cs="Cambria Math"/>
          <w:color w:val="000000" w:themeColor="text1"/>
          <w:sz w:val="20"/>
          <w:szCs w:val="20"/>
        </w:rPr>
        <w:instrText>‐</w:instrText>
      </w:r>
      <w:r w:rsidR="00746BFC" w:rsidRPr="00BC64FA">
        <w:rPr>
          <w:rFonts w:ascii="Arial" w:hAnsi="Arial" w:cs="Arial"/>
          <w:color w:val="000000" w:themeColor="text1"/>
          <w:sz w:val="20"/>
          <w:szCs w:val="20"/>
        </w:rPr>
        <w:instrText>Olatunde &amp; Olenik, 2021)","plainTextFormattedCitation":"(Adeoye</w:instrText>
      </w:r>
      <w:r w:rsidR="00746BFC" w:rsidRPr="00BC64FA">
        <w:rPr>
          <w:rFonts w:ascii="Cambria Math" w:hAnsi="Cambria Math" w:cs="Cambria Math"/>
          <w:color w:val="000000" w:themeColor="text1"/>
          <w:sz w:val="20"/>
          <w:szCs w:val="20"/>
        </w:rPr>
        <w:instrText>‐</w:instrText>
      </w:r>
      <w:r w:rsidR="00746BFC" w:rsidRPr="00BC64FA">
        <w:rPr>
          <w:rFonts w:ascii="Arial" w:hAnsi="Arial" w:cs="Arial"/>
          <w:color w:val="000000" w:themeColor="text1"/>
          <w:sz w:val="20"/>
          <w:szCs w:val="20"/>
        </w:rPr>
        <w:instrText>Olatunde &amp; Olenik, 2021)","previouslyFormattedCitation":"(Adeoye</w:instrText>
      </w:r>
      <w:r w:rsidR="00746BFC" w:rsidRPr="00BC64FA">
        <w:rPr>
          <w:rFonts w:ascii="Cambria Math" w:hAnsi="Cambria Math" w:cs="Cambria Math"/>
          <w:color w:val="000000" w:themeColor="text1"/>
          <w:sz w:val="20"/>
          <w:szCs w:val="20"/>
        </w:rPr>
        <w:instrText>‐</w:instrText>
      </w:r>
      <w:r w:rsidR="00746BFC" w:rsidRPr="00BC64FA">
        <w:rPr>
          <w:rFonts w:ascii="Arial" w:hAnsi="Arial" w:cs="Arial"/>
          <w:color w:val="000000" w:themeColor="text1"/>
          <w:sz w:val="20"/>
          <w:szCs w:val="20"/>
        </w:rPr>
        <w:instrText>Olatunde &amp; Olenik, 2021)"},"properties":{"noteIndex":0},"schema":"https://github.com/citation-style-language/schema/raw/master/csl-citation.json"}</w:instrText>
      </w:r>
      <w:r w:rsidR="00B83A8A" w:rsidRPr="00BC64FA">
        <w:rPr>
          <w:rFonts w:ascii="Arial" w:hAnsi="Arial" w:cs="Arial"/>
          <w:color w:val="000000" w:themeColor="text1"/>
          <w:sz w:val="20"/>
          <w:szCs w:val="20"/>
        </w:rPr>
        <w:fldChar w:fldCharType="separate"/>
      </w:r>
      <w:r w:rsidR="00B83A8A" w:rsidRPr="00BC64FA">
        <w:rPr>
          <w:rFonts w:ascii="Arial" w:hAnsi="Arial" w:cs="Arial"/>
          <w:noProof/>
          <w:color w:val="000000" w:themeColor="text1"/>
          <w:sz w:val="20"/>
          <w:szCs w:val="20"/>
        </w:rPr>
        <w:t>(Adeoye</w:t>
      </w:r>
      <w:r w:rsidR="00B83A8A" w:rsidRPr="00BC64FA">
        <w:rPr>
          <w:rFonts w:ascii="Cambria Math" w:hAnsi="Cambria Math" w:cs="Cambria Math"/>
          <w:noProof/>
          <w:color w:val="000000" w:themeColor="text1"/>
          <w:sz w:val="20"/>
          <w:szCs w:val="20"/>
        </w:rPr>
        <w:t>‐</w:t>
      </w:r>
      <w:r w:rsidR="00B83A8A" w:rsidRPr="00BC64FA">
        <w:rPr>
          <w:rFonts w:ascii="Arial" w:hAnsi="Arial" w:cs="Arial"/>
          <w:noProof/>
          <w:color w:val="000000" w:themeColor="text1"/>
          <w:sz w:val="20"/>
          <w:szCs w:val="20"/>
        </w:rPr>
        <w:t>Olatunde &amp; Olenik, 2021)</w:t>
      </w:r>
      <w:r w:rsidR="00B83A8A" w:rsidRPr="00BC64FA">
        <w:rPr>
          <w:rFonts w:ascii="Arial" w:hAnsi="Arial" w:cs="Arial"/>
          <w:color w:val="000000" w:themeColor="text1"/>
          <w:sz w:val="20"/>
          <w:szCs w:val="20"/>
        </w:rPr>
        <w:fldChar w:fldCharType="end"/>
      </w:r>
      <w:r w:rsidR="000B1717" w:rsidRPr="00BC64FA">
        <w:rPr>
          <w:rFonts w:ascii="Arial" w:hAnsi="Arial" w:cs="Arial"/>
          <w:color w:val="000000" w:themeColor="text1"/>
          <w:sz w:val="20"/>
          <w:szCs w:val="20"/>
        </w:rPr>
        <w:t xml:space="preserve">. </w:t>
      </w:r>
      <w:r>
        <w:rPr>
          <w:rFonts w:ascii="Arial" w:hAnsi="Arial" w:cs="Arial"/>
          <w:color w:val="000000" w:themeColor="text1"/>
          <w:sz w:val="20"/>
          <w:szCs w:val="20"/>
        </w:rPr>
        <w:t xml:space="preserve"> </w:t>
      </w:r>
      <w:r w:rsidRPr="006446F6">
        <w:rPr>
          <w:rFonts w:ascii="Arial" w:hAnsi="Arial" w:cs="Arial"/>
          <w:color w:val="000000" w:themeColor="text1"/>
          <w:sz w:val="20"/>
          <w:szCs w:val="20"/>
        </w:rPr>
        <w:t>Each interview lasted 45–60 minutes and was conducted in a private setting to ensure confidentiality. All interviews were audio-recorded with participants’ consent and transcribed verbatim for analysis.</w:t>
      </w:r>
    </w:p>
    <w:p w14:paraId="22830B67" w14:textId="5E51340A" w:rsidR="00537BA1" w:rsidRPr="00BC64FA" w:rsidRDefault="00663668" w:rsidP="00164454">
      <w:pPr>
        <w:pStyle w:val="Heading2"/>
        <w:spacing w:before="120" w:after="120"/>
        <w:jc w:val="both"/>
        <w:rPr>
          <w:rFonts w:ascii="Arial" w:eastAsia="Times New Roman" w:hAnsi="Arial" w:cs="Arial"/>
          <w:bCs/>
          <w:color w:val="000000" w:themeColor="text1"/>
          <w:sz w:val="20"/>
          <w:szCs w:val="20"/>
        </w:rPr>
      </w:pPr>
      <w:r w:rsidRPr="00BC64FA">
        <w:rPr>
          <w:rFonts w:ascii="Arial" w:eastAsiaTheme="minorHAnsi" w:hAnsi="Arial" w:cs="Arial"/>
          <w:bCs/>
          <w:color w:val="000000" w:themeColor="text1"/>
          <w:sz w:val="20"/>
          <w:szCs w:val="20"/>
        </w:rPr>
        <w:t xml:space="preserve">3.4. </w:t>
      </w:r>
      <w:r w:rsidR="00537BA1" w:rsidRPr="00BC64FA">
        <w:rPr>
          <w:rFonts w:ascii="Arial" w:eastAsiaTheme="minorHAnsi" w:hAnsi="Arial" w:cs="Arial"/>
          <w:bCs/>
          <w:color w:val="000000" w:themeColor="text1"/>
          <w:sz w:val="20"/>
          <w:szCs w:val="20"/>
        </w:rPr>
        <w:t>Interview</w:t>
      </w:r>
      <w:r w:rsidR="00537BA1" w:rsidRPr="00BC64FA">
        <w:rPr>
          <w:rFonts w:ascii="Arial" w:eastAsia="Times New Roman" w:hAnsi="Arial" w:cs="Arial"/>
          <w:bCs/>
          <w:color w:val="000000" w:themeColor="text1"/>
          <w:sz w:val="20"/>
          <w:szCs w:val="20"/>
        </w:rPr>
        <w:t xml:space="preserve"> Guide Mapping:</w:t>
      </w:r>
    </w:p>
    <w:p w14:paraId="18592B6A" w14:textId="6DDD556E" w:rsidR="00537BA1" w:rsidRPr="00A01CCB" w:rsidRDefault="00537BA1" w:rsidP="00156506">
      <w:pPr>
        <w:numPr>
          <w:ilvl w:val="0"/>
          <w:numId w:val="9"/>
        </w:numPr>
        <w:spacing w:before="120" w:after="120"/>
        <w:jc w:val="both"/>
        <w:rPr>
          <w:rFonts w:ascii="Arial" w:eastAsia="Times New Roman" w:hAnsi="Arial" w:cs="Arial"/>
          <w:color w:val="000000" w:themeColor="text1"/>
          <w:kern w:val="0"/>
          <w:sz w:val="20"/>
          <w:szCs w:val="20"/>
          <w14:ligatures w14:val="none"/>
        </w:rPr>
      </w:pPr>
      <w:r w:rsidRPr="00A01CCB">
        <w:rPr>
          <w:rFonts w:ascii="Arial" w:eastAsia="Times New Roman" w:hAnsi="Arial" w:cs="Arial"/>
          <w:color w:val="000000" w:themeColor="text1"/>
          <w:kern w:val="0"/>
          <w:sz w:val="20"/>
          <w:szCs w:val="20"/>
          <w14:ligatures w14:val="none"/>
        </w:rPr>
        <w:t>“Describe a recent high</w:t>
      </w:r>
      <w:r w:rsidRPr="00A01CCB">
        <w:rPr>
          <w:rFonts w:ascii="Arial" w:eastAsia="Times New Roman" w:hAnsi="Arial" w:cs="Arial"/>
          <w:color w:val="000000" w:themeColor="text1"/>
          <w:kern w:val="0"/>
          <w:sz w:val="20"/>
          <w:szCs w:val="20"/>
          <w14:ligatures w14:val="none"/>
        </w:rPr>
        <w:noBreakHyphen/>
        <w:t>pressure shift. How did you manage?”</w:t>
      </w:r>
    </w:p>
    <w:p w14:paraId="2FE34671" w14:textId="5F2340D7" w:rsidR="00537BA1" w:rsidRPr="00BC64FA" w:rsidRDefault="00537BA1" w:rsidP="00156506">
      <w:pPr>
        <w:numPr>
          <w:ilvl w:val="0"/>
          <w:numId w:val="9"/>
        </w:numPr>
        <w:spacing w:before="120" w:after="120"/>
        <w:jc w:val="both"/>
        <w:rPr>
          <w:rFonts w:ascii="Arial" w:eastAsia="Times New Roman" w:hAnsi="Arial" w:cs="Arial"/>
          <w:color w:val="000000" w:themeColor="text1"/>
          <w:kern w:val="0"/>
          <w:sz w:val="20"/>
          <w:szCs w:val="20"/>
          <w14:ligatures w14:val="none"/>
        </w:rPr>
      </w:pPr>
      <w:r w:rsidRPr="00BC64FA">
        <w:rPr>
          <w:rFonts w:ascii="Arial" w:eastAsia="Times New Roman" w:hAnsi="Arial" w:cs="Arial"/>
          <w:color w:val="000000" w:themeColor="text1"/>
          <w:kern w:val="0"/>
          <w:sz w:val="20"/>
          <w:szCs w:val="20"/>
          <w14:ligatures w14:val="none"/>
        </w:rPr>
        <w:t xml:space="preserve"> “What strategies help when patients/families don’t share your language?”</w:t>
      </w:r>
    </w:p>
    <w:p w14:paraId="3D123B16" w14:textId="23DCDAAB" w:rsidR="00537BA1" w:rsidRPr="00BC64FA" w:rsidRDefault="00537BA1" w:rsidP="00156506">
      <w:pPr>
        <w:numPr>
          <w:ilvl w:val="0"/>
          <w:numId w:val="9"/>
        </w:numPr>
        <w:spacing w:before="120" w:after="120"/>
        <w:jc w:val="both"/>
        <w:rPr>
          <w:rFonts w:ascii="Arial" w:eastAsia="Times New Roman" w:hAnsi="Arial" w:cs="Arial"/>
          <w:color w:val="000000" w:themeColor="text1"/>
          <w:kern w:val="0"/>
          <w:sz w:val="20"/>
          <w:szCs w:val="20"/>
          <w14:ligatures w14:val="none"/>
        </w:rPr>
      </w:pPr>
      <w:r w:rsidRPr="00BC64FA">
        <w:rPr>
          <w:rFonts w:ascii="Arial" w:eastAsia="Times New Roman" w:hAnsi="Arial" w:cs="Arial"/>
          <w:color w:val="000000" w:themeColor="text1"/>
          <w:kern w:val="0"/>
          <w:sz w:val="20"/>
          <w:szCs w:val="20"/>
          <w14:ligatures w14:val="none"/>
        </w:rPr>
        <w:t>“What personal or team practices help you recover after difficult cases?”</w:t>
      </w:r>
    </w:p>
    <w:p w14:paraId="7F719341" w14:textId="1C8DC9DF" w:rsidR="00537BA1" w:rsidRPr="00BC64FA" w:rsidRDefault="00537BA1" w:rsidP="00156506">
      <w:pPr>
        <w:numPr>
          <w:ilvl w:val="0"/>
          <w:numId w:val="9"/>
        </w:numPr>
        <w:spacing w:before="120" w:after="120"/>
        <w:jc w:val="both"/>
        <w:rPr>
          <w:rFonts w:ascii="Arial" w:eastAsia="Times New Roman" w:hAnsi="Arial" w:cs="Arial"/>
          <w:color w:val="000000" w:themeColor="text1"/>
          <w:kern w:val="0"/>
          <w:sz w:val="20"/>
          <w:szCs w:val="20"/>
          <w14:ligatures w14:val="none"/>
        </w:rPr>
      </w:pPr>
      <w:r w:rsidRPr="00BC64FA">
        <w:rPr>
          <w:rFonts w:ascii="Arial" w:eastAsia="Times New Roman" w:hAnsi="Arial" w:cs="Arial"/>
          <w:color w:val="000000" w:themeColor="text1"/>
          <w:kern w:val="0"/>
          <w:sz w:val="20"/>
          <w:szCs w:val="20"/>
          <w14:ligatures w14:val="none"/>
        </w:rPr>
        <w:t>“Which policies or trainings have strengthened your resilience?”</w:t>
      </w:r>
    </w:p>
    <w:p w14:paraId="4F25D1E0" w14:textId="13AE90D4" w:rsidR="00EA1A8F" w:rsidRPr="00BC64FA" w:rsidRDefault="00663668" w:rsidP="00164454">
      <w:pPr>
        <w:pStyle w:val="Heading2"/>
        <w:spacing w:before="120" w:after="120"/>
        <w:jc w:val="both"/>
        <w:rPr>
          <w:rFonts w:ascii="Arial" w:hAnsi="Arial" w:cs="Arial"/>
          <w:bCs/>
          <w:color w:val="000000" w:themeColor="text1"/>
          <w:sz w:val="20"/>
          <w:szCs w:val="20"/>
        </w:rPr>
      </w:pPr>
      <w:r w:rsidRPr="00BC64FA">
        <w:rPr>
          <w:rFonts w:ascii="Arial" w:hAnsi="Arial" w:cs="Arial"/>
          <w:bCs/>
          <w:color w:val="000000" w:themeColor="text1"/>
          <w:sz w:val="20"/>
          <w:szCs w:val="20"/>
        </w:rPr>
        <w:t xml:space="preserve">3.5. </w:t>
      </w:r>
      <w:r w:rsidR="00032F42" w:rsidRPr="00BC64FA">
        <w:rPr>
          <w:rFonts w:ascii="Arial" w:hAnsi="Arial" w:cs="Arial"/>
          <w:bCs/>
          <w:color w:val="000000" w:themeColor="text1"/>
          <w:sz w:val="20"/>
          <w:szCs w:val="20"/>
        </w:rPr>
        <w:t xml:space="preserve">Thematic </w:t>
      </w:r>
      <w:r w:rsidR="00EA1A8F" w:rsidRPr="00BC64FA">
        <w:rPr>
          <w:rFonts w:ascii="Arial" w:hAnsi="Arial" w:cs="Arial"/>
          <w:bCs/>
          <w:color w:val="000000" w:themeColor="text1"/>
          <w:sz w:val="20"/>
          <w:szCs w:val="20"/>
        </w:rPr>
        <w:t>Analysis</w:t>
      </w:r>
    </w:p>
    <w:p w14:paraId="2F20E0CE" w14:textId="21F6DA17" w:rsidR="00B71047" w:rsidRPr="00BC64FA" w:rsidRDefault="00663668" w:rsidP="00164454">
      <w:pPr>
        <w:pStyle w:val="Heading3"/>
        <w:spacing w:before="120" w:after="120"/>
        <w:rPr>
          <w:rFonts w:ascii="Arial" w:hAnsi="Arial" w:cs="Arial"/>
          <w:sz w:val="20"/>
          <w:szCs w:val="20"/>
        </w:rPr>
      </w:pPr>
      <w:r w:rsidRPr="00BC64FA">
        <w:rPr>
          <w:rFonts w:ascii="Arial" w:hAnsi="Arial" w:cs="Arial"/>
          <w:sz w:val="20"/>
          <w:szCs w:val="20"/>
        </w:rPr>
        <w:t xml:space="preserve">3.5.1. </w:t>
      </w:r>
      <w:r w:rsidR="00537BA1" w:rsidRPr="00BC64FA">
        <w:rPr>
          <w:rFonts w:ascii="Arial" w:hAnsi="Arial" w:cs="Arial"/>
          <w:sz w:val="20"/>
          <w:szCs w:val="20"/>
        </w:rPr>
        <w:t>Purpose of Thematic Analysis</w:t>
      </w:r>
    </w:p>
    <w:p w14:paraId="59225022" w14:textId="25FE7D7D" w:rsidR="00537BA1" w:rsidRPr="00BC64FA" w:rsidRDefault="00537BA1"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Thematic analysis is a qualitative method used to identify, analyze, and report patterns (themes) within data. For </w:t>
      </w:r>
      <w:r w:rsidR="00032F42" w:rsidRPr="00BC64FA">
        <w:rPr>
          <w:rFonts w:ascii="Arial" w:hAnsi="Arial" w:cs="Arial"/>
          <w:color w:val="000000" w:themeColor="text1"/>
          <w:sz w:val="20"/>
          <w:szCs w:val="20"/>
        </w:rPr>
        <w:t>my</w:t>
      </w:r>
      <w:r w:rsidRPr="00BC64FA">
        <w:rPr>
          <w:rFonts w:ascii="Arial" w:hAnsi="Arial" w:cs="Arial"/>
          <w:color w:val="000000" w:themeColor="text1"/>
          <w:sz w:val="20"/>
          <w:szCs w:val="20"/>
        </w:rPr>
        <w:t xml:space="preserve"> research on resilience among Indonesian nurses in Qatar, thematic analysis will help uncover recurring ideas, coping strategies, and organizational factors that shape resilience in high-pressure healthcare environments.</w:t>
      </w:r>
    </w:p>
    <w:p w14:paraId="1B8E8316" w14:textId="4E43ABA2" w:rsidR="00537BA1" w:rsidRPr="00BC64FA" w:rsidRDefault="00663668" w:rsidP="00164454">
      <w:pPr>
        <w:pStyle w:val="Heading3"/>
        <w:spacing w:before="120" w:after="120"/>
        <w:rPr>
          <w:rFonts w:ascii="Arial" w:hAnsi="Arial" w:cs="Arial"/>
          <w:sz w:val="20"/>
          <w:szCs w:val="20"/>
        </w:rPr>
      </w:pPr>
      <w:r w:rsidRPr="00BC64FA">
        <w:rPr>
          <w:rFonts w:ascii="Arial" w:hAnsi="Arial" w:cs="Arial"/>
          <w:sz w:val="20"/>
          <w:szCs w:val="20"/>
        </w:rPr>
        <w:t xml:space="preserve">3.5.2. </w:t>
      </w:r>
      <w:r w:rsidR="00537BA1" w:rsidRPr="00BC64FA">
        <w:rPr>
          <w:rFonts w:ascii="Arial" w:hAnsi="Arial" w:cs="Arial"/>
          <w:sz w:val="20"/>
          <w:szCs w:val="20"/>
        </w:rPr>
        <w:t>Steps in Thematic Analysis Using NVivo</w:t>
      </w:r>
    </w:p>
    <w:p w14:paraId="4547B005" w14:textId="77777777" w:rsidR="00537BA1" w:rsidRPr="00BC64FA" w:rsidRDefault="00537BA1" w:rsidP="00164454">
      <w:pPr>
        <w:spacing w:before="120" w:after="120"/>
        <w:ind w:left="720"/>
        <w:jc w:val="both"/>
        <w:rPr>
          <w:rFonts w:ascii="Arial" w:hAnsi="Arial" w:cs="Arial"/>
          <w:color w:val="000000" w:themeColor="text1"/>
          <w:sz w:val="20"/>
          <w:szCs w:val="20"/>
        </w:rPr>
      </w:pPr>
      <w:r w:rsidRPr="00BC64FA">
        <w:rPr>
          <w:rFonts w:ascii="Arial" w:hAnsi="Arial" w:cs="Arial"/>
          <w:color w:val="000000" w:themeColor="text1"/>
          <w:sz w:val="20"/>
          <w:szCs w:val="20"/>
        </w:rPr>
        <w:t>Step 1: Data Preparation</w:t>
      </w:r>
    </w:p>
    <w:p w14:paraId="6A387F2A" w14:textId="442070F0" w:rsidR="00537BA1" w:rsidRPr="00BC64FA" w:rsidRDefault="00537BA1" w:rsidP="00156506">
      <w:pPr>
        <w:numPr>
          <w:ilvl w:val="0"/>
          <w:numId w:val="1"/>
        </w:numPr>
        <w:tabs>
          <w:tab w:val="clear" w:pos="1440"/>
          <w:tab w:val="num" w:pos="108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 xml:space="preserve">Import </w:t>
      </w:r>
      <w:r w:rsidR="00D70A89" w:rsidRPr="00BC64FA">
        <w:rPr>
          <w:rFonts w:ascii="Arial" w:hAnsi="Arial" w:cs="Arial"/>
          <w:color w:val="000000" w:themeColor="text1"/>
          <w:sz w:val="20"/>
          <w:szCs w:val="20"/>
        </w:rPr>
        <w:t>qualitative</w:t>
      </w:r>
      <w:r w:rsidRPr="00BC64FA">
        <w:rPr>
          <w:rFonts w:ascii="Arial" w:hAnsi="Arial" w:cs="Arial"/>
          <w:color w:val="000000" w:themeColor="text1"/>
          <w:sz w:val="20"/>
          <w:szCs w:val="20"/>
        </w:rPr>
        <w:t xml:space="preserve"> data (interview transcripts, focus group notes, or open-ended survey responses) into NVivo.</w:t>
      </w:r>
    </w:p>
    <w:p w14:paraId="147355D0" w14:textId="77777777" w:rsidR="00537BA1" w:rsidRPr="00BC64FA" w:rsidRDefault="00537BA1" w:rsidP="00156506">
      <w:pPr>
        <w:numPr>
          <w:ilvl w:val="0"/>
          <w:numId w:val="1"/>
        </w:numPr>
        <w:tabs>
          <w:tab w:val="clear" w:pos="1440"/>
          <w:tab w:val="num" w:pos="108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Ensure transcripts are clean and anonymized for confidentiality.</w:t>
      </w:r>
    </w:p>
    <w:p w14:paraId="27AFC117" w14:textId="77777777" w:rsidR="00537BA1" w:rsidRPr="00BC64FA" w:rsidRDefault="00537BA1" w:rsidP="00164454">
      <w:pPr>
        <w:spacing w:before="120" w:after="120"/>
        <w:ind w:left="720"/>
        <w:jc w:val="both"/>
        <w:rPr>
          <w:rFonts w:ascii="Arial" w:hAnsi="Arial" w:cs="Arial"/>
          <w:color w:val="000000" w:themeColor="text1"/>
          <w:sz w:val="20"/>
          <w:szCs w:val="20"/>
        </w:rPr>
      </w:pPr>
      <w:r w:rsidRPr="00BC64FA">
        <w:rPr>
          <w:rFonts w:ascii="Arial" w:hAnsi="Arial" w:cs="Arial"/>
          <w:color w:val="000000" w:themeColor="text1"/>
          <w:sz w:val="20"/>
          <w:szCs w:val="20"/>
        </w:rPr>
        <w:t>Step 2: Familiarization with Data</w:t>
      </w:r>
    </w:p>
    <w:p w14:paraId="1C8F4F7F" w14:textId="77777777" w:rsidR="00537BA1" w:rsidRPr="00BC64FA" w:rsidRDefault="00537BA1" w:rsidP="00156506">
      <w:pPr>
        <w:numPr>
          <w:ilvl w:val="0"/>
          <w:numId w:val="2"/>
        </w:numPr>
        <w:tabs>
          <w:tab w:val="clear" w:pos="1440"/>
          <w:tab w:val="num" w:pos="108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Read through all transcripts thoroughly to understand the context.</w:t>
      </w:r>
    </w:p>
    <w:p w14:paraId="40E98132" w14:textId="77777777" w:rsidR="00537BA1" w:rsidRPr="00BC64FA" w:rsidRDefault="00537BA1" w:rsidP="00156506">
      <w:pPr>
        <w:numPr>
          <w:ilvl w:val="0"/>
          <w:numId w:val="2"/>
        </w:numPr>
        <w:tabs>
          <w:tab w:val="clear" w:pos="1440"/>
          <w:tab w:val="num" w:pos="108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Use NVivo’s memo feature to jot down initial impressions and potential codes.</w:t>
      </w:r>
    </w:p>
    <w:p w14:paraId="590E2EA2" w14:textId="77777777" w:rsidR="00537BA1" w:rsidRPr="00BC64FA" w:rsidRDefault="00537BA1" w:rsidP="00164454">
      <w:pPr>
        <w:spacing w:before="120" w:after="120"/>
        <w:ind w:left="720"/>
        <w:jc w:val="both"/>
        <w:rPr>
          <w:rFonts w:ascii="Arial" w:hAnsi="Arial" w:cs="Arial"/>
          <w:color w:val="000000" w:themeColor="text1"/>
          <w:sz w:val="20"/>
          <w:szCs w:val="20"/>
        </w:rPr>
      </w:pPr>
      <w:r w:rsidRPr="00BC64FA">
        <w:rPr>
          <w:rFonts w:ascii="Arial" w:hAnsi="Arial" w:cs="Arial"/>
          <w:color w:val="000000" w:themeColor="text1"/>
          <w:sz w:val="20"/>
          <w:szCs w:val="20"/>
        </w:rPr>
        <w:t>Step 3: Initial Coding</w:t>
      </w:r>
    </w:p>
    <w:p w14:paraId="101FE408" w14:textId="77777777" w:rsidR="00537BA1" w:rsidRPr="00BC64FA" w:rsidRDefault="00537BA1" w:rsidP="00156506">
      <w:pPr>
        <w:numPr>
          <w:ilvl w:val="0"/>
          <w:numId w:val="3"/>
        </w:numPr>
        <w:tabs>
          <w:tab w:val="clear" w:pos="1440"/>
          <w:tab w:val="num" w:pos="108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Create nodes in NVivo for preliminary codes (e.g., “workload stress,” “language barrier,” “coping strategies”).</w:t>
      </w:r>
    </w:p>
    <w:p w14:paraId="327BBEF4" w14:textId="77777777" w:rsidR="00537BA1" w:rsidRPr="00BC64FA" w:rsidRDefault="00537BA1" w:rsidP="00156506">
      <w:pPr>
        <w:numPr>
          <w:ilvl w:val="0"/>
          <w:numId w:val="3"/>
        </w:numPr>
        <w:tabs>
          <w:tab w:val="clear" w:pos="1440"/>
          <w:tab w:val="num" w:pos="108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Highlight relevant text segments and assign them to these nodes.</w:t>
      </w:r>
    </w:p>
    <w:p w14:paraId="2DDF0440" w14:textId="5FB2D26E" w:rsidR="00870A96" w:rsidRPr="00870A96" w:rsidRDefault="00870A96" w:rsidP="00156506">
      <w:pPr>
        <w:numPr>
          <w:ilvl w:val="0"/>
          <w:numId w:val="3"/>
        </w:numPr>
        <w:tabs>
          <w:tab w:val="clear" w:pos="1440"/>
          <w:tab w:val="num" w:pos="1080"/>
        </w:tabs>
        <w:spacing w:before="120" w:after="120"/>
        <w:ind w:left="1080"/>
        <w:jc w:val="both"/>
        <w:rPr>
          <w:rFonts w:ascii="Arial" w:hAnsi="Arial" w:cs="Arial"/>
          <w:color w:val="EE0000"/>
          <w:sz w:val="20"/>
          <w:szCs w:val="20"/>
        </w:rPr>
      </w:pPr>
      <w:r w:rsidRPr="00870A96">
        <w:rPr>
          <w:color w:val="EE0000"/>
          <w:sz w:val="20"/>
          <w:szCs w:val="20"/>
          <w:lang w:val="en-IN"/>
        </w:rPr>
        <w:lastRenderedPageBreak/>
        <w:t xml:space="preserve">NVivo allows hierarchical coding, so the researcher </w:t>
      </w:r>
      <w:r w:rsidRPr="00870A96">
        <w:rPr>
          <w:b/>
          <w:bCs/>
          <w:color w:val="EE0000"/>
          <w:sz w:val="20"/>
          <w:szCs w:val="20"/>
          <w:lang w:val="en-IN"/>
        </w:rPr>
        <w:t>can</w:t>
      </w:r>
      <w:r w:rsidRPr="00870A96">
        <w:rPr>
          <w:color w:val="EE0000"/>
          <w:sz w:val="20"/>
          <w:szCs w:val="20"/>
          <w:lang w:val="en-IN"/>
        </w:rPr>
        <w:t xml:space="preserve"> create parent nodes (themes) and child nodes (subthemes).”</w:t>
      </w:r>
    </w:p>
    <w:p w14:paraId="11797927" w14:textId="77777777" w:rsidR="00537BA1" w:rsidRPr="00BC64FA" w:rsidRDefault="00537BA1" w:rsidP="00164454">
      <w:pPr>
        <w:spacing w:before="120" w:after="120"/>
        <w:ind w:left="720"/>
        <w:jc w:val="both"/>
        <w:rPr>
          <w:rFonts w:ascii="Arial" w:hAnsi="Arial" w:cs="Arial"/>
          <w:color w:val="000000" w:themeColor="text1"/>
          <w:sz w:val="20"/>
          <w:szCs w:val="20"/>
        </w:rPr>
      </w:pPr>
      <w:r w:rsidRPr="00BC64FA">
        <w:rPr>
          <w:rFonts w:ascii="Arial" w:hAnsi="Arial" w:cs="Arial"/>
          <w:color w:val="000000" w:themeColor="text1"/>
          <w:sz w:val="20"/>
          <w:szCs w:val="20"/>
        </w:rPr>
        <w:t>Step 4: Theme Development</w:t>
      </w:r>
    </w:p>
    <w:p w14:paraId="7C298BE1" w14:textId="58B1CB89" w:rsidR="00537BA1" w:rsidRPr="00BC64FA" w:rsidRDefault="00537BA1" w:rsidP="00156506">
      <w:pPr>
        <w:numPr>
          <w:ilvl w:val="0"/>
          <w:numId w:val="4"/>
        </w:numPr>
        <w:tabs>
          <w:tab w:val="clear" w:pos="1440"/>
          <w:tab w:val="num" w:pos="108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Group related codes into broader themes (e.g., “Workplace Pressure”</w:t>
      </w:r>
      <w:r w:rsidR="00914961" w:rsidRPr="00BC64FA">
        <w:rPr>
          <w:rFonts w:ascii="Arial" w:hAnsi="Arial" w:cs="Arial"/>
          <w:color w:val="000000" w:themeColor="text1"/>
          <w:sz w:val="20"/>
          <w:szCs w:val="20"/>
        </w:rPr>
        <w:t>,</w:t>
      </w:r>
      <w:r w:rsidRPr="00BC64FA">
        <w:rPr>
          <w:rFonts w:ascii="Arial" w:hAnsi="Arial" w:cs="Arial"/>
          <w:color w:val="000000" w:themeColor="text1"/>
          <w:sz w:val="20"/>
          <w:szCs w:val="20"/>
        </w:rPr>
        <w:t xml:space="preserve"> “Cultural</w:t>
      </w:r>
      <w:r w:rsidR="00164454" w:rsidRPr="00BC64FA">
        <w:rPr>
          <w:rFonts w:ascii="Arial" w:hAnsi="Arial" w:cs="Arial"/>
          <w:color w:val="000000" w:themeColor="text1"/>
          <w:sz w:val="20"/>
          <w:szCs w:val="20"/>
        </w:rPr>
        <w:t>/linguistic Challenges</w:t>
      </w:r>
      <w:r w:rsidRPr="00BC64FA">
        <w:rPr>
          <w:rFonts w:ascii="Arial" w:hAnsi="Arial" w:cs="Arial"/>
          <w:color w:val="000000" w:themeColor="text1"/>
          <w:sz w:val="20"/>
          <w:szCs w:val="20"/>
        </w:rPr>
        <w:t>”</w:t>
      </w:r>
      <w:r w:rsidR="00914961" w:rsidRPr="00BC64FA">
        <w:rPr>
          <w:rFonts w:ascii="Arial" w:hAnsi="Arial" w:cs="Arial"/>
          <w:color w:val="000000" w:themeColor="text1"/>
          <w:sz w:val="20"/>
          <w:szCs w:val="20"/>
        </w:rPr>
        <w:t xml:space="preserve">, </w:t>
      </w:r>
      <w:r w:rsidR="00164454" w:rsidRPr="00BC64FA">
        <w:rPr>
          <w:rFonts w:ascii="Arial" w:hAnsi="Arial" w:cs="Arial"/>
          <w:color w:val="000000" w:themeColor="text1"/>
          <w:sz w:val="20"/>
          <w:szCs w:val="20"/>
        </w:rPr>
        <w:t>“</w:t>
      </w:r>
      <w:r w:rsidR="00914961" w:rsidRPr="00BC64FA">
        <w:rPr>
          <w:rFonts w:ascii="Arial" w:hAnsi="Arial" w:cs="Arial"/>
          <w:color w:val="000000" w:themeColor="text1"/>
          <w:sz w:val="20"/>
          <w:szCs w:val="20"/>
        </w:rPr>
        <w:t>Resilience’s</w:t>
      </w:r>
      <w:r w:rsidR="00164454" w:rsidRPr="00BC64FA">
        <w:rPr>
          <w:rFonts w:ascii="Arial" w:hAnsi="Arial" w:cs="Arial"/>
          <w:color w:val="000000" w:themeColor="text1"/>
          <w:sz w:val="20"/>
          <w:szCs w:val="20"/>
        </w:rPr>
        <w:t xml:space="preserve"> Capacities” and </w:t>
      </w:r>
      <w:r w:rsidRPr="00BC64FA">
        <w:rPr>
          <w:rFonts w:ascii="Arial" w:hAnsi="Arial" w:cs="Arial"/>
          <w:color w:val="000000" w:themeColor="text1"/>
          <w:sz w:val="20"/>
          <w:szCs w:val="20"/>
        </w:rPr>
        <w:t>“Organizational Support”).</w:t>
      </w:r>
    </w:p>
    <w:p w14:paraId="60E83836" w14:textId="77777777" w:rsidR="00537BA1" w:rsidRPr="00BC64FA" w:rsidRDefault="00537BA1" w:rsidP="00156506">
      <w:pPr>
        <w:numPr>
          <w:ilvl w:val="0"/>
          <w:numId w:val="4"/>
        </w:numPr>
        <w:tabs>
          <w:tab w:val="clear" w:pos="1440"/>
          <w:tab w:val="num" w:pos="108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Use NVivo’s coding comparison and cluster analysis tools to visualize relationships between codes.</w:t>
      </w:r>
    </w:p>
    <w:p w14:paraId="47C16B06" w14:textId="77777777" w:rsidR="00537BA1" w:rsidRPr="00BC64FA" w:rsidRDefault="00537BA1" w:rsidP="00164454">
      <w:pPr>
        <w:spacing w:before="120" w:after="120"/>
        <w:ind w:left="720"/>
        <w:jc w:val="both"/>
        <w:rPr>
          <w:rFonts w:ascii="Arial" w:hAnsi="Arial" w:cs="Arial"/>
          <w:color w:val="000000" w:themeColor="text1"/>
          <w:sz w:val="20"/>
          <w:szCs w:val="20"/>
        </w:rPr>
      </w:pPr>
      <w:r w:rsidRPr="00BC64FA">
        <w:rPr>
          <w:rFonts w:ascii="Arial" w:hAnsi="Arial" w:cs="Arial"/>
          <w:color w:val="000000" w:themeColor="text1"/>
          <w:sz w:val="20"/>
          <w:szCs w:val="20"/>
        </w:rPr>
        <w:t>Step 5: Reviewing Themes</w:t>
      </w:r>
    </w:p>
    <w:p w14:paraId="6233A53C" w14:textId="77777777" w:rsidR="00537BA1" w:rsidRPr="00BC64FA" w:rsidRDefault="00537BA1" w:rsidP="00156506">
      <w:pPr>
        <w:numPr>
          <w:ilvl w:val="0"/>
          <w:numId w:val="5"/>
        </w:numPr>
        <w:tabs>
          <w:tab w:val="clear" w:pos="1440"/>
          <w:tab w:val="num" w:pos="108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Check if themes accurately represent the data and research objectives.</w:t>
      </w:r>
    </w:p>
    <w:p w14:paraId="7256E9C0" w14:textId="77777777" w:rsidR="00537BA1" w:rsidRPr="00BC64FA" w:rsidRDefault="00537BA1" w:rsidP="00156506">
      <w:pPr>
        <w:numPr>
          <w:ilvl w:val="0"/>
          <w:numId w:val="5"/>
        </w:numPr>
        <w:tabs>
          <w:tab w:val="clear" w:pos="1440"/>
          <w:tab w:val="num" w:pos="108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Merge overlapping nodes and refine definitions using NVivo’s node summary reports.</w:t>
      </w:r>
    </w:p>
    <w:p w14:paraId="0B526DBA" w14:textId="77777777" w:rsidR="00537BA1" w:rsidRPr="00BC64FA" w:rsidRDefault="00537BA1" w:rsidP="00164454">
      <w:pPr>
        <w:spacing w:before="120" w:after="120"/>
        <w:ind w:left="720"/>
        <w:jc w:val="both"/>
        <w:rPr>
          <w:rFonts w:ascii="Arial" w:hAnsi="Arial" w:cs="Arial"/>
          <w:color w:val="000000" w:themeColor="text1"/>
          <w:sz w:val="20"/>
          <w:szCs w:val="20"/>
        </w:rPr>
      </w:pPr>
      <w:r w:rsidRPr="00BC64FA">
        <w:rPr>
          <w:rFonts w:ascii="Arial" w:hAnsi="Arial" w:cs="Arial"/>
          <w:color w:val="000000" w:themeColor="text1"/>
          <w:sz w:val="20"/>
          <w:szCs w:val="20"/>
        </w:rPr>
        <w:t>Step 6: Defining and Naming Themes</w:t>
      </w:r>
    </w:p>
    <w:p w14:paraId="74483F86" w14:textId="77777777" w:rsidR="00537BA1" w:rsidRPr="00BC64FA" w:rsidRDefault="00537BA1" w:rsidP="00156506">
      <w:pPr>
        <w:numPr>
          <w:ilvl w:val="0"/>
          <w:numId w:val="6"/>
        </w:numPr>
        <w:tabs>
          <w:tab w:val="clear" w:pos="1440"/>
          <w:tab w:val="num" w:pos="108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Clearly define each theme and sub-theme.</w:t>
      </w:r>
    </w:p>
    <w:p w14:paraId="12B9F869" w14:textId="77777777" w:rsidR="00537BA1" w:rsidRPr="00BC64FA" w:rsidRDefault="00537BA1" w:rsidP="00156506">
      <w:pPr>
        <w:numPr>
          <w:ilvl w:val="0"/>
          <w:numId w:val="6"/>
        </w:numPr>
        <w:tabs>
          <w:tab w:val="clear" w:pos="1440"/>
          <w:tab w:val="num" w:pos="108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Use NVivo’s annotation and memo tools to document rationale for theme selection.</w:t>
      </w:r>
    </w:p>
    <w:p w14:paraId="037B8A06" w14:textId="77777777" w:rsidR="00537BA1" w:rsidRPr="00BC64FA" w:rsidRDefault="00537BA1" w:rsidP="00164454">
      <w:pPr>
        <w:spacing w:before="120" w:after="120"/>
        <w:ind w:left="720"/>
        <w:jc w:val="both"/>
        <w:rPr>
          <w:rFonts w:ascii="Arial" w:hAnsi="Arial" w:cs="Arial"/>
          <w:color w:val="000000" w:themeColor="text1"/>
          <w:sz w:val="20"/>
          <w:szCs w:val="20"/>
        </w:rPr>
      </w:pPr>
      <w:r w:rsidRPr="00BC64FA">
        <w:rPr>
          <w:rFonts w:ascii="Arial" w:hAnsi="Arial" w:cs="Arial"/>
          <w:color w:val="000000" w:themeColor="text1"/>
          <w:sz w:val="20"/>
          <w:szCs w:val="20"/>
        </w:rPr>
        <w:t>Step 7: Reporting Findings</w:t>
      </w:r>
    </w:p>
    <w:p w14:paraId="356AAC4C" w14:textId="77777777" w:rsidR="00537BA1" w:rsidRPr="00BC64FA" w:rsidRDefault="00537BA1" w:rsidP="00156506">
      <w:pPr>
        <w:numPr>
          <w:ilvl w:val="0"/>
          <w:numId w:val="7"/>
        </w:numPr>
        <w:tabs>
          <w:tab w:val="num" w:pos="36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Export coding summaries, word frequency queries, and visualizations (e.g., tree maps, cluster diagrams) from NVivo.</w:t>
      </w:r>
    </w:p>
    <w:p w14:paraId="5860A837" w14:textId="77777777" w:rsidR="00537BA1" w:rsidRPr="00BC64FA" w:rsidRDefault="00537BA1" w:rsidP="00156506">
      <w:pPr>
        <w:numPr>
          <w:ilvl w:val="0"/>
          <w:numId w:val="7"/>
        </w:numPr>
        <w:tabs>
          <w:tab w:val="num" w:pos="36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Present themes with supporting quotes from participants to illustrate findings.</w:t>
      </w:r>
    </w:p>
    <w:p w14:paraId="2B39EC51" w14:textId="42206962" w:rsidR="00537BA1" w:rsidRPr="00BC64FA" w:rsidRDefault="00663668" w:rsidP="00164454">
      <w:pPr>
        <w:pStyle w:val="Heading3"/>
        <w:spacing w:before="120" w:after="120"/>
        <w:rPr>
          <w:rFonts w:ascii="Arial" w:hAnsi="Arial" w:cs="Arial"/>
          <w:sz w:val="20"/>
          <w:szCs w:val="20"/>
        </w:rPr>
      </w:pPr>
      <w:r w:rsidRPr="00BC64FA">
        <w:rPr>
          <w:rFonts w:ascii="Arial" w:hAnsi="Arial" w:cs="Arial"/>
          <w:sz w:val="20"/>
          <w:szCs w:val="20"/>
        </w:rPr>
        <w:t xml:space="preserve">3.5.3. </w:t>
      </w:r>
      <w:r w:rsidR="00537BA1" w:rsidRPr="00BC64FA">
        <w:rPr>
          <w:rFonts w:ascii="Arial" w:hAnsi="Arial" w:cs="Arial"/>
          <w:sz w:val="20"/>
          <w:szCs w:val="20"/>
        </w:rPr>
        <w:t>Why NVivo is Useful for Your Study</w:t>
      </w:r>
    </w:p>
    <w:p w14:paraId="682BA435" w14:textId="77777777" w:rsidR="00537BA1" w:rsidRPr="00BC64FA" w:rsidRDefault="00537BA1" w:rsidP="00156506">
      <w:pPr>
        <w:numPr>
          <w:ilvl w:val="0"/>
          <w:numId w:val="8"/>
        </w:numPr>
        <w:tabs>
          <w:tab w:val="num" w:pos="36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Efficient Data Management: Handles large volumes of qualitative data systematically.</w:t>
      </w:r>
    </w:p>
    <w:p w14:paraId="6D477BB7" w14:textId="77777777" w:rsidR="00537BA1" w:rsidRPr="00BC64FA" w:rsidRDefault="00537BA1" w:rsidP="00156506">
      <w:pPr>
        <w:numPr>
          <w:ilvl w:val="0"/>
          <w:numId w:val="8"/>
        </w:numPr>
        <w:tabs>
          <w:tab w:val="num" w:pos="36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Visualization Tools: Generates charts, cluster maps, and word clouds for thematic representation.</w:t>
      </w:r>
    </w:p>
    <w:p w14:paraId="386B3223" w14:textId="439E8343" w:rsidR="006C6B92" w:rsidRPr="00D70A89" w:rsidRDefault="00537BA1" w:rsidP="00156506">
      <w:pPr>
        <w:numPr>
          <w:ilvl w:val="0"/>
          <w:numId w:val="8"/>
        </w:numPr>
        <w:tabs>
          <w:tab w:val="num" w:pos="36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Query Functions: Enables advanced searches like text queries and matrix coding to explore relationships between themes.</w:t>
      </w:r>
    </w:p>
    <w:p w14:paraId="5DAACC6A" w14:textId="41B27F48" w:rsidR="00EA1A8F" w:rsidRPr="002D1B52" w:rsidRDefault="006C6B92" w:rsidP="00164454">
      <w:pPr>
        <w:pStyle w:val="Heading1"/>
        <w:spacing w:before="120" w:after="120"/>
        <w:jc w:val="both"/>
        <w:rPr>
          <w:rFonts w:ascii="Arial" w:hAnsi="Arial" w:cs="Arial"/>
          <w:sz w:val="22"/>
          <w:szCs w:val="22"/>
        </w:rPr>
      </w:pPr>
      <w:r w:rsidRPr="002D1B52">
        <w:rPr>
          <w:rFonts w:ascii="Arial" w:hAnsi="Arial" w:cs="Arial"/>
          <w:sz w:val="22"/>
          <w:szCs w:val="22"/>
        </w:rPr>
        <w:t>4</w:t>
      </w:r>
      <w:r w:rsidR="002E63FC" w:rsidRPr="002D1B52">
        <w:rPr>
          <w:rFonts w:ascii="Arial" w:hAnsi="Arial" w:cs="Arial"/>
          <w:sz w:val="22"/>
          <w:szCs w:val="22"/>
        </w:rPr>
        <w:t xml:space="preserve">. </w:t>
      </w:r>
      <w:r w:rsidR="00663668" w:rsidRPr="002D1B52">
        <w:rPr>
          <w:rFonts w:ascii="Arial" w:hAnsi="Arial" w:cs="Arial"/>
          <w:sz w:val="22"/>
          <w:szCs w:val="22"/>
        </w:rPr>
        <w:t xml:space="preserve">Result </w:t>
      </w:r>
      <w:r w:rsidR="00881BB1" w:rsidRPr="002D1B52">
        <w:rPr>
          <w:rFonts w:ascii="Arial" w:hAnsi="Arial" w:cs="Arial"/>
          <w:sz w:val="22"/>
          <w:szCs w:val="22"/>
        </w:rPr>
        <w:t>of study</w:t>
      </w:r>
    </w:p>
    <w:p w14:paraId="26DD6E65" w14:textId="12FAF547" w:rsidR="00806138" w:rsidRPr="00BC64FA" w:rsidRDefault="006C6B92" w:rsidP="00806138">
      <w:pPr>
        <w:pStyle w:val="Heading2"/>
        <w:rPr>
          <w:rFonts w:ascii="Arial" w:hAnsi="Arial" w:cs="Arial"/>
          <w:sz w:val="20"/>
          <w:szCs w:val="20"/>
        </w:rPr>
      </w:pPr>
      <w:r w:rsidRPr="00BC64FA">
        <w:rPr>
          <w:rFonts w:ascii="Arial" w:hAnsi="Arial" w:cs="Arial"/>
          <w:sz w:val="20"/>
          <w:szCs w:val="20"/>
        </w:rPr>
        <w:t>4</w:t>
      </w:r>
      <w:r w:rsidR="00806138" w:rsidRPr="00BC64FA">
        <w:rPr>
          <w:rFonts w:ascii="Arial" w:hAnsi="Arial" w:cs="Arial"/>
          <w:sz w:val="20"/>
          <w:szCs w:val="20"/>
        </w:rPr>
        <w:t>.1. Demographic Responder</w:t>
      </w:r>
    </w:p>
    <w:p w14:paraId="00132E99" w14:textId="7CD5885E" w:rsidR="009A2D96" w:rsidRDefault="009A2D96"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The responses from 10 Indonesian nurses working in Qatar across ER, Ambulance, Surgical Ward, and PHC settings reveal several important themes about resilience and adaptation in high-pressure healthcare environments.</w:t>
      </w:r>
    </w:p>
    <w:p w14:paraId="01456FB9" w14:textId="77777777" w:rsidR="008860C5" w:rsidRPr="00BC64FA" w:rsidRDefault="008860C5" w:rsidP="00164454">
      <w:pPr>
        <w:spacing w:before="120" w:after="120"/>
        <w:jc w:val="both"/>
        <w:rPr>
          <w:rFonts w:ascii="Arial" w:hAnsi="Arial" w:cs="Arial"/>
          <w:color w:val="000000" w:themeColor="text1"/>
          <w:sz w:val="20"/>
          <w:szCs w:val="20"/>
        </w:rPr>
      </w:pPr>
    </w:p>
    <w:p w14:paraId="6113B07E" w14:textId="34A1B733" w:rsidR="00A95F03" w:rsidRPr="00BC64FA" w:rsidRDefault="00A95F03" w:rsidP="00A95F03">
      <w:pPr>
        <w:spacing w:before="120" w:after="120"/>
        <w:jc w:val="center"/>
        <w:rPr>
          <w:rFonts w:ascii="Arial" w:hAnsi="Arial" w:cs="Arial"/>
          <w:color w:val="000000" w:themeColor="text1"/>
          <w:sz w:val="20"/>
          <w:szCs w:val="20"/>
        </w:rPr>
      </w:pPr>
      <w:r w:rsidRPr="00BC64FA">
        <w:rPr>
          <w:rFonts w:ascii="Arial" w:hAnsi="Arial" w:cs="Arial"/>
          <w:color w:val="000000" w:themeColor="text1"/>
          <w:sz w:val="20"/>
          <w:szCs w:val="20"/>
        </w:rPr>
        <w:lastRenderedPageBreak/>
        <w:t>Table 1 Demographic Responder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1710"/>
        <w:gridCol w:w="1890"/>
        <w:gridCol w:w="923"/>
        <w:gridCol w:w="3060"/>
      </w:tblGrid>
      <w:tr w:rsidR="00AA7721" w:rsidRPr="00BC64FA" w14:paraId="18789370" w14:textId="77777777" w:rsidTr="00A95F03">
        <w:trPr>
          <w:jc w:val="center"/>
        </w:trPr>
        <w:tc>
          <w:tcPr>
            <w:tcW w:w="625" w:type="dxa"/>
            <w:tcBorders>
              <w:top w:val="single" w:sz="4" w:space="0" w:color="auto"/>
              <w:bottom w:val="single" w:sz="4" w:space="0" w:color="auto"/>
            </w:tcBorders>
          </w:tcPr>
          <w:p w14:paraId="0C9ECA2A" w14:textId="1017A508" w:rsidR="00AA7721" w:rsidRPr="00BC64FA" w:rsidRDefault="00AA7721" w:rsidP="00AA7721">
            <w:pPr>
              <w:spacing w:line="240" w:lineRule="auto"/>
              <w:jc w:val="center"/>
              <w:rPr>
                <w:rFonts w:ascii="Arial" w:hAnsi="Arial" w:cs="Arial"/>
                <w:b/>
                <w:bCs/>
                <w:color w:val="000000" w:themeColor="text1"/>
                <w:sz w:val="20"/>
                <w:szCs w:val="20"/>
              </w:rPr>
            </w:pPr>
            <w:r w:rsidRPr="00BC64FA">
              <w:rPr>
                <w:rFonts w:ascii="Arial" w:hAnsi="Arial" w:cs="Arial"/>
                <w:b/>
                <w:bCs/>
                <w:color w:val="000000" w:themeColor="text1"/>
                <w:sz w:val="20"/>
                <w:szCs w:val="20"/>
              </w:rPr>
              <w:t>No</w:t>
            </w:r>
          </w:p>
        </w:tc>
        <w:tc>
          <w:tcPr>
            <w:tcW w:w="1710" w:type="dxa"/>
            <w:tcBorders>
              <w:top w:val="single" w:sz="4" w:space="0" w:color="auto"/>
              <w:bottom w:val="single" w:sz="4" w:space="0" w:color="auto"/>
            </w:tcBorders>
          </w:tcPr>
          <w:p w14:paraId="42BE6D2C" w14:textId="787F3119" w:rsidR="00AA7721" w:rsidRPr="00BC64FA" w:rsidRDefault="00AA7721" w:rsidP="00AA7721">
            <w:pPr>
              <w:spacing w:line="240" w:lineRule="auto"/>
              <w:jc w:val="both"/>
              <w:rPr>
                <w:rFonts w:ascii="Arial" w:hAnsi="Arial" w:cs="Arial"/>
                <w:b/>
                <w:bCs/>
                <w:color w:val="000000" w:themeColor="text1"/>
                <w:sz w:val="20"/>
                <w:szCs w:val="20"/>
              </w:rPr>
            </w:pPr>
            <w:r w:rsidRPr="00BC64FA">
              <w:rPr>
                <w:rFonts w:ascii="Arial" w:hAnsi="Arial" w:cs="Arial"/>
                <w:b/>
                <w:bCs/>
                <w:color w:val="000000" w:themeColor="text1"/>
                <w:sz w:val="20"/>
                <w:szCs w:val="20"/>
              </w:rPr>
              <w:t>Responder</w:t>
            </w:r>
          </w:p>
        </w:tc>
        <w:tc>
          <w:tcPr>
            <w:tcW w:w="1890" w:type="dxa"/>
            <w:tcBorders>
              <w:top w:val="single" w:sz="4" w:space="0" w:color="auto"/>
              <w:bottom w:val="single" w:sz="4" w:space="0" w:color="auto"/>
            </w:tcBorders>
          </w:tcPr>
          <w:p w14:paraId="1E6F0881" w14:textId="0C1097C0" w:rsidR="00AA7721" w:rsidRPr="00BC64FA" w:rsidRDefault="00AA7721" w:rsidP="00AA7721">
            <w:pPr>
              <w:spacing w:line="240" w:lineRule="auto"/>
              <w:jc w:val="both"/>
              <w:rPr>
                <w:rFonts w:ascii="Arial" w:hAnsi="Arial" w:cs="Arial"/>
                <w:b/>
                <w:bCs/>
                <w:color w:val="000000" w:themeColor="text1"/>
                <w:sz w:val="20"/>
                <w:szCs w:val="20"/>
              </w:rPr>
            </w:pPr>
            <w:r w:rsidRPr="00BC64FA">
              <w:rPr>
                <w:rFonts w:ascii="Arial" w:hAnsi="Arial" w:cs="Arial"/>
                <w:b/>
                <w:bCs/>
                <w:color w:val="000000" w:themeColor="text1"/>
                <w:sz w:val="20"/>
                <w:szCs w:val="20"/>
              </w:rPr>
              <w:t>Education</w:t>
            </w:r>
          </w:p>
        </w:tc>
        <w:tc>
          <w:tcPr>
            <w:tcW w:w="923" w:type="dxa"/>
            <w:tcBorders>
              <w:top w:val="single" w:sz="4" w:space="0" w:color="auto"/>
              <w:bottom w:val="single" w:sz="4" w:space="0" w:color="auto"/>
            </w:tcBorders>
          </w:tcPr>
          <w:p w14:paraId="24A5F656" w14:textId="16B69956" w:rsidR="00AA7721" w:rsidRPr="00BC64FA" w:rsidRDefault="00AA7721" w:rsidP="00AA7721">
            <w:pPr>
              <w:spacing w:line="240" w:lineRule="auto"/>
              <w:jc w:val="both"/>
              <w:rPr>
                <w:rFonts w:ascii="Arial" w:hAnsi="Arial" w:cs="Arial"/>
                <w:b/>
                <w:bCs/>
                <w:color w:val="000000" w:themeColor="text1"/>
                <w:sz w:val="20"/>
                <w:szCs w:val="20"/>
              </w:rPr>
            </w:pPr>
            <w:r w:rsidRPr="00BC64FA">
              <w:rPr>
                <w:rFonts w:ascii="Arial" w:hAnsi="Arial" w:cs="Arial"/>
                <w:b/>
                <w:bCs/>
                <w:color w:val="000000" w:themeColor="text1"/>
                <w:sz w:val="20"/>
                <w:szCs w:val="20"/>
              </w:rPr>
              <w:t>Sex</w:t>
            </w:r>
          </w:p>
        </w:tc>
        <w:tc>
          <w:tcPr>
            <w:tcW w:w="3060" w:type="dxa"/>
            <w:tcBorders>
              <w:top w:val="single" w:sz="4" w:space="0" w:color="auto"/>
              <w:bottom w:val="single" w:sz="4" w:space="0" w:color="auto"/>
            </w:tcBorders>
          </w:tcPr>
          <w:p w14:paraId="0DE800EF" w14:textId="28FAA1CD" w:rsidR="00AA7721" w:rsidRPr="00BC64FA" w:rsidRDefault="00AA7721" w:rsidP="00AA7721">
            <w:pPr>
              <w:spacing w:line="240" w:lineRule="auto"/>
              <w:jc w:val="both"/>
              <w:rPr>
                <w:rFonts w:ascii="Arial" w:hAnsi="Arial" w:cs="Arial"/>
                <w:b/>
                <w:bCs/>
                <w:color w:val="000000" w:themeColor="text1"/>
                <w:sz w:val="20"/>
                <w:szCs w:val="20"/>
              </w:rPr>
            </w:pPr>
            <w:r w:rsidRPr="00BC64FA">
              <w:rPr>
                <w:rFonts w:ascii="Arial" w:hAnsi="Arial" w:cs="Arial"/>
                <w:b/>
                <w:bCs/>
                <w:color w:val="000000" w:themeColor="text1"/>
                <w:sz w:val="20"/>
                <w:szCs w:val="20"/>
              </w:rPr>
              <w:t xml:space="preserve">Work </w:t>
            </w:r>
            <w:r w:rsidR="004C561C" w:rsidRPr="00BC64FA">
              <w:rPr>
                <w:rFonts w:ascii="Arial" w:hAnsi="Arial" w:cs="Arial"/>
                <w:b/>
                <w:bCs/>
                <w:color w:val="000000" w:themeColor="text1"/>
                <w:sz w:val="20"/>
                <w:szCs w:val="20"/>
              </w:rPr>
              <w:t>Location</w:t>
            </w:r>
          </w:p>
        </w:tc>
      </w:tr>
      <w:tr w:rsidR="00AA7721" w:rsidRPr="00BC64FA" w14:paraId="317722F7" w14:textId="77777777" w:rsidTr="00A95F03">
        <w:trPr>
          <w:jc w:val="center"/>
        </w:trPr>
        <w:tc>
          <w:tcPr>
            <w:tcW w:w="625" w:type="dxa"/>
            <w:tcBorders>
              <w:top w:val="single" w:sz="4" w:space="0" w:color="auto"/>
            </w:tcBorders>
          </w:tcPr>
          <w:p w14:paraId="64BCF585" w14:textId="46B992D1" w:rsidR="00AA7721" w:rsidRPr="00BC64FA" w:rsidRDefault="00AA7721" w:rsidP="00AA7721">
            <w:pPr>
              <w:spacing w:line="240" w:lineRule="auto"/>
              <w:jc w:val="center"/>
              <w:rPr>
                <w:rFonts w:ascii="Arial" w:hAnsi="Arial" w:cs="Arial"/>
                <w:color w:val="000000" w:themeColor="text1"/>
                <w:sz w:val="20"/>
                <w:szCs w:val="20"/>
              </w:rPr>
            </w:pPr>
            <w:r w:rsidRPr="00BC64FA">
              <w:rPr>
                <w:rFonts w:ascii="Arial" w:hAnsi="Arial" w:cs="Arial"/>
                <w:color w:val="000000" w:themeColor="text1"/>
                <w:sz w:val="20"/>
                <w:szCs w:val="20"/>
              </w:rPr>
              <w:t>1</w:t>
            </w:r>
          </w:p>
        </w:tc>
        <w:tc>
          <w:tcPr>
            <w:tcW w:w="1710" w:type="dxa"/>
            <w:tcBorders>
              <w:top w:val="single" w:sz="4" w:space="0" w:color="auto"/>
            </w:tcBorders>
          </w:tcPr>
          <w:p w14:paraId="4023D43F" w14:textId="3DB8EE7C" w:rsidR="00AA7721" w:rsidRPr="00BC64FA" w:rsidRDefault="00AA7721"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Nurse 1</w:t>
            </w:r>
          </w:p>
        </w:tc>
        <w:tc>
          <w:tcPr>
            <w:tcW w:w="1890" w:type="dxa"/>
            <w:tcBorders>
              <w:top w:val="single" w:sz="4" w:space="0" w:color="auto"/>
            </w:tcBorders>
          </w:tcPr>
          <w:p w14:paraId="39924210" w14:textId="5735C37C"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Bachelor</w:t>
            </w:r>
          </w:p>
        </w:tc>
        <w:tc>
          <w:tcPr>
            <w:tcW w:w="923" w:type="dxa"/>
            <w:tcBorders>
              <w:top w:val="single" w:sz="4" w:space="0" w:color="auto"/>
            </w:tcBorders>
          </w:tcPr>
          <w:p w14:paraId="3AFD3D19" w14:textId="2503ADA8"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Female</w:t>
            </w:r>
          </w:p>
        </w:tc>
        <w:tc>
          <w:tcPr>
            <w:tcW w:w="3060" w:type="dxa"/>
            <w:tcBorders>
              <w:top w:val="single" w:sz="4" w:space="0" w:color="auto"/>
            </w:tcBorders>
          </w:tcPr>
          <w:p w14:paraId="201DC765" w14:textId="53235E4F"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Hospital</w:t>
            </w:r>
          </w:p>
        </w:tc>
      </w:tr>
      <w:tr w:rsidR="00AA7721" w:rsidRPr="00BC64FA" w14:paraId="54B13927" w14:textId="77777777" w:rsidTr="00A95F03">
        <w:trPr>
          <w:jc w:val="center"/>
        </w:trPr>
        <w:tc>
          <w:tcPr>
            <w:tcW w:w="625" w:type="dxa"/>
          </w:tcPr>
          <w:p w14:paraId="42853D30" w14:textId="58422B6C" w:rsidR="00AA7721" w:rsidRPr="00BC64FA" w:rsidRDefault="00AA7721" w:rsidP="00AA7721">
            <w:pPr>
              <w:spacing w:line="240" w:lineRule="auto"/>
              <w:jc w:val="center"/>
              <w:rPr>
                <w:rFonts w:ascii="Arial" w:hAnsi="Arial" w:cs="Arial"/>
                <w:color w:val="000000" w:themeColor="text1"/>
                <w:sz w:val="20"/>
                <w:szCs w:val="20"/>
              </w:rPr>
            </w:pPr>
            <w:r w:rsidRPr="00BC64FA">
              <w:rPr>
                <w:rFonts w:ascii="Arial" w:hAnsi="Arial" w:cs="Arial"/>
                <w:color w:val="000000" w:themeColor="text1"/>
                <w:sz w:val="20"/>
                <w:szCs w:val="20"/>
              </w:rPr>
              <w:t>2</w:t>
            </w:r>
          </w:p>
        </w:tc>
        <w:tc>
          <w:tcPr>
            <w:tcW w:w="1710" w:type="dxa"/>
          </w:tcPr>
          <w:p w14:paraId="0C894404" w14:textId="426EBF64" w:rsidR="00AA7721" w:rsidRPr="00BC64FA" w:rsidRDefault="00AA7721"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Nurse 2</w:t>
            </w:r>
          </w:p>
        </w:tc>
        <w:tc>
          <w:tcPr>
            <w:tcW w:w="1890" w:type="dxa"/>
          </w:tcPr>
          <w:p w14:paraId="0902FE4F" w14:textId="1414FC45"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Bachelor</w:t>
            </w:r>
          </w:p>
        </w:tc>
        <w:tc>
          <w:tcPr>
            <w:tcW w:w="923" w:type="dxa"/>
          </w:tcPr>
          <w:p w14:paraId="52E2E0A9" w14:textId="3030F4E4"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Female</w:t>
            </w:r>
          </w:p>
        </w:tc>
        <w:tc>
          <w:tcPr>
            <w:tcW w:w="3060" w:type="dxa"/>
          </w:tcPr>
          <w:p w14:paraId="64D18391" w14:textId="391E841C"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Hospital</w:t>
            </w:r>
          </w:p>
        </w:tc>
      </w:tr>
      <w:tr w:rsidR="00AA7721" w:rsidRPr="00BC64FA" w14:paraId="30D02440" w14:textId="77777777" w:rsidTr="00A95F03">
        <w:trPr>
          <w:jc w:val="center"/>
        </w:trPr>
        <w:tc>
          <w:tcPr>
            <w:tcW w:w="625" w:type="dxa"/>
          </w:tcPr>
          <w:p w14:paraId="2DEA6117" w14:textId="7D88C3B8" w:rsidR="00AA7721" w:rsidRPr="00BC64FA" w:rsidRDefault="00AA7721" w:rsidP="00AA7721">
            <w:pPr>
              <w:spacing w:line="240" w:lineRule="auto"/>
              <w:jc w:val="center"/>
              <w:rPr>
                <w:rFonts w:ascii="Arial" w:hAnsi="Arial" w:cs="Arial"/>
                <w:color w:val="000000" w:themeColor="text1"/>
                <w:sz w:val="20"/>
                <w:szCs w:val="20"/>
              </w:rPr>
            </w:pPr>
            <w:r w:rsidRPr="00BC64FA">
              <w:rPr>
                <w:rFonts w:ascii="Arial" w:hAnsi="Arial" w:cs="Arial"/>
                <w:color w:val="000000" w:themeColor="text1"/>
                <w:sz w:val="20"/>
                <w:szCs w:val="20"/>
              </w:rPr>
              <w:t>3</w:t>
            </w:r>
          </w:p>
        </w:tc>
        <w:tc>
          <w:tcPr>
            <w:tcW w:w="1710" w:type="dxa"/>
          </w:tcPr>
          <w:p w14:paraId="139B739E" w14:textId="275A04D0" w:rsidR="00AA7721" w:rsidRPr="00BC64FA" w:rsidRDefault="00AA7721"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Nurse 3</w:t>
            </w:r>
          </w:p>
        </w:tc>
        <w:tc>
          <w:tcPr>
            <w:tcW w:w="1890" w:type="dxa"/>
          </w:tcPr>
          <w:p w14:paraId="4DAF3A15" w14:textId="1AC0A0A5"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Diploma</w:t>
            </w:r>
          </w:p>
        </w:tc>
        <w:tc>
          <w:tcPr>
            <w:tcW w:w="923" w:type="dxa"/>
          </w:tcPr>
          <w:p w14:paraId="56540E9F" w14:textId="430C938A"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Male</w:t>
            </w:r>
          </w:p>
        </w:tc>
        <w:tc>
          <w:tcPr>
            <w:tcW w:w="3060" w:type="dxa"/>
          </w:tcPr>
          <w:p w14:paraId="71C1BF2D" w14:textId="739BB0D2"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Emergency</w:t>
            </w:r>
          </w:p>
        </w:tc>
      </w:tr>
      <w:tr w:rsidR="00AA7721" w:rsidRPr="00BC64FA" w14:paraId="6CFB277B" w14:textId="77777777" w:rsidTr="00A95F03">
        <w:trPr>
          <w:jc w:val="center"/>
        </w:trPr>
        <w:tc>
          <w:tcPr>
            <w:tcW w:w="625" w:type="dxa"/>
          </w:tcPr>
          <w:p w14:paraId="3C0B6B50" w14:textId="02C962DB" w:rsidR="00AA7721" w:rsidRPr="00BC64FA" w:rsidRDefault="00AA7721" w:rsidP="00AA7721">
            <w:pPr>
              <w:spacing w:line="240" w:lineRule="auto"/>
              <w:jc w:val="center"/>
              <w:rPr>
                <w:rFonts w:ascii="Arial" w:hAnsi="Arial" w:cs="Arial"/>
                <w:color w:val="000000" w:themeColor="text1"/>
                <w:sz w:val="20"/>
                <w:szCs w:val="20"/>
              </w:rPr>
            </w:pPr>
            <w:r w:rsidRPr="00BC64FA">
              <w:rPr>
                <w:rFonts w:ascii="Arial" w:hAnsi="Arial" w:cs="Arial"/>
                <w:color w:val="000000" w:themeColor="text1"/>
                <w:sz w:val="20"/>
                <w:szCs w:val="20"/>
              </w:rPr>
              <w:t>4</w:t>
            </w:r>
          </w:p>
        </w:tc>
        <w:tc>
          <w:tcPr>
            <w:tcW w:w="1710" w:type="dxa"/>
          </w:tcPr>
          <w:p w14:paraId="1D20C185" w14:textId="76A9BD86" w:rsidR="00AA7721" w:rsidRPr="00BC64FA" w:rsidRDefault="00AA7721"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Nurse 4</w:t>
            </w:r>
          </w:p>
        </w:tc>
        <w:tc>
          <w:tcPr>
            <w:tcW w:w="1890" w:type="dxa"/>
          </w:tcPr>
          <w:p w14:paraId="0CACBC8C" w14:textId="6ADF9821"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Bachelor</w:t>
            </w:r>
          </w:p>
        </w:tc>
        <w:tc>
          <w:tcPr>
            <w:tcW w:w="923" w:type="dxa"/>
          </w:tcPr>
          <w:p w14:paraId="59CA074C" w14:textId="5809788A"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Male</w:t>
            </w:r>
          </w:p>
        </w:tc>
        <w:tc>
          <w:tcPr>
            <w:tcW w:w="3060" w:type="dxa"/>
          </w:tcPr>
          <w:p w14:paraId="3686D08B" w14:textId="03D1AACC"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Emergency</w:t>
            </w:r>
          </w:p>
        </w:tc>
      </w:tr>
      <w:tr w:rsidR="00AA7721" w:rsidRPr="00BC64FA" w14:paraId="43E4371B" w14:textId="77777777" w:rsidTr="00A95F03">
        <w:trPr>
          <w:jc w:val="center"/>
        </w:trPr>
        <w:tc>
          <w:tcPr>
            <w:tcW w:w="625" w:type="dxa"/>
          </w:tcPr>
          <w:p w14:paraId="7A26825B" w14:textId="02E22C87" w:rsidR="00AA7721" w:rsidRPr="00BC64FA" w:rsidRDefault="00AA7721" w:rsidP="00AA7721">
            <w:pPr>
              <w:spacing w:line="240" w:lineRule="auto"/>
              <w:jc w:val="center"/>
              <w:rPr>
                <w:rFonts w:ascii="Arial" w:hAnsi="Arial" w:cs="Arial"/>
                <w:color w:val="000000" w:themeColor="text1"/>
                <w:sz w:val="20"/>
                <w:szCs w:val="20"/>
              </w:rPr>
            </w:pPr>
            <w:r w:rsidRPr="00BC64FA">
              <w:rPr>
                <w:rFonts w:ascii="Arial" w:hAnsi="Arial" w:cs="Arial"/>
                <w:color w:val="000000" w:themeColor="text1"/>
                <w:sz w:val="20"/>
                <w:szCs w:val="20"/>
              </w:rPr>
              <w:t>5</w:t>
            </w:r>
          </w:p>
        </w:tc>
        <w:tc>
          <w:tcPr>
            <w:tcW w:w="1710" w:type="dxa"/>
          </w:tcPr>
          <w:p w14:paraId="3263D3D2" w14:textId="4BF342EA" w:rsidR="00AA7721" w:rsidRPr="00BC64FA" w:rsidRDefault="00AA7721"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Nurse 5</w:t>
            </w:r>
          </w:p>
        </w:tc>
        <w:tc>
          <w:tcPr>
            <w:tcW w:w="1890" w:type="dxa"/>
          </w:tcPr>
          <w:p w14:paraId="3AC1F562" w14:textId="7D6D6A29"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Masteral</w:t>
            </w:r>
          </w:p>
        </w:tc>
        <w:tc>
          <w:tcPr>
            <w:tcW w:w="923" w:type="dxa"/>
          </w:tcPr>
          <w:p w14:paraId="3DEF7F20" w14:textId="4EAE6FE5"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Male</w:t>
            </w:r>
          </w:p>
        </w:tc>
        <w:tc>
          <w:tcPr>
            <w:tcW w:w="3060" w:type="dxa"/>
          </w:tcPr>
          <w:p w14:paraId="27ECD641" w14:textId="27443195"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Ambulance</w:t>
            </w:r>
          </w:p>
        </w:tc>
      </w:tr>
      <w:tr w:rsidR="00AA7721" w:rsidRPr="00BC64FA" w14:paraId="0DD4ADBA" w14:textId="77777777" w:rsidTr="00A95F03">
        <w:trPr>
          <w:jc w:val="center"/>
        </w:trPr>
        <w:tc>
          <w:tcPr>
            <w:tcW w:w="625" w:type="dxa"/>
          </w:tcPr>
          <w:p w14:paraId="103C6DAD" w14:textId="01657B27" w:rsidR="00AA7721" w:rsidRPr="00BC64FA" w:rsidRDefault="00AA7721" w:rsidP="00AA7721">
            <w:pPr>
              <w:spacing w:line="240" w:lineRule="auto"/>
              <w:jc w:val="center"/>
              <w:rPr>
                <w:rFonts w:ascii="Arial" w:hAnsi="Arial" w:cs="Arial"/>
                <w:color w:val="000000" w:themeColor="text1"/>
                <w:sz w:val="20"/>
                <w:szCs w:val="20"/>
              </w:rPr>
            </w:pPr>
            <w:r w:rsidRPr="00BC64FA">
              <w:rPr>
                <w:rFonts w:ascii="Arial" w:hAnsi="Arial" w:cs="Arial"/>
                <w:color w:val="000000" w:themeColor="text1"/>
                <w:sz w:val="20"/>
                <w:szCs w:val="20"/>
              </w:rPr>
              <w:t>6</w:t>
            </w:r>
          </w:p>
        </w:tc>
        <w:tc>
          <w:tcPr>
            <w:tcW w:w="1710" w:type="dxa"/>
          </w:tcPr>
          <w:p w14:paraId="79484143" w14:textId="1667808A" w:rsidR="00AA7721" w:rsidRPr="00BC64FA" w:rsidRDefault="00AA7721"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Nurse 6</w:t>
            </w:r>
          </w:p>
        </w:tc>
        <w:tc>
          <w:tcPr>
            <w:tcW w:w="1890" w:type="dxa"/>
          </w:tcPr>
          <w:p w14:paraId="63FCA91D" w14:textId="0C0D3E8A"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Masteral</w:t>
            </w:r>
          </w:p>
        </w:tc>
        <w:tc>
          <w:tcPr>
            <w:tcW w:w="923" w:type="dxa"/>
          </w:tcPr>
          <w:p w14:paraId="6EF0AE73" w14:textId="728C5A53"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Male</w:t>
            </w:r>
          </w:p>
        </w:tc>
        <w:tc>
          <w:tcPr>
            <w:tcW w:w="3060" w:type="dxa"/>
          </w:tcPr>
          <w:p w14:paraId="226167B7" w14:textId="133F55D3"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Ambulance</w:t>
            </w:r>
          </w:p>
        </w:tc>
      </w:tr>
      <w:tr w:rsidR="00AA7721" w:rsidRPr="00BC64FA" w14:paraId="0AC52AFA" w14:textId="77777777" w:rsidTr="00A95F03">
        <w:trPr>
          <w:jc w:val="center"/>
        </w:trPr>
        <w:tc>
          <w:tcPr>
            <w:tcW w:w="625" w:type="dxa"/>
          </w:tcPr>
          <w:p w14:paraId="3960F1D7" w14:textId="2D324B0E" w:rsidR="00AA7721" w:rsidRPr="00BC64FA" w:rsidRDefault="00AA7721" w:rsidP="00AA7721">
            <w:pPr>
              <w:spacing w:line="240" w:lineRule="auto"/>
              <w:jc w:val="center"/>
              <w:rPr>
                <w:rFonts w:ascii="Arial" w:hAnsi="Arial" w:cs="Arial"/>
                <w:color w:val="000000" w:themeColor="text1"/>
                <w:sz w:val="20"/>
                <w:szCs w:val="20"/>
              </w:rPr>
            </w:pPr>
            <w:r w:rsidRPr="00BC64FA">
              <w:rPr>
                <w:rFonts w:ascii="Arial" w:hAnsi="Arial" w:cs="Arial"/>
                <w:color w:val="000000" w:themeColor="text1"/>
                <w:sz w:val="20"/>
                <w:szCs w:val="20"/>
              </w:rPr>
              <w:t>7</w:t>
            </w:r>
          </w:p>
        </w:tc>
        <w:tc>
          <w:tcPr>
            <w:tcW w:w="1710" w:type="dxa"/>
          </w:tcPr>
          <w:p w14:paraId="572A9AD3" w14:textId="69A410B7" w:rsidR="00AA7721" w:rsidRPr="00BC64FA" w:rsidRDefault="00AA7721"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Nurse 7</w:t>
            </w:r>
          </w:p>
        </w:tc>
        <w:tc>
          <w:tcPr>
            <w:tcW w:w="1890" w:type="dxa"/>
          </w:tcPr>
          <w:p w14:paraId="188262B4" w14:textId="7324DA7E"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Bachelor</w:t>
            </w:r>
          </w:p>
        </w:tc>
        <w:tc>
          <w:tcPr>
            <w:tcW w:w="923" w:type="dxa"/>
          </w:tcPr>
          <w:p w14:paraId="5D1142E5" w14:textId="5A14458A"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Male</w:t>
            </w:r>
          </w:p>
        </w:tc>
        <w:tc>
          <w:tcPr>
            <w:tcW w:w="3060" w:type="dxa"/>
          </w:tcPr>
          <w:p w14:paraId="7A402B2C" w14:textId="5044669A" w:rsidR="00AA7721" w:rsidRPr="00BC64FA" w:rsidRDefault="00394048"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Primary Health Clinic</w:t>
            </w:r>
          </w:p>
        </w:tc>
      </w:tr>
      <w:tr w:rsidR="00AA7721" w:rsidRPr="00BC64FA" w14:paraId="03A612C3" w14:textId="77777777" w:rsidTr="00A95F03">
        <w:trPr>
          <w:jc w:val="center"/>
        </w:trPr>
        <w:tc>
          <w:tcPr>
            <w:tcW w:w="625" w:type="dxa"/>
          </w:tcPr>
          <w:p w14:paraId="490E7330" w14:textId="7D76214A" w:rsidR="00AA7721" w:rsidRPr="00BC64FA" w:rsidRDefault="00AA7721" w:rsidP="00AA7721">
            <w:pPr>
              <w:spacing w:line="240" w:lineRule="auto"/>
              <w:jc w:val="center"/>
              <w:rPr>
                <w:rFonts w:ascii="Arial" w:hAnsi="Arial" w:cs="Arial"/>
                <w:color w:val="000000" w:themeColor="text1"/>
                <w:sz w:val="20"/>
                <w:szCs w:val="20"/>
              </w:rPr>
            </w:pPr>
            <w:r w:rsidRPr="00BC64FA">
              <w:rPr>
                <w:rFonts w:ascii="Arial" w:hAnsi="Arial" w:cs="Arial"/>
                <w:color w:val="000000" w:themeColor="text1"/>
                <w:sz w:val="20"/>
                <w:szCs w:val="20"/>
              </w:rPr>
              <w:t>8</w:t>
            </w:r>
          </w:p>
        </w:tc>
        <w:tc>
          <w:tcPr>
            <w:tcW w:w="1710" w:type="dxa"/>
          </w:tcPr>
          <w:p w14:paraId="4A65E562" w14:textId="79134E05" w:rsidR="00AA7721" w:rsidRPr="00BC64FA" w:rsidRDefault="00AA7721"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Nurse 8</w:t>
            </w:r>
          </w:p>
        </w:tc>
        <w:tc>
          <w:tcPr>
            <w:tcW w:w="1890" w:type="dxa"/>
          </w:tcPr>
          <w:p w14:paraId="421DBE7D" w14:textId="67DF13F9"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Bachelor</w:t>
            </w:r>
          </w:p>
        </w:tc>
        <w:tc>
          <w:tcPr>
            <w:tcW w:w="923" w:type="dxa"/>
          </w:tcPr>
          <w:p w14:paraId="0A218BBE" w14:textId="2A7EB113"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Male</w:t>
            </w:r>
          </w:p>
        </w:tc>
        <w:tc>
          <w:tcPr>
            <w:tcW w:w="3060" w:type="dxa"/>
          </w:tcPr>
          <w:p w14:paraId="43FAB2B1" w14:textId="6AE95D90"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Emergency</w:t>
            </w:r>
          </w:p>
        </w:tc>
      </w:tr>
      <w:tr w:rsidR="00AA7721" w:rsidRPr="00BC64FA" w14:paraId="2E4D9786" w14:textId="77777777" w:rsidTr="00A95F03">
        <w:trPr>
          <w:jc w:val="center"/>
        </w:trPr>
        <w:tc>
          <w:tcPr>
            <w:tcW w:w="625" w:type="dxa"/>
          </w:tcPr>
          <w:p w14:paraId="152A69E1" w14:textId="37E80AFB" w:rsidR="00AA7721" w:rsidRPr="00BC64FA" w:rsidRDefault="00AA7721" w:rsidP="00AA7721">
            <w:pPr>
              <w:spacing w:line="240" w:lineRule="auto"/>
              <w:jc w:val="center"/>
              <w:rPr>
                <w:rFonts w:ascii="Arial" w:hAnsi="Arial" w:cs="Arial"/>
                <w:color w:val="000000" w:themeColor="text1"/>
                <w:sz w:val="20"/>
                <w:szCs w:val="20"/>
              </w:rPr>
            </w:pPr>
            <w:r w:rsidRPr="00BC64FA">
              <w:rPr>
                <w:rFonts w:ascii="Arial" w:hAnsi="Arial" w:cs="Arial"/>
                <w:color w:val="000000" w:themeColor="text1"/>
                <w:sz w:val="20"/>
                <w:szCs w:val="20"/>
              </w:rPr>
              <w:t>9</w:t>
            </w:r>
          </w:p>
        </w:tc>
        <w:tc>
          <w:tcPr>
            <w:tcW w:w="1710" w:type="dxa"/>
          </w:tcPr>
          <w:p w14:paraId="172CA892" w14:textId="3BE50857" w:rsidR="00AA7721" w:rsidRPr="00BC64FA" w:rsidRDefault="00AA7721"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Nurse 9</w:t>
            </w:r>
          </w:p>
        </w:tc>
        <w:tc>
          <w:tcPr>
            <w:tcW w:w="1890" w:type="dxa"/>
          </w:tcPr>
          <w:p w14:paraId="274B95A0" w14:textId="740E2F90"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Bachelor</w:t>
            </w:r>
          </w:p>
        </w:tc>
        <w:tc>
          <w:tcPr>
            <w:tcW w:w="923" w:type="dxa"/>
          </w:tcPr>
          <w:p w14:paraId="19B7D187" w14:textId="6C98E7CD"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Male</w:t>
            </w:r>
          </w:p>
        </w:tc>
        <w:tc>
          <w:tcPr>
            <w:tcW w:w="3060" w:type="dxa"/>
          </w:tcPr>
          <w:p w14:paraId="3BEDD693" w14:textId="2022F3D7"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Ambulance</w:t>
            </w:r>
          </w:p>
        </w:tc>
      </w:tr>
      <w:tr w:rsidR="00AA7721" w:rsidRPr="00BC64FA" w14:paraId="673F45CB" w14:textId="77777777" w:rsidTr="00A95F03">
        <w:trPr>
          <w:jc w:val="center"/>
        </w:trPr>
        <w:tc>
          <w:tcPr>
            <w:tcW w:w="625" w:type="dxa"/>
            <w:tcBorders>
              <w:bottom w:val="single" w:sz="4" w:space="0" w:color="auto"/>
            </w:tcBorders>
          </w:tcPr>
          <w:p w14:paraId="71BACC83" w14:textId="25E0BE5E" w:rsidR="00AA7721" w:rsidRPr="00BC64FA" w:rsidRDefault="00AA7721" w:rsidP="00AA7721">
            <w:pPr>
              <w:spacing w:line="240" w:lineRule="auto"/>
              <w:jc w:val="center"/>
              <w:rPr>
                <w:rFonts w:ascii="Arial" w:hAnsi="Arial" w:cs="Arial"/>
                <w:color w:val="000000" w:themeColor="text1"/>
                <w:sz w:val="20"/>
                <w:szCs w:val="20"/>
              </w:rPr>
            </w:pPr>
            <w:r w:rsidRPr="00BC64FA">
              <w:rPr>
                <w:rFonts w:ascii="Arial" w:hAnsi="Arial" w:cs="Arial"/>
                <w:color w:val="000000" w:themeColor="text1"/>
                <w:sz w:val="20"/>
                <w:szCs w:val="20"/>
              </w:rPr>
              <w:t>10</w:t>
            </w:r>
          </w:p>
        </w:tc>
        <w:tc>
          <w:tcPr>
            <w:tcW w:w="1710" w:type="dxa"/>
            <w:tcBorders>
              <w:bottom w:val="single" w:sz="4" w:space="0" w:color="auto"/>
            </w:tcBorders>
          </w:tcPr>
          <w:p w14:paraId="2644BFD1" w14:textId="3F5B22BA" w:rsidR="00AA7721" w:rsidRPr="00BC64FA" w:rsidRDefault="00AA7721"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Nurse 10</w:t>
            </w:r>
          </w:p>
        </w:tc>
        <w:tc>
          <w:tcPr>
            <w:tcW w:w="1890" w:type="dxa"/>
            <w:tcBorders>
              <w:bottom w:val="single" w:sz="4" w:space="0" w:color="auto"/>
            </w:tcBorders>
          </w:tcPr>
          <w:p w14:paraId="367F8314" w14:textId="5F43AE08"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Bachelor</w:t>
            </w:r>
          </w:p>
        </w:tc>
        <w:tc>
          <w:tcPr>
            <w:tcW w:w="923" w:type="dxa"/>
            <w:tcBorders>
              <w:bottom w:val="single" w:sz="4" w:space="0" w:color="auto"/>
            </w:tcBorders>
          </w:tcPr>
          <w:p w14:paraId="54D45B0D" w14:textId="370CA998"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Male</w:t>
            </w:r>
          </w:p>
        </w:tc>
        <w:tc>
          <w:tcPr>
            <w:tcW w:w="3060" w:type="dxa"/>
            <w:tcBorders>
              <w:bottom w:val="single" w:sz="4" w:space="0" w:color="auto"/>
            </w:tcBorders>
          </w:tcPr>
          <w:p w14:paraId="71B5D1D1" w14:textId="2A023B03" w:rsidR="00AA7721" w:rsidRPr="00BC64FA" w:rsidRDefault="00394048"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 xml:space="preserve">Primary Health </w:t>
            </w:r>
            <w:r w:rsidR="004C561C" w:rsidRPr="00BC64FA">
              <w:rPr>
                <w:rFonts w:ascii="Arial" w:hAnsi="Arial" w:cs="Arial"/>
                <w:color w:val="000000" w:themeColor="text1"/>
                <w:sz w:val="20"/>
                <w:szCs w:val="20"/>
              </w:rPr>
              <w:t>Clinic</w:t>
            </w:r>
          </w:p>
        </w:tc>
      </w:tr>
    </w:tbl>
    <w:p w14:paraId="0A38A98B" w14:textId="77777777" w:rsidR="00A95F03" w:rsidRPr="00BC64FA" w:rsidRDefault="00A95F03" w:rsidP="00A95F03">
      <w:pPr>
        <w:spacing w:before="120" w:after="120"/>
        <w:jc w:val="both"/>
        <w:rPr>
          <w:rFonts w:ascii="Arial" w:hAnsi="Arial" w:cs="Arial"/>
          <w:color w:val="000000" w:themeColor="text1"/>
          <w:sz w:val="20"/>
          <w:szCs w:val="20"/>
        </w:rPr>
      </w:pPr>
    </w:p>
    <w:p w14:paraId="0CE0C343" w14:textId="77777777" w:rsidR="006C6B92" w:rsidRPr="00BC64FA" w:rsidRDefault="006C6B92" w:rsidP="006C6B92">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Table 1 shows that the responders are highly educated, mostly male, and work mainly in acute and pre-hospital care. 80% hold a bachelor’s degree, while master’s degrees are rare, suggesting a need for advanced education programs. Gender distribution is uneven, with 80% male, indicating a diversity gap. Most placements (60%) are in Emergency and Ambulance services, emphasizing critical care and rapid response roles. Hospitals and primary health clinics each account for 20%, showing limited involvement in routine care. Overall, the group is well-qualified and concentrated in high-intensity roles but lacks gender diversity and advanced academic representation. Strategic efforts should focus on diversity, postgraduate education, and resilience in emergency teams.</w:t>
      </w:r>
    </w:p>
    <w:p w14:paraId="4590C6FF" w14:textId="632A97F1" w:rsidR="00AA7721" w:rsidRPr="00BC64FA" w:rsidRDefault="006C6B92" w:rsidP="001E246F">
      <w:pPr>
        <w:pStyle w:val="Heading2"/>
        <w:rPr>
          <w:rFonts w:ascii="Arial" w:hAnsi="Arial" w:cs="Arial"/>
          <w:sz w:val="20"/>
          <w:szCs w:val="20"/>
        </w:rPr>
      </w:pPr>
      <w:r w:rsidRPr="00BC64FA">
        <w:rPr>
          <w:rFonts w:ascii="Arial" w:hAnsi="Arial" w:cs="Arial"/>
          <w:sz w:val="20"/>
          <w:szCs w:val="20"/>
        </w:rPr>
        <w:t>4</w:t>
      </w:r>
      <w:r w:rsidR="001E246F" w:rsidRPr="00BC64FA">
        <w:rPr>
          <w:rFonts w:ascii="Arial" w:hAnsi="Arial" w:cs="Arial"/>
          <w:sz w:val="20"/>
          <w:szCs w:val="20"/>
        </w:rPr>
        <w:t>.2 Triangulation Report</w:t>
      </w:r>
    </w:p>
    <w:p w14:paraId="678BDE08" w14:textId="331E6F0B" w:rsidR="001E246F" w:rsidRPr="00BC64FA" w:rsidRDefault="001E246F"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The triangulation of data from interviews, observations, and document reviews reveals that Indonesian nurses in Qatar demonstrate high resilience shaped by three core dimensions. First, personal strength and adaptability are evident as nurses exhibit strong coping mechanisms, drawing on prior experience and cultural values to manage stress in high-pressure environments such as emergency and ambulance services. Second, professional preparedness and support systems play a crucial role, with regular drills, structured teamwork, and clear communication protocols enhancing confidence and readiness, while access to mental health resources, though limited, contributes to sustaining resilience. Third, socio-cultural and environmental factors such as community bonding among Indonesian expatriates and supportive workplace relationships help mitigate isolation and promote emotional well-being; however, gender imbalance and limited opportunities for advanced education, such as master’s programs, present challenges for long-term professional growth. Overall, resilience is maintained through a combination of personal coping strategies, professional training, and social support networks, but could be strengthened by improving mental health accessibility, gender diversity, and career development pathways.</w:t>
      </w:r>
    </w:p>
    <w:p w14:paraId="059A9947" w14:textId="5B788454" w:rsidR="00663668" w:rsidRPr="00BC64FA" w:rsidRDefault="006C6B92" w:rsidP="00663668">
      <w:pPr>
        <w:pStyle w:val="Heading2"/>
        <w:spacing w:before="120" w:after="120"/>
        <w:rPr>
          <w:rFonts w:ascii="Arial" w:hAnsi="Arial" w:cs="Arial"/>
          <w:color w:val="000000" w:themeColor="text1"/>
          <w:sz w:val="20"/>
          <w:szCs w:val="20"/>
        </w:rPr>
      </w:pPr>
      <w:r w:rsidRPr="00BC64FA">
        <w:rPr>
          <w:rFonts w:ascii="Arial" w:hAnsi="Arial" w:cs="Arial"/>
          <w:color w:val="000000" w:themeColor="text1"/>
          <w:sz w:val="20"/>
          <w:szCs w:val="20"/>
        </w:rPr>
        <w:t>4</w:t>
      </w:r>
      <w:r w:rsidR="00663668" w:rsidRPr="00BC64FA">
        <w:rPr>
          <w:rFonts w:ascii="Arial" w:hAnsi="Arial" w:cs="Arial"/>
          <w:color w:val="000000" w:themeColor="text1"/>
          <w:sz w:val="20"/>
          <w:szCs w:val="20"/>
        </w:rPr>
        <w:t>.</w:t>
      </w:r>
      <w:r w:rsidR="001E246F" w:rsidRPr="00BC64FA">
        <w:rPr>
          <w:rFonts w:ascii="Arial" w:hAnsi="Arial" w:cs="Arial"/>
          <w:color w:val="000000" w:themeColor="text1"/>
          <w:sz w:val="20"/>
          <w:szCs w:val="20"/>
        </w:rPr>
        <w:t>3</w:t>
      </w:r>
      <w:r w:rsidR="00663668" w:rsidRPr="00BC64FA">
        <w:rPr>
          <w:rFonts w:ascii="Arial" w:hAnsi="Arial" w:cs="Arial"/>
          <w:color w:val="000000" w:themeColor="text1"/>
          <w:sz w:val="20"/>
          <w:szCs w:val="20"/>
        </w:rPr>
        <w:t xml:space="preserve">. </w:t>
      </w:r>
      <w:r w:rsidR="0025181C" w:rsidRPr="0025181C">
        <w:rPr>
          <w:rFonts w:ascii="Arial" w:hAnsi="Arial" w:cs="Arial"/>
          <w:color w:val="000000" w:themeColor="text1"/>
          <w:sz w:val="20"/>
          <w:szCs w:val="20"/>
        </w:rPr>
        <w:t>Resilience Indonesian Nurses</w:t>
      </w:r>
    </w:p>
    <w:p w14:paraId="5E316440" w14:textId="3DC2A551" w:rsidR="00D3193F" w:rsidRPr="00BC64FA" w:rsidRDefault="00D3193F" w:rsidP="00D3193F">
      <w:pPr>
        <w:jc w:val="both"/>
        <w:rPr>
          <w:rFonts w:ascii="Arial" w:hAnsi="Arial" w:cs="Arial"/>
          <w:sz w:val="20"/>
          <w:szCs w:val="20"/>
        </w:rPr>
      </w:pPr>
      <w:r w:rsidRPr="00BC64FA">
        <w:rPr>
          <w:rFonts w:ascii="Arial" w:hAnsi="Arial" w:cs="Arial"/>
          <w:sz w:val="20"/>
          <w:szCs w:val="20"/>
        </w:rPr>
        <w:t xml:space="preserve">The resilience of nurses refers to their ability to adapt, recover, and maintain well-being in the face of stress, adversity, and challenging work environments. In healthcare, nurses often deal with high-pressure </w:t>
      </w:r>
      <w:r w:rsidRPr="00BC64FA">
        <w:rPr>
          <w:rFonts w:ascii="Arial" w:hAnsi="Arial" w:cs="Arial"/>
          <w:sz w:val="20"/>
          <w:szCs w:val="20"/>
        </w:rPr>
        <w:lastRenderedPageBreak/>
        <w:t>situations. The picture 1 shows that resilience among Indonesian nurses in Qatar is supported by four key factors and their practical components. Workplace pressure management is achieved through protocol adherence, task delegation, and effective communication, enabling nurses to handle high-stress environments. Cultural and linguistic adaptation is facilitated by using simple English, learning basic Arabic phrases, employing visual aids, and utilizing interpreters to overcome language barriers and improve integration. Resilience capacities are strengthened through mindfulness practices, debriefing sessions, and gratitude exercises, which help maintain emotional stability and coping ability.</w:t>
      </w:r>
    </w:p>
    <w:p w14:paraId="2F95359B" w14:textId="77777777" w:rsidR="00D3193F" w:rsidRPr="00BC64FA" w:rsidRDefault="00D3193F" w:rsidP="00D3193F">
      <w:pPr>
        <w:rPr>
          <w:rFonts w:ascii="Arial" w:hAnsi="Arial" w:cs="Arial"/>
          <w:sz w:val="20"/>
          <w:szCs w:val="20"/>
        </w:rPr>
      </w:pPr>
    </w:p>
    <w:p w14:paraId="44DEAF3F" w14:textId="72221C0D" w:rsidR="00B35DE5" w:rsidRPr="00BC64FA" w:rsidRDefault="00B35DE5" w:rsidP="003D01C3">
      <w:pPr>
        <w:jc w:val="center"/>
        <w:rPr>
          <w:rFonts w:ascii="Arial" w:hAnsi="Arial" w:cs="Arial"/>
          <w:sz w:val="20"/>
          <w:szCs w:val="20"/>
        </w:rPr>
      </w:pPr>
      <w:r w:rsidRPr="00BC64FA">
        <w:rPr>
          <w:rFonts w:ascii="Arial" w:hAnsi="Arial" w:cs="Arial"/>
          <w:noProof/>
          <w:sz w:val="20"/>
          <w:szCs w:val="20"/>
        </w:rPr>
        <w:drawing>
          <wp:inline distT="0" distB="0" distL="0" distR="0" wp14:anchorId="219B0F91" wp14:editId="606CF9DE">
            <wp:extent cx="5634355" cy="2299369"/>
            <wp:effectExtent l="0" t="0" r="4445" b="5715"/>
            <wp:docPr id="412915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915183" name=""/>
                    <pic:cNvPicPr/>
                  </pic:nvPicPr>
                  <pic:blipFill>
                    <a:blip r:embed="rId8"/>
                    <a:stretch>
                      <a:fillRect/>
                    </a:stretch>
                  </pic:blipFill>
                  <pic:spPr>
                    <a:xfrm>
                      <a:off x="0" y="0"/>
                      <a:ext cx="5667759" cy="2313001"/>
                    </a:xfrm>
                    <a:prstGeom prst="rect">
                      <a:avLst/>
                    </a:prstGeom>
                  </pic:spPr>
                </pic:pic>
              </a:graphicData>
            </a:graphic>
          </wp:inline>
        </w:drawing>
      </w:r>
    </w:p>
    <w:p w14:paraId="7F395501" w14:textId="542C5C53" w:rsidR="003D01C3" w:rsidRPr="00BC64FA" w:rsidRDefault="003D01C3" w:rsidP="003D01C3">
      <w:pPr>
        <w:jc w:val="center"/>
        <w:rPr>
          <w:rFonts w:ascii="Arial" w:hAnsi="Arial" w:cs="Arial"/>
          <w:sz w:val="20"/>
          <w:szCs w:val="20"/>
        </w:rPr>
      </w:pPr>
      <w:r w:rsidRPr="00BC64FA">
        <w:rPr>
          <w:rFonts w:ascii="Arial" w:hAnsi="Arial" w:cs="Arial"/>
          <w:sz w:val="20"/>
          <w:szCs w:val="20"/>
        </w:rPr>
        <w:t>Picture 1 Resilience Indonesian Nurses</w:t>
      </w:r>
    </w:p>
    <w:p w14:paraId="49B304C9" w14:textId="77777777" w:rsidR="00D4074D" w:rsidRPr="00BC64FA" w:rsidRDefault="00D4074D" w:rsidP="003D01C3">
      <w:pPr>
        <w:jc w:val="both"/>
        <w:rPr>
          <w:rFonts w:ascii="Arial" w:hAnsi="Arial" w:cs="Arial"/>
          <w:sz w:val="20"/>
          <w:szCs w:val="20"/>
        </w:rPr>
      </w:pPr>
    </w:p>
    <w:p w14:paraId="29764F0A" w14:textId="3196BA56" w:rsidR="003D01C3" w:rsidRPr="00BC64FA" w:rsidRDefault="00D4074D" w:rsidP="00D4074D">
      <w:pPr>
        <w:jc w:val="both"/>
        <w:rPr>
          <w:rFonts w:ascii="Arial" w:hAnsi="Arial" w:cs="Arial"/>
          <w:sz w:val="20"/>
          <w:szCs w:val="20"/>
        </w:rPr>
      </w:pPr>
      <w:r w:rsidRPr="00BC64FA">
        <w:rPr>
          <w:rFonts w:ascii="Arial" w:hAnsi="Arial" w:cs="Arial"/>
          <w:sz w:val="20"/>
          <w:szCs w:val="20"/>
        </w:rPr>
        <w:t>Finally, organizational support includes simulation training, SBAR communication training, and access to counseling services, ensuring that nurses receive structured guidance and psychological assistance. Overall, resilience emerges as a dynamic process combining personal strategies, cultural adaptation, and systemic support to help nurses thrive in demanding healthcare settings.</w:t>
      </w:r>
    </w:p>
    <w:p w14:paraId="19AD866C" w14:textId="42712D63" w:rsidR="00663668" w:rsidRPr="00BC64FA" w:rsidRDefault="006C6B92" w:rsidP="00663668">
      <w:pPr>
        <w:pStyle w:val="Heading3"/>
        <w:rPr>
          <w:rFonts w:ascii="Arial" w:hAnsi="Arial" w:cs="Arial"/>
          <w:sz w:val="20"/>
          <w:szCs w:val="20"/>
        </w:rPr>
      </w:pPr>
      <w:r w:rsidRPr="00BC64FA">
        <w:rPr>
          <w:rFonts w:ascii="Arial" w:hAnsi="Arial" w:cs="Arial"/>
          <w:sz w:val="20"/>
          <w:szCs w:val="20"/>
        </w:rPr>
        <w:t>4</w:t>
      </w:r>
      <w:r w:rsidR="00F272D7" w:rsidRPr="00BC64FA">
        <w:rPr>
          <w:rFonts w:ascii="Arial" w:hAnsi="Arial" w:cs="Arial"/>
          <w:sz w:val="20"/>
          <w:szCs w:val="20"/>
        </w:rPr>
        <w:t>.</w:t>
      </w:r>
      <w:r w:rsidR="001E246F" w:rsidRPr="00BC64FA">
        <w:rPr>
          <w:rFonts w:ascii="Arial" w:hAnsi="Arial" w:cs="Arial"/>
          <w:sz w:val="20"/>
          <w:szCs w:val="20"/>
        </w:rPr>
        <w:t>3</w:t>
      </w:r>
      <w:r w:rsidR="00F272D7" w:rsidRPr="00BC64FA">
        <w:rPr>
          <w:rFonts w:ascii="Arial" w:hAnsi="Arial" w:cs="Arial"/>
          <w:sz w:val="20"/>
          <w:szCs w:val="20"/>
        </w:rPr>
        <w:t>.</w:t>
      </w:r>
      <w:r w:rsidR="00663668" w:rsidRPr="00BC64FA">
        <w:rPr>
          <w:rFonts w:ascii="Arial" w:hAnsi="Arial" w:cs="Arial"/>
          <w:sz w:val="20"/>
          <w:szCs w:val="20"/>
        </w:rPr>
        <w:t>1 Theme: Workplace Pressure</w:t>
      </w:r>
    </w:p>
    <w:p w14:paraId="310A9F79" w14:textId="639DAB09" w:rsidR="00663668" w:rsidRDefault="00663668" w:rsidP="00663668">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Workplace pressure refers to the stress and demands experienced by nurses during high-intensity clinical situations, such as emergencies, overcrowding, or simultaneous patient deteriorations. It involves time constraints, critical decision-making, and emotional strain that require rapid prioritization and effective teamwork to maintain patient safety.</w:t>
      </w:r>
    </w:p>
    <w:p w14:paraId="2B5BE5D9" w14:textId="08F51590" w:rsidR="00663668" w:rsidRPr="00BC64FA" w:rsidRDefault="00663668" w:rsidP="006C6B92">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Common Scenarios</w:t>
      </w:r>
      <w:r w:rsidR="006C6B92" w:rsidRPr="00BC64FA">
        <w:rPr>
          <w:rFonts w:ascii="Arial" w:hAnsi="Arial" w:cs="Arial"/>
          <w:color w:val="000000" w:themeColor="text1"/>
          <w:sz w:val="20"/>
          <w:szCs w:val="20"/>
        </w:rPr>
        <w:t xml:space="preserve"> workplace pressure</w:t>
      </w:r>
      <w:r w:rsidRPr="00BC64FA">
        <w:rPr>
          <w:rFonts w:ascii="Arial" w:hAnsi="Arial" w:cs="Arial"/>
          <w:color w:val="000000" w:themeColor="text1"/>
          <w:sz w:val="20"/>
          <w:szCs w:val="20"/>
        </w:rPr>
        <w:t>:</w:t>
      </w:r>
      <w:r w:rsidR="006C6B92" w:rsidRPr="00BC64FA">
        <w:rPr>
          <w:rFonts w:ascii="Arial" w:hAnsi="Arial" w:cs="Arial"/>
          <w:color w:val="000000" w:themeColor="text1"/>
          <w:sz w:val="20"/>
          <w:szCs w:val="20"/>
        </w:rPr>
        <w:t xml:space="preserve"> (1) </w:t>
      </w:r>
      <w:r w:rsidRPr="00BC64FA">
        <w:rPr>
          <w:rFonts w:ascii="Arial" w:hAnsi="Arial" w:cs="Arial"/>
          <w:color w:val="000000" w:themeColor="text1"/>
          <w:sz w:val="20"/>
          <w:szCs w:val="20"/>
        </w:rPr>
        <w:t>ER nurses faced multi-trauma cases, overcrowded triage, pediatric emergencies, and mass casualty drills coinciding with real incidents.</w:t>
      </w:r>
      <w:r w:rsidR="006C6B92" w:rsidRPr="00BC64FA">
        <w:rPr>
          <w:rFonts w:ascii="Arial" w:hAnsi="Arial" w:cs="Arial"/>
          <w:color w:val="000000" w:themeColor="text1"/>
          <w:sz w:val="20"/>
          <w:szCs w:val="20"/>
        </w:rPr>
        <w:t xml:space="preserve"> (2) </w:t>
      </w:r>
      <w:r w:rsidRPr="00BC64FA">
        <w:rPr>
          <w:rFonts w:ascii="Arial" w:hAnsi="Arial" w:cs="Arial"/>
          <w:color w:val="000000" w:themeColor="text1"/>
          <w:sz w:val="20"/>
          <w:szCs w:val="20"/>
        </w:rPr>
        <w:t>Ambulance nurses managed outdoor cardiac arrests in extreme heat, multi-patient collisions, and public emergencies requiring de-escalation.</w:t>
      </w:r>
      <w:r w:rsidR="006C6B92" w:rsidRPr="00BC64FA">
        <w:rPr>
          <w:rFonts w:ascii="Arial" w:hAnsi="Arial" w:cs="Arial"/>
          <w:color w:val="000000" w:themeColor="text1"/>
          <w:sz w:val="20"/>
          <w:szCs w:val="20"/>
        </w:rPr>
        <w:t xml:space="preserve"> (3) H</w:t>
      </w:r>
      <w:r w:rsidR="005B2CCB" w:rsidRPr="00BC64FA">
        <w:rPr>
          <w:rFonts w:ascii="Arial" w:hAnsi="Arial" w:cs="Arial"/>
          <w:color w:val="000000" w:themeColor="text1"/>
          <w:sz w:val="20"/>
          <w:szCs w:val="20"/>
        </w:rPr>
        <w:t>ospital</w:t>
      </w:r>
      <w:r w:rsidRPr="00BC64FA">
        <w:rPr>
          <w:rFonts w:ascii="Arial" w:hAnsi="Arial" w:cs="Arial"/>
          <w:color w:val="000000" w:themeColor="text1"/>
          <w:sz w:val="20"/>
          <w:szCs w:val="20"/>
        </w:rPr>
        <w:t xml:space="preserve"> nurses handled back-to-back post-op arrivals, pain crises, and sudden hypotension during discharge prep.</w:t>
      </w:r>
      <w:r w:rsidR="006C6B92" w:rsidRPr="00BC64FA">
        <w:rPr>
          <w:rFonts w:ascii="Arial" w:hAnsi="Arial" w:cs="Arial"/>
          <w:color w:val="000000" w:themeColor="text1"/>
          <w:sz w:val="20"/>
          <w:szCs w:val="20"/>
        </w:rPr>
        <w:t xml:space="preserve"> And (4) </w:t>
      </w:r>
      <w:r w:rsidRPr="00BC64FA">
        <w:rPr>
          <w:rFonts w:ascii="Arial" w:hAnsi="Arial" w:cs="Arial"/>
          <w:color w:val="000000" w:themeColor="text1"/>
          <w:sz w:val="20"/>
          <w:szCs w:val="20"/>
        </w:rPr>
        <w:t>PHC nurses dealt with crowded health fairs and resource limitations.</w:t>
      </w:r>
    </w:p>
    <w:p w14:paraId="710D38D8" w14:textId="660BFE41" w:rsidR="00663668" w:rsidRDefault="00663668" w:rsidP="002721A6">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lastRenderedPageBreak/>
        <w:t>Key Strategies</w:t>
      </w:r>
      <w:r w:rsidR="006C6B92" w:rsidRPr="00BC64FA">
        <w:rPr>
          <w:rFonts w:ascii="Arial" w:hAnsi="Arial" w:cs="Arial"/>
          <w:color w:val="000000" w:themeColor="text1"/>
          <w:sz w:val="20"/>
          <w:szCs w:val="20"/>
        </w:rPr>
        <w:t xml:space="preserve"> workplace pressure management</w:t>
      </w:r>
      <w:r w:rsidRPr="00BC64FA">
        <w:rPr>
          <w:rFonts w:ascii="Arial" w:hAnsi="Arial" w:cs="Arial"/>
          <w:color w:val="000000" w:themeColor="text1"/>
          <w:sz w:val="20"/>
          <w:szCs w:val="20"/>
        </w:rPr>
        <w:t xml:space="preserve">: </w:t>
      </w:r>
      <w:r w:rsidR="006C6B92" w:rsidRPr="00BC64FA">
        <w:rPr>
          <w:rFonts w:ascii="Arial" w:hAnsi="Arial" w:cs="Arial"/>
          <w:color w:val="000000" w:themeColor="text1"/>
          <w:sz w:val="20"/>
          <w:szCs w:val="20"/>
        </w:rPr>
        <w:t xml:space="preserve">(1) </w:t>
      </w:r>
      <w:r w:rsidR="002721A6">
        <w:rPr>
          <w:rFonts w:ascii="Arial" w:hAnsi="Arial" w:cs="Arial"/>
          <w:color w:val="000000" w:themeColor="text1"/>
          <w:sz w:val="20"/>
          <w:szCs w:val="20"/>
        </w:rPr>
        <w:t>Using simple English in communication.</w:t>
      </w:r>
      <w:r w:rsidR="002721A6" w:rsidRPr="00BC64FA">
        <w:rPr>
          <w:rFonts w:ascii="Arial" w:hAnsi="Arial" w:cs="Arial"/>
          <w:color w:val="000000" w:themeColor="text1"/>
          <w:sz w:val="20"/>
          <w:szCs w:val="20"/>
        </w:rPr>
        <w:t xml:space="preserve"> </w:t>
      </w:r>
      <w:r w:rsidR="006C6B92" w:rsidRPr="00BC64FA">
        <w:rPr>
          <w:rFonts w:ascii="Arial" w:hAnsi="Arial" w:cs="Arial"/>
          <w:color w:val="000000" w:themeColor="text1"/>
          <w:sz w:val="20"/>
          <w:szCs w:val="20"/>
        </w:rPr>
        <w:t xml:space="preserve">(2) </w:t>
      </w:r>
      <w:r w:rsidRPr="00BC64FA">
        <w:rPr>
          <w:rFonts w:ascii="Arial" w:hAnsi="Arial" w:cs="Arial"/>
          <w:color w:val="000000" w:themeColor="text1"/>
          <w:sz w:val="20"/>
          <w:szCs w:val="20"/>
        </w:rPr>
        <w:t>Rapid prioritization using ABC principles and triage systems.</w:t>
      </w:r>
      <w:r w:rsidR="006C6B92" w:rsidRPr="00BC64FA">
        <w:rPr>
          <w:rFonts w:ascii="Arial" w:hAnsi="Arial" w:cs="Arial"/>
          <w:color w:val="000000" w:themeColor="text1"/>
          <w:sz w:val="20"/>
          <w:szCs w:val="20"/>
        </w:rPr>
        <w:t xml:space="preserve"> (3) </w:t>
      </w:r>
      <w:r w:rsidRPr="00BC64FA">
        <w:rPr>
          <w:rFonts w:ascii="Arial" w:hAnsi="Arial" w:cs="Arial"/>
          <w:color w:val="000000" w:themeColor="text1"/>
          <w:sz w:val="20"/>
          <w:szCs w:val="20"/>
        </w:rPr>
        <w:t>Task delegation and teamwork to manage simultaneous cases.</w:t>
      </w:r>
      <w:r w:rsidR="006C6B92" w:rsidRPr="00BC64FA">
        <w:rPr>
          <w:rFonts w:ascii="Arial" w:hAnsi="Arial" w:cs="Arial"/>
          <w:color w:val="000000" w:themeColor="text1"/>
          <w:sz w:val="20"/>
          <w:szCs w:val="20"/>
        </w:rPr>
        <w:t xml:space="preserve"> (4) </w:t>
      </w:r>
      <w:r w:rsidRPr="00BC64FA">
        <w:rPr>
          <w:rFonts w:ascii="Arial" w:hAnsi="Arial" w:cs="Arial"/>
          <w:color w:val="000000" w:themeColor="text1"/>
          <w:sz w:val="20"/>
          <w:szCs w:val="20"/>
        </w:rPr>
        <w:t>Use of checklists, whiteboards, and triage tags for coordination.</w:t>
      </w:r>
      <w:r w:rsidR="006C6B92" w:rsidRPr="00BC64FA">
        <w:rPr>
          <w:rFonts w:ascii="Arial" w:hAnsi="Arial" w:cs="Arial"/>
          <w:color w:val="000000" w:themeColor="text1"/>
          <w:sz w:val="20"/>
          <w:szCs w:val="20"/>
        </w:rPr>
        <w:t xml:space="preserve"> And (5) </w:t>
      </w:r>
      <w:r w:rsidRPr="00BC64FA">
        <w:rPr>
          <w:rFonts w:ascii="Arial" w:hAnsi="Arial" w:cs="Arial"/>
          <w:color w:val="000000" w:themeColor="text1"/>
          <w:sz w:val="20"/>
          <w:szCs w:val="20"/>
        </w:rPr>
        <w:t>Calm, closed-loop communication and early escalation to specialists or RRT.</w:t>
      </w:r>
    </w:p>
    <w:p w14:paraId="234AA990" w14:textId="1A6A5258" w:rsidR="00663668" w:rsidRPr="00BC64FA" w:rsidRDefault="00A609B6" w:rsidP="00663668">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Quotes: </w:t>
      </w:r>
    </w:p>
    <w:p w14:paraId="166C0D1A" w14:textId="0A20A0AE" w:rsidR="002721A6" w:rsidRPr="001B0A53" w:rsidRDefault="0004282D" w:rsidP="00473879">
      <w:pPr>
        <w:pStyle w:val="ListParagraph"/>
        <w:numPr>
          <w:ilvl w:val="0"/>
          <w:numId w:val="27"/>
        </w:numPr>
        <w:spacing w:before="120" w:after="120"/>
        <w:jc w:val="both"/>
        <w:rPr>
          <w:rFonts w:asciiTheme="minorBidi" w:hAnsiTheme="minorBidi" w:cstheme="minorBidi"/>
          <w:i/>
          <w:iCs/>
          <w:color w:val="000000" w:themeColor="text1"/>
          <w:sz w:val="20"/>
          <w:szCs w:val="20"/>
        </w:rPr>
      </w:pPr>
      <w:r w:rsidRPr="001B0A53">
        <w:rPr>
          <w:rFonts w:asciiTheme="minorBidi" w:hAnsiTheme="minorBidi" w:cstheme="minorBidi"/>
          <w:i/>
          <w:iCs/>
          <w:color w:val="000000" w:themeColor="text1"/>
          <w:sz w:val="20"/>
          <w:szCs w:val="20"/>
        </w:rPr>
        <w:t>Nurse 1</w:t>
      </w:r>
      <w:r w:rsidR="00E32CE6" w:rsidRPr="001B0A53">
        <w:rPr>
          <w:rFonts w:asciiTheme="minorBidi" w:hAnsiTheme="minorBidi" w:cstheme="minorBidi"/>
          <w:i/>
          <w:iCs/>
          <w:color w:val="000000" w:themeColor="text1"/>
          <w:sz w:val="20"/>
          <w:szCs w:val="20"/>
        </w:rPr>
        <w:t>, Hospital</w:t>
      </w:r>
      <w:r w:rsidRPr="001B0A53">
        <w:rPr>
          <w:rFonts w:asciiTheme="minorBidi" w:hAnsiTheme="minorBidi" w:cstheme="minorBidi"/>
          <w:i/>
          <w:iCs/>
          <w:color w:val="000000" w:themeColor="text1"/>
          <w:sz w:val="20"/>
          <w:szCs w:val="20"/>
        </w:rPr>
        <w:t xml:space="preserve">: </w:t>
      </w:r>
      <w:r w:rsidR="00A609B6" w:rsidRPr="001B0A53">
        <w:rPr>
          <w:rFonts w:asciiTheme="minorBidi" w:hAnsiTheme="minorBidi" w:cstheme="minorBidi"/>
          <w:i/>
          <w:iCs/>
          <w:color w:val="000000" w:themeColor="text1"/>
          <w:sz w:val="20"/>
          <w:szCs w:val="20"/>
        </w:rPr>
        <w:t>“</w:t>
      </w:r>
      <w:r w:rsidR="009070E9" w:rsidRPr="001B0A53">
        <w:rPr>
          <w:rFonts w:asciiTheme="minorBidi" w:hAnsiTheme="minorBidi" w:cstheme="minorBidi"/>
          <w:i/>
          <w:iCs/>
          <w:color w:val="000000" w:themeColor="text1"/>
          <w:sz w:val="20"/>
          <w:szCs w:val="20"/>
        </w:rPr>
        <w:t>……</w:t>
      </w:r>
      <w:r w:rsidR="00A609B6" w:rsidRPr="001B0A53">
        <w:rPr>
          <w:rFonts w:asciiTheme="minorBidi" w:hAnsiTheme="minorBidi" w:cstheme="minorBidi"/>
          <w:i/>
          <w:iCs/>
          <w:color w:val="000000" w:themeColor="text1"/>
          <w:sz w:val="20"/>
          <w:szCs w:val="20"/>
        </w:rPr>
        <w:t xml:space="preserve"> </w:t>
      </w:r>
      <w:r w:rsidR="00AA32F9">
        <w:rPr>
          <w:rFonts w:asciiTheme="minorBidi" w:hAnsiTheme="minorBidi" w:cstheme="minorBidi"/>
          <w:i/>
          <w:iCs/>
          <w:color w:val="000000" w:themeColor="text1"/>
          <w:sz w:val="20"/>
          <w:szCs w:val="20"/>
        </w:rPr>
        <w:t>r</w:t>
      </w:r>
      <w:r w:rsidR="00A609B6" w:rsidRPr="001B0A53">
        <w:rPr>
          <w:rFonts w:asciiTheme="minorBidi" w:hAnsiTheme="minorBidi" w:cstheme="minorBidi"/>
          <w:i/>
          <w:iCs/>
          <w:color w:val="000000" w:themeColor="text1"/>
          <w:sz w:val="20"/>
          <w:szCs w:val="20"/>
        </w:rPr>
        <w:t>ecognizing the risk of chaos, I immediately enforced triage to prioritize patients by acuity and resource needs. To ensure systematic management, I assigned clear ABC roles—Airway, Breathing, and Circulation—so each team member had defined responsibilities</w:t>
      </w:r>
      <w:r w:rsidR="009070E9" w:rsidRPr="001B0A53">
        <w:rPr>
          <w:rFonts w:asciiTheme="minorBidi" w:hAnsiTheme="minorBidi" w:cstheme="minorBidi"/>
          <w:i/>
          <w:iCs/>
          <w:color w:val="000000" w:themeColor="text1"/>
          <w:sz w:val="20"/>
          <w:szCs w:val="20"/>
        </w:rPr>
        <w:t>………</w:t>
      </w:r>
      <w:r w:rsidR="00A609B6" w:rsidRPr="001B0A53">
        <w:rPr>
          <w:rFonts w:asciiTheme="minorBidi" w:hAnsiTheme="minorBidi" w:cstheme="minorBidi"/>
          <w:i/>
          <w:iCs/>
          <w:color w:val="000000" w:themeColor="text1"/>
          <w:sz w:val="20"/>
          <w:szCs w:val="20"/>
        </w:rPr>
        <w:t>”.</w:t>
      </w:r>
    </w:p>
    <w:p w14:paraId="331AC7C5" w14:textId="5E8F7AA1" w:rsidR="009070E9" w:rsidRPr="001B0A53" w:rsidRDefault="009070E9" w:rsidP="00473879">
      <w:pPr>
        <w:pStyle w:val="ListParagraph"/>
        <w:numPr>
          <w:ilvl w:val="0"/>
          <w:numId w:val="27"/>
        </w:numPr>
        <w:spacing w:before="120" w:after="120"/>
        <w:jc w:val="both"/>
        <w:rPr>
          <w:rFonts w:asciiTheme="minorBidi" w:hAnsiTheme="minorBidi" w:cstheme="minorBidi"/>
          <w:i/>
          <w:iCs/>
          <w:color w:val="000000" w:themeColor="text1"/>
          <w:sz w:val="20"/>
          <w:szCs w:val="20"/>
        </w:rPr>
      </w:pPr>
      <w:r w:rsidRPr="001B0A53">
        <w:rPr>
          <w:rFonts w:asciiTheme="minorBidi" w:hAnsiTheme="minorBidi" w:cstheme="minorBidi"/>
          <w:i/>
          <w:iCs/>
          <w:color w:val="000000" w:themeColor="text1"/>
          <w:sz w:val="20"/>
          <w:szCs w:val="20"/>
        </w:rPr>
        <w:t>Nurse</w:t>
      </w:r>
      <w:r w:rsidR="00825379" w:rsidRPr="001B0A53">
        <w:rPr>
          <w:rFonts w:asciiTheme="minorBidi" w:hAnsiTheme="minorBidi" w:cstheme="minorBidi"/>
          <w:i/>
          <w:iCs/>
          <w:color w:val="000000" w:themeColor="text1"/>
          <w:sz w:val="20"/>
          <w:szCs w:val="20"/>
        </w:rPr>
        <w:t xml:space="preserve"> </w:t>
      </w:r>
      <w:r w:rsidRPr="001B0A53">
        <w:rPr>
          <w:rFonts w:asciiTheme="minorBidi" w:hAnsiTheme="minorBidi" w:cstheme="minorBidi"/>
          <w:i/>
          <w:iCs/>
          <w:color w:val="000000" w:themeColor="text1"/>
          <w:sz w:val="20"/>
          <w:szCs w:val="20"/>
        </w:rPr>
        <w:t>2</w:t>
      </w:r>
      <w:r w:rsidR="00E32CE6" w:rsidRPr="001B0A53">
        <w:rPr>
          <w:rFonts w:asciiTheme="minorBidi" w:hAnsiTheme="minorBidi" w:cstheme="minorBidi"/>
          <w:i/>
          <w:iCs/>
          <w:color w:val="000000" w:themeColor="text1"/>
          <w:sz w:val="20"/>
          <w:szCs w:val="20"/>
        </w:rPr>
        <w:t>, Hospital</w:t>
      </w:r>
      <w:r w:rsidRPr="001B0A53">
        <w:rPr>
          <w:rFonts w:asciiTheme="minorBidi" w:hAnsiTheme="minorBidi" w:cstheme="minorBidi"/>
          <w:i/>
          <w:iCs/>
          <w:color w:val="000000" w:themeColor="text1"/>
          <w:sz w:val="20"/>
          <w:szCs w:val="20"/>
        </w:rPr>
        <w:t>:</w:t>
      </w:r>
      <w:r w:rsidR="00825379" w:rsidRPr="001B0A53">
        <w:rPr>
          <w:rFonts w:asciiTheme="minorBidi" w:hAnsiTheme="minorBidi" w:cstheme="minorBidi"/>
          <w:i/>
          <w:iCs/>
          <w:color w:val="000000" w:themeColor="text1"/>
          <w:sz w:val="20"/>
          <w:szCs w:val="20"/>
        </w:rPr>
        <w:t xml:space="preserve"> “……</w:t>
      </w:r>
      <w:r w:rsidRPr="001B0A53">
        <w:rPr>
          <w:rFonts w:asciiTheme="minorBidi" w:hAnsiTheme="minorBidi" w:cstheme="minorBidi"/>
          <w:i/>
          <w:iCs/>
          <w:color w:val="000000" w:themeColor="text1"/>
          <w:sz w:val="20"/>
          <w:szCs w:val="20"/>
        </w:rPr>
        <w:t>I promptly coordinated with cardiology to secure rapid transfer and intervention for the STEMI patient. To maintain consistency and reduce error under pressure, I relied on checklists, ensuring that essential steps were not overlooked despite the busy environment.</w:t>
      </w:r>
      <w:r w:rsidR="00F25B59" w:rsidRPr="001B0A53">
        <w:rPr>
          <w:rFonts w:asciiTheme="minorBidi" w:hAnsiTheme="minorBidi" w:cstheme="minorBidi"/>
          <w:i/>
          <w:iCs/>
          <w:color w:val="000000" w:themeColor="text1"/>
          <w:sz w:val="20"/>
          <w:szCs w:val="20"/>
        </w:rPr>
        <w:t xml:space="preserve"> ……”</w:t>
      </w:r>
    </w:p>
    <w:p w14:paraId="4D54E783" w14:textId="2E4FAFB0" w:rsidR="00825379" w:rsidRPr="001B0A53" w:rsidRDefault="003017E6" w:rsidP="00473879">
      <w:pPr>
        <w:pStyle w:val="ListParagraph"/>
        <w:numPr>
          <w:ilvl w:val="0"/>
          <w:numId w:val="27"/>
        </w:numPr>
        <w:spacing w:before="120" w:after="120"/>
        <w:jc w:val="both"/>
        <w:rPr>
          <w:rFonts w:asciiTheme="minorBidi" w:hAnsiTheme="minorBidi" w:cstheme="minorBidi"/>
          <w:i/>
          <w:iCs/>
          <w:color w:val="000000" w:themeColor="text1"/>
          <w:sz w:val="20"/>
          <w:szCs w:val="20"/>
        </w:rPr>
      </w:pPr>
      <w:r w:rsidRPr="001B0A53">
        <w:rPr>
          <w:rFonts w:asciiTheme="minorBidi" w:hAnsiTheme="minorBidi" w:cstheme="minorBidi"/>
          <w:i/>
          <w:iCs/>
          <w:color w:val="000000" w:themeColor="text1"/>
          <w:sz w:val="20"/>
          <w:szCs w:val="20"/>
        </w:rPr>
        <w:t xml:space="preserve">Ambulance </w:t>
      </w:r>
      <w:r w:rsidR="00825379" w:rsidRPr="001B0A53">
        <w:rPr>
          <w:rFonts w:asciiTheme="minorBidi" w:hAnsiTheme="minorBidi" w:cstheme="minorBidi"/>
          <w:i/>
          <w:iCs/>
          <w:color w:val="000000" w:themeColor="text1"/>
          <w:sz w:val="20"/>
          <w:szCs w:val="20"/>
        </w:rPr>
        <w:t>Nurse 6</w:t>
      </w:r>
      <w:r w:rsidR="00E32CE6" w:rsidRPr="001B0A53">
        <w:rPr>
          <w:rFonts w:asciiTheme="minorBidi" w:hAnsiTheme="minorBidi" w:cstheme="minorBidi"/>
          <w:i/>
          <w:iCs/>
          <w:color w:val="000000" w:themeColor="text1"/>
          <w:sz w:val="20"/>
          <w:szCs w:val="20"/>
        </w:rPr>
        <w:t>, Ambulance</w:t>
      </w:r>
      <w:r w:rsidR="00825379" w:rsidRPr="001B0A53">
        <w:rPr>
          <w:rFonts w:asciiTheme="minorBidi" w:hAnsiTheme="minorBidi" w:cstheme="minorBidi"/>
          <w:i/>
          <w:iCs/>
          <w:color w:val="000000" w:themeColor="text1"/>
          <w:sz w:val="20"/>
          <w:szCs w:val="20"/>
        </w:rPr>
        <w:t>:</w:t>
      </w:r>
      <w:r w:rsidR="00E32CE6" w:rsidRPr="001B0A53">
        <w:rPr>
          <w:rFonts w:asciiTheme="minorBidi" w:hAnsiTheme="minorBidi" w:cstheme="minorBidi"/>
          <w:i/>
          <w:iCs/>
          <w:color w:val="000000" w:themeColor="text1"/>
          <w:sz w:val="20"/>
          <w:szCs w:val="20"/>
        </w:rPr>
        <w:t xml:space="preserve"> “</w:t>
      </w:r>
      <w:proofErr w:type="gramStart"/>
      <w:r w:rsidR="00E32CE6" w:rsidRPr="001B0A53">
        <w:rPr>
          <w:rFonts w:asciiTheme="minorBidi" w:hAnsiTheme="minorBidi" w:cstheme="minorBidi"/>
          <w:i/>
          <w:iCs/>
          <w:color w:val="000000" w:themeColor="text1"/>
          <w:sz w:val="20"/>
          <w:szCs w:val="20"/>
        </w:rPr>
        <w:t>…..</w:t>
      </w:r>
      <w:proofErr w:type="gramEnd"/>
      <w:r w:rsidR="00AA32F9">
        <w:rPr>
          <w:rFonts w:asciiTheme="minorBidi" w:hAnsiTheme="minorBidi" w:cstheme="minorBidi"/>
          <w:i/>
          <w:iCs/>
          <w:color w:val="000000" w:themeColor="text1"/>
          <w:sz w:val="20"/>
          <w:szCs w:val="20"/>
        </w:rPr>
        <w:t xml:space="preserve"> t</w:t>
      </w:r>
      <w:r w:rsidR="00825379" w:rsidRPr="001B0A53">
        <w:rPr>
          <w:rFonts w:asciiTheme="minorBidi" w:hAnsiTheme="minorBidi" w:cstheme="minorBidi"/>
          <w:i/>
          <w:iCs/>
          <w:color w:val="000000" w:themeColor="text1"/>
          <w:sz w:val="20"/>
          <w:szCs w:val="20"/>
        </w:rPr>
        <w:t xml:space="preserve">hroughout the incident, I maintained strict radio discipline, ensuring that communications were concise, relevant, and uninterrupted. This approach minimized confusion, enhanced situational awareness, and allowed for coordinated decision-making under pressure……”. </w:t>
      </w:r>
    </w:p>
    <w:p w14:paraId="375547E7" w14:textId="4B1F2B04" w:rsidR="00A609B6" w:rsidRPr="00D70A89" w:rsidRDefault="00A609B6" w:rsidP="00663668">
      <w:pPr>
        <w:spacing w:before="120" w:after="120"/>
        <w:jc w:val="both"/>
        <w:rPr>
          <w:rFonts w:ascii="Arial" w:hAnsi="Arial" w:cs="Arial"/>
          <w:i/>
          <w:iCs/>
          <w:color w:val="000000" w:themeColor="text1"/>
          <w:sz w:val="20"/>
          <w:szCs w:val="20"/>
        </w:rPr>
      </w:pPr>
    </w:p>
    <w:p w14:paraId="0257ACCB" w14:textId="5E57A0D7" w:rsidR="00663668" w:rsidRPr="00BC64FA" w:rsidRDefault="006C6B92" w:rsidP="00663668">
      <w:pPr>
        <w:pStyle w:val="Heading3"/>
        <w:rPr>
          <w:rFonts w:ascii="Arial" w:hAnsi="Arial" w:cs="Arial"/>
          <w:sz w:val="20"/>
          <w:szCs w:val="20"/>
        </w:rPr>
      </w:pPr>
      <w:r w:rsidRPr="00BC64FA">
        <w:rPr>
          <w:rFonts w:ascii="Arial" w:hAnsi="Arial" w:cs="Arial"/>
          <w:sz w:val="20"/>
          <w:szCs w:val="20"/>
        </w:rPr>
        <w:t>4</w:t>
      </w:r>
      <w:r w:rsidR="00F272D7" w:rsidRPr="00BC64FA">
        <w:rPr>
          <w:rFonts w:ascii="Arial" w:hAnsi="Arial" w:cs="Arial"/>
          <w:sz w:val="20"/>
          <w:szCs w:val="20"/>
        </w:rPr>
        <w:t>.</w:t>
      </w:r>
      <w:r w:rsidR="001E246F" w:rsidRPr="00BC64FA">
        <w:rPr>
          <w:rFonts w:ascii="Arial" w:hAnsi="Arial" w:cs="Arial"/>
          <w:sz w:val="20"/>
          <w:szCs w:val="20"/>
        </w:rPr>
        <w:t>3</w:t>
      </w:r>
      <w:r w:rsidR="00F272D7" w:rsidRPr="00BC64FA">
        <w:rPr>
          <w:rFonts w:ascii="Arial" w:hAnsi="Arial" w:cs="Arial"/>
          <w:sz w:val="20"/>
          <w:szCs w:val="20"/>
        </w:rPr>
        <w:t>.</w:t>
      </w:r>
      <w:r w:rsidR="00663668" w:rsidRPr="00BC64FA">
        <w:rPr>
          <w:rFonts w:ascii="Arial" w:hAnsi="Arial" w:cs="Arial"/>
          <w:sz w:val="20"/>
          <w:szCs w:val="20"/>
        </w:rPr>
        <w:t>2 Theme: Cultural/Linguistic</w:t>
      </w:r>
    </w:p>
    <w:p w14:paraId="788C930D" w14:textId="32B775B3" w:rsidR="00663668" w:rsidRPr="00BC64FA" w:rsidRDefault="00663668" w:rsidP="00663668">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Cultural/linguistic challenges describe the barriers in communication and cultural understanding between nurses and patients or families, often due to differences in language, beliefs, and health practices. These challenges can affect consent, education, and care delivery, requiring strategies like interpreter use, visual aids, and cultural competence training.</w:t>
      </w:r>
    </w:p>
    <w:p w14:paraId="64AD7691" w14:textId="02FD34F7" w:rsidR="0060528C" w:rsidRPr="00BC64FA" w:rsidRDefault="0060528C" w:rsidP="0060528C">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Language barriers with Arabic-speaking patients and families during consent, education, and emergencies refers to a communication challenge faced by healthcare providers, particularly nurses, when interacting with patients and families who primarily speak Arabic.</w:t>
      </w:r>
    </w:p>
    <w:p w14:paraId="3BD51BBE" w14:textId="1915E337" w:rsidR="00663668" w:rsidRPr="00BC64FA" w:rsidRDefault="00663668" w:rsidP="006C6B92">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Effective Approaches</w:t>
      </w:r>
      <w:r w:rsidR="006C6B92" w:rsidRPr="00BC64FA">
        <w:rPr>
          <w:rFonts w:ascii="Arial" w:hAnsi="Arial" w:cs="Arial"/>
          <w:color w:val="000000" w:themeColor="text1"/>
          <w:sz w:val="20"/>
          <w:szCs w:val="20"/>
        </w:rPr>
        <w:t xml:space="preserve"> to cultural and linguistic barrier</w:t>
      </w:r>
      <w:r w:rsidRPr="00BC64FA">
        <w:rPr>
          <w:rFonts w:ascii="Arial" w:hAnsi="Arial" w:cs="Arial"/>
          <w:color w:val="000000" w:themeColor="text1"/>
          <w:sz w:val="20"/>
          <w:szCs w:val="20"/>
        </w:rPr>
        <w:t>:</w:t>
      </w:r>
      <w:r w:rsidR="006C6B92" w:rsidRPr="00BC64FA">
        <w:rPr>
          <w:rFonts w:ascii="Arial" w:hAnsi="Arial" w:cs="Arial"/>
          <w:color w:val="000000" w:themeColor="text1"/>
          <w:sz w:val="20"/>
          <w:szCs w:val="20"/>
        </w:rPr>
        <w:t xml:space="preserve"> (1) </w:t>
      </w:r>
      <w:r w:rsidRPr="00BC64FA">
        <w:rPr>
          <w:rFonts w:ascii="Arial" w:hAnsi="Arial" w:cs="Arial"/>
          <w:color w:val="000000" w:themeColor="text1"/>
          <w:sz w:val="20"/>
          <w:szCs w:val="20"/>
        </w:rPr>
        <w:t>Simple English combined with key Arabic phrases.</w:t>
      </w:r>
      <w:r w:rsidR="006C6B92" w:rsidRPr="00BC64FA">
        <w:rPr>
          <w:rFonts w:ascii="Arial" w:hAnsi="Arial" w:cs="Arial"/>
          <w:color w:val="000000" w:themeColor="text1"/>
          <w:sz w:val="20"/>
          <w:szCs w:val="20"/>
        </w:rPr>
        <w:t xml:space="preserve"> (2) </w:t>
      </w:r>
      <w:r w:rsidRPr="00BC64FA">
        <w:rPr>
          <w:rFonts w:ascii="Arial" w:hAnsi="Arial" w:cs="Arial"/>
          <w:color w:val="000000" w:themeColor="text1"/>
          <w:sz w:val="20"/>
          <w:szCs w:val="20"/>
        </w:rPr>
        <w:t>Visual aids: pain scales, pictograms, videos, dolls for pediatrics.</w:t>
      </w:r>
      <w:r w:rsidR="006C6B92" w:rsidRPr="00BC64FA">
        <w:rPr>
          <w:rFonts w:ascii="Arial" w:hAnsi="Arial" w:cs="Arial"/>
          <w:color w:val="000000" w:themeColor="text1"/>
          <w:sz w:val="20"/>
          <w:szCs w:val="20"/>
        </w:rPr>
        <w:t xml:space="preserve"> (3) </w:t>
      </w:r>
      <w:r w:rsidRPr="00BC64FA">
        <w:rPr>
          <w:rFonts w:ascii="Arial" w:hAnsi="Arial" w:cs="Arial"/>
          <w:color w:val="000000" w:themeColor="text1"/>
          <w:sz w:val="20"/>
          <w:szCs w:val="20"/>
        </w:rPr>
        <w:t>Teach-back method and bilingual printed instructions for clarity.</w:t>
      </w:r>
      <w:r w:rsidR="006C6B92" w:rsidRPr="00BC64FA">
        <w:rPr>
          <w:rFonts w:ascii="Arial" w:hAnsi="Arial" w:cs="Arial"/>
          <w:color w:val="000000" w:themeColor="text1"/>
          <w:sz w:val="20"/>
          <w:szCs w:val="20"/>
        </w:rPr>
        <w:t xml:space="preserve"> (4) </w:t>
      </w:r>
      <w:r w:rsidRPr="00BC64FA">
        <w:rPr>
          <w:rFonts w:ascii="Arial" w:hAnsi="Arial" w:cs="Arial"/>
          <w:color w:val="000000" w:themeColor="text1"/>
          <w:sz w:val="20"/>
          <w:szCs w:val="20"/>
        </w:rPr>
        <w:t>Interpreter access for complex cases and consent.</w:t>
      </w:r>
      <w:r w:rsidR="006C6B92" w:rsidRPr="00BC64FA">
        <w:rPr>
          <w:rFonts w:ascii="Arial" w:hAnsi="Arial" w:cs="Arial"/>
          <w:color w:val="000000" w:themeColor="text1"/>
          <w:sz w:val="20"/>
          <w:szCs w:val="20"/>
        </w:rPr>
        <w:t xml:space="preserve"> And (5) Reduce of c</w:t>
      </w:r>
      <w:r w:rsidRPr="00BC64FA">
        <w:rPr>
          <w:rFonts w:ascii="Arial" w:hAnsi="Arial" w:cs="Arial"/>
          <w:color w:val="000000" w:themeColor="text1"/>
          <w:sz w:val="20"/>
          <w:szCs w:val="20"/>
        </w:rPr>
        <w:t>ultural sensitivity: respecting privacy, involving family, and using culturally tailored health education materials.</w:t>
      </w:r>
    </w:p>
    <w:p w14:paraId="66E2249D" w14:textId="77777777" w:rsidR="00A609B6" w:rsidRPr="00BC64FA" w:rsidRDefault="00A609B6" w:rsidP="00A609B6">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Quotes: </w:t>
      </w:r>
    </w:p>
    <w:p w14:paraId="798AEAB8" w14:textId="098D4388" w:rsidR="007E03B7" w:rsidRPr="001B0A53" w:rsidRDefault="007E03B7" w:rsidP="007E03B7">
      <w:pPr>
        <w:pStyle w:val="ListParagraph"/>
        <w:numPr>
          <w:ilvl w:val="0"/>
          <w:numId w:val="28"/>
        </w:numPr>
        <w:spacing w:before="120" w:after="120"/>
        <w:jc w:val="both"/>
        <w:rPr>
          <w:rFonts w:asciiTheme="minorBidi" w:hAnsiTheme="minorBidi" w:cstheme="minorBidi"/>
          <w:i/>
          <w:iCs/>
          <w:color w:val="000000" w:themeColor="text1"/>
          <w:sz w:val="20"/>
          <w:szCs w:val="20"/>
        </w:rPr>
      </w:pPr>
      <w:r w:rsidRPr="001B0A53">
        <w:rPr>
          <w:rFonts w:asciiTheme="minorBidi" w:hAnsiTheme="minorBidi" w:cstheme="minorBidi"/>
          <w:i/>
          <w:iCs/>
          <w:color w:val="000000" w:themeColor="text1"/>
          <w:sz w:val="20"/>
          <w:szCs w:val="20"/>
        </w:rPr>
        <w:t>Nurse 2, ER</w:t>
      </w:r>
      <w:r w:rsidR="0069793E" w:rsidRPr="001B0A53">
        <w:rPr>
          <w:rFonts w:asciiTheme="minorBidi" w:hAnsiTheme="minorBidi" w:cstheme="minorBidi"/>
          <w:i/>
          <w:iCs/>
          <w:color w:val="000000" w:themeColor="text1"/>
          <w:sz w:val="20"/>
          <w:szCs w:val="20"/>
        </w:rPr>
        <w:t xml:space="preserve">: </w:t>
      </w:r>
      <w:r w:rsidRPr="001B0A53">
        <w:rPr>
          <w:rFonts w:asciiTheme="minorBidi" w:hAnsiTheme="minorBidi" w:cstheme="minorBidi"/>
          <w:i/>
          <w:iCs/>
          <w:color w:val="000000" w:themeColor="text1"/>
          <w:sz w:val="20"/>
          <w:szCs w:val="20"/>
        </w:rPr>
        <w:t>“……</w:t>
      </w:r>
      <w:r w:rsidR="00AA32F9">
        <w:rPr>
          <w:rFonts w:asciiTheme="minorBidi" w:hAnsiTheme="minorBidi" w:cstheme="minorBidi"/>
          <w:i/>
          <w:iCs/>
          <w:color w:val="000000" w:themeColor="text1"/>
          <w:sz w:val="20"/>
          <w:szCs w:val="20"/>
        </w:rPr>
        <w:t>t</w:t>
      </w:r>
      <w:r w:rsidRPr="001B0A53">
        <w:rPr>
          <w:rFonts w:asciiTheme="minorBidi" w:hAnsiTheme="minorBidi" w:cstheme="minorBidi"/>
          <w:i/>
          <w:iCs/>
          <w:color w:val="000000" w:themeColor="text1"/>
          <w:sz w:val="20"/>
          <w:szCs w:val="20"/>
        </w:rPr>
        <w:t>o ensure patients fully understand their care, I use the teach</w:t>
      </w:r>
      <w:r w:rsidRPr="001B0A53">
        <w:rPr>
          <w:rFonts w:asciiTheme="minorBidi" w:hAnsiTheme="minorBidi" w:cstheme="minorBidi"/>
          <w:i/>
          <w:iCs/>
          <w:color w:val="000000" w:themeColor="text1"/>
          <w:sz w:val="20"/>
          <w:szCs w:val="20"/>
        </w:rPr>
        <w:noBreakHyphen/>
        <w:t>back method in simple English, asking them to repeat instructions in their own words to confirm comprehension….</w:t>
      </w:r>
      <w:r w:rsidR="00F91BDD" w:rsidRPr="001B0A53">
        <w:rPr>
          <w:rFonts w:asciiTheme="minorBidi" w:hAnsiTheme="minorBidi" w:cstheme="minorBidi"/>
          <w:i/>
          <w:iCs/>
          <w:color w:val="000000" w:themeColor="text1"/>
          <w:sz w:val="20"/>
          <w:szCs w:val="20"/>
        </w:rPr>
        <w:t>.</w:t>
      </w:r>
      <w:r w:rsidRPr="001B0A53">
        <w:rPr>
          <w:rFonts w:asciiTheme="minorBidi" w:hAnsiTheme="minorBidi" w:cstheme="minorBidi"/>
          <w:i/>
          <w:iCs/>
          <w:color w:val="000000" w:themeColor="text1"/>
          <w:sz w:val="20"/>
          <w:szCs w:val="20"/>
        </w:rPr>
        <w:t>.</w:t>
      </w:r>
      <w:r w:rsidR="0069793E" w:rsidRPr="001B0A53">
        <w:rPr>
          <w:rFonts w:asciiTheme="minorBidi" w:hAnsiTheme="minorBidi" w:cstheme="minorBidi"/>
          <w:i/>
          <w:iCs/>
          <w:color w:val="000000" w:themeColor="text1"/>
          <w:sz w:val="20"/>
          <w:szCs w:val="20"/>
        </w:rPr>
        <w:t>”</w:t>
      </w:r>
      <w:r w:rsidRPr="001B0A53">
        <w:rPr>
          <w:rFonts w:asciiTheme="minorBidi" w:hAnsiTheme="minorBidi" w:cstheme="minorBidi"/>
          <w:i/>
          <w:iCs/>
          <w:color w:val="000000" w:themeColor="text1"/>
          <w:sz w:val="20"/>
          <w:szCs w:val="20"/>
        </w:rPr>
        <w:t xml:space="preserve"> </w:t>
      </w:r>
    </w:p>
    <w:p w14:paraId="4D7FAED7" w14:textId="22B64EBB" w:rsidR="007E03B7" w:rsidRPr="001B0A53" w:rsidRDefault="007E03B7" w:rsidP="007E03B7">
      <w:pPr>
        <w:pStyle w:val="ListParagraph"/>
        <w:numPr>
          <w:ilvl w:val="0"/>
          <w:numId w:val="28"/>
        </w:numPr>
        <w:rPr>
          <w:rFonts w:asciiTheme="minorBidi" w:hAnsiTheme="minorBidi" w:cstheme="minorBidi"/>
          <w:i/>
          <w:iCs/>
          <w:color w:val="000000" w:themeColor="text1"/>
          <w:sz w:val="20"/>
          <w:szCs w:val="20"/>
        </w:rPr>
      </w:pPr>
      <w:r w:rsidRPr="001B0A53">
        <w:rPr>
          <w:rFonts w:asciiTheme="minorBidi" w:hAnsiTheme="minorBidi" w:cstheme="minorBidi"/>
          <w:i/>
          <w:iCs/>
          <w:color w:val="000000" w:themeColor="text1"/>
          <w:sz w:val="20"/>
          <w:szCs w:val="20"/>
        </w:rPr>
        <w:lastRenderedPageBreak/>
        <w:t>Nurse 3, Ambulance</w:t>
      </w:r>
      <w:proofErr w:type="gramStart"/>
      <w:r w:rsidR="0069793E" w:rsidRPr="001B0A53">
        <w:rPr>
          <w:rFonts w:asciiTheme="minorBidi" w:hAnsiTheme="minorBidi" w:cstheme="minorBidi"/>
          <w:i/>
          <w:iCs/>
          <w:color w:val="000000" w:themeColor="text1"/>
          <w:sz w:val="20"/>
          <w:szCs w:val="20"/>
        </w:rPr>
        <w:t>:</w:t>
      </w:r>
      <w:r w:rsidR="00E32CE6" w:rsidRPr="001B0A53">
        <w:rPr>
          <w:rFonts w:asciiTheme="minorBidi" w:hAnsiTheme="minorBidi" w:cstheme="minorBidi"/>
          <w:i/>
          <w:iCs/>
          <w:color w:val="000000" w:themeColor="text1"/>
          <w:sz w:val="20"/>
          <w:szCs w:val="20"/>
        </w:rPr>
        <w:t xml:space="preserve"> </w:t>
      </w:r>
      <w:r w:rsidR="0069793E" w:rsidRPr="001B0A53">
        <w:rPr>
          <w:rFonts w:asciiTheme="minorBidi" w:hAnsiTheme="minorBidi" w:cstheme="minorBidi"/>
          <w:i/>
          <w:iCs/>
          <w:color w:val="000000" w:themeColor="text1"/>
          <w:sz w:val="20"/>
          <w:szCs w:val="20"/>
        </w:rPr>
        <w:t>”</w:t>
      </w:r>
      <w:proofErr w:type="gramEnd"/>
      <w:r w:rsidR="0069793E" w:rsidRPr="001B0A53">
        <w:rPr>
          <w:rFonts w:asciiTheme="minorBidi" w:hAnsiTheme="minorBidi" w:cstheme="minorBidi"/>
          <w:i/>
          <w:iCs/>
          <w:color w:val="000000" w:themeColor="text1"/>
          <w:sz w:val="20"/>
          <w:szCs w:val="20"/>
        </w:rPr>
        <w:t xml:space="preserve"> …. when</w:t>
      </w:r>
      <w:r w:rsidRPr="001B0A53">
        <w:rPr>
          <w:rFonts w:asciiTheme="minorBidi" w:hAnsiTheme="minorBidi" w:cstheme="minorBidi"/>
          <w:i/>
          <w:iCs/>
          <w:color w:val="000000" w:themeColor="text1"/>
          <w:sz w:val="20"/>
          <w:szCs w:val="20"/>
        </w:rPr>
        <w:t xml:space="preserve"> caring for children with limited language comprehension, I use pediatric pictograms to visually explain symptoms, procedures, and comfort measures in a way that is accessible and non</w:t>
      </w:r>
      <w:r w:rsidRPr="001B0A53">
        <w:rPr>
          <w:rFonts w:asciiTheme="minorBidi" w:hAnsiTheme="minorBidi" w:cstheme="minorBidi"/>
          <w:i/>
          <w:iCs/>
          <w:color w:val="000000" w:themeColor="text1"/>
          <w:sz w:val="20"/>
          <w:szCs w:val="20"/>
        </w:rPr>
        <w:noBreakHyphen/>
        <w:t xml:space="preserve">threatening….”. </w:t>
      </w:r>
    </w:p>
    <w:p w14:paraId="198D036F" w14:textId="5C8984BE" w:rsidR="007E03B7" w:rsidRPr="001B0A53" w:rsidRDefault="00F91BDD" w:rsidP="00F91BDD">
      <w:pPr>
        <w:pStyle w:val="ListParagraph"/>
        <w:numPr>
          <w:ilvl w:val="0"/>
          <w:numId w:val="28"/>
        </w:numPr>
        <w:rPr>
          <w:rFonts w:asciiTheme="minorBidi" w:hAnsiTheme="minorBidi" w:cstheme="minorBidi"/>
          <w:i/>
          <w:iCs/>
          <w:color w:val="000000" w:themeColor="text1"/>
          <w:sz w:val="20"/>
          <w:szCs w:val="20"/>
        </w:rPr>
      </w:pPr>
      <w:r w:rsidRPr="001B0A53">
        <w:rPr>
          <w:rFonts w:asciiTheme="minorBidi" w:hAnsiTheme="minorBidi" w:cstheme="minorBidi"/>
          <w:i/>
          <w:iCs/>
          <w:color w:val="000000" w:themeColor="text1"/>
          <w:sz w:val="20"/>
          <w:szCs w:val="20"/>
        </w:rPr>
        <w:t>Nurse 9. ER</w:t>
      </w:r>
      <w:proofErr w:type="gramStart"/>
      <w:r w:rsidR="0069793E" w:rsidRPr="001B0A53">
        <w:rPr>
          <w:rFonts w:asciiTheme="minorBidi" w:hAnsiTheme="minorBidi" w:cstheme="minorBidi"/>
          <w:i/>
          <w:iCs/>
          <w:color w:val="000000" w:themeColor="text1"/>
          <w:sz w:val="20"/>
          <w:szCs w:val="20"/>
        </w:rPr>
        <w:t>:</w:t>
      </w:r>
      <w:r w:rsidR="00E32CE6" w:rsidRPr="001B0A53">
        <w:rPr>
          <w:rFonts w:asciiTheme="minorBidi" w:hAnsiTheme="minorBidi" w:cstheme="minorBidi"/>
          <w:i/>
          <w:iCs/>
          <w:color w:val="000000" w:themeColor="text1"/>
          <w:sz w:val="20"/>
          <w:szCs w:val="20"/>
        </w:rPr>
        <w:t xml:space="preserve"> </w:t>
      </w:r>
      <w:r w:rsidR="0069793E" w:rsidRPr="001B0A53">
        <w:rPr>
          <w:rFonts w:asciiTheme="minorBidi" w:hAnsiTheme="minorBidi" w:cstheme="minorBidi"/>
          <w:i/>
          <w:iCs/>
          <w:color w:val="000000" w:themeColor="text1"/>
          <w:sz w:val="20"/>
          <w:szCs w:val="20"/>
        </w:rPr>
        <w:t>”</w:t>
      </w:r>
      <w:proofErr w:type="gramEnd"/>
      <w:r w:rsidRPr="001B0A53">
        <w:rPr>
          <w:rFonts w:asciiTheme="minorBidi" w:hAnsiTheme="minorBidi" w:cstheme="minorBidi"/>
          <w:i/>
          <w:iCs/>
          <w:color w:val="000000" w:themeColor="text1"/>
          <w:sz w:val="20"/>
          <w:szCs w:val="20"/>
        </w:rPr>
        <w:t>….</w:t>
      </w:r>
      <w:r w:rsidR="0069793E" w:rsidRPr="001B0A53">
        <w:rPr>
          <w:rFonts w:asciiTheme="minorBidi" w:hAnsiTheme="minorBidi" w:cstheme="minorBidi"/>
          <w:i/>
          <w:iCs/>
          <w:color w:val="000000" w:themeColor="text1"/>
          <w:sz w:val="20"/>
          <w:szCs w:val="20"/>
        </w:rPr>
        <w:t xml:space="preserve"> t</w:t>
      </w:r>
      <w:r w:rsidRPr="001B0A53">
        <w:rPr>
          <w:rFonts w:asciiTheme="minorBidi" w:hAnsiTheme="minorBidi" w:cstheme="minorBidi"/>
          <w:i/>
          <w:iCs/>
          <w:color w:val="000000" w:themeColor="text1"/>
          <w:sz w:val="20"/>
          <w:szCs w:val="20"/>
        </w:rPr>
        <w:t xml:space="preserve">o improve discharge communication and reduce post-operative confusion, I implemented pre-printed bilingual discharge sheets, ensuring patients and families received clear instructions in both Arabic and English….”. </w:t>
      </w:r>
    </w:p>
    <w:p w14:paraId="0D594716" w14:textId="50E8ACBB" w:rsidR="00663668" w:rsidRPr="00BC64FA" w:rsidRDefault="006C6B92" w:rsidP="00663668">
      <w:pPr>
        <w:pStyle w:val="Heading3"/>
        <w:rPr>
          <w:rFonts w:ascii="Arial" w:hAnsi="Arial" w:cs="Arial"/>
          <w:sz w:val="20"/>
          <w:szCs w:val="20"/>
        </w:rPr>
      </w:pPr>
      <w:r w:rsidRPr="00BC64FA">
        <w:rPr>
          <w:rFonts w:ascii="Arial" w:hAnsi="Arial" w:cs="Arial"/>
          <w:sz w:val="20"/>
          <w:szCs w:val="20"/>
        </w:rPr>
        <w:t>4</w:t>
      </w:r>
      <w:r w:rsidR="00F272D7" w:rsidRPr="00BC64FA">
        <w:rPr>
          <w:rFonts w:ascii="Arial" w:hAnsi="Arial" w:cs="Arial"/>
          <w:sz w:val="20"/>
          <w:szCs w:val="20"/>
        </w:rPr>
        <w:t>.</w:t>
      </w:r>
      <w:r w:rsidR="001E246F" w:rsidRPr="00BC64FA">
        <w:rPr>
          <w:rFonts w:ascii="Arial" w:hAnsi="Arial" w:cs="Arial"/>
          <w:sz w:val="20"/>
          <w:szCs w:val="20"/>
        </w:rPr>
        <w:t>3</w:t>
      </w:r>
      <w:r w:rsidR="00F272D7" w:rsidRPr="00BC64FA">
        <w:rPr>
          <w:rFonts w:ascii="Arial" w:hAnsi="Arial" w:cs="Arial"/>
          <w:sz w:val="20"/>
          <w:szCs w:val="20"/>
        </w:rPr>
        <w:t>.</w:t>
      </w:r>
      <w:r w:rsidR="00663668" w:rsidRPr="00BC64FA">
        <w:rPr>
          <w:rFonts w:ascii="Arial" w:hAnsi="Arial" w:cs="Arial"/>
          <w:sz w:val="20"/>
          <w:szCs w:val="20"/>
        </w:rPr>
        <w:t>3 Theme: Resilience Capacities</w:t>
      </w:r>
    </w:p>
    <w:p w14:paraId="3508BE7B" w14:textId="432B306A" w:rsidR="00663668" w:rsidRPr="00BC64FA" w:rsidRDefault="00663668" w:rsidP="00663668">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Resilience capacities are the personal and team-based abilities that enable nurses to recover, adapt, and maintain well-being after stressful or traumatic events. These include coping mechanisms such as mindfulness, gratitude practices, peer support, and structured debriefing that help nurses sustain emotional balance and professional performance.</w:t>
      </w:r>
    </w:p>
    <w:p w14:paraId="1C7147A1" w14:textId="67565EB1" w:rsidR="00663668" w:rsidRPr="00BC64FA" w:rsidRDefault="00663668" w:rsidP="006C6B92">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Personal Practices:</w:t>
      </w:r>
      <w:r w:rsidR="006C6B92" w:rsidRPr="00BC64FA">
        <w:rPr>
          <w:rFonts w:ascii="Arial" w:hAnsi="Arial" w:cs="Arial"/>
          <w:color w:val="000000" w:themeColor="text1"/>
          <w:sz w:val="20"/>
          <w:szCs w:val="20"/>
        </w:rPr>
        <w:t xml:space="preserve"> (1) </w:t>
      </w:r>
      <w:r w:rsidRPr="00BC64FA">
        <w:rPr>
          <w:rFonts w:ascii="Arial" w:hAnsi="Arial" w:cs="Arial"/>
          <w:color w:val="000000" w:themeColor="text1"/>
          <w:sz w:val="20"/>
          <w:szCs w:val="20"/>
        </w:rPr>
        <w:t>Mindful breathing, stretching, and hydration.</w:t>
      </w:r>
      <w:r w:rsidR="006C6B92" w:rsidRPr="00BC64FA">
        <w:rPr>
          <w:rFonts w:ascii="Arial" w:hAnsi="Arial" w:cs="Arial"/>
          <w:color w:val="000000" w:themeColor="text1"/>
          <w:sz w:val="20"/>
          <w:szCs w:val="20"/>
        </w:rPr>
        <w:t xml:space="preserve"> (2) </w:t>
      </w:r>
      <w:r w:rsidRPr="00BC64FA">
        <w:rPr>
          <w:rFonts w:ascii="Arial" w:hAnsi="Arial" w:cs="Arial"/>
          <w:color w:val="000000" w:themeColor="text1"/>
          <w:sz w:val="20"/>
          <w:szCs w:val="20"/>
        </w:rPr>
        <w:t>Gratitude journaling and short reflection notes.</w:t>
      </w:r>
      <w:r w:rsidR="006C6B92" w:rsidRPr="00BC64FA">
        <w:rPr>
          <w:rFonts w:ascii="Arial" w:hAnsi="Arial" w:cs="Arial"/>
          <w:color w:val="000000" w:themeColor="text1"/>
          <w:sz w:val="20"/>
          <w:szCs w:val="20"/>
        </w:rPr>
        <w:t xml:space="preserve"> And (3) </w:t>
      </w:r>
      <w:r w:rsidRPr="00BC64FA">
        <w:rPr>
          <w:rFonts w:ascii="Arial" w:hAnsi="Arial" w:cs="Arial"/>
          <w:color w:val="000000" w:themeColor="text1"/>
          <w:sz w:val="20"/>
          <w:szCs w:val="20"/>
        </w:rPr>
        <w:t>Physical conditioning and sleep hygiene for field nurses.</w:t>
      </w:r>
    </w:p>
    <w:p w14:paraId="650FBA3D" w14:textId="55F4E87D" w:rsidR="00663668" w:rsidRPr="00BC64FA" w:rsidRDefault="00663668" w:rsidP="006C6B92">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Team Practices: </w:t>
      </w:r>
      <w:r w:rsidR="006C6B92" w:rsidRPr="00BC64FA">
        <w:rPr>
          <w:rFonts w:ascii="Arial" w:hAnsi="Arial" w:cs="Arial"/>
          <w:color w:val="000000" w:themeColor="text1"/>
          <w:sz w:val="20"/>
          <w:szCs w:val="20"/>
        </w:rPr>
        <w:t xml:space="preserve">(1) </w:t>
      </w:r>
      <w:r w:rsidRPr="00BC64FA">
        <w:rPr>
          <w:rFonts w:ascii="Arial" w:hAnsi="Arial" w:cs="Arial"/>
          <w:color w:val="000000" w:themeColor="text1"/>
          <w:sz w:val="20"/>
          <w:szCs w:val="20"/>
        </w:rPr>
        <w:t>Peer debriefs, humor, and tea-break discussions for stress relief.</w:t>
      </w:r>
      <w:r w:rsidR="006C6B92" w:rsidRPr="00BC64FA">
        <w:rPr>
          <w:rFonts w:ascii="Arial" w:hAnsi="Arial" w:cs="Arial"/>
          <w:color w:val="000000" w:themeColor="text1"/>
          <w:sz w:val="20"/>
          <w:szCs w:val="20"/>
        </w:rPr>
        <w:t xml:space="preserve"> (2) </w:t>
      </w:r>
      <w:r w:rsidRPr="00BC64FA">
        <w:rPr>
          <w:rFonts w:ascii="Arial" w:hAnsi="Arial" w:cs="Arial"/>
          <w:color w:val="000000" w:themeColor="text1"/>
          <w:sz w:val="20"/>
          <w:szCs w:val="20"/>
        </w:rPr>
        <w:t>Structured case reviews and Schwartz Rounds for emotional processing.</w:t>
      </w:r>
      <w:r w:rsidR="006C6B92" w:rsidRPr="00BC64FA">
        <w:rPr>
          <w:rFonts w:ascii="Arial" w:hAnsi="Arial" w:cs="Arial"/>
          <w:color w:val="000000" w:themeColor="text1"/>
          <w:sz w:val="20"/>
          <w:szCs w:val="20"/>
        </w:rPr>
        <w:t xml:space="preserve"> And (3) </w:t>
      </w:r>
      <w:r w:rsidRPr="00BC64FA">
        <w:rPr>
          <w:rFonts w:ascii="Arial" w:hAnsi="Arial" w:cs="Arial"/>
          <w:color w:val="000000" w:themeColor="text1"/>
          <w:sz w:val="20"/>
          <w:szCs w:val="20"/>
        </w:rPr>
        <w:t>Feedback circles and sharing positive patient stories during huddles.</w:t>
      </w:r>
    </w:p>
    <w:p w14:paraId="0CA382AA" w14:textId="1463F3AF" w:rsidR="00A609B6" w:rsidRPr="00BC64FA" w:rsidRDefault="00A609B6" w:rsidP="00A609B6">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Quotes: </w:t>
      </w:r>
    </w:p>
    <w:p w14:paraId="36A64C97" w14:textId="4AEF61D8" w:rsidR="00E67D71" w:rsidRPr="00E67D71" w:rsidRDefault="00E32CE6" w:rsidP="00E67D71">
      <w:pPr>
        <w:pStyle w:val="ListParagraph"/>
        <w:numPr>
          <w:ilvl w:val="0"/>
          <w:numId w:val="29"/>
        </w:numPr>
        <w:spacing w:before="120" w:after="120"/>
        <w:jc w:val="both"/>
        <w:rPr>
          <w:rFonts w:ascii="Arial" w:hAnsi="Arial" w:cs="Arial"/>
          <w:i/>
          <w:iCs/>
          <w:color w:val="000000" w:themeColor="text1"/>
          <w:sz w:val="20"/>
          <w:szCs w:val="20"/>
        </w:rPr>
      </w:pPr>
      <w:r>
        <w:rPr>
          <w:rFonts w:ascii="Arial" w:hAnsi="Arial" w:cs="Arial"/>
          <w:i/>
          <w:iCs/>
          <w:color w:val="000000" w:themeColor="text1"/>
          <w:sz w:val="20"/>
          <w:szCs w:val="20"/>
        </w:rPr>
        <w:t>N</w:t>
      </w:r>
      <w:r w:rsidR="00E67D71" w:rsidRPr="00E67D71">
        <w:rPr>
          <w:rFonts w:ascii="Arial" w:hAnsi="Arial" w:cs="Arial"/>
          <w:i/>
          <w:iCs/>
          <w:color w:val="000000" w:themeColor="text1"/>
          <w:sz w:val="20"/>
          <w:szCs w:val="20"/>
        </w:rPr>
        <w:t>urse</w:t>
      </w:r>
      <w:r w:rsidR="00E67D71">
        <w:rPr>
          <w:rFonts w:ascii="Arial" w:hAnsi="Arial" w:cs="Arial"/>
          <w:i/>
          <w:iCs/>
          <w:color w:val="000000" w:themeColor="text1"/>
          <w:sz w:val="20"/>
          <w:szCs w:val="20"/>
        </w:rPr>
        <w:t xml:space="preserve"> </w:t>
      </w:r>
      <w:r w:rsidR="00E67D71" w:rsidRPr="00E67D71">
        <w:rPr>
          <w:rFonts w:ascii="Arial" w:hAnsi="Arial" w:cs="Arial"/>
          <w:i/>
          <w:iCs/>
          <w:color w:val="000000" w:themeColor="text1"/>
          <w:sz w:val="20"/>
          <w:szCs w:val="20"/>
        </w:rPr>
        <w:t>5, Ambulance</w:t>
      </w:r>
      <w:r w:rsidR="006F5A2E">
        <w:rPr>
          <w:rFonts w:ascii="Arial" w:hAnsi="Arial" w:cs="Arial"/>
          <w:i/>
          <w:iCs/>
          <w:color w:val="000000" w:themeColor="text1"/>
          <w:sz w:val="20"/>
          <w:szCs w:val="20"/>
        </w:rPr>
        <w:t>:</w:t>
      </w:r>
      <w:r w:rsidR="006F5A2E" w:rsidRPr="006F5A2E">
        <w:rPr>
          <w:rFonts w:ascii="Arial" w:hAnsi="Arial" w:cs="Arial"/>
          <w:i/>
          <w:iCs/>
          <w:color w:val="000000" w:themeColor="text1"/>
          <w:sz w:val="20"/>
          <w:szCs w:val="20"/>
        </w:rPr>
        <w:t xml:space="preserve"> </w:t>
      </w:r>
      <w:r w:rsidR="006F5A2E" w:rsidRPr="00473879">
        <w:rPr>
          <w:rFonts w:ascii="Arial" w:hAnsi="Arial" w:cs="Arial"/>
          <w:i/>
          <w:iCs/>
          <w:color w:val="000000" w:themeColor="text1"/>
          <w:sz w:val="20"/>
          <w:szCs w:val="20"/>
        </w:rPr>
        <w:t xml:space="preserve">“…… </w:t>
      </w:r>
      <w:r w:rsidR="00E67D71">
        <w:rPr>
          <w:rFonts w:ascii="Arial" w:hAnsi="Arial" w:cs="Arial"/>
          <w:i/>
          <w:iCs/>
          <w:color w:val="000000" w:themeColor="text1"/>
          <w:sz w:val="20"/>
          <w:szCs w:val="20"/>
        </w:rPr>
        <w:t xml:space="preserve"> </w:t>
      </w:r>
      <w:r w:rsidR="00E67D71" w:rsidRPr="00E67D71">
        <w:rPr>
          <w:rFonts w:ascii="Arial" w:hAnsi="Arial" w:cs="Arial"/>
          <w:i/>
          <w:iCs/>
          <w:color w:val="000000" w:themeColor="text1"/>
          <w:sz w:val="20"/>
          <w:szCs w:val="20"/>
        </w:rPr>
        <w:t>after critical events, I used a structured debrief line with my partner, creating a safe outlet for dialogue and perspective-sharing</w:t>
      </w:r>
      <w:r w:rsidR="006F5A2E">
        <w:rPr>
          <w:rFonts w:ascii="Arial" w:hAnsi="Arial" w:cs="Arial"/>
          <w:i/>
          <w:iCs/>
          <w:color w:val="000000" w:themeColor="text1"/>
          <w:sz w:val="20"/>
          <w:szCs w:val="20"/>
        </w:rPr>
        <w:t xml:space="preserve"> </w:t>
      </w:r>
      <w:proofErr w:type="gramStart"/>
      <w:r w:rsidR="00E67D71" w:rsidRPr="00E67D71">
        <w:rPr>
          <w:rFonts w:ascii="Arial" w:hAnsi="Arial" w:cs="Arial"/>
          <w:i/>
          <w:iCs/>
          <w:color w:val="000000" w:themeColor="text1"/>
          <w:sz w:val="20"/>
          <w:szCs w:val="20"/>
        </w:rPr>
        <w:t>…..</w:t>
      </w:r>
      <w:proofErr w:type="gramEnd"/>
      <w:r w:rsidR="00E67D71" w:rsidRPr="00E67D71">
        <w:rPr>
          <w:rFonts w:ascii="Arial" w:hAnsi="Arial" w:cs="Arial"/>
          <w:i/>
          <w:iCs/>
          <w:color w:val="000000" w:themeColor="text1"/>
          <w:sz w:val="20"/>
          <w:szCs w:val="20"/>
        </w:rPr>
        <w:t xml:space="preserve">”. </w:t>
      </w:r>
    </w:p>
    <w:p w14:paraId="2768A548" w14:textId="0B7B69C2" w:rsidR="00663668" w:rsidRDefault="00E67D71" w:rsidP="00E67D71">
      <w:pPr>
        <w:pStyle w:val="ListParagraph"/>
        <w:numPr>
          <w:ilvl w:val="0"/>
          <w:numId w:val="29"/>
        </w:numPr>
        <w:spacing w:before="120" w:after="120"/>
        <w:jc w:val="both"/>
        <w:rPr>
          <w:rFonts w:ascii="Arial" w:hAnsi="Arial" w:cs="Arial"/>
          <w:i/>
          <w:iCs/>
          <w:color w:val="000000" w:themeColor="text1"/>
          <w:sz w:val="20"/>
          <w:szCs w:val="20"/>
        </w:rPr>
      </w:pPr>
      <w:r>
        <w:rPr>
          <w:rFonts w:ascii="Arial" w:hAnsi="Arial" w:cs="Arial"/>
          <w:i/>
          <w:iCs/>
          <w:color w:val="000000" w:themeColor="text1"/>
          <w:sz w:val="20"/>
          <w:szCs w:val="20"/>
        </w:rPr>
        <w:t xml:space="preserve">Nurse 8, </w:t>
      </w:r>
      <w:r w:rsidR="00EF614E">
        <w:rPr>
          <w:rFonts w:ascii="Arial" w:hAnsi="Arial" w:cs="Arial"/>
          <w:i/>
          <w:iCs/>
          <w:color w:val="000000" w:themeColor="text1"/>
          <w:sz w:val="20"/>
          <w:szCs w:val="20"/>
        </w:rPr>
        <w:t>ER</w:t>
      </w:r>
      <w:r w:rsidR="006F5A2E">
        <w:rPr>
          <w:rFonts w:ascii="Arial" w:hAnsi="Arial" w:cs="Arial"/>
          <w:i/>
          <w:iCs/>
          <w:color w:val="000000" w:themeColor="text1"/>
          <w:sz w:val="20"/>
          <w:szCs w:val="20"/>
        </w:rPr>
        <w:t xml:space="preserve">: </w:t>
      </w:r>
      <w:r w:rsidR="006F5A2E" w:rsidRPr="00473879">
        <w:rPr>
          <w:rFonts w:ascii="Arial" w:hAnsi="Arial" w:cs="Arial"/>
          <w:i/>
          <w:iCs/>
          <w:color w:val="000000" w:themeColor="text1"/>
          <w:sz w:val="20"/>
          <w:szCs w:val="20"/>
        </w:rPr>
        <w:t xml:space="preserve">“…… </w:t>
      </w:r>
      <w:r>
        <w:rPr>
          <w:rFonts w:ascii="Arial" w:hAnsi="Arial" w:cs="Arial"/>
          <w:i/>
          <w:iCs/>
          <w:color w:val="000000" w:themeColor="text1"/>
          <w:sz w:val="20"/>
          <w:szCs w:val="20"/>
        </w:rPr>
        <w:t>t</w:t>
      </w:r>
      <w:r w:rsidR="00A609B6" w:rsidRPr="00BC64FA">
        <w:rPr>
          <w:rFonts w:ascii="Arial" w:hAnsi="Arial" w:cs="Arial"/>
          <w:i/>
          <w:iCs/>
          <w:color w:val="000000" w:themeColor="text1"/>
          <w:sz w:val="20"/>
          <w:szCs w:val="20"/>
        </w:rPr>
        <w:t xml:space="preserve">o sustain energy and focus during demanding shifts, I encouraged the team to take structured micro-breaks, allowing brief moments to reset physically and mentally without disrupting workflow. I emphasized hydration as a simple but essential practice to maintain clarity, endurance, and overall wellbeing….”. </w:t>
      </w:r>
    </w:p>
    <w:p w14:paraId="79AAEF86" w14:textId="399B077F" w:rsidR="00E67D71" w:rsidRPr="00EF614E" w:rsidRDefault="00E67D71" w:rsidP="006F5A2E">
      <w:pPr>
        <w:pStyle w:val="ListParagraph"/>
        <w:numPr>
          <w:ilvl w:val="0"/>
          <w:numId w:val="29"/>
        </w:numPr>
        <w:spacing w:before="120" w:after="120"/>
        <w:jc w:val="both"/>
        <w:rPr>
          <w:rFonts w:ascii="Arial" w:hAnsi="Arial" w:cs="Arial"/>
          <w:i/>
          <w:iCs/>
          <w:color w:val="000000" w:themeColor="text1"/>
          <w:sz w:val="20"/>
          <w:szCs w:val="20"/>
        </w:rPr>
      </w:pPr>
      <w:r>
        <w:rPr>
          <w:rFonts w:ascii="Arial" w:hAnsi="Arial" w:cs="Arial"/>
          <w:i/>
          <w:iCs/>
          <w:color w:val="000000" w:themeColor="text1"/>
          <w:sz w:val="20"/>
          <w:szCs w:val="20"/>
        </w:rPr>
        <w:t xml:space="preserve">Nurse </w:t>
      </w:r>
      <w:r w:rsidR="00EF614E">
        <w:rPr>
          <w:rFonts w:ascii="Arial" w:hAnsi="Arial" w:cs="Arial"/>
          <w:i/>
          <w:iCs/>
          <w:color w:val="000000" w:themeColor="text1"/>
          <w:sz w:val="20"/>
          <w:szCs w:val="20"/>
        </w:rPr>
        <w:t>10, PHC</w:t>
      </w:r>
      <w:r w:rsidR="006F5A2E">
        <w:rPr>
          <w:rFonts w:ascii="Arial" w:hAnsi="Arial" w:cs="Arial"/>
          <w:i/>
          <w:iCs/>
          <w:color w:val="000000" w:themeColor="text1"/>
          <w:sz w:val="20"/>
          <w:szCs w:val="20"/>
        </w:rPr>
        <w:t xml:space="preserve">: </w:t>
      </w:r>
      <w:r w:rsidR="006F5A2E" w:rsidRPr="00473879">
        <w:rPr>
          <w:rFonts w:ascii="Arial" w:hAnsi="Arial" w:cs="Arial"/>
          <w:i/>
          <w:iCs/>
          <w:color w:val="000000" w:themeColor="text1"/>
          <w:sz w:val="20"/>
          <w:szCs w:val="20"/>
        </w:rPr>
        <w:t xml:space="preserve">“…… </w:t>
      </w:r>
      <w:r w:rsidR="00EF614E">
        <w:rPr>
          <w:rFonts w:ascii="Arial" w:hAnsi="Arial" w:cs="Arial"/>
          <w:i/>
          <w:iCs/>
          <w:color w:val="000000" w:themeColor="text1"/>
          <w:sz w:val="20"/>
          <w:szCs w:val="20"/>
        </w:rPr>
        <w:t>t</w:t>
      </w:r>
      <w:r w:rsidR="00EF614E" w:rsidRPr="00EF614E">
        <w:rPr>
          <w:rFonts w:ascii="Arial" w:hAnsi="Arial" w:cs="Arial"/>
          <w:i/>
          <w:iCs/>
          <w:color w:val="000000" w:themeColor="text1"/>
          <w:sz w:val="20"/>
          <w:szCs w:val="20"/>
        </w:rPr>
        <w:t>o reinforce learning and strengthen team bonds, I facilitated brief case reflections with the crew, creating space to share observations, highlight successes, and identifying opportunities for improvement</w:t>
      </w:r>
      <w:r w:rsidR="00EF614E">
        <w:rPr>
          <w:rFonts w:ascii="Arial" w:hAnsi="Arial" w:cs="Arial"/>
          <w:i/>
          <w:iCs/>
          <w:color w:val="000000" w:themeColor="text1"/>
          <w:sz w:val="20"/>
          <w:szCs w:val="20"/>
        </w:rPr>
        <w:t>….”</w:t>
      </w:r>
      <w:r w:rsidR="00EF614E" w:rsidRPr="00EF614E">
        <w:rPr>
          <w:rFonts w:ascii="Arial" w:hAnsi="Arial" w:cs="Arial"/>
          <w:i/>
          <w:iCs/>
          <w:color w:val="000000" w:themeColor="text1"/>
          <w:sz w:val="20"/>
          <w:szCs w:val="20"/>
        </w:rPr>
        <w:t xml:space="preserve">. </w:t>
      </w:r>
    </w:p>
    <w:p w14:paraId="74997CF1" w14:textId="2AD43799" w:rsidR="00663668" w:rsidRPr="00BC64FA" w:rsidRDefault="006C6B92" w:rsidP="00663668">
      <w:pPr>
        <w:pStyle w:val="Heading3"/>
        <w:rPr>
          <w:rFonts w:ascii="Arial" w:hAnsi="Arial" w:cs="Arial"/>
          <w:sz w:val="20"/>
          <w:szCs w:val="20"/>
        </w:rPr>
      </w:pPr>
      <w:r w:rsidRPr="00BC64FA">
        <w:rPr>
          <w:rFonts w:ascii="Arial" w:hAnsi="Arial" w:cs="Arial"/>
          <w:sz w:val="20"/>
          <w:szCs w:val="20"/>
        </w:rPr>
        <w:t>4</w:t>
      </w:r>
      <w:r w:rsidR="00F272D7" w:rsidRPr="00BC64FA">
        <w:rPr>
          <w:rFonts w:ascii="Arial" w:hAnsi="Arial" w:cs="Arial"/>
          <w:sz w:val="20"/>
          <w:szCs w:val="20"/>
        </w:rPr>
        <w:t>.</w:t>
      </w:r>
      <w:r w:rsidR="001E246F" w:rsidRPr="00BC64FA">
        <w:rPr>
          <w:rFonts w:ascii="Arial" w:hAnsi="Arial" w:cs="Arial"/>
          <w:sz w:val="20"/>
          <w:szCs w:val="20"/>
        </w:rPr>
        <w:t>3</w:t>
      </w:r>
      <w:r w:rsidR="00F272D7" w:rsidRPr="00BC64FA">
        <w:rPr>
          <w:rFonts w:ascii="Arial" w:hAnsi="Arial" w:cs="Arial"/>
          <w:sz w:val="20"/>
          <w:szCs w:val="20"/>
        </w:rPr>
        <w:t>.</w:t>
      </w:r>
      <w:r w:rsidR="00663668" w:rsidRPr="00BC64FA">
        <w:rPr>
          <w:rFonts w:ascii="Arial" w:hAnsi="Arial" w:cs="Arial"/>
          <w:sz w:val="20"/>
          <w:szCs w:val="20"/>
        </w:rPr>
        <w:t>4 Theme: Organizational Supports</w:t>
      </w:r>
    </w:p>
    <w:p w14:paraId="3F5B15D3" w14:textId="0E33AA80" w:rsidR="00663668" w:rsidRPr="00BC64FA" w:rsidRDefault="00663668" w:rsidP="00663668">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Organizational </w:t>
      </w:r>
      <w:r w:rsidR="00D70A89" w:rsidRPr="00BC64FA">
        <w:rPr>
          <w:rFonts w:ascii="Arial" w:hAnsi="Arial" w:cs="Arial"/>
          <w:color w:val="000000" w:themeColor="text1"/>
          <w:sz w:val="20"/>
          <w:szCs w:val="20"/>
        </w:rPr>
        <w:t>support refers</w:t>
      </w:r>
      <w:r w:rsidRPr="00BC64FA">
        <w:rPr>
          <w:rFonts w:ascii="Arial" w:hAnsi="Arial" w:cs="Arial"/>
          <w:color w:val="000000" w:themeColor="text1"/>
          <w:sz w:val="20"/>
          <w:szCs w:val="20"/>
        </w:rPr>
        <w:t xml:space="preserve"> to institutional policies, resources, and training programs that strengthen nurses’ resilience and ability to cope with workplace stress. Examples include simulation drills, communication training (SBAR), and </w:t>
      </w:r>
      <w:r w:rsidR="00EF1E0B" w:rsidRPr="00BC64FA">
        <w:rPr>
          <w:rFonts w:ascii="Arial" w:hAnsi="Arial" w:cs="Arial"/>
          <w:color w:val="000000" w:themeColor="text1"/>
          <w:sz w:val="20"/>
          <w:szCs w:val="20"/>
        </w:rPr>
        <w:t>access to counseling services</w:t>
      </w:r>
      <w:r w:rsidRPr="00BC64FA">
        <w:rPr>
          <w:rFonts w:ascii="Arial" w:hAnsi="Arial" w:cs="Arial"/>
          <w:color w:val="000000" w:themeColor="text1"/>
          <w:sz w:val="20"/>
          <w:szCs w:val="20"/>
        </w:rPr>
        <w:t>.</w:t>
      </w:r>
    </w:p>
    <w:p w14:paraId="74983BD8" w14:textId="789D7DB3" w:rsidR="00663668" w:rsidRPr="00BC64FA" w:rsidRDefault="00663668" w:rsidP="006C6B92">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Policies &amp; Trainings That Strengthen Resilience: </w:t>
      </w:r>
      <w:r w:rsidR="006C6B92" w:rsidRPr="00BC64FA">
        <w:rPr>
          <w:rFonts w:ascii="Arial" w:hAnsi="Arial" w:cs="Arial"/>
          <w:color w:val="000000" w:themeColor="text1"/>
          <w:sz w:val="20"/>
          <w:szCs w:val="20"/>
        </w:rPr>
        <w:t xml:space="preserve">(1) Attending </w:t>
      </w:r>
      <w:r w:rsidRPr="00BC64FA">
        <w:rPr>
          <w:rFonts w:ascii="Arial" w:hAnsi="Arial" w:cs="Arial"/>
          <w:color w:val="000000" w:themeColor="text1"/>
          <w:sz w:val="20"/>
          <w:szCs w:val="20"/>
        </w:rPr>
        <w:t>Simulation drills (T</w:t>
      </w:r>
      <w:r w:rsidR="0060528C" w:rsidRPr="00BC64FA">
        <w:rPr>
          <w:rFonts w:ascii="Arial" w:hAnsi="Arial" w:cs="Arial"/>
          <w:color w:val="000000" w:themeColor="text1"/>
          <w:sz w:val="20"/>
          <w:szCs w:val="20"/>
        </w:rPr>
        <w:t xml:space="preserve">rauma </w:t>
      </w:r>
      <w:r w:rsidRPr="00BC64FA">
        <w:rPr>
          <w:rFonts w:ascii="Arial" w:hAnsi="Arial" w:cs="Arial"/>
          <w:color w:val="000000" w:themeColor="text1"/>
          <w:sz w:val="20"/>
          <w:szCs w:val="20"/>
        </w:rPr>
        <w:t>L</w:t>
      </w:r>
      <w:r w:rsidR="0060528C" w:rsidRPr="00BC64FA">
        <w:rPr>
          <w:rFonts w:ascii="Arial" w:hAnsi="Arial" w:cs="Arial"/>
          <w:color w:val="000000" w:themeColor="text1"/>
          <w:sz w:val="20"/>
          <w:szCs w:val="20"/>
        </w:rPr>
        <w:t xml:space="preserve">ife </w:t>
      </w:r>
      <w:r w:rsidRPr="00BC64FA">
        <w:rPr>
          <w:rFonts w:ascii="Arial" w:hAnsi="Arial" w:cs="Arial"/>
          <w:color w:val="000000" w:themeColor="text1"/>
          <w:sz w:val="20"/>
          <w:szCs w:val="20"/>
        </w:rPr>
        <w:t>S</w:t>
      </w:r>
      <w:r w:rsidR="0060528C" w:rsidRPr="00BC64FA">
        <w:rPr>
          <w:rFonts w:ascii="Arial" w:hAnsi="Arial" w:cs="Arial"/>
          <w:color w:val="000000" w:themeColor="text1"/>
          <w:sz w:val="20"/>
          <w:szCs w:val="20"/>
        </w:rPr>
        <w:t>upport</w:t>
      </w:r>
      <w:r w:rsidRPr="00BC64FA">
        <w:rPr>
          <w:rFonts w:ascii="Arial" w:hAnsi="Arial" w:cs="Arial"/>
          <w:color w:val="000000" w:themeColor="text1"/>
          <w:sz w:val="20"/>
          <w:szCs w:val="20"/>
        </w:rPr>
        <w:t>, C</w:t>
      </w:r>
      <w:r w:rsidR="0060528C" w:rsidRPr="00BC64FA">
        <w:rPr>
          <w:rFonts w:ascii="Arial" w:hAnsi="Arial" w:cs="Arial"/>
          <w:color w:val="000000" w:themeColor="text1"/>
          <w:sz w:val="20"/>
          <w:szCs w:val="20"/>
        </w:rPr>
        <w:t xml:space="preserve">ardiac </w:t>
      </w:r>
      <w:r w:rsidRPr="00BC64FA">
        <w:rPr>
          <w:rFonts w:ascii="Arial" w:hAnsi="Arial" w:cs="Arial"/>
          <w:color w:val="000000" w:themeColor="text1"/>
          <w:sz w:val="20"/>
          <w:szCs w:val="20"/>
        </w:rPr>
        <w:t>L</w:t>
      </w:r>
      <w:r w:rsidR="0060528C" w:rsidRPr="00BC64FA">
        <w:rPr>
          <w:rFonts w:ascii="Arial" w:hAnsi="Arial" w:cs="Arial"/>
          <w:color w:val="000000" w:themeColor="text1"/>
          <w:sz w:val="20"/>
          <w:szCs w:val="20"/>
        </w:rPr>
        <w:t xml:space="preserve">ife </w:t>
      </w:r>
      <w:r w:rsidRPr="00BC64FA">
        <w:rPr>
          <w:rFonts w:ascii="Arial" w:hAnsi="Arial" w:cs="Arial"/>
          <w:color w:val="000000" w:themeColor="text1"/>
          <w:sz w:val="20"/>
          <w:szCs w:val="20"/>
        </w:rPr>
        <w:t>S</w:t>
      </w:r>
      <w:r w:rsidR="0060528C" w:rsidRPr="00BC64FA">
        <w:rPr>
          <w:rFonts w:ascii="Arial" w:hAnsi="Arial" w:cs="Arial"/>
          <w:color w:val="000000" w:themeColor="text1"/>
          <w:sz w:val="20"/>
          <w:szCs w:val="20"/>
        </w:rPr>
        <w:t>upport</w:t>
      </w:r>
      <w:r w:rsidRPr="00BC64FA">
        <w:rPr>
          <w:rFonts w:ascii="Arial" w:hAnsi="Arial" w:cs="Arial"/>
          <w:color w:val="000000" w:themeColor="text1"/>
          <w:sz w:val="20"/>
          <w:szCs w:val="20"/>
        </w:rPr>
        <w:t>, pediatric emergencies, mass casualty incidents).</w:t>
      </w:r>
      <w:r w:rsidR="006C6B92" w:rsidRPr="00BC64FA">
        <w:rPr>
          <w:rFonts w:ascii="Arial" w:hAnsi="Arial" w:cs="Arial"/>
          <w:color w:val="000000" w:themeColor="text1"/>
          <w:sz w:val="20"/>
          <w:szCs w:val="20"/>
        </w:rPr>
        <w:t xml:space="preserve"> (2) </w:t>
      </w:r>
      <w:r w:rsidRPr="00BC64FA">
        <w:rPr>
          <w:rFonts w:ascii="Arial" w:hAnsi="Arial" w:cs="Arial"/>
          <w:color w:val="000000" w:themeColor="text1"/>
          <w:sz w:val="20"/>
          <w:szCs w:val="20"/>
        </w:rPr>
        <w:t>SBAR communication and escalation training.</w:t>
      </w:r>
      <w:r w:rsidR="006C6B92" w:rsidRPr="00BC64FA">
        <w:rPr>
          <w:rFonts w:ascii="Arial" w:hAnsi="Arial" w:cs="Arial"/>
          <w:color w:val="000000" w:themeColor="text1"/>
          <w:sz w:val="20"/>
          <w:szCs w:val="20"/>
        </w:rPr>
        <w:t xml:space="preserve"> (3) </w:t>
      </w:r>
      <w:r w:rsidRPr="00BC64FA">
        <w:rPr>
          <w:rFonts w:ascii="Arial" w:hAnsi="Arial" w:cs="Arial"/>
          <w:color w:val="000000" w:themeColor="text1"/>
          <w:sz w:val="20"/>
          <w:szCs w:val="20"/>
        </w:rPr>
        <w:t>Resilience workshops, fatigue management guidelines, and counseling access.</w:t>
      </w:r>
      <w:r w:rsidR="006C6B92" w:rsidRPr="00BC64FA">
        <w:rPr>
          <w:rFonts w:ascii="Arial" w:hAnsi="Arial" w:cs="Arial"/>
          <w:color w:val="000000" w:themeColor="text1"/>
          <w:sz w:val="20"/>
          <w:szCs w:val="20"/>
        </w:rPr>
        <w:t xml:space="preserve"> (4) </w:t>
      </w:r>
      <w:r w:rsidRPr="00BC64FA">
        <w:rPr>
          <w:rFonts w:ascii="Arial" w:hAnsi="Arial" w:cs="Arial"/>
          <w:color w:val="000000" w:themeColor="text1"/>
          <w:sz w:val="20"/>
          <w:szCs w:val="20"/>
        </w:rPr>
        <w:t>Specialized programs: pain management, respectful maternity care, breaking bad news</w:t>
      </w:r>
      <w:r w:rsidR="00EF1E0B" w:rsidRPr="00BC64FA">
        <w:rPr>
          <w:rFonts w:ascii="Arial" w:hAnsi="Arial" w:cs="Arial"/>
          <w:color w:val="000000" w:themeColor="text1"/>
          <w:sz w:val="20"/>
          <w:szCs w:val="20"/>
        </w:rPr>
        <w:t xml:space="preserve">, counseling </w:t>
      </w:r>
      <w:r w:rsidR="00EF1E0B" w:rsidRPr="00BC64FA">
        <w:rPr>
          <w:rFonts w:ascii="Arial" w:hAnsi="Arial" w:cs="Arial"/>
          <w:color w:val="000000" w:themeColor="text1"/>
          <w:sz w:val="20"/>
          <w:szCs w:val="20"/>
        </w:rPr>
        <w:lastRenderedPageBreak/>
        <w:t>services</w:t>
      </w:r>
      <w:r w:rsidRPr="00BC64FA">
        <w:rPr>
          <w:rFonts w:ascii="Arial" w:hAnsi="Arial" w:cs="Arial"/>
          <w:color w:val="000000" w:themeColor="text1"/>
          <w:sz w:val="20"/>
          <w:szCs w:val="20"/>
        </w:rPr>
        <w:t>.</w:t>
      </w:r>
      <w:r w:rsidR="006C6B92" w:rsidRPr="00BC64FA">
        <w:rPr>
          <w:rFonts w:ascii="Arial" w:hAnsi="Arial" w:cs="Arial"/>
          <w:color w:val="000000" w:themeColor="text1"/>
          <w:sz w:val="20"/>
          <w:szCs w:val="20"/>
        </w:rPr>
        <w:t xml:space="preserve"> And (5) </w:t>
      </w:r>
      <w:r w:rsidRPr="00BC64FA">
        <w:rPr>
          <w:rFonts w:ascii="Arial" w:hAnsi="Arial" w:cs="Arial"/>
          <w:color w:val="000000" w:themeColor="text1"/>
          <w:sz w:val="20"/>
          <w:szCs w:val="20"/>
        </w:rPr>
        <w:t>Community engagement training and critical incident stress management (CISM) for ambulance teams.</w:t>
      </w:r>
    </w:p>
    <w:p w14:paraId="77D86F3F" w14:textId="77777777" w:rsidR="00A609B6" w:rsidRPr="00BC64FA" w:rsidRDefault="00A609B6" w:rsidP="00A609B6">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Quotes: </w:t>
      </w:r>
    </w:p>
    <w:p w14:paraId="423CCF68" w14:textId="4EBFE495" w:rsidR="003B5339" w:rsidRPr="000B5A86" w:rsidRDefault="003B5339" w:rsidP="003B5339">
      <w:pPr>
        <w:pStyle w:val="ListParagraph"/>
        <w:numPr>
          <w:ilvl w:val="0"/>
          <w:numId w:val="30"/>
        </w:numPr>
        <w:spacing w:before="120" w:after="120"/>
        <w:jc w:val="both"/>
        <w:rPr>
          <w:rFonts w:ascii="Arial" w:hAnsi="Arial" w:cs="Arial"/>
          <w:i/>
          <w:iCs/>
          <w:color w:val="000000" w:themeColor="text1"/>
          <w:sz w:val="20"/>
          <w:szCs w:val="20"/>
        </w:rPr>
      </w:pPr>
      <w:r w:rsidRPr="000B5A86">
        <w:rPr>
          <w:rFonts w:ascii="Arial" w:hAnsi="Arial" w:cs="Arial"/>
          <w:i/>
          <w:iCs/>
          <w:color w:val="000000" w:themeColor="text1"/>
          <w:sz w:val="20"/>
          <w:szCs w:val="20"/>
        </w:rPr>
        <w:t xml:space="preserve">Nurse 1, Hospital: “…… </w:t>
      </w:r>
      <w:r w:rsidR="002467A9" w:rsidRPr="000B5A86">
        <w:rPr>
          <w:rFonts w:ascii="Arial" w:hAnsi="Arial" w:cs="Arial"/>
          <w:i/>
          <w:iCs/>
          <w:color w:val="000000" w:themeColor="text1"/>
          <w:sz w:val="20"/>
          <w:szCs w:val="20"/>
        </w:rPr>
        <w:t>t</w:t>
      </w:r>
      <w:r w:rsidRPr="000B5A86">
        <w:rPr>
          <w:rFonts w:ascii="Arial" w:hAnsi="Arial" w:cs="Arial"/>
          <w:i/>
          <w:iCs/>
          <w:color w:val="000000" w:themeColor="text1"/>
          <w:sz w:val="20"/>
          <w:szCs w:val="20"/>
        </w:rPr>
        <w:t xml:space="preserve">o strengthen team readiness and resilience, I emphasize regular ATLS drills that reinforce trauma protocols and ensure consistent performance under pressure </w:t>
      </w:r>
      <w:proofErr w:type="gramStart"/>
      <w:r w:rsidRPr="000B5A86">
        <w:rPr>
          <w:rFonts w:ascii="Arial" w:hAnsi="Arial" w:cs="Arial"/>
          <w:i/>
          <w:iCs/>
          <w:color w:val="000000" w:themeColor="text1"/>
          <w:sz w:val="20"/>
          <w:szCs w:val="20"/>
        </w:rPr>
        <w:t>…..</w:t>
      </w:r>
      <w:proofErr w:type="gramEnd"/>
      <w:r w:rsidRPr="000B5A86">
        <w:rPr>
          <w:rFonts w:ascii="Arial" w:hAnsi="Arial" w:cs="Arial"/>
          <w:i/>
          <w:iCs/>
          <w:color w:val="000000" w:themeColor="text1"/>
          <w:sz w:val="20"/>
          <w:szCs w:val="20"/>
        </w:rPr>
        <w:t xml:space="preserve">”. </w:t>
      </w:r>
    </w:p>
    <w:p w14:paraId="1CC8AD7F" w14:textId="36B1B394" w:rsidR="00895075" w:rsidRPr="000B5A86" w:rsidRDefault="0050498A" w:rsidP="003B5339">
      <w:pPr>
        <w:pStyle w:val="ListParagraph"/>
        <w:numPr>
          <w:ilvl w:val="0"/>
          <w:numId w:val="30"/>
        </w:numPr>
        <w:spacing w:before="120" w:after="120"/>
        <w:jc w:val="both"/>
        <w:rPr>
          <w:rFonts w:ascii="Arial" w:hAnsi="Arial" w:cs="Arial"/>
          <w:i/>
          <w:iCs/>
          <w:color w:val="000000" w:themeColor="text1"/>
          <w:sz w:val="20"/>
          <w:szCs w:val="20"/>
        </w:rPr>
      </w:pPr>
      <w:r w:rsidRPr="000B5A86">
        <w:rPr>
          <w:rFonts w:ascii="Arial" w:hAnsi="Arial" w:cs="Arial"/>
          <w:i/>
          <w:iCs/>
          <w:color w:val="000000" w:themeColor="text1"/>
          <w:sz w:val="20"/>
          <w:szCs w:val="20"/>
        </w:rPr>
        <w:t>Nurse</w:t>
      </w:r>
      <w:r w:rsidR="00E32CE6" w:rsidRPr="000B5A86">
        <w:rPr>
          <w:rFonts w:ascii="Arial" w:hAnsi="Arial" w:cs="Arial"/>
          <w:i/>
          <w:iCs/>
          <w:color w:val="000000" w:themeColor="text1"/>
          <w:sz w:val="20"/>
          <w:szCs w:val="20"/>
        </w:rPr>
        <w:t xml:space="preserve"> 9, Ambulance:</w:t>
      </w:r>
      <w:r w:rsidRPr="000B5A86">
        <w:rPr>
          <w:rFonts w:ascii="Arial" w:hAnsi="Arial" w:cs="Arial"/>
          <w:i/>
          <w:iCs/>
          <w:color w:val="000000" w:themeColor="text1"/>
          <w:sz w:val="20"/>
          <w:szCs w:val="20"/>
        </w:rPr>
        <w:t xml:space="preserve"> </w:t>
      </w:r>
      <w:r w:rsidR="00895075" w:rsidRPr="000B5A86">
        <w:rPr>
          <w:rFonts w:ascii="Arial" w:hAnsi="Arial" w:cs="Arial"/>
          <w:i/>
          <w:iCs/>
          <w:color w:val="000000" w:themeColor="text1"/>
          <w:sz w:val="20"/>
          <w:szCs w:val="20"/>
        </w:rPr>
        <w:t>"</w:t>
      </w:r>
      <w:r w:rsidR="00D70A89" w:rsidRPr="000B5A86">
        <w:rPr>
          <w:rFonts w:ascii="Arial" w:hAnsi="Arial" w:cs="Arial"/>
          <w:i/>
          <w:iCs/>
          <w:color w:val="000000" w:themeColor="text1"/>
          <w:sz w:val="20"/>
          <w:szCs w:val="20"/>
        </w:rPr>
        <w:t>....</w:t>
      </w:r>
      <w:r w:rsidR="00895075" w:rsidRPr="000B5A86">
        <w:rPr>
          <w:rFonts w:ascii="Arial" w:hAnsi="Arial" w:cs="Arial"/>
          <w:i/>
          <w:iCs/>
          <w:color w:val="000000" w:themeColor="text1"/>
          <w:sz w:val="20"/>
          <w:szCs w:val="20"/>
        </w:rPr>
        <w:t xml:space="preserve"> I strengthened unit performance by conducting SBAR (Situation, Background, Assessment, Recommendation) refreshers, ensuring that staff communicated critical information in a structured, concise format. This reduced errors, improved handoffs, and accelerated decision-making during high-acuity events….”. </w:t>
      </w:r>
    </w:p>
    <w:p w14:paraId="27DBBA98" w14:textId="2D562CC3" w:rsidR="002467A9" w:rsidRPr="00717C0D" w:rsidRDefault="002467A9" w:rsidP="002467A9">
      <w:pPr>
        <w:pStyle w:val="ListParagraph"/>
        <w:numPr>
          <w:ilvl w:val="0"/>
          <w:numId w:val="30"/>
        </w:numPr>
        <w:spacing w:before="120" w:after="120"/>
        <w:jc w:val="both"/>
        <w:rPr>
          <w:rFonts w:ascii="Arial" w:hAnsi="Arial" w:cs="Arial"/>
          <w:i/>
          <w:iCs/>
          <w:color w:val="000000" w:themeColor="text1"/>
          <w:sz w:val="20"/>
          <w:szCs w:val="20"/>
        </w:rPr>
      </w:pPr>
      <w:r w:rsidRPr="000B5A86">
        <w:rPr>
          <w:rFonts w:ascii="Arial" w:hAnsi="Arial" w:cs="Arial"/>
          <w:i/>
          <w:iCs/>
          <w:color w:val="000000" w:themeColor="text1"/>
          <w:sz w:val="20"/>
          <w:szCs w:val="20"/>
        </w:rPr>
        <w:t>Nurse 10 PHC:</w:t>
      </w:r>
      <w:r w:rsidR="00A16600">
        <w:rPr>
          <w:rFonts w:ascii="Arial" w:hAnsi="Arial" w:cs="Arial"/>
          <w:i/>
          <w:iCs/>
          <w:color w:val="000000" w:themeColor="text1"/>
          <w:sz w:val="20"/>
          <w:szCs w:val="20"/>
        </w:rPr>
        <w:t xml:space="preserve"> “</w:t>
      </w:r>
      <w:proofErr w:type="gramStart"/>
      <w:r w:rsidRPr="000B5A86">
        <w:rPr>
          <w:rFonts w:ascii="Arial" w:hAnsi="Arial" w:cs="Arial"/>
          <w:i/>
          <w:iCs/>
          <w:color w:val="000000" w:themeColor="text1"/>
          <w:sz w:val="20"/>
          <w:szCs w:val="20"/>
        </w:rPr>
        <w:t>…..</w:t>
      </w:r>
      <w:proofErr w:type="gramEnd"/>
      <w:r w:rsidRPr="00717C0D">
        <w:rPr>
          <w:rFonts w:ascii="Arial" w:hAnsi="Arial" w:cs="Arial"/>
          <w:i/>
          <w:iCs/>
          <w:color w:val="000000" w:themeColor="text1"/>
          <w:sz w:val="20"/>
          <w:szCs w:val="20"/>
        </w:rPr>
        <w:t xml:space="preserve">I strengthened organizational readiness by introducing community engagement training, equipping staff with skills to build rapport, foster trust, and adapt services to diverse cultural contexts….”. </w:t>
      </w:r>
    </w:p>
    <w:p w14:paraId="1C0EE8B9" w14:textId="77777777" w:rsidR="00895075" w:rsidRPr="00BC64FA" w:rsidRDefault="00895075" w:rsidP="00A609B6">
      <w:pPr>
        <w:spacing w:before="120" w:after="120"/>
        <w:jc w:val="both"/>
        <w:rPr>
          <w:rFonts w:ascii="Arial" w:hAnsi="Arial" w:cs="Arial"/>
          <w:color w:val="000000" w:themeColor="text1"/>
          <w:sz w:val="20"/>
          <w:szCs w:val="20"/>
        </w:rPr>
      </w:pPr>
    </w:p>
    <w:p w14:paraId="2971BF67" w14:textId="6C957717" w:rsidR="00663668" w:rsidRPr="00BC64FA" w:rsidRDefault="006C6B92" w:rsidP="006C6B92">
      <w:pPr>
        <w:pStyle w:val="Heading2"/>
        <w:rPr>
          <w:rFonts w:ascii="Arial" w:hAnsi="Arial" w:cs="Arial"/>
          <w:sz w:val="20"/>
          <w:szCs w:val="20"/>
        </w:rPr>
      </w:pPr>
      <w:r w:rsidRPr="00BC64FA">
        <w:rPr>
          <w:rFonts w:ascii="Arial" w:hAnsi="Arial" w:cs="Arial"/>
          <w:sz w:val="20"/>
          <w:szCs w:val="20"/>
        </w:rPr>
        <w:t xml:space="preserve">4.4. </w:t>
      </w:r>
      <w:r w:rsidR="00663668" w:rsidRPr="00BC64FA">
        <w:rPr>
          <w:rFonts w:ascii="Arial" w:hAnsi="Arial" w:cs="Arial"/>
          <w:sz w:val="20"/>
          <w:szCs w:val="20"/>
        </w:rPr>
        <w:t>Summary Insight</w:t>
      </w:r>
    </w:p>
    <w:p w14:paraId="3A08629E" w14:textId="77777777" w:rsidR="00417C7B" w:rsidRPr="00BC64FA" w:rsidRDefault="00417C7B" w:rsidP="00417C7B">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Indonesian nurses working in Qatar exhibit remarkable adaptability and resilience when faced with high-pressure situations. Their coping strategies integrate protocol-driven clinical responses, ensuring adherence to safety and care standards, alongside cultural competence, which enables effective communication and patient engagement in a multilingual environment. Additionally, they prioritize personal wellness practices such as mindfulness and stress management to maintain emotional stability. These individual efforts are reinforced by organizational policies and structured training programs, including simulation exercises, SBAR communication techniques, and access to counseling services, creating a comprehensive support system that strengthens their ability to thrive in demanding healthcare settings.</w:t>
      </w:r>
    </w:p>
    <w:p w14:paraId="415F8BA2" w14:textId="3510C1CA" w:rsidR="00EF2375" w:rsidRPr="00BC64FA" w:rsidRDefault="00EF2375" w:rsidP="00EF2375">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Key Success Factors for Crisis Response</w:t>
      </w:r>
      <w:r w:rsidR="0060528C" w:rsidRPr="00BC64FA">
        <w:rPr>
          <w:rFonts w:ascii="Arial" w:hAnsi="Arial" w:cs="Arial"/>
          <w:color w:val="000000" w:themeColor="text1"/>
          <w:sz w:val="20"/>
          <w:szCs w:val="20"/>
        </w:rPr>
        <w:t xml:space="preserve"> by Indonesian Nurses are:</w:t>
      </w:r>
    </w:p>
    <w:p w14:paraId="097C950E" w14:textId="77777777" w:rsidR="00EF2375" w:rsidRPr="00BC64FA" w:rsidRDefault="00EF2375" w:rsidP="00156506">
      <w:pPr>
        <w:numPr>
          <w:ilvl w:val="0"/>
          <w:numId w:val="25"/>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Preparedness Through Drills</w:t>
      </w:r>
    </w:p>
    <w:p w14:paraId="0B6EED57" w14:textId="671C1647" w:rsidR="00EF2375" w:rsidRPr="00BC64FA" w:rsidRDefault="00EF2375" w:rsidP="00156506">
      <w:pPr>
        <w:numPr>
          <w:ilvl w:val="1"/>
          <w:numId w:val="25"/>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Attended regular simulation exercises to ensure readiness for various scenarios.</w:t>
      </w:r>
    </w:p>
    <w:p w14:paraId="3993DF5F" w14:textId="77777777" w:rsidR="00EF2375" w:rsidRPr="00BC64FA" w:rsidRDefault="00EF2375" w:rsidP="00156506">
      <w:pPr>
        <w:numPr>
          <w:ilvl w:val="1"/>
          <w:numId w:val="25"/>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Continuous evaluation and improvement of protocols based on drill outcomes.</w:t>
      </w:r>
    </w:p>
    <w:p w14:paraId="78ED2543" w14:textId="77777777" w:rsidR="00EF2375" w:rsidRPr="00BC64FA" w:rsidRDefault="00EF2375" w:rsidP="00156506">
      <w:pPr>
        <w:numPr>
          <w:ilvl w:val="0"/>
          <w:numId w:val="25"/>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Teamwork</w:t>
      </w:r>
    </w:p>
    <w:p w14:paraId="3CBB6ECE" w14:textId="77777777" w:rsidR="00EF2375" w:rsidRPr="00BC64FA" w:rsidRDefault="00EF2375" w:rsidP="00156506">
      <w:pPr>
        <w:numPr>
          <w:ilvl w:val="1"/>
          <w:numId w:val="25"/>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Strong collaboration among multidisciplinary teams.</w:t>
      </w:r>
    </w:p>
    <w:p w14:paraId="7D96AB3A" w14:textId="77777777" w:rsidR="00EF2375" w:rsidRPr="00BC64FA" w:rsidRDefault="00EF2375" w:rsidP="00156506">
      <w:pPr>
        <w:numPr>
          <w:ilvl w:val="1"/>
          <w:numId w:val="25"/>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Clear role assignments to avoid confusion during high-pressure situations.</w:t>
      </w:r>
    </w:p>
    <w:p w14:paraId="1833BA79" w14:textId="77777777" w:rsidR="00EF2375" w:rsidRPr="00BC64FA" w:rsidRDefault="00EF2375" w:rsidP="00156506">
      <w:pPr>
        <w:numPr>
          <w:ilvl w:val="0"/>
          <w:numId w:val="25"/>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Structured Communication</w:t>
      </w:r>
    </w:p>
    <w:p w14:paraId="138564BD" w14:textId="77777777" w:rsidR="00EF2375" w:rsidRPr="00BC64FA" w:rsidRDefault="00EF2375" w:rsidP="00156506">
      <w:pPr>
        <w:numPr>
          <w:ilvl w:val="1"/>
          <w:numId w:val="25"/>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Use of standardized communication tools (e.g., SBAR: Situation, Background, Assessment, Recommendation).</w:t>
      </w:r>
    </w:p>
    <w:p w14:paraId="7F7663A6" w14:textId="77777777" w:rsidR="00EF2375" w:rsidRPr="00BC64FA" w:rsidRDefault="00EF2375" w:rsidP="00156506">
      <w:pPr>
        <w:numPr>
          <w:ilvl w:val="1"/>
          <w:numId w:val="25"/>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lastRenderedPageBreak/>
        <w:t>Real-time updates and feedback loops to maintain situational awareness.</w:t>
      </w:r>
    </w:p>
    <w:p w14:paraId="7BD9D1F5" w14:textId="77777777" w:rsidR="00EF2375" w:rsidRPr="00BC64FA" w:rsidRDefault="00EF2375" w:rsidP="00156506">
      <w:pPr>
        <w:numPr>
          <w:ilvl w:val="0"/>
          <w:numId w:val="25"/>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Access to Mental Health Resources</w:t>
      </w:r>
    </w:p>
    <w:p w14:paraId="6E58B18A" w14:textId="77777777" w:rsidR="00EF2375" w:rsidRPr="00BC64FA" w:rsidRDefault="00EF2375" w:rsidP="00156506">
      <w:pPr>
        <w:numPr>
          <w:ilvl w:val="1"/>
          <w:numId w:val="25"/>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Immediate psychological support for staff post-incident.</w:t>
      </w:r>
    </w:p>
    <w:p w14:paraId="453461D9" w14:textId="5540D44A" w:rsidR="00663668" w:rsidRPr="00D70A89" w:rsidRDefault="00EF2375" w:rsidP="00156506">
      <w:pPr>
        <w:numPr>
          <w:ilvl w:val="1"/>
          <w:numId w:val="25"/>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Ongoing programs to build resilience and reduce burnout.</w:t>
      </w:r>
    </w:p>
    <w:p w14:paraId="3FE325E1" w14:textId="386354BB" w:rsidR="00663668" w:rsidRPr="002D1B52" w:rsidRDefault="00663668" w:rsidP="006C6B92">
      <w:pPr>
        <w:pStyle w:val="Heading1"/>
        <w:rPr>
          <w:rFonts w:ascii="Arial" w:hAnsi="Arial" w:cs="Arial"/>
          <w:sz w:val="22"/>
          <w:szCs w:val="22"/>
        </w:rPr>
      </w:pPr>
      <w:r w:rsidRPr="002D1B52">
        <w:rPr>
          <w:rFonts w:ascii="Arial" w:hAnsi="Arial" w:cs="Arial"/>
          <w:sz w:val="22"/>
          <w:szCs w:val="22"/>
        </w:rPr>
        <w:t>5. Discussion</w:t>
      </w:r>
    </w:p>
    <w:p w14:paraId="7AEF5A6D" w14:textId="1159FDAC" w:rsidR="009A2D96" w:rsidRPr="00BC64FA" w:rsidRDefault="00F272D7" w:rsidP="006C6B92">
      <w:pPr>
        <w:pStyle w:val="Heading2"/>
        <w:rPr>
          <w:rFonts w:ascii="Arial" w:hAnsi="Arial" w:cs="Arial"/>
          <w:sz w:val="20"/>
          <w:szCs w:val="20"/>
        </w:rPr>
      </w:pPr>
      <w:r w:rsidRPr="00BC64FA">
        <w:rPr>
          <w:rFonts w:ascii="Arial" w:hAnsi="Arial" w:cs="Arial"/>
          <w:sz w:val="20"/>
          <w:szCs w:val="20"/>
        </w:rPr>
        <w:t xml:space="preserve">5.1 </w:t>
      </w:r>
      <w:r w:rsidR="009A2D96" w:rsidRPr="00BC64FA">
        <w:rPr>
          <w:rFonts w:ascii="Arial" w:hAnsi="Arial" w:cs="Arial"/>
          <w:sz w:val="20"/>
          <w:szCs w:val="20"/>
        </w:rPr>
        <w:t>Workplace Pressure</w:t>
      </w:r>
      <w:r w:rsidR="00D70A89">
        <w:rPr>
          <w:rFonts w:ascii="Arial" w:hAnsi="Arial" w:cs="Arial"/>
          <w:sz w:val="20"/>
          <w:szCs w:val="20"/>
        </w:rPr>
        <w:t xml:space="preserve"> Management</w:t>
      </w:r>
    </w:p>
    <w:p w14:paraId="53DE6A48" w14:textId="6F3E0C23" w:rsidR="000F55F6" w:rsidRPr="00BC64FA" w:rsidRDefault="009A2D96"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Nurses consistently reported encountering critical, time-sensitive situations such as multi-trauma cases, overcrowded triage, pediatric emergencies, and outdoor cardiac arrests during extreme heat. These scenarios demand rapid prioritization, strict adherence to protocols (ATLS, ACLS, SBAR), and effective teamwork. The use of closed-loop communication, checklists, and visual coordination tools (e.g., whiteboards, triage tags) emerged as essential strategies for maintaining order and patient safety. This highlights the importance of structured communication and clear role allocation during crises.</w:t>
      </w:r>
    </w:p>
    <w:p w14:paraId="7FC04088" w14:textId="3B76601D" w:rsidR="000D7695" w:rsidRPr="00BC64FA" w:rsidRDefault="000F55F6"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Evidence from recent systematic reviews underscores the effectiveness of both individual and organizational interventions in addressing workplace stress among nurses. </w:t>
      </w:r>
      <w:r w:rsidRPr="00BC64FA">
        <w:rPr>
          <w:rFonts w:ascii="Arial" w:hAnsi="Arial" w:cs="Arial"/>
          <w:color w:val="000000" w:themeColor="text1"/>
          <w:sz w:val="20"/>
          <w:szCs w:val="20"/>
        </w:rPr>
        <w:fldChar w:fldCharType="begin" w:fldLock="1"/>
      </w:r>
      <w:r w:rsidR="000F4856" w:rsidRPr="00BC64FA">
        <w:rPr>
          <w:rFonts w:ascii="Arial" w:hAnsi="Arial" w:cs="Arial"/>
          <w:color w:val="000000" w:themeColor="text1"/>
          <w:sz w:val="20"/>
          <w:szCs w:val="20"/>
        </w:rPr>
        <w:instrText>ADDIN CSL_CITATION {"citationItems":[{"id":"ITEM-1","itemData":{"DOI":"10.3389/fpsyg.2021.708696","ISSN":"1664-1078","abstract":"Background: Nurses are facing unprecedented amounts of pressure because of the ongoing global health challenges. Improving nurses' resilience to job-related stress and enhancing their strategies to cope effectively with stressors are key issues facing many health care institutions during the COVID-19 pandemic. This literature review aimed to: a) provide a thorough overview of individual-level interventions for stress management among nurses, b) identify measurement tools utilized to evaluate nurses' stress level, and c) provide the best evidence-based recommendations for future research and practice adapted to the current restrictions.","author":[{"dropping-particle":"","family":"Velana","given":"Maria","non-dropping-particle":"","parse-names":false,"suffix":""},{"dropping-particle":"","family":"Rinkenauer","given":"Gerhard","non-dropping-particle":"","parse-names":false,"suffix":""}],"container-title":"Frontiers in Psychology","id":"ITEM-1","issued":{"date-parts":[["2021","7","19"]]},"title":"Individual-Level Interventions for Decreasing Job-Related Stress and Enhancing Coping Strategies Among Nurses: A Systematic Review","type":"article-journal","volume":"12"},"uris":["http://www.mendeley.com/documents/?uuid=f1eaf014-8b6f-4c8d-96a8-f1dd201c318c"]}],"mendeley":{"formattedCitation":"(Velana &amp; Rinkenauer, 2021)","plainTextFormattedCitation":"(Velana &amp; Rinkenauer, 2021)","previouslyFormattedCitation":"(Velana &amp; Rinkenauer, 2021)"},"properties":{"noteIndex":0},"schema":"https://github.com/citation-style-language/schema/raw/master/csl-citation.json"}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(Velana &amp; Rinkenauer, 2021)</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demonstrate that technology</w:t>
      </w:r>
      <w:r w:rsidRPr="00BC64FA">
        <w:rPr>
          <w:rFonts w:ascii="Arial" w:hAnsi="Arial" w:cs="Arial"/>
          <w:color w:val="000000" w:themeColor="text1"/>
          <w:sz w:val="20"/>
          <w:szCs w:val="20"/>
        </w:rPr>
        <w:noBreakHyphen/>
        <w:t>delivered relaxation programs, mindfulness</w:t>
      </w:r>
      <w:r w:rsidRPr="00BC64FA">
        <w:rPr>
          <w:rFonts w:ascii="Arial" w:hAnsi="Arial" w:cs="Arial"/>
          <w:color w:val="000000" w:themeColor="text1"/>
          <w:sz w:val="20"/>
          <w:szCs w:val="20"/>
        </w:rPr>
        <w:noBreakHyphen/>
        <w:t>based interventions, and cognitive</w:t>
      </w:r>
      <w:r w:rsidRPr="00BC64FA">
        <w:rPr>
          <w:rFonts w:ascii="Arial" w:hAnsi="Arial" w:cs="Arial"/>
          <w:color w:val="000000" w:themeColor="text1"/>
          <w:sz w:val="20"/>
          <w:szCs w:val="20"/>
        </w:rPr>
        <w:noBreakHyphen/>
        <w:t xml:space="preserve">behavioral strategies significantly reduce stress while enhancing coping skills and resilience. Complementing this, </w:t>
      </w: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{"citationItems":[{"id":"ITEM-1","itemData":{"DOI":"10.1136/bmjopen-2022-071203","ISSN":"2044-6055","abstract":"There is a growing need for interventions to improve well-being in healthcare workers, particularly since the onset of COVID-19.","author":[{"dropping-particle":"","family":"Cohen","given":"Catherine","non-dropping-particle":"","parse-names":false,"suffix":""},{"dropping-particle":"","family":"Pignata","given":"Silvia","non-dropping-particle":"","parse-names":false,"suffix":""},{"dropping-particle":"","family":"Bezak","given":"Eva","non-dropping-particle":"","parse-names":false,"suffix":""},{"dropping-particle":"","family":"Tie","given":"Mark","non-dropping-particle":"","parse-names":false,"suffix":""},{"dropping-particle":"","family":"Childs","given":"Jessie","non-dropping-particle":"","parse-names":false,"suffix":""}],"container-title":"BMJ Open","id":"ITEM-1","issue":"6","issued":{"date-parts":[["2023","6","29"]]},"page":"e071203","title":"Workplace interventions to improve well-being and reduce burnout for nurses, physicians and allied healthcare professionals: a systematic review","type":"article-journal","volume":"13"},"uris":["http://www.mendeley.com/documents/?uuid=d1cb6079-cb97-4f0e-89fe-3b952a4dc0f5"]}],"mendeley":{"formattedCitation":"(Cohen et al., 2023)","plainTextFormattedCitation":"(Cohen et al., 2023)","previouslyFormattedCitation":"(Cohen et al., 2023)"},"properties":{"noteIndex":0},"schema":"https://github.com/citation-style-language/schema/raw/master/csl-citation.json"}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(Cohen et al., 2023)</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highlight organizational approaches such as workload reduction, job crafting, and peer support networks, which not only alleviate burnout but also foster improved well</w:t>
      </w:r>
      <w:r w:rsidRPr="00BC64FA">
        <w:rPr>
          <w:rFonts w:ascii="Arial" w:hAnsi="Arial" w:cs="Arial"/>
          <w:color w:val="000000" w:themeColor="text1"/>
          <w:sz w:val="20"/>
          <w:szCs w:val="20"/>
        </w:rPr>
        <w:noBreakHyphen/>
        <w:t>being and resilience. Taken together, these findings suggest that a comprehensive strategy—combining personal stress</w:t>
      </w:r>
      <w:r w:rsidRPr="00BC64FA">
        <w:rPr>
          <w:rFonts w:ascii="Arial" w:hAnsi="Arial" w:cs="Arial"/>
          <w:color w:val="000000" w:themeColor="text1"/>
          <w:sz w:val="20"/>
          <w:szCs w:val="20"/>
        </w:rPr>
        <w:noBreakHyphen/>
        <w:t>management techniques with supportive organizational structures—offers the most effective pathway for reducing workplace pressure and sustaining nurses’ mental health and professional performance.</w:t>
      </w:r>
    </w:p>
    <w:p w14:paraId="3097A572" w14:textId="0366DDFF" w:rsidR="009A2D96" w:rsidRPr="00BC64FA" w:rsidRDefault="00F272D7" w:rsidP="006C6B92">
      <w:pPr>
        <w:pStyle w:val="Heading2"/>
        <w:rPr>
          <w:rFonts w:ascii="Arial" w:hAnsi="Arial" w:cs="Arial"/>
          <w:sz w:val="20"/>
          <w:szCs w:val="20"/>
        </w:rPr>
      </w:pPr>
      <w:r w:rsidRPr="00BC64FA">
        <w:rPr>
          <w:rFonts w:ascii="Arial" w:hAnsi="Arial" w:cs="Arial"/>
          <w:sz w:val="20"/>
          <w:szCs w:val="20"/>
        </w:rPr>
        <w:t xml:space="preserve">5.2 </w:t>
      </w:r>
      <w:r w:rsidR="009A2D96" w:rsidRPr="00BC64FA">
        <w:rPr>
          <w:rFonts w:ascii="Arial" w:hAnsi="Arial" w:cs="Arial"/>
          <w:sz w:val="20"/>
          <w:szCs w:val="20"/>
        </w:rPr>
        <w:t>Cultural and Linguistic Challenges</w:t>
      </w:r>
    </w:p>
    <w:p w14:paraId="44B2C85A" w14:textId="7D041F6A" w:rsidR="009A2D96" w:rsidRPr="00BC64FA" w:rsidRDefault="009A2D96"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Language barriers with Arabic-speaking patients and families were a common challenge across all settings. Nurses employed simple English, key Arabic phrases, and visual aids such as pain scales, pictograms, and videos to bridge communication gaps. The </w:t>
      </w:r>
      <w:r w:rsidR="00D70A89" w:rsidRPr="00BC64FA">
        <w:rPr>
          <w:rFonts w:ascii="Arial" w:hAnsi="Arial" w:cs="Arial"/>
          <w:color w:val="000000" w:themeColor="text1"/>
          <w:sz w:val="20"/>
          <w:szCs w:val="20"/>
        </w:rPr>
        <w:t>teaching</w:t>
      </w:r>
      <w:r w:rsidRPr="00BC64FA">
        <w:rPr>
          <w:rFonts w:ascii="Arial" w:hAnsi="Arial" w:cs="Arial"/>
          <w:color w:val="000000" w:themeColor="text1"/>
          <w:sz w:val="20"/>
          <w:szCs w:val="20"/>
        </w:rPr>
        <w:t xml:space="preserve"> method and interpreter services were critical for ensuring understanding, especially in consent and education. These strategies underscore the need for cultural competence training and institutional support for interpreter access to enhance patient safety and satisfaction.</w:t>
      </w:r>
    </w:p>
    <w:p w14:paraId="287BC798" w14:textId="08EB939A" w:rsidR="00746BFC" w:rsidRPr="00BC64FA" w:rsidRDefault="00A634E3"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Expatriate nurses working in Middle Eastern healthcare systems encounter a complex interplay of cultural and linguistic challenges that directly affect their professional practice. </w:t>
      </w: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{"citationItems":[{"id":"ITEM-1","itemData":{"DOI":"10.1111/jocn.15891","ISSN":"0962-1067","abstract":"Aims and objectives: This study investigated the challenges of cross-cultural communication among internationally qualified nurses, and the impact on nurse-to-nurse and nurse-to-patient relationships. Background: Open and authentic communication between nurses and patients is required as a foundation of patient-centred practice; however, this may be a challenge in cross-cultural settings. Design: An exploratory qualitative study with an inductive approach. Methods: Semi-structured, face-to-face interviews explored the influences on communication and practice of 21 internationally qualified nurses practising in the United Arab Emirates. Manual and software-driven processes guided coding and analysis of data. Caring theory guided the analysis of themes; while COREQ criteria guided research conduct and reporting. Results: Four key themes emerged; (a) Challenges in communication, (b) The science versus art of nursing; (c) The impact of ineffective communication and (d) Strategies for coping. Eleven sub-themes are reported within these themes. Overall, nurses felt they had sufficient language and nursing skills to undertake the technical or scientific aspects of their work; however, they reported experiencing restricted ability to participate in complex cross-cultural conversations, such as providing explanations and reassurance about treatment options or discussing end of life and treatment decisions. This limitation diminished the nurses’ ability to engage in the art of nursing and left them unable to employ themselves therapeutically to attain a sense of true presence with patients and their families. Conclusion: This article highlights the need for language and communication support, and Arabic-speaking advocates as partners in care for expatriate nurses. Relevance to practice: Internationally qualified nurses in this Middle Eastern setting lack cultural orientation and language skills to fully enact the art and true presence of nursing. Findings indicate that health service employers need to increase the employment of Arabic-speaking nurses and provide additional language for other expatriate nurses.","author":[{"dropping-particle":"","family":"Kuzemski","given":"Dawn","non-dropping-particle":"","parse-names":false,"suffix":""},{"dropping-particle":"","family":"Thirlwall","given":"Alison","non-dropping-particle":"","parse-names":false,"suffix":""},{"dropping-particle":"","family":"Brunton","given":"Margaret","non-dropping-particle":"","parse-names":false,"suffix":""},{"dropping-particle":"","family":"Brownie","given":"Sharon","non-dropping-particle":"","parse-names":false,"suffix":""}],"container-title":"Journal of Clinical Nursing","id":"ITEM-1","issue":"1-2","issued":{"date-parts":[["2022","1","14"]]},"page":"145-157","title":"I speak a little Arabic: Nursing communication in a cross</w:instrText>
      </w:r>
      <w:r w:rsidRPr="00BC64FA">
        <w:rPr>
          <w:rFonts w:ascii="Cambria Math" w:hAnsi="Cambria Math" w:cs="Cambria Math"/>
          <w:color w:val="000000" w:themeColor="text1"/>
          <w:sz w:val="20"/>
          <w:szCs w:val="20"/>
        </w:rPr>
        <w:instrText>‐</w:instrText>
      </w:r>
      <w:r w:rsidRPr="00BC64FA">
        <w:rPr>
          <w:rFonts w:ascii="Arial" w:hAnsi="Arial" w:cs="Arial"/>
          <w:color w:val="000000" w:themeColor="text1"/>
          <w:sz w:val="20"/>
          <w:szCs w:val="20"/>
        </w:rPr>
        <w:instrText>cultural context","type":"article-journal","volume":"31"},"uris":["http://www.mendeley.com/documents/?uuid=e3c93209-017e-4e56-b4ef-0970ca0d7b8c"]}],"mendeley":{"formattedCitation":"(Kuzemski et al., 2022)","plainTextFormattedCitation":"(Kuzemski et al., 2022)","previouslyFormattedCitation":"(Kuzemski et al., 2022)"},"properties":{"noteIndex":0},"schema":"https://github.com/citation-style-language/schema/raw/master/csl-citation.json"}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(Kuzemski et al., 2022)</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show that limited Arabic proficiency and unfamiliarity with local customs hinder effective communication, often leading to misunderstandings between nurses and patients. Building on this, </w:t>
      </w: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{"citationItems":[{"id":"ITEM-1","itemData":{"DOI":"10.1136/bmjopen-2023-076326","ISSN":"2044-6055","abstract":"Objectives To identify language-related communication barriers that expatriate (non-Arabic) healthcare practitioners in the UAE encounter in their daily practice. Design Qualitative study utilising semi-structured in-depth interviews. The interviews were conducted in English language. Setting Different healthcare facilities across the UAE. These facilities were accessed for data collection over a period of 3 months from January 2023 to March 2023. Participants 14 purposively selected healthcare practitioners. Intervention No specific intervention was implemented; this study primarily aimed at gaining insights through interviews. Primary and secondary outcomes To understand the implications of language barriers on service quality, patient safety, and healthcare providers' well-being. Results Three main themes emerged from our analysis of participants' narratives: Feeling left alone, Trying to come closer to their patients and Feeling guilty, scared and dissatisfied. Conclusions Based on the perspectives and experiences of participating healthcare professionals, language barriers have notably influenced the delivery of healthcare services, patient safety and the well-being of both patients and practitioners in the UAE. There is a pressing need, as highlighted by these professionals, for the inclusion of professional interpreters and the provision of training to healthcare providers to enhance effective collaboration with these interpreters.","author":[{"dropping-particle":"","family":"Al-Yateem","given":"Nabeel","non-dropping-particle":"","parse-names":false,"suffix":""},{"dropping-particle":"","family":"Hijazi","given":"Heba","non-dropping-particle":"","parse-names":false,"suffix":""},{"dropping-particle":"","family":"Saifan","given":"Ahmad Rajeh","non-dropping-particle":"","parse-names":false,"suffix":""},{"dropping-particle":"","family":"Ahmad","given":"Alaa","non-dropping-particle":"","parse-names":false,"suffix":""},{"dropping-particle":"","family":"Masa'Deh","given":"Rami","non-dropping-particle":"","parse-names":false,"suffix":""},{"dropping-particle":"","family":"Alrimawi","given":"Intima","non-dropping-particle":"","parse-names":false,"suffix":""},{"dropping-particle":"","family":"Rahman","given":"Syed Azizur","non-dropping-particle":"","parse-names":false,"suffix":""},{"dropping-particle":"","family":"Subu","given":"Muhammad Arsyad","non-dropping-particle":"","parse-names":false,"suffix":""},{"dropping-particle":"","family":"Ahmed","given":"Fatma Refaat","non-dropping-particle":"","parse-names":false,"suffix":""}],"container-title":"BMJ Open","id":"ITEM-1","issue":"12","issued":{"date-parts":[["2023","12","22"]]},"page":"e076326","title":"Quality and safety issue: language barriers in healthcare, a qualitative study of non-Arab healthcare practitioners caring for Arabic patients in the UAE","type":"article-journal","volume":"13"},"uris":["http://www.mendeley.com/documents/?uuid=35a2f2db-1a1c-4f88-acb3-4db13de5e0db"]}],"mendeley":{"formattedCitation":"(Al-Yateem et al., 2023)","plainTextFormattedCitation":"(Al-Yateem et al., 2023)","previouslyFormattedCitation":"(Al-Yateem et al., 2023)"},"properties":{"noteIndex":0},"schema":"https://github.com/citation-style-language/schema/raw/master/csl-citation.json"}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(Al-Yateem et al., 2023)</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emphasize </w:t>
      </w:r>
      <w:r w:rsidRPr="00BC64FA">
        <w:rPr>
          <w:rFonts w:ascii="Arial" w:hAnsi="Arial" w:cs="Arial"/>
          <w:color w:val="000000" w:themeColor="text1"/>
          <w:sz w:val="20"/>
          <w:szCs w:val="20"/>
        </w:rPr>
        <w:lastRenderedPageBreak/>
        <w:t>that such language barriers are not merely inconveniences but pose significant risks to patient safety and compromise the overall quality of care delivered by non</w:t>
      </w:r>
      <w:r w:rsidRPr="00BC64FA">
        <w:rPr>
          <w:rFonts w:ascii="Arial" w:hAnsi="Arial" w:cs="Arial"/>
          <w:color w:val="000000" w:themeColor="text1"/>
          <w:sz w:val="20"/>
          <w:szCs w:val="20"/>
        </w:rPr>
        <w:noBreakHyphen/>
        <w:t xml:space="preserve">Arab nurses. These communication difficulties are further compounded by ethical and religious sensitivities. As </w:t>
      </w:r>
      <w:r w:rsidRPr="00BC64FA">
        <w:rPr>
          <w:rFonts w:ascii="Arial" w:hAnsi="Arial" w:cs="Arial"/>
          <w:color w:val="000000" w:themeColor="text1"/>
          <w:sz w:val="20"/>
          <w:szCs w:val="20"/>
        </w:rPr>
        <w:fldChar w:fldCharType="begin" w:fldLock="1"/>
      </w:r>
      <w:r w:rsidR="000F55F6" w:rsidRPr="00BC64FA">
        <w:rPr>
          <w:rFonts w:ascii="Arial" w:hAnsi="Arial" w:cs="Arial"/>
          <w:color w:val="000000" w:themeColor="text1"/>
          <w:sz w:val="20"/>
          <w:szCs w:val="20"/>
        </w:rPr>
        <w:instrText>ADDIN CSL_CITATION {"citationItems":[{"id":"ITEM-1","itemData":{"DOI":"10.1101/2022.04.28.22274408","abstract":"Although nursing theory developed in the modern Western scientific tradition has universal aspects, it is important to consider the different philosophies, beliefs and cultures of each different society to enrich the perspective and practice of nursing that is more sensitive to the patient’s background. As supported by the Transcultural Nursing Theory, in treating patients a nurse needs to pay attention to and respect the cultural preferences and beliefs of the patient. In this context, this article wants to contribute by describing the Islamic perspective on nursing in the context of nursing philosophy. Methods: This literature review uses articles published from 2018-2022 with source from databased ScienceDirect, Scopus, Sage Journals, EBSCO-Host, Springer Link, and ProQuest. The keywords used are Islamic, perspective, nursing, caring. Article selection follows “PRISMA” flow. Results: This systematic review have a total of 8 articles meet the criteria for analysis. This article has relevance both in Muslim-majority countries such as Indonesia, Malaysia and Middle Eastern countries, as well as countries where Muslims are a minority. We found 8 articles presents a number of opinions or research results that examine nursing issues and those related to it from an Islamic perspective. From a number of opinions and research findings studied, it can be concluded that although it can be said to offer universal core values, the Islamic perspective has fundamental differences with Western nursing philosophy or theory, especially in terms of the source of knowledge, the basic view of humans, and the importance of spirituality in nursing.","author":[{"dropping-particle":"","family":"Isworo","given":"Atyanti","non-dropping-particle":"","parse-names":false,"suffix":""}],"id":"ITEM-1","issued":{"date-parts":[["2022","4","28"]]},"title":"Islamic Perspective on Nursing and the Philosophy of Science","type":"article"},"uris":["http://www.mendeley.com/documents/?uuid=989d1938-58f6-4f6c-8595-ff62305aa737"]}],"mendeley":{"formattedCitation":"(Isworo, 2022)","plainTextFormattedCitation":"(Isworo, 2022)","previouslyFormattedCitation":"(Isworo, 2022)"},"properties":{"noteIndex":0},"schema":"https://github.com/citation-style-language/schema/raw/master/csl-citation.json"}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(Isworo, 2022)</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explains, Islamic cultural and religious norms strongly shape nursing practice in the region, and inadequate training in these norms can result in ethical dilemmas, particularly in sensitive areas such as end</w:t>
      </w:r>
      <w:r w:rsidRPr="00BC64FA">
        <w:rPr>
          <w:rFonts w:ascii="Arial" w:hAnsi="Arial" w:cs="Arial"/>
          <w:color w:val="000000" w:themeColor="text1"/>
          <w:sz w:val="20"/>
          <w:szCs w:val="20"/>
        </w:rPr>
        <w:noBreakHyphen/>
        <w:t>of</w:t>
      </w:r>
      <w:r w:rsidRPr="00BC64FA">
        <w:rPr>
          <w:rFonts w:ascii="Arial" w:hAnsi="Arial" w:cs="Arial"/>
          <w:color w:val="000000" w:themeColor="text1"/>
          <w:sz w:val="20"/>
          <w:szCs w:val="20"/>
        </w:rPr>
        <w:noBreakHyphen/>
        <w:t>life care. Taken together, these studies highlight that overcoming linguistic barriers and fostering cultural competence are essential for ensuring both patient safety and the professional well</w:t>
      </w:r>
      <w:r w:rsidRPr="00BC64FA">
        <w:rPr>
          <w:rFonts w:ascii="Arial" w:hAnsi="Arial" w:cs="Arial"/>
          <w:color w:val="000000" w:themeColor="text1"/>
          <w:sz w:val="20"/>
          <w:szCs w:val="20"/>
        </w:rPr>
        <w:noBreakHyphen/>
        <w:t>being of expatriate nurses in Middle Eastern healthcare systems.</w:t>
      </w:r>
    </w:p>
    <w:p w14:paraId="19BCF88B" w14:textId="5324F749" w:rsidR="009A2D96" w:rsidRPr="00BC64FA" w:rsidRDefault="00F272D7" w:rsidP="006C6B92">
      <w:pPr>
        <w:pStyle w:val="Heading2"/>
        <w:rPr>
          <w:rFonts w:ascii="Arial" w:hAnsi="Arial" w:cs="Arial"/>
          <w:sz w:val="20"/>
          <w:szCs w:val="20"/>
        </w:rPr>
      </w:pPr>
      <w:r w:rsidRPr="00BC64FA">
        <w:rPr>
          <w:rFonts w:ascii="Arial" w:hAnsi="Arial" w:cs="Arial"/>
          <w:sz w:val="20"/>
          <w:szCs w:val="20"/>
        </w:rPr>
        <w:t xml:space="preserve">5.3 </w:t>
      </w:r>
      <w:r w:rsidR="009A2D96" w:rsidRPr="00BC64FA">
        <w:rPr>
          <w:rFonts w:ascii="Arial" w:hAnsi="Arial" w:cs="Arial"/>
          <w:sz w:val="20"/>
          <w:szCs w:val="20"/>
        </w:rPr>
        <w:t>Resilience Capacities</w:t>
      </w:r>
    </w:p>
    <w:p w14:paraId="1B2DF612" w14:textId="5661F741" w:rsidR="0017075E" w:rsidRDefault="009A2D96"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Personal resilience practices included mindful breathing, hydration, stretching, and gratitude journaling, while team-based approaches involved peer debriefs, humor, and structured case reviews. These findings suggest that resilience is not only an individual trait but also a collective process supported by team culture.</w:t>
      </w:r>
      <w:r w:rsidR="0017075E">
        <w:rPr>
          <w:rFonts w:ascii="Arial" w:hAnsi="Arial" w:cs="Arial"/>
          <w:color w:val="000000" w:themeColor="text1"/>
          <w:sz w:val="20"/>
          <w:szCs w:val="20"/>
        </w:rPr>
        <w:t xml:space="preserve"> </w:t>
      </w:r>
      <w:r w:rsidR="0017075E" w:rsidRPr="0017075E">
        <w:rPr>
          <w:rFonts w:ascii="Arial" w:hAnsi="Arial" w:cs="Arial"/>
          <w:color w:val="000000" w:themeColor="text1"/>
          <w:sz w:val="20"/>
          <w:szCs w:val="20"/>
        </w:rPr>
        <w:t>Promoting peer support networks and regular debriefing sessions can help reduce emotional strain and lower the risk of burnout. Enhancing nurses’ resilience can improve their well-being and empower them to provide more effective, holistic care</w:t>
      </w:r>
      <w:r w:rsidR="0017075E">
        <w:rPr>
          <w:rFonts w:ascii="Arial" w:hAnsi="Arial" w:cs="Arial"/>
          <w:color w:val="000000" w:themeColor="text1"/>
          <w:sz w:val="20"/>
          <w:szCs w:val="20"/>
        </w:rPr>
        <w:fldChar w:fldCharType="begin" w:fldLock="1"/>
      </w:r>
      <w:r w:rsidR="004E280C">
        <w:rPr>
          <w:rFonts w:ascii="Arial" w:hAnsi="Arial" w:cs="Arial"/>
          <w:color w:val="000000" w:themeColor="text1"/>
          <w:sz w:val="20"/>
          <w:szCs w:val="20"/>
        </w:rPr>
        <w:instrText>ADDIN CSL_CITATION {"citationItems":[{"id":"ITEM-1","itemData":{"DOI":"10.1177/08980101251343676","abstract":"Purpose: To study holistic health of rural registered hospital nurses by exploring quality of life and resilience.Design: Mixed methods survey design.Methods: Two hundred nine registered nurses from 23 rural-designated hospitals were recruited via e-mail using a state nurse database. The survey utilized the Connor-Davidson Resilience Scale, the WHO Quality of Life-BREF Scale, demographic questions, and two open-ended questions for self-reporting resilience strategies and barriers. Demographics and scale ratings were analyzed using SPSS. Content analysis was used to evaluate self-reported resilience strategies and barriers.Findings: Reliability scale ratings were r = 0.886 and r = 0.935, respectively. A resilience mean score of 31.7 of 40 max (moderate) was consistent with prior studies for nurses and larger populations. The quality-of-life mean score (4.38 out of 5) indicating a strong rating of personal health and moderate satisfaction for overall holistic health. The psychological health mean was rated lowest. Qualitative findings identified six themes for resilience strategies and five themes for barriers to participation in resilience activities. These themes align strongly with the philosophical principles of holistic nursing.Conclusion: Resilience-building interventions and consideration for decreasing barriers to health-promoting behaviors are suggested. Fostering resilience can improve quality of life of nurses and support effective, holistic care.","author":[{"dropping-particle":"","family":"Turpin","given":"Rebecca L","non-dropping-particle":"","parse-names":false,"suffix":""},{"dropping-particle":"","family":"Martin","given":"Sarah","non-dropping-particle":"","parse-names":false,"suffix":""},{"dropping-particle":"","family":"Liljestrand","given":"Rebecca","non-dropping-particle":"","parse-names":false,"suffix":""},{"dropping-particle":"","family":"Venrick","given":"Heather Wensil","non-dropping-particle":"","parse-names":false,"suffix":""}],"container-title":"Journal of Holistic Nursing","id":"ITEM-1","issue":"0","issued":{"date-parts":[["2025"]]},"note":"PMID: 40405761","page":"08980101251343676","title":"Resilience and Quality of Life in Registered Nurses Working in Rural and Small Hospitals","type":"article-journal","volume":"0"},"uris":["http://www.mendeley.com/documents/?uuid=deb67de1-a511-4523-b692-7a70779d1707"]}],"mendeley":{"formattedCitation":"(Turpin et al., 2025)","plainTextFormattedCitation":"(Turpin et al., 2025)","previouslyFormattedCitation":"(Turpin et al., 2025)"},"properties":{"noteIndex":0},"schema":"https://github.com/citation-style-language/schema/raw/master/csl-citation.json"}</w:instrText>
      </w:r>
      <w:r w:rsidR="0017075E">
        <w:rPr>
          <w:rFonts w:ascii="Arial" w:hAnsi="Arial" w:cs="Arial"/>
          <w:color w:val="000000" w:themeColor="text1"/>
          <w:sz w:val="20"/>
          <w:szCs w:val="20"/>
        </w:rPr>
        <w:fldChar w:fldCharType="separate"/>
      </w:r>
      <w:r w:rsidR="0017075E" w:rsidRPr="0017075E">
        <w:rPr>
          <w:rFonts w:ascii="Arial" w:hAnsi="Arial" w:cs="Arial"/>
          <w:noProof/>
          <w:color w:val="000000" w:themeColor="text1"/>
          <w:sz w:val="20"/>
          <w:szCs w:val="20"/>
        </w:rPr>
        <w:t>(Turpin et al., 2025)</w:t>
      </w:r>
      <w:r w:rsidR="0017075E">
        <w:rPr>
          <w:rFonts w:ascii="Arial" w:hAnsi="Arial" w:cs="Arial"/>
          <w:color w:val="000000" w:themeColor="text1"/>
          <w:sz w:val="20"/>
          <w:szCs w:val="20"/>
        </w:rPr>
        <w:fldChar w:fldCharType="end"/>
      </w:r>
      <w:r w:rsidR="004E280C">
        <w:rPr>
          <w:rFonts w:ascii="Arial" w:hAnsi="Arial" w:cs="Arial"/>
          <w:color w:val="000000" w:themeColor="text1"/>
          <w:sz w:val="20"/>
          <w:szCs w:val="20"/>
        </w:rPr>
        <w:t xml:space="preserve">, </w:t>
      </w:r>
      <w:r w:rsidR="004E280C">
        <w:rPr>
          <w:rFonts w:ascii="Arial" w:hAnsi="Arial" w:cs="Arial"/>
          <w:color w:val="000000" w:themeColor="text1"/>
          <w:sz w:val="20"/>
          <w:szCs w:val="20"/>
        </w:rPr>
        <w:fldChar w:fldCharType="begin" w:fldLock="1"/>
      </w:r>
      <w:r w:rsidR="004E280C">
        <w:rPr>
          <w:rFonts w:ascii="Arial" w:hAnsi="Arial" w:cs="Arial"/>
          <w:color w:val="000000" w:themeColor="text1"/>
          <w:sz w:val="20"/>
          <w:szCs w:val="20"/>
        </w:rPr>
        <w:instrText>ADDIN CSL_CITATION {"citationItems":[{"id":"ITEM-1","itemData":{"author":[{"dropping-particle":"","family":"Mohammadi","given":"Farshad","non-dropping-particle":"","parse-names":false,"suffix":""}],"id":"ITEM-1","issue":"1","issued":{"date-parts":[["2026"]]},"title":"Effectiveness of an education program based on systems thinking and the organizational resilience of nurse managers : A quasi-experimental study","type":"article-journal","volume":"3"},"uris":["http://www.mendeley.com/documents/?uuid=9a2e0024-0f0e-4411-8e9a-76b4888d61e0"]}],"mendeley":{"formattedCitation":"(Mohammadi, 2026)","plainTextFormattedCitation":"(Mohammadi, 2026)"},"properties":{"noteIndex":0},"schema":"https://github.com/citation-style-language/schema/raw/master/csl-citation.json"}</w:instrText>
      </w:r>
      <w:r w:rsidR="004E280C">
        <w:rPr>
          <w:rFonts w:ascii="Arial" w:hAnsi="Arial" w:cs="Arial"/>
          <w:color w:val="000000" w:themeColor="text1"/>
          <w:sz w:val="20"/>
          <w:szCs w:val="20"/>
        </w:rPr>
        <w:fldChar w:fldCharType="separate"/>
      </w:r>
      <w:r w:rsidR="004E280C" w:rsidRPr="004E280C">
        <w:rPr>
          <w:rFonts w:ascii="Arial" w:hAnsi="Arial" w:cs="Arial"/>
          <w:noProof/>
          <w:color w:val="000000" w:themeColor="text1"/>
          <w:sz w:val="20"/>
          <w:szCs w:val="20"/>
        </w:rPr>
        <w:t>(Mohammadi, 2026)</w:t>
      </w:r>
      <w:r w:rsidR="004E280C">
        <w:rPr>
          <w:rFonts w:ascii="Arial" w:hAnsi="Arial" w:cs="Arial"/>
          <w:color w:val="000000" w:themeColor="text1"/>
          <w:sz w:val="20"/>
          <w:szCs w:val="20"/>
        </w:rPr>
        <w:fldChar w:fldCharType="end"/>
      </w:r>
      <w:r w:rsidR="0017075E" w:rsidRPr="0017075E">
        <w:rPr>
          <w:rFonts w:ascii="Arial" w:hAnsi="Arial" w:cs="Arial"/>
          <w:color w:val="000000" w:themeColor="text1"/>
          <w:sz w:val="20"/>
          <w:szCs w:val="20"/>
        </w:rPr>
        <w:t>.</w:t>
      </w:r>
    </w:p>
    <w:p w14:paraId="3F72C84F" w14:textId="63D13D16" w:rsidR="000F55F6" w:rsidRPr="00BC64FA" w:rsidRDefault="00DD059E"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{"citationItems":[{"id":"ITEM-1","itemData":{"DOI":"10.1177/23333936211005475","ISSN":"2333-3936","abstract":"Despite four decades of resilience research, resilience remains a poor fit for practice as a scientific construct. Using the literature, we explored the concepts attributed to the development of resilience, identifying those that mitigate symptoms of distress caused by adversity and facilitate coping in seven classes of illness: transplants, cancer, mental illness, episodic illness, chronic and painful illness, unexpected events, and illness within a dyadic relationship. We identified protective, compensatory, and challenge-related coping-concept strategies that healthcare workers and patients use during the adversity experience. Healthcare-worker assessment and selection of appropriate coping concepts enable the individual to control their distress, resulting in attainment of equanimity and the state of resilience, permitting the resilient individual to work toward recovery, recalibration, and readjustment. We inductively developed and linked these conceptual components into a dynamic framework, The Resilience Framework for Nursing and Healthcare, making it widely applicable for healthcare across a variety of patients.","author":[{"dropping-particle":"","family":"Morse","given":"Janice M.","non-dropping-particle":"","parse-names":false,"suffix":""},{"dropping-particle":"","family":"Kent-Marvick","given":"Jacqueline","non-dropping-particle":"","parse-names":false,"suffix":""},{"dropping-particle":"","family":"Barry","given":"Lisa A.","non-dropping-particle":"","parse-names":false,"suffix":""},{"dropping-particle":"","family":"Harvey","given":"Jennifer","non-dropping-particle":"","parse-names":false,"suffix":""},{"dropping-particle":"","family":"Okang","given":"Esther Narkie","non-dropping-particle":"","parse-names":false,"suffix":""},{"dropping-particle":"","family":"Rudd","given":"Elizabeth A.","non-dropping-particle":"","parse-names":false,"suffix":""},{"dropping-particle":"","family":"Wang","given":"Ching-Yu","non-dropping-particle":"","parse-names":false,"suffix":""},{"dropping-particle":"","family":"Williams","given":"Marcia R.","non-dropping-particle":"","parse-names":false,"suffix":""}],"container-title":"Global Qualitative Nursing Research","id":"ITEM-1","issued":{"date-parts":[["2021","1","31"]]},"title":"Developing the Resilience Framework for Nursing and Healthcare","type":"article-journal","volume":"8"},"uris":["http://www.mendeley.com/documents/?uuid=14760c30-f0ec-4784-9301-c552bb6fdcd3"]}],"mendeley":{"formattedCitation":"(Morse et al., 2021)","plainTextFormattedCitation":"(Morse et al., 2021)","previouslyFormattedCitation":"(Morse et al., 2021)"},"properties":{"noteIndex":0},"schema":"https://github.com/citation-style-language/schema/raw/master/csl-citation.json"}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(Morse et al., 2021)</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w:t>
      </w:r>
      <w:r w:rsidR="000F55F6" w:rsidRPr="00BC64FA">
        <w:rPr>
          <w:rFonts w:ascii="Arial" w:hAnsi="Arial" w:cs="Arial"/>
          <w:color w:val="000000" w:themeColor="text1"/>
          <w:sz w:val="20"/>
          <w:szCs w:val="20"/>
        </w:rPr>
        <w:t>Provides a theoretical framework for resilience in nursing, emphasizing how resilience capacities can be developed and applied in healthcare practice.</w:t>
      </w:r>
      <w:r w:rsidRPr="00BC64FA">
        <w:rPr>
          <w:rFonts w:ascii="Arial" w:hAnsi="Arial" w:cs="Arial"/>
          <w:color w:val="000000" w:themeColor="text1"/>
          <w:sz w:val="20"/>
          <w:szCs w:val="20"/>
        </w:rPr>
        <w:t xml:space="preserve"> Recent evidence highlights the effectiveness and sustainability of resilience</w:t>
      </w:r>
      <w:r w:rsidRPr="00BC64FA">
        <w:rPr>
          <w:rFonts w:ascii="Arial" w:hAnsi="Arial" w:cs="Arial"/>
          <w:color w:val="000000" w:themeColor="text1"/>
          <w:sz w:val="20"/>
          <w:szCs w:val="20"/>
        </w:rPr>
        <w:noBreakHyphen/>
        <w:t xml:space="preserve">focused interventions in nursing practice. </w:t>
      </w: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10.1186/s12912-025-03090-0","ISSN":"1472-6955","author":[{"dropping-particle":"","family":"Liu","given":"Mengqi","non-dropping-particle":"","parse-names":false,"suffix":""},{"dropping-particle":"","family":"Yan","given":"Zeping","non-dropping-particle":"","parse-names":false,"suffix":""},{"dropping-particle":"","family":"Wu","given":"Caixia","non-dropping-particle":"","parse-names":false,"suffix":""}],"container-title":"BMC Nursing","id":"ITEM-1","issue":"1","issued":{"date-parts":[["2025","4","14"]]},"page":"418","title":"Comparative efficacy and acceptability of resilience-focused interventions for nurses: a systematic review and network meta-analysis of randomized controlled trials","type":"article-journal","volume":"24"},"uris":["http://www.mendeley.com/documents/?uuid=625dac47-456f-4020-b1e3-adf3ca2b4c15"]}],"mendeley":{"formattedCitation":"(Liu et al., 2025)","plainTextFormattedCitation":"(Liu et al., 2025)","previouslyFormattedCitation":"(Liu et al., 2025)"},"properties":{"noteIndex":0},"schema":"https://github.com/citation-style-language/schema/raw/master/csl-citation.json"}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(Liu et al., 2025)</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through a meta</w:t>
      </w:r>
      <w:r w:rsidRPr="00BC64FA">
        <w:rPr>
          <w:rFonts w:ascii="Arial" w:hAnsi="Arial" w:cs="Arial"/>
          <w:color w:val="000000" w:themeColor="text1"/>
          <w:sz w:val="20"/>
          <w:szCs w:val="20"/>
        </w:rPr>
        <w:noBreakHyphen/>
        <w:t xml:space="preserve">analysis of 27 randomized controlled trials, </w:t>
      </w:r>
      <w:proofErr w:type="spellStart"/>
      <w:proofErr w:type="gramStart"/>
      <w:r w:rsidRPr="00BC64FA">
        <w:rPr>
          <w:rFonts w:ascii="Arial" w:hAnsi="Arial" w:cs="Arial"/>
          <w:color w:val="000000" w:themeColor="text1"/>
          <w:sz w:val="20"/>
          <w:szCs w:val="20"/>
        </w:rPr>
        <w:t>de,monstrate</w:t>
      </w:r>
      <w:proofErr w:type="spellEnd"/>
      <w:proofErr w:type="gramEnd"/>
      <w:r w:rsidRPr="00BC64FA">
        <w:rPr>
          <w:rFonts w:ascii="Arial" w:hAnsi="Arial" w:cs="Arial"/>
          <w:color w:val="000000" w:themeColor="text1"/>
          <w:sz w:val="20"/>
          <w:szCs w:val="20"/>
        </w:rPr>
        <w:t xml:space="preserve"> that resilience</w:t>
      </w:r>
      <w:r w:rsidRPr="00BC64FA">
        <w:rPr>
          <w:rFonts w:ascii="Arial" w:hAnsi="Arial" w:cs="Arial"/>
          <w:color w:val="000000" w:themeColor="text1"/>
          <w:sz w:val="20"/>
          <w:szCs w:val="20"/>
        </w:rPr>
        <w:noBreakHyphen/>
        <w:t xml:space="preserve">focused programs significantly enhance nurses’ resilience, with offline group interventions proving more effective than online formats. Extending this perspective, </w:t>
      </w:r>
      <w:r w:rsidRPr="00BC64FA">
        <w:rPr>
          <w:rFonts w:ascii="Arial" w:hAnsi="Arial" w:cs="Arial"/>
          <w:color w:val="000000" w:themeColor="text1"/>
          <w:sz w:val="20"/>
          <w:szCs w:val="20"/>
        </w:rPr>
        <w:fldChar w:fldCharType="begin" w:fldLock="1"/>
      </w:r>
      <w:r w:rsidR="0017075E">
        <w:rPr>
          <w:rFonts w:ascii="Arial" w:hAnsi="Arial" w:cs="Arial"/>
          <w:color w:val="000000" w:themeColor="text1"/>
          <w:sz w:val="20"/>
          <w:szCs w:val="20"/>
        </w:rPr>
        <w:instrText>ADDIN CSL_CITATION {"citationItems":[{"id":"ITEM-1","itemData":{"DOI":"10.3390/healthcare13030274","ISSN":"2227-9032","abstract":"Background: To minimize systematic bias, long-term follow-up is essential to assess the effect of resilience-building interventions. However, research focuses on the short-term period immediately following these interventions. Objectives: We investigated the long-term impact of resilience-building interventions on nurses, as measured via RCTs. Methods: A narrative review based on a systematic literature search (September–15 November 2024) using the keywords “Resilience/Psychological, Adaptation/Psychological, nurses, randomized controlled trial, follow-up” in the EBSCOhost, MEDLINE, ProQuest, Google Scholar, PubMed, and Scopus databases was applied. Results: A total of 38 studies were identified. Of these, only six encompassed long-term follow-up assessment after resilience-building interventions, also meeting the inclusion criteria for this review. Two of them focused on critical care nurses. Intervention durations ranged from 8 to 12 weeks, with shorter interventions also included (90 min lecture on stress, 3 h sensory awareness class). These data suggest that resilience improvements may become apparent 3 months post intervention, even when no immediate improvement is observed upon program completion, highlighting the importance of timing in the assessment process. Conclusions: These findings provide valuable insights for researchers designing resilience programs in critical care environments. Selecting appropriate assessment tools and conducting measurements at multiple time points may be as crucial as the interventions themselves in determining their effectiveness. This is clinically meaningful since it may inform providers of resilience programs for the time frame during which they need to be applied. Potentially, future research can explore what characteristics these interventions need to have in order to be effective longitudinally.","author":[{"dropping-particle":"","family":"Kyranou","given":"Maria","non-dropping-particle":"","parse-names":false,"suffix":""},{"dropping-particle":"","family":"Karanikola","given":"Maria","non-dropping-particle":"","parse-names":false,"suffix":""}],"container-title":"Healthcare","id":"ITEM-1","issue":"3","issued":{"date-parts":[["2025","1","30"]]},"page":"274","title":"The Long-Term Impact of Resilience-Building Interventions on Nurses: A Narrative Review of the Quantitative Evidence and Its Implications for Critical Care Nurses","type":"article-journal","volume":"13"},"uris":["http://www.mendeley.com/documents/?uuid=8d696a97-ee40-46fe-9a1d-70b82483914f"]}],"mendeley":{"formattedCitation":"(Kyranou &amp; Karanikola, 2025)","plainTextFormattedCitation":"(Kyranou &amp; Karanikola, 2025)","previouslyFormattedCitation":"(Kyranou &amp; Karanikola, 2025)"},"properties":{"noteIndex":0},"schema":"https://github.com/citation-style-language/schema/raw/master/csl-citation.json"}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(Kyranou &amp; Karanikola, 2025)</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show that resilience</w:t>
      </w:r>
      <w:r w:rsidRPr="00BC64FA">
        <w:rPr>
          <w:rFonts w:ascii="Arial" w:hAnsi="Arial" w:cs="Arial"/>
          <w:color w:val="000000" w:themeColor="text1"/>
          <w:sz w:val="20"/>
          <w:szCs w:val="20"/>
        </w:rPr>
        <w:noBreakHyphen/>
        <w:t>building programs yield long</w:t>
      </w:r>
      <w:r w:rsidRPr="00BC64FA">
        <w:rPr>
          <w:rFonts w:ascii="Arial" w:hAnsi="Arial" w:cs="Arial"/>
          <w:color w:val="000000" w:themeColor="text1"/>
          <w:sz w:val="20"/>
          <w:szCs w:val="20"/>
        </w:rPr>
        <w:noBreakHyphen/>
        <w:t>term benefits, including improved coping mechanisms, better stress management, and enhanced professional well</w:t>
      </w:r>
      <w:r w:rsidRPr="00BC64FA">
        <w:rPr>
          <w:rFonts w:ascii="Arial" w:hAnsi="Arial" w:cs="Arial"/>
          <w:color w:val="000000" w:themeColor="text1"/>
          <w:sz w:val="20"/>
          <w:szCs w:val="20"/>
        </w:rPr>
        <w:noBreakHyphen/>
        <w:t>being. Together, these findings underscore that resilience interventions not only provide immediate improvements in nurses’ ability to handle workplace pressures but also deliver lasting protective effects, making them essential strategies for sustaining mental health and professional performance in demanding healthcare environments.</w:t>
      </w:r>
    </w:p>
    <w:p w14:paraId="32597430" w14:textId="0D12DC72" w:rsidR="009A2D96" w:rsidRPr="00BC64FA" w:rsidRDefault="00F272D7" w:rsidP="006C6B92">
      <w:pPr>
        <w:pStyle w:val="Heading2"/>
        <w:rPr>
          <w:rFonts w:ascii="Arial" w:hAnsi="Arial" w:cs="Arial"/>
          <w:sz w:val="20"/>
          <w:szCs w:val="20"/>
        </w:rPr>
      </w:pPr>
      <w:r w:rsidRPr="00BC64FA">
        <w:rPr>
          <w:rFonts w:ascii="Arial" w:hAnsi="Arial" w:cs="Arial"/>
          <w:sz w:val="20"/>
          <w:szCs w:val="20"/>
        </w:rPr>
        <w:t xml:space="preserve">5.4 </w:t>
      </w:r>
      <w:r w:rsidR="009A2D96" w:rsidRPr="00BC64FA">
        <w:rPr>
          <w:rFonts w:ascii="Arial" w:hAnsi="Arial" w:cs="Arial"/>
          <w:sz w:val="20"/>
          <w:szCs w:val="20"/>
        </w:rPr>
        <w:t>Organizational Supports</w:t>
      </w:r>
    </w:p>
    <w:p w14:paraId="2CCB2C0F" w14:textId="77777777" w:rsidR="009A2D96" w:rsidRPr="00BC64FA" w:rsidRDefault="009A2D96"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Institutional policies and training programs played a significant role in strengthening resilience. Nurses valued simulation drills, SBAR communication training, fatigue management guidelines, and access to counseling services (EAP). Specialized programs such as pain management, critical incident stress management (CISM), and community engagement training were also highlighted. These supports indicate that organizational commitment to staff well-being and preparedness directly impacts performance and retention.</w:t>
      </w:r>
    </w:p>
    <w:p w14:paraId="010ECEC7" w14:textId="279FA6E1" w:rsidR="000F55F6" w:rsidRPr="00BC64FA" w:rsidRDefault="000F4856"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Recent studies emphasize the pivotal role of organizational supports in fostering resilience and reducing burnout among nurses. </w:t>
      </w: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{"citationItems":[{"id":"ITEM-1","itemData":{"DOI":"10.3389/fpsyg.2024.1407206","ISSN":"1664-1078","abstract":"Background: This study aims to analyze the relationship between psychological resilience, perceived organizational support, and intention to stay among nurses. Additionally, it explores the mediating role of perceived organizational support in the relationship between psychological resilience and nurses’ intention to stay. Methods: A cross-sectional survey was conducted between August and September 2023, involving 1,402 nurses from five Grade 3A hospitals in Guangdong. The survey utilized several instruments, including the General Information Questionnaire (GIQ), the Chinese version of the Connor-Davidson Resilience Scale (CD-RISC), the Chinese version of the Perceived Organizational Support Scale (POSS), and the Chinese version of the Intention to Stay Scale (ITSS). The obtained data were analyzed using descriptive statistics and Pearson’s correlation coefficient, while the mediating effect of perceived organizational support was assessed using the PROCESS macro mediation model in SPSS. Results: The overall mean score for psychological resilience among nurses in the five Grade 3A hospitals in Guangdong was 60.54 ± 19.17, the overall mean score for perceived organizational support was 45.77 ± 11.49, and the mean score for intention to stay was 20.82 ± 4.65. The results of the statistical analysis revealed positive correlations between psychological resilience and intention to stay (r = 0.388, p &lt; 0.01), between perceived organizational support and psychological resilience (r = 0.570, p &lt; 0.01), and between perceived organizational support and intention to stay (r = 0.550, p &lt; 0.01). Additionally, perceived organizational support was found to mediate the relationship between psychological resilience and intention to stay, with a mediation effect value of 0.067, accounting for 71.28% of the total effect. Conclusion: Psychological resilience of nursing staff directly impacts their intention to stay and indirectly influences their caring behaviors, with perceived organizational support serving as a key mediator in both relationships. Therefore, nursing managers should implement targeted interventions to enhance nurses’ psychological resilience and perceived organizational support. Strengthening these factors can significantly increase nurses’ intention to stay in their jobs, improve the quality of care, and contribute to building a strong and stable nursing workforce.","author":[{"dropping-particle":"","family":"Pu","given":"Jiangfeng","non-dropping-particle":"","parse-names":false,"suffix":""},{"dropping-particle":"","family":"Wang","given":"Waner","non-dropping-particle":"","parse-names":false,"suffix":""},{"dropping-particle":"","family":"Li","given":"Gege","non-dropping-particle":"","parse-names":false,"suffix":""},{"dropping-particle":"","family":"Xie","given":"Zhanghao","non-dropping-particle":"","parse-names":false,"suffix":""},{"dropping-particle":"","family":"Fan","given":"Xuanhao","non-dropping-particle":"","parse-names":false,"suffix":""},{"dropping-particle":"","family":"Zhan","given":"Ningjing","non-dropping-particle":"","parse-names":false,"suffix":""},{"dropping-particle":"","family":"Xu","given":"Yixuan","non-dropping-particle":"","parse-names":false,"suffix":""},{"dropping-particle":"","family":"Huang","given":"Huigen","non-dropping-particle":"","parse-names":false,"suffix":""}],"container-title":"Frontiers in Psychology","id":"ITEM-1","issued":{"date-parts":[["2024","9","26"]]},"title":"Psychological resilience and intention to stay among nurses: the mediating role of perceived organizational support","type":"article-journal","volume":"15"},"uris":["http://www.mendeley.com/documents/?uuid=787777c6-c94d-4004-bd37-5574830d4ad9"]}],"mendeley":{"formattedCitation":"(Pu et al., 2024)","plainTextFormattedCitation":"(Pu et al., 2024)","previouslyFormattedCitation":"(Pu et al., 2024)"},"properties":{"noteIndex":0},"schema":"https://github.com/citation-style-language/schema/raw/master/csl-citation.json"}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(Pu et al., 2024)</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demonstrate that organizational support not only strengthens </w:t>
      </w:r>
      <w:r w:rsidRPr="00BC64FA">
        <w:rPr>
          <w:rFonts w:ascii="Arial" w:hAnsi="Arial" w:cs="Arial"/>
          <w:color w:val="000000" w:themeColor="text1"/>
          <w:sz w:val="20"/>
          <w:szCs w:val="20"/>
        </w:rPr>
        <w:lastRenderedPageBreak/>
        <w:t xml:space="preserve">resilience but also stimulates innovative behavior, which in turn enhances nurses’ work engagement. Complementing this, </w:t>
      </w: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{"citationItems":[{"id":"ITEM-1","itemData":{"DOI":"10.7748/nm.2024.e2142","ISSN":"1354-5760","author":[{"dropping-particle":"","family":"Adan","given":"Carlito","non-dropping-particle":"","parse-names":false,"suffix":""}],"container-title":"Nursing Management","id":"ITEM-1","issue":"3","issued":{"date-parts":[["2025","6","5"]]},"page":"31-36","title":"Organisational support and strategies to address nurse burnout and enhance resilience","type":"article-journal","volume":"32"},"uris":["http://www.mendeley.com/documents/?uuid=e8bca058-2bb5-471d-9dd6-fcc12565861f"]}],"mendeley":{"formattedCitation":"(Adan, 2025)","plainTextFormattedCitation":"(Adan, 2025)","previouslyFormattedCitation":"(Adan, 2025)"},"properties":{"noteIndex":0},"schema":"https://github.com/citation-style-language/schema/raw/master/csl-citation.json"}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(Adan, 2025)</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identifies practical organizational strategies—such as workload management, peer support networks, and resilience training—that directly mitigate burnout and promote well</w:t>
      </w:r>
      <w:r w:rsidRPr="00BC64FA">
        <w:rPr>
          <w:rFonts w:ascii="Arial" w:hAnsi="Arial" w:cs="Arial"/>
          <w:color w:val="000000" w:themeColor="text1"/>
          <w:sz w:val="20"/>
          <w:szCs w:val="20"/>
        </w:rPr>
        <w:noBreakHyphen/>
        <w:t xml:space="preserve">being. Extending these insights, </w:t>
      </w:r>
      <w:r w:rsidRPr="00BC64FA">
        <w:rPr>
          <w:rFonts w:ascii="Arial" w:hAnsi="Arial" w:cs="Arial"/>
          <w:color w:val="000000" w:themeColor="text1"/>
          <w:sz w:val="20"/>
          <w:szCs w:val="20"/>
        </w:rPr>
        <w:fldChar w:fldCharType="begin" w:fldLock="1"/>
      </w:r>
      <w:r w:rsidR="00DD059E" w:rsidRPr="00BC64FA">
        <w:rPr>
          <w:rFonts w:ascii="Arial" w:hAnsi="Arial" w:cs="Arial"/>
          <w:color w:val="000000" w:themeColor="text1"/>
          <w:sz w:val="20"/>
          <w:szCs w:val="20"/>
        </w:rPr>
        <w:instrText>ADDIN CSL_CITATION {"citationItems":[{"id":"ITEM-1","itemData":{"DOI":"10.1002/nop2.2036","ISSN":"2054-1058","author":[{"dropping-particle":"","family":"Abdulmohdi","given":"Naim","non-dropping-particle":"","parse-names":false,"suffix":""}],"container-title":"Nursing Open","id":"ITEM-1","issue":"1","issued":{"date-parts":[["2024","1","29"]]},"title":"The relationships between nurses' resilience, burnout, perceived organisational support and social support during the second wave of the COVID</w:instrText>
      </w:r>
      <w:r w:rsidR="00DD059E" w:rsidRPr="00BC64FA">
        <w:rPr>
          <w:rFonts w:ascii="Cambria Math" w:hAnsi="Cambria Math" w:cs="Cambria Math"/>
          <w:color w:val="000000" w:themeColor="text1"/>
          <w:sz w:val="20"/>
          <w:szCs w:val="20"/>
        </w:rPr>
        <w:instrText>‐</w:instrText>
      </w:r>
      <w:r w:rsidR="00DD059E" w:rsidRPr="00BC64FA">
        <w:rPr>
          <w:rFonts w:ascii="Arial" w:hAnsi="Arial" w:cs="Arial"/>
          <w:color w:val="000000" w:themeColor="text1"/>
          <w:sz w:val="20"/>
          <w:szCs w:val="20"/>
        </w:rPr>
        <w:instrText>19 pandemic: A quantitative cross</w:instrText>
      </w:r>
      <w:r w:rsidR="00DD059E" w:rsidRPr="00BC64FA">
        <w:rPr>
          <w:rFonts w:ascii="Cambria Math" w:hAnsi="Cambria Math" w:cs="Cambria Math"/>
          <w:color w:val="000000" w:themeColor="text1"/>
          <w:sz w:val="20"/>
          <w:szCs w:val="20"/>
        </w:rPr>
        <w:instrText>‐</w:instrText>
      </w:r>
      <w:r w:rsidR="00DD059E" w:rsidRPr="00BC64FA">
        <w:rPr>
          <w:rFonts w:ascii="Arial" w:hAnsi="Arial" w:cs="Arial"/>
          <w:color w:val="000000" w:themeColor="text1"/>
          <w:sz w:val="20"/>
          <w:szCs w:val="20"/>
        </w:rPr>
        <w:instrText>sectional survey","type":"article-journal","volume":"11"},"uris":["http://www.mendeley.com/documents/?uuid=e8540ec0-4839-4257-a4ee-2604d8db705b"]}],"mendeley":{"formattedCitation":"(Abdulmohdi, 2024)","plainTextFormattedCitation":"(Abdulmohdi, 2024)","previouslyFormattedCitation":"(Abdulmohdi, 2024)"},"properties":{"noteIndex":0},"schema":"https://github.com/citation-style-language/schema/raw/master/csl-citation.json"}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(Abdulmohdi, 2024)</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shows that perceived organizational support and empowerment are critical in reducing burnout while simultaneously reinforcing resilience capacities. Taken together, these findings highlight that organizational support functions as both a protective factor against workplace stress and a catalyst for professional growth, underscoring the need for healthcare institutions to invest in supportive structures that sustain nurses’ resilience, engagement, and overall performance.</w:t>
      </w:r>
    </w:p>
    <w:p w14:paraId="28228979" w14:textId="55FD7D85" w:rsidR="009A2D96" w:rsidRPr="00BC64FA" w:rsidRDefault="00F272D7" w:rsidP="006C6B92">
      <w:pPr>
        <w:pStyle w:val="Heading2"/>
        <w:rPr>
          <w:rFonts w:ascii="Arial" w:hAnsi="Arial" w:cs="Arial"/>
          <w:sz w:val="20"/>
          <w:szCs w:val="20"/>
        </w:rPr>
      </w:pPr>
      <w:r w:rsidRPr="00BC64FA">
        <w:rPr>
          <w:rFonts w:ascii="Arial" w:hAnsi="Arial" w:cs="Arial"/>
          <w:sz w:val="20"/>
          <w:szCs w:val="20"/>
        </w:rPr>
        <w:t xml:space="preserve">5.5 </w:t>
      </w:r>
      <w:r w:rsidR="009A2D96" w:rsidRPr="00BC64FA">
        <w:rPr>
          <w:rFonts w:ascii="Arial" w:hAnsi="Arial" w:cs="Arial"/>
          <w:sz w:val="20"/>
          <w:szCs w:val="20"/>
        </w:rPr>
        <w:t>Implications</w:t>
      </w:r>
      <w:r w:rsidR="00663668" w:rsidRPr="00BC64FA">
        <w:rPr>
          <w:rFonts w:ascii="Arial" w:hAnsi="Arial" w:cs="Arial"/>
          <w:sz w:val="20"/>
          <w:szCs w:val="20"/>
        </w:rPr>
        <w:t xml:space="preserve"> in nursing practices</w:t>
      </w:r>
    </w:p>
    <w:p w14:paraId="52FE58D1" w14:textId="77777777" w:rsidR="008860C5" w:rsidRPr="008860C5" w:rsidRDefault="008860C5" w:rsidP="008860C5">
      <w:pPr>
        <w:spacing w:before="120" w:after="120"/>
        <w:jc w:val="both"/>
        <w:rPr>
          <w:rFonts w:ascii="Arial" w:hAnsi="Arial" w:cs="Arial"/>
          <w:color w:val="000000" w:themeColor="text1"/>
          <w:sz w:val="20"/>
          <w:szCs w:val="20"/>
        </w:rPr>
      </w:pPr>
      <w:r w:rsidRPr="008860C5">
        <w:rPr>
          <w:rFonts w:ascii="Arial" w:hAnsi="Arial" w:cs="Arial"/>
          <w:color w:val="000000" w:themeColor="text1"/>
          <w:sz w:val="20"/>
          <w:szCs w:val="20"/>
        </w:rPr>
        <w:t>The themes emerging from this study highlight several key implications for nursing practice, especially in multicultural and high-stress healthcare settings. First, nurses’ ability to manage workplace pressures through adherence to protocols, delegation of tasks, and effective communication emphasizes the importance of healthcare organizations providing clear guidelines and ongoing training in teamwork and communication. These strategies help nurses remain focused, organized, and confident when facing demanding clinical situations.</w:t>
      </w:r>
    </w:p>
    <w:p w14:paraId="02A22019" w14:textId="77777777" w:rsidR="008860C5" w:rsidRPr="008860C5" w:rsidRDefault="008860C5" w:rsidP="008860C5">
      <w:pPr>
        <w:spacing w:before="120" w:after="120"/>
        <w:jc w:val="both"/>
        <w:rPr>
          <w:rFonts w:ascii="Arial" w:hAnsi="Arial" w:cs="Arial"/>
          <w:color w:val="000000" w:themeColor="text1"/>
          <w:sz w:val="20"/>
          <w:szCs w:val="20"/>
        </w:rPr>
      </w:pPr>
      <w:r w:rsidRPr="008860C5">
        <w:rPr>
          <w:rFonts w:ascii="Arial" w:hAnsi="Arial" w:cs="Arial"/>
          <w:color w:val="000000" w:themeColor="text1"/>
          <w:sz w:val="20"/>
          <w:szCs w:val="20"/>
        </w:rPr>
        <w:t>Second, challenges related to cultural and linguistic adaptation point to the need for institutional support in cross-cultural communication. Offering language training, access to interpreters, and practical communication tools—such as visual aids and simplified English materials—can enhance nurse–patient interactions and minimize misunderstandings. Such support also facilitates smoother integration of international nurses into the local healthcare environment.</w:t>
      </w:r>
    </w:p>
    <w:p w14:paraId="20B60E37" w14:textId="77777777" w:rsidR="008860C5" w:rsidRPr="008860C5" w:rsidRDefault="008860C5" w:rsidP="008860C5">
      <w:pPr>
        <w:spacing w:before="120" w:after="120"/>
        <w:jc w:val="both"/>
        <w:rPr>
          <w:rFonts w:ascii="Arial" w:hAnsi="Arial" w:cs="Arial"/>
          <w:color w:val="000000" w:themeColor="text1"/>
          <w:sz w:val="20"/>
          <w:szCs w:val="20"/>
        </w:rPr>
      </w:pPr>
      <w:r w:rsidRPr="008860C5">
        <w:rPr>
          <w:rFonts w:ascii="Arial" w:hAnsi="Arial" w:cs="Arial"/>
          <w:color w:val="000000" w:themeColor="text1"/>
          <w:sz w:val="20"/>
          <w:szCs w:val="20"/>
        </w:rPr>
        <w:t>Third, the development of resilience through mindfulness practices, debriefing sessions, and gratitude exercises highlights the importance of incorporating emotional well-being into routine nursing practice. Healthcare organizations could implement structured mindfulness programs, peer-support groups, and regular debriefings to help nurses manage stress and maintain psychological stability. Embedding these practices into workplace culture can foster sustained resilience, reduce emotional exhaustion, and improve overall job satisfaction.</w:t>
      </w:r>
    </w:p>
    <w:p w14:paraId="034C1121" w14:textId="77777777" w:rsidR="008860C5" w:rsidRPr="008860C5" w:rsidRDefault="008860C5" w:rsidP="008860C5">
      <w:pPr>
        <w:spacing w:before="120" w:after="120"/>
        <w:jc w:val="both"/>
        <w:rPr>
          <w:rFonts w:ascii="Arial" w:hAnsi="Arial" w:cs="Arial"/>
          <w:color w:val="000000" w:themeColor="text1"/>
          <w:sz w:val="20"/>
          <w:szCs w:val="20"/>
        </w:rPr>
      </w:pPr>
      <w:r w:rsidRPr="008860C5">
        <w:rPr>
          <w:rFonts w:ascii="Arial" w:hAnsi="Arial" w:cs="Arial"/>
          <w:color w:val="000000" w:themeColor="text1"/>
          <w:sz w:val="20"/>
          <w:szCs w:val="20"/>
        </w:rPr>
        <w:t>In summary, these findings underscore the need for a supportive, culturally sensitive, and wellness-focused work environment that enhances nurses’ resilience and promotes the delivery of safe, holistic, and high-quality patient care.</w:t>
      </w:r>
    </w:p>
    <w:p w14:paraId="17F46308" w14:textId="77777777" w:rsidR="009A2D96" w:rsidRPr="00BC64FA" w:rsidRDefault="009A2D96" w:rsidP="00164454">
      <w:pPr>
        <w:spacing w:before="120" w:after="120"/>
        <w:jc w:val="both"/>
        <w:rPr>
          <w:rFonts w:ascii="Arial" w:hAnsi="Arial" w:cs="Arial"/>
          <w:color w:val="000000" w:themeColor="text1"/>
          <w:sz w:val="20"/>
          <w:szCs w:val="20"/>
        </w:rPr>
      </w:pPr>
    </w:p>
    <w:p w14:paraId="6BAA6A58" w14:textId="13FC25CD" w:rsidR="00EA1A8F" w:rsidRPr="002D1B52" w:rsidRDefault="00E43A50" w:rsidP="00164454">
      <w:pPr>
        <w:pStyle w:val="Heading1"/>
        <w:spacing w:before="120" w:after="120"/>
        <w:jc w:val="both"/>
        <w:rPr>
          <w:rFonts w:ascii="Arial" w:hAnsi="Arial" w:cs="Arial"/>
          <w:sz w:val="22"/>
          <w:szCs w:val="22"/>
        </w:rPr>
      </w:pPr>
      <w:r w:rsidRPr="002D1B52">
        <w:rPr>
          <w:rFonts w:ascii="Arial" w:hAnsi="Arial" w:cs="Arial"/>
          <w:sz w:val="22"/>
          <w:szCs w:val="22"/>
        </w:rPr>
        <w:t xml:space="preserve">6. </w:t>
      </w:r>
      <w:r w:rsidR="00EA1A8F" w:rsidRPr="002D1B52">
        <w:rPr>
          <w:rFonts w:ascii="Arial" w:hAnsi="Arial" w:cs="Arial"/>
          <w:sz w:val="22"/>
          <w:szCs w:val="22"/>
        </w:rPr>
        <w:t>Conclusion</w:t>
      </w:r>
    </w:p>
    <w:p w14:paraId="6F35F3F1" w14:textId="64C9D12E" w:rsidR="009A2D96" w:rsidRPr="00BC64FA" w:rsidRDefault="009A2D96"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The experiences of Indonesian nurses working in Qatar across emergency, ambulance, surgical, and primary care settings demonstrate that resilience and adaptability are essential for maintaining high-quality patient care under pressure. Nurses consistently rely on protocol-driven responses, effective teamwork, </w:t>
      </w:r>
      <w:r w:rsidRPr="00BC64FA">
        <w:rPr>
          <w:rFonts w:ascii="Arial" w:hAnsi="Arial" w:cs="Arial"/>
          <w:color w:val="000000" w:themeColor="text1"/>
          <w:sz w:val="20"/>
          <w:szCs w:val="20"/>
        </w:rPr>
        <w:lastRenderedPageBreak/>
        <w:t>and structured communication to manage critical incidents. Cultural and linguistic challenges are addressed through simple language, visual aids, and interpreter support, emphasizing the importance of cultural competence in diverse healthcare environments.</w:t>
      </w:r>
    </w:p>
    <w:p w14:paraId="03DC5F4A" w14:textId="37728E56" w:rsidR="009A2D96" w:rsidRPr="00BC64FA" w:rsidRDefault="009A2D96"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Personal resilience practices</w:t>
      </w:r>
      <w:r w:rsidR="005D05A6"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such as mindful breathing, hydration, and peer debriefing</w:t>
      </w:r>
      <w:r w:rsidR="005D05A6"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 xml:space="preserve">combined with organizational </w:t>
      </w:r>
      <w:r w:rsidR="00D70A89" w:rsidRPr="00BC64FA">
        <w:rPr>
          <w:rFonts w:ascii="Arial" w:hAnsi="Arial" w:cs="Arial"/>
          <w:color w:val="000000" w:themeColor="text1"/>
          <w:sz w:val="20"/>
          <w:szCs w:val="20"/>
        </w:rPr>
        <w:t>support</w:t>
      </w:r>
      <w:r w:rsidRPr="00BC64FA">
        <w:rPr>
          <w:rFonts w:ascii="Arial" w:hAnsi="Arial" w:cs="Arial"/>
          <w:color w:val="000000" w:themeColor="text1"/>
          <w:sz w:val="20"/>
          <w:szCs w:val="20"/>
        </w:rPr>
        <w:t xml:space="preserve"> like simulation drills, SBAR training, and access to counseling services create a multi-layered approach to coping with stress. These findings highlight that resilience is not solely an individual responsibility but a shared organizational priority.</w:t>
      </w:r>
    </w:p>
    <w:p w14:paraId="4A652021" w14:textId="40CB4E23" w:rsidR="009A2D96" w:rsidRPr="00BC64FA" w:rsidRDefault="009A2D96"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To sustain performance and well-being, healthcare institutions should continue to invest in regular emergency simulations, language support programs, and mental health resources, while fostering a culture of team solidarity and continuous learning. Such measures will not only enhance nurse resilience but also improve patient safety and overall care quality.</w:t>
      </w:r>
    </w:p>
    <w:p w14:paraId="64090C30" w14:textId="58834BB4" w:rsidR="009A2D96" w:rsidRPr="002D1B52" w:rsidRDefault="00E43A50" w:rsidP="00164454">
      <w:pPr>
        <w:pStyle w:val="Heading1"/>
        <w:spacing w:before="120" w:after="120"/>
        <w:jc w:val="both"/>
        <w:rPr>
          <w:rFonts w:ascii="Arial" w:hAnsi="Arial" w:cs="Arial"/>
          <w:sz w:val="22"/>
          <w:szCs w:val="22"/>
        </w:rPr>
      </w:pPr>
      <w:r w:rsidRPr="002D1B52">
        <w:rPr>
          <w:rFonts w:ascii="Arial" w:hAnsi="Arial" w:cs="Arial"/>
          <w:sz w:val="22"/>
          <w:szCs w:val="22"/>
        </w:rPr>
        <w:t xml:space="preserve">7. </w:t>
      </w:r>
      <w:r w:rsidR="009A2D96" w:rsidRPr="002D1B52">
        <w:rPr>
          <w:rFonts w:ascii="Arial" w:hAnsi="Arial" w:cs="Arial"/>
          <w:sz w:val="22"/>
          <w:szCs w:val="22"/>
        </w:rPr>
        <w:t>Recommendation</w:t>
      </w:r>
    </w:p>
    <w:p w14:paraId="33F3F593" w14:textId="77777777" w:rsidR="009A2D96" w:rsidRPr="00BC64FA" w:rsidRDefault="009A2D96"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Based on the experiences and insights from Indonesian nurses working in Qatar, the following recommendations are proposed to strengthen resilience, improve patient safety, and enhance cultural competence:</w:t>
      </w:r>
    </w:p>
    <w:p w14:paraId="3120CC70" w14:textId="77777777" w:rsidR="009A2D96" w:rsidRPr="00BC64FA" w:rsidRDefault="009A2D96"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1. Clinical Preparedness</w:t>
      </w:r>
    </w:p>
    <w:p w14:paraId="524FBBD4" w14:textId="48A12193" w:rsidR="009A2D96" w:rsidRPr="00BC64FA" w:rsidRDefault="009A2D96" w:rsidP="00156506">
      <w:pPr>
        <w:numPr>
          <w:ilvl w:val="0"/>
          <w:numId w:val="10"/>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Regular Simulation Drills:</w:t>
      </w:r>
      <w:r w:rsidR="00E43A50"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Conduct frequent ATLS, ACLS, pediatric emergency, and mass casualty drills to maintain readiness for high-pressure scenarios.</w:t>
      </w:r>
    </w:p>
    <w:p w14:paraId="57E5975F" w14:textId="3E24AC6A" w:rsidR="009A2D96" w:rsidRPr="00BC64FA" w:rsidRDefault="009A2D96" w:rsidP="00156506">
      <w:pPr>
        <w:numPr>
          <w:ilvl w:val="0"/>
          <w:numId w:val="10"/>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Structured Communication Training:</w:t>
      </w:r>
      <w:r w:rsidR="00E43A50"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Reinforce SBAR and closed-loop communication techniques across all units to reduce errors during critical incidents.</w:t>
      </w:r>
    </w:p>
    <w:p w14:paraId="1DECEBCF" w14:textId="77777777" w:rsidR="009A2D96" w:rsidRPr="00BC64FA" w:rsidRDefault="009A2D96"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2. Cultural and Linguistic Support</w:t>
      </w:r>
    </w:p>
    <w:p w14:paraId="251F24F0" w14:textId="673442CA" w:rsidR="009A2D96" w:rsidRPr="00BC64FA" w:rsidRDefault="009A2D96" w:rsidP="00156506">
      <w:pPr>
        <w:numPr>
          <w:ilvl w:val="0"/>
          <w:numId w:val="11"/>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Interpreter Access Policy:</w:t>
      </w:r>
      <w:r w:rsidR="00E43A50"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Ensure 24/7 availability of professional interpreters or tele-interpretation services for complex consent and education.</w:t>
      </w:r>
    </w:p>
    <w:p w14:paraId="36D8E2A1" w14:textId="403196CB" w:rsidR="009A2D96" w:rsidRPr="00BC64FA" w:rsidRDefault="009A2D96" w:rsidP="00156506">
      <w:pPr>
        <w:numPr>
          <w:ilvl w:val="0"/>
          <w:numId w:val="11"/>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Cultural Competence Training:</w:t>
      </w:r>
      <w:r w:rsidR="00E43A50"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Provide workshops on Arabic cultural norms, family dynamics, and communication strategies to improve patient trust and compliance.</w:t>
      </w:r>
    </w:p>
    <w:p w14:paraId="397B135B" w14:textId="54A62D91" w:rsidR="009A2D96" w:rsidRPr="00BC64FA" w:rsidRDefault="009A2D96" w:rsidP="00156506">
      <w:pPr>
        <w:numPr>
          <w:ilvl w:val="0"/>
          <w:numId w:val="11"/>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Visual Communication Tools:</w:t>
      </w:r>
      <w:r w:rsidR="00E43A50"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Expand the use of pictograms, bilingual discharge sheets, and culturally tailored health education materials.</w:t>
      </w:r>
    </w:p>
    <w:p w14:paraId="41A24DDE" w14:textId="77777777" w:rsidR="009A2D96" w:rsidRPr="00BC64FA" w:rsidRDefault="009A2D96"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3. Resilience and Well-being</w:t>
      </w:r>
    </w:p>
    <w:p w14:paraId="0A922640" w14:textId="51A28F64" w:rsidR="009A2D96" w:rsidRPr="00BC64FA" w:rsidRDefault="009A2D96" w:rsidP="00156506">
      <w:pPr>
        <w:numPr>
          <w:ilvl w:val="0"/>
          <w:numId w:val="12"/>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Peer Support Systems:</w:t>
      </w:r>
      <w:r w:rsidR="00E43A50"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Formalize peer debriefing sessions and team huddles after critical cases to normalize emotional processing.</w:t>
      </w:r>
    </w:p>
    <w:p w14:paraId="23D22E9B" w14:textId="64E6D43F" w:rsidR="009A2D96" w:rsidRPr="00BC64FA" w:rsidRDefault="009A2D96" w:rsidP="00156506">
      <w:pPr>
        <w:numPr>
          <w:ilvl w:val="0"/>
          <w:numId w:val="12"/>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Mindfulness and Stress Management Programs:</w:t>
      </w:r>
      <w:r w:rsidR="00E43A50"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Offer on-site mindfulness sessions, hydration stations, and fatigue management guidelines for staff.</w:t>
      </w:r>
    </w:p>
    <w:p w14:paraId="5152C37A" w14:textId="12EF50DF" w:rsidR="009A2D96" w:rsidRPr="00BC64FA" w:rsidRDefault="009A2D96" w:rsidP="00156506">
      <w:pPr>
        <w:numPr>
          <w:ilvl w:val="0"/>
          <w:numId w:val="12"/>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lastRenderedPageBreak/>
        <w:t>Access to Counseling Services:</w:t>
      </w:r>
      <w:r w:rsidR="00E43A50"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Promote Employee Assistance Programs (EAP) and confidential mental health support for nurses experiencing burnout or compassion fatigue.</w:t>
      </w:r>
    </w:p>
    <w:p w14:paraId="6F2210FC" w14:textId="77777777" w:rsidR="009A2D96" w:rsidRPr="00BC64FA" w:rsidRDefault="009A2D96"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4. Organizational Policies</w:t>
      </w:r>
    </w:p>
    <w:p w14:paraId="08F28272" w14:textId="119D4851" w:rsidR="009A2D96" w:rsidRPr="00BC64FA" w:rsidRDefault="009A2D96" w:rsidP="00156506">
      <w:pPr>
        <w:numPr>
          <w:ilvl w:val="0"/>
          <w:numId w:val="13"/>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Surge Staffing Protocols:</w:t>
      </w:r>
      <w:r w:rsidR="00E43A50"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Implement flexible staffing models during peak periods (e.g., heat stress season, health fairs) to prevent overload.</w:t>
      </w:r>
    </w:p>
    <w:p w14:paraId="5A82FC4B" w14:textId="4C31BD04" w:rsidR="009A2D96" w:rsidRPr="00BC64FA" w:rsidRDefault="009A2D96" w:rsidP="00156506">
      <w:pPr>
        <w:numPr>
          <w:ilvl w:val="0"/>
          <w:numId w:val="13"/>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Continuous Professional Development:</w:t>
      </w:r>
      <w:r w:rsidR="00E43A50"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Provide specialized training in pain management, respectful maternity care, and breaking bad news to enhance confidence and reduce stress.</w:t>
      </w:r>
    </w:p>
    <w:p w14:paraId="32380AD5" w14:textId="2C233AEB" w:rsidR="009A2D96" w:rsidRPr="00D70A89" w:rsidRDefault="009A2D96" w:rsidP="00156506">
      <w:pPr>
        <w:numPr>
          <w:ilvl w:val="0"/>
          <w:numId w:val="13"/>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Critical Incident Stress Management (CISM):</w:t>
      </w:r>
      <w:r w:rsidR="00E43A50"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Integrate CISM for ambulance and emergency teams to address psychological impact after traumatic events.</w:t>
      </w:r>
    </w:p>
    <w:p w14:paraId="109CD1CA" w14:textId="77777777" w:rsidR="00465D64" w:rsidRPr="0025181C" w:rsidRDefault="00465D64" w:rsidP="0017075E">
      <w:pPr>
        <w:rPr>
          <w:b/>
        </w:rPr>
      </w:pPr>
    </w:p>
    <w:p w14:paraId="586E1286" w14:textId="516D1FA8" w:rsidR="0025181C" w:rsidRDefault="0025181C" w:rsidP="000439BF">
      <w:pPr>
        <w:spacing w:before="120" w:after="120"/>
        <w:jc w:val="both"/>
        <w:rPr>
          <w:rFonts w:ascii="Arial" w:hAnsi="Arial" w:cs="Arial"/>
          <w:b/>
          <w:color w:val="000000" w:themeColor="text1"/>
          <w:sz w:val="20"/>
          <w:szCs w:val="20"/>
        </w:rPr>
      </w:pPr>
      <w:r>
        <w:rPr>
          <w:rFonts w:ascii="Arial" w:hAnsi="Arial" w:cs="Arial"/>
          <w:b/>
          <w:color w:val="000000" w:themeColor="text1"/>
          <w:sz w:val="20"/>
          <w:szCs w:val="20"/>
        </w:rPr>
        <w:t>Consent:</w:t>
      </w:r>
    </w:p>
    <w:p w14:paraId="059E7B95" w14:textId="56B58D6B" w:rsidR="0025181C" w:rsidRDefault="0025181C" w:rsidP="000439BF">
      <w:pPr>
        <w:spacing w:before="120" w:after="120"/>
        <w:jc w:val="both"/>
        <w:rPr>
          <w:rFonts w:ascii="Arial" w:hAnsi="Arial" w:cs="Arial"/>
          <w:color w:val="000000" w:themeColor="text1"/>
          <w:sz w:val="20"/>
          <w:szCs w:val="20"/>
        </w:rPr>
      </w:pPr>
      <w:r w:rsidRPr="0025181C">
        <w:rPr>
          <w:rFonts w:ascii="Arial" w:hAnsi="Arial" w:cs="Arial"/>
          <w:color w:val="000000" w:themeColor="text1"/>
          <w:sz w:val="20"/>
          <w:szCs w:val="20"/>
        </w:rPr>
        <w:t>Both written and verbal consent were obtained, and strict procedures were followed to maintain participant confidentiality, protect their identities, and securely store all audio files and transcript data</w:t>
      </w:r>
    </w:p>
    <w:p w14:paraId="0DFF1E90" w14:textId="77777777" w:rsidR="0025181C" w:rsidRPr="0025181C" w:rsidRDefault="0025181C" w:rsidP="000439BF">
      <w:pPr>
        <w:spacing w:before="120" w:after="120"/>
        <w:jc w:val="both"/>
        <w:rPr>
          <w:rFonts w:ascii="Arial" w:hAnsi="Arial" w:cs="Arial"/>
          <w:color w:val="000000" w:themeColor="text1"/>
          <w:sz w:val="20"/>
          <w:szCs w:val="20"/>
        </w:rPr>
      </w:pPr>
      <w:bookmarkStart w:id="1" w:name="_GoBack"/>
      <w:bookmarkEnd w:id="1"/>
    </w:p>
    <w:p w14:paraId="0537CDC5" w14:textId="7E9D8618" w:rsidR="00255ADF" w:rsidRPr="0025181C" w:rsidRDefault="00255ADF" w:rsidP="000439BF">
      <w:pPr>
        <w:spacing w:before="120" w:after="120"/>
        <w:jc w:val="both"/>
        <w:rPr>
          <w:rFonts w:ascii="Arial" w:hAnsi="Arial" w:cs="Arial"/>
          <w:b/>
          <w:color w:val="000000" w:themeColor="text1"/>
          <w:sz w:val="20"/>
          <w:szCs w:val="20"/>
        </w:rPr>
      </w:pPr>
      <w:r w:rsidRPr="0025181C">
        <w:rPr>
          <w:rFonts w:ascii="Arial" w:hAnsi="Arial" w:cs="Arial"/>
          <w:b/>
          <w:color w:val="000000" w:themeColor="text1"/>
          <w:sz w:val="20"/>
          <w:szCs w:val="20"/>
        </w:rPr>
        <w:t>Disclaimer (Artificial intelligence)</w:t>
      </w:r>
    </w:p>
    <w:p w14:paraId="7D2F1437" w14:textId="1DAF73B2" w:rsidR="00255ADF" w:rsidRPr="000439BF" w:rsidRDefault="00255ADF" w:rsidP="000439BF">
      <w:pPr>
        <w:spacing w:before="120" w:after="120"/>
        <w:jc w:val="both"/>
        <w:rPr>
          <w:rFonts w:ascii="Arial" w:hAnsi="Arial" w:cs="Arial"/>
          <w:color w:val="000000" w:themeColor="text1"/>
          <w:sz w:val="20"/>
          <w:szCs w:val="20"/>
        </w:rPr>
      </w:pPr>
      <w:r w:rsidRPr="000439BF">
        <w:rPr>
          <w:rFonts w:ascii="Arial" w:hAnsi="Arial" w:cs="Arial"/>
          <w:color w:val="000000" w:themeColor="text1"/>
          <w:sz w:val="20"/>
          <w:szCs w:val="20"/>
        </w:rPr>
        <w:t xml:space="preserve">Author(s) hereby </w:t>
      </w:r>
      <w:r w:rsidR="000439BF" w:rsidRPr="000439BF">
        <w:rPr>
          <w:rFonts w:ascii="Arial" w:hAnsi="Arial" w:cs="Arial"/>
          <w:color w:val="000000" w:themeColor="text1"/>
          <w:sz w:val="20"/>
          <w:szCs w:val="20"/>
        </w:rPr>
        <w:t>declares</w:t>
      </w:r>
      <w:r w:rsidRPr="000439BF">
        <w:rPr>
          <w:rFonts w:ascii="Arial" w:hAnsi="Arial" w:cs="Arial"/>
          <w:color w:val="000000" w:themeColor="text1"/>
          <w:sz w:val="20"/>
          <w:szCs w:val="20"/>
        </w:rPr>
        <w:t xml:space="preserve"> that NO generative AI technologies such as Large Language Models (ChatGPT, COPILOT, etc.) and text-to-image generators have been used during the writing or editing of this manuscript. </w:t>
      </w:r>
    </w:p>
    <w:p w14:paraId="08B4B52D" w14:textId="77777777" w:rsidR="00255ADF" w:rsidRPr="00BC64FA" w:rsidRDefault="00255ADF" w:rsidP="00164454">
      <w:pPr>
        <w:spacing w:before="120" w:after="120"/>
        <w:jc w:val="both"/>
        <w:rPr>
          <w:rFonts w:ascii="Arial" w:hAnsi="Arial" w:cs="Arial"/>
          <w:color w:val="000000" w:themeColor="text1"/>
          <w:sz w:val="20"/>
          <w:szCs w:val="20"/>
        </w:rPr>
      </w:pPr>
    </w:p>
    <w:p w14:paraId="42D1A8AC" w14:textId="73B77CD0" w:rsidR="00596A32" w:rsidRPr="002D1B52" w:rsidRDefault="00596A32" w:rsidP="00164454">
      <w:pPr>
        <w:pStyle w:val="Heading1"/>
        <w:spacing w:before="120" w:after="120"/>
        <w:jc w:val="both"/>
        <w:rPr>
          <w:rFonts w:ascii="Arial" w:hAnsi="Arial" w:cs="Arial"/>
          <w:bCs/>
          <w:sz w:val="22"/>
          <w:szCs w:val="22"/>
        </w:rPr>
      </w:pPr>
      <w:r w:rsidRPr="002D1B52">
        <w:rPr>
          <w:rFonts w:ascii="Arial" w:hAnsi="Arial" w:cs="Arial"/>
          <w:bCs/>
          <w:sz w:val="22"/>
          <w:szCs w:val="22"/>
        </w:rPr>
        <w:t>References</w:t>
      </w:r>
    </w:p>
    <w:p w14:paraId="1CC63811" w14:textId="26B3D93F" w:rsidR="00DD059E" w:rsidRPr="00A3235E" w:rsidRDefault="00D11E5B"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Abdulmohdi, N. (2024). The relationships between nurses’ resilience, burnout, perceived organisational support and social support during the second wave of the COVID</w:t>
      </w:r>
      <w:r w:rsidRPr="00A3235E">
        <w:rPr>
          <w:rFonts w:ascii="Cambria Math" w:hAnsi="Cambria Math" w:cs="Cambria Math"/>
          <w:noProof/>
          <w:kern w:val="0"/>
          <w:sz w:val="20"/>
          <w:szCs w:val="20"/>
        </w:rPr>
        <w:t>‐</w:t>
      </w:r>
      <w:r w:rsidRPr="00A3235E">
        <w:rPr>
          <w:rFonts w:ascii="Arial" w:hAnsi="Arial" w:cs="Arial"/>
          <w:noProof/>
          <w:kern w:val="0"/>
          <w:sz w:val="20"/>
          <w:szCs w:val="20"/>
        </w:rPr>
        <w:t>19 pandemic: A quantitative cross</w:t>
      </w:r>
      <w:r w:rsidRPr="00A3235E">
        <w:rPr>
          <w:rFonts w:ascii="Cambria Math" w:hAnsi="Cambria Math" w:cs="Cambria Math"/>
          <w:noProof/>
          <w:kern w:val="0"/>
          <w:sz w:val="20"/>
          <w:szCs w:val="20"/>
        </w:rPr>
        <w:t>‐</w:t>
      </w:r>
      <w:r w:rsidRPr="00A3235E">
        <w:rPr>
          <w:rFonts w:ascii="Arial" w:hAnsi="Arial" w:cs="Arial"/>
          <w:noProof/>
          <w:kern w:val="0"/>
          <w:sz w:val="20"/>
          <w:szCs w:val="20"/>
        </w:rPr>
        <w:t>sectional survey. Nursing Open. https://doi.org/10.1002/nop2.2036</w:t>
      </w:r>
    </w:p>
    <w:p w14:paraId="7B6199F9" w14:textId="4445DD8E" w:rsidR="00DD059E" w:rsidRPr="00A3235E" w:rsidRDefault="00B05F15"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Aboshaiqah, A., AlAbdalhai, S. A., Alkaledi, N. G., Alyasin, A., Alayed, A., Ashour, Y., &amp; Awaji, N. (2023). Cultural Competence in Nurses in Saudi Arabia: A Systematic Review. Middle East Journal of Nursing, 17(2). https://doi.org/10.5742/MEJN2023.9378040</w:t>
      </w:r>
    </w:p>
    <w:p w14:paraId="6A5CCF54" w14:textId="3BCA7B14" w:rsidR="00DD059E" w:rsidRPr="00A3235E" w:rsidRDefault="00BA068B"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Adan, C. (2025). Organisational support and strategies to address nurse burnout and enhance resilience. Nursing Management, 32(3), 31–36. https://doi.org/10.7748/nm.2024.e2142</w:t>
      </w:r>
    </w:p>
    <w:p w14:paraId="058ABCAF" w14:textId="4DEA5ABC" w:rsidR="00DD059E" w:rsidRPr="00A3235E" w:rsidRDefault="00254AC0"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Adeoye</w:t>
      </w:r>
      <w:r w:rsidRPr="00A3235E">
        <w:rPr>
          <w:rFonts w:ascii="Cambria Math" w:hAnsi="Cambria Math" w:cs="Cambria Math"/>
          <w:noProof/>
          <w:kern w:val="0"/>
          <w:sz w:val="20"/>
          <w:szCs w:val="20"/>
        </w:rPr>
        <w:t>‐</w:t>
      </w:r>
      <w:r w:rsidRPr="00A3235E">
        <w:rPr>
          <w:rFonts w:ascii="Arial" w:hAnsi="Arial" w:cs="Arial"/>
          <w:noProof/>
          <w:kern w:val="0"/>
          <w:sz w:val="20"/>
          <w:szCs w:val="20"/>
        </w:rPr>
        <w:t>Olatunde, O. A., &amp; Olenik, N. L. (2021). Research and scholarly methods: Semi</w:t>
      </w:r>
      <w:r w:rsidRPr="00A3235E">
        <w:rPr>
          <w:rFonts w:ascii="Cambria Math" w:hAnsi="Cambria Math" w:cs="Cambria Math"/>
          <w:noProof/>
          <w:kern w:val="0"/>
          <w:sz w:val="20"/>
          <w:szCs w:val="20"/>
        </w:rPr>
        <w:t>‐</w:t>
      </w:r>
      <w:r w:rsidRPr="00A3235E">
        <w:rPr>
          <w:rFonts w:ascii="Arial" w:hAnsi="Arial" w:cs="Arial"/>
          <w:noProof/>
          <w:kern w:val="0"/>
          <w:sz w:val="20"/>
          <w:szCs w:val="20"/>
        </w:rPr>
        <w:t>structured interviews. JACCP: JOURNAL OF THE AMERICAN COLLEGE OF CLINICAL PHARMACY, 4(10), 1358–1367. https://doi.org/10.1002/jac5.1441</w:t>
      </w:r>
    </w:p>
    <w:p w14:paraId="36754005" w14:textId="072E5269" w:rsidR="00DD059E" w:rsidRPr="00A3235E" w:rsidRDefault="00254AC0"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lastRenderedPageBreak/>
        <w:t>Al-Yateem, N., Hijazi, H., Saifan, A. R., Ahmad, A., Masa’Deh, R., Alrimawi, I., Rahman, S. A., Subu, M. A., &amp; Ahmed, F. R. (2023). Quality and safety issue: language barriers in healthcare, a qualitative study of non-Arab healthcare practitioners caring for Arabic patients in the UAE. BMJ Open, 13(12), e076326. https://doi.org/10.1136/bmjopen-2023-076326</w:t>
      </w:r>
    </w:p>
    <w:p w14:paraId="4B25CD5E" w14:textId="444448CF" w:rsidR="00DD059E" w:rsidRPr="00A3235E" w:rsidRDefault="005F4DAF"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Alanazi, A. K., &amp; Yates, C. (2022). Factors behind Expatriates Nurses Job Dissatisfaction in Hail’s Public Hospitals, Saudi Arabia. Saudi Journal of Nursing and Health Care, 5(4), 76–83. https://doi.org/10.36348/sjnhc.2022.v05i04.002</w:t>
      </w:r>
    </w:p>
    <w:p w14:paraId="044468EB" w14:textId="3169F979" w:rsidR="00DD059E" w:rsidRPr="00A3235E" w:rsidRDefault="006F42C2"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Alharazi, R. M., Abdulrahim, R. J., Mazuzah, A. H., Almutairi, R. M., Almutary, H., &amp; Alhofaian, A. (2025). Barriers and Factors Affecting Nursing Communication When Providing Patient Care in Jeddah. Clinics and Practice, 15(1), 19. https://doi.org/10.3390/clinpract15010019</w:t>
      </w:r>
    </w:p>
    <w:p w14:paraId="4F79A3B6" w14:textId="6EB90B3A" w:rsidR="00DD059E" w:rsidRPr="00A3235E" w:rsidRDefault="00345F52"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Aljawarneh, Y., Al-Bashaireh, A., Alotaibi, N. E., Kawafha, M., Alkouri, O., Almesmari, T., Alnuaimi, B., Alabdouli, S., &amp; Alsereidi, M. (2025). Associations Between Intention to Leave, Job Satisfaction, and Work Environment Among Registered Nurses: A Cross-Sectional Study in the United Arab Emirates. SAGE Open Nursing, 11. https://doi.org/10.1177/23779608251362315</w:t>
      </w:r>
    </w:p>
    <w:p w14:paraId="088A5AA2" w14:textId="458EC1A3" w:rsidR="00DD059E" w:rsidRPr="00A3235E" w:rsidRDefault="009B75A9"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Atta, M. H. R., Baraka, A. A. E., &amp; Hassan, E. A. (2025). Challenges and Opportunities Faced by Migrant Nurses in the Receiving Country: A Mixed</w:t>
      </w:r>
      <w:r w:rsidRPr="00A3235E">
        <w:rPr>
          <w:rFonts w:ascii="Cambria Math" w:hAnsi="Cambria Math" w:cs="Cambria Math"/>
          <w:noProof/>
          <w:kern w:val="0"/>
          <w:sz w:val="20"/>
          <w:szCs w:val="20"/>
        </w:rPr>
        <w:t>‐</w:t>
      </w:r>
      <w:r w:rsidRPr="00A3235E">
        <w:rPr>
          <w:rFonts w:ascii="Arial" w:hAnsi="Arial" w:cs="Arial"/>
          <w:noProof/>
          <w:kern w:val="0"/>
          <w:sz w:val="20"/>
          <w:szCs w:val="20"/>
        </w:rPr>
        <w:t>Methods Study on Cultural Adaptation and Professional Integration. Journal of Advanced Nursing, 81(12), 8897–8913. https://doi.org/10.1111/jan.16838</w:t>
      </w:r>
    </w:p>
    <w:p w14:paraId="3EC3A057" w14:textId="7C9D6918" w:rsidR="00DD059E" w:rsidRPr="00A3235E" w:rsidRDefault="008D3CB6"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Cohen, C., Pignata, S., Bezak, E., Tie, M., &amp; Childs, J. (2023). Workplace interventions to improve well-being and reduce burnout for nurses, physicians and allied healthcare professionals: a systematic review. BMJ Open. https://doi.org/10.1136/bmjopen-2022-071203</w:t>
      </w:r>
    </w:p>
    <w:p w14:paraId="71EAF8E0" w14:textId="4F8060E0" w:rsidR="00DD059E" w:rsidRPr="00A3235E" w:rsidRDefault="00622F14"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Collins, G. D., &amp; Hager, J. M. (2025). How to promote cultural competence in nursing practice. Nursing Management. https://doi.org/10.7748/nm.2025.e2164</w:t>
      </w:r>
    </w:p>
    <w:p w14:paraId="5E5AB052" w14:textId="27D77AB3" w:rsidR="00DD059E" w:rsidRPr="00A3235E" w:rsidRDefault="00701C39"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Cooper, A. L., Brown, J. A., &amp; Leslie, G. D. (2021). Nurse resilience for clinical practice: An integrative review. Journal of Advanced Nursing, 77(6), 2623–2640. https://doi.org/10.1111/jan.14763</w:t>
      </w:r>
    </w:p>
    <w:p w14:paraId="582B18DF" w14:textId="023CC842" w:rsidR="00DD059E" w:rsidRPr="00A3235E" w:rsidRDefault="00363C50"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Dahamsheh, K. (2024). Medical Ethical Issues, an Islamic Perspective. Clinical Journal of Nursing Care and Practice. https://doi.org/10.29328/journal.cjncp.1001050</w:t>
      </w:r>
    </w:p>
    <w:p w14:paraId="0866101C" w14:textId="5F117058" w:rsidR="00DD059E" w:rsidRPr="00A3235E" w:rsidRDefault="0036088E"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Dahl, K., Nortvedt, L., Schrøder, J., &amp; Bjørnnes, A. K. (2022). Internationally educated nurses and resilience: A systematic literature review. International Nursing Review, 69(3), 405–415. https://doi.org/10.1111/inr.12787</w:t>
      </w:r>
    </w:p>
    <w:p w14:paraId="4E84C7A1" w14:textId="4FBAFF04" w:rsidR="00DD059E" w:rsidRPr="00A3235E" w:rsidRDefault="00CE13BB"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Isworo, A. (2022). Islamic Perspective on Nursing and the Philosophy of Science. https://doi.org/10.1101/2022.04.28.22274408</w:t>
      </w:r>
    </w:p>
    <w:p w14:paraId="56EB53F0" w14:textId="1F22F09C" w:rsidR="00DD059E" w:rsidRPr="00A3235E" w:rsidRDefault="00096AE5"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 xml:space="preserve">Itaiwah, D. M. Z., Johnson, J., Abdulla, E., Forgrave, D., &amp; Mohammed, S. (2023). Assessing the Effectiveness of Culturally Specific Diabetic Management Programs within Primary Health Care Settings: A Review of the Literature. Middle East Journal of Nursing. </w:t>
      </w:r>
      <w:r w:rsidRPr="00A3235E">
        <w:rPr>
          <w:rFonts w:ascii="Arial" w:hAnsi="Arial" w:cs="Arial"/>
          <w:noProof/>
          <w:kern w:val="0"/>
          <w:sz w:val="20"/>
          <w:szCs w:val="20"/>
        </w:rPr>
        <w:lastRenderedPageBreak/>
        <w:t>https://doi.org/10.5742/MEJN2023.9378030</w:t>
      </w:r>
    </w:p>
    <w:p w14:paraId="1CFFFFF9" w14:textId="0DA45D74" w:rsidR="00DD059E" w:rsidRPr="00A3235E" w:rsidRDefault="00C85776"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Kostere, S., &amp; Kostere, K. (2021). The generic qualitative approach to a dissertation in the social sciences. Routledge. https://doi.org/10.4324/9781003195689</w:t>
      </w:r>
    </w:p>
    <w:p w14:paraId="240BA882" w14:textId="692B8DE5" w:rsidR="00DD059E" w:rsidRPr="00A3235E" w:rsidRDefault="006B3E5B"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Kuzemski, D., Thirlwall, A., Brunton, M., &amp; Brownie, S. (2022). I speak a little Arabic: Nursing communication in a cross</w:t>
      </w:r>
      <w:r w:rsidRPr="00A3235E">
        <w:rPr>
          <w:rFonts w:ascii="Cambria Math" w:hAnsi="Cambria Math" w:cs="Cambria Math"/>
          <w:noProof/>
          <w:kern w:val="0"/>
          <w:sz w:val="20"/>
          <w:szCs w:val="20"/>
        </w:rPr>
        <w:t>‐</w:t>
      </w:r>
      <w:r w:rsidRPr="00A3235E">
        <w:rPr>
          <w:rFonts w:ascii="Arial" w:hAnsi="Arial" w:cs="Arial"/>
          <w:noProof/>
          <w:kern w:val="0"/>
          <w:sz w:val="20"/>
          <w:szCs w:val="20"/>
        </w:rPr>
        <w:t>cultural context. Journal of Clinical Nursing, 31(1–2), 145–157. https://doi.org/10.1111/jocn.15891</w:t>
      </w:r>
    </w:p>
    <w:p w14:paraId="6E4C4DC7" w14:textId="5A14EE0B" w:rsidR="00DD059E" w:rsidRPr="00A3235E" w:rsidRDefault="00F82B8F"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Kyranou, M., &amp; Karanikola, M. (2025). The Long-Term Impact of Resilience-Building Interventions on Nurses: A Narrative Review of the Quantitative Evidence and Its Implications for Critical Care Nurses. Healthcare, 13(3), 274. https://doi.org/10.3390/healthcare13030274</w:t>
      </w:r>
    </w:p>
    <w:p w14:paraId="0050C13C" w14:textId="2B13AE5C" w:rsidR="00DD059E" w:rsidRPr="00A3235E" w:rsidRDefault="00AB150F"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Liu, M., Yan, Z., &amp; Wu, C. (2025). Comparative efficacy and acceptability of resilience-focused interventions for nurses: a systematic review and network meta-analysis of randomized controlled trials. BMC Nursing, 24(1), 418. https://doi.org/10.1186/s12912-025-03090-0</w:t>
      </w:r>
    </w:p>
    <w:p w14:paraId="3511CAAD" w14:textId="66956D27" w:rsidR="00DD059E" w:rsidRPr="00A3235E" w:rsidRDefault="00682C28"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Morse, J. M., Kent-Marvick, J., Barry, L. A., Harvey, J. L., Okang, E. N., Rudd, E. A., Wang, C.-Y., &amp; Williams, M. R. (2021). Developing the Resilience Framework for Nursing and Healthcare. Global Qualitative Nursing Research, 8. https://doi.org/10.1177/23333936211005475</w:t>
      </w:r>
    </w:p>
    <w:p w14:paraId="06992B51" w14:textId="1190B336" w:rsidR="00DD059E" w:rsidRPr="00A3235E" w:rsidRDefault="00CD08A7"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Polk, L. V. (1997). Toward a middle-range theory of resilience. Advances in Nursing Science, 19(3), 1–13. https://doi.org/10.1097/00012272-199703000-00002</w:t>
      </w:r>
    </w:p>
    <w:p w14:paraId="3D1F6378" w14:textId="7C3A7AE6" w:rsidR="00DD059E" w:rsidRPr="00A3235E" w:rsidRDefault="00BD64FA"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Pu, J., Wang, W., Li, G., Xie, Z., Fan, X., Zhan, N., Xu, Y., &amp; Huang, H. (2024). Psychological resilience and intention to stay among nurses: the mediating role of perceived organizational support. Frontiers in Psychology, 15. https://doi.org/10.3389/fpsyg.2024.1407206</w:t>
      </w:r>
    </w:p>
    <w:p w14:paraId="7837D067" w14:textId="1EDE7C8D" w:rsidR="00DD059E" w:rsidRPr="00A3235E" w:rsidRDefault="00024CEC"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Setiaman, S., Peristiowati, Y., Ambarika, R., &amp; Puspitasari, Y. (2022). Work Motivation and Performance among Indonesia Nurses during Pandemic COVID-19 at Qatar. Saudi Journal of Nursing and Health Care, 5(7), 130–140. https://doi.org/10.36348/sjnhc.2022.v05i07.001</w:t>
      </w:r>
    </w:p>
    <w:p w14:paraId="1042E925" w14:textId="27B749A8" w:rsidR="00DD059E" w:rsidRPr="00A3235E" w:rsidRDefault="00ED592F"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lang w:val="it-IT"/>
        </w:rPr>
        <w:t xml:space="preserve">Szanton, S. L., &amp; Gill, J. M. (2010). </w:t>
      </w:r>
      <w:r w:rsidRPr="0033477F">
        <w:rPr>
          <w:rFonts w:ascii="Arial" w:hAnsi="Arial" w:cs="Arial"/>
          <w:noProof/>
          <w:kern w:val="0"/>
          <w:sz w:val="20"/>
          <w:szCs w:val="20"/>
        </w:rPr>
        <w:t>Facilitating resilience using a society-to-cells framework: A theory of nursing essentials applied to research and practice. Advances in Nursing Science, 33(4), 329–343. https://doi.org/10.1097/ANS.0b013e3181fb2ea2</w:t>
      </w:r>
    </w:p>
    <w:p w14:paraId="71F6EF4E" w14:textId="00EC9011" w:rsidR="00DD059E" w:rsidRPr="00A3235E" w:rsidRDefault="00394B06"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Ung, D. S. K., Goh, Y. S., Poon, R. Y. S., Lin, Y. P., Seah, B., Lopez, V., Mikkonen, K., Yong, K. K., &amp; Liaw, S. Y. (2024). Global migration and factors influencing retention of Asian internationally educated nurses: a systematic review. Human Resources for Health, 22(1), 17. https://doi.org/10.1186/s12960-024-00900-5</w:t>
      </w:r>
    </w:p>
    <w:p w14:paraId="29476C63" w14:textId="057703B1" w:rsidR="00DD059E" w:rsidRPr="00A3235E" w:rsidRDefault="00925BBC"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Velana, M., &amp; Rinkenauer, G. (2021). Individual-Level Interventions for Decreasing Job-Related Stress and Enhancing Coping Strategies Among Nurses: A Systematic Review. Frontiers in Psychology https://doi.org/10.3389/fpsyg.2021.708696</w:t>
      </w:r>
    </w:p>
    <w:p w14:paraId="3415DEEB" w14:textId="54D6C22D" w:rsidR="00DD059E" w:rsidRPr="00A3235E" w:rsidRDefault="00096AAB"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lastRenderedPageBreak/>
        <w:t>Villamin, P., Lopez, V., Thapa, D. K., &amp; Cleary, M. (2025). Retaining a Multicultural Nursing Workforce: A Self-Determination Theory Perspective. Journal of Transcultural Nursing, 36(4), 352–362. https://doi.org/10.1177/10436596251318027</w:t>
      </w:r>
    </w:p>
    <w:p w14:paraId="4615A5C0" w14:textId="70727E61" w:rsidR="00DD059E" w:rsidRPr="00A3235E" w:rsidRDefault="00D55DF1"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Wille, E., Opheim, H. M. S., Princeton, D. M., Kisa, S., &amp; Hjerpaasen, K. J. (2025). Building Resilience and Competence in Bachelor Nursing Students: A Narrative Review Based on Social Cognitive Theory. Nursing Reports, 15(7), 253. https://doi.org/10.3390/nursrep15070253</w:t>
      </w:r>
    </w:p>
    <w:p w14:paraId="4784A26C" w14:textId="7DDAE91A" w:rsidR="00DD059E" w:rsidRPr="00A3235E" w:rsidRDefault="00E962B3" w:rsidP="00A3235E">
      <w:pPr>
        <w:widowControl w:val="0"/>
        <w:autoSpaceDE w:val="0"/>
        <w:autoSpaceDN w:val="0"/>
        <w:adjustRightInd w:val="0"/>
        <w:spacing w:before="120" w:after="120"/>
        <w:ind w:left="540" w:hanging="540"/>
        <w:jc w:val="both"/>
        <w:rPr>
          <w:rFonts w:ascii="Arial" w:hAnsi="Arial" w:cs="Arial"/>
          <w:noProof/>
          <w:sz w:val="20"/>
          <w:szCs w:val="20"/>
          <w:highlight w:val="yellow"/>
        </w:rPr>
      </w:pPr>
      <w:r w:rsidRPr="00A3235E">
        <w:rPr>
          <w:rFonts w:ascii="Arial" w:hAnsi="Arial" w:cs="Arial"/>
          <w:noProof/>
          <w:kern w:val="0"/>
          <w:sz w:val="20"/>
          <w:szCs w:val="20"/>
        </w:rPr>
        <w:t>Wong, V., Hassan, N., Wong, Y. P., Chua, S. Y. N., Abdul Rahman, S., Mohamad, M. L., &amp; Lim, S. (2025). Nurses’ adherence to ethical principles – A qualitative study. Nursing Ethics, 32(4), 1162–1176. https://doi.org/10.1177/09697330241291159</w:t>
      </w:r>
    </w:p>
    <w:p w14:paraId="5B79AB4D" w14:textId="1204AF33" w:rsidR="00596A32" w:rsidRPr="00BC64FA" w:rsidRDefault="00596A32" w:rsidP="00663668">
      <w:pPr>
        <w:spacing w:before="120" w:after="120"/>
        <w:contextualSpacing/>
        <w:jc w:val="both"/>
        <w:rPr>
          <w:rFonts w:ascii="Arial" w:hAnsi="Arial" w:cs="Arial"/>
          <w:sz w:val="20"/>
          <w:szCs w:val="20"/>
        </w:rPr>
      </w:pPr>
    </w:p>
    <w:p w14:paraId="15FE410D" w14:textId="77777777" w:rsidR="00D80F03" w:rsidRPr="00BC64FA" w:rsidRDefault="00D80F03" w:rsidP="00164454">
      <w:pPr>
        <w:spacing w:before="120" w:after="120"/>
        <w:jc w:val="both"/>
        <w:rPr>
          <w:rFonts w:ascii="Arial" w:hAnsi="Arial" w:cs="Arial"/>
          <w:color w:val="000000" w:themeColor="text1"/>
          <w:sz w:val="20"/>
          <w:szCs w:val="20"/>
        </w:rPr>
      </w:pPr>
    </w:p>
    <w:sectPr w:rsidR="00D80F03" w:rsidRPr="00BC64FA">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E5C83" w14:textId="77777777" w:rsidR="00C302E3" w:rsidRDefault="00C302E3" w:rsidP="001C5404">
      <w:pPr>
        <w:spacing w:line="240" w:lineRule="auto"/>
      </w:pPr>
      <w:r>
        <w:separator/>
      </w:r>
    </w:p>
  </w:endnote>
  <w:endnote w:type="continuationSeparator" w:id="0">
    <w:p w14:paraId="2F104F82" w14:textId="77777777" w:rsidR="00C302E3" w:rsidRDefault="00C302E3" w:rsidP="001C54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E487D" w14:textId="77777777" w:rsidR="00C302E3" w:rsidRDefault="00C302E3" w:rsidP="001C5404">
      <w:pPr>
        <w:spacing w:line="240" w:lineRule="auto"/>
      </w:pPr>
      <w:r>
        <w:separator/>
      </w:r>
    </w:p>
  </w:footnote>
  <w:footnote w:type="continuationSeparator" w:id="0">
    <w:p w14:paraId="3C5BC781" w14:textId="77777777" w:rsidR="00C302E3" w:rsidRDefault="00C302E3" w:rsidP="001C54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0B546" w14:textId="2D084C1F" w:rsidR="001C5404" w:rsidRDefault="00C302E3">
    <w:pPr>
      <w:pStyle w:val="Header"/>
    </w:pPr>
    <w:r>
      <w:rPr>
        <w:noProof/>
      </w:rPr>
      <w:pict w14:anchorId="2871B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636719" o:spid="_x0000_s2050" type="#_x0000_t136" style="position:absolute;margin-left:0;margin-top:0;width:585.35pt;height:74.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r w:rsidR="001C5404">
      <w:rPr>
        <w:noProof/>
      </w:rPr>
      <mc:AlternateContent>
        <mc:Choice Requires="wps">
          <w:drawing>
            <wp:anchor distT="0" distB="0" distL="0" distR="0" simplePos="0" relativeHeight="251659264" behindDoc="0" locked="0" layoutInCell="1" allowOverlap="1" wp14:anchorId="78EA0E75" wp14:editId="2907CE01">
              <wp:simplePos x="635" y="635"/>
              <wp:positionH relativeFrom="page">
                <wp:align>left</wp:align>
              </wp:positionH>
              <wp:positionV relativeFrom="page">
                <wp:align>top</wp:align>
              </wp:positionV>
              <wp:extent cx="2423160" cy="422910"/>
              <wp:effectExtent l="0" t="0" r="15240" b="15240"/>
              <wp:wrapNone/>
              <wp:docPr id="395851132" name="Text Box 2" descr="CLASSIFICATION: C0 - NON-CONFIDENT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23160" cy="422910"/>
                      </a:xfrm>
                      <a:prstGeom prst="rect">
                        <a:avLst/>
                      </a:prstGeom>
                      <a:noFill/>
                      <a:ln>
                        <a:noFill/>
                      </a:ln>
                    </wps:spPr>
                    <wps:txbx>
                      <w:txbxContent>
                        <w:p w14:paraId="715BE4C0" w14:textId="6D638BB7" w:rsidR="001C5404" w:rsidRPr="001C5404" w:rsidRDefault="001C5404" w:rsidP="001C5404">
                          <w:pPr>
                            <w:rPr>
                              <w:rFonts w:ascii="Calibri" w:eastAsia="Calibri" w:hAnsi="Calibri" w:cs="Calibri"/>
                              <w:noProof/>
                              <w:color w:val="000000"/>
                              <w:sz w:val="20"/>
                              <w:szCs w:val="20"/>
                            </w:rPr>
                          </w:pPr>
                          <w:r w:rsidRPr="001C5404">
                            <w:rPr>
                              <w:rFonts w:ascii="Calibri" w:eastAsia="Calibri" w:hAnsi="Calibri" w:cs="Calibri"/>
                              <w:noProof/>
                              <w:color w:val="000000"/>
                              <w:sz w:val="20"/>
                              <w:szCs w:val="20"/>
                            </w:rPr>
                            <w:t>CLASSIFICATION: C0 - NON-CONFIDENTIAL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EA0E75" id="_x0000_t202" coordsize="21600,21600" o:spt="202" path="m,l,21600r21600,l21600,xe">
              <v:stroke joinstyle="miter"/>
              <v:path gradientshapeok="t" o:connecttype="rect"/>
            </v:shapetype>
            <v:shape id="Text Box 2" o:spid="_x0000_s1026" type="#_x0000_t202" alt="CLASSIFICATION: C0 - NON-CONFIDENTIAL" style="position:absolute;margin-left:0;margin-top:0;width:190.8pt;height:33.3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5NLigIAAMsEAAAOAAAAZHJzL2Uyb0RvYy54bWysVE1v2zAMvQ/YfxB0d/1Rp02MOIXr1EOA&#10;wCmQDD0rstwYsCVBUmNnw/57KTnJtm6nYReZIiny8ZH0/GHoWnRkSjeCpzi8CTBinIqq4a8p/ror&#10;vClG2hBekVZwluIT0/hh8fnTvJcJi8RBtBVTCIJwnfQyxQdjZOL7mh5YR/SNkIyDsRaqIwau6tWv&#10;FOkhetf6URDc+b1QlVSCMq1BuxyNeOHi1zWjZlPXmhnUphiwGXcqd+7t6S/mJHlVRB4aeoZB/gFF&#10;RxoOSa+hlsQQ9KaaP0J1DVVCi9rcUNH5oq4bylwNUE0YfKhmeyCSuVqAHC2vNOn/F5aWx2eFmirF&#10;t7PJdBKGtxFGnHTQqh0bDHoUAwJNxTQF1vJ1tt2uilWe7VabMkF5gDxUbkov35TFavlU7lbZ2vEA&#10;b9faWEZsFMfE90n2FIdFFnl5UBReHN8H3uxxGXuTIlvm2fQ+f3yKftiO+O6Ve+/3UicOpG2pE7cS&#10;EJsBkMHAWXer16C02YZadfYLzCKwQ8tP1zZbJBSUURzdhndgomCLo2gWujmArJfXUmnzhYkOWSHF&#10;CsbIVUWOAGoEeHGxybgomrZ1o9Ty3xQQ02pcFSNEC9YM++GMey+qE5SjxDiZWtKigZxros0zUTCK&#10;ABPWy2zgqFvRp1icJYwOQn37m976w4SAFaMeRjvFHHYPo3bFYXKiSRwEdhXcLZwFE3tT7gbC/iLw&#10;ty4XsDUhLLCkTrR+pr2ItRLdC2xfZrOBiXAKOVNsLmJuxkWD7aUsy5wTTL0kZs23ktrQlizL5G54&#10;IUqe6TbQqFJchp8kH1gffe1LLbM3A9y7llhiRzbPfMPGuFE6b7ddyV/vzuvnP2jxDgAA//8DAFBL&#10;AwQUAAYACAAAACEAeNuQ5twAAAAEAQAADwAAAGRycy9kb3ducmV2LnhtbEyPT0vDQBDF70K/wzJC&#10;b3ZTq0tJsylFEBQsYi32us1O/mB2NmQnTfz2rl70MvB4j/d+k20n14oL9qHxpGG5SEAgFd42VGk4&#10;vj/erEEENmRN6wk1fGGAbT67ykxq/UhveDlwJWIJhdRoqJm7VMpQ1OhMWPgOKXql753hKPtK2t6M&#10;sdy18jZJlHSmobhQmw4faiw+D4PT8HQXTjyU5X3Yv+zH5Hl0x+H1Q+v59bTbgGCc+C8MP/gRHfLI&#10;dPYD2SBaDfER/r3RW62XCsRZg1IKZJ7J//D5NwAAAP//AwBQSwECLQAUAAYACAAAACEAtoM4kv4A&#10;AADhAQAAEwAAAAAAAAAAAAAAAAAAAAAAW0NvbnRlbnRfVHlwZXNdLnhtbFBLAQItABQABgAIAAAA&#10;IQA4/SH/1gAAAJQBAAALAAAAAAAAAAAAAAAAAC8BAABfcmVscy8ucmVsc1BLAQItABQABgAIAAAA&#10;IQBmQ5NLigIAAMsEAAAOAAAAAAAAAAAAAAAAAC4CAABkcnMvZTJvRG9jLnhtbFBLAQItABQABgAI&#10;AAAAIQB425Dm3AAAAAQBAAAPAAAAAAAAAAAAAAAAAOQEAABkcnMvZG93bnJldi54bWxQSwUGAAAA&#10;AAQABADzAAAA7QUAAAAA&#10;" filled="f" stroked="f">
              <v:textbox style="mso-fit-shape-to-text:t" inset="20pt,15pt,0,0">
                <w:txbxContent>
                  <w:p w14:paraId="715BE4C0" w14:textId="6D638BB7" w:rsidR="001C5404" w:rsidRPr="001C5404" w:rsidRDefault="001C5404" w:rsidP="001C5404">
                    <w:pPr>
                      <w:rPr>
                        <w:rFonts w:ascii="Calibri" w:eastAsia="Calibri" w:hAnsi="Calibri" w:cs="Calibri"/>
                        <w:noProof/>
                        <w:color w:val="000000"/>
                        <w:sz w:val="20"/>
                        <w:szCs w:val="20"/>
                      </w:rPr>
                    </w:pPr>
                    <w:r w:rsidRPr="001C5404">
                      <w:rPr>
                        <w:rFonts w:ascii="Calibri" w:eastAsia="Calibri" w:hAnsi="Calibri" w:cs="Calibri"/>
                        <w:noProof/>
                        <w:color w:val="000000"/>
                        <w:sz w:val="20"/>
                        <w:szCs w:val="20"/>
                      </w:rPr>
                      <w:t>CLASSIFICATION: C0 - NON-CONFIDENTIAL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45B0A" w14:textId="0B34469E" w:rsidR="00465D64" w:rsidRPr="00F325DF" w:rsidRDefault="00C302E3">
    <w:pPr>
      <w:pStyle w:val="Header"/>
      <w:rPr>
        <w:color w:val="0E2841" w:themeColor="text2"/>
      </w:rPr>
    </w:pPr>
    <w:r>
      <w:rPr>
        <w:noProof/>
        <w:color w:val="0E2841" w:themeColor="text2"/>
      </w:rPr>
      <w:pict w14:anchorId="35800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636720" o:spid="_x0000_s2051" type="#_x0000_t136" style="position:absolute;margin-left:0;margin-top:0;width:585.35pt;height:74.45pt;rotation:315;z-index:-251651072;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CC90B" w14:textId="063B2C11" w:rsidR="001C5404" w:rsidRDefault="00C302E3">
    <w:pPr>
      <w:pStyle w:val="Header"/>
    </w:pPr>
    <w:r>
      <w:rPr>
        <w:noProof/>
      </w:rPr>
      <w:pict w14:anchorId="79B74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636718" o:spid="_x0000_s2049" type="#_x0000_t136" style="position:absolute;margin-left:0;margin-top:0;width:585.35pt;height:74.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r w:rsidR="001C5404">
      <w:rPr>
        <w:noProof/>
      </w:rPr>
      <mc:AlternateContent>
        <mc:Choice Requires="wps">
          <w:drawing>
            <wp:anchor distT="0" distB="0" distL="0" distR="0" simplePos="0" relativeHeight="251658240" behindDoc="0" locked="0" layoutInCell="1" allowOverlap="1" wp14:anchorId="22F6DA8D" wp14:editId="05DE8A3F">
              <wp:simplePos x="635" y="635"/>
              <wp:positionH relativeFrom="page">
                <wp:align>left</wp:align>
              </wp:positionH>
              <wp:positionV relativeFrom="page">
                <wp:align>top</wp:align>
              </wp:positionV>
              <wp:extent cx="2423160" cy="422910"/>
              <wp:effectExtent l="0" t="0" r="15240" b="15240"/>
              <wp:wrapNone/>
              <wp:docPr id="131287193" name="Text Box 1" descr="CLASSIFICATION: C0 - NON-CONFIDENT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23160" cy="422910"/>
                      </a:xfrm>
                      <a:prstGeom prst="rect">
                        <a:avLst/>
                      </a:prstGeom>
                      <a:noFill/>
                      <a:ln>
                        <a:noFill/>
                      </a:ln>
                    </wps:spPr>
                    <wps:txbx>
                      <w:txbxContent>
                        <w:p w14:paraId="0C1BF537" w14:textId="279B0411" w:rsidR="001C5404" w:rsidRPr="001C5404" w:rsidRDefault="001C5404" w:rsidP="001C5404">
                          <w:pPr>
                            <w:rPr>
                              <w:rFonts w:ascii="Calibri" w:eastAsia="Calibri" w:hAnsi="Calibri" w:cs="Calibri"/>
                              <w:noProof/>
                              <w:color w:val="000000"/>
                              <w:sz w:val="20"/>
                              <w:szCs w:val="20"/>
                            </w:rPr>
                          </w:pPr>
                          <w:r w:rsidRPr="001C5404">
                            <w:rPr>
                              <w:rFonts w:ascii="Calibri" w:eastAsia="Calibri" w:hAnsi="Calibri" w:cs="Calibri"/>
                              <w:noProof/>
                              <w:color w:val="000000"/>
                              <w:sz w:val="20"/>
                              <w:szCs w:val="20"/>
                            </w:rPr>
                            <w:t>CLASSIFICATION: C0 - NON-CONFIDENTIAL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2F6DA8D" id="_x0000_t202" coordsize="21600,21600" o:spt="202" path="m,l,21600r21600,l21600,xe">
              <v:stroke joinstyle="miter"/>
              <v:path gradientshapeok="t" o:connecttype="rect"/>
            </v:shapetype>
            <v:shape id="Text Box 1" o:spid="_x0000_s1027" type="#_x0000_t202" alt="CLASSIFICATION: C0 - NON-CONFIDENTIAL" style="position:absolute;margin-left:0;margin-top:0;width:190.8pt;height:33.3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FPvjAIAANIEAAAOAAAAZHJzL2Uyb0RvYy54bWysVE1v2zAMvQ/YfxB0d/0Rp02MOoXr1EOA&#10;wCmQDD0rspwYsCVBUmt3w/57KTnutm6nYReZIiny8ZH07d3QteiFKd0InuLwKsCIcSqqhp9S/PVQ&#10;eAuMtCG8Iq3gLMWvTOO71edPt71MWCTOoq2YQhCE66SXKT4bIxPf1/TMOqKvhGQcjLVQHTFwVSe/&#10;UqSH6F3rR0Fw7fdCVVIJyrQG7Xo04pWLX9eMml1da2ZQm2LAZtyp3Hm0p7+6JclJEXlu6AUG+QcU&#10;HWk4JH0PtSaGoGfV/BGqa6gSWtTmiorOF3XdUOZqgGrC4EM1+zORzNUC5Gj5TpP+f2Fp+fKoUFNB&#10;72ZhtLgJlzOMOOmgVQc2GHQvBhRiVDFNgbV8m+33m2KTZ4fNrkxQHiAPlbvSy3dlsVk/lIdNtnU8&#10;wNutNpYRG8Ux8X2ePcRhkUVeHhSFF8c3gbe8X8fevMjWeba4ye8foh+2I7575d77vdSJA2lb6sS9&#10;BMRmAGQA2rpbvQalzTbUqrNfYBaBHVr++t5mi4SCMoqjWXgNJgq2OIqWoZsDyDq9lkqbL0x0yAop&#10;VjBGriryAqBGgJOLTcZF0bStG6WW/6aAmFbjqhghWrBmOA4j5xP8o6heoSolxgHVkhYNpN4SbR6J&#10;gokEtLBlZgdH3Yo+xeIiYXQW6tvf9NYfBgWsGPUw4SnmsIIYtRsOAxTN4yCwG+Fu4TKY25tyNxCO&#10;k8Cfu1zA8sAQAConWj/TTmKtRPcES5jZbGAinELOFJtJzM24b7DElGWZc4Lhl8Rs+V5SG9pyZgk9&#10;DE9EyQvrBvpVimkHSPKB/NHXvtQyezbQAtcZy+/I5oV2WBw3UZclt5v56915/fwVrd4AAAD//wMA&#10;UEsDBBQABgAIAAAAIQB425Dm3AAAAAQBAAAPAAAAZHJzL2Rvd25yZXYueG1sTI9PS8NAEMXvQr/D&#10;MkJvdlOrS0mzKUUQFCxiLfa6zU7+YHY2ZCdN/PauXvQy8HiP936TbSfXigv2ofGkYblIQCAV3jZU&#10;aTi+P96sQQQ2ZE3rCTV8YYBtPrvKTGr9SG94OXAlYgmF1GiombtUylDU6ExY+A4peqXvneEo+0ra&#10;3oyx3LXyNkmUdKahuFCbDh9qLD4Pg9PwdBdOPJTlfdi/7MfkeXTH4fVD6/n1tNuAYJz4Lww/+BEd&#10;8sh09gPZIFoN8RH+vdFbrZcKxFmDUgpknsn/8Pk3AAAA//8DAFBLAQItABQABgAIAAAAIQC2gziS&#10;/gAAAOEBAAATAAAAAAAAAAAAAAAAAAAAAABbQ29udGVudF9UeXBlc10ueG1sUEsBAi0AFAAGAAgA&#10;AAAhADj9If/WAAAAlAEAAAsAAAAAAAAAAAAAAAAALwEAAF9yZWxzLy5yZWxzUEsBAi0AFAAGAAgA&#10;AAAhADHIU++MAgAA0gQAAA4AAAAAAAAAAAAAAAAALgIAAGRycy9lMm9Eb2MueG1sUEsBAi0AFAAG&#10;AAgAAAAhAHjbkObcAAAABAEAAA8AAAAAAAAAAAAAAAAA5gQAAGRycy9kb3ducmV2LnhtbFBLBQYA&#10;AAAABAAEAPMAAADvBQAAAAA=&#10;" filled="f" stroked="f">
              <v:textbox style="mso-fit-shape-to-text:t" inset="20pt,15pt,0,0">
                <w:txbxContent>
                  <w:p w14:paraId="0C1BF537" w14:textId="279B0411" w:rsidR="001C5404" w:rsidRPr="001C5404" w:rsidRDefault="001C5404" w:rsidP="001C5404">
                    <w:pPr>
                      <w:rPr>
                        <w:rFonts w:ascii="Calibri" w:eastAsia="Calibri" w:hAnsi="Calibri" w:cs="Calibri"/>
                        <w:noProof/>
                        <w:color w:val="000000"/>
                        <w:sz w:val="20"/>
                        <w:szCs w:val="20"/>
                      </w:rPr>
                    </w:pPr>
                    <w:r w:rsidRPr="001C5404">
                      <w:rPr>
                        <w:rFonts w:ascii="Calibri" w:eastAsia="Calibri" w:hAnsi="Calibri" w:cs="Calibri"/>
                        <w:noProof/>
                        <w:color w:val="000000"/>
                        <w:sz w:val="20"/>
                        <w:szCs w:val="20"/>
                      </w:rPr>
                      <w:t>CLASSIFICATION: C0 - NON-CONFIDENTIAL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507E"/>
    <w:multiLevelType w:val="hybridMultilevel"/>
    <w:tmpl w:val="5030C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34D38"/>
    <w:multiLevelType w:val="hybridMultilevel"/>
    <w:tmpl w:val="5FB62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B41B99"/>
    <w:multiLevelType w:val="multilevel"/>
    <w:tmpl w:val="E3DC238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18EB1D29"/>
    <w:multiLevelType w:val="hybridMultilevel"/>
    <w:tmpl w:val="C5C6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0115D"/>
    <w:multiLevelType w:val="multilevel"/>
    <w:tmpl w:val="A806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B10DD"/>
    <w:multiLevelType w:val="multilevel"/>
    <w:tmpl w:val="5A4C8D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31B35EB0"/>
    <w:multiLevelType w:val="multilevel"/>
    <w:tmpl w:val="8470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C3504C"/>
    <w:multiLevelType w:val="hybridMultilevel"/>
    <w:tmpl w:val="9F2834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7D7CB0"/>
    <w:multiLevelType w:val="multilevel"/>
    <w:tmpl w:val="A240000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3FFB32C0"/>
    <w:multiLevelType w:val="multilevel"/>
    <w:tmpl w:val="7E42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BA317D"/>
    <w:multiLevelType w:val="multilevel"/>
    <w:tmpl w:val="77DA66C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422C537D"/>
    <w:multiLevelType w:val="multilevel"/>
    <w:tmpl w:val="56F6A56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456E44B7"/>
    <w:multiLevelType w:val="multilevel"/>
    <w:tmpl w:val="A0BE1B4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4AE27340"/>
    <w:multiLevelType w:val="multilevel"/>
    <w:tmpl w:val="5A8E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77D78"/>
    <w:multiLevelType w:val="multilevel"/>
    <w:tmpl w:val="7686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AF7AB6"/>
    <w:multiLevelType w:val="multilevel"/>
    <w:tmpl w:val="BB6222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140BF7"/>
    <w:multiLevelType w:val="hybridMultilevel"/>
    <w:tmpl w:val="7BBAF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BF2EDC"/>
    <w:multiLevelType w:val="multilevel"/>
    <w:tmpl w:val="E66C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220386"/>
    <w:multiLevelType w:val="multilevel"/>
    <w:tmpl w:val="979E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D828B3"/>
    <w:multiLevelType w:val="multilevel"/>
    <w:tmpl w:val="389AB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F27F41"/>
    <w:multiLevelType w:val="hybridMultilevel"/>
    <w:tmpl w:val="70ACE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3DA62EC"/>
    <w:multiLevelType w:val="multilevel"/>
    <w:tmpl w:val="8DC068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6933247D"/>
    <w:multiLevelType w:val="hybridMultilevel"/>
    <w:tmpl w:val="F4841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3C1932"/>
    <w:multiLevelType w:val="hybridMultilevel"/>
    <w:tmpl w:val="97FC3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A248B7"/>
    <w:multiLevelType w:val="multilevel"/>
    <w:tmpl w:val="CC30E69E"/>
    <w:lvl w:ilvl="0">
      <w:start w:val="1"/>
      <w:numFmt w:val="decimal"/>
      <w:lvlText w:val="%1."/>
      <w:lvlJc w:val="left"/>
      <w:pPr>
        <w:tabs>
          <w:tab w:val="num" w:pos="360"/>
        </w:tabs>
        <w:ind w:left="360" w:hanging="360"/>
      </w:pPr>
    </w:lvl>
    <w:lvl w:ilvl="1">
      <w:start w:val="1"/>
      <w:numFmt w:val="upperLetter"/>
      <w:lvlText w:val="%2."/>
      <w:lvlJc w:val="left"/>
      <w:pPr>
        <w:ind w:left="1080" w:hanging="360"/>
      </w:pPr>
      <w:rPr>
        <w:rFonts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6D896E69"/>
    <w:multiLevelType w:val="multilevel"/>
    <w:tmpl w:val="2318B9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905136"/>
    <w:multiLevelType w:val="multilevel"/>
    <w:tmpl w:val="93FC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FC0A64"/>
    <w:multiLevelType w:val="multilevel"/>
    <w:tmpl w:val="8022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58466F"/>
    <w:multiLevelType w:val="multilevel"/>
    <w:tmpl w:val="AD50591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9" w15:restartNumberingAfterBreak="0">
    <w:nsid w:val="77A0123B"/>
    <w:multiLevelType w:val="hybridMultilevel"/>
    <w:tmpl w:val="0A1C10BA"/>
    <w:lvl w:ilvl="0" w:tplc="03204AD4">
      <w:start w:val="1"/>
      <w:numFmt w:val="bullet"/>
      <w:lvlText w:val=""/>
      <w:lvlJc w:val="left"/>
      <w:pPr>
        <w:ind w:left="1080" w:hanging="360"/>
      </w:pPr>
      <w:rPr>
        <w:rFonts w:ascii="Symbol" w:hAnsi="Symbol"/>
      </w:rPr>
    </w:lvl>
    <w:lvl w:ilvl="1" w:tplc="28906444">
      <w:start w:val="1"/>
      <w:numFmt w:val="bullet"/>
      <w:lvlText w:val=""/>
      <w:lvlJc w:val="left"/>
      <w:pPr>
        <w:ind w:left="1080" w:hanging="360"/>
      </w:pPr>
      <w:rPr>
        <w:rFonts w:ascii="Symbol" w:hAnsi="Symbol"/>
      </w:rPr>
    </w:lvl>
    <w:lvl w:ilvl="2" w:tplc="E67C9F9A">
      <w:start w:val="1"/>
      <w:numFmt w:val="bullet"/>
      <w:lvlText w:val=""/>
      <w:lvlJc w:val="left"/>
      <w:pPr>
        <w:ind w:left="1080" w:hanging="360"/>
      </w:pPr>
      <w:rPr>
        <w:rFonts w:ascii="Symbol" w:hAnsi="Symbol"/>
      </w:rPr>
    </w:lvl>
    <w:lvl w:ilvl="3" w:tplc="5DA4EFA0">
      <w:start w:val="1"/>
      <w:numFmt w:val="bullet"/>
      <w:lvlText w:val=""/>
      <w:lvlJc w:val="left"/>
      <w:pPr>
        <w:ind w:left="1080" w:hanging="360"/>
      </w:pPr>
      <w:rPr>
        <w:rFonts w:ascii="Symbol" w:hAnsi="Symbol"/>
      </w:rPr>
    </w:lvl>
    <w:lvl w:ilvl="4" w:tplc="954E7D3A">
      <w:start w:val="1"/>
      <w:numFmt w:val="bullet"/>
      <w:lvlText w:val=""/>
      <w:lvlJc w:val="left"/>
      <w:pPr>
        <w:ind w:left="1080" w:hanging="360"/>
      </w:pPr>
      <w:rPr>
        <w:rFonts w:ascii="Symbol" w:hAnsi="Symbol"/>
      </w:rPr>
    </w:lvl>
    <w:lvl w:ilvl="5" w:tplc="8DC43962">
      <w:start w:val="1"/>
      <w:numFmt w:val="bullet"/>
      <w:lvlText w:val=""/>
      <w:lvlJc w:val="left"/>
      <w:pPr>
        <w:ind w:left="1080" w:hanging="360"/>
      </w:pPr>
      <w:rPr>
        <w:rFonts w:ascii="Symbol" w:hAnsi="Symbol"/>
      </w:rPr>
    </w:lvl>
    <w:lvl w:ilvl="6" w:tplc="EDB49580">
      <w:start w:val="1"/>
      <w:numFmt w:val="bullet"/>
      <w:lvlText w:val=""/>
      <w:lvlJc w:val="left"/>
      <w:pPr>
        <w:ind w:left="1080" w:hanging="360"/>
      </w:pPr>
      <w:rPr>
        <w:rFonts w:ascii="Symbol" w:hAnsi="Symbol"/>
      </w:rPr>
    </w:lvl>
    <w:lvl w:ilvl="7" w:tplc="E7E286B6">
      <w:start w:val="1"/>
      <w:numFmt w:val="bullet"/>
      <w:lvlText w:val=""/>
      <w:lvlJc w:val="left"/>
      <w:pPr>
        <w:ind w:left="1080" w:hanging="360"/>
      </w:pPr>
      <w:rPr>
        <w:rFonts w:ascii="Symbol" w:hAnsi="Symbol"/>
      </w:rPr>
    </w:lvl>
    <w:lvl w:ilvl="8" w:tplc="53E86756">
      <w:start w:val="1"/>
      <w:numFmt w:val="bullet"/>
      <w:lvlText w:val=""/>
      <w:lvlJc w:val="left"/>
      <w:pPr>
        <w:ind w:left="1080" w:hanging="360"/>
      </w:pPr>
      <w:rPr>
        <w:rFonts w:ascii="Symbol" w:hAnsi="Symbol"/>
      </w:rPr>
    </w:lvl>
  </w:abstractNum>
  <w:num w:numId="1">
    <w:abstractNumId w:val="8"/>
  </w:num>
  <w:num w:numId="2">
    <w:abstractNumId w:val="5"/>
  </w:num>
  <w:num w:numId="3">
    <w:abstractNumId w:val="10"/>
  </w:num>
  <w:num w:numId="4">
    <w:abstractNumId w:val="11"/>
  </w:num>
  <w:num w:numId="5">
    <w:abstractNumId w:val="2"/>
  </w:num>
  <w:num w:numId="6">
    <w:abstractNumId w:val="28"/>
  </w:num>
  <w:num w:numId="7">
    <w:abstractNumId w:val="21"/>
  </w:num>
  <w:num w:numId="8">
    <w:abstractNumId w:val="12"/>
  </w:num>
  <w:num w:numId="9">
    <w:abstractNumId w:val="24"/>
  </w:num>
  <w:num w:numId="10">
    <w:abstractNumId w:val="18"/>
  </w:num>
  <w:num w:numId="11">
    <w:abstractNumId w:val="6"/>
  </w:num>
  <w:num w:numId="12">
    <w:abstractNumId w:val="27"/>
  </w:num>
  <w:num w:numId="13">
    <w:abstractNumId w:val="14"/>
  </w:num>
  <w:num w:numId="14">
    <w:abstractNumId w:val="16"/>
  </w:num>
  <w:num w:numId="15">
    <w:abstractNumId w:val="7"/>
  </w:num>
  <w:num w:numId="16">
    <w:abstractNumId w:val="17"/>
  </w:num>
  <w:num w:numId="17">
    <w:abstractNumId w:val="19"/>
  </w:num>
  <w:num w:numId="18">
    <w:abstractNumId w:val="13"/>
  </w:num>
  <w:num w:numId="19">
    <w:abstractNumId w:val="9"/>
  </w:num>
  <w:num w:numId="20">
    <w:abstractNumId w:val="4"/>
  </w:num>
  <w:num w:numId="21">
    <w:abstractNumId w:val="15"/>
  </w:num>
  <w:num w:numId="22">
    <w:abstractNumId w:val="26"/>
  </w:num>
  <w:num w:numId="23">
    <w:abstractNumId w:val="20"/>
  </w:num>
  <w:num w:numId="24">
    <w:abstractNumId w:val="1"/>
  </w:num>
  <w:num w:numId="25">
    <w:abstractNumId w:val="25"/>
  </w:num>
  <w:num w:numId="26">
    <w:abstractNumId w:val="29"/>
  </w:num>
  <w:num w:numId="27">
    <w:abstractNumId w:val="23"/>
  </w:num>
  <w:num w:numId="28">
    <w:abstractNumId w:val="22"/>
  </w:num>
  <w:num w:numId="29">
    <w:abstractNumId w:val="0"/>
  </w:num>
  <w:num w:numId="30">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8F"/>
    <w:rsid w:val="00001B4C"/>
    <w:rsid w:val="00002D9D"/>
    <w:rsid w:val="000205EE"/>
    <w:rsid w:val="00022886"/>
    <w:rsid w:val="00024CEC"/>
    <w:rsid w:val="00025652"/>
    <w:rsid w:val="000279F5"/>
    <w:rsid w:val="00032F42"/>
    <w:rsid w:val="00033FCD"/>
    <w:rsid w:val="000416AB"/>
    <w:rsid w:val="0004282D"/>
    <w:rsid w:val="000439BF"/>
    <w:rsid w:val="000441CF"/>
    <w:rsid w:val="00057994"/>
    <w:rsid w:val="0006460E"/>
    <w:rsid w:val="00093399"/>
    <w:rsid w:val="00096AAB"/>
    <w:rsid w:val="00096AE5"/>
    <w:rsid w:val="000A6C4A"/>
    <w:rsid w:val="000B1717"/>
    <w:rsid w:val="000B5A86"/>
    <w:rsid w:val="000B7953"/>
    <w:rsid w:val="000C3253"/>
    <w:rsid w:val="000D4432"/>
    <w:rsid w:val="000D7695"/>
    <w:rsid w:val="000F4856"/>
    <w:rsid w:val="000F55F6"/>
    <w:rsid w:val="001023EF"/>
    <w:rsid w:val="00114E9D"/>
    <w:rsid w:val="001256A7"/>
    <w:rsid w:val="00127E2C"/>
    <w:rsid w:val="00156506"/>
    <w:rsid w:val="00164454"/>
    <w:rsid w:val="0017075E"/>
    <w:rsid w:val="00174124"/>
    <w:rsid w:val="00183FFC"/>
    <w:rsid w:val="001A61AD"/>
    <w:rsid w:val="001B0A53"/>
    <w:rsid w:val="001C02CA"/>
    <w:rsid w:val="001C5404"/>
    <w:rsid w:val="001D5AC6"/>
    <w:rsid w:val="001E246F"/>
    <w:rsid w:val="00201D91"/>
    <w:rsid w:val="00206FE1"/>
    <w:rsid w:val="00236738"/>
    <w:rsid w:val="0023776E"/>
    <w:rsid w:val="0024540E"/>
    <w:rsid w:val="002467A9"/>
    <w:rsid w:val="0025181C"/>
    <w:rsid w:val="00254AC0"/>
    <w:rsid w:val="00255ADF"/>
    <w:rsid w:val="002721A6"/>
    <w:rsid w:val="002805DA"/>
    <w:rsid w:val="00286634"/>
    <w:rsid w:val="002A12D7"/>
    <w:rsid w:val="002A6913"/>
    <w:rsid w:val="002C10AE"/>
    <w:rsid w:val="002D1B52"/>
    <w:rsid w:val="002D3548"/>
    <w:rsid w:val="002E63FC"/>
    <w:rsid w:val="002E67DA"/>
    <w:rsid w:val="003017E6"/>
    <w:rsid w:val="003119F0"/>
    <w:rsid w:val="0031664E"/>
    <w:rsid w:val="00320D36"/>
    <w:rsid w:val="00331A1F"/>
    <w:rsid w:val="0033477F"/>
    <w:rsid w:val="00345F52"/>
    <w:rsid w:val="0036088E"/>
    <w:rsid w:val="00363C50"/>
    <w:rsid w:val="00371204"/>
    <w:rsid w:val="00393E78"/>
    <w:rsid w:val="00394048"/>
    <w:rsid w:val="00394A5A"/>
    <w:rsid w:val="00394B06"/>
    <w:rsid w:val="003B2BF3"/>
    <w:rsid w:val="003B5339"/>
    <w:rsid w:val="003C6A1E"/>
    <w:rsid w:val="003D01C3"/>
    <w:rsid w:val="003D13A9"/>
    <w:rsid w:val="003E341B"/>
    <w:rsid w:val="003F2C23"/>
    <w:rsid w:val="004137BE"/>
    <w:rsid w:val="00413C2B"/>
    <w:rsid w:val="00417C7B"/>
    <w:rsid w:val="00440C72"/>
    <w:rsid w:val="0046290E"/>
    <w:rsid w:val="00465D64"/>
    <w:rsid w:val="004727BF"/>
    <w:rsid w:val="00473879"/>
    <w:rsid w:val="004C561C"/>
    <w:rsid w:val="004D2CEF"/>
    <w:rsid w:val="004E280C"/>
    <w:rsid w:val="0050498A"/>
    <w:rsid w:val="00513C5D"/>
    <w:rsid w:val="00517BE1"/>
    <w:rsid w:val="0052623F"/>
    <w:rsid w:val="00534597"/>
    <w:rsid w:val="00536383"/>
    <w:rsid w:val="00537BA1"/>
    <w:rsid w:val="0054092F"/>
    <w:rsid w:val="00543883"/>
    <w:rsid w:val="00574E50"/>
    <w:rsid w:val="00596A32"/>
    <w:rsid w:val="00596F7D"/>
    <w:rsid w:val="005B0046"/>
    <w:rsid w:val="005B2CCB"/>
    <w:rsid w:val="005D05A6"/>
    <w:rsid w:val="005E1F07"/>
    <w:rsid w:val="005F1958"/>
    <w:rsid w:val="005F4DAF"/>
    <w:rsid w:val="0060181C"/>
    <w:rsid w:val="0060528C"/>
    <w:rsid w:val="00622F14"/>
    <w:rsid w:val="0062356A"/>
    <w:rsid w:val="00630A0F"/>
    <w:rsid w:val="006332F0"/>
    <w:rsid w:val="006446F6"/>
    <w:rsid w:val="006573DC"/>
    <w:rsid w:val="00663668"/>
    <w:rsid w:val="00680C1A"/>
    <w:rsid w:val="00682C28"/>
    <w:rsid w:val="00694127"/>
    <w:rsid w:val="0069793E"/>
    <w:rsid w:val="006A1656"/>
    <w:rsid w:val="006B3E5B"/>
    <w:rsid w:val="006B7AA3"/>
    <w:rsid w:val="006C6B92"/>
    <w:rsid w:val="006C7371"/>
    <w:rsid w:val="006D50E0"/>
    <w:rsid w:val="006D6436"/>
    <w:rsid w:val="006E4001"/>
    <w:rsid w:val="006F42C2"/>
    <w:rsid w:val="006F5786"/>
    <w:rsid w:val="006F5A2E"/>
    <w:rsid w:val="0070095A"/>
    <w:rsid w:val="00701C39"/>
    <w:rsid w:val="00710161"/>
    <w:rsid w:val="0071292C"/>
    <w:rsid w:val="00717C0D"/>
    <w:rsid w:val="007224DB"/>
    <w:rsid w:val="00727E8F"/>
    <w:rsid w:val="0073227E"/>
    <w:rsid w:val="0074148D"/>
    <w:rsid w:val="00746BFC"/>
    <w:rsid w:val="00765EFD"/>
    <w:rsid w:val="0076740E"/>
    <w:rsid w:val="00781751"/>
    <w:rsid w:val="007C27D8"/>
    <w:rsid w:val="007C5D79"/>
    <w:rsid w:val="007E03B7"/>
    <w:rsid w:val="007E4F31"/>
    <w:rsid w:val="00806138"/>
    <w:rsid w:val="00806548"/>
    <w:rsid w:val="0081516C"/>
    <w:rsid w:val="00817FF6"/>
    <w:rsid w:val="00820EF4"/>
    <w:rsid w:val="00825379"/>
    <w:rsid w:val="00855E98"/>
    <w:rsid w:val="0086383C"/>
    <w:rsid w:val="00870A96"/>
    <w:rsid w:val="008731EC"/>
    <w:rsid w:val="00881BB1"/>
    <w:rsid w:val="008860C5"/>
    <w:rsid w:val="00895075"/>
    <w:rsid w:val="008A4BB3"/>
    <w:rsid w:val="008C4E08"/>
    <w:rsid w:val="008C5738"/>
    <w:rsid w:val="008D3CB6"/>
    <w:rsid w:val="008D672F"/>
    <w:rsid w:val="008F06CC"/>
    <w:rsid w:val="0090313A"/>
    <w:rsid w:val="009070E9"/>
    <w:rsid w:val="00912B40"/>
    <w:rsid w:val="00914961"/>
    <w:rsid w:val="0092160A"/>
    <w:rsid w:val="0092314E"/>
    <w:rsid w:val="00924339"/>
    <w:rsid w:val="00925BBC"/>
    <w:rsid w:val="0093159F"/>
    <w:rsid w:val="009339E8"/>
    <w:rsid w:val="00937945"/>
    <w:rsid w:val="009529C7"/>
    <w:rsid w:val="00972846"/>
    <w:rsid w:val="00973CFA"/>
    <w:rsid w:val="00984FFA"/>
    <w:rsid w:val="00994059"/>
    <w:rsid w:val="009A2D96"/>
    <w:rsid w:val="009B30BB"/>
    <w:rsid w:val="009B75A9"/>
    <w:rsid w:val="009C04B1"/>
    <w:rsid w:val="009C2F72"/>
    <w:rsid w:val="009C59C7"/>
    <w:rsid w:val="009C7599"/>
    <w:rsid w:val="009D2F8A"/>
    <w:rsid w:val="009E03C3"/>
    <w:rsid w:val="009F1371"/>
    <w:rsid w:val="009F1F8B"/>
    <w:rsid w:val="009F4D2A"/>
    <w:rsid w:val="00A01C7E"/>
    <w:rsid w:val="00A01CCB"/>
    <w:rsid w:val="00A16600"/>
    <w:rsid w:val="00A3235E"/>
    <w:rsid w:val="00A37720"/>
    <w:rsid w:val="00A45172"/>
    <w:rsid w:val="00A609B6"/>
    <w:rsid w:val="00A634E3"/>
    <w:rsid w:val="00A95F03"/>
    <w:rsid w:val="00AA32F9"/>
    <w:rsid w:val="00AA5E23"/>
    <w:rsid w:val="00AA7721"/>
    <w:rsid w:val="00AB150F"/>
    <w:rsid w:val="00AC118E"/>
    <w:rsid w:val="00AC5BCA"/>
    <w:rsid w:val="00AF1D63"/>
    <w:rsid w:val="00B05F15"/>
    <w:rsid w:val="00B2181B"/>
    <w:rsid w:val="00B21FB7"/>
    <w:rsid w:val="00B35DE5"/>
    <w:rsid w:val="00B71047"/>
    <w:rsid w:val="00B71B10"/>
    <w:rsid w:val="00B75839"/>
    <w:rsid w:val="00B83A8A"/>
    <w:rsid w:val="00B8604A"/>
    <w:rsid w:val="00BA068B"/>
    <w:rsid w:val="00BA1345"/>
    <w:rsid w:val="00BC64FA"/>
    <w:rsid w:val="00BD28F7"/>
    <w:rsid w:val="00BD426A"/>
    <w:rsid w:val="00BD64FA"/>
    <w:rsid w:val="00C00859"/>
    <w:rsid w:val="00C1675F"/>
    <w:rsid w:val="00C302E3"/>
    <w:rsid w:val="00C34C6B"/>
    <w:rsid w:val="00C445BB"/>
    <w:rsid w:val="00C71BD1"/>
    <w:rsid w:val="00C85776"/>
    <w:rsid w:val="00C90107"/>
    <w:rsid w:val="00CD08A7"/>
    <w:rsid w:val="00CE13BB"/>
    <w:rsid w:val="00CE1D9A"/>
    <w:rsid w:val="00CE4032"/>
    <w:rsid w:val="00D11E5B"/>
    <w:rsid w:val="00D3193F"/>
    <w:rsid w:val="00D4074D"/>
    <w:rsid w:val="00D54D7E"/>
    <w:rsid w:val="00D55DF1"/>
    <w:rsid w:val="00D57759"/>
    <w:rsid w:val="00D70A89"/>
    <w:rsid w:val="00D75DC9"/>
    <w:rsid w:val="00D80F03"/>
    <w:rsid w:val="00D8380B"/>
    <w:rsid w:val="00D8506C"/>
    <w:rsid w:val="00DA540A"/>
    <w:rsid w:val="00DA54D8"/>
    <w:rsid w:val="00DD059E"/>
    <w:rsid w:val="00DD5006"/>
    <w:rsid w:val="00DD77F4"/>
    <w:rsid w:val="00DE139A"/>
    <w:rsid w:val="00DE6660"/>
    <w:rsid w:val="00DE7AC1"/>
    <w:rsid w:val="00DF57F6"/>
    <w:rsid w:val="00E07FC7"/>
    <w:rsid w:val="00E27D1A"/>
    <w:rsid w:val="00E32456"/>
    <w:rsid w:val="00E32CE6"/>
    <w:rsid w:val="00E4052A"/>
    <w:rsid w:val="00E43A50"/>
    <w:rsid w:val="00E46861"/>
    <w:rsid w:val="00E67D71"/>
    <w:rsid w:val="00E718A9"/>
    <w:rsid w:val="00E80BB1"/>
    <w:rsid w:val="00E962B3"/>
    <w:rsid w:val="00EA1A8F"/>
    <w:rsid w:val="00EA3E94"/>
    <w:rsid w:val="00EB3C98"/>
    <w:rsid w:val="00EC4F67"/>
    <w:rsid w:val="00ED592F"/>
    <w:rsid w:val="00ED721F"/>
    <w:rsid w:val="00EF1E0B"/>
    <w:rsid w:val="00EF2375"/>
    <w:rsid w:val="00EF614E"/>
    <w:rsid w:val="00F05148"/>
    <w:rsid w:val="00F25B59"/>
    <w:rsid w:val="00F25D6B"/>
    <w:rsid w:val="00F26EC8"/>
    <w:rsid w:val="00F272D7"/>
    <w:rsid w:val="00F325DF"/>
    <w:rsid w:val="00F32CC9"/>
    <w:rsid w:val="00F3551F"/>
    <w:rsid w:val="00F61329"/>
    <w:rsid w:val="00F630BA"/>
    <w:rsid w:val="00F65087"/>
    <w:rsid w:val="00F71770"/>
    <w:rsid w:val="00F73828"/>
    <w:rsid w:val="00F80507"/>
    <w:rsid w:val="00F82B8F"/>
    <w:rsid w:val="00F91B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795655"/>
  <w15:chartTrackingRefBased/>
  <w15:docId w15:val="{FB28EE62-AB91-44C2-B94F-FC8A6109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A50"/>
    <w:pPr>
      <w:spacing w:after="0" w:line="360" w:lineRule="auto"/>
    </w:pPr>
    <w:rPr>
      <w:rFonts w:ascii="Cambria" w:hAnsi="Cambria" w:cs="Times New Roman"/>
      <w:sz w:val="24"/>
      <w:szCs w:val="24"/>
    </w:rPr>
  </w:style>
  <w:style w:type="paragraph" w:styleId="Heading1">
    <w:name w:val="heading 1"/>
    <w:basedOn w:val="Normal"/>
    <w:next w:val="Normal"/>
    <w:link w:val="Heading1Char"/>
    <w:uiPriority w:val="9"/>
    <w:qFormat/>
    <w:rsid w:val="00E43A50"/>
    <w:pPr>
      <w:keepNext/>
      <w:keepLines/>
      <w:spacing w:before="360" w:after="80"/>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E43A50"/>
    <w:pPr>
      <w:keepNext/>
      <w:keepLines/>
      <w:spacing w:before="160" w:after="80"/>
      <w:outlineLvl w:val="1"/>
    </w:pPr>
    <w:rPr>
      <w:rFonts w:eastAsiaTheme="majorEastAsia" w:cstheme="majorBidi"/>
      <w:b/>
      <w:color w:val="0F4761" w:themeColor="accent1" w:themeShade="BF"/>
      <w:szCs w:val="32"/>
    </w:rPr>
  </w:style>
  <w:style w:type="paragraph" w:styleId="Heading3">
    <w:name w:val="heading 3"/>
    <w:basedOn w:val="Normal"/>
    <w:next w:val="Normal"/>
    <w:link w:val="Heading3Char"/>
    <w:uiPriority w:val="9"/>
    <w:unhideWhenUsed/>
    <w:qFormat/>
    <w:rsid w:val="00E43A50"/>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EA1A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A1A8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A1A8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1A8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1A8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1A8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A50"/>
    <w:rPr>
      <w:rFonts w:ascii="Cambria" w:eastAsiaTheme="majorEastAsia" w:hAnsi="Cambria" w:cstheme="majorBidi"/>
      <w:b/>
      <w:color w:val="000000" w:themeColor="text1"/>
      <w:sz w:val="24"/>
      <w:szCs w:val="40"/>
    </w:rPr>
  </w:style>
  <w:style w:type="character" w:customStyle="1" w:styleId="Heading2Char">
    <w:name w:val="Heading 2 Char"/>
    <w:basedOn w:val="DefaultParagraphFont"/>
    <w:link w:val="Heading2"/>
    <w:uiPriority w:val="9"/>
    <w:rsid w:val="00E43A50"/>
    <w:rPr>
      <w:rFonts w:ascii="Cambria" w:eastAsiaTheme="majorEastAsia" w:hAnsi="Cambria" w:cstheme="majorBidi"/>
      <w:b/>
      <w:color w:val="0F4761" w:themeColor="accent1" w:themeShade="BF"/>
      <w:sz w:val="24"/>
      <w:szCs w:val="32"/>
    </w:rPr>
  </w:style>
  <w:style w:type="character" w:customStyle="1" w:styleId="Heading3Char">
    <w:name w:val="Heading 3 Char"/>
    <w:basedOn w:val="DefaultParagraphFont"/>
    <w:link w:val="Heading3"/>
    <w:uiPriority w:val="9"/>
    <w:rsid w:val="00E43A50"/>
    <w:rPr>
      <w:rFonts w:ascii="Cambria" w:eastAsiaTheme="majorEastAsia" w:hAnsi="Cambria" w:cstheme="majorBidi"/>
      <w:b/>
      <w:color w:val="000000" w:themeColor="text1"/>
      <w:sz w:val="24"/>
      <w:szCs w:val="28"/>
    </w:rPr>
  </w:style>
  <w:style w:type="character" w:customStyle="1" w:styleId="Heading4Char">
    <w:name w:val="Heading 4 Char"/>
    <w:basedOn w:val="DefaultParagraphFont"/>
    <w:link w:val="Heading4"/>
    <w:uiPriority w:val="9"/>
    <w:semiHidden/>
    <w:rsid w:val="00EA1A8F"/>
    <w:rPr>
      <w:rFonts w:eastAsiaTheme="majorEastAsia"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sid w:val="00EA1A8F"/>
    <w:rPr>
      <w:rFonts w:eastAsiaTheme="majorEastAsia"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EA1A8F"/>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EA1A8F"/>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EA1A8F"/>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EA1A8F"/>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EA1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A8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A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1A8F"/>
    <w:rPr>
      <w:rFonts w:ascii="Times New Roman" w:hAnsi="Times New Roman" w:cs="Times New Roman"/>
      <w:i/>
      <w:iCs/>
      <w:color w:val="404040" w:themeColor="text1" w:themeTint="BF"/>
      <w:sz w:val="24"/>
      <w:szCs w:val="24"/>
    </w:rPr>
  </w:style>
  <w:style w:type="paragraph" w:styleId="ListParagraph">
    <w:name w:val="List Paragraph"/>
    <w:basedOn w:val="Normal"/>
    <w:uiPriority w:val="34"/>
    <w:qFormat/>
    <w:rsid w:val="00EA1A8F"/>
    <w:pPr>
      <w:ind w:left="720"/>
      <w:contextualSpacing/>
    </w:pPr>
  </w:style>
  <w:style w:type="character" w:styleId="IntenseEmphasis">
    <w:name w:val="Intense Emphasis"/>
    <w:basedOn w:val="DefaultParagraphFont"/>
    <w:uiPriority w:val="21"/>
    <w:qFormat/>
    <w:rsid w:val="00EA1A8F"/>
    <w:rPr>
      <w:i/>
      <w:iCs/>
      <w:color w:val="0F4761" w:themeColor="accent1" w:themeShade="BF"/>
    </w:rPr>
  </w:style>
  <w:style w:type="paragraph" w:styleId="IntenseQuote">
    <w:name w:val="Intense Quote"/>
    <w:basedOn w:val="Normal"/>
    <w:next w:val="Normal"/>
    <w:link w:val="IntenseQuoteChar"/>
    <w:uiPriority w:val="30"/>
    <w:qFormat/>
    <w:rsid w:val="00EA1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A8F"/>
    <w:rPr>
      <w:rFonts w:ascii="Times New Roman" w:hAnsi="Times New Roman" w:cs="Times New Roman"/>
      <w:i/>
      <w:iCs/>
      <w:color w:val="0F4761" w:themeColor="accent1" w:themeShade="BF"/>
      <w:sz w:val="24"/>
      <w:szCs w:val="24"/>
    </w:rPr>
  </w:style>
  <w:style w:type="character" w:styleId="IntenseReference">
    <w:name w:val="Intense Reference"/>
    <w:basedOn w:val="DefaultParagraphFont"/>
    <w:uiPriority w:val="32"/>
    <w:qFormat/>
    <w:rsid w:val="00EA1A8F"/>
    <w:rPr>
      <w:b/>
      <w:bCs/>
      <w:smallCaps/>
      <w:color w:val="0F4761" w:themeColor="accent1" w:themeShade="BF"/>
      <w:spacing w:val="5"/>
    </w:rPr>
  </w:style>
  <w:style w:type="paragraph" w:styleId="Header">
    <w:name w:val="header"/>
    <w:basedOn w:val="Normal"/>
    <w:link w:val="HeaderChar"/>
    <w:uiPriority w:val="99"/>
    <w:unhideWhenUsed/>
    <w:rsid w:val="001C5404"/>
    <w:pPr>
      <w:tabs>
        <w:tab w:val="center" w:pos="4680"/>
        <w:tab w:val="right" w:pos="9360"/>
      </w:tabs>
      <w:spacing w:line="240" w:lineRule="auto"/>
    </w:pPr>
  </w:style>
  <w:style w:type="character" w:customStyle="1" w:styleId="HeaderChar">
    <w:name w:val="Header Char"/>
    <w:basedOn w:val="DefaultParagraphFont"/>
    <w:link w:val="Header"/>
    <w:uiPriority w:val="99"/>
    <w:rsid w:val="001C5404"/>
    <w:rPr>
      <w:rFonts w:ascii="Times New Roman" w:hAnsi="Times New Roman" w:cs="Times New Roman"/>
      <w:sz w:val="24"/>
      <w:szCs w:val="24"/>
    </w:rPr>
  </w:style>
  <w:style w:type="paragraph" w:styleId="NormalWeb">
    <w:name w:val="Normal (Web)"/>
    <w:basedOn w:val="Normal"/>
    <w:uiPriority w:val="99"/>
    <w:unhideWhenUsed/>
    <w:rsid w:val="00513C5D"/>
    <w:pPr>
      <w:spacing w:before="100" w:beforeAutospacing="1" w:after="100" w:afterAutospacing="1" w:line="240" w:lineRule="auto"/>
    </w:pPr>
    <w:rPr>
      <w:rFonts w:eastAsia="Times New Roman"/>
      <w:kern w:val="0"/>
      <w14:ligatures w14:val="none"/>
    </w:rPr>
  </w:style>
  <w:style w:type="character" w:styleId="Strong">
    <w:name w:val="Strong"/>
    <w:basedOn w:val="DefaultParagraphFont"/>
    <w:uiPriority w:val="22"/>
    <w:qFormat/>
    <w:rsid w:val="00513C5D"/>
    <w:rPr>
      <w:b/>
      <w:bCs/>
    </w:rPr>
  </w:style>
  <w:style w:type="table" w:styleId="TableGrid">
    <w:name w:val="Table Grid"/>
    <w:basedOn w:val="TableNormal"/>
    <w:uiPriority w:val="39"/>
    <w:rsid w:val="0051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540E"/>
    <w:rPr>
      <w:color w:val="467886" w:themeColor="hyperlink"/>
      <w:u w:val="single"/>
    </w:rPr>
  </w:style>
  <w:style w:type="character" w:styleId="UnresolvedMention">
    <w:name w:val="Unresolved Mention"/>
    <w:basedOn w:val="DefaultParagraphFont"/>
    <w:uiPriority w:val="99"/>
    <w:semiHidden/>
    <w:unhideWhenUsed/>
    <w:rsid w:val="0024540E"/>
    <w:rPr>
      <w:color w:val="605E5C"/>
      <w:shd w:val="clear" w:color="auto" w:fill="E1DFDD"/>
    </w:rPr>
  </w:style>
  <w:style w:type="character" w:styleId="FollowedHyperlink">
    <w:name w:val="FollowedHyperlink"/>
    <w:basedOn w:val="DefaultParagraphFont"/>
    <w:uiPriority w:val="99"/>
    <w:semiHidden/>
    <w:unhideWhenUsed/>
    <w:rsid w:val="00BD28F7"/>
    <w:rPr>
      <w:color w:val="96607D" w:themeColor="followedHyperlink"/>
      <w:u w:val="single"/>
    </w:rPr>
  </w:style>
  <w:style w:type="paragraph" w:styleId="Footer">
    <w:name w:val="footer"/>
    <w:basedOn w:val="Normal"/>
    <w:link w:val="FooterChar"/>
    <w:uiPriority w:val="99"/>
    <w:unhideWhenUsed/>
    <w:rsid w:val="0076740E"/>
    <w:pPr>
      <w:tabs>
        <w:tab w:val="center" w:pos="4680"/>
        <w:tab w:val="right" w:pos="9360"/>
      </w:tabs>
      <w:spacing w:line="240" w:lineRule="auto"/>
    </w:pPr>
  </w:style>
  <w:style w:type="character" w:customStyle="1" w:styleId="FooterChar">
    <w:name w:val="Footer Char"/>
    <w:basedOn w:val="DefaultParagraphFont"/>
    <w:link w:val="Footer"/>
    <w:uiPriority w:val="99"/>
    <w:rsid w:val="0076740E"/>
    <w:rPr>
      <w:rFonts w:ascii="Cambria" w:hAnsi="Cambria" w:cs="Times New Roman"/>
      <w:sz w:val="24"/>
      <w:szCs w:val="24"/>
    </w:rPr>
  </w:style>
  <w:style w:type="paragraph" w:customStyle="1" w:styleId="Author">
    <w:name w:val="Author"/>
    <w:basedOn w:val="Normal"/>
    <w:rsid w:val="00BC64FA"/>
    <w:pPr>
      <w:spacing w:line="280" w:lineRule="exact"/>
      <w:jc w:val="right"/>
    </w:pPr>
    <w:rPr>
      <w:rFonts w:ascii="Helvetica" w:eastAsia="Times New Roman" w:hAnsi="Helvetica"/>
      <w:b/>
      <w:kern w:val="0"/>
      <w:szCs w:val="20"/>
      <w14:ligatures w14:val="none"/>
    </w:rPr>
  </w:style>
  <w:style w:type="paragraph" w:styleId="CommentText">
    <w:name w:val="annotation text"/>
    <w:basedOn w:val="Normal"/>
    <w:link w:val="CommentTextChar"/>
    <w:uiPriority w:val="99"/>
    <w:semiHidden/>
    <w:unhideWhenUsed/>
    <w:rsid w:val="009070E9"/>
    <w:pPr>
      <w:spacing w:line="240" w:lineRule="auto"/>
    </w:pPr>
    <w:rPr>
      <w:sz w:val="20"/>
      <w:szCs w:val="20"/>
    </w:rPr>
  </w:style>
  <w:style w:type="character" w:customStyle="1" w:styleId="CommentTextChar">
    <w:name w:val="Comment Text Char"/>
    <w:basedOn w:val="DefaultParagraphFont"/>
    <w:link w:val="CommentText"/>
    <w:uiPriority w:val="99"/>
    <w:semiHidden/>
    <w:rsid w:val="009070E9"/>
    <w:rPr>
      <w:rFonts w:ascii="Cambria" w:hAnsi="Cambria" w:cs="Times New Roman"/>
      <w:sz w:val="20"/>
      <w:szCs w:val="20"/>
    </w:rPr>
  </w:style>
  <w:style w:type="character" w:styleId="CommentReference">
    <w:name w:val="annotation reference"/>
    <w:basedOn w:val="DefaultParagraphFont"/>
    <w:uiPriority w:val="99"/>
    <w:semiHidden/>
    <w:unhideWhenUsed/>
    <w:rsid w:val="009070E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7099">
      <w:bodyDiv w:val="1"/>
      <w:marLeft w:val="0"/>
      <w:marRight w:val="0"/>
      <w:marTop w:val="0"/>
      <w:marBottom w:val="0"/>
      <w:divBdr>
        <w:top w:val="none" w:sz="0" w:space="0" w:color="auto"/>
        <w:left w:val="none" w:sz="0" w:space="0" w:color="auto"/>
        <w:bottom w:val="none" w:sz="0" w:space="0" w:color="auto"/>
        <w:right w:val="none" w:sz="0" w:space="0" w:color="auto"/>
      </w:divBdr>
    </w:div>
    <w:div w:id="33969075">
      <w:bodyDiv w:val="1"/>
      <w:marLeft w:val="0"/>
      <w:marRight w:val="0"/>
      <w:marTop w:val="0"/>
      <w:marBottom w:val="0"/>
      <w:divBdr>
        <w:top w:val="none" w:sz="0" w:space="0" w:color="auto"/>
        <w:left w:val="none" w:sz="0" w:space="0" w:color="auto"/>
        <w:bottom w:val="none" w:sz="0" w:space="0" w:color="auto"/>
        <w:right w:val="none" w:sz="0" w:space="0" w:color="auto"/>
      </w:divBdr>
      <w:divsChild>
        <w:div w:id="1208689863">
          <w:marLeft w:val="0"/>
          <w:marRight w:val="0"/>
          <w:marTop w:val="0"/>
          <w:marBottom w:val="0"/>
          <w:divBdr>
            <w:top w:val="none" w:sz="0" w:space="0" w:color="auto"/>
            <w:left w:val="none" w:sz="0" w:space="0" w:color="auto"/>
            <w:bottom w:val="none" w:sz="0" w:space="0" w:color="auto"/>
            <w:right w:val="none" w:sz="0" w:space="0" w:color="auto"/>
          </w:divBdr>
        </w:div>
      </w:divsChild>
    </w:div>
    <w:div w:id="56829825">
      <w:bodyDiv w:val="1"/>
      <w:marLeft w:val="0"/>
      <w:marRight w:val="0"/>
      <w:marTop w:val="0"/>
      <w:marBottom w:val="0"/>
      <w:divBdr>
        <w:top w:val="none" w:sz="0" w:space="0" w:color="auto"/>
        <w:left w:val="none" w:sz="0" w:space="0" w:color="auto"/>
        <w:bottom w:val="none" w:sz="0" w:space="0" w:color="auto"/>
        <w:right w:val="none" w:sz="0" w:space="0" w:color="auto"/>
      </w:divBdr>
    </w:div>
    <w:div w:id="59835980">
      <w:bodyDiv w:val="1"/>
      <w:marLeft w:val="0"/>
      <w:marRight w:val="0"/>
      <w:marTop w:val="0"/>
      <w:marBottom w:val="0"/>
      <w:divBdr>
        <w:top w:val="none" w:sz="0" w:space="0" w:color="auto"/>
        <w:left w:val="none" w:sz="0" w:space="0" w:color="auto"/>
        <w:bottom w:val="none" w:sz="0" w:space="0" w:color="auto"/>
        <w:right w:val="none" w:sz="0" w:space="0" w:color="auto"/>
      </w:divBdr>
    </w:div>
    <w:div w:id="121583238">
      <w:bodyDiv w:val="1"/>
      <w:marLeft w:val="0"/>
      <w:marRight w:val="0"/>
      <w:marTop w:val="0"/>
      <w:marBottom w:val="0"/>
      <w:divBdr>
        <w:top w:val="none" w:sz="0" w:space="0" w:color="auto"/>
        <w:left w:val="none" w:sz="0" w:space="0" w:color="auto"/>
        <w:bottom w:val="none" w:sz="0" w:space="0" w:color="auto"/>
        <w:right w:val="none" w:sz="0" w:space="0" w:color="auto"/>
      </w:divBdr>
    </w:div>
    <w:div w:id="124156275">
      <w:bodyDiv w:val="1"/>
      <w:marLeft w:val="0"/>
      <w:marRight w:val="0"/>
      <w:marTop w:val="0"/>
      <w:marBottom w:val="0"/>
      <w:divBdr>
        <w:top w:val="none" w:sz="0" w:space="0" w:color="auto"/>
        <w:left w:val="none" w:sz="0" w:space="0" w:color="auto"/>
        <w:bottom w:val="none" w:sz="0" w:space="0" w:color="auto"/>
        <w:right w:val="none" w:sz="0" w:space="0" w:color="auto"/>
      </w:divBdr>
    </w:div>
    <w:div w:id="142934488">
      <w:bodyDiv w:val="1"/>
      <w:marLeft w:val="0"/>
      <w:marRight w:val="0"/>
      <w:marTop w:val="0"/>
      <w:marBottom w:val="0"/>
      <w:divBdr>
        <w:top w:val="none" w:sz="0" w:space="0" w:color="auto"/>
        <w:left w:val="none" w:sz="0" w:space="0" w:color="auto"/>
        <w:bottom w:val="none" w:sz="0" w:space="0" w:color="auto"/>
        <w:right w:val="none" w:sz="0" w:space="0" w:color="auto"/>
      </w:divBdr>
    </w:div>
    <w:div w:id="156194848">
      <w:bodyDiv w:val="1"/>
      <w:marLeft w:val="0"/>
      <w:marRight w:val="0"/>
      <w:marTop w:val="0"/>
      <w:marBottom w:val="0"/>
      <w:divBdr>
        <w:top w:val="none" w:sz="0" w:space="0" w:color="auto"/>
        <w:left w:val="none" w:sz="0" w:space="0" w:color="auto"/>
        <w:bottom w:val="none" w:sz="0" w:space="0" w:color="auto"/>
        <w:right w:val="none" w:sz="0" w:space="0" w:color="auto"/>
      </w:divBdr>
    </w:div>
    <w:div w:id="157422700">
      <w:bodyDiv w:val="1"/>
      <w:marLeft w:val="0"/>
      <w:marRight w:val="0"/>
      <w:marTop w:val="0"/>
      <w:marBottom w:val="0"/>
      <w:divBdr>
        <w:top w:val="none" w:sz="0" w:space="0" w:color="auto"/>
        <w:left w:val="none" w:sz="0" w:space="0" w:color="auto"/>
        <w:bottom w:val="none" w:sz="0" w:space="0" w:color="auto"/>
        <w:right w:val="none" w:sz="0" w:space="0" w:color="auto"/>
      </w:divBdr>
    </w:div>
    <w:div w:id="222522227">
      <w:bodyDiv w:val="1"/>
      <w:marLeft w:val="0"/>
      <w:marRight w:val="0"/>
      <w:marTop w:val="0"/>
      <w:marBottom w:val="0"/>
      <w:divBdr>
        <w:top w:val="none" w:sz="0" w:space="0" w:color="auto"/>
        <w:left w:val="none" w:sz="0" w:space="0" w:color="auto"/>
        <w:bottom w:val="none" w:sz="0" w:space="0" w:color="auto"/>
        <w:right w:val="none" w:sz="0" w:space="0" w:color="auto"/>
      </w:divBdr>
    </w:div>
    <w:div w:id="248391437">
      <w:bodyDiv w:val="1"/>
      <w:marLeft w:val="0"/>
      <w:marRight w:val="0"/>
      <w:marTop w:val="0"/>
      <w:marBottom w:val="0"/>
      <w:divBdr>
        <w:top w:val="none" w:sz="0" w:space="0" w:color="auto"/>
        <w:left w:val="none" w:sz="0" w:space="0" w:color="auto"/>
        <w:bottom w:val="none" w:sz="0" w:space="0" w:color="auto"/>
        <w:right w:val="none" w:sz="0" w:space="0" w:color="auto"/>
      </w:divBdr>
    </w:div>
    <w:div w:id="266693833">
      <w:bodyDiv w:val="1"/>
      <w:marLeft w:val="0"/>
      <w:marRight w:val="0"/>
      <w:marTop w:val="0"/>
      <w:marBottom w:val="0"/>
      <w:divBdr>
        <w:top w:val="none" w:sz="0" w:space="0" w:color="auto"/>
        <w:left w:val="none" w:sz="0" w:space="0" w:color="auto"/>
        <w:bottom w:val="none" w:sz="0" w:space="0" w:color="auto"/>
        <w:right w:val="none" w:sz="0" w:space="0" w:color="auto"/>
      </w:divBdr>
    </w:div>
    <w:div w:id="331758818">
      <w:bodyDiv w:val="1"/>
      <w:marLeft w:val="0"/>
      <w:marRight w:val="0"/>
      <w:marTop w:val="0"/>
      <w:marBottom w:val="0"/>
      <w:divBdr>
        <w:top w:val="none" w:sz="0" w:space="0" w:color="auto"/>
        <w:left w:val="none" w:sz="0" w:space="0" w:color="auto"/>
        <w:bottom w:val="none" w:sz="0" w:space="0" w:color="auto"/>
        <w:right w:val="none" w:sz="0" w:space="0" w:color="auto"/>
      </w:divBdr>
    </w:div>
    <w:div w:id="394621727">
      <w:bodyDiv w:val="1"/>
      <w:marLeft w:val="0"/>
      <w:marRight w:val="0"/>
      <w:marTop w:val="0"/>
      <w:marBottom w:val="0"/>
      <w:divBdr>
        <w:top w:val="none" w:sz="0" w:space="0" w:color="auto"/>
        <w:left w:val="none" w:sz="0" w:space="0" w:color="auto"/>
        <w:bottom w:val="none" w:sz="0" w:space="0" w:color="auto"/>
        <w:right w:val="none" w:sz="0" w:space="0" w:color="auto"/>
      </w:divBdr>
    </w:div>
    <w:div w:id="408621948">
      <w:bodyDiv w:val="1"/>
      <w:marLeft w:val="0"/>
      <w:marRight w:val="0"/>
      <w:marTop w:val="0"/>
      <w:marBottom w:val="0"/>
      <w:divBdr>
        <w:top w:val="none" w:sz="0" w:space="0" w:color="auto"/>
        <w:left w:val="none" w:sz="0" w:space="0" w:color="auto"/>
        <w:bottom w:val="none" w:sz="0" w:space="0" w:color="auto"/>
        <w:right w:val="none" w:sz="0" w:space="0" w:color="auto"/>
      </w:divBdr>
    </w:div>
    <w:div w:id="410583074">
      <w:bodyDiv w:val="1"/>
      <w:marLeft w:val="0"/>
      <w:marRight w:val="0"/>
      <w:marTop w:val="0"/>
      <w:marBottom w:val="0"/>
      <w:divBdr>
        <w:top w:val="none" w:sz="0" w:space="0" w:color="auto"/>
        <w:left w:val="none" w:sz="0" w:space="0" w:color="auto"/>
        <w:bottom w:val="none" w:sz="0" w:space="0" w:color="auto"/>
        <w:right w:val="none" w:sz="0" w:space="0" w:color="auto"/>
      </w:divBdr>
    </w:div>
    <w:div w:id="428048052">
      <w:bodyDiv w:val="1"/>
      <w:marLeft w:val="0"/>
      <w:marRight w:val="0"/>
      <w:marTop w:val="0"/>
      <w:marBottom w:val="0"/>
      <w:divBdr>
        <w:top w:val="none" w:sz="0" w:space="0" w:color="auto"/>
        <w:left w:val="none" w:sz="0" w:space="0" w:color="auto"/>
        <w:bottom w:val="none" w:sz="0" w:space="0" w:color="auto"/>
        <w:right w:val="none" w:sz="0" w:space="0" w:color="auto"/>
      </w:divBdr>
    </w:div>
    <w:div w:id="451943321">
      <w:bodyDiv w:val="1"/>
      <w:marLeft w:val="0"/>
      <w:marRight w:val="0"/>
      <w:marTop w:val="0"/>
      <w:marBottom w:val="0"/>
      <w:divBdr>
        <w:top w:val="none" w:sz="0" w:space="0" w:color="auto"/>
        <w:left w:val="none" w:sz="0" w:space="0" w:color="auto"/>
        <w:bottom w:val="none" w:sz="0" w:space="0" w:color="auto"/>
        <w:right w:val="none" w:sz="0" w:space="0" w:color="auto"/>
      </w:divBdr>
    </w:div>
    <w:div w:id="488177775">
      <w:bodyDiv w:val="1"/>
      <w:marLeft w:val="0"/>
      <w:marRight w:val="0"/>
      <w:marTop w:val="0"/>
      <w:marBottom w:val="0"/>
      <w:divBdr>
        <w:top w:val="none" w:sz="0" w:space="0" w:color="auto"/>
        <w:left w:val="none" w:sz="0" w:space="0" w:color="auto"/>
        <w:bottom w:val="none" w:sz="0" w:space="0" w:color="auto"/>
        <w:right w:val="none" w:sz="0" w:space="0" w:color="auto"/>
      </w:divBdr>
    </w:div>
    <w:div w:id="502162991">
      <w:bodyDiv w:val="1"/>
      <w:marLeft w:val="0"/>
      <w:marRight w:val="0"/>
      <w:marTop w:val="0"/>
      <w:marBottom w:val="0"/>
      <w:divBdr>
        <w:top w:val="none" w:sz="0" w:space="0" w:color="auto"/>
        <w:left w:val="none" w:sz="0" w:space="0" w:color="auto"/>
        <w:bottom w:val="none" w:sz="0" w:space="0" w:color="auto"/>
        <w:right w:val="none" w:sz="0" w:space="0" w:color="auto"/>
      </w:divBdr>
    </w:div>
    <w:div w:id="502470903">
      <w:bodyDiv w:val="1"/>
      <w:marLeft w:val="0"/>
      <w:marRight w:val="0"/>
      <w:marTop w:val="0"/>
      <w:marBottom w:val="0"/>
      <w:divBdr>
        <w:top w:val="none" w:sz="0" w:space="0" w:color="auto"/>
        <w:left w:val="none" w:sz="0" w:space="0" w:color="auto"/>
        <w:bottom w:val="none" w:sz="0" w:space="0" w:color="auto"/>
        <w:right w:val="none" w:sz="0" w:space="0" w:color="auto"/>
      </w:divBdr>
    </w:div>
    <w:div w:id="542136168">
      <w:bodyDiv w:val="1"/>
      <w:marLeft w:val="0"/>
      <w:marRight w:val="0"/>
      <w:marTop w:val="0"/>
      <w:marBottom w:val="0"/>
      <w:divBdr>
        <w:top w:val="none" w:sz="0" w:space="0" w:color="auto"/>
        <w:left w:val="none" w:sz="0" w:space="0" w:color="auto"/>
        <w:bottom w:val="none" w:sz="0" w:space="0" w:color="auto"/>
        <w:right w:val="none" w:sz="0" w:space="0" w:color="auto"/>
      </w:divBdr>
    </w:div>
    <w:div w:id="551579273">
      <w:bodyDiv w:val="1"/>
      <w:marLeft w:val="0"/>
      <w:marRight w:val="0"/>
      <w:marTop w:val="0"/>
      <w:marBottom w:val="0"/>
      <w:divBdr>
        <w:top w:val="none" w:sz="0" w:space="0" w:color="auto"/>
        <w:left w:val="none" w:sz="0" w:space="0" w:color="auto"/>
        <w:bottom w:val="none" w:sz="0" w:space="0" w:color="auto"/>
        <w:right w:val="none" w:sz="0" w:space="0" w:color="auto"/>
      </w:divBdr>
    </w:div>
    <w:div w:id="564490274">
      <w:bodyDiv w:val="1"/>
      <w:marLeft w:val="0"/>
      <w:marRight w:val="0"/>
      <w:marTop w:val="0"/>
      <w:marBottom w:val="0"/>
      <w:divBdr>
        <w:top w:val="none" w:sz="0" w:space="0" w:color="auto"/>
        <w:left w:val="none" w:sz="0" w:space="0" w:color="auto"/>
        <w:bottom w:val="none" w:sz="0" w:space="0" w:color="auto"/>
        <w:right w:val="none" w:sz="0" w:space="0" w:color="auto"/>
      </w:divBdr>
    </w:div>
    <w:div w:id="588584405">
      <w:bodyDiv w:val="1"/>
      <w:marLeft w:val="0"/>
      <w:marRight w:val="0"/>
      <w:marTop w:val="0"/>
      <w:marBottom w:val="0"/>
      <w:divBdr>
        <w:top w:val="none" w:sz="0" w:space="0" w:color="auto"/>
        <w:left w:val="none" w:sz="0" w:space="0" w:color="auto"/>
        <w:bottom w:val="none" w:sz="0" w:space="0" w:color="auto"/>
        <w:right w:val="none" w:sz="0" w:space="0" w:color="auto"/>
      </w:divBdr>
    </w:div>
    <w:div w:id="605387672">
      <w:bodyDiv w:val="1"/>
      <w:marLeft w:val="0"/>
      <w:marRight w:val="0"/>
      <w:marTop w:val="0"/>
      <w:marBottom w:val="0"/>
      <w:divBdr>
        <w:top w:val="none" w:sz="0" w:space="0" w:color="auto"/>
        <w:left w:val="none" w:sz="0" w:space="0" w:color="auto"/>
        <w:bottom w:val="none" w:sz="0" w:space="0" w:color="auto"/>
        <w:right w:val="none" w:sz="0" w:space="0" w:color="auto"/>
      </w:divBdr>
      <w:divsChild>
        <w:div w:id="1317610">
          <w:marLeft w:val="0"/>
          <w:marRight w:val="0"/>
          <w:marTop w:val="0"/>
          <w:marBottom w:val="0"/>
          <w:divBdr>
            <w:top w:val="none" w:sz="0" w:space="0" w:color="auto"/>
            <w:left w:val="none" w:sz="0" w:space="0" w:color="auto"/>
            <w:bottom w:val="none" w:sz="0" w:space="0" w:color="auto"/>
            <w:right w:val="none" w:sz="0" w:space="0" w:color="auto"/>
          </w:divBdr>
        </w:div>
      </w:divsChild>
    </w:div>
    <w:div w:id="606230990">
      <w:bodyDiv w:val="1"/>
      <w:marLeft w:val="0"/>
      <w:marRight w:val="0"/>
      <w:marTop w:val="0"/>
      <w:marBottom w:val="0"/>
      <w:divBdr>
        <w:top w:val="none" w:sz="0" w:space="0" w:color="auto"/>
        <w:left w:val="none" w:sz="0" w:space="0" w:color="auto"/>
        <w:bottom w:val="none" w:sz="0" w:space="0" w:color="auto"/>
        <w:right w:val="none" w:sz="0" w:space="0" w:color="auto"/>
      </w:divBdr>
    </w:div>
    <w:div w:id="648361887">
      <w:bodyDiv w:val="1"/>
      <w:marLeft w:val="0"/>
      <w:marRight w:val="0"/>
      <w:marTop w:val="0"/>
      <w:marBottom w:val="0"/>
      <w:divBdr>
        <w:top w:val="none" w:sz="0" w:space="0" w:color="auto"/>
        <w:left w:val="none" w:sz="0" w:space="0" w:color="auto"/>
        <w:bottom w:val="none" w:sz="0" w:space="0" w:color="auto"/>
        <w:right w:val="none" w:sz="0" w:space="0" w:color="auto"/>
      </w:divBdr>
    </w:div>
    <w:div w:id="678579364">
      <w:bodyDiv w:val="1"/>
      <w:marLeft w:val="0"/>
      <w:marRight w:val="0"/>
      <w:marTop w:val="0"/>
      <w:marBottom w:val="0"/>
      <w:divBdr>
        <w:top w:val="none" w:sz="0" w:space="0" w:color="auto"/>
        <w:left w:val="none" w:sz="0" w:space="0" w:color="auto"/>
        <w:bottom w:val="none" w:sz="0" w:space="0" w:color="auto"/>
        <w:right w:val="none" w:sz="0" w:space="0" w:color="auto"/>
      </w:divBdr>
    </w:div>
    <w:div w:id="751854714">
      <w:bodyDiv w:val="1"/>
      <w:marLeft w:val="0"/>
      <w:marRight w:val="0"/>
      <w:marTop w:val="0"/>
      <w:marBottom w:val="0"/>
      <w:divBdr>
        <w:top w:val="none" w:sz="0" w:space="0" w:color="auto"/>
        <w:left w:val="none" w:sz="0" w:space="0" w:color="auto"/>
        <w:bottom w:val="none" w:sz="0" w:space="0" w:color="auto"/>
        <w:right w:val="none" w:sz="0" w:space="0" w:color="auto"/>
      </w:divBdr>
      <w:divsChild>
        <w:div w:id="1074662102">
          <w:marLeft w:val="0"/>
          <w:marRight w:val="0"/>
          <w:marTop w:val="0"/>
          <w:marBottom w:val="0"/>
          <w:divBdr>
            <w:top w:val="none" w:sz="0" w:space="0" w:color="auto"/>
            <w:left w:val="none" w:sz="0" w:space="0" w:color="auto"/>
            <w:bottom w:val="none" w:sz="0" w:space="0" w:color="auto"/>
            <w:right w:val="none" w:sz="0" w:space="0" w:color="auto"/>
          </w:divBdr>
        </w:div>
      </w:divsChild>
    </w:div>
    <w:div w:id="758402373">
      <w:bodyDiv w:val="1"/>
      <w:marLeft w:val="0"/>
      <w:marRight w:val="0"/>
      <w:marTop w:val="0"/>
      <w:marBottom w:val="0"/>
      <w:divBdr>
        <w:top w:val="none" w:sz="0" w:space="0" w:color="auto"/>
        <w:left w:val="none" w:sz="0" w:space="0" w:color="auto"/>
        <w:bottom w:val="none" w:sz="0" w:space="0" w:color="auto"/>
        <w:right w:val="none" w:sz="0" w:space="0" w:color="auto"/>
      </w:divBdr>
    </w:div>
    <w:div w:id="796414977">
      <w:bodyDiv w:val="1"/>
      <w:marLeft w:val="0"/>
      <w:marRight w:val="0"/>
      <w:marTop w:val="0"/>
      <w:marBottom w:val="0"/>
      <w:divBdr>
        <w:top w:val="none" w:sz="0" w:space="0" w:color="auto"/>
        <w:left w:val="none" w:sz="0" w:space="0" w:color="auto"/>
        <w:bottom w:val="none" w:sz="0" w:space="0" w:color="auto"/>
        <w:right w:val="none" w:sz="0" w:space="0" w:color="auto"/>
      </w:divBdr>
    </w:div>
    <w:div w:id="812067465">
      <w:bodyDiv w:val="1"/>
      <w:marLeft w:val="0"/>
      <w:marRight w:val="0"/>
      <w:marTop w:val="0"/>
      <w:marBottom w:val="0"/>
      <w:divBdr>
        <w:top w:val="none" w:sz="0" w:space="0" w:color="auto"/>
        <w:left w:val="none" w:sz="0" w:space="0" w:color="auto"/>
        <w:bottom w:val="none" w:sz="0" w:space="0" w:color="auto"/>
        <w:right w:val="none" w:sz="0" w:space="0" w:color="auto"/>
      </w:divBdr>
    </w:div>
    <w:div w:id="819076099">
      <w:bodyDiv w:val="1"/>
      <w:marLeft w:val="0"/>
      <w:marRight w:val="0"/>
      <w:marTop w:val="0"/>
      <w:marBottom w:val="0"/>
      <w:divBdr>
        <w:top w:val="none" w:sz="0" w:space="0" w:color="auto"/>
        <w:left w:val="none" w:sz="0" w:space="0" w:color="auto"/>
        <w:bottom w:val="none" w:sz="0" w:space="0" w:color="auto"/>
        <w:right w:val="none" w:sz="0" w:space="0" w:color="auto"/>
      </w:divBdr>
    </w:div>
    <w:div w:id="820661253">
      <w:bodyDiv w:val="1"/>
      <w:marLeft w:val="0"/>
      <w:marRight w:val="0"/>
      <w:marTop w:val="0"/>
      <w:marBottom w:val="0"/>
      <w:divBdr>
        <w:top w:val="none" w:sz="0" w:space="0" w:color="auto"/>
        <w:left w:val="none" w:sz="0" w:space="0" w:color="auto"/>
        <w:bottom w:val="none" w:sz="0" w:space="0" w:color="auto"/>
        <w:right w:val="none" w:sz="0" w:space="0" w:color="auto"/>
      </w:divBdr>
    </w:div>
    <w:div w:id="839660530">
      <w:bodyDiv w:val="1"/>
      <w:marLeft w:val="0"/>
      <w:marRight w:val="0"/>
      <w:marTop w:val="0"/>
      <w:marBottom w:val="0"/>
      <w:divBdr>
        <w:top w:val="none" w:sz="0" w:space="0" w:color="auto"/>
        <w:left w:val="none" w:sz="0" w:space="0" w:color="auto"/>
        <w:bottom w:val="none" w:sz="0" w:space="0" w:color="auto"/>
        <w:right w:val="none" w:sz="0" w:space="0" w:color="auto"/>
      </w:divBdr>
    </w:div>
    <w:div w:id="881404193">
      <w:bodyDiv w:val="1"/>
      <w:marLeft w:val="0"/>
      <w:marRight w:val="0"/>
      <w:marTop w:val="0"/>
      <w:marBottom w:val="0"/>
      <w:divBdr>
        <w:top w:val="none" w:sz="0" w:space="0" w:color="auto"/>
        <w:left w:val="none" w:sz="0" w:space="0" w:color="auto"/>
        <w:bottom w:val="none" w:sz="0" w:space="0" w:color="auto"/>
        <w:right w:val="none" w:sz="0" w:space="0" w:color="auto"/>
      </w:divBdr>
    </w:div>
    <w:div w:id="891814494">
      <w:bodyDiv w:val="1"/>
      <w:marLeft w:val="0"/>
      <w:marRight w:val="0"/>
      <w:marTop w:val="0"/>
      <w:marBottom w:val="0"/>
      <w:divBdr>
        <w:top w:val="none" w:sz="0" w:space="0" w:color="auto"/>
        <w:left w:val="none" w:sz="0" w:space="0" w:color="auto"/>
        <w:bottom w:val="none" w:sz="0" w:space="0" w:color="auto"/>
        <w:right w:val="none" w:sz="0" w:space="0" w:color="auto"/>
      </w:divBdr>
      <w:divsChild>
        <w:div w:id="2128767648">
          <w:marLeft w:val="0"/>
          <w:marRight w:val="0"/>
          <w:marTop w:val="0"/>
          <w:marBottom w:val="0"/>
          <w:divBdr>
            <w:top w:val="none" w:sz="0" w:space="0" w:color="auto"/>
            <w:left w:val="none" w:sz="0" w:space="0" w:color="auto"/>
            <w:bottom w:val="none" w:sz="0" w:space="0" w:color="auto"/>
            <w:right w:val="none" w:sz="0" w:space="0" w:color="auto"/>
          </w:divBdr>
        </w:div>
      </w:divsChild>
    </w:div>
    <w:div w:id="912350168">
      <w:bodyDiv w:val="1"/>
      <w:marLeft w:val="0"/>
      <w:marRight w:val="0"/>
      <w:marTop w:val="0"/>
      <w:marBottom w:val="0"/>
      <w:divBdr>
        <w:top w:val="none" w:sz="0" w:space="0" w:color="auto"/>
        <w:left w:val="none" w:sz="0" w:space="0" w:color="auto"/>
        <w:bottom w:val="none" w:sz="0" w:space="0" w:color="auto"/>
        <w:right w:val="none" w:sz="0" w:space="0" w:color="auto"/>
      </w:divBdr>
    </w:div>
    <w:div w:id="915938446">
      <w:bodyDiv w:val="1"/>
      <w:marLeft w:val="0"/>
      <w:marRight w:val="0"/>
      <w:marTop w:val="0"/>
      <w:marBottom w:val="0"/>
      <w:divBdr>
        <w:top w:val="none" w:sz="0" w:space="0" w:color="auto"/>
        <w:left w:val="none" w:sz="0" w:space="0" w:color="auto"/>
        <w:bottom w:val="none" w:sz="0" w:space="0" w:color="auto"/>
        <w:right w:val="none" w:sz="0" w:space="0" w:color="auto"/>
      </w:divBdr>
    </w:div>
    <w:div w:id="939335976">
      <w:bodyDiv w:val="1"/>
      <w:marLeft w:val="0"/>
      <w:marRight w:val="0"/>
      <w:marTop w:val="0"/>
      <w:marBottom w:val="0"/>
      <w:divBdr>
        <w:top w:val="none" w:sz="0" w:space="0" w:color="auto"/>
        <w:left w:val="none" w:sz="0" w:space="0" w:color="auto"/>
        <w:bottom w:val="none" w:sz="0" w:space="0" w:color="auto"/>
        <w:right w:val="none" w:sz="0" w:space="0" w:color="auto"/>
      </w:divBdr>
      <w:divsChild>
        <w:div w:id="1283222977">
          <w:marLeft w:val="0"/>
          <w:marRight w:val="0"/>
          <w:marTop w:val="0"/>
          <w:marBottom w:val="0"/>
          <w:divBdr>
            <w:top w:val="none" w:sz="0" w:space="0" w:color="auto"/>
            <w:left w:val="none" w:sz="0" w:space="0" w:color="auto"/>
            <w:bottom w:val="none" w:sz="0" w:space="0" w:color="auto"/>
            <w:right w:val="none" w:sz="0" w:space="0" w:color="auto"/>
          </w:divBdr>
        </w:div>
      </w:divsChild>
    </w:div>
    <w:div w:id="951981210">
      <w:bodyDiv w:val="1"/>
      <w:marLeft w:val="0"/>
      <w:marRight w:val="0"/>
      <w:marTop w:val="0"/>
      <w:marBottom w:val="0"/>
      <w:divBdr>
        <w:top w:val="none" w:sz="0" w:space="0" w:color="auto"/>
        <w:left w:val="none" w:sz="0" w:space="0" w:color="auto"/>
        <w:bottom w:val="none" w:sz="0" w:space="0" w:color="auto"/>
        <w:right w:val="none" w:sz="0" w:space="0" w:color="auto"/>
      </w:divBdr>
    </w:div>
    <w:div w:id="1091467145">
      <w:bodyDiv w:val="1"/>
      <w:marLeft w:val="0"/>
      <w:marRight w:val="0"/>
      <w:marTop w:val="0"/>
      <w:marBottom w:val="0"/>
      <w:divBdr>
        <w:top w:val="none" w:sz="0" w:space="0" w:color="auto"/>
        <w:left w:val="none" w:sz="0" w:space="0" w:color="auto"/>
        <w:bottom w:val="none" w:sz="0" w:space="0" w:color="auto"/>
        <w:right w:val="none" w:sz="0" w:space="0" w:color="auto"/>
      </w:divBdr>
    </w:div>
    <w:div w:id="1118332279">
      <w:bodyDiv w:val="1"/>
      <w:marLeft w:val="0"/>
      <w:marRight w:val="0"/>
      <w:marTop w:val="0"/>
      <w:marBottom w:val="0"/>
      <w:divBdr>
        <w:top w:val="none" w:sz="0" w:space="0" w:color="auto"/>
        <w:left w:val="none" w:sz="0" w:space="0" w:color="auto"/>
        <w:bottom w:val="none" w:sz="0" w:space="0" w:color="auto"/>
        <w:right w:val="none" w:sz="0" w:space="0" w:color="auto"/>
      </w:divBdr>
    </w:div>
    <w:div w:id="1135754867">
      <w:bodyDiv w:val="1"/>
      <w:marLeft w:val="0"/>
      <w:marRight w:val="0"/>
      <w:marTop w:val="0"/>
      <w:marBottom w:val="0"/>
      <w:divBdr>
        <w:top w:val="none" w:sz="0" w:space="0" w:color="auto"/>
        <w:left w:val="none" w:sz="0" w:space="0" w:color="auto"/>
        <w:bottom w:val="none" w:sz="0" w:space="0" w:color="auto"/>
        <w:right w:val="none" w:sz="0" w:space="0" w:color="auto"/>
      </w:divBdr>
    </w:div>
    <w:div w:id="1136068777">
      <w:bodyDiv w:val="1"/>
      <w:marLeft w:val="0"/>
      <w:marRight w:val="0"/>
      <w:marTop w:val="0"/>
      <w:marBottom w:val="0"/>
      <w:divBdr>
        <w:top w:val="none" w:sz="0" w:space="0" w:color="auto"/>
        <w:left w:val="none" w:sz="0" w:space="0" w:color="auto"/>
        <w:bottom w:val="none" w:sz="0" w:space="0" w:color="auto"/>
        <w:right w:val="none" w:sz="0" w:space="0" w:color="auto"/>
      </w:divBdr>
    </w:div>
    <w:div w:id="1145657076">
      <w:bodyDiv w:val="1"/>
      <w:marLeft w:val="0"/>
      <w:marRight w:val="0"/>
      <w:marTop w:val="0"/>
      <w:marBottom w:val="0"/>
      <w:divBdr>
        <w:top w:val="none" w:sz="0" w:space="0" w:color="auto"/>
        <w:left w:val="none" w:sz="0" w:space="0" w:color="auto"/>
        <w:bottom w:val="none" w:sz="0" w:space="0" w:color="auto"/>
        <w:right w:val="none" w:sz="0" w:space="0" w:color="auto"/>
      </w:divBdr>
    </w:div>
    <w:div w:id="1160463346">
      <w:bodyDiv w:val="1"/>
      <w:marLeft w:val="0"/>
      <w:marRight w:val="0"/>
      <w:marTop w:val="0"/>
      <w:marBottom w:val="0"/>
      <w:divBdr>
        <w:top w:val="none" w:sz="0" w:space="0" w:color="auto"/>
        <w:left w:val="none" w:sz="0" w:space="0" w:color="auto"/>
        <w:bottom w:val="none" w:sz="0" w:space="0" w:color="auto"/>
        <w:right w:val="none" w:sz="0" w:space="0" w:color="auto"/>
      </w:divBdr>
    </w:div>
    <w:div w:id="1191454233">
      <w:bodyDiv w:val="1"/>
      <w:marLeft w:val="0"/>
      <w:marRight w:val="0"/>
      <w:marTop w:val="0"/>
      <w:marBottom w:val="0"/>
      <w:divBdr>
        <w:top w:val="none" w:sz="0" w:space="0" w:color="auto"/>
        <w:left w:val="none" w:sz="0" w:space="0" w:color="auto"/>
        <w:bottom w:val="none" w:sz="0" w:space="0" w:color="auto"/>
        <w:right w:val="none" w:sz="0" w:space="0" w:color="auto"/>
      </w:divBdr>
    </w:div>
    <w:div w:id="1217090351">
      <w:bodyDiv w:val="1"/>
      <w:marLeft w:val="0"/>
      <w:marRight w:val="0"/>
      <w:marTop w:val="0"/>
      <w:marBottom w:val="0"/>
      <w:divBdr>
        <w:top w:val="none" w:sz="0" w:space="0" w:color="auto"/>
        <w:left w:val="none" w:sz="0" w:space="0" w:color="auto"/>
        <w:bottom w:val="none" w:sz="0" w:space="0" w:color="auto"/>
        <w:right w:val="none" w:sz="0" w:space="0" w:color="auto"/>
      </w:divBdr>
    </w:div>
    <w:div w:id="1220433505">
      <w:bodyDiv w:val="1"/>
      <w:marLeft w:val="0"/>
      <w:marRight w:val="0"/>
      <w:marTop w:val="0"/>
      <w:marBottom w:val="0"/>
      <w:divBdr>
        <w:top w:val="none" w:sz="0" w:space="0" w:color="auto"/>
        <w:left w:val="none" w:sz="0" w:space="0" w:color="auto"/>
        <w:bottom w:val="none" w:sz="0" w:space="0" w:color="auto"/>
        <w:right w:val="none" w:sz="0" w:space="0" w:color="auto"/>
      </w:divBdr>
    </w:div>
    <w:div w:id="1320962355">
      <w:bodyDiv w:val="1"/>
      <w:marLeft w:val="0"/>
      <w:marRight w:val="0"/>
      <w:marTop w:val="0"/>
      <w:marBottom w:val="0"/>
      <w:divBdr>
        <w:top w:val="none" w:sz="0" w:space="0" w:color="auto"/>
        <w:left w:val="none" w:sz="0" w:space="0" w:color="auto"/>
        <w:bottom w:val="none" w:sz="0" w:space="0" w:color="auto"/>
        <w:right w:val="none" w:sz="0" w:space="0" w:color="auto"/>
      </w:divBdr>
      <w:divsChild>
        <w:div w:id="1981224233">
          <w:marLeft w:val="0"/>
          <w:marRight w:val="0"/>
          <w:marTop w:val="0"/>
          <w:marBottom w:val="0"/>
          <w:divBdr>
            <w:top w:val="none" w:sz="0" w:space="0" w:color="auto"/>
            <w:left w:val="none" w:sz="0" w:space="0" w:color="auto"/>
            <w:bottom w:val="none" w:sz="0" w:space="0" w:color="auto"/>
            <w:right w:val="none" w:sz="0" w:space="0" w:color="auto"/>
          </w:divBdr>
        </w:div>
      </w:divsChild>
    </w:div>
    <w:div w:id="1354527330">
      <w:bodyDiv w:val="1"/>
      <w:marLeft w:val="0"/>
      <w:marRight w:val="0"/>
      <w:marTop w:val="0"/>
      <w:marBottom w:val="0"/>
      <w:divBdr>
        <w:top w:val="none" w:sz="0" w:space="0" w:color="auto"/>
        <w:left w:val="none" w:sz="0" w:space="0" w:color="auto"/>
        <w:bottom w:val="none" w:sz="0" w:space="0" w:color="auto"/>
        <w:right w:val="none" w:sz="0" w:space="0" w:color="auto"/>
      </w:divBdr>
    </w:div>
    <w:div w:id="1360660730">
      <w:bodyDiv w:val="1"/>
      <w:marLeft w:val="0"/>
      <w:marRight w:val="0"/>
      <w:marTop w:val="0"/>
      <w:marBottom w:val="0"/>
      <w:divBdr>
        <w:top w:val="none" w:sz="0" w:space="0" w:color="auto"/>
        <w:left w:val="none" w:sz="0" w:space="0" w:color="auto"/>
        <w:bottom w:val="none" w:sz="0" w:space="0" w:color="auto"/>
        <w:right w:val="none" w:sz="0" w:space="0" w:color="auto"/>
      </w:divBdr>
    </w:div>
    <w:div w:id="1429042378">
      <w:bodyDiv w:val="1"/>
      <w:marLeft w:val="0"/>
      <w:marRight w:val="0"/>
      <w:marTop w:val="0"/>
      <w:marBottom w:val="0"/>
      <w:divBdr>
        <w:top w:val="none" w:sz="0" w:space="0" w:color="auto"/>
        <w:left w:val="none" w:sz="0" w:space="0" w:color="auto"/>
        <w:bottom w:val="none" w:sz="0" w:space="0" w:color="auto"/>
        <w:right w:val="none" w:sz="0" w:space="0" w:color="auto"/>
      </w:divBdr>
      <w:divsChild>
        <w:div w:id="1958682979">
          <w:marLeft w:val="0"/>
          <w:marRight w:val="0"/>
          <w:marTop w:val="0"/>
          <w:marBottom w:val="0"/>
          <w:divBdr>
            <w:top w:val="none" w:sz="0" w:space="0" w:color="auto"/>
            <w:left w:val="none" w:sz="0" w:space="0" w:color="auto"/>
            <w:bottom w:val="none" w:sz="0" w:space="0" w:color="auto"/>
            <w:right w:val="none" w:sz="0" w:space="0" w:color="auto"/>
          </w:divBdr>
        </w:div>
      </w:divsChild>
    </w:div>
    <w:div w:id="1436975063">
      <w:bodyDiv w:val="1"/>
      <w:marLeft w:val="0"/>
      <w:marRight w:val="0"/>
      <w:marTop w:val="0"/>
      <w:marBottom w:val="0"/>
      <w:divBdr>
        <w:top w:val="none" w:sz="0" w:space="0" w:color="auto"/>
        <w:left w:val="none" w:sz="0" w:space="0" w:color="auto"/>
        <w:bottom w:val="none" w:sz="0" w:space="0" w:color="auto"/>
        <w:right w:val="none" w:sz="0" w:space="0" w:color="auto"/>
      </w:divBdr>
    </w:div>
    <w:div w:id="1509906007">
      <w:bodyDiv w:val="1"/>
      <w:marLeft w:val="0"/>
      <w:marRight w:val="0"/>
      <w:marTop w:val="0"/>
      <w:marBottom w:val="0"/>
      <w:divBdr>
        <w:top w:val="none" w:sz="0" w:space="0" w:color="auto"/>
        <w:left w:val="none" w:sz="0" w:space="0" w:color="auto"/>
        <w:bottom w:val="none" w:sz="0" w:space="0" w:color="auto"/>
        <w:right w:val="none" w:sz="0" w:space="0" w:color="auto"/>
      </w:divBdr>
      <w:divsChild>
        <w:div w:id="950818587">
          <w:marLeft w:val="0"/>
          <w:marRight w:val="0"/>
          <w:marTop w:val="0"/>
          <w:marBottom w:val="0"/>
          <w:divBdr>
            <w:top w:val="none" w:sz="0" w:space="0" w:color="auto"/>
            <w:left w:val="none" w:sz="0" w:space="0" w:color="auto"/>
            <w:bottom w:val="none" w:sz="0" w:space="0" w:color="auto"/>
            <w:right w:val="none" w:sz="0" w:space="0" w:color="auto"/>
          </w:divBdr>
        </w:div>
      </w:divsChild>
    </w:div>
    <w:div w:id="1514537303">
      <w:bodyDiv w:val="1"/>
      <w:marLeft w:val="0"/>
      <w:marRight w:val="0"/>
      <w:marTop w:val="0"/>
      <w:marBottom w:val="0"/>
      <w:divBdr>
        <w:top w:val="none" w:sz="0" w:space="0" w:color="auto"/>
        <w:left w:val="none" w:sz="0" w:space="0" w:color="auto"/>
        <w:bottom w:val="none" w:sz="0" w:space="0" w:color="auto"/>
        <w:right w:val="none" w:sz="0" w:space="0" w:color="auto"/>
      </w:divBdr>
    </w:div>
    <w:div w:id="1537038902">
      <w:bodyDiv w:val="1"/>
      <w:marLeft w:val="0"/>
      <w:marRight w:val="0"/>
      <w:marTop w:val="0"/>
      <w:marBottom w:val="0"/>
      <w:divBdr>
        <w:top w:val="none" w:sz="0" w:space="0" w:color="auto"/>
        <w:left w:val="none" w:sz="0" w:space="0" w:color="auto"/>
        <w:bottom w:val="none" w:sz="0" w:space="0" w:color="auto"/>
        <w:right w:val="none" w:sz="0" w:space="0" w:color="auto"/>
      </w:divBdr>
    </w:div>
    <w:div w:id="1538153214">
      <w:bodyDiv w:val="1"/>
      <w:marLeft w:val="0"/>
      <w:marRight w:val="0"/>
      <w:marTop w:val="0"/>
      <w:marBottom w:val="0"/>
      <w:divBdr>
        <w:top w:val="none" w:sz="0" w:space="0" w:color="auto"/>
        <w:left w:val="none" w:sz="0" w:space="0" w:color="auto"/>
        <w:bottom w:val="none" w:sz="0" w:space="0" w:color="auto"/>
        <w:right w:val="none" w:sz="0" w:space="0" w:color="auto"/>
      </w:divBdr>
    </w:div>
    <w:div w:id="1546068056">
      <w:bodyDiv w:val="1"/>
      <w:marLeft w:val="0"/>
      <w:marRight w:val="0"/>
      <w:marTop w:val="0"/>
      <w:marBottom w:val="0"/>
      <w:divBdr>
        <w:top w:val="none" w:sz="0" w:space="0" w:color="auto"/>
        <w:left w:val="none" w:sz="0" w:space="0" w:color="auto"/>
        <w:bottom w:val="none" w:sz="0" w:space="0" w:color="auto"/>
        <w:right w:val="none" w:sz="0" w:space="0" w:color="auto"/>
      </w:divBdr>
      <w:divsChild>
        <w:div w:id="2033455441">
          <w:marLeft w:val="0"/>
          <w:marRight w:val="0"/>
          <w:marTop w:val="0"/>
          <w:marBottom w:val="0"/>
          <w:divBdr>
            <w:top w:val="none" w:sz="0" w:space="0" w:color="auto"/>
            <w:left w:val="none" w:sz="0" w:space="0" w:color="auto"/>
            <w:bottom w:val="none" w:sz="0" w:space="0" w:color="auto"/>
            <w:right w:val="none" w:sz="0" w:space="0" w:color="auto"/>
          </w:divBdr>
        </w:div>
      </w:divsChild>
    </w:div>
    <w:div w:id="1585648831">
      <w:bodyDiv w:val="1"/>
      <w:marLeft w:val="0"/>
      <w:marRight w:val="0"/>
      <w:marTop w:val="0"/>
      <w:marBottom w:val="0"/>
      <w:divBdr>
        <w:top w:val="none" w:sz="0" w:space="0" w:color="auto"/>
        <w:left w:val="none" w:sz="0" w:space="0" w:color="auto"/>
        <w:bottom w:val="none" w:sz="0" w:space="0" w:color="auto"/>
        <w:right w:val="none" w:sz="0" w:space="0" w:color="auto"/>
      </w:divBdr>
      <w:divsChild>
        <w:div w:id="208421591">
          <w:marLeft w:val="0"/>
          <w:marRight w:val="0"/>
          <w:marTop w:val="0"/>
          <w:marBottom w:val="0"/>
          <w:divBdr>
            <w:top w:val="none" w:sz="0" w:space="0" w:color="auto"/>
            <w:left w:val="none" w:sz="0" w:space="0" w:color="auto"/>
            <w:bottom w:val="none" w:sz="0" w:space="0" w:color="auto"/>
            <w:right w:val="none" w:sz="0" w:space="0" w:color="auto"/>
          </w:divBdr>
        </w:div>
      </w:divsChild>
    </w:div>
    <w:div w:id="1605763371">
      <w:bodyDiv w:val="1"/>
      <w:marLeft w:val="0"/>
      <w:marRight w:val="0"/>
      <w:marTop w:val="0"/>
      <w:marBottom w:val="0"/>
      <w:divBdr>
        <w:top w:val="none" w:sz="0" w:space="0" w:color="auto"/>
        <w:left w:val="none" w:sz="0" w:space="0" w:color="auto"/>
        <w:bottom w:val="none" w:sz="0" w:space="0" w:color="auto"/>
        <w:right w:val="none" w:sz="0" w:space="0" w:color="auto"/>
      </w:divBdr>
    </w:div>
    <w:div w:id="1645350980">
      <w:bodyDiv w:val="1"/>
      <w:marLeft w:val="0"/>
      <w:marRight w:val="0"/>
      <w:marTop w:val="0"/>
      <w:marBottom w:val="0"/>
      <w:divBdr>
        <w:top w:val="none" w:sz="0" w:space="0" w:color="auto"/>
        <w:left w:val="none" w:sz="0" w:space="0" w:color="auto"/>
        <w:bottom w:val="none" w:sz="0" w:space="0" w:color="auto"/>
        <w:right w:val="none" w:sz="0" w:space="0" w:color="auto"/>
      </w:divBdr>
    </w:div>
    <w:div w:id="1664041015">
      <w:bodyDiv w:val="1"/>
      <w:marLeft w:val="0"/>
      <w:marRight w:val="0"/>
      <w:marTop w:val="0"/>
      <w:marBottom w:val="0"/>
      <w:divBdr>
        <w:top w:val="none" w:sz="0" w:space="0" w:color="auto"/>
        <w:left w:val="none" w:sz="0" w:space="0" w:color="auto"/>
        <w:bottom w:val="none" w:sz="0" w:space="0" w:color="auto"/>
        <w:right w:val="none" w:sz="0" w:space="0" w:color="auto"/>
      </w:divBdr>
      <w:divsChild>
        <w:div w:id="2087460255">
          <w:marLeft w:val="0"/>
          <w:marRight w:val="0"/>
          <w:marTop w:val="0"/>
          <w:marBottom w:val="0"/>
          <w:divBdr>
            <w:top w:val="none" w:sz="0" w:space="0" w:color="auto"/>
            <w:left w:val="none" w:sz="0" w:space="0" w:color="auto"/>
            <w:bottom w:val="none" w:sz="0" w:space="0" w:color="auto"/>
            <w:right w:val="none" w:sz="0" w:space="0" w:color="auto"/>
          </w:divBdr>
        </w:div>
      </w:divsChild>
    </w:div>
    <w:div w:id="1679119112">
      <w:bodyDiv w:val="1"/>
      <w:marLeft w:val="0"/>
      <w:marRight w:val="0"/>
      <w:marTop w:val="0"/>
      <w:marBottom w:val="0"/>
      <w:divBdr>
        <w:top w:val="none" w:sz="0" w:space="0" w:color="auto"/>
        <w:left w:val="none" w:sz="0" w:space="0" w:color="auto"/>
        <w:bottom w:val="none" w:sz="0" w:space="0" w:color="auto"/>
        <w:right w:val="none" w:sz="0" w:space="0" w:color="auto"/>
      </w:divBdr>
      <w:divsChild>
        <w:div w:id="1641033257">
          <w:marLeft w:val="0"/>
          <w:marRight w:val="0"/>
          <w:marTop w:val="0"/>
          <w:marBottom w:val="0"/>
          <w:divBdr>
            <w:top w:val="none" w:sz="0" w:space="0" w:color="auto"/>
            <w:left w:val="none" w:sz="0" w:space="0" w:color="auto"/>
            <w:bottom w:val="none" w:sz="0" w:space="0" w:color="auto"/>
            <w:right w:val="none" w:sz="0" w:space="0" w:color="auto"/>
          </w:divBdr>
        </w:div>
      </w:divsChild>
    </w:div>
    <w:div w:id="1682465539">
      <w:bodyDiv w:val="1"/>
      <w:marLeft w:val="0"/>
      <w:marRight w:val="0"/>
      <w:marTop w:val="0"/>
      <w:marBottom w:val="0"/>
      <w:divBdr>
        <w:top w:val="none" w:sz="0" w:space="0" w:color="auto"/>
        <w:left w:val="none" w:sz="0" w:space="0" w:color="auto"/>
        <w:bottom w:val="none" w:sz="0" w:space="0" w:color="auto"/>
        <w:right w:val="none" w:sz="0" w:space="0" w:color="auto"/>
      </w:divBdr>
    </w:div>
    <w:div w:id="1749230407">
      <w:bodyDiv w:val="1"/>
      <w:marLeft w:val="0"/>
      <w:marRight w:val="0"/>
      <w:marTop w:val="0"/>
      <w:marBottom w:val="0"/>
      <w:divBdr>
        <w:top w:val="none" w:sz="0" w:space="0" w:color="auto"/>
        <w:left w:val="none" w:sz="0" w:space="0" w:color="auto"/>
        <w:bottom w:val="none" w:sz="0" w:space="0" w:color="auto"/>
        <w:right w:val="none" w:sz="0" w:space="0" w:color="auto"/>
      </w:divBdr>
    </w:div>
    <w:div w:id="1786806035">
      <w:bodyDiv w:val="1"/>
      <w:marLeft w:val="0"/>
      <w:marRight w:val="0"/>
      <w:marTop w:val="0"/>
      <w:marBottom w:val="0"/>
      <w:divBdr>
        <w:top w:val="none" w:sz="0" w:space="0" w:color="auto"/>
        <w:left w:val="none" w:sz="0" w:space="0" w:color="auto"/>
        <w:bottom w:val="none" w:sz="0" w:space="0" w:color="auto"/>
        <w:right w:val="none" w:sz="0" w:space="0" w:color="auto"/>
      </w:divBdr>
    </w:div>
    <w:div w:id="1792941131">
      <w:bodyDiv w:val="1"/>
      <w:marLeft w:val="0"/>
      <w:marRight w:val="0"/>
      <w:marTop w:val="0"/>
      <w:marBottom w:val="0"/>
      <w:divBdr>
        <w:top w:val="none" w:sz="0" w:space="0" w:color="auto"/>
        <w:left w:val="none" w:sz="0" w:space="0" w:color="auto"/>
        <w:bottom w:val="none" w:sz="0" w:space="0" w:color="auto"/>
        <w:right w:val="none" w:sz="0" w:space="0" w:color="auto"/>
      </w:divBdr>
    </w:div>
    <w:div w:id="1809325862">
      <w:bodyDiv w:val="1"/>
      <w:marLeft w:val="0"/>
      <w:marRight w:val="0"/>
      <w:marTop w:val="0"/>
      <w:marBottom w:val="0"/>
      <w:divBdr>
        <w:top w:val="none" w:sz="0" w:space="0" w:color="auto"/>
        <w:left w:val="none" w:sz="0" w:space="0" w:color="auto"/>
        <w:bottom w:val="none" w:sz="0" w:space="0" w:color="auto"/>
        <w:right w:val="none" w:sz="0" w:space="0" w:color="auto"/>
      </w:divBdr>
    </w:div>
    <w:div w:id="1822574303">
      <w:bodyDiv w:val="1"/>
      <w:marLeft w:val="0"/>
      <w:marRight w:val="0"/>
      <w:marTop w:val="0"/>
      <w:marBottom w:val="0"/>
      <w:divBdr>
        <w:top w:val="none" w:sz="0" w:space="0" w:color="auto"/>
        <w:left w:val="none" w:sz="0" w:space="0" w:color="auto"/>
        <w:bottom w:val="none" w:sz="0" w:space="0" w:color="auto"/>
        <w:right w:val="none" w:sz="0" w:space="0" w:color="auto"/>
      </w:divBdr>
      <w:divsChild>
        <w:div w:id="2034500781">
          <w:marLeft w:val="0"/>
          <w:marRight w:val="0"/>
          <w:marTop w:val="0"/>
          <w:marBottom w:val="0"/>
          <w:divBdr>
            <w:top w:val="none" w:sz="0" w:space="0" w:color="auto"/>
            <w:left w:val="none" w:sz="0" w:space="0" w:color="auto"/>
            <w:bottom w:val="none" w:sz="0" w:space="0" w:color="auto"/>
            <w:right w:val="none" w:sz="0" w:space="0" w:color="auto"/>
          </w:divBdr>
        </w:div>
      </w:divsChild>
    </w:div>
    <w:div w:id="1866596635">
      <w:bodyDiv w:val="1"/>
      <w:marLeft w:val="0"/>
      <w:marRight w:val="0"/>
      <w:marTop w:val="0"/>
      <w:marBottom w:val="0"/>
      <w:divBdr>
        <w:top w:val="none" w:sz="0" w:space="0" w:color="auto"/>
        <w:left w:val="none" w:sz="0" w:space="0" w:color="auto"/>
        <w:bottom w:val="none" w:sz="0" w:space="0" w:color="auto"/>
        <w:right w:val="none" w:sz="0" w:space="0" w:color="auto"/>
      </w:divBdr>
    </w:div>
    <w:div w:id="1897886967">
      <w:bodyDiv w:val="1"/>
      <w:marLeft w:val="0"/>
      <w:marRight w:val="0"/>
      <w:marTop w:val="0"/>
      <w:marBottom w:val="0"/>
      <w:divBdr>
        <w:top w:val="none" w:sz="0" w:space="0" w:color="auto"/>
        <w:left w:val="none" w:sz="0" w:space="0" w:color="auto"/>
        <w:bottom w:val="none" w:sz="0" w:space="0" w:color="auto"/>
        <w:right w:val="none" w:sz="0" w:space="0" w:color="auto"/>
      </w:divBdr>
    </w:div>
    <w:div w:id="1923488722">
      <w:bodyDiv w:val="1"/>
      <w:marLeft w:val="0"/>
      <w:marRight w:val="0"/>
      <w:marTop w:val="0"/>
      <w:marBottom w:val="0"/>
      <w:divBdr>
        <w:top w:val="none" w:sz="0" w:space="0" w:color="auto"/>
        <w:left w:val="none" w:sz="0" w:space="0" w:color="auto"/>
        <w:bottom w:val="none" w:sz="0" w:space="0" w:color="auto"/>
        <w:right w:val="none" w:sz="0" w:space="0" w:color="auto"/>
      </w:divBdr>
    </w:div>
    <w:div w:id="1931770196">
      <w:bodyDiv w:val="1"/>
      <w:marLeft w:val="0"/>
      <w:marRight w:val="0"/>
      <w:marTop w:val="0"/>
      <w:marBottom w:val="0"/>
      <w:divBdr>
        <w:top w:val="none" w:sz="0" w:space="0" w:color="auto"/>
        <w:left w:val="none" w:sz="0" w:space="0" w:color="auto"/>
        <w:bottom w:val="none" w:sz="0" w:space="0" w:color="auto"/>
        <w:right w:val="none" w:sz="0" w:space="0" w:color="auto"/>
      </w:divBdr>
      <w:divsChild>
        <w:div w:id="920453777">
          <w:marLeft w:val="0"/>
          <w:marRight w:val="0"/>
          <w:marTop w:val="0"/>
          <w:marBottom w:val="0"/>
          <w:divBdr>
            <w:top w:val="none" w:sz="0" w:space="0" w:color="auto"/>
            <w:left w:val="none" w:sz="0" w:space="0" w:color="auto"/>
            <w:bottom w:val="none" w:sz="0" w:space="0" w:color="auto"/>
            <w:right w:val="none" w:sz="0" w:space="0" w:color="auto"/>
          </w:divBdr>
        </w:div>
      </w:divsChild>
    </w:div>
    <w:div w:id="1944993242">
      <w:bodyDiv w:val="1"/>
      <w:marLeft w:val="0"/>
      <w:marRight w:val="0"/>
      <w:marTop w:val="0"/>
      <w:marBottom w:val="0"/>
      <w:divBdr>
        <w:top w:val="none" w:sz="0" w:space="0" w:color="auto"/>
        <w:left w:val="none" w:sz="0" w:space="0" w:color="auto"/>
        <w:bottom w:val="none" w:sz="0" w:space="0" w:color="auto"/>
        <w:right w:val="none" w:sz="0" w:space="0" w:color="auto"/>
      </w:divBdr>
      <w:divsChild>
        <w:div w:id="696810868">
          <w:marLeft w:val="0"/>
          <w:marRight w:val="0"/>
          <w:marTop w:val="0"/>
          <w:marBottom w:val="0"/>
          <w:divBdr>
            <w:top w:val="none" w:sz="0" w:space="0" w:color="auto"/>
            <w:left w:val="none" w:sz="0" w:space="0" w:color="auto"/>
            <w:bottom w:val="none" w:sz="0" w:space="0" w:color="auto"/>
            <w:right w:val="none" w:sz="0" w:space="0" w:color="auto"/>
          </w:divBdr>
        </w:div>
      </w:divsChild>
    </w:div>
    <w:div w:id="1952784802">
      <w:bodyDiv w:val="1"/>
      <w:marLeft w:val="0"/>
      <w:marRight w:val="0"/>
      <w:marTop w:val="0"/>
      <w:marBottom w:val="0"/>
      <w:divBdr>
        <w:top w:val="none" w:sz="0" w:space="0" w:color="auto"/>
        <w:left w:val="none" w:sz="0" w:space="0" w:color="auto"/>
        <w:bottom w:val="none" w:sz="0" w:space="0" w:color="auto"/>
        <w:right w:val="none" w:sz="0" w:space="0" w:color="auto"/>
      </w:divBdr>
    </w:div>
    <w:div w:id="1976594678">
      <w:bodyDiv w:val="1"/>
      <w:marLeft w:val="0"/>
      <w:marRight w:val="0"/>
      <w:marTop w:val="0"/>
      <w:marBottom w:val="0"/>
      <w:divBdr>
        <w:top w:val="none" w:sz="0" w:space="0" w:color="auto"/>
        <w:left w:val="none" w:sz="0" w:space="0" w:color="auto"/>
        <w:bottom w:val="none" w:sz="0" w:space="0" w:color="auto"/>
        <w:right w:val="none" w:sz="0" w:space="0" w:color="auto"/>
      </w:divBdr>
      <w:divsChild>
        <w:div w:id="2130053000">
          <w:marLeft w:val="0"/>
          <w:marRight w:val="0"/>
          <w:marTop w:val="0"/>
          <w:marBottom w:val="0"/>
          <w:divBdr>
            <w:top w:val="none" w:sz="0" w:space="0" w:color="auto"/>
            <w:left w:val="none" w:sz="0" w:space="0" w:color="auto"/>
            <w:bottom w:val="none" w:sz="0" w:space="0" w:color="auto"/>
            <w:right w:val="none" w:sz="0" w:space="0" w:color="auto"/>
          </w:divBdr>
        </w:div>
      </w:divsChild>
    </w:div>
    <w:div w:id="2033914632">
      <w:bodyDiv w:val="1"/>
      <w:marLeft w:val="0"/>
      <w:marRight w:val="0"/>
      <w:marTop w:val="0"/>
      <w:marBottom w:val="0"/>
      <w:divBdr>
        <w:top w:val="none" w:sz="0" w:space="0" w:color="auto"/>
        <w:left w:val="none" w:sz="0" w:space="0" w:color="auto"/>
        <w:bottom w:val="none" w:sz="0" w:space="0" w:color="auto"/>
        <w:right w:val="none" w:sz="0" w:space="0" w:color="auto"/>
      </w:divBdr>
    </w:div>
    <w:div w:id="2050572583">
      <w:bodyDiv w:val="1"/>
      <w:marLeft w:val="0"/>
      <w:marRight w:val="0"/>
      <w:marTop w:val="0"/>
      <w:marBottom w:val="0"/>
      <w:divBdr>
        <w:top w:val="none" w:sz="0" w:space="0" w:color="auto"/>
        <w:left w:val="none" w:sz="0" w:space="0" w:color="auto"/>
        <w:bottom w:val="none" w:sz="0" w:space="0" w:color="auto"/>
        <w:right w:val="none" w:sz="0" w:space="0" w:color="auto"/>
      </w:divBdr>
    </w:div>
    <w:div w:id="2057729455">
      <w:bodyDiv w:val="1"/>
      <w:marLeft w:val="0"/>
      <w:marRight w:val="0"/>
      <w:marTop w:val="0"/>
      <w:marBottom w:val="0"/>
      <w:divBdr>
        <w:top w:val="none" w:sz="0" w:space="0" w:color="auto"/>
        <w:left w:val="none" w:sz="0" w:space="0" w:color="auto"/>
        <w:bottom w:val="none" w:sz="0" w:space="0" w:color="auto"/>
        <w:right w:val="none" w:sz="0" w:space="0" w:color="auto"/>
      </w:divBdr>
    </w:div>
    <w:div w:id="2071420537">
      <w:bodyDiv w:val="1"/>
      <w:marLeft w:val="0"/>
      <w:marRight w:val="0"/>
      <w:marTop w:val="0"/>
      <w:marBottom w:val="0"/>
      <w:divBdr>
        <w:top w:val="none" w:sz="0" w:space="0" w:color="auto"/>
        <w:left w:val="none" w:sz="0" w:space="0" w:color="auto"/>
        <w:bottom w:val="none" w:sz="0" w:space="0" w:color="auto"/>
        <w:right w:val="none" w:sz="0" w:space="0" w:color="auto"/>
      </w:divBdr>
    </w:div>
    <w:div w:id="2104377881">
      <w:bodyDiv w:val="1"/>
      <w:marLeft w:val="0"/>
      <w:marRight w:val="0"/>
      <w:marTop w:val="0"/>
      <w:marBottom w:val="0"/>
      <w:divBdr>
        <w:top w:val="none" w:sz="0" w:space="0" w:color="auto"/>
        <w:left w:val="none" w:sz="0" w:space="0" w:color="auto"/>
        <w:bottom w:val="none" w:sz="0" w:space="0" w:color="auto"/>
        <w:right w:val="none" w:sz="0" w:space="0" w:color="auto"/>
      </w:divBdr>
    </w:div>
    <w:div w:id="213451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77769-275A-4C54-B80A-4FE34A9CF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23</Pages>
  <Words>29160</Words>
  <Characters>166215</Characters>
  <Application>Microsoft Office Word</Application>
  <DocSecurity>0</DocSecurity>
  <Lines>1385</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Sobur Setiaman</dc:creator>
  <cp:keywords/>
  <dc:description/>
  <cp:lastModifiedBy>Editor-1183</cp:lastModifiedBy>
  <cp:revision>38</cp:revision>
  <cp:lastPrinted>2025-12-04T04:03:00Z</cp:lastPrinted>
  <dcterms:created xsi:type="dcterms:W3CDTF">2025-12-14T12:39:00Z</dcterms:created>
  <dcterms:modified xsi:type="dcterms:W3CDTF">2025-12-24T14:09:00Z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7d34899,1798357c,4c504866</vt:lpwstr>
  </property>
  <property fmtid="{D5CDD505-2E9C-101B-9397-08002B2CF9AE}" pid="3" name="ClassificationContentMarkingHeaderFontProps">
    <vt:lpwstr>#000000,10,Calibri</vt:lpwstr>
  </property>
  <property fmtid="{D5CDD505-2E9C-101B-9397-08002B2CF9AE}" pid="4" name="ClassificationContentMarkingHeaderText">
    <vt:lpwstr>CLASSIFICATION: C0 - NON-CONFIDENTIAL</vt:lpwstr>
  </property>
  <property fmtid="{D5CDD505-2E9C-101B-9397-08002B2CF9AE}" pid="5" name="MSIP_Label_f3421fd5-fb38-4dc9-a3b2-1c473f11536f_Enabled">
    <vt:lpwstr>true</vt:lpwstr>
  </property>
  <property fmtid="{D5CDD505-2E9C-101B-9397-08002B2CF9AE}" pid="6" name="MSIP_Label_f3421fd5-fb38-4dc9-a3b2-1c473f11536f_SetDate">
    <vt:lpwstr>2025-11-25T11:06:04Z</vt:lpwstr>
  </property>
  <property fmtid="{D5CDD505-2E9C-101B-9397-08002B2CF9AE}" pid="7" name="MSIP_Label_f3421fd5-fb38-4dc9-a3b2-1c473f11536f_Method">
    <vt:lpwstr>Privileged</vt:lpwstr>
  </property>
  <property fmtid="{D5CDD505-2E9C-101B-9397-08002B2CF9AE}" pid="8" name="MSIP_Label_f3421fd5-fb38-4dc9-a3b2-1c473f11536f_Name">
    <vt:lpwstr>C0 - NON-CONFIDENTIAL</vt:lpwstr>
  </property>
  <property fmtid="{D5CDD505-2E9C-101B-9397-08002B2CF9AE}" pid="9" name="MSIP_Label_f3421fd5-fb38-4dc9-a3b2-1c473f11536f_SiteId">
    <vt:lpwstr>22e9f6b1-8d64-4327-9344-7495608a7368</vt:lpwstr>
  </property>
  <property fmtid="{D5CDD505-2E9C-101B-9397-08002B2CF9AE}" pid="10" name="MSIP_Label_f3421fd5-fb38-4dc9-a3b2-1c473f11536f_ActionId">
    <vt:lpwstr>4e77ace7-e0b9-4928-ba15-eb3e169ac62e</vt:lpwstr>
  </property>
  <property fmtid="{D5CDD505-2E9C-101B-9397-08002B2CF9AE}" pid="11" name="MSIP_Label_f3421fd5-fb38-4dc9-a3b2-1c473f11536f_ContentBits">
    <vt:lpwstr>1</vt:lpwstr>
  </property>
  <property fmtid="{D5CDD505-2E9C-101B-9397-08002B2CF9AE}" pid="12" name="MSIP_Label_f3421fd5-fb38-4dc9-a3b2-1c473f11536f_Tag">
    <vt:lpwstr>10, 0, 1, 1</vt:lpwstr>
  </property>
  <property fmtid="{D5CDD505-2E9C-101B-9397-08002B2CF9AE}" pid="13" name="Mendeley Recent Style Id 0_1">
    <vt:lpwstr>http://www.zotero.org/styles/american-medical-association</vt:lpwstr>
  </property>
  <property fmtid="{D5CDD505-2E9C-101B-9397-08002B2CF9AE}" pid="14" name="Mendeley Recent Style Name 0_1">
    <vt:lpwstr>American Medical Association 11th edition</vt:lpwstr>
  </property>
  <property fmtid="{D5CDD505-2E9C-101B-9397-08002B2CF9AE}" pid="15" name="Mendeley Recent Style Id 1_1">
    <vt:lpwstr>http://www.zotero.org/styles/american-political-science-association</vt:lpwstr>
  </property>
  <property fmtid="{D5CDD505-2E9C-101B-9397-08002B2CF9AE}" pid="16" name="Mendeley Recent Style Name 1_1">
    <vt:lpwstr>American Political Science Association</vt:lpwstr>
  </property>
  <property fmtid="{D5CDD505-2E9C-101B-9397-08002B2CF9AE}" pid="17" name="Mendeley Recent Style Id 2_1">
    <vt:lpwstr>http://www.zotero.org/styles/apa</vt:lpwstr>
  </property>
  <property fmtid="{D5CDD505-2E9C-101B-9397-08002B2CF9AE}" pid="18" name="Mendeley Recent Style Name 2_1">
    <vt:lpwstr>American Psychological Association 7th edition</vt:lpwstr>
  </property>
  <property fmtid="{D5CDD505-2E9C-101B-9397-08002B2CF9AE}" pid="19" name="Mendeley Recent Style Id 3_1">
    <vt:lpwstr>http://www.zotero.org/styles/american-sociological-association</vt:lpwstr>
  </property>
  <property fmtid="{D5CDD505-2E9C-101B-9397-08002B2CF9AE}" pid="20" name="Mendeley Recent Style Name 3_1">
    <vt:lpwstr>American Sociological Association 6th/7th edition</vt:lpwstr>
  </property>
  <property fmtid="{D5CDD505-2E9C-101B-9397-08002B2CF9AE}" pid="21" name="Mendeley Recent Style Id 4_1">
    <vt:lpwstr>http://www.zotero.org/styles/chicago-author-date</vt:lpwstr>
  </property>
  <property fmtid="{D5CDD505-2E9C-101B-9397-08002B2CF9AE}" pid="22" name="Mendeley Recent Style Name 4_1">
    <vt:lpwstr>Chicago Manual of Style 18th edition (author-date)</vt:lpwstr>
  </property>
  <property fmtid="{D5CDD505-2E9C-101B-9397-08002B2CF9AE}" pid="23" name="Mendeley Recent Style Id 5_1">
    <vt:lpwstr>http://www.zotero.org/styles/harvard-cite-them-right</vt:lpwstr>
  </property>
  <property fmtid="{D5CDD505-2E9C-101B-9397-08002B2CF9AE}" pid="24" name="Mendeley Recent Style Name 5_1">
    <vt:lpwstr>Cite Them Right 12th edition - Harvard</vt:lpwstr>
  </property>
  <property fmtid="{D5CDD505-2E9C-101B-9397-08002B2CF9AE}" pid="25" name="Mendeley Recent Style Id 6_1">
    <vt:lpwstr>http://www.zotero.org/styles/ieee</vt:lpwstr>
  </property>
  <property fmtid="{D5CDD505-2E9C-101B-9397-08002B2CF9AE}" pid="26" name="Mendeley Recent Style Name 6_1">
    <vt:lpwstr>IEEE</vt:lpwstr>
  </property>
  <property fmtid="{D5CDD505-2E9C-101B-9397-08002B2CF9AE}" pid="27" name="Mendeley Recent Style Id 7_1">
    <vt:lpwstr>http://www.zotero.org/styles/modern-humanities-research-association</vt:lpwstr>
  </property>
  <property fmtid="{D5CDD505-2E9C-101B-9397-08002B2CF9AE}" pid="28" name="Mendeley Recent Style Name 7_1">
    <vt:lpwstr>Modern Humanities Research Association 3rd edition (note with bibliography)</vt:lpwstr>
  </property>
  <property fmtid="{D5CDD505-2E9C-101B-9397-08002B2CF9AE}" pid="29" name="Mendeley Recent Style Id 8_1">
    <vt:lpwstr>http://www.zotero.org/styles/modern-language-association</vt:lpwstr>
  </property>
  <property fmtid="{D5CDD505-2E9C-101B-9397-08002B2CF9AE}" pid="30" name="Mendeley Recent Style Name 8_1">
    <vt:lpwstr>Modern Language Association 9th edition (in-text citations)</vt:lpwstr>
  </property>
  <property fmtid="{D5CDD505-2E9C-101B-9397-08002B2CF9AE}" pid="31" name="Mendeley Recent Style Id 9_1">
    <vt:lpwstr>http://www.zotero.org/styles/nature</vt:lpwstr>
  </property>
  <property fmtid="{D5CDD505-2E9C-101B-9397-08002B2CF9AE}" pid="32" name="Mendeley Recent Style Name 9_1">
    <vt:lpwstr>Nature</vt:lpwstr>
  </property>
  <property fmtid="{D5CDD505-2E9C-101B-9397-08002B2CF9AE}" pid="33" name="Mendeley Document_1">
    <vt:lpwstr>True</vt:lpwstr>
  </property>
  <property fmtid="{D5CDD505-2E9C-101B-9397-08002B2CF9AE}" pid="34" name="Mendeley Unique User Id_1">
    <vt:lpwstr>341e6930-1d1f-3461-86c3-d85f62757890</vt:lpwstr>
  </property>
  <property fmtid="{D5CDD505-2E9C-101B-9397-08002B2CF9AE}" pid="35" name="Mendeley Citation Style_1">
    <vt:lpwstr>http://www.zotero.org/styles/apa</vt:lpwstr>
  </property>
</Properties>
</file>