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FCE6D" w14:textId="77777777" w:rsidR="006A338F" w:rsidRPr="00865399" w:rsidRDefault="006A338F" w:rsidP="00865399">
      <w:pPr>
        <w:spacing w:line="276" w:lineRule="auto"/>
        <w:jc w:val="right"/>
        <w:rPr>
          <w:rFonts w:cstheme="minorHAnsi"/>
          <w:color w:val="000000" w:themeColor="text1"/>
          <w:sz w:val="36"/>
          <w:szCs w:val="36"/>
        </w:rPr>
      </w:pPr>
    </w:p>
    <w:p w14:paraId="28ECA3BB" w14:textId="4BBAC39C" w:rsidR="00841435" w:rsidRPr="00865399" w:rsidRDefault="00841435" w:rsidP="00865399">
      <w:pPr>
        <w:spacing w:line="276" w:lineRule="auto"/>
        <w:jc w:val="right"/>
        <w:rPr>
          <w:rFonts w:cstheme="minorHAnsi"/>
          <w:b/>
          <w:bCs/>
          <w:color w:val="000000" w:themeColor="text1"/>
          <w:sz w:val="36"/>
          <w:szCs w:val="36"/>
        </w:rPr>
      </w:pPr>
      <w:r w:rsidRPr="00865399">
        <w:rPr>
          <w:rFonts w:cstheme="minorHAnsi"/>
          <w:b/>
          <w:bCs/>
          <w:color w:val="000000" w:themeColor="text1"/>
          <w:sz w:val="36"/>
          <w:szCs w:val="36"/>
        </w:rPr>
        <w:t>Knowledge, Attitude and Preventive Practices Toward Sexually Transmitted Infections Among College Students of Sikkim Manipal University: An Institutional</w:t>
      </w:r>
      <w:r w:rsidRPr="00865399">
        <w:rPr>
          <w:rFonts w:ascii="Cambria Math" w:hAnsi="Cambria Math" w:cs="Cambria Math"/>
          <w:b/>
          <w:bCs/>
          <w:color w:val="000000" w:themeColor="text1"/>
          <w:sz w:val="36"/>
          <w:szCs w:val="36"/>
        </w:rPr>
        <w:t>‑</w:t>
      </w:r>
      <w:r w:rsidRPr="00865399">
        <w:rPr>
          <w:rFonts w:cstheme="minorHAnsi"/>
          <w:b/>
          <w:bCs/>
          <w:color w:val="000000" w:themeColor="text1"/>
          <w:sz w:val="36"/>
          <w:szCs w:val="36"/>
        </w:rPr>
        <w:t>Based Cross</w:t>
      </w:r>
      <w:r w:rsidRPr="00865399">
        <w:rPr>
          <w:rFonts w:ascii="Cambria Math" w:hAnsi="Cambria Math" w:cs="Cambria Math"/>
          <w:b/>
          <w:bCs/>
          <w:color w:val="000000" w:themeColor="text1"/>
          <w:sz w:val="36"/>
          <w:szCs w:val="36"/>
        </w:rPr>
        <w:t>‑</w:t>
      </w:r>
      <w:r w:rsidRPr="00865399">
        <w:rPr>
          <w:rFonts w:cstheme="minorHAnsi"/>
          <w:b/>
          <w:bCs/>
          <w:color w:val="000000" w:themeColor="text1"/>
          <w:sz w:val="36"/>
          <w:szCs w:val="36"/>
        </w:rPr>
        <w:t>Sectional Study</w:t>
      </w:r>
    </w:p>
    <w:p w14:paraId="4B6EB6B4" w14:textId="77777777" w:rsidR="00DE0D81" w:rsidRPr="00AD0116" w:rsidRDefault="00DE0D81" w:rsidP="00AD0116">
      <w:pPr>
        <w:spacing w:line="276" w:lineRule="auto"/>
        <w:jc w:val="center"/>
        <w:rPr>
          <w:rFonts w:cstheme="minorHAnsi"/>
          <w:b/>
          <w:bCs/>
          <w:color w:val="000000" w:themeColor="text1"/>
        </w:rPr>
      </w:pPr>
    </w:p>
    <w:p w14:paraId="4B3E7351" w14:textId="77777777" w:rsidR="00841435" w:rsidRPr="00AD0116" w:rsidRDefault="00841435" w:rsidP="00AD0116">
      <w:pPr>
        <w:spacing w:line="276" w:lineRule="auto"/>
        <w:jc w:val="both"/>
        <w:rPr>
          <w:rFonts w:cstheme="minorHAnsi"/>
          <w:color w:val="000000" w:themeColor="text1"/>
        </w:rPr>
      </w:pPr>
    </w:p>
    <w:p w14:paraId="35DAB92D" w14:textId="43AE4EAC" w:rsidR="00841435" w:rsidRPr="00AD0116" w:rsidRDefault="00841435" w:rsidP="00AD0116">
      <w:pPr>
        <w:spacing w:line="276" w:lineRule="auto"/>
        <w:rPr>
          <w:rFonts w:cstheme="minorHAnsi"/>
          <w:b/>
          <w:bCs/>
          <w:color w:val="000000" w:themeColor="text1"/>
        </w:rPr>
      </w:pPr>
      <w:r w:rsidRPr="00AD0116">
        <w:rPr>
          <w:rFonts w:cstheme="minorHAnsi"/>
          <w:b/>
          <w:bCs/>
          <w:color w:val="000000" w:themeColor="text1"/>
        </w:rPr>
        <w:t>ABSTRACT</w:t>
      </w:r>
    </w:p>
    <w:p w14:paraId="668AB549" w14:textId="720D6092" w:rsidR="00841435" w:rsidRPr="00AD0116" w:rsidRDefault="00F34422" w:rsidP="00AD0116">
      <w:pPr>
        <w:spacing w:line="276" w:lineRule="auto"/>
        <w:jc w:val="both"/>
        <w:rPr>
          <w:rFonts w:cstheme="minorHAnsi"/>
          <w:color w:val="000000" w:themeColor="text1"/>
        </w:rPr>
      </w:pPr>
      <w:r w:rsidRPr="00AD0116">
        <w:rPr>
          <w:rFonts w:cstheme="minorHAnsi"/>
          <w:b/>
          <w:bCs/>
          <w:color w:val="000000" w:themeColor="text1"/>
        </w:rPr>
        <w:t>Background &amp; Objective</w:t>
      </w:r>
      <w:r w:rsidR="00841435" w:rsidRPr="00AD0116">
        <w:rPr>
          <w:rFonts w:cstheme="minorHAnsi"/>
          <w:b/>
          <w:bCs/>
          <w:color w:val="000000" w:themeColor="text1"/>
        </w:rPr>
        <w:t>:</w:t>
      </w:r>
      <w:r w:rsidR="00841435" w:rsidRPr="00AD0116">
        <w:rPr>
          <w:rFonts w:cstheme="minorHAnsi"/>
          <w:color w:val="000000" w:themeColor="text1"/>
        </w:rPr>
        <w:t xml:space="preserve"> </w:t>
      </w:r>
      <w:r w:rsidR="00FA0D1F" w:rsidRPr="00AD0116">
        <w:rPr>
          <w:rFonts w:cstheme="minorHAnsi"/>
          <w:color w:val="000000" w:themeColor="text1"/>
          <w:highlight w:val="yellow"/>
        </w:rPr>
        <w:t>Sexually transmitted infections (STIs) remain a major global public health concern, with young people especially university students bearing a substantial share of the burden due to limited awareness and high-risk behaviours. Despite this vulnerability, Sikkim lacks context-specific data on STI knowledge, attitudes, and preventive practices among non-medical college students. This study aimed to address this gap by assessing STI-related awareness and behaviours among undergraduate students of Sikkim Manipal University.</w:t>
      </w:r>
      <w:r w:rsidR="00FA0D1F" w:rsidRPr="00AD0116">
        <w:rPr>
          <w:rFonts w:cstheme="minorHAnsi"/>
          <w:color w:val="000000" w:themeColor="text1"/>
        </w:rPr>
        <w:t xml:space="preserve"> </w:t>
      </w:r>
      <w:r w:rsidRPr="00AD0116">
        <w:rPr>
          <w:rFonts w:cstheme="minorHAnsi"/>
          <w:b/>
          <w:bCs/>
          <w:color w:val="000000" w:themeColor="text1"/>
        </w:rPr>
        <w:t>Methodology</w:t>
      </w:r>
      <w:r w:rsidR="00841435" w:rsidRPr="00AD0116">
        <w:rPr>
          <w:rFonts w:cstheme="minorHAnsi"/>
          <w:color w:val="000000" w:themeColor="text1"/>
        </w:rPr>
        <w:t>: A cross</w:t>
      </w:r>
      <w:r w:rsidR="00841435" w:rsidRPr="00AD0116">
        <w:rPr>
          <w:rFonts w:ascii="Cambria Math" w:hAnsi="Cambria Math" w:cs="Cambria Math"/>
          <w:color w:val="000000" w:themeColor="text1"/>
        </w:rPr>
        <w:t>‑</w:t>
      </w:r>
      <w:r w:rsidR="00841435" w:rsidRPr="00AD0116">
        <w:rPr>
          <w:rFonts w:cstheme="minorHAnsi"/>
          <w:color w:val="000000" w:themeColor="text1"/>
        </w:rPr>
        <w:t>sectional study was conducted among 192 students using proportionate stratified and systematic sampling. Data were collected through validated structured questionnaires on socio</w:t>
      </w:r>
      <w:r w:rsidR="00841435" w:rsidRPr="00AD0116">
        <w:rPr>
          <w:rFonts w:ascii="Cambria Math" w:hAnsi="Cambria Math" w:cs="Cambria Math"/>
          <w:color w:val="000000" w:themeColor="text1"/>
        </w:rPr>
        <w:t>‑</w:t>
      </w:r>
      <w:r w:rsidR="00841435" w:rsidRPr="00AD0116">
        <w:rPr>
          <w:rFonts w:cstheme="minorHAnsi"/>
          <w:color w:val="000000" w:themeColor="text1"/>
        </w:rPr>
        <w:t>demographics, STI knowledge, a 4</w:t>
      </w:r>
      <w:r w:rsidR="00841435" w:rsidRPr="00AD0116">
        <w:rPr>
          <w:rFonts w:ascii="Cambria Math" w:hAnsi="Cambria Math" w:cs="Cambria Math"/>
          <w:color w:val="000000" w:themeColor="text1"/>
        </w:rPr>
        <w:t>‑</w:t>
      </w:r>
      <w:r w:rsidR="00841435" w:rsidRPr="00AD0116">
        <w:rPr>
          <w:rFonts w:cstheme="minorHAnsi"/>
          <w:color w:val="000000" w:themeColor="text1"/>
        </w:rPr>
        <w:t>point Likert attitude scale, and self</w:t>
      </w:r>
      <w:r w:rsidR="00841435" w:rsidRPr="00AD0116">
        <w:rPr>
          <w:rFonts w:ascii="Cambria Math" w:hAnsi="Cambria Math" w:cs="Cambria Math"/>
          <w:color w:val="000000" w:themeColor="text1"/>
        </w:rPr>
        <w:t>‑</w:t>
      </w:r>
      <w:r w:rsidR="00841435" w:rsidRPr="00AD0116">
        <w:rPr>
          <w:rFonts w:cstheme="minorHAnsi"/>
          <w:color w:val="000000" w:themeColor="text1"/>
        </w:rPr>
        <w:t>reported preventive practices. Descriptive and inferential statistics including chi</w:t>
      </w:r>
      <w:r w:rsidR="00841435" w:rsidRPr="00AD0116">
        <w:rPr>
          <w:rFonts w:ascii="Cambria Math" w:hAnsi="Cambria Math" w:cs="Cambria Math"/>
          <w:color w:val="000000" w:themeColor="text1"/>
        </w:rPr>
        <w:t>‑</w:t>
      </w:r>
      <w:r w:rsidR="00841435" w:rsidRPr="00AD0116">
        <w:rPr>
          <w:rFonts w:cstheme="minorHAnsi"/>
          <w:color w:val="000000" w:themeColor="text1"/>
        </w:rPr>
        <w:t xml:space="preserve">square test, Fisher’s exact test, and Pearson correlation were used. </w:t>
      </w:r>
      <w:r w:rsidR="00841435" w:rsidRPr="00AD0116">
        <w:rPr>
          <w:rFonts w:cstheme="minorHAnsi"/>
          <w:b/>
          <w:bCs/>
          <w:color w:val="000000" w:themeColor="text1"/>
        </w:rPr>
        <w:t>Results:</w:t>
      </w:r>
      <w:r w:rsidR="00841435" w:rsidRPr="00AD0116">
        <w:rPr>
          <w:rFonts w:cstheme="minorHAnsi"/>
          <w:color w:val="000000" w:themeColor="text1"/>
        </w:rPr>
        <w:t xml:space="preserve"> Most students were unmarried (99%), heterosexual (98.4%), and from nuclear families (68.2%). </w:t>
      </w:r>
      <w:r w:rsidR="00FF2F2D" w:rsidRPr="00AD0116">
        <w:rPr>
          <w:rFonts w:cstheme="minorHAnsi"/>
          <w:color w:val="000000" w:themeColor="text1"/>
          <w:highlight w:val="yellow"/>
        </w:rPr>
        <w:t xml:space="preserve">Overall, 76% had moderate knowledge, 21.4% had inadequate knowledge, and only 2.6% had adequate knowledge. Half of the students had </w:t>
      </w:r>
      <w:proofErr w:type="spellStart"/>
      <w:r w:rsidR="00FF2F2D" w:rsidRPr="00AD0116">
        <w:rPr>
          <w:rFonts w:cstheme="minorHAnsi"/>
          <w:color w:val="000000" w:themeColor="text1"/>
          <w:highlight w:val="yellow"/>
        </w:rPr>
        <w:t>unfavorable</w:t>
      </w:r>
      <w:proofErr w:type="spellEnd"/>
      <w:r w:rsidR="00FF2F2D" w:rsidRPr="00AD0116">
        <w:rPr>
          <w:rFonts w:cstheme="minorHAnsi"/>
          <w:color w:val="000000" w:themeColor="text1"/>
          <w:highlight w:val="yellow"/>
        </w:rPr>
        <w:t xml:space="preserve"> attitudes and the remaining half had neutral attitudes; none displayed </w:t>
      </w:r>
      <w:proofErr w:type="spellStart"/>
      <w:r w:rsidR="00FF2F2D" w:rsidRPr="00AD0116">
        <w:rPr>
          <w:rFonts w:cstheme="minorHAnsi"/>
          <w:color w:val="000000" w:themeColor="text1"/>
          <w:highlight w:val="yellow"/>
        </w:rPr>
        <w:t>favorable</w:t>
      </w:r>
      <w:proofErr w:type="spellEnd"/>
      <w:r w:rsidR="00FF2F2D" w:rsidRPr="00AD0116">
        <w:rPr>
          <w:rFonts w:cstheme="minorHAnsi"/>
          <w:color w:val="000000" w:themeColor="text1"/>
          <w:highlight w:val="yellow"/>
        </w:rPr>
        <w:t xml:space="preserve"> attitudes. Preventive practices were poor among 49% of the students, fair in another 49%, and good among only 2%. Knowledge was weakly but significantly correlated with attitude (r = 0.213, p = 0.003).</w:t>
      </w:r>
      <w:r w:rsidR="00841435" w:rsidRPr="00AD0116">
        <w:rPr>
          <w:rFonts w:cstheme="minorHAnsi"/>
          <w:color w:val="000000" w:themeColor="text1"/>
        </w:rPr>
        <w:t xml:space="preserve"> Significant associations were found between knowledge with age and family type; attitude with age, family type, and semester; and preventive practices with semester. </w:t>
      </w:r>
      <w:r w:rsidR="00841435" w:rsidRPr="00AD0116">
        <w:rPr>
          <w:rFonts w:cstheme="minorHAnsi"/>
          <w:b/>
          <w:bCs/>
          <w:color w:val="000000" w:themeColor="text1"/>
        </w:rPr>
        <w:t xml:space="preserve">Conclusion: </w:t>
      </w:r>
      <w:r w:rsidR="00841435" w:rsidRPr="00AD0116">
        <w:rPr>
          <w:rFonts w:cstheme="minorHAnsi"/>
          <w:color w:val="000000" w:themeColor="text1"/>
        </w:rPr>
        <w:t xml:space="preserve">Moderate knowledge did not translate into </w:t>
      </w:r>
      <w:proofErr w:type="spellStart"/>
      <w:r w:rsidR="00841435" w:rsidRPr="00AD0116">
        <w:rPr>
          <w:rFonts w:cstheme="minorHAnsi"/>
          <w:color w:val="000000" w:themeColor="text1"/>
        </w:rPr>
        <w:t>favorable</w:t>
      </w:r>
      <w:proofErr w:type="spellEnd"/>
      <w:r w:rsidR="00841435" w:rsidRPr="00AD0116">
        <w:rPr>
          <w:rFonts w:cstheme="minorHAnsi"/>
          <w:color w:val="000000" w:themeColor="text1"/>
        </w:rPr>
        <w:t xml:space="preserve"> attitudes or safe practices. There is an urgent need for comprehensive, culturally sensitive, university</w:t>
      </w:r>
      <w:r w:rsidR="00841435" w:rsidRPr="00AD0116">
        <w:rPr>
          <w:rFonts w:ascii="Cambria Math" w:hAnsi="Cambria Math" w:cs="Cambria Math"/>
          <w:color w:val="000000" w:themeColor="text1"/>
        </w:rPr>
        <w:t>‑</w:t>
      </w:r>
      <w:r w:rsidR="00841435" w:rsidRPr="00AD0116">
        <w:rPr>
          <w:rFonts w:cstheme="minorHAnsi"/>
          <w:color w:val="000000" w:themeColor="text1"/>
        </w:rPr>
        <w:t>based STI education, peer</w:t>
      </w:r>
      <w:r w:rsidR="00841435" w:rsidRPr="00AD0116">
        <w:rPr>
          <w:rFonts w:ascii="Cambria Math" w:hAnsi="Cambria Math" w:cs="Cambria Math"/>
          <w:color w:val="000000" w:themeColor="text1"/>
        </w:rPr>
        <w:t>‑</w:t>
      </w:r>
      <w:r w:rsidR="00841435" w:rsidRPr="00AD0116">
        <w:rPr>
          <w:rFonts w:cstheme="minorHAnsi"/>
          <w:color w:val="000000" w:themeColor="text1"/>
        </w:rPr>
        <w:t xml:space="preserve">led interventions, and expanded access to preventive services. Sexually Transmitted Diseases, Sexual </w:t>
      </w:r>
      <w:proofErr w:type="spellStart"/>
      <w:r w:rsidR="00841435" w:rsidRPr="00AD0116">
        <w:rPr>
          <w:rFonts w:cstheme="minorHAnsi"/>
          <w:color w:val="000000" w:themeColor="text1"/>
        </w:rPr>
        <w:t>Behavior</w:t>
      </w:r>
      <w:proofErr w:type="spellEnd"/>
      <w:r w:rsidR="00841435" w:rsidRPr="00AD0116">
        <w:rPr>
          <w:rFonts w:cstheme="minorHAnsi"/>
          <w:color w:val="000000" w:themeColor="text1"/>
        </w:rPr>
        <w:t>, Students, Attitude, Preventive Health Services</w:t>
      </w:r>
      <w:r w:rsidR="00792B35" w:rsidRPr="00AD0116">
        <w:rPr>
          <w:rFonts w:cstheme="minorHAnsi"/>
          <w:color w:val="000000" w:themeColor="text1"/>
        </w:rPr>
        <w:t>.</w:t>
      </w:r>
    </w:p>
    <w:p w14:paraId="1FE12073" w14:textId="14B7ECFC" w:rsidR="00841435" w:rsidRPr="00AD0116" w:rsidRDefault="006D4A49" w:rsidP="00AD0116">
      <w:pPr>
        <w:spacing w:line="276" w:lineRule="auto"/>
        <w:jc w:val="both"/>
        <w:rPr>
          <w:rFonts w:cstheme="minorHAnsi"/>
          <w:i/>
          <w:iCs/>
          <w:color w:val="000000" w:themeColor="text1"/>
        </w:rPr>
      </w:pPr>
      <w:r w:rsidRPr="00AD0116">
        <w:rPr>
          <w:rFonts w:cstheme="minorHAnsi"/>
          <w:i/>
          <w:iCs/>
          <w:color w:val="000000" w:themeColor="text1"/>
        </w:rPr>
        <w:t xml:space="preserve">Keywords: Sexually Transmitted Diseases, Health Knowledge, Sexual </w:t>
      </w:r>
      <w:proofErr w:type="spellStart"/>
      <w:r w:rsidRPr="00AD0116">
        <w:rPr>
          <w:rFonts w:cstheme="minorHAnsi"/>
          <w:i/>
          <w:iCs/>
          <w:color w:val="000000" w:themeColor="text1"/>
        </w:rPr>
        <w:t>Behavior</w:t>
      </w:r>
      <w:proofErr w:type="spellEnd"/>
      <w:r w:rsidRPr="00AD0116">
        <w:rPr>
          <w:rFonts w:cstheme="minorHAnsi"/>
          <w:i/>
          <w:iCs/>
          <w:color w:val="000000" w:themeColor="text1"/>
        </w:rPr>
        <w:t>, Preventive Health Services, Cross-Sectional Studies, Young Adult</w:t>
      </w:r>
    </w:p>
    <w:p w14:paraId="5143F73A" w14:textId="77777777" w:rsidR="00AD0116" w:rsidRDefault="00AD0116" w:rsidP="00AD0116">
      <w:pPr>
        <w:spacing w:line="276" w:lineRule="auto"/>
        <w:jc w:val="both"/>
        <w:rPr>
          <w:rFonts w:cstheme="minorHAnsi"/>
          <w:b/>
          <w:bCs/>
          <w:color w:val="000000" w:themeColor="text1"/>
        </w:rPr>
      </w:pPr>
    </w:p>
    <w:p w14:paraId="513CA7EE" w14:textId="32ADD152" w:rsidR="00A87550" w:rsidRPr="00AD0116" w:rsidRDefault="00A87550" w:rsidP="00AD0116">
      <w:pPr>
        <w:spacing w:line="276" w:lineRule="auto"/>
        <w:jc w:val="both"/>
        <w:rPr>
          <w:rFonts w:cstheme="minorHAnsi"/>
          <w:b/>
          <w:bCs/>
          <w:color w:val="000000" w:themeColor="text1"/>
        </w:rPr>
      </w:pPr>
      <w:r w:rsidRPr="00AD0116">
        <w:rPr>
          <w:rFonts w:cstheme="minorHAnsi"/>
          <w:b/>
          <w:bCs/>
          <w:color w:val="000000" w:themeColor="text1"/>
        </w:rPr>
        <w:t xml:space="preserve">1. INTRODUCTION </w:t>
      </w:r>
    </w:p>
    <w:p w14:paraId="0E79DDC3" w14:textId="0F69D6F8" w:rsidR="009660F4" w:rsidRPr="00AD0116" w:rsidRDefault="009660F4" w:rsidP="00AD0116">
      <w:pPr>
        <w:spacing w:line="276" w:lineRule="auto"/>
        <w:jc w:val="both"/>
        <w:rPr>
          <w:rFonts w:cstheme="minorHAnsi"/>
          <w:color w:val="000000" w:themeColor="text1"/>
        </w:rPr>
      </w:pPr>
      <w:r w:rsidRPr="00AD0116">
        <w:rPr>
          <w:rFonts w:cstheme="minorHAnsi"/>
          <w:color w:val="000000" w:themeColor="text1"/>
        </w:rPr>
        <w:t>Sexually transmitted infections (STIs) continue to be a pressing global public health concern, affecting millions annually and placing a disproportionate burden on young people aged 15–24 years. According to the World Health Organization, more than one million STIs are acquired every day worldwide, with adolescents and young adults contributing significantly to this burden</w:t>
      </w:r>
      <w:r w:rsidR="00403E5D" w:rsidRPr="00AD0116">
        <w:rPr>
          <w:rFonts w:cstheme="minorHAnsi"/>
          <w:color w:val="000000" w:themeColor="text1"/>
        </w:rPr>
        <w:t xml:space="preserve">. </w:t>
      </w:r>
      <w:r w:rsidRPr="00AD0116">
        <w:rPr>
          <w:rFonts w:cstheme="minorHAnsi"/>
          <w:color w:val="000000" w:themeColor="text1"/>
          <w:vertAlign w:val="superscript"/>
        </w:rPr>
        <w:t>[1,2]</w:t>
      </w:r>
      <w:r w:rsidRPr="00AD0116">
        <w:rPr>
          <w:rFonts w:cstheme="minorHAnsi"/>
          <w:color w:val="000000" w:themeColor="text1"/>
        </w:rPr>
        <w:t xml:space="preserve"> University students fall within this vulnerable age group, and their increasing autonomy, psychosocial transition, and experimentation heighten their susceptibility to risky sexual </w:t>
      </w:r>
      <w:proofErr w:type="spellStart"/>
      <w:proofErr w:type="gramStart"/>
      <w:r w:rsidRPr="00AD0116">
        <w:rPr>
          <w:rFonts w:cstheme="minorHAnsi"/>
          <w:color w:val="000000" w:themeColor="text1"/>
        </w:rPr>
        <w:t>behaviors</w:t>
      </w:r>
      <w:proofErr w:type="spellEnd"/>
      <w:r w:rsidR="00403E5D" w:rsidRPr="00AD0116">
        <w:rPr>
          <w:rFonts w:cstheme="minorHAnsi"/>
          <w:color w:val="000000" w:themeColor="text1"/>
        </w:rPr>
        <w:t>.</w:t>
      </w:r>
      <w:r w:rsidRPr="00AD0116">
        <w:rPr>
          <w:rFonts w:cstheme="minorHAnsi"/>
          <w:color w:val="000000" w:themeColor="text1"/>
          <w:vertAlign w:val="superscript"/>
        </w:rPr>
        <w:t>[</w:t>
      </w:r>
      <w:proofErr w:type="gramEnd"/>
      <w:r w:rsidRPr="00AD0116">
        <w:rPr>
          <w:rFonts w:cstheme="minorHAnsi"/>
          <w:color w:val="000000" w:themeColor="text1"/>
          <w:vertAlign w:val="superscript"/>
        </w:rPr>
        <w:t>3,4]</w:t>
      </w:r>
    </w:p>
    <w:p w14:paraId="6EA5AE64" w14:textId="6DCB2FAE" w:rsidR="009660F4" w:rsidRPr="00AD0116" w:rsidRDefault="009660F4" w:rsidP="00AD0116">
      <w:pPr>
        <w:spacing w:line="276" w:lineRule="auto"/>
        <w:jc w:val="both"/>
        <w:rPr>
          <w:rFonts w:cstheme="minorHAnsi"/>
          <w:color w:val="000000" w:themeColor="text1"/>
        </w:rPr>
      </w:pPr>
      <w:r w:rsidRPr="00AD0116">
        <w:rPr>
          <w:rFonts w:cstheme="minorHAnsi"/>
          <w:color w:val="000000" w:themeColor="text1"/>
        </w:rPr>
        <w:lastRenderedPageBreak/>
        <w:t xml:space="preserve">STIs pose serious consequences such as infertility, chronic pelvic pain, ectopic pregnancy, congenital infections, and increased HIV </w:t>
      </w:r>
      <w:r w:rsidR="00403E5D" w:rsidRPr="00AD0116">
        <w:rPr>
          <w:rFonts w:cstheme="minorHAnsi"/>
          <w:color w:val="000000" w:themeColor="text1"/>
        </w:rPr>
        <w:t>acquisition.</w:t>
      </w:r>
      <w:r w:rsidR="00403E5D" w:rsidRPr="00AD0116">
        <w:rPr>
          <w:rFonts w:cstheme="minorHAnsi"/>
          <w:color w:val="000000" w:themeColor="text1"/>
          <w:vertAlign w:val="superscript"/>
        </w:rPr>
        <w:t xml:space="preserve"> [</w:t>
      </w:r>
      <w:r w:rsidRPr="00AD0116">
        <w:rPr>
          <w:rFonts w:cstheme="minorHAnsi"/>
          <w:color w:val="000000" w:themeColor="text1"/>
          <w:vertAlign w:val="superscript"/>
        </w:rPr>
        <w:t>1,2,5]</w:t>
      </w:r>
      <w:r w:rsidRPr="00AD0116">
        <w:rPr>
          <w:rFonts w:cstheme="minorHAnsi"/>
          <w:color w:val="000000" w:themeColor="text1"/>
        </w:rPr>
        <w:t>. Despite global advancements in prevention and surveillance, knowledge and awareness gaps, stigma, and limited access to screening services continue to affect university-aged populations</w:t>
      </w:r>
      <w:r w:rsidR="00403E5D" w:rsidRPr="00AD0116">
        <w:rPr>
          <w:rFonts w:cstheme="minorHAnsi"/>
          <w:color w:val="000000" w:themeColor="text1"/>
        </w:rPr>
        <w:t xml:space="preserve">. </w:t>
      </w:r>
      <w:r w:rsidRPr="00AD0116">
        <w:rPr>
          <w:rFonts w:cstheme="minorHAnsi"/>
          <w:color w:val="000000" w:themeColor="text1"/>
          <w:vertAlign w:val="superscript"/>
        </w:rPr>
        <w:t>[3–7]</w:t>
      </w:r>
      <w:r w:rsidRPr="00AD0116">
        <w:rPr>
          <w:rFonts w:cstheme="minorHAnsi"/>
          <w:color w:val="000000" w:themeColor="text1"/>
        </w:rPr>
        <w:t xml:space="preserve"> In many countries, including India, sexuality remains a culturally sensitive topic; social taboos often restrict meaningful discussions on sexual health, contributing to misinformation and low risk perception among youth</w:t>
      </w:r>
      <w:r w:rsidR="00403E5D" w:rsidRPr="00AD0116">
        <w:rPr>
          <w:rFonts w:cstheme="minorHAnsi"/>
          <w:color w:val="000000" w:themeColor="text1"/>
        </w:rPr>
        <w:t>.</w:t>
      </w:r>
      <w:r w:rsidRPr="00AD0116">
        <w:rPr>
          <w:rFonts w:cstheme="minorHAnsi"/>
          <w:color w:val="000000" w:themeColor="text1"/>
        </w:rPr>
        <w:t xml:space="preserve"> </w:t>
      </w:r>
      <w:r w:rsidRPr="00AD0116">
        <w:rPr>
          <w:rFonts w:cstheme="minorHAnsi"/>
          <w:color w:val="000000" w:themeColor="text1"/>
          <w:vertAlign w:val="superscript"/>
        </w:rPr>
        <w:t>[8–12]</w:t>
      </w:r>
    </w:p>
    <w:p w14:paraId="1F509C61" w14:textId="666E3A4E" w:rsidR="009660F4" w:rsidRPr="00AD0116" w:rsidRDefault="009660F4" w:rsidP="00AD0116">
      <w:pPr>
        <w:spacing w:line="276" w:lineRule="auto"/>
        <w:jc w:val="both"/>
        <w:rPr>
          <w:rFonts w:cstheme="minorHAnsi"/>
          <w:color w:val="000000" w:themeColor="text1"/>
        </w:rPr>
      </w:pPr>
      <w:r w:rsidRPr="00AD0116">
        <w:rPr>
          <w:rFonts w:cstheme="minorHAnsi"/>
          <w:color w:val="000000" w:themeColor="text1"/>
        </w:rPr>
        <w:t xml:space="preserve">Findings from NFHS and regional research indicate an increase in sexual risk </w:t>
      </w:r>
      <w:proofErr w:type="spellStart"/>
      <w:r w:rsidRPr="00AD0116">
        <w:rPr>
          <w:rFonts w:cstheme="minorHAnsi"/>
          <w:color w:val="000000" w:themeColor="text1"/>
        </w:rPr>
        <w:t>behaviors</w:t>
      </w:r>
      <w:proofErr w:type="spellEnd"/>
      <w:r w:rsidRPr="00AD0116">
        <w:rPr>
          <w:rFonts w:cstheme="minorHAnsi"/>
          <w:color w:val="000000" w:themeColor="text1"/>
        </w:rPr>
        <w:t xml:space="preserve"> and inadequate exposure to sexual education</w:t>
      </w:r>
      <w:r w:rsidR="00403E5D" w:rsidRPr="00AD0116">
        <w:rPr>
          <w:rFonts w:cstheme="minorHAnsi"/>
          <w:color w:val="000000" w:themeColor="text1"/>
        </w:rPr>
        <w:t>.</w:t>
      </w:r>
      <w:r w:rsidRPr="00AD0116">
        <w:rPr>
          <w:rFonts w:cstheme="minorHAnsi"/>
          <w:color w:val="000000" w:themeColor="text1"/>
        </w:rPr>
        <w:t xml:space="preserve"> </w:t>
      </w:r>
      <w:r w:rsidRPr="00AD0116">
        <w:rPr>
          <w:rFonts w:cstheme="minorHAnsi"/>
          <w:color w:val="000000" w:themeColor="text1"/>
          <w:vertAlign w:val="superscript"/>
        </w:rPr>
        <w:t>[11–13]</w:t>
      </w:r>
      <w:r w:rsidRPr="00AD0116">
        <w:rPr>
          <w:rFonts w:cstheme="minorHAnsi"/>
          <w:color w:val="000000" w:themeColor="text1"/>
        </w:rPr>
        <w:t xml:space="preserve"> Evidence from Indian, Bhutanese, Iranian, and African university settings </w:t>
      </w:r>
      <w:proofErr w:type="gramStart"/>
      <w:r w:rsidRPr="00AD0116">
        <w:rPr>
          <w:rFonts w:cstheme="minorHAnsi"/>
          <w:color w:val="000000" w:themeColor="text1"/>
        </w:rPr>
        <w:t>shows</w:t>
      </w:r>
      <w:proofErr w:type="gramEnd"/>
      <w:r w:rsidRPr="00AD0116">
        <w:rPr>
          <w:rFonts w:cstheme="minorHAnsi"/>
          <w:color w:val="000000" w:themeColor="text1"/>
        </w:rPr>
        <w:t xml:space="preserve"> that even when students possess moderate STI knowledge, it frequently does not translate into positive attitudes or safer </w:t>
      </w:r>
      <w:proofErr w:type="spellStart"/>
      <w:r w:rsidRPr="00AD0116">
        <w:rPr>
          <w:rFonts w:cstheme="minorHAnsi"/>
          <w:color w:val="000000" w:themeColor="text1"/>
        </w:rPr>
        <w:t>behaviors</w:t>
      </w:r>
      <w:proofErr w:type="spellEnd"/>
      <w:r w:rsidR="00403E5D" w:rsidRPr="00AD0116">
        <w:rPr>
          <w:rFonts w:cstheme="minorHAnsi"/>
          <w:color w:val="000000" w:themeColor="text1"/>
        </w:rPr>
        <w:t>.</w:t>
      </w:r>
      <w:r w:rsidRPr="00AD0116">
        <w:rPr>
          <w:rFonts w:cstheme="minorHAnsi"/>
          <w:color w:val="000000" w:themeColor="text1"/>
        </w:rPr>
        <w:t xml:space="preserve"> </w:t>
      </w:r>
      <w:r w:rsidRPr="00AD0116">
        <w:rPr>
          <w:rFonts w:cstheme="minorHAnsi"/>
          <w:color w:val="000000" w:themeColor="text1"/>
          <w:vertAlign w:val="superscript"/>
        </w:rPr>
        <w:t>[3–5,14–16]</w:t>
      </w:r>
      <w:r w:rsidRPr="00AD0116">
        <w:rPr>
          <w:rFonts w:cstheme="minorHAnsi"/>
          <w:color w:val="000000" w:themeColor="text1"/>
        </w:rPr>
        <w:t xml:space="preserve"> This knowledge</w:t>
      </w:r>
      <w:r w:rsidR="00CF2C3D" w:rsidRPr="00AD0116">
        <w:rPr>
          <w:rFonts w:cstheme="minorHAnsi"/>
          <w:color w:val="000000" w:themeColor="text1"/>
        </w:rPr>
        <w:t xml:space="preserve"> </w:t>
      </w:r>
      <w:r w:rsidRPr="00AD0116">
        <w:rPr>
          <w:rFonts w:cstheme="minorHAnsi"/>
          <w:color w:val="000000" w:themeColor="text1"/>
        </w:rPr>
        <w:t>practice gap has been linked to cultural constraints, fear of judgment, limited sexual health communication, and misperceptions about personal vulnerability</w:t>
      </w:r>
      <w:r w:rsidR="00403E5D" w:rsidRPr="00AD0116">
        <w:rPr>
          <w:rFonts w:cstheme="minorHAnsi"/>
          <w:color w:val="000000" w:themeColor="text1"/>
        </w:rPr>
        <w:t>.</w:t>
      </w:r>
      <w:r w:rsidRPr="00AD0116">
        <w:rPr>
          <w:rFonts w:cstheme="minorHAnsi"/>
          <w:color w:val="000000" w:themeColor="text1"/>
        </w:rPr>
        <w:t xml:space="preserve"> </w:t>
      </w:r>
      <w:r w:rsidRPr="00AD0116">
        <w:rPr>
          <w:rFonts w:cstheme="minorHAnsi"/>
          <w:color w:val="000000" w:themeColor="text1"/>
          <w:vertAlign w:val="superscript"/>
        </w:rPr>
        <w:t>[6,7,9,11,17]</w:t>
      </w:r>
    </w:p>
    <w:p w14:paraId="7F70C35C" w14:textId="748458FD" w:rsidR="009660F4" w:rsidRPr="00AD0116" w:rsidRDefault="009660F4" w:rsidP="00AD0116">
      <w:pPr>
        <w:spacing w:line="276" w:lineRule="auto"/>
        <w:jc w:val="both"/>
        <w:rPr>
          <w:rFonts w:cstheme="minorHAnsi"/>
          <w:color w:val="000000" w:themeColor="text1"/>
        </w:rPr>
      </w:pPr>
      <w:r w:rsidRPr="00AD0116">
        <w:rPr>
          <w:rFonts w:cstheme="minorHAnsi"/>
          <w:color w:val="000000" w:themeColor="text1"/>
        </w:rPr>
        <w:t xml:space="preserve">Sikkim, with its unique socio-cultural diversity, lacks sufficient region-specific research on sexual health awareness among youth. Available findings suggest that although the state performs well on general health indicators, young people continue to exhibit misconceptions, low help-seeking </w:t>
      </w:r>
      <w:proofErr w:type="spellStart"/>
      <w:r w:rsidRPr="00AD0116">
        <w:rPr>
          <w:rFonts w:cstheme="minorHAnsi"/>
          <w:color w:val="000000" w:themeColor="text1"/>
        </w:rPr>
        <w:t>behavior</w:t>
      </w:r>
      <w:proofErr w:type="spellEnd"/>
      <w:r w:rsidRPr="00AD0116">
        <w:rPr>
          <w:rFonts w:cstheme="minorHAnsi"/>
          <w:color w:val="000000" w:themeColor="text1"/>
        </w:rPr>
        <w:t>, and minimal engagement in preventive practices</w:t>
      </w:r>
      <w:r w:rsidR="00403E5D" w:rsidRPr="00AD0116">
        <w:rPr>
          <w:rFonts w:cstheme="minorHAnsi"/>
          <w:color w:val="000000" w:themeColor="text1"/>
        </w:rPr>
        <w:t>.</w:t>
      </w:r>
      <w:r w:rsidRPr="00AD0116">
        <w:rPr>
          <w:rFonts w:cstheme="minorHAnsi"/>
          <w:color w:val="000000" w:themeColor="text1"/>
        </w:rPr>
        <w:t xml:space="preserve"> </w:t>
      </w:r>
      <w:r w:rsidRPr="00AD0116">
        <w:rPr>
          <w:rFonts w:cstheme="minorHAnsi"/>
          <w:color w:val="000000" w:themeColor="text1"/>
          <w:vertAlign w:val="superscript"/>
        </w:rPr>
        <w:t>[11,12,18]</w:t>
      </w:r>
      <w:r w:rsidRPr="00AD0116">
        <w:rPr>
          <w:rFonts w:cstheme="minorHAnsi"/>
          <w:color w:val="000000" w:themeColor="text1"/>
        </w:rPr>
        <w:t xml:space="preserve"> Digital media</w:t>
      </w:r>
      <w:r w:rsidR="00403E5D" w:rsidRPr="00AD0116">
        <w:rPr>
          <w:rFonts w:cstheme="minorHAnsi"/>
          <w:color w:val="000000" w:themeColor="text1"/>
        </w:rPr>
        <w:t xml:space="preserve"> </w:t>
      </w:r>
      <w:r w:rsidRPr="00AD0116">
        <w:rPr>
          <w:rFonts w:cstheme="minorHAnsi"/>
          <w:color w:val="000000" w:themeColor="text1"/>
        </w:rPr>
        <w:t xml:space="preserve">though </w:t>
      </w:r>
      <w:r w:rsidR="00403E5D" w:rsidRPr="00AD0116">
        <w:rPr>
          <w:rFonts w:cstheme="minorHAnsi"/>
          <w:color w:val="000000" w:themeColor="text1"/>
        </w:rPr>
        <w:t>accessible, often</w:t>
      </w:r>
      <w:r w:rsidRPr="00AD0116">
        <w:rPr>
          <w:rFonts w:cstheme="minorHAnsi"/>
          <w:color w:val="000000" w:themeColor="text1"/>
        </w:rPr>
        <w:t xml:space="preserve"> contributes to misinformation, further complicating students’ understanding of STIs</w:t>
      </w:r>
      <w:r w:rsidR="00403E5D" w:rsidRPr="00AD0116">
        <w:rPr>
          <w:rFonts w:cstheme="minorHAnsi"/>
          <w:color w:val="000000" w:themeColor="text1"/>
        </w:rPr>
        <w:t>.</w:t>
      </w:r>
      <w:r w:rsidRPr="00AD0116">
        <w:rPr>
          <w:rFonts w:cstheme="minorHAnsi"/>
          <w:color w:val="000000" w:themeColor="text1"/>
        </w:rPr>
        <w:t xml:space="preserve"> </w:t>
      </w:r>
      <w:r w:rsidRPr="00AD0116">
        <w:rPr>
          <w:rFonts w:cstheme="minorHAnsi"/>
          <w:color w:val="000000" w:themeColor="text1"/>
          <w:vertAlign w:val="superscript"/>
        </w:rPr>
        <w:t>[18]</w:t>
      </w:r>
    </w:p>
    <w:p w14:paraId="3ABFE5AA" w14:textId="46648F5F" w:rsidR="009660F4" w:rsidRPr="00AD0116" w:rsidRDefault="009660F4" w:rsidP="00AD0116">
      <w:pPr>
        <w:spacing w:line="276" w:lineRule="auto"/>
        <w:jc w:val="both"/>
        <w:rPr>
          <w:rFonts w:cstheme="minorHAnsi"/>
          <w:color w:val="000000" w:themeColor="text1"/>
        </w:rPr>
      </w:pPr>
      <w:r w:rsidRPr="00AD0116">
        <w:rPr>
          <w:rFonts w:cstheme="minorHAnsi"/>
          <w:color w:val="000000" w:themeColor="text1"/>
        </w:rPr>
        <w:t xml:space="preserve">University students, particularly those from non-medical backgrounds, may lack structured sexual health education. Studies globally and regionally highlight that despite moderate awareness, knowledge is often fragmented, attitudes remain neutral or </w:t>
      </w:r>
      <w:r w:rsidR="00403E5D" w:rsidRPr="00AD0116">
        <w:rPr>
          <w:rFonts w:cstheme="minorHAnsi"/>
          <w:color w:val="000000" w:themeColor="text1"/>
        </w:rPr>
        <w:t>unfavourable</w:t>
      </w:r>
      <w:r w:rsidRPr="00AD0116">
        <w:rPr>
          <w:rFonts w:cstheme="minorHAnsi"/>
          <w:color w:val="000000" w:themeColor="text1"/>
        </w:rPr>
        <w:t>, and preventive practices such as condom use, STI screening, and health check-ups remain low</w:t>
      </w:r>
      <w:r w:rsidR="00403E5D" w:rsidRPr="00AD0116">
        <w:rPr>
          <w:rFonts w:cstheme="minorHAnsi"/>
          <w:color w:val="000000" w:themeColor="text1"/>
        </w:rPr>
        <w:t>.</w:t>
      </w:r>
      <w:r w:rsidRPr="00AD0116">
        <w:rPr>
          <w:rFonts w:cstheme="minorHAnsi"/>
          <w:color w:val="000000" w:themeColor="text1"/>
        </w:rPr>
        <w:t xml:space="preserve"> </w:t>
      </w:r>
      <w:r w:rsidRPr="00AD0116">
        <w:rPr>
          <w:rFonts w:cstheme="minorHAnsi"/>
          <w:color w:val="000000" w:themeColor="text1"/>
          <w:vertAlign w:val="superscript"/>
        </w:rPr>
        <w:t>[3–5,14–16,19–22]</w:t>
      </w:r>
      <w:r w:rsidRPr="00AD0116">
        <w:rPr>
          <w:rFonts w:cstheme="minorHAnsi"/>
          <w:color w:val="000000" w:themeColor="text1"/>
        </w:rPr>
        <w:t xml:space="preserve"> Factors such as age, family type, socio-cultural background, peer influence, and academic level can further influence STI-related perceptions and </w:t>
      </w:r>
      <w:proofErr w:type="spellStart"/>
      <w:r w:rsidRPr="00AD0116">
        <w:rPr>
          <w:rFonts w:cstheme="minorHAnsi"/>
          <w:color w:val="000000" w:themeColor="text1"/>
        </w:rPr>
        <w:t>behavior</w:t>
      </w:r>
      <w:proofErr w:type="spellEnd"/>
      <w:r w:rsidR="00403E5D" w:rsidRPr="00AD0116">
        <w:rPr>
          <w:rFonts w:cstheme="minorHAnsi"/>
          <w:color w:val="000000" w:themeColor="text1"/>
        </w:rPr>
        <w:t>.</w:t>
      </w:r>
      <w:r w:rsidRPr="00AD0116">
        <w:rPr>
          <w:rFonts w:cstheme="minorHAnsi"/>
          <w:color w:val="000000" w:themeColor="text1"/>
        </w:rPr>
        <w:t xml:space="preserve"> </w:t>
      </w:r>
      <w:r w:rsidRPr="00AD0116">
        <w:rPr>
          <w:rFonts w:cstheme="minorHAnsi"/>
          <w:color w:val="000000" w:themeColor="text1"/>
          <w:vertAlign w:val="superscript"/>
        </w:rPr>
        <w:t>[11,17,21–24]</w:t>
      </w:r>
    </w:p>
    <w:p w14:paraId="5031D259" w14:textId="2CD67234" w:rsidR="009660F4" w:rsidRPr="00AD0116" w:rsidRDefault="009660F4" w:rsidP="00AD0116">
      <w:pPr>
        <w:spacing w:line="276" w:lineRule="auto"/>
        <w:jc w:val="both"/>
        <w:rPr>
          <w:rFonts w:cstheme="minorHAnsi"/>
          <w:color w:val="000000" w:themeColor="text1"/>
        </w:rPr>
      </w:pPr>
      <w:r w:rsidRPr="00AD0116">
        <w:rPr>
          <w:rFonts w:cstheme="minorHAnsi"/>
          <w:color w:val="000000" w:themeColor="text1"/>
        </w:rPr>
        <w:t>Given the limited STI-related data from Sikkim, especially among non-medical students, there is a pressing need to understand their knowledge, attitudes, and preventive practices. These insights are crucial for designing evidence-based, culturally sensitive interventions tailored to young adults</w:t>
      </w:r>
      <w:r w:rsidR="00403E5D" w:rsidRPr="00AD0116">
        <w:rPr>
          <w:rFonts w:cstheme="minorHAnsi"/>
          <w:color w:val="000000" w:themeColor="text1"/>
        </w:rPr>
        <w:t>.</w:t>
      </w:r>
      <w:r w:rsidRPr="00AD0116">
        <w:rPr>
          <w:rFonts w:cstheme="minorHAnsi"/>
          <w:color w:val="000000" w:themeColor="text1"/>
        </w:rPr>
        <w:t xml:space="preserve"> </w:t>
      </w:r>
      <w:r w:rsidRPr="00AD0116">
        <w:rPr>
          <w:rFonts w:cstheme="minorHAnsi"/>
          <w:color w:val="000000" w:themeColor="text1"/>
          <w:vertAlign w:val="superscript"/>
        </w:rPr>
        <w:t>[3,4,11,25]</w:t>
      </w:r>
    </w:p>
    <w:p w14:paraId="577A1490" w14:textId="16A98C30" w:rsidR="00841435" w:rsidRPr="00AD0116" w:rsidRDefault="009660F4" w:rsidP="00AD0116">
      <w:pPr>
        <w:spacing w:line="276" w:lineRule="auto"/>
        <w:jc w:val="both"/>
        <w:rPr>
          <w:rFonts w:cstheme="minorHAnsi"/>
          <w:b/>
          <w:bCs/>
          <w:color w:val="000000" w:themeColor="text1"/>
        </w:rPr>
      </w:pPr>
      <w:r w:rsidRPr="00AD0116">
        <w:rPr>
          <w:rFonts w:cstheme="minorHAnsi"/>
          <w:color w:val="000000" w:themeColor="text1"/>
        </w:rPr>
        <w:t>Therefore, the present study aims to assess the knowledge, attitude, and preventive practices related to STIs among undergraduate non-medical students of Sikkim Manipal University and identify socio-demographic associations that can guide future youth-</w:t>
      </w:r>
      <w:proofErr w:type="spellStart"/>
      <w:r w:rsidRPr="00AD0116">
        <w:rPr>
          <w:rFonts w:cstheme="minorHAnsi"/>
          <w:color w:val="000000" w:themeColor="text1"/>
        </w:rPr>
        <w:t>centered</w:t>
      </w:r>
      <w:proofErr w:type="spellEnd"/>
      <w:r w:rsidRPr="00AD0116">
        <w:rPr>
          <w:rFonts w:cstheme="minorHAnsi"/>
          <w:color w:val="000000" w:themeColor="text1"/>
        </w:rPr>
        <w:t xml:space="preserve"> sexual health strategies</w:t>
      </w:r>
      <w:r w:rsidR="00403E5D" w:rsidRPr="00AD0116">
        <w:rPr>
          <w:rFonts w:cstheme="minorHAnsi"/>
          <w:color w:val="000000" w:themeColor="text1"/>
        </w:rPr>
        <w:t>.</w:t>
      </w:r>
      <w:r w:rsidRPr="00AD0116">
        <w:rPr>
          <w:rFonts w:cstheme="minorHAnsi"/>
          <w:color w:val="000000" w:themeColor="text1"/>
        </w:rPr>
        <w:t xml:space="preserve"> </w:t>
      </w:r>
      <w:r w:rsidRPr="00AD0116">
        <w:rPr>
          <w:rFonts w:cstheme="minorHAnsi"/>
          <w:color w:val="000000" w:themeColor="text1"/>
          <w:vertAlign w:val="superscript"/>
        </w:rPr>
        <w:t>[3–5,14–17,25]</w:t>
      </w:r>
    </w:p>
    <w:p w14:paraId="6E1F3732" w14:textId="77777777" w:rsidR="009660F4" w:rsidRPr="00AD0116" w:rsidRDefault="009660F4" w:rsidP="00AD0116">
      <w:pPr>
        <w:spacing w:line="276" w:lineRule="auto"/>
        <w:rPr>
          <w:rFonts w:cstheme="minorHAnsi"/>
          <w:b/>
          <w:bCs/>
          <w:color w:val="000000" w:themeColor="text1"/>
        </w:rPr>
      </w:pPr>
    </w:p>
    <w:p w14:paraId="67208944" w14:textId="32AD2894" w:rsidR="00A87550" w:rsidRPr="00AD0116" w:rsidRDefault="00A87550" w:rsidP="00AD0116">
      <w:pPr>
        <w:spacing w:line="276" w:lineRule="auto"/>
        <w:jc w:val="both"/>
        <w:rPr>
          <w:rFonts w:cstheme="minorHAnsi"/>
          <w:b/>
          <w:bCs/>
          <w:color w:val="000000" w:themeColor="text1"/>
        </w:rPr>
      </w:pPr>
      <w:r w:rsidRPr="00AD0116">
        <w:rPr>
          <w:rFonts w:cstheme="minorHAnsi"/>
          <w:b/>
          <w:bCs/>
          <w:color w:val="000000" w:themeColor="text1"/>
        </w:rPr>
        <w:t>2. MATERIAL</w:t>
      </w:r>
      <w:r w:rsidR="00F34422" w:rsidRPr="00AD0116">
        <w:rPr>
          <w:rFonts w:cstheme="minorHAnsi"/>
          <w:b/>
          <w:bCs/>
          <w:color w:val="000000" w:themeColor="text1"/>
        </w:rPr>
        <w:t>S</w:t>
      </w:r>
      <w:r w:rsidRPr="00AD0116">
        <w:rPr>
          <w:rFonts w:cstheme="minorHAnsi"/>
          <w:b/>
          <w:bCs/>
          <w:color w:val="000000" w:themeColor="text1"/>
        </w:rPr>
        <w:t xml:space="preserve"> AND METHODS</w:t>
      </w:r>
    </w:p>
    <w:p w14:paraId="366CF731" w14:textId="77777777" w:rsidR="000061E2" w:rsidRPr="00AD0116" w:rsidRDefault="00CB6262" w:rsidP="00AD0116">
      <w:pPr>
        <w:spacing w:line="276" w:lineRule="auto"/>
        <w:jc w:val="both"/>
        <w:rPr>
          <w:rFonts w:cstheme="minorHAnsi"/>
          <w:color w:val="000000" w:themeColor="text1"/>
        </w:rPr>
      </w:pPr>
      <w:r w:rsidRPr="00AD0116">
        <w:rPr>
          <w:rFonts w:cstheme="minorHAnsi"/>
          <w:color w:val="000000" w:themeColor="text1"/>
          <w:highlight w:val="yellow"/>
        </w:rPr>
        <w:t xml:space="preserve">A quantitative research approach with a descriptive cross-sectional design was adopted. The study was conducted over a six-week period, from 1 August 2024 to 15 September 2024, among undergraduate students at Sikkim Manipal University. </w:t>
      </w:r>
      <w:r w:rsidR="00200C5D" w:rsidRPr="00AD0116">
        <w:rPr>
          <w:rFonts w:cstheme="minorHAnsi"/>
          <w:color w:val="000000" w:themeColor="text1"/>
          <w:highlight w:val="yellow"/>
        </w:rPr>
        <w:t xml:space="preserve">The study was carried out in the Faculty of Humanities, Social Sciences, and Liberal Arts, located at the </w:t>
      </w:r>
      <w:proofErr w:type="spellStart"/>
      <w:r w:rsidR="00200C5D" w:rsidRPr="00AD0116">
        <w:rPr>
          <w:rFonts w:cstheme="minorHAnsi"/>
          <w:color w:val="000000" w:themeColor="text1"/>
          <w:highlight w:val="yellow"/>
        </w:rPr>
        <w:t>Tadong</w:t>
      </w:r>
      <w:proofErr w:type="spellEnd"/>
      <w:r w:rsidR="00200C5D" w:rsidRPr="00AD0116">
        <w:rPr>
          <w:rFonts w:cstheme="minorHAnsi"/>
          <w:color w:val="000000" w:themeColor="text1"/>
          <w:highlight w:val="yellow"/>
        </w:rPr>
        <w:t xml:space="preserve"> campus of Sikkim Manipal University. This setting was selected because it comprises exclusively non-medical undergraduate students, a group considered at risk for low awareness and vulnerability to sexually transmitted infections (STIs). The target population included all undergraduate students enrolled in the faculty. Students aged 18 years and above, present during data collection, and willing to provide written informed consent were included. Students who did not consent or were absent during data collection were excluded.</w:t>
      </w:r>
    </w:p>
    <w:p w14:paraId="6467313F" w14:textId="300213C6" w:rsidR="000061E2" w:rsidRPr="00AD0116" w:rsidRDefault="000061E2" w:rsidP="00AD0116">
      <w:pPr>
        <w:spacing w:line="276" w:lineRule="auto"/>
        <w:jc w:val="both"/>
        <w:rPr>
          <w:rFonts w:cstheme="minorHAnsi"/>
          <w:color w:val="000000" w:themeColor="text1"/>
          <w:highlight w:val="yellow"/>
        </w:rPr>
      </w:pPr>
      <w:r w:rsidRPr="00AD0116">
        <w:rPr>
          <w:rFonts w:cstheme="minorHAnsi"/>
          <w:color w:val="000000" w:themeColor="text1"/>
          <w:highlight w:val="yellow"/>
        </w:rPr>
        <w:lastRenderedPageBreak/>
        <w:t>The sample size was determined using a regionally relevant prevalence derived from a North Indian study on sexual behaviour and STI</w:t>
      </w:r>
      <w:r w:rsidR="00CF2C3D" w:rsidRPr="00AD0116">
        <w:rPr>
          <w:rFonts w:cstheme="minorHAnsi"/>
          <w:color w:val="000000" w:themeColor="text1"/>
          <w:highlight w:val="yellow"/>
        </w:rPr>
        <w:t xml:space="preserve"> </w:t>
      </w:r>
      <w:r w:rsidRPr="00AD0116">
        <w:rPr>
          <w:rFonts w:cstheme="minorHAnsi"/>
          <w:color w:val="000000" w:themeColor="text1"/>
          <w:highlight w:val="yellow"/>
        </w:rPr>
        <w:t xml:space="preserve">related awareness, which reported that approximately </w:t>
      </w:r>
      <w:r w:rsidRPr="00AD0116">
        <w:rPr>
          <w:rStyle w:val="Strong"/>
          <w:rFonts w:cstheme="minorHAnsi"/>
          <w:b w:val="0"/>
          <w:bCs w:val="0"/>
          <w:color w:val="000000" w:themeColor="text1"/>
          <w:highlight w:val="yellow"/>
        </w:rPr>
        <w:t>50%</w:t>
      </w:r>
      <w:r w:rsidRPr="00AD0116">
        <w:rPr>
          <w:rFonts w:cstheme="minorHAnsi"/>
          <w:color w:val="000000" w:themeColor="text1"/>
          <w:highlight w:val="yellow"/>
        </w:rPr>
        <w:t xml:space="preserve"> of youth demonstrated adequate knowledge and safer sexual </w:t>
      </w:r>
      <w:proofErr w:type="gramStart"/>
      <w:r w:rsidRPr="00AD0116">
        <w:rPr>
          <w:rFonts w:cstheme="minorHAnsi"/>
          <w:color w:val="000000" w:themeColor="text1"/>
          <w:highlight w:val="yellow"/>
        </w:rPr>
        <w:t>practices.</w:t>
      </w:r>
      <w:r w:rsidR="00FD259E" w:rsidRPr="00AD0116">
        <w:rPr>
          <w:rFonts w:cstheme="minorHAnsi"/>
          <w:color w:val="000000" w:themeColor="text1"/>
          <w:highlight w:val="yellow"/>
          <w:vertAlign w:val="superscript"/>
        </w:rPr>
        <w:t>[</w:t>
      </w:r>
      <w:proofErr w:type="gramEnd"/>
      <w:r w:rsidR="00FD259E" w:rsidRPr="00AD0116">
        <w:rPr>
          <w:rFonts w:cstheme="minorHAnsi"/>
          <w:color w:val="000000" w:themeColor="text1"/>
          <w:highlight w:val="yellow"/>
          <w:vertAlign w:val="superscript"/>
        </w:rPr>
        <w:t>25]</w:t>
      </w:r>
      <w:r w:rsidRPr="00AD0116">
        <w:rPr>
          <w:rFonts w:cstheme="minorHAnsi"/>
          <w:color w:val="000000" w:themeColor="text1"/>
          <w:highlight w:val="yellow"/>
          <w:vertAlign w:val="superscript"/>
        </w:rPr>
        <w:t xml:space="preserve"> </w:t>
      </w:r>
      <w:r w:rsidRPr="00AD0116">
        <w:rPr>
          <w:rFonts w:cstheme="minorHAnsi"/>
          <w:color w:val="000000" w:themeColor="text1"/>
          <w:highlight w:val="yellow"/>
        </w:rPr>
        <w:t>Using this prevalence (</w:t>
      </w:r>
      <w:r w:rsidRPr="00AD0116">
        <w:rPr>
          <w:rStyle w:val="Emphasis"/>
          <w:rFonts w:cstheme="minorHAnsi"/>
          <w:i w:val="0"/>
          <w:iCs w:val="0"/>
          <w:color w:val="000000" w:themeColor="text1"/>
          <w:highlight w:val="yellow"/>
        </w:rPr>
        <w:t>p = 0.50</w:t>
      </w:r>
      <w:r w:rsidRPr="00AD0116">
        <w:rPr>
          <w:rFonts w:cstheme="minorHAnsi"/>
          <w:color w:val="000000" w:themeColor="text1"/>
          <w:highlight w:val="yellow"/>
        </w:rPr>
        <w:t xml:space="preserve">), with a 95% confidence level and 5% margin of error, the initial calculated sample size was </w:t>
      </w:r>
      <w:r w:rsidRPr="00AD0116">
        <w:rPr>
          <w:rStyle w:val="Strong"/>
          <w:rFonts w:cstheme="minorHAnsi"/>
          <w:b w:val="0"/>
          <w:bCs w:val="0"/>
          <w:color w:val="000000" w:themeColor="text1"/>
          <w:highlight w:val="yellow"/>
        </w:rPr>
        <w:t>384</w:t>
      </w:r>
      <w:r w:rsidRPr="00AD0116">
        <w:rPr>
          <w:rFonts w:cstheme="minorHAnsi"/>
          <w:color w:val="000000" w:themeColor="text1"/>
          <w:highlight w:val="yellow"/>
        </w:rPr>
        <w:t xml:space="preserve">. Since the total population of eligible students was fewer than 10,000, the </w:t>
      </w:r>
      <w:r w:rsidRPr="00AD0116">
        <w:rPr>
          <w:rStyle w:val="Strong"/>
          <w:rFonts w:cstheme="minorHAnsi"/>
          <w:b w:val="0"/>
          <w:bCs w:val="0"/>
          <w:color w:val="000000" w:themeColor="text1"/>
          <w:highlight w:val="yellow"/>
        </w:rPr>
        <w:t xml:space="preserve">finite population correction </w:t>
      </w:r>
      <w:r w:rsidRPr="00AD0116">
        <w:rPr>
          <w:rFonts w:cstheme="minorHAnsi"/>
          <w:color w:val="000000" w:themeColor="text1"/>
          <w:highlight w:val="yellow"/>
        </w:rPr>
        <w:t xml:space="preserve">was applied, yielding a reduced required sample of </w:t>
      </w:r>
      <w:r w:rsidRPr="00AD0116">
        <w:rPr>
          <w:rStyle w:val="Strong"/>
          <w:rFonts w:cstheme="minorHAnsi"/>
          <w:b w:val="0"/>
          <w:bCs w:val="0"/>
          <w:color w:val="000000" w:themeColor="text1"/>
          <w:highlight w:val="yellow"/>
        </w:rPr>
        <w:t>175</w:t>
      </w:r>
      <w:r w:rsidRPr="00AD0116">
        <w:rPr>
          <w:rFonts w:cstheme="minorHAnsi"/>
          <w:color w:val="000000" w:themeColor="text1"/>
          <w:highlight w:val="yellow"/>
        </w:rPr>
        <w:t xml:space="preserve">. After adding a </w:t>
      </w:r>
      <w:r w:rsidRPr="00AD0116">
        <w:rPr>
          <w:rStyle w:val="Strong"/>
          <w:rFonts w:cstheme="minorHAnsi"/>
          <w:b w:val="0"/>
          <w:bCs w:val="0"/>
          <w:color w:val="000000" w:themeColor="text1"/>
          <w:highlight w:val="yellow"/>
        </w:rPr>
        <w:t>10% non-response rate</w:t>
      </w:r>
      <w:r w:rsidRPr="00AD0116">
        <w:rPr>
          <w:rFonts w:cstheme="minorHAnsi"/>
          <w:color w:val="000000" w:themeColor="text1"/>
          <w:highlight w:val="yellow"/>
        </w:rPr>
        <w:t xml:space="preserve">, the final sample size was set at </w:t>
      </w:r>
      <w:r w:rsidRPr="00AD0116">
        <w:rPr>
          <w:rStyle w:val="Strong"/>
          <w:rFonts w:cstheme="minorHAnsi"/>
          <w:b w:val="0"/>
          <w:bCs w:val="0"/>
          <w:color w:val="000000" w:themeColor="text1"/>
          <w:highlight w:val="yellow"/>
        </w:rPr>
        <w:t>192</w:t>
      </w:r>
      <w:r w:rsidRPr="00AD0116">
        <w:rPr>
          <w:rFonts w:cstheme="minorHAnsi"/>
          <w:color w:val="000000" w:themeColor="text1"/>
          <w:highlight w:val="yellow"/>
        </w:rPr>
        <w:t xml:space="preserve"> participants.</w:t>
      </w:r>
    </w:p>
    <w:p w14:paraId="02ECDBCE" w14:textId="77777777" w:rsidR="009854B6" w:rsidRDefault="00200C5D" w:rsidP="00AD0116">
      <w:pPr>
        <w:spacing w:line="276" w:lineRule="auto"/>
        <w:jc w:val="both"/>
        <w:rPr>
          <w:rFonts w:cstheme="minorHAnsi"/>
          <w:color w:val="000000" w:themeColor="text1"/>
          <w:highlight w:val="yellow"/>
        </w:rPr>
      </w:pPr>
      <w:r w:rsidRPr="00AD0116">
        <w:rPr>
          <w:rFonts w:cstheme="minorHAnsi"/>
          <w:color w:val="000000" w:themeColor="text1"/>
          <w:highlight w:val="yellow"/>
        </w:rPr>
        <w:t xml:space="preserve">A proportionate stratified sampling technique was first applied to ensure representation of both genders. Subsequently, systematic random sampling was used within each stratum. The sampling interval (k-value) was calculated separately for each stratum by dividing the total number of male and female students by their respective required sample sizes. This resulted in k = 3 for males and k = 4 for females. After selecting the first participant through a lottery method, every 3rd male and every 4th female student was selected until the sample size was obtained. </w:t>
      </w:r>
      <w:r w:rsidR="00DE61A6" w:rsidRPr="00AD0116">
        <w:rPr>
          <w:rFonts w:cstheme="minorHAnsi"/>
          <w:color w:val="000000" w:themeColor="text1"/>
          <w:highlight w:val="yellow"/>
        </w:rPr>
        <w:t>This combination of stratification and systematic selection minimized sampling bias and ensured appropriate representation of both genders.</w:t>
      </w:r>
      <w:r w:rsidR="000061E2" w:rsidRPr="00AD0116">
        <w:rPr>
          <w:rFonts w:cstheme="minorHAnsi"/>
          <w:color w:val="000000" w:themeColor="text1"/>
          <w:highlight w:val="yellow"/>
        </w:rPr>
        <w:t xml:space="preserve"> </w:t>
      </w:r>
    </w:p>
    <w:p w14:paraId="3A131E21" w14:textId="3A4A9C3A" w:rsidR="009854B6" w:rsidRPr="009854B6" w:rsidRDefault="009854B6" w:rsidP="009854B6">
      <w:pPr>
        <w:spacing w:line="276" w:lineRule="auto"/>
        <w:jc w:val="both"/>
        <w:rPr>
          <w:rFonts w:cstheme="minorHAnsi"/>
          <w:color w:val="000000" w:themeColor="text1"/>
        </w:rPr>
      </w:pPr>
      <w:r w:rsidRPr="009854B6">
        <w:rPr>
          <w:rFonts w:cstheme="minorHAnsi"/>
          <w:color w:val="000000" w:themeColor="text1"/>
        </w:rPr>
        <w:t>The study instrument consisted of three tools. Tool I, the Socio-Demographic and Knowledge Questionnaire, included two sections. Section A captured demographic variables such as age, gender, marital status, place of residence, type of family, current semester, and socioeconomic status. Section B assessed knowledge regarding sexually transmitted infections (STIs) using 15 multiple-choice and true</w:t>
      </w:r>
      <w:r>
        <w:rPr>
          <w:rFonts w:cstheme="minorHAnsi"/>
          <w:color w:val="000000" w:themeColor="text1"/>
        </w:rPr>
        <w:t xml:space="preserve"> or </w:t>
      </w:r>
      <w:r w:rsidRPr="009854B6">
        <w:rPr>
          <w:rFonts w:cstheme="minorHAnsi"/>
          <w:color w:val="000000" w:themeColor="text1"/>
        </w:rPr>
        <w:t>false items covering causation, symptoms, modes of transmission, complications, and preventive measures. Each correct response was scored 1, while incorrect or don’t know responses were scored 0, giving a total possible score of 0–15. Scores were converted into percentages and categorized as inadequate (&lt;50%), moderate (50–75%), and adequate (&gt;75%) knowledge.</w:t>
      </w:r>
    </w:p>
    <w:p w14:paraId="2C1EED00" w14:textId="77777777" w:rsidR="009854B6" w:rsidRPr="009854B6" w:rsidRDefault="009854B6" w:rsidP="009854B6">
      <w:pPr>
        <w:spacing w:line="276" w:lineRule="auto"/>
        <w:jc w:val="both"/>
        <w:rPr>
          <w:rFonts w:cstheme="minorHAnsi"/>
          <w:color w:val="000000" w:themeColor="text1"/>
        </w:rPr>
      </w:pPr>
      <w:r w:rsidRPr="009854B6">
        <w:rPr>
          <w:rFonts w:cstheme="minorHAnsi"/>
          <w:color w:val="000000" w:themeColor="text1"/>
        </w:rPr>
        <w:t>Tool II, the Attitude Scale, consisted of 20 items rated on a 4-point Likert scale ranging from 1 (strongly disagree) to 4 (strongly agree). The items measured students’ attitudes toward stigma, treatment-seeking behaviour, and communication related to STIs. The total possible score ranged from 20 to 80, and scores were classified as unfavourable (&lt;50%), neutral (50–75%), and favourable (&gt;75%) attitudes.</w:t>
      </w:r>
    </w:p>
    <w:p w14:paraId="21B6C625" w14:textId="77777777" w:rsidR="009854B6" w:rsidRPr="009854B6" w:rsidRDefault="009854B6" w:rsidP="009854B6">
      <w:pPr>
        <w:spacing w:line="276" w:lineRule="auto"/>
        <w:jc w:val="both"/>
        <w:rPr>
          <w:rFonts w:cstheme="minorHAnsi"/>
          <w:color w:val="000000" w:themeColor="text1"/>
        </w:rPr>
      </w:pPr>
      <w:r w:rsidRPr="009854B6">
        <w:rPr>
          <w:rFonts w:cstheme="minorHAnsi"/>
          <w:color w:val="000000" w:themeColor="text1"/>
        </w:rPr>
        <w:t>Tool III, the Preventive Practice Questionnaire, comprised 12 items assessing behaviours such as condom use, routine health check-ups, STI testing, and participation in STI awareness programmes. Responses were scored as Yes = 1 and No = 0, resulting in a total possible score of 0–12. Preventive practices were categorized as poor (&lt;50%), fair (50–75%), and good (&gt;75%) practice.</w:t>
      </w:r>
    </w:p>
    <w:p w14:paraId="30DC2361" w14:textId="77777777" w:rsidR="009854B6" w:rsidRDefault="009854B6" w:rsidP="009854B6">
      <w:pPr>
        <w:spacing w:line="276" w:lineRule="auto"/>
        <w:jc w:val="both"/>
        <w:rPr>
          <w:rFonts w:cstheme="minorHAnsi"/>
          <w:color w:val="000000" w:themeColor="text1"/>
        </w:rPr>
      </w:pPr>
      <w:r w:rsidRPr="009854B6">
        <w:rPr>
          <w:rFonts w:cstheme="minorHAnsi"/>
          <w:color w:val="000000" w:themeColor="text1"/>
        </w:rPr>
        <w:t>Content validity of all tools was ensured through review by three experts in community health nursing and reproductive health, and their suggestions were incorporated to enhance clarity and relevance. Internal consistency reliability, assessed using Cronbach’s alpha, demonstrated acceptable values of 0.82 for the knowledge scale, 0.79 for the attitude scale, and 0.76 for the practice scale.</w:t>
      </w:r>
    </w:p>
    <w:p w14:paraId="18CDD8C2" w14:textId="06EC433D" w:rsidR="000061E2" w:rsidRPr="00AD0116" w:rsidRDefault="00200C5D" w:rsidP="009854B6">
      <w:pPr>
        <w:spacing w:line="276" w:lineRule="auto"/>
        <w:jc w:val="both"/>
        <w:rPr>
          <w:rFonts w:cstheme="minorHAnsi"/>
          <w:color w:val="000000" w:themeColor="text1"/>
          <w:highlight w:val="yellow"/>
        </w:rPr>
      </w:pPr>
      <w:r w:rsidRPr="00AD0116">
        <w:rPr>
          <w:rFonts w:cstheme="minorHAnsi"/>
          <w:color w:val="000000" w:themeColor="text1"/>
          <w:highlight w:val="yellow"/>
        </w:rPr>
        <w:t xml:space="preserve">A </w:t>
      </w:r>
      <w:proofErr w:type="spellStart"/>
      <w:r w:rsidRPr="00AD0116">
        <w:rPr>
          <w:rFonts w:cstheme="minorHAnsi"/>
          <w:color w:val="000000" w:themeColor="text1"/>
          <w:highlight w:val="yellow"/>
        </w:rPr>
        <w:t>pretest</w:t>
      </w:r>
      <w:proofErr w:type="spellEnd"/>
      <w:r w:rsidRPr="00AD0116">
        <w:rPr>
          <w:rFonts w:cstheme="minorHAnsi"/>
          <w:color w:val="000000" w:themeColor="text1"/>
          <w:highlight w:val="yellow"/>
        </w:rPr>
        <w:t xml:space="preserve"> of the study instrument was conducted among 10% of the sample to assess clarity, wording, and feasibility. </w:t>
      </w:r>
      <w:proofErr w:type="spellStart"/>
      <w:r w:rsidRPr="00AD0116">
        <w:rPr>
          <w:rFonts w:cstheme="minorHAnsi"/>
          <w:color w:val="000000" w:themeColor="text1"/>
          <w:highlight w:val="yellow"/>
        </w:rPr>
        <w:t>Pretest</w:t>
      </w:r>
      <w:proofErr w:type="spellEnd"/>
      <w:r w:rsidRPr="00AD0116">
        <w:rPr>
          <w:rFonts w:cstheme="minorHAnsi"/>
          <w:color w:val="000000" w:themeColor="text1"/>
          <w:highlight w:val="yellow"/>
        </w:rPr>
        <w:t xml:space="preserve"> data were excluded from the final analysis. Following institutional permission, classroom visits were conducted. The purpose of the study was explained to students, and written informed consent was obtained. Participants completed the questionnaires individually in a distraction-free environment. Confidentiality and anonymity were ensured by avoiding any personal identifiers. Completed questionnaires were collected immediately to maintain data integrity.</w:t>
      </w:r>
    </w:p>
    <w:p w14:paraId="4C75BFC8" w14:textId="21536EC9" w:rsidR="00200C5D" w:rsidRPr="00AD0116" w:rsidRDefault="00200C5D" w:rsidP="00AD0116">
      <w:pPr>
        <w:spacing w:line="276" w:lineRule="auto"/>
        <w:jc w:val="both"/>
        <w:rPr>
          <w:rFonts w:cstheme="minorHAnsi"/>
          <w:color w:val="000000" w:themeColor="text1"/>
          <w:highlight w:val="yellow"/>
        </w:rPr>
      </w:pPr>
      <w:r w:rsidRPr="00AD0116">
        <w:rPr>
          <w:rFonts w:cstheme="minorHAnsi"/>
          <w:color w:val="000000" w:themeColor="text1"/>
          <w:highlight w:val="yellow"/>
        </w:rPr>
        <w:lastRenderedPageBreak/>
        <w:t>Ethical approval was obtained from the SMIMS Institution Ethics Committee (IEC) of Sikkim Manipal University (Ref. No.: SMIMS/IEC/2025-23). Participation was voluntary, anonymity was maintained, and participants had the right to withdraw at any time without penalty. Data were used solely for academic and research purposes.</w:t>
      </w:r>
    </w:p>
    <w:p w14:paraId="337141F2" w14:textId="282B617D" w:rsidR="00200C5D" w:rsidRPr="00AD0116" w:rsidRDefault="00200C5D" w:rsidP="00AD0116">
      <w:pPr>
        <w:spacing w:line="276" w:lineRule="auto"/>
        <w:jc w:val="both"/>
        <w:rPr>
          <w:rFonts w:cstheme="minorHAnsi"/>
          <w:color w:val="000000" w:themeColor="text1"/>
        </w:rPr>
      </w:pPr>
      <w:r w:rsidRPr="00AD0116">
        <w:rPr>
          <w:rFonts w:cstheme="minorHAnsi"/>
          <w:color w:val="000000" w:themeColor="text1"/>
          <w:highlight w:val="yellow"/>
        </w:rPr>
        <w:t>Data were entered into Microsoft Excel and analysed using descriptive and inferential statistics. Frequencies, percentages, means, and standard deviations were used for descriptive analysis. For inferential analysis</w:t>
      </w:r>
      <w:r w:rsidR="00FD259E" w:rsidRPr="00AD0116">
        <w:rPr>
          <w:rFonts w:cstheme="minorHAnsi"/>
          <w:color w:val="000000" w:themeColor="text1"/>
          <w:highlight w:val="yellow"/>
        </w:rPr>
        <w:t xml:space="preserve">, </w:t>
      </w:r>
      <w:r w:rsidRPr="00AD0116">
        <w:rPr>
          <w:rFonts w:cstheme="minorHAnsi"/>
          <w:color w:val="000000" w:themeColor="text1"/>
          <w:highlight w:val="yellow"/>
        </w:rPr>
        <w:t>Chi-square (χ²) test and Fisher’s exact test (where expected cell count &lt;5) were used to determine associations between knowledge, attitude, and practice levels with selected demographic variables. Pearson’s correlation coefficient assessed the relationship between knowledge and attitude scores. A p-value &lt;0.05 was considered statistically significant.</w:t>
      </w:r>
      <w:r w:rsidRPr="00AD0116">
        <w:rPr>
          <w:rFonts w:cstheme="minorHAnsi"/>
          <w:color w:val="000000" w:themeColor="text1"/>
        </w:rPr>
        <w:t xml:space="preserve"> </w:t>
      </w:r>
    </w:p>
    <w:p w14:paraId="60F1E951" w14:textId="77777777" w:rsidR="009854B6" w:rsidRDefault="009854B6" w:rsidP="00AD0116">
      <w:pPr>
        <w:spacing w:after="0" w:line="276" w:lineRule="auto"/>
        <w:rPr>
          <w:rFonts w:cstheme="minorHAnsi"/>
          <w:b/>
          <w:bCs/>
          <w:color w:val="000000" w:themeColor="text1"/>
        </w:rPr>
      </w:pPr>
    </w:p>
    <w:p w14:paraId="11AB4884" w14:textId="5B582E37" w:rsidR="00DE61A6" w:rsidRPr="00AD0116" w:rsidRDefault="00A87550" w:rsidP="00AD0116">
      <w:pPr>
        <w:spacing w:after="0" w:line="276" w:lineRule="auto"/>
        <w:rPr>
          <w:rFonts w:cstheme="minorHAnsi"/>
          <w:b/>
          <w:bCs/>
          <w:color w:val="000000" w:themeColor="text1"/>
        </w:rPr>
      </w:pPr>
      <w:r w:rsidRPr="00AD0116">
        <w:rPr>
          <w:rFonts w:cstheme="minorHAnsi"/>
          <w:b/>
          <w:bCs/>
          <w:color w:val="000000" w:themeColor="text1"/>
        </w:rPr>
        <w:t xml:space="preserve">3. RESULTS </w:t>
      </w:r>
    </w:p>
    <w:p w14:paraId="20459780" w14:textId="77777777" w:rsidR="00A87550" w:rsidRPr="00AD0116" w:rsidRDefault="00A87550" w:rsidP="00AD0116">
      <w:pPr>
        <w:spacing w:after="0" w:line="276" w:lineRule="auto"/>
        <w:rPr>
          <w:rFonts w:cstheme="minorHAnsi"/>
          <w:b/>
          <w:color w:val="000000" w:themeColor="text1"/>
        </w:rPr>
      </w:pPr>
    </w:p>
    <w:p w14:paraId="393674D7" w14:textId="3EC4AB9D" w:rsidR="00DE61A6" w:rsidRPr="00AD0116" w:rsidRDefault="00DE61A6" w:rsidP="00AD0116">
      <w:pPr>
        <w:spacing w:after="0" w:line="276" w:lineRule="auto"/>
        <w:jc w:val="right"/>
        <w:rPr>
          <w:rFonts w:cstheme="minorHAnsi"/>
          <w:b/>
          <w:color w:val="000000" w:themeColor="text1"/>
        </w:rPr>
      </w:pPr>
      <w:r w:rsidRPr="00AD0116">
        <w:rPr>
          <w:rFonts w:cstheme="minorHAnsi"/>
          <w:b/>
          <w:color w:val="000000" w:themeColor="text1"/>
        </w:rPr>
        <w:t>N=192</w:t>
      </w:r>
    </w:p>
    <w:p w14:paraId="792D3BDC" w14:textId="51393F43" w:rsidR="00DE61A6" w:rsidRPr="00AD0116" w:rsidRDefault="00411CFE" w:rsidP="00AD0116">
      <w:pPr>
        <w:spacing w:after="0" w:line="276" w:lineRule="auto"/>
        <w:jc w:val="center"/>
        <w:rPr>
          <w:rFonts w:cstheme="minorHAnsi"/>
          <w:b/>
          <w:color w:val="000000" w:themeColor="text1"/>
        </w:rPr>
      </w:pPr>
      <w:r w:rsidRPr="00411CFE">
        <w:rPr>
          <w:b/>
          <w:bCs/>
          <w:noProof/>
        </w:rPr>
        <w:drawing>
          <wp:inline distT="0" distB="0" distL="0" distR="0" wp14:anchorId="1C3CD5DE" wp14:editId="2A4E1B5B">
            <wp:extent cx="3799405" cy="1799461"/>
            <wp:effectExtent l="0" t="0" r="10795" b="10795"/>
            <wp:docPr id="34825735" name="Chart 1">
              <a:extLst xmlns:a="http://schemas.openxmlformats.org/drawingml/2006/main">
                <a:ext uri="{FF2B5EF4-FFF2-40B4-BE49-F238E27FC236}">
                  <a16:creationId xmlns:a16="http://schemas.microsoft.com/office/drawing/2014/main" id="{BC1D8F29-95E5-FE44-2813-5AE35A62F4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5E6C5E" w14:textId="77777777" w:rsidR="00DE61A6" w:rsidRPr="00AD0116" w:rsidRDefault="00DE61A6" w:rsidP="00AD0116">
      <w:pPr>
        <w:spacing w:after="0" w:line="276" w:lineRule="auto"/>
        <w:jc w:val="both"/>
        <w:rPr>
          <w:rFonts w:cstheme="minorHAnsi"/>
          <w:b/>
          <w:color w:val="000000" w:themeColor="text1"/>
        </w:rPr>
      </w:pPr>
    </w:p>
    <w:p w14:paraId="5C703F51" w14:textId="77777777" w:rsidR="00DE61A6" w:rsidRPr="00AD0116" w:rsidRDefault="00DE61A6" w:rsidP="00AD0116">
      <w:pPr>
        <w:spacing w:after="0" w:line="276" w:lineRule="auto"/>
        <w:jc w:val="center"/>
        <w:rPr>
          <w:rFonts w:cstheme="minorHAnsi"/>
          <w:bCs/>
          <w:color w:val="000000" w:themeColor="text1"/>
        </w:rPr>
      </w:pPr>
      <w:r w:rsidRPr="00AD0116">
        <w:rPr>
          <w:rFonts w:cstheme="minorHAnsi"/>
          <w:bCs/>
          <w:color w:val="000000" w:themeColor="text1"/>
        </w:rPr>
        <w:t>Figure 1: Distribution of age of College Students</w:t>
      </w:r>
    </w:p>
    <w:p w14:paraId="417B8250" w14:textId="77777777" w:rsidR="009660F4" w:rsidRPr="00AD0116" w:rsidRDefault="009660F4" w:rsidP="00AD0116">
      <w:pPr>
        <w:spacing w:after="0" w:line="276" w:lineRule="auto"/>
        <w:jc w:val="both"/>
        <w:rPr>
          <w:rFonts w:cstheme="minorHAnsi"/>
          <w:color w:val="000000" w:themeColor="text1"/>
        </w:rPr>
      </w:pPr>
    </w:p>
    <w:p w14:paraId="0A9CE765" w14:textId="71001B65" w:rsidR="009660F4" w:rsidRPr="00AD0116" w:rsidRDefault="00DE61A6" w:rsidP="00AD0116">
      <w:pPr>
        <w:spacing w:after="0" w:line="276" w:lineRule="auto"/>
        <w:jc w:val="both"/>
        <w:rPr>
          <w:rFonts w:cstheme="minorHAnsi"/>
          <w:color w:val="000000" w:themeColor="text1"/>
        </w:rPr>
      </w:pPr>
      <w:r w:rsidRPr="00AD0116">
        <w:rPr>
          <w:rFonts w:cstheme="minorHAnsi"/>
          <w:color w:val="000000" w:themeColor="text1"/>
        </w:rPr>
        <w:t xml:space="preserve">Figure 1 illustrates the age distribution of participants, which mainly ranged from 19 to </w:t>
      </w:r>
      <w:r w:rsidR="00411CFE">
        <w:rPr>
          <w:rFonts w:cstheme="minorHAnsi"/>
          <w:color w:val="000000" w:themeColor="text1"/>
        </w:rPr>
        <w:t>24</w:t>
      </w:r>
      <w:r w:rsidRPr="00AD0116">
        <w:rPr>
          <w:rFonts w:cstheme="minorHAnsi"/>
          <w:color w:val="000000" w:themeColor="text1"/>
        </w:rPr>
        <w:t xml:space="preserve"> years, with very few students above </w:t>
      </w:r>
      <w:r w:rsidR="00411CFE">
        <w:rPr>
          <w:rFonts w:cstheme="minorHAnsi"/>
          <w:color w:val="000000" w:themeColor="text1"/>
        </w:rPr>
        <w:t>25</w:t>
      </w:r>
      <w:r w:rsidRPr="00AD0116">
        <w:rPr>
          <w:rFonts w:cstheme="minorHAnsi"/>
          <w:color w:val="000000" w:themeColor="text1"/>
        </w:rPr>
        <w:t>. The concentration in the 19–24 age group is typical of undergraduate cohorts.</w:t>
      </w:r>
    </w:p>
    <w:p w14:paraId="51BFFE0C" w14:textId="0957DBEE" w:rsidR="00DE61A6" w:rsidRPr="00AD0116" w:rsidRDefault="00DE61A6" w:rsidP="00AD0116">
      <w:pPr>
        <w:pStyle w:val="NormalWeb"/>
        <w:spacing w:line="276" w:lineRule="auto"/>
        <w:rPr>
          <w:rFonts w:asciiTheme="minorHAnsi" w:hAnsiTheme="minorHAnsi" w:cstheme="minorHAnsi"/>
          <w:b/>
          <w:color w:val="000000" w:themeColor="text1"/>
          <w:sz w:val="22"/>
          <w:szCs w:val="22"/>
        </w:rPr>
      </w:pPr>
      <w:r w:rsidRPr="00AD0116">
        <w:rPr>
          <w:rFonts w:asciiTheme="minorHAnsi" w:hAnsiTheme="minorHAnsi" w:cstheme="minorHAnsi"/>
          <w:b/>
          <w:color w:val="000000" w:themeColor="text1"/>
          <w:sz w:val="22"/>
          <w:szCs w:val="22"/>
        </w:rPr>
        <w:t>Table 1: Frequency and Percentage Distribution of Demographic Variables</w:t>
      </w:r>
    </w:p>
    <w:p w14:paraId="4D81E7B4" w14:textId="77777777" w:rsidR="00DE61A6" w:rsidRPr="00AD0116" w:rsidRDefault="00DE61A6" w:rsidP="00AD0116">
      <w:pPr>
        <w:spacing w:after="0" w:line="276" w:lineRule="auto"/>
        <w:jc w:val="right"/>
        <w:rPr>
          <w:rFonts w:cstheme="minorHAnsi"/>
          <w:b/>
          <w:color w:val="000000" w:themeColor="text1"/>
        </w:rPr>
      </w:pPr>
      <w:r w:rsidRPr="00AD0116">
        <w:rPr>
          <w:rFonts w:cstheme="minorHAnsi"/>
          <w:b/>
          <w:color w:val="000000" w:themeColor="text1"/>
        </w:rPr>
        <w:t>N=192</w:t>
      </w:r>
    </w:p>
    <w:tbl>
      <w:tblPr>
        <w:tblStyle w:val="PlainTable2"/>
        <w:tblW w:w="0" w:type="auto"/>
        <w:tblLook w:val="04A0" w:firstRow="1" w:lastRow="0" w:firstColumn="1" w:lastColumn="0" w:noHBand="0" w:noVBand="1"/>
      </w:tblPr>
      <w:tblGrid>
        <w:gridCol w:w="1060"/>
        <w:gridCol w:w="4572"/>
        <w:gridCol w:w="1791"/>
        <w:gridCol w:w="2314"/>
      </w:tblGrid>
      <w:tr w:rsidR="00AD0116" w:rsidRPr="00AD0116" w14:paraId="4F0E7FF5" w14:textId="77777777" w:rsidTr="001404FA">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060" w:type="dxa"/>
          </w:tcPr>
          <w:p w14:paraId="0BA2B9F6" w14:textId="77777777" w:rsidR="00DE61A6" w:rsidRPr="00AD0116" w:rsidRDefault="00DE61A6" w:rsidP="00AD0116">
            <w:pPr>
              <w:spacing w:line="276" w:lineRule="auto"/>
              <w:jc w:val="center"/>
              <w:rPr>
                <w:rFonts w:cstheme="minorHAnsi"/>
                <w:b w:val="0"/>
                <w:color w:val="000000" w:themeColor="text1"/>
              </w:rPr>
            </w:pPr>
            <w:r w:rsidRPr="00AD0116">
              <w:rPr>
                <w:rFonts w:cstheme="minorHAnsi"/>
                <w:color w:val="000000" w:themeColor="text1"/>
              </w:rPr>
              <w:t>S. No</w:t>
            </w:r>
          </w:p>
        </w:tc>
        <w:tc>
          <w:tcPr>
            <w:tcW w:w="4572" w:type="dxa"/>
          </w:tcPr>
          <w:p w14:paraId="7CC4D679"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AD0116">
              <w:rPr>
                <w:rFonts w:cstheme="minorHAnsi"/>
                <w:color w:val="000000" w:themeColor="text1"/>
              </w:rPr>
              <w:t>Demographic Variables</w:t>
            </w:r>
          </w:p>
        </w:tc>
        <w:tc>
          <w:tcPr>
            <w:tcW w:w="1791" w:type="dxa"/>
          </w:tcPr>
          <w:p w14:paraId="2664E46F"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AD0116">
              <w:rPr>
                <w:rFonts w:cstheme="minorHAnsi"/>
                <w:color w:val="000000" w:themeColor="text1"/>
              </w:rPr>
              <w:t>Frequency</w:t>
            </w:r>
          </w:p>
        </w:tc>
        <w:tc>
          <w:tcPr>
            <w:tcW w:w="2314" w:type="dxa"/>
          </w:tcPr>
          <w:p w14:paraId="079C2F33"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AD0116">
              <w:rPr>
                <w:rFonts w:cstheme="minorHAnsi"/>
                <w:color w:val="000000" w:themeColor="text1"/>
              </w:rPr>
              <w:t>Percentage</w:t>
            </w:r>
          </w:p>
          <w:p w14:paraId="0DCB65D6"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tc>
      </w:tr>
      <w:tr w:rsidR="00AD0116" w:rsidRPr="00AD0116" w14:paraId="2ACC5CC4" w14:textId="77777777" w:rsidTr="001404FA">
        <w:trPr>
          <w:cnfStyle w:val="000000100000" w:firstRow="0" w:lastRow="0" w:firstColumn="0" w:lastColumn="0" w:oddVBand="0" w:evenVBand="0" w:oddHBand="1" w:evenHBand="0" w:firstRowFirstColumn="0" w:firstRowLastColumn="0" w:lastRowFirstColumn="0" w:lastRowLastColumn="0"/>
          <w:trHeight w:val="1180"/>
        </w:trPr>
        <w:tc>
          <w:tcPr>
            <w:cnfStyle w:val="001000000000" w:firstRow="0" w:lastRow="0" w:firstColumn="1" w:lastColumn="0" w:oddVBand="0" w:evenVBand="0" w:oddHBand="0" w:evenHBand="0" w:firstRowFirstColumn="0" w:firstRowLastColumn="0" w:lastRowFirstColumn="0" w:lastRowLastColumn="0"/>
            <w:tcW w:w="1060" w:type="dxa"/>
          </w:tcPr>
          <w:p w14:paraId="7A4FC333"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1</w:t>
            </w:r>
          </w:p>
        </w:tc>
        <w:tc>
          <w:tcPr>
            <w:tcW w:w="4572" w:type="dxa"/>
          </w:tcPr>
          <w:p w14:paraId="61007CA1" w14:textId="77777777" w:rsidR="00DE61A6" w:rsidRPr="00AD0116" w:rsidRDefault="00DE61A6" w:rsidP="00AD011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z w:val="22"/>
                <w:szCs w:val="22"/>
              </w:rPr>
            </w:pPr>
            <w:r w:rsidRPr="00AD0116">
              <w:rPr>
                <w:rFonts w:asciiTheme="minorHAnsi" w:hAnsiTheme="minorHAnsi" w:cstheme="minorHAnsi"/>
                <w:b/>
                <w:bCs/>
                <w:color w:val="000000" w:themeColor="text1"/>
                <w:sz w:val="22"/>
                <w:szCs w:val="22"/>
              </w:rPr>
              <w:t xml:space="preserve">Marital status </w:t>
            </w:r>
          </w:p>
          <w:p w14:paraId="6ABA0520" w14:textId="77777777" w:rsidR="00DE61A6" w:rsidRPr="00AD0116" w:rsidRDefault="00DE61A6" w:rsidP="00AD0116">
            <w:pPr>
              <w:pStyle w:val="ListParagraph"/>
              <w:numPr>
                <w:ilvl w:val="0"/>
                <w:numId w:val="7"/>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rPr>
            </w:pPr>
            <w:r w:rsidRPr="00AD0116">
              <w:rPr>
                <w:rFonts w:cstheme="minorHAnsi"/>
                <w:color w:val="000000" w:themeColor="text1"/>
              </w:rPr>
              <w:t>Unmarried</w:t>
            </w:r>
          </w:p>
          <w:p w14:paraId="7D639841" w14:textId="77777777" w:rsidR="00DE61A6" w:rsidRPr="00AD0116" w:rsidRDefault="00DE61A6" w:rsidP="00AD0116">
            <w:pPr>
              <w:pStyle w:val="ListParagraph"/>
              <w:numPr>
                <w:ilvl w:val="0"/>
                <w:numId w:val="7"/>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rPr>
            </w:pPr>
            <w:r w:rsidRPr="00AD0116">
              <w:rPr>
                <w:rFonts w:cstheme="minorHAnsi"/>
                <w:color w:val="000000" w:themeColor="text1"/>
              </w:rPr>
              <w:t xml:space="preserve">Married   </w:t>
            </w:r>
          </w:p>
        </w:tc>
        <w:tc>
          <w:tcPr>
            <w:tcW w:w="1791" w:type="dxa"/>
          </w:tcPr>
          <w:p w14:paraId="70D4EA93"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337F813"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190</w:t>
            </w:r>
          </w:p>
          <w:p w14:paraId="0534AF52"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2</w:t>
            </w:r>
          </w:p>
        </w:tc>
        <w:tc>
          <w:tcPr>
            <w:tcW w:w="2314" w:type="dxa"/>
          </w:tcPr>
          <w:p w14:paraId="51369C07"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70C9E12"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99</w:t>
            </w:r>
          </w:p>
          <w:p w14:paraId="7A18F718"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w:t>
            </w:r>
          </w:p>
        </w:tc>
      </w:tr>
      <w:tr w:rsidR="00AD0116" w:rsidRPr="00AD0116" w14:paraId="7BFFAC0F" w14:textId="77777777" w:rsidTr="001404FA">
        <w:trPr>
          <w:trHeight w:val="394"/>
        </w:trPr>
        <w:tc>
          <w:tcPr>
            <w:cnfStyle w:val="001000000000" w:firstRow="0" w:lastRow="0" w:firstColumn="1" w:lastColumn="0" w:oddVBand="0" w:evenVBand="0" w:oddHBand="0" w:evenHBand="0" w:firstRowFirstColumn="0" w:firstRowLastColumn="0" w:lastRowFirstColumn="0" w:lastRowLastColumn="0"/>
            <w:tcW w:w="1060" w:type="dxa"/>
          </w:tcPr>
          <w:p w14:paraId="7D0F8738"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2</w:t>
            </w:r>
          </w:p>
        </w:tc>
        <w:tc>
          <w:tcPr>
            <w:tcW w:w="4572" w:type="dxa"/>
          </w:tcPr>
          <w:p w14:paraId="57C35C23" w14:textId="77777777" w:rsidR="00DE61A6" w:rsidRPr="00AD0116" w:rsidRDefault="00DE61A6" w:rsidP="00AD0116">
            <w:p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AD0116">
              <w:rPr>
                <w:rFonts w:cstheme="minorHAnsi"/>
                <w:b/>
                <w:bCs/>
                <w:color w:val="000000" w:themeColor="text1"/>
              </w:rPr>
              <w:t xml:space="preserve">Sexual preference </w:t>
            </w:r>
          </w:p>
          <w:p w14:paraId="7CB2A106" w14:textId="77777777" w:rsidR="00DE61A6" w:rsidRPr="00AD0116" w:rsidRDefault="00DE61A6" w:rsidP="00AD0116">
            <w:pPr>
              <w:pStyle w:val="ListParagraph"/>
              <w:numPr>
                <w:ilvl w:val="0"/>
                <w:numId w:val="1"/>
              </w:num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Heterosexual</w:t>
            </w:r>
          </w:p>
          <w:p w14:paraId="6BD85C1D" w14:textId="77777777" w:rsidR="00DE61A6" w:rsidRPr="00AD0116" w:rsidRDefault="00DE61A6" w:rsidP="00AD0116">
            <w:pPr>
              <w:pStyle w:val="ListParagraph"/>
              <w:numPr>
                <w:ilvl w:val="0"/>
                <w:numId w:val="1"/>
              </w:num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Homosexual</w:t>
            </w:r>
          </w:p>
          <w:p w14:paraId="6652A4F7" w14:textId="77777777" w:rsidR="00DE61A6" w:rsidRPr="00AD0116" w:rsidRDefault="00DE61A6" w:rsidP="00AD0116">
            <w:pPr>
              <w:pStyle w:val="ListParagraph"/>
              <w:numPr>
                <w:ilvl w:val="0"/>
                <w:numId w:val="1"/>
              </w:num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Bisexual</w:t>
            </w:r>
          </w:p>
          <w:p w14:paraId="0B8F8F3F" w14:textId="77777777" w:rsidR="00DE61A6" w:rsidRPr="00AD0116" w:rsidRDefault="00DE61A6" w:rsidP="00AD0116">
            <w:pPr>
              <w:pStyle w:val="ListParagraph"/>
              <w:numPr>
                <w:ilvl w:val="0"/>
                <w:numId w:val="1"/>
              </w:num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Asexual</w:t>
            </w:r>
          </w:p>
          <w:p w14:paraId="1D770C80" w14:textId="77777777" w:rsidR="00DE61A6" w:rsidRPr="00AD0116" w:rsidRDefault="00DE61A6" w:rsidP="00AD0116">
            <w:pPr>
              <w:pStyle w:val="ListParagraph"/>
              <w:numPr>
                <w:ilvl w:val="0"/>
                <w:numId w:val="1"/>
              </w:num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 xml:space="preserve">Other (Please specify): </w:t>
            </w:r>
          </w:p>
          <w:p w14:paraId="7B274F35" w14:textId="77777777" w:rsidR="00DE61A6" w:rsidRPr="00AD0116" w:rsidRDefault="00DE61A6" w:rsidP="00AD0116">
            <w:pPr>
              <w:pStyle w:val="ListParagraph"/>
              <w:numPr>
                <w:ilvl w:val="0"/>
                <w:numId w:val="1"/>
              </w:num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Prefer not to say</w:t>
            </w:r>
          </w:p>
        </w:tc>
        <w:tc>
          <w:tcPr>
            <w:tcW w:w="1791" w:type="dxa"/>
          </w:tcPr>
          <w:p w14:paraId="2E1693C0"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32EEB04"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189</w:t>
            </w:r>
          </w:p>
          <w:p w14:paraId="29FAD01F"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0</w:t>
            </w:r>
          </w:p>
          <w:p w14:paraId="160EFCAC"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0</w:t>
            </w:r>
          </w:p>
          <w:p w14:paraId="580009EE"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0</w:t>
            </w:r>
          </w:p>
          <w:p w14:paraId="1489D930"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0</w:t>
            </w:r>
          </w:p>
          <w:p w14:paraId="075DC53B"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w:t>
            </w:r>
          </w:p>
        </w:tc>
        <w:tc>
          <w:tcPr>
            <w:tcW w:w="2314" w:type="dxa"/>
          </w:tcPr>
          <w:p w14:paraId="33642427"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3CBBD18"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98.4</w:t>
            </w:r>
          </w:p>
          <w:p w14:paraId="5A21FBC9"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0</w:t>
            </w:r>
          </w:p>
          <w:p w14:paraId="64C54574"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0</w:t>
            </w:r>
          </w:p>
          <w:p w14:paraId="7F066182"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0</w:t>
            </w:r>
          </w:p>
          <w:p w14:paraId="32D7A76C"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0</w:t>
            </w:r>
          </w:p>
          <w:p w14:paraId="163EA2FE"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1.6</w:t>
            </w:r>
          </w:p>
        </w:tc>
      </w:tr>
      <w:tr w:rsidR="00AD0116" w:rsidRPr="00AD0116" w14:paraId="6569562C" w14:textId="77777777" w:rsidTr="001404FA">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060" w:type="dxa"/>
          </w:tcPr>
          <w:p w14:paraId="1A78A7B9"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lastRenderedPageBreak/>
              <w:t>3</w:t>
            </w:r>
          </w:p>
        </w:tc>
        <w:tc>
          <w:tcPr>
            <w:tcW w:w="4572" w:type="dxa"/>
          </w:tcPr>
          <w:p w14:paraId="21C729D1" w14:textId="77777777" w:rsidR="00DE61A6" w:rsidRPr="00AD0116" w:rsidRDefault="00DE61A6" w:rsidP="00AD011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z w:val="22"/>
                <w:szCs w:val="22"/>
              </w:rPr>
            </w:pPr>
            <w:r w:rsidRPr="00AD0116">
              <w:rPr>
                <w:rFonts w:asciiTheme="minorHAnsi" w:hAnsiTheme="minorHAnsi" w:cstheme="minorHAnsi"/>
                <w:b/>
                <w:bCs/>
                <w:color w:val="000000" w:themeColor="text1"/>
                <w:sz w:val="22"/>
                <w:szCs w:val="22"/>
              </w:rPr>
              <w:t xml:space="preserve">Course pursuing </w:t>
            </w:r>
          </w:p>
          <w:p w14:paraId="709C06F2" w14:textId="77777777" w:rsidR="00DE61A6" w:rsidRPr="00AD0116" w:rsidRDefault="00DE61A6" w:rsidP="00AD0116">
            <w:pPr>
              <w:pStyle w:val="ListParagraph"/>
              <w:numPr>
                <w:ilvl w:val="0"/>
                <w:numId w:val="8"/>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Bachelors in Arts</w:t>
            </w:r>
          </w:p>
          <w:p w14:paraId="2CC371D1" w14:textId="77777777" w:rsidR="00DE61A6" w:rsidRPr="00AD0116" w:rsidRDefault="00DE61A6" w:rsidP="00AD0116">
            <w:pPr>
              <w:pStyle w:val="ListParagraph"/>
              <w:numPr>
                <w:ilvl w:val="0"/>
                <w:numId w:val="8"/>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Bachelors in Science</w:t>
            </w:r>
          </w:p>
          <w:p w14:paraId="60F23B29" w14:textId="77777777" w:rsidR="00DE61A6" w:rsidRPr="00AD0116" w:rsidRDefault="00DE61A6" w:rsidP="00AD0116">
            <w:pPr>
              <w:pStyle w:val="ListParagraph"/>
              <w:numPr>
                <w:ilvl w:val="0"/>
                <w:numId w:val="8"/>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Bachelors in Commerce</w:t>
            </w:r>
          </w:p>
          <w:p w14:paraId="47D484BD" w14:textId="77777777" w:rsidR="00DE61A6" w:rsidRPr="00AD0116" w:rsidRDefault="00DE61A6" w:rsidP="00AD0116">
            <w:pPr>
              <w:pStyle w:val="ListParagraph"/>
              <w:numPr>
                <w:ilvl w:val="0"/>
                <w:numId w:val="8"/>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Others (Please specify): </w:t>
            </w:r>
          </w:p>
        </w:tc>
        <w:tc>
          <w:tcPr>
            <w:tcW w:w="1791" w:type="dxa"/>
          </w:tcPr>
          <w:p w14:paraId="3EF50F44"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5A577DEA"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60</w:t>
            </w:r>
          </w:p>
          <w:p w14:paraId="69866E85"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96</w:t>
            </w:r>
          </w:p>
          <w:p w14:paraId="654ACF76"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24</w:t>
            </w:r>
          </w:p>
          <w:p w14:paraId="0205D855"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12</w:t>
            </w:r>
          </w:p>
        </w:tc>
        <w:tc>
          <w:tcPr>
            <w:tcW w:w="2314" w:type="dxa"/>
          </w:tcPr>
          <w:p w14:paraId="3548EF06"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4A069139"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31.2</w:t>
            </w:r>
          </w:p>
          <w:p w14:paraId="78FE1298"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50</w:t>
            </w:r>
          </w:p>
          <w:p w14:paraId="461C37B8"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12.5</w:t>
            </w:r>
          </w:p>
          <w:p w14:paraId="43927A44"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6.2</w:t>
            </w:r>
          </w:p>
        </w:tc>
      </w:tr>
      <w:tr w:rsidR="00AD0116" w:rsidRPr="00AD0116" w14:paraId="17CB39D2" w14:textId="77777777" w:rsidTr="001404FA">
        <w:trPr>
          <w:trHeight w:val="135"/>
        </w:trPr>
        <w:tc>
          <w:tcPr>
            <w:cnfStyle w:val="001000000000" w:firstRow="0" w:lastRow="0" w:firstColumn="1" w:lastColumn="0" w:oddVBand="0" w:evenVBand="0" w:oddHBand="0" w:evenHBand="0" w:firstRowFirstColumn="0" w:firstRowLastColumn="0" w:lastRowFirstColumn="0" w:lastRowLastColumn="0"/>
            <w:tcW w:w="1060" w:type="dxa"/>
          </w:tcPr>
          <w:p w14:paraId="151BBD2A"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4</w:t>
            </w:r>
          </w:p>
        </w:tc>
        <w:tc>
          <w:tcPr>
            <w:tcW w:w="4572" w:type="dxa"/>
          </w:tcPr>
          <w:p w14:paraId="6434AC4D" w14:textId="77777777" w:rsidR="00DE61A6" w:rsidRPr="00AD0116" w:rsidRDefault="00DE61A6" w:rsidP="00AD0116">
            <w:pPr>
              <w:spacing w:line="276"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AD0116">
              <w:rPr>
                <w:rFonts w:cstheme="minorHAnsi"/>
                <w:b/>
                <w:bCs/>
                <w:color w:val="000000" w:themeColor="text1"/>
              </w:rPr>
              <w:t xml:space="preserve">Type of family </w:t>
            </w:r>
          </w:p>
          <w:p w14:paraId="53C30114" w14:textId="77777777" w:rsidR="00DE61A6" w:rsidRPr="00AD0116" w:rsidRDefault="00DE61A6" w:rsidP="00AD0116">
            <w:pPr>
              <w:pStyle w:val="ListParagraph"/>
              <w:numPr>
                <w:ilvl w:val="0"/>
                <w:numId w:val="2"/>
              </w:num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Nuclear Family</w:t>
            </w:r>
          </w:p>
          <w:p w14:paraId="7B0D46CF" w14:textId="77777777" w:rsidR="00DE61A6" w:rsidRPr="00AD0116" w:rsidRDefault="00DE61A6" w:rsidP="00AD0116">
            <w:pPr>
              <w:pStyle w:val="ListParagraph"/>
              <w:numPr>
                <w:ilvl w:val="0"/>
                <w:numId w:val="2"/>
              </w:num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Joint Family</w:t>
            </w:r>
          </w:p>
          <w:p w14:paraId="47627EA4" w14:textId="77777777" w:rsidR="00DE61A6" w:rsidRPr="00AD0116" w:rsidRDefault="00DE61A6" w:rsidP="00AD0116">
            <w:pPr>
              <w:pStyle w:val="ListParagraph"/>
              <w:numPr>
                <w:ilvl w:val="0"/>
                <w:numId w:val="2"/>
              </w:num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Extended Family</w:t>
            </w:r>
          </w:p>
        </w:tc>
        <w:tc>
          <w:tcPr>
            <w:tcW w:w="1791" w:type="dxa"/>
          </w:tcPr>
          <w:p w14:paraId="28A134C5"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B721F37"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131</w:t>
            </w:r>
          </w:p>
          <w:p w14:paraId="74245CEA"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26</w:t>
            </w:r>
          </w:p>
          <w:p w14:paraId="320D7857"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35</w:t>
            </w:r>
          </w:p>
        </w:tc>
        <w:tc>
          <w:tcPr>
            <w:tcW w:w="2314" w:type="dxa"/>
          </w:tcPr>
          <w:p w14:paraId="49CE7AD8"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14B9720"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68.2</w:t>
            </w:r>
          </w:p>
          <w:p w14:paraId="1BF15442"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13.5</w:t>
            </w:r>
          </w:p>
          <w:p w14:paraId="143A3335"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18.2</w:t>
            </w:r>
          </w:p>
        </w:tc>
      </w:tr>
      <w:tr w:rsidR="00AD0116" w:rsidRPr="00AD0116" w14:paraId="74B8E565" w14:textId="77777777" w:rsidTr="001404FA">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060" w:type="dxa"/>
          </w:tcPr>
          <w:p w14:paraId="6A75DE4A"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5</w:t>
            </w:r>
          </w:p>
        </w:tc>
        <w:tc>
          <w:tcPr>
            <w:tcW w:w="4572" w:type="dxa"/>
          </w:tcPr>
          <w:p w14:paraId="46DDB525" w14:textId="77777777" w:rsidR="00DE61A6" w:rsidRPr="00AD0116" w:rsidRDefault="00DE61A6" w:rsidP="00AD0116">
            <w:p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sidRPr="00AD0116">
              <w:rPr>
                <w:rFonts w:cstheme="minorHAnsi"/>
                <w:b/>
                <w:bCs/>
                <w:color w:val="000000" w:themeColor="text1"/>
              </w:rPr>
              <w:t xml:space="preserve">Place of residence </w:t>
            </w:r>
          </w:p>
          <w:p w14:paraId="427B145F" w14:textId="77777777" w:rsidR="00DE61A6" w:rsidRPr="00AD0116" w:rsidRDefault="00DE61A6" w:rsidP="00AD0116">
            <w:pPr>
              <w:pStyle w:val="ListParagraph"/>
              <w:numPr>
                <w:ilvl w:val="0"/>
                <w:numId w:val="3"/>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rPr>
            </w:pPr>
            <w:r w:rsidRPr="00AD0116">
              <w:rPr>
                <w:rFonts w:cstheme="minorHAnsi"/>
                <w:bCs/>
                <w:iCs/>
                <w:color w:val="000000" w:themeColor="text1"/>
              </w:rPr>
              <w:t>Urban</w:t>
            </w:r>
          </w:p>
          <w:p w14:paraId="06C968BE" w14:textId="77777777" w:rsidR="00DE61A6" w:rsidRPr="00AD0116" w:rsidRDefault="00DE61A6" w:rsidP="00AD0116">
            <w:pPr>
              <w:pStyle w:val="ListParagraph"/>
              <w:numPr>
                <w:ilvl w:val="0"/>
                <w:numId w:val="3"/>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rPr>
            </w:pPr>
            <w:r w:rsidRPr="00AD0116">
              <w:rPr>
                <w:rFonts w:cstheme="minorHAnsi"/>
                <w:bCs/>
                <w:iCs/>
                <w:color w:val="000000" w:themeColor="text1"/>
              </w:rPr>
              <w:t xml:space="preserve">Rural </w:t>
            </w:r>
          </w:p>
        </w:tc>
        <w:tc>
          <w:tcPr>
            <w:tcW w:w="1791" w:type="dxa"/>
          </w:tcPr>
          <w:p w14:paraId="77C3E789"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1965A8C"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145</w:t>
            </w:r>
          </w:p>
          <w:p w14:paraId="701C765D"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47</w:t>
            </w:r>
          </w:p>
        </w:tc>
        <w:tc>
          <w:tcPr>
            <w:tcW w:w="2314" w:type="dxa"/>
          </w:tcPr>
          <w:p w14:paraId="0EF5AEE5"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02434A42"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75.5</w:t>
            </w:r>
          </w:p>
          <w:p w14:paraId="6A8468E4"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24.5</w:t>
            </w:r>
          </w:p>
        </w:tc>
      </w:tr>
      <w:tr w:rsidR="00AD0116" w:rsidRPr="00AD0116" w14:paraId="70B74A52" w14:textId="77777777" w:rsidTr="001404FA">
        <w:trPr>
          <w:trHeight w:val="135"/>
        </w:trPr>
        <w:tc>
          <w:tcPr>
            <w:cnfStyle w:val="001000000000" w:firstRow="0" w:lastRow="0" w:firstColumn="1" w:lastColumn="0" w:oddVBand="0" w:evenVBand="0" w:oddHBand="0" w:evenHBand="0" w:firstRowFirstColumn="0" w:firstRowLastColumn="0" w:lastRowFirstColumn="0" w:lastRowLastColumn="0"/>
            <w:tcW w:w="1060" w:type="dxa"/>
          </w:tcPr>
          <w:p w14:paraId="74453A1E"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6</w:t>
            </w:r>
          </w:p>
        </w:tc>
        <w:tc>
          <w:tcPr>
            <w:tcW w:w="4572" w:type="dxa"/>
          </w:tcPr>
          <w:p w14:paraId="1ED3766E" w14:textId="77777777" w:rsidR="00DE61A6" w:rsidRPr="00AD0116" w:rsidRDefault="00DE61A6" w:rsidP="00AD0116">
            <w:pPr>
              <w:spacing w:line="276"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AD0116">
              <w:rPr>
                <w:rFonts w:cstheme="minorHAnsi"/>
                <w:b/>
                <w:bCs/>
                <w:color w:val="000000" w:themeColor="text1"/>
              </w:rPr>
              <w:t xml:space="preserve">Current semester </w:t>
            </w:r>
          </w:p>
          <w:p w14:paraId="3173123C" w14:textId="77777777" w:rsidR="00DE61A6" w:rsidRPr="00AD0116" w:rsidRDefault="00DE61A6" w:rsidP="00AD0116">
            <w:pPr>
              <w:pStyle w:val="ListParagraph"/>
              <w:numPr>
                <w:ilvl w:val="0"/>
                <w:numId w:val="9"/>
              </w:numPr>
              <w:tabs>
                <w:tab w:val="left" w:pos="888"/>
              </w:tabs>
              <w:spacing w:line="276" w:lineRule="auto"/>
              <w:ind w:left="746"/>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rPr>
            </w:pPr>
            <w:r w:rsidRPr="00AD0116">
              <w:rPr>
                <w:rFonts w:cstheme="minorHAnsi"/>
                <w:bCs/>
                <w:iCs/>
                <w:color w:val="000000" w:themeColor="text1"/>
              </w:rPr>
              <w:t>1-2</w:t>
            </w:r>
          </w:p>
          <w:p w14:paraId="268F4B16" w14:textId="77777777" w:rsidR="00DE61A6" w:rsidRPr="00AD0116" w:rsidRDefault="00DE61A6" w:rsidP="00AD0116">
            <w:pPr>
              <w:pStyle w:val="ListParagraph"/>
              <w:numPr>
                <w:ilvl w:val="0"/>
                <w:numId w:val="9"/>
              </w:numPr>
              <w:tabs>
                <w:tab w:val="left" w:pos="888"/>
              </w:tabs>
              <w:spacing w:line="276" w:lineRule="auto"/>
              <w:ind w:left="746"/>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rPr>
            </w:pPr>
            <w:r w:rsidRPr="00AD0116">
              <w:rPr>
                <w:rFonts w:cstheme="minorHAnsi"/>
                <w:bCs/>
                <w:iCs/>
                <w:color w:val="000000" w:themeColor="text1"/>
              </w:rPr>
              <w:t>3-4</w:t>
            </w:r>
          </w:p>
          <w:p w14:paraId="624042D0" w14:textId="77777777" w:rsidR="00DE61A6" w:rsidRPr="00AD0116" w:rsidRDefault="00DE61A6" w:rsidP="00AD0116">
            <w:pPr>
              <w:pStyle w:val="ListParagraph"/>
              <w:numPr>
                <w:ilvl w:val="0"/>
                <w:numId w:val="9"/>
              </w:numPr>
              <w:tabs>
                <w:tab w:val="left" w:pos="888"/>
              </w:tabs>
              <w:spacing w:line="276" w:lineRule="auto"/>
              <w:ind w:left="746"/>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rPr>
            </w:pPr>
            <w:r w:rsidRPr="00AD0116">
              <w:rPr>
                <w:rFonts w:cstheme="minorHAnsi"/>
                <w:bCs/>
                <w:iCs/>
                <w:color w:val="000000" w:themeColor="text1"/>
              </w:rPr>
              <w:t>5-6</w:t>
            </w:r>
          </w:p>
          <w:p w14:paraId="56500BC3" w14:textId="77777777" w:rsidR="00DE61A6" w:rsidRPr="00AD0116" w:rsidRDefault="00DE61A6" w:rsidP="00AD0116">
            <w:pPr>
              <w:pStyle w:val="ListParagraph"/>
              <w:numPr>
                <w:ilvl w:val="0"/>
                <w:numId w:val="9"/>
              </w:numPr>
              <w:tabs>
                <w:tab w:val="left" w:pos="888"/>
              </w:tabs>
              <w:spacing w:line="276" w:lineRule="auto"/>
              <w:ind w:left="746"/>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rPr>
            </w:pPr>
            <w:r w:rsidRPr="00AD0116">
              <w:rPr>
                <w:rFonts w:cstheme="minorHAnsi"/>
                <w:bCs/>
                <w:iCs/>
                <w:color w:val="000000" w:themeColor="text1"/>
              </w:rPr>
              <w:t>7-8</w:t>
            </w:r>
          </w:p>
        </w:tc>
        <w:tc>
          <w:tcPr>
            <w:tcW w:w="1791" w:type="dxa"/>
          </w:tcPr>
          <w:p w14:paraId="57E02EC0"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E6E5FB4"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36</w:t>
            </w:r>
          </w:p>
          <w:p w14:paraId="7B5A6211"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28</w:t>
            </w:r>
          </w:p>
          <w:p w14:paraId="557112AC"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68</w:t>
            </w:r>
          </w:p>
          <w:p w14:paraId="6DE62AEC"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60</w:t>
            </w:r>
          </w:p>
        </w:tc>
        <w:tc>
          <w:tcPr>
            <w:tcW w:w="2314" w:type="dxa"/>
          </w:tcPr>
          <w:p w14:paraId="320982CA"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1EB5E51"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18.8</w:t>
            </w:r>
          </w:p>
          <w:p w14:paraId="2D8E2896"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14.6</w:t>
            </w:r>
          </w:p>
          <w:p w14:paraId="41B7D031"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35.4</w:t>
            </w:r>
          </w:p>
          <w:p w14:paraId="43BACF80"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31.2</w:t>
            </w:r>
          </w:p>
        </w:tc>
      </w:tr>
    </w:tbl>
    <w:p w14:paraId="42AB306A" w14:textId="77777777" w:rsidR="00DE61A6" w:rsidRPr="00AD0116" w:rsidRDefault="00DE61A6" w:rsidP="00AD0116">
      <w:pPr>
        <w:spacing w:after="0" w:line="276" w:lineRule="auto"/>
        <w:jc w:val="center"/>
        <w:rPr>
          <w:rFonts w:cstheme="minorHAnsi"/>
          <w:b/>
          <w:color w:val="000000" w:themeColor="text1"/>
        </w:rPr>
      </w:pPr>
    </w:p>
    <w:p w14:paraId="00DDDA5B" w14:textId="34236F44" w:rsidR="00F51741" w:rsidRPr="00AD0116" w:rsidRDefault="00F51741" w:rsidP="00AD0116">
      <w:pPr>
        <w:spacing w:after="0" w:line="276" w:lineRule="auto"/>
        <w:jc w:val="both"/>
        <w:rPr>
          <w:rFonts w:eastAsia="Times New Roman" w:cstheme="minorHAnsi"/>
          <w:color w:val="000000" w:themeColor="text1"/>
          <w:kern w:val="0"/>
          <w:lang w:eastAsia="en-IN"/>
          <w14:ligatures w14:val="none"/>
        </w:rPr>
      </w:pPr>
      <w:r w:rsidRPr="00AD0116">
        <w:rPr>
          <w:rFonts w:eastAsia="Times New Roman" w:cstheme="minorHAnsi"/>
          <w:color w:val="000000" w:themeColor="text1"/>
          <w:kern w:val="0"/>
          <w:lang w:eastAsia="en-IN"/>
          <w14:ligatures w14:val="none"/>
        </w:rPr>
        <w:t xml:space="preserve">Table </w:t>
      </w:r>
      <w:r w:rsidR="008F6B52" w:rsidRPr="00AD0116">
        <w:rPr>
          <w:rFonts w:eastAsia="Times New Roman" w:cstheme="minorHAnsi"/>
          <w:color w:val="000000" w:themeColor="text1"/>
          <w:kern w:val="0"/>
          <w:lang w:eastAsia="en-IN"/>
          <w14:ligatures w14:val="none"/>
        </w:rPr>
        <w:t xml:space="preserve">1 </w:t>
      </w:r>
      <w:r w:rsidRPr="00AD0116">
        <w:rPr>
          <w:rFonts w:eastAsia="Times New Roman" w:cstheme="minorHAnsi"/>
          <w:color w:val="000000" w:themeColor="text1"/>
          <w:kern w:val="0"/>
          <w:lang w:eastAsia="en-IN"/>
          <w14:ligatures w14:val="none"/>
        </w:rPr>
        <w:t>summarizes the socio-demographic profile of 192 college students from Sikkim Manipal University. Most participants were unmarried (99%) and identified as heterosexual (98.4%), with 1.6% preferring not to disclose their sexual preference. Half of the students were enrolled in Bachelor of Science programs (50%), followed by Bachelor of Arts (31.2%), Bachelor of Commerce (12.5%), and other courses (6.2%). A majority belonged to nuclear families (68.2%), while 18.2% were from extended and 13.5% from joint families. Most students resided in urban areas (75.5%), with 24.5% from rural settings. The academic distribution was fairly balanced across semesters, with 18.8% in 1st–2nd, 14.6% in 3</w:t>
      </w:r>
      <w:r w:rsidRPr="00AD0116">
        <w:rPr>
          <w:rFonts w:eastAsia="Times New Roman" w:cstheme="minorHAnsi"/>
          <w:color w:val="000000" w:themeColor="text1"/>
          <w:kern w:val="0"/>
          <w:vertAlign w:val="superscript"/>
          <w:lang w:eastAsia="en-IN"/>
          <w14:ligatures w14:val="none"/>
        </w:rPr>
        <w:t>rd</w:t>
      </w:r>
      <w:r w:rsidR="00F16A08" w:rsidRPr="00AD0116">
        <w:rPr>
          <w:rFonts w:eastAsia="Times New Roman" w:cstheme="minorHAnsi"/>
          <w:color w:val="000000" w:themeColor="text1"/>
          <w:kern w:val="0"/>
          <w:lang w:eastAsia="en-IN"/>
          <w14:ligatures w14:val="none"/>
        </w:rPr>
        <w:t xml:space="preserve">- </w:t>
      </w:r>
      <w:r w:rsidRPr="00AD0116">
        <w:rPr>
          <w:rFonts w:eastAsia="Times New Roman" w:cstheme="minorHAnsi"/>
          <w:color w:val="000000" w:themeColor="text1"/>
          <w:kern w:val="0"/>
          <w:lang w:eastAsia="en-IN"/>
          <w14:ligatures w14:val="none"/>
        </w:rPr>
        <w:t>4th, 35.4% in 5th–6th, and 31.2% in 7th–8th semesters.</w:t>
      </w:r>
    </w:p>
    <w:p w14:paraId="77B8E28C" w14:textId="77777777" w:rsidR="00F51741" w:rsidRPr="00AD0116" w:rsidRDefault="00F51741" w:rsidP="00AD0116">
      <w:pPr>
        <w:spacing w:after="0" w:line="276" w:lineRule="auto"/>
        <w:jc w:val="right"/>
        <w:rPr>
          <w:rFonts w:cstheme="minorHAnsi"/>
          <w:b/>
          <w:color w:val="000000" w:themeColor="text1"/>
        </w:rPr>
      </w:pPr>
    </w:p>
    <w:p w14:paraId="1454862B" w14:textId="5A0E755A" w:rsidR="00DE61A6" w:rsidRPr="00AD0116" w:rsidRDefault="00DE61A6" w:rsidP="00AD0116">
      <w:pPr>
        <w:spacing w:after="0" w:line="276" w:lineRule="auto"/>
        <w:jc w:val="right"/>
        <w:rPr>
          <w:rFonts w:cstheme="minorHAnsi"/>
          <w:b/>
          <w:color w:val="000000" w:themeColor="text1"/>
        </w:rPr>
      </w:pPr>
      <w:r w:rsidRPr="00AD0116">
        <w:rPr>
          <w:rFonts w:cstheme="minorHAnsi"/>
          <w:b/>
          <w:color w:val="000000" w:themeColor="text1"/>
        </w:rPr>
        <w:t>N=192</w:t>
      </w:r>
    </w:p>
    <w:p w14:paraId="09ABCEE8" w14:textId="77777777" w:rsidR="00DE61A6" w:rsidRPr="00AD0116" w:rsidRDefault="00DE61A6" w:rsidP="00AD0116">
      <w:pPr>
        <w:spacing w:after="0" w:line="276" w:lineRule="auto"/>
        <w:jc w:val="right"/>
        <w:rPr>
          <w:rFonts w:cstheme="minorHAnsi"/>
          <w:b/>
          <w:color w:val="000000" w:themeColor="text1"/>
        </w:rPr>
      </w:pPr>
    </w:p>
    <w:p w14:paraId="1F2D3F00" w14:textId="77777777" w:rsidR="00DE61A6" w:rsidRPr="00AD0116" w:rsidRDefault="00DE61A6" w:rsidP="00AD0116">
      <w:pPr>
        <w:spacing w:after="0" w:line="276" w:lineRule="auto"/>
        <w:jc w:val="center"/>
        <w:rPr>
          <w:rFonts w:cstheme="minorHAnsi"/>
          <w:b/>
          <w:color w:val="000000" w:themeColor="text1"/>
        </w:rPr>
      </w:pPr>
      <w:r w:rsidRPr="00AD0116">
        <w:rPr>
          <w:rFonts w:cstheme="minorHAnsi"/>
          <w:noProof/>
          <w:color w:val="000000" w:themeColor="text1"/>
        </w:rPr>
        <w:drawing>
          <wp:inline distT="0" distB="0" distL="0" distR="0" wp14:anchorId="5AF8F4E1" wp14:editId="16E35872">
            <wp:extent cx="6057900" cy="2704082"/>
            <wp:effectExtent l="0" t="0" r="0" b="1270"/>
            <wp:docPr id="1272612597" name="Chart 1">
              <a:extLst xmlns:a="http://schemas.openxmlformats.org/drawingml/2006/main">
                <a:ext uri="{FF2B5EF4-FFF2-40B4-BE49-F238E27FC236}">
                  <a16:creationId xmlns:a16="http://schemas.microsoft.com/office/drawing/2014/main" id="{741D7D3A-358C-7AE7-7F1B-0C9089EEE9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D696A1" w14:textId="77777777" w:rsidR="00DE61A6" w:rsidRPr="00AD0116" w:rsidRDefault="00DE61A6" w:rsidP="00AD0116">
      <w:pPr>
        <w:spacing w:after="0" w:line="276" w:lineRule="auto"/>
        <w:jc w:val="center"/>
        <w:rPr>
          <w:rFonts w:cstheme="minorHAnsi"/>
          <w:b/>
          <w:color w:val="000000" w:themeColor="text1"/>
        </w:rPr>
      </w:pPr>
    </w:p>
    <w:p w14:paraId="345D57BC" w14:textId="1537B117" w:rsidR="00DE61A6" w:rsidRPr="00AD0116" w:rsidRDefault="00DE61A6" w:rsidP="00AD0116">
      <w:pPr>
        <w:spacing w:after="0" w:line="276" w:lineRule="auto"/>
        <w:jc w:val="center"/>
        <w:rPr>
          <w:rFonts w:cstheme="minorHAnsi"/>
          <w:bCs/>
          <w:color w:val="000000" w:themeColor="text1"/>
        </w:rPr>
      </w:pPr>
      <w:r w:rsidRPr="00AD0116">
        <w:rPr>
          <w:rFonts w:cstheme="minorHAnsi"/>
          <w:bCs/>
          <w:color w:val="000000" w:themeColor="text1"/>
        </w:rPr>
        <w:t xml:space="preserve">Figure </w:t>
      </w:r>
      <w:r w:rsidR="008F6B52" w:rsidRPr="00AD0116">
        <w:rPr>
          <w:rFonts w:cstheme="minorHAnsi"/>
          <w:bCs/>
          <w:color w:val="000000" w:themeColor="text1"/>
        </w:rPr>
        <w:t>2</w:t>
      </w:r>
      <w:r w:rsidRPr="00AD0116">
        <w:rPr>
          <w:rFonts w:cstheme="minorHAnsi"/>
          <w:bCs/>
          <w:color w:val="000000" w:themeColor="text1"/>
        </w:rPr>
        <w:t>: Distribution of family monthly income of College Student</w:t>
      </w:r>
    </w:p>
    <w:p w14:paraId="7E141C63" w14:textId="06A0E078" w:rsidR="00DE61A6" w:rsidRPr="00AD0116" w:rsidRDefault="00DE61A6" w:rsidP="00AD0116">
      <w:pPr>
        <w:spacing w:after="0" w:line="276" w:lineRule="auto"/>
        <w:jc w:val="both"/>
        <w:rPr>
          <w:rFonts w:cstheme="minorHAnsi"/>
          <w:bCs/>
          <w:color w:val="000000" w:themeColor="text1"/>
        </w:rPr>
      </w:pPr>
      <w:r w:rsidRPr="00AD0116">
        <w:rPr>
          <w:rFonts w:eastAsia="Times New Roman" w:cstheme="minorHAnsi"/>
          <w:color w:val="000000" w:themeColor="text1"/>
          <w:lang w:eastAsia="en-IN"/>
        </w:rPr>
        <w:lastRenderedPageBreak/>
        <w:t>The majority belonged to the Rs. 25,000 to Rs. 75,000 monthly income group.</w:t>
      </w:r>
      <w:r w:rsidRPr="00AD0116">
        <w:rPr>
          <w:rFonts w:cstheme="minorHAnsi"/>
          <w:bCs/>
          <w:color w:val="000000" w:themeColor="text1"/>
        </w:rPr>
        <w:t xml:space="preserve"> </w:t>
      </w:r>
      <w:r w:rsidRPr="00AD0116">
        <w:rPr>
          <w:rFonts w:eastAsia="Times New Roman" w:cstheme="minorHAnsi"/>
          <w:color w:val="000000" w:themeColor="text1"/>
          <w:lang w:eastAsia="en-IN"/>
        </w:rPr>
        <w:t>A smaller number had family incomes above Rs. 1,00,000 or below Rs. 25,000, indicating socioeconomic diversity among students</w:t>
      </w:r>
      <w:r w:rsidR="008F6B52" w:rsidRPr="00AD0116">
        <w:rPr>
          <w:rFonts w:eastAsia="Times New Roman" w:cstheme="minorHAnsi"/>
          <w:color w:val="000000" w:themeColor="text1"/>
          <w:lang w:eastAsia="en-IN"/>
        </w:rPr>
        <w:t xml:space="preserve"> [Figure 2]</w:t>
      </w:r>
    </w:p>
    <w:p w14:paraId="1A46F516" w14:textId="77777777" w:rsidR="008F6B52" w:rsidRPr="00AD0116" w:rsidRDefault="008F6B52" w:rsidP="00AD0116">
      <w:pPr>
        <w:spacing w:after="0" w:line="276" w:lineRule="auto"/>
        <w:jc w:val="right"/>
        <w:rPr>
          <w:rFonts w:cstheme="minorHAnsi"/>
          <w:b/>
          <w:color w:val="000000" w:themeColor="text1"/>
        </w:rPr>
      </w:pPr>
    </w:p>
    <w:p w14:paraId="6491ED2F" w14:textId="64CFFDC2" w:rsidR="00DE61A6" w:rsidRPr="00AD0116" w:rsidRDefault="00DE61A6" w:rsidP="00AD0116">
      <w:pPr>
        <w:spacing w:after="0" w:line="276" w:lineRule="auto"/>
        <w:jc w:val="right"/>
        <w:rPr>
          <w:rFonts w:cstheme="minorHAnsi"/>
          <w:b/>
          <w:color w:val="000000" w:themeColor="text1"/>
        </w:rPr>
      </w:pPr>
      <w:r w:rsidRPr="00AD0116">
        <w:rPr>
          <w:rFonts w:cstheme="minorHAnsi"/>
          <w:b/>
          <w:color w:val="000000" w:themeColor="text1"/>
        </w:rPr>
        <w:t>N=192</w:t>
      </w:r>
    </w:p>
    <w:p w14:paraId="4D452194" w14:textId="77777777" w:rsidR="00DE61A6" w:rsidRPr="00AD0116" w:rsidRDefault="00DE61A6" w:rsidP="00AD0116">
      <w:pPr>
        <w:spacing w:after="0" w:line="276" w:lineRule="auto"/>
        <w:jc w:val="center"/>
        <w:rPr>
          <w:rFonts w:cstheme="minorHAnsi"/>
          <w:b/>
          <w:color w:val="000000" w:themeColor="text1"/>
        </w:rPr>
      </w:pPr>
      <w:r w:rsidRPr="00AD0116">
        <w:rPr>
          <w:rFonts w:cstheme="minorHAnsi"/>
          <w:noProof/>
          <w:color w:val="000000" w:themeColor="text1"/>
        </w:rPr>
        <w:drawing>
          <wp:inline distT="0" distB="0" distL="0" distR="0" wp14:anchorId="29B685DF" wp14:editId="5A3A82AB">
            <wp:extent cx="5398383" cy="2400300"/>
            <wp:effectExtent l="0" t="0" r="0" b="0"/>
            <wp:docPr id="1291172660" name="Chart 1">
              <a:extLst xmlns:a="http://schemas.openxmlformats.org/drawingml/2006/main">
                <a:ext uri="{FF2B5EF4-FFF2-40B4-BE49-F238E27FC236}">
                  <a16:creationId xmlns:a16="http://schemas.microsoft.com/office/drawing/2014/main" id="{39234A3C-50E9-375E-E219-D0B20CF236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260E1E" w14:textId="77777777" w:rsidR="00DE61A6" w:rsidRPr="00AD0116" w:rsidRDefault="00DE61A6" w:rsidP="00AD0116">
      <w:pPr>
        <w:spacing w:after="0" w:line="276" w:lineRule="auto"/>
        <w:jc w:val="center"/>
        <w:rPr>
          <w:rFonts w:cstheme="minorHAnsi"/>
          <w:bCs/>
          <w:color w:val="000000" w:themeColor="text1"/>
        </w:rPr>
      </w:pPr>
    </w:p>
    <w:p w14:paraId="7EF88F8D" w14:textId="23FD381D" w:rsidR="00DE61A6" w:rsidRPr="00AD0116" w:rsidRDefault="00DE61A6" w:rsidP="00AD0116">
      <w:pPr>
        <w:spacing w:after="0" w:line="276" w:lineRule="auto"/>
        <w:jc w:val="center"/>
        <w:rPr>
          <w:rFonts w:cstheme="minorHAnsi"/>
          <w:bCs/>
          <w:color w:val="000000" w:themeColor="text1"/>
        </w:rPr>
      </w:pPr>
      <w:r w:rsidRPr="00AD0116">
        <w:rPr>
          <w:rFonts w:cstheme="minorHAnsi"/>
          <w:bCs/>
          <w:color w:val="000000" w:themeColor="text1"/>
        </w:rPr>
        <w:t xml:space="preserve">Figure </w:t>
      </w:r>
      <w:r w:rsidR="008F6B52" w:rsidRPr="00AD0116">
        <w:rPr>
          <w:rFonts w:cstheme="minorHAnsi"/>
          <w:bCs/>
          <w:color w:val="000000" w:themeColor="text1"/>
        </w:rPr>
        <w:t>3</w:t>
      </w:r>
      <w:r w:rsidRPr="00AD0116">
        <w:rPr>
          <w:rFonts w:cstheme="minorHAnsi"/>
          <w:bCs/>
          <w:color w:val="000000" w:themeColor="text1"/>
        </w:rPr>
        <w:t>: Distribution of sexual relationship of College Students</w:t>
      </w:r>
    </w:p>
    <w:p w14:paraId="77F65005" w14:textId="77777777" w:rsidR="00331BFC" w:rsidRPr="00AD0116" w:rsidRDefault="00331BFC" w:rsidP="00AD0116">
      <w:pPr>
        <w:autoSpaceDE w:val="0"/>
        <w:autoSpaceDN w:val="0"/>
        <w:adjustRightInd w:val="0"/>
        <w:spacing w:after="0" w:line="276" w:lineRule="auto"/>
        <w:jc w:val="both"/>
        <w:rPr>
          <w:rFonts w:cstheme="minorHAnsi"/>
          <w:bCs/>
          <w:color w:val="000000" w:themeColor="text1"/>
        </w:rPr>
      </w:pPr>
    </w:p>
    <w:p w14:paraId="20A821C4" w14:textId="4E3CAA8C" w:rsidR="00DE61A6" w:rsidRPr="00AD0116" w:rsidRDefault="00DE61A6" w:rsidP="00AD0116">
      <w:pPr>
        <w:autoSpaceDE w:val="0"/>
        <w:autoSpaceDN w:val="0"/>
        <w:adjustRightInd w:val="0"/>
        <w:spacing w:after="0" w:line="276" w:lineRule="auto"/>
        <w:jc w:val="both"/>
        <w:rPr>
          <w:rFonts w:cstheme="minorHAnsi"/>
          <w:bCs/>
          <w:color w:val="000000" w:themeColor="text1"/>
        </w:rPr>
      </w:pPr>
      <w:r w:rsidRPr="00AD0116">
        <w:rPr>
          <w:rFonts w:cstheme="minorHAnsi"/>
          <w:bCs/>
          <w:color w:val="000000" w:themeColor="text1"/>
        </w:rPr>
        <w:t>The majority of students reported abstinence, while a minority reported being sexually active. This may be influenced by age, relationship status, and socio-cultural norms around sexuality among Indian youth</w:t>
      </w:r>
      <w:r w:rsidR="008F6B52" w:rsidRPr="00AD0116">
        <w:rPr>
          <w:rFonts w:cstheme="minorHAnsi"/>
          <w:bCs/>
          <w:color w:val="000000" w:themeColor="text1"/>
        </w:rPr>
        <w:t xml:space="preserve"> [Figure 3]</w:t>
      </w:r>
      <w:r w:rsidRPr="00AD0116">
        <w:rPr>
          <w:rFonts w:cstheme="minorHAnsi"/>
          <w:bCs/>
          <w:color w:val="000000" w:themeColor="text1"/>
        </w:rPr>
        <w:t>.</w:t>
      </w:r>
    </w:p>
    <w:p w14:paraId="6928830B" w14:textId="77777777" w:rsidR="00F34422" w:rsidRPr="00AD0116" w:rsidRDefault="00F34422" w:rsidP="00AD0116">
      <w:pPr>
        <w:spacing w:after="0" w:line="276" w:lineRule="auto"/>
        <w:jc w:val="both"/>
        <w:rPr>
          <w:rFonts w:cstheme="minorHAnsi"/>
          <w:bCs/>
          <w:color w:val="000000" w:themeColor="text1"/>
        </w:rPr>
      </w:pPr>
    </w:p>
    <w:p w14:paraId="42503508" w14:textId="4FCF9233" w:rsidR="00DE61A6" w:rsidRPr="00AD0116" w:rsidRDefault="00DE61A6" w:rsidP="00AD0116">
      <w:pPr>
        <w:spacing w:after="0" w:line="276" w:lineRule="auto"/>
        <w:jc w:val="both"/>
        <w:rPr>
          <w:rFonts w:cstheme="minorHAnsi"/>
          <w:b/>
          <w:color w:val="000000" w:themeColor="text1"/>
        </w:rPr>
      </w:pPr>
      <w:r w:rsidRPr="00AD0116">
        <w:rPr>
          <w:rFonts w:cstheme="minorHAnsi"/>
          <w:b/>
          <w:color w:val="000000" w:themeColor="text1"/>
        </w:rPr>
        <w:t xml:space="preserve">Table 2: Distribution of </w:t>
      </w:r>
      <w:r w:rsidRPr="00AD0116">
        <w:rPr>
          <w:rFonts w:cstheme="minorHAnsi"/>
          <w:b/>
          <w:color w:val="000000" w:themeColor="text1"/>
          <w:shd w:val="clear" w:color="auto" w:fill="FFFFFF"/>
        </w:rPr>
        <w:t xml:space="preserve">level of </w:t>
      </w:r>
      <w:r w:rsidRPr="00AD0116">
        <w:rPr>
          <w:rFonts w:cstheme="minorHAnsi"/>
          <w:b/>
          <w:color w:val="000000" w:themeColor="text1"/>
        </w:rPr>
        <w:t>knowledge regarding Sexually Transmitted Infections (STIs) among College Students in Sikkim Manipal University</w:t>
      </w:r>
    </w:p>
    <w:p w14:paraId="1A0F4DBF" w14:textId="77777777" w:rsidR="00DE61A6" w:rsidRPr="00AD0116" w:rsidRDefault="00DE61A6" w:rsidP="00AD0116">
      <w:pPr>
        <w:pStyle w:val="Default"/>
        <w:spacing w:line="276" w:lineRule="auto"/>
        <w:jc w:val="right"/>
        <w:rPr>
          <w:rFonts w:asciiTheme="minorHAnsi" w:hAnsiTheme="minorHAnsi" w:cstheme="minorHAnsi"/>
          <w:color w:val="000000" w:themeColor="text1"/>
          <w:sz w:val="22"/>
          <w:szCs w:val="22"/>
        </w:rPr>
      </w:pP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t xml:space="preserve">       </w:t>
      </w:r>
      <w:r w:rsidRPr="00AD0116">
        <w:rPr>
          <w:rFonts w:asciiTheme="minorHAnsi" w:hAnsiTheme="minorHAnsi" w:cstheme="minorHAnsi"/>
          <w:color w:val="000000" w:themeColor="text1"/>
          <w:sz w:val="22"/>
          <w:szCs w:val="22"/>
        </w:rPr>
        <w:t>N=192</w:t>
      </w:r>
    </w:p>
    <w:p w14:paraId="58266A0F" w14:textId="77777777" w:rsidR="00DE61A6" w:rsidRPr="00AD0116" w:rsidRDefault="00DE61A6" w:rsidP="00AD0116">
      <w:pPr>
        <w:pStyle w:val="Default"/>
        <w:spacing w:line="276" w:lineRule="auto"/>
        <w:rPr>
          <w:rFonts w:asciiTheme="minorHAnsi" w:hAnsiTheme="minorHAnsi" w:cstheme="minorHAnsi"/>
          <w:color w:val="000000" w:themeColor="text1"/>
          <w:sz w:val="22"/>
          <w:szCs w:val="22"/>
        </w:rPr>
      </w:pPr>
    </w:p>
    <w:tbl>
      <w:tblPr>
        <w:tblStyle w:val="ListTable6Colorful"/>
        <w:tblW w:w="0" w:type="auto"/>
        <w:jc w:val="center"/>
        <w:tblLook w:val="00A0" w:firstRow="1" w:lastRow="0" w:firstColumn="1" w:lastColumn="0" w:noHBand="0" w:noVBand="0"/>
      </w:tblPr>
      <w:tblGrid>
        <w:gridCol w:w="3054"/>
        <w:gridCol w:w="859"/>
        <w:gridCol w:w="1078"/>
        <w:gridCol w:w="1139"/>
        <w:gridCol w:w="1014"/>
        <w:gridCol w:w="1082"/>
        <w:gridCol w:w="1290"/>
      </w:tblGrid>
      <w:tr w:rsidR="00AD0116" w:rsidRPr="00AD0116" w14:paraId="2B35B2F0" w14:textId="77777777" w:rsidTr="00AD0116">
        <w:trPr>
          <w:cnfStyle w:val="100000000000" w:firstRow="1" w:lastRow="0" w:firstColumn="0" w:lastColumn="0" w:oddVBand="0" w:evenVBand="0" w:oddHBand="0" w:evenHBand="0" w:firstRowFirstColumn="0" w:firstRowLastColumn="0" w:lastRowFirstColumn="0" w:lastRowLastColumn="0"/>
          <w:trHeight w:val="762"/>
          <w:jc w:val="center"/>
        </w:trPr>
        <w:tc>
          <w:tcPr>
            <w:cnfStyle w:val="001000000000" w:firstRow="0" w:lastRow="0" w:firstColumn="1" w:lastColumn="0" w:oddVBand="0" w:evenVBand="0" w:oddHBand="0" w:evenHBand="0" w:firstRowFirstColumn="0" w:firstRowLastColumn="0" w:lastRowFirstColumn="0" w:lastRowLastColumn="0"/>
            <w:tcW w:w="3054" w:type="dxa"/>
            <w:shd w:val="clear" w:color="auto" w:fill="FFFFFF" w:themeFill="background1"/>
          </w:tcPr>
          <w:p w14:paraId="54BF9AD6" w14:textId="77777777" w:rsidR="00DE61A6" w:rsidRPr="00AD0116" w:rsidRDefault="00DE61A6" w:rsidP="00AD0116">
            <w:pPr>
              <w:spacing w:line="276" w:lineRule="auto"/>
              <w:jc w:val="center"/>
              <w:rPr>
                <w:rFonts w:cstheme="minorHAnsi"/>
                <w:b w:val="0"/>
              </w:rPr>
            </w:pPr>
            <w:r w:rsidRPr="00AD0116">
              <w:rPr>
                <w:rFonts w:cstheme="minorHAnsi"/>
              </w:rPr>
              <w:t xml:space="preserve">Level of </w:t>
            </w:r>
            <w:r w:rsidRPr="00AD0116">
              <w:rPr>
                <w:rFonts w:cstheme="minorHAnsi"/>
                <w:lang w:val="en-IN"/>
              </w:rPr>
              <w:t xml:space="preserve">knowledge  </w:t>
            </w:r>
          </w:p>
        </w:tc>
        <w:tc>
          <w:tcPr>
            <w:cnfStyle w:val="000010000000" w:firstRow="0" w:lastRow="0" w:firstColumn="0" w:lastColumn="0" w:oddVBand="1" w:evenVBand="0" w:oddHBand="0" w:evenHBand="0" w:firstRowFirstColumn="0" w:firstRowLastColumn="0" w:lastRowFirstColumn="0" w:lastRowLastColumn="0"/>
            <w:tcW w:w="859" w:type="dxa"/>
            <w:shd w:val="clear" w:color="auto" w:fill="FFFFFF" w:themeFill="background1"/>
          </w:tcPr>
          <w:p w14:paraId="55A3F854" w14:textId="77777777" w:rsidR="00DE61A6" w:rsidRPr="00AD0116" w:rsidRDefault="00DE61A6" w:rsidP="00AD0116">
            <w:pPr>
              <w:spacing w:line="276" w:lineRule="auto"/>
              <w:jc w:val="center"/>
              <w:rPr>
                <w:rFonts w:cstheme="minorHAnsi"/>
                <w:b w:val="0"/>
                <w:i/>
                <w:iCs/>
              </w:rPr>
            </w:pPr>
            <w:r w:rsidRPr="00AD0116">
              <w:rPr>
                <w:rFonts w:cstheme="minorHAnsi"/>
                <w:i/>
                <w:iCs/>
              </w:rPr>
              <w:t>f</w:t>
            </w:r>
          </w:p>
        </w:tc>
        <w:tc>
          <w:tcPr>
            <w:tcW w:w="1078" w:type="dxa"/>
            <w:shd w:val="clear" w:color="auto" w:fill="FFFFFF" w:themeFill="background1"/>
          </w:tcPr>
          <w:p w14:paraId="0E7AA0A2"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i/>
                <w:iCs/>
              </w:rPr>
            </w:pPr>
            <w:r w:rsidRPr="00AD0116">
              <w:rPr>
                <w:rFonts w:cstheme="minorHAnsi"/>
                <w:i/>
                <w:iCs/>
              </w:rPr>
              <w:t>%</w:t>
            </w:r>
          </w:p>
        </w:tc>
        <w:tc>
          <w:tcPr>
            <w:cnfStyle w:val="000010000000" w:firstRow="0" w:lastRow="0" w:firstColumn="0" w:lastColumn="0" w:oddVBand="1" w:evenVBand="0" w:oddHBand="0" w:evenHBand="0" w:firstRowFirstColumn="0" w:firstRowLastColumn="0" w:lastRowFirstColumn="0" w:lastRowLastColumn="0"/>
            <w:tcW w:w="1139" w:type="dxa"/>
            <w:shd w:val="clear" w:color="auto" w:fill="FFFFFF" w:themeFill="background1"/>
          </w:tcPr>
          <w:p w14:paraId="117132D5" w14:textId="77777777" w:rsidR="00DE61A6" w:rsidRPr="00AD0116" w:rsidRDefault="00DE61A6" w:rsidP="00AD0116">
            <w:pPr>
              <w:spacing w:line="276" w:lineRule="auto"/>
              <w:jc w:val="center"/>
              <w:rPr>
                <w:rFonts w:cstheme="minorHAnsi"/>
                <w:b w:val="0"/>
              </w:rPr>
            </w:pPr>
            <w:r w:rsidRPr="00AD0116">
              <w:rPr>
                <w:rFonts w:cstheme="minorHAnsi"/>
              </w:rPr>
              <w:t>Score range</w:t>
            </w:r>
          </w:p>
        </w:tc>
        <w:tc>
          <w:tcPr>
            <w:tcW w:w="1014" w:type="dxa"/>
            <w:shd w:val="clear" w:color="auto" w:fill="FFFFFF" w:themeFill="background1"/>
          </w:tcPr>
          <w:p w14:paraId="3EB7CFE6"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AD0116">
              <w:rPr>
                <w:rFonts w:cstheme="minorHAnsi"/>
              </w:rPr>
              <w:t>Median</w:t>
            </w:r>
          </w:p>
        </w:tc>
        <w:tc>
          <w:tcPr>
            <w:cnfStyle w:val="000010000000" w:firstRow="0" w:lastRow="0" w:firstColumn="0" w:lastColumn="0" w:oddVBand="1" w:evenVBand="0" w:oddHBand="0" w:evenHBand="0" w:firstRowFirstColumn="0" w:firstRowLastColumn="0" w:lastRowFirstColumn="0" w:lastRowLastColumn="0"/>
            <w:tcW w:w="1082" w:type="dxa"/>
            <w:shd w:val="clear" w:color="auto" w:fill="FFFFFF" w:themeFill="background1"/>
          </w:tcPr>
          <w:p w14:paraId="2CAF7F13" w14:textId="77777777" w:rsidR="00DE61A6" w:rsidRPr="00AD0116" w:rsidRDefault="00DE61A6" w:rsidP="00AD0116">
            <w:pPr>
              <w:spacing w:line="276" w:lineRule="auto"/>
              <w:jc w:val="center"/>
              <w:rPr>
                <w:rFonts w:cstheme="minorHAnsi"/>
                <w:b w:val="0"/>
              </w:rPr>
            </w:pPr>
            <w:r w:rsidRPr="00AD0116">
              <w:rPr>
                <w:rFonts w:cstheme="minorHAnsi"/>
              </w:rPr>
              <w:t>Mean</w:t>
            </w:r>
          </w:p>
        </w:tc>
        <w:tc>
          <w:tcPr>
            <w:tcW w:w="1290" w:type="dxa"/>
            <w:shd w:val="clear" w:color="auto" w:fill="FFFFFF" w:themeFill="background1"/>
          </w:tcPr>
          <w:p w14:paraId="63AAD18B"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AD0116">
              <w:rPr>
                <w:rFonts w:cstheme="minorHAnsi"/>
              </w:rPr>
              <w:t>SD</w:t>
            </w:r>
          </w:p>
        </w:tc>
      </w:tr>
      <w:tr w:rsidR="00AD0116" w:rsidRPr="00AD0116" w14:paraId="0BECD300" w14:textId="77777777" w:rsidTr="00AD0116">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3054" w:type="dxa"/>
            <w:shd w:val="clear" w:color="auto" w:fill="FFFFFF" w:themeFill="background1"/>
          </w:tcPr>
          <w:p w14:paraId="461E7B2D" w14:textId="77777777" w:rsidR="00DE61A6" w:rsidRPr="00865399" w:rsidRDefault="00DE61A6" w:rsidP="00AD0116">
            <w:pPr>
              <w:spacing w:line="276" w:lineRule="auto"/>
              <w:rPr>
                <w:rFonts w:cstheme="minorHAnsi"/>
                <w:b w:val="0"/>
                <w:bCs w:val="0"/>
              </w:rPr>
            </w:pPr>
            <w:r w:rsidRPr="00865399">
              <w:rPr>
                <w:rFonts w:cstheme="minorHAnsi"/>
                <w:b w:val="0"/>
                <w:bCs w:val="0"/>
              </w:rPr>
              <w:t xml:space="preserve">Inadequate </w:t>
            </w:r>
          </w:p>
        </w:tc>
        <w:tc>
          <w:tcPr>
            <w:cnfStyle w:val="000010000000" w:firstRow="0" w:lastRow="0" w:firstColumn="0" w:lastColumn="0" w:oddVBand="1" w:evenVBand="0" w:oddHBand="0" w:evenHBand="0" w:firstRowFirstColumn="0" w:firstRowLastColumn="0" w:lastRowFirstColumn="0" w:lastRowLastColumn="0"/>
            <w:tcW w:w="859" w:type="dxa"/>
            <w:shd w:val="clear" w:color="auto" w:fill="FFFFFF" w:themeFill="background1"/>
          </w:tcPr>
          <w:p w14:paraId="1A684CF5" w14:textId="77777777" w:rsidR="00DE61A6" w:rsidRPr="00AD0116" w:rsidRDefault="00DE61A6" w:rsidP="00AD0116">
            <w:pPr>
              <w:spacing w:line="276" w:lineRule="auto"/>
              <w:jc w:val="center"/>
              <w:rPr>
                <w:rFonts w:cstheme="minorHAnsi"/>
              </w:rPr>
            </w:pPr>
            <w:r w:rsidRPr="00AD0116">
              <w:rPr>
                <w:rFonts w:cstheme="minorHAnsi"/>
              </w:rPr>
              <w:t>41</w:t>
            </w:r>
          </w:p>
        </w:tc>
        <w:tc>
          <w:tcPr>
            <w:tcW w:w="1078" w:type="dxa"/>
            <w:shd w:val="clear" w:color="auto" w:fill="FFFFFF" w:themeFill="background1"/>
          </w:tcPr>
          <w:p w14:paraId="2E5D2427"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AD0116">
              <w:rPr>
                <w:rFonts w:cstheme="minorHAnsi"/>
              </w:rPr>
              <w:t>21.4</w:t>
            </w:r>
          </w:p>
        </w:tc>
        <w:tc>
          <w:tcPr>
            <w:cnfStyle w:val="000010000000" w:firstRow="0" w:lastRow="0" w:firstColumn="0" w:lastColumn="0" w:oddVBand="1" w:evenVBand="0" w:oddHBand="0" w:evenHBand="0" w:firstRowFirstColumn="0" w:firstRowLastColumn="0" w:lastRowFirstColumn="0" w:lastRowLastColumn="0"/>
            <w:tcW w:w="1139" w:type="dxa"/>
            <w:vMerge w:val="restart"/>
            <w:shd w:val="clear" w:color="auto" w:fill="FFFFFF" w:themeFill="background1"/>
          </w:tcPr>
          <w:p w14:paraId="4640BB24" w14:textId="77777777" w:rsidR="00DE61A6" w:rsidRPr="00AD0116" w:rsidRDefault="00DE61A6" w:rsidP="00AD0116">
            <w:pPr>
              <w:spacing w:line="276" w:lineRule="auto"/>
              <w:jc w:val="center"/>
              <w:rPr>
                <w:rFonts w:cstheme="minorHAnsi"/>
              </w:rPr>
            </w:pPr>
            <w:r w:rsidRPr="00AD0116">
              <w:rPr>
                <w:rFonts w:cstheme="minorHAnsi"/>
              </w:rPr>
              <w:t>2-15</w:t>
            </w:r>
          </w:p>
          <w:p w14:paraId="3C583F27" w14:textId="77777777" w:rsidR="00DE61A6" w:rsidRPr="00AD0116" w:rsidRDefault="00DE61A6" w:rsidP="00AD0116">
            <w:pPr>
              <w:spacing w:line="276" w:lineRule="auto"/>
              <w:jc w:val="center"/>
              <w:rPr>
                <w:rFonts w:cstheme="minorHAnsi"/>
              </w:rPr>
            </w:pPr>
            <w:r w:rsidRPr="00AD0116">
              <w:rPr>
                <w:rFonts w:cstheme="minorHAnsi"/>
              </w:rPr>
              <w:t>10</w:t>
            </w:r>
          </w:p>
        </w:tc>
        <w:tc>
          <w:tcPr>
            <w:tcW w:w="1014" w:type="dxa"/>
            <w:vMerge w:val="restart"/>
            <w:shd w:val="clear" w:color="auto" w:fill="FFFFFF" w:themeFill="background1"/>
          </w:tcPr>
          <w:p w14:paraId="207B844D"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p w14:paraId="3D8F3C3D"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AD0116">
              <w:rPr>
                <w:rFonts w:cstheme="minorHAnsi"/>
              </w:rPr>
              <w:t>7</w:t>
            </w:r>
          </w:p>
        </w:tc>
        <w:tc>
          <w:tcPr>
            <w:cnfStyle w:val="000010000000" w:firstRow="0" w:lastRow="0" w:firstColumn="0" w:lastColumn="0" w:oddVBand="1" w:evenVBand="0" w:oddHBand="0" w:evenHBand="0" w:firstRowFirstColumn="0" w:firstRowLastColumn="0" w:lastRowFirstColumn="0" w:lastRowLastColumn="0"/>
            <w:tcW w:w="1082" w:type="dxa"/>
            <w:vMerge w:val="restart"/>
            <w:shd w:val="clear" w:color="auto" w:fill="FFFFFF" w:themeFill="background1"/>
          </w:tcPr>
          <w:p w14:paraId="3B06C7D4" w14:textId="77777777" w:rsidR="00DE61A6" w:rsidRPr="00AD0116" w:rsidRDefault="00DE61A6" w:rsidP="00AD0116">
            <w:pPr>
              <w:spacing w:line="276" w:lineRule="auto"/>
              <w:jc w:val="center"/>
              <w:rPr>
                <w:rFonts w:cstheme="minorHAnsi"/>
              </w:rPr>
            </w:pPr>
          </w:p>
          <w:p w14:paraId="0E2CD76D" w14:textId="77777777" w:rsidR="00DE61A6" w:rsidRPr="00AD0116" w:rsidRDefault="00DE61A6" w:rsidP="00AD0116">
            <w:pPr>
              <w:spacing w:line="276" w:lineRule="auto"/>
              <w:jc w:val="center"/>
              <w:rPr>
                <w:rFonts w:cstheme="minorHAnsi"/>
              </w:rPr>
            </w:pPr>
            <w:r w:rsidRPr="00AD0116">
              <w:rPr>
                <w:rFonts w:cstheme="minorHAnsi"/>
              </w:rPr>
              <w:t>7.14</w:t>
            </w:r>
          </w:p>
        </w:tc>
        <w:tc>
          <w:tcPr>
            <w:tcW w:w="1290" w:type="dxa"/>
            <w:vMerge w:val="restart"/>
            <w:shd w:val="clear" w:color="auto" w:fill="FFFFFF" w:themeFill="background1"/>
          </w:tcPr>
          <w:p w14:paraId="6951280B"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p w14:paraId="697A17B8"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AD0116">
              <w:rPr>
                <w:rFonts w:cstheme="minorHAnsi"/>
              </w:rPr>
              <w:t>1.94</w:t>
            </w:r>
          </w:p>
        </w:tc>
      </w:tr>
      <w:tr w:rsidR="00AD0116" w:rsidRPr="00AD0116" w14:paraId="38B36453" w14:textId="77777777" w:rsidTr="00AD0116">
        <w:trPr>
          <w:trHeight w:val="220"/>
          <w:jc w:val="center"/>
        </w:trPr>
        <w:tc>
          <w:tcPr>
            <w:cnfStyle w:val="001000000000" w:firstRow="0" w:lastRow="0" w:firstColumn="1" w:lastColumn="0" w:oddVBand="0" w:evenVBand="0" w:oddHBand="0" w:evenHBand="0" w:firstRowFirstColumn="0" w:firstRowLastColumn="0" w:lastRowFirstColumn="0" w:lastRowLastColumn="0"/>
            <w:tcW w:w="3054" w:type="dxa"/>
            <w:shd w:val="clear" w:color="auto" w:fill="FFFFFF" w:themeFill="background1"/>
          </w:tcPr>
          <w:p w14:paraId="176762B8" w14:textId="77777777" w:rsidR="00DE61A6" w:rsidRPr="00865399" w:rsidRDefault="00DE61A6" w:rsidP="00AD0116">
            <w:pPr>
              <w:spacing w:line="276" w:lineRule="auto"/>
              <w:rPr>
                <w:rFonts w:cstheme="minorHAnsi"/>
                <w:b w:val="0"/>
                <w:bCs w:val="0"/>
              </w:rPr>
            </w:pPr>
            <w:r w:rsidRPr="00865399">
              <w:rPr>
                <w:rFonts w:cstheme="minorHAnsi"/>
                <w:b w:val="0"/>
                <w:bCs w:val="0"/>
              </w:rPr>
              <w:t xml:space="preserve">Moderate </w:t>
            </w:r>
          </w:p>
        </w:tc>
        <w:tc>
          <w:tcPr>
            <w:cnfStyle w:val="000010000000" w:firstRow="0" w:lastRow="0" w:firstColumn="0" w:lastColumn="0" w:oddVBand="1" w:evenVBand="0" w:oddHBand="0" w:evenHBand="0" w:firstRowFirstColumn="0" w:firstRowLastColumn="0" w:lastRowFirstColumn="0" w:lastRowLastColumn="0"/>
            <w:tcW w:w="859" w:type="dxa"/>
            <w:shd w:val="clear" w:color="auto" w:fill="FFFFFF" w:themeFill="background1"/>
          </w:tcPr>
          <w:p w14:paraId="7442FDC3" w14:textId="77777777" w:rsidR="00DE61A6" w:rsidRPr="00AD0116" w:rsidRDefault="00DE61A6" w:rsidP="00AD0116">
            <w:pPr>
              <w:spacing w:line="276" w:lineRule="auto"/>
              <w:jc w:val="center"/>
              <w:rPr>
                <w:rFonts w:cstheme="minorHAnsi"/>
              </w:rPr>
            </w:pPr>
            <w:r w:rsidRPr="00AD0116">
              <w:rPr>
                <w:rFonts w:cstheme="minorHAnsi"/>
              </w:rPr>
              <w:t>146</w:t>
            </w:r>
          </w:p>
        </w:tc>
        <w:tc>
          <w:tcPr>
            <w:tcW w:w="1078" w:type="dxa"/>
            <w:shd w:val="clear" w:color="auto" w:fill="FFFFFF" w:themeFill="background1"/>
          </w:tcPr>
          <w:p w14:paraId="490E28A3"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AD0116">
              <w:rPr>
                <w:rFonts w:cstheme="minorHAnsi"/>
              </w:rPr>
              <w:t>76</w:t>
            </w:r>
          </w:p>
        </w:tc>
        <w:tc>
          <w:tcPr>
            <w:cnfStyle w:val="000010000000" w:firstRow="0" w:lastRow="0" w:firstColumn="0" w:lastColumn="0" w:oddVBand="1" w:evenVBand="0" w:oddHBand="0" w:evenHBand="0" w:firstRowFirstColumn="0" w:firstRowLastColumn="0" w:lastRowFirstColumn="0" w:lastRowLastColumn="0"/>
            <w:tcW w:w="1139" w:type="dxa"/>
            <w:vMerge/>
          </w:tcPr>
          <w:p w14:paraId="3F39C65D" w14:textId="77777777" w:rsidR="00DE61A6" w:rsidRPr="00AD0116" w:rsidRDefault="00DE61A6" w:rsidP="00AD0116">
            <w:pPr>
              <w:spacing w:line="276" w:lineRule="auto"/>
              <w:jc w:val="center"/>
              <w:rPr>
                <w:rFonts w:cstheme="minorHAnsi"/>
              </w:rPr>
            </w:pPr>
          </w:p>
        </w:tc>
        <w:tc>
          <w:tcPr>
            <w:tcW w:w="1014" w:type="dxa"/>
            <w:vMerge/>
          </w:tcPr>
          <w:p w14:paraId="267BACC3"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cnfStyle w:val="000010000000" w:firstRow="0" w:lastRow="0" w:firstColumn="0" w:lastColumn="0" w:oddVBand="1" w:evenVBand="0" w:oddHBand="0" w:evenHBand="0" w:firstRowFirstColumn="0" w:firstRowLastColumn="0" w:lastRowFirstColumn="0" w:lastRowLastColumn="0"/>
            <w:tcW w:w="1082" w:type="dxa"/>
            <w:vMerge/>
          </w:tcPr>
          <w:p w14:paraId="719F798C" w14:textId="77777777" w:rsidR="00DE61A6" w:rsidRPr="00AD0116" w:rsidRDefault="00DE61A6" w:rsidP="00AD0116">
            <w:pPr>
              <w:spacing w:line="276" w:lineRule="auto"/>
              <w:jc w:val="center"/>
              <w:rPr>
                <w:rFonts w:cstheme="minorHAnsi"/>
              </w:rPr>
            </w:pPr>
          </w:p>
        </w:tc>
        <w:tc>
          <w:tcPr>
            <w:tcW w:w="1290" w:type="dxa"/>
            <w:vMerge/>
          </w:tcPr>
          <w:p w14:paraId="0E06DF5B"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AD0116" w:rsidRPr="00AD0116" w14:paraId="5646CE57" w14:textId="77777777" w:rsidTr="00AD0116">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3054" w:type="dxa"/>
            <w:shd w:val="clear" w:color="auto" w:fill="FFFFFF" w:themeFill="background1"/>
          </w:tcPr>
          <w:p w14:paraId="551C9BD1" w14:textId="77777777" w:rsidR="00DE61A6" w:rsidRPr="00865399" w:rsidRDefault="00DE61A6" w:rsidP="00AD0116">
            <w:pPr>
              <w:spacing w:line="276" w:lineRule="auto"/>
              <w:rPr>
                <w:rFonts w:cstheme="minorHAnsi"/>
                <w:b w:val="0"/>
                <w:bCs w:val="0"/>
              </w:rPr>
            </w:pPr>
            <w:r w:rsidRPr="00865399">
              <w:rPr>
                <w:rFonts w:cstheme="minorHAnsi"/>
                <w:b w:val="0"/>
                <w:bCs w:val="0"/>
              </w:rPr>
              <w:t xml:space="preserve">Adequate </w:t>
            </w:r>
          </w:p>
        </w:tc>
        <w:tc>
          <w:tcPr>
            <w:cnfStyle w:val="000010000000" w:firstRow="0" w:lastRow="0" w:firstColumn="0" w:lastColumn="0" w:oddVBand="1" w:evenVBand="0" w:oddHBand="0" w:evenHBand="0" w:firstRowFirstColumn="0" w:firstRowLastColumn="0" w:lastRowFirstColumn="0" w:lastRowLastColumn="0"/>
            <w:tcW w:w="859" w:type="dxa"/>
            <w:shd w:val="clear" w:color="auto" w:fill="FFFFFF" w:themeFill="background1"/>
          </w:tcPr>
          <w:p w14:paraId="45928EB2" w14:textId="77777777" w:rsidR="00DE61A6" w:rsidRPr="00AD0116" w:rsidRDefault="00DE61A6" w:rsidP="00AD0116">
            <w:pPr>
              <w:spacing w:line="276" w:lineRule="auto"/>
              <w:jc w:val="center"/>
              <w:rPr>
                <w:rFonts w:cstheme="minorHAnsi"/>
              </w:rPr>
            </w:pPr>
            <w:r w:rsidRPr="00AD0116">
              <w:rPr>
                <w:rFonts w:cstheme="minorHAnsi"/>
              </w:rPr>
              <w:t>5</w:t>
            </w:r>
          </w:p>
        </w:tc>
        <w:tc>
          <w:tcPr>
            <w:tcW w:w="1078" w:type="dxa"/>
            <w:shd w:val="clear" w:color="auto" w:fill="FFFFFF" w:themeFill="background1"/>
          </w:tcPr>
          <w:p w14:paraId="2279207A"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AD0116">
              <w:rPr>
                <w:rFonts w:cstheme="minorHAnsi"/>
              </w:rPr>
              <w:t>2.6</w:t>
            </w:r>
          </w:p>
        </w:tc>
        <w:tc>
          <w:tcPr>
            <w:cnfStyle w:val="000010000000" w:firstRow="0" w:lastRow="0" w:firstColumn="0" w:lastColumn="0" w:oddVBand="1" w:evenVBand="0" w:oddHBand="0" w:evenHBand="0" w:firstRowFirstColumn="0" w:firstRowLastColumn="0" w:lastRowFirstColumn="0" w:lastRowLastColumn="0"/>
            <w:tcW w:w="1139" w:type="dxa"/>
            <w:vMerge/>
          </w:tcPr>
          <w:p w14:paraId="1BDFABAF" w14:textId="77777777" w:rsidR="00DE61A6" w:rsidRPr="00AD0116" w:rsidRDefault="00DE61A6" w:rsidP="00AD0116">
            <w:pPr>
              <w:spacing w:line="276" w:lineRule="auto"/>
              <w:jc w:val="center"/>
              <w:rPr>
                <w:rFonts w:cstheme="minorHAnsi"/>
              </w:rPr>
            </w:pPr>
          </w:p>
        </w:tc>
        <w:tc>
          <w:tcPr>
            <w:tcW w:w="1014" w:type="dxa"/>
            <w:vMerge/>
          </w:tcPr>
          <w:p w14:paraId="6ECA175D"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cnfStyle w:val="000010000000" w:firstRow="0" w:lastRow="0" w:firstColumn="0" w:lastColumn="0" w:oddVBand="1" w:evenVBand="0" w:oddHBand="0" w:evenHBand="0" w:firstRowFirstColumn="0" w:firstRowLastColumn="0" w:lastRowFirstColumn="0" w:lastRowLastColumn="0"/>
            <w:tcW w:w="1082" w:type="dxa"/>
            <w:vMerge/>
          </w:tcPr>
          <w:p w14:paraId="59EF2CDD" w14:textId="77777777" w:rsidR="00DE61A6" w:rsidRPr="00AD0116" w:rsidRDefault="00DE61A6" w:rsidP="00AD0116">
            <w:pPr>
              <w:spacing w:line="276" w:lineRule="auto"/>
              <w:jc w:val="center"/>
              <w:rPr>
                <w:rFonts w:cstheme="minorHAnsi"/>
              </w:rPr>
            </w:pPr>
          </w:p>
        </w:tc>
        <w:tc>
          <w:tcPr>
            <w:tcW w:w="1290" w:type="dxa"/>
            <w:vMerge/>
          </w:tcPr>
          <w:p w14:paraId="479911A5"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bl>
    <w:p w14:paraId="7566D2EB" w14:textId="77777777" w:rsidR="00DE61A6" w:rsidRPr="00AD0116" w:rsidRDefault="00DE61A6" w:rsidP="00AD0116">
      <w:pPr>
        <w:pStyle w:val="NoSpacing"/>
        <w:spacing w:line="276" w:lineRule="auto"/>
        <w:jc w:val="both"/>
        <w:rPr>
          <w:rFonts w:cstheme="minorHAnsi"/>
          <w:noProof/>
          <w:color w:val="000000" w:themeColor="text1"/>
        </w:rPr>
      </w:pPr>
    </w:p>
    <w:p w14:paraId="2B745432" w14:textId="444F71E9" w:rsidR="00DE61A6" w:rsidRPr="00AD0116" w:rsidRDefault="00F51741" w:rsidP="00AD0116">
      <w:pPr>
        <w:autoSpaceDE w:val="0"/>
        <w:autoSpaceDN w:val="0"/>
        <w:adjustRightInd w:val="0"/>
        <w:spacing w:after="0" w:line="276" w:lineRule="auto"/>
        <w:jc w:val="both"/>
        <w:rPr>
          <w:rFonts w:cstheme="minorHAnsi"/>
          <w:b/>
          <w:color w:val="000000" w:themeColor="text1"/>
        </w:rPr>
      </w:pPr>
      <w:r w:rsidRPr="00AD0116">
        <w:rPr>
          <w:rFonts w:cstheme="minorHAnsi"/>
          <w:noProof/>
          <w:color w:val="000000" w:themeColor="text1"/>
          <w:kern w:val="0"/>
          <w:lang w:val="en-US"/>
          <w14:ligatures w14:val="none"/>
        </w:rPr>
        <w:t>The majority of participants (76%) had moderate knowledge about STIs, indicating only a basic understanding of transmission, symptoms, and prevention. About 21.4% showed inadequate knowledge, revealing notable gaps that may increase vulnerability to infections. Only 2.6% demonstrated adequate knowledge, highlighting the urgent need for strengthened sexual health education. The mean knowledge score was 7.14 (SD = 1.94) with a median of 7, showing that most students scored below half of the total achievable score, reflecting overall suboptimal knowledge levels</w:t>
      </w:r>
      <w:r w:rsidR="008F6B52" w:rsidRPr="00AD0116">
        <w:rPr>
          <w:rFonts w:cstheme="minorHAnsi"/>
          <w:noProof/>
          <w:color w:val="000000" w:themeColor="text1"/>
          <w:kern w:val="0"/>
          <w:lang w:val="en-US"/>
          <w14:ligatures w14:val="none"/>
        </w:rPr>
        <w:t xml:space="preserve"> [Table 2]</w:t>
      </w:r>
      <w:r w:rsidRPr="00AD0116">
        <w:rPr>
          <w:rFonts w:cstheme="minorHAnsi"/>
          <w:noProof/>
          <w:color w:val="000000" w:themeColor="text1"/>
          <w:kern w:val="0"/>
          <w:lang w:val="en-US"/>
          <w14:ligatures w14:val="none"/>
        </w:rPr>
        <w:t>.</w:t>
      </w:r>
    </w:p>
    <w:p w14:paraId="636D5562" w14:textId="77777777" w:rsidR="000A3A79" w:rsidRPr="00AD0116" w:rsidRDefault="000A3A79" w:rsidP="00AD0116">
      <w:pPr>
        <w:spacing w:after="0" w:line="276" w:lineRule="auto"/>
        <w:jc w:val="both"/>
        <w:rPr>
          <w:rFonts w:cstheme="minorHAnsi"/>
          <w:bCs/>
          <w:color w:val="000000" w:themeColor="text1"/>
        </w:rPr>
      </w:pPr>
    </w:p>
    <w:p w14:paraId="28CED530" w14:textId="022BBFE5" w:rsidR="00DE61A6" w:rsidRPr="00AD0116" w:rsidRDefault="00DE61A6" w:rsidP="00AD0116">
      <w:pPr>
        <w:spacing w:after="0" w:line="276" w:lineRule="auto"/>
        <w:jc w:val="both"/>
        <w:rPr>
          <w:rFonts w:cstheme="minorHAnsi"/>
          <w:b/>
          <w:color w:val="000000" w:themeColor="text1"/>
        </w:rPr>
      </w:pPr>
      <w:r w:rsidRPr="00AD0116">
        <w:rPr>
          <w:rFonts w:cstheme="minorHAnsi"/>
          <w:b/>
          <w:color w:val="000000" w:themeColor="text1"/>
        </w:rPr>
        <w:t xml:space="preserve">Table 3: Distribution of </w:t>
      </w:r>
      <w:r w:rsidRPr="00AD0116">
        <w:rPr>
          <w:rFonts w:cstheme="minorHAnsi"/>
          <w:b/>
          <w:color w:val="000000" w:themeColor="text1"/>
          <w:shd w:val="clear" w:color="auto" w:fill="FFFFFF"/>
        </w:rPr>
        <w:t xml:space="preserve">level of </w:t>
      </w:r>
      <w:r w:rsidRPr="00AD0116">
        <w:rPr>
          <w:rFonts w:cstheme="minorHAnsi"/>
          <w:b/>
          <w:color w:val="000000" w:themeColor="text1"/>
        </w:rPr>
        <w:t>attitude towards Sexually Transmitted Infections (STIs) among College Students in Sikkim Manipal University</w:t>
      </w:r>
    </w:p>
    <w:p w14:paraId="21D54FCE" w14:textId="77777777" w:rsidR="00DE61A6" w:rsidRPr="00AD0116" w:rsidRDefault="00DE61A6" w:rsidP="00AD0116">
      <w:pPr>
        <w:pStyle w:val="Default"/>
        <w:spacing w:line="276" w:lineRule="auto"/>
        <w:jc w:val="right"/>
        <w:rPr>
          <w:rFonts w:asciiTheme="minorHAnsi" w:hAnsiTheme="minorHAnsi" w:cstheme="minorHAnsi"/>
          <w:color w:val="000000" w:themeColor="text1"/>
          <w:sz w:val="22"/>
          <w:szCs w:val="22"/>
        </w:rPr>
      </w:pP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t>N=192</w:t>
      </w:r>
    </w:p>
    <w:tbl>
      <w:tblPr>
        <w:tblStyle w:val="PlainTable2"/>
        <w:tblW w:w="0" w:type="auto"/>
        <w:jc w:val="center"/>
        <w:tblLook w:val="04A0" w:firstRow="1" w:lastRow="0" w:firstColumn="1" w:lastColumn="0" w:noHBand="0" w:noVBand="1"/>
      </w:tblPr>
      <w:tblGrid>
        <w:gridCol w:w="2701"/>
        <w:gridCol w:w="863"/>
        <w:gridCol w:w="1082"/>
        <w:gridCol w:w="1144"/>
        <w:gridCol w:w="1018"/>
        <w:gridCol w:w="1086"/>
        <w:gridCol w:w="1683"/>
      </w:tblGrid>
      <w:tr w:rsidR="00AD0116" w:rsidRPr="00AD0116" w14:paraId="5C69A9E6" w14:textId="77777777" w:rsidTr="001404FA">
        <w:trPr>
          <w:cnfStyle w:val="100000000000" w:firstRow="1" w:lastRow="0" w:firstColumn="0" w:lastColumn="0" w:oddVBand="0" w:evenVBand="0" w:oddHBand="0" w:evenHBand="0" w:firstRowFirstColumn="0" w:firstRowLastColumn="0" w:lastRowFirstColumn="0" w:lastRowLastColumn="0"/>
          <w:trHeight w:val="598"/>
          <w:jc w:val="center"/>
        </w:trPr>
        <w:tc>
          <w:tcPr>
            <w:cnfStyle w:val="001000000000" w:firstRow="0" w:lastRow="0" w:firstColumn="1" w:lastColumn="0" w:oddVBand="0" w:evenVBand="0" w:oddHBand="0" w:evenHBand="0" w:firstRowFirstColumn="0" w:firstRowLastColumn="0" w:lastRowFirstColumn="0" w:lastRowLastColumn="0"/>
            <w:tcW w:w="2701" w:type="dxa"/>
          </w:tcPr>
          <w:p w14:paraId="0F63629D" w14:textId="77777777" w:rsidR="00DE61A6" w:rsidRPr="00AD0116" w:rsidRDefault="00DE61A6" w:rsidP="00AD0116">
            <w:pPr>
              <w:spacing w:line="276" w:lineRule="auto"/>
              <w:jc w:val="center"/>
              <w:rPr>
                <w:rFonts w:cstheme="minorHAnsi"/>
                <w:color w:val="000000" w:themeColor="text1"/>
                <w:lang w:val="en-IN"/>
              </w:rPr>
            </w:pPr>
            <w:r w:rsidRPr="00AD0116">
              <w:rPr>
                <w:rFonts w:cstheme="minorHAnsi"/>
                <w:color w:val="000000" w:themeColor="text1"/>
              </w:rPr>
              <w:lastRenderedPageBreak/>
              <w:t xml:space="preserve">Level of </w:t>
            </w:r>
            <w:r w:rsidRPr="00AD0116">
              <w:rPr>
                <w:rFonts w:cstheme="minorHAnsi"/>
                <w:color w:val="000000" w:themeColor="text1"/>
                <w:lang w:val="en-IN"/>
              </w:rPr>
              <w:t xml:space="preserve">attitude  </w:t>
            </w:r>
          </w:p>
        </w:tc>
        <w:tc>
          <w:tcPr>
            <w:tcW w:w="863" w:type="dxa"/>
          </w:tcPr>
          <w:p w14:paraId="72CACD2A"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AD0116">
              <w:rPr>
                <w:rFonts w:cstheme="minorHAnsi"/>
                <w:color w:val="000000" w:themeColor="text1"/>
              </w:rPr>
              <w:t>f</w:t>
            </w:r>
          </w:p>
        </w:tc>
        <w:tc>
          <w:tcPr>
            <w:tcW w:w="1082" w:type="dxa"/>
          </w:tcPr>
          <w:p w14:paraId="692DC3EF"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AD0116">
              <w:rPr>
                <w:rFonts w:cstheme="minorHAnsi"/>
                <w:color w:val="000000" w:themeColor="text1"/>
              </w:rPr>
              <w:t>%</w:t>
            </w:r>
          </w:p>
        </w:tc>
        <w:tc>
          <w:tcPr>
            <w:tcW w:w="1144" w:type="dxa"/>
          </w:tcPr>
          <w:p w14:paraId="1BC29572"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AD0116">
              <w:rPr>
                <w:rFonts w:cstheme="minorHAnsi"/>
                <w:color w:val="000000" w:themeColor="text1"/>
              </w:rPr>
              <w:t>Score range</w:t>
            </w:r>
          </w:p>
        </w:tc>
        <w:tc>
          <w:tcPr>
            <w:tcW w:w="1018" w:type="dxa"/>
          </w:tcPr>
          <w:p w14:paraId="12EC064A"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AD0116">
              <w:rPr>
                <w:rFonts w:cstheme="minorHAnsi"/>
                <w:color w:val="000000" w:themeColor="text1"/>
              </w:rPr>
              <w:t>Median</w:t>
            </w:r>
          </w:p>
        </w:tc>
        <w:tc>
          <w:tcPr>
            <w:tcW w:w="1086" w:type="dxa"/>
          </w:tcPr>
          <w:p w14:paraId="03BA107D"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AD0116">
              <w:rPr>
                <w:rFonts w:cstheme="minorHAnsi"/>
                <w:color w:val="000000" w:themeColor="text1"/>
              </w:rPr>
              <w:t>Mean</w:t>
            </w:r>
          </w:p>
        </w:tc>
        <w:tc>
          <w:tcPr>
            <w:tcW w:w="1683" w:type="dxa"/>
          </w:tcPr>
          <w:p w14:paraId="14174974"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AD0116">
              <w:rPr>
                <w:rFonts w:cstheme="minorHAnsi"/>
                <w:color w:val="000000" w:themeColor="text1"/>
              </w:rPr>
              <w:t>SD</w:t>
            </w:r>
          </w:p>
        </w:tc>
      </w:tr>
      <w:tr w:rsidR="00AD0116" w:rsidRPr="00AD0116" w14:paraId="35AFC0EF" w14:textId="77777777" w:rsidTr="001404FA">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2701" w:type="dxa"/>
          </w:tcPr>
          <w:p w14:paraId="5CA7D6B0" w14:textId="77777777" w:rsidR="00DE61A6" w:rsidRPr="00865399" w:rsidRDefault="00DE61A6" w:rsidP="00AD0116">
            <w:pPr>
              <w:spacing w:line="276" w:lineRule="auto"/>
              <w:rPr>
                <w:rFonts w:cstheme="minorHAnsi"/>
                <w:b w:val="0"/>
                <w:bCs w:val="0"/>
                <w:color w:val="000000" w:themeColor="text1"/>
              </w:rPr>
            </w:pPr>
            <w:r w:rsidRPr="00865399">
              <w:rPr>
                <w:rFonts w:cstheme="minorHAnsi"/>
                <w:b w:val="0"/>
                <w:bCs w:val="0"/>
                <w:color w:val="000000" w:themeColor="text1"/>
              </w:rPr>
              <w:t xml:space="preserve">Unfavorable </w:t>
            </w:r>
          </w:p>
        </w:tc>
        <w:tc>
          <w:tcPr>
            <w:tcW w:w="863" w:type="dxa"/>
          </w:tcPr>
          <w:p w14:paraId="2DE3FAA0"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96</w:t>
            </w:r>
          </w:p>
        </w:tc>
        <w:tc>
          <w:tcPr>
            <w:tcW w:w="1082" w:type="dxa"/>
          </w:tcPr>
          <w:p w14:paraId="1E129A0E"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50</w:t>
            </w:r>
          </w:p>
        </w:tc>
        <w:tc>
          <w:tcPr>
            <w:tcW w:w="1144" w:type="dxa"/>
            <w:vMerge w:val="restart"/>
          </w:tcPr>
          <w:p w14:paraId="4AACBAF7"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20-57</w:t>
            </w:r>
          </w:p>
          <w:p w14:paraId="5F8D7231"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37</w:t>
            </w:r>
          </w:p>
        </w:tc>
        <w:tc>
          <w:tcPr>
            <w:tcW w:w="1018" w:type="dxa"/>
            <w:vMerge w:val="restart"/>
          </w:tcPr>
          <w:p w14:paraId="5062A12F"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2CE6AAD"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44</w:t>
            </w:r>
          </w:p>
        </w:tc>
        <w:tc>
          <w:tcPr>
            <w:tcW w:w="1086" w:type="dxa"/>
            <w:vMerge w:val="restart"/>
          </w:tcPr>
          <w:p w14:paraId="73DF708C"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5DED94E2"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44.26</w:t>
            </w:r>
          </w:p>
        </w:tc>
        <w:tc>
          <w:tcPr>
            <w:tcW w:w="1683" w:type="dxa"/>
            <w:vMerge w:val="restart"/>
          </w:tcPr>
          <w:p w14:paraId="7E757CD6"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C431CAB"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7.06</w:t>
            </w:r>
          </w:p>
        </w:tc>
      </w:tr>
      <w:tr w:rsidR="00AD0116" w:rsidRPr="00AD0116" w14:paraId="6FC28846" w14:textId="77777777" w:rsidTr="001404FA">
        <w:trPr>
          <w:trHeight w:val="159"/>
          <w:jc w:val="center"/>
        </w:trPr>
        <w:tc>
          <w:tcPr>
            <w:cnfStyle w:val="001000000000" w:firstRow="0" w:lastRow="0" w:firstColumn="1" w:lastColumn="0" w:oddVBand="0" w:evenVBand="0" w:oddHBand="0" w:evenHBand="0" w:firstRowFirstColumn="0" w:firstRowLastColumn="0" w:lastRowFirstColumn="0" w:lastRowLastColumn="0"/>
            <w:tcW w:w="2701" w:type="dxa"/>
          </w:tcPr>
          <w:p w14:paraId="3289718F" w14:textId="77777777" w:rsidR="00DE61A6" w:rsidRPr="00865399" w:rsidRDefault="00DE61A6" w:rsidP="00AD0116">
            <w:pPr>
              <w:spacing w:line="276" w:lineRule="auto"/>
              <w:rPr>
                <w:rFonts w:cstheme="minorHAnsi"/>
                <w:b w:val="0"/>
                <w:bCs w:val="0"/>
                <w:color w:val="000000" w:themeColor="text1"/>
              </w:rPr>
            </w:pPr>
            <w:r w:rsidRPr="00865399">
              <w:rPr>
                <w:rFonts w:cstheme="minorHAnsi"/>
                <w:b w:val="0"/>
                <w:bCs w:val="0"/>
                <w:color w:val="000000" w:themeColor="text1"/>
              </w:rPr>
              <w:t xml:space="preserve">Neutral  </w:t>
            </w:r>
          </w:p>
        </w:tc>
        <w:tc>
          <w:tcPr>
            <w:tcW w:w="863" w:type="dxa"/>
          </w:tcPr>
          <w:p w14:paraId="5DD64188"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96</w:t>
            </w:r>
          </w:p>
        </w:tc>
        <w:tc>
          <w:tcPr>
            <w:tcW w:w="1082" w:type="dxa"/>
          </w:tcPr>
          <w:p w14:paraId="7F9CDC4A"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50</w:t>
            </w:r>
          </w:p>
        </w:tc>
        <w:tc>
          <w:tcPr>
            <w:tcW w:w="1144" w:type="dxa"/>
            <w:vMerge/>
          </w:tcPr>
          <w:p w14:paraId="3FBBF393"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c>
          <w:tcPr>
            <w:tcW w:w="1018" w:type="dxa"/>
            <w:vMerge/>
          </w:tcPr>
          <w:p w14:paraId="287C2F70"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c>
          <w:tcPr>
            <w:tcW w:w="1086" w:type="dxa"/>
            <w:vMerge/>
          </w:tcPr>
          <w:p w14:paraId="3F3497C8"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c>
          <w:tcPr>
            <w:tcW w:w="1683" w:type="dxa"/>
            <w:vMerge/>
          </w:tcPr>
          <w:p w14:paraId="5FAFA10E"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r w:rsidR="00AD0116" w:rsidRPr="00AD0116" w14:paraId="4E78ED20" w14:textId="77777777" w:rsidTr="001404FA">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2701" w:type="dxa"/>
          </w:tcPr>
          <w:p w14:paraId="14F2DEBE" w14:textId="77777777" w:rsidR="00DE61A6" w:rsidRPr="00865399" w:rsidRDefault="00DE61A6" w:rsidP="00AD0116">
            <w:pPr>
              <w:spacing w:line="276" w:lineRule="auto"/>
              <w:rPr>
                <w:rFonts w:cstheme="minorHAnsi"/>
                <w:b w:val="0"/>
                <w:bCs w:val="0"/>
                <w:color w:val="000000" w:themeColor="text1"/>
              </w:rPr>
            </w:pPr>
            <w:r w:rsidRPr="00865399">
              <w:rPr>
                <w:rFonts w:cstheme="minorHAnsi"/>
                <w:b w:val="0"/>
                <w:bCs w:val="0"/>
                <w:color w:val="000000" w:themeColor="text1"/>
              </w:rPr>
              <w:t xml:space="preserve">Favorable </w:t>
            </w:r>
          </w:p>
        </w:tc>
        <w:tc>
          <w:tcPr>
            <w:tcW w:w="863" w:type="dxa"/>
          </w:tcPr>
          <w:p w14:paraId="4457D57F"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0</w:t>
            </w:r>
          </w:p>
        </w:tc>
        <w:tc>
          <w:tcPr>
            <w:tcW w:w="1082" w:type="dxa"/>
          </w:tcPr>
          <w:p w14:paraId="78A644FF"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0</w:t>
            </w:r>
          </w:p>
        </w:tc>
        <w:tc>
          <w:tcPr>
            <w:tcW w:w="1144" w:type="dxa"/>
            <w:vMerge/>
          </w:tcPr>
          <w:p w14:paraId="1DB1DF01"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c>
          <w:tcPr>
            <w:tcW w:w="1018" w:type="dxa"/>
            <w:vMerge/>
          </w:tcPr>
          <w:p w14:paraId="4BC4E049"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c>
          <w:tcPr>
            <w:tcW w:w="1086" w:type="dxa"/>
            <w:vMerge/>
          </w:tcPr>
          <w:p w14:paraId="5ADD2FD4"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c>
          <w:tcPr>
            <w:tcW w:w="1683" w:type="dxa"/>
            <w:vMerge/>
          </w:tcPr>
          <w:p w14:paraId="7280B3A6"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r>
    </w:tbl>
    <w:p w14:paraId="5D0E2F9F" w14:textId="77777777" w:rsidR="00865399" w:rsidRDefault="00865399" w:rsidP="00AD0116">
      <w:pPr>
        <w:pStyle w:val="NoSpacing"/>
        <w:spacing w:line="276" w:lineRule="auto"/>
        <w:jc w:val="both"/>
        <w:rPr>
          <w:rFonts w:cstheme="minorHAnsi"/>
          <w:color w:val="000000" w:themeColor="text1"/>
        </w:rPr>
      </w:pPr>
    </w:p>
    <w:p w14:paraId="3EF8799B" w14:textId="2AC4DAE4" w:rsidR="00DE61A6" w:rsidRPr="00AD0116" w:rsidRDefault="00F51741" w:rsidP="00AD0116">
      <w:pPr>
        <w:pStyle w:val="NoSpacing"/>
        <w:spacing w:line="276" w:lineRule="auto"/>
        <w:jc w:val="both"/>
        <w:rPr>
          <w:rFonts w:cstheme="minorHAnsi"/>
          <w:color w:val="000000" w:themeColor="text1"/>
        </w:rPr>
      </w:pPr>
      <w:r w:rsidRPr="00AD0116">
        <w:rPr>
          <w:rFonts w:cstheme="minorHAnsi"/>
          <w:color w:val="000000" w:themeColor="text1"/>
        </w:rPr>
        <w:t>Half of the participants (50%) had unfavorable attitudes toward STIs, while the remaining 50% showed neutral attitudes. None demonstrated a favorable attitude, indicating the presence of stigma, discomfort, or misinformation surrounding STI-related issues. The mean attitude score was 44.26 (SD = 7.06), with a median of 44, reflecting that most students fell near the neutral-to-unfavorable range. This absence of positive attitudes may be attributed to socio-cultural taboos, limited discussion about sexual health, and inadequate exposure to comprehensive sexuality education</w:t>
      </w:r>
      <w:r w:rsidR="008F6B52" w:rsidRPr="00AD0116">
        <w:rPr>
          <w:rFonts w:cstheme="minorHAnsi"/>
          <w:color w:val="000000" w:themeColor="text1"/>
        </w:rPr>
        <w:t xml:space="preserve"> [Table 3]</w:t>
      </w:r>
      <w:r w:rsidR="00DE61A6" w:rsidRPr="00AD0116">
        <w:rPr>
          <w:rFonts w:cstheme="minorHAnsi"/>
          <w:color w:val="000000" w:themeColor="text1"/>
        </w:rPr>
        <w:t>.</w:t>
      </w:r>
    </w:p>
    <w:p w14:paraId="5D5E162F" w14:textId="77777777" w:rsidR="00DE61A6" w:rsidRPr="00AD0116" w:rsidRDefault="00DE61A6" w:rsidP="00AD0116">
      <w:pPr>
        <w:tabs>
          <w:tab w:val="left" w:pos="424"/>
        </w:tabs>
        <w:spacing w:after="0" w:line="276" w:lineRule="auto"/>
        <w:rPr>
          <w:rFonts w:cstheme="minorHAnsi"/>
          <w:b/>
          <w:bCs/>
          <w:color w:val="000000" w:themeColor="text1"/>
        </w:rPr>
      </w:pPr>
    </w:p>
    <w:p w14:paraId="6595B81C" w14:textId="07A6ED21" w:rsidR="00DE61A6" w:rsidRPr="00AD0116" w:rsidRDefault="00DE61A6" w:rsidP="00AD0116">
      <w:pPr>
        <w:spacing w:line="276" w:lineRule="auto"/>
        <w:jc w:val="both"/>
        <w:rPr>
          <w:rFonts w:cstheme="minorHAnsi"/>
          <w:b/>
          <w:color w:val="000000" w:themeColor="text1"/>
        </w:rPr>
      </w:pPr>
      <w:r w:rsidRPr="00AD0116">
        <w:rPr>
          <w:rFonts w:cstheme="minorHAnsi"/>
          <w:b/>
          <w:color w:val="000000" w:themeColor="text1"/>
        </w:rPr>
        <w:t xml:space="preserve">Table 4: Distribution of </w:t>
      </w:r>
      <w:r w:rsidRPr="00AD0116">
        <w:rPr>
          <w:rFonts w:cstheme="minorHAnsi"/>
          <w:b/>
          <w:color w:val="000000" w:themeColor="text1"/>
          <w:shd w:val="clear" w:color="auto" w:fill="FFFFFF"/>
        </w:rPr>
        <w:t xml:space="preserve">level of </w:t>
      </w:r>
      <w:r w:rsidRPr="00AD0116">
        <w:rPr>
          <w:rFonts w:cstheme="minorHAnsi"/>
          <w:b/>
          <w:color w:val="000000" w:themeColor="text1"/>
        </w:rPr>
        <w:t>preventive practices towards Sexually Transmitted Infections (STIs) among College Students in Sikkim Manipal University</w:t>
      </w:r>
    </w:p>
    <w:p w14:paraId="3BC4E762" w14:textId="19D7D22E" w:rsidR="00DE61A6" w:rsidRPr="00AD0116" w:rsidRDefault="00DE61A6" w:rsidP="00AD0116">
      <w:pPr>
        <w:pStyle w:val="Default"/>
        <w:spacing w:line="276" w:lineRule="auto"/>
        <w:jc w:val="right"/>
        <w:rPr>
          <w:rFonts w:asciiTheme="minorHAnsi" w:hAnsiTheme="minorHAnsi" w:cstheme="minorHAnsi"/>
          <w:color w:val="000000" w:themeColor="text1"/>
          <w:sz w:val="22"/>
          <w:szCs w:val="22"/>
        </w:rPr>
      </w:pP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t xml:space="preserve">                            N=192</w:t>
      </w:r>
    </w:p>
    <w:tbl>
      <w:tblPr>
        <w:tblStyle w:val="PlainTable2"/>
        <w:tblW w:w="0" w:type="auto"/>
        <w:tblLook w:val="04E0" w:firstRow="1" w:lastRow="1" w:firstColumn="1" w:lastColumn="0" w:noHBand="0" w:noVBand="1"/>
      </w:tblPr>
      <w:tblGrid>
        <w:gridCol w:w="3007"/>
        <w:gridCol w:w="850"/>
        <w:gridCol w:w="1066"/>
        <w:gridCol w:w="1127"/>
        <w:gridCol w:w="1003"/>
        <w:gridCol w:w="1070"/>
        <w:gridCol w:w="1484"/>
      </w:tblGrid>
      <w:tr w:rsidR="00AD0116" w:rsidRPr="00AD0116" w14:paraId="0FA0174B" w14:textId="77777777" w:rsidTr="00140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0BED72F2" w14:textId="77777777" w:rsidR="00DE61A6" w:rsidRPr="00AD0116" w:rsidRDefault="00DE61A6" w:rsidP="00AD0116">
            <w:pPr>
              <w:spacing w:line="276" w:lineRule="auto"/>
              <w:jc w:val="center"/>
              <w:rPr>
                <w:rFonts w:cstheme="minorHAnsi"/>
                <w:b w:val="0"/>
                <w:color w:val="000000" w:themeColor="text1"/>
              </w:rPr>
            </w:pPr>
            <w:r w:rsidRPr="00AD0116">
              <w:rPr>
                <w:rFonts w:cstheme="minorHAnsi"/>
                <w:color w:val="000000" w:themeColor="text1"/>
              </w:rPr>
              <w:t xml:space="preserve">Level of preventive practices </w:t>
            </w:r>
          </w:p>
        </w:tc>
        <w:tc>
          <w:tcPr>
            <w:tcW w:w="850" w:type="dxa"/>
          </w:tcPr>
          <w:p w14:paraId="2F5F674F"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AD0116">
              <w:rPr>
                <w:rFonts w:cstheme="minorHAnsi"/>
                <w:color w:val="000000" w:themeColor="text1"/>
              </w:rPr>
              <w:t>f</w:t>
            </w:r>
          </w:p>
        </w:tc>
        <w:tc>
          <w:tcPr>
            <w:tcW w:w="1066" w:type="dxa"/>
          </w:tcPr>
          <w:p w14:paraId="7A0B20C8"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AD0116">
              <w:rPr>
                <w:rFonts w:cstheme="minorHAnsi"/>
                <w:color w:val="000000" w:themeColor="text1"/>
              </w:rPr>
              <w:t>%</w:t>
            </w:r>
          </w:p>
        </w:tc>
        <w:tc>
          <w:tcPr>
            <w:tcW w:w="1127" w:type="dxa"/>
          </w:tcPr>
          <w:p w14:paraId="17F585C1"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AD0116">
              <w:rPr>
                <w:rFonts w:cstheme="minorHAnsi"/>
                <w:color w:val="000000" w:themeColor="text1"/>
              </w:rPr>
              <w:t>Score range</w:t>
            </w:r>
          </w:p>
        </w:tc>
        <w:tc>
          <w:tcPr>
            <w:tcW w:w="1003" w:type="dxa"/>
          </w:tcPr>
          <w:p w14:paraId="41190292"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AD0116">
              <w:rPr>
                <w:rFonts w:cstheme="minorHAnsi"/>
                <w:color w:val="000000" w:themeColor="text1"/>
              </w:rPr>
              <w:t>Median</w:t>
            </w:r>
          </w:p>
        </w:tc>
        <w:tc>
          <w:tcPr>
            <w:tcW w:w="1070" w:type="dxa"/>
          </w:tcPr>
          <w:p w14:paraId="7784837C"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AD0116">
              <w:rPr>
                <w:rFonts w:cstheme="minorHAnsi"/>
                <w:color w:val="000000" w:themeColor="text1"/>
              </w:rPr>
              <w:t>Mean</w:t>
            </w:r>
          </w:p>
        </w:tc>
        <w:tc>
          <w:tcPr>
            <w:tcW w:w="1484" w:type="dxa"/>
          </w:tcPr>
          <w:p w14:paraId="31B53431"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AD0116">
              <w:rPr>
                <w:rFonts w:cstheme="minorHAnsi"/>
                <w:color w:val="000000" w:themeColor="text1"/>
              </w:rPr>
              <w:t>SD</w:t>
            </w:r>
          </w:p>
        </w:tc>
      </w:tr>
      <w:tr w:rsidR="00AD0116" w:rsidRPr="00AD0116" w14:paraId="0EF130C8" w14:textId="77777777" w:rsidTr="00D5090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07" w:type="dxa"/>
          </w:tcPr>
          <w:p w14:paraId="0BAA4369" w14:textId="77777777" w:rsidR="00DE61A6" w:rsidRPr="00AD0116" w:rsidRDefault="00DE61A6" w:rsidP="00AD0116">
            <w:pPr>
              <w:spacing w:line="276" w:lineRule="auto"/>
              <w:rPr>
                <w:rFonts w:cstheme="minorHAnsi"/>
                <w:b w:val="0"/>
                <w:bCs w:val="0"/>
                <w:color w:val="000000" w:themeColor="text1"/>
              </w:rPr>
            </w:pPr>
            <w:r w:rsidRPr="00AD0116">
              <w:rPr>
                <w:rFonts w:cstheme="minorHAnsi"/>
                <w:b w:val="0"/>
                <w:bCs w:val="0"/>
                <w:color w:val="000000" w:themeColor="text1"/>
              </w:rPr>
              <w:t>Poor practice</w:t>
            </w:r>
          </w:p>
        </w:tc>
        <w:tc>
          <w:tcPr>
            <w:tcW w:w="850" w:type="dxa"/>
          </w:tcPr>
          <w:p w14:paraId="1DE8B83D"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94</w:t>
            </w:r>
          </w:p>
        </w:tc>
        <w:tc>
          <w:tcPr>
            <w:tcW w:w="1066" w:type="dxa"/>
          </w:tcPr>
          <w:p w14:paraId="03F0AC45"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49</w:t>
            </w:r>
          </w:p>
        </w:tc>
        <w:tc>
          <w:tcPr>
            <w:tcW w:w="1127" w:type="dxa"/>
            <w:vMerge w:val="restart"/>
          </w:tcPr>
          <w:p w14:paraId="430D77B5"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0-12</w:t>
            </w:r>
          </w:p>
          <w:p w14:paraId="76B62DC5"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12</w:t>
            </w:r>
          </w:p>
        </w:tc>
        <w:tc>
          <w:tcPr>
            <w:tcW w:w="1003" w:type="dxa"/>
            <w:vMerge w:val="restart"/>
          </w:tcPr>
          <w:p w14:paraId="4606E8A9"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12186C3F"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6</w:t>
            </w:r>
          </w:p>
        </w:tc>
        <w:tc>
          <w:tcPr>
            <w:tcW w:w="1070" w:type="dxa"/>
            <w:vMerge w:val="restart"/>
          </w:tcPr>
          <w:p w14:paraId="4DFD5FFD"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0C58421B"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5.20</w:t>
            </w:r>
          </w:p>
        </w:tc>
        <w:tc>
          <w:tcPr>
            <w:tcW w:w="1484" w:type="dxa"/>
            <w:vMerge w:val="restart"/>
          </w:tcPr>
          <w:p w14:paraId="30ECCD71"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07923468"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2.78</w:t>
            </w:r>
          </w:p>
        </w:tc>
      </w:tr>
      <w:tr w:rsidR="00AD0116" w:rsidRPr="00AD0116" w14:paraId="0B88F2CD" w14:textId="77777777" w:rsidTr="001404FA">
        <w:trPr>
          <w:trHeight w:val="175"/>
        </w:trPr>
        <w:tc>
          <w:tcPr>
            <w:cnfStyle w:val="001000000000" w:firstRow="0" w:lastRow="0" w:firstColumn="1" w:lastColumn="0" w:oddVBand="0" w:evenVBand="0" w:oddHBand="0" w:evenHBand="0" w:firstRowFirstColumn="0" w:firstRowLastColumn="0" w:lastRowFirstColumn="0" w:lastRowLastColumn="0"/>
            <w:tcW w:w="3007" w:type="dxa"/>
          </w:tcPr>
          <w:p w14:paraId="55E92892" w14:textId="77777777" w:rsidR="00DE61A6" w:rsidRPr="00AD0116" w:rsidRDefault="00DE61A6" w:rsidP="00AD0116">
            <w:pPr>
              <w:spacing w:line="276" w:lineRule="auto"/>
              <w:rPr>
                <w:rFonts w:cstheme="minorHAnsi"/>
                <w:b w:val="0"/>
                <w:bCs w:val="0"/>
                <w:color w:val="000000" w:themeColor="text1"/>
              </w:rPr>
            </w:pPr>
            <w:r w:rsidRPr="00AD0116">
              <w:rPr>
                <w:rFonts w:cstheme="minorHAnsi"/>
                <w:b w:val="0"/>
                <w:bCs w:val="0"/>
                <w:color w:val="000000" w:themeColor="text1"/>
              </w:rPr>
              <w:t>Fair practice</w:t>
            </w:r>
          </w:p>
        </w:tc>
        <w:tc>
          <w:tcPr>
            <w:tcW w:w="850" w:type="dxa"/>
          </w:tcPr>
          <w:p w14:paraId="6CC6408E"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94</w:t>
            </w:r>
          </w:p>
        </w:tc>
        <w:tc>
          <w:tcPr>
            <w:tcW w:w="1066" w:type="dxa"/>
          </w:tcPr>
          <w:p w14:paraId="0CA7676C"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49</w:t>
            </w:r>
          </w:p>
        </w:tc>
        <w:tc>
          <w:tcPr>
            <w:tcW w:w="1127" w:type="dxa"/>
            <w:vMerge/>
          </w:tcPr>
          <w:p w14:paraId="0D375A00"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c>
          <w:tcPr>
            <w:tcW w:w="1003" w:type="dxa"/>
            <w:vMerge/>
          </w:tcPr>
          <w:p w14:paraId="1F847B95"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c>
          <w:tcPr>
            <w:tcW w:w="1070" w:type="dxa"/>
            <w:vMerge/>
          </w:tcPr>
          <w:p w14:paraId="3885C4D8"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c>
          <w:tcPr>
            <w:tcW w:w="1484" w:type="dxa"/>
            <w:vMerge/>
          </w:tcPr>
          <w:p w14:paraId="7EDD5168"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r w:rsidR="00AD0116" w:rsidRPr="00AD0116" w14:paraId="14040D81" w14:textId="77777777" w:rsidTr="001404FA">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7" w:type="dxa"/>
          </w:tcPr>
          <w:p w14:paraId="1FD76B3B" w14:textId="77777777" w:rsidR="00DE61A6" w:rsidRPr="00AD0116" w:rsidRDefault="00DE61A6" w:rsidP="00AD0116">
            <w:pPr>
              <w:spacing w:line="276" w:lineRule="auto"/>
              <w:rPr>
                <w:rFonts w:cstheme="minorHAnsi"/>
                <w:b w:val="0"/>
                <w:bCs w:val="0"/>
                <w:color w:val="000000" w:themeColor="text1"/>
              </w:rPr>
            </w:pPr>
            <w:r w:rsidRPr="00AD0116">
              <w:rPr>
                <w:rFonts w:cstheme="minorHAnsi"/>
                <w:b w:val="0"/>
                <w:bCs w:val="0"/>
                <w:color w:val="000000" w:themeColor="text1"/>
              </w:rPr>
              <w:t>Good practice</w:t>
            </w:r>
          </w:p>
        </w:tc>
        <w:tc>
          <w:tcPr>
            <w:tcW w:w="850" w:type="dxa"/>
          </w:tcPr>
          <w:p w14:paraId="26397839" w14:textId="77777777"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r w:rsidRPr="00AD0116">
              <w:rPr>
                <w:rFonts w:cstheme="minorHAnsi"/>
                <w:b w:val="0"/>
                <w:bCs w:val="0"/>
                <w:color w:val="000000" w:themeColor="text1"/>
              </w:rPr>
              <w:t>4</w:t>
            </w:r>
          </w:p>
        </w:tc>
        <w:tc>
          <w:tcPr>
            <w:tcW w:w="1066" w:type="dxa"/>
          </w:tcPr>
          <w:p w14:paraId="05C5E89E" w14:textId="77777777"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r w:rsidRPr="00AD0116">
              <w:rPr>
                <w:rFonts w:cstheme="minorHAnsi"/>
                <w:b w:val="0"/>
                <w:bCs w:val="0"/>
                <w:color w:val="000000" w:themeColor="text1"/>
              </w:rPr>
              <w:t>2</w:t>
            </w:r>
          </w:p>
        </w:tc>
        <w:tc>
          <w:tcPr>
            <w:tcW w:w="1127" w:type="dxa"/>
            <w:vMerge/>
          </w:tcPr>
          <w:p w14:paraId="1479BAEF" w14:textId="77777777"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color w:val="000000" w:themeColor="text1"/>
              </w:rPr>
            </w:pPr>
          </w:p>
        </w:tc>
        <w:tc>
          <w:tcPr>
            <w:tcW w:w="1003" w:type="dxa"/>
            <w:vMerge/>
          </w:tcPr>
          <w:p w14:paraId="1D052BE2" w14:textId="77777777"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color w:val="000000" w:themeColor="text1"/>
              </w:rPr>
            </w:pPr>
          </w:p>
        </w:tc>
        <w:tc>
          <w:tcPr>
            <w:tcW w:w="1070" w:type="dxa"/>
            <w:vMerge/>
          </w:tcPr>
          <w:p w14:paraId="6A713465" w14:textId="77777777"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color w:val="000000" w:themeColor="text1"/>
              </w:rPr>
            </w:pPr>
          </w:p>
        </w:tc>
        <w:tc>
          <w:tcPr>
            <w:tcW w:w="1484" w:type="dxa"/>
            <w:vMerge/>
          </w:tcPr>
          <w:p w14:paraId="13F408D8" w14:textId="77777777"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color w:val="000000" w:themeColor="text1"/>
              </w:rPr>
            </w:pPr>
          </w:p>
        </w:tc>
      </w:tr>
    </w:tbl>
    <w:p w14:paraId="7A86C8D4" w14:textId="77777777" w:rsidR="00DE61A6" w:rsidRPr="00AD0116" w:rsidRDefault="00DE61A6" w:rsidP="00AD0116">
      <w:pPr>
        <w:spacing w:after="0" w:line="276" w:lineRule="auto"/>
        <w:jc w:val="center"/>
        <w:rPr>
          <w:rFonts w:cstheme="minorHAnsi"/>
          <w:b/>
          <w:bCs/>
          <w:color w:val="000000" w:themeColor="text1"/>
        </w:rPr>
      </w:pPr>
    </w:p>
    <w:p w14:paraId="1DAAA423" w14:textId="3D2CF25F" w:rsidR="00F51741" w:rsidRPr="00AD0116" w:rsidRDefault="00F51741" w:rsidP="00AD0116">
      <w:pPr>
        <w:tabs>
          <w:tab w:val="left" w:pos="1985"/>
        </w:tabs>
        <w:spacing w:after="0" w:line="276" w:lineRule="auto"/>
        <w:jc w:val="both"/>
        <w:rPr>
          <w:rFonts w:eastAsia="Times New Roman" w:cstheme="minorHAnsi"/>
          <w:color w:val="000000" w:themeColor="text1"/>
          <w:kern w:val="0"/>
          <w:lang w:eastAsia="en-IN"/>
          <w14:ligatures w14:val="none"/>
        </w:rPr>
      </w:pPr>
      <w:r w:rsidRPr="00AD0116">
        <w:rPr>
          <w:rFonts w:eastAsia="Times New Roman" w:cstheme="minorHAnsi"/>
          <w:color w:val="000000" w:themeColor="text1"/>
          <w:kern w:val="0"/>
          <w:lang w:eastAsia="en-IN"/>
          <w14:ligatures w14:val="none"/>
        </w:rPr>
        <w:t xml:space="preserve">Most participants exhibited either poor (49%) or fair (49%) preventive practices, indicating inconsistent adherence to recommended STI preventive </w:t>
      </w:r>
      <w:proofErr w:type="spellStart"/>
      <w:r w:rsidRPr="00AD0116">
        <w:rPr>
          <w:rFonts w:eastAsia="Times New Roman" w:cstheme="minorHAnsi"/>
          <w:color w:val="000000" w:themeColor="text1"/>
          <w:kern w:val="0"/>
          <w:lang w:eastAsia="en-IN"/>
          <w14:ligatures w14:val="none"/>
        </w:rPr>
        <w:t>behaviors</w:t>
      </w:r>
      <w:proofErr w:type="spellEnd"/>
      <w:r w:rsidRPr="00AD0116">
        <w:rPr>
          <w:rFonts w:eastAsia="Times New Roman" w:cstheme="minorHAnsi"/>
          <w:color w:val="000000" w:themeColor="text1"/>
          <w:kern w:val="0"/>
          <w:lang w:eastAsia="en-IN"/>
          <w14:ligatures w14:val="none"/>
        </w:rPr>
        <w:t xml:space="preserve">. Only 2% demonstrated good preventive practices, highlighting a critical need for targeted educational interventions. The mean preventive practice score was 5.20 (SD = 2.78), with a median of 6, reflecting generally inadequate </w:t>
      </w:r>
      <w:proofErr w:type="spellStart"/>
      <w:r w:rsidRPr="00AD0116">
        <w:rPr>
          <w:rFonts w:eastAsia="Times New Roman" w:cstheme="minorHAnsi"/>
          <w:color w:val="000000" w:themeColor="text1"/>
          <w:kern w:val="0"/>
          <w:lang w:eastAsia="en-IN"/>
          <w14:ligatures w14:val="none"/>
        </w:rPr>
        <w:t>behaviors</w:t>
      </w:r>
      <w:proofErr w:type="spellEnd"/>
      <w:r w:rsidRPr="00AD0116">
        <w:rPr>
          <w:rFonts w:eastAsia="Times New Roman" w:cstheme="minorHAnsi"/>
          <w:color w:val="000000" w:themeColor="text1"/>
          <w:kern w:val="0"/>
          <w:lang w:eastAsia="en-IN"/>
          <w14:ligatures w14:val="none"/>
        </w:rPr>
        <w:t xml:space="preserve"> for effective STI prevention. These poor practice levels may be linked to limited practical knowledge on prevention methods, cultural barriers, prevailing myths, or a perceived sense of low personal risk</w:t>
      </w:r>
      <w:r w:rsidR="008F6B52" w:rsidRPr="00AD0116">
        <w:rPr>
          <w:rFonts w:eastAsia="Times New Roman" w:cstheme="minorHAnsi"/>
          <w:color w:val="000000" w:themeColor="text1"/>
          <w:kern w:val="0"/>
          <w:lang w:eastAsia="en-IN"/>
          <w14:ligatures w14:val="none"/>
        </w:rPr>
        <w:t xml:space="preserve"> [Table 4]</w:t>
      </w:r>
      <w:r w:rsidRPr="00AD0116">
        <w:rPr>
          <w:rFonts w:eastAsia="Times New Roman" w:cstheme="minorHAnsi"/>
          <w:color w:val="000000" w:themeColor="text1"/>
          <w:kern w:val="0"/>
          <w:lang w:eastAsia="en-IN"/>
          <w14:ligatures w14:val="none"/>
        </w:rPr>
        <w:t>.</w:t>
      </w:r>
    </w:p>
    <w:p w14:paraId="3D76ED42" w14:textId="77777777" w:rsidR="00F51741" w:rsidRPr="00AD0116" w:rsidRDefault="00F51741" w:rsidP="00AD0116">
      <w:pPr>
        <w:tabs>
          <w:tab w:val="left" w:pos="1985"/>
        </w:tabs>
        <w:spacing w:after="0" w:line="276" w:lineRule="auto"/>
        <w:jc w:val="both"/>
        <w:rPr>
          <w:rFonts w:eastAsia="Times New Roman" w:cstheme="minorHAnsi"/>
          <w:color w:val="000000" w:themeColor="text1"/>
          <w:kern w:val="0"/>
          <w:lang w:eastAsia="en-IN"/>
          <w14:ligatures w14:val="none"/>
        </w:rPr>
      </w:pPr>
    </w:p>
    <w:p w14:paraId="04E19C9B" w14:textId="36678C1C" w:rsidR="00DE61A6" w:rsidRPr="00AD0116" w:rsidRDefault="00DE61A6" w:rsidP="00AD0116">
      <w:pPr>
        <w:tabs>
          <w:tab w:val="left" w:pos="1985"/>
        </w:tabs>
        <w:spacing w:after="0" w:line="276" w:lineRule="auto"/>
        <w:jc w:val="both"/>
        <w:rPr>
          <w:rFonts w:cstheme="minorHAnsi"/>
          <w:b/>
          <w:color w:val="000000" w:themeColor="text1"/>
        </w:rPr>
      </w:pPr>
      <w:r w:rsidRPr="00AD0116">
        <w:rPr>
          <w:rFonts w:cstheme="minorHAnsi"/>
          <w:b/>
          <w:color w:val="000000" w:themeColor="text1"/>
        </w:rPr>
        <w:t>Table 5: Correlation between knowledge and attitude towards Sexually Transmitted Infections (STIs) among College Students</w:t>
      </w:r>
    </w:p>
    <w:p w14:paraId="5E41907E" w14:textId="77777777" w:rsidR="00DE61A6" w:rsidRPr="00AD0116" w:rsidRDefault="00DE61A6" w:rsidP="00AD0116">
      <w:pPr>
        <w:pStyle w:val="Default"/>
        <w:spacing w:line="276" w:lineRule="auto"/>
        <w:jc w:val="right"/>
        <w:rPr>
          <w:rFonts w:asciiTheme="minorHAnsi" w:hAnsiTheme="minorHAnsi" w:cstheme="minorHAnsi"/>
          <w:color w:val="000000" w:themeColor="text1"/>
          <w:sz w:val="22"/>
          <w:szCs w:val="22"/>
        </w:rPr>
      </w:pP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r>
      <w:r w:rsidRPr="00AD0116">
        <w:rPr>
          <w:rFonts w:asciiTheme="minorHAnsi" w:hAnsiTheme="minorHAnsi" w:cstheme="minorHAnsi"/>
          <w:b/>
          <w:bCs/>
          <w:color w:val="000000" w:themeColor="text1"/>
          <w:sz w:val="22"/>
          <w:szCs w:val="22"/>
        </w:rPr>
        <w:tab/>
        <w:t xml:space="preserve">                                                       N=192</w:t>
      </w:r>
    </w:p>
    <w:tbl>
      <w:tblPr>
        <w:tblStyle w:val="PlainTable2"/>
        <w:tblW w:w="9178" w:type="dxa"/>
        <w:jc w:val="center"/>
        <w:tblLook w:val="04A0" w:firstRow="1" w:lastRow="0" w:firstColumn="1" w:lastColumn="0" w:noHBand="0" w:noVBand="1"/>
      </w:tblPr>
      <w:tblGrid>
        <w:gridCol w:w="1874"/>
        <w:gridCol w:w="1315"/>
        <w:gridCol w:w="1315"/>
        <w:gridCol w:w="1415"/>
        <w:gridCol w:w="3259"/>
      </w:tblGrid>
      <w:tr w:rsidR="00AD0116" w:rsidRPr="00AD0116" w14:paraId="208E5530" w14:textId="77777777" w:rsidTr="00AB6D4D">
        <w:trPr>
          <w:cnfStyle w:val="100000000000" w:firstRow="1" w:lastRow="0" w:firstColumn="0" w:lastColumn="0" w:oddVBand="0" w:evenVBand="0" w:oddHBand="0" w:evenHBand="0" w:firstRowFirstColumn="0" w:firstRowLastColumn="0" w:lastRowFirstColumn="0" w:lastRowLastColumn="0"/>
          <w:trHeight w:val="747"/>
          <w:jc w:val="center"/>
        </w:trPr>
        <w:tc>
          <w:tcPr>
            <w:cnfStyle w:val="001000000000" w:firstRow="0" w:lastRow="0" w:firstColumn="1" w:lastColumn="0" w:oddVBand="0" w:evenVBand="0" w:oddHBand="0" w:evenHBand="0" w:firstRowFirstColumn="0" w:firstRowLastColumn="0" w:lastRowFirstColumn="0" w:lastRowLastColumn="0"/>
            <w:tcW w:w="1874" w:type="dxa"/>
          </w:tcPr>
          <w:p w14:paraId="145115BB"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shd w:val="clear" w:color="auto" w:fill="FFFFFF"/>
                <w:lang w:val="en-IN"/>
              </w:rPr>
              <w:t>Variables</w:t>
            </w:r>
          </w:p>
        </w:tc>
        <w:tc>
          <w:tcPr>
            <w:tcW w:w="1315" w:type="dxa"/>
          </w:tcPr>
          <w:p w14:paraId="05BB6640"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Mean</w:t>
            </w:r>
          </w:p>
        </w:tc>
        <w:tc>
          <w:tcPr>
            <w:tcW w:w="1315" w:type="dxa"/>
          </w:tcPr>
          <w:p w14:paraId="014E6B63"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SD</w:t>
            </w:r>
          </w:p>
        </w:tc>
        <w:tc>
          <w:tcPr>
            <w:tcW w:w="1415" w:type="dxa"/>
          </w:tcPr>
          <w:p w14:paraId="387A690A"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AD0116">
              <w:rPr>
                <w:rFonts w:cstheme="minorHAnsi"/>
                <w:color w:val="000000" w:themeColor="text1"/>
              </w:rPr>
              <w:t>r value</w:t>
            </w:r>
          </w:p>
        </w:tc>
        <w:tc>
          <w:tcPr>
            <w:tcW w:w="3259" w:type="dxa"/>
          </w:tcPr>
          <w:p w14:paraId="4B1C87B0"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AD0116">
              <w:rPr>
                <w:rFonts w:cstheme="minorHAnsi"/>
                <w:color w:val="000000" w:themeColor="text1"/>
              </w:rPr>
              <w:t xml:space="preserve">P value </w:t>
            </w:r>
          </w:p>
        </w:tc>
      </w:tr>
      <w:tr w:rsidR="00AD0116" w:rsidRPr="00AD0116" w14:paraId="7A061B43" w14:textId="77777777" w:rsidTr="00AB6D4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74" w:type="dxa"/>
          </w:tcPr>
          <w:p w14:paraId="0F66DBA5" w14:textId="77777777" w:rsidR="00DE61A6" w:rsidRPr="00865399" w:rsidRDefault="00DE61A6" w:rsidP="00AD0116">
            <w:pPr>
              <w:spacing w:line="276" w:lineRule="auto"/>
              <w:rPr>
                <w:rFonts w:cstheme="minorHAnsi"/>
                <w:b w:val="0"/>
                <w:bCs w:val="0"/>
                <w:color w:val="000000" w:themeColor="text1"/>
                <w:lang w:val="en-IN"/>
              </w:rPr>
            </w:pPr>
            <w:r w:rsidRPr="00865399">
              <w:rPr>
                <w:rFonts w:cstheme="minorHAnsi"/>
                <w:b w:val="0"/>
                <w:bCs w:val="0"/>
                <w:color w:val="000000" w:themeColor="text1"/>
                <w:lang w:val="en-IN"/>
              </w:rPr>
              <w:t xml:space="preserve">Knowledge </w:t>
            </w:r>
          </w:p>
        </w:tc>
        <w:tc>
          <w:tcPr>
            <w:tcW w:w="1315" w:type="dxa"/>
          </w:tcPr>
          <w:p w14:paraId="78050E2C"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7.14</w:t>
            </w:r>
          </w:p>
        </w:tc>
        <w:tc>
          <w:tcPr>
            <w:tcW w:w="1315" w:type="dxa"/>
          </w:tcPr>
          <w:p w14:paraId="74FDA7E4"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1.94</w:t>
            </w:r>
          </w:p>
        </w:tc>
        <w:tc>
          <w:tcPr>
            <w:tcW w:w="1415" w:type="dxa"/>
          </w:tcPr>
          <w:p w14:paraId="421EC40C"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 xml:space="preserve"> 0.213</w:t>
            </w:r>
          </w:p>
        </w:tc>
        <w:tc>
          <w:tcPr>
            <w:tcW w:w="3259" w:type="dxa"/>
          </w:tcPr>
          <w:p w14:paraId="3153E1B1"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vertAlign w:val="superscript"/>
              </w:rPr>
            </w:pPr>
            <w:r w:rsidRPr="00AD0116">
              <w:rPr>
                <w:rFonts w:cstheme="minorHAnsi"/>
                <w:color w:val="000000" w:themeColor="text1"/>
              </w:rPr>
              <w:t>0.003*</w:t>
            </w:r>
          </w:p>
        </w:tc>
      </w:tr>
      <w:tr w:rsidR="00AD0116" w:rsidRPr="00AD0116" w14:paraId="63673444" w14:textId="77777777" w:rsidTr="00AB6D4D">
        <w:trPr>
          <w:trHeight w:val="288"/>
          <w:jc w:val="center"/>
        </w:trPr>
        <w:tc>
          <w:tcPr>
            <w:cnfStyle w:val="001000000000" w:firstRow="0" w:lastRow="0" w:firstColumn="1" w:lastColumn="0" w:oddVBand="0" w:evenVBand="0" w:oddHBand="0" w:evenHBand="0" w:firstRowFirstColumn="0" w:firstRowLastColumn="0" w:lastRowFirstColumn="0" w:lastRowLastColumn="0"/>
            <w:tcW w:w="1874" w:type="dxa"/>
          </w:tcPr>
          <w:p w14:paraId="5750E2FB" w14:textId="77777777" w:rsidR="00DE61A6" w:rsidRPr="00865399" w:rsidRDefault="00DE61A6" w:rsidP="00AD0116">
            <w:pPr>
              <w:spacing w:line="276" w:lineRule="auto"/>
              <w:rPr>
                <w:rFonts w:cstheme="minorHAnsi"/>
                <w:b w:val="0"/>
                <w:bCs w:val="0"/>
                <w:color w:val="000000" w:themeColor="text1"/>
                <w:lang w:val="en-IN"/>
              </w:rPr>
            </w:pPr>
            <w:r w:rsidRPr="00865399">
              <w:rPr>
                <w:rFonts w:cstheme="minorHAnsi"/>
                <w:b w:val="0"/>
                <w:bCs w:val="0"/>
                <w:color w:val="000000" w:themeColor="text1"/>
                <w:lang w:val="en-IN"/>
              </w:rPr>
              <w:t xml:space="preserve">Attitude  </w:t>
            </w:r>
          </w:p>
        </w:tc>
        <w:tc>
          <w:tcPr>
            <w:tcW w:w="1315" w:type="dxa"/>
          </w:tcPr>
          <w:p w14:paraId="5520AAF2"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44.26</w:t>
            </w:r>
          </w:p>
        </w:tc>
        <w:tc>
          <w:tcPr>
            <w:tcW w:w="1315" w:type="dxa"/>
          </w:tcPr>
          <w:p w14:paraId="614AF81A"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7.06</w:t>
            </w:r>
          </w:p>
        </w:tc>
        <w:tc>
          <w:tcPr>
            <w:tcW w:w="1415" w:type="dxa"/>
          </w:tcPr>
          <w:p w14:paraId="141CF6C2"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c>
          <w:tcPr>
            <w:tcW w:w="3259" w:type="dxa"/>
          </w:tcPr>
          <w:p w14:paraId="363326E0"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094D0D31" w14:textId="77777777" w:rsidR="00DE61A6" w:rsidRPr="00AD0116" w:rsidRDefault="00DE61A6" w:rsidP="00AD0116">
      <w:pPr>
        <w:spacing w:after="0" w:line="276" w:lineRule="auto"/>
        <w:rPr>
          <w:rFonts w:cstheme="minorHAnsi"/>
          <w:bCs/>
          <w:color w:val="000000" w:themeColor="text1"/>
        </w:rPr>
      </w:pPr>
      <w:r w:rsidRPr="00AD0116">
        <w:rPr>
          <w:rFonts w:cstheme="minorHAnsi"/>
          <w:bCs/>
          <w:color w:val="000000" w:themeColor="text1"/>
        </w:rPr>
        <w:t xml:space="preserve">    Ns – </w:t>
      </w:r>
      <w:proofErr w:type="gramStart"/>
      <w:r w:rsidRPr="00AD0116">
        <w:rPr>
          <w:rFonts w:cstheme="minorHAnsi"/>
          <w:bCs/>
          <w:color w:val="000000" w:themeColor="text1"/>
        </w:rPr>
        <w:t>Non significant</w:t>
      </w:r>
      <w:proofErr w:type="gramEnd"/>
      <w:r w:rsidRPr="00AD0116">
        <w:rPr>
          <w:rFonts w:cstheme="minorHAnsi"/>
          <w:bCs/>
          <w:color w:val="000000" w:themeColor="text1"/>
        </w:rPr>
        <w:t xml:space="preserve">. </w:t>
      </w:r>
    </w:p>
    <w:p w14:paraId="6BFFC745" w14:textId="77777777" w:rsidR="00DE61A6" w:rsidRPr="00AD0116" w:rsidRDefault="00DE61A6" w:rsidP="00AD0116">
      <w:pPr>
        <w:spacing w:after="0" w:line="276" w:lineRule="auto"/>
        <w:jc w:val="both"/>
        <w:rPr>
          <w:rFonts w:cstheme="minorHAnsi"/>
          <w:bCs/>
          <w:color w:val="000000" w:themeColor="text1"/>
        </w:rPr>
      </w:pPr>
    </w:p>
    <w:p w14:paraId="04879F66" w14:textId="5C12A8ED" w:rsidR="00DE61A6" w:rsidRPr="00AD0116" w:rsidRDefault="00F51741" w:rsidP="00AD0116">
      <w:pPr>
        <w:spacing w:after="0" w:line="276" w:lineRule="auto"/>
        <w:jc w:val="both"/>
        <w:rPr>
          <w:rFonts w:cstheme="minorHAnsi"/>
          <w:color w:val="000000" w:themeColor="text1"/>
        </w:rPr>
      </w:pPr>
      <w:r w:rsidRPr="00AD0116">
        <w:rPr>
          <w:rFonts w:cstheme="minorHAnsi"/>
          <w:bCs/>
          <w:color w:val="000000" w:themeColor="text1"/>
        </w:rPr>
        <w:t>Table 5 shows that the correlation between knowledge and attitude toward STIs, tested using Karl Pearson’s correlation, revealed a weak but statistically significant positive relationship (r = 0.213, p = 0.003). This indicates that higher knowledge levels are only mildly associated with more positive attitudes</w:t>
      </w:r>
      <w:r w:rsidR="00DE61A6" w:rsidRPr="00AD0116">
        <w:rPr>
          <w:rFonts w:cstheme="minorHAnsi"/>
          <w:color w:val="000000" w:themeColor="text1"/>
        </w:rPr>
        <w:t>.</w:t>
      </w:r>
    </w:p>
    <w:p w14:paraId="1557D62B" w14:textId="77777777" w:rsidR="00F51741" w:rsidRPr="00AD0116" w:rsidRDefault="00F51741" w:rsidP="00AD0116">
      <w:pPr>
        <w:spacing w:after="0" w:line="276" w:lineRule="auto"/>
        <w:jc w:val="both"/>
        <w:rPr>
          <w:rFonts w:cstheme="minorHAnsi"/>
          <w:bCs/>
          <w:color w:val="000000" w:themeColor="text1"/>
          <w:shd w:val="clear" w:color="auto" w:fill="FFFFFF"/>
        </w:rPr>
      </w:pPr>
    </w:p>
    <w:p w14:paraId="61FAD0D6" w14:textId="77777777" w:rsidR="00DE61A6" w:rsidRPr="00AD0116" w:rsidRDefault="00DE61A6" w:rsidP="00AD0116">
      <w:pPr>
        <w:spacing w:after="0" w:line="276" w:lineRule="auto"/>
        <w:jc w:val="center"/>
        <w:rPr>
          <w:rFonts w:cstheme="minorHAnsi"/>
          <w:b/>
          <w:color w:val="000000" w:themeColor="text1"/>
        </w:rPr>
      </w:pPr>
      <w:r w:rsidRPr="00AD0116">
        <w:rPr>
          <w:rFonts w:cstheme="minorHAnsi"/>
          <w:b/>
          <w:noProof/>
          <w:color w:val="000000" w:themeColor="text1"/>
        </w:rPr>
        <w:lastRenderedPageBreak/>
        <w:drawing>
          <wp:inline distT="0" distB="0" distL="0" distR="0" wp14:anchorId="1C4FD1FA" wp14:editId="649ED1C7">
            <wp:extent cx="4997838" cy="3018048"/>
            <wp:effectExtent l="0" t="0" r="0" b="0"/>
            <wp:docPr id="20464096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4472" cy="3028093"/>
                    </a:xfrm>
                    <a:prstGeom prst="rect">
                      <a:avLst/>
                    </a:prstGeom>
                    <a:noFill/>
                    <a:ln>
                      <a:noFill/>
                    </a:ln>
                  </pic:spPr>
                </pic:pic>
              </a:graphicData>
            </a:graphic>
          </wp:inline>
        </w:drawing>
      </w:r>
    </w:p>
    <w:p w14:paraId="6E2A9834" w14:textId="77777777" w:rsidR="00DE61A6" w:rsidRPr="00AD0116" w:rsidRDefault="00DE61A6" w:rsidP="00AD0116">
      <w:pPr>
        <w:spacing w:after="0" w:line="276" w:lineRule="auto"/>
        <w:rPr>
          <w:rFonts w:cstheme="minorHAnsi"/>
          <w:bCs/>
          <w:color w:val="000000" w:themeColor="text1"/>
        </w:rPr>
      </w:pPr>
    </w:p>
    <w:p w14:paraId="731DE365" w14:textId="3BB98A6E" w:rsidR="00DE61A6" w:rsidRPr="00AD0116" w:rsidRDefault="00DE61A6" w:rsidP="00AD0116">
      <w:pPr>
        <w:spacing w:after="0" w:line="276" w:lineRule="auto"/>
        <w:rPr>
          <w:rFonts w:cstheme="minorHAnsi"/>
          <w:bCs/>
          <w:color w:val="000000" w:themeColor="text1"/>
        </w:rPr>
      </w:pPr>
      <w:r w:rsidRPr="00AD0116">
        <w:rPr>
          <w:rFonts w:cstheme="minorHAnsi"/>
          <w:bCs/>
          <w:color w:val="000000" w:themeColor="text1"/>
        </w:rPr>
        <w:t xml:space="preserve">Figure </w:t>
      </w:r>
      <w:r w:rsidR="008F6B52" w:rsidRPr="00AD0116">
        <w:rPr>
          <w:rFonts w:cstheme="minorHAnsi"/>
          <w:bCs/>
          <w:color w:val="000000" w:themeColor="text1"/>
        </w:rPr>
        <w:t>4</w:t>
      </w:r>
      <w:r w:rsidRPr="00AD0116">
        <w:rPr>
          <w:rFonts w:cstheme="minorHAnsi"/>
          <w:bCs/>
          <w:color w:val="000000" w:themeColor="text1"/>
        </w:rPr>
        <w:t>: Correlation between knowledge and attitude towards Sexually Transmitted Infections (STIs) among College Students</w:t>
      </w:r>
    </w:p>
    <w:p w14:paraId="5CA99818" w14:textId="77777777" w:rsidR="00DE61A6" w:rsidRPr="00AD0116" w:rsidRDefault="00DE61A6" w:rsidP="00AD0116">
      <w:pPr>
        <w:spacing w:after="0" w:line="276" w:lineRule="auto"/>
        <w:jc w:val="center"/>
        <w:rPr>
          <w:rFonts w:cstheme="minorHAnsi"/>
          <w:bCs/>
          <w:color w:val="000000" w:themeColor="text1"/>
        </w:rPr>
      </w:pPr>
    </w:p>
    <w:p w14:paraId="0BA0FF68" w14:textId="58008344" w:rsidR="00DE61A6" w:rsidRPr="00AD0116" w:rsidRDefault="00DE61A6" w:rsidP="00AD0116">
      <w:pPr>
        <w:spacing w:after="0" w:line="276" w:lineRule="auto"/>
        <w:jc w:val="both"/>
        <w:rPr>
          <w:rFonts w:cstheme="minorHAnsi"/>
          <w:b/>
          <w:color w:val="000000" w:themeColor="text1"/>
        </w:rPr>
      </w:pPr>
      <w:r w:rsidRPr="00AD0116">
        <w:rPr>
          <w:rFonts w:cstheme="minorHAnsi"/>
          <w:b/>
          <w:color w:val="000000" w:themeColor="text1"/>
        </w:rPr>
        <w:t xml:space="preserve">Table 6:  Association between knowledge regarding Sexually Transmitted Infections (STIs) among College Students with socio demographic variables </w:t>
      </w:r>
    </w:p>
    <w:p w14:paraId="3A72FF37" w14:textId="77777777" w:rsidR="00DE61A6" w:rsidRPr="00AD0116" w:rsidRDefault="00DE61A6" w:rsidP="00AD0116">
      <w:pPr>
        <w:spacing w:after="0" w:line="276" w:lineRule="auto"/>
        <w:jc w:val="right"/>
        <w:rPr>
          <w:rFonts w:cstheme="minorHAnsi"/>
          <w:b/>
          <w:color w:val="000000" w:themeColor="text1"/>
        </w:rPr>
      </w:pPr>
      <w:r w:rsidRPr="00AD0116">
        <w:rPr>
          <w:rFonts w:cstheme="minorHAnsi"/>
          <w:b/>
          <w:color w:val="000000" w:themeColor="text1"/>
        </w:rPr>
        <w:tab/>
      </w:r>
      <w:r w:rsidRPr="00AD0116">
        <w:rPr>
          <w:rFonts w:cstheme="minorHAnsi"/>
          <w:b/>
          <w:color w:val="000000" w:themeColor="text1"/>
        </w:rPr>
        <w:tab/>
      </w:r>
      <w:r w:rsidRPr="00AD0116">
        <w:rPr>
          <w:rFonts w:cstheme="minorHAnsi"/>
          <w:b/>
          <w:color w:val="000000" w:themeColor="text1"/>
        </w:rPr>
        <w:tab/>
      </w:r>
      <w:r w:rsidRPr="00AD0116">
        <w:rPr>
          <w:rFonts w:cstheme="minorHAnsi"/>
          <w:b/>
          <w:color w:val="000000" w:themeColor="text1"/>
        </w:rPr>
        <w:tab/>
      </w:r>
      <w:r w:rsidRPr="00AD0116">
        <w:rPr>
          <w:rFonts w:cstheme="minorHAnsi"/>
          <w:b/>
          <w:color w:val="000000" w:themeColor="text1"/>
        </w:rPr>
        <w:tab/>
      </w:r>
      <w:r w:rsidRPr="00AD0116">
        <w:rPr>
          <w:rFonts w:cstheme="minorHAnsi"/>
          <w:b/>
          <w:color w:val="000000" w:themeColor="text1"/>
        </w:rPr>
        <w:tab/>
      </w:r>
      <w:r w:rsidRPr="00AD0116">
        <w:rPr>
          <w:rFonts w:cstheme="minorHAnsi"/>
          <w:b/>
          <w:color w:val="000000" w:themeColor="text1"/>
        </w:rPr>
        <w:tab/>
      </w:r>
      <w:r w:rsidRPr="00AD0116">
        <w:rPr>
          <w:rFonts w:cstheme="minorHAnsi"/>
          <w:b/>
          <w:color w:val="000000" w:themeColor="text1"/>
        </w:rPr>
        <w:tab/>
      </w:r>
      <w:r w:rsidRPr="00AD0116">
        <w:rPr>
          <w:rFonts w:cstheme="minorHAnsi"/>
          <w:b/>
          <w:color w:val="000000" w:themeColor="text1"/>
        </w:rPr>
        <w:tab/>
        <w:t>N=192</w:t>
      </w:r>
    </w:p>
    <w:tbl>
      <w:tblPr>
        <w:tblStyle w:val="PlainTable2"/>
        <w:tblW w:w="9196" w:type="dxa"/>
        <w:tblLook w:val="04E0" w:firstRow="1" w:lastRow="1" w:firstColumn="1" w:lastColumn="0" w:noHBand="0" w:noVBand="1"/>
      </w:tblPr>
      <w:tblGrid>
        <w:gridCol w:w="598"/>
        <w:gridCol w:w="2371"/>
        <w:gridCol w:w="1314"/>
        <w:gridCol w:w="1160"/>
        <w:gridCol w:w="1148"/>
        <w:gridCol w:w="1261"/>
        <w:gridCol w:w="410"/>
        <w:gridCol w:w="934"/>
      </w:tblGrid>
      <w:tr w:rsidR="00AD0116" w:rsidRPr="00AD0116" w14:paraId="4AB08EAC" w14:textId="77777777" w:rsidTr="00F51741">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598" w:type="dxa"/>
            <w:vMerge w:val="restart"/>
          </w:tcPr>
          <w:p w14:paraId="68B5B0ED" w14:textId="77777777" w:rsidR="00DE61A6" w:rsidRPr="00AD0116" w:rsidRDefault="00DE61A6" w:rsidP="00AD0116">
            <w:pPr>
              <w:spacing w:line="276" w:lineRule="auto"/>
              <w:jc w:val="center"/>
              <w:rPr>
                <w:rFonts w:cstheme="minorHAnsi"/>
                <w:b w:val="0"/>
                <w:color w:val="000000" w:themeColor="text1"/>
              </w:rPr>
            </w:pPr>
            <w:r w:rsidRPr="00AD0116">
              <w:rPr>
                <w:rFonts w:cstheme="minorHAnsi"/>
                <w:color w:val="000000" w:themeColor="text1"/>
              </w:rPr>
              <w:t xml:space="preserve">S. </w:t>
            </w:r>
          </w:p>
          <w:p w14:paraId="1D516D09" w14:textId="77777777" w:rsidR="00DE61A6" w:rsidRPr="00AD0116" w:rsidRDefault="00DE61A6" w:rsidP="00AD0116">
            <w:pPr>
              <w:spacing w:line="276" w:lineRule="auto"/>
              <w:jc w:val="center"/>
              <w:rPr>
                <w:rFonts w:cstheme="minorHAnsi"/>
                <w:b w:val="0"/>
                <w:color w:val="000000" w:themeColor="text1"/>
              </w:rPr>
            </w:pPr>
            <w:r w:rsidRPr="00AD0116">
              <w:rPr>
                <w:rFonts w:cstheme="minorHAnsi"/>
                <w:color w:val="000000" w:themeColor="text1"/>
              </w:rPr>
              <w:t>No</w:t>
            </w:r>
          </w:p>
        </w:tc>
        <w:tc>
          <w:tcPr>
            <w:tcW w:w="2371" w:type="dxa"/>
            <w:vMerge w:val="restart"/>
          </w:tcPr>
          <w:p w14:paraId="57D0AC30"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AD0116">
              <w:rPr>
                <w:rFonts w:cstheme="minorHAnsi"/>
                <w:color w:val="000000" w:themeColor="text1"/>
              </w:rPr>
              <w:t>Demographic Variables</w:t>
            </w:r>
          </w:p>
        </w:tc>
        <w:tc>
          <w:tcPr>
            <w:tcW w:w="3622" w:type="dxa"/>
            <w:gridSpan w:val="3"/>
          </w:tcPr>
          <w:p w14:paraId="7B6A96EF"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sidRPr="00AD0116">
              <w:rPr>
                <w:rFonts w:cstheme="minorHAnsi"/>
                <w:color w:val="000000" w:themeColor="text1"/>
              </w:rPr>
              <w:t xml:space="preserve">Knowledge </w:t>
            </w:r>
          </w:p>
        </w:tc>
        <w:tc>
          <w:tcPr>
            <w:tcW w:w="1261" w:type="dxa"/>
            <w:vMerge w:val="restart"/>
          </w:tcPr>
          <w:p w14:paraId="432D4570"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lang w:val="en-IN" w:eastAsia="en-IN"/>
              </w:rPr>
            </w:pPr>
            <w:r w:rsidRPr="00AD0116">
              <w:rPr>
                <w:rFonts w:cstheme="minorHAnsi"/>
                <w:color w:val="000000" w:themeColor="text1"/>
              </w:rPr>
              <w:t>Fishers</w:t>
            </w:r>
            <w:r w:rsidRPr="00AD0116">
              <w:rPr>
                <w:rFonts w:cstheme="minorHAnsi"/>
                <w:b w:val="0"/>
                <w:color w:val="000000" w:themeColor="text1"/>
              </w:rPr>
              <w:t xml:space="preserve">/ </w:t>
            </w:r>
            <w:r w:rsidRPr="00AD0116">
              <w:rPr>
                <w:rFonts w:cstheme="minorHAnsi"/>
                <w:color w:val="000000" w:themeColor="text1"/>
              </w:rPr>
              <w:t xml:space="preserve">χ2 </w:t>
            </w:r>
            <w:r w:rsidRPr="00AD0116">
              <w:rPr>
                <w:rFonts w:cstheme="minorHAnsi"/>
                <w:color w:val="000000" w:themeColor="text1"/>
                <w:lang w:val="en-IN" w:eastAsia="en-IN"/>
              </w:rPr>
              <w:t>value</w:t>
            </w:r>
          </w:p>
        </w:tc>
        <w:tc>
          <w:tcPr>
            <w:tcW w:w="410" w:type="dxa"/>
            <w:vMerge w:val="restart"/>
          </w:tcPr>
          <w:p w14:paraId="3ACDA1D8"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AD0116">
              <w:rPr>
                <w:rFonts w:cstheme="minorHAnsi"/>
                <w:color w:val="000000" w:themeColor="text1"/>
              </w:rPr>
              <w:t>df</w:t>
            </w:r>
          </w:p>
        </w:tc>
        <w:tc>
          <w:tcPr>
            <w:tcW w:w="934" w:type="dxa"/>
            <w:vMerge w:val="restart"/>
          </w:tcPr>
          <w:p w14:paraId="7DC6B23B"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AD0116">
              <w:rPr>
                <w:rFonts w:cstheme="minorHAnsi"/>
                <w:color w:val="000000" w:themeColor="text1"/>
              </w:rPr>
              <w:t>p value</w:t>
            </w:r>
          </w:p>
        </w:tc>
      </w:tr>
      <w:tr w:rsidR="00AD0116" w:rsidRPr="00AD0116" w14:paraId="059599FE" w14:textId="77777777" w:rsidTr="00F51741">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98" w:type="dxa"/>
            <w:vMerge/>
          </w:tcPr>
          <w:p w14:paraId="725E4575" w14:textId="77777777" w:rsidR="00DE61A6" w:rsidRPr="00AD0116" w:rsidRDefault="00DE61A6" w:rsidP="00AD0116">
            <w:pPr>
              <w:spacing w:line="276" w:lineRule="auto"/>
              <w:jc w:val="center"/>
              <w:rPr>
                <w:rFonts w:cstheme="minorHAnsi"/>
                <w:b w:val="0"/>
                <w:color w:val="000000" w:themeColor="text1"/>
              </w:rPr>
            </w:pPr>
          </w:p>
        </w:tc>
        <w:tc>
          <w:tcPr>
            <w:tcW w:w="2371" w:type="dxa"/>
            <w:vMerge/>
          </w:tcPr>
          <w:p w14:paraId="259B85B4"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p>
        </w:tc>
        <w:tc>
          <w:tcPr>
            <w:tcW w:w="1314" w:type="dxa"/>
          </w:tcPr>
          <w:p w14:paraId="5A6508F4"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AD0116">
              <w:rPr>
                <w:rFonts w:cstheme="minorHAnsi"/>
                <w:b/>
                <w:color w:val="000000" w:themeColor="text1"/>
              </w:rPr>
              <w:t xml:space="preserve">Inadequate </w:t>
            </w:r>
          </w:p>
        </w:tc>
        <w:tc>
          <w:tcPr>
            <w:tcW w:w="1160" w:type="dxa"/>
          </w:tcPr>
          <w:p w14:paraId="71156C2D"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AD0116">
              <w:rPr>
                <w:rFonts w:cstheme="minorHAnsi"/>
                <w:b/>
                <w:color w:val="000000" w:themeColor="text1"/>
              </w:rPr>
              <w:t xml:space="preserve">Moderate </w:t>
            </w:r>
          </w:p>
        </w:tc>
        <w:tc>
          <w:tcPr>
            <w:tcW w:w="1148" w:type="dxa"/>
          </w:tcPr>
          <w:p w14:paraId="5DE3FDFF"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AD0116">
              <w:rPr>
                <w:rFonts w:cstheme="minorHAnsi"/>
                <w:b/>
                <w:color w:val="000000" w:themeColor="text1"/>
              </w:rPr>
              <w:t xml:space="preserve">Adequate </w:t>
            </w:r>
          </w:p>
        </w:tc>
        <w:tc>
          <w:tcPr>
            <w:tcW w:w="1261" w:type="dxa"/>
            <w:vMerge/>
          </w:tcPr>
          <w:p w14:paraId="0E93FF06"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p>
        </w:tc>
        <w:tc>
          <w:tcPr>
            <w:tcW w:w="410" w:type="dxa"/>
            <w:vMerge/>
          </w:tcPr>
          <w:p w14:paraId="5EAB456C"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p>
        </w:tc>
        <w:tc>
          <w:tcPr>
            <w:tcW w:w="934" w:type="dxa"/>
            <w:vMerge/>
          </w:tcPr>
          <w:p w14:paraId="6B931B92"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p>
        </w:tc>
      </w:tr>
      <w:tr w:rsidR="00AD0116" w:rsidRPr="00AD0116" w14:paraId="2CE1D5A4" w14:textId="77777777" w:rsidTr="00D5090D">
        <w:trPr>
          <w:trHeight w:val="1042"/>
        </w:trPr>
        <w:tc>
          <w:tcPr>
            <w:cnfStyle w:val="001000000000" w:firstRow="0" w:lastRow="0" w:firstColumn="1" w:lastColumn="0" w:oddVBand="0" w:evenVBand="0" w:oddHBand="0" w:evenHBand="0" w:firstRowFirstColumn="0" w:firstRowLastColumn="0" w:lastRowFirstColumn="0" w:lastRowLastColumn="0"/>
            <w:tcW w:w="598" w:type="dxa"/>
          </w:tcPr>
          <w:p w14:paraId="574152C1"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1</w:t>
            </w:r>
          </w:p>
        </w:tc>
        <w:tc>
          <w:tcPr>
            <w:tcW w:w="2371" w:type="dxa"/>
          </w:tcPr>
          <w:p w14:paraId="001099C6" w14:textId="77777777" w:rsidR="00DE61A6" w:rsidRPr="00AD0116" w:rsidRDefault="00DE61A6" w:rsidP="00AD0116">
            <w:p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 xml:space="preserve">Age in years </w:t>
            </w:r>
          </w:p>
          <w:p w14:paraId="17E7E460" w14:textId="77777777" w:rsidR="00DE61A6" w:rsidRPr="00AD0116" w:rsidRDefault="00DE61A6" w:rsidP="00AD0116">
            <w:pPr>
              <w:pStyle w:val="ListParagraph"/>
              <w:numPr>
                <w:ilvl w:val="0"/>
                <w:numId w:val="10"/>
              </w:num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19-30</w:t>
            </w:r>
          </w:p>
          <w:p w14:paraId="3630E722" w14:textId="77777777" w:rsidR="00DE61A6" w:rsidRPr="00AD0116" w:rsidRDefault="00DE61A6" w:rsidP="00AD0116">
            <w:pPr>
              <w:pStyle w:val="ListParagraph"/>
              <w:numPr>
                <w:ilvl w:val="0"/>
                <w:numId w:val="10"/>
              </w:num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31-4</w:t>
            </w:r>
          </w:p>
          <w:p w14:paraId="0D1FC396" w14:textId="77777777" w:rsidR="00DE61A6" w:rsidRPr="00AD0116" w:rsidRDefault="00DE61A6" w:rsidP="00AD0116">
            <w:pPr>
              <w:pStyle w:val="ListParagraph"/>
              <w:numPr>
                <w:ilvl w:val="0"/>
                <w:numId w:val="10"/>
              </w:num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 xml:space="preserve">41-50 </w:t>
            </w:r>
          </w:p>
        </w:tc>
        <w:tc>
          <w:tcPr>
            <w:tcW w:w="1314" w:type="dxa"/>
          </w:tcPr>
          <w:p w14:paraId="169F16A7"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034D13E"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9</w:t>
            </w:r>
          </w:p>
          <w:p w14:paraId="354C29CA"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31</w:t>
            </w:r>
          </w:p>
          <w:p w14:paraId="45EC045F"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w:t>
            </w:r>
          </w:p>
        </w:tc>
        <w:tc>
          <w:tcPr>
            <w:tcW w:w="1160" w:type="dxa"/>
          </w:tcPr>
          <w:p w14:paraId="0A709020"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B55C669"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58</w:t>
            </w:r>
          </w:p>
          <w:p w14:paraId="44A9791E"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50</w:t>
            </w:r>
          </w:p>
          <w:p w14:paraId="34985EF9"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38</w:t>
            </w:r>
          </w:p>
        </w:tc>
        <w:tc>
          <w:tcPr>
            <w:tcW w:w="1148" w:type="dxa"/>
          </w:tcPr>
          <w:p w14:paraId="54803F96"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714421F"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4</w:t>
            </w:r>
          </w:p>
          <w:p w14:paraId="3F3976EE"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0</w:t>
            </w:r>
          </w:p>
          <w:p w14:paraId="1A944FDF"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w:t>
            </w:r>
          </w:p>
        </w:tc>
        <w:tc>
          <w:tcPr>
            <w:tcW w:w="1261" w:type="dxa"/>
          </w:tcPr>
          <w:p w14:paraId="46C8D575"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1B1D33B"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29.03</w:t>
            </w:r>
          </w:p>
        </w:tc>
        <w:tc>
          <w:tcPr>
            <w:tcW w:w="410" w:type="dxa"/>
          </w:tcPr>
          <w:p w14:paraId="3E013D39"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09695CA"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4</w:t>
            </w:r>
          </w:p>
        </w:tc>
        <w:tc>
          <w:tcPr>
            <w:tcW w:w="934" w:type="dxa"/>
          </w:tcPr>
          <w:p w14:paraId="3BFD374E"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C3F8BC4"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vertAlign w:val="superscript"/>
              </w:rPr>
            </w:pPr>
            <w:r w:rsidRPr="00AD0116">
              <w:rPr>
                <w:rFonts w:cstheme="minorHAnsi"/>
                <w:color w:val="000000" w:themeColor="text1"/>
              </w:rPr>
              <w:t>0.001*</w:t>
            </w:r>
          </w:p>
        </w:tc>
      </w:tr>
      <w:tr w:rsidR="00AD0116" w:rsidRPr="00AD0116" w14:paraId="3A00CEDC" w14:textId="77777777" w:rsidTr="00D5090D">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598" w:type="dxa"/>
          </w:tcPr>
          <w:p w14:paraId="6ECDBCBB"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2</w:t>
            </w:r>
          </w:p>
        </w:tc>
        <w:tc>
          <w:tcPr>
            <w:tcW w:w="2371" w:type="dxa"/>
          </w:tcPr>
          <w:p w14:paraId="65CE4F10" w14:textId="77777777" w:rsidR="00DE61A6" w:rsidRPr="00AD0116" w:rsidRDefault="00DE61A6" w:rsidP="00AD011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AD0116">
              <w:rPr>
                <w:rFonts w:asciiTheme="minorHAnsi" w:hAnsiTheme="minorHAnsi" w:cstheme="minorHAnsi"/>
                <w:color w:val="000000" w:themeColor="text1"/>
                <w:sz w:val="22"/>
                <w:szCs w:val="22"/>
              </w:rPr>
              <w:t xml:space="preserve">Marital status </w:t>
            </w:r>
          </w:p>
          <w:p w14:paraId="36BBFFD7" w14:textId="77777777" w:rsidR="00DE61A6" w:rsidRPr="00AD0116" w:rsidRDefault="00DE61A6" w:rsidP="00AD0116">
            <w:pPr>
              <w:pStyle w:val="ListParagraph"/>
              <w:numPr>
                <w:ilvl w:val="0"/>
                <w:numId w:val="4"/>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rPr>
            </w:pPr>
            <w:r w:rsidRPr="00AD0116">
              <w:rPr>
                <w:rFonts w:cstheme="minorHAnsi"/>
                <w:color w:val="000000" w:themeColor="text1"/>
              </w:rPr>
              <w:t>Unmarried</w:t>
            </w:r>
          </w:p>
          <w:p w14:paraId="6552AB94" w14:textId="77777777" w:rsidR="00DE61A6" w:rsidRPr="00AD0116" w:rsidRDefault="00DE61A6" w:rsidP="00AD0116">
            <w:pPr>
              <w:pStyle w:val="ListParagraph"/>
              <w:numPr>
                <w:ilvl w:val="0"/>
                <w:numId w:val="4"/>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rPr>
            </w:pPr>
            <w:r w:rsidRPr="00AD0116">
              <w:rPr>
                <w:rFonts w:cstheme="minorHAnsi"/>
                <w:color w:val="000000" w:themeColor="text1"/>
              </w:rPr>
              <w:t xml:space="preserve">Married   </w:t>
            </w:r>
          </w:p>
        </w:tc>
        <w:tc>
          <w:tcPr>
            <w:tcW w:w="1314" w:type="dxa"/>
          </w:tcPr>
          <w:p w14:paraId="2F8D29C1"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5587948C"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40</w:t>
            </w:r>
          </w:p>
          <w:p w14:paraId="4D5AAAFB"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w:t>
            </w:r>
          </w:p>
        </w:tc>
        <w:tc>
          <w:tcPr>
            <w:tcW w:w="1160" w:type="dxa"/>
          </w:tcPr>
          <w:p w14:paraId="2A5E3D25"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C5C85BC"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145</w:t>
            </w:r>
          </w:p>
          <w:p w14:paraId="04838093"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w:t>
            </w:r>
          </w:p>
        </w:tc>
        <w:tc>
          <w:tcPr>
            <w:tcW w:w="1148" w:type="dxa"/>
          </w:tcPr>
          <w:p w14:paraId="43E843DF"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40808BE4"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5</w:t>
            </w:r>
          </w:p>
          <w:p w14:paraId="1E83876A"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0</w:t>
            </w:r>
          </w:p>
        </w:tc>
        <w:tc>
          <w:tcPr>
            <w:tcW w:w="1261" w:type="dxa"/>
          </w:tcPr>
          <w:p w14:paraId="36EEC254"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00A1DBAC" w14:textId="22597ED2"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1.01</w:t>
            </w:r>
          </w:p>
        </w:tc>
        <w:tc>
          <w:tcPr>
            <w:tcW w:w="410" w:type="dxa"/>
          </w:tcPr>
          <w:p w14:paraId="5C751014"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11F6AAC2"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2</w:t>
            </w:r>
          </w:p>
        </w:tc>
        <w:tc>
          <w:tcPr>
            <w:tcW w:w="934" w:type="dxa"/>
          </w:tcPr>
          <w:p w14:paraId="3F018B1A"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94227E2"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vertAlign w:val="superscript"/>
              </w:rPr>
            </w:pPr>
            <w:r w:rsidRPr="00AD0116">
              <w:rPr>
                <w:rFonts w:cstheme="minorHAnsi"/>
                <w:color w:val="000000" w:themeColor="text1"/>
              </w:rPr>
              <w:t>0.604</w:t>
            </w:r>
            <w:r w:rsidRPr="00AD0116">
              <w:rPr>
                <w:rFonts w:cstheme="minorHAnsi"/>
                <w:color w:val="000000" w:themeColor="text1"/>
                <w:vertAlign w:val="superscript"/>
              </w:rPr>
              <w:t>NS</w:t>
            </w:r>
          </w:p>
        </w:tc>
      </w:tr>
      <w:tr w:rsidR="00AD0116" w:rsidRPr="00AD0116" w14:paraId="5E4A3CD2" w14:textId="77777777" w:rsidTr="00F51741">
        <w:trPr>
          <w:trHeight w:val="1906"/>
        </w:trPr>
        <w:tc>
          <w:tcPr>
            <w:cnfStyle w:val="001000000000" w:firstRow="0" w:lastRow="0" w:firstColumn="1" w:lastColumn="0" w:oddVBand="0" w:evenVBand="0" w:oddHBand="0" w:evenHBand="0" w:firstRowFirstColumn="0" w:firstRowLastColumn="0" w:lastRowFirstColumn="0" w:lastRowLastColumn="0"/>
            <w:tcW w:w="598" w:type="dxa"/>
          </w:tcPr>
          <w:p w14:paraId="4C0CABE2"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3</w:t>
            </w:r>
          </w:p>
        </w:tc>
        <w:tc>
          <w:tcPr>
            <w:tcW w:w="2371" w:type="dxa"/>
          </w:tcPr>
          <w:p w14:paraId="1D2ACE67" w14:textId="77777777" w:rsidR="00DE61A6" w:rsidRPr="00AD0116" w:rsidRDefault="00DE61A6" w:rsidP="00AD0116">
            <w:p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 xml:space="preserve"> Religion</w:t>
            </w:r>
          </w:p>
          <w:p w14:paraId="0E3CFBF8" w14:textId="77777777" w:rsidR="00DE61A6" w:rsidRPr="00AD0116" w:rsidRDefault="00DE61A6" w:rsidP="00AD0116">
            <w:pPr>
              <w:pStyle w:val="ListParagraph"/>
              <w:numPr>
                <w:ilvl w:val="0"/>
                <w:numId w:val="11"/>
              </w:num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Hindu</w:t>
            </w:r>
          </w:p>
          <w:p w14:paraId="549B158F" w14:textId="77777777" w:rsidR="00DE61A6" w:rsidRPr="00AD0116" w:rsidRDefault="00DE61A6" w:rsidP="00AD0116">
            <w:pPr>
              <w:pStyle w:val="ListParagraph"/>
              <w:numPr>
                <w:ilvl w:val="0"/>
                <w:numId w:val="11"/>
              </w:num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Christian</w:t>
            </w:r>
          </w:p>
          <w:p w14:paraId="5C96FF31" w14:textId="77777777" w:rsidR="00DE61A6" w:rsidRPr="00AD0116" w:rsidRDefault="00DE61A6" w:rsidP="00AD0116">
            <w:pPr>
              <w:pStyle w:val="ListParagraph"/>
              <w:numPr>
                <w:ilvl w:val="0"/>
                <w:numId w:val="11"/>
              </w:num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Muslim</w:t>
            </w:r>
          </w:p>
          <w:p w14:paraId="27C8D863" w14:textId="77777777" w:rsidR="00DE61A6" w:rsidRPr="00AD0116" w:rsidRDefault="00DE61A6" w:rsidP="00AD0116">
            <w:pPr>
              <w:pStyle w:val="ListParagraph"/>
              <w:numPr>
                <w:ilvl w:val="0"/>
                <w:numId w:val="11"/>
              </w:num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 xml:space="preserve">Buddhist </w:t>
            </w:r>
          </w:p>
          <w:p w14:paraId="5F2222C8" w14:textId="77777777" w:rsidR="00DE61A6" w:rsidRPr="00AD0116" w:rsidRDefault="00DE61A6" w:rsidP="00AD0116">
            <w:pPr>
              <w:pStyle w:val="ListParagraph"/>
              <w:numPr>
                <w:ilvl w:val="0"/>
                <w:numId w:val="11"/>
              </w:num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 xml:space="preserve">Others </w:t>
            </w:r>
          </w:p>
        </w:tc>
        <w:tc>
          <w:tcPr>
            <w:tcW w:w="1314" w:type="dxa"/>
          </w:tcPr>
          <w:p w14:paraId="3B9D442C" w14:textId="77777777" w:rsidR="00DE61A6" w:rsidRPr="00AD0116" w:rsidRDefault="00DE61A6" w:rsidP="00AD0116">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B4D2CF2"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13</w:t>
            </w:r>
          </w:p>
          <w:p w14:paraId="7AC1F509"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9</w:t>
            </w:r>
          </w:p>
          <w:p w14:paraId="7DE25227"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6</w:t>
            </w:r>
          </w:p>
          <w:p w14:paraId="6E7693FB"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12</w:t>
            </w:r>
          </w:p>
          <w:p w14:paraId="56180117"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w:t>
            </w:r>
          </w:p>
        </w:tc>
        <w:tc>
          <w:tcPr>
            <w:tcW w:w="1160" w:type="dxa"/>
          </w:tcPr>
          <w:p w14:paraId="71EEA166"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AB2C249"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35</w:t>
            </w:r>
          </w:p>
          <w:p w14:paraId="66D44AA7"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31</w:t>
            </w:r>
          </w:p>
          <w:p w14:paraId="7940C43A"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12</w:t>
            </w:r>
          </w:p>
          <w:p w14:paraId="44B4E3ED"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51</w:t>
            </w:r>
          </w:p>
          <w:p w14:paraId="6A98C281"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17</w:t>
            </w:r>
          </w:p>
        </w:tc>
        <w:tc>
          <w:tcPr>
            <w:tcW w:w="1148" w:type="dxa"/>
          </w:tcPr>
          <w:p w14:paraId="016AACAD"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46F2C35"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w:t>
            </w:r>
          </w:p>
          <w:p w14:paraId="67FFD268"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w:t>
            </w:r>
          </w:p>
          <w:p w14:paraId="5C37CD66"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w:t>
            </w:r>
          </w:p>
          <w:p w14:paraId="63CFB84A"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w:t>
            </w:r>
          </w:p>
          <w:p w14:paraId="32DDE0DA"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0</w:t>
            </w:r>
          </w:p>
        </w:tc>
        <w:tc>
          <w:tcPr>
            <w:tcW w:w="1261" w:type="dxa"/>
          </w:tcPr>
          <w:p w14:paraId="0507C93D"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6BFEBED" w14:textId="6252ECF6"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6.42</w:t>
            </w:r>
          </w:p>
        </w:tc>
        <w:tc>
          <w:tcPr>
            <w:tcW w:w="410" w:type="dxa"/>
          </w:tcPr>
          <w:p w14:paraId="5BCA9081"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516818E"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8</w:t>
            </w:r>
          </w:p>
        </w:tc>
        <w:tc>
          <w:tcPr>
            <w:tcW w:w="934" w:type="dxa"/>
          </w:tcPr>
          <w:p w14:paraId="4B74CC26" w14:textId="77777777" w:rsidR="00DE61A6" w:rsidRPr="00AD0116" w:rsidRDefault="00DE61A6" w:rsidP="00AD0116">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AC8A40C"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vertAlign w:val="superscript"/>
              </w:rPr>
            </w:pPr>
            <w:r w:rsidRPr="00AD0116">
              <w:rPr>
                <w:rFonts w:cstheme="minorHAnsi"/>
                <w:color w:val="000000" w:themeColor="text1"/>
              </w:rPr>
              <w:t>0.601</w:t>
            </w:r>
            <w:r w:rsidRPr="00AD0116">
              <w:rPr>
                <w:rFonts w:cstheme="minorHAnsi"/>
                <w:color w:val="000000" w:themeColor="text1"/>
                <w:vertAlign w:val="superscript"/>
              </w:rPr>
              <w:t>NS</w:t>
            </w:r>
          </w:p>
        </w:tc>
      </w:tr>
      <w:tr w:rsidR="00AD0116" w:rsidRPr="00AD0116" w14:paraId="513BC7F8" w14:textId="77777777" w:rsidTr="00F51741">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598" w:type="dxa"/>
          </w:tcPr>
          <w:p w14:paraId="610C23AC"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4</w:t>
            </w:r>
          </w:p>
        </w:tc>
        <w:tc>
          <w:tcPr>
            <w:tcW w:w="2371" w:type="dxa"/>
          </w:tcPr>
          <w:p w14:paraId="29C16017" w14:textId="77777777" w:rsidR="00DE61A6" w:rsidRPr="00AD0116" w:rsidRDefault="00DE61A6" w:rsidP="00AD0116">
            <w:pPr>
              <w:spacing w:line="276" w:lineRule="auto"/>
              <w:jc w:val="lowKashida"/>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 xml:space="preserve">Sexual preference </w:t>
            </w:r>
          </w:p>
          <w:p w14:paraId="7A902DB1" w14:textId="77777777" w:rsidR="00DE61A6" w:rsidRPr="00AD0116" w:rsidRDefault="00DE61A6" w:rsidP="00AD0116">
            <w:pPr>
              <w:pStyle w:val="ListParagraph"/>
              <w:numPr>
                <w:ilvl w:val="0"/>
                <w:numId w:val="12"/>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Heterosexual</w:t>
            </w:r>
          </w:p>
          <w:p w14:paraId="0835C941" w14:textId="77777777" w:rsidR="00DE61A6" w:rsidRPr="00AD0116" w:rsidRDefault="00DE61A6" w:rsidP="00AD0116">
            <w:pPr>
              <w:pStyle w:val="ListParagraph"/>
              <w:numPr>
                <w:ilvl w:val="0"/>
                <w:numId w:val="12"/>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Homosexual</w:t>
            </w:r>
          </w:p>
          <w:p w14:paraId="12767019" w14:textId="77777777" w:rsidR="00DE61A6" w:rsidRPr="00AD0116" w:rsidRDefault="00DE61A6" w:rsidP="00AD0116">
            <w:pPr>
              <w:pStyle w:val="ListParagraph"/>
              <w:numPr>
                <w:ilvl w:val="0"/>
                <w:numId w:val="12"/>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Bisexual</w:t>
            </w:r>
          </w:p>
          <w:p w14:paraId="64B72C5F" w14:textId="77777777" w:rsidR="00DE61A6" w:rsidRPr="00AD0116" w:rsidRDefault="00DE61A6" w:rsidP="00AD0116">
            <w:pPr>
              <w:pStyle w:val="ListParagraph"/>
              <w:numPr>
                <w:ilvl w:val="0"/>
                <w:numId w:val="12"/>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Asexual</w:t>
            </w:r>
          </w:p>
          <w:p w14:paraId="622E28AD" w14:textId="77777777" w:rsidR="00DE61A6" w:rsidRPr="00AD0116" w:rsidRDefault="00DE61A6" w:rsidP="00AD0116">
            <w:pPr>
              <w:pStyle w:val="ListParagraph"/>
              <w:numPr>
                <w:ilvl w:val="0"/>
                <w:numId w:val="12"/>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lastRenderedPageBreak/>
              <w:t xml:space="preserve">Other (Please specify): </w:t>
            </w:r>
          </w:p>
          <w:p w14:paraId="1FDB71D5" w14:textId="77777777" w:rsidR="00DE61A6" w:rsidRPr="00AD0116" w:rsidRDefault="00DE61A6" w:rsidP="00AD0116">
            <w:pPr>
              <w:pStyle w:val="ListParagraph"/>
              <w:numPr>
                <w:ilvl w:val="0"/>
                <w:numId w:val="12"/>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Prefer not to say</w:t>
            </w:r>
          </w:p>
        </w:tc>
        <w:tc>
          <w:tcPr>
            <w:tcW w:w="1314" w:type="dxa"/>
          </w:tcPr>
          <w:p w14:paraId="40AAAAF5"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6E6D43C8"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40</w:t>
            </w:r>
          </w:p>
          <w:p w14:paraId="70CE3422"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31B2EC85"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38288102"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04EA09A4"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218078E0"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58A9E7DD"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w:t>
            </w:r>
          </w:p>
        </w:tc>
        <w:tc>
          <w:tcPr>
            <w:tcW w:w="1160" w:type="dxa"/>
          </w:tcPr>
          <w:p w14:paraId="0930F5DC"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654B3F7"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144</w:t>
            </w:r>
          </w:p>
          <w:p w14:paraId="6A88E9AA"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2178FDEB"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39B1EE13"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7A07103D"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7C06DCFB"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2E588DE2"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2</w:t>
            </w:r>
          </w:p>
        </w:tc>
        <w:tc>
          <w:tcPr>
            <w:tcW w:w="1148" w:type="dxa"/>
          </w:tcPr>
          <w:p w14:paraId="1647E4F4"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5F2733EA"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5</w:t>
            </w:r>
          </w:p>
          <w:p w14:paraId="7DFF7896"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4CC217DD"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4D1A5F69"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07CB2F17"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18DA4712"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08E53C7C"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0</w:t>
            </w:r>
          </w:p>
        </w:tc>
        <w:tc>
          <w:tcPr>
            <w:tcW w:w="1261" w:type="dxa"/>
          </w:tcPr>
          <w:p w14:paraId="5D4E0456"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1509464A" w14:textId="5311861D"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0.94</w:t>
            </w:r>
          </w:p>
        </w:tc>
        <w:tc>
          <w:tcPr>
            <w:tcW w:w="410" w:type="dxa"/>
          </w:tcPr>
          <w:p w14:paraId="1FDA3FB4"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12CAA66C"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2</w:t>
            </w:r>
          </w:p>
        </w:tc>
        <w:tc>
          <w:tcPr>
            <w:tcW w:w="934" w:type="dxa"/>
          </w:tcPr>
          <w:p w14:paraId="035F4266" w14:textId="77777777" w:rsidR="00DE61A6" w:rsidRPr="00AD0116" w:rsidRDefault="00DE61A6" w:rsidP="00AD011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882E944"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vertAlign w:val="superscript"/>
              </w:rPr>
            </w:pPr>
            <w:r w:rsidRPr="00AD0116">
              <w:rPr>
                <w:rFonts w:cstheme="minorHAnsi"/>
                <w:color w:val="000000" w:themeColor="text1"/>
              </w:rPr>
              <w:t>0.918</w:t>
            </w:r>
            <w:r w:rsidRPr="00AD0116">
              <w:rPr>
                <w:rFonts w:cstheme="minorHAnsi"/>
                <w:color w:val="000000" w:themeColor="text1"/>
                <w:vertAlign w:val="superscript"/>
              </w:rPr>
              <w:t>NS</w:t>
            </w:r>
          </w:p>
        </w:tc>
      </w:tr>
      <w:tr w:rsidR="00AD0116" w:rsidRPr="00AD0116" w14:paraId="38577BB9" w14:textId="77777777" w:rsidTr="00F51741">
        <w:trPr>
          <w:trHeight w:val="144"/>
        </w:trPr>
        <w:tc>
          <w:tcPr>
            <w:cnfStyle w:val="001000000000" w:firstRow="0" w:lastRow="0" w:firstColumn="1" w:lastColumn="0" w:oddVBand="0" w:evenVBand="0" w:oddHBand="0" w:evenHBand="0" w:firstRowFirstColumn="0" w:firstRowLastColumn="0" w:lastRowFirstColumn="0" w:lastRowLastColumn="0"/>
            <w:tcW w:w="598" w:type="dxa"/>
          </w:tcPr>
          <w:p w14:paraId="7D734F14"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5</w:t>
            </w:r>
          </w:p>
        </w:tc>
        <w:tc>
          <w:tcPr>
            <w:tcW w:w="2371" w:type="dxa"/>
          </w:tcPr>
          <w:p w14:paraId="4BADB83D" w14:textId="77777777" w:rsidR="00DE61A6" w:rsidRPr="00AD0116" w:rsidRDefault="00DE61A6" w:rsidP="00AD0116">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AD0116">
              <w:rPr>
                <w:rFonts w:asciiTheme="minorHAnsi" w:hAnsiTheme="minorHAnsi" w:cstheme="minorHAnsi"/>
                <w:color w:val="000000" w:themeColor="text1"/>
                <w:sz w:val="22"/>
                <w:szCs w:val="22"/>
              </w:rPr>
              <w:t xml:space="preserve">Course pursuing </w:t>
            </w:r>
          </w:p>
          <w:p w14:paraId="6281CD4E" w14:textId="77777777" w:rsidR="00DE61A6" w:rsidRPr="00AD0116" w:rsidRDefault="00DE61A6" w:rsidP="00AD0116">
            <w:pPr>
              <w:pStyle w:val="ListParagraph"/>
              <w:numPr>
                <w:ilvl w:val="0"/>
                <w:numId w:val="13"/>
              </w:num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Bachelors in Arts</w:t>
            </w:r>
          </w:p>
          <w:p w14:paraId="28AE1EAD" w14:textId="77777777" w:rsidR="00DE61A6" w:rsidRPr="00AD0116" w:rsidRDefault="00DE61A6" w:rsidP="00AD0116">
            <w:pPr>
              <w:pStyle w:val="ListParagraph"/>
              <w:numPr>
                <w:ilvl w:val="0"/>
                <w:numId w:val="13"/>
              </w:num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Bachelors in Science</w:t>
            </w:r>
          </w:p>
          <w:p w14:paraId="3ADB978F" w14:textId="77777777" w:rsidR="00DE61A6" w:rsidRPr="00AD0116" w:rsidRDefault="00DE61A6" w:rsidP="00AD0116">
            <w:pPr>
              <w:pStyle w:val="ListParagraph"/>
              <w:numPr>
                <w:ilvl w:val="0"/>
                <w:numId w:val="13"/>
              </w:num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Bachelors in Commerce</w:t>
            </w:r>
          </w:p>
          <w:p w14:paraId="15521215" w14:textId="77777777" w:rsidR="00DE61A6" w:rsidRPr="00AD0116" w:rsidRDefault="00DE61A6" w:rsidP="00AD0116">
            <w:pPr>
              <w:pStyle w:val="ListParagraph"/>
              <w:numPr>
                <w:ilvl w:val="0"/>
                <w:numId w:val="13"/>
              </w:num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Others (Please specify): </w:t>
            </w:r>
          </w:p>
        </w:tc>
        <w:tc>
          <w:tcPr>
            <w:tcW w:w="1314" w:type="dxa"/>
          </w:tcPr>
          <w:p w14:paraId="088C6DE6"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E60C1DC"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16</w:t>
            </w:r>
          </w:p>
          <w:p w14:paraId="30F9DC54"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C866053"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21</w:t>
            </w:r>
          </w:p>
          <w:p w14:paraId="4A2A39E0"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0FB2B9A"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w:t>
            </w:r>
          </w:p>
          <w:p w14:paraId="4EC49BFF"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7A15270"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w:t>
            </w:r>
          </w:p>
        </w:tc>
        <w:tc>
          <w:tcPr>
            <w:tcW w:w="1160" w:type="dxa"/>
          </w:tcPr>
          <w:p w14:paraId="32E4737F"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12F9CB1"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43</w:t>
            </w:r>
          </w:p>
          <w:p w14:paraId="1A9AE5B4"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36AF518"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73</w:t>
            </w:r>
          </w:p>
          <w:p w14:paraId="794982BA"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4291C66"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22</w:t>
            </w:r>
          </w:p>
          <w:p w14:paraId="08332E3B"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E813140"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8</w:t>
            </w:r>
          </w:p>
        </w:tc>
        <w:tc>
          <w:tcPr>
            <w:tcW w:w="1148" w:type="dxa"/>
          </w:tcPr>
          <w:p w14:paraId="2D4B3759"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99715AB"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w:t>
            </w:r>
          </w:p>
          <w:p w14:paraId="74270DC5"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94837CE"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w:t>
            </w:r>
          </w:p>
          <w:p w14:paraId="0291896B"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4518E76"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w:t>
            </w:r>
          </w:p>
          <w:p w14:paraId="67D30E5F"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6DB4AA0"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w:t>
            </w:r>
          </w:p>
        </w:tc>
        <w:tc>
          <w:tcPr>
            <w:tcW w:w="1261" w:type="dxa"/>
          </w:tcPr>
          <w:p w14:paraId="45CA961F"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7EDED5F" w14:textId="4D18FF93"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7.30</w:t>
            </w:r>
          </w:p>
        </w:tc>
        <w:tc>
          <w:tcPr>
            <w:tcW w:w="410" w:type="dxa"/>
          </w:tcPr>
          <w:p w14:paraId="4DB7FB46"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62F9B40"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6</w:t>
            </w:r>
          </w:p>
        </w:tc>
        <w:tc>
          <w:tcPr>
            <w:tcW w:w="934" w:type="dxa"/>
          </w:tcPr>
          <w:p w14:paraId="0B63B288"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AC4BB70"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vertAlign w:val="superscript"/>
              </w:rPr>
            </w:pPr>
            <w:r w:rsidRPr="00AD0116">
              <w:rPr>
                <w:rFonts w:cstheme="minorHAnsi"/>
                <w:color w:val="000000" w:themeColor="text1"/>
              </w:rPr>
              <w:t>0.294</w:t>
            </w:r>
            <w:r w:rsidRPr="00AD0116">
              <w:rPr>
                <w:rFonts w:cstheme="minorHAnsi"/>
                <w:color w:val="000000" w:themeColor="text1"/>
                <w:vertAlign w:val="superscript"/>
              </w:rPr>
              <w:t>NS</w:t>
            </w:r>
          </w:p>
        </w:tc>
      </w:tr>
      <w:tr w:rsidR="00AD0116" w:rsidRPr="00AD0116" w14:paraId="4E043446" w14:textId="77777777" w:rsidTr="00F51741">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98" w:type="dxa"/>
          </w:tcPr>
          <w:p w14:paraId="0F323F5A"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6</w:t>
            </w:r>
          </w:p>
        </w:tc>
        <w:tc>
          <w:tcPr>
            <w:tcW w:w="2371" w:type="dxa"/>
          </w:tcPr>
          <w:p w14:paraId="15B51CB1" w14:textId="77777777" w:rsidR="00DE61A6" w:rsidRPr="00AD0116" w:rsidRDefault="00DE61A6" w:rsidP="00AD011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 xml:space="preserve">Type of family </w:t>
            </w:r>
          </w:p>
          <w:p w14:paraId="601A603B" w14:textId="77777777" w:rsidR="00DE61A6" w:rsidRPr="00AD0116" w:rsidRDefault="00DE61A6" w:rsidP="00AD0116">
            <w:pPr>
              <w:pStyle w:val="ListParagraph"/>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bCs/>
                <w:iCs/>
                <w:color w:val="000000" w:themeColor="text1"/>
                <w:lang w:val="en-IN"/>
              </w:rPr>
              <w:t>Nuclear Family</w:t>
            </w:r>
          </w:p>
          <w:p w14:paraId="6EEA9E88" w14:textId="77777777" w:rsidR="00DE61A6" w:rsidRPr="00AD0116" w:rsidRDefault="00DE61A6" w:rsidP="00AD0116">
            <w:pPr>
              <w:pStyle w:val="ListParagraph"/>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bCs/>
                <w:iCs/>
                <w:color w:val="000000" w:themeColor="text1"/>
                <w:lang w:val="en-IN"/>
              </w:rPr>
              <w:t>Joint Family</w:t>
            </w:r>
          </w:p>
          <w:p w14:paraId="39D0C536" w14:textId="77777777" w:rsidR="00DE61A6" w:rsidRPr="00AD0116" w:rsidRDefault="00DE61A6" w:rsidP="00AD0116">
            <w:pPr>
              <w:pStyle w:val="ListParagraph"/>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bCs/>
                <w:iCs/>
                <w:color w:val="000000" w:themeColor="text1"/>
                <w:lang w:val="en-IN"/>
              </w:rPr>
              <w:t>Extended Family</w:t>
            </w:r>
          </w:p>
        </w:tc>
        <w:tc>
          <w:tcPr>
            <w:tcW w:w="1314" w:type="dxa"/>
          </w:tcPr>
          <w:p w14:paraId="192A818F"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1BC042E8" w14:textId="559BE307" w:rsidR="00FD0FC9"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25</w:t>
            </w:r>
          </w:p>
          <w:p w14:paraId="6D83650C" w14:textId="675AA6DC"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6</w:t>
            </w:r>
          </w:p>
          <w:p w14:paraId="64C86D73"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10</w:t>
            </w:r>
          </w:p>
        </w:tc>
        <w:tc>
          <w:tcPr>
            <w:tcW w:w="1160" w:type="dxa"/>
          </w:tcPr>
          <w:p w14:paraId="781BCAC9"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F9D72B2" w14:textId="58615BF5" w:rsidR="00FD0FC9"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104</w:t>
            </w:r>
          </w:p>
          <w:p w14:paraId="68C8D3F7" w14:textId="39D370DC"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17</w:t>
            </w:r>
          </w:p>
          <w:p w14:paraId="7B78A0AA"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25</w:t>
            </w:r>
          </w:p>
        </w:tc>
        <w:tc>
          <w:tcPr>
            <w:tcW w:w="1148" w:type="dxa"/>
          </w:tcPr>
          <w:p w14:paraId="5DB89636"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5B804208" w14:textId="2A11ACBB" w:rsidR="00FD0FC9"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2</w:t>
            </w:r>
          </w:p>
          <w:p w14:paraId="583C3E5C" w14:textId="56462181"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3</w:t>
            </w:r>
          </w:p>
          <w:p w14:paraId="1A312D29"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0</w:t>
            </w:r>
          </w:p>
        </w:tc>
        <w:tc>
          <w:tcPr>
            <w:tcW w:w="1261" w:type="dxa"/>
          </w:tcPr>
          <w:p w14:paraId="6B9E3A49"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02EEBCC"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11.35</w:t>
            </w:r>
          </w:p>
        </w:tc>
        <w:tc>
          <w:tcPr>
            <w:tcW w:w="410" w:type="dxa"/>
          </w:tcPr>
          <w:p w14:paraId="1318AC88"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49F9275"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4</w:t>
            </w:r>
          </w:p>
        </w:tc>
        <w:tc>
          <w:tcPr>
            <w:tcW w:w="934" w:type="dxa"/>
          </w:tcPr>
          <w:p w14:paraId="68C25D0E" w14:textId="77777777" w:rsidR="00DE61A6" w:rsidRPr="00AD0116" w:rsidRDefault="00DE61A6" w:rsidP="00AD011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0378D807"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vertAlign w:val="superscript"/>
              </w:rPr>
            </w:pPr>
            <w:r w:rsidRPr="00AD0116">
              <w:rPr>
                <w:rFonts w:cstheme="minorHAnsi"/>
                <w:color w:val="000000" w:themeColor="text1"/>
              </w:rPr>
              <w:t>0.023*</w:t>
            </w:r>
          </w:p>
        </w:tc>
      </w:tr>
      <w:tr w:rsidR="00AD0116" w:rsidRPr="00AD0116" w14:paraId="47F56423" w14:textId="77777777" w:rsidTr="00F51741">
        <w:trPr>
          <w:trHeight w:val="144"/>
        </w:trPr>
        <w:tc>
          <w:tcPr>
            <w:cnfStyle w:val="001000000000" w:firstRow="0" w:lastRow="0" w:firstColumn="1" w:lastColumn="0" w:oddVBand="0" w:evenVBand="0" w:oddHBand="0" w:evenHBand="0" w:firstRowFirstColumn="0" w:firstRowLastColumn="0" w:lastRowFirstColumn="0" w:lastRowLastColumn="0"/>
            <w:tcW w:w="598" w:type="dxa"/>
          </w:tcPr>
          <w:p w14:paraId="12562FF5"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7</w:t>
            </w:r>
          </w:p>
        </w:tc>
        <w:tc>
          <w:tcPr>
            <w:tcW w:w="2371" w:type="dxa"/>
          </w:tcPr>
          <w:p w14:paraId="0F7A8B45" w14:textId="77777777" w:rsidR="00DE61A6" w:rsidRPr="00AD0116" w:rsidRDefault="00DE61A6" w:rsidP="00AD0116">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 xml:space="preserve">Place of residence </w:t>
            </w:r>
          </w:p>
          <w:p w14:paraId="6B3D918F" w14:textId="77777777" w:rsidR="00DE61A6" w:rsidRPr="00AD0116" w:rsidRDefault="00DE61A6" w:rsidP="00AD0116">
            <w:pPr>
              <w:pStyle w:val="ListParagraph"/>
              <w:numPr>
                <w:ilvl w:val="0"/>
                <w:numId w:val="5"/>
              </w:num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rPr>
            </w:pPr>
            <w:r w:rsidRPr="00AD0116">
              <w:rPr>
                <w:rFonts w:cstheme="minorHAnsi"/>
                <w:bCs/>
                <w:iCs/>
                <w:color w:val="000000" w:themeColor="text1"/>
              </w:rPr>
              <w:t>Urban</w:t>
            </w:r>
          </w:p>
          <w:p w14:paraId="3405FD55" w14:textId="77777777" w:rsidR="00DE61A6" w:rsidRPr="00AD0116" w:rsidRDefault="00DE61A6" w:rsidP="00AD0116">
            <w:pPr>
              <w:pStyle w:val="ListParagraph"/>
              <w:numPr>
                <w:ilvl w:val="0"/>
                <w:numId w:val="5"/>
              </w:num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rPr>
            </w:pPr>
            <w:r w:rsidRPr="00AD0116">
              <w:rPr>
                <w:rFonts w:cstheme="minorHAnsi"/>
                <w:bCs/>
                <w:iCs/>
                <w:color w:val="000000" w:themeColor="text1"/>
              </w:rPr>
              <w:t xml:space="preserve">Rural </w:t>
            </w:r>
          </w:p>
        </w:tc>
        <w:tc>
          <w:tcPr>
            <w:tcW w:w="1314" w:type="dxa"/>
          </w:tcPr>
          <w:p w14:paraId="64D46C62"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44EE8E2"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33</w:t>
            </w:r>
          </w:p>
          <w:p w14:paraId="2248F48E"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8</w:t>
            </w:r>
          </w:p>
        </w:tc>
        <w:tc>
          <w:tcPr>
            <w:tcW w:w="1160" w:type="dxa"/>
          </w:tcPr>
          <w:p w14:paraId="63DAA5E1"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61A8EB7"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108</w:t>
            </w:r>
          </w:p>
          <w:p w14:paraId="53E1E47C"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38</w:t>
            </w:r>
          </w:p>
        </w:tc>
        <w:tc>
          <w:tcPr>
            <w:tcW w:w="1148" w:type="dxa"/>
          </w:tcPr>
          <w:p w14:paraId="1C07595E"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0FC2956"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4</w:t>
            </w:r>
          </w:p>
          <w:p w14:paraId="44CABF4E"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w:t>
            </w:r>
          </w:p>
        </w:tc>
        <w:tc>
          <w:tcPr>
            <w:tcW w:w="1261" w:type="dxa"/>
          </w:tcPr>
          <w:p w14:paraId="3119DEDD"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887A1B8" w14:textId="68638603"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0.79</w:t>
            </w:r>
          </w:p>
        </w:tc>
        <w:tc>
          <w:tcPr>
            <w:tcW w:w="410" w:type="dxa"/>
          </w:tcPr>
          <w:p w14:paraId="1653FD18"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F212EC1"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w:t>
            </w:r>
          </w:p>
        </w:tc>
        <w:tc>
          <w:tcPr>
            <w:tcW w:w="934" w:type="dxa"/>
          </w:tcPr>
          <w:p w14:paraId="270B5BF6" w14:textId="77777777" w:rsidR="00DE61A6" w:rsidRPr="00AD0116" w:rsidRDefault="00DE61A6" w:rsidP="00AD0116">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9D3A888" w14:textId="77777777" w:rsidR="00DE61A6" w:rsidRPr="00AD0116" w:rsidRDefault="00DE61A6" w:rsidP="00AD0116">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vertAlign w:val="superscript"/>
              </w:rPr>
            </w:pPr>
            <w:r w:rsidRPr="00AD0116">
              <w:rPr>
                <w:rFonts w:cstheme="minorHAnsi"/>
                <w:color w:val="000000" w:themeColor="text1"/>
              </w:rPr>
              <w:t>0.673</w:t>
            </w:r>
            <w:r w:rsidRPr="00AD0116">
              <w:rPr>
                <w:rFonts w:cstheme="minorHAnsi"/>
                <w:color w:val="000000" w:themeColor="text1"/>
                <w:vertAlign w:val="superscript"/>
              </w:rPr>
              <w:t>NS</w:t>
            </w:r>
          </w:p>
        </w:tc>
      </w:tr>
      <w:tr w:rsidR="00AD0116" w:rsidRPr="00AD0116" w14:paraId="1D6B1440" w14:textId="77777777" w:rsidTr="00F51741">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98" w:type="dxa"/>
          </w:tcPr>
          <w:p w14:paraId="2C0F80F0"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8</w:t>
            </w:r>
          </w:p>
        </w:tc>
        <w:tc>
          <w:tcPr>
            <w:tcW w:w="2371" w:type="dxa"/>
          </w:tcPr>
          <w:p w14:paraId="69D23214" w14:textId="77777777" w:rsidR="00DE61A6" w:rsidRPr="00AD0116" w:rsidRDefault="00DE61A6" w:rsidP="00AD011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Family monthly income</w:t>
            </w:r>
          </w:p>
          <w:p w14:paraId="3FD820A0" w14:textId="77777777" w:rsidR="00DE61A6" w:rsidRPr="00AD0116" w:rsidRDefault="00DE61A6" w:rsidP="00AD0116">
            <w:pPr>
              <w:pStyle w:val="ListParagraph"/>
              <w:numPr>
                <w:ilvl w:val="0"/>
                <w:numId w:val="15"/>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Less than Rs. 25,000</w:t>
            </w:r>
          </w:p>
          <w:p w14:paraId="61688186" w14:textId="77777777" w:rsidR="00DE61A6" w:rsidRPr="00AD0116" w:rsidRDefault="00DE61A6" w:rsidP="00AD0116">
            <w:pPr>
              <w:pStyle w:val="ListParagraph"/>
              <w:numPr>
                <w:ilvl w:val="0"/>
                <w:numId w:val="15"/>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Rs. 25,000 to Rs. 50,000</w:t>
            </w:r>
          </w:p>
          <w:p w14:paraId="013DE500" w14:textId="77777777" w:rsidR="00DE61A6" w:rsidRPr="00AD0116" w:rsidRDefault="00DE61A6" w:rsidP="00AD0116">
            <w:pPr>
              <w:pStyle w:val="ListParagraph"/>
              <w:numPr>
                <w:ilvl w:val="0"/>
                <w:numId w:val="15"/>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Rs. 50,000 to Rs. 75,000</w:t>
            </w:r>
          </w:p>
          <w:p w14:paraId="3E86D305" w14:textId="77777777" w:rsidR="00DE61A6" w:rsidRPr="00AD0116" w:rsidRDefault="00DE61A6" w:rsidP="00AD0116">
            <w:pPr>
              <w:pStyle w:val="ListParagraph"/>
              <w:numPr>
                <w:ilvl w:val="0"/>
                <w:numId w:val="15"/>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Rs. 75,000 - Rs. 1,00,000</w:t>
            </w:r>
          </w:p>
          <w:p w14:paraId="555A2C20" w14:textId="77777777" w:rsidR="00DE61A6" w:rsidRPr="00AD0116" w:rsidRDefault="00DE61A6" w:rsidP="00AD0116">
            <w:pPr>
              <w:pStyle w:val="ListParagraph"/>
              <w:numPr>
                <w:ilvl w:val="0"/>
                <w:numId w:val="15"/>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Above Rs. 1,00,000</w:t>
            </w:r>
          </w:p>
        </w:tc>
        <w:tc>
          <w:tcPr>
            <w:tcW w:w="1314" w:type="dxa"/>
          </w:tcPr>
          <w:p w14:paraId="7F5BAD99"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0C61D6C1" w14:textId="77777777" w:rsidR="00FD0FC9" w:rsidRPr="00AD0116" w:rsidRDefault="00FD0FC9"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B1FCEF3" w14:textId="60508742"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3</w:t>
            </w:r>
          </w:p>
          <w:p w14:paraId="0E533099"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287C1BD9"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7</w:t>
            </w:r>
          </w:p>
          <w:p w14:paraId="3C452B80"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44A294E8"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23</w:t>
            </w:r>
          </w:p>
          <w:p w14:paraId="2C376618"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64546A14"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3</w:t>
            </w:r>
          </w:p>
          <w:p w14:paraId="1576666C"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A43F8F3"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5</w:t>
            </w:r>
          </w:p>
        </w:tc>
        <w:tc>
          <w:tcPr>
            <w:tcW w:w="1160" w:type="dxa"/>
          </w:tcPr>
          <w:p w14:paraId="1CB27991"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1A37E76C" w14:textId="77777777" w:rsidR="00FD0FC9" w:rsidRPr="00AD0116" w:rsidRDefault="00FD0FC9"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05EE69C0" w14:textId="23DAC15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12</w:t>
            </w:r>
          </w:p>
          <w:p w14:paraId="265B9576"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228197E0"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48</w:t>
            </w:r>
          </w:p>
          <w:p w14:paraId="60AC3534"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4981FB02"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62</w:t>
            </w:r>
          </w:p>
          <w:p w14:paraId="1A8763E1"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570F74A5"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8</w:t>
            </w:r>
          </w:p>
          <w:p w14:paraId="06FAC9D8"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5E1E0629"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16</w:t>
            </w:r>
          </w:p>
        </w:tc>
        <w:tc>
          <w:tcPr>
            <w:tcW w:w="1148" w:type="dxa"/>
          </w:tcPr>
          <w:p w14:paraId="40DF308E"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350E8E6" w14:textId="77777777" w:rsidR="00FD0FC9" w:rsidRPr="00AD0116" w:rsidRDefault="00FD0FC9"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4D56935F" w14:textId="6DB5D24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0</w:t>
            </w:r>
          </w:p>
          <w:p w14:paraId="0D6090E9"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4CA3F59D"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0</w:t>
            </w:r>
          </w:p>
          <w:p w14:paraId="49126000"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60F9C347"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4</w:t>
            </w:r>
          </w:p>
          <w:p w14:paraId="68C56E7B"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92C4FE7"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w:t>
            </w:r>
          </w:p>
          <w:p w14:paraId="34024E59"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578488DE"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0</w:t>
            </w:r>
          </w:p>
        </w:tc>
        <w:tc>
          <w:tcPr>
            <w:tcW w:w="1261" w:type="dxa"/>
          </w:tcPr>
          <w:p w14:paraId="12839301"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61A46C78" w14:textId="77777777" w:rsidR="00FD0FC9" w:rsidRPr="00AD0116" w:rsidRDefault="00FD0FC9"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5CAB457C" w14:textId="0203AA2F"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10.76</w:t>
            </w:r>
          </w:p>
        </w:tc>
        <w:tc>
          <w:tcPr>
            <w:tcW w:w="410" w:type="dxa"/>
          </w:tcPr>
          <w:p w14:paraId="319581C3"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2B61D0E3" w14:textId="77777777" w:rsidR="00FD0FC9" w:rsidRPr="00AD0116" w:rsidRDefault="00FD0FC9"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4F9FD5E7" w14:textId="7BE2158E"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8</w:t>
            </w:r>
          </w:p>
        </w:tc>
        <w:tc>
          <w:tcPr>
            <w:tcW w:w="934" w:type="dxa"/>
          </w:tcPr>
          <w:p w14:paraId="41DDE45F" w14:textId="77777777" w:rsidR="00DE61A6" w:rsidRPr="00AD0116" w:rsidRDefault="00DE61A6" w:rsidP="00AD011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6589825A" w14:textId="77777777" w:rsidR="00FD0FC9" w:rsidRPr="00AD0116" w:rsidRDefault="00FD0FC9" w:rsidP="00AD011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88EE81A" w14:textId="6297684F" w:rsidR="00DE61A6" w:rsidRPr="00AD0116" w:rsidRDefault="00DE61A6" w:rsidP="00AD011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vertAlign w:val="superscript"/>
              </w:rPr>
            </w:pPr>
            <w:r w:rsidRPr="00AD0116">
              <w:rPr>
                <w:rFonts w:cstheme="minorHAnsi"/>
                <w:color w:val="000000" w:themeColor="text1"/>
              </w:rPr>
              <w:t>0.376</w:t>
            </w:r>
            <w:r w:rsidRPr="00AD0116">
              <w:rPr>
                <w:rFonts w:cstheme="minorHAnsi"/>
                <w:color w:val="000000" w:themeColor="text1"/>
                <w:vertAlign w:val="superscript"/>
              </w:rPr>
              <w:t>NS</w:t>
            </w:r>
          </w:p>
        </w:tc>
      </w:tr>
      <w:tr w:rsidR="00AD0116" w:rsidRPr="00AD0116" w14:paraId="42EE793B" w14:textId="77777777" w:rsidTr="00F51741">
        <w:trPr>
          <w:trHeight w:val="144"/>
        </w:trPr>
        <w:tc>
          <w:tcPr>
            <w:cnfStyle w:val="001000000000" w:firstRow="0" w:lastRow="0" w:firstColumn="1" w:lastColumn="0" w:oddVBand="0" w:evenVBand="0" w:oddHBand="0" w:evenHBand="0" w:firstRowFirstColumn="0" w:firstRowLastColumn="0" w:lastRowFirstColumn="0" w:lastRowLastColumn="0"/>
            <w:tcW w:w="598" w:type="dxa"/>
          </w:tcPr>
          <w:p w14:paraId="2FF496D2"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9</w:t>
            </w:r>
          </w:p>
        </w:tc>
        <w:tc>
          <w:tcPr>
            <w:tcW w:w="2371" w:type="dxa"/>
          </w:tcPr>
          <w:p w14:paraId="554AB946" w14:textId="77777777" w:rsidR="00DE61A6" w:rsidRPr="00AD0116" w:rsidRDefault="00DE61A6" w:rsidP="00AD0116">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 xml:space="preserve">Current semester </w:t>
            </w:r>
          </w:p>
          <w:p w14:paraId="2EB29B1B" w14:textId="77777777" w:rsidR="00DE61A6" w:rsidRPr="00AD0116" w:rsidRDefault="00DE61A6" w:rsidP="00AD0116">
            <w:pPr>
              <w:pStyle w:val="ListParagraph"/>
              <w:numPr>
                <w:ilvl w:val="0"/>
                <w:numId w:val="16"/>
              </w:numPr>
              <w:tabs>
                <w:tab w:val="left" w:pos="888"/>
              </w:tabs>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rPr>
            </w:pPr>
            <w:r w:rsidRPr="00AD0116">
              <w:rPr>
                <w:rFonts w:cstheme="minorHAnsi"/>
                <w:bCs/>
                <w:iCs/>
                <w:color w:val="000000" w:themeColor="text1"/>
              </w:rPr>
              <w:t>1-2</w:t>
            </w:r>
          </w:p>
          <w:p w14:paraId="14F52B22" w14:textId="77777777" w:rsidR="00DE61A6" w:rsidRPr="00AD0116" w:rsidRDefault="00DE61A6" w:rsidP="00AD0116">
            <w:pPr>
              <w:pStyle w:val="ListParagraph"/>
              <w:numPr>
                <w:ilvl w:val="0"/>
                <w:numId w:val="16"/>
              </w:numPr>
              <w:tabs>
                <w:tab w:val="left" w:pos="888"/>
              </w:tabs>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rPr>
            </w:pPr>
            <w:r w:rsidRPr="00AD0116">
              <w:rPr>
                <w:rFonts w:cstheme="minorHAnsi"/>
                <w:bCs/>
                <w:iCs/>
                <w:color w:val="000000" w:themeColor="text1"/>
              </w:rPr>
              <w:t>3-4</w:t>
            </w:r>
          </w:p>
          <w:p w14:paraId="1C848667" w14:textId="77777777" w:rsidR="00DE61A6" w:rsidRPr="00AD0116" w:rsidRDefault="00DE61A6" w:rsidP="00AD0116">
            <w:pPr>
              <w:pStyle w:val="ListParagraph"/>
              <w:numPr>
                <w:ilvl w:val="0"/>
                <w:numId w:val="16"/>
              </w:numPr>
              <w:tabs>
                <w:tab w:val="left" w:pos="888"/>
              </w:tabs>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rPr>
            </w:pPr>
            <w:r w:rsidRPr="00AD0116">
              <w:rPr>
                <w:rFonts w:cstheme="minorHAnsi"/>
                <w:bCs/>
                <w:iCs/>
                <w:color w:val="000000" w:themeColor="text1"/>
              </w:rPr>
              <w:t>5-6</w:t>
            </w:r>
          </w:p>
          <w:p w14:paraId="2324E919" w14:textId="77777777" w:rsidR="00DE61A6" w:rsidRPr="00AD0116" w:rsidRDefault="00DE61A6" w:rsidP="00AD0116">
            <w:pPr>
              <w:pStyle w:val="ListParagraph"/>
              <w:numPr>
                <w:ilvl w:val="0"/>
                <w:numId w:val="16"/>
              </w:numPr>
              <w:tabs>
                <w:tab w:val="left" w:pos="888"/>
              </w:tabs>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rPr>
            </w:pPr>
            <w:r w:rsidRPr="00AD0116">
              <w:rPr>
                <w:rFonts w:cstheme="minorHAnsi"/>
                <w:bCs/>
                <w:iCs/>
                <w:color w:val="000000" w:themeColor="text1"/>
              </w:rPr>
              <w:t>7-8</w:t>
            </w:r>
          </w:p>
        </w:tc>
        <w:tc>
          <w:tcPr>
            <w:tcW w:w="1314" w:type="dxa"/>
          </w:tcPr>
          <w:p w14:paraId="5A0F2917"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2A83C5D"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10</w:t>
            </w:r>
          </w:p>
          <w:p w14:paraId="5B206991"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7</w:t>
            </w:r>
          </w:p>
          <w:p w14:paraId="057EB8D8"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18</w:t>
            </w:r>
          </w:p>
          <w:p w14:paraId="6985EFC9"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6</w:t>
            </w:r>
          </w:p>
        </w:tc>
        <w:tc>
          <w:tcPr>
            <w:tcW w:w="1160" w:type="dxa"/>
          </w:tcPr>
          <w:p w14:paraId="524CF07F"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CB3295A"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26</w:t>
            </w:r>
          </w:p>
          <w:p w14:paraId="30464D25"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21</w:t>
            </w:r>
          </w:p>
          <w:p w14:paraId="140A4A34"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48</w:t>
            </w:r>
          </w:p>
          <w:p w14:paraId="69CD647C"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51</w:t>
            </w:r>
          </w:p>
        </w:tc>
        <w:tc>
          <w:tcPr>
            <w:tcW w:w="1148" w:type="dxa"/>
          </w:tcPr>
          <w:p w14:paraId="0794E0B6"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57D5CA9"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0</w:t>
            </w:r>
          </w:p>
          <w:p w14:paraId="6558C896"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0</w:t>
            </w:r>
          </w:p>
          <w:p w14:paraId="1A1412D0"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w:t>
            </w:r>
          </w:p>
          <w:p w14:paraId="0F2273C2"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w:t>
            </w:r>
          </w:p>
        </w:tc>
        <w:tc>
          <w:tcPr>
            <w:tcW w:w="1261" w:type="dxa"/>
          </w:tcPr>
          <w:p w14:paraId="37BF83D0"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9308E17" w14:textId="5E6315E1"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9.31</w:t>
            </w:r>
          </w:p>
        </w:tc>
        <w:tc>
          <w:tcPr>
            <w:tcW w:w="410" w:type="dxa"/>
          </w:tcPr>
          <w:p w14:paraId="66C7E5CA"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DC763A1"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6</w:t>
            </w:r>
          </w:p>
        </w:tc>
        <w:tc>
          <w:tcPr>
            <w:tcW w:w="934" w:type="dxa"/>
          </w:tcPr>
          <w:p w14:paraId="0545EAE3" w14:textId="77777777" w:rsidR="00DE61A6" w:rsidRPr="00AD0116" w:rsidRDefault="00DE61A6" w:rsidP="00AD0116">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650C04F"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vertAlign w:val="superscript"/>
              </w:rPr>
            </w:pPr>
            <w:r w:rsidRPr="00AD0116">
              <w:rPr>
                <w:rFonts w:cstheme="minorHAnsi"/>
                <w:color w:val="000000" w:themeColor="text1"/>
              </w:rPr>
              <w:t>0.157</w:t>
            </w:r>
            <w:r w:rsidRPr="00AD0116">
              <w:rPr>
                <w:rFonts w:cstheme="minorHAnsi"/>
                <w:color w:val="000000" w:themeColor="text1"/>
                <w:vertAlign w:val="superscript"/>
              </w:rPr>
              <w:t>NS</w:t>
            </w:r>
          </w:p>
        </w:tc>
      </w:tr>
      <w:tr w:rsidR="00AD0116" w:rsidRPr="00AD0116" w14:paraId="03679449" w14:textId="77777777" w:rsidTr="00F51741">
        <w:trPr>
          <w:cnfStyle w:val="010000000000" w:firstRow="0" w:lastRow="1" w:firstColumn="0" w:lastColumn="0" w:oddVBand="0" w:evenVBand="0" w:oddHBand="0"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598" w:type="dxa"/>
          </w:tcPr>
          <w:p w14:paraId="51ADA0CD"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10</w:t>
            </w:r>
          </w:p>
        </w:tc>
        <w:tc>
          <w:tcPr>
            <w:tcW w:w="2371" w:type="dxa"/>
          </w:tcPr>
          <w:p w14:paraId="0CFEC68C" w14:textId="77777777" w:rsidR="00DE61A6" w:rsidRPr="00AD0116" w:rsidRDefault="00DE61A6" w:rsidP="00AD0116">
            <w:pPr>
              <w:spacing w:line="276" w:lineRule="auto"/>
              <w:cnfStyle w:val="010000000000" w:firstRow="0" w:lastRow="1" w:firstColumn="0" w:lastColumn="0" w:oddVBand="0" w:evenVBand="0" w:oddHBand="0" w:evenHBand="0" w:firstRowFirstColumn="0" w:firstRowLastColumn="0" w:lastRowFirstColumn="0" w:lastRowLastColumn="0"/>
              <w:rPr>
                <w:rFonts w:cstheme="minorHAnsi"/>
                <w:b w:val="0"/>
                <w:bCs w:val="0"/>
                <w:iCs/>
                <w:color w:val="000000" w:themeColor="text1"/>
              </w:rPr>
            </w:pPr>
            <w:r w:rsidRPr="00AD0116">
              <w:rPr>
                <w:rFonts w:cstheme="minorHAnsi"/>
                <w:b w:val="0"/>
                <w:bCs w:val="0"/>
                <w:iCs/>
                <w:color w:val="000000" w:themeColor="text1"/>
              </w:rPr>
              <w:t xml:space="preserve">Sexual relationship </w:t>
            </w:r>
          </w:p>
          <w:p w14:paraId="251395D1" w14:textId="77777777" w:rsidR="00DE61A6" w:rsidRPr="00AD0116" w:rsidRDefault="00DE61A6" w:rsidP="00AD0116">
            <w:pPr>
              <w:pStyle w:val="ListParagraph"/>
              <w:numPr>
                <w:ilvl w:val="0"/>
                <w:numId w:val="6"/>
              </w:numPr>
              <w:spacing w:line="276" w:lineRule="auto"/>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r w:rsidRPr="00AD0116">
              <w:rPr>
                <w:rFonts w:cstheme="minorHAnsi"/>
                <w:b w:val="0"/>
                <w:bCs w:val="0"/>
                <w:color w:val="000000" w:themeColor="text1"/>
              </w:rPr>
              <w:t>Abstinence</w:t>
            </w:r>
          </w:p>
          <w:p w14:paraId="7B674C29" w14:textId="77777777" w:rsidR="00DE61A6" w:rsidRPr="00AD0116" w:rsidRDefault="00DE61A6" w:rsidP="00AD0116">
            <w:pPr>
              <w:pStyle w:val="ListParagraph"/>
              <w:numPr>
                <w:ilvl w:val="0"/>
                <w:numId w:val="6"/>
              </w:numPr>
              <w:spacing w:line="276" w:lineRule="auto"/>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r w:rsidRPr="00AD0116">
              <w:rPr>
                <w:rFonts w:cstheme="minorHAnsi"/>
                <w:b w:val="0"/>
                <w:bCs w:val="0"/>
                <w:color w:val="000000" w:themeColor="text1"/>
              </w:rPr>
              <w:t xml:space="preserve">Active </w:t>
            </w:r>
          </w:p>
        </w:tc>
        <w:tc>
          <w:tcPr>
            <w:tcW w:w="1314" w:type="dxa"/>
          </w:tcPr>
          <w:p w14:paraId="44E1CDE9" w14:textId="77777777"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p>
          <w:p w14:paraId="25A537CA" w14:textId="77777777"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r w:rsidRPr="00AD0116">
              <w:rPr>
                <w:rFonts w:cstheme="minorHAnsi"/>
                <w:b w:val="0"/>
                <w:bCs w:val="0"/>
                <w:color w:val="000000" w:themeColor="text1"/>
              </w:rPr>
              <w:t>40</w:t>
            </w:r>
          </w:p>
          <w:p w14:paraId="4E5A198C" w14:textId="77777777"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r w:rsidRPr="00AD0116">
              <w:rPr>
                <w:rFonts w:cstheme="minorHAnsi"/>
                <w:b w:val="0"/>
                <w:bCs w:val="0"/>
                <w:color w:val="000000" w:themeColor="text1"/>
              </w:rPr>
              <w:t>1</w:t>
            </w:r>
          </w:p>
        </w:tc>
        <w:tc>
          <w:tcPr>
            <w:tcW w:w="1160" w:type="dxa"/>
          </w:tcPr>
          <w:p w14:paraId="7192EF8A" w14:textId="77777777"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p>
          <w:p w14:paraId="2CFC7F9D" w14:textId="77777777"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r w:rsidRPr="00AD0116">
              <w:rPr>
                <w:rFonts w:cstheme="minorHAnsi"/>
                <w:b w:val="0"/>
                <w:bCs w:val="0"/>
                <w:color w:val="000000" w:themeColor="text1"/>
              </w:rPr>
              <w:t>138</w:t>
            </w:r>
          </w:p>
          <w:p w14:paraId="6DB874E3" w14:textId="77777777"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r w:rsidRPr="00AD0116">
              <w:rPr>
                <w:rFonts w:cstheme="minorHAnsi"/>
                <w:b w:val="0"/>
                <w:bCs w:val="0"/>
                <w:color w:val="000000" w:themeColor="text1"/>
              </w:rPr>
              <w:t>8</w:t>
            </w:r>
          </w:p>
        </w:tc>
        <w:tc>
          <w:tcPr>
            <w:tcW w:w="1148" w:type="dxa"/>
          </w:tcPr>
          <w:p w14:paraId="586913E9" w14:textId="77777777"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p>
          <w:p w14:paraId="522DBDC4" w14:textId="77777777"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r w:rsidRPr="00AD0116">
              <w:rPr>
                <w:rFonts w:cstheme="minorHAnsi"/>
                <w:b w:val="0"/>
                <w:bCs w:val="0"/>
                <w:color w:val="000000" w:themeColor="text1"/>
              </w:rPr>
              <w:t>5</w:t>
            </w:r>
          </w:p>
          <w:p w14:paraId="3FD5E62A" w14:textId="77777777"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r w:rsidRPr="00AD0116">
              <w:rPr>
                <w:rFonts w:cstheme="minorHAnsi"/>
                <w:b w:val="0"/>
                <w:bCs w:val="0"/>
                <w:color w:val="000000" w:themeColor="text1"/>
              </w:rPr>
              <w:t>0</w:t>
            </w:r>
          </w:p>
        </w:tc>
        <w:tc>
          <w:tcPr>
            <w:tcW w:w="1261" w:type="dxa"/>
          </w:tcPr>
          <w:p w14:paraId="0BEBAA8F" w14:textId="77777777"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p>
          <w:p w14:paraId="6AFAE67F" w14:textId="1A4B3F8B"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r w:rsidRPr="00AD0116">
              <w:rPr>
                <w:rFonts w:cstheme="minorHAnsi"/>
                <w:b w:val="0"/>
                <w:bCs w:val="0"/>
                <w:color w:val="000000" w:themeColor="text1"/>
              </w:rPr>
              <w:t>0.91</w:t>
            </w:r>
          </w:p>
        </w:tc>
        <w:tc>
          <w:tcPr>
            <w:tcW w:w="410" w:type="dxa"/>
          </w:tcPr>
          <w:p w14:paraId="366978F8" w14:textId="77777777"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p>
          <w:p w14:paraId="07528C0D" w14:textId="77777777"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r w:rsidRPr="00AD0116">
              <w:rPr>
                <w:rFonts w:cstheme="minorHAnsi"/>
                <w:b w:val="0"/>
                <w:bCs w:val="0"/>
                <w:color w:val="000000" w:themeColor="text1"/>
              </w:rPr>
              <w:t>2</w:t>
            </w:r>
          </w:p>
        </w:tc>
        <w:tc>
          <w:tcPr>
            <w:tcW w:w="934" w:type="dxa"/>
          </w:tcPr>
          <w:p w14:paraId="04D38CEB" w14:textId="77777777" w:rsidR="00DE61A6" w:rsidRPr="00AD0116" w:rsidRDefault="00DE61A6" w:rsidP="00AD0116">
            <w:pPr>
              <w:spacing w:line="276" w:lineRule="auto"/>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p>
          <w:p w14:paraId="42D1BDB5" w14:textId="77777777" w:rsidR="00DE61A6" w:rsidRPr="00AD0116" w:rsidRDefault="00DE61A6" w:rsidP="00AD0116">
            <w:pPr>
              <w:spacing w:line="276" w:lineRule="auto"/>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vertAlign w:val="superscript"/>
              </w:rPr>
            </w:pPr>
            <w:r w:rsidRPr="00AD0116">
              <w:rPr>
                <w:rFonts w:cstheme="minorHAnsi"/>
                <w:b w:val="0"/>
                <w:bCs w:val="0"/>
                <w:color w:val="000000" w:themeColor="text1"/>
              </w:rPr>
              <w:t>0.633</w:t>
            </w:r>
            <w:r w:rsidRPr="00AD0116">
              <w:rPr>
                <w:rFonts w:cstheme="minorHAnsi"/>
                <w:b w:val="0"/>
                <w:bCs w:val="0"/>
                <w:color w:val="000000" w:themeColor="text1"/>
                <w:vertAlign w:val="superscript"/>
              </w:rPr>
              <w:t>NS</w:t>
            </w:r>
          </w:p>
        </w:tc>
      </w:tr>
    </w:tbl>
    <w:p w14:paraId="37B06B98" w14:textId="77777777" w:rsidR="00DE61A6" w:rsidRPr="00AD0116" w:rsidRDefault="00DE61A6" w:rsidP="00AD0116">
      <w:pPr>
        <w:spacing w:after="0" w:line="276" w:lineRule="auto"/>
        <w:rPr>
          <w:rFonts w:cstheme="minorHAnsi"/>
          <w:color w:val="000000" w:themeColor="text1"/>
        </w:rPr>
      </w:pPr>
      <w:r w:rsidRPr="00AD0116">
        <w:rPr>
          <w:rFonts w:cstheme="minorHAnsi"/>
          <w:b/>
          <w:color w:val="000000" w:themeColor="text1"/>
        </w:rPr>
        <w:t>*p value &lt; 0.05 level of significance       NS-Non-Significant</w:t>
      </w:r>
    </w:p>
    <w:p w14:paraId="0F6C3141" w14:textId="77777777" w:rsidR="00F51741" w:rsidRPr="00AD0116" w:rsidRDefault="00F51741" w:rsidP="00AD0116">
      <w:pPr>
        <w:spacing w:line="276" w:lineRule="auto"/>
        <w:jc w:val="both"/>
        <w:rPr>
          <w:rFonts w:cstheme="minorHAnsi"/>
          <w:bCs/>
          <w:color w:val="000000" w:themeColor="text1"/>
        </w:rPr>
      </w:pPr>
    </w:p>
    <w:p w14:paraId="075A8551" w14:textId="14056D6B" w:rsidR="00DE61A6" w:rsidRPr="00AD0116" w:rsidRDefault="00F51741" w:rsidP="00AD0116">
      <w:pPr>
        <w:spacing w:after="0" w:line="276" w:lineRule="auto"/>
        <w:jc w:val="both"/>
        <w:rPr>
          <w:rFonts w:cstheme="minorHAnsi"/>
          <w:bCs/>
          <w:color w:val="000000" w:themeColor="text1"/>
        </w:rPr>
      </w:pPr>
      <w:r w:rsidRPr="00AD0116">
        <w:rPr>
          <w:rFonts w:cstheme="minorHAnsi"/>
          <w:bCs/>
          <w:color w:val="000000" w:themeColor="text1"/>
        </w:rPr>
        <w:t xml:space="preserve">Table 6 shows the association between knowledge of STIs and socio-demographic variables using Chi-square or Fisher’s exact test. A significant association was found with age and type of family (p &lt; 0.05), while marital </w:t>
      </w:r>
      <w:r w:rsidRPr="00AD0116">
        <w:rPr>
          <w:rFonts w:cstheme="minorHAnsi"/>
          <w:bCs/>
          <w:color w:val="000000" w:themeColor="text1"/>
        </w:rPr>
        <w:lastRenderedPageBreak/>
        <w:t>status, religion, sexual preference, course pursued, place of residence, family income, semester, and sexual relationship showed no significant association with STI knowledge.</w:t>
      </w:r>
    </w:p>
    <w:p w14:paraId="484A452E" w14:textId="77777777" w:rsidR="00F51741" w:rsidRPr="00AD0116" w:rsidRDefault="00F51741" w:rsidP="00AD0116">
      <w:pPr>
        <w:spacing w:after="0" w:line="276" w:lineRule="auto"/>
        <w:jc w:val="both"/>
        <w:rPr>
          <w:rFonts w:cstheme="minorHAnsi"/>
          <w:b/>
          <w:color w:val="000000" w:themeColor="text1"/>
        </w:rPr>
      </w:pPr>
    </w:p>
    <w:p w14:paraId="36B93098" w14:textId="77777777" w:rsidR="00DE61A6" w:rsidRPr="00AD0116" w:rsidRDefault="00DE61A6" w:rsidP="00AD0116">
      <w:pPr>
        <w:spacing w:after="0" w:line="276" w:lineRule="auto"/>
        <w:jc w:val="both"/>
        <w:rPr>
          <w:rFonts w:cstheme="minorHAnsi"/>
          <w:b/>
          <w:color w:val="000000" w:themeColor="text1"/>
        </w:rPr>
      </w:pPr>
      <w:r w:rsidRPr="00AD0116">
        <w:rPr>
          <w:rFonts w:cstheme="minorHAnsi"/>
          <w:b/>
          <w:color w:val="000000" w:themeColor="text1"/>
        </w:rPr>
        <w:t xml:space="preserve">Table 7:  Association between attitude towards Sexually Transmitted Infections (STIs) among College Students with socio demographic variables </w:t>
      </w:r>
    </w:p>
    <w:p w14:paraId="798A0B96" w14:textId="77777777" w:rsidR="00DE61A6" w:rsidRPr="00AD0116" w:rsidRDefault="00DE61A6" w:rsidP="00AD0116">
      <w:pPr>
        <w:spacing w:after="0" w:line="276" w:lineRule="auto"/>
        <w:jc w:val="right"/>
        <w:rPr>
          <w:rFonts w:cstheme="minorHAnsi"/>
          <w:b/>
          <w:color w:val="000000" w:themeColor="text1"/>
        </w:rPr>
      </w:pPr>
      <w:r w:rsidRPr="00AD0116">
        <w:rPr>
          <w:rFonts w:cstheme="minorHAnsi"/>
          <w:b/>
          <w:color w:val="000000" w:themeColor="text1"/>
        </w:rPr>
        <w:tab/>
      </w:r>
      <w:r w:rsidRPr="00AD0116">
        <w:rPr>
          <w:rFonts w:cstheme="minorHAnsi"/>
          <w:b/>
          <w:color w:val="000000" w:themeColor="text1"/>
        </w:rPr>
        <w:tab/>
      </w:r>
      <w:r w:rsidRPr="00AD0116">
        <w:rPr>
          <w:rFonts w:cstheme="minorHAnsi"/>
          <w:b/>
          <w:color w:val="000000" w:themeColor="text1"/>
        </w:rPr>
        <w:tab/>
      </w:r>
      <w:r w:rsidRPr="00AD0116">
        <w:rPr>
          <w:rFonts w:cstheme="minorHAnsi"/>
          <w:b/>
          <w:color w:val="000000" w:themeColor="text1"/>
        </w:rPr>
        <w:tab/>
      </w:r>
      <w:r w:rsidRPr="00AD0116">
        <w:rPr>
          <w:rFonts w:cstheme="minorHAnsi"/>
          <w:b/>
          <w:color w:val="000000" w:themeColor="text1"/>
        </w:rPr>
        <w:tab/>
      </w:r>
      <w:r w:rsidRPr="00AD0116">
        <w:rPr>
          <w:rFonts w:cstheme="minorHAnsi"/>
          <w:b/>
          <w:color w:val="000000" w:themeColor="text1"/>
        </w:rPr>
        <w:tab/>
      </w:r>
      <w:r w:rsidRPr="00AD0116">
        <w:rPr>
          <w:rFonts w:cstheme="minorHAnsi"/>
          <w:b/>
          <w:color w:val="000000" w:themeColor="text1"/>
        </w:rPr>
        <w:tab/>
      </w:r>
      <w:r w:rsidRPr="00AD0116">
        <w:rPr>
          <w:rFonts w:cstheme="minorHAnsi"/>
          <w:b/>
          <w:color w:val="000000" w:themeColor="text1"/>
        </w:rPr>
        <w:tab/>
      </w:r>
      <w:r w:rsidRPr="00AD0116">
        <w:rPr>
          <w:rFonts w:cstheme="minorHAnsi"/>
          <w:b/>
          <w:color w:val="000000" w:themeColor="text1"/>
        </w:rPr>
        <w:tab/>
        <w:t>N=192</w:t>
      </w:r>
    </w:p>
    <w:tbl>
      <w:tblPr>
        <w:tblStyle w:val="PlainTable2"/>
        <w:tblW w:w="8994" w:type="dxa"/>
        <w:tblLook w:val="04E0" w:firstRow="1" w:lastRow="1" w:firstColumn="1" w:lastColumn="0" w:noHBand="0" w:noVBand="1"/>
      </w:tblPr>
      <w:tblGrid>
        <w:gridCol w:w="505"/>
        <w:gridCol w:w="3349"/>
        <w:gridCol w:w="1123"/>
        <w:gridCol w:w="1390"/>
        <w:gridCol w:w="1146"/>
        <w:gridCol w:w="589"/>
        <w:gridCol w:w="892"/>
      </w:tblGrid>
      <w:tr w:rsidR="00AD0116" w:rsidRPr="00AD0116" w14:paraId="27847C22" w14:textId="77777777" w:rsidTr="00F51741">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505" w:type="dxa"/>
            <w:vMerge w:val="restart"/>
          </w:tcPr>
          <w:p w14:paraId="3FEB6790" w14:textId="77777777" w:rsidR="00DE61A6" w:rsidRPr="00AD0116" w:rsidRDefault="00DE61A6" w:rsidP="00AD0116">
            <w:pPr>
              <w:spacing w:line="276" w:lineRule="auto"/>
              <w:jc w:val="center"/>
              <w:rPr>
                <w:rFonts w:cstheme="minorHAnsi"/>
                <w:b w:val="0"/>
                <w:color w:val="000000" w:themeColor="text1"/>
              </w:rPr>
            </w:pPr>
            <w:r w:rsidRPr="00AD0116">
              <w:rPr>
                <w:rFonts w:cstheme="minorHAnsi"/>
                <w:color w:val="000000" w:themeColor="text1"/>
              </w:rPr>
              <w:t xml:space="preserve">S. </w:t>
            </w:r>
          </w:p>
          <w:p w14:paraId="44F0D2B5" w14:textId="77777777" w:rsidR="00DE61A6" w:rsidRPr="00AD0116" w:rsidRDefault="00DE61A6" w:rsidP="00AD0116">
            <w:pPr>
              <w:spacing w:line="276" w:lineRule="auto"/>
              <w:jc w:val="center"/>
              <w:rPr>
                <w:rFonts w:cstheme="minorHAnsi"/>
                <w:b w:val="0"/>
                <w:color w:val="000000" w:themeColor="text1"/>
              </w:rPr>
            </w:pPr>
            <w:r w:rsidRPr="00AD0116">
              <w:rPr>
                <w:rFonts w:cstheme="minorHAnsi"/>
                <w:color w:val="000000" w:themeColor="text1"/>
              </w:rPr>
              <w:t>No</w:t>
            </w:r>
          </w:p>
        </w:tc>
        <w:tc>
          <w:tcPr>
            <w:tcW w:w="3349" w:type="dxa"/>
            <w:vMerge w:val="restart"/>
          </w:tcPr>
          <w:p w14:paraId="65D049F6"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AD0116">
              <w:rPr>
                <w:rFonts w:cstheme="minorHAnsi"/>
                <w:color w:val="000000" w:themeColor="text1"/>
              </w:rPr>
              <w:t>Demographic Variables</w:t>
            </w:r>
          </w:p>
        </w:tc>
        <w:tc>
          <w:tcPr>
            <w:tcW w:w="2513" w:type="dxa"/>
            <w:gridSpan w:val="2"/>
          </w:tcPr>
          <w:p w14:paraId="02B244E7"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sidRPr="00AD0116">
              <w:rPr>
                <w:rFonts w:cstheme="minorHAnsi"/>
                <w:color w:val="000000" w:themeColor="text1"/>
              </w:rPr>
              <w:t xml:space="preserve">Attitude </w:t>
            </w:r>
          </w:p>
        </w:tc>
        <w:tc>
          <w:tcPr>
            <w:tcW w:w="1146" w:type="dxa"/>
            <w:vMerge w:val="restart"/>
          </w:tcPr>
          <w:p w14:paraId="0C09FFED"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lang w:val="en-IN" w:eastAsia="en-IN"/>
              </w:rPr>
            </w:pPr>
            <w:r w:rsidRPr="00AD0116">
              <w:rPr>
                <w:rFonts w:cstheme="minorHAnsi"/>
                <w:color w:val="000000" w:themeColor="text1"/>
              </w:rPr>
              <w:t>Fishers</w:t>
            </w:r>
            <w:r w:rsidRPr="00AD0116">
              <w:rPr>
                <w:rFonts w:cstheme="minorHAnsi"/>
                <w:b w:val="0"/>
                <w:color w:val="000000" w:themeColor="text1"/>
              </w:rPr>
              <w:t>/</w:t>
            </w:r>
            <w:r w:rsidRPr="00AD0116">
              <w:rPr>
                <w:rFonts w:cstheme="minorHAnsi"/>
                <w:color w:val="000000" w:themeColor="text1"/>
              </w:rPr>
              <w:t xml:space="preserve"> χ2 </w:t>
            </w:r>
            <w:r w:rsidRPr="00AD0116">
              <w:rPr>
                <w:rFonts w:cstheme="minorHAnsi"/>
                <w:color w:val="000000" w:themeColor="text1"/>
                <w:lang w:val="en-IN" w:eastAsia="en-IN"/>
              </w:rPr>
              <w:t>value</w:t>
            </w:r>
          </w:p>
        </w:tc>
        <w:tc>
          <w:tcPr>
            <w:tcW w:w="589" w:type="dxa"/>
            <w:vMerge w:val="restart"/>
          </w:tcPr>
          <w:p w14:paraId="76ABEECE"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AD0116">
              <w:rPr>
                <w:rFonts w:cstheme="minorHAnsi"/>
                <w:color w:val="000000" w:themeColor="text1"/>
              </w:rPr>
              <w:t>df</w:t>
            </w:r>
          </w:p>
        </w:tc>
        <w:tc>
          <w:tcPr>
            <w:tcW w:w="892" w:type="dxa"/>
            <w:vMerge w:val="restart"/>
          </w:tcPr>
          <w:p w14:paraId="3CF53F26"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AD0116">
              <w:rPr>
                <w:rFonts w:cstheme="minorHAnsi"/>
                <w:color w:val="000000" w:themeColor="text1"/>
              </w:rPr>
              <w:t>p value</w:t>
            </w:r>
          </w:p>
        </w:tc>
      </w:tr>
      <w:tr w:rsidR="00AD0116" w:rsidRPr="00AD0116" w14:paraId="75EAF995" w14:textId="77777777" w:rsidTr="00F51741">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5" w:type="dxa"/>
            <w:vMerge/>
          </w:tcPr>
          <w:p w14:paraId="209AEA56" w14:textId="77777777" w:rsidR="00DE61A6" w:rsidRPr="00AD0116" w:rsidRDefault="00DE61A6" w:rsidP="00AD0116">
            <w:pPr>
              <w:spacing w:line="276" w:lineRule="auto"/>
              <w:jc w:val="center"/>
              <w:rPr>
                <w:rFonts w:cstheme="minorHAnsi"/>
                <w:b w:val="0"/>
                <w:color w:val="000000" w:themeColor="text1"/>
              </w:rPr>
            </w:pPr>
          </w:p>
        </w:tc>
        <w:tc>
          <w:tcPr>
            <w:tcW w:w="3349" w:type="dxa"/>
            <w:vMerge/>
          </w:tcPr>
          <w:p w14:paraId="721CB1BE"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p>
        </w:tc>
        <w:tc>
          <w:tcPr>
            <w:tcW w:w="1123" w:type="dxa"/>
          </w:tcPr>
          <w:p w14:paraId="51DBB152"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AD0116">
              <w:rPr>
                <w:rFonts w:cstheme="minorHAnsi"/>
                <w:b/>
                <w:color w:val="000000" w:themeColor="text1"/>
              </w:rPr>
              <w:t xml:space="preserve">Neutral </w:t>
            </w:r>
          </w:p>
        </w:tc>
        <w:tc>
          <w:tcPr>
            <w:tcW w:w="1389" w:type="dxa"/>
          </w:tcPr>
          <w:p w14:paraId="742E74D2"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AD0116">
              <w:rPr>
                <w:rFonts w:cstheme="minorHAnsi"/>
                <w:b/>
                <w:color w:val="000000" w:themeColor="text1"/>
              </w:rPr>
              <w:t xml:space="preserve">Unfavorable </w:t>
            </w:r>
          </w:p>
        </w:tc>
        <w:tc>
          <w:tcPr>
            <w:tcW w:w="1146" w:type="dxa"/>
            <w:vMerge/>
          </w:tcPr>
          <w:p w14:paraId="35449AEB"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p>
        </w:tc>
        <w:tc>
          <w:tcPr>
            <w:tcW w:w="589" w:type="dxa"/>
            <w:vMerge/>
          </w:tcPr>
          <w:p w14:paraId="23F80250"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p>
        </w:tc>
        <w:tc>
          <w:tcPr>
            <w:tcW w:w="892" w:type="dxa"/>
            <w:vMerge/>
          </w:tcPr>
          <w:p w14:paraId="7C7D81D6"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p>
        </w:tc>
      </w:tr>
      <w:tr w:rsidR="00AD0116" w:rsidRPr="00AD0116" w14:paraId="0AEE95CB" w14:textId="77777777" w:rsidTr="00F51741">
        <w:trPr>
          <w:trHeight w:val="1282"/>
        </w:trPr>
        <w:tc>
          <w:tcPr>
            <w:cnfStyle w:val="001000000000" w:firstRow="0" w:lastRow="0" w:firstColumn="1" w:lastColumn="0" w:oddVBand="0" w:evenVBand="0" w:oddHBand="0" w:evenHBand="0" w:firstRowFirstColumn="0" w:firstRowLastColumn="0" w:lastRowFirstColumn="0" w:lastRowLastColumn="0"/>
            <w:tcW w:w="505" w:type="dxa"/>
          </w:tcPr>
          <w:p w14:paraId="5275B94C"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1</w:t>
            </w:r>
          </w:p>
        </w:tc>
        <w:tc>
          <w:tcPr>
            <w:tcW w:w="3349" w:type="dxa"/>
          </w:tcPr>
          <w:p w14:paraId="09526F4E" w14:textId="77777777" w:rsidR="00DE61A6" w:rsidRPr="00AD0116" w:rsidRDefault="00DE61A6" w:rsidP="00AD0116">
            <w:p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 xml:space="preserve">Age in years </w:t>
            </w:r>
          </w:p>
          <w:p w14:paraId="3A84BCE2" w14:textId="77777777" w:rsidR="00DE61A6" w:rsidRPr="00AD0116" w:rsidRDefault="00DE61A6" w:rsidP="00AD0116">
            <w:pPr>
              <w:pStyle w:val="ListParagraph"/>
              <w:numPr>
                <w:ilvl w:val="0"/>
                <w:numId w:val="18"/>
              </w:num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19-30</w:t>
            </w:r>
          </w:p>
          <w:p w14:paraId="114EF0C3" w14:textId="77777777" w:rsidR="00DE61A6" w:rsidRPr="00AD0116" w:rsidRDefault="00DE61A6" w:rsidP="00AD0116">
            <w:pPr>
              <w:pStyle w:val="ListParagraph"/>
              <w:numPr>
                <w:ilvl w:val="0"/>
                <w:numId w:val="18"/>
              </w:num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31-4</w:t>
            </w:r>
          </w:p>
          <w:p w14:paraId="1C772755" w14:textId="77777777" w:rsidR="00DE61A6" w:rsidRPr="00AD0116" w:rsidRDefault="00DE61A6" w:rsidP="00AD0116">
            <w:pPr>
              <w:pStyle w:val="ListParagraph"/>
              <w:numPr>
                <w:ilvl w:val="0"/>
                <w:numId w:val="18"/>
              </w:num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 xml:space="preserve">41-50 </w:t>
            </w:r>
          </w:p>
        </w:tc>
        <w:tc>
          <w:tcPr>
            <w:tcW w:w="1123" w:type="dxa"/>
          </w:tcPr>
          <w:p w14:paraId="222CAE17"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71F6367"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49</w:t>
            </w:r>
          </w:p>
          <w:p w14:paraId="7A351EFC"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24</w:t>
            </w:r>
          </w:p>
          <w:p w14:paraId="62F2AF11"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23</w:t>
            </w:r>
          </w:p>
        </w:tc>
        <w:tc>
          <w:tcPr>
            <w:tcW w:w="1389" w:type="dxa"/>
          </w:tcPr>
          <w:p w14:paraId="13331365"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97BB29B"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22</w:t>
            </w:r>
          </w:p>
          <w:p w14:paraId="097F9E88"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57</w:t>
            </w:r>
          </w:p>
          <w:p w14:paraId="7FF1800C"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17</w:t>
            </w:r>
          </w:p>
        </w:tc>
        <w:tc>
          <w:tcPr>
            <w:tcW w:w="1146" w:type="dxa"/>
          </w:tcPr>
          <w:p w14:paraId="6ECA58D9"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3BF6CD9"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24.61</w:t>
            </w:r>
          </w:p>
        </w:tc>
        <w:tc>
          <w:tcPr>
            <w:tcW w:w="589" w:type="dxa"/>
          </w:tcPr>
          <w:p w14:paraId="41BFAFF3"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1CDE56D"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w:t>
            </w:r>
          </w:p>
        </w:tc>
        <w:tc>
          <w:tcPr>
            <w:tcW w:w="892" w:type="dxa"/>
          </w:tcPr>
          <w:p w14:paraId="02E772E0"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42E9AA0"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vertAlign w:val="superscript"/>
              </w:rPr>
            </w:pPr>
            <w:r w:rsidRPr="00AD0116">
              <w:rPr>
                <w:rFonts w:cstheme="minorHAnsi"/>
                <w:color w:val="000000" w:themeColor="text1"/>
              </w:rPr>
              <w:t>0.001*</w:t>
            </w:r>
          </w:p>
        </w:tc>
      </w:tr>
      <w:tr w:rsidR="00AD0116" w:rsidRPr="00AD0116" w14:paraId="416C8792" w14:textId="77777777" w:rsidTr="00F51741">
        <w:trPr>
          <w:cnfStyle w:val="000000100000" w:firstRow="0" w:lastRow="0" w:firstColumn="0" w:lastColumn="0" w:oddVBand="0" w:evenVBand="0" w:oddHBand="1" w:evenHBand="0" w:firstRowFirstColumn="0" w:firstRowLastColumn="0" w:lastRowFirstColumn="0" w:lastRowLastColumn="0"/>
          <w:trHeight w:val="959"/>
        </w:trPr>
        <w:tc>
          <w:tcPr>
            <w:cnfStyle w:val="001000000000" w:firstRow="0" w:lastRow="0" w:firstColumn="1" w:lastColumn="0" w:oddVBand="0" w:evenVBand="0" w:oddHBand="0" w:evenHBand="0" w:firstRowFirstColumn="0" w:firstRowLastColumn="0" w:lastRowFirstColumn="0" w:lastRowLastColumn="0"/>
            <w:tcW w:w="505" w:type="dxa"/>
          </w:tcPr>
          <w:p w14:paraId="7DF5308D"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2</w:t>
            </w:r>
          </w:p>
        </w:tc>
        <w:tc>
          <w:tcPr>
            <w:tcW w:w="3349" w:type="dxa"/>
          </w:tcPr>
          <w:p w14:paraId="42547B6D" w14:textId="77777777" w:rsidR="00DE61A6" w:rsidRPr="00AD0116" w:rsidRDefault="00DE61A6" w:rsidP="00AD011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AD0116">
              <w:rPr>
                <w:rFonts w:asciiTheme="minorHAnsi" w:hAnsiTheme="minorHAnsi" w:cstheme="minorHAnsi"/>
                <w:color w:val="000000" w:themeColor="text1"/>
                <w:sz w:val="22"/>
                <w:szCs w:val="22"/>
              </w:rPr>
              <w:t xml:space="preserve">Marital status </w:t>
            </w:r>
          </w:p>
          <w:p w14:paraId="3E0FCE41" w14:textId="77777777" w:rsidR="00DE61A6" w:rsidRPr="00AD0116" w:rsidRDefault="00DE61A6" w:rsidP="00AD0116">
            <w:pPr>
              <w:pStyle w:val="ListParagraph"/>
              <w:numPr>
                <w:ilvl w:val="0"/>
                <w:numId w:val="19"/>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rPr>
            </w:pPr>
            <w:r w:rsidRPr="00AD0116">
              <w:rPr>
                <w:rFonts w:cstheme="minorHAnsi"/>
                <w:color w:val="000000" w:themeColor="text1"/>
              </w:rPr>
              <w:t>Unmarried</w:t>
            </w:r>
          </w:p>
          <w:p w14:paraId="7F685C4A" w14:textId="77777777" w:rsidR="00DE61A6" w:rsidRPr="00AD0116" w:rsidRDefault="00DE61A6" w:rsidP="00AD0116">
            <w:pPr>
              <w:pStyle w:val="ListParagraph"/>
              <w:numPr>
                <w:ilvl w:val="0"/>
                <w:numId w:val="19"/>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rPr>
            </w:pPr>
            <w:r w:rsidRPr="00AD0116">
              <w:rPr>
                <w:rFonts w:cstheme="minorHAnsi"/>
                <w:color w:val="000000" w:themeColor="text1"/>
              </w:rPr>
              <w:t xml:space="preserve">Married   </w:t>
            </w:r>
          </w:p>
        </w:tc>
        <w:tc>
          <w:tcPr>
            <w:tcW w:w="1123" w:type="dxa"/>
          </w:tcPr>
          <w:p w14:paraId="61A98A6D"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40306811"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95</w:t>
            </w:r>
          </w:p>
          <w:p w14:paraId="1C15204E"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w:t>
            </w:r>
          </w:p>
        </w:tc>
        <w:tc>
          <w:tcPr>
            <w:tcW w:w="1389" w:type="dxa"/>
          </w:tcPr>
          <w:p w14:paraId="718518CA"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1A14F007"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95</w:t>
            </w:r>
          </w:p>
          <w:p w14:paraId="3048ECB9"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w:t>
            </w:r>
          </w:p>
        </w:tc>
        <w:tc>
          <w:tcPr>
            <w:tcW w:w="1146" w:type="dxa"/>
          </w:tcPr>
          <w:p w14:paraId="78AE472D"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50ED7E9C"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0.0</w:t>
            </w:r>
          </w:p>
        </w:tc>
        <w:tc>
          <w:tcPr>
            <w:tcW w:w="589" w:type="dxa"/>
          </w:tcPr>
          <w:p w14:paraId="421F0ADA"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BF0216A"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w:t>
            </w:r>
          </w:p>
        </w:tc>
        <w:tc>
          <w:tcPr>
            <w:tcW w:w="892" w:type="dxa"/>
          </w:tcPr>
          <w:p w14:paraId="063EBFA5"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04AD224"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vertAlign w:val="superscript"/>
              </w:rPr>
            </w:pPr>
            <w:r w:rsidRPr="00AD0116">
              <w:rPr>
                <w:rFonts w:cstheme="minorHAnsi"/>
                <w:color w:val="000000" w:themeColor="text1"/>
              </w:rPr>
              <w:t>1.000</w:t>
            </w:r>
            <w:r w:rsidRPr="00AD0116">
              <w:rPr>
                <w:rFonts w:cstheme="minorHAnsi"/>
                <w:color w:val="000000" w:themeColor="text1"/>
                <w:vertAlign w:val="superscript"/>
              </w:rPr>
              <w:t>NS</w:t>
            </w:r>
          </w:p>
        </w:tc>
      </w:tr>
      <w:tr w:rsidR="00AD0116" w:rsidRPr="00AD0116" w14:paraId="7FC30E15" w14:textId="77777777" w:rsidTr="00EC4D91">
        <w:trPr>
          <w:trHeight w:val="1553"/>
        </w:trPr>
        <w:tc>
          <w:tcPr>
            <w:cnfStyle w:val="001000000000" w:firstRow="0" w:lastRow="0" w:firstColumn="1" w:lastColumn="0" w:oddVBand="0" w:evenVBand="0" w:oddHBand="0" w:evenHBand="0" w:firstRowFirstColumn="0" w:firstRowLastColumn="0" w:lastRowFirstColumn="0" w:lastRowLastColumn="0"/>
            <w:tcW w:w="505" w:type="dxa"/>
          </w:tcPr>
          <w:p w14:paraId="7B99B35E"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3</w:t>
            </w:r>
          </w:p>
        </w:tc>
        <w:tc>
          <w:tcPr>
            <w:tcW w:w="3349" w:type="dxa"/>
          </w:tcPr>
          <w:p w14:paraId="52831A5A" w14:textId="77777777" w:rsidR="00DE61A6" w:rsidRPr="00AD0116" w:rsidRDefault="00DE61A6" w:rsidP="00AD0116">
            <w:p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 xml:space="preserve"> Religion</w:t>
            </w:r>
          </w:p>
          <w:p w14:paraId="0A96DC9E" w14:textId="77777777" w:rsidR="00DE61A6" w:rsidRPr="00AD0116" w:rsidRDefault="00DE61A6" w:rsidP="00AD0116">
            <w:pPr>
              <w:pStyle w:val="ListParagraph"/>
              <w:numPr>
                <w:ilvl w:val="0"/>
                <w:numId w:val="20"/>
              </w:num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Hindu</w:t>
            </w:r>
          </w:p>
          <w:p w14:paraId="589A5EC8" w14:textId="77777777" w:rsidR="00DE61A6" w:rsidRPr="00AD0116" w:rsidRDefault="00DE61A6" w:rsidP="00AD0116">
            <w:pPr>
              <w:pStyle w:val="ListParagraph"/>
              <w:numPr>
                <w:ilvl w:val="0"/>
                <w:numId w:val="20"/>
              </w:num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Christian</w:t>
            </w:r>
          </w:p>
          <w:p w14:paraId="35330024" w14:textId="77777777" w:rsidR="00DE61A6" w:rsidRPr="00AD0116" w:rsidRDefault="00DE61A6" w:rsidP="00AD0116">
            <w:pPr>
              <w:pStyle w:val="ListParagraph"/>
              <w:numPr>
                <w:ilvl w:val="0"/>
                <w:numId w:val="20"/>
              </w:num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Muslim</w:t>
            </w:r>
          </w:p>
          <w:p w14:paraId="0099249F" w14:textId="77777777" w:rsidR="00DE61A6" w:rsidRPr="00AD0116" w:rsidRDefault="00DE61A6" w:rsidP="00AD0116">
            <w:pPr>
              <w:pStyle w:val="ListParagraph"/>
              <w:numPr>
                <w:ilvl w:val="0"/>
                <w:numId w:val="20"/>
              </w:num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 xml:space="preserve">Buddhist </w:t>
            </w:r>
          </w:p>
          <w:p w14:paraId="0E1E9C71" w14:textId="77777777" w:rsidR="00DE61A6" w:rsidRPr="00AD0116" w:rsidRDefault="00DE61A6" w:rsidP="00AD0116">
            <w:pPr>
              <w:pStyle w:val="ListParagraph"/>
              <w:numPr>
                <w:ilvl w:val="0"/>
                <w:numId w:val="20"/>
              </w:num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 xml:space="preserve">Others </w:t>
            </w:r>
          </w:p>
        </w:tc>
        <w:tc>
          <w:tcPr>
            <w:tcW w:w="1123" w:type="dxa"/>
          </w:tcPr>
          <w:p w14:paraId="476442C4"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C622285"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19</w:t>
            </w:r>
          </w:p>
          <w:p w14:paraId="0BD32B3A"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18</w:t>
            </w:r>
          </w:p>
          <w:p w14:paraId="3F2DFA8E"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9</w:t>
            </w:r>
          </w:p>
          <w:p w14:paraId="61F1F30C"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40</w:t>
            </w:r>
          </w:p>
          <w:p w14:paraId="1A060EEB"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10</w:t>
            </w:r>
          </w:p>
        </w:tc>
        <w:tc>
          <w:tcPr>
            <w:tcW w:w="1389" w:type="dxa"/>
          </w:tcPr>
          <w:p w14:paraId="75771500"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46D93B6"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30</w:t>
            </w:r>
          </w:p>
          <w:p w14:paraId="2AC8B0EB"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23</w:t>
            </w:r>
          </w:p>
          <w:p w14:paraId="7037EE53"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10</w:t>
            </w:r>
          </w:p>
          <w:p w14:paraId="2CBEE6E1"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25</w:t>
            </w:r>
          </w:p>
          <w:p w14:paraId="32AC21FA"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8</w:t>
            </w:r>
          </w:p>
        </w:tc>
        <w:tc>
          <w:tcPr>
            <w:tcW w:w="1146" w:type="dxa"/>
          </w:tcPr>
          <w:p w14:paraId="10A03E4D"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E82D893" w14:textId="2538162A"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6.81</w:t>
            </w:r>
          </w:p>
        </w:tc>
        <w:tc>
          <w:tcPr>
            <w:tcW w:w="589" w:type="dxa"/>
          </w:tcPr>
          <w:p w14:paraId="2CBB7FFB"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0298E56"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4</w:t>
            </w:r>
          </w:p>
        </w:tc>
        <w:tc>
          <w:tcPr>
            <w:tcW w:w="892" w:type="dxa"/>
          </w:tcPr>
          <w:p w14:paraId="45463E07" w14:textId="77777777" w:rsidR="00DE61A6" w:rsidRPr="00AD0116" w:rsidRDefault="00DE61A6" w:rsidP="00AD0116">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2C662A4"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vertAlign w:val="superscript"/>
              </w:rPr>
            </w:pPr>
            <w:r w:rsidRPr="00AD0116">
              <w:rPr>
                <w:rFonts w:cstheme="minorHAnsi"/>
                <w:color w:val="000000" w:themeColor="text1"/>
              </w:rPr>
              <w:t>0.146</w:t>
            </w:r>
            <w:r w:rsidRPr="00AD0116">
              <w:rPr>
                <w:rFonts w:cstheme="minorHAnsi"/>
                <w:color w:val="000000" w:themeColor="text1"/>
                <w:vertAlign w:val="superscript"/>
              </w:rPr>
              <w:t>NS</w:t>
            </w:r>
          </w:p>
        </w:tc>
      </w:tr>
      <w:tr w:rsidR="00AD0116" w:rsidRPr="00AD0116" w14:paraId="3BE111D3" w14:textId="77777777" w:rsidTr="00EC4D91">
        <w:trPr>
          <w:cnfStyle w:val="000000100000" w:firstRow="0" w:lastRow="0" w:firstColumn="0" w:lastColumn="0" w:oddVBand="0" w:evenVBand="0" w:oddHBand="1" w:evenHBand="0" w:firstRowFirstColumn="0" w:firstRowLastColumn="0" w:lastRowFirstColumn="0" w:lastRowLastColumn="0"/>
          <w:trHeight w:val="1844"/>
        </w:trPr>
        <w:tc>
          <w:tcPr>
            <w:cnfStyle w:val="001000000000" w:firstRow="0" w:lastRow="0" w:firstColumn="1" w:lastColumn="0" w:oddVBand="0" w:evenVBand="0" w:oddHBand="0" w:evenHBand="0" w:firstRowFirstColumn="0" w:firstRowLastColumn="0" w:lastRowFirstColumn="0" w:lastRowLastColumn="0"/>
            <w:tcW w:w="505" w:type="dxa"/>
          </w:tcPr>
          <w:p w14:paraId="79003A08"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4</w:t>
            </w:r>
          </w:p>
        </w:tc>
        <w:tc>
          <w:tcPr>
            <w:tcW w:w="3349" w:type="dxa"/>
          </w:tcPr>
          <w:p w14:paraId="18BF2F3B" w14:textId="77777777" w:rsidR="00DE61A6" w:rsidRPr="00AD0116" w:rsidRDefault="00DE61A6" w:rsidP="00AD0116">
            <w:pPr>
              <w:spacing w:line="276" w:lineRule="auto"/>
              <w:jc w:val="lowKashida"/>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 xml:space="preserve">Sexual preference </w:t>
            </w:r>
          </w:p>
          <w:p w14:paraId="7983BAAE" w14:textId="77777777" w:rsidR="00DE61A6" w:rsidRPr="00AD0116" w:rsidRDefault="00DE61A6" w:rsidP="00AD0116">
            <w:pPr>
              <w:pStyle w:val="ListParagraph"/>
              <w:numPr>
                <w:ilvl w:val="0"/>
                <w:numId w:val="21"/>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Heterosexual</w:t>
            </w:r>
          </w:p>
          <w:p w14:paraId="4D9D93A8" w14:textId="77777777" w:rsidR="00DE61A6" w:rsidRPr="00AD0116" w:rsidRDefault="00DE61A6" w:rsidP="00AD0116">
            <w:pPr>
              <w:pStyle w:val="ListParagraph"/>
              <w:numPr>
                <w:ilvl w:val="0"/>
                <w:numId w:val="21"/>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Homosexual</w:t>
            </w:r>
          </w:p>
          <w:p w14:paraId="313663FB" w14:textId="77777777" w:rsidR="00DE61A6" w:rsidRPr="00AD0116" w:rsidRDefault="00DE61A6" w:rsidP="00AD0116">
            <w:pPr>
              <w:pStyle w:val="ListParagraph"/>
              <w:numPr>
                <w:ilvl w:val="0"/>
                <w:numId w:val="21"/>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Bisexual</w:t>
            </w:r>
          </w:p>
          <w:p w14:paraId="0EA666C2" w14:textId="77777777" w:rsidR="00DE61A6" w:rsidRPr="00AD0116" w:rsidRDefault="00DE61A6" w:rsidP="00AD0116">
            <w:pPr>
              <w:pStyle w:val="ListParagraph"/>
              <w:numPr>
                <w:ilvl w:val="0"/>
                <w:numId w:val="21"/>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Asexual</w:t>
            </w:r>
          </w:p>
          <w:p w14:paraId="20C0DA66" w14:textId="77777777" w:rsidR="00DE61A6" w:rsidRPr="00AD0116" w:rsidRDefault="00DE61A6" w:rsidP="00AD0116">
            <w:pPr>
              <w:pStyle w:val="ListParagraph"/>
              <w:numPr>
                <w:ilvl w:val="0"/>
                <w:numId w:val="21"/>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 xml:space="preserve">Other (Please specify): </w:t>
            </w:r>
          </w:p>
          <w:p w14:paraId="21873E31" w14:textId="77777777" w:rsidR="00DE61A6" w:rsidRPr="00AD0116" w:rsidRDefault="00DE61A6" w:rsidP="00AD0116">
            <w:pPr>
              <w:pStyle w:val="ListParagraph"/>
              <w:numPr>
                <w:ilvl w:val="0"/>
                <w:numId w:val="21"/>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Prefer not to say</w:t>
            </w:r>
          </w:p>
        </w:tc>
        <w:tc>
          <w:tcPr>
            <w:tcW w:w="1123" w:type="dxa"/>
          </w:tcPr>
          <w:p w14:paraId="5C69AE0C"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5D46F0CD"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95</w:t>
            </w:r>
          </w:p>
          <w:p w14:paraId="0590DEA3"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21B9D7DA"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719A885B"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506DF3CF"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252F23A4"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w:t>
            </w:r>
          </w:p>
        </w:tc>
        <w:tc>
          <w:tcPr>
            <w:tcW w:w="1389" w:type="dxa"/>
          </w:tcPr>
          <w:p w14:paraId="1C772372"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2197903A"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94</w:t>
            </w:r>
          </w:p>
          <w:p w14:paraId="4E84C34E"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5645770E"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41F52742"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74EFDA47"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3095C4B0"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w:t>
            </w:r>
          </w:p>
        </w:tc>
        <w:tc>
          <w:tcPr>
            <w:tcW w:w="1146" w:type="dxa"/>
          </w:tcPr>
          <w:p w14:paraId="7CA7672E"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D2E4859" w14:textId="53D17310"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2.33</w:t>
            </w:r>
          </w:p>
        </w:tc>
        <w:tc>
          <w:tcPr>
            <w:tcW w:w="589" w:type="dxa"/>
          </w:tcPr>
          <w:p w14:paraId="339A42E4"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40050663"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w:t>
            </w:r>
          </w:p>
        </w:tc>
        <w:tc>
          <w:tcPr>
            <w:tcW w:w="892" w:type="dxa"/>
          </w:tcPr>
          <w:p w14:paraId="1BD2CA7A" w14:textId="77777777" w:rsidR="00DE61A6" w:rsidRPr="00AD0116" w:rsidRDefault="00DE61A6" w:rsidP="00AD011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00AE5AE1"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vertAlign w:val="superscript"/>
              </w:rPr>
            </w:pPr>
            <w:r w:rsidRPr="00AD0116">
              <w:rPr>
                <w:rFonts w:cstheme="minorHAnsi"/>
                <w:color w:val="000000" w:themeColor="text1"/>
              </w:rPr>
              <w:t>0.311</w:t>
            </w:r>
            <w:r w:rsidRPr="00AD0116">
              <w:rPr>
                <w:rFonts w:cstheme="minorHAnsi"/>
                <w:color w:val="000000" w:themeColor="text1"/>
                <w:vertAlign w:val="superscript"/>
              </w:rPr>
              <w:t>NS</w:t>
            </w:r>
          </w:p>
        </w:tc>
      </w:tr>
      <w:tr w:rsidR="00AD0116" w:rsidRPr="00AD0116" w14:paraId="266F4B41" w14:textId="77777777" w:rsidTr="00EC4D91">
        <w:trPr>
          <w:trHeight w:val="1261"/>
        </w:trPr>
        <w:tc>
          <w:tcPr>
            <w:cnfStyle w:val="001000000000" w:firstRow="0" w:lastRow="0" w:firstColumn="1" w:lastColumn="0" w:oddVBand="0" w:evenVBand="0" w:oddHBand="0" w:evenHBand="0" w:firstRowFirstColumn="0" w:firstRowLastColumn="0" w:lastRowFirstColumn="0" w:lastRowLastColumn="0"/>
            <w:tcW w:w="505" w:type="dxa"/>
          </w:tcPr>
          <w:p w14:paraId="4475AC50"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5</w:t>
            </w:r>
          </w:p>
        </w:tc>
        <w:tc>
          <w:tcPr>
            <w:tcW w:w="3349" w:type="dxa"/>
          </w:tcPr>
          <w:p w14:paraId="71604423" w14:textId="77777777" w:rsidR="00DE61A6" w:rsidRPr="00AD0116" w:rsidRDefault="00DE61A6" w:rsidP="00AD0116">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AD0116">
              <w:rPr>
                <w:rFonts w:asciiTheme="minorHAnsi" w:hAnsiTheme="minorHAnsi" w:cstheme="minorHAnsi"/>
                <w:color w:val="000000" w:themeColor="text1"/>
                <w:sz w:val="22"/>
                <w:szCs w:val="22"/>
              </w:rPr>
              <w:t>Course pursuing</w:t>
            </w:r>
          </w:p>
          <w:p w14:paraId="1522F312" w14:textId="77777777" w:rsidR="00DE61A6" w:rsidRPr="00AD0116" w:rsidRDefault="00DE61A6" w:rsidP="00AD0116">
            <w:pPr>
              <w:pStyle w:val="Default"/>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AD0116">
              <w:rPr>
                <w:rFonts w:asciiTheme="minorHAnsi" w:hAnsiTheme="minorHAnsi" w:cstheme="minorHAnsi"/>
                <w:bCs/>
                <w:iCs/>
                <w:color w:val="000000" w:themeColor="text1"/>
                <w:sz w:val="22"/>
                <w:szCs w:val="22"/>
                <w:lang w:val="en-IN"/>
              </w:rPr>
              <w:t>Bachelors in Arts</w:t>
            </w:r>
          </w:p>
          <w:p w14:paraId="78D3B2DB" w14:textId="77777777" w:rsidR="00DE61A6" w:rsidRPr="00AD0116" w:rsidRDefault="00DE61A6" w:rsidP="00AD0116">
            <w:pPr>
              <w:pStyle w:val="Default"/>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AD0116">
              <w:rPr>
                <w:rFonts w:asciiTheme="minorHAnsi" w:hAnsiTheme="minorHAnsi" w:cstheme="minorHAnsi"/>
                <w:bCs/>
                <w:iCs/>
                <w:color w:val="000000" w:themeColor="text1"/>
                <w:sz w:val="22"/>
                <w:szCs w:val="22"/>
                <w:lang w:val="en-IN"/>
              </w:rPr>
              <w:t>Bachelors in Science</w:t>
            </w:r>
          </w:p>
          <w:p w14:paraId="6C817A09" w14:textId="77777777" w:rsidR="00DE61A6" w:rsidRPr="00AD0116" w:rsidRDefault="00DE61A6" w:rsidP="00AD0116">
            <w:pPr>
              <w:pStyle w:val="Default"/>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AD0116">
              <w:rPr>
                <w:rFonts w:asciiTheme="minorHAnsi" w:hAnsiTheme="minorHAnsi" w:cstheme="minorHAnsi"/>
                <w:bCs/>
                <w:iCs/>
                <w:color w:val="000000" w:themeColor="text1"/>
                <w:sz w:val="22"/>
                <w:szCs w:val="22"/>
                <w:lang w:val="en-IN"/>
              </w:rPr>
              <w:t>Bachelors in Commerce</w:t>
            </w:r>
          </w:p>
          <w:p w14:paraId="3E339C7D" w14:textId="77777777" w:rsidR="00DE61A6" w:rsidRPr="00AD0116" w:rsidRDefault="00DE61A6" w:rsidP="00AD0116">
            <w:pPr>
              <w:pStyle w:val="Default"/>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AD0116">
              <w:rPr>
                <w:rFonts w:asciiTheme="minorHAnsi" w:hAnsiTheme="minorHAnsi" w:cstheme="minorHAnsi"/>
                <w:bCs/>
                <w:iCs/>
                <w:color w:val="000000" w:themeColor="text1"/>
                <w:sz w:val="22"/>
                <w:szCs w:val="22"/>
                <w:lang w:val="en-IN"/>
              </w:rPr>
              <w:t>Others (Please specify): </w:t>
            </w:r>
          </w:p>
        </w:tc>
        <w:tc>
          <w:tcPr>
            <w:tcW w:w="1123" w:type="dxa"/>
          </w:tcPr>
          <w:p w14:paraId="5D072C91"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745A99D"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29</w:t>
            </w:r>
          </w:p>
          <w:p w14:paraId="4688DE4D"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51</w:t>
            </w:r>
          </w:p>
          <w:p w14:paraId="3B59367E" w14:textId="2E7CD33F" w:rsidR="00F51741"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11</w:t>
            </w:r>
          </w:p>
          <w:p w14:paraId="211C01FA" w14:textId="79793E55"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5</w:t>
            </w:r>
          </w:p>
        </w:tc>
        <w:tc>
          <w:tcPr>
            <w:tcW w:w="1389" w:type="dxa"/>
          </w:tcPr>
          <w:p w14:paraId="4A84A4F8"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DB98D11"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31</w:t>
            </w:r>
          </w:p>
          <w:p w14:paraId="3265B040"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45</w:t>
            </w:r>
          </w:p>
          <w:p w14:paraId="6CE91B99" w14:textId="05C0EEF5" w:rsidR="00F51741"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13</w:t>
            </w:r>
          </w:p>
          <w:p w14:paraId="39437DDE" w14:textId="688C641A"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7</w:t>
            </w:r>
          </w:p>
        </w:tc>
        <w:tc>
          <w:tcPr>
            <w:tcW w:w="1146" w:type="dxa"/>
          </w:tcPr>
          <w:p w14:paraId="6D408550"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F4752D5" w14:textId="73B70B91"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0.94</w:t>
            </w:r>
          </w:p>
        </w:tc>
        <w:tc>
          <w:tcPr>
            <w:tcW w:w="589" w:type="dxa"/>
          </w:tcPr>
          <w:p w14:paraId="4E41B07C"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91C6F98"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w:t>
            </w:r>
          </w:p>
        </w:tc>
        <w:tc>
          <w:tcPr>
            <w:tcW w:w="892" w:type="dxa"/>
          </w:tcPr>
          <w:p w14:paraId="62F1FF4C"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8DBE1B8"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vertAlign w:val="superscript"/>
              </w:rPr>
            </w:pPr>
            <w:r w:rsidRPr="00AD0116">
              <w:rPr>
                <w:rFonts w:cstheme="minorHAnsi"/>
                <w:color w:val="000000" w:themeColor="text1"/>
              </w:rPr>
              <w:t>0.815</w:t>
            </w:r>
            <w:r w:rsidRPr="00AD0116">
              <w:rPr>
                <w:rFonts w:cstheme="minorHAnsi"/>
                <w:color w:val="000000" w:themeColor="text1"/>
                <w:vertAlign w:val="superscript"/>
              </w:rPr>
              <w:t>NS</w:t>
            </w:r>
          </w:p>
        </w:tc>
      </w:tr>
      <w:tr w:rsidR="00AD0116" w:rsidRPr="00AD0116" w14:paraId="2536B3F5" w14:textId="77777777" w:rsidTr="00F51741">
        <w:trPr>
          <w:cnfStyle w:val="000000100000" w:firstRow="0" w:lastRow="0" w:firstColumn="0" w:lastColumn="0" w:oddVBand="0" w:evenVBand="0" w:oddHBand="1" w:evenHBand="0" w:firstRowFirstColumn="0" w:firstRowLastColumn="0" w:lastRowFirstColumn="0" w:lastRowLastColumn="0"/>
          <w:trHeight w:val="1282"/>
        </w:trPr>
        <w:tc>
          <w:tcPr>
            <w:cnfStyle w:val="001000000000" w:firstRow="0" w:lastRow="0" w:firstColumn="1" w:lastColumn="0" w:oddVBand="0" w:evenVBand="0" w:oddHBand="0" w:evenHBand="0" w:firstRowFirstColumn="0" w:firstRowLastColumn="0" w:lastRowFirstColumn="0" w:lastRowLastColumn="0"/>
            <w:tcW w:w="505" w:type="dxa"/>
          </w:tcPr>
          <w:p w14:paraId="16A6B663"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6</w:t>
            </w:r>
          </w:p>
        </w:tc>
        <w:tc>
          <w:tcPr>
            <w:tcW w:w="3349" w:type="dxa"/>
          </w:tcPr>
          <w:p w14:paraId="14AFA92B" w14:textId="77777777" w:rsidR="00DE61A6" w:rsidRPr="00AD0116" w:rsidRDefault="00DE61A6" w:rsidP="00AD011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 xml:space="preserve">Type of family </w:t>
            </w:r>
          </w:p>
          <w:p w14:paraId="31F988C0" w14:textId="77777777" w:rsidR="00DE61A6" w:rsidRPr="00AD0116" w:rsidRDefault="00DE61A6" w:rsidP="00AD0116">
            <w:pPr>
              <w:pStyle w:val="ListParagraph"/>
              <w:numPr>
                <w:ilvl w:val="0"/>
                <w:numId w:val="23"/>
              </w:num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bCs/>
                <w:iCs/>
                <w:color w:val="000000" w:themeColor="text1"/>
                <w:lang w:val="en-IN"/>
              </w:rPr>
              <w:t>Nuclear Family</w:t>
            </w:r>
          </w:p>
          <w:p w14:paraId="4CFFF515" w14:textId="77777777" w:rsidR="00DE61A6" w:rsidRPr="00AD0116" w:rsidRDefault="00DE61A6" w:rsidP="00AD0116">
            <w:pPr>
              <w:pStyle w:val="ListParagraph"/>
              <w:numPr>
                <w:ilvl w:val="0"/>
                <w:numId w:val="23"/>
              </w:num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bCs/>
                <w:iCs/>
                <w:color w:val="000000" w:themeColor="text1"/>
                <w:lang w:val="en-IN"/>
              </w:rPr>
              <w:t>Joint Family</w:t>
            </w:r>
          </w:p>
          <w:p w14:paraId="1269FD79" w14:textId="77777777" w:rsidR="00DE61A6" w:rsidRPr="00AD0116" w:rsidRDefault="00DE61A6" w:rsidP="00AD0116">
            <w:pPr>
              <w:pStyle w:val="ListParagraph"/>
              <w:numPr>
                <w:ilvl w:val="0"/>
                <w:numId w:val="23"/>
              </w:num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bCs/>
                <w:iCs/>
                <w:color w:val="000000" w:themeColor="text1"/>
                <w:lang w:val="en-IN"/>
              </w:rPr>
              <w:t>Extended Family</w:t>
            </w:r>
          </w:p>
        </w:tc>
        <w:tc>
          <w:tcPr>
            <w:tcW w:w="1123" w:type="dxa"/>
          </w:tcPr>
          <w:p w14:paraId="072DD271"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03EEF778"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69</w:t>
            </w:r>
          </w:p>
          <w:p w14:paraId="019875D6"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7</w:t>
            </w:r>
          </w:p>
          <w:p w14:paraId="50ED51E8"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20</w:t>
            </w:r>
          </w:p>
        </w:tc>
        <w:tc>
          <w:tcPr>
            <w:tcW w:w="1389" w:type="dxa"/>
          </w:tcPr>
          <w:p w14:paraId="3B6C0FD8"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BA89940"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62</w:t>
            </w:r>
          </w:p>
          <w:p w14:paraId="4E0C068A"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19</w:t>
            </w:r>
          </w:p>
          <w:p w14:paraId="3E63B140"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15</w:t>
            </w:r>
          </w:p>
        </w:tc>
        <w:tc>
          <w:tcPr>
            <w:tcW w:w="1146" w:type="dxa"/>
          </w:tcPr>
          <w:p w14:paraId="1193CB48"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6DEA3343" w14:textId="5043B05D"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6.62</w:t>
            </w:r>
          </w:p>
        </w:tc>
        <w:tc>
          <w:tcPr>
            <w:tcW w:w="589" w:type="dxa"/>
          </w:tcPr>
          <w:p w14:paraId="4CBD94B0"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1FFE0DD0"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2</w:t>
            </w:r>
          </w:p>
        </w:tc>
        <w:tc>
          <w:tcPr>
            <w:tcW w:w="892" w:type="dxa"/>
          </w:tcPr>
          <w:p w14:paraId="7064B149" w14:textId="77777777" w:rsidR="00DE61A6" w:rsidRPr="00AD0116" w:rsidRDefault="00DE61A6" w:rsidP="00AD011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61F23DB8"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vertAlign w:val="superscript"/>
              </w:rPr>
            </w:pPr>
            <w:r w:rsidRPr="00AD0116">
              <w:rPr>
                <w:rFonts w:cstheme="minorHAnsi"/>
                <w:color w:val="000000" w:themeColor="text1"/>
              </w:rPr>
              <w:t>0.036*</w:t>
            </w:r>
          </w:p>
        </w:tc>
      </w:tr>
      <w:tr w:rsidR="00AD0116" w:rsidRPr="00AD0116" w14:paraId="257A5F75" w14:textId="77777777" w:rsidTr="00F51741">
        <w:trPr>
          <w:trHeight w:val="959"/>
        </w:trPr>
        <w:tc>
          <w:tcPr>
            <w:cnfStyle w:val="001000000000" w:firstRow="0" w:lastRow="0" w:firstColumn="1" w:lastColumn="0" w:oddVBand="0" w:evenVBand="0" w:oddHBand="0" w:evenHBand="0" w:firstRowFirstColumn="0" w:firstRowLastColumn="0" w:lastRowFirstColumn="0" w:lastRowLastColumn="0"/>
            <w:tcW w:w="505" w:type="dxa"/>
          </w:tcPr>
          <w:p w14:paraId="3EA27800"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7</w:t>
            </w:r>
          </w:p>
        </w:tc>
        <w:tc>
          <w:tcPr>
            <w:tcW w:w="3349" w:type="dxa"/>
          </w:tcPr>
          <w:p w14:paraId="79E2621A" w14:textId="77777777" w:rsidR="00DE61A6" w:rsidRPr="00AD0116" w:rsidRDefault="00DE61A6" w:rsidP="00AD0116">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 xml:space="preserve">Place of residence </w:t>
            </w:r>
          </w:p>
          <w:p w14:paraId="7CDA71EF" w14:textId="77777777" w:rsidR="00DE61A6" w:rsidRPr="00AD0116" w:rsidRDefault="00DE61A6" w:rsidP="00AD0116">
            <w:pPr>
              <w:pStyle w:val="ListParagraph"/>
              <w:numPr>
                <w:ilvl w:val="0"/>
                <w:numId w:val="24"/>
              </w:num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rPr>
            </w:pPr>
            <w:r w:rsidRPr="00AD0116">
              <w:rPr>
                <w:rFonts w:cstheme="minorHAnsi"/>
                <w:bCs/>
                <w:iCs/>
                <w:color w:val="000000" w:themeColor="text1"/>
              </w:rPr>
              <w:t>Urban</w:t>
            </w:r>
          </w:p>
          <w:p w14:paraId="6351CCA4" w14:textId="77777777" w:rsidR="00DE61A6" w:rsidRPr="00AD0116" w:rsidRDefault="00DE61A6" w:rsidP="00AD0116">
            <w:pPr>
              <w:pStyle w:val="ListParagraph"/>
              <w:numPr>
                <w:ilvl w:val="0"/>
                <w:numId w:val="24"/>
              </w:num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rPr>
            </w:pPr>
            <w:r w:rsidRPr="00AD0116">
              <w:rPr>
                <w:rFonts w:cstheme="minorHAnsi"/>
                <w:bCs/>
                <w:iCs/>
                <w:color w:val="000000" w:themeColor="text1"/>
              </w:rPr>
              <w:t xml:space="preserve">Rural </w:t>
            </w:r>
          </w:p>
        </w:tc>
        <w:tc>
          <w:tcPr>
            <w:tcW w:w="1123" w:type="dxa"/>
          </w:tcPr>
          <w:p w14:paraId="5424A24B"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C72F49C"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68</w:t>
            </w:r>
          </w:p>
          <w:p w14:paraId="011EC497"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28</w:t>
            </w:r>
          </w:p>
        </w:tc>
        <w:tc>
          <w:tcPr>
            <w:tcW w:w="1389" w:type="dxa"/>
          </w:tcPr>
          <w:p w14:paraId="14688603"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8E9DA91"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77</w:t>
            </w:r>
          </w:p>
          <w:p w14:paraId="0E729182"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19</w:t>
            </w:r>
          </w:p>
        </w:tc>
        <w:tc>
          <w:tcPr>
            <w:tcW w:w="1146" w:type="dxa"/>
          </w:tcPr>
          <w:p w14:paraId="5C44D31F"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76438DF" w14:textId="4FD1AED5"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2.28</w:t>
            </w:r>
          </w:p>
        </w:tc>
        <w:tc>
          <w:tcPr>
            <w:tcW w:w="589" w:type="dxa"/>
          </w:tcPr>
          <w:p w14:paraId="3AE694AF"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AE2D6F7"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w:t>
            </w:r>
          </w:p>
        </w:tc>
        <w:tc>
          <w:tcPr>
            <w:tcW w:w="892" w:type="dxa"/>
          </w:tcPr>
          <w:p w14:paraId="2B5D8FF5" w14:textId="77777777" w:rsidR="00DE61A6" w:rsidRPr="00AD0116" w:rsidRDefault="00DE61A6" w:rsidP="00AD0116">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F6875C2" w14:textId="77777777" w:rsidR="00DE61A6" w:rsidRPr="00AD0116" w:rsidRDefault="00DE61A6" w:rsidP="00AD0116">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vertAlign w:val="superscript"/>
              </w:rPr>
            </w:pPr>
            <w:r w:rsidRPr="00AD0116">
              <w:rPr>
                <w:rFonts w:cstheme="minorHAnsi"/>
                <w:color w:val="000000" w:themeColor="text1"/>
              </w:rPr>
              <w:t>0.131</w:t>
            </w:r>
            <w:r w:rsidRPr="00AD0116">
              <w:rPr>
                <w:rFonts w:cstheme="minorHAnsi"/>
                <w:color w:val="000000" w:themeColor="text1"/>
                <w:vertAlign w:val="superscript"/>
              </w:rPr>
              <w:t>NS</w:t>
            </w:r>
          </w:p>
        </w:tc>
      </w:tr>
      <w:tr w:rsidR="00AD0116" w:rsidRPr="00AD0116" w14:paraId="4A2F18CF" w14:textId="77777777" w:rsidTr="00F51741">
        <w:trPr>
          <w:cnfStyle w:val="000000100000" w:firstRow="0" w:lastRow="0" w:firstColumn="0" w:lastColumn="0" w:oddVBand="0" w:evenVBand="0" w:oddHBand="1" w:evenHBand="0" w:firstRowFirstColumn="0" w:firstRowLastColumn="0" w:lastRowFirstColumn="0" w:lastRowLastColumn="0"/>
          <w:trHeight w:val="1928"/>
        </w:trPr>
        <w:tc>
          <w:tcPr>
            <w:cnfStyle w:val="001000000000" w:firstRow="0" w:lastRow="0" w:firstColumn="1" w:lastColumn="0" w:oddVBand="0" w:evenVBand="0" w:oddHBand="0" w:evenHBand="0" w:firstRowFirstColumn="0" w:firstRowLastColumn="0" w:lastRowFirstColumn="0" w:lastRowLastColumn="0"/>
            <w:tcW w:w="505" w:type="dxa"/>
          </w:tcPr>
          <w:p w14:paraId="62ACC605"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lastRenderedPageBreak/>
              <w:t>8</w:t>
            </w:r>
          </w:p>
        </w:tc>
        <w:tc>
          <w:tcPr>
            <w:tcW w:w="3349" w:type="dxa"/>
          </w:tcPr>
          <w:p w14:paraId="1935A8B4" w14:textId="77777777" w:rsidR="00DE61A6" w:rsidRPr="00AD0116" w:rsidRDefault="00DE61A6" w:rsidP="00AD011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Family monthly income</w:t>
            </w:r>
          </w:p>
          <w:p w14:paraId="3A95B0AC" w14:textId="77777777" w:rsidR="00DE61A6" w:rsidRPr="00AD0116" w:rsidRDefault="00DE61A6" w:rsidP="00AD0116">
            <w:pPr>
              <w:pStyle w:val="ListParagraph"/>
              <w:numPr>
                <w:ilvl w:val="0"/>
                <w:numId w:val="25"/>
              </w:numPr>
              <w:spacing w:line="276" w:lineRule="auto"/>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Less than Rs. 25,000</w:t>
            </w:r>
          </w:p>
          <w:p w14:paraId="1BA78191" w14:textId="77777777" w:rsidR="00DE61A6" w:rsidRPr="00AD0116" w:rsidRDefault="00DE61A6" w:rsidP="00AD0116">
            <w:pPr>
              <w:pStyle w:val="ListParagraph"/>
              <w:numPr>
                <w:ilvl w:val="0"/>
                <w:numId w:val="25"/>
              </w:numPr>
              <w:spacing w:line="276" w:lineRule="auto"/>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Rs. 25,000 to Rs. 50,000</w:t>
            </w:r>
          </w:p>
          <w:p w14:paraId="04224B4E" w14:textId="77777777" w:rsidR="00DE61A6" w:rsidRPr="00AD0116" w:rsidRDefault="00DE61A6" w:rsidP="00AD0116">
            <w:pPr>
              <w:pStyle w:val="ListParagraph"/>
              <w:numPr>
                <w:ilvl w:val="0"/>
                <w:numId w:val="25"/>
              </w:numPr>
              <w:spacing w:line="276" w:lineRule="auto"/>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Rs. 50,000 to Rs. 75,000</w:t>
            </w:r>
          </w:p>
          <w:p w14:paraId="32AFA895" w14:textId="77777777" w:rsidR="00DE61A6" w:rsidRPr="00AD0116" w:rsidRDefault="00DE61A6" w:rsidP="00AD0116">
            <w:pPr>
              <w:pStyle w:val="ListParagraph"/>
              <w:numPr>
                <w:ilvl w:val="0"/>
                <w:numId w:val="25"/>
              </w:numPr>
              <w:spacing w:line="276" w:lineRule="auto"/>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Rs. 75,000 - Rs. 1,00,000</w:t>
            </w:r>
          </w:p>
          <w:p w14:paraId="17E32D47" w14:textId="77777777" w:rsidR="00DE61A6" w:rsidRPr="00AD0116" w:rsidRDefault="00DE61A6" w:rsidP="00AD0116">
            <w:pPr>
              <w:pStyle w:val="ListParagraph"/>
              <w:numPr>
                <w:ilvl w:val="0"/>
                <w:numId w:val="25"/>
              </w:numPr>
              <w:spacing w:line="276" w:lineRule="auto"/>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Above Rs. 1,00,000</w:t>
            </w:r>
          </w:p>
        </w:tc>
        <w:tc>
          <w:tcPr>
            <w:tcW w:w="1123" w:type="dxa"/>
          </w:tcPr>
          <w:p w14:paraId="014CCBC6"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A320946"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9</w:t>
            </w:r>
          </w:p>
          <w:p w14:paraId="73193680" w14:textId="08D962E5" w:rsidR="00F51741"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28</w:t>
            </w:r>
          </w:p>
          <w:p w14:paraId="0383B97D" w14:textId="16B39202" w:rsidR="00F51741"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45</w:t>
            </w:r>
          </w:p>
          <w:p w14:paraId="2742C068" w14:textId="01F50DA7" w:rsidR="00F51741"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3</w:t>
            </w:r>
          </w:p>
          <w:p w14:paraId="57AC4E94" w14:textId="6F6F98B8"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11</w:t>
            </w:r>
          </w:p>
        </w:tc>
        <w:tc>
          <w:tcPr>
            <w:tcW w:w="1389" w:type="dxa"/>
          </w:tcPr>
          <w:p w14:paraId="084F70CA"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6AA6B3DF"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6</w:t>
            </w:r>
          </w:p>
          <w:p w14:paraId="0815F8B2" w14:textId="3119789D" w:rsidR="00F51741"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31</w:t>
            </w:r>
          </w:p>
          <w:p w14:paraId="6B22C14C" w14:textId="3934FAAD" w:rsidR="00F51741"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41</w:t>
            </w:r>
          </w:p>
          <w:p w14:paraId="56724977" w14:textId="40818EF2" w:rsidR="00F51741"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8</w:t>
            </w:r>
          </w:p>
          <w:p w14:paraId="3830598D" w14:textId="2F5E79C5"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10</w:t>
            </w:r>
          </w:p>
        </w:tc>
        <w:tc>
          <w:tcPr>
            <w:tcW w:w="1146" w:type="dxa"/>
          </w:tcPr>
          <w:p w14:paraId="31E843ED"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682A7E6" w14:textId="3A2D136C"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3.35</w:t>
            </w:r>
          </w:p>
          <w:p w14:paraId="4D70035D" w14:textId="77777777" w:rsidR="00DE61A6" w:rsidRPr="00AD0116" w:rsidRDefault="00DE61A6" w:rsidP="00AD011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c>
          <w:tcPr>
            <w:tcW w:w="589" w:type="dxa"/>
          </w:tcPr>
          <w:p w14:paraId="5D3DD456"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2807C102"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3</w:t>
            </w:r>
          </w:p>
        </w:tc>
        <w:tc>
          <w:tcPr>
            <w:tcW w:w="892" w:type="dxa"/>
          </w:tcPr>
          <w:p w14:paraId="4C84346E" w14:textId="77777777" w:rsidR="00DE61A6" w:rsidRPr="00AD0116" w:rsidRDefault="00DE61A6" w:rsidP="00AD011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06DC3D7A" w14:textId="77777777" w:rsidR="00DE61A6" w:rsidRPr="00AD0116" w:rsidRDefault="00DE61A6" w:rsidP="00AD011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vertAlign w:val="superscript"/>
              </w:rPr>
            </w:pPr>
            <w:r w:rsidRPr="00AD0116">
              <w:rPr>
                <w:rFonts w:cstheme="minorHAnsi"/>
                <w:color w:val="000000" w:themeColor="text1"/>
              </w:rPr>
              <w:t>0.646</w:t>
            </w:r>
            <w:r w:rsidRPr="00AD0116">
              <w:rPr>
                <w:rFonts w:cstheme="minorHAnsi"/>
                <w:color w:val="000000" w:themeColor="text1"/>
                <w:vertAlign w:val="superscript"/>
              </w:rPr>
              <w:t>NS</w:t>
            </w:r>
          </w:p>
        </w:tc>
      </w:tr>
      <w:tr w:rsidR="00AD0116" w:rsidRPr="00AD0116" w14:paraId="16590D06" w14:textId="77777777" w:rsidTr="00F51741">
        <w:trPr>
          <w:trHeight w:val="1595"/>
        </w:trPr>
        <w:tc>
          <w:tcPr>
            <w:cnfStyle w:val="001000000000" w:firstRow="0" w:lastRow="0" w:firstColumn="1" w:lastColumn="0" w:oddVBand="0" w:evenVBand="0" w:oddHBand="0" w:evenHBand="0" w:firstRowFirstColumn="0" w:firstRowLastColumn="0" w:lastRowFirstColumn="0" w:lastRowLastColumn="0"/>
            <w:tcW w:w="505" w:type="dxa"/>
          </w:tcPr>
          <w:p w14:paraId="0BD78C7A"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9</w:t>
            </w:r>
          </w:p>
        </w:tc>
        <w:tc>
          <w:tcPr>
            <w:tcW w:w="3349" w:type="dxa"/>
          </w:tcPr>
          <w:p w14:paraId="6734DE8A" w14:textId="77777777" w:rsidR="00DE61A6" w:rsidRPr="00AD0116" w:rsidRDefault="00DE61A6" w:rsidP="00AD0116">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 xml:space="preserve">Current semester </w:t>
            </w:r>
          </w:p>
          <w:p w14:paraId="724A3324" w14:textId="77777777" w:rsidR="00DE61A6" w:rsidRPr="00AD0116" w:rsidRDefault="00DE61A6" w:rsidP="00AD0116">
            <w:pPr>
              <w:pStyle w:val="ListParagraph"/>
              <w:numPr>
                <w:ilvl w:val="0"/>
                <w:numId w:val="26"/>
              </w:numPr>
              <w:tabs>
                <w:tab w:val="left" w:pos="888"/>
              </w:tabs>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rPr>
            </w:pPr>
            <w:r w:rsidRPr="00AD0116">
              <w:rPr>
                <w:rFonts w:cstheme="minorHAnsi"/>
                <w:bCs/>
                <w:iCs/>
                <w:color w:val="000000" w:themeColor="text1"/>
              </w:rPr>
              <w:t>1-2</w:t>
            </w:r>
          </w:p>
          <w:p w14:paraId="2398D235" w14:textId="77777777" w:rsidR="00DE61A6" w:rsidRPr="00AD0116" w:rsidRDefault="00DE61A6" w:rsidP="00AD0116">
            <w:pPr>
              <w:pStyle w:val="ListParagraph"/>
              <w:numPr>
                <w:ilvl w:val="0"/>
                <w:numId w:val="26"/>
              </w:numPr>
              <w:tabs>
                <w:tab w:val="left" w:pos="888"/>
              </w:tabs>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rPr>
            </w:pPr>
            <w:r w:rsidRPr="00AD0116">
              <w:rPr>
                <w:rFonts w:cstheme="minorHAnsi"/>
                <w:bCs/>
                <w:iCs/>
                <w:color w:val="000000" w:themeColor="text1"/>
              </w:rPr>
              <w:t>3-4</w:t>
            </w:r>
          </w:p>
          <w:p w14:paraId="38C504E9" w14:textId="77777777" w:rsidR="00DE61A6" w:rsidRPr="00AD0116" w:rsidRDefault="00DE61A6" w:rsidP="00AD0116">
            <w:pPr>
              <w:pStyle w:val="ListParagraph"/>
              <w:numPr>
                <w:ilvl w:val="0"/>
                <w:numId w:val="26"/>
              </w:numPr>
              <w:tabs>
                <w:tab w:val="left" w:pos="888"/>
              </w:tabs>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rPr>
            </w:pPr>
            <w:r w:rsidRPr="00AD0116">
              <w:rPr>
                <w:rFonts w:cstheme="minorHAnsi"/>
                <w:bCs/>
                <w:iCs/>
                <w:color w:val="000000" w:themeColor="text1"/>
              </w:rPr>
              <w:t>5-6</w:t>
            </w:r>
          </w:p>
          <w:p w14:paraId="795A2752" w14:textId="77777777" w:rsidR="00DE61A6" w:rsidRPr="00AD0116" w:rsidRDefault="00DE61A6" w:rsidP="00AD0116">
            <w:pPr>
              <w:pStyle w:val="ListParagraph"/>
              <w:numPr>
                <w:ilvl w:val="0"/>
                <w:numId w:val="26"/>
              </w:numPr>
              <w:tabs>
                <w:tab w:val="left" w:pos="888"/>
              </w:tabs>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rPr>
            </w:pPr>
            <w:r w:rsidRPr="00AD0116">
              <w:rPr>
                <w:rFonts w:cstheme="minorHAnsi"/>
                <w:bCs/>
                <w:iCs/>
                <w:color w:val="000000" w:themeColor="text1"/>
              </w:rPr>
              <w:t>7-8</w:t>
            </w:r>
          </w:p>
        </w:tc>
        <w:tc>
          <w:tcPr>
            <w:tcW w:w="1123" w:type="dxa"/>
          </w:tcPr>
          <w:p w14:paraId="12A37C56"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4E5B959"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11</w:t>
            </w:r>
          </w:p>
          <w:p w14:paraId="1C045776"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8</w:t>
            </w:r>
          </w:p>
          <w:p w14:paraId="6D9C1252"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39</w:t>
            </w:r>
          </w:p>
          <w:p w14:paraId="1777C66F"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38</w:t>
            </w:r>
          </w:p>
        </w:tc>
        <w:tc>
          <w:tcPr>
            <w:tcW w:w="1389" w:type="dxa"/>
          </w:tcPr>
          <w:p w14:paraId="69044080"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32B66D5"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25</w:t>
            </w:r>
          </w:p>
          <w:p w14:paraId="1314EEA5"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20</w:t>
            </w:r>
          </w:p>
          <w:p w14:paraId="2513EDAF"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29</w:t>
            </w:r>
          </w:p>
          <w:p w14:paraId="08921FD4"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22</w:t>
            </w:r>
          </w:p>
        </w:tc>
        <w:tc>
          <w:tcPr>
            <w:tcW w:w="1146" w:type="dxa"/>
          </w:tcPr>
          <w:p w14:paraId="68DBC5E7"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2443078"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16.32</w:t>
            </w:r>
          </w:p>
        </w:tc>
        <w:tc>
          <w:tcPr>
            <w:tcW w:w="589" w:type="dxa"/>
          </w:tcPr>
          <w:p w14:paraId="1D04479C"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83BE13F"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w:t>
            </w:r>
          </w:p>
        </w:tc>
        <w:tc>
          <w:tcPr>
            <w:tcW w:w="892" w:type="dxa"/>
          </w:tcPr>
          <w:p w14:paraId="3C3D02DB" w14:textId="77777777" w:rsidR="00DE61A6" w:rsidRPr="00AD0116" w:rsidRDefault="00DE61A6" w:rsidP="00AD0116">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BA364A7" w14:textId="77777777" w:rsidR="00DE61A6" w:rsidRPr="00AD0116" w:rsidRDefault="00DE61A6" w:rsidP="00AD0116">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0.001*</w:t>
            </w:r>
          </w:p>
        </w:tc>
      </w:tr>
      <w:tr w:rsidR="00AD0116" w:rsidRPr="00AD0116" w14:paraId="73AB9DBF" w14:textId="77777777" w:rsidTr="00F51741">
        <w:trPr>
          <w:cnfStyle w:val="010000000000" w:firstRow="0" w:lastRow="1" w:firstColumn="0" w:lastColumn="0" w:oddVBand="0" w:evenVBand="0" w:oddHBand="0" w:evenHBand="0" w:firstRowFirstColumn="0" w:firstRowLastColumn="0" w:lastRowFirstColumn="0" w:lastRowLastColumn="0"/>
          <w:trHeight w:val="969"/>
        </w:trPr>
        <w:tc>
          <w:tcPr>
            <w:cnfStyle w:val="001000000000" w:firstRow="0" w:lastRow="0" w:firstColumn="1" w:lastColumn="0" w:oddVBand="0" w:evenVBand="0" w:oddHBand="0" w:evenHBand="0" w:firstRowFirstColumn="0" w:firstRowLastColumn="0" w:lastRowFirstColumn="0" w:lastRowLastColumn="0"/>
            <w:tcW w:w="505" w:type="dxa"/>
          </w:tcPr>
          <w:p w14:paraId="7155550D"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10</w:t>
            </w:r>
          </w:p>
        </w:tc>
        <w:tc>
          <w:tcPr>
            <w:tcW w:w="3349" w:type="dxa"/>
          </w:tcPr>
          <w:p w14:paraId="71ACC490" w14:textId="77777777" w:rsidR="00DE61A6" w:rsidRPr="00AD0116" w:rsidRDefault="00DE61A6" w:rsidP="00AD0116">
            <w:pPr>
              <w:spacing w:line="276" w:lineRule="auto"/>
              <w:cnfStyle w:val="010000000000" w:firstRow="0" w:lastRow="1" w:firstColumn="0" w:lastColumn="0" w:oddVBand="0" w:evenVBand="0" w:oddHBand="0" w:evenHBand="0" w:firstRowFirstColumn="0" w:firstRowLastColumn="0" w:lastRowFirstColumn="0" w:lastRowLastColumn="0"/>
              <w:rPr>
                <w:rFonts w:cstheme="minorHAnsi"/>
                <w:b w:val="0"/>
                <w:bCs w:val="0"/>
                <w:iCs/>
                <w:color w:val="000000" w:themeColor="text1"/>
              </w:rPr>
            </w:pPr>
            <w:r w:rsidRPr="00AD0116">
              <w:rPr>
                <w:rFonts w:cstheme="minorHAnsi"/>
                <w:b w:val="0"/>
                <w:bCs w:val="0"/>
                <w:iCs/>
                <w:color w:val="000000" w:themeColor="text1"/>
              </w:rPr>
              <w:t xml:space="preserve">Sexual relationship </w:t>
            </w:r>
          </w:p>
          <w:p w14:paraId="0BFDB76F" w14:textId="77777777" w:rsidR="00DE61A6" w:rsidRPr="00AD0116" w:rsidRDefault="00DE61A6" w:rsidP="00AD0116">
            <w:pPr>
              <w:pStyle w:val="ListParagraph"/>
              <w:numPr>
                <w:ilvl w:val="0"/>
                <w:numId w:val="17"/>
              </w:numPr>
              <w:spacing w:line="276" w:lineRule="auto"/>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r w:rsidRPr="00AD0116">
              <w:rPr>
                <w:rFonts w:cstheme="minorHAnsi"/>
                <w:b w:val="0"/>
                <w:bCs w:val="0"/>
                <w:color w:val="000000" w:themeColor="text1"/>
              </w:rPr>
              <w:t>Abstinence</w:t>
            </w:r>
          </w:p>
          <w:p w14:paraId="1F72DF30" w14:textId="77777777" w:rsidR="00DE61A6" w:rsidRPr="00AD0116" w:rsidRDefault="00DE61A6" w:rsidP="00AD0116">
            <w:pPr>
              <w:pStyle w:val="ListParagraph"/>
              <w:numPr>
                <w:ilvl w:val="0"/>
                <w:numId w:val="17"/>
              </w:numPr>
              <w:spacing w:line="276" w:lineRule="auto"/>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r w:rsidRPr="00AD0116">
              <w:rPr>
                <w:rFonts w:cstheme="minorHAnsi"/>
                <w:b w:val="0"/>
                <w:bCs w:val="0"/>
                <w:color w:val="000000" w:themeColor="text1"/>
              </w:rPr>
              <w:t xml:space="preserve">Active </w:t>
            </w:r>
          </w:p>
        </w:tc>
        <w:tc>
          <w:tcPr>
            <w:tcW w:w="1123" w:type="dxa"/>
          </w:tcPr>
          <w:p w14:paraId="14E90151" w14:textId="77777777"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p>
          <w:p w14:paraId="49E441D7" w14:textId="77777777"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r w:rsidRPr="00AD0116">
              <w:rPr>
                <w:rFonts w:cstheme="minorHAnsi"/>
                <w:b w:val="0"/>
                <w:bCs w:val="0"/>
                <w:color w:val="000000" w:themeColor="text1"/>
              </w:rPr>
              <w:t>92</w:t>
            </w:r>
          </w:p>
          <w:p w14:paraId="54BE9E89" w14:textId="77777777"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r w:rsidRPr="00AD0116">
              <w:rPr>
                <w:rFonts w:cstheme="minorHAnsi"/>
                <w:b w:val="0"/>
                <w:bCs w:val="0"/>
                <w:color w:val="000000" w:themeColor="text1"/>
              </w:rPr>
              <w:t>4</w:t>
            </w:r>
          </w:p>
        </w:tc>
        <w:tc>
          <w:tcPr>
            <w:tcW w:w="1389" w:type="dxa"/>
          </w:tcPr>
          <w:p w14:paraId="2FD4C7E9" w14:textId="77777777"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p>
          <w:p w14:paraId="1105FCD4" w14:textId="77777777"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r w:rsidRPr="00AD0116">
              <w:rPr>
                <w:rFonts w:cstheme="minorHAnsi"/>
                <w:b w:val="0"/>
                <w:bCs w:val="0"/>
                <w:color w:val="000000" w:themeColor="text1"/>
              </w:rPr>
              <w:t>91</w:t>
            </w:r>
          </w:p>
          <w:p w14:paraId="2DC119EC" w14:textId="77777777"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r w:rsidRPr="00AD0116">
              <w:rPr>
                <w:rFonts w:cstheme="minorHAnsi"/>
                <w:b w:val="0"/>
                <w:bCs w:val="0"/>
                <w:color w:val="000000" w:themeColor="text1"/>
              </w:rPr>
              <w:t>5</w:t>
            </w:r>
          </w:p>
        </w:tc>
        <w:tc>
          <w:tcPr>
            <w:tcW w:w="1146" w:type="dxa"/>
          </w:tcPr>
          <w:p w14:paraId="640C4275" w14:textId="77777777"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p>
          <w:p w14:paraId="455E6688" w14:textId="6E4EDB3E"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r w:rsidRPr="00AD0116">
              <w:rPr>
                <w:rFonts w:cstheme="minorHAnsi"/>
                <w:b w:val="0"/>
                <w:bCs w:val="0"/>
                <w:color w:val="000000" w:themeColor="text1"/>
              </w:rPr>
              <w:t>0.11</w:t>
            </w:r>
          </w:p>
        </w:tc>
        <w:tc>
          <w:tcPr>
            <w:tcW w:w="589" w:type="dxa"/>
          </w:tcPr>
          <w:p w14:paraId="51905C0D" w14:textId="77777777"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p>
          <w:p w14:paraId="2A284719" w14:textId="77777777" w:rsidR="00DE61A6" w:rsidRPr="00AD0116" w:rsidRDefault="00DE61A6" w:rsidP="00AD0116">
            <w:pPr>
              <w:spacing w:line="276" w:lineRule="auto"/>
              <w:jc w:val="center"/>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r w:rsidRPr="00AD0116">
              <w:rPr>
                <w:rFonts w:cstheme="minorHAnsi"/>
                <w:b w:val="0"/>
                <w:bCs w:val="0"/>
                <w:color w:val="000000" w:themeColor="text1"/>
              </w:rPr>
              <w:t>1</w:t>
            </w:r>
          </w:p>
        </w:tc>
        <w:tc>
          <w:tcPr>
            <w:tcW w:w="892" w:type="dxa"/>
          </w:tcPr>
          <w:p w14:paraId="663C64E5" w14:textId="77777777" w:rsidR="00DE61A6" w:rsidRPr="00AD0116" w:rsidRDefault="00DE61A6" w:rsidP="00AD0116">
            <w:pPr>
              <w:spacing w:line="276" w:lineRule="auto"/>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rPr>
            </w:pPr>
          </w:p>
          <w:p w14:paraId="35F784BA" w14:textId="77777777" w:rsidR="00DE61A6" w:rsidRPr="00AD0116" w:rsidRDefault="00DE61A6" w:rsidP="00AD0116">
            <w:pPr>
              <w:spacing w:line="276" w:lineRule="auto"/>
              <w:cnfStyle w:val="010000000000" w:firstRow="0" w:lastRow="1" w:firstColumn="0" w:lastColumn="0" w:oddVBand="0" w:evenVBand="0" w:oddHBand="0" w:evenHBand="0" w:firstRowFirstColumn="0" w:firstRowLastColumn="0" w:lastRowFirstColumn="0" w:lastRowLastColumn="0"/>
              <w:rPr>
                <w:rFonts w:cstheme="minorHAnsi"/>
                <w:b w:val="0"/>
                <w:bCs w:val="0"/>
                <w:color w:val="000000" w:themeColor="text1"/>
                <w:vertAlign w:val="superscript"/>
              </w:rPr>
            </w:pPr>
            <w:r w:rsidRPr="00AD0116">
              <w:rPr>
                <w:rFonts w:cstheme="minorHAnsi"/>
                <w:b w:val="0"/>
                <w:bCs w:val="0"/>
                <w:color w:val="000000" w:themeColor="text1"/>
              </w:rPr>
              <w:t>0.733</w:t>
            </w:r>
            <w:r w:rsidRPr="00AD0116">
              <w:rPr>
                <w:rFonts w:cstheme="minorHAnsi"/>
                <w:b w:val="0"/>
                <w:bCs w:val="0"/>
                <w:color w:val="000000" w:themeColor="text1"/>
                <w:vertAlign w:val="superscript"/>
              </w:rPr>
              <w:t>NS</w:t>
            </w:r>
          </w:p>
        </w:tc>
      </w:tr>
    </w:tbl>
    <w:p w14:paraId="19CFA1D9" w14:textId="77777777" w:rsidR="00DE61A6" w:rsidRPr="00AD0116" w:rsidRDefault="00DE61A6" w:rsidP="00AD0116">
      <w:pPr>
        <w:spacing w:after="0" w:line="276" w:lineRule="auto"/>
        <w:rPr>
          <w:rFonts w:cstheme="minorHAnsi"/>
          <w:b/>
          <w:color w:val="000000" w:themeColor="text1"/>
        </w:rPr>
      </w:pPr>
      <w:r w:rsidRPr="00AD0116">
        <w:rPr>
          <w:rFonts w:cstheme="minorHAnsi"/>
          <w:b/>
          <w:color w:val="000000" w:themeColor="text1"/>
        </w:rPr>
        <w:t>*p value &lt; 0.05 level of significance       NS-Non-Significant</w:t>
      </w:r>
    </w:p>
    <w:p w14:paraId="4D80C63E" w14:textId="77777777" w:rsidR="00DE61A6" w:rsidRPr="00AD0116" w:rsidRDefault="00DE61A6" w:rsidP="00AD0116">
      <w:pPr>
        <w:spacing w:after="0" w:line="276" w:lineRule="auto"/>
        <w:rPr>
          <w:rFonts w:cstheme="minorHAnsi"/>
          <w:color w:val="000000" w:themeColor="text1"/>
        </w:rPr>
      </w:pPr>
    </w:p>
    <w:p w14:paraId="60420C24" w14:textId="1EEC7FBD" w:rsidR="00DE61A6" w:rsidRPr="00AD0116" w:rsidRDefault="000256D4" w:rsidP="00AD0116">
      <w:pPr>
        <w:spacing w:line="276" w:lineRule="auto"/>
        <w:jc w:val="both"/>
        <w:rPr>
          <w:rFonts w:cstheme="minorHAnsi"/>
          <w:color w:val="000000" w:themeColor="text1"/>
        </w:rPr>
      </w:pPr>
      <w:r w:rsidRPr="00AD0116">
        <w:rPr>
          <w:rFonts w:cstheme="minorHAnsi"/>
          <w:bCs/>
          <w:color w:val="000000" w:themeColor="text1"/>
        </w:rPr>
        <w:t>Table 7 shows the association between attitudes toward STIs and socio-demographic variables using Chi-square or Fisher’s exact test. A significant association was found with age, type of family, and current semester (p &lt; 0.05). Other variables</w:t>
      </w:r>
      <w:r w:rsidR="008F6E87" w:rsidRPr="00AD0116">
        <w:rPr>
          <w:rFonts w:cstheme="minorHAnsi"/>
          <w:bCs/>
          <w:color w:val="000000" w:themeColor="text1"/>
        </w:rPr>
        <w:t xml:space="preserve"> </w:t>
      </w:r>
      <w:r w:rsidRPr="00AD0116">
        <w:rPr>
          <w:rFonts w:cstheme="minorHAnsi"/>
          <w:bCs/>
          <w:color w:val="000000" w:themeColor="text1"/>
        </w:rPr>
        <w:t>marital status, religion, sexual preference, course pursued, place of residence, family income, and sexual relationship</w:t>
      </w:r>
      <w:r w:rsidR="00F16A08" w:rsidRPr="00AD0116">
        <w:rPr>
          <w:rFonts w:cstheme="minorHAnsi"/>
          <w:bCs/>
          <w:color w:val="000000" w:themeColor="text1"/>
        </w:rPr>
        <w:t xml:space="preserve"> </w:t>
      </w:r>
      <w:r w:rsidRPr="00AD0116">
        <w:rPr>
          <w:rFonts w:cstheme="minorHAnsi"/>
          <w:bCs/>
          <w:color w:val="000000" w:themeColor="text1"/>
        </w:rPr>
        <w:t>showed no significant association with attitude toward STIs</w:t>
      </w:r>
      <w:r w:rsidR="00DE61A6" w:rsidRPr="00AD0116">
        <w:rPr>
          <w:rFonts w:cstheme="minorHAnsi"/>
          <w:color w:val="000000" w:themeColor="text1"/>
        </w:rPr>
        <w:t xml:space="preserve">. </w:t>
      </w:r>
    </w:p>
    <w:p w14:paraId="04DD9947" w14:textId="77777777" w:rsidR="00EC4D91" w:rsidRPr="00AD0116" w:rsidRDefault="00EC4D91" w:rsidP="00AD0116">
      <w:pPr>
        <w:spacing w:after="0" w:line="276" w:lineRule="auto"/>
        <w:jc w:val="both"/>
        <w:rPr>
          <w:rFonts w:cstheme="minorHAnsi"/>
          <w:b/>
          <w:color w:val="000000" w:themeColor="text1"/>
        </w:rPr>
      </w:pPr>
    </w:p>
    <w:p w14:paraId="60D8B630" w14:textId="4555BA6C" w:rsidR="00DE61A6" w:rsidRPr="00AD0116" w:rsidRDefault="00DE61A6" w:rsidP="00AD0116">
      <w:pPr>
        <w:spacing w:after="0" w:line="276" w:lineRule="auto"/>
        <w:jc w:val="both"/>
        <w:rPr>
          <w:rFonts w:cstheme="minorHAnsi"/>
          <w:b/>
          <w:color w:val="000000" w:themeColor="text1"/>
        </w:rPr>
      </w:pPr>
      <w:r w:rsidRPr="00AD0116">
        <w:rPr>
          <w:rFonts w:cstheme="minorHAnsi"/>
          <w:b/>
          <w:color w:val="000000" w:themeColor="text1"/>
        </w:rPr>
        <w:t xml:space="preserve">Table 8:  Association between Preventive practices towards Sexually Transmitted Infections (STIs) among College Students with socio demographic variables </w:t>
      </w:r>
    </w:p>
    <w:p w14:paraId="74D24BF7" w14:textId="77777777" w:rsidR="00DE61A6" w:rsidRPr="00AD0116" w:rsidRDefault="00DE61A6" w:rsidP="00AD0116">
      <w:pPr>
        <w:spacing w:after="0" w:line="276" w:lineRule="auto"/>
        <w:jc w:val="right"/>
        <w:rPr>
          <w:rFonts w:cstheme="minorHAnsi"/>
          <w:b/>
          <w:color w:val="000000" w:themeColor="text1"/>
        </w:rPr>
      </w:pPr>
      <w:r w:rsidRPr="00AD0116">
        <w:rPr>
          <w:rFonts w:cstheme="minorHAnsi"/>
          <w:b/>
          <w:color w:val="000000" w:themeColor="text1"/>
        </w:rPr>
        <w:tab/>
      </w:r>
      <w:r w:rsidRPr="00AD0116">
        <w:rPr>
          <w:rFonts w:cstheme="minorHAnsi"/>
          <w:b/>
          <w:color w:val="000000" w:themeColor="text1"/>
        </w:rPr>
        <w:tab/>
      </w:r>
      <w:r w:rsidRPr="00AD0116">
        <w:rPr>
          <w:rFonts w:cstheme="minorHAnsi"/>
          <w:b/>
          <w:color w:val="000000" w:themeColor="text1"/>
        </w:rPr>
        <w:tab/>
      </w:r>
      <w:r w:rsidRPr="00AD0116">
        <w:rPr>
          <w:rFonts w:cstheme="minorHAnsi"/>
          <w:b/>
          <w:color w:val="000000" w:themeColor="text1"/>
        </w:rPr>
        <w:tab/>
      </w:r>
      <w:r w:rsidRPr="00AD0116">
        <w:rPr>
          <w:rFonts w:cstheme="minorHAnsi"/>
          <w:b/>
          <w:color w:val="000000" w:themeColor="text1"/>
        </w:rPr>
        <w:tab/>
      </w:r>
      <w:r w:rsidRPr="00AD0116">
        <w:rPr>
          <w:rFonts w:cstheme="minorHAnsi"/>
          <w:b/>
          <w:color w:val="000000" w:themeColor="text1"/>
        </w:rPr>
        <w:tab/>
      </w:r>
      <w:r w:rsidRPr="00AD0116">
        <w:rPr>
          <w:rFonts w:cstheme="minorHAnsi"/>
          <w:b/>
          <w:color w:val="000000" w:themeColor="text1"/>
        </w:rPr>
        <w:tab/>
      </w:r>
      <w:r w:rsidRPr="00AD0116">
        <w:rPr>
          <w:rFonts w:cstheme="minorHAnsi"/>
          <w:b/>
          <w:color w:val="000000" w:themeColor="text1"/>
        </w:rPr>
        <w:tab/>
      </w:r>
      <w:r w:rsidRPr="00AD0116">
        <w:rPr>
          <w:rFonts w:cstheme="minorHAnsi"/>
          <w:b/>
          <w:color w:val="000000" w:themeColor="text1"/>
        </w:rPr>
        <w:tab/>
        <w:t xml:space="preserve">                                           N=192</w:t>
      </w:r>
    </w:p>
    <w:tbl>
      <w:tblPr>
        <w:tblStyle w:val="PlainTable2"/>
        <w:tblW w:w="8991" w:type="dxa"/>
        <w:tblLook w:val="04A0" w:firstRow="1" w:lastRow="0" w:firstColumn="1" w:lastColumn="0" w:noHBand="0" w:noVBand="1"/>
      </w:tblPr>
      <w:tblGrid>
        <w:gridCol w:w="638"/>
        <w:gridCol w:w="3588"/>
        <w:gridCol w:w="774"/>
        <w:gridCol w:w="754"/>
        <w:gridCol w:w="755"/>
        <w:gridCol w:w="1036"/>
        <w:gridCol w:w="513"/>
        <w:gridCol w:w="933"/>
      </w:tblGrid>
      <w:tr w:rsidR="00AD0116" w:rsidRPr="00AD0116" w14:paraId="135ED28F" w14:textId="77777777" w:rsidTr="00F51741">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638" w:type="dxa"/>
            <w:vMerge w:val="restart"/>
          </w:tcPr>
          <w:p w14:paraId="42B93E96" w14:textId="77777777" w:rsidR="00DE61A6" w:rsidRPr="00AD0116" w:rsidRDefault="00DE61A6" w:rsidP="00AD0116">
            <w:pPr>
              <w:spacing w:line="276" w:lineRule="auto"/>
              <w:jc w:val="center"/>
              <w:rPr>
                <w:rFonts w:cstheme="minorHAnsi"/>
                <w:b w:val="0"/>
                <w:color w:val="000000" w:themeColor="text1"/>
              </w:rPr>
            </w:pPr>
            <w:r w:rsidRPr="00AD0116">
              <w:rPr>
                <w:rFonts w:cstheme="minorHAnsi"/>
                <w:color w:val="000000" w:themeColor="text1"/>
              </w:rPr>
              <w:t xml:space="preserve">S. </w:t>
            </w:r>
          </w:p>
          <w:p w14:paraId="57A2E412" w14:textId="77777777" w:rsidR="00DE61A6" w:rsidRPr="00AD0116" w:rsidRDefault="00DE61A6" w:rsidP="00AD0116">
            <w:pPr>
              <w:spacing w:line="276" w:lineRule="auto"/>
              <w:jc w:val="center"/>
              <w:rPr>
                <w:rFonts w:cstheme="minorHAnsi"/>
                <w:b w:val="0"/>
                <w:color w:val="000000" w:themeColor="text1"/>
              </w:rPr>
            </w:pPr>
            <w:r w:rsidRPr="00AD0116">
              <w:rPr>
                <w:rFonts w:cstheme="minorHAnsi"/>
                <w:color w:val="000000" w:themeColor="text1"/>
              </w:rPr>
              <w:t>No</w:t>
            </w:r>
          </w:p>
        </w:tc>
        <w:tc>
          <w:tcPr>
            <w:tcW w:w="3588" w:type="dxa"/>
            <w:vMerge w:val="restart"/>
          </w:tcPr>
          <w:p w14:paraId="1F146FBE"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AD0116">
              <w:rPr>
                <w:rFonts w:cstheme="minorHAnsi"/>
                <w:color w:val="000000" w:themeColor="text1"/>
              </w:rPr>
              <w:t>Demographic Variables</w:t>
            </w:r>
          </w:p>
        </w:tc>
        <w:tc>
          <w:tcPr>
            <w:tcW w:w="2283" w:type="dxa"/>
            <w:gridSpan w:val="3"/>
          </w:tcPr>
          <w:p w14:paraId="6E0F8065"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sidRPr="00AD0116">
              <w:rPr>
                <w:rFonts w:cstheme="minorHAnsi"/>
                <w:color w:val="000000" w:themeColor="text1"/>
              </w:rPr>
              <w:t xml:space="preserve">Preventive practices </w:t>
            </w:r>
          </w:p>
        </w:tc>
        <w:tc>
          <w:tcPr>
            <w:tcW w:w="1036" w:type="dxa"/>
            <w:vMerge w:val="restart"/>
          </w:tcPr>
          <w:p w14:paraId="63BDA19E"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lang w:val="en-IN" w:eastAsia="en-IN"/>
              </w:rPr>
            </w:pPr>
            <w:r w:rsidRPr="00AD0116">
              <w:rPr>
                <w:rFonts w:cstheme="minorHAnsi"/>
                <w:color w:val="000000" w:themeColor="text1"/>
              </w:rPr>
              <w:t>Fishers</w:t>
            </w:r>
            <w:r w:rsidRPr="00AD0116">
              <w:rPr>
                <w:rFonts w:cstheme="minorHAnsi"/>
                <w:b w:val="0"/>
                <w:color w:val="000000" w:themeColor="text1"/>
              </w:rPr>
              <w:t>/</w:t>
            </w:r>
            <w:r w:rsidRPr="00AD0116">
              <w:rPr>
                <w:rFonts w:cstheme="minorHAnsi"/>
                <w:color w:val="000000" w:themeColor="text1"/>
              </w:rPr>
              <w:t xml:space="preserve"> χ2 </w:t>
            </w:r>
            <w:r w:rsidRPr="00AD0116">
              <w:rPr>
                <w:rFonts w:cstheme="minorHAnsi"/>
                <w:color w:val="000000" w:themeColor="text1"/>
                <w:lang w:val="en-IN" w:eastAsia="en-IN"/>
              </w:rPr>
              <w:t>value</w:t>
            </w:r>
          </w:p>
        </w:tc>
        <w:tc>
          <w:tcPr>
            <w:tcW w:w="513" w:type="dxa"/>
            <w:vMerge w:val="restart"/>
          </w:tcPr>
          <w:p w14:paraId="7CEE1F35"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AD0116">
              <w:rPr>
                <w:rFonts w:cstheme="minorHAnsi"/>
                <w:color w:val="000000" w:themeColor="text1"/>
              </w:rPr>
              <w:t>df</w:t>
            </w:r>
          </w:p>
        </w:tc>
        <w:tc>
          <w:tcPr>
            <w:tcW w:w="933" w:type="dxa"/>
            <w:vMerge w:val="restart"/>
          </w:tcPr>
          <w:p w14:paraId="56303B46" w14:textId="77777777" w:rsidR="00DE61A6" w:rsidRPr="00AD0116" w:rsidRDefault="00DE61A6" w:rsidP="00AD011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AD0116">
              <w:rPr>
                <w:rFonts w:cstheme="minorHAnsi"/>
                <w:color w:val="000000" w:themeColor="text1"/>
              </w:rPr>
              <w:t>p value</w:t>
            </w:r>
          </w:p>
        </w:tc>
      </w:tr>
      <w:tr w:rsidR="00AD0116" w:rsidRPr="00AD0116" w14:paraId="77A41A68" w14:textId="77777777" w:rsidTr="00F51741">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638" w:type="dxa"/>
            <w:vMerge/>
          </w:tcPr>
          <w:p w14:paraId="37C08188" w14:textId="77777777" w:rsidR="00DE61A6" w:rsidRPr="00AD0116" w:rsidRDefault="00DE61A6" w:rsidP="00AD0116">
            <w:pPr>
              <w:spacing w:line="276" w:lineRule="auto"/>
              <w:jc w:val="center"/>
              <w:rPr>
                <w:rFonts w:cstheme="minorHAnsi"/>
                <w:b w:val="0"/>
                <w:color w:val="000000" w:themeColor="text1"/>
              </w:rPr>
            </w:pPr>
          </w:p>
        </w:tc>
        <w:tc>
          <w:tcPr>
            <w:tcW w:w="3588" w:type="dxa"/>
            <w:vMerge/>
          </w:tcPr>
          <w:p w14:paraId="6F36001E"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p>
        </w:tc>
        <w:tc>
          <w:tcPr>
            <w:tcW w:w="774" w:type="dxa"/>
          </w:tcPr>
          <w:p w14:paraId="05AF6435"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AD0116">
              <w:rPr>
                <w:rFonts w:cstheme="minorHAnsi"/>
                <w:b/>
                <w:color w:val="000000" w:themeColor="text1"/>
              </w:rPr>
              <w:t xml:space="preserve">Poor </w:t>
            </w:r>
          </w:p>
        </w:tc>
        <w:tc>
          <w:tcPr>
            <w:tcW w:w="754" w:type="dxa"/>
          </w:tcPr>
          <w:p w14:paraId="34A3E88C"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AD0116">
              <w:rPr>
                <w:rFonts w:cstheme="minorHAnsi"/>
                <w:b/>
                <w:color w:val="000000" w:themeColor="text1"/>
              </w:rPr>
              <w:t xml:space="preserve">Fair </w:t>
            </w:r>
          </w:p>
        </w:tc>
        <w:tc>
          <w:tcPr>
            <w:tcW w:w="755" w:type="dxa"/>
          </w:tcPr>
          <w:p w14:paraId="0F1D0B8B"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AD0116">
              <w:rPr>
                <w:rFonts w:cstheme="minorHAnsi"/>
                <w:b/>
                <w:color w:val="000000" w:themeColor="text1"/>
              </w:rPr>
              <w:t xml:space="preserve">Good </w:t>
            </w:r>
          </w:p>
        </w:tc>
        <w:tc>
          <w:tcPr>
            <w:tcW w:w="1036" w:type="dxa"/>
            <w:vMerge/>
          </w:tcPr>
          <w:p w14:paraId="68508E50"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p>
        </w:tc>
        <w:tc>
          <w:tcPr>
            <w:tcW w:w="513" w:type="dxa"/>
            <w:vMerge/>
          </w:tcPr>
          <w:p w14:paraId="75708374"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p>
        </w:tc>
        <w:tc>
          <w:tcPr>
            <w:tcW w:w="933" w:type="dxa"/>
            <w:vMerge/>
          </w:tcPr>
          <w:p w14:paraId="786FE4A9"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p>
        </w:tc>
      </w:tr>
      <w:tr w:rsidR="00AD0116" w:rsidRPr="00AD0116" w14:paraId="368E0FFA" w14:textId="77777777" w:rsidTr="00EC4D91">
        <w:trPr>
          <w:trHeight w:val="1048"/>
        </w:trPr>
        <w:tc>
          <w:tcPr>
            <w:cnfStyle w:val="001000000000" w:firstRow="0" w:lastRow="0" w:firstColumn="1" w:lastColumn="0" w:oddVBand="0" w:evenVBand="0" w:oddHBand="0" w:evenHBand="0" w:firstRowFirstColumn="0" w:firstRowLastColumn="0" w:lastRowFirstColumn="0" w:lastRowLastColumn="0"/>
            <w:tcW w:w="638" w:type="dxa"/>
          </w:tcPr>
          <w:p w14:paraId="6D960116"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1</w:t>
            </w:r>
          </w:p>
        </w:tc>
        <w:tc>
          <w:tcPr>
            <w:tcW w:w="3588" w:type="dxa"/>
          </w:tcPr>
          <w:p w14:paraId="2EB4AC31" w14:textId="77777777" w:rsidR="00DE61A6" w:rsidRPr="00AD0116" w:rsidRDefault="00DE61A6" w:rsidP="00AD0116">
            <w:p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 xml:space="preserve">Age in years </w:t>
            </w:r>
          </w:p>
          <w:p w14:paraId="643EAFBC" w14:textId="77777777" w:rsidR="00DE61A6" w:rsidRPr="00AD0116" w:rsidRDefault="00DE61A6" w:rsidP="00AD0116">
            <w:pPr>
              <w:pStyle w:val="ListParagraph"/>
              <w:numPr>
                <w:ilvl w:val="0"/>
                <w:numId w:val="27"/>
              </w:num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19-30</w:t>
            </w:r>
          </w:p>
          <w:p w14:paraId="53E8BAA1" w14:textId="77777777" w:rsidR="00DE61A6" w:rsidRPr="00AD0116" w:rsidRDefault="00DE61A6" w:rsidP="00AD0116">
            <w:pPr>
              <w:pStyle w:val="ListParagraph"/>
              <w:numPr>
                <w:ilvl w:val="0"/>
                <w:numId w:val="27"/>
              </w:num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31-4</w:t>
            </w:r>
          </w:p>
          <w:p w14:paraId="224C8B95" w14:textId="77777777" w:rsidR="00DE61A6" w:rsidRPr="00AD0116" w:rsidRDefault="00DE61A6" w:rsidP="00AD0116">
            <w:pPr>
              <w:pStyle w:val="ListParagraph"/>
              <w:numPr>
                <w:ilvl w:val="0"/>
                <w:numId w:val="27"/>
              </w:num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 xml:space="preserve">41-50 </w:t>
            </w:r>
          </w:p>
        </w:tc>
        <w:tc>
          <w:tcPr>
            <w:tcW w:w="774" w:type="dxa"/>
          </w:tcPr>
          <w:p w14:paraId="6D93857A"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F749BEB"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30</w:t>
            </w:r>
          </w:p>
          <w:p w14:paraId="478E774A"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44</w:t>
            </w:r>
          </w:p>
          <w:p w14:paraId="3F832175"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20</w:t>
            </w:r>
          </w:p>
        </w:tc>
        <w:tc>
          <w:tcPr>
            <w:tcW w:w="754" w:type="dxa"/>
          </w:tcPr>
          <w:p w14:paraId="24A75B99"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371CB1B"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38</w:t>
            </w:r>
          </w:p>
          <w:p w14:paraId="7F89B26E"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36</w:t>
            </w:r>
          </w:p>
          <w:p w14:paraId="608F2E2E"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20</w:t>
            </w:r>
          </w:p>
        </w:tc>
        <w:tc>
          <w:tcPr>
            <w:tcW w:w="755" w:type="dxa"/>
          </w:tcPr>
          <w:p w14:paraId="6FEB7D3D"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83087E5"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w:t>
            </w:r>
          </w:p>
          <w:p w14:paraId="38DA240C"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w:t>
            </w:r>
          </w:p>
          <w:p w14:paraId="23A5C19E"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0</w:t>
            </w:r>
          </w:p>
        </w:tc>
        <w:tc>
          <w:tcPr>
            <w:tcW w:w="1036" w:type="dxa"/>
          </w:tcPr>
          <w:p w14:paraId="29019B66"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DB35918" w14:textId="623DBE86"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4.46</w:t>
            </w:r>
          </w:p>
        </w:tc>
        <w:tc>
          <w:tcPr>
            <w:tcW w:w="513" w:type="dxa"/>
          </w:tcPr>
          <w:p w14:paraId="246DBAAC"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09F20DE"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4</w:t>
            </w:r>
          </w:p>
        </w:tc>
        <w:tc>
          <w:tcPr>
            <w:tcW w:w="933" w:type="dxa"/>
          </w:tcPr>
          <w:p w14:paraId="13BCA9F6"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7D0F684"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vertAlign w:val="superscript"/>
              </w:rPr>
            </w:pPr>
            <w:r w:rsidRPr="00AD0116">
              <w:rPr>
                <w:rFonts w:cstheme="minorHAnsi"/>
                <w:color w:val="000000" w:themeColor="text1"/>
              </w:rPr>
              <w:t>0.347</w:t>
            </w:r>
            <w:r w:rsidRPr="00AD0116">
              <w:rPr>
                <w:rFonts w:cstheme="minorHAnsi"/>
                <w:color w:val="000000" w:themeColor="text1"/>
                <w:vertAlign w:val="superscript"/>
              </w:rPr>
              <w:t>NS</w:t>
            </w:r>
          </w:p>
        </w:tc>
      </w:tr>
      <w:tr w:rsidR="00AD0116" w:rsidRPr="00AD0116" w14:paraId="124426F2" w14:textId="77777777" w:rsidTr="00EC4D9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638" w:type="dxa"/>
          </w:tcPr>
          <w:p w14:paraId="0307C47D"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2</w:t>
            </w:r>
          </w:p>
        </w:tc>
        <w:tc>
          <w:tcPr>
            <w:tcW w:w="3588" w:type="dxa"/>
          </w:tcPr>
          <w:p w14:paraId="5C099AA4" w14:textId="77777777" w:rsidR="00DE61A6" w:rsidRPr="00AD0116" w:rsidRDefault="00DE61A6" w:rsidP="00AD011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AD0116">
              <w:rPr>
                <w:rFonts w:asciiTheme="minorHAnsi" w:hAnsiTheme="minorHAnsi" w:cstheme="minorHAnsi"/>
                <w:color w:val="000000" w:themeColor="text1"/>
                <w:sz w:val="22"/>
                <w:szCs w:val="22"/>
              </w:rPr>
              <w:t xml:space="preserve">Marital status </w:t>
            </w:r>
          </w:p>
          <w:p w14:paraId="777E7E5D" w14:textId="77777777" w:rsidR="00DE61A6" w:rsidRPr="00AD0116" w:rsidRDefault="00DE61A6" w:rsidP="00AD0116">
            <w:pPr>
              <w:pStyle w:val="ListParagraph"/>
              <w:numPr>
                <w:ilvl w:val="0"/>
                <w:numId w:val="28"/>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rPr>
            </w:pPr>
            <w:r w:rsidRPr="00AD0116">
              <w:rPr>
                <w:rFonts w:cstheme="minorHAnsi"/>
                <w:color w:val="000000" w:themeColor="text1"/>
              </w:rPr>
              <w:t>Unmarried</w:t>
            </w:r>
          </w:p>
          <w:p w14:paraId="4AC29F22" w14:textId="77777777" w:rsidR="00DE61A6" w:rsidRPr="00AD0116" w:rsidRDefault="00DE61A6" w:rsidP="00AD0116">
            <w:pPr>
              <w:pStyle w:val="ListParagraph"/>
              <w:numPr>
                <w:ilvl w:val="0"/>
                <w:numId w:val="28"/>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rPr>
            </w:pPr>
            <w:r w:rsidRPr="00AD0116">
              <w:rPr>
                <w:rFonts w:cstheme="minorHAnsi"/>
                <w:color w:val="000000" w:themeColor="text1"/>
              </w:rPr>
              <w:t xml:space="preserve">Married   </w:t>
            </w:r>
          </w:p>
        </w:tc>
        <w:tc>
          <w:tcPr>
            <w:tcW w:w="774" w:type="dxa"/>
          </w:tcPr>
          <w:p w14:paraId="275FC42E"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1FF5D09C"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94</w:t>
            </w:r>
          </w:p>
          <w:p w14:paraId="3450B77B"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0</w:t>
            </w:r>
          </w:p>
        </w:tc>
        <w:tc>
          <w:tcPr>
            <w:tcW w:w="754" w:type="dxa"/>
          </w:tcPr>
          <w:p w14:paraId="179BB61D"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4BA63480"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92</w:t>
            </w:r>
          </w:p>
          <w:p w14:paraId="4238F4A8"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2</w:t>
            </w:r>
          </w:p>
        </w:tc>
        <w:tc>
          <w:tcPr>
            <w:tcW w:w="755" w:type="dxa"/>
          </w:tcPr>
          <w:p w14:paraId="1E0EA8ED"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373420C"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4</w:t>
            </w:r>
          </w:p>
          <w:p w14:paraId="67B997CE"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0</w:t>
            </w:r>
          </w:p>
        </w:tc>
        <w:tc>
          <w:tcPr>
            <w:tcW w:w="1036" w:type="dxa"/>
          </w:tcPr>
          <w:p w14:paraId="5601A4AF"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1817A82A" w14:textId="75C3152F"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2.10</w:t>
            </w:r>
          </w:p>
        </w:tc>
        <w:tc>
          <w:tcPr>
            <w:tcW w:w="513" w:type="dxa"/>
          </w:tcPr>
          <w:p w14:paraId="5E9B1DE3"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FD66401"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2</w:t>
            </w:r>
          </w:p>
        </w:tc>
        <w:tc>
          <w:tcPr>
            <w:tcW w:w="933" w:type="dxa"/>
          </w:tcPr>
          <w:p w14:paraId="5EC772B2"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24880C14"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vertAlign w:val="superscript"/>
              </w:rPr>
            </w:pPr>
            <w:r w:rsidRPr="00AD0116">
              <w:rPr>
                <w:rFonts w:cstheme="minorHAnsi"/>
                <w:color w:val="000000" w:themeColor="text1"/>
              </w:rPr>
              <w:t>0.349</w:t>
            </w:r>
            <w:r w:rsidRPr="00AD0116">
              <w:rPr>
                <w:rFonts w:cstheme="minorHAnsi"/>
                <w:color w:val="000000" w:themeColor="text1"/>
                <w:vertAlign w:val="superscript"/>
              </w:rPr>
              <w:t>NS</w:t>
            </w:r>
          </w:p>
        </w:tc>
      </w:tr>
      <w:tr w:rsidR="00AD0116" w:rsidRPr="00AD0116" w14:paraId="00CF71B2" w14:textId="77777777" w:rsidTr="00EC4D91">
        <w:trPr>
          <w:trHeight w:val="1415"/>
        </w:trPr>
        <w:tc>
          <w:tcPr>
            <w:cnfStyle w:val="001000000000" w:firstRow="0" w:lastRow="0" w:firstColumn="1" w:lastColumn="0" w:oddVBand="0" w:evenVBand="0" w:oddHBand="0" w:evenHBand="0" w:firstRowFirstColumn="0" w:firstRowLastColumn="0" w:lastRowFirstColumn="0" w:lastRowLastColumn="0"/>
            <w:tcW w:w="638" w:type="dxa"/>
          </w:tcPr>
          <w:p w14:paraId="5B96D6EC"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3</w:t>
            </w:r>
          </w:p>
        </w:tc>
        <w:tc>
          <w:tcPr>
            <w:tcW w:w="3588" w:type="dxa"/>
          </w:tcPr>
          <w:p w14:paraId="44C000BD" w14:textId="77777777" w:rsidR="00DE61A6" w:rsidRPr="00AD0116" w:rsidRDefault="00DE61A6" w:rsidP="00AD0116">
            <w:p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 xml:space="preserve"> Religion</w:t>
            </w:r>
          </w:p>
          <w:p w14:paraId="14E926CF" w14:textId="77777777" w:rsidR="00DE61A6" w:rsidRPr="00AD0116" w:rsidRDefault="00DE61A6" w:rsidP="00AD0116">
            <w:pPr>
              <w:pStyle w:val="ListParagraph"/>
              <w:numPr>
                <w:ilvl w:val="0"/>
                <w:numId w:val="29"/>
              </w:num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Hindu</w:t>
            </w:r>
          </w:p>
          <w:p w14:paraId="4F828600" w14:textId="77777777" w:rsidR="00DE61A6" w:rsidRPr="00AD0116" w:rsidRDefault="00DE61A6" w:rsidP="00AD0116">
            <w:pPr>
              <w:pStyle w:val="ListParagraph"/>
              <w:numPr>
                <w:ilvl w:val="0"/>
                <w:numId w:val="29"/>
              </w:num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Christian</w:t>
            </w:r>
          </w:p>
          <w:p w14:paraId="5D5B8DAF" w14:textId="77777777" w:rsidR="00DE61A6" w:rsidRPr="00AD0116" w:rsidRDefault="00DE61A6" w:rsidP="00AD0116">
            <w:pPr>
              <w:pStyle w:val="ListParagraph"/>
              <w:numPr>
                <w:ilvl w:val="0"/>
                <w:numId w:val="29"/>
              </w:num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Muslim</w:t>
            </w:r>
          </w:p>
          <w:p w14:paraId="1C574AB1" w14:textId="77777777" w:rsidR="00DE61A6" w:rsidRPr="00AD0116" w:rsidRDefault="00DE61A6" w:rsidP="00AD0116">
            <w:pPr>
              <w:pStyle w:val="ListParagraph"/>
              <w:numPr>
                <w:ilvl w:val="0"/>
                <w:numId w:val="29"/>
              </w:numPr>
              <w:spacing w:line="276" w:lineRule="auto"/>
              <w:jc w:val="lowKashida"/>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 xml:space="preserve">Buddhist </w:t>
            </w:r>
          </w:p>
        </w:tc>
        <w:tc>
          <w:tcPr>
            <w:tcW w:w="774" w:type="dxa"/>
          </w:tcPr>
          <w:p w14:paraId="5BD93327"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68C4A9E"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30</w:t>
            </w:r>
          </w:p>
          <w:p w14:paraId="3F175502"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20</w:t>
            </w:r>
          </w:p>
          <w:p w14:paraId="7D24FDBF"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11</w:t>
            </w:r>
          </w:p>
          <w:p w14:paraId="0F27884B"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24</w:t>
            </w:r>
          </w:p>
          <w:p w14:paraId="7AA45B1E"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9</w:t>
            </w:r>
          </w:p>
        </w:tc>
        <w:tc>
          <w:tcPr>
            <w:tcW w:w="754" w:type="dxa"/>
          </w:tcPr>
          <w:p w14:paraId="0E487EBE"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E3307C8"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18</w:t>
            </w:r>
          </w:p>
          <w:p w14:paraId="56BE4571"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20</w:t>
            </w:r>
          </w:p>
          <w:p w14:paraId="5C7AEC52"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7</w:t>
            </w:r>
          </w:p>
          <w:p w14:paraId="72C8F1AF"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40</w:t>
            </w:r>
          </w:p>
          <w:p w14:paraId="21ECB5FF"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9</w:t>
            </w:r>
          </w:p>
        </w:tc>
        <w:tc>
          <w:tcPr>
            <w:tcW w:w="755" w:type="dxa"/>
          </w:tcPr>
          <w:p w14:paraId="110EAF03"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B5CC27B"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w:t>
            </w:r>
          </w:p>
          <w:p w14:paraId="309DD1F6"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w:t>
            </w:r>
          </w:p>
          <w:p w14:paraId="318C85C9"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w:t>
            </w:r>
          </w:p>
          <w:p w14:paraId="76F54B6E"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w:t>
            </w:r>
          </w:p>
          <w:p w14:paraId="3B5BABE1"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0</w:t>
            </w:r>
          </w:p>
        </w:tc>
        <w:tc>
          <w:tcPr>
            <w:tcW w:w="1036" w:type="dxa"/>
          </w:tcPr>
          <w:p w14:paraId="46DDA663"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0450107" w14:textId="5810AB9A"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9.32</w:t>
            </w:r>
          </w:p>
        </w:tc>
        <w:tc>
          <w:tcPr>
            <w:tcW w:w="513" w:type="dxa"/>
          </w:tcPr>
          <w:p w14:paraId="324533F3"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3E6B2EB"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8</w:t>
            </w:r>
          </w:p>
        </w:tc>
        <w:tc>
          <w:tcPr>
            <w:tcW w:w="933" w:type="dxa"/>
          </w:tcPr>
          <w:p w14:paraId="646A9957" w14:textId="77777777" w:rsidR="00DE61A6" w:rsidRPr="00AD0116" w:rsidRDefault="00DE61A6" w:rsidP="00AD0116">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88992BE"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vertAlign w:val="superscript"/>
              </w:rPr>
            </w:pPr>
            <w:r w:rsidRPr="00AD0116">
              <w:rPr>
                <w:rFonts w:cstheme="minorHAnsi"/>
                <w:color w:val="000000" w:themeColor="text1"/>
              </w:rPr>
              <w:t>0.315</w:t>
            </w:r>
            <w:r w:rsidRPr="00AD0116">
              <w:rPr>
                <w:rFonts w:cstheme="minorHAnsi"/>
                <w:color w:val="000000" w:themeColor="text1"/>
                <w:vertAlign w:val="superscript"/>
              </w:rPr>
              <w:t>NS</w:t>
            </w:r>
          </w:p>
        </w:tc>
      </w:tr>
      <w:tr w:rsidR="00AD0116" w:rsidRPr="00AD0116" w14:paraId="76C7449B" w14:textId="77777777" w:rsidTr="00EC4D91">
        <w:trPr>
          <w:cnfStyle w:val="000000100000" w:firstRow="0" w:lastRow="0" w:firstColumn="0" w:lastColumn="0" w:oddVBand="0" w:evenVBand="0" w:oddHBand="1" w:evenHBand="0" w:firstRowFirstColumn="0" w:firstRowLastColumn="0" w:lastRowFirstColumn="0" w:lastRowLastColumn="0"/>
          <w:trHeight w:val="1819"/>
        </w:trPr>
        <w:tc>
          <w:tcPr>
            <w:cnfStyle w:val="001000000000" w:firstRow="0" w:lastRow="0" w:firstColumn="1" w:lastColumn="0" w:oddVBand="0" w:evenVBand="0" w:oddHBand="0" w:evenHBand="0" w:firstRowFirstColumn="0" w:firstRowLastColumn="0" w:lastRowFirstColumn="0" w:lastRowLastColumn="0"/>
            <w:tcW w:w="638" w:type="dxa"/>
          </w:tcPr>
          <w:p w14:paraId="31497801"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lastRenderedPageBreak/>
              <w:t>4</w:t>
            </w:r>
          </w:p>
        </w:tc>
        <w:tc>
          <w:tcPr>
            <w:tcW w:w="3588" w:type="dxa"/>
          </w:tcPr>
          <w:p w14:paraId="6A8D9CFF" w14:textId="77777777" w:rsidR="00DE61A6" w:rsidRPr="00AD0116" w:rsidRDefault="00DE61A6" w:rsidP="00AD0116">
            <w:pPr>
              <w:spacing w:line="276" w:lineRule="auto"/>
              <w:jc w:val="lowKashida"/>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 xml:space="preserve">Sexual preference </w:t>
            </w:r>
          </w:p>
          <w:p w14:paraId="55CCD7C9" w14:textId="77777777" w:rsidR="00DE61A6" w:rsidRPr="00AD0116" w:rsidRDefault="00DE61A6" w:rsidP="00AD0116">
            <w:pPr>
              <w:pStyle w:val="ListParagraph"/>
              <w:numPr>
                <w:ilvl w:val="0"/>
                <w:numId w:val="30"/>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Heterosexual</w:t>
            </w:r>
          </w:p>
          <w:p w14:paraId="2E7F26D1" w14:textId="77777777" w:rsidR="00DE61A6" w:rsidRPr="00AD0116" w:rsidRDefault="00DE61A6" w:rsidP="00AD0116">
            <w:pPr>
              <w:pStyle w:val="ListParagraph"/>
              <w:numPr>
                <w:ilvl w:val="0"/>
                <w:numId w:val="30"/>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Homosexual</w:t>
            </w:r>
          </w:p>
          <w:p w14:paraId="5F00EFDF" w14:textId="77777777" w:rsidR="00DE61A6" w:rsidRPr="00AD0116" w:rsidRDefault="00DE61A6" w:rsidP="00AD0116">
            <w:pPr>
              <w:pStyle w:val="ListParagraph"/>
              <w:numPr>
                <w:ilvl w:val="0"/>
                <w:numId w:val="30"/>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Bisexual</w:t>
            </w:r>
          </w:p>
          <w:p w14:paraId="41FF36F2" w14:textId="77777777" w:rsidR="00DE61A6" w:rsidRPr="00AD0116" w:rsidRDefault="00DE61A6" w:rsidP="00AD0116">
            <w:pPr>
              <w:pStyle w:val="ListParagraph"/>
              <w:numPr>
                <w:ilvl w:val="0"/>
                <w:numId w:val="30"/>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Asexual</w:t>
            </w:r>
          </w:p>
          <w:p w14:paraId="76EBC232" w14:textId="77777777" w:rsidR="00DE61A6" w:rsidRPr="00AD0116" w:rsidRDefault="00DE61A6" w:rsidP="00AD0116">
            <w:pPr>
              <w:pStyle w:val="ListParagraph"/>
              <w:numPr>
                <w:ilvl w:val="0"/>
                <w:numId w:val="30"/>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 xml:space="preserve">Other (Please specify): </w:t>
            </w:r>
          </w:p>
          <w:p w14:paraId="4D85E1AA" w14:textId="77777777" w:rsidR="00DE61A6" w:rsidRPr="00AD0116" w:rsidRDefault="00DE61A6" w:rsidP="00AD0116">
            <w:pPr>
              <w:pStyle w:val="ListParagraph"/>
              <w:numPr>
                <w:ilvl w:val="0"/>
                <w:numId w:val="30"/>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Prefer not to say</w:t>
            </w:r>
          </w:p>
        </w:tc>
        <w:tc>
          <w:tcPr>
            <w:tcW w:w="774" w:type="dxa"/>
          </w:tcPr>
          <w:p w14:paraId="242F0702"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B2C9FCF"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91</w:t>
            </w:r>
          </w:p>
          <w:p w14:paraId="39FB9800"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0402FCA3"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01A2BB61"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5AFB3AA0"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7304E36A"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3</w:t>
            </w:r>
          </w:p>
        </w:tc>
        <w:tc>
          <w:tcPr>
            <w:tcW w:w="754" w:type="dxa"/>
          </w:tcPr>
          <w:p w14:paraId="1D955644"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051B32D1"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94</w:t>
            </w:r>
          </w:p>
          <w:p w14:paraId="7F7933AB"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67C02CB7"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52806396"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22795C0B"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24CCD0B7"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0</w:t>
            </w:r>
          </w:p>
        </w:tc>
        <w:tc>
          <w:tcPr>
            <w:tcW w:w="755" w:type="dxa"/>
          </w:tcPr>
          <w:p w14:paraId="606FB13A"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7EEF97A"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4</w:t>
            </w:r>
          </w:p>
          <w:p w14:paraId="65E59D60"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34D366D5"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2D1CD5FE"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464A383B"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w:t>
            </w:r>
          </w:p>
          <w:p w14:paraId="285C09CD"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0</w:t>
            </w:r>
          </w:p>
        </w:tc>
        <w:tc>
          <w:tcPr>
            <w:tcW w:w="1036" w:type="dxa"/>
          </w:tcPr>
          <w:p w14:paraId="6DF0B332"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46176812" w14:textId="129412C8"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3.22</w:t>
            </w:r>
          </w:p>
        </w:tc>
        <w:tc>
          <w:tcPr>
            <w:tcW w:w="513" w:type="dxa"/>
          </w:tcPr>
          <w:p w14:paraId="0B004B64"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2558EE6E"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w:t>
            </w:r>
          </w:p>
        </w:tc>
        <w:tc>
          <w:tcPr>
            <w:tcW w:w="933" w:type="dxa"/>
          </w:tcPr>
          <w:p w14:paraId="5FBFC727" w14:textId="77777777" w:rsidR="00DE61A6" w:rsidRPr="00AD0116" w:rsidRDefault="00DE61A6" w:rsidP="00AD011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5B481129"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vertAlign w:val="superscript"/>
              </w:rPr>
            </w:pPr>
            <w:r w:rsidRPr="00AD0116">
              <w:rPr>
                <w:rFonts w:cstheme="minorHAnsi"/>
                <w:color w:val="000000" w:themeColor="text1"/>
              </w:rPr>
              <w:t>0.521</w:t>
            </w:r>
            <w:r w:rsidRPr="00AD0116">
              <w:rPr>
                <w:rFonts w:cstheme="minorHAnsi"/>
                <w:color w:val="000000" w:themeColor="text1"/>
                <w:vertAlign w:val="superscript"/>
              </w:rPr>
              <w:t>NS</w:t>
            </w:r>
          </w:p>
        </w:tc>
      </w:tr>
      <w:tr w:rsidR="00AD0116" w:rsidRPr="00AD0116" w14:paraId="3587CED4" w14:textId="77777777" w:rsidTr="00EC4D91">
        <w:trPr>
          <w:trHeight w:val="1357"/>
        </w:trPr>
        <w:tc>
          <w:tcPr>
            <w:cnfStyle w:val="001000000000" w:firstRow="0" w:lastRow="0" w:firstColumn="1" w:lastColumn="0" w:oddVBand="0" w:evenVBand="0" w:oddHBand="0" w:evenHBand="0" w:firstRowFirstColumn="0" w:firstRowLastColumn="0" w:lastRowFirstColumn="0" w:lastRowLastColumn="0"/>
            <w:tcW w:w="638" w:type="dxa"/>
          </w:tcPr>
          <w:p w14:paraId="559FF208"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5</w:t>
            </w:r>
          </w:p>
        </w:tc>
        <w:tc>
          <w:tcPr>
            <w:tcW w:w="3588" w:type="dxa"/>
          </w:tcPr>
          <w:p w14:paraId="74150355" w14:textId="77777777" w:rsidR="00DE61A6" w:rsidRPr="00AD0116" w:rsidRDefault="00DE61A6" w:rsidP="00AD0116">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AD0116">
              <w:rPr>
                <w:rFonts w:asciiTheme="minorHAnsi" w:hAnsiTheme="minorHAnsi" w:cstheme="minorHAnsi"/>
                <w:color w:val="000000" w:themeColor="text1"/>
                <w:sz w:val="22"/>
                <w:szCs w:val="22"/>
              </w:rPr>
              <w:t>Course pursuing</w:t>
            </w:r>
          </w:p>
          <w:p w14:paraId="652DB954" w14:textId="77777777" w:rsidR="00DE61A6" w:rsidRPr="00AD0116" w:rsidRDefault="00DE61A6" w:rsidP="00AD0116">
            <w:pPr>
              <w:pStyle w:val="Default"/>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AD0116">
              <w:rPr>
                <w:rFonts w:asciiTheme="minorHAnsi" w:hAnsiTheme="minorHAnsi" w:cstheme="minorHAnsi"/>
                <w:bCs/>
                <w:iCs/>
                <w:color w:val="000000" w:themeColor="text1"/>
                <w:sz w:val="22"/>
                <w:szCs w:val="22"/>
                <w:lang w:val="en-IN"/>
              </w:rPr>
              <w:t>Bachelors in Arts</w:t>
            </w:r>
          </w:p>
          <w:p w14:paraId="262BC99F" w14:textId="77777777" w:rsidR="00DE61A6" w:rsidRPr="00AD0116" w:rsidRDefault="00DE61A6" w:rsidP="00AD0116">
            <w:pPr>
              <w:pStyle w:val="Default"/>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AD0116">
              <w:rPr>
                <w:rFonts w:asciiTheme="minorHAnsi" w:hAnsiTheme="minorHAnsi" w:cstheme="minorHAnsi"/>
                <w:bCs/>
                <w:iCs/>
                <w:color w:val="000000" w:themeColor="text1"/>
                <w:sz w:val="22"/>
                <w:szCs w:val="22"/>
                <w:lang w:val="en-IN"/>
              </w:rPr>
              <w:t>Bachelors in Science</w:t>
            </w:r>
          </w:p>
          <w:p w14:paraId="78E2A722" w14:textId="77777777" w:rsidR="00DE61A6" w:rsidRPr="00AD0116" w:rsidRDefault="00DE61A6" w:rsidP="00AD0116">
            <w:pPr>
              <w:pStyle w:val="Default"/>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AD0116">
              <w:rPr>
                <w:rFonts w:asciiTheme="minorHAnsi" w:hAnsiTheme="minorHAnsi" w:cstheme="minorHAnsi"/>
                <w:bCs/>
                <w:iCs/>
                <w:color w:val="000000" w:themeColor="text1"/>
                <w:sz w:val="22"/>
                <w:szCs w:val="22"/>
                <w:lang w:val="en-IN"/>
              </w:rPr>
              <w:t>Bachelors in Commerce</w:t>
            </w:r>
          </w:p>
          <w:p w14:paraId="2A32C368" w14:textId="77777777" w:rsidR="00DE61A6" w:rsidRPr="00AD0116" w:rsidRDefault="00DE61A6" w:rsidP="00AD0116">
            <w:pPr>
              <w:pStyle w:val="Default"/>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AD0116">
              <w:rPr>
                <w:rFonts w:asciiTheme="minorHAnsi" w:hAnsiTheme="minorHAnsi" w:cstheme="minorHAnsi"/>
                <w:bCs/>
                <w:iCs/>
                <w:color w:val="000000" w:themeColor="text1"/>
                <w:sz w:val="22"/>
                <w:szCs w:val="22"/>
                <w:lang w:val="en-IN"/>
              </w:rPr>
              <w:t>Others (Please specify): </w:t>
            </w:r>
          </w:p>
        </w:tc>
        <w:tc>
          <w:tcPr>
            <w:tcW w:w="774" w:type="dxa"/>
          </w:tcPr>
          <w:p w14:paraId="787F3097"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277F975"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26</w:t>
            </w:r>
          </w:p>
          <w:p w14:paraId="0FA9C6DD"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47</w:t>
            </w:r>
          </w:p>
          <w:p w14:paraId="7F3EB917"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14</w:t>
            </w:r>
          </w:p>
          <w:p w14:paraId="244F9906"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7</w:t>
            </w:r>
          </w:p>
        </w:tc>
        <w:tc>
          <w:tcPr>
            <w:tcW w:w="754" w:type="dxa"/>
          </w:tcPr>
          <w:p w14:paraId="1CAE43CA"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46B503B"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32</w:t>
            </w:r>
          </w:p>
          <w:p w14:paraId="03F1DBF3"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47</w:t>
            </w:r>
          </w:p>
          <w:p w14:paraId="708FBE0F"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10</w:t>
            </w:r>
          </w:p>
          <w:p w14:paraId="557B3BE9"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5</w:t>
            </w:r>
          </w:p>
        </w:tc>
        <w:tc>
          <w:tcPr>
            <w:tcW w:w="755" w:type="dxa"/>
          </w:tcPr>
          <w:p w14:paraId="73B63A39"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0E4A215"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w:t>
            </w:r>
          </w:p>
          <w:p w14:paraId="4E2ABF64"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w:t>
            </w:r>
          </w:p>
          <w:p w14:paraId="58FD4F45"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0</w:t>
            </w:r>
          </w:p>
          <w:p w14:paraId="08D6F225"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0</w:t>
            </w:r>
          </w:p>
        </w:tc>
        <w:tc>
          <w:tcPr>
            <w:tcW w:w="1036" w:type="dxa"/>
          </w:tcPr>
          <w:p w14:paraId="39143462"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72A5D41" w14:textId="55A14258"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2.86</w:t>
            </w:r>
          </w:p>
        </w:tc>
        <w:tc>
          <w:tcPr>
            <w:tcW w:w="513" w:type="dxa"/>
          </w:tcPr>
          <w:p w14:paraId="0F4875A9"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9D68F36"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6</w:t>
            </w:r>
          </w:p>
        </w:tc>
        <w:tc>
          <w:tcPr>
            <w:tcW w:w="933" w:type="dxa"/>
          </w:tcPr>
          <w:p w14:paraId="6740FB02"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2EA6740"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vertAlign w:val="superscript"/>
              </w:rPr>
            </w:pPr>
            <w:r w:rsidRPr="00AD0116">
              <w:rPr>
                <w:rFonts w:cstheme="minorHAnsi"/>
                <w:color w:val="000000" w:themeColor="text1"/>
              </w:rPr>
              <w:t>0.826</w:t>
            </w:r>
            <w:r w:rsidRPr="00AD0116">
              <w:rPr>
                <w:rFonts w:cstheme="minorHAnsi"/>
                <w:color w:val="000000" w:themeColor="text1"/>
                <w:vertAlign w:val="superscript"/>
              </w:rPr>
              <w:t>NS</w:t>
            </w:r>
          </w:p>
        </w:tc>
      </w:tr>
      <w:tr w:rsidR="00AD0116" w:rsidRPr="00AD0116" w14:paraId="5E19D286" w14:textId="77777777" w:rsidTr="00EC4D91">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638" w:type="dxa"/>
          </w:tcPr>
          <w:p w14:paraId="361666EB"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6</w:t>
            </w:r>
          </w:p>
        </w:tc>
        <w:tc>
          <w:tcPr>
            <w:tcW w:w="3588" w:type="dxa"/>
          </w:tcPr>
          <w:p w14:paraId="14771F4A" w14:textId="77777777" w:rsidR="00DE61A6" w:rsidRPr="00AD0116" w:rsidRDefault="00DE61A6" w:rsidP="00AD011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 xml:space="preserve">Type of family </w:t>
            </w:r>
          </w:p>
          <w:p w14:paraId="38F80C29" w14:textId="77777777" w:rsidR="00DE61A6" w:rsidRPr="00AD0116" w:rsidRDefault="00DE61A6" w:rsidP="00AD0116">
            <w:pPr>
              <w:pStyle w:val="ListParagraph"/>
              <w:numPr>
                <w:ilvl w:val="0"/>
                <w:numId w:val="32"/>
              </w:num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bCs/>
                <w:iCs/>
                <w:color w:val="000000" w:themeColor="text1"/>
                <w:lang w:val="en-IN"/>
              </w:rPr>
              <w:t>Nuclear Family</w:t>
            </w:r>
          </w:p>
          <w:p w14:paraId="1EF7562A" w14:textId="77777777" w:rsidR="00DE61A6" w:rsidRPr="00AD0116" w:rsidRDefault="00DE61A6" w:rsidP="00AD0116">
            <w:pPr>
              <w:pStyle w:val="ListParagraph"/>
              <w:numPr>
                <w:ilvl w:val="0"/>
                <w:numId w:val="32"/>
              </w:num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bCs/>
                <w:iCs/>
                <w:color w:val="000000" w:themeColor="text1"/>
                <w:lang w:val="en-IN"/>
              </w:rPr>
              <w:t>Joint Family</w:t>
            </w:r>
          </w:p>
          <w:p w14:paraId="11B157DC" w14:textId="77777777" w:rsidR="00DE61A6" w:rsidRPr="00AD0116" w:rsidRDefault="00DE61A6" w:rsidP="00AD0116">
            <w:pPr>
              <w:pStyle w:val="ListParagraph"/>
              <w:numPr>
                <w:ilvl w:val="0"/>
                <w:numId w:val="32"/>
              </w:num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bCs/>
                <w:iCs/>
                <w:color w:val="000000" w:themeColor="text1"/>
                <w:lang w:val="en-IN"/>
              </w:rPr>
              <w:t>Extended Family</w:t>
            </w:r>
          </w:p>
        </w:tc>
        <w:tc>
          <w:tcPr>
            <w:tcW w:w="774" w:type="dxa"/>
          </w:tcPr>
          <w:p w14:paraId="5B845B27"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FA9C4E6"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61</w:t>
            </w:r>
          </w:p>
          <w:p w14:paraId="2EF3B4AD"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15</w:t>
            </w:r>
          </w:p>
          <w:p w14:paraId="566713E8"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18</w:t>
            </w:r>
          </w:p>
        </w:tc>
        <w:tc>
          <w:tcPr>
            <w:tcW w:w="754" w:type="dxa"/>
          </w:tcPr>
          <w:p w14:paraId="4B739AED"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2D0B424D"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67</w:t>
            </w:r>
          </w:p>
          <w:p w14:paraId="23FB5366"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10</w:t>
            </w:r>
          </w:p>
          <w:p w14:paraId="7BBB3835"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17</w:t>
            </w:r>
          </w:p>
        </w:tc>
        <w:tc>
          <w:tcPr>
            <w:tcW w:w="755" w:type="dxa"/>
          </w:tcPr>
          <w:p w14:paraId="58684662"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36104A1"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3</w:t>
            </w:r>
          </w:p>
          <w:p w14:paraId="2BFB64F6"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w:t>
            </w:r>
          </w:p>
          <w:p w14:paraId="665D0E5A"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0</w:t>
            </w:r>
          </w:p>
        </w:tc>
        <w:tc>
          <w:tcPr>
            <w:tcW w:w="1036" w:type="dxa"/>
          </w:tcPr>
          <w:p w14:paraId="1AFC7C7F"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6340D9E5" w14:textId="267B12F2"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2.46</w:t>
            </w:r>
          </w:p>
        </w:tc>
        <w:tc>
          <w:tcPr>
            <w:tcW w:w="513" w:type="dxa"/>
          </w:tcPr>
          <w:p w14:paraId="49F40427"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1501D77"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4</w:t>
            </w:r>
          </w:p>
        </w:tc>
        <w:tc>
          <w:tcPr>
            <w:tcW w:w="933" w:type="dxa"/>
          </w:tcPr>
          <w:p w14:paraId="69873B24" w14:textId="77777777" w:rsidR="00DE61A6" w:rsidRPr="00AD0116" w:rsidRDefault="00DE61A6" w:rsidP="00AD011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03F4B6EA"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vertAlign w:val="superscript"/>
              </w:rPr>
            </w:pPr>
            <w:r w:rsidRPr="00AD0116">
              <w:rPr>
                <w:rFonts w:cstheme="minorHAnsi"/>
                <w:color w:val="000000" w:themeColor="text1"/>
              </w:rPr>
              <w:t>0.652</w:t>
            </w:r>
            <w:r w:rsidRPr="00AD0116">
              <w:rPr>
                <w:rFonts w:cstheme="minorHAnsi"/>
                <w:color w:val="000000" w:themeColor="text1"/>
                <w:vertAlign w:val="superscript"/>
              </w:rPr>
              <w:t>NS</w:t>
            </w:r>
          </w:p>
        </w:tc>
      </w:tr>
      <w:tr w:rsidR="00AD0116" w:rsidRPr="00AD0116" w14:paraId="48781797" w14:textId="77777777" w:rsidTr="00EC4D91">
        <w:trPr>
          <w:trHeight w:val="983"/>
        </w:trPr>
        <w:tc>
          <w:tcPr>
            <w:cnfStyle w:val="001000000000" w:firstRow="0" w:lastRow="0" w:firstColumn="1" w:lastColumn="0" w:oddVBand="0" w:evenVBand="0" w:oddHBand="0" w:evenHBand="0" w:firstRowFirstColumn="0" w:firstRowLastColumn="0" w:lastRowFirstColumn="0" w:lastRowLastColumn="0"/>
            <w:tcW w:w="638" w:type="dxa"/>
          </w:tcPr>
          <w:p w14:paraId="1FAE3C44"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7</w:t>
            </w:r>
          </w:p>
        </w:tc>
        <w:tc>
          <w:tcPr>
            <w:tcW w:w="3588" w:type="dxa"/>
          </w:tcPr>
          <w:p w14:paraId="7A4AD185" w14:textId="77777777" w:rsidR="00DE61A6" w:rsidRPr="00AD0116" w:rsidRDefault="00DE61A6" w:rsidP="00AD0116">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 xml:space="preserve">Place of residence </w:t>
            </w:r>
          </w:p>
          <w:p w14:paraId="2354CCD6" w14:textId="77777777" w:rsidR="00DE61A6" w:rsidRPr="00AD0116" w:rsidRDefault="00DE61A6" w:rsidP="00AD0116">
            <w:pPr>
              <w:pStyle w:val="ListParagraph"/>
              <w:numPr>
                <w:ilvl w:val="0"/>
                <w:numId w:val="33"/>
              </w:num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rPr>
            </w:pPr>
            <w:r w:rsidRPr="00AD0116">
              <w:rPr>
                <w:rFonts w:cstheme="minorHAnsi"/>
                <w:bCs/>
                <w:iCs/>
                <w:color w:val="000000" w:themeColor="text1"/>
              </w:rPr>
              <w:t>Urban</w:t>
            </w:r>
          </w:p>
          <w:p w14:paraId="0742E86A" w14:textId="77777777" w:rsidR="00DE61A6" w:rsidRPr="00AD0116" w:rsidRDefault="00DE61A6" w:rsidP="00AD0116">
            <w:pPr>
              <w:pStyle w:val="ListParagraph"/>
              <w:numPr>
                <w:ilvl w:val="0"/>
                <w:numId w:val="33"/>
              </w:num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rPr>
            </w:pPr>
            <w:r w:rsidRPr="00AD0116">
              <w:rPr>
                <w:rFonts w:cstheme="minorHAnsi"/>
                <w:bCs/>
                <w:iCs/>
                <w:color w:val="000000" w:themeColor="text1"/>
              </w:rPr>
              <w:t xml:space="preserve">Rural </w:t>
            </w:r>
          </w:p>
        </w:tc>
        <w:tc>
          <w:tcPr>
            <w:tcW w:w="774" w:type="dxa"/>
          </w:tcPr>
          <w:p w14:paraId="2CDAE69A"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4CD6F58"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71</w:t>
            </w:r>
          </w:p>
          <w:p w14:paraId="38357529"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23</w:t>
            </w:r>
          </w:p>
        </w:tc>
        <w:tc>
          <w:tcPr>
            <w:tcW w:w="754" w:type="dxa"/>
          </w:tcPr>
          <w:p w14:paraId="75DC78D6"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614ACDE"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70</w:t>
            </w:r>
          </w:p>
          <w:p w14:paraId="023895B2"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24</w:t>
            </w:r>
          </w:p>
        </w:tc>
        <w:tc>
          <w:tcPr>
            <w:tcW w:w="755" w:type="dxa"/>
          </w:tcPr>
          <w:p w14:paraId="4FD3875C"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0FCA906"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4</w:t>
            </w:r>
          </w:p>
          <w:p w14:paraId="77ECF210"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0</w:t>
            </w:r>
          </w:p>
        </w:tc>
        <w:tc>
          <w:tcPr>
            <w:tcW w:w="1036" w:type="dxa"/>
          </w:tcPr>
          <w:p w14:paraId="580F5A6E"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00D14B0" w14:textId="5A9293BF"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1.35</w:t>
            </w:r>
          </w:p>
        </w:tc>
        <w:tc>
          <w:tcPr>
            <w:tcW w:w="513" w:type="dxa"/>
          </w:tcPr>
          <w:p w14:paraId="70DF7EE6"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9142B06"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w:t>
            </w:r>
          </w:p>
        </w:tc>
        <w:tc>
          <w:tcPr>
            <w:tcW w:w="933" w:type="dxa"/>
          </w:tcPr>
          <w:p w14:paraId="25C36D8F" w14:textId="77777777" w:rsidR="00DE61A6" w:rsidRPr="00AD0116" w:rsidRDefault="00DE61A6" w:rsidP="00AD0116">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54EBB66" w14:textId="77777777" w:rsidR="00DE61A6" w:rsidRPr="00AD0116" w:rsidRDefault="00DE61A6" w:rsidP="00AD0116">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vertAlign w:val="superscript"/>
              </w:rPr>
            </w:pPr>
            <w:r w:rsidRPr="00AD0116">
              <w:rPr>
                <w:rFonts w:cstheme="minorHAnsi"/>
                <w:color w:val="000000" w:themeColor="text1"/>
              </w:rPr>
              <w:t>0.508</w:t>
            </w:r>
            <w:r w:rsidRPr="00AD0116">
              <w:rPr>
                <w:rFonts w:cstheme="minorHAnsi"/>
                <w:color w:val="000000" w:themeColor="text1"/>
                <w:vertAlign w:val="superscript"/>
              </w:rPr>
              <w:t>NS</w:t>
            </w:r>
          </w:p>
        </w:tc>
      </w:tr>
      <w:tr w:rsidR="00AD0116" w:rsidRPr="00AD0116" w14:paraId="7B18D68C" w14:textId="77777777" w:rsidTr="00EC4D91">
        <w:trPr>
          <w:cnfStyle w:val="000000100000" w:firstRow="0" w:lastRow="0" w:firstColumn="0" w:lastColumn="0" w:oddVBand="0" w:evenVBand="0" w:oddHBand="1" w:evenHBand="0" w:firstRowFirstColumn="0" w:firstRowLastColumn="0" w:lastRowFirstColumn="0" w:lastRowLastColumn="0"/>
          <w:trHeight w:val="1596"/>
        </w:trPr>
        <w:tc>
          <w:tcPr>
            <w:cnfStyle w:val="001000000000" w:firstRow="0" w:lastRow="0" w:firstColumn="1" w:lastColumn="0" w:oddVBand="0" w:evenVBand="0" w:oddHBand="0" w:evenHBand="0" w:firstRowFirstColumn="0" w:firstRowLastColumn="0" w:lastRowFirstColumn="0" w:lastRowLastColumn="0"/>
            <w:tcW w:w="638" w:type="dxa"/>
          </w:tcPr>
          <w:p w14:paraId="422DC609"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8</w:t>
            </w:r>
          </w:p>
        </w:tc>
        <w:tc>
          <w:tcPr>
            <w:tcW w:w="3588" w:type="dxa"/>
          </w:tcPr>
          <w:p w14:paraId="71131A5D" w14:textId="77777777" w:rsidR="00DE61A6" w:rsidRPr="00AD0116" w:rsidRDefault="00DE61A6" w:rsidP="00AD011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Family monthly income</w:t>
            </w:r>
          </w:p>
          <w:p w14:paraId="04E74C7D" w14:textId="77777777" w:rsidR="00DE61A6" w:rsidRPr="00AD0116" w:rsidRDefault="00DE61A6" w:rsidP="00AD0116">
            <w:pPr>
              <w:pStyle w:val="ListParagraph"/>
              <w:numPr>
                <w:ilvl w:val="0"/>
                <w:numId w:val="34"/>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Less than Rs. 25,000</w:t>
            </w:r>
          </w:p>
          <w:p w14:paraId="386DFDB3" w14:textId="77777777" w:rsidR="00DE61A6" w:rsidRPr="00AD0116" w:rsidRDefault="00DE61A6" w:rsidP="00AD0116">
            <w:pPr>
              <w:pStyle w:val="ListParagraph"/>
              <w:numPr>
                <w:ilvl w:val="0"/>
                <w:numId w:val="34"/>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Rs. 25,000 to Rs. 50,000</w:t>
            </w:r>
          </w:p>
          <w:p w14:paraId="6EAA8EE5" w14:textId="77777777" w:rsidR="00DE61A6" w:rsidRPr="00AD0116" w:rsidRDefault="00DE61A6" w:rsidP="00AD0116">
            <w:pPr>
              <w:pStyle w:val="ListParagraph"/>
              <w:numPr>
                <w:ilvl w:val="0"/>
                <w:numId w:val="34"/>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Rs. 50,000 to Rs. 75,000</w:t>
            </w:r>
          </w:p>
          <w:p w14:paraId="2038E35A" w14:textId="77777777" w:rsidR="00DE61A6" w:rsidRPr="00AD0116" w:rsidRDefault="00DE61A6" w:rsidP="00AD0116">
            <w:pPr>
              <w:pStyle w:val="ListParagraph"/>
              <w:numPr>
                <w:ilvl w:val="0"/>
                <w:numId w:val="34"/>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Rs. 75,000 - Rs. 1,00,000</w:t>
            </w:r>
          </w:p>
          <w:p w14:paraId="4176A66C" w14:textId="77777777" w:rsidR="00DE61A6" w:rsidRPr="00AD0116" w:rsidRDefault="00DE61A6" w:rsidP="00AD0116">
            <w:pPr>
              <w:pStyle w:val="ListParagraph"/>
              <w:numPr>
                <w:ilvl w:val="0"/>
                <w:numId w:val="34"/>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lang w:val="en-IN"/>
              </w:rPr>
            </w:pPr>
            <w:r w:rsidRPr="00AD0116">
              <w:rPr>
                <w:rFonts w:cstheme="minorHAnsi"/>
                <w:bCs/>
                <w:iCs/>
                <w:color w:val="000000" w:themeColor="text1"/>
                <w:lang w:val="en-IN"/>
              </w:rPr>
              <w:t>Above Rs. 1,00,000</w:t>
            </w:r>
          </w:p>
        </w:tc>
        <w:tc>
          <w:tcPr>
            <w:tcW w:w="774" w:type="dxa"/>
          </w:tcPr>
          <w:p w14:paraId="7FDB55F2"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1C7D2784"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9</w:t>
            </w:r>
          </w:p>
          <w:p w14:paraId="0861BD83"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25</w:t>
            </w:r>
          </w:p>
          <w:p w14:paraId="28AFF3CD"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43</w:t>
            </w:r>
          </w:p>
          <w:p w14:paraId="0128D592"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6</w:t>
            </w:r>
          </w:p>
          <w:p w14:paraId="1695EA34"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11</w:t>
            </w:r>
          </w:p>
        </w:tc>
        <w:tc>
          <w:tcPr>
            <w:tcW w:w="754" w:type="dxa"/>
          </w:tcPr>
          <w:p w14:paraId="10468E28"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DC85B86"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6</w:t>
            </w:r>
          </w:p>
          <w:p w14:paraId="0A6C14B6"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32</w:t>
            </w:r>
          </w:p>
          <w:p w14:paraId="6F635112"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43</w:t>
            </w:r>
          </w:p>
          <w:p w14:paraId="502A2044"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4</w:t>
            </w:r>
          </w:p>
          <w:p w14:paraId="7B24ACF0"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9</w:t>
            </w:r>
          </w:p>
        </w:tc>
        <w:tc>
          <w:tcPr>
            <w:tcW w:w="755" w:type="dxa"/>
          </w:tcPr>
          <w:p w14:paraId="490B6407" w14:textId="77777777" w:rsidR="00DE61A6" w:rsidRPr="00AD0116" w:rsidRDefault="00DE61A6" w:rsidP="00AD011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55094FA9"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0</w:t>
            </w:r>
          </w:p>
          <w:p w14:paraId="6141EE8B"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2</w:t>
            </w:r>
          </w:p>
          <w:p w14:paraId="396936C5"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0</w:t>
            </w:r>
          </w:p>
          <w:p w14:paraId="1466E91A"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w:t>
            </w:r>
          </w:p>
          <w:p w14:paraId="4B095380"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w:t>
            </w:r>
          </w:p>
        </w:tc>
        <w:tc>
          <w:tcPr>
            <w:tcW w:w="1036" w:type="dxa"/>
          </w:tcPr>
          <w:p w14:paraId="3FD53329"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11887AE"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551A0B9B" w14:textId="443AEB51"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8.15</w:t>
            </w:r>
          </w:p>
        </w:tc>
        <w:tc>
          <w:tcPr>
            <w:tcW w:w="513" w:type="dxa"/>
          </w:tcPr>
          <w:p w14:paraId="633C1AA3"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13D6DD8C"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4FE00C7"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8</w:t>
            </w:r>
          </w:p>
        </w:tc>
        <w:tc>
          <w:tcPr>
            <w:tcW w:w="933" w:type="dxa"/>
          </w:tcPr>
          <w:p w14:paraId="0F709F9F" w14:textId="77777777" w:rsidR="00DE61A6" w:rsidRPr="00AD0116" w:rsidRDefault="00DE61A6" w:rsidP="00AD011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6EA85B9E" w14:textId="77777777" w:rsidR="00DE61A6" w:rsidRPr="00AD0116" w:rsidRDefault="00DE61A6" w:rsidP="00AD011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4BCFB9D4" w14:textId="77777777" w:rsidR="00DE61A6" w:rsidRPr="00AD0116" w:rsidRDefault="00DE61A6" w:rsidP="00AD011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vertAlign w:val="superscript"/>
              </w:rPr>
            </w:pPr>
            <w:r w:rsidRPr="00AD0116">
              <w:rPr>
                <w:rFonts w:cstheme="minorHAnsi"/>
                <w:color w:val="000000" w:themeColor="text1"/>
              </w:rPr>
              <w:t>0.614</w:t>
            </w:r>
            <w:r w:rsidRPr="00AD0116">
              <w:rPr>
                <w:rFonts w:cstheme="minorHAnsi"/>
                <w:color w:val="000000" w:themeColor="text1"/>
                <w:vertAlign w:val="superscript"/>
              </w:rPr>
              <w:t>NS</w:t>
            </w:r>
          </w:p>
        </w:tc>
      </w:tr>
      <w:tr w:rsidR="00AD0116" w:rsidRPr="00AD0116" w14:paraId="7EB335DE" w14:textId="77777777" w:rsidTr="00EC4D91">
        <w:trPr>
          <w:trHeight w:val="1277"/>
        </w:trPr>
        <w:tc>
          <w:tcPr>
            <w:cnfStyle w:val="001000000000" w:firstRow="0" w:lastRow="0" w:firstColumn="1" w:lastColumn="0" w:oddVBand="0" w:evenVBand="0" w:oddHBand="0" w:evenHBand="0" w:firstRowFirstColumn="0" w:firstRowLastColumn="0" w:lastRowFirstColumn="0" w:lastRowLastColumn="0"/>
            <w:tcW w:w="638" w:type="dxa"/>
          </w:tcPr>
          <w:p w14:paraId="02EBC594"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9</w:t>
            </w:r>
          </w:p>
        </w:tc>
        <w:tc>
          <w:tcPr>
            <w:tcW w:w="3588" w:type="dxa"/>
          </w:tcPr>
          <w:p w14:paraId="2A07770A" w14:textId="77777777" w:rsidR="00DE61A6" w:rsidRPr="00AD0116" w:rsidRDefault="00DE61A6" w:rsidP="00AD0116">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 xml:space="preserve">Current semester </w:t>
            </w:r>
          </w:p>
          <w:p w14:paraId="7B6E7DEB" w14:textId="77777777" w:rsidR="00DE61A6" w:rsidRPr="00AD0116" w:rsidRDefault="00DE61A6" w:rsidP="00AD0116">
            <w:pPr>
              <w:pStyle w:val="ListParagraph"/>
              <w:numPr>
                <w:ilvl w:val="0"/>
                <w:numId w:val="35"/>
              </w:numPr>
              <w:tabs>
                <w:tab w:val="left" w:pos="888"/>
              </w:tabs>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rPr>
            </w:pPr>
            <w:r w:rsidRPr="00AD0116">
              <w:rPr>
                <w:rFonts w:cstheme="minorHAnsi"/>
                <w:bCs/>
                <w:iCs/>
                <w:color w:val="000000" w:themeColor="text1"/>
              </w:rPr>
              <w:t>1-2</w:t>
            </w:r>
          </w:p>
          <w:p w14:paraId="58E1958F" w14:textId="77777777" w:rsidR="00DE61A6" w:rsidRPr="00AD0116" w:rsidRDefault="00DE61A6" w:rsidP="00AD0116">
            <w:pPr>
              <w:pStyle w:val="ListParagraph"/>
              <w:numPr>
                <w:ilvl w:val="0"/>
                <w:numId w:val="35"/>
              </w:numPr>
              <w:tabs>
                <w:tab w:val="left" w:pos="888"/>
              </w:tabs>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rPr>
            </w:pPr>
            <w:r w:rsidRPr="00AD0116">
              <w:rPr>
                <w:rFonts w:cstheme="minorHAnsi"/>
                <w:bCs/>
                <w:iCs/>
                <w:color w:val="000000" w:themeColor="text1"/>
              </w:rPr>
              <w:t>3-4</w:t>
            </w:r>
          </w:p>
          <w:p w14:paraId="61336C15" w14:textId="77777777" w:rsidR="00DE61A6" w:rsidRPr="00AD0116" w:rsidRDefault="00DE61A6" w:rsidP="00AD0116">
            <w:pPr>
              <w:pStyle w:val="ListParagraph"/>
              <w:numPr>
                <w:ilvl w:val="0"/>
                <w:numId w:val="35"/>
              </w:numPr>
              <w:tabs>
                <w:tab w:val="left" w:pos="888"/>
              </w:tabs>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rPr>
            </w:pPr>
            <w:r w:rsidRPr="00AD0116">
              <w:rPr>
                <w:rFonts w:cstheme="minorHAnsi"/>
                <w:bCs/>
                <w:iCs/>
                <w:color w:val="000000" w:themeColor="text1"/>
              </w:rPr>
              <w:t>5-6</w:t>
            </w:r>
          </w:p>
          <w:p w14:paraId="0CC6595E" w14:textId="77777777" w:rsidR="00DE61A6" w:rsidRPr="00AD0116" w:rsidRDefault="00DE61A6" w:rsidP="00AD0116">
            <w:pPr>
              <w:pStyle w:val="ListParagraph"/>
              <w:numPr>
                <w:ilvl w:val="0"/>
                <w:numId w:val="35"/>
              </w:numPr>
              <w:tabs>
                <w:tab w:val="left" w:pos="888"/>
              </w:tabs>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Cs/>
                <w:color w:val="000000" w:themeColor="text1"/>
              </w:rPr>
            </w:pPr>
            <w:r w:rsidRPr="00AD0116">
              <w:rPr>
                <w:rFonts w:cstheme="minorHAnsi"/>
                <w:bCs/>
                <w:iCs/>
                <w:color w:val="000000" w:themeColor="text1"/>
              </w:rPr>
              <w:t>7-8</w:t>
            </w:r>
          </w:p>
        </w:tc>
        <w:tc>
          <w:tcPr>
            <w:tcW w:w="774" w:type="dxa"/>
          </w:tcPr>
          <w:p w14:paraId="305F28AA"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DA7E077"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26</w:t>
            </w:r>
          </w:p>
          <w:p w14:paraId="3C5B25D9"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16</w:t>
            </w:r>
          </w:p>
          <w:p w14:paraId="0FC7CFE6"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24</w:t>
            </w:r>
          </w:p>
          <w:p w14:paraId="7F7F6AC4"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28</w:t>
            </w:r>
          </w:p>
        </w:tc>
        <w:tc>
          <w:tcPr>
            <w:tcW w:w="754" w:type="dxa"/>
          </w:tcPr>
          <w:p w14:paraId="562FD497"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3FB9A92"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10</w:t>
            </w:r>
          </w:p>
          <w:p w14:paraId="6665943A"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12</w:t>
            </w:r>
          </w:p>
          <w:p w14:paraId="61F44FF5"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40</w:t>
            </w:r>
          </w:p>
          <w:p w14:paraId="74AC5081"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32</w:t>
            </w:r>
          </w:p>
        </w:tc>
        <w:tc>
          <w:tcPr>
            <w:tcW w:w="755" w:type="dxa"/>
          </w:tcPr>
          <w:p w14:paraId="1199514A"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1D03111"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0</w:t>
            </w:r>
          </w:p>
          <w:p w14:paraId="6AF720F4"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0</w:t>
            </w:r>
          </w:p>
          <w:p w14:paraId="25B8314B"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4</w:t>
            </w:r>
          </w:p>
          <w:p w14:paraId="2647DF71"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0</w:t>
            </w:r>
          </w:p>
        </w:tc>
        <w:tc>
          <w:tcPr>
            <w:tcW w:w="1036" w:type="dxa"/>
          </w:tcPr>
          <w:p w14:paraId="2E53B9AF"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D073AED"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19.41</w:t>
            </w:r>
          </w:p>
        </w:tc>
        <w:tc>
          <w:tcPr>
            <w:tcW w:w="513" w:type="dxa"/>
          </w:tcPr>
          <w:p w14:paraId="796C7375"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09635C8" w14:textId="77777777" w:rsidR="00DE61A6" w:rsidRPr="00AD0116" w:rsidRDefault="00DE61A6" w:rsidP="00AD011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6</w:t>
            </w:r>
          </w:p>
        </w:tc>
        <w:tc>
          <w:tcPr>
            <w:tcW w:w="933" w:type="dxa"/>
          </w:tcPr>
          <w:p w14:paraId="2D9A1140" w14:textId="77777777" w:rsidR="00DE61A6" w:rsidRPr="00AD0116" w:rsidRDefault="00DE61A6" w:rsidP="00AD0116">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A9484B1" w14:textId="77777777" w:rsidR="00DE61A6" w:rsidRPr="00AD0116" w:rsidRDefault="00DE61A6" w:rsidP="00AD0116">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D0116">
              <w:rPr>
                <w:rFonts w:cstheme="minorHAnsi"/>
                <w:color w:val="000000" w:themeColor="text1"/>
              </w:rPr>
              <w:t>0.004*</w:t>
            </w:r>
          </w:p>
        </w:tc>
      </w:tr>
      <w:tr w:rsidR="00AD0116" w:rsidRPr="00AD0116" w14:paraId="380F88B7" w14:textId="77777777" w:rsidTr="00EC4D91">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638" w:type="dxa"/>
          </w:tcPr>
          <w:p w14:paraId="3C266F00" w14:textId="77777777" w:rsidR="00DE61A6" w:rsidRPr="00AD0116" w:rsidRDefault="00DE61A6" w:rsidP="00AD0116">
            <w:pPr>
              <w:spacing w:line="276" w:lineRule="auto"/>
              <w:jc w:val="center"/>
              <w:rPr>
                <w:rFonts w:cstheme="minorHAnsi"/>
                <w:color w:val="000000" w:themeColor="text1"/>
              </w:rPr>
            </w:pPr>
            <w:r w:rsidRPr="00AD0116">
              <w:rPr>
                <w:rFonts w:cstheme="minorHAnsi"/>
                <w:color w:val="000000" w:themeColor="text1"/>
              </w:rPr>
              <w:t>10</w:t>
            </w:r>
          </w:p>
        </w:tc>
        <w:tc>
          <w:tcPr>
            <w:tcW w:w="3588" w:type="dxa"/>
          </w:tcPr>
          <w:p w14:paraId="297D1577" w14:textId="77777777" w:rsidR="00DE61A6" w:rsidRPr="00AD0116" w:rsidRDefault="00DE61A6" w:rsidP="00AD0116">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rPr>
            </w:pPr>
            <w:r w:rsidRPr="00AD0116">
              <w:rPr>
                <w:rFonts w:cstheme="minorHAnsi"/>
                <w:bCs/>
                <w:iCs/>
                <w:color w:val="000000" w:themeColor="text1"/>
              </w:rPr>
              <w:t xml:space="preserve">Sexual relationship </w:t>
            </w:r>
          </w:p>
          <w:p w14:paraId="3EAD2E21" w14:textId="77777777" w:rsidR="00DE61A6" w:rsidRPr="00AD0116" w:rsidRDefault="00DE61A6" w:rsidP="00AD0116">
            <w:pPr>
              <w:pStyle w:val="ListParagraph"/>
              <w:numPr>
                <w:ilvl w:val="0"/>
                <w:numId w:val="36"/>
              </w:num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Abstinence</w:t>
            </w:r>
          </w:p>
          <w:p w14:paraId="14CF6ECC" w14:textId="77777777" w:rsidR="00DE61A6" w:rsidRPr="00AD0116" w:rsidRDefault="00DE61A6" w:rsidP="00AD0116">
            <w:pPr>
              <w:pStyle w:val="ListParagraph"/>
              <w:numPr>
                <w:ilvl w:val="0"/>
                <w:numId w:val="36"/>
              </w:num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 xml:space="preserve">Active </w:t>
            </w:r>
          </w:p>
        </w:tc>
        <w:tc>
          <w:tcPr>
            <w:tcW w:w="774" w:type="dxa"/>
          </w:tcPr>
          <w:p w14:paraId="74DA5489"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6E9F018"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91</w:t>
            </w:r>
          </w:p>
          <w:p w14:paraId="07ACD151"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3</w:t>
            </w:r>
          </w:p>
        </w:tc>
        <w:tc>
          <w:tcPr>
            <w:tcW w:w="754" w:type="dxa"/>
          </w:tcPr>
          <w:p w14:paraId="0BE6C900"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2FB9BDCC"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89</w:t>
            </w:r>
          </w:p>
          <w:p w14:paraId="03B308D0"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5</w:t>
            </w:r>
          </w:p>
        </w:tc>
        <w:tc>
          <w:tcPr>
            <w:tcW w:w="755" w:type="dxa"/>
          </w:tcPr>
          <w:p w14:paraId="0665D4E7"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0BA56462"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3</w:t>
            </w:r>
          </w:p>
          <w:p w14:paraId="6308BB7F"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1</w:t>
            </w:r>
          </w:p>
        </w:tc>
        <w:tc>
          <w:tcPr>
            <w:tcW w:w="1036" w:type="dxa"/>
          </w:tcPr>
          <w:p w14:paraId="610DE44E"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6CFC7720" w14:textId="23624F9B"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4.24</w:t>
            </w:r>
          </w:p>
        </w:tc>
        <w:tc>
          <w:tcPr>
            <w:tcW w:w="513" w:type="dxa"/>
          </w:tcPr>
          <w:p w14:paraId="2C72EAF5"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4FAC74DF" w14:textId="77777777" w:rsidR="00DE61A6" w:rsidRPr="00AD0116" w:rsidRDefault="00DE61A6" w:rsidP="00AD011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D0116">
              <w:rPr>
                <w:rFonts w:cstheme="minorHAnsi"/>
                <w:color w:val="000000" w:themeColor="text1"/>
              </w:rPr>
              <w:t>2</w:t>
            </w:r>
          </w:p>
        </w:tc>
        <w:tc>
          <w:tcPr>
            <w:tcW w:w="933" w:type="dxa"/>
          </w:tcPr>
          <w:p w14:paraId="260C6DDF" w14:textId="77777777" w:rsidR="00DE61A6" w:rsidRPr="00AD0116" w:rsidRDefault="00DE61A6" w:rsidP="00AD011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45DFDC34" w14:textId="77777777" w:rsidR="00DE61A6" w:rsidRPr="00AD0116" w:rsidRDefault="00DE61A6" w:rsidP="00AD011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vertAlign w:val="superscript"/>
              </w:rPr>
            </w:pPr>
            <w:r w:rsidRPr="00AD0116">
              <w:rPr>
                <w:rFonts w:cstheme="minorHAnsi"/>
                <w:color w:val="000000" w:themeColor="text1"/>
              </w:rPr>
              <w:t>0.120</w:t>
            </w:r>
            <w:r w:rsidRPr="00AD0116">
              <w:rPr>
                <w:rFonts w:cstheme="minorHAnsi"/>
                <w:color w:val="000000" w:themeColor="text1"/>
                <w:vertAlign w:val="superscript"/>
              </w:rPr>
              <w:t>NS</w:t>
            </w:r>
          </w:p>
        </w:tc>
      </w:tr>
    </w:tbl>
    <w:p w14:paraId="46FC9571" w14:textId="77777777" w:rsidR="00DE61A6" w:rsidRPr="00AD0116" w:rsidRDefault="00DE61A6" w:rsidP="00AD0116">
      <w:pPr>
        <w:spacing w:after="0" w:line="276" w:lineRule="auto"/>
        <w:rPr>
          <w:rFonts w:cstheme="minorHAnsi"/>
          <w:color w:val="000000" w:themeColor="text1"/>
        </w:rPr>
      </w:pPr>
      <w:r w:rsidRPr="00AD0116">
        <w:rPr>
          <w:rFonts w:cstheme="minorHAnsi"/>
          <w:b/>
          <w:color w:val="000000" w:themeColor="text1"/>
        </w:rPr>
        <w:t>*p value &lt; 0.05 level of significance       NS-Non-Significant</w:t>
      </w:r>
    </w:p>
    <w:p w14:paraId="4E6EBF6E" w14:textId="77777777" w:rsidR="008F6E87" w:rsidRPr="00AD0116" w:rsidRDefault="008F6E87" w:rsidP="00AD0116">
      <w:pPr>
        <w:spacing w:line="276" w:lineRule="auto"/>
        <w:jc w:val="both"/>
        <w:rPr>
          <w:rFonts w:cstheme="minorHAnsi"/>
          <w:bCs/>
          <w:color w:val="000000" w:themeColor="text1"/>
        </w:rPr>
      </w:pPr>
    </w:p>
    <w:p w14:paraId="0D1FEEE3" w14:textId="3FC6F340" w:rsidR="00DE61A6" w:rsidRPr="00AD0116" w:rsidRDefault="00F51741" w:rsidP="00AD0116">
      <w:pPr>
        <w:spacing w:line="276" w:lineRule="auto"/>
        <w:jc w:val="both"/>
        <w:rPr>
          <w:rFonts w:cstheme="minorHAnsi"/>
          <w:bCs/>
          <w:color w:val="000000" w:themeColor="text1"/>
        </w:rPr>
      </w:pPr>
      <w:bookmarkStart w:id="0" w:name="_GoBack"/>
      <w:r w:rsidRPr="00AD0116">
        <w:rPr>
          <w:rFonts w:cstheme="minorHAnsi"/>
          <w:bCs/>
          <w:color w:val="000000" w:themeColor="text1"/>
        </w:rPr>
        <w:t>Table</w:t>
      </w:r>
      <w:bookmarkEnd w:id="0"/>
      <w:r w:rsidRPr="00AD0116">
        <w:rPr>
          <w:rFonts w:cstheme="minorHAnsi"/>
          <w:bCs/>
          <w:color w:val="000000" w:themeColor="text1"/>
        </w:rPr>
        <w:t xml:space="preserve"> 8 presents the association between preventive practices toward STIs and socio-demographic variables using Chi-square or Fisher’s exact test. The results indicate that only the current semester showed a significant association with preventive practices (p&lt; 0.05). Other variables</w:t>
      </w:r>
      <w:r w:rsidR="00AB6D4D" w:rsidRPr="00AD0116">
        <w:rPr>
          <w:rFonts w:cstheme="minorHAnsi"/>
          <w:bCs/>
          <w:color w:val="000000" w:themeColor="text1"/>
        </w:rPr>
        <w:t xml:space="preserve"> </w:t>
      </w:r>
      <w:r w:rsidRPr="00AD0116">
        <w:rPr>
          <w:rFonts w:cstheme="minorHAnsi"/>
          <w:bCs/>
          <w:color w:val="000000" w:themeColor="text1"/>
        </w:rPr>
        <w:t>age, marital status, religion, sexual preference, course pursued, place of residence, type of family, family income, and sexual relationship</w:t>
      </w:r>
      <w:r w:rsidR="00AB6D4D" w:rsidRPr="00AD0116">
        <w:rPr>
          <w:rFonts w:cstheme="minorHAnsi"/>
          <w:bCs/>
          <w:color w:val="000000" w:themeColor="text1"/>
        </w:rPr>
        <w:t xml:space="preserve"> </w:t>
      </w:r>
      <w:r w:rsidRPr="00AD0116">
        <w:rPr>
          <w:rFonts w:cstheme="minorHAnsi"/>
          <w:bCs/>
          <w:color w:val="000000" w:themeColor="text1"/>
        </w:rPr>
        <w:t>showed no significant association.</w:t>
      </w:r>
    </w:p>
    <w:p w14:paraId="4E15919A" w14:textId="77777777" w:rsidR="00306A43" w:rsidRPr="00AD0116" w:rsidRDefault="00306A43" w:rsidP="00AD0116">
      <w:pPr>
        <w:spacing w:line="276" w:lineRule="auto"/>
        <w:jc w:val="both"/>
        <w:rPr>
          <w:rFonts w:cstheme="minorHAnsi"/>
          <w:color w:val="000000" w:themeColor="text1"/>
        </w:rPr>
      </w:pPr>
    </w:p>
    <w:p w14:paraId="0713D66B" w14:textId="77777777" w:rsidR="00865399" w:rsidRDefault="00865399" w:rsidP="00AD0116">
      <w:pPr>
        <w:spacing w:line="276" w:lineRule="auto"/>
        <w:jc w:val="both"/>
        <w:rPr>
          <w:rFonts w:cstheme="minorHAnsi"/>
          <w:b/>
          <w:bCs/>
          <w:color w:val="000000" w:themeColor="text1"/>
        </w:rPr>
      </w:pPr>
    </w:p>
    <w:p w14:paraId="2D6C7061" w14:textId="0445DBF4" w:rsidR="00306A43" w:rsidRPr="00AD0116" w:rsidRDefault="00306A43" w:rsidP="00AD0116">
      <w:pPr>
        <w:spacing w:line="276" w:lineRule="auto"/>
        <w:jc w:val="both"/>
        <w:rPr>
          <w:rFonts w:cstheme="minorHAnsi"/>
          <w:b/>
          <w:bCs/>
          <w:color w:val="000000" w:themeColor="text1"/>
        </w:rPr>
      </w:pPr>
      <w:r w:rsidRPr="00AD0116">
        <w:rPr>
          <w:rFonts w:cstheme="minorHAnsi"/>
          <w:b/>
          <w:bCs/>
          <w:color w:val="000000" w:themeColor="text1"/>
        </w:rPr>
        <w:lastRenderedPageBreak/>
        <w:t>4. DISCUSSION</w:t>
      </w:r>
    </w:p>
    <w:p w14:paraId="189DB034" w14:textId="5B9CE790" w:rsidR="009660F4" w:rsidRPr="00AD0116" w:rsidRDefault="009660F4" w:rsidP="00AD0116">
      <w:pPr>
        <w:spacing w:line="276" w:lineRule="auto"/>
        <w:jc w:val="both"/>
        <w:rPr>
          <w:rFonts w:cstheme="minorHAnsi"/>
          <w:color w:val="000000" w:themeColor="text1"/>
        </w:rPr>
      </w:pPr>
      <w:r w:rsidRPr="00AD0116">
        <w:rPr>
          <w:rFonts w:cstheme="minorHAnsi"/>
          <w:color w:val="000000" w:themeColor="text1"/>
        </w:rPr>
        <w:t>This study assessed STI-related knowledge, attitudes, and preventive practices among non-medical undergraduate students of Sikkim Manipal University, and the findings closely align with prior research from India and other countries. The demographic distribution of young, unmarried students is consistent with patterns reported in earlier studies conducted across India, Bhutan, Iran, and Africa</w:t>
      </w:r>
      <w:r w:rsidR="00F16A08" w:rsidRPr="00AD0116">
        <w:rPr>
          <w:rFonts w:cstheme="minorHAnsi"/>
          <w:color w:val="000000" w:themeColor="text1"/>
        </w:rPr>
        <w:t>.</w:t>
      </w:r>
      <w:r w:rsidRPr="00AD0116">
        <w:rPr>
          <w:rFonts w:cstheme="minorHAnsi"/>
          <w:color w:val="000000" w:themeColor="text1"/>
        </w:rPr>
        <w:t xml:space="preserve"> </w:t>
      </w:r>
      <w:r w:rsidRPr="00AD0116">
        <w:rPr>
          <w:rFonts w:cstheme="minorHAnsi"/>
          <w:color w:val="000000" w:themeColor="text1"/>
          <w:vertAlign w:val="superscript"/>
        </w:rPr>
        <w:t>[3–5,14–16]</w:t>
      </w:r>
    </w:p>
    <w:p w14:paraId="0DD43D3C" w14:textId="2A6C8C98" w:rsidR="009660F4" w:rsidRPr="00AD0116" w:rsidRDefault="009660F4" w:rsidP="00AD0116">
      <w:pPr>
        <w:spacing w:line="276" w:lineRule="auto"/>
        <w:jc w:val="both"/>
        <w:rPr>
          <w:rFonts w:cstheme="minorHAnsi"/>
          <w:color w:val="000000" w:themeColor="text1"/>
          <w:vertAlign w:val="superscript"/>
        </w:rPr>
      </w:pPr>
      <w:r w:rsidRPr="00AD0116">
        <w:rPr>
          <w:rFonts w:cstheme="minorHAnsi"/>
          <w:color w:val="000000" w:themeColor="text1"/>
        </w:rPr>
        <w:t xml:space="preserve">The finding that most students possessed only moderate knowledge, with very few having adequate knowledge, mirrors </w:t>
      </w:r>
      <w:r w:rsidR="00EC4D91" w:rsidRPr="00AD0116">
        <w:rPr>
          <w:rFonts w:cstheme="minorHAnsi"/>
          <w:color w:val="000000" w:themeColor="text1"/>
        </w:rPr>
        <w:t>result</w:t>
      </w:r>
      <w:r w:rsidRPr="00AD0116">
        <w:rPr>
          <w:rFonts w:cstheme="minorHAnsi"/>
          <w:color w:val="000000" w:themeColor="text1"/>
        </w:rPr>
        <w:t xml:space="preserve"> from studies in India, Bhutan, and Iran, all of which highlight the persistence of critical misconceptions regarding STI transmission, symptoms, and </w:t>
      </w:r>
      <w:proofErr w:type="gramStart"/>
      <w:r w:rsidRPr="00AD0116">
        <w:rPr>
          <w:rFonts w:cstheme="minorHAnsi"/>
          <w:color w:val="000000" w:themeColor="text1"/>
        </w:rPr>
        <w:t>prevention</w:t>
      </w:r>
      <w:r w:rsidR="00F16A08" w:rsidRPr="00AD0116">
        <w:rPr>
          <w:rFonts w:cstheme="minorHAnsi"/>
          <w:color w:val="000000" w:themeColor="text1"/>
        </w:rPr>
        <w:t>.</w:t>
      </w:r>
      <w:r w:rsidRPr="00AD0116">
        <w:rPr>
          <w:rFonts w:cstheme="minorHAnsi"/>
          <w:color w:val="000000" w:themeColor="text1"/>
          <w:vertAlign w:val="superscript"/>
        </w:rPr>
        <w:t>[</w:t>
      </w:r>
      <w:proofErr w:type="gramEnd"/>
      <w:r w:rsidRPr="00AD0116">
        <w:rPr>
          <w:rFonts w:cstheme="minorHAnsi"/>
          <w:color w:val="000000" w:themeColor="text1"/>
          <w:vertAlign w:val="superscript"/>
        </w:rPr>
        <w:t>3–5]</w:t>
      </w:r>
      <w:r w:rsidRPr="00AD0116">
        <w:rPr>
          <w:rFonts w:cstheme="minorHAnsi"/>
          <w:color w:val="000000" w:themeColor="text1"/>
        </w:rPr>
        <w:t xml:space="preserve"> Limited awareness among university students has been widely reported and attributed to inadequate sex education, cultural stigma, and the absence of formal sexual health programs</w:t>
      </w:r>
      <w:r w:rsidR="00F16A08" w:rsidRPr="00AD0116">
        <w:rPr>
          <w:rFonts w:cstheme="minorHAnsi"/>
          <w:color w:val="000000" w:themeColor="text1"/>
        </w:rPr>
        <w:t>.</w:t>
      </w:r>
      <w:r w:rsidRPr="00AD0116">
        <w:rPr>
          <w:rFonts w:cstheme="minorHAnsi"/>
          <w:color w:val="000000" w:themeColor="text1"/>
          <w:vertAlign w:val="superscript"/>
        </w:rPr>
        <w:t>[8–13]</w:t>
      </w:r>
    </w:p>
    <w:p w14:paraId="39788646" w14:textId="39643082" w:rsidR="009660F4" w:rsidRPr="00AD0116" w:rsidRDefault="009660F4" w:rsidP="00AD0116">
      <w:pPr>
        <w:spacing w:line="276" w:lineRule="auto"/>
        <w:jc w:val="both"/>
        <w:rPr>
          <w:rFonts w:cstheme="minorHAnsi"/>
          <w:color w:val="000000" w:themeColor="text1"/>
        </w:rPr>
      </w:pPr>
      <w:r w:rsidRPr="00AD0116">
        <w:rPr>
          <w:rFonts w:cstheme="minorHAnsi"/>
          <w:color w:val="000000" w:themeColor="text1"/>
        </w:rPr>
        <w:t xml:space="preserve">Attitudes were predominantly neutral or </w:t>
      </w:r>
      <w:r w:rsidR="00EC4D91" w:rsidRPr="00AD0116">
        <w:rPr>
          <w:rFonts w:cstheme="minorHAnsi"/>
          <w:color w:val="000000" w:themeColor="text1"/>
        </w:rPr>
        <w:t>unfavourable</w:t>
      </w:r>
      <w:r w:rsidRPr="00AD0116">
        <w:rPr>
          <w:rFonts w:cstheme="minorHAnsi"/>
          <w:color w:val="000000" w:themeColor="text1"/>
        </w:rPr>
        <w:t xml:space="preserve">, with no participant demonstrating a </w:t>
      </w:r>
      <w:r w:rsidR="00A05616" w:rsidRPr="00AD0116">
        <w:rPr>
          <w:rFonts w:cstheme="minorHAnsi"/>
          <w:color w:val="000000" w:themeColor="text1"/>
        </w:rPr>
        <w:t>favourable attitude finding</w:t>
      </w:r>
      <w:r w:rsidRPr="00AD0116">
        <w:rPr>
          <w:rFonts w:cstheme="minorHAnsi"/>
          <w:color w:val="000000" w:themeColor="text1"/>
        </w:rPr>
        <w:t xml:space="preserve"> that concur with evidence from Ghana, China, Indonesia, and India showing widespread stigma, fear of social judgment, and taboos surrounding sexual health topics</w:t>
      </w:r>
      <w:r w:rsidR="00A05616" w:rsidRPr="00AD0116">
        <w:rPr>
          <w:rFonts w:cstheme="minorHAnsi"/>
          <w:color w:val="000000" w:themeColor="text1"/>
        </w:rPr>
        <w:t>.</w:t>
      </w:r>
      <w:r w:rsidRPr="00AD0116">
        <w:rPr>
          <w:rFonts w:cstheme="minorHAnsi"/>
          <w:color w:val="000000" w:themeColor="text1"/>
        </w:rPr>
        <w:t xml:space="preserve"> </w:t>
      </w:r>
      <w:r w:rsidRPr="00AD0116">
        <w:rPr>
          <w:rFonts w:cstheme="minorHAnsi"/>
          <w:color w:val="000000" w:themeColor="text1"/>
          <w:vertAlign w:val="superscript"/>
        </w:rPr>
        <w:t>[9,10,21,24]</w:t>
      </w:r>
      <w:r w:rsidRPr="00AD0116">
        <w:rPr>
          <w:rFonts w:cstheme="minorHAnsi"/>
          <w:color w:val="000000" w:themeColor="text1"/>
        </w:rPr>
        <w:t xml:space="preserve"> The associations observed between attitude and variables such as age, family type, and semester support previously documented links between socio-cultural influences and sexual health perceptions</w:t>
      </w:r>
      <w:r w:rsidR="00A05616" w:rsidRPr="00AD0116">
        <w:rPr>
          <w:rFonts w:cstheme="minorHAnsi"/>
          <w:color w:val="000000" w:themeColor="text1"/>
        </w:rPr>
        <w:t>.</w:t>
      </w:r>
      <w:r w:rsidRPr="00AD0116">
        <w:rPr>
          <w:rFonts w:cstheme="minorHAnsi"/>
          <w:color w:val="000000" w:themeColor="text1"/>
        </w:rPr>
        <w:t xml:space="preserve"> </w:t>
      </w:r>
      <w:r w:rsidRPr="00AD0116">
        <w:rPr>
          <w:rFonts w:cstheme="minorHAnsi"/>
          <w:color w:val="000000" w:themeColor="text1"/>
          <w:vertAlign w:val="superscript"/>
        </w:rPr>
        <w:t>[11,17,21,23,24]</w:t>
      </w:r>
      <w:r w:rsidRPr="00AD0116">
        <w:rPr>
          <w:rFonts w:cstheme="minorHAnsi"/>
          <w:color w:val="000000" w:themeColor="text1"/>
        </w:rPr>
        <w:t>.</w:t>
      </w:r>
    </w:p>
    <w:p w14:paraId="7FAEA6DA" w14:textId="4FB19E0D" w:rsidR="009660F4" w:rsidRPr="00AD0116" w:rsidRDefault="009660F4" w:rsidP="00AD0116">
      <w:pPr>
        <w:spacing w:line="276" w:lineRule="auto"/>
        <w:jc w:val="both"/>
        <w:rPr>
          <w:rFonts w:cstheme="minorHAnsi"/>
          <w:color w:val="000000" w:themeColor="text1"/>
        </w:rPr>
      </w:pPr>
      <w:r w:rsidRPr="00AD0116">
        <w:rPr>
          <w:rFonts w:cstheme="minorHAnsi"/>
          <w:color w:val="000000" w:themeColor="text1"/>
        </w:rPr>
        <w:t xml:space="preserve">Preventive practices were also unsatisfactory, aligning with studies from Ethiopia, Nigeria, and South Africa indicating that awareness alone does not lead to consistent </w:t>
      </w:r>
      <w:r w:rsidR="00EC4D91" w:rsidRPr="00AD0116">
        <w:rPr>
          <w:rFonts w:cstheme="minorHAnsi"/>
          <w:color w:val="000000" w:themeColor="text1"/>
        </w:rPr>
        <w:t>behaviour</w:t>
      </w:r>
      <w:r w:rsidRPr="00AD0116">
        <w:rPr>
          <w:rFonts w:cstheme="minorHAnsi"/>
          <w:color w:val="000000" w:themeColor="text1"/>
        </w:rPr>
        <w:t xml:space="preserve"> </w:t>
      </w:r>
      <w:r w:rsidR="00A05616" w:rsidRPr="00AD0116">
        <w:rPr>
          <w:rFonts w:cstheme="minorHAnsi"/>
          <w:color w:val="000000" w:themeColor="text1"/>
        </w:rPr>
        <w:t>change.</w:t>
      </w:r>
      <w:r w:rsidR="00A05616" w:rsidRPr="00AD0116">
        <w:rPr>
          <w:rFonts w:cstheme="minorHAnsi"/>
          <w:color w:val="000000" w:themeColor="text1"/>
          <w:vertAlign w:val="superscript"/>
        </w:rPr>
        <w:t xml:space="preserve"> [</w:t>
      </w:r>
      <w:r w:rsidRPr="00AD0116">
        <w:rPr>
          <w:rFonts w:cstheme="minorHAnsi"/>
          <w:color w:val="000000" w:themeColor="text1"/>
          <w:vertAlign w:val="superscript"/>
        </w:rPr>
        <w:t>14–16,19,20]</w:t>
      </w:r>
      <w:r w:rsidRPr="00AD0116">
        <w:rPr>
          <w:rFonts w:cstheme="minorHAnsi"/>
          <w:color w:val="000000" w:themeColor="text1"/>
        </w:rPr>
        <w:t xml:space="preserve"> This gap between knowledge and safe sexual practices is well-recognized in </w:t>
      </w:r>
      <w:r w:rsidR="00EC4D91" w:rsidRPr="00AD0116">
        <w:rPr>
          <w:rFonts w:cstheme="minorHAnsi"/>
          <w:color w:val="000000" w:themeColor="text1"/>
        </w:rPr>
        <w:t>behavioural</w:t>
      </w:r>
      <w:r w:rsidRPr="00AD0116">
        <w:rPr>
          <w:rFonts w:cstheme="minorHAnsi"/>
          <w:color w:val="000000" w:themeColor="text1"/>
        </w:rPr>
        <w:t xml:space="preserve"> research and is influenced by perceived invulnerability, limited access to youth-friendly services, and socio-cultural constraints</w:t>
      </w:r>
      <w:r w:rsidR="00A05616" w:rsidRPr="00AD0116">
        <w:rPr>
          <w:rFonts w:cstheme="minorHAnsi"/>
          <w:color w:val="000000" w:themeColor="text1"/>
        </w:rPr>
        <w:t>.</w:t>
      </w:r>
      <w:r w:rsidRPr="00AD0116">
        <w:rPr>
          <w:rFonts w:cstheme="minorHAnsi"/>
          <w:color w:val="000000" w:themeColor="text1"/>
        </w:rPr>
        <w:t xml:space="preserve"> </w:t>
      </w:r>
      <w:r w:rsidRPr="00AD0116">
        <w:rPr>
          <w:rFonts w:cstheme="minorHAnsi"/>
          <w:color w:val="000000" w:themeColor="text1"/>
          <w:vertAlign w:val="superscript"/>
        </w:rPr>
        <w:t xml:space="preserve">[6–8,18] </w:t>
      </w:r>
      <w:r w:rsidRPr="00AD0116">
        <w:rPr>
          <w:rFonts w:cstheme="minorHAnsi"/>
          <w:color w:val="000000" w:themeColor="text1"/>
        </w:rPr>
        <w:t xml:space="preserve">The significant association between preventive practices and academic semester suggests that maturity and exposure to diverse peer groups may gradually influence health-seeking </w:t>
      </w:r>
      <w:r w:rsidR="00EC4D91" w:rsidRPr="00AD0116">
        <w:rPr>
          <w:rFonts w:cstheme="minorHAnsi"/>
          <w:color w:val="000000" w:themeColor="text1"/>
        </w:rPr>
        <w:t>behaviour</w:t>
      </w:r>
      <w:r w:rsidR="00A05616" w:rsidRPr="00AD0116">
        <w:rPr>
          <w:rFonts w:cstheme="minorHAnsi"/>
          <w:color w:val="000000" w:themeColor="text1"/>
        </w:rPr>
        <w:t>.</w:t>
      </w:r>
      <w:r w:rsidRPr="00AD0116">
        <w:rPr>
          <w:rFonts w:cstheme="minorHAnsi"/>
          <w:color w:val="000000" w:themeColor="text1"/>
        </w:rPr>
        <w:t xml:space="preserve"> </w:t>
      </w:r>
      <w:r w:rsidRPr="00AD0116">
        <w:rPr>
          <w:rFonts w:cstheme="minorHAnsi"/>
          <w:color w:val="000000" w:themeColor="text1"/>
          <w:vertAlign w:val="superscript"/>
        </w:rPr>
        <w:t>[20–22]</w:t>
      </w:r>
    </w:p>
    <w:p w14:paraId="4E83FBA0" w14:textId="53A5BB79" w:rsidR="009660F4" w:rsidRPr="00AD0116" w:rsidRDefault="009660F4" w:rsidP="00AD0116">
      <w:pPr>
        <w:spacing w:line="276" w:lineRule="auto"/>
        <w:jc w:val="both"/>
        <w:rPr>
          <w:rFonts w:cstheme="minorHAnsi"/>
          <w:color w:val="000000" w:themeColor="text1"/>
        </w:rPr>
      </w:pPr>
      <w:r w:rsidRPr="00AD0116">
        <w:rPr>
          <w:rFonts w:cstheme="minorHAnsi"/>
          <w:color w:val="000000" w:themeColor="text1"/>
        </w:rPr>
        <w:t xml:space="preserve">The weak but significant correlation between knowledge and attitude similarly reflects findings from earlier studies which emphasize that improving knowledge alone is insufficient to induce meaningful </w:t>
      </w:r>
      <w:r w:rsidR="00EC4D91" w:rsidRPr="00AD0116">
        <w:rPr>
          <w:rFonts w:cstheme="minorHAnsi"/>
          <w:color w:val="000000" w:themeColor="text1"/>
        </w:rPr>
        <w:t>behavioural</w:t>
      </w:r>
      <w:r w:rsidRPr="00AD0116">
        <w:rPr>
          <w:rFonts w:cstheme="minorHAnsi"/>
          <w:color w:val="000000" w:themeColor="text1"/>
        </w:rPr>
        <w:t xml:space="preserve"> change</w:t>
      </w:r>
      <w:r w:rsidR="00A05616" w:rsidRPr="00AD0116">
        <w:rPr>
          <w:rFonts w:cstheme="minorHAnsi"/>
          <w:color w:val="000000" w:themeColor="text1"/>
        </w:rPr>
        <w:t xml:space="preserve">. </w:t>
      </w:r>
      <w:r w:rsidRPr="00AD0116">
        <w:rPr>
          <w:rFonts w:cstheme="minorHAnsi"/>
          <w:color w:val="000000" w:themeColor="text1"/>
          <w:vertAlign w:val="superscript"/>
        </w:rPr>
        <w:t>[6–8,18]</w:t>
      </w:r>
      <w:r w:rsidRPr="00AD0116">
        <w:rPr>
          <w:rFonts w:cstheme="minorHAnsi"/>
          <w:color w:val="000000" w:themeColor="text1"/>
        </w:rPr>
        <w:t xml:space="preserve"> Models such as the Health Belief Model reinforce that attitudes, perceived severity, perceived susceptibility, and social norms must also be addressed for effective risk reduction</w:t>
      </w:r>
      <w:r w:rsidR="00A05616" w:rsidRPr="00AD0116">
        <w:rPr>
          <w:rFonts w:cstheme="minorHAnsi"/>
          <w:color w:val="000000" w:themeColor="text1"/>
        </w:rPr>
        <w:t>.</w:t>
      </w:r>
      <w:r w:rsidRPr="00AD0116">
        <w:rPr>
          <w:rFonts w:cstheme="minorHAnsi"/>
          <w:color w:val="000000" w:themeColor="text1"/>
        </w:rPr>
        <w:t xml:space="preserve"> </w:t>
      </w:r>
      <w:r w:rsidRPr="00AD0116">
        <w:rPr>
          <w:rFonts w:cstheme="minorHAnsi"/>
          <w:color w:val="000000" w:themeColor="text1"/>
          <w:vertAlign w:val="superscript"/>
        </w:rPr>
        <w:t>[6,17]</w:t>
      </w:r>
    </w:p>
    <w:p w14:paraId="37B65D35" w14:textId="173B5938" w:rsidR="009660F4" w:rsidRPr="00AD0116" w:rsidRDefault="009660F4" w:rsidP="00AD0116">
      <w:pPr>
        <w:spacing w:line="276" w:lineRule="auto"/>
        <w:jc w:val="both"/>
        <w:rPr>
          <w:rFonts w:cstheme="minorHAnsi"/>
          <w:b/>
          <w:bCs/>
          <w:color w:val="000000" w:themeColor="text1"/>
        </w:rPr>
      </w:pPr>
      <w:r w:rsidRPr="00AD0116">
        <w:rPr>
          <w:rFonts w:cstheme="minorHAnsi"/>
          <w:color w:val="000000" w:themeColor="text1"/>
        </w:rPr>
        <w:t>Overall, the findings underscore the need for comprehensive sexual health education tailored to university students, integrating evidence-based, culturally sensitive, interactive, and peer-led strategies. Strengthening awareness, reducing stigma, enhancing access to youth-friendly STI services, and incorporating digital health resources responsibly could significantly improve STI-related outcomes</w:t>
      </w:r>
      <w:r w:rsidR="00A05616" w:rsidRPr="00AD0116">
        <w:rPr>
          <w:rFonts w:cstheme="minorHAnsi"/>
          <w:color w:val="000000" w:themeColor="text1"/>
        </w:rPr>
        <w:t>.</w:t>
      </w:r>
      <w:r w:rsidRPr="00AD0116">
        <w:rPr>
          <w:rFonts w:cstheme="minorHAnsi"/>
          <w:color w:val="000000" w:themeColor="text1"/>
        </w:rPr>
        <w:t xml:space="preserve"> </w:t>
      </w:r>
      <w:r w:rsidRPr="00AD0116">
        <w:rPr>
          <w:rFonts w:cstheme="minorHAnsi"/>
          <w:color w:val="000000" w:themeColor="text1"/>
          <w:vertAlign w:val="superscript"/>
        </w:rPr>
        <w:t>[3–5,14–21,2</w:t>
      </w:r>
      <w:r w:rsidR="00A05616" w:rsidRPr="00AD0116">
        <w:rPr>
          <w:rFonts w:cstheme="minorHAnsi"/>
          <w:color w:val="000000" w:themeColor="text1"/>
          <w:vertAlign w:val="superscript"/>
        </w:rPr>
        <w:t>6</w:t>
      </w:r>
      <w:r w:rsidR="00306A43" w:rsidRPr="00AD0116">
        <w:rPr>
          <w:rFonts w:cstheme="minorHAnsi"/>
          <w:color w:val="000000" w:themeColor="text1"/>
          <w:vertAlign w:val="superscript"/>
        </w:rPr>
        <w:t>,27</w:t>
      </w:r>
      <w:r w:rsidRPr="00AD0116">
        <w:rPr>
          <w:rFonts w:cstheme="minorHAnsi"/>
          <w:color w:val="000000" w:themeColor="text1"/>
          <w:vertAlign w:val="superscript"/>
        </w:rPr>
        <w:t>]</w:t>
      </w:r>
      <w:r w:rsidR="00306A43" w:rsidRPr="00AD0116">
        <w:rPr>
          <w:rFonts w:cstheme="minorHAnsi"/>
          <w:b/>
          <w:bCs/>
          <w:color w:val="000000" w:themeColor="text1"/>
        </w:rPr>
        <w:t xml:space="preserve"> </w:t>
      </w:r>
      <w:r w:rsidR="00306A43" w:rsidRPr="00AD0116">
        <w:rPr>
          <w:rFonts w:cstheme="minorHAnsi"/>
          <w:color w:val="000000" w:themeColor="text1"/>
          <w:highlight w:val="yellow"/>
        </w:rPr>
        <w:t>The study was conducted in a single university faculty, which may limit generalizability. Self-reported responses may introduce recall and social desirability bias. The cross-sectional design restricts causal inference. Additionally, STI knowledge was assessed using a structured tool rather than biological or clinical confirmation.</w:t>
      </w:r>
    </w:p>
    <w:p w14:paraId="6ED2E059" w14:textId="77777777" w:rsidR="00306A43" w:rsidRPr="00AD0116" w:rsidRDefault="00306A43" w:rsidP="00AD0116">
      <w:pPr>
        <w:spacing w:line="276" w:lineRule="auto"/>
        <w:rPr>
          <w:rFonts w:cstheme="minorHAnsi"/>
          <w:b/>
          <w:bCs/>
          <w:color w:val="000000" w:themeColor="text1"/>
        </w:rPr>
      </w:pPr>
    </w:p>
    <w:p w14:paraId="6819FCDF" w14:textId="7147E96D" w:rsidR="00E33122" w:rsidRPr="00AD0116" w:rsidRDefault="00306A43" w:rsidP="00AD0116">
      <w:pPr>
        <w:spacing w:line="276" w:lineRule="auto"/>
        <w:rPr>
          <w:rFonts w:cstheme="minorHAnsi"/>
          <w:b/>
          <w:bCs/>
          <w:color w:val="000000" w:themeColor="text1"/>
        </w:rPr>
      </w:pPr>
      <w:r w:rsidRPr="00AD0116">
        <w:rPr>
          <w:rFonts w:cstheme="minorHAnsi"/>
          <w:b/>
          <w:bCs/>
          <w:color w:val="000000" w:themeColor="text1"/>
        </w:rPr>
        <w:t>5</w:t>
      </w:r>
      <w:r w:rsidR="000A3A79" w:rsidRPr="00AD0116">
        <w:rPr>
          <w:rFonts w:cstheme="minorHAnsi"/>
          <w:b/>
          <w:bCs/>
          <w:color w:val="000000" w:themeColor="text1"/>
        </w:rPr>
        <w:t xml:space="preserve">. </w:t>
      </w:r>
      <w:r w:rsidR="00A87550" w:rsidRPr="00AD0116">
        <w:rPr>
          <w:rFonts w:cstheme="minorHAnsi"/>
          <w:b/>
          <w:bCs/>
          <w:color w:val="000000" w:themeColor="text1"/>
        </w:rPr>
        <w:t>CONCLUSION</w:t>
      </w:r>
    </w:p>
    <w:p w14:paraId="2381C587" w14:textId="71CCE675" w:rsidR="00E33122" w:rsidRDefault="00306A43" w:rsidP="00AD0116">
      <w:pPr>
        <w:spacing w:line="276" w:lineRule="auto"/>
        <w:jc w:val="both"/>
        <w:rPr>
          <w:rFonts w:cstheme="minorHAnsi"/>
          <w:color w:val="000000" w:themeColor="text1"/>
          <w:highlight w:val="yellow"/>
        </w:rPr>
      </w:pPr>
      <w:r w:rsidRPr="00AD0116">
        <w:rPr>
          <w:rFonts w:cstheme="minorHAnsi"/>
          <w:color w:val="000000" w:themeColor="text1"/>
          <w:highlight w:val="yellow"/>
        </w:rPr>
        <w:t xml:space="preserve">This study provides the first institution specific evidence on STI knowledge, attitudes, and preventive practices among non-medical university students in Sikkim. It identifies key demographic factors influencing awareness and behaviour, highlights existing knowledge practice gaps and offers baseline data for designing targeted youth sexual health interventions in the region. Comprehensive, culturally sensitive sexual health education should be integrated into university orientations and semester modules. Peer-led STI awareness programs and digital learning tools may improve students’ engagement. Strengthening access to youth-friendly STI services </w:t>
      </w:r>
      <w:r w:rsidRPr="00AD0116">
        <w:rPr>
          <w:rFonts w:cstheme="minorHAnsi"/>
          <w:color w:val="000000" w:themeColor="text1"/>
          <w:highlight w:val="yellow"/>
        </w:rPr>
        <w:lastRenderedPageBreak/>
        <w:t>and routine screening is recommended. Multi-institutional and longitudinal studies would provide stronger evidence for policy development.</w:t>
      </w:r>
    </w:p>
    <w:p w14:paraId="5CB20F83" w14:textId="39CD32EB" w:rsidR="00FA785F" w:rsidRPr="00FA785F" w:rsidRDefault="00FA785F" w:rsidP="00AD0116">
      <w:pPr>
        <w:spacing w:line="276" w:lineRule="auto"/>
        <w:jc w:val="both"/>
        <w:rPr>
          <w:rFonts w:cstheme="minorHAnsi"/>
          <w:b/>
          <w:color w:val="000000" w:themeColor="text1"/>
        </w:rPr>
      </w:pPr>
      <w:r w:rsidRPr="00FA785F">
        <w:rPr>
          <w:rFonts w:cstheme="minorHAnsi"/>
          <w:b/>
          <w:color w:val="000000" w:themeColor="text1"/>
        </w:rPr>
        <w:t>Ethical Approval:</w:t>
      </w:r>
    </w:p>
    <w:p w14:paraId="10273E23" w14:textId="0C96F295" w:rsidR="00FA785F" w:rsidRDefault="00FA785F" w:rsidP="00AD0116">
      <w:pPr>
        <w:spacing w:line="276" w:lineRule="auto"/>
        <w:jc w:val="both"/>
        <w:rPr>
          <w:rFonts w:cstheme="minorHAnsi"/>
          <w:color w:val="000000" w:themeColor="text1"/>
        </w:rPr>
      </w:pPr>
      <w:r w:rsidRPr="00FA785F">
        <w:rPr>
          <w:rFonts w:cstheme="minorHAnsi"/>
          <w:color w:val="000000" w:themeColor="text1"/>
        </w:rPr>
        <w:t>Ethical approval was obtained from the SMIMS Institution Ethics Committee (IEC) of Sikkim Manipal University (Ref. No.: SMIMS/IEC/2025-23).</w:t>
      </w:r>
    </w:p>
    <w:p w14:paraId="15E4EDDD" w14:textId="5BB5910D" w:rsidR="00FA785F" w:rsidRPr="00FA785F" w:rsidRDefault="00FA785F" w:rsidP="00AD0116">
      <w:pPr>
        <w:spacing w:line="276" w:lineRule="auto"/>
        <w:jc w:val="both"/>
        <w:rPr>
          <w:rFonts w:cstheme="minorHAnsi"/>
          <w:b/>
          <w:color w:val="000000" w:themeColor="text1"/>
        </w:rPr>
      </w:pPr>
      <w:r w:rsidRPr="00FA785F">
        <w:rPr>
          <w:rFonts w:cstheme="minorHAnsi"/>
          <w:b/>
          <w:color w:val="000000" w:themeColor="text1"/>
        </w:rPr>
        <w:t xml:space="preserve">Consent: </w:t>
      </w:r>
    </w:p>
    <w:p w14:paraId="5F8A76B6" w14:textId="1D9DF4BB" w:rsidR="00FA785F" w:rsidRDefault="00FA785F" w:rsidP="00AD0116">
      <w:pPr>
        <w:spacing w:line="276" w:lineRule="auto"/>
        <w:jc w:val="both"/>
        <w:rPr>
          <w:rFonts w:cstheme="minorHAnsi"/>
          <w:color w:val="000000" w:themeColor="text1"/>
        </w:rPr>
      </w:pPr>
      <w:r w:rsidRPr="00FA785F">
        <w:rPr>
          <w:rFonts w:cstheme="minorHAnsi"/>
          <w:color w:val="000000" w:themeColor="text1"/>
        </w:rPr>
        <w:t>Students aged 18 years and above, present during data collection, and willing to provide written informed consent were included.</w:t>
      </w:r>
    </w:p>
    <w:p w14:paraId="38122C5B" w14:textId="77777777" w:rsidR="00FA785F" w:rsidRPr="00AD0116" w:rsidRDefault="00FA785F" w:rsidP="00AD0116">
      <w:pPr>
        <w:spacing w:line="276" w:lineRule="auto"/>
        <w:jc w:val="both"/>
        <w:rPr>
          <w:rFonts w:cstheme="minorHAnsi"/>
          <w:color w:val="000000" w:themeColor="text1"/>
        </w:rPr>
      </w:pPr>
    </w:p>
    <w:p w14:paraId="2A90CAC3" w14:textId="55DEB3B5" w:rsidR="00C23E8F" w:rsidRPr="00FA785F" w:rsidRDefault="00C23E8F" w:rsidP="00AD0116">
      <w:pPr>
        <w:spacing w:line="276" w:lineRule="auto"/>
        <w:rPr>
          <w:rFonts w:cstheme="minorHAnsi"/>
          <w:b/>
          <w:color w:val="000000" w:themeColor="text1"/>
        </w:rPr>
      </w:pPr>
      <w:r w:rsidRPr="00FA785F">
        <w:rPr>
          <w:rFonts w:cstheme="minorHAnsi"/>
          <w:b/>
          <w:color w:val="000000" w:themeColor="text1"/>
        </w:rPr>
        <w:t>Disclaimer (Artificial intelligence)</w:t>
      </w:r>
    </w:p>
    <w:p w14:paraId="3D457BE5" w14:textId="38DF5B73" w:rsidR="00C23E8F" w:rsidRPr="00AD0116" w:rsidRDefault="00865399" w:rsidP="00AD0116">
      <w:pPr>
        <w:spacing w:line="276" w:lineRule="auto"/>
        <w:rPr>
          <w:rFonts w:cstheme="minorHAnsi"/>
          <w:color w:val="000000" w:themeColor="text1"/>
        </w:rPr>
      </w:pPr>
      <w:r>
        <w:rPr>
          <w:rFonts w:cstheme="minorHAnsi"/>
          <w:color w:val="000000" w:themeColor="text1"/>
        </w:rPr>
        <w:t>We</w:t>
      </w:r>
      <w:r w:rsidR="00C23E8F" w:rsidRPr="00AD0116">
        <w:rPr>
          <w:rFonts w:cstheme="minorHAnsi"/>
          <w:color w:val="000000" w:themeColor="text1"/>
        </w:rPr>
        <w:t xml:space="preserve"> hereby </w:t>
      </w:r>
      <w:proofErr w:type="gramStart"/>
      <w:r w:rsidRPr="00AD0116">
        <w:rPr>
          <w:rFonts w:cstheme="minorHAnsi"/>
          <w:color w:val="000000" w:themeColor="text1"/>
        </w:rPr>
        <w:t>declares</w:t>
      </w:r>
      <w:proofErr w:type="gramEnd"/>
      <w:r w:rsidR="00C23E8F" w:rsidRPr="00AD0116">
        <w:rPr>
          <w:rFonts w:cstheme="minorHAnsi"/>
          <w:color w:val="000000" w:themeColor="text1"/>
        </w:rPr>
        <w:t xml:space="preserve"> that NO generative AI technologies such as Large Language Models (</w:t>
      </w:r>
      <w:proofErr w:type="spellStart"/>
      <w:r w:rsidR="00C23E8F" w:rsidRPr="00AD0116">
        <w:rPr>
          <w:rFonts w:cstheme="minorHAnsi"/>
          <w:color w:val="000000" w:themeColor="text1"/>
        </w:rPr>
        <w:t>ChatGPT</w:t>
      </w:r>
      <w:proofErr w:type="spellEnd"/>
      <w:r w:rsidR="00C23E8F" w:rsidRPr="00AD0116">
        <w:rPr>
          <w:rFonts w:cstheme="minorHAnsi"/>
          <w:color w:val="000000" w:themeColor="text1"/>
        </w:rPr>
        <w:t xml:space="preserve">, COPILOT, etc.) and text-to-image generators have been used during the writing or editing of this manuscript. </w:t>
      </w:r>
    </w:p>
    <w:p w14:paraId="37E4630C" w14:textId="77777777" w:rsidR="00A87550" w:rsidRPr="00AD0116" w:rsidRDefault="00A87550" w:rsidP="00AD0116">
      <w:pPr>
        <w:spacing w:line="276" w:lineRule="auto"/>
        <w:rPr>
          <w:rFonts w:cstheme="minorHAnsi"/>
          <w:b/>
          <w:bCs/>
          <w:color w:val="000000" w:themeColor="text1"/>
        </w:rPr>
      </w:pPr>
    </w:p>
    <w:p w14:paraId="521AFBAF" w14:textId="73A8208E" w:rsidR="000A2FC1" w:rsidRDefault="000A2FC1" w:rsidP="00AD0116">
      <w:pPr>
        <w:spacing w:line="276" w:lineRule="auto"/>
        <w:rPr>
          <w:rFonts w:cstheme="minorHAnsi"/>
          <w:b/>
          <w:bCs/>
          <w:color w:val="000000" w:themeColor="text1"/>
        </w:rPr>
      </w:pPr>
      <w:r w:rsidRPr="00AD0116">
        <w:rPr>
          <w:rFonts w:cstheme="minorHAnsi"/>
          <w:b/>
          <w:bCs/>
          <w:color w:val="000000" w:themeColor="text1"/>
        </w:rPr>
        <w:t>References</w:t>
      </w:r>
    </w:p>
    <w:p w14:paraId="0443449E" w14:textId="7AD24D06" w:rsidR="00865399" w:rsidRDefault="00865399" w:rsidP="00865399">
      <w:pPr>
        <w:pStyle w:val="ListParagraph"/>
        <w:numPr>
          <w:ilvl w:val="0"/>
          <w:numId w:val="48"/>
        </w:numPr>
        <w:jc w:val="both"/>
        <w:rPr>
          <w:rFonts w:cstheme="minorHAnsi"/>
        </w:rPr>
      </w:pPr>
      <w:r w:rsidRPr="00865399">
        <w:rPr>
          <w:rFonts w:cstheme="minorHAnsi"/>
        </w:rPr>
        <w:t xml:space="preserve">World Health Organization. (2019, June 6). More than 1 million new curable sexually transmitted infections every day. </w:t>
      </w:r>
      <w:hyperlink r:id="rId12" w:history="1">
        <w:r w:rsidR="00FC6F15" w:rsidRPr="006308F1">
          <w:rPr>
            <w:rStyle w:val="Hyperlink"/>
            <w:rFonts w:cstheme="minorHAnsi"/>
          </w:rPr>
          <w:t>https://www.who.int/news/item/06-06-2019-more-than-1-million-new-curable-sexually-transmitted-infections-every-day</w:t>
        </w:r>
      </w:hyperlink>
    </w:p>
    <w:p w14:paraId="22F60E9A" w14:textId="77777777" w:rsidR="00FC6F15" w:rsidRPr="00865399" w:rsidRDefault="00FC6F15" w:rsidP="00FC6F15">
      <w:pPr>
        <w:pStyle w:val="ListParagraph"/>
        <w:jc w:val="both"/>
        <w:rPr>
          <w:rFonts w:cstheme="minorHAnsi"/>
        </w:rPr>
      </w:pPr>
    </w:p>
    <w:p w14:paraId="1C28215C" w14:textId="697F318E" w:rsidR="00865399" w:rsidRDefault="00865399" w:rsidP="00865399">
      <w:pPr>
        <w:pStyle w:val="ListParagraph"/>
        <w:numPr>
          <w:ilvl w:val="0"/>
          <w:numId w:val="48"/>
        </w:numPr>
        <w:jc w:val="both"/>
        <w:rPr>
          <w:rFonts w:cstheme="minorHAnsi"/>
        </w:rPr>
      </w:pPr>
      <w:r w:rsidRPr="00865399">
        <w:rPr>
          <w:rFonts w:cstheme="minorHAnsi"/>
        </w:rPr>
        <w:t xml:space="preserve">World Health Organization. (n.d.). Sexually transmitted infections (STIs): Key facts. </w:t>
      </w:r>
      <w:hyperlink r:id="rId13" w:history="1">
        <w:r w:rsidR="00FC6F15" w:rsidRPr="006308F1">
          <w:rPr>
            <w:rStyle w:val="Hyperlink"/>
            <w:rFonts w:cstheme="minorHAnsi"/>
          </w:rPr>
          <w:t>https://www.who.int/news-room/fact-sheets/detail/sexually-transmitted-infections-(stis)</w:t>
        </w:r>
      </w:hyperlink>
    </w:p>
    <w:p w14:paraId="7F0EB940" w14:textId="77777777" w:rsidR="00FC6F15" w:rsidRPr="00865399" w:rsidRDefault="00FC6F15" w:rsidP="00FC6F15">
      <w:pPr>
        <w:pStyle w:val="ListParagraph"/>
        <w:jc w:val="both"/>
        <w:rPr>
          <w:rFonts w:cstheme="minorHAnsi"/>
        </w:rPr>
      </w:pPr>
    </w:p>
    <w:p w14:paraId="44D34843" w14:textId="76A89391" w:rsidR="00865399" w:rsidRDefault="00865399" w:rsidP="00865399">
      <w:pPr>
        <w:pStyle w:val="ListParagraph"/>
        <w:numPr>
          <w:ilvl w:val="0"/>
          <w:numId w:val="48"/>
        </w:numPr>
        <w:jc w:val="both"/>
        <w:rPr>
          <w:rFonts w:cstheme="minorHAnsi"/>
        </w:rPr>
      </w:pPr>
      <w:r w:rsidRPr="00865399">
        <w:rPr>
          <w:rFonts w:cstheme="minorHAnsi"/>
        </w:rPr>
        <w:t xml:space="preserve">Newman, L., Rowley, J., Vander Hoorn, S., </w:t>
      </w:r>
      <w:proofErr w:type="spellStart"/>
      <w:r w:rsidRPr="00865399">
        <w:rPr>
          <w:rFonts w:cstheme="minorHAnsi"/>
        </w:rPr>
        <w:t>Wijesooriya</w:t>
      </w:r>
      <w:proofErr w:type="spellEnd"/>
      <w:r w:rsidRPr="00865399">
        <w:rPr>
          <w:rFonts w:cstheme="minorHAnsi"/>
        </w:rPr>
        <w:t xml:space="preserve">, N. S., </w:t>
      </w:r>
      <w:proofErr w:type="spellStart"/>
      <w:r w:rsidRPr="00865399">
        <w:rPr>
          <w:rFonts w:cstheme="minorHAnsi"/>
        </w:rPr>
        <w:t>Unemo</w:t>
      </w:r>
      <w:proofErr w:type="spellEnd"/>
      <w:r w:rsidRPr="00865399">
        <w:rPr>
          <w:rFonts w:cstheme="minorHAnsi"/>
        </w:rPr>
        <w:t xml:space="preserve">, M., Low, N., &amp; </w:t>
      </w:r>
      <w:proofErr w:type="spellStart"/>
      <w:r w:rsidRPr="00865399">
        <w:rPr>
          <w:rFonts w:cstheme="minorHAnsi"/>
        </w:rPr>
        <w:t>Temmerman</w:t>
      </w:r>
      <w:proofErr w:type="spellEnd"/>
      <w:r w:rsidRPr="00865399">
        <w:rPr>
          <w:rFonts w:cstheme="minorHAnsi"/>
        </w:rPr>
        <w:t xml:space="preserve">, M. (2015). Global estimates of the prevalence and incidence of four curable sexually transmitted infections in 2012 based on systematic review and global reporting. </w:t>
      </w:r>
      <w:proofErr w:type="spellStart"/>
      <w:r w:rsidRPr="00865399">
        <w:rPr>
          <w:rFonts w:cstheme="minorHAnsi"/>
        </w:rPr>
        <w:t>PLoS</w:t>
      </w:r>
      <w:proofErr w:type="spellEnd"/>
      <w:r w:rsidRPr="00865399">
        <w:rPr>
          <w:rFonts w:cstheme="minorHAnsi"/>
        </w:rPr>
        <w:t xml:space="preserve"> One, 10(12), e0143304. </w:t>
      </w:r>
      <w:hyperlink r:id="rId14" w:history="1">
        <w:r w:rsidRPr="00865399">
          <w:rPr>
            <w:rStyle w:val="Hyperlink"/>
            <w:rFonts w:cstheme="minorHAnsi"/>
          </w:rPr>
          <w:t>https://doi.org/10.1371/journal.pone.0143304</w:t>
        </w:r>
      </w:hyperlink>
      <w:r w:rsidRPr="00865399">
        <w:rPr>
          <w:rFonts w:cstheme="minorHAnsi"/>
        </w:rPr>
        <w:t xml:space="preserve">. Available at </w:t>
      </w:r>
      <w:hyperlink r:id="rId15" w:history="1">
        <w:r w:rsidR="00FC6F15" w:rsidRPr="006308F1">
          <w:rPr>
            <w:rStyle w:val="Hyperlink"/>
            <w:rFonts w:cstheme="minorHAnsi"/>
          </w:rPr>
          <w:t>https://journals.plos.org/plosone/article?id=10.1371/journal.pone.0143304</w:t>
        </w:r>
      </w:hyperlink>
    </w:p>
    <w:p w14:paraId="512F5C58" w14:textId="77777777" w:rsidR="00FC6F15" w:rsidRPr="00865399" w:rsidRDefault="00FC6F15" w:rsidP="00FC6F15">
      <w:pPr>
        <w:pStyle w:val="ListParagraph"/>
        <w:jc w:val="both"/>
        <w:rPr>
          <w:rFonts w:cstheme="minorHAnsi"/>
        </w:rPr>
      </w:pPr>
    </w:p>
    <w:p w14:paraId="5CF0AAF8" w14:textId="4DA835B2" w:rsidR="00865399" w:rsidRDefault="00865399" w:rsidP="00865399">
      <w:pPr>
        <w:pStyle w:val="ListParagraph"/>
        <w:numPr>
          <w:ilvl w:val="0"/>
          <w:numId w:val="48"/>
        </w:numPr>
        <w:jc w:val="both"/>
        <w:rPr>
          <w:rFonts w:cstheme="minorHAnsi"/>
        </w:rPr>
      </w:pPr>
      <w:r w:rsidRPr="00865399">
        <w:rPr>
          <w:rFonts w:cstheme="minorHAnsi"/>
        </w:rPr>
        <w:t xml:space="preserve">Subbarao, N. T., &amp; Akhilesh, A. (2017). Knowledge and attitude about sexually transmitted infections other than HIV among college students. Indian Journal of Sexually Transmitted Diseases and AIDS, 38, 10–14. </w:t>
      </w:r>
      <w:hyperlink r:id="rId16" w:history="1">
        <w:r w:rsidRPr="00865399">
          <w:rPr>
            <w:rStyle w:val="Hyperlink"/>
            <w:rFonts w:cstheme="minorHAnsi"/>
          </w:rPr>
          <w:t>https://doi.org/10.4103/0253-7184.196888</w:t>
        </w:r>
      </w:hyperlink>
      <w:r w:rsidRPr="00865399">
        <w:rPr>
          <w:rFonts w:cstheme="minorHAnsi"/>
        </w:rPr>
        <w:t xml:space="preserve">. Available at </w:t>
      </w:r>
      <w:hyperlink r:id="rId17" w:history="1">
        <w:r w:rsidR="00FC6F15" w:rsidRPr="006308F1">
          <w:rPr>
            <w:rStyle w:val="Hyperlink"/>
            <w:rFonts w:cstheme="minorHAnsi"/>
          </w:rPr>
          <w:t>https://journals.lww.com/ijst/fulltext/2017/38010/knowledge_and_attitude_about_sexually_transmitted.2.aspx</w:t>
        </w:r>
      </w:hyperlink>
    </w:p>
    <w:p w14:paraId="34833DE8" w14:textId="77777777" w:rsidR="00FC6F15" w:rsidRPr="00865399" w:rsidRDefault="00FC6F15" w:rsidP="00FC6F15">
      <w:pPr>
        <w:pStyle w:val="ListParagraph"/>
        <w:jc w:val="both"/>
        <w:rPr>
          <w:rFonts w:cstheme="minorHAnsi"/>
        </w:rPr>
      </w:pPr>
    </w:p>
    <w:p w14:paraId="0644341C" w14:textId="0A4B2BAF" w:rsidR="00865399" w:rsidRDefault="00865399" w:rsidP="00865399">
      <w:pPr>
        <w:pStyle w:val="ListParagraph"/>
        <w:numPr>
          <w:ilvl w:val="0"/>
          <w:numId w:val="48"/>
        </w:numPr>
        <w:jc w:val="both"/>
        <w:rPr>
          <w:rFonts w:cstheme="minorHAnsi"/>
        </w:rPr>
      </w:pPr>
      <w:proofErr w:type="spellStart"/>
      <w:r w:rsidRPr="00865399">
        <w:rPr>
          <w:rFonts w:cstheme="minorHAnsi"/>
        </w:rPr>
        <w:t>Dorji</w:t>
      </w:r>
      <w:proofErr w:type="spellEnd"/>
      <w:r w:rsidRPr="00865399">
        <w:rPr>
          <w:rFonts w:cstheme="minorHAnsi"/>
        </w:rPr>
        <w:t xml:space="preserve">, T., </w:t>
      </w:r>
      <w:proofErr w:type="spellStart"/>
      <w:r w:rsidRPr="00865399">
        <w:rPr>
          <w:rFonts w:cstheme="minorHAnsi"/>
        </w:rPr>
        <w:t>Wangmo</w:t>
      </w:r>
      <w:proofErr w:type="spellEnd"/>
      <w:r w:rsidRPr="00865399">
        <w:rPr>
          <w:rFonts w:cstheme="minorHAnsi"/>
        </w:rPr>
        <w:t xml:space="preserve">, K., Tshering, D., </w:t>
      </w:r>
      <w:proofErr w:type="spellStart"/>
      <w:r w:rsidRPr="00865399">
        <w:rPr>
          <w:rFonts w:cstheme="minorHAnsi"/>
        </w:rPr>
        <w:t>Tashi</w:t>
      </w:r>
      <w:proofErr w:type="spellEnd"/>
      <w:r w:rsidRPr="00865399">
        <w:rPr>
          <w:rFonts w:cstheme="minorHAnsi"/>
        </w:rPr>
        <w:t xml:space="preserve">, U., &amp; </w:t>
      </w:r>
      <w:proofErr w:type="spellStart"/>
      <w:r w:rsidRPr="00865399">
        <w:rPr>
          <w:rFonts w:cstheme="minorHAnsi"/>
        </w:rPr>
        <w:t>Wangdi</w:t>
      </w:r>
      <w:proofErr w:type="spellEnd"/>
      <w:r w:rsidRPr="00865399">
        <w:rPr>
          <w:rFonts w:cstheme="minorHAnsi"/>
        </w:rPr>
        <w:t xml:space="preserve">, K. (2022). Knowledge and attitude on sexually transmitted infections and contraceptive use among university students in Bhutan. </w:t>
      </w:r>
      <w:proofErr w:type="spellStart"/>
      <w:r w:rsidRPr="00865399">
        <w:rPr>
          <w:rFonts w:cstheme="minorHAnsi"/>
        </w:rPr>
        <w:t>PLoS</w:t>
      </w:r>
      <w:proofErr w:type="spellEnd"/>
      <w:r w:rsidRPr="00865399">
        <w:rPr>
          <w:rFonts w:cstheme="minorHAnsi"/>
        </w:rPr>
        <w:t xml:space="preserve"> One, 17(8), e0272507. </w:t>
      </w:r>
      <w:hyperlink r:id="rId18" w:history="1">
        <w:r w:rsidRPr="00865399">
          <w:rPr>
            <w:rStyle w:val="Hyperlink"/>
            <w:rFonts w:cstheme="minorHAnsi"/>
          </w:rPr>
          <w:t>https://doi.org/10.1371/journal.pone.0272507</w:t>
        </w:r>
      </w:hyperlink>
      <w:r w:rsidRPr="00865399">
        <w:rPr>
          <w:rFonts w:cstheme="minorHAnsi"/>
        </w:rPr>
        <w:t xml:space="preserve">. Available at </w:t>
      </w:r>
      <w:hyperlink r:id="rId19" w:history="1">
        <w:r w:rsidR="00FC6F15" w:rsidRPr="006308F1">
          <w:rPr>
            <w:rStyle w:val="Hyperlink"/>
            <w:rFonts w:cstheme="minorHAnsi"/>
          </w:rPr>
          <w:t>https://journals.plos.org/plosone/article?id=10.1371/journal.pone.0272507</w:t>
        </w:r>
      </w:hyperlink>
    </w:p>
    <w:p w14:paraId="1DEC1B1A" w14:textId="77777777" w:rsidR="00FC6F15" w:rsidRPr="00865399" w:rsidRDefault="00FC6F15" w:rsidP="00FC6F15">
      <w:pPr>
        <w:pStyle w:val="ListParagraph"/>
        <w:jc w:val="both"/>
        <w:rPr>
          <w:rFonts w:cstheme="minorHAnsi"/>
        </w:rPr>
      </w:pPr>
    </w:p>
    <w:p w14:paraId="7A67AB6E" w14:textId="34B5BC55" w:rsidR="00865399" w:rsidRDefault="00865399" w:rsidP="00865399">
      <w:pPr>
        <w:pStyle w:val="ListParagraph"/>
        <w:numPr>
          <w:ilvl w:val="0"/>
          <w:numId w:val="48"/>
        </w:numPr>
        <w:jc w:val="both"/>
        <w:rPr>
          <w:rFonts w:cstheme="minorHAnsi"/>
        </w:rPr>
      </w:pPr>
      <w:proofErr w:type="spellStart"/>
      <w:r w:rsidRPr="00865399">
        <w:rPr>
          <w:rFonts w:cstheme="minorHAnsi"/>
        </w:rPr>
        <w:t>Karamouzian</w:t>
      </w:r>
      <w:proofErr w:type="spellEnd"/>
      <w:r w:rsidRPr="00865399">
        <w:rPr>
          <w:rFonts w:cstheme="minorHAnsi"/>
        </w:rPr>
        <w:t xml:space="preserve">, M., </w:t>
      </w:r>
      <w:proofErr w:type="spellStart"/>
      <w:r w:rsidRPr="00865399">
        <w:rPr>
          <w:rFonts w:cstheme="minorHAnsi"/>
        </w:rPr>
        <w:t>Shahesmaeili</w:t>
      </w:r>
      <w:proofErr w:type="spellEnd"/>
      <w:r w:rsidRPr="00865399">
        <w:rPr>
          <w:rFonts w:cstheme="minorHAnsi"/>
        </w:rPr>
        <w:t xml:space="preserve">, A., </w:t>
      </w:r>
      <w:proofErr w:type="spellStart"/>
      <w:r w:rsidRPr="00865399">
        <w:rPr>
          <w:rFonts w:cstheme="minorHAnsi"/>
        </w:rPr>
        <w:t>Khajehkazemi</w:t>
      </w:r>
      <w:proofErr w:type="spellEnd"/>
      <w:r w:rsidRPr="00865399">
        <w:rPr>
          <w:rFonts w:cstheme="minorHAnsi"/>
        </w:rPr>
        <w:t xml:space="preserve">, R., </w:t>
      </w:r>
      <w:proofErr w:type="spellStart"/>
      <w:r w:rsidRPr="00865399">
        <w:rPr>
          <w:rFonts w:cstheme="minorHAnsi"/>
        </w:rPr>
        <w:t>Hooshyar</w:t>
      </w:r>
      <w:proofErr w:type="spellEnd"/>
      <w:r w:rsidRPr="00865399">
        <w:rPr>
          <w:rFonts w:cstheme="minorHAnsi"/>
        </w:rPr>
        <w:t xml:space="preserve">, S. H., </w:t>
      </w:r>
      <w:proofErr w:type="spellStart"/>
      <w:r w:rsidRPr="00865399">
        <w:rPr>
          <w:rFonts w:cstheme="minorHAnsi"/>
        </w:rPr>
        <w:t>Haghdoost</w:t>
      </w:r>
      <w:proofErr w:type="spellEnd"/>
      <w:r w:rsidRPr="00865399">
        <w:rPr>
          <w:rFonts w:cstheme="minorHAnsi"/>
        </w:rPr>
        <w:t xml:space="preserve">, A. A., &amp; </w:t>
      </w:r>
      <w:proofErr w:type="spellStart"/>
      <w:r w:rsidRPr="00865399">
        <w:rPr>
          <w:rFonts w:cstheme="minorHAnsi"/>
        </w:rPr>
        <w:t>Shokoohi</w:t>
      </w:r>
      <w:proofErr w:type="spellEnd"/>
      <w:r w:rsidRPr="00865399">
        <w:rPr>
          <w:rFonts w:cstheme="minorHAnsi"/>
        </w:rPr>
        <w:t xml:space="preserve">, M. (2017). Awareness of and knowledge about STIs among nonmedical students in Iran. International </w:t>
      </w:r>
      <w:r w:rsidRPr="00865399">
        <w:rPr>
          <w:rFonts w:cstheme="minorHAnsi"/>
        </w:rPr>
        <w:lastRenderedPageBreak/>
        <w:t xml:space="preserve">Perspectives on Sexual and Reproductive Health, 43(1), 21–28. </w:t>
      </w:r>
      <w:hyperlink r:id="rId20" w:history="1">
        <w:r w:rsidRPr="00865399">
          <w:rPr>
            <w:rStyle w:val="Hyperlink"/>
            <w:rFonts w:cstheme="minorHAnsi"/>
          </w:rPr>
          <w:t>https://doi.org/10.1363/43e3217</w:t>
        </w:r>
      </w:hyperlink>
      <w:r w:rsidRPr="00865399">
        <w:rPr>
          <w:rFonts w:cstheme="minorHAnsi"/>
        </w:rPr>
        <w:t xml:space="preserve">. Available at </w:t>
      </w:r>
      <w:hyperlink r:id="rId21" w:history="1">
        <w:r w:rsidR="00FC6F15" w:rsidRPr="006308F1">
          <w:rPr>
            <w:rStyle w:val="Hyperlink"/>
            <w:rFonts w:cstheme="minorHAnsi"/>
          </w:rPr>
          <w:t>https://pubmed.ncbi.nlm.nih.gov/28930622/</w:t>
        </w:r>
      </w:hyperlink>
    </w:p>
    <w:p w14:paraId="3C58328E" w14:textId="77777777" w:rsidR="00FC6F15" w:rsidRPr="00865399" w:rsidRDefault="00FC6F15" w:rsidP="00FC6F15">
      <w:pPr>
        <w:pStyle w:val="ListParagraph"/>
        <w:jc w:val="both"/>
        <w:rPr>
          <w:rFonts w:cstheme="minorHAnsi"/>
        </w:rPr>
      </w:pPr>
    </w:p>
    <w:p w14:paraId="40AC835F" w14:textId="73F4F850" w:rsidR="00865399" w:rsidRDefault="00865399" w:rsidP="00865399">
      <w:pPr>
        <w:pStyle w:val="ListParagraph"/>
        <w:numPr>
          <w:ilvl w:val="0"/>
          <w:numId w:val="48"/>
        </w:numPr>
        <w:jc w:val="both"/>
        <w:rPr>
          <w:rFonts w:cstheme="minorHAnsi"/>
        </w:rPr>
      </w:pPr>
      <w:r w:rsidRPr="00865399">
        <w:rPr>
          <w:rFonts w:cstheme="minorHAnsi"/>
        </w:rPr>
        <w:t xml:space="preserve">Oluwole, E. O., </w:t>
      </w:r>
      <w:proofErr w:type="spellStart"/>
      <w:r w:rsidRPr="00865399">
        <w:rPr>
          <w:rFonts w:cstheme="minorHAnsi"/>
        </w:rPr>
        <w:t>Oyekanmi</w:t>
      </w:r>
      <w:proofErr w:type="spellEnd"/>
      <w:r w:rsidRPr="00865399">
        <w:rPr>
          <w:rFonts w:cstheme="minorHAnsi"/>
        </w:rPr>
        <w:t xml:space="preserve">, O. D., </w:t>
      </w:r>
      <w:proofErr w:type="spellStart"/>
      <w:r w:rsidRPr="00865399">
        <w:rPr>
          <w:rFonts w:cstheme="minorHAnsi"/>
        </w:rPr>
        <w:t>Ogunyemi</w:t>
      </w:r>
      <w:proofErr w:type="spellEnd"/>
      <w:r w:rsidRPr="00865399">
        <w:rPr>
          <w:rFonts w:cstheme="minorHAnsi"/>
        </w:rPr>
        <w:t xml:space="preserve">, D. O., &amp; </w:t>
      </w:r>
      <w:proofErr w:type="spellStart"/>
      <w:r w:rsidRPr="00865399">
        <w:rPr>
          <w:rFonts w:cstheme="minorHAnsi"/>
        </w:rPr>
        <w:t>Osanyin</w:t>
      </w:r>
      <w:proofErr w:type="spellEnd"/>
      <w:r w:rsidRPr="00865399">
        <w:rPr>
          <w:rFonts w:cstheme="minorHAnsi"/>
        </w:rPr>
        <w:t xml:space="preserve">, G. E. (2020). Knowledge, attitude and preventive practices of sexually transmitted infections among unmarried youths in an urban community in Lagos State, Nigeria. African Journal of Primary Health Care &amp; Family Medicine, 12(1), e1–e7. </w:t>
      </w:r>
      <w:hyperlink r:id="rId22" w:history="1">
        <w:r w:rsidRPr="00865399">
          <w:rPr>
            <w:rStyle w:val="Hyperlink"/>
            <w:rFonts w:cstheme="minorHAnsi"/>
          </w:rPr>
          <w:t>https://doi.org/10.4102/phcfm.v12i1.2221</w:t>
        </w:r>
      </w:hyperlink>
      <w:r w:rsidRPr="00865399">
        <w:rPr>
          <w:rFonts w:cstheme="minorHAnsi"/>
        </w:rPr>
        <w:t xml:space="preserve">. Available at </w:t>
      </w:r>
      <w:hyperlink r:id="rId23" w:history="1">
        <w:r w:rsidR="00FC6F15" w:rsidRPr="006308F1">
          <w:rPr>
            <w:rStyle w:val="Hyperlink"/>
            <w:rFonts w:cstheme="minorHAnsi"/>
          </w:rPr>
          <w:t>https://pubmed.ncbi.nlm.nih.gov/32370529/</w:t>
        </w:r>
      </w:hyperlink>
    </w:p>
    <w:p w14:paraId="239D6C75" w14:textId="77777777" w:rsidR="00FC6F15" w:rsidRPr="00865399" w:rsidRDefault="00FC6F15" w:rsidP="00FC6F15">
      <w:pPr>
        <w:pStyle w:val="ListParagraph"/>
        <w:jc w:val="both"/>
        <w:rPr>
          <w:rFonts w:cstheme="minorHAnsi"/>
        </w:rPr>
      </w:pPr>
    </w:p>
    <w:p w14:paraId="28EA5E03" w14:textId="593736D4" w:rsidR="00865399" w:rsidRDefault="00865399" w:rsidP="00865399">
      <w:pPr>
        <w:pStyle w:val="ListParagraph"/>
        <w:numPr>
          <w:ilvl w:val="0"/>
          <w:numId w:val="48"/>
        </w:numPr>
        <w:jc w:val="both"/>
        <w:rPr>
          <w:rFonts w:cstheme="minorHAnsi"/>
        </w:rPr>
      </w:pPr>
      <w:r w:rsidRPr="00865399">
        <w:rPr>
          <w:rFonts w:cstheme="minorHAnsi"/>
        </w:rPr>
        <w:t xml:space="preserve">Zhang, D., Pan, H., Cui, B., Law, F., Farrar, J., &amp; Ba-Thein, W. (2013). Sexual behaviours and awareness of sexually transmitted infections among Chinese university students. Journal of Infection in Developing Countries, 7(12), 966–974. Available at </w:t>
      </w:r>
      <w:hyperlink r:id="rId24" w:history="1">
        <w:r w:rsidR="00FC6F15" w:rsidRPr="006308F1">
          <w:rPr>
            <w:rStyle w:val="Hyperlink"/>
            <w:rFonts w:cstheme="minorHAnsi"/>
          </w:rPr>
          <w:t>https://pubmed.ncbi.nlm.nih.gov/24334944/</w:t>
        </w:r>
      </w:hyperlink>
    </w:p>
    <w:p w14:paraId="44C8CAEF" w14:textId="77777777" w:rsidR="00FC6F15" w:rsidRPr="00865399" w:rsidRDefault="00FC6F15" w:rsidP="00FC6F15">
      <w:pPr>
        <w:pStyle w:val="ListParagraph"/>
        <w:jc w:val="both"/>
        <w:rPr>
          <w:rFonts w:cstheme="minorHAnsi"/>
        </w:rPr>
      </w:pPr>
    </w:p>
    <w:p w14:paraId="3349A215" w14:textId="05F6FFAB" w:rsidR="00865399" w:rsidRDefault="00865399" w:rsidP="00865399">
      <w:pPr>
        <w:pStyle w:val="ListParagraph"/>
        <w:numPr>
          <w:ilvl w:val="0"/>
          <w:numId w:val="48"/>
        </w:numPr>
        <w:jc w:val="both"/>
        <w:rPr>
          <w:rFonts w:cstheme="minorHAnsi"/>
        </w:rPr>
      </w:pPr>
      <w:r w:rsidRPr="00865399">
        <w:rPr>
          <w:rFonts w:cstheme="minorHAnsi"/>
        </w:rPr>
        <w:t xml:space="preserve">Agarwal, N., Brar, B. K., Kumar, S., </w:t>
      </w:r>
      <w:proofErr w:type="spellStart"/>
      <w:r w:rsidRPr="00865399">
        <w:rPr>
          <w:rFonts w:cstheme="minorHAnsi"/>
        </w:rPr>
        <w:t>Rajoa</w:t>
      </w:r>
      <w:proofErr w:type="spellEnd"/>
      <w:r w:rsidRPr="00865399">
        <w:rPr>
          <w:rFonts w:cstheme="minorHAnsi"/>
        </w:rPr>
        <w:t xml:space="preserve">, O. S., &amp; Chahal, A. (2021). Sexual behaviour and practices among adolescents and young people: Study and results from a tertiary care centre of North India. International Journal of Community Medicine and Public Health, 8(6), 2937–2941. </w:t>
      </w:r>
      <w:hyperlink r:id="rId25" w:history="1">
        <w:r w:rsidRPr="00865399">
          <w:rPr>
            <w:rStyle w:val="Hyperlink"/>
            <w:rFonts w:cstheme="minorHAnsi"/>
          </w:rPr>
          <w:t>https://doi.org/10.18203/2394-6040.ijcmph20211997</w:t>
        </w:r>
      </w:hyperlink>
      <w:r w:rsidRPr="00865399">
        <w:rPr>
          <w:rFonts w:cstheme="minorHAnsi"/>
        </w:rPr>
        <w:t xml:space="preserve">. Available at </w:t>
      </w:r>
      <w:hyperlink r:id="rId26" w:history="1">
        <w:r w:rsidR="00FC6F15" w:rsidRPr="006308F1">
          <w:rPr>
            <w:rStyle w:val="Hyperlink"/>
            <w:rFonts w:cstheme="minorHAnsi"/>
          </w:rPr>
          <w:t>https://www.ijcmph.com/index.php/ijcmph/article/view/8073</w:t>
        </w:r>
      </w:hyperlink>
    </w:p>
    <w:p w14:paraId="4B51D474" w14:textId="77777777" w:rsidR="00FC6F15" w:rsidRPr="00865399" w:rsidRDefault="00FC6F15" w:rsidP="00FC6F15">
      <w:pPr>
        <w:pStyle w:val="ListParagraph"/>
        <w:jc w:val="both"/>
        <w:rPr>
          <w:rFonts w:cstheme="minorHAnsi"/>
        </w:rPr>
      </w:pPr>
    </w:p>
    <w:p w14:paraId="35D0416F" w14:textId="399EDA14" w:rsidR="00865399" w:rsidRDefault="00865399" w:rsidP="00865399">
      <w:pPr>
        <w:pStyle w:val="ListParagraph"/>
        <w:numPr>
          <w:ilvl w:val="0"/>
          <w:numId w:val="48"/>
        </w:numPr>
        <w:jc w:val="both"/>
        <w:rPr>
          <w:rFonts w:cstheme="minorHAnsi"/>
        </w:rPr>
      </w:pPr>
      <w:proofErr w:type="spellStart"/>
      <w:r w:rsidRPr="00865399">
        <w:rPr>
          <w:rFonts w:cstheme="minorHAnsi"/>
        </w:rPr>
        <w:t>Misra</w:t>
      </w:r>
      <w:proofErr w:type="spellEnd"/>
      <w:r w:rsidRPr="00865399">
        <w:rPr>
          <w:rFonts w:cstheme="minorHAnsi"/>
        </w:rPr>
        <w:t xml:space="preserve">, S. K., </w:t>
      </w:r>
      <w:proofErr w:type="spellStart"/>
      <w:r w:rsidRPr="00865399">
        <w:rPr>
          <w:rFonts w:cstheme="minorHAnsi"/>
        </w:rPr>
        <w:t>Oudeacoumar</w:t>
      </w:r>
      <w:proofErr w:type="spellEnd"/>
      <w:r w:rsidRPr="00865399">
        <w:rPr>
          <w:rFonts w:cstheme="minorHAnsi"/>
        </w:rPr>
        <w:t xml:space="preserve">, P., </w:t>
      </w:r>
      <w:proofErr w:type="spellStart"/>
      <w:r w:rsidRPr="00865399">
        <w:rPr>
          <w:rFonts w:cstheme="minorHAnsi"/>
        </w:rPr>
        <w:t>Indradevi</w:t>
      </w:r>
      <w:proofErr w:type="spellEnd"/>
      <w:r w:rsidRPr="00865399">
        <w:rPr>
          <w:rFonts w:cstheme="minorHAnsi"/>
        </w:rPr>
        <w:t xml:space="preserve">, R., &amp; </w:t>
      </w:r>
      <w:proofErr w:type="spellStart"/>
      <w:r w:rsidRPr="00865399">
        <w:rPr>
          <w:rFonts w:cstheme="minorHAnsi"/>
        </w:rPr>
        <w:t>Sovana</w:t>
      </w:r>
      <w:proofErr w:type="spellEnd"/>
      <w:r w:rsidRPr="00865399">
        <w:rPr>
          <w:rFonts w:cstheme="minorHAnsi"/>
        </w:rPr>
        <w:t xml:space="preserve">, S. (2019). Knowledge and attitude about sexually transmitted infections among paramedical 1st year students in a tertiary care teaching institute in Pondicherry. International Journal of Research in Dermatology, 5(3), 532–536. </w:t>
      </w:r>
      <w:hyperlink r:id="rId27" w:history="1">
        <w:r w:rsidRPr="00865399">
          <w:rPr>
            <w:rStyle w:val="Hyperlink"/>
            <w:rFonts w:cstheme="minorHAnsi"/>
          </w:rPr>
          <w:t>https://doi.org/10.18203/issn.2455-4529.IntJResDermatol20193225</w:t>
        </w:r>
      </w:hyperlink>
      <w:r w:rsidRPr="00865399">
        <w:rPr>
          <w:rFonts w:cstheme="minorHAnsi"/>
        </w:rPr>
        <w:t xml:space="preserve">. Available at </w:t>
      </w:r>
      <w:hyperlink r:id="rId28" w:history="1">
        <w:r w:rsidR="00FC6F15" w:rsidRPr="006308F1">
          <w:rPr>
            <w:rStyle w:val="Hyperlink"/>
            <w:rFonts w:cstheme="minorHAnsi"/>
          </w:rPr>
          <w:t>https://www.ijord.com/index.php/ijord/article/view/626</w:t>
        </w:r>
      </w:hyperlink>
    </w:p>
    <w:p w14:paraId="7E7023CF" w14:textId="77777777" w:rsidR="00FC6F15" w:rsidRPr="00865399" w:rsidRDefault="00FC6F15" w:rsidP="00FC6F15">
      <w:pPr>
        <w:pStyle w:val="ListParagraph"/>
        <w:jc w:val="both"/>
        <w:rPr>
          <w:rFonts w:cstheme="minorHAnsi"/>
        </w:rPr>
      </w:pPr>
    </w:p>
    <w:p w14:paraId="0C0AA9CB" w14:textId="41EF9EA2" w:rsidR="00865399" w:rsidRDefault="00865399" w:rsidP="00865399">
      <w:pPr>
        <w:pStyle w:val="ListParagraph"/>
        <w:numPr>
          <w:ilvl w:val="0"/>
          <w:numId w:val="48"/>
        </w:numPr>
        <w:jc w:val="both"/>
        <w:rPr>
          <w:rFonts w:cstheme="minorHAnsi"/>
        </w:rPr>
      </w:pPr>
      <w:proofErr w:type="spellStart"/>
      <w:r w:rsidRPr="00865399">
        <w:rPr>
          <w:rFonts w:cstheme="minorHAnsi"/>
        </w:rPr>
        <w:t>Norbu</w:t>
      </w:r>
      <w:proofErr w:type="spellEnd"/>
      <w:r w:rsidRPr="00865399">
        <w:rPr>
          <w:rFonts w:cstheme="minorHAnsi"/>
        </w:rPr>
        <w:t xml:space="preserve">, K., </w:t>
      </w:r>
      <w:proofErr w:type="spellStart"/>
      <w:r w:rsidRPr="00865399">
        <w:rPr>
          <w:rFonts w:cstheme="minorHAnsi"/>
        </w:rPr>
        <w:t>Mukhia</w:t>
      </w:r>
      <w:proofErr w:type="spellEnd"/>
      <w:r w:rsidRPr="00865399">
        <w:rPr>
          <w:rFonts w:cstheme="minorHAnsi"/>
        </w:rPr>
        <w:t xml:space="preserve">, S., &amp; </w:t>
      </w:r>
      <w:proofErr w:type="spellStart"/>
      <w:r w:rsidRPr="00865399">
        <w:rPr>
          <w:rFonts w:cstheme="minorHAnsi"/>
        </w:rPr>
        <w:t>Tshokey</w:t>
      </w:r>
      <w:proofErr w:type="spellEnd"/>
      <w:r w:rsidRPr="00865399">
        <w:rPr>
          <w:rFonts w:cstheme="minorHAnsi"/>
        </w:rPr>
        <w:t xml:space="preserve">, T. (2013). Assessment of knowledge on sexually transmitted infections and sexual risk behaviour in two rural districts of Bhutan. BMC Public Health, 13, 1142. </w:t>
      </w:r>
      <w:hyperlink r:id="rId29" w:history="1">
        <w:r w:rsidRPr="00865399">
          <w:rPr>
            <w:rStyle w:val="Hyperlink"/>
            <w:rFonts w:cstheme="minorHAnsi"/>
          </w:rPr>
          <w:t>https://doi.org/10.1186/1471-2458-13-1142</w:t>
        </w:r>
      </w:hyperlink>
      <w:r w:rsidRPr="00865399">
        <w:rPr>
          <w:rFonts w:cstheme="minorHAnsi"/>
        </w:rPr>
        <w:t xml:space="preserve">. Available at </w:t>
      </w:r>
      <w:hyperlink r:id="rId30" w:history="1">
        <w:r w:rsidR="00FC6F15" w:rsidRPr="006308F1">
          <w:rPr>
            <w:rStyle w:val="Hyperlink"/>
            <w:rFonts w:cstheme="minorHAnsi"/>
          </w:rPr>
          <w:t>https://link.springer.com/article/10.1186/1471-2458-13-1142</w:t>
        </w:r>
      </w:hyperlink>
    </w:p>
    <w:p w14:paraId="7F2D8DE8" w14:textId="77777777" w:rsidR="00FC6F15" w:rsidRPr="00865399" w:rsidRDefault="00FC6F15" w:rsidP="00FC6F15">
      <w:pPr>
        <w:pStyle w:val="ListParagraph"/>
        <w:jc w:val="both"/>
        <w:rPr>
          <w:rFonts w:cstheme="minorHAnsi"/>
        </w:rPr>
      </w:pPr>
    </w:p>
    <w:p w14:paraId="65EFD3D8" w14:textId="23235AA3" w:rsidR="00865399" w:rsidRDefault="00865399" w:rsidP="00865399">
      <w:pPr>
        <w:pStyle w:val="ListParagraph"/>
        <w:numPr>
          <w:ilvl w:val="0"/>
          <w:numId w:val="48"/>
        </w:numPr>
        <w:jc w:val="both"/>
        <w:rPr>
          <w:rFonts w:cstheme="minorHAnsi"/>
        </w:rPr>
      </w:pPr>
      <w:proofErr w:type="spellStart"/>
      <w:r w:rsidRPr="00865399">
        <w:rPr>
          <w:rFonts w:cstheme="minorHAnsi"/>
        </w:rPr>
        <w:t>Nigussie</w:t>
      </w:r>
      <w:proofErr w:type="spellEnd"/>
      <w:r w:rsidRPr="00865399">
        <w:rPr>
          <w:rFonts w:cstheme="minorHAnsi"/>
        </w:rPr>
        <w:t xml:space="preserve">, T., </w:t>
      </w:r>
      <w:proofErr w:type="spellStart"/>
      <w:r w:rsidRPr="00865399">
        <w:rPr>
          <w:rFonts w:cstheme="minorHAnsi"/>
        </w:rPr>
        <w:t>Belachew</w:t>
      </w:r>
      <w:proofErr w:type="spellEnd"/>
      <w:r w:rsidRPr="00865399">
        <w:rPr>
          <w:rFonts w:cstheme="minorHAnsi"/>
        </w:rPr>
        <w:t xml:space="preserve">, A., </w:t>
      </w:r>
      <w:proofErr w:type="spellStart"/>
      <w:r w:rsidRPr="00865399">
        <w:rPr>
          <w:rFonts w:cstheme="minorHAnsi"/>
        </w:rPr>
        <w:t>Wolde</w:t>
      </w:r>
      <w:proofErr w:type="spellEnd"/>
      <w:r w:rsidRPr="00865399">
        <w:rPr>
          <w:rFonts w:cstheme="minorHAnsi"/>
        </w:rPr>
        <w:t xml:space="preserve">, M., &amp; </w:t>
      </w:r>
      <w:proofErr w:type="spellStart"/>
      <w:r w:rsidRPr="00865399">
        <w:rPr>
          <w:rFonts w:cstheme="minorHAnsi"/>
        </w:rPr>
        <w:t>Gizaw</w:t>
      </w:r>
      <w:proofErr w:type="spellEnd"/>
      <w:r w:rsidRPr="00865399">
        <w:rPr>
          <w:rFonts w:cstheme="minorHAnsi"/>
        </w:rPr>
        <w:t xml:space="preserve">, M. (2020). Knowledge of sexually transmitted infections and associated factors among polytechnic college students in Southwest Ethiopia. Pan African Medical Journal, 37(68). </w:t>
      </w:r>
      <w:hyperlink r:id="rId31" w:history="1">
        <w:r w:rsidRPr="00865399">
          <w:rPr>
            <w:rStyle w:val="Hyperlink"/>
            <w:rFonts w:cstheme="minorHAnsi"/>
          </w:rPr>
          <w:t>https://doi.org/10.11604/pamj.2020.37.68.22718</w:t>
        </w:r>
      </w:hyperlink>
      <w:r w:rsidRPr="00865399">
        <w:rPr>
          <w:rFonts w:cstheme="minorHAnsi"/>
        </w:rPr>
        <w:t xml:space="preserve">. Available at </w:t>
      </w:r>
      <w:hyperlink r:id="rId32" w:history="1">
        <w:r w:rsidR="00FC6F15" w:rsidRPr="006308F1">
          <w:rPr>
            <w:rStyle w:val="Hyperlink"/>
            <w:rFonts w:cstheme="minorHAnsi"/>
          </w:rPr>
          <w:t>https://www.panafrican-med-journal.com/content/article/37/68/full/</w:t>
        </w:r>
      </w:hyperlink>
    </w:p>
    <w:p w14:paraId="23F6B626" w14:textId="77777777" w:rsidR="00FC6F15" w:rsidRPr="00865399" w:rsidRDefault="00FC6F15" w:rsidP="00FC6F15">
      <w:pPr>
        <w:pStyle w:val="ListParagraph"/>
        <w:jc w:val="both"/>
        <w:rPr>
          <w:rFonts w:cstheme="minorHAnsi"/>
        </w:rPr>
      </w:pPr>
    </w:p>
    <w:p w14:paraId="697066ED" w14:textId="3C61E0A6" w:rsidR="00865399" w:rsidRDefault="00865399" w:rsidP="00865399">
      <w:pPr>
        <w:pStyle w:val="ListParagraph"/>
        <w:numPr>
          <w:ilvl w:val="0"/>
          <w:numId w:val="48"/>
        </w:numPr>
        <w:jc w:val="both"/>
        <w:rPr>
          <w:rFonts w:cstheme="minorHAnsi"/>
        </w:rPr>
      </w:pPr>
      <w:proofErr w:type="spellStart"/>
      <w:r w:rsidRPr="00865399">
        <w:rPr>
          <w:rFonts w:cstheme="minorHAnsi"/>
        </w:rPr>
        <w:t>Asuke</w:t>
      </w:r>
      <w:proofErr w:type="spellEnd"/>
      <w:r w:rsidRPr="00865399">
        <w:rPr>
          <w:rFonts w:cstheme="minorHAnsi"/>
        </w:rPr>
        <w:t xml:space="preserve">, S., </w:t>
      </w:r>
      <w:proofErr w:type="spellStart"/>
      <w:r w:rsidRPr="00865399">
        <w:rPr>
          <w:rFonts w:cstheme="minorHAnsi"/>
        </w:rPr>
        <w:t>Kurya</w:t>
      </w:r>
      <w:proofErr w:type="spellEnd"/>
      <w:r w:rsidRPr="00865399">
        <w:rPr>
          <w:rFonts w:cstheme="minorHAnsi"/>
        </w:rPr>
        <w:t xml:space="preserve">, J. M., </w:t>
      </w:r>
      <w:proofErr w:type="spellStart"/>
      <w:r w:rsidRPr="00865399">
        <w:rPr>
          <w:rFonts w:cstheme="minorHAnsi"/>
        </w:rPr>
        <w:t>Olusanmi</w:t>
      </w:r>
      <w:proofErr w:type="spellEnd"/>
      <w:r w:rsidRPr="00865399">
        <w:rPr>
          <w:rFonts w:cstheme="minorHAnsi"/>
        </w:rPr>
        <w:t xml:space="preserve">, B. T., </w:t>
      </w:r>
      <w:proofErr w:type="spellStart"/>
      <w:r w:rsidRPr="00865399">
        <w:rPr>
          <w:rFonts w:cstheme="minorHAnsi"/>
        </w:rPr>
        <w:t>Hikon</w:t>
      </w:r>
      <w:proofErr w:type="spellEnd"/>
      <w:r w:rsidRPr="00865399">
        <w:rPr>
          <w:rFonts w:cstheme="minorHAnsi"/>
        </w:rPr>
        <w:t xml:space="preserve">, Y. A., &amp; </w:t>
      </w:r>
      <w:proofErr w:type="spellStart"/>
      <w:r w:rsidRPr="00865399">
        <w:rPr>
          <w:rFonts w:cstheme="minorHAnsi"/>
        </w:rPr>
        <w:t>Eseigbe</w:t>
      </w:r>
      <w:proofErr w:type="spellEnd"/>
      <w:r w:rsidRPr="00865399">
        <w:rPr>
          <w:rFonts w:cstheme="minorHAnsi"/>
        </w:rPr>
        <w:t xml:space="preserve">, P. (2019). Knowledge of sexually transmitted infections and practice of risky sexual behaviours among senior secondary school students in Jos North, Plateau State, Nigeria. Port Harcourt Medical Journal, 13(3), 87–92. </w:t>
      </w:r>
      <w:hyperlink r:id="rId33" w:history="1">
        <w:r w:rsidRPr="00865399">
          <w:rPr>
            <w:rStyle w:val="Hyperlink"/>
            <w:rFonts w:cstheme="minorHAnsi"/>
          </w:rPr>
          <w:t>https://doi.org/10.60787/phmj.v13i3.71</w:t>
        </w:r>
      </w:hyperlink>
      <w:r w:rsidRPr="00865399">
        <w:rPr>
          <w:rFonts w:cstheme="minorHAnsi"/>
        </w:rPr>
        <w:t xml:space="preserve">. Available at </w:t>
      </w:r>
      <w:hyperlink r:id="rId34" w:history="1">
        <w:r w:rsidR="00FC6F15" w:rsidRPr="006308F1">
          <w:rPr>
            <w:rStyle w:val="Hyperlink"/>
            <w:rFonts w:cstheme="minorHAnsi"/>
          </w:rPr>
          <w:t>https://www.phmj.org.ng/index.php/home/article/view/71</w:t>
        </w:r>
      </w:hyperlink>
    </w:p>
    <w:p w14:paraId="1978542F" w14:textId="77777777" w:rsidR="00FC6F15" w:rsidRPr="00865399" w:rsidRDefault="00FC6F15" w:rsidP="00FC6F15">
      <w:pPr>
        <w:pStyle w:val="ListParagraph"/>
        <w:jc w:val="both"/>
        <w:rPr>
          <w:rFonts w:cstheme="minorHAnsi"/>
        </w:rPr>
      </w:pPr>
    </w:p>
    <w:p w14:paraId="2696FAFA" w14:textId="3BDF7F0A" w:rsidR="00865399" w:rsidRDefault="00865399" w:rsidP="00865399">
      <w:pPr>
        <w:pStyle w:val="ListParagraph"/>
        <w:numPr>
          <w:ilvl w:val="0"/>
          <w:numId w:val="48"/>
        </w:numPr>
        <w:jc w:val="both"/>
        <w:rPr>
          <w:rFonts w:cstheme="minorHAnsi"/>
        </w:rPr>
      </w:pPr>
      <w:proofErr w:type="spellStart"/>
      <w:r w:rsidRPr="00865399">
        <w:rPr>
          <w:rFonts w:cstheme="minorHAnsi"/>
        </w:rPr>
        <w:t>Capraș</w:t>
      </w:r>
      <w:proofErr w:type="spellEnd"/>
      <w:r w:rsidRPr="00865399">
        <w:rPr>
          <w:rFonts w:cstheme="minorHAnsi"/>
        </w:rPr>
        <w:t xml:space="preserve">, R.-D., </w:t>
      </w:r>
      <w:proofErr w:type="spellStart"/>
      <w:r w:rsidRPr="00865399">
        <w:rPr>
          <w:rFonts w:cstheme="minorHAnsi"/>
        </w:rPr>
        <w:t>Telecan</w:t>
      </w:r>
      <w:proofErr w:type="spellEnd"/>
      <w:r w:rsidRPr="00865399">
        <w:rPr>
          <w:rFonts w:cstheme="minorHAnsi"/>
        </w:rPr>
        <w:t xml:space="preserve">, T., </w:t>
      </w:r>
      <w:proofErr w:type="spellStart"/>
      <w:r w:rsidRPr="00865399">
        <w:rPr>
          <w:rFonts w:cstheme="minorHAnsi"/>
        </w:rPr>
        <w:t>Crețeanu</w:t>
      </w:r>
      <w:proofErr w:type="spellEnd"/>
      <w:r w:rsidRPr="00865399">
        <w:rPr>
          <w:rFonts w:cstheme="minorHAnsi"/>
        </w:rPr>
        <w:t xml:space="preserve">, R., </w:t>
      </w:r>
      <w:proofErr w:type="spellStart"/>
      <w:r w:rsidRPr="00865399">
        <w:rPr>
          <w:rFonts w:cstheme="minorHAnsi"/>
        </w:rPr>
        <w:t>Crivii</w:t>
      </w:r>
      <w:proofErr w:type="spellEnd"/>
      <w:r w:rsidRPr="00865399">
        <w:rPr>
          <w:rFonts w:cstheme="minorHAnsi"/>
        </w:rPr>
        <w:t xml:space="preserve">, C.-B., </w:t>
      </w:r>
      <w:proofErr w:type="spellStart"/>
      <w:r w:rsidRPr="00865399">
        <w:rPr>
          <w:rFonts w:cstheme="minorHAnsi"/>
        </w:rPr>
        <w:t>Badea</w:t>
      </w:r>
      <w:proofErr w:type="spellEnd"/>
      <w:r w:rsidRPr="00865399">
        <w:rPr>
          <w:rFonts w:cstheme="minorHAnsi"/>
        </w:rPr>
        <w:t xml:space="preserve">, A.-F., </w:t>
      </w:r>
      <w:proofErr w:type="spellStart"/>
      <w:r w:rsidRPr="00865399">
        <w:rPr>
          <w:rFonts w:cstheme="minorHAnsi"/>
        </w:rPr>
        <w:t>Cordoș</w:t>
      </w:r>
      <w:proofErr w:type="spellEnd"/>
      <w:r w:rsidRPr="00865399">
        <w:rPr>
          <w:rFonts w:cstheme="minorHAnsi"/>
        </w:rPr>
        <w:t>, A.-A., Roman-</w:t>
      </w:r>
      <w:proofErr w:type="spellStart"/>
      <w:r w:rsidRPr="00865399">
        <w:rPr>
          <w:rFonts w:cstheme="minorHAnsi"/>
        </w:rPr>
        <w:t>Pepine</w:t>
      </w:r>
      <w:proofErr w:type="spellEnd"/>
      <w:r w:rsidRPr="00865399">
        <w:rPr>
          <w:rFonts w:cstheme="minorHAnsi"/>
        </w:rPr>
        <w:t xml:space="preserve">, D., &amp; </w:t>
      </w:r>
      <w:proofErr w:type="spellStart"/>
      <w:r w:rsidRPr="00865399">
        <w:rPr>
          <w:rFonts w:cstheme="minorHAnsi"/>
        </w:rPr>
        <w:t>Micu</w:t>
      </w:r>
      <w:proofErr w:type="spellEnd"/>
      <w:r w:rsidRPr="00865399">
        <w:rPr>
          <w:rFonts w:cstheme="minorHAnsi"/>
        </w:rPr>
        <w:t xml:space="preserve">, C.-M. (2025). Knowledge, attitudes, and </w:t>
      </w:r>
      <w:proofErr w:type="spellStart"/>
      <w:r w:rsidRPr="00865399">
        <w:rPr>
          <w:rFonts w:cstheme="minorHAnsi"/>
        </w:rPr>
        <w:t>behaviors</w:t>
      </w:r>
      <w:proofErr w:type="spellEnd"/>
      <w:r w:rsidRPr="00865399">
        <w:rPr>
          <w:rFonts w:cstheme="minorHAnsi"/>
        </w:rPr>
        <w:t xml:space="preserve"> regarding sexually transmitted infections among university students in Romania. Healthcare, 13(10), 1120. </w:t>
      </w:r>
      <w:hyperlink r:id="rId35" w:history="1">
        <w:r w:rsidRPr="00865399">
          <w:rPr>
            <w:rStyle w:val="Hyperlink"/>
            <w:rFonts w:cstheme="minorHAnsi"/>
          </w:rPr>
          <w:t>https://doi.org/10.3390/healthcare13101120</w:t>
        </w:r>
      </w:hyperlink>
      <w:r w:rsidRPr="00865399">
        <w:rPr>
          <w:rFonts w:cstheme="minorHAnsi"/>
        </w:rPr>
        <w:t xml:space="preserve">. Available at </w:t>
      </w:r>
      <w:hyperlink r:id="rId36" w:history="1">
        <w:r w:rsidR="00FC6F15" w:rsidRPr="006308F1">
          <w:rPr>
            <w:rStyle w:val="Hyperlink"/>
            <w:rFonts w:cstheme="minorHAnsi"/>
          </w:rPr>
          <w:t>https://www.mdpi.com/2227-9032/13/10/1120</w:t>
        </w:r>
      </w:hyperlink>
    </w:p>
    <w:p w14:paraId="09894AEF" w14:textId="77777777" w:rsidR="00FC6F15" w:rsidRPr="00865399" w:rsidRDefault="00FC6F15" w:rsidP="00FC6F15">
      <w:pPr>
        <w:pStyle w:val="ListParagraph"/>
        <w:jc w:val="both"/>
        <w:rPr>
          <w:rFonts w:cstheme="minorHAnsi"/>
        </w:rPr>
      </w:pPr>
    </w:p>
    <w:p w14:paraId="206BFA90" w14:textId="1F0F5947" w:rsidR="00865399" w:rsidRDefault="00865399" w:rsidP="00865399">
      <w:pPr>
        <w:pStyle w:val="ListParagraph"/>
        <w:numPr>
          <w:ilvl w:val="0"/>
          <w:numId w:val="48"/>
        </w:numPr>
        <w:jc w:val="both"/>
        <w:rPr>
          <w:rFonts w:cstheme="minorHAnsi"/>
        </w:rPr>
      </w:pPr>
      <w:proofErr w:type="spellStart"/>
      <w:r w:rsidRPr="00865399">
        <w:rPr>
          <w:rFonts w:cstheme="minorHAnsi"/>
        </w:rPr>
        <w:lastRenderedPageBreak/>
        <w:t>Bogale</w:t>
      </w:r>
      <w:proofErr w:type="spellEnd"/>
      <w:r w:rsidRPr="00865399">
        <w:rPr>
          <w:rFonts w:cstheme="minorHAnsi"/>
        </w:rPr>
        <w:t xml:space="preserve">, E. K., </w:t>
      </w:r>
      <w:proofErr w:type="spellStart"/>
      <w:r w:rsidRPr="00865399">
        <w:rPr>
          <w:rFonts w:cstheme="minorHAnsi"/>
        </w:rPr>
        <w:t>Anagaw</w:t>
      </w:r>
      <w:proofErr w:type="spellEnd"/>
      <w:r w:rsidRPr="00865399">
        <w:rPr>
          <w:rFonts w:cstheme="minorHAnsi"/>
        </w:rPr>
        <w:t xml:space="preserve">, T. F., </w:t>
      </w:r>
      <w:proofErr w:type="spellStart"/>
      <w:r w:rsidRPr="00865399">
        <w:rPr>
          <w:rFonts w:cstheme="minorHAnsi"/>
        </w:rPr>
        <w:t>Tiruneh</w:t>
      </w:r>
      <w:proofErr w:type="spellEnd"/>
      <w:r w:rsidRPr="00865399">
        <w:rPr>
          <w:rFonts w:cstheme="minorHAnsi"/>
        </w:rPr>
        <w:t xml:space="preserve">, M. G., et al. (2024). Prevalence of sexually transmitted infections, and its associated factors among students in Ethiopia: A systematic review and meta-analysis. BMC Public Health, 24, 1976. </w:t>
      </w:r>
      <w:hyperlink r:id="rId37" w:history="1">
        <w:r w:rsidRPr="00865399">
          <w:rPr>
            <w:rStyle w:val="Hyperlink"/>
            <w:rFonts w:cstheme="minorHAnsi"/>
          </w:rPr>
          <w:t>https://doi.org/10.1186/s12889-024-19548-w</w:t>
        </w:r>
      </w:hyperlink>
      <w:r w:rsidRPr="00865399">
        <w:rPr>
          <w:rFonts w:cstheme="minorHAnsi"/>
        </w:rPr>
        <w:t xml:space="preserve">. Available at </w:t>
      </w:r>
      <w:hyperlink r:id="rId38" w:anchor="citea" w:history="1">
        <w:r w:rsidR="00FC6F15" w:rsidRPr="006308F1">
          <w:rPr>
            <w:rStyle w:val="Hyperlink"/>
            <w:rFonts w:cstheme="minorHAnsi"/>
          </w:rPr>
          <w:t>https://link.springer.com/article/10.1186/s12889-024-19548-w#citea</w:t>
        </w:r>
      </w:hyperlink>
    </w:p>
    <w:p w14:paraId="298DE528" w14:textId="77777777" w:rsidR="00FC6F15" w:rsidRPr="00865399" w:rsidRDefault="00FC6F15" w:rsidP="00FC6F15">
      <w:pPr>
        <w:pStyle w:val="ListParagraph"/>
        <w:jc w:val="both"/>
        <w:rPr>
          <w:rFonts w:cstheme="minorHAnsi"/>
        </w:rPr>
      </w:pPr>
    </w:p>
    <w:p w14:paraId="7EEF24E0" w14:textId="050450FE" w:rsidR="00865399" w:rsidRDefault="00865399" w:rsidP="00865399">
      <w:pPr>
        <w:pStyle w:val="ListParagraph"/>
        <w:numPr>
          <w:ilvl w:val="0"/>
          <w:numId w:val="48"/>
        </w:numPr>
        <w:jc w:val="both"/>
        <w:rPr>
          <w:rFonts w:cstheme="minorHAnsi"/>
        </w:rPr>
      </w:pPr>
      <w:proofErr w:type="spellStart"/>
      <w:r w:rsidRPr="00865399">
        <w:rPr>
          <w:rFonts w:cstheme="minorHAnsi"/>
        </w:rPr>
        <w:t>Winarto</w:t>
      </w:r>
      <w:proofErr w:type="spellEnd"/>
      <w:r w:rsidRPr="00865399">
        <w:rPr>
          <w:rFonts w:cstheme="minorHAnsi"/>
        </w:rPr>
        <w:t xml:space="preserve">, H., </w:t>
      </w:r>
      <w:proofErr w:type="spellStart"/>
      <w:r w:rsidRPr="00865399">
        <w:rPr>
          <w:rFonts w:cstheme="minorHAnsi"/>
        </w:rPr>
        <w:t>Habiburrahman</w:t>
      </w:r>
      <w:proofErr w:type="spellEnd"/>
      <w:r w:rsidRPr="00865399">
        <w:rPr>
          <w:rFonts w:cstheme="minorHAnsi"/>
        </w:rPr>
        <w:t xml:space="preserve">, M., Kusuma, F., </w:t>
      </w:r>
      <w:proofErr w:type="spellStart"/>
      <w:r w:rsidRPr="00865399">
        <w:rPr>
          <w:rFonts w:cstheme="minorHAnsi"/>
        </w:rPr>
        <w:t>Nuryanto</w:t>
      </w:r>
      <w:proofErr w:type="spellEnd"/>
      <w:r w:rsidRPr="00865399">
        <w:rPr>
          <w:rFonts w:cstheme="minorHAnsi"/>
        </w:rPr>
        <w:t xml:space="preserve">, K., </w:t>
      </w:r>
      <w:proofErr w:type="spellStart"/>
      <w:r w:rsidRPr="00865399">
        <w:rPr>
          <w:rFonts w:cstheme="minorHAnsi"/>
        </w:rPr>
        <w:t>Anggraeni</w:t>
      </w:r>
      <w:proofErr w:type="spellEnd"/>
      <w:r w:rsidRPr="00865399">
        <w:rPr>
          <w:rFonts w:cstheme="minorHAnsi"/>
        </w:rPr>
        <w:t xml:space="preserve">, T., </w:t>
      </w:r>
      <w:proofErr w:type="spellStart"/>
      <w:r w:rsidRPr="00865399">
        <w:rPr>
          <w:rFonts w:cstheme="minorHAnsi"/>
        </w:rPr>
        <w:t>Utami</w:t>
      </w:r>
      <w:proofErr w:type="spellEnd"/>
      <w:r w:rsidRPr="00865399">
        <w:rPr>
          <w:rFonts w:cstheme="minorHAnsi"/>
        </w:rPr>
        <w:t xml:space="preserve">, T., Putra, A., &amp; </w:t>
      </w:r>
      <w:proofErr w:type="spellStart"/>
      <w:r w:rsidRPr="00865399">
        <w:rPr>
          <w:rFonts w:cstheme="minorHAnsi"/>
        </w:rPr>
        <w:t>Syaharutsa</w:t>
      </w:r>
      <w:proofErr w:type="spellEnd"/>
      <w:r w:rsidRPr="00865399">
        <w:rPr>
          <w:rFonts w:cstheme="minorHAnsi"/>
        </w:rPr>
        <w:t xml:space="preserve">, D. (2023). Knowledge, attitude, and practice towards sexually transmitted infections among women of reproductive age in an urban community health centre in Indonesia. Open Public Health Journal, 16, e187494452301050. </w:t>
      </w:r>
      <w:hyperlink r:id="rId39" w:history="1">
        <w:r w:rsidRPr="00865399">
          <w:rPr>
            <w:rStyle w:val="Hyperlink"/>
            <w:rFonts w:cstheme="minorHAnsi"/>
          </w:rPr>
          <w:t>http://dx.doi.org/10.2174/18749445-v16-e230111-2022-182</w:t>
        </w:r>
      </w:hyperlink>
      <w:r w:rsidRPr="00865399">
        <w:rPr>
          <w:rFonts w:cstheme="minorHAnsi"/>
        </w:rPr>
        <w:t xml:space="preserve">. Available from </w:t>
      </w:r>
      <w:hyperlink r:id="rId40" w:history="1">
        <w:r w:rsidR="00FC6F15" w:rsidRPr="006308F1">
          <w:rPr>
            <w:rStyle w:val="Hyperlink"/>
            <w:rFonts w:cstheme="minorHAnsi"/>
          </w:rPr>
          <w:t>https://www.openpublichealthjournal.com/VOLUME/16/ELOCATOR/e187494452301050/FULLTEXT/</w:t>
        </w:r>
      </w:hyperlink>
    </w:p>
    <w:p w14:paraId="46428084" w14:textId="77777777" w:rsidR="00FC6F15" w:rsidRPr="00865399" w:rsidRDefault="00FC6F15" w:rsidP="00FC6F15">
      <w:pPr>
        <w:pStyle w:val="ListParagraph"/>
        <w:jc w:val="both"/>
        <w:rPr>
          <w:rFonts w:cstheme="minorHAnsi"/>
        </w:rPr>
      </w:pPr>
    </w:p>
    <w:p w14:paraId="75B789DB" w14:textId="32424E67" w:rsidR="00865399" w:rsidRDefault="00865399" w:rsidP="00865399">
      <w:pPr>
        <w:pStyle w:val="ListParagraph"/>
        <w:numPr>
          <w:ilvl w:val="0"/>
          <w:numId w:val="48"/>
        </w:numPr>
        <w:jc w:val="both"/>
        <w:rPr>
          <w:rFonts w:cstheme="minorHAnsi"/>
        </w:rPr>
      </w:pPr>
      <w:proofErr w:type="spellStart"/>
      <w:r w:rsidRPr="00865399">
        <w:rPr>
          <w:rFonts w:cstheme="minorHAnsi"/>
        </w:rPr>
        <w:t>Centers</w:t>
      </w:r>
      <w:proofErr w:type="spellEnd"/>
      <w:r w:rsidRPr="00865399">
        <w:rPr>
          <w:rFonts w:cstheme="minorHAnsi"/>
        </w:rPr>
        <w:t xml:space="preserve"> for Disease Control and Prevention. (2025, September 24). Sexually Transmitted Infections Surveillance, 2024 (Provisional). </w:t>
      </w:r>
      <w:hyperlink r:id="rId41" w:history="1">
        <w:r w:rsidR="00FC6F15" w:rsidRPr="006308F1">
          <w:rPr>
            <w:rStyle w:val="Hyperlink"/>
            <w:rFonts w:cstheme="minorHAnsi"/>
          </w:rPr>
          <w:t>https://www.cdc.gov/sti-statistics/annual/index.html</w:t>
        </w:r>
      </w:hyperlink>
    </w:p>
    <w:p w14:paraId="59BBD85C" w14:textId="77777777" w:rsidR="00FC6F15" w:rsidRPr="00865399" w:rsidRDefault="00FC6F15" w:rsidP="00FC6F15">
      <w:pPr>
        <w:pStyle w:val="ListParagraph"/>
        <w:jc w:val="both"/>
        <w:rPr>
          <w:rFonts w:cstheme="minorHAnsi"/>
        </w:rPr>
      </w:pPr>
    </w:p>
    <w:p w14:paraId="1C7660A9" w14:textId="2358F4EF" w:rsidR="00865399" w:rsidRDefault="00865399" w:rsidP="00865399">
      <w:pPr>
        <w:pStyle w:val="ListParagraph"/>
        <w:numPr>
          <w:ilvl w:val="0"/>
          <w:numId w:val="48"/>
        </w:numPr>
        <w:jc w:val="both"/>
        <w:rPr>
          <w:rFonts w:cstheme="minorHAnsi"/>
        </w:rPr>
      </w:pPr>
      <w:r w:rsidRPr="00865399">
        <w:rPr>
          <w:rFonts w:cstheme="minorHAnsi"/>
        </w:rPr>
        <w:t>Hutton-</w:t>
      </w:r>
      <w:proofErr w:type="spellStart"/>
      <w:r w:rsidRPr="00865399">
        <w:rPr>
          <w:rFonts w:cstheme="minorHAnsi"/>
        </w:rPr>
        <w:t>Nyameaye</w:t>
      </w:r>
      <w:proofErr w:type="spellEnd"/>
      <w:r w:rsidRPr="00865399">
        <w:rPr>
          <w:rFonts w:cstheme="minorHAnsi"/>
        </w:rPr>
        <w:t xml:space="preserve">, A. A., </w:t>
      </w:r>
      <w:proofErr w:type="spellStart"/>
      <w:r w:rsidRPr="00865399">
        <w:rPr>
          <w:rFonts w:cstheme="minorHAnsi"/>
        </w:rPr>
        <w:t>Asiamah</w:t>
      </w:r>
      <w:proofErr w:type="spellEnd"/>
      <w:r w:rsidRPr="00865399">
        <w:rPr>
          <w:rFonts w:cstheme="minorHAnsi"/>
        </w:rPr>
        <w:t xml:space="preserve">, M., </w:t>
      </w:r>
      <w:proofErr w:type="spellStart"/>
      <w:r w:rsidRPr="00865399">
        <w:rPr>
          <w:rFonts w:cstheme="minorHAnsi"/>
        </w:rPr>
        <w:t>Asafo</w:t>
      </w:r>
      <w:proofErr w:type="spellEnd"/>
      <w:r w:rsidRPr="00865399">
        <w:rPr>
          <w:rFonts w:cstheme="minorHAnsi"/>
        </w:rPr>
        <w:t xml:space="preserve">-Adjei, K., </w:t>
      </w:r>
      <w:proofErr w:type="spellStart"/>
      <w:r w:rsidRPr="00865399">
        <w:rPr>
          <w:rFonts w:cstheme="minorHAnsi"/>
        </w:rPr>
        <w:t>Benneh</w:t>
      </w:r>
      <w:proofErr w:type="spellEnd"/>
      <w:r w:rsidRPr="00865399">
        <w:rPr>
          <w:rFonts w:cstheme="minorHAnsi"/>
        </w:rPr>
        <w:t xml:space="preserve">, C. K., Kwakye, A. O., Mensah, K. B., </w:t>
      </w:r>
      <w:proofErr w:type="spellStart"/>
      <w:r w:rsidRPr="00865399">
        <w:rPr>
          <w:rFonts w:cstheme="minorHAnsi"/>
        </w:rPr>
        <w:t>Duedu</w:t>
      </w:r>
      <w:proofErr w:type="spellEnd"/>
      <w:r w:rsidRPr="00865399">
        <w:rPr>
          <w:rFonts w:cstheme="minorHAnsi"/>
        </w:rPr>
        <w:t xml:space="preserve">, K. O., &amp; </w:t>
      </w:r>
      <w:proofErr w:type="spellStart"/>
      <w:r w:rsidRPr="00865399">
        <w:rPr>
          <w:rFonts w:cstheme="minorHAnsi"/>
        </w:rPr>
        <w:t>Buabeng</w:t>
      </w:r>
      <w:proofErr w:type="spellEnd"/>
      <w:r w:rsidRPr="00865399">
        <w:rPr>
          <w:rFonts w:cstheme="minorHAnsi"/>
        </w:rPr>
        <w:t xml:space="preserve">, K. O. (2024). Knowledge and prevalence of common sexually transmitted infections among patients seeking care at selected health facilities in Southern Ghana. PLOS Global Public Health, 4(7), e0003422. </w:t>
      </w:r>
      <w:hyperlink r:id="rId42" w:history="1">
        <w:r w:rsidRPr="00865399">
          <w:rPr>
            <w:rStyle w:val="Hyperlink"/>
            <w:rFonts w:cstheme="minorHAnsi"/>
          </w:rPr>
          <w:t>https://doi.org/10.1371/journal.pgph.0003422</w:t>
        </w:r>
      </w:hyperlink>
      <w:r w:rsidRPr="00865399">
        <w:rPr>
          <w:rFonts w:cstheme="minorHAnsi"/>
        </w:rPr>
        <w:t xml:space="preserve">. Available at </w:t>
      </w:r>
      <w:hyperlink r:id="rId43" w:history="1">
        <w:r w:rsidR="00FC6F15" w:rsidRPr="006308F1">
          <w:rPr>
            <w:rStyle w:val="Hyperlink"/>
            <w:rFonts w:cstheme="minorHAnsi"/>
          </w:rPr>
          <w:t>https://pubmed.ncbi.nlm.nih.gov/38950047/</w:t>
        </w:r>
      </w:hyperlink>
    </w:p>
    <w:p w14:paraId="736C64E4" w14:textId="77777777" w:rsidR="00FC6F15" w:rsidRPr="00865399" w:rsidRDefault="00FC6F15" w:rsidP="00FC6F15">
      <w:pPr>
        <w:pStyle w:val="ListParagraph"/>
        <w:jc w:val="both"/>
        <w:rPr>
          <w:rFonts w:cstheme="minorHAnsi"/>
        </w:rPr>
      </w:pPr>
    </w:p>
    <w:p w14:paraId="18B4E5E3" w14:textId="44C003E1" w:rsidR="00865399" w:rsidRDefault="00865399" w:rsidP="00865399">
      <w:pPr>
        <w:pStyle w:val="ListParagraph"/>
        <w:numPr>
          <w:ilvl w:val="0"/>
          <w:numId w:val="48"/>
        </w:numPr>
        <w:jc w:val="both"/>
        <w:rPr>
          <w:rFonts w:cstheme="minorHAnsi"/>
        </w:rPr>
      </w:pPr>
      <w:r w:rsidRPr="00865399">
        <w:rPr>
          <w:rFonts w:cstheme="minorHAnsi"/>
        </w:rPr>
        <w:t>Al-</w:t>
      </w:r>
      <w:proofErr w:type="spellStart"/>
      <w:r w:rsidRPr="00865399">
        <w:rPr>
          <w:rFonts w:cstheme="minorHAnsi"/>
        </w:rPr>
        <w:t>Gburi</w:t>
      </w:r>
      <w:proofErr w:type="spellEnd"/>
      <w:r w:rsidRPr="00865399">
        <w:rPr>
          <w:rFonts w:cstheme="minorHAnsi"/>
        </w:rPr>
        <w:t>, G., Al-</w:t>
      </w:r>
      <w:proofErr w:type="spellStart"/>
      <w:r w:rsidRPr="00865399">
        <w:rPr>
          <w:rFonts w:cstheme="minorHAnsi"/>
        </w:rPr>
        <w:t>Shakarchi</w:t>
      </w:r>
      <w:proofErr w:type="spellEnd"/>
      <w:r w:rsidRPr="00865399">
        <w:rPr>
          <w:rFonts w:cstheme="minorHAnsi"/>
        </w:rPr>
        <w:t>, A., Al-</w:t>
      </w:r>
      <w:proofErr w:type="spellStart"/>
      <w:r w:rsidRPr="00865399">
        <w:rPr>
          <w:rFonts w:cstheme="minorHAnsi"/>
        </w:rPr>
        <w:t>Dabagh</w:t>
      </w:r>
      <w:proofErr w:type="spellEnd"/>
      <w:r w:rsidRPr="00865399">
        <w:rPr>
          <w:rFonts w:cstheme="minorHAnsi"/>
        </w:rPr>
        <w:t xml:space="preserve">, J., &amp; </w:t>
      </w:r>
      <w:proofErr w:type="spellStart"/>
      <w:r w:rsidRPr="00865399">
        <w:rPr>
          <w:rFonts w:cstheme="minorHAnsi"/>
        </w:rPr>
        <w:t>Lami</w:t>
      </w:r>
      <w:proofErr w:type="spellEnd"/>
      <w:r w:rsidRPr="00865399">
        <w:rPr>
          <w:rFonts w:cstheme="minorHAnsi"/>
        </w:rPr>
        <w:t xml:space="preserve">, F. (2023). Assessing knowledge, attitudes, and practices toward sexually transmitted infections among Baghdad undergraduate students for research-guided sexual health education. Frontiers in Public Health, 11, 1017300. </w:t>
      </w:r>
      <w:hyperlink r:id="rId44" w:history="1">
        <w:r w:rsidRPr="00865399">
          <w:rPr>
            <w:rStyle w:val="Hyperlink"/>
            <w:rFonts w:cstheme="minorHAnsi"/>
          </w:rPr>
          <w:t>https://doi.org/10.1371/journal.pgph.0003422</w:t>
        </w:r>
      </w:hyperlink>
      <w:r w:rsidRPr="00865399">
        <w:rPr>
          <w:rFonts w:cstheme="minorHAnsi"/>
        </w:rPr>
        <w:t xml:space="preserve">. Available from </w:t>
      </w:r>
      <w:hyperlink r:id="rId45" w:history="1">
        <w:r w:rsidR="00FC6F15" w:rsidRPr="006308F1">
          <w:rPr>
            <w:rStyle w:val="Hyperlink"/>
            <w:rFonts w:cstheme="minorHAnsi"/>
          </w:rPr>
          <w:t>https://pubmed.ncbi.nlm.nih.gov/38950047/</w:t>
        </w:r>
      </w:hyperlink>
    </w:p>
    <w:p w14:paraId="79B7C4D2" w14:textId="77777777" w:rsidR="00FC6F15" w:rsidRPr="00865399" w:rsidRDefault="00FC6F15" w:rsidP="00FC6F15">
      <w:pPr>
        <w:pStyle w:val="ListParagraph"/>
        <w:jc w:val="both"/>
        <w:rPr>
          <w:rFonts w:cstheme="minorHAnsi"/>
        </w:rPr>
      </w:pPr>
    </w:p>
    <w:p w14:paraId="57370FCA" w14:textId="447DDF62" w:rsidR="00865399" w:rsidRDefault="00865399" w:rsidP="00865399">
      <w:pPr>
        <w:pStyle w:val="ListParagraph"/>
        <w:numPr>
          <w:ilvl w:val="0"/>
          <w:numId w:val="48"/>
        </w:numPr>
        <w:jc w:val="both"/>
        <w:rPr>
          <w:rFonts w:cstheme="minorHAnsi"/>
        </w:rPr>
      </w:pPr>
      <w:r w:rsidRPr="00865399">
        <w:rPr>
          <w:rFonts w:cstheme="minorHAnsi"/>
        </w:rPr>
        <w:t xml:space="preserve">Du, X., Zhang, L., Luo, H., Rong, W., Meng, X., Yu, H., &amp; Tan, X. (2021). Factors associated with risk sexual behaviours of HIV/STDs infection among university students in Henan, China: A cross-sectional study. Reproductive Health, 18, 172. </w:t>
      </w:r>
      <w:hyperlink r:id="rId46" w:history="1">
        <w:r w:rsidR="00FC6F15" w:rsidRPr="006308F1">
          <w:rPr>
            <w:rStyle w:val="Hyperlink"/>
            <w:rFonts w:cstheme="minorHAnsi"/>
          </w:rPr>
          <w:t>https://doi.org/10.1186/12978-021-01219-3</w:t>
        </w:r>
      </w:hyperlink>
      <w:r w:rsidRPr="00865399">
        <w:rPr>
          <w:rFonts w:cstheme="minorHAnsi"/>
        </w:rPr>
        <w:t xml:space="preserve">. Available from </w:t>
      </w:r>
      <w:hyperlink r:id="rId47" w:history="1">
        <w:r w:rsidR="00FC6F15" w:rsidRPr="006308F1">
          <w:rPr>
            <w:rStyle w:val="Hyperlink"/>
            <w:rFonts w:cstheme="minorHAnsi"/>
          </w:rPr>
          <w:t>https://link.springer.com/article/10.1186/s12978-021-01219-3</w:t>
        </w:r>
      </w:hyperlink>
    </w:p>
    <w:p w14:paraId="2CCBE2DF" w14:textId="77777777" w:rsidR="00FC6F15" w:rsidRPr="00865399" w:rsidRDefault="00FC6F15" w:rsidP="00FC6F15">
      <w:pPr>
        <w:pStyle w:val="ListParagraph"/>
        <w:jc w:val="both"/>
        <w:rPr>
          <w:rFonts w:cstheme="minorHAnsi"/>
        </w:rPr>
      </w:pPr>
    </w:p>
    <w:p w14:paraId="3521EE29" w14:textId="1B07678B" w:rsidR="00865399" w:rsidRDefault="00865399" w:rsidP="00865399">
      <w:pPr>
        <w:pStyle w:val="ListParagraph"/>
        <w:numPr>
          <w:ilvl w:val="0"/>
          <w:numId w:val="48"/>
        </w:numPr>
        <w:jc w:val="both"/>
        <w:rPr>
          <w:rFonts w:cstheme="minorHAnsi"/>
        </w:rPr>
      </w:pPr>
      <w:proofErr w:type="spellStart"/>
      <w:r w:rsidRPr="00865399">
        <w:rPr>
          <w:rFonts w:cstheme="minorHAnsi"/>
        </w:rPr>
        <w:t>Anbesu</w:t>
      </w:r>
      <w:proofErr w:type="spellEnd"/>
      <w:r w:rsidRPr="00865399">
        <w:rPr>
          <w:rFonts w:cstheme="minorHAnsi"/>
        </w:rPr>
        <w:t xml:space="preserve">, E. W., </w:t>
      </w:r>
      <w:proofErr w:type="spellStart"/>
      <w:r w:rsidRPr="00865399">
        <w:rPr>
          <w:rFonts w:cstheme="minorHAnsi"/>
        </w:rPr>
        <w:t>Aychiluhm</w:t>
      </w:r>
      <w:proofErr w:type="spellEnd"/>
      <w:r w:rsidRPr="00865399">
        <w:rPr>
          <w:rFonts w:cstheme="minorHAnsi"/>
        </w:rPr>
        <w:t xml:space="preserve">, S. B., Alemayehu, M., </w:t>
      </w:r>
      <w:proofErr w:type="spellStart"/>
      <w:r w:rsidRPr="00865399">
        <w:rPr>
          <w:rFonts w:cstheme="minorHAnsi"/>
        </w:rPr>
        <w:t>Asgedom</w:t>
      </w:r>
      <w:proofErr w:type="spellEnd"/>
      <w:r w:rsidRPr="00865399">
        <w:rPr>
          <w:rFonts w:cstheme="minorHAnsi"/>
        </w:rPr>
        <w:t xml:space="preserve">, D. K., &amp; </w:t>
      </w:r>
      <w:proofErr w:type="spellStart"/>
      <w:r w:rsidRPr="00865399">
        <w:rPr>
          <w:rFonts w:cstheme="minorHAnsi"/>
        </w:rPr>
        <w:t>Kifle</w:t>
      </w:r>
      <w:proofErr w:type="spellEnd"/>
      <w:r w:rsidRPr="00865399">
        <w:rPr>
          <w:rFonts w:cstheme="minorHAnsi"/>
        </w:rPr>
        <w:t xml:space="preserve">, M. E. (2023). A systematic review and meta-analysis of sexually transmitted infection prevention practices among Ethiopian young people. SAGE Open Medicine, 11, 20503121221145640. </w:t>
      </w:r>
      <w:hyperlink r:id="rId48" w:history="1">
        <w:r w:rsidRPr="00865399">
          <w:rPr>
            <w:rStyle w:val="Hyperlink"/>
            <w:rFonts w:cstheme="minorHAnsi"/>
          </w:rPr>
          <w:t>https://doi.org/10.1177/20503121221145640</w:t>
        </w:r>
      </w:hyperlink>
      <w:r w:rsidRPr="00865399">
        <w:rPr>
          <w:rFonts w:cstheme="minorHAnsi"/>
        </w:rPr>
        <w:t xml:space="preserve">. Available from </w:t>
      </w:r>
      <w:hyperlink r:id="rId49" w:history="1">
        <w:r w:rsidR="00FC6F15" w:rsidRPr="006308F1">
          <w:rPr>
            <w:rStyle w:val="Hyperlink"/>
            <w:rFonts w:cstheme="minorHAnsi"/>
          </w:rPr>
          <w:t>https://pmc.ncbi.nlm.nih.gov/articles/PMC9827517/</w:t>
        </w:r>
      </w:hyperlink>
    </w:p>
    <w:p w14:paraId="5195E821" w14:textId="77777777" w:rsidR="00FC6F15" w:rsidRPr="00865399" w:rsidRDefault="00FC6F15" w:rsidP="00FC6F15">
      <w:pPr>
        <w:pStyle w:val="ListParagraph"/>
        <w:jc w:val="both"/>
        <w:rPr>
          <w:rFonts w:cstheme="minorHAnsi"/>
        </w:rPr>
      </w:pPr>
    </w:p>
    <w:p w14:paraId="4238D317" w14:textId="35FD9B4E" w:rsidR="00865399" w:rsidRDefault="00865399" w:rsidP="00865399">
      <w:pPr>
        <w:pStyle w:val="ListParagraph"/>
        <w:numPr>
          <w:ilvl w:val="0"/>
          <w:numId w:val="48"/>
        </w:numPr>
        <w:jc w:val="both"/>
        <w:rPr>
          <w:rFonts w:cstheme="minorHAnsi"/>
        </w:rPr>
      </w:pPr>
      <w:r w:rsidRPr="00865399">
        <w:rPr>
          <w:rFonts w:cstheme="minorHAnsi"/>
        </w:rPr>
        <w:t>El-</w:t>
      </w:r>
      <w:proofErr w:type="spellStart"/>
      <w:r w:rsidRPr="00865399">
        <w:rPr>
          <w:rFonts w:cstheme="minorHAnsi"/>
        </w:rPr>
        <w:t>Sherbiny</w:t>
      </w:r>
      <w:proofErr w:type="spellEnd"/>
      <w:r w:rsidRPr="00865399">
        <w:rPr>
          <w:rFonts w:cstheme="minorHAnsi"/>
        </w:rPr>
        <w:t xml:space="preserve">, N. A., Hamed, N. S., Eid, S. S., &amp; </w:t>
      </w:r>
      <w:proofErr w:type="spellStart"/>
      <w:r w:rsidRPr="00865399">
        <w:rPr>
          <w:rFonts w:cstheme="minorHAnsi"/>
        </w:rPr>
        <w:t>Elsary</w:t>
      </w:r>
      <w:proofErr w:type="spellEnd"/>
      <w:r w:rsidRPr="00865399">
        <w:rPr>
          <w:rFonts w:cstheme="minorHAnsi"/>
        </w:rPr>
        <w:t xml:space="preserve">, A. Y. (2025). The effect of sexually transmitted infections health education on youth knowledge and attitudes: A pre-post interventional study. BMC Public Health, 25(1), 2991. </w:t>
      </w:r>
      <w:hyperlink r:id="rId50" w:history="1">
        <w:r w:rsidRPr="00865399">
          <w:rPr>
            <w:rStyle w:val="Hyperlink"/>
            <w:rFonts w:cstheme="minorHAnsi"/>
          </w:rPr>
          <w:t>https://doi.org/10.1186/s12889-025-23796-9</w:t>
        </w:r>
      </w:hyperlink>
      <w:r w:rsidRPr="00865399">
        <w:rPr>
          <w:rFonts w:cstheme="minorHAnsi"/>
        </w:rPr>
        <w:t xml:space="preserve">. Available from </w:t>
      </w:r>
      <w:hyperlink r:id="rId51" w:history="1">
        <w:r w:rsidR="00FC6F15" w:rsidRPr="006308F1">
          <w:rPr>
            <w:rStyle w:val="Hyperlink"/>
            <w:rFonts w:cstheme="minorHAnsi"/>
          </w:rPr>
          <w:t>https://pmc.ncbi.nlm.nih.gov/articles/PMC12400542/</w:t>
        </w:r>
      </w:hyperlink>
    </w:p>
    <w:p w14:paraId="1D6292A9" w14:textId="77777777" w:rsidR="00FC6F15" w:rsidRPr="00865399" w:rsidRDefault="00FC6F15" w:rsidP="00FC6F15">
      <w:pPr>
        <w:pStyle w:val="ListParagraph"/>
        <w:jc w:val="both"/>
        <w:rPr>
          <w:rFonts w:cstheme="minorHAnsi"/>
        </w:rPr>
      </w:pPr>
    </w:p>
    <w:p w14:paraId="110874D5" w14:textId="5DA50273" w:rsidR="00865399" w:rsidRDefault="00865399" w:rsidP="00865399">
      <w:pPr>
        <w:pStyle w:val="ListParagraph"/>
        <w:numPr>
          <w:ilvl w:val="0"/>
          <w:numId w:val="48"/>
        </w:numPr>
        <w:jc w:val="both"/>
        <w:rPr>
          <w:rFonts w:cstheme="minorHAnsi"/>
        </w:rPr>
      </w:pPr>
      <w:r w:rsidRPr="00865399">
        <w:rPr>
          <w:rFonts w:cstheme="minorHAnsi"/>
        </w:rPr>
        <w:t xml:space="preserve">Paul, S., Sharma, A., </w:t>
      </w:r>
      <w:proofErr w:type="spellStart"/>
      <w:r w:rsidRPr="00865399">
        <w:rPr>
          <w:rFonts w:cstheme="minorHAnsi"/>
        </w:rPr>
        <w:t>Dayal</w:t>
      </w:r>
      <w:proofErr w:type="spellEnd"/>
      <w:r w:rsidRPr="00865399">
        <w:rPr>
          <w:rFonts w:cstheme="minorHAnsi"/>
        </w:rPr>
        <w:t xml:space="preserve">, R., Mehta, M., Maitra, S., Seth, K., </w:t>
      </w:r>
      <w:proofErr w:type="spellStart"/>
      <w:r w:rsidRPr="00865399">
        <w:rPr>
          <w:rFonts w:cstheme="minorHAnsi"/>
        </w:rPr>
        <w:t>Nagrath</w:t>
      </w:r>
      <w:proofErr w:type="spellEnd"/>
      <w:r w:rsidRPr="00865399">
        <w:rPr>
          <w:rFonts w:cstheme="minorHAnsi"/>
        </w:rPr>
        <w:t xml:space="preserve">, M., Ramesh, S., &amp; </w:t>
      </w:r>
      <w:proofErr w:type="spellStart"/>
      <w:r w:rsidRPr="00865399">
        <w:rPr>
          <w:rFonts w:cstheme="minorHAnsi"/>
        </w:rPr>
        <w:t>Saggurti</w:t>
      </w:r>
      <w:proofErr w:type="spellEnd"/>
      <w:r w:rsidRPr="00865399">
        <w:rPr>
          <w:rFonts w:cstheme="minorHAnsi"/>
        </w:rPr>
        <w:t xml:space="preserve">, N. (2024). Vulnerability to sexually transmitted infections (STIs)/HIV among adolescent girls and young women in India: A rapid review. </w:t>
      </w:r>
      <w:proofErr w:type="spellStart"/>
      <w:r w:rsidRPr="00865399">
        <w:rPr>
          <w:rFonts w:cstheme="minorHAnsi"/>
        </w:rPr>
        <w:t>PLoS</w:t>
      </w:r>
      <w:proofErr w:type="spellEnd"/>
      <w:r w:rsidRPr="00865399">
        <w:rPr>
          <w:rFonts w:cstheme="minorHAnsi"/>
        </w:rPr>
        <w:t xml:space="preserve"> One, 19(2), e0298038. </w:t>
      </w:r>
      <w:hyperlink r:id="rId52" w:history="1">
        <w:r w:rsidRPr="00865399">
          <w:rPr>
            <w:rStyle w:val="Hyperlink"/>
            <w:rFonts w:cstheme="minorHAnsi"/>
          </w:rPr>
          <w:t>https://doi.org/10.1371/journal.pone.0298038</w:t>
        </w:r>
      </w:hyperlink>
      <w:r w:rsidRPr="00865399">
        <w:rPr>
          <w:rFonts w:cstheme="minorHAnsi"/>
        </w:rPr>
        <w:t xml:space="preserve">, Available at </w:t>
      </w:r>
      <w:hyperlink r:id="rId53" w:history="1">
        <w:r w:rsidR="00FC6F15" w:rsidRPr="006308F1">
          <w:rPr>
            <w:rStyle w:val="Hyperlink"/>
            <w:rFonts w:cstheme="minorHAnsi"/>
          </w:rPr>
          <w:t>https://journals.plos.org/plosone/article?id=10.1371%2Fjournal.pone.0298038</w:t>
        </w:r>
      </w:hyperlink>
    </w:p>
    <w:p w14:paraId="5B5186B6" w14:textId="77777777" w:rsidR="00FC6F15" w:rsidRPr="00865399" w:rsidRDefault="00FC6F15" w:rsidP="00FC6F15">
      <w:pPr>
        <w:pStyle w:val="ListParagraph"/>
        <w:jc w:val="both"/>
        <w:rPr>
          <w:rFonts w:cstheme="minorHAnsi"/>
        </w:rPr>
      </w:pPr>
    </w:p>
    <w:p w14:paraId="7D062D44" w14:textId="4C42633D" w:rsidR="00865399" w:rsidRDefault="00865399" w:rsidP="00865399">
      <w:pPr>
        <w:pStyle w:val="ListParagraph"/>
        <w:numPr>
          <w:ilvl w:val="0"/>
          <w:numId w:val="48"/>
        </w:numPr>
        <w:jc w:val="both"/>
        <w:rPr>
          <w:rFonts w:cstheme="minorHAnsi"/>
        </w:rPr>
      </w:pPr>
      <w:r w:rsidRPr="00865399">
        <w:rPr>
          <w:rFonts w:cstheme="minorHAnsi"/>
        </w:rPr>
        <w:t xml:space="preserve">Li, H., Wu, Q., Li, Q., Gao, E., &amp; Yin, D. (2025). Sexual awareness, high-risk sexual </w:t>
      </w:r>
      <w:proofErr w:type="spellStart"/>
      <w:r w:rsidRPr="00865399">
        <w:rPr>
          <w:rFonts w:cstheme="minorHAnsi"/>
        </w:rPr>
        <w:t>behaviors</w:t>
      </w:r>
      <w:proofErr w:type="spellEnd"/>
      <w:r w:rsidRPr="00865399">
        <w:rPr>
          <w:rFonts w:cstheme="minorHAnsi"/>
        </w:rPr>
        <w:t xml:space="preserve"> and HIV testing: A cross-sectional survey among university students in Xuzhou, Jiangsu. Frontiers in Public Health, 13, 1578062. </w:t>
      </w:r>
      <w:hyperlink r:id="rId54" w:history="1">
        <w:r w:rsidRPr="00865399">
          <w:rPr>
            <w:rStyle w:val="Hyperlink"/>
            <w:rFonts w:cstheme="minorHAnsi"/>
          </w:rPr>
          <w:t>https://doi.org/10.3389/fpubh.2025.1578062</w:t>
        </w:r>
      </w:hyperlink>
      <w:r w:rsidRPr="00865399">
        <w:rPr>
          <w:rFonts w:cstheme="minorHAnsi"/>
        </w:rPr>
        <w:t xml:space="preserve">. Available at </w:t>
      </w:r>
      <w:hyperlink r:id="rId55" w:history="1">
        <w:r w:rsidR="00FC6F15" w:rsidRPr="006308F1">
          <w:rPr>
            <w:rStyle w:val="Hyperlink"/>
            <w:rFonts w:cstheme="minorHAnsi"/>
          </w:rPr>
          <w:t>https://www.frontiersin.org/journals/public-health/articles/10.3389/fpubh.2025.1578062/full</w:t>
        </w:r>
      </w:hyperlink>
    </w:p>
    <w:p w14:paraId="18BCAE50" w14:textId="77777777" w:rsidR="00FC6F15" w:rsidRPr="00865399" w:rsidRDefault="00FC6F15" w:rsidP="00FC6F15">
      <w:pPr>
        <w:pStyle w:val="ListParagraph"/>
        <w:jc w:val="both"/>
        <w:rPr>
          <w:rFonts w:cstheme="minorHAnsi"/>
        </w:rPr>
      </w:pPr>
    </w:p>
    <w:p w14:paraId="33B395AD" w14:textId="60AD1E1F" w:rsidR="00865399" w:rsidRDefault="00865399" w:rsidP="00865399">
      <w:pPr>
        <w:pStyle w:val="ListParagraph"/>
        <w:numPr>
          <w:ilvl w:val="0"/>
          <w:numId w:val="48"/>
        </w:numPr>
        <w:jc w:val="both"/>
        <w:rPr>
          <w:rFonts w:cstheme="minorHAnsi"/>
        </w:rPr>
      </w:pPr>
      <w:r w:rsidRPr="00865399">
        <w:rPr>
          <w:rFonts w:cstheme="minorHAnsi"/>
        </w:rPr>
        <w:t xml:space="preserve">Agarwal, N., Brar, B. K., Kumar, S., </w:t>
      </w:r>
      <w:proofErr w:type="spellStart"/>
      <w:r w:rsidRPr="00865399">
        <w:rPr>
          <w:rFonts w:cstheme="minorHAnsi"/>
        </w:rPr>
        <w:t>Rajoa</w:t>
      </w:r>
      <w:proofErr w:type="spellEnd"/>
      <w:r w:rsidRPr="00865399">
        <w:rPr>
          <w:rFonts w:cstheme="minorHAnsi"/>
        </w:rPr>
        <w:t xml:space="preserve">, O. S., &amp; Chahal, A. (2021). Sexual behaviour and practices among adolescents and young people: Study and results from a tertiary care centre of North India. International Journal of Community Medicine and Public Health, 8(6), 2937–2941. </w:t>
      </w:r>
      <w:hyperlink r:id="rId56" w:history="1">
        <w:r w:rsidRPr="00865399">
          <w:rPr>
            <w:rStyle w:val="Hyperlink"/>
            <w:rFonts w:cstheme="minorHAnsi"/>
          </w:rPr>
          <w:t>https://doi.org/10.18203/2394-6040.ijcmph20211997</w:t>
        </w:r>
      </w:hyperlink>
      <w:r w:rsidRPr="00865399">
        <w:rPr>
          <w:rFonts w:cstheme="minorHAnsi"/>
        </w:rPr>
        <w:t xml:space="preserve">. Available at </w:t>
      </w:r>
      <w:hyperlink r:id="rId57" w:history="1">
        <w:r w:rsidR="00FC6F15" w:rsidRPr="006308F1">
          <w:rPr>
            <w:rStyle w:val="Hyperlink"/>
            <w:rFonts w:cstheme="minorHAnsi"/>
          </w:rPr>
          <w:t>https://www.ijcmph.com/index.php/ijcmph/article/view/8073/5027</w:t>
        </w:r>
      </w:hyperlink>
    </w:p>
    <w:p w14:paraId="0E4D108E" w14:textId="77777777" w:rsidR="00FC6F15" w:rsidRPr="00865399" w:rsidRDefault="00FC6F15" w:rsidP="00FC6F15">
      <w:pPr>
        <w:pStyle w:val="ListParagraph"/>
        <w:jc w:val="both"/>
        <w:rPr>
          <w:rFonts w:cstheme="minorHAnsi"/>
        </w:rPr>
      </w:pPr>
    </w:p>
    <w:p w14:paraId="53E60AF5" w14:textId="61FE5A87" w:rsidR="00865399" w:rsidRDefault="00865399" w:rsidP="00865399">
      <w:pPr>
        <w:pStyle w:val="ListParagraph"/>
        <w:numPr>
          <w:ilvl w:val="0"/>
          <w:numId w:val="48"/>
        </w:numPr>
        <w:jc w:val="both"/>
        <w:rPr>
          <w:rFonts w:cstheme="minorHAnsi"/>
        </w:rPr>
      </w:pPr>
      <w:proofErr w:type="spellStart"/>
      <w:r w:rsidRPr="00865399">
        <w:rPr>
          <w:rFonts w:cstheme="minorHAnsi"/>
        </w:rPr>
        <w:t>Folasayo</w:t>
      </w:r>
      <w:proofErr w:type="spellEnd"/>
      <w:r w:rsidRPr="00865399">
        <w:rPr>
          <w:rFonts w:cstheme="minorHAnsi"/>
        </w:rPr>
        <w:t xml:space="preserve">, A. T., </w:t>
      </w:r>
      <w:proofErr w:type="spellStart"/>
      <w:r w:rsidRPr="00865399">
        <w:rPr>
          <w:rFonts w:cstheme="minorHAnsi"/>
        </w:rPr>
        <w:t>Oluwasegun</w:t>
      </w:r>
      <w:proofErr w:type="spellEnd"/>
      <w:r w:rsidRPr="00865399">
        <w:rPr>
          <w:rFonts w:cstheme="minorHAnsi"/>
        </w:rPr>
        <w:t xml:space="preserve">, A. J., </w:t>
      </w:r>
      <w:proofErr w:type="spellStart"/>
      <w:r w:rsidRPr="00865399">
        <w:rPr>
          <w:rFonts w:cstheme="minorHAnsi"/>
        </w:rPr>
        <w:t>Samsudin</w:t>
      </w:r>
      <w:proofErr w:type="spellEnd"/>
      <w:r w:rsidRPr="00865399">
        <w:rPr>
          <w:rFonts w:cstheme="minorHAnsi"/>
        </w:rPr>
        <w:t xml:space="preserve">, S., Saudi, S. N. S., Osman, M., &amp; </w:t>
      </w:r>
      <w:proofErr w:type="spellStart"/>
      <w:r w:rsidRPr="00865399">
        <w:rPr>
          <w:rFonts w:cstheme="minorHAnsi"/>
        </w:rPr>
        <w:t>Hamat</w:t>
      </w:r>
      <w:proofErr w:type="spellEnd"/>
      <w:r w:rsidRPr="00865399">
        <w:rPr>
          <w:rFonts w:cstheme="minorHAnsi"/>
        </w:rPr>
        <w:t xml:space="preserve">, R. A. (2017). Assessing the knowledge level, attitudes, risky </w:t>
      </w:r>
      <w:proofErr w:type="spellStart"/>
      <w:r w:rsidRPr="00865399">
        <w:rPr>
          <w:rFonts w:cstheme="minorHAnsi"/>
        </w:rPr>
        <w:t>behaviors</w:t>
      </w:r>
      <w:proofErr w:type="spellEnd"/>
      <w:r w:rsidRPr="00865399">
        <w:rPr>
          <w:rFonts w:cstheme="minorHAnsi"/>
        </w:rPr>
        <w:t xml:space="preserve"> and preventive practices on sexually transmitted diseases among university students as future healthcare providers in the Central Zone of Malaysia: A cross-sectional study. International Journal of Environmental Research and Public Health, 14(2), 159. </w:t>
      </w:r>
      <w:hyperlink r:id="rId58" w:history="1">
        <w:r w:rsidRPr="00865399">
          <w:rPr>
            <w:rStyle w:val="Hyperlink"/>
            <w:rFonts w:cstheme="minorHAnsi"/>
          </w:rPr>
          <w:t>https://doi.org/10.3390/ijerph14020159</w:t>
        </w:r>
      </w:hyperlink>
      <w:r w:rsidRPr="00865399">
        <w:rPr>
          <w:rFonts w:cstheme="minorHAnsi"/>
        </w:rPr>
        <w:t xml:space="preserve">. Available at </w:t>
      </w:r>
      <w:hyperlink r:id="rId59" w:history="1">
        <w:r w:rsidR="00FC6F15" w:rsidRPr="006308F1">
          <w:rPr>
            <w:rStyle w:val="Hyperlink"/>
            <w:rFonts w:cstheme="minorHAnsi"/>
          </w:rPr>
          <w:t>https://www.mdpi.com/1660-4601/14/2/159</w:t>
        </w:r>
      </w:hyperlink>
    </w:p>
    <w:p w14:paraId="528EEF0B" w14:textId="77777777" w:rsidR="00FC6F15" w:rsidRPr="00865399" w:rsidRDefault="00FC6F15" w:rsidP="00FC6F15">
      <w:pPr>
        <w:pStyle w:val="ListParagraph"/>
        <w:jc w:val="both"/>
        <w:rPr>
          <w:rFonts w:cstheme="minorHAnsi"/>
        </w:rPr>
      </w:pPr>
    </w:p>
    <w:p w14:paraId="018A6DE3" w14:textId="49824A4D" w:rsidR="00865399" w:rsidRDefault="00865399" w:rsidP="00865399">
      <w:pPr>
        <w:pStyle w:val="ListParagraph"/>
        <w:numPr>
          <w:ilvl w:val="0"/>
          <w:numId w:val="48"/>
        </w:numPr>
        <w:jc w:val="both"/>
        <w:rPr>
          <w:rFonts w:cstheme="minorHAnsi"/>
        </w:rPr>
      </w:pPr>
      <w:proofErr w:type="spellStart"/>
      <w:r w:rsidRPr="00865399">
        <w:rPr>
          <w:rFonts w:cstheme="minorHAnsi"/>
        </w:rPr>
        <w:t>Godana</w:t>
      </w:r>
      <w:proofErr w:type="spellEnd"/>
      <w:r w:rsidRPr="00865399">
        <w:rPr>
          <w:rFonts w:cstheme="minorHAnsi"/>
        </w:rPr>
        <w:t xml:space="preserve">, G., </w:t>
      </w:r>
      <w:proofErr w:type="spellStart"/>
      <w:r w:rsidRPr="00865399">
        <w:rPr>
          <w:rFonts w:cstheme="minorHAnsi"/>
        </w:rPr>
        <w:t>Garoma</w:t>
      </w:r>
      <w:proofErr w:type="spellEnd"/>
      <w:r w:rsidRPr="00865399">
        <w:rPr>
          <w:rFonts w:cstheme="minorHAnsi"/>
        </w:rPr>
        <w:t xml:space="preserve">, S., Ayers, N., &amp; </w:t>
      </w:r>
      <w:proofErr w:type="spellStart"/>
      <w:r w:rsidRPr="00865399">
        <w:rPr>
          <w:rFonts w:cstheme="minorHAnsi"/>
        </w:rPr>
        <w:t>Abera</w:t>
      </w:r>
      <w:proofErr w:type="spellEnd"/>
      <w:r w:rsidRPr="00865399">
        <w:rPr>
          <w:rFonts w:cstheme="minorHAnsi"/>
        </w:rPr>
        <w:t xml:space="preserve">, M. (2024). Knowledge, attitude towards, and utilization of friendly health services among school adolescents in the pastoral community of </w:t>
      </w:r>
      <w:proofErr w:type="spellStart"/>
      <w:r w:rsidRPr="00865399">
        <w:rPr>
          <w:rFonts w:cstheme="minorHAnsi"/>
        </w:rPr>
        <w:t>Guji</w:t>
      </w:r>
      <w:proofErr w:type="spellEnd"/>
      <w:r w:rsidRPr="00865399">
        <w:rPr>
          <w:rFonts w:cstheme="minorHAnsi"/>
        </w:rPr>
        <w:t xml:space="preserve"> zone, Ethiopia: An institution-based comparative cross-sectional study. Frontiers in Reproductive Health, 6, 1291742. </w:t>
      </w:r>
      <w:hyperlink r:id="rId60" w:history="1">
        <w:r w:rsidRPr="00865399">
          <w:rPr>
            <w:rStyle w:val="Hyperlink"/>
            <w:rFonts w:cstheme="minorHAnsi"/>
          </w:rPr>
          <w:t>https://doi.org/10.3389/frph.2024.1291742</w:t>
        </w:r>
      </w:hyperlink>
      <w:r w:rsidRPr="00865399">
        <w:rPr>
          <w:rFonts w:cstheme="minorHAnsi"/>
        </w:rPr>
        <w:t xml:space="preserve">. Available from </w:t>
      </w:r>
      <w:hyperlink r:id="rId61" w:history="1">
        <w:r w:rsidR="00FC6F15" w:rsidRPr="006308F1">
          <w:rPr>
            <w:rStyle w:val="Hyperlink"/>
            <w:rFonts w:cstheme="minorHAnsi"/>
          </w:rPr>
          <w:t>https://www.frontiersin.org/journals/reproductive-health/articles/10.3389/frph.2024.1291742/full</w:t>
        </w:r>
      </w:hyperlink>
    </w:p>
    <w:p w14:paraId="72000A64" w14:textId="77777777" w:rsidR="00FC6F15" w:rsidRPr="00865399" w:rsidRDefault="00FC6F15" w:rsidP="00FC6F15">
      <w:pPr>
        <w:pStyle w:val="ListParagraph"/>
        <w:jc w:val="both"/>
        <w:rPr>
          <w:rFonts w:cstheme="minorHAnsi"/>
        </w:rPr>
      </w:pPr>
    </w:p>
    <w:sectPr w:rsidR="00FC6F15" w:rsidRPr="00865399" w:rsidSect="00DE0D81">
      <w:headerReference w:type="even" r:id="rId62"/>
      <w:headerReference w:type="default" r:id="rId63"/>
      <w:footerReference w:type="even" r:id="rId64"/>
      <w:footerReference w:type="default" r:id="rId65"/>
      <w:headerReference w:type="first" r:id="rId66"/>
      <w:footerReference w:type="first" r:id="rId6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D4A52" w14:textId="77777777" w:rsidR="003401AD" w:rsidRDefault="003401AD" w:rsidP="00780932">
      <w:pPr>
        <w:spacing w:after="0" w:line="240" w:lineRule="auto"/>
      </w:pPr>
      <w:r>
        <w:separator/>
      </w:r>
    </w:p>
  </w:endnote>
  <w:endnote w:type="continuationSeparator" w:id="0">
    <w:p w14:paraId="3698B599" w14:textId="77777777" w:rsidR="003401AD" w:rsidRDefault="003401AD" w:rsidP="00780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DBD9C" w14:textId="77777777" w:rsidR="00780932" w:rsidRDefault="00780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8DEC5" w14:textId="77777777" w:rsidR="00780932" w:rsidRDefault="007809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1AD44" w14:textId="77777777" w:rsidR="00780932" w:rsidRDefault="00780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4433E" w14:textId="77777777" w:rsidR="003401AD" w:rsidRDefault="003401AD" w:rsidP="00780932">
      <w:pPr>
        <w:spacing w:after="0" w:line="240" w:lineRule="auto"/>
      </w:pPr>
      <w:r>
        <w:separator/>
      </w:r>
    </w:p>
  </w:footnote>
  <w:footnote w:type="continuationSeparator" w:id="0">
    <w:p w14:paraId="64B439E2" w14:textId="77777777" w:rsidR="003401AD" w:rsidRDefault="003401AD" w:rsidP="00780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1050D" w14:textId="49C93B56" w:rsidR="00780932" w:rsidRDefault="003401AD">
    <w:pPr>
      <w:pStyle w:val="Header"/>
    </w:pPr>
    <w:r>
      <w:rPr>
        <w:noProof/>
      </w:rPr>
      <w:pict w14:anchorId="6C245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448297" o:spid="_x0000_s2050" type="#_x0000_t136" style="position:absolute;margin-left:0;margin-top:0;width:577.95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1A5EE" w14:textId="6C271C47" w:rsidR="00780932" w:rsidRDefault="003401AD">
    <w:pPr>
      <w:pStyle w:val="Header"/>
    </w:pPr>
    <w:r>
      <w:rPr>
        <w:noProof/>
      </w:rPr>
      <w:pict w14:anchorId="62E45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448298" o:spid="_x0000_s2051" type="#_x0000_t136" style="position:absolute;margin-left:0;margin-top:0;width:577.95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CD2D5" w14:textId="5ABB8C8C" w:rsidR="00780932" w:rsidRDefault="003401AD">
    <w:pPr>
      <w:pStyle w:val="Header"/>
    </w:pPr>
    <w:r>
      <w:rPr>
        <w:noProof/>
      </w:rPr>
      <w:pict w14:anchorId="0ADCFB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448296" o:spid="_x0000_s2049" type="#_x0000_t136" style="position:absolute;margin-left:0;margin-top:0;width:577.95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072"/>
    <w:multiLevelType w:val="hybridMultilevel"/>
    <w:tmpl w:val="D9C6292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101FAC"/>
    <w:multiLevelType w:val="hybridMultilevel"/>
    <w:tmpl w:val="6A4A12C0"/>
    <w:lvl w:ilvl="0" w:tplc="C980B87E">
      <w:start w:val="1"/>
      <w:numFmt w:val="lowerLetter"/>
      <w:lvlText w:val="%1."/>
      <w:lvlJc w:val="left"/>
      <w:pPr>
        <w:ind w:left="397" w:hanging="360"/>
      </w:pPr>
      <w:rPr>
        <w:rFonts w:hint="default"/>
      </w:rPr>
    </w:lvl>
    <w:lvl w:ilvl="1" w:tplc="40090019" w:tentative="1">
      <w:start w:val="1"/>
      <w:numFmt w:val="lowerLetter"/>
      <w:lvlText w:val="%2."/>
      <w:lvlJc w:val="left"/>
      <w:pPr>
        <w:ind w:left="1117" w:hanging="360"/>
      </w:pPr>
    </w:lvl>
    <w:lvl w:ilvl="2" w:tplc="4009001B" w:tentative="1">
      <w:start w:val="1"/>
      <w:numFmt w:val="lowerRoman"/>
      <w:lvlText w:val="%3."/>
      <w:lvlJc w:val="right"/>
      <w:pPr>
        <w:ind w:left="1837" w:hanging="180"/>
      </w:pPr>
    </w:lvl>
    <w:lvl w:ilvl="3" w:tplc="4009000F" w:tentative="1">
      <w:start w:val="1"/>
      <w:numFmt w:val="decimal"/>
      <w:lvlText w:val="%4."/>
      <w:lvlJc w:val="left"/>
      <w:pPr>
        <w:ind w:left="2557" w:hanging="360"/>
      </w:pPr>
    </w:lvl>
    <w:lvl w:ilvl="4" w:tplc="40090019" w:tentative="1">
      <w:start w:val="1"/>
      <w:numFmt w:val="lowerLetter"/>
      <w:lvlText w:val="%5."/>
      <w:lvlJc w:val="left"/>
      <w:pPr>
        <w:ind w:left="3277" w:hanging="360"/>
      </w:pPr>
    </w:lvl>
    <w:lvl w:ilvl="5" w:tplc="4009001B" w:tentative="1">
      <w:start w:val="1"/>
      <w:numFmt w:val="lowerRoman"/>
      <w:lvlText w:val="%6."/>
      <w:lvlJc w:val="right"/>
      <w:pPr>
        <w:ind w:left="3997" w:hanging="180"/>
      </w:pPr>
    </w:lvl>
    <w:lvl w:ilvl="6" w:tplc="4009000F" w:tentative="1">
      <w:start w:val="1"/>
      <w:numFmt w:val="decimal"/>
      <w:lvlText w:val="%7."/>
      <w:lvlJc w:val="left"/>
      <w:pPr>
        <w:ind w:left="4717" w:hanging="360"/>
      </w:pPr>
    </w:lvl>
    <w:lvl w:ilvl="7" w:tplc="40090019" w:tentative="1">
      <w:start w:val="1"/>
      <w:numFmt w:val="lowerLetter"/>
      <w:lvlText w:val="%8."/>
      <w:lvlJc w:val="left"/>
      <w:pPr>
        <w:ind w:left="5437" w:hanging="360"/>
      </w:pPr>
    </w:lvl>
    <w:lvl w:ilvl="8" w:tplc="4009001B" w:tentative="1">
      <w:start w:val="1"/>
      <w:numFmt w:val="lowerRoman"/>
      <w:lvlText w:val="%9."/>
      <w:lvlJc w:val="right"/>
      <w:pPr>
        <w:ind w:left="6157" w:hanging="180"/>
      </w:pPr>
    </w:lvl>
  </w:abstractNum>
  <w:abstractNum w:abstractNumId="2" w15:restartNumberingAfterBreak="0">
    <w:nsid w:val="03102146"/>
    <w:multiLevelType w:val="hybridMultilevel"/>
    <w:tmpl w:val="D0FE25F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4BF416C"/>
    <w:multiLevelType w:val="hybridMultilevel"/>
    <w:tmpl w:val="F92835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261DB8"/>
    <w:multiLevelType w:val="hybridMultilevel"/>
    <w:tmpl w:val="81BA2582"/>
    <w:lvl w:ilvl="0" w:tplc="5846EDA6">
      <w:start w:val="1"/>
      <w:numFmt w:val="lowerLetter"/>
      <w:lvlText w:val="%1."/>
      <w:lvlJc w:val="left"/>
      <w:pPr>
        <w:ind w:left="720" w:hanging="36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9524B7C"/>
    <w:multiLevelType w:val="hybridMultilevel"/>
    <w:tmpl w:val="2950439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A4F3C70"/>
    <w:multiLevelType w:val="hybridMultilevel"/>
    <w:tmpl w:val="E796F86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4DF5191"/>
    <w:multiLevelType w:val="hybridMultilevel"/>
    <w:tmpl w:val="91D28C5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6F61612"/>
    <w:multiLevelType w:val="hybridMultilevel"/>
    <w:tmpl w:val="422E3FD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AFB3B98"/>
    <w:multiLevelType w:val="hybridMultilevel"/>
    <w:tmpl w:val="0032C84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C466D2F"/>
    <w:multiLevelType w:val="hybridMultilevel"/>
    <w:tmpl w:val="E8A0E5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EE6106A"/>
    <w:multiLevelType w:val="hybridMultilevel"/>
    <w:tmpl w:val="379A72B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0D95808"/>
    <w:multiLevelType w:val="hybridMultilevel"/>
    <w:tmpl w:val="D89448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2B23AEC"/>
    <w:multiLevelType w:val="hybridMultilevel"/>
    <w:tmpl w:val="3F3AFAC2"/>
    <w:lvl w:ilvl="0" w:tplc="297E1CCC">
      <w:start w:val="1"/>
      <w:numFmt w:val="lowerLetter"/>
      <w:lvlText w:val="%1."/>
      <w:lvlJc w:val="left"/>
      <w:pPr>
        <w:ind w:left="720" w:hanging="36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46D240F"/>
    <w:multiLevelType w:val="hybridMultilevel"/>
    <w:tmpl w:val="C0C2625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4C134C0"/>
    <w:multiLevelType w:val="hybridMultilevel"/>
    <w:tmpl w:val="DD4090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55E40DB"/>
    <w:multiLevelType w:val="hybridMultilevel"/>
    <w:tmpl w:val="B588C5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8E17708"/>
    <w:multiLevelType w:val="hybridMultilevel"/>
    <w:tmpl w:val="0722146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97B0F1D"/>
    <w:multiLevelType w:val="hybridMultilevel"/>
    <w:tmpl w:val="9CCE1E96"/>
    <w:lvl w:ilvl="0" w:tplc="9DE4C3A2">
      <w:start w:val="1"/>
      <w:numFmt w:val="lowerLetter"/>
      <w:lvlText w:val="%1."/>
      <w:lvlJc w:val="left"/>
      <w:pPr>
        <w:ind w:left="720" w:hanging="36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9B25445"/>
    <w:multiLevelType w:val="hybridMultilevel"/>
    <w:tmpl w:val="A0183C2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2C2704D9"/>
    <w:multiLevelType w:val="hybridMultilevel"/>
    <w:tmpl w:val="18DE75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2C347001"/>
    <w:multiLevelType w:val="hybridMultilevel"/>
    <w:tmpl w:val="63447B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1427CEA"/>
    <w:multiLevelType w:val="hybridMultilevel"/>
    <w:tmpl w:val="C83A14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4072360"/>
    <w:multiLevelType w:val="hybridMultilevel"/>
    <w:tmpl w:val="E818A70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4416EE3"/>
    <w:multiLevelType w:val="hybridMultilevel"/>
    <w:tmpl w:val="B232D07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49876BE"/>
    <w:multiLevelType w:val="hybridMultilevel"/>
    <w:tmpl w:val="FBFA593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5EF4A7D"/>
    <w:multiLevelType w:val="hybridMultilevel"/>
    <w:tmpl w:val="9C7CD88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3DBC185D"/>
    <w:multiLevelType w:val="hybridMultilevel"/>
    <w:tmpl w:val="A986FE7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C1932E6"/>
    <w:multiLevelType w:val="hybridMultilevel"/>
    <w:tmpl w:val="9F12E75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DCB366B"/>
    <w:multiLevelType w:val="hybridMultilevel"/>
    <w:tmpl w:val="C5062E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26B1821"/>
    <w:multiLevelType w:val="hybridMultilevel"/>
    <w:tmpl w:val="9A48303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39F2F42"/>
    <w:multiLevelType w:val="hybridMultilevel"/>
    <w:tmpl w:val="1234CE9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46D2E57"/>
    <w:multiLevelType w:val="hybridMultilevel"/>
    <w:tmpl w:val="CADA846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4C60825"/>
    <w:multiLevelType w:val="hybridMultilevel"/>
    <w:tmpl w:val="42FE95D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57E03BC"/>
    <w:multiLevelType w:val="hybridMultilevel"/>
    <w:tmpl w:val="A164192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86E3A2E"/>
    <w:multiLevelType w:val="hybridMultilevel"/>
    <w:tmpl w:val="78FE08E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1CE5AA7"/>
    <w:multiLevelType w:val="hybridMultilevel"/>
    <w:tmpl w:val="240EAE3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29C46A6"/>
    <w:multiLevelType w:val="hybridMultilevel"/>
    <w:tmpl w:val="48E626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31567A1"/>
    <w:multiLevelType w:val="hybridMultilevel"/>
    <w:tmpl w:val="BE00BE7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CF24E09"/>
    <w:multiLevelType w:val="hybridMultilevel"/>
    <w:tmpl w:val="0232B0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2E80C60"/>
    <w:multiLevelType w:val="hybridMultilevel"/>
    <w:tmpl w:val="BDA6020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3746E4B"/>
    <w:multiLevelType w:val="hybridMultilevel"/>
    <w:tmpl w:val="E510408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43D0E45"/>
    <w:multiLevelType w:val="hybridMultilevel"/>
    <w:tmpl w:val="4DCE361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5A80EBF"/>
    <w:multiLevelType w:val="hybridMultilevel"/>
    <w:tmpl w:val="29C2551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7054248"/>
    <w:multiLevelType w:val="hybridMultilevel"/>
    <w:tmpl w:val="09B48F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7726436C"/>
    <w:multiLevelType w:val="hybridMultilevel"/>
    <w:tmpl w:val="CBFAC05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79383710"/>
    <w:multiLevelType w:val="hybridMultilevel"/>
    <w:tmpl w:val="3C3AED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7CEA7740"/>
    <w:multiLevelType w:val="hybridMultilevel"/>
    <w:tmpl w:val="0F7A3D6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6"/>
  </w:num>
  <w:num w:numId="2">
    <w:abstractNumId w:val="2"/>
  </w:num>
  <w:num w:numId="3">
    <w:abstractNumId w:val="31"/>
  </w:num>
  <w:num w:numId="4">
    <w:abstractNumId w:val="14"/>
  </w:num>
  <w:num w:numId="5">
    <w:abstractNumId w:val="6"/>
  </w:num>
  <w:num w:numId="6">
    <w:abstractNumId w:val="9"/>
  </w:num>
  <w:num w:numId="7">
    <w:abstractNumId w:val="4"/>
  </w:num>
  <w:num w:numId="8">
    <w:abstractNumId w:val="35"/>
  </w:num>
  <w:num w:numId="9">
    <w:abstractNumId w:val="1"/>
  </w:num>
  <w:num w:numId="10">
    <w:abstractNumId w:val="36"/>
  </w:num>
  <w:num w:numId="11">
    <w:abstractNumId w:val="47"/>
  </w:num>
  <w:num w:numId="12">
    <w:abstractNumId w:val="30"/>
  </w:num>
  <w:num w:numId="13">
    <w:abstractNumId w:val="42"/>
  </w:num>
  <w:num w:numId="14">
    <w:abstractNumId w:val="27"/>
  </w:num>
  <w:num w:numId="15">
    <w:abstractNumId w:val="17"/>
  </w:num>
  <w:num w:numId="16">
    <w:abstractNumId w:val="28"/>
  </w:num>
  <w:num w:numId="17">
    <w:abstractNumId w:val="5"/>
  </w:num>
  <w:num w:numId="18">
    <w:abstractNumId w:val="23"/>
  </w:num>
  <w:num w:numId="19">
    <w:abstractNumId w:val="18"/>
  </w:num>
  <w:num w:numId="20">
    <w:abstractNumId w:val="45"/>
  </w:num>
  <w:num w:numId="21">
    <w:abstractNumId w:val="19"/>
  </w:num>
  <w:num w:numId="22">
    <w:abstractNumId w:val="32"/>
  </w:num>
  <w:num w:numId="23">
    <w:abstractNumId w:val="22"/>
  </w:num>
  <w:num w:numId="24">
    <w:abstractNumId w:val="34"/>
  </w:num>
  <w:num w:numId="25">
    <w:abstractNumId w:val="8"/>
  </w:num>
  <w:num w:numId="26">
    <w:abstractNumId w:val="38"/>
  </w:num>
  <w:num w:numId="27">
    <w:abstractNumId w:val="0"/>
  </w:num>
  <w:num w:numId="28">
    <w:abstractNumId w:val="13"/>
  </w:num>
  <w:num w:numId="29">
    <w:abstractNumId w:val="7"/>
  </w:num>
  <w:num w:numId="30">
    <w:abstractNumId w:val="41"/>
  </w:num>
  <w:num w:numId="31">
    <w:abstractNumId w:val="24"/>
  </w:num>
  <w:num w:numId="32">
    <w:abstractNumId w:val="25"/>
  </w:num>
  <w:num w:numId="33">
    <w:abstractNumId w:val="11"/>
  </w:num>
  <w:num w:numId="34">
    <w:abstractNumId w:val="40"/>
  </w:num>
  <w:num w:numId="35">
    <w:abstractNumId w:val="33"/>
  </w:num>
  <w:num w:numId="36">
    <w:abstractNumId w:val="43"/>
  </w:num>
  <w:num w:numId="37">
    <w:abstractNumId w:val="16"/>
  </w:num>
  <w:num w:numId="38">
    <w:abstractNumId w:val="44"/>
  </w:num>
  <w:num w:numId="39">
    <w:abstractNumId w:val="12"/>
  </w:num>
  <w:num w:numId="40">
    <w:abstractNumId w:val="15"/>
  </w:num>
  <w:num w:numId="41">
    <w:abstractNumId w:val="37"/>
  </w:num>
  <w:num w:numId="42">
    <w:abstractNumId w:val="10"/>
  </w:num>
  <w:num w:numId="43">
    <w:abstractNumId w:val="39"/>
  </w:num>
  <w:num w:numId="44">
    <w:abstractNumId w:val="21"/>
  </w:num>
  <w:num w:numId="45">
    <w:abstractNumId w:val="29"/>
  </w:num>
  <w:num w:numId="46">
    <w:abstractNumId w:val="20"/>
  </w:num>
  <w:num w:numId="47">
    <w:abstractNumId w:val="46"/>
  </w:num>
  <w:num w:numId="48">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A5D"/>
    <w:rsid w:val="000049AB"/>
    <w:rsid w:val="000061E2"/>
    <w:rsid w:val="000256D4"/>
    <w:rsid w:val="000A2FC1"/>
    <w:rsid w:val="000A3A79"/>
    <w:rsid w:val="001404FA"/>
    <w:rsid w:val="001E715D"/>
    <w:rsid w:val="00200C5D"/>
    <w:rsid w:val="00273B81"/>
    <w:rsid w:val="00306A43"/>
    <w:rsid w:val="00331BFC"/>
    <w:rsid w:val="003401AD"/>
    <w:rsid w:val="00391D08"/>
    <w:rsid w:val="003F1766"/>
    <w:rsid w:val="00400549"/>
    <w:rsid w:val="00403E5D"/>
    <w:rsid w:val="00411CFE"/>
    <w:rsid w:val="004700DB"/>
    <w:rsid w:val="00482D4A"/>
    <w:rsid w:val="004A0315"/>
    <w:rsid w:val="004E0B9E"/>
    <w:rsid w:val="004E6A1B"/>
    <w:rsid w:val="00503A5D"/>
    <w:rsid w:val="00507574"/>
    <w:rsid w:val="00564074"/>
    <w:rsid w:val="006A338F"/>
    <w:rsid w:val="006D4A49"/>
    <w:rsid w:val="00780932"/>
    <w:rsid w:val="00792B35"/>
    <w:rsid w:val="007C0728"/>
    <w:rsid w:val="007C509C"/>
    <w:rsid w:val="00830FF7"/>
    <w:rsid w:val="00841435"/>
    <w:rsid w:val="00865399"/>
    <w:rsid w:val="008F6B52"/>
    <w:rsid w:val="008F6E87"/>
    <w:rsid w:val="009660F4"/>
    <w:rsid w:val="009854B6"/>
    <w:rsid w:val="00A05616"/>
    <w:rsid w:val="00A87550"/>
    <w:rsid w:val="00AB6D4D"/>
    <w:rsid w:val="00AD0116"/>
    <w:rsid w:val="00B61D91"/>
    <w:rsid w:val="00B80F95"/>
    <w:rsid w:val="00C1450A"/>
    <w:rsid w:val="00C23E8F"/>
    <w:rsid w:val="00C2695D"/>
    <w:rsid w:val="00CB6262"/>
    <w:rsid w:val="00CE38B1"/>
    <w:rsid w:val="00CF2C3D"/>
    <w:rsid w:val="00D5090D"/>
    <w:rsid w:val="00D51327"/>
    <w:rsid w:val="00DE0D81"/>
    <w:rsid w:val="00DE61A6"/>
    <w:rsid w:val="00E33122"/>
    <w:rsid w:val="00E75347"/>
    <w:rsid w:val="00E77530"/>
    <w:rsid w:val="00E93DB9"/>
    <w:rsid w:val="00EB412A"/>
    <w:rsid w:val="00EC4D91"/>
    <w:rsid w:val="00F16A08"/>
    <w:rsid w:val="00F34422"/>
    <w:rsid w:val="00F51741"/>
    <w:rsid w:val="00FA0D1F"/>
    <w:rsid w:val="00FA785F"/>
    <w:rsid w:val="00FC6F15"/>
    <w:rsid w:val="00FD0FC9"/>
    <w:rsid w:val="00FD259E"/>
    <w:rsid w:val="00FF2EBC"/>
    <w:rsid w:val="00FF2F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697C7B"/>
  <w15:chartTrackingRefBased/>
  <w15:docId w15:val="{6DFB16D9-0118-4E2E-BBDD-172819FB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A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03A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3A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3A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3A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3A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A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A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A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A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03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3A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3A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3A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3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A5D"/>
    <w:rPr>
      <w:rFonts w:eastAsiaTheme="majorEastAsia" w:cstheme="majorBidi"/>
      <w:color w:val="272727" w:themeColor="text1" w:themeTint="D8"/>
    </w:rPr>
  </w:style>
  <w:style w:type="paragraph" w:styleId="Title">
    <w:name w:val="Title"/>
    <w:basedOn w:val="Normal"/>
    <w:next w:val="Normal"/>
    <w:link w:val="TitleChar"/>
    <w:uiPriority w:val="10"/>
    <w:qFormat/>
    <w:rsid w:val="00503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A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A5D"/>
    <w:pPr>
      <w:spacing w:before="160"/>
      <w:jc w:val="center"/>
    </w:pPr>
    <w:rPr>
      <w:i/>
      <w:iCs/>
      <w:color w:val="404040" w:themeColor="text1" w:themeTint="BF"/>
    </w:rPr>
  </w:style>
  <w:style w:type="character" w:customStyle="1" w:styleId="QuoteChar">
    <w:name w:val="Quote Char"/>
    <w:basedOn w:val="DefaultParagraphFont"/>
    <w:link w:val="Quote"/>
    <w:uiPriority w:val="29"/>
    <w:rsid w:val="00503A5D"/>
    <w:rPr>
      <w:i/>
      <w:iCs/>
      <w:color w:val="404040" w:themeColor="text1" w:themeTint="BF"/>
    </w:rPr>
  </w:style>
  <w:style w:type="paragraph" w:styleId="ListParagraph">
    <w:name w:val="List Paragraph"/>
    <w:basedOn w:val="Normal"/>
    <w:link w:val="ListParagraphChar"/>
    <w:uiPriority w:val="34"/>
    <w:qFormat/>
    <w:rsid w:val="00503A5D"/>
    <w:pPr>
      <w:ind w:left="720"/>
      <w:contextualSpacing/>
    </w:pPr>
  </w:style>
  <w:style w:type="character" w:styleId="IntenseEmphasis">
    <w:name w:val="Intense Emphasis"/>
    <w:basedOn w:val="DefaultParagraphFont"/>
    <w:uiPriority w:val="21"/>
    <w:qFormat/>
    <w:rsid w:val="00503A5D"/>
    <w:rPr>
      <w:i/>
      <w:iCs/>
      <w:color w:val="2F5496" w:themeColor="accent1" w:themeShade="BF"/>
    </w:rPr>
  </w:style>
  <w:style w:type="paragraph" w:styleId="IntenseQuote">
    <w:name w:val="Intense Quote"/>
    <w:basedOn w:val="Normal"/>
    <w:next w:val="Normal"/>
    <w:link w:val="IntenseQuoteChar"/>
    <w:uiPriority w:val="30"/>
    <w:qFormat/>
    <w:rsid w:val="00503A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3A5D"/>
    <w:rPr>
      <w:i/>
      <w:iCs/>
      <w:color w:val="2F5496" w:themeColor="accent1" w:themeShade="BF"/>
    </w:rPr>
  </w:style>
  <w:style w:type="character" w:styleId="IntenseReference">
    <w:name w:val="Intense Reference"/>
    <w:basedOn w:val="DefaultParagraphFont"/>
    <w:uiPriority w:val="32"/>
    <w:qFormat/>
    <w:rsid w:val="00503A5D"/>
    <w:rPr>
      <w:b/>
      <w:bCs/>
      <w:smallCaps/>
      <w:color w:val="2F5496" w:themeColor="accent1" w:themeShade="BF"/>
      <w:spacing w:val="5"/>
    </w:rPr>
  </w:style>
  <w:style w:type="paragraph" w:styleId="NoSpacing">
    <w:name w:val="No Spacing"/>
    <w:link w:val="NoSpacingChar"/>
    <w:uiPriority w:val="1"/>
    <w:qFormat/>
    <w:rsid w:val="00C1450A"/>
    <w:pPr>
      <w:spacing w:after="0" w:line="240" w:lineRule="auto"/>
    </w:pPr>
    <w:rPr>
      <w:kern w:val="0"/>
      <w:lang w:val="en-US"/>
      <w14:ligatures w14:val="none"/>
    </w:rPr>
  </w:style>
  <w:style w:type="character" w:customStyle="1" w:styleId="NoSpacingChar">
    <w:name w:val="No Spacing Char"/>
    <w:link w:val="NoSpacing"/>
    <w:uiPriority w:val="1"/>
    <w:rsid w:val="00C1450A"/>
    <w:rPr>
      <w:kern w:val="0"/>
      <w:lang w:val="en-US"/>
      <w14:ligatures w14:val="none"/>
    </w:rPr>
  </w:style>
  <w:style w:type="table" w:styleId="TableGrid">
    <w:name w:val="Table Grid"/>
    <w:basedOn w:val="TableNormal"/>
    <w:uiPriority w:val="39"/>
    <w:rsid w:val="00DE61A6"/>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E61A6"/>
    <w:pPr>
      <w:spacing w:after="0" w:line="240" w:lineRule="auto"/>
    </w:pPr>
    <w:rPr>
      <w:rFonts w:ascii="Tahoma" w:eastAsiaTheme="minorEastAsia"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DE61A6"/>
    <w:rPr>
      <w:rFonts w:ascii="Tahoma" w:eastAsiaTheme="minorEastAsia" w:hAnsi="Tahoma" w:cs="Tahoma"/>
      <w:kern w:val="0"/>
      <w:sz w:val="16"/>
      <w:szCs w:val="16"/>
      <w:lang w:val="en-US"/>
      <w14:ligatures w14:val="none"/>
    </w:rPr>
  </w:style>
  <w:style w:type="character" w:customStyle="1" w:styleId="ListParagraphChar">
    <w:name w:val="List Paragraph Char"/>
    <w:link w:val="ListParagraph"/>
    <w:uiPriority w:val="34"/>
    <w:locked/>
    <w:rsid w:val="00DE61A6"/>
  </w:style>
  <w:style w:type="paragraph" w:styleId="BodyText">
    <w:name w:val="Body Text"/>
    <w:basedOn w:val="Normal"/>
    <w:link w:val="BodyTextChar"/>
    <w:uiPriority w:val="1"/>
    <w:qFormat/>
    <w:rsid w:val="00DE61A6"/>
    <w:pPr>
      <w:widowControl w:val="0"/>
      <w:autoSpaceDE w:val="0"/>
      <w:autoSpaceDN w:val="0"/>
      <w:spacing w:after="0" w:line="240" w:lineRule="auto"/>
    </w:pPr>
    <w:rPr>
      <w:rFonts w:ascii="Times New Roman" w:eastAsia="Times New Roman" w:hAnsi="Times New Roman" w:cs="Times New Roman"/>
      <w:kern w:val="0"/>
      <w:sz w:val="24"/>
      <w:szCs w:val="24"/>
      <w:lang w:val="en-US" w:bidi="en-US"/>
      <w14:ligatures w14:val="none"/>
    </w:rPr>
  </w:style>
  <w:style w:type="character" w:customStyle="1" w:styleId="BodyTextChar">
    <w:name w:val="Body Text Char"/>
    <w:basedOn w:val="DefaultParagraphFont"/>
    <w:link w:val="BodyText"/>
    <w:uiPriority w:val="1"/>
    <w:rsid w:val="00DE61A6"/>
    <w:rPr>
      <w:rFonts w:ascii="Times New Roman" w:eastAsia="Times New Roman" w:hAnsi="Times New Roman" w:cs="Times New Roman"/>
      <w:kern w:val="0"/>
      <w:sz w:val="24"/>
      <w:szCs w:val="24"/>
      <w:lang w:val="en-US" w:bidi="en-US"/>
      <w14:ligatures w14:val="none"/>
    </w:rPr>
  </w:style>
  <w:style w:type="paragraph" w:customStyle="1" w:styleId="Default">
    <w:name w:val="Default"/>
    <w:rsid w:val="00DE61A6"/>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14:ligatures w14:val="none"/>
    </w:rPr>
  </w:style>
  <w:style w:type="paragraph" w:styleId="Header">
    <w:name w:val="header"/>
    <w:basedOn w:val="Normal"/>
    <w:link w:val="HeaderChar"/>
    <w:uiPriority w:val="99"/>
    <w:unhideWhenUsed/>
    <w:rsid w:val="00DE61A6"/>
    <w:pPr>
      <w:tabs>
        <w:tab w:val="center" w:pos="4513"/>
        <w:tab w:val="right" w:pos="9026"/>
      </w:tabs>
      <w:spacing w:after="0" w:line="240" w:lineRule="auto"/>
    </w:pPr>
    <w:rPr>
      <w:rFonts w:eastAsiaTheme="minorEastAsia"/>
      <w:kern w:val="0"/>
      <w:lang w:val="en-US"/>
      <w14:ligatures w14:val="none"/>
    </w:rPr>
  </w:style>
  <w:style w:type="character" w:customStyle="1" w:styleId="HeaderChar">
    <w:name w:val="Header Char"/>
    <w:basedOn w:val="DefaultParagraphFont"/>
    <w:link w:val="Header"/>
    <w:uiPriority w:val="99"/>
    <w:rsid w:val="00DE61A6"/>
    <w:rPr>
      <w:rFonts w:eastAsiaTheme="minorEastAsia"/>
      <w:kern w:val="0"/>
      <w:lang w:val="en-US"/>
      <w14:ligatures w14:val="none"/>
    </w:rPr>
  </w:style>
  <w:style w:type="paragraph" w:styleId="Footer">
    <w:name w:val="footer"/>
    <w:basedOn w:val="Normal"/>
    <w:link w:val="FooterChar"/>
    <w:uiPriority w:val="99"/>
    <w:unhideWhenUsed/>
    <w:rsid w:val="00DE61A6"/>
    <w:pPr>
      <w:tabs>
        <w:tab w:val="center" w:pos="4513"/>
        <w:tab w:val="right" w:pos="9026"/>
      </w:tabs>
      <w:spacing w:after="0" w:line="240" w:lineRule="auto"/>
    </w:pPr>
    <w:rPr>
      <w:rFonts w:eastAsiaTheme="minorEastAsia"/>
      <w:kern w:val="0"/>
      <w:lang w:val="en-US"/>
      <w14:ligatures w14:val="none"/>
    </w:rPr>
  </w:style>
  <w:style w:type="character" w:customStyle="1" w:styleId="FooterChar">
    <w:name w:val="Footer Char"/>
    <w:basedOn w:val="DefaultParagraphFont"/>
    <w:link w:val="Footer"/>
    <w:uiPriority w:val="99"/>
    <w:rsid w:val="00DE61A6"/>
    <w:rPr>
      <w:rFonts w:eastAsiaTheme="minorEastAsia"/>
      <w:kern w:val="0"/>
      <w:lang w:val="en-US"/>
      <w14:ligatures w14:val="none"/>
    </w:rPr>
  </w:style>
  <w:style w:type="table" w:styleId="PlainTable2">
    <w:name w:val="Plain Table 2"/>
    <w:basedOn w:val="TableNormal"/>
    <w:uiPriority w:val="42"/>
    <w:rsid w:val="00DE61A6"/>
    <w:pPr>
      <w:spacing w:after="0" w:line="240" w:lineRule="auto"/>
    </w:pPr>
    <w:rPr>
      <w:rFonts w:eastAsiaTheme="minorEastAsia"/>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DE61A6"/>
    <w:pPr>
      <w:spacing w:after="0" w:line="240" w:lineRule="auto"/>
    </w:pPr>
    <w:rPr>
      <w:rFonts w:eastAsiaTheme="minorEastAsia"/>
      <w:color w:val="000000" w:themeColor="text1"/>
      <w:kern w:val="0"/>
      <w:lang w:val="en-U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DE61A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DE61A6"/>
    <w:rPr>
      <w:b/>
      <w:bCs/>
    </w:rPr>
  </w:style>
  <w:style w:type="table" w:customStyle="1" w:styleId="TableGrid1">
    <w:name w:val="Table Grid1"/>
    <w:basedOn w:val="TableNormal"/>
    <w:next w:val="TableGrid"/>
    <w:uiPriority w:val="59"/>
    <w:qFormat/>
    <w:rsid w:val="00DE61A6"/>
    <w:pPr>
      <w:spacing w:after="0" w:line="240" w:lineRule="auto"/>
    </w:pPr>
    <w:rPr>
      <w:rFonts w:eastAsia="Calibri"/>
      <w:sz w:val="24"/>
      <w:szCs w:val="24"/>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E61A6"/>
    <w:rPr>
      <w:i/>
      <w:iCs/>
    </w:rPr>
  </w:style>
  <w:style w:type="character" w:styleId="Hyperlink">
    <w:name w:val="Hyperlink"/>
    <w:basedOn w:val="DefaultParagraphFont"/>
    <w:uiPriority w:val="99"/>
    <w:unhideWhenUsed/>
    <w:rsid w:val="00DE61A6"/>
    <w:rPr>
      <w:color w:val="0563C1" w:themeColor="hyperlink"/>
      <w:u w:val="single"/>
    </w:rPr>
  </w:style>
  <w:style w:type="character" w:styleId="UnresolvedMention">
    <w:name w:val="Unresolved Mention"/>
    <w:basedOn w:val="DefaultParagraphFont"/>
    <w:uiPriority w:val="99"/>
    <w:semiHidden/>
    <w:unhideWhenUsed/>
    <w:rsid w:val="00DE6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jcmph.com/index.php/ijcmph/article/view/8073" TargetMode="External"/><Relationship Id="rId21" Type="http://schemas.openxmlformats.org/officeDocument/2006/relationships/hyperlink" Target="https://pubmed.ncbi.nlm.nih.gov/28930622/" TargetMode="External"/><Relationship Id="rId42" Type="http://schemas.openxmlformats.org/officeDocument/2006/relationships/hyperlink" Target="https://doi.org/10.1371/journal.pgph.0003422" TargetMode="External"/><Relationship Id="rId47" Type="http://schemas.openxmlformats.org/officeDocument/2006/relationships/hyperlink" Target="https://link.springer.com/article/10.1186/s12978-021-01219-3"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103/0253-7184.196888" TargetMode="External"/><Relationship Id="rId29" Type="http://schemas.openxmlformats.org/officeDocument/2006/relationships/hyperlink" Target="https://doi.org/10.1186/1471-2458-13-1142" TargetMode="External"/><Relationship Id="rId11" Type="http://schemas.openxmlformats.org/officeDocument/2006/relationships/image" Target="media/image1.png"/><Relationship Id="rId24" Type="http://schemas.openxmlformats.org/officeDocument/2006/relationships/hyperlink" Target="https://pubmed.ncbi.nlm.nih.gov/24334944/" TargetMode="External"/><Relationship Id="rId32" Type="http://schemas.openxmlformats.org/officeDocument/2006/relationships/hyperlink" Target="https://www.panafrican-med-journal.com/content/article/37/68/full/" TargetMode="External"/><Relationship Id="rId37" Type="http://schemas.openxmlformats.org/officeDocument/2006/relationships/hyperlink" Target="https://doi.org/10.1186/s12889-024-19548-w" TargetMode="External"/><Relationship Id="rId40" Type="http://schemas.openxmlformats.org/officeDocument/2006/relationships/hyperlink" Target="https://www.openpublichealthjournal.com/VOLUME/16/ELOCATOR/e187494452301050/FULLTEXT/" TargetMode="External"/><Relationship Id="rId45" Type="http://schemas.openxmlformats.org/officeDocument/2006/relationships/hyperlink" Target="https://pubmed.ncbi.nlm.nih.gov/38950047/" TargetMode="External"/><Relationship Id="rId53" Type="http://schemas.openxmlformats.org/officeDocument/2006/relationships/hyperlink" Target="https://journals.plos.org/plosone/article?id=10.1371%2Fjournal.pone.0298038" TargetMode="External"/><Relationship Id="rId58" Type="http://schemas.openxmlformats.org/officeDocument/2006/relationships/hyperlink" Target="https://doi.org/10.3390/ijerph14020159" TargetMode="External"/><Relationship Id="rId66"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www.frontiersin.org/journals/reproductive-health/articles/10.3389/frph.2024.1291742/full" TargetMode="External"/><Relationship Id="rId19" Type="http://schemas.openxmlformats.org/officeDocument/2006/relationships/hyperlink" Target="https://journals.plos.org/plosone/article?id=10.1371/journal.pone.0272507" TargetMode="External"/><Relationship Id="rId14" Type="http://schemas.openxmlformats.org/officeDocument/2006/relationships/hyperlink" Target="https://doi.org/10.1371/journal.pone.0143304" TargetMode="External"/><Relationship Id="rId22" Type="http://schemas.openxmlformats.org/officeDocument/2006/relationships/hyperlink" Target="https://doi.org/10.4102/phcfm.v12i1.2221" TargetMode="External"/><Relationship Id="rId27" Type="http://schemas.openxmlformats.org/officeDocument/2006/relationships/hyperlink" Target="https://doi.org/10.18203/issn.2455-4529.IntJResDermatol20193225" TargetMode="External"/><Relationship Id="rId30" Type="http://schemas.openxmlformats.org/officeDocument/2006/relationships/hyperlink" Target="https://link.springer.com/article/10.1186/1471-2458-13-1142" TargetMode="External"/><Relationship Id="rId35" Type="http://schemas.openxmlformats.org/officeDocument/2006/relationships/hyperlink" Target="https://doi.org/10.3390/healthcare13101120" TargetMode="External"/><Relationship Id="rId43" Type="http://schemas.openxmlformats.org/officeDocument/2006/relationships/hyperlink" Target="https://pubmed.ncbi.nlm.nih.gov/38950047/" TargetMode="External"/><Relationship Id="rId48" Type="http://schemas.openxmlformats.org/officeDocument/2006/relationships/hyperlink" Target="https://doi.org/10.1177/20503121221145640" TargetMode="External"/><Relationship Id="rId56" Type="http://schemas.openxmlformats.org/officeDocument/2006/relationships/hyperlink" Target="https://doi.org/10.18203/2394-6040.ijcmph20211997"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chart" Target="charts/chart1.xml"/><Relationship Id="rId51" Type="http://schemas.openxmlformats.org/officeDocument/2006/relationships/hyperlink" Target="https://pmc.ncbi.nlm.nih.gov/articles/PMC12400542/" TargetMode="External"/><Relationship Id="rId3" Type="http://schemas.openxmlformats.org/officeDocument/2006/relationships/styles" Target="styles.xml"/><Relationship Id="rId12" Type="http://schemas.openxmlformats.org/officeDocument/2006/relationships/hyperlink" Target="https://www.who.int/news/item/06-06-2019-more-than-1-million-new-curable-sexually-transmitted-infections-every-day" TargetMode="External"/><Relationship Id="rId17" Type="http://schemas.openxmlformats.org/officeDocument/2006/relationships/hyperlink" Target="https://journals.lww.com/ijst/fulltext/2017/38010/knowledge_and_attitude_about_sexually_transmitted.2.aspx" TargetMode="External"/><Relationship Id="rId25" Type="http://schemas.openxmlformats.org/officeDocument/2006/relationships/hyperlink" Target="https://doi.org/10.18203/2394-6040.ijcmph20211997" TargetMode="External"/><Relationship Id="rId33" Type="http://schemas.openxmlformats.org/officeDocument/2006/relationships/hyperlink" Target="https://doi.org/10.60787/phmj.v13i3.71" TargetMode="External"/><Relationship Id="rId38" Type="http://schemas.openxmlformats.org/officeDocument/2006/relationships/hyperlink" Target="https://link.springer.com/article/10.1186/s12889-024-19548-w" TargetMode="External"/><Relationship Id="rId46" Type="http://schemas.openxmlformats.org/officeDocument/2006/relationships/hyperlink" Target="https://doi.org/10.1186/12978-021-01219-3" TargetMode="External"/><Relationship Id="rId59" Type="http://schemas.openxmlformats.org/officeDocument/2006/relationships/hyperlink" Target="https://www.mdpi.com/1660-4601/14/2/159" TargetMode="External"/><Relationship Id="rId67" Type="http://schemas.openxmlformats.org/officeDocument/2006/relationships/footer" Target="footer3.xml"/><Relationship Id="rId20" Type="http://schemas.openxmlformats.org/officeDocument/2006/relationships/hyperlink" Target="https://doi.org/10.1363/43e3217" TargetMode="External"/><Relationship Id="rId41" Type="http://schemas.openxmlformats.org/officeDocument/2006/relationships/hyperlink" Target="https://www.cdc.gov/sti-statistics/annual/index.html" TargetMode="External"/><Relationship Id="rId54" Type="http://schemas.openxmlformats.org/officeDocument/2006/relationships/hyperlink" Target="https://doi.org/10.3389/fpubh.2025.1578062"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ournals.plos.org/plosone/article?id=10.1371/journal.pone.0143304" TargetMode="External"/><Relationship Id="rId23" Type="http://schemas.openxmlformats.org/officeDocument/2006/relationships/hyperlink" Target="https://pubmed.ncbi.nlm.nih.gov/32370529/" TargetMode="External"/><Relationship Id="rId28" Type="http://schemas.openxmlformats.org/officeDocument/2006/relationships/hyperlink" Target="https://www.ijord.com/index.php/ijord/article/view/626" TargetMode="External"/><Relationship Id="rId36" Type="http://schemas.openxmlformats.org/officeDocument/2006/relationships/hyperlink" Target="https://www.mdpi.com/2227-9032/13/10/1120" TargetMode="External"/><Relationship Id="rId49" Type="http://schemas.openxmlformats.org/officeDocument/2006/relationships/hyperlink" Target="https://pmc.ncbi.nlm.nih.gov/articles/PMC9827517/" TargetMode="External"/><Relationship Id="rId57" Type="http://schemas.openxmlformats.org/officeDocument/2006/relationships/hyperlink" Target="https://www.ijcmph.com/index.php/ijcmph/article/view/8073/5027" TargetMode="External"/><Relationship Id="rId10" Type="http://schemas.openxmlformats.org/officeDocument/2006/relationships/chart" Target="charts/chart3.xml"/><Relationship Id="rId31" Type="http://schemas.openxmlformats.org/officeDocument/2006/relationships/hyperlink" Target="https://doi.org/10.11604/pamj.2020.37.68.22718" TargetMode="External"/><Relationship Id="rId44" Type="http://schemas.openxmlformats.org/officeDocument/2006/relationships/hyperlink" Target="https://doi.org/10.1371/journal.pgph.0003422" TargetMode="External"/><Relationship Id="rId52" Type="http://schemas.openxmlformats.org/officeDocument/2006/relationships/hyperlink" Target="https://doi.org/10.1371/journal.pone.0298038" TargetMode="External"/><Relationship Id="rId60" Type="http://schemas.openxmlformats.org/officeDocument/2006/relationships/hyperlink" Target="https://doi.org/10.3389/frph.2024.1291742"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3" Type="http://schemas.openxmlformats.org/officeDocument/2006/relationships/hyperlink" Target="https://www.who.int/news-room/fact-sheets/detail/sexually-transmitted-infections-(stis)" TargetMode="External"/><Relationship Id="rId18" Type="http://schemas.openxmlformats.org/officeDocument/2006/relationships/hyperlink" Target="https://doi.org/10.1371/journal.pone.0272507" TargetMode="External"/><Relationship Id="rId39" Type="http://schemas.openxmlformats.org/officeDocument/2006/relationships/hyperlink" Target="http://dx.doi.org/10.2174/18749445-v16-e230111-2022-182" TargetMode="External"/><Relationship Id="rId34" Type="http://schemas.openxmlformats.org/officeDocument/2006/relationships/hyperlink" Target="https://www.phmj.org.ng/index.php/home/article/view/71" TargetMode="External"/><Relationship Id="rId50" Type="http://schemas.openxmlformats.org/officeDocument/2006/relationships/hyperlink" Target="https://doi.org/10.1186/s12889-025-23796-9" TargetMode="External"/><Relationship Id="rId55" Type="http://schemas.openxmlformats.org/officeDocument/2006/relationships/hyperlink" Target="https://www.frontiersin.org/journals/public-health/articles/10.3389/fpubh.2025.1578062/ful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BARKHA%20DEVI\FIG%20-%20mai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BARKHA%20DEVI\FIG%20-%20main.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dLbls>
            <c:dLbl>
              <c:idx val="0"/>
              <c:layout>
                <c:manualLayout>
                  <c:x val="8.6374515126113206E-3"/>
                  <c:y val="-0.2033682962404568"/>
                </c:manualLayout>
              </c:layout>
              <c:showLegendKey val="0"/>
              <c:showVal val="1"/>
              <c:showCatName val="0"/>
              <c:showSerName val="0"/>
              <c:showPercent val="0"/>
              <c:showBubbleSize val="0"/>
              <c:extLst>
                <c:ext xmlns:c15="http://schemas.microsoft.com/office/drawing/2012/chart" uri="{CE6537A1-D6FC-4f65-9D91-7224C49458BB}">
                  <c15:layout>
                    <c:manualLayout>
                      <c:w val="5.817380526098332E-2"/>
                      <c:h val="6.9733429918118858E-2"/>
                    </c:manualLayout>
                  </c15:layout>
                </c:ext>
                <c:ext xmlns:c16="http://schemas.microsoft.com/office/drawing/2014/chart" uri="{C3380CC4-5D6E-409C-BE32-E72D297353CC}">
                  <c16:uniqueId val="{00000000-3263-41A5-A0ED-134FE5C9E48D}"/>
                </c:ext>
              </c:extLst>
            </c:dLbl>
            <c:dLbl>
              <c:idx val="1"/>
              <c:layout>
                <c:manualLayout>
                  <c:x val="3.5668933478068031E-3"/>
                  <c:y val="-0.220653831883580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63-41A5-A0ED-134FE5C9E48D}"/>
                </c:ext>
              </c:extLst>
            </c:dLbl>
            <c:dLbl>
              <c:idx val="2"/>
              <c:layout>
                <c:manualLayout>
                  <c:x val="-6.4198007476031483E-5"/>
                  <c:y val="-0.13083626326813869"/>
                </c:manualLayout>
              </c:layout>
              <c:tx>
                <c:rich>
                  <a:bodyPr/>
                  <a:lstStyle/>
                  <a:p>
                    <a:fld id="{0847CBCE-4F2C-442C-8242-427038E598A4}" type="VALUE">
                      <a:rPr lang="en-US" baseline="0"/>
                      <a:pPr/>
                      <a:t>[VALUE]</a:t>
                    </a:fld>
                    <a:endParaRPr lang="en-US"/>
                  </a:p>
                </c:rich>
              </c:tx>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263-41A5-A0ED-134FE5C9E48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Sheet1!$E$4:$E$6</c:f>
              <c:strCache>
                <c:ptCount val="3"/>
                <c:pt idx="0">
                  <c:v>19-21</c:v>
                </c:pt>
                <c:pt idx="1">
                  <c:v>22-24</c:v>
                </c:pt>
                <c:pt idx="2">
                  <c:v>25-27</c:v>
                </c:pt>
              </c:strCache>
            </c:strRef>
          </c:cat>
          <c:val>
            <c:numRef>
              <c:f>Sheet1!$F$4:$F$6</c:f>
              <c:numCache>
                <c:formatCode>General</c:formatCode>
                <c:ptCount val="3"/>
                <c:pt idx="0">
                  <c:v>37</c:v>
                </c:pt>
                <c:pt idx="1">
                  <c:v>42.2</c:v>
                </c:pt>
                <c:pt idx="2">
                  <c:v>20.8</c:v>
                </c:pt>
              </c:numCache>
            </c:numRef>
          </c:val>
          <c:extLst>
            <c:ext xmlns:c16="http://schemas.microsoft.com/office/drawing/2014/chart" uri="{C3380CC4-5D6E-409C-BE32-E72D297353CC}">
              <c16:uniqueId val="{00000003-3263-41A5-A0ED-134FE5C9E48D}"/>
            </c:ext>
          </c:extLst>
        </c:ser>
        <c:dLbls>
          <c:showLegendKey val="0"/>
          <c:showVal val="0"/>
          <c:showCatName val="0"/>
          <c:showSerName val="0"/>
          <c:showPercent val="0"/>
          <c:showBubbleSize val="0"/>
        </c:dLbls>
        <c:gapWidth val="55"/>
        <c:gapDepth val="55"/>
        <c:shape val="box"/>
        <c:axId val="405029584"/>
        <c:axId val="405030064"/>
        <c:axId val="0"/>
      </c:bar3DChart>
      <c:catAx>
        <c:axId val="4050295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a:solidFill>
                      <a:schemeClr val="tx1"/>
                    </a:solidFill>
                  </a:rPr>
                  <a:t>Age in years</a:t>
                </a:r>
              </a:p>
            </c:rich>
          </c:tx>
          <c:layout>
            <c:manualLayout>
              <c:xMode val="edge"/>
              <c:yMode val="edge"/>
              <c:x val="0.47735187556864589"/>
              <c:y val="0.8414373556662307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05030064"/>
        <c:crosses val="autoZero"/>
        <c:auto val="1"/>
        <c:lblAlgn val="ctr"/>
        <c:lblOffset val="100"/>
        <c:noMultiLvlLbl val="0"/>
      </c:catAx>
      <c:valAx>
        <c:axId val="405030064"/>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a:solidFill>
                      <a:schemeClr val="tx1"/>
                    </a:solidFill>
                  </a:rPr>
                  <a:t>Frequency percentage</a:t>
                </a:r>
              </a:p>
            </c:rich>
          </c:tx>
          <c:layout>
            <c:manualLayout>
              <c:xMode val="edge"/>
              <c:yMode val="edge"/>
              <c:x val="2.7663051552518202E-2"/>
              <c:y val="0.1864467203379682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050295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rgbClr val="C00000"/>
            </a:solidFill>
            <a:ln>
              <a:noFill/>
            </a:ln>
            <a:effectLst/>
            <a:sp3d/>
          </c:spPr>
          <c:invertIfNegative val="0"/>
          <c:dPt>
            <c:idx val="0"/>
            <c:invertIfNegative val="0"/>
            <c:bubble3D val="0"/>
            <c:spPr>
              <a:solidFill>
                <a:srgbClr val="FFC000"/>
              </a:solidFill>
              <a:ln>
                <a:noFill/>
              </a:ln>
              <a:effectLst/>
              <a:sp3d/>
            </c:spPr>
            <c:extLst>
              <c:ext xmlns:c16="http://schemas.microsoft.com/office/drawing/2014/chart" uri="{C3380CC4-5D6E-409C-BE32-E72D297353CC}">
                <c16:uniqueId val="{00000001-4315-482C-B31C-C61158C3CDA2}"/>
              </c:ext>
            </c:extLst>
          </c:dPt>
          <c:dPt>
            <c:idx val="2"/>
            <c:invertIfNegative val="0"/>
            <c:bubble3D val="0"/>
            <c:spPr>
              <a:solidFill>
                <a:srgbClr val="00B0F0"/>
              </a:solidFill>
              <a:ln>
                <a:noFill/>
              </a:ln>
              <a:effectLst/>
              <a:sp3d/>
            </c:spPr>
            <c:extLst>
              <c:ext xmlns:c16="http://schemas.microsoft.com/office/drawing/2014/chart" uri="{C3380CC4-5D6E-409C-BE32-E72D297353CC}">
                <c16:uniqueId val="{00000003-4315-482C-B31C-C61158C3CDA2}"/>
              </c:ext>
            </c:extLst>
          </c:dPt>
          <c:dPt>
            <c:idx val="3"/>
            <c:invertIfNegative val="0"/>
            <c:bubble3D val="0"/>
            <c:spPr>
              <a:solidFill>
                <a:srgbClr val="00B050"/>
              </a:solidFill>
              <a:ln>
                <a:noFill/>
              </a:ln>
              <a:effectLst/>
              <a:sp3d/>
            </c:spPr>
            <c:extLst>
              <c:ext xmlns:c16="http://schemas.microsoft.com/office/drawing/2014/chart" uri="{C3380CC4-5D6E-409C-BE32-E72D297353CC}">
                <c16:uniqueId val="{00000005-4315-482C-B31C-C61158C3CDA2}"/>
              </c:ext>
            </c:extLst>
          </c:dPt>
          <c:dPt>
            <c:idx val="4"/>
            <c:invertIfNegative val="0"/>
            <c:bubble3D val="0"/>
            <c:spPr>
              <a:solidFill>
                <a:srgbClr val="7030A0"/>
              </a:solidFill>
              <a:ln>
                <a:noFill/>
              </a:ln>
              <a:effectLst/>
              <a:sp3d/>
            </c:spPr>
            <c:extLst>
              <c:ext xmlns:c16="http://schemas.microsoft.com/office/drawing/2014/chart" uri="{C3380CC4-5D6E-409C-BE32-E72D297353CC}">
                <c16:uniqueId val="{00000007-4315-482C-B31C-C61158C3CDA2}"/>
              </c:ext>
            </c:extLst>
          </c:dPt>
          <c:dLbls>
            <c:dLbl>
              <c:idx val="0"/>
              <c:layout>
                <c:manualLayout>
                  <c:x val="9.9502487562189053E-3"/>
                  <c:y val="-6.14817091915155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315-482C-B31C-C61158C3CDA2}"/>
                </c:ext>
              </c:extLst>
            </c:dLbl>
            <c:dLbl>
              <c:idx val="1"/>
              <c:layout>
                <c:manualLayout>
                  <c:x val="1.2437810945273632E-2"/>
                  <c:y val="-1.537042729787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315-482C-B31C-C61158C3CDA2}"/>
                </c:ext>
              </c:extLst>
            </c:dLbl>
            <c:dLbl>
              <c:idx val="2"/>
              <c:layout>
                <c:manualLayout>
                  <c:x val="9.9502487562188151E-3"/>
                  <c:y val="-1.53704272978788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315-482C-B31C-C61158C3CDA2}"/>
                </c:ext>
              </c:extLst>
            </c:dLbl>
            <c:dLbl>
              <c:idx val="3"/>
              <c:layout>
                <c:manualLayout>
                  <c:x val="1.2437810945273632E-2"/>
                  <c:y val="-1.8444512757454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315-482C-B31C-C61158C3CDA2}"/>
                </c:ext>
              </c:extLst>
            </c:dLbl>
            <c:dLbl>
              <c:idx val="4"/>
              <c:layout>
                <c:manualLayout>
                  <c:x val="9.9502487562189053E-3"/>
                  <c:y val="-1.8444512757454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315-482C-B31C-C61158C3CDA2}"/>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Sheet2!$D$89:$D$93</c:f>
              <c:strCache>
                <c:ptCount val="5"/>
                <c:pt idx="0">
                  <c:v>LESS THAN RS 25,000</c:v>
                </c:pt>
                <c:pt idx="1">
                  <c:v>RS 25,000 - 50,000</c:v>
                </c:pt>
                <c:pt idx="2">
                  <c:v>RS 50,000 - 75,000</c:v>
                </c:pt>
                <c:pt idx="3">
                  <c:v>RS 75,000 - 1,00,000</c:v>
                </c:pt>
                <c:pt idx="4">
                  <c:v>ABOVE RS 1,00,000</c:v>
                </c:pt>
              </c:strCache>
            </c:strRef>
          </c:cat>
          <c:val>
            <c:numRef>
              <c:f>Sheet2!$E$89:$E$93</c:f>
              <c:numCache>
                <c:formatCode>General</c:formatCode>
                <c:ptCount val="5"/>
                <c:pt idx="0">
                  <c:v>7.8</c:v>
                </c:pt>
                <c:pt idx="1">
                  <c:v>30.7</c:v>
                </c:pt>
                <c:pt idx="2">
                  <c:v>44.8</c:v>
                </c:pt>
                <c:pt idx="3">
                  <c:v>5.7</c:v>
                </c:pt>
                <c:pt idx="4">
                  <c:v>10.9</c:v>
                </c:pt>
              </c:numCache>
            </c:numRef>
          </c:val>
          <c:shape val="cylinder"/>
          <c:extLst>
            <c:ext xmlns:c16="http://schemas.microsoft.com/office/drawing/2014/chart" uri="{C3380CC4-5D6E-409C-BE32-E72D297353CC}">
              <c16:uniqueId val="{00000009-4315-482C-B31C-C61158C3CDA2}"/>
            </c:ext>
          </c:extLst>
        </c:ser>
        <c:dLbls>
          <c:showLegendKey val="0"/>
          <c:showVal val="1"/>
          <c:showCatName val="0"/>
          <c:showSerName val="0"/>
          <c:showPercent val="0"/>
          <c:showBubbleSize val="0"/>
        </c:dLbls>
        <c:gapWidth val="150"/>
        <c:shape val="box"/>
        <c:axId val="1761406159"/>
        <c:axId val="1761412399"/>
        <c:axId val="0"/>
      </c:bar3DChart>
      <c:catAx>
        <c:axId val="1761406159"/>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t>Family monthly income </a:t>
                </a:r>
                <a:endParaRPr lang="en-IN" sz="1100" b="1"/>
              </a:p>
            </c:rich>
          </c:tx>
          <c:layout>
            <c:manualLayout>
              <c:xMode val="edge"/>
              <c:yMode val="edge"/>
              <c:x val="0.41823323849605704"/>
              <c:y val="0.95426293354892278"/>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61412399"/>
        <c:crosses val="autoZero"/>
        <c:auto val="1"/>
        <c:lblAlgn val="ctr"/>
        <c:lblOffset val="100"/>
        <c:noMultiLvlLbl val="0"/>
      </c:catAx>
      <c:valAx>
        <c:axId val="1761412399"/>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t>Percentage</a:t>
                </a:r>
              </a:p>
            </c:rich>
          </c:tx>
          <c:layout>
            <c:manualLayout>
              <c:xMode val="edge"/>
              <c:yMode val="edge"/>
              <c:x val="1.673983469345617E-3"/>
              <c:y val="0.31787955878401758"/>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614061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36895046589123"/>
          <c:y val="0.11458167729033869"/>
          <c:w val="0.62211455808461091"/>
          <c:h val="0.82101176054916203"/>
        </c:manualLayout>
      </c:layout>
      <c:pieChart>
        <c:varyColors val="1"/>
        <c:ser>
          <c:idx val="0"/>
          <c:order val="0"/>
          <c:spPr>
            <a:ln>
              <a:noFill/>
            </a:ln>
          </c:spPr>
          <c:dPt>
            <c:idx val="0"/>
            <c:bubble3D val="0"/>
            <c:spPr>
              <a:solidFill>
                <a:srgbClr val="00B0F0"/>
              </a:solidFill>
              <a:ln w="19050">
                <a:noFill/>
              </a:ln>
              <a:effectLst/>
            </c:spPr>
            <c:extLst>
              <c:ext xmlns:c16="http://schemas.microsoft.com/office/drawing/2014/chart" uri="{C3380CC4-5D6E-409C-BE32-E72D297353CC}">
                <c16:uniqueId val="{00000001-9712-4BB3-80DD-CAA6A918B529}"/>
              </c:ext>
            </c:extLst>
          </c:dPt>
          <c:dPt>
            <c:idx val="1"/>
            <c:bubble3D val="0"/>
            <c:spPr>
              <a:solidFill>
                <a:srgbClr val="FFC000"/>
              </a:solidFill>
              <a:ln w="19050">
                <a:noFill/>
              </a:ln>
              <a:effectLst/>
            </c:spPr>
            <c:extLst>
              <c:ext xmlns:c16="http://schemas.microsoft.com/office/drawing/2014/chart" uri="{C3380CC4-5D6E-409C-BE32-E72D297353CC}">
                <c16:uniqueId val="{00000003-9712-4BB3-80DD-CAA6A918B529}"/>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Sheet2!$D$115:$D$116</c:f>
              <c:strCache>
                <c:ptCount val="2"/>
                <c:pt idx="0">
                  <c:v>ABSTINENCE</c:v>
                </c:pt>
                <c:pt idx="1">
                  <c:v>ACTIVE</c:v>
                </c:pt>
              </c:strCache>
            </c:strRef>
          </c:cat>
          <c:val>
            <c:numRef>
              <c:f>Sheet2!$E$115:$E$116</c:f>
              <c:numCache>
                <c:formatCode>General</c:formatCode>
                <c:ptCount val="2"/>
                <c:pt idx="0">
                  <c:v>95.3</c:v>
                </c:pt>
                <c:pt idx="1">
                  <c:v>4.7</c:v>
                </c:pt>
              </c:numCache>
            </c:numRef>
          </c:val>
          <c:extLst>
            <c:ext xmlns:c16="http://schemas.microsoft.com/office/drawing/2014/chart" uri="{C3380CC4-5D6E-409C-BE32-E72D297353CC}">
              <c16:uniqueId val="{00000004-9712-4BB3-80DD-CAA6A918B52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75435016015489531"/>
          <c:y val="4.2523064445270662E-3"/>
          <c:w val="0.24168173517559452"/>
          <c:h val="0.1258791524450001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5B6E1-21B9-4E7E-881E-8C5B4379D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17</Pages>
  <Words>6109</Words>
  <Characters>34825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ranveer_2020@outlook.com</dc:creator>
  <cp:keywords/>
  <dc:description/>
  <cp:lastModifiedBy>Editor-1183</cp:lastModifiedBy>
  <cp:revision>40</cp:revision>
  <dcterms:created xsi:type="dcterms:W3CDTF">2025-11-21T07:27:00Z</dcterms:created>
  <dcterms:modified xsi:type="dcterms:W3CDTF">2025-12-18T10:55:00Z</dcterms:modified>
</cp:coreProperties>
</file>