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A63D3" w14:textId="608354ED" w:rsidR="00F81241" w:rsidRDefault="00C21483" w:rsidP="008736D2">
      <w:pPr>
        <w:pStyle w:val="NormalWeb"/>
        <w:jc w:val="center"/>
        <w:rPr>
          <w:b/>
          <w:bCs/>
          <w:color w:val="000000"/>
        </w:rPr>
      </w:pPr>
      <w:r w:rsidRPr="00296A52">
        <w:rPr>
          <w:b/>
          <w:bCs/>
          <w:color w:val="000000"/>
          <w:highlight w:val="yellow"/>
        </w:rPr>
        <w:t xml:space="preserve">Evaluation of </w:t>
      </w:r>
      <w:r w:rsidR="00F81241" w:rsidRPr="00296A52">
        <w:rPr>
          <w:b/>
          <w:bCs/>
          <w:color w:val="000000"/>
          <w:highlight w:val="yellow"/>
        </w:rPr>
        <w:t>the B</w:t>
      </w:r>
      <w:r w:rsidR="00C77384" w:rsidRPr="00296A52">
        <w:rPr>
          <w:b/>
          <w:bCs/>
          <w:color w:val="000000"/>
          <w:highlight w:val="yellow"/>
        </w:rPr>
        <w:t>achelor</w:t>
      </w:r>
      <w:r w:rsidR="00C77384">
        <w:rPr>
          <w:b/>
          <w:bCs/>
          <w:color w:val="000000"/>
        </w:rPr>
        <w:t xml:space="preserve"> of Science in</w:t>
      </w:r>
      <w:r w:rsidR="00F81241" w:rsidRPr="00F81241">
        <w:rPr>
          <w:b/>
          <w:bCs/>
          <w:color w:val="000000"/>
        </w:rPr>
        <w:t xml:space="preserve"> Nursing Curriculum of a Private Higher Education </w:t>
      </w:r>
      <w:r w:rsidR="00F81241" w:rsidRPr="00296A52">
        <w:rPr>
          <w:b/>
          <w:bCs/>
          <w:color w:val="000000"/>
          <w:highlight w:val="yellow"/>
        </w:rPr>
        <w:t>Institution</w:t>
      </w:r>
      <w:r w:rsidRPr="00296A52">
        <w:rPr>
          <w:b/>
          <w:bCs/>
          <w:color w:val="000000"/>
          <w:highlight w:val="yellow"/>
        </w:rPr>
        <w:t xml:space="preserve"> in</w:t>
      </w:r>
      <w:r w:rsidR="00F81241" w:rsidRPr="00296A52">
        <w:rPr>
          <w:b/>
          <w:bCs/>
          <w:color w:val="000000"/>
          <w:highlight w:val="yellow"/>
        </w:rPr>
        <w:t xml:space="preserve"> </w:t>
      </w:r>
      <w:r w:rsidRPr="00296A52">
        <w:rPr>
          <w:b/>
          <w:bCs/>
          <w:color w:val="000000"/>
          <w:highlight w:val="yellow"/>
        </w:rPr>
        <w:t xml:space="preserve">the </w:t>
      </w:r>
      <w:r w:rsidR="005A322D" w:rsidRPr="00296A52">
        <w:rPr>
          <w:b/>
          <w:bCs/>
          <w:color w:val="000000"/>
          <w:highlight w:val="yellow"/>
        </w:rPr>
        <w:t>Philippines</w:t>
      </w:r>
    </w:p>
    <w:p w14:paraId="4F3E72E4" w14:textId="77777777" w:rsidR="00B144BE" w:rsidRDefault="00B144BE" w:rsidP="008736D2">
      <w:pPr>
        <w:pStyle w:val="NormalWeb"/>
        <w:jc w:val="center"/>
        <w:rPr>
          <w:b/>
          <w:bCs/>
          <w:color w:val="000000"/>
        </w:rPr>
      </w:pPr>
    </w:p>
    <w:p w14:paraId="6A189A18" w14:textId="77777777" w:rsidR="009F610A" w:rsidRDefault="009F610A" w:rsidP="00460DAF">
      <w:pPr>
        <w:pStyle w:val="NormalWeb"/>
        <w:jc w:val="center"/>
        <w:rPr>
          <w:rStyle w:val="Strong"/>
          <w:rFonts w:eastAsiaTheme="majorEastAsia"/>
          <w:color w:val="000000"/>
        </w:rPr>
      </w:pPr>
    </w:p>
    <w:p w14:paraId="5A5B11A2" w14:textId="27405564" w:rsidR="00460DAF" w:rsidRDefault="00460DAF" w:rsidP="00460DAF">
      <w:pPr>
        <w:pStyle w:val="NormalWeb"/>
        <w:jc w:val="center"/>
        <w:rPr>
          <w:rStyle w:val="Strong"/>
          <w:rFonts w:eastAsiaTheme="majorEastAsia"/>
          <w:color w:val="000000"/>
        </w:rPr>
      </w:pPr>
      <w:r w:rsidRPr="00BB1C6B">
        <w:rPr>
          <w:rStyle w:val="Strong"/>
          <w:rFonts w:eastAsiaTheme="majorEastAsia"/>
          <w:color w:val="000000"/>
        </w:rPr>
        <w:t>Abstract</w:t>
      </w:r>
    </w:p>
    <w:p w14:paraId="592B1EA8" w14:textId="295DEDB4" w:rsidR="0042175E" w:rsidRDefault="00F94A5F" w:rsidP="0042175E">
      <w:pPr>
        <w:pStyle w:val="NormalWeb"/>
        <w:jc w:val="both"/>
        <w:rPr>
          <w:color w:val="000000"/>
        </w:rPr>
      </w:pPr>
      <w:r w:rsidRPr="00296A52">
        <w:rPr>
          <w:b/>
          <w:bCs/>
          <w:color w:val="000000"/>
          <w:highlight w:val="yellow"/>
        </w:rPr>
        <w:t>Introduction</w:t>
      </w:r>
      <w:r w:rsidR="0042175E" w:rsidRPr="0042175E">
        <w:rPr>
          <w:b/>
          <w:bCs/>
          <w:color w:val="000000"/>
        </w:rPr>
        <w:t>:</w:t>
      </w:r>
      <w:r w:rsidR="0042175E">
        <w:rPr>
          <w:color w:val="000000"/>
        </w:rPr>
        <w:t xml:space="preserve"> In an era of rapid change in healthcare and education, nursing programs must evolve to remain relevant and responsive.</w:t>
      </w:r>
      <w:r>
        <w:rPr>
          <w:color w:val="000000"/>
        </w:rPr>
        <w:t xml:space="preserve"> </w:t>
      </w:r>
      <w:r w:rsidRPr="00296A52">
        <w:rPr>
          <w:color w:val="000000"/>
          <w:highlight w:val="yellow"/>
        </w:rPr>
        <w:t xml:space="preserve">The Commission on Higher Education (CHED) in the Philippines mandates the implementation of Outcomes-Based Education (OBE) to foster </w:t>
      </w:r>
      <w:r w:rsidR="00B144BE">
        <w:rPr>
          <w:color w:val="000000"/>
          <w:highlight w:val="yellow"/>
        </w:rPr>
        <w:t>learner-</w:t>
      </w:r>
      <w:proofErr w:type="spellStart"/>
      <w:r w:rsidR="00B144BE">
        <w:rPr>
          <w:color w:val="000000"/>
          <w:highlight w:val="yellow"/>
        </w:rPr>
        <w:t>centred</w:t>
      </w:r>
      <w:proofErr w:type="spellEnd"/>
      <w:r w:rsidRPr="00296A52">
        <w:rPr>
          <w:color w:val="000000"/>
          <w:highlight w:val="yellow"/>
        </w:rPr>
        <w:t>, competency-driven instruction.</w:t>
      </w:r>
      <w:r>
        <w:rPr>
          <w:color w:val="000000"/>
        </w:rPr>
        <w:t xml:space="preserve"> </w:t>
      </w:r>
    </w:p>
    <w:p w14:paraId="7E2FE8CE" w14:textId="1374D18F" w:rsidR="0042175E" w:rsidRDefault="005A2072" w:rsidP="0042175E">
      <w:pPr>
        <w:pStyle w:val="NormalWeb"/>
        <w:jc w:val="both"/>
        <w:rPr>
          <w:color w:val="000000"/>
        </w:rPr>
      </w:pPr>
      <w:r w:rsidRPr="00296A52">
        <w:rPr>
          <w:b/>
          <w:bCs/>
          <w:color w:val="000000"/>
          <w:highlight w:val="yellow"/>
        </w:rPr>
        <w:t>Aim</w:t>
      </w:r>
      <w:r w:rsidR="0042175E" w:rsidRPr="00296A52">
        <w:rPr>
          <w:b/>
          <w:bCs/>
          <w:color w:val="000000"/>
          <w:highlight w:val="yellow"/>
        </w:rPr>
        <w:t>:</w:t>
      </w:r>
      <w:r w:rsidR="0042175E">
        <w:rPr>
          <w:color w:val="000000"/>
        </w:rPr>
        <w:t xml:space="preserve">   This study assessed the Bachelor of Science in Nursing (BSN) curriculum of a Private Higher Educational Institution, a pioneering institution in Central Luzon, Philippines, to determine key areas for outcomes-based enhancement. Amidst national reforms and global standards in nursing education, the research aimed to offer evidence-based recommendations to strengthen curriculum delivery, faculty competency, and student outcomes. </w:t>
      </w:r>
    </w:p>
    <w:p w14:paraId="404FFE8A" w14:textId="1EA9FB86" w:rsidR="0042175E" w:rsidRDefault="0042175E" w:rsidP="0042175E">
      <w:pPr>
        <w:pStyle w:val="NormalWeb"/>
        <w:jc w:val="both"/>
        <w:rPr>
          <w:color w:val="000000"/>
        </w:rPr>
      </w:pPr>
      <w:r w:rsidRPr="0042175E">
        <w:rPr>
          <w:b/>
          <w:bCs/>
          <w:color w:val="000000"/>
        </w:rPr>
        <w:t>Methods:</w:t>
      </w:r>
      <w:r>
        <w:rPr>
          <w:color w:val="000000"/>
        </w:rPr>
        <w:t xml:space="preserve"> Conducted in three phases, the study began with a SWOT analysis involving 21 stakeholders, followed by a modified Delphi process with 12 experts purposively to validate curricular priorities, and concluded with a synthesis of enhancement strategies and implementation timelines. Statistical tools, including the Shapiro-Wilk test, Wilcoxon signed-rank test, stability indices, content validity ratios (CVR), and intraclass correlation coefficients (ICC), were utilized, along with measures of central tendency and variation such as medians, interquartile ranges (IQR), and coefficients of variation (CV). </w:t>
      </w:r>
    </w:p>
    <w:p w14:paraId="2450A794" w14:textId="03981326" w:rsidR="0042175E" w:rsidRPr="00296A52" w:rsidRDefault="0042175E" w:rsidP="00296A52">
      <w:r w:rsidRPr="0042175E">
        <w:rPr>
          <w:b/>
          <w:bCs/>
          <w:color w:val="000000"/>
        </w:rPr>
        <w:t>Results:</w:t>
      </w:r>
      <w:r>
        <w:rPr>
          <w:color w:val="000000"/>
        </w:rPr>
        <w:t xml:space="preserve"> </w:t>
      </w:r>
      <w:r w:rsidR="00141A69" w:rsidRPr="00296A52">
        <w:rPr>
          <w:color w:val="000000"/>
          <w:highlight w:val="yellow"/>
        </w:rPr>
        <w:t>The results revealed that outcomes-based education (OBE) integration showed declining mean scores (4.167 to 3.667) and increasing variability (CV: 16.49% to 32.14%), suggesting a need for clearer implementation strategies and deeper faculty and institutional engagement. The Wilcoxon Signed-Rank Test revealed that only Internationalization showed a statistically significant shift (p = 0.047), indicating growing recognition of global frameworks and competencies in the BS Nursing curriculum. Moreover, the f</w:t>
      </w:r>
      <w:r w:rsidRPr="00296A52">
        <w:rPr>
          <w:color w:val="000000"/>
          <w:highlight w:val="yellow"/>
        </w:rPr>
        <w:t>indings</w:t>
      </w:r>
      <w:r>
        <w:rPr>
          <w:color w:val="000000"/>
        </w:rPr>
        <w:t xml:space="preserve"> identified eight curriculum enhancement areas: OBE integration, faculty training, RLE-theory alignment, assessment policy, LMS utilization, community engagement, gender mainstreaming, and internationalization. High-priority items were scheduled for action within one year, ensuring immediate impact on instructional practices.</w:t>
      </w:r>
    </w:p>
    <w:p w14:paraId="320E9ADB" w14:textId="33C2A40B" w:rsidR="0042175E" w:rsidRDefault="0042175E" w:rsidP="0042175E">
      <w:pPr>
        <w:pStyle w:val="NormalWeb"/>
        <w:jc w:val="both"/>
        <w:rPr>
          <w:color w:val="000000"/>
        </w:rPr>
      </w:pPr>
      <w:r w:rsidRPr="0042175E">
        <w:rPr>
          <w:b/>
          <w:bCs/>
          <w:color w:val="000000"/>
        </w:rPr>
        <w:t>Conclusions:</w:t>
      </w:r>
      <w:r>
        <w:rPr>
          <w:color w:val="000000"/>
        </w:rPr>
        <w:t xml:space="preserve"> The study concluded that a data-driven, participatory approach to curriculum review fosters meaningful and sustainable reforms. Its outcomes provide a blueprint not only for the institution under study but also for other nursing schools aiming for accreditation, global alignment, and instructional excellence.</w:t>
      </w:r>
    </w:p>
    <w:p w14:paraId="75579DB2" w14:textId="7C23551E" w:rsidR="0042175E" w:rsidRDefault="0042175E" w:rsidP="00B948F7">
      <w:pPr>
        <w:pStyle w:val="NormalWeb"/>
        <w:jc w:val="both"/>
        <w:rPr>
          <w:color w:val="000000"/>
        </w:rPr>
      </w:pPr>
      <w:r>
        <w:rPr>
          <w:rStyle w:val="Strong"/>
          <w:rFonts w:eastAsiaTheme="majorEastAsia"/>
          <w:color w:val="000000"/>
        </w:rPr>
        <w:t>Keywords:</w:t>
      </w:r>
      <w:r>
        <w:rPr>
          <w:rStyle w:val="apple-converted-space"/>
          <w:rFonts w:eastAsiaTheme="majorEastAsia"/>
          <w:color w:val="000000"/>
        </w:rPr>
        <w:t> </w:t>
      </w:r>
      <w:r w:rsidRPr="00296A52">
        <w:rPr>
          <w:i/>
          <w:iCs/>
          <w:color w:val="000000"/>
        </w:rPr>
        <w:t>Nursing education, curriculum enhancement, outcomes-based education, Delphi method, curriculum evaluation</w:t>
      </w:r>
    </w:p>
    <w:p w14:paraId="35BBE4EA" w14:textId="77777777" w:rsidR="00B948F7" w:rsidRDefault="00B948F7" w:rsidP="0042175E">
      <w:pPr>
        <w:pStyle w:val="NormalWeb"/>
        <w:rPr>
          <w:color w:val="000000"/>
        </w:rPr>
      </w:pPr>
    </w:p>
    <w:p w14:paraId="6AFE9B9D" w14:textId="72856891" w:rsidR="003E0236" w:rsidRDefault="00602695" w:rsidP="00277689">
      <w:pPr>
        <w:spacing w:before="100" w:beforeAutospacing="1" w:after="100" w:afterAutospacing="1"/>
        <w:jc w:val="both"/>
        <w:outlineLvl w:val="2"/>
        <w:rPr>
          <w:b/>
          <w:bCs/>
          <w:color w:val="000000"/>
        </w:rPr>
      </w:pPr>
      <w:r w:rsidRPr="00BB1C6B">
        <w:rPr>
          <w:b/>
          <w:bCs/>
          <w:color w:val="000000"/>
        </w:rPr>
        <w:t>Introduction</w:t>
      </w:r>
      <w:r w:rsidR="00AE615D">
        <w:rPr>
          <w:b/>
          <w:bCs/>
          <w:color w:val="000000"/>
        </w:rPr>
        <w:t xml:space="preserve"> </w:t>
      </w:r>
    </w:p>
    <w:p w14:paraId="3BC692DF" w14:textId="778A7C55" w:rsidR="009F093A" w:rsidRDefault="00C21483" w:rsidP="009F093A">
      <w:pPr>
        <w:pStyle w:val="NormalWeb"/>
        <w:jc w:val="both"/>
        <w:rPr>
          <w:color w:val="000000"/>
        </w:rPr>
      </w:pPr>
      <w:r w:rsidRPr="00296A52">
        <w:rPr>
          <w:color w:val="000000"/>
          <w:highlight w:val="yellow"/>
        </w:rPr>
        <w:t xml:space="preserve">Nurses are </w:t>
      </w:r>
      <w:r w:rsidR="00AC6AB8">
        <w:rPr>
          <w:color w:val="000000"/>
          <w:highlight w:val="yellow"/>
        </w:rPr>
        <w:t>a</w:t>
      </w:r>
      <w:r w:rsidRPr="00296A52">
        <w:rPr>
          <w:color w:val="000000"/>
          <w:highlight w:val="yellow"/>
        </w:rPr>
        <w:t xml:space="preserve"> reliable source of medical and public health information and counseling on a range of health issues. The nursing curriculum forms an important entry point for strengthening relationships, consequently improving client satisfaction with nurses' competencies, confidence in the formal healthcare system, healthcare-seeking practices, and continuity with care (</w:t>
      </w:r>
      <w:proofErr w:type="spellStart"/>
      <w:r w:rsidRPr="00296A52">
        <w:rPr>
          <w:color w:val="000000"/>
          <w:highlight w:val="yellow"/>
        </w:rPr>
        <w:t>Isangula</w:t>
      </w:r>
      <w:proofErr w:type="spellEnd"/>
      <w:r w:rsidRPr="00296A52">
        <w:rPr>
          <w:color w:val="000000"/>
          <w:highlight w:val="yellow"/>
        </w:rPr>
        <w:t xml:space="preserve"> et al., 2023</w:t>
      </w:r>
      <w:r w:rsidR="00AC6AB8">
        <w:rPr>
          <w:color w:val="000000"/>
          <w:highlight w:val="yellow"/>
        </w:rPr>
        <w:t xml:space="preserve">; </w:t>
      </w:r>
      <w:r w:rsidR="00AC6AB8" w:rsidRPr="00AC6AB8">
        <w:rPr>
          <w:color w:val="000000"/>
          <w:highlight w:val="yellow"/>
        </w:rPr>
        <w:t>Epp</w:t>
      </w:r>
      <w:r w:rsidR="00AC6AB8">
        <w:rPr>
          <w:color w:val="000000"/>
          <w:highlight w:val="yellow"/>
        </w:rPr>
        <w:t xml:space="preserve"> et al., 2021</w:t>
      </w:r>
      <w:r w:rsidRPr="00296A52">
        <w:rPr>
          <w:color w:val="000000"/>
          <w:highlight w:val="yellow"/>
        </w:rPr>
        <w:t>).</w:t>
      </w:r>
      <w:r>
        <w:rPr>
          <w:color w:val="000000"/>
        </w:rPr>
        <w:t xml:space="preserve"> </w:t>
      </w:r>
      <w:r w:rsidR="009F093A">
        <w:rPr>
          <w:color w:val="000000"/>
        </w:rPr>
        <w:t>In the context of modern nursing education, curriculum development serves as a pivotal foundation for preparing competent, ethical, and globally responsive nursing professionals. The quality of nursing education is largely determined by how well its curriculum aligns with regulatory standards, industry needs, and the evolving health care landscape (</w:t>
      </w:r>
      <w:r w:rsidR="00EA3350">
        <w:rPr>
          <w:color w:val="000000"/>
        </w:rPr>
        <w:t>Sumpter et al., 2022</w:t>
      </w:r>
      <w:r w:rsidR="009F093A">
        <w:rPr>
          <w:color w:val="000000"/>
        </w:rPr>
        <w:t>). As the demands of health systems grow increasingly complex, nursing programs must continually revisit and refine their curricular structures to ensure graduates are adequately prepared for professional practice</w:t>
      </w:r>
      <w:r w:rsidR="00EA3350">
        <w:rPr>
          <w:color w:val="000000"/>
        </w:rPr>
        <w:t xml:space="preserve"> (Abou et al., 2025). </w:t>
      </w:r>
    </w:p>
    <w:p w14:paraId="4BFD40B0" w14:textId="5FB5B8CD" w:rsidR="009F093A" w:rsidRDefault="009F093A" w:rsidP="009F093A">
      <w:pPr>
        <w:pStyle w:val="NormalWeb"/>
        <w:jc w:val="both"/>
        <w:rPr>
          <w:color w:val="000000"/>
        </w:rPr>
      </w:pPr>
      <w:r>
        <w:rPr>
          <w:color w:val="000000"/>
        </w:rPr>
        <w:t>The Commission on Higher Education (CHED) in the Philippines mandates the implementation of Outcomes-Based Education (OBE) to foster learner-centered, competency-driven instruction (CHED Memorandum Order No. 15, s. 2017). OBE emphasizes clear learning outcomes, alignment of instruction and assessment, and continuous quality improvement. Despite this directive, many higher education institutions face challenges in implementing and sustaining OBE-aligned curricula due to limited training, fragmented review processes, and inadequate monitoring systems (</w:t>
      </w:r>
      <w:r w:rsidR="00EA3350">
        <w:rPr>
          <w:color w:val="000000"/>
        </w:rPr>
        <w:t xml:space="preserve">Mirata et al., 2020; </w:t>
      </w:r>
      <w:proofErr w:type="spellStart"/>
      <w:r w:rsidR="00EA3350">
        <w:rPr>
          <w:color w:val="000000"/>
        </w:rPr>
        <w:t>Gkrimpizi</w:t>
      </w:r>
      <w:proofErr w:type="spellEnd"/>
      <w:r w:rsidR="00EA3350">
        <w:rPr>
          <w:color w:val="000000"/>
        </w:rPr>
        <w:t xml:space="preserve"> et al., 2023</w:t>
      </w:r>
      <w:r>
        <w:rPr>
          <w:color w:val="000000"/>
        </w:rPr>
        <w:t>). These barriers may compromise the curriculum's responsiveness to both local and international healthcare expectations</w:t>
      </w:r>
      <w:r w:rsidR="00EA3350">
        <w:rPr>
          <w:color w:val="000000"/>
        </w:rPr>
        <w:t xml:space="preserve"> (Zickafoose et al., 2024).</w:t>
      </w:r>
    </w:p>
    <w:p w14:paraId="4DA78B4F" w14:textId="3F36FFC9" w:rsidR="009F093A" w:rsidRDefault="00F613E0" w:rsidP="009F093A">
      <w:pPr>
        <w:pStyle w:val="NormalWeb"/>
        <w:jc w:val="both"/>
        <w:rPr>
          <w:color w:val="000000"/>
        </w:rPr>
      </w:pPr>
      <w:r w:rsidRPr="00296A52">
        <w:rPr>
          <w:color w:val="000000"/>
          <w:highlight w:val="yellow"/>
        </w:rPr>
        <w:t>Practitioners must be able to confidently address learning needs specific to their time and place. Educational providers have the benefit of a clear set of attributes and skills around which to produce curricula and assessments (Collier et al., 2023</w:t>
      </w:r>
      <w:r w:rsidR="008257AD">
        <w:rPr>
          <w:color w:val="000000"/>
          <w:highlight w:val="yellow"/>
        </w:rPr>
        <w:t xml:space="preserve">; </w:t>
      </w:r>
      <w:r w:rsidR="008257AD" w:rsidRPr="008257AD">
        <w:rPr>
          <w:color w:val="000000"/>
          <w:highlight w:val="yellow"/>
        </w:rPr>
        <w:t>Mustapha</w:t>
      </w:r>
      <w:r w:rsidR="008257AD">
        <w:rPr>
          <w:color w:val="000000"/>
          <w:highlight w:val="yellow"/>
        </w:rPr>
        <w:t>, 2019</w:t>
      </w:r>
      <w:r w:rsidRPr="00296A52">
        <w:rPr>
          <w:color w:val="000000"/>
          <w:highlight w:val="yellow"/>
        </w:rPr>
        <w:t>).</w:t>
      </w:r>
      <w:r w:rsidRPr="00F613E0">
        <w:rPr>
          <w:color w:val="000000"/>
        </w:rPr>
        <w:t> </w:t>
      </w:r>
      <w:r w:rsidR="009F093A">
        <w:rPr>
          <w:color w:val="000000"/>
        </w:rPr>
        <w:t>Curricular assessment is therefore a strategic process that must integrate comprehensive evaluation frameworks. A widely used initial step is the SWOT analysis, which identifies internal strengths and weaknesses, as well as external opportunities and threats (</w:t>
      </w:r>
      <w:proofErr w:type="spellStart"/>
      <w:r w:rsidR="00EA3350">
        <w:rPr>
          <w:color w:val="000000"/>
        </w:rPr>
        <w:t>Benzaghta</w:t>
      </w:r>
      <w:proofErr w:type="spellEnd"/>
      <w:r w:rsidR="00EA3350">
        <w:rPr>
          <w:color w:val="000000"/>
        </w:rPr>
        <w:t xml:space="preserve"> et al., 2021</w:t>
      </w:r>
      <w:r w:rsidR="009F093A">
        <w:rPr>
          <w:color w:val="000000"/>
        </w:rPr>
        <w:t>). Following this, participatory approaches such as the Modified Delphi Technique allow stakeholders to collaboratively validate and prioritize areas for improvement (</w:t>
      </w:r>
      <w:r w:rsidR="00EA3350">
        <w:rPr>
          <w:color w:val="000000"/>
        </w:rPr>
        <w:t>Oxley et al., 2024</w:t>
      </w:r>
      <w:r w:rsidR="009F093A">
        <w:rPr>
          <w:color w:val="000000"/>
        </w:rPr>
        <w:t>). These methods are essential in grounding curricular reforms in evidence, experience, and context-specific realities, ensuring relevance and sustainability.</w:t>
      </w:r>
    </w:p>
    <w:p w14:paraId="2F983AB4" w14:textId="57FD2F66" w:rsidR="009F093A" w:rsidRDefault="009F093A" w:rsidP="009F093A">
      <w:pPr>
        <w:pStyle w:val="NormalWeb"/>
        <w:jc w:val="both"/>
        <w:rPr>
          <w:color w:val="000000"/>
        </w:rPr>
      </w:pPr>
      <w:r>
        <w:rPr>
          <w:color w:val="000000"/>
        </w:rPr>
        <w:t>In the case of private higher education institutions (HEIs), such as the subject of this study, there is an added pressure to meet accreditation standards, maintain competitive program quality, and fulfill institutional missions</w:t>
      </w:r>
      <w:r w:rsidR="00EA3350">
        <w:rPr>
          <w:color w:val="000000"/>
        </w:rPr>
        <w:t xml:space="preserve"> (Morales, 2019).</w:t>
      </w:r>
      <w:r>
        <w:rPr>
          <w:color w:val="000000"/>
        </w:rPr>
        <w:t xml:space="preserve"> The role of stakeholder engagement</w:t>
      </w:r>
      <w:r w:rsidR="00EA3350">
        <w:rPr>
          <w:color w:val="000000"/>
        </w:rPr>
        <w:t xml:space="preserve">, </w:t>
      </w:r>
      <w:r>
        <w:rPr>
          <w:color w:val="000000"/>
        </w:rPr>
        <w:t>particularly among faculty, students, and industry partners</w:t>
      </w:r>
      <w:r w:rsidR="00EA3350">
        <w:rPr>
          <w:color w:val="000000"/>
        </w:rPr>
        <w:t xml:space="preserve">, </w:t>
      </w:r>
      <w:r>
        <w:rPr>
          <w:color w:val="000000"/>
        </w:rPr>
        <w:t>has become increasingly significant in fostering responsive, innovative, and outcomes-based curricula (</w:t>
      </w:r>
      <w:r w:rsidR="00EA3350">
        <w:rPr>
          <w:color w:val="000000"/>
        </w:rPr>
        <w:t>Kumar et al., 2021</w:t>
      </w:r>
      <w:r>
        <w:rPr>
          <w:color w:val="000000"/>
        </w:rPr>
        <w:t>). Yet, without a structured review mechanism, many private HEIs may fail to fully realize the benefits of these approaches.</w:t>
      </w:r>
    </w:p>
    <w:p w14:paraId="2740AA1A" w14:textId="4B122DF8" w:rsidR="009F093A" w:rsidRDefault="009F093A" w:rsidP="00E0673F">
      <w:pPr>
        <w:pStyle w:val="NormalWeb"/>
        <w:jc w:val="both"/>
        <w:rPr>
          <w:color w:val="000000"/>
        </w:rPr>
      </w:pPr>
      <w:r>
        <w:rPr>
          <w:color w:val="000000"/>
        </w:rPr>
        <w:lastRenderedPageBreak/>
        <w:t xml:space="preserve">Motivated by observed gaps in curriculum alignment, stakeholder feedback, and the evolving demands of professional nursing practice, the researchers undertook this study to critically assess the BS Nursing curriculum of a selected private HEI. Despite these achievements, the ever-changing landscape of healthcare and higher education demands that nursing programs like that of </w:t>
      </w:r>
      <w:r w:rsidR="00B948F7">
        <w:rPr>
          <w:color w:val="000000"/>
        </w:rPr>
        <w:t>the PHEI</w:t>
      </w:r>
      <w:r>
        <w:rPr>
          <w:color w:val="000000"/>
        </w:rPr>
        <w:t xml:space="preserve"> consistently re-examine their curricular structures and instructional frameworks. Recent reforms led by the Commission on Higher Education (CHED), including the adoption of Outcomes-Based Education (OBE) under CMO No. 15, s. 2017, require institutions to ensure that curricula are not only compliant but also responsive to competency-based standards. This shift from traditional content-based teaching to outcomes-based, student-centered learning necessitates a comprehensive curriculum review.</w:t>
      </w:r>
    </w:p>
    <w:p w14:paraId="76CA7A50" w14:textId="47743F7B" w:rsidR="009F093A" w:rsidRDefault="009F093A" w:rsidP="009F093A">
      <w:pPr>
        <w:pStyle w:val="NormalWeb"/>
        <w:jc w:val="both"/>
        <w:rPr>
          <w:color w:val="000000"/>
        </w:rPr>
      </w:pPr>
      <w:r>
        <w:rPr>
          <w:color w:val="000000"/>
        </w:rPr>
        <w:t>Challenges in implementing OBE have been documented across Philippine HEIs, particularly in translating the philosophy into practice (</w:t>
      </w:r>
      <w:proofErr w:type="spellStart"/>
      <w:r w:rsidR="003D7DCD">
        <w:rPr>
          <w:color w:val="000000"/>
        </w:rPr>
        <w:t>Hapinat</w:t>
      </w:r>
      <w:proofErr w:type="spellEnd"/>
      <w:r w:rsidR="003D7DCD">
        <w:rPr>
          <w:color w:val="000000"/>
        </w:rPr>
        <w:t>, 2023</w:t>
      </w:r>
      <w:r>
        <w:rPr>
          <w:color w:val="000000"/>
        </w:rPr>
        <w:t>). Many nursing programs, especially in private institutions, face barriers such as insufficient faculty training, lack of monitoring systems, and outdated instructional tools</w:t>
      </w:r>
      <w:r w:rsidR="003D7DCD">
        <w:rPr>
          <w:color w:val="000000"/>
        </w:rPr>
        <w:t xml:space="preserve"> (Fernando, 2021).  </w:t>
      </w:r>
      <w:r w:rsidR="00B948F7">
        <w:rPr>
          <w:color w:val="000000"/>
        </w:rPr>
        <w:t>The PHEI</w:t>
      </w:r>
      <w:r>
        <w:rPr>
          <w:color w:val="000000"/>
        </w:rPr>
        <w:t>, while remaining committed to quality, is not exempt from these concerns. The institution must confront these challenges proactively to maintain its relevance and excellence in nursing education.</w:t>
      </w:r>
    </w:p>
    <w:p w14:paraId="50C34B38" w14:textId="1BE17CEC" w:rsidR="009F093A" w:rsidRDefault="009F093A" w:rsidP="009F093A">
      <w:pPr>
        <w:pStyle w:val="NormalWeb"/>
        <w:jc w:val="both"/>
        <w:rPr>
          <w:color w:val="000000"/>
        </w:rPr>
      </w:pPr>
      <w:r>
        <w:rPr>
          <w:color w:val="000000"/>
        </w:rPr>
        <w:t>Moreover, the COVID-19 pandemic further underscored the importance of flexible, innovative, and technology-integrated curricula</w:t>
      </w:r>
      <w:r w:rsidR="003D7DCD">
        <w:rPr>
          <w:color w:val="000000"/>
        </w:rPr>
        <w:t xml:space="preserve"> (Chauvette et al., 2022). </w:t>
      </w:r>
      <w:r>
        <w:rPr>
          <w:color w:val="000000"/>
        </w:rPr>
        <w:t xml:space="preserve"> Nursing education had to quickly adapt to remote learning, simulation-based activities, and competency assessments in virtual settings</w:t>
      </w:r>
      <w:r w:rsidR="003D7DCD">
        <w:rPr>
          <w:color w:val="000000"/>
        </w:rPr>
        <w:t xml:space="preserve"> (Leaver et al., 2022).</w:t>
      </w:r>
      <w:r>
        <w:rPr>
          <w:color w:val="000000"/>
        </w:rPr>
        <w:t xml:space="preserve"> These disruptions exposed existing gaps in digital infrastructure, learning management system (LMS) integration, and policy development across many institutions, including pioneering ones like </w:t>
      </w:r>
      <w:r w:rsidR="00B948F7">
        <w:rPr>
          <w:color w:val="000000"/>
        </w:rPr>
        <w:t>this PHEI</w:t>
      </w:r>
      <w:r w:rsidR="003D7DCD">
        <w:rPr>
          <w:color w:val="000000"/>
        </w:rPr>
        <w:t xml:space="preserve"> (Peralta et al., 2024).  </w:t>
      </w:r>
      <w:r>
        <w:rPr>
          <w:color w:val="000000"/>
        </w:rPr>
        <w:t>As such, evaluating the curriculum in light of these systemic challenges is both timely and necessary.</w:t>
      </w:r>
    </w:p>
    <w:p w14:paraId="648EBFE3" w14:textId="41E78A3A" w:rsidR="009F093A" w:rsidRPr="00920F3B" w:rsidRDefault="009F093A" w:rsidP="00E0673F">
      <w:pPr>
        <w:pStyle w:val="NormalWeb"/>
        <w:jc w:val="both"/>
        <w:rPr>
          <w:color w:val="000000"/>
        </w:rPr>
      </w:pPr>
      <w:r>
        <w:rPr>
          <w:color w:val="000000"/>
        </w:rPr>
        <w:t>A comprehensive curriculum review requires a multi-phase and participatory approach. Beginning with a SWOT analysis allows institutions to identify internal capacities and limitations while also mapping out external opportunities and threats. This diagnostic tool, followed by expert consensus using the Modified Delphi technique, ensures that recommendations for improvement are grounded in evidence and stakeholder input (</w:t>
      </w:r>
      <w:r w:rsidR="00A1614A">
        <w:rPr>
          <w:color w:val="000000"/>
        </w:rPr>
        <w:t>Cordova-</w:t>
      </w:r>
      <w:proofErr w:type="spellStart"/>
      <w:r w:rsidR="00A1614A">
        <w:rPr>
          <w:color w:val="000000"/>
        </w:rPr>
        <w:t>Pozo</w:t>
      </w:r>
      <w:proofErr w:type="spellEnd"/>
      <w:r w:rsidR="00A1614A">
        <w:rPr>
          <w:color w:val="000000"/>
        </w:rPr>
        <w:t xml:space="preserve"> &amp; </w:t>
      </w:r>
      <w:proofErr w:type="spellStart"/>
      <w:r w:rsidR="00A1614A">
        <w:rPr>
          <w:color w:val="000000"/>
        </w:rPr>
        <w:t>Rouwette</w:t>
      </w:r>
      <w:proofErr w:type="spellEnd"/>
      <w:r w:rsidR="00A1614A">
        <w:rPr>
          <w:color w:val="000000"/>
        </w:rPr>
        <w:t>, 2023</w:t>
      </w:r>
      <w:r>
        <w:rPr>
          <w:color w:val="000000"/>
        </w:rPr>
        <w:t xml:space="preserve">). These steps lay the groundwork for a more robust, outcomes-aligned curriculum that enhances both academic and clinical </w:t>
      </w:r>
      <w:proofErr w:type="spellStart"/>
      <w:proofErr w:type="gramStart"/>
      <w:r>
        <w:rPr>
          <w:color w:val="000000"/>
        </w:rPr>
        <w:t>instruction.</w:t>
      </w:r>
      <w:r w:rsidR="00920F3B">
        <w:rPr>
          <w:color w:val="000000"/>
        </w:rPr>
        <w:t>Thus</w:t>
      </w:r>
      <w:proofErr w:type="spellEnd"/>
      <w:proofErr w:type="gramEnd"/>
      <w:r>
        <w:rPr>
          <w:color w:val="000000"/>
        </w:rPr>
        <w:t xml:space="preserve">, the study seeks to support </w:t>
      </w:r>
      <w:r w:rsidR="00B948F7">
        <w:rPr>
          <w:color w:val="000000"/>
        </w:rPr>
        <w:t xml:space="preserve">this PHEI </w:t>
      </w:r>
      <w:r>
        <w:rPr>
          <w:color w:val="000000"/>
        </w:rPr>
        <w:t>in its journey toward curriculum excellence and long-term institutional advancement.</w:t>
      </w:r>
    </w:p>
    <w:p w14:paraId="15822B44" w14:textId="0AF5168E" w:rsidR="00460DAF" w:rsidRDefault="00460DAF" w:rsidP="00D167FC">
      <w:pPr>
        <w:spacing w:before="100" w:beforeAutospacing="1" w:after="100" w:afterAutospacing="1"/>
        <w:jc w:val="both"/>
        <w:rPr>
          <w:b/>
          <w:bCs/>
          <w:color w:val="000000"/>
        </w:rPr>
      </w:pPr>
      <w:r w:rsidRPr="00BB1C6B">
        <w:rPr>
          <w:b/>
          <w:bCs/>
          <w:color w:val="000000"/>
        </w:rPr>
        <w:t>Research Objectives</w:t>
      </w:r>
    </w:p>
    <w:p w14:paraId="24FE3FB8" w14:textId="287E3898" w:rsidR="009F093A" w:rsidRDefault="009F093A" w:rsidP="009F093A">
      <w:pPr>
        <w:pStyle w:val="NormalWeb"/>
        <w:jc w:val="both"/>
        <w:rPr>
          <w:color w:val="000000"/>
        </w:rPr>
      </w:pPr>
      <w:r>
        <w:rPr>
          <w:color w:val="000000"/>
        </w:rPr>
        <w:t>This study aimed to assess the BS Nursing curriculum of a private higher education institution for outcomes-based enhancement through a structured, three-phase process. In</w:t>
      </w:r>
      <w:r>
        <w:rPr>
          <w:rStyle w:val="apple-converted-space"/>
          <w:rFonts w:eastAsiaTheme="majorEastAsia"/>
          <w:color w:val="000000"/>
        </w:rPr>
        <w:t> </w:t>
      </w:r>
      <w:r w:rsidRPr="009F093A">
        <w:rPr>
          <w:rStyle w:val="Strong"/>
          <w:rFonts w:eastAsiaTheme="majorEastAsia"/>
          <w:b w:val="0"/>
          <w:bCs w:val="0"/>
          <w:color w:val="000000"/>
        </w:rPr>
        <w:t>Phase 1</w:t>
      </w:r>
      <w:r w:rsidRPr="009F093A">
        <w:rPr>
          <w:b/>
          <w:bCs/>
          <w:color w:val="000000"/>
        </w:rPr>
        <w:t>,</w:t>
      </w:r>
      <w:r>
        <w:rPr>
          <w:color w:val="000000"/>
        </w:rPr>
        <w:t xml:space="preserve"> the researchers conducted a SWOT (Strengths, Weaknesses, Opportunities, and Threats) analysis of the existing BS Nursing curriculum. This phase identified institutional and instructional strengths, such as compliance with CHED policies and active academic partnerships, as well as areas of concern</w:t>
      </w:r>
      <w:r w:rsidR="00B948F7">
        <w:rPr>
          <w:color w:val="000000"/>
        </w:rPr>
        <w:t>,</w:t>
      </w:r>
      <w:r>
        <w:rPr>
          <w:color w:val="000000"/>
        </w:rPr>
        <w:t xml:space="preserve"> including the absence of a fully outcomes-based design, limited faculty development programs, and the lack of structured policies and evaluation mechanisms. The analysis provided a diagnostic foundation for understanding the current state of the curriculum. In</w:t>
      </w:r>
      <w:r>
        <w:rPr>
          <w:rStyle w:val="apple-converted-space"/>
          <w:rFonts w:eastAsiaTheme="majorEastAsia"/>
          <w:color w:val="000000"/>
        </w:rPr>
        <w:t> </w:t>
      </w:r>
      <w:r w:rsidRPr="009F093A">
        <w:rPr>
          <w:rStyle w:val="Strong"/>
          <w:rFonts w:eastAsiaTheme="majorEastAsia"/>
          <w:b w:val="0"/>
          <w:bCs w:val="0"/>
          <w:color w:val="000000"/>
        </w:rPr>
        <w:t>Phase 2</w:t>
      </w:r>
      <w:r w:rsidRPr="009F093A">
        <w:rPr>
          <w:b/>
          <w:bCs/>
          <w:color w:val="000000"/>
        </w:rPr>
        <w:t>,</w:t>
      </w:r>
      <w:r>
        <w:rPr>
          <w:color w:val="000000"/>
        </w:rPr>
        <w:t xml:space="preserve"> the researchers employed the Modified Delphi technique to engage a panel of academic and clinical </w:t>
      </w:r>
      <w:r>
        <w:rPr>
          <w:color w:val="000000"/>
        </w:rPr>
        <w:lastRenderedPageBreak/>
        <w:t>experts. Through successive rounds of consultation and validation, the panel reached a consensus on priority areas for curriculum revision. This phase enabled the refinement of key recommendations based on collective expertise, ensuring that enhancements would be grounded in practical, pedagogical, and professional relevance. In</w:t>
      </w:r>
      <w:r>
        <w:rPr>
          <w:rStyle w:val="apple-converted-space"/>
          <w:rFonts w:eastAsiaTheme="majorEastAsia"/>
          <w:color w:val="000000"/>
        </w:rPr>
        <w:t> </w:t>
      </w:r>
      <w:r w:rsidRPr="009F093A">
        <w:rPr>
          <w:rStyle w:val="Strong"/>
          <w:rFonts w:eastAsiaTheme="majorEastAsia"/>
          <w:b w:val="0"/>
          <w:bCs w:val="0"/>
          <w:color w:val="000000"/>
        </w:rPr>
        <w:t>Phase 3</w:t>
      </w:r>
      <w:r w:rsidRPr="009F093A">
        <w:rPr>
          <w:b/>
          <w:bCs/>
          <w:color w:val="000000"/>
        </w:rPr>
        <w:t>,</w:t>
      </w:r>
      <w:r>
        <w:rPr>
          <w:color w:val="000000"/>
        </w:rPr>
        <w:t xml:space="preserve"> the researchers conducted a curricular analysis to align the existing program with outcomes-based education (OBE) standards. Using the validated recommendations from the Delphi process, the curriculum was critically evaluated and enhanced to promote student-centered, competency-based learning. The enhancements aimed to strengthen alignment with CHED outcomes, support accreditation requirements, and ensure responsiveness to stakeholder needs.</w:t>
      </w:r>
    </w:p>
    <w:p w14:paraId="6ABB2553" w14:textId="77777777" w:rsidR="004A0236" w:rsidRDefault="004A0236" w:rsidP="00D167FC">
      <w:pPr>
        <w:spacing w:before="100" w:beforeAutospacing="1" w:after="100" w:afterAutospacing="1"/>
        <w:jc w:val="both"/>
        <w:rPr>
          <w:b/>
          <w:bCs/>
          <w:color w:val="000000"/>
        </w:rPr>
      </w:pPr>
    </w:p>
    <w:p w14:paraId="397FFE7D" w14:textId="189106A3" w:rsidR="00460DAF" w:rsidRDefault="00460DAF" w:rsidP="00D167FC">
      <w:pPr>
        <w:spacing w:before="100" w:beforeAutospacing="1" w:after="100" w:afterAutospacing="1"/>
        <w:jc w:val="both"/>
        <w:rPr>
          <w:b/>
          <w:bCs/>
          <w:color w:val="000000"/>
        </w:rPr>
      </w:pPr>
      <w:r w:rsidRPr="00BB1C6B">
        <w:rPr>
          <w:b/>
          <w:bCs/>
          <w:color w:val="000000"/>
        </w:rPr>
        <w:t>Methodology</w:t>
      </w:r>
      <w:r w:rsidR="00D167FC" w:rsidRPr="00BB1C6B">
        <w:rPr>
          <w:b/>
          <w:bCs/>
          <w:color w:val="000000"/>
        </w:rPr>
        <w:t xml:space="preserve"> </w:t>
      </w:r>
    </w:p>
    <w:p w14:paraId="0FAF1F7B" w14:textId="77777777" w:rsidR="00E0673F" w:rsidRDefault="00E0673F" w:rsidP="00D167FC">
      <w:pPr>
        <w:spacing w:before="100" w:beforeAutospacing="1" w:after="100" w:afterAutospacing="1"/>
        <w:jc w:val="both"/>
        <w:rPr>
          <w:color w:val="000000"/>
        </w:rPr>
      </w:pPr>
      <w:r w:rsidRPr="00E0673F">
        <w:rPr>
          <w:color w:val="000000"/>
        </w:rPr>
        <w:t>This study employed a three-phase mixed-method design to assess and enhance the BS Nursing curriculum of a private higher education institution in Central Luzon, systematically gathering insights, validating recommendations, and formulating evidence-based improvements aligned with outcomes-based education (OBE) principles (Dhari et al., 2025). Phase 1 involved a SWOT analysis of the existing curriculum to identify internal and external factors influencing its implementation (</w:t>
      </w:r>
      <w:proofErr w:type="spellStart"/>
      <w:r w:rsidRPr="00E0673F">
        <w:rPr>
          <w:color w:val="000000"/>
        </w:rPr>
        <w:t>Hosseinnejad</w:t>
      </w:r>
      <w:proofErr w:type="spellEnd"/>
      <w:r w:rsidRPr="00E0673F">
        <w:rPr>
          <w:color w:val="000000"/>
        </w:rPr>
        <w:t xml:space="preserve"> et al., 2022), followed by Phase 2, which utilized the Modified Delphi Technique wherein a panel of purposively selected experts engaged in iterative consensus-building to validate and prioritize the SWOT results (Furtado et al., 2024). In Phase 3, the validated outputs informed a comprehensive curriculum analysis and mapping against OBE standards, CHED program outcomes, and international nursing competencies (</w:t>
      </w:r>
      <w:proofErr w:type="spellStart"/>
      <w:r w:rsidRPr="00E0673F">
        <w:rPr>
          <w:color w:val="000000"/>
        </w:rPr>
        <w:t>Pabutawan</w:t>
      </w:r>
      <w:proofErr w:type="spellEnd"/>
      <w:r w:rsidRPr="00E0673F">
        <w:rPr>
          <w:color w:val="000000"/>
        </w:rPr>
        <w:t xml:space="preserve">, 2023). </w:t>
      </w:r>
    </w:p>
    <w:p w14:paraId="5C5559C1" w14:textId="24EF6980" w:rsidR="00E0673F" w:rsidRPr="00E0673F" w:rsidRDefault="00E0673F" w:rsidP="00D167FC">
      <w:pPr>
        <w:spacing w:before="100" w:beforeAutospacing="1" w:after="100" w:afterAutospacing="1"/>
        <w:jc w:val="both"/>
        <w:rPr>
          <w:b/>
          <w:bCs/>
          <w:color w:val="000000"/>
        </w:rPr>
      </w:pPr>
      <w:r w:rsidRPr="00E0673F">
        <w:rPr>
          <w:color w:val="000000"/>
        </w:rPr>
        <w:t>The research was conducted at a private higher education institution in the Subic Bay Freeport Zone, chosen for its pioneering BS Nursing program and strong commitment to curriculum reform, with stakeholders such as program heads, faculty, clinical instructors, and students providing essential inputs. Structured guides for SWOT analysis, consensus matrices for the Delphi rounds, and CHED-OBE-based curriculum evaluation checklists comprised the research instruments, all of which were validated by educational experts to ensure clarity, accuracy, and relevance (Khan et al., 2020). Purposive sampling ensured credible representation, involving 21 diverse stakeholders in Phase 1 and 12 highly qualified experts—each holding at least a master’s or doctorate degree and with significant experience in nursing education—in Phase 2 (Campbell et al., 2020). Data were collected through meetings, document reviews, and online surveys, supported by feedback loops to ensure transparency and accuracy (McCloud et al., 2023). Ethical approval was secured from the institution’s ethics review committee, with informed consent obtained from all participants, who were assured of voluntary participation, confidentiality, and secure data handling (Capili et al., 2024). Data analysis combined thematic coding of qualitative responses and descriptive statistics for consensus measures, while curriculum mapping and gap analysis aligned findings with CHED and OBE frameworks, resulting in actionable and context-responsive recommendations for improving the BS Nursing curriculum.</w:t>
      </w:r>
    </w:p>
    <w:p w14:paraId="1AC7B40D" w14:textId="5EF4453F" w:rsidR="008D69CC" w:rsidRPr="008D69CC" w:rsidRDefault="0031327E" w:rsidP="008D69CC">
      <w:pPr>
        <w:spacing w:before="100" w:beforeAutospacing="1" w:after="100" w:afterAutospacing="1"/>
        <w:outlineLvl w:val="2"/>
        <w:rPr>
          <w:b/>
          <w:bCs/>
          <w:color w:val="000000"/>
          <w:sz w:val="20"/>
          <w:szCs w:val="20"/>
        </w:rPr>
      </w:pPr>
      <w:proofErr w:type="gramStart"/>
      <w:r>
        <w:rPr>
          <w:b/>
          <w:bCs/>
          <w:color w:val="000000"/>
          <w:sz w:val="20"/>
          <w:szCs w:val="20"/>
        </w:rPr>
        <w:t xml:space="preserve">Chart </w:t>
      </w:r>
      <w:r w:rsidR="008D69CC" w:rsidRPr="008D69CC">
        <w:rPr>
          <w:b/>
          <w:bCs/>
          <w:color w:val="000000"/>
          <w:sz w:val="20"/>
          <w:szCs w:val="20"/>
        </w:rPr>
        <w:t xml:space="preserve"> 1</w:t>
      </w:r>
      <w:proofErr w:type="gramEnd"/>
      <w:r w:rsidR="008D69CC" w:rsidRPr="008D69CC">
        <w:rPr>
          <w:b/>
          <w:bCs/>
          <w:color w:val="000000"/>
          <w:sz w:val="20"/>
          <w:szCs w:val="20"/>
        </w:rPr>
        <w:t>: Statistical Flowchart of the Study</w:t>
      </w:r>
    </w:p>
    <w:tbl>
      <w:tblPr>
        <w:tblStyle w:val="PlainTable2"/>
        <w:tblW w:w="0" w:type="auto"/>
        <w:tblLook w:val="04A0" w:firstRow="1" w:lastRow="0" w:firstColumn="1" w:lastColumn="0" w:noHBand="0" w:noVBand="1"/>
      </w:tblPr>
      <w:tblGrid>
        <w:gridCol w:w="993"/>
        <w:gridCol w:w="2126"/>
        <w:gridCol w:w="2410"/>
        <w:gridCol w:w="1542"/>
        <w:gridCol w:w="2289"/>
      </w:tblGrid>
      <w:tr w:rsidR="008D69CC" w:rsidRPr="008D69CC" w14:paraId="53C6A5C9"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A530C25" w14:textId="77777777" w:rsidR="008D69CC" w:rsidRPr="008D69CC" w:rsidRDefault="008D69CC" w:rsidP="008D69CC">
            <w:pPr>
              <w:jc w:val="center"/>
              <w:rPr>
                <w:sz w:val="20"/>
                <w:szCs w:val="20"/>
              </w:rPr>
            </w:pPr>
            <w:r w:rsidRPr="008D69CC">
              <w:rPr>
                <w:sz w:val="20"/>
                <w:szCs w:val="20"/>
              </w:rPr>
              <w:t>Phase</w:t>
            </w:r>
          </w:p>
        </w:tc>
        <w:tc>
          <w:tcPr>
            <w:tcW w:w="2126" w:type="dxa"/>
            <w:hideMark/>
          </w:tcPr>
          <w:p w14:paraId="5F05D4D6"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Purpose of Analysis</w:t>
            </w:r>
          </w:p>
        </w:tc>
        <w:tc>
          <w:tcPr>
            <w:tcW w:w="2410" w:type="dxa"/>
            <w:hideMark/>
          </w:tcPr>
          <w:p w14:paraId="7DC2F712"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Statistical Test/Tool Used</w:t>
            </w:r>
          </w:p>
        </w:tc>
        <w:tc>
          <w:tcPr>
            <w:tcW w:w="1542" w:type="dxa"/>
            <w:hideMark/>
          </w:tcPr>
          <w:p w14:paraId="3B8D6BD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Data Type/Output</w:t>
            </w:r>
          </w:p>
        </w:tc>
        <w:tc>
          <w:tcPr>
            <w:tcW w:w="0" w:type="auto"/>
            <w:hideMark/>
          </w:tcPr>
          <w:p w14:paraId="3B7006E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Application</w:t>
            </w:r>
          </w:p>
        </w:tc>
      </w:tr>
      <w:tr w:rsidR="008D69CC" w:rsidRPr="00296A52" w14:paraId="7E90A7F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6D2FB3F" w14:textId="77777777" w:rsidR="008D69CC" w:rsidRPr="008D69CC" w:rsidRDefault="008D69CC" w:rsidP="008D69CC">
            <w:pPr>
              <w:rPr>
                <w:sz w:val="20"/>
                <w:szCs w:val="20"/>
              </w:rPr>
            </w:pPr>
            <w:r w:rsidRPr="008D69CC">
              <w:rPr>
                <w:sz w:val="20"/>
                <w:szCs w:val="20"/>
              </w:rPr>
              <w:lastRenderedPageBreak/>
              <w:t>Phase 1</w:t>
            </w:r>
          </w:p>
        </w:tc>
        <w:tc>
          <w:tcPr>
            <w:tcW w:w="2126" w:type="dxa"/>
            <w:hideMark/>
          </w:tcPr>
          <w:p w14:paraId="66FD5097"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Profile analysis of SWOT participants</w:t>
            </w:r>
          </w:p>
        </w:tc>
        <w:tc>
          <w:tcPr>
            <w:tcW w:w="2410" w:type="dxa"/>
            <w:hideMark/>
          </w:tcPr>
          <w:p w14:paraId="1F098D3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Frequency and Percentage</w:t>
            </w:r>
          </w:p>
        </w:tc>
        <w:tc>
          <w:tcPr>
            <w:tcW w:w="1542" w:type="dxa"/>
            <w:hideMark/>
          </w:tcPr>
          <w:p w14:paraId="4C7C5BF0"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Categorical</w:t>
            </w:r>
          </w:p>
        </w:tc>
        <w:tc>
          <w:tcPr>
            <w:tcW w:w="0" w:type="auto"/>
            <w:hideMark/>
          </w:tcPr>
          <w:p w14:paraId="59DFECEA" w14:textId="77777777" w:rsidR="008D69CC" w:rsidRPr="00296A52" w:rsidRDefault="008D69CC" w:rsidP="008D69CC">
            <w:pPr>
              <w:cnfStyle w:val="000000100000" w:firstRow="0" w:lastRow="0" w:firstColumn="0" w:lastColumn="0" w:oddVBand="0" w:evenVBand="0" w:oddHBand="1" w:evenHBand="0" w:firstRowFirstColumn="0" w:firstRowLastColumn="0" w:lastRowFirstColumn="0" w:lastRowLastColumn="0"/>
              <w:rPr>
                <w:sz w:val="20"/>
                <w:szCs w:val="20"/>
                <w:lang w:val="es-US"/>
              </w:rPr>
            </w:pPr>
            <w:proofErr w:type="spellStart"/>
            <w:r w:rsidRPr="00296A52">
              <w:rPr>
                <w:sz w:val="20"/>
                <w:szCs w:val="20"/>
                <w:lang w:val="es-US"/>
              </w:rPr>
              <w:t>Described</w:t>
            </w:r>
            <w:proofErr w:type="spellEnd"/>
            <w:r w:rsidRPr="00296A52">
              <w:rPr>
                <w:sz w:val="20"/>
                <w:szCs w:val="20"/>
                <w:lang w:val="es-US"/>
              </w:rPr>
              <w:t xml:space="preserve"> roles, </w:t>
            </w:r>
            <w:proofErr w:type="spellStart"/>
            <w:r w:rsidRPr="00296A52">
              <w:rPr>
                <w:sz w:val="20"/>
                <w:szCs w:val="20"/>
                <w:lang w:val="es-US"/>
              </w:rPr>
              <w:t>gender</w:t>
            </w:r>
            <w:proofErr w:type="spellEnd"/>
            <w:r w:rsidRPr="00296A52">
              <w:rPr>
                <w:sz w:val="20"/>
                <w:szCs w:val="20"/>
                <w:lang w:val="es-US"/>
              </w:rPr>
              <w:t xml:space="preserve">, </w:t>
            </w:r>
            <w:proofErr w:type="spellStart"/>
            <w:r w:rsidRPr="00296A52">
              <w:rPr>
                <w:sz w:val="20"/>
                <w:szCs w:val="20"/>
                <w:lang w:val="es-US"/>
              </w:rPr>
              <w:t>experience</w:t>
            </w:r>
            <w:proofErr w:type="spellEnd"/>
            <w:r w:rsidRPr="00296A52">
              <w:rPr>
                <w:sz w:val="20"/>
                <w:szCs w:val="20"/>
                <w:lang w:val="es-US"/>
              </w:rPr>
              <w:t>, etc.</w:t>
            </w:r>
          </w:p>
        </w:tc>
      </w:tr>
      <w:tr w:rsidR="008D69CC" w:rsidRPr="008D69CC" w14:paraId="6718BD1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E88C291" w14:textId="19F9D06C" w:rsidR="008D69CC" w:rsidRPr="00296A52" w:rsidRDefault="008D69CC" w:rsidP="008D69CC">
            <w:pPr>
              <w:rPr>
                <w:sz w:val="20"/>
                <w:szCs w:val="20"/>
                <w:lang w:val="es-US"/>
              </w:rPr>
            </w:pPr>
          </w:p>
        </w:tc>
        <w:tc>
          <w:tcPr>
            <w:tcW w:w="2126" w:type="dxa"/>
            <w:hideMark/>
          </w:tcPr>
          <w:p w14:paraId="2F9CF6B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Identify curricular concerns from stakeholders</w:t>
            </w:r>
          </w:p>
        </w:tc>
        <w:tc>
          <w:tcPr>
            <w:tcW w:w="2410" w:type="dxa"/>
            <w:hideMark/>
          </w:tcPr>
          <w:p w14:paraId="33B098C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Thematic Ranking (Frequency + Rank Order)</w:t>
            </w:r>
          </w:p>
        </w:tc>
        <w:tc>
          <w:tcPr>
            <w:tcW w:w="1542" w:type="dxa"/>
            <w:hideMark/>
          </w:tcPr>
          <w:p w14:paraId="18E0DD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to ordinal</w:t>
            </w:r>
          </w:p>
        </w:tc>
        <w:tc>
          <w:tcPr>
            <w:tcW w:w="0" w:type="auto"/>
            <w:hideMark/>
          </w:tcPr>
          <w:p w14:paraId="059603B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Formed basis for Delphi items</w:t>
            </w:r>
          </w:p>
        </w:tc>
      </w:tr>
      <w:tr w:rsidR="008D69CC" w:rsidRPr="00E0673F" w14:paraId="416CFB0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B1C38F6" w14:textId="77777777" w:rsidR="008D69CC" w:rsidRPr="008D69CC" w:rsidRDefault="008D69CC" w:rsidP="008D69CC">
            <w:pPr>
              <w:rPr>
                <w:sz w:val="20"/>
                <w:szCs w:val="20"/>
              </w:rPr>
            </w:pPr>
            <w:r w:rsidRPr="008D69CC">
              <w:rPr>
                <w:sz w:val="20"/>
                <w:szCs w:val="20"/>
              </w:rPr>
              <w:t>Phase 2</w:t>
            </w:r>
          </w:p>
        </w:tc>
        <w:tc>
          <w:tcPr>
            <w:tcW w:w="2126" w:type="dxa"/>
            <w:hideMark/>
          </w:tcPr>
          <w:p w14:paraId="44C20205"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normality of Delphi responses</w:t>
            </w:r>
          </w:p>
        </w:tc>
        <w:tc>
          <w:tcPr>
            <w:tcW w:w="2410" w:type="dxa"/>
            <w:hideMark/>
          </w:tcPr>
          <w:p w14:paraId="61D44CA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Shapiro-Wilk Test</w:t>
            </w:r>
          </w:p>
        </w:tc>
        <w:tc>
          <w:tcPr>
            <w:tcW w:w="1542" w:type="dxa"/>
            <w:hideMark/>
          </w:tcPr>
          <w:p w14:paraId="288ED1B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p-values, W-statistic</w:t>
            </w:r>
          </w:p>
        </w:tc>
        <w:tc>
          <w:tcPr>
            <w:tcW w:w="0" w:type="auto"/>
            <w:hideMark/>
          </w:tcPr>
          <w:p w14:paraId="0A10CBF4" w14:textId="77777777" w:rsidR="008D69CC" w:rsidRPr="00DE35F1" w:rsidRDefault="008D69CC" w:rsidP="008D69CC">
            <w:pPr>
              <w:cnfStyle w:val="000000100000" w:firstRow="0" w:lastRow="0" w:firstColumn="0" w:lastColumn="0" w:oddVBand="0" w:evenVBand="0" w:oddHBand="1" w:evenHBand="0" w:firstRowFirstColumn="0" w:firstRowLastColumn="0" w:lastRowFirstColumn="0" w:lastRowLastColumn="0"/>
              <w:rPr>
                <w:sz w:val="20"/>
                <w:szCs w:val="20"/>
                <w:lang w:val="it-IT"/>
              </w:rPr>
            </w:pPr>
            <w:r w:rsidRPr="00DE35F1">
              <w:rPr>
                <w:sz w:val="20"/>
                <w:szCs w:val="20"/>
                <w:lang w:val="it-IT"/>
              </w:rPr>
              <w:t>Determined appropriate parametric/non-parametric test</w:t>
            </w:r>
          </w:p>
        </w:tc>
      </w:tr>
      <w:tr w:rsidR="008D69CC" w:rsidRPr="008D69CC" w14:paraId="3BD5A57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CE6F58A" w14:textId="231102C4" w:rsidR="008D69CC" w:rsidRPr="00E0673F" w:rsidRDefault="008D69CC" w:rsidP="008D69CC">
            <w:pPr>
              <w:rPr>
                <w:sz w:val="20"/>
                <w:szCs w:val="20"/>
                <w:lang w:val="it-IT"/>
              </w:rPr>
            </w:pPr>
          </w:p>
        </w:tc>
        <w:tc>
          <w:tcPr>
            <w:tcW w:w="2126" w:type="dxa"/>
            <w:hideMark/>
          </w:tcPr>
          <w:p w14:paraId="1366793D"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Compare ratings across Delphi rounds</w:t>
            </w:r>
          </w:p>
        </w:tc>
        <w:tc>
          <w:tcPr>
            <w:tcW w:w="2410" w:type="dxa"/>
            <w:hideMark/>
          </w:tcPr>
          <w:p w14:paraId="5D45E5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Wilcoxon Signed-Rank Test</w:t>
            </w:r>
          </w:p>
        </w:tc>
        <w:tc>
          <w:tcPr>
            <w:tcW w:w="1542" w:type="dxa"/>
            <w:hideMark/>
          </w:tcPr>
          <w:p w14:paraId="5D7A105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Z-score, p-value</w:t>
            </w:r>
          </w:p>
        </w:tc>
        <w:tc>
          <w:tcPr>
            <w:tcW w:w="0" w:type="auto"/>
            <w:hideMark/>
          </w:tcPr>
          <w:p w14:paraId="2ED1A5E2"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Tested significant changes in ratings</w:t>
            </w:r>
          </w:p>
        </w:tc>
      </w:tr>
      <w:tr w:rsidR="008D69CC" w:rsidRPr="008D69CC" w14:paraId="506ED0AD"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E3ABD2D" w14:textId="3D027A0C" w:rsidR="008D69CC" w:rsidRPr="008D69CC" w:rsidRDefault="008D69CC" w:rsidP="008D69CC">
            <w:pPr>
              <w:rPr>
                <w:sz w:val="20"/>
                <w:szCs w:val="20"/>
              </w:rPr>
            </w:pPr>
          </w:p>
        </w:tc>
        <w:tc>
          <w:tcPr>
            <w:tcW w:w="2126" w:type="dxa"/>
            <w:hideMark/>
          </w:tcPr>
          <w:p w14:paraId="7E7818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 expert agreement</w:t>
            </w:r>
          </w:p>
        </w:tc>
        <w:tc>
          <w:tcPr>
            <w:tcW w:w="2410" w:type="dxa"/>
            <w:hideMark/>
          </w:tcPr>
          <w:p w14:paraId="604266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Stability Index</w:t>
            </w:r>
          </w:p>
        </w:tc>
        <w:tc>
          <w:tcPr>
            <w:tcW w:w="1542" w:type="dxa"/>
            <w:hideMark/>
          </w:tcPr>
          <w:p w14:paraId="6E757F7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Decimal index (0–1)</w:t>
            </w:r>
          </w:p>
        </w:tc>
        <w:tc>
          <w:tcPr>
            <w:tcW w:w="0" w:type="auto"/>
            <w:hideMark/>
          </w:tcPr>
          <w:p w14:paraId="2CA8526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Validated consensus over rounds</w:t>
            </w:r>
          </w:p>
        </w:tc>
      </w:tr>
      <w:tr w:rsidR="008D69CC" w:rsidRPr="008D69CC" w14:paraId="7C6EF007"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4855B6" w14:textId="5FEA5D19" w:rsidR="008D69CC" w:rsidRPr="008D69CC" w:rsidRDefault="008D69CC" w:rsidP="008D69CC">
            <w:pPr>
              <w:rPr>
                <w:sz w:val="20"/>
                <w:szCs w:val="20"/>
              </w:rPr>
            </w:pPr>
          </w:p>
        </w:tc>
        <w:tc>
          <w:tcPr>
            <w:tcW w:w="2126" w:type="dxa"/>
            <w:hideMark/>
          </w:tcPr>
          <w:p w14:paraId="600D11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Validate content items</w:t>
            </w:r>
          </w:p>
        </w:tc>
        <w:tc>
          <w:tcPr>
            <w:tcW w:w="2410" w:type="dxa"/>
            <w:hideMark/>
          </w:tcPr>
          <w:p w14:paraId="705D2C7B"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Content Validity Ratio (CVR)</w:t>
            </w:r>
          </w:p>
        </w:tc>
        <w:tc>
          <w:tcPr>
            <w:tcW w:w="1542" w:type="dxa"/>
            <w:hideMark/>
          </w:tcPr>
          <w:p w14:paraId="41805A6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Proportion (0–1)</w:t>
            </w:r>
          </w:p>
        </w:tc>
        <w:tc>
          <w:tcPr>
            <w:tcW w:w="0" w:type="auto"/>
            <w:hideMark/>
          </w:tcPr>
          <w:p w14:paraId="7418F4A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Assessed relevance of items</w:t>
            </w:r>
          </w:p>
        </w:tc>
      </w:tr>
      <w:tr w:rsidR="008D69CC" w:rsidRPr="008D69CC" w14:paraId="01C38DF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6FB2751" w14:textId="18ED3A82" w:rsidR="008D69CC" w:rsidRPr="008D69CC" w:rsidRDefault="008D69CC" w:rsidP="008D69CC">
            <w:pPr>
              <w:rPr>
                <w:sz w:val="20"/>
                <w:szCs w:val="20"/>
              </w:rPr>
            </w:pPr>
          </w:p>
        </w:tc>
        <w:tc>
          <w:tcPr>
            <w:tcW w:w="2126" w:type="dxa"/>
            <w:hideMark/>
          </w:tcPr>
          <w:p w14:paraId="2C2022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consistency of ratings</w:t>
            </w:r>
          </w:p>
        </w:tc>
        <w:tc>
          <w:tcPr>
            <w:tcW w:w="2410" w:type="dxa"/>
            <w:hideMark/>
          </w:tcPr>
          <w:p w14:paraId="67C9D4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Intraclass Correlation Coefficient (ICC)</w:t>
            </w:r>
          </w:p>
        </w:tc>
        <w:tc>
          <w:tcPr>
            <w:tcW w:w="1542" w:type="dxa"/>
            <w:hideMark/>
          </w:tcPr>
          <w:p w14:paraId="44FC733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ICC value</w:t>
            </w:r>
          </w:p>
        </w:tc>
        <w:tc>
          <w:tcPr>
            <w:tcW w:w="0" w:type="auto"/>
            <w:hideMark/>
          </w:tcPr>
          <w:p w14:paraId="23DD744E"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Reliability of ratings across experts</w:t>
            </w:r>
          </w:p>
        </w:tc>
      </w:tr>
      <w:tr w:rsidR="008D69CC" w:rsidRPr="008D69CC" w14:paraId="667E0679"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29BDA1" w14:textId="468C8C3F" w:rsidR="008D69CC" w:rsidRPr="008D69CC" w:rsidRDefault="008D69CC" w:rsidP="008D69CC">
            <w:pPr>
              <w:rPr>
                <w:sz w:val="20"/>
                <w:szCs w:val="20"/>
              </w:rPr>
            </w:pPr>
          </w:p>
        </w:tc>
        <w:tc>
          <w:tcPr>
            <w:tcW w:w="2126" w:type="dxa"/>
            <w:hideMark/>
          </w:tcPr>
          <w:p w14:paraId="4A5CAA3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Examine monotonic relationships in ranks</w:t>
            </w:r>
          </w:p>
        </w:tc>
        <w:tc>
          <w:tcPr>
            <w:tcW w:w="2410" w:type="dxa"/>
            <w:hideMark/>
          </w:tcPr>
          <w:p w14:paraId="5FFB2A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 Rank Correlation</w:t>
            </w:r>
          </w:p>
        </w:tc>
        <w:tc>
          <w:tcPr>
            <w:tcW w:w="1542" w:type="dxa"/>
            <w:hideMark/>
          </w:tcPr>
          <w:p w14:paraId="41925411"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Spearman's ρ</w:t>
            </w:r>
          </w:p>
        </w:tc>
        <w:tc>
          <w:tcPr>
            <w:tcW w:w="0" w:type="auto"/>
            <w:hideMark/>
          </w:tcPr>
          <w:p w14:paraId="25AFDB55"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Strength and direction of ordinal association</w:t>
            </w:r>
          </w:p>
        </w:tc>
      </w:tr>
      <w:tr w:rsidR="008D69CC" w:rsidRPr="008D69CC" w14:paraId="689536CE"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BCB2B73" w14:textId="1FBD91BC" w:rsidR="008D69CC" w:rsidRPr="008D69CC" w:rsidRDefault="008D69CC" w:rsidP="008D69CC">
            <w:pPr>
              <w:rPr>
                <w:sz w:val="20"/>
                <w:szCs w:val="20"/>
              </w:rPr>
            </w:pPr>
          </w:p>
        </w:tc>
        <w:tc>
          <w:tcPr>
            <w:tcW w:w="2126" w:type="dxa"/>
            <w:hideMark/>
          </w:tcPr>
          <w:p w14:paraId="0C4E85F1"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Analyze distribution and variation of ratings</w:t>
            </w:r>
          </w:p>
        </w:tc>
        <w:tc>
          <w:tcPr>
            <w:tcW w:w="2410" w:type="dxa"/>
            <w:hideMark/>
          </w:tcPr>
          <w:p w14:paraId="3B7513A4"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Mean, Median, IQR, Coefficient of Variation (CV)</w:t>
            </w:r>
          </w:p>
        </w:tc>
        <w:tc>
          <w:tcPr>
            <w:tcW w:w="1542" w:type="dxa"/>
            <w:hideMark/>
          </w:tcPr>
          <w:p w14:paraId="157F510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Measures of central tendency &amp; variability</w:t>
            </w:r>
          </w:p>
        </w:tc>
        <w:tc>
          <w:tcPr>
            <w:tcW w:w="0" w:type="auto"/>
            <w:hideMark/>
          </w:tcPr>
          <w:p w14:paraId="5055045D"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Determined consistency and dispersion of ratings</w:t>
            </w:r>
          </w:p>
        </w:tc>
      </w:tr>
      <w:tr w:rsidR="008D69CC" w:rsidRPr="008D69CC" w14:paraId="6837BED0"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3F646091" w14:textId="77777777" w:rsidR="008D69CC" w:rsidRPr="008D69CC" w:rsidRDefault="008D69CC" w:rsidP="008D69CC">
            <w:pPr>
              <w:rPr>
                <w:sz w:val="20"/>
                <w:szCs w:val="20"/>
              </w:rPr>
            </w:pPr>
            <w:r w:rsidRPr="008D69CC">
              <w:rPr>
                <w:sz w:val="20"/>
                <w:szCs w:val="20"/>
              </w:rPr>
              <w:t>Phase 3</w:t>
            </w:r>
          </w:p>
        </w:tc>
        <w:tc>
          <w:tcPr>
            <w:tcW w:w="2126" w:type="dxa"/>
            <w:hideMark/>
          </w:tcPr>
          <w:p w14:paraId="08D96B7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Prioritize curricular actions</w:t>
            </w:r>
          </w:p>
        </w:tc>
        <w:tc>
          <w:tcPr>
            <w:tcW w:w="2410" w:type="dxa"/>
            <w:hideMark/>
          </w:tcPr>
          <w:p w14:paraId="17FBED4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Decision Matrix (High/Moderate) based on previous statistics</w:t>
            </w:r>
          </w:p>
        </w:tc>
        <w:tc>
          <w:tcPr>
            <w:tcW w:w="1542" w:type="dxa"/>
            <w:hideMark/>
          </w:tcPr>
          <w:p w14:paraId="36CA6FBF"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synthesis</w:t>
            </w:r>
          </w:p>
        </w:tc>
        <w:tc>
          <w:tcPr>
            <w:tcW w:w="0" w:type="auto"/>
            <w:hideMark/>
          </w:tcPr>
          <w:p w14:paraId="0F2DB9A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Finalized implementation framework</w:t>
            </w:r>
          </w:p>
        </w:tc>
      </w:tr>
    </w:tbl>
    <w:p w14:paraId="6256CFF0" w14:textId="27747356" w:rsidR="0040792E" w:rsidRDefault="0040792E" w:rsidP="007B2DCF">
      <w:pPr>
        <w:spacing w:before="100" w:beforeAutospacing="1" w:after="100" w:afterAutospacing="1"/>
        <w:outlineLvl w:val="2"/>
        <w:rPr>
          <w:b/>
          <w:bCs/>
          <w:color w:val="000000"/>
        </w:rPr>
      </w:pPr>
      <w:r>
        <w:rPr>
          <w:b/>
          <w:bCs/>
          <w:color w:val="000000"/>
        </w:rPr>
        <w:t>Limitations</w:t>
      </w:r>
    </w:p>
    <w:p w14:paraId="7D8848D7" w14:textId="5ACA2078" w:rsidR="00176F74" w:rsidRPr="00E0673F" w:rsidRDefault="00E0673F" w:rsidP="00E0673F">
      <w:pPr>
        <w:spacing w:before="100" w:beforeAutospacing="1" w:after="100" w:afterAutospacing="1"/>
        <w:jc w:val="both"/>
        <w:outlineLvl w:val="2"/>
        <w:rPr>
          <w:b/>
          <w:bCs/>
          <w:color w:val="000000"/>
        </w:rPr>
      </w:pPr>
      <w:r w:rsidRPr="00E0673F">
        <w:rPr>
          <w:color w:val="000000"/>
        </w:rPr>
        <w:t>While this study provided valuable insights into the assessment and enhancement of the BS Nursing curriculum at the Private Higher Educational Institution (PHEI), it was not without limitations, particularly its focus on a single institution in Central Luzon, which may restrict the generalizability of the findings due to unique institutional characteristics that differ from other higher education contexts (Appiah et al., 2020). The reliance on self-reported data and institutional documents may have introduced biases, as faculty and administrators might have responded cautiously to protect institutional reputation, while students may have had limited familiarity with curriculum development processes (Denecke et al., 2023). The use of the Modified Delphi technique also posed challenges, as expert participation across multiple rounds depended on their availability, and any attrition could have affected the depth of consensus achieved (</w:t>
      </w:r>
      <w:proofErr w:type="spellStart"/>
      <w:r w:rsidRPr="00E0673F">
        <w:rPr>
          <w:color w:val="000000"/>
        </w:rPr>
        <w:t>Sunari</w:t>
      </w:r>
      <w:proofErr w:type="spellEnd"/>
      <w:r w:rsidRPr="00E0673F">
        <w:rPr>
          <w:color w:val="000000"/>
        </w:rPr>
        <w:t xml:space="preserve"> &amp; </w:t>
      </w:r>
      <w:proofErr w:type="spellStart"/>
      <w:r w:rsidRPr="00E0673F">
        <w:rPr>
          <w:color w:val="000000"/>
        </w:rPr>
        <w:t>Bashatah</w:t>
      </w:r>
      <w:proofErr w:type="spellEnd"/>
      <w:r w:rsidRPr="00E0673F">
        <w:rPr>
          <w:color w:val="000000"/>
        </w:rPr>
        <w:t>, 2025). Additionally, the curriculum enhancement recommendations were based on existing CHED policies, stakeholder inputs, and available literature, meaning future changes in regulatory standards may necessitate updates to the proposed model (Bustos, 2024). Finally, although the study aimed to strengthen alignment with outcomes-based education principles, it did not include implementation or post-enhancement evaluation, leaving the actual impact of the recommended revisions on instructional quality, student outcomes, and licensure performance for future investigation.</w:t>
      </w:r>
    </w:p>
    <w:p w14:paraId="0C4CA11E" w14:textId="77777777" w:rsidR="00176F74" w:rsidRDefault="007B2DCF" w:rsidP="00176F74">
      <w:pPr>
        <w:spacing w:before="100" w:beforeAutospacing="1" w:after="100" w:afterAutospacing="1"/>
        <w:outlineLvl w:val="2"/>
        <w:rPr>
          <w:b/>
          <w:bCs/>
          <w:color w:val="000000"/>
        </w:rPr>
      </w:pPr>
      <w:r w:rsidRPr="007B2DCF">
        <w:rPr>
          <w:b/>
          <w:bCs/>
          <w:color w:val="000000"/>
        </w:rPr>
        <w:t>Results and Discussion</w:t>
      </w:r>
    </w:p>
    <w:p w14:paraId="2DF93E7C" w14:textId="0CD366EE" w:rsidR="003634FA" w:rsidRPr="003634FA" w:rsidRDefault="003634FA" w:rsidP="00E0673F">
      <w:pPr>
        <w:spacing w:before="100" w:beforeAutospacing="1" w:after="100" w:afterAutospacing="1"/>
        <w:jc w:val="both"/>
        <w:outlineLvl w:val="2"/>
        <w:rPr>
          <w:color w:val="000000"/>
        </w:rPr>
      </w:pPr>
      <w:r w:rsidRPr="003634FA">
        <w:rPr>
          <w:color w:val="000000"/>
        </w:rPr>
        <w:t xml:space="preserve">Tables 1, 2, and 3 collectively provide foundational data that guided the curriculum review process of the BS Nursing program at </w:t>
      </w:r>
      <w:r>
        <w:rPr>
          <w:color w:val="000000"/>
        </w:rPr>
        <w:t>a Private Higher Educational Institution</w:t>
      </w:r>
      <w:r w:rsidR="00E0673F">
        <w:rPr>
          <w:color w:val="000000"/>
        </w:rPr>
        <w:t xml:space="preserve">. </w:t>
      </w:r>
    </w:p>
    <w:p w14:paraId="4578720D" w14:textId="7495B2CC" w:rsidR="00176F74" w:rsidRPr="00176F74" w:rsidRDefault="00176F74" w:rsidP="00176F74">
      <w:pPr>
        <w:spacing w:before="100" w:beforeAutospacing="1" w:after="100" w:afterAutospacing="1"/>
        <w:outlineLvl w:val="2"/>
        <w:rPr>
          <w:b/>
          <w:bCs/>
          <w:color w:val="000000"/>
        </w:rPr>
      </w:pPr>
      <w:r w:rsidRPr="00176F74">
        <w:rPr>
          <w:b/>
          <w:bCs/>
          <w:color w:val="000000"/>
        </w:rPr>
        <w:lastRenderedPageBreak/>
        <w:t>Table 1</w:t>
      </w:r>
      <w:r w:rsidRPr="004A0236">
        <w:rPr>
          <w:b/>
          <w:bCs/>
          <w:color w:val="000000"/>
        </w:rPr>
        <w:t xml:space="preserve">.  </w:t>
      </w:r>
      <w:r w:rsidRPr="00176F74">
        <w:rPr>
          <w:b/>
          <w:bCs/>
          <w:color w:val="000000"/>
        </w:rPr>
        <w:t>Profile of Participants in the Phase 1 SWOT Analysis (N = 21)</w:t>
      </w:r>
    </w:p>
    <w:tbl>
      <w:tblPr>
        <w:tblStyle w:val="PlainTable2"/>
        <w:tblW w:w="0" w:type="auto"/>
        <w:tblLook w:val="04A0" w:firstRow="1" w:lastRow="0" w:firstColumn="1" w:lastColumn="0" w:noHBand="0" w:noVBand="1"/>
      </w:tblPr>
      <w:tblGrid>
        <w:gridCol w:w="3409"/>
        <w:gridCol w:w="2685"/>
        <w:gridCol w:w="1549"/>
        <w:gridCol w:w="1717"/>
      </w:tblGrid>
      <w:tr w:rsidR="00176F74" w:rsidRPr="00176F74" w14:paraId="2E3B128F"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C2661" w14:textId="77777777" w:rsidR="00176F74" w:rsidRPr="00176F74" w:rsidRDefault="00176F74" w:rsidP="00176F74">
            <w:pPr>
              <w:jc w:val="center"/>
            </w:pPr>
            <w:r w:rsidRPr="00176F74">
              <w:t>Profile Variable</w:t>
            </w:r>
          </w:p>
        </w:tc>
        <w:tc>
          <w:tcPr>
            <w:tcW w:w="0" w:type="auto"/>
            <w:hideMark/>
          </w:tcPr>
          <w:p w14:paraId="25191FEC"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Category</w:t>
            </w:r>
          </w:p>
        </w:tc>
        <w:tc>
          <w:tcPr>
            <w:tcW w:w="0" w:type="auto"/>
            <w:hideMark/>
          </w:tcPr>
          <w:p w14:paraId="4FEA5B8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Frequency (f)</w:t>
            </w:r>
          </w:p>
        </w:tc>
        <w:tc>
          <w:tcPr>
            <w:tcW w:w="0" w:type="auto"/>
            <w:hideMark/>
          </w:tcPr>
          <w:p w14:paraId="6CC7209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Percentage (%)</w:t>
            </w:r>
          </w:p>
        </w:tc>
      </w:tr>
      <w:tr w:rsidR="00176F74" w:rsidRPr="00176F74" w14:paraId="3BC6C9A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3C49A" w14:textId="77777777" w:rsidR="00176F74" w:rsidRPr="00176F74" w:rsidRDefault="00176F74" w:rsidP="00176F74">
            <w:r w:rsidRPr="00176F74">
              <w:t>Position/Role</w:t>
            </w:r>
          </w:p>
        </w:tc>
        <w:tc>
          <w:tcPr>
            <w:tcW w:w="0" w:type="auto"/>
            <w:hideMark/>
          </w:tcPr>
          <w:p w14:paraId="61DA1AD0" w14:textId="5DA0AB2E"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Lecturers</w:t>
            </w:r>
          </w:p>
        </w:tc>
        <w:tc>
          <w:tcPr>
            <w:tcW w:w="0" w:type="auto"/>
            <w:hideMark/>
          </w:tcPr>
          <w:p w14:paraId="074399B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10</w:t>
            </w:r>
          </w:p>
        </w:tc>
        <w:tc>
          <w:tcPr>
            <w:tcW w:w="0" w:type="auto"/>
            <w:hideMark/>
          </w:tcPr>
          <w:p w14:paraId="476D00D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47.62%</w:t>
            </w:r>
          </w:p>
        </w:tc>
      </w:tr>
      <w:tr w:rsidR="00176F74" w:rsidRPr="00176F74" w14:paraId="40DD20B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433857A" w14:textId="77777777" w:rsidR="00176F74" w:rsidRPr="00176F74" w:rsidRDefault="00176F74" w:rsidP="00176F74"/>
        </w:tc>
        <w:tc>
          <w:tcPr>
            <w:tcW w:w="0" w:type="auto"/>
            <w:hideMark/>
          </w:tcPr>
          <w:p w14:paraId="579489C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Clinical Instructor</w:t>
            </w:r>
          </w:p>
        </w:tc>
        <w:tc>
          <w:tcPr>
            <w:tcW w:w="0" w:type="auto"/>
            <w:hideMark/>
          </w:tcPr>
          <w:p w14:paraId="7876D682"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5</w:t>
            </w:r>
          </w:p>
        </w:tc>
        <w:tc>
          <w:tcPr>
            <w:tcW w:w="0" w:type="auto"/>
            <w:hideMark/>
          </w:tcPr>
          <w:p w14:paraId="0210280D"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23.81%</w:t>
            </w:r>
          </w:p>
        </w:tc>
      </w:tr>
      <w:tr w:rsidR="00176F74" w:rsidRPr="00176F74" w14:paraId="3E57312E"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CC37A" w14:textId="77777777" w:rsidR="00176F74" w:rsidRPr="00176F74" w:rsidRDefault="00176F74" w:rsidP="00176F74"/>
        </w:tc>
        <w:tc>
          <w:tcPr>
            <w:tcW w:w="0" w:type="auto"/>
            <w:hideMark/>
          </w:tcPr>
          <w:p w14:paraId="7C241C9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Program Chair/Coordinator</w:t>
            </w:r>
          </w:p>
        </w:tc>
        <w:tc>
          <w:tcPr>
            <w:tcW w:w="0" w:type="auto"/>
            <w:hideMark/>
          </w:tcPr>
          <w:p w14:paraId="106A0E66" w14:textId="667850D3"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w:t>
            </w:r>
          </w:p>
        </w:tc>
        <w:tc>
          <w:tcPr>
            <w:tcW w:w="0" w:type="auto"/>
            <w:hideMark/>
          </w:tcPr>
          <w:p w14:paraId="4FB7196C" w14:textId="5C62DF8C"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4</w:t>
            </w:r>
            <w:r w:rsidRPr="00176F74">
              <w:t>.</w:t>
            </w:r>
            <w:r>
              <w:t>76</w:t>
            </w:r>
            <w:r w:rsidRPr="00176F74">
              <w:t>%</w:t>
            </w:r>
          </w:p>
        </w:tc>
      </w:tr>
      <w:tr w:rsidR="00176F74" w:rsidRPr="00176F74" w14:paraId="6FDF65B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32068F99" w14:textId="77777777" w:rsidR="00176F74" w:rsidRPr="00176F74" w:rsidRDefault="00176F74" w:rsidP="00176F74"/>
        </w:tc>
        <w:tc>
          <w:tcPr>
            <w:tcW w:w="0" w:type="auto"/>
            <w:hideMark/>
          </w:tcPr>
          <w:p w14:paraId="40BFAAE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Academic Administrator</w:t>
            </w:r>
          </w:p>
        </w:tc>
        <w:tc>
          <w:tcPr>
            <w:tcW w:w="0" w:type="auto"/>
            <w:hideMark/>
          </w:tcPr>
          <w:p w14:paraId="140C8DAE" w14:textId="3D5592D8"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0A4084E" w14:textId="694F2309"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4</w:t>
            </w:r>
            <w:r w:rsidRPr="00176F74">
              <w:t>.</w:t>
            </w:r>
            <w:r>
              <w:t>76</w:t>
            </w:r>
            <w:r w:rsidRPr="00176F74">
              <w:t>%</w:t>
            </w:r>
          </w:p>
        </w:tc>
      </w:tr>
      <w:tr w:rsidR="00176F74" w:rsidRPr="00176F74" w14:paraId="1C585233"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ECF7C" w14:textId="77777777" w:rsidR="00176F74" w:rsidRPr="00176F74" w:rsidRDefault="00176F74" w:rsidP="00176F74"/>
        </w:tc>
        <w:tc>
          <w:tcPr>
            <w:tcW w:w="0" w:type="auto"/>
            <w:hideMark/>
          </w:tcPr>
          <w:p w14:paraId="327AC15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Student Representative</w:t>
            </w:r>
          </w:p>
        </w:tc>
        <w:tc>
          <w:tcPr>
            <w:tcW w:w="0" w:type="auto"/>
            <w:hideMark/>
          </w:tcPr>
          <w:p w14:paraId="2A589CD2" w14:textId="741E3644"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3</w:t>
            </w:r>
          </w:p>
        </w:tc>
        <w:tc>
          <w:tcPr>
            <w:tcW w:w="0" w:type="auto"/>
            <w:hideMark/>
          </w:tcPr>
          <w:p w14:paraId="2484F92F" w14:textId="1164C79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14</w:t>
            </w:r>
            <w:r w:rsidRPr="00176F74">
              <w:t>.</w:t>
            </w:r>
            <w:r>
              <w:t>28</w:t>
            </w:r>
            <w:r w:rsidRPr="00176F74">
              <w:t>%</w:t>
            </w:r>
          </w:p>
        </w:tc>
      </w:tr>
      <w:tr w:rsidR="00176F74" w:rsidRPr="00176F74" w14:paraId="2BCB190D" w14:textId="77777777" w:rsidTr="00176F74">
        <w:tc>
          <w:tcPr>
            <w:cnfStyle w:val="001000000000" w:firstRow="0" w:lastRow="0" w:firstColumn="1" w:lastColumn="0" w:oddVBand="0" w:evenVBand="0" w:oddHBand="0" w:evenHBand="0" w:firstRowFirstColumn="0" w:firstRowLastColumn="0" w:lastRowFirstColumn="0" w:lastRowLastColumn="0"/>
            <w:tcW w:w="0" w:type="auto"/>
          </w:tcPr>
          <w:p w14:paraId="46863FC2" w14:textId="77777777" w:rsidR="00176F74" w:rsidRPr="00176F74" w:rsidRDefault="00176F74" w:rsidP="00176F74"/>
        </w:tc>
        <w:tc>
          <w:tcPr>
            <w:tcW w:w="0" w:type="auto"/>
          </w:tcPr>
          <w:p w14:paraId="2748C0DB" w14:textId="07AC1BE1"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Alumnus</w:t>
            </w:r>
          </w:p>
        </w:tc>
        <w:tc>
          <w:tcPr>
            <w:tcW w:w="0" w:type="auto"/>
          </w:tcPr>
          <w:p w14:paraId="2D1B610F" w14:textId="70B62ED3" w:rsid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tcPr>
          <w:p w14:paraId="0E674B94" w14:textId="11661684" w:rsidR="00176F74" w:rsidRDefault="00176F74" w:rsidP="00176F74">
            <w:pPr>
              <w:cnfStyle w:val="000000000000" w:firstRow="0" w:lastRow="0" w:firstColumn="0" w:lastColumn="0" w:oddVBand="0" w:evenVBand="0" w:oddHBand="0" w:evenHBand="0" w:firstRowFirstColumn="0" w:firstRowLastColumn="0" w:lastRowFirstColumn="0" w:lastRowLastColumn="0"/>
            </w:pPr>
            <w:r>
              <w:t>4.76</w:t>
            </w:r>
          </w:p>
        </w:tc>
      </w:tr>
      <w:tr w:rsidR="00176F74" w:rsidRPr="00176F74" w14:paraId="63161F46"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62501" w14:textId="77777777" w:rsidR="00176F74" w:rsidRPr="00176F74" w:rsidRDefault="00176F74" w:rsidP="00176F74">
            <w:r w:rsidRPr="00176F74">
              <w:t>Sex</w:t>
            </w:r>
          </w:p>
        </w:tc>
        <w:tc>
          <w:tcPr>
            <w:tcW w:w="0" w:type="auto"/>
            <w:hideMark/>
          </w:tcPr>
          <w:p w14:paraId="1AD64CD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Female</w:t>
            </w:r>
          </w:p>
        </w:tc>
        <w:tc>
          <w:tcPr>
            <w:tcW w:w="0" w:type="auto"/>
            <w:hideMark/>
          </w:tcPr>
          <w:p w14:paraId="2A4F884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15</w:t>
            </w:r>
          </w:p>
        </w:tc>
        <w:tc>
          <w:tcPr>
            <w:tcW w:w="0" w:type="auto"/>
            <w:hideMark/>
          </w:tcPr>
          <w:p w14:paraId="482C35B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71.43%</w:t>
            </w:r>
          </w:p>
        </w:tc>
      </w:tr>
      <w:tr w:rsidR="00176F74" w:rsidRPr="00176F74" w14:paraId="3D807A2E"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2BAA030" w14:textId="77777777" w:rsidR="00176F74" w:rsidRPr="00176F74" w:rsidRDefault="00176F74" w:rsidP="00176F74"/>
        </w:tc>
        <w:tc>
          <w:tcPr>
            <w:tcW w:w="0" w:type="auto"/>
            <w:hideMark/>
          </w:tcPr>
          <w:p w14:paraId="2CA0308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Male</w:t>
            </w:r>
          </w:p>
        </w:tc>
        <w:tc>
          <w:tcPr>
            <w:tcW w:w="0" w:type="auto"/>
            <w:hideMark/>
          </w:tcPr>
          <w:p w14:paraId="18724B6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6</w:t>
            </w:r>
          </w:p>
        </w:tc>
        <w:tc>
          <w:tcPr>
            <w:tcW w:w="0" w:type="auto"/>
            <w:hideMark/>
          </w:tcPr>
          <w:p w14:paraId="73C3E6F7"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28.57%</w:t>
            </w:r>
          </w:p>
        </w:tc>
      </w:tr>
      <w:tr w:rsidR="00176F74" w:rsidRPr="00176F74" w14:paraId="715FB9EC"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C187F" w14:textId="77777777" w:rsidR="00176F74" w:rsidRPr="00176F74" w:rsidRDefault="00176F74" w:rsidP="00176F74">
            <w:r w:rsidRPr="00176F74">
              <w:t>Length of Service (Faculty/Admin)</w:t>
            </w:r>
          </w:p>
        </w:tc>
        <w:tc>
          <w:tcPr>
            <w:tcW w:w="0" w:type="auto"/>
            <w:hideMark/>
          </w:tcPr>
          <w:p w14:paraId="0AA47531"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1–3 years</w:t>
            </w:r>
          </w:p>
        </w:tc>
        <w:tc>
          <w:tcPr>
            <w:tcW w:w="0" w:type="auto"/>
            <w:hideMark/>
          </w:tcPr>
          <w:p w14:paraId="62307CF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5</w:t>
            </w:r>
          </w:p>
        </w:tc>
        <w:tc>
          <w:tcPr>
            <w:tcW w:w="0" w:type="auto"/>
            <w:hideMark/>
          </w:tcPr>
          <w:p w14:paraId="7937EBD8"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23.81%</w:t>
            </w:r>
          </w:p>
        </w:tc>
      </w:tr>
      <w:tr w:rsidR="00176F74" w:rsidRPr="00176F74" w14:paraId="20DCBFB4"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06C87B4" w14:textId="77777777" w:rsidR="00176F74" w:rsidRPr="00176F74" w:rsidRDefault="00176F74" w:rsidP="00176F74"/>
        </w:tc>
        <w:tc>
          <w:tcPr>
            <w:tcW w:w="0" w:type="auto"/>
            <w:hideMark/>
          </w:tcPr>
          <w:p w14:paraId="5E9EA655"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4–6 years</w:t>
            </w:r>
          </w:p>
        </w:tc>
        <w:tc>
          <w:tcPr>
            <w:tcW w:w="0" w:type="auto"/>
            <w:hideMark/>
          </w:tcPr>
          <w:p w14:paraId="075FEF9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7</w:t>
            </w:r>
          </w:p>
        </w:tc>
        <w:tc>
          <w:tcPr>
            <w:tcW w:w="0" w:type="auto"/>
            <w:hideMark/>
          </w:tcPr>
          <w:p w14:paraId="0677113B"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33.33%</w:t>
            </w:r>
          </w:p>
        </w:tc>
      </w:tr>
      <w:tr w:rsidR="00176F74" w:rsidRPr="00176F74" w14:paraId="73AA81F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329DE" w14:textId="77777777" w:rsidR="00176F74" w:rsidRPr="00176F74" w:rsidRDefault="00176F74" w:rsidP="00176F74"/>
        </w:tc>
        <w:tc>
          <w:tcPr>
            <w:tcW w:w="0" w:type="auto"/>
            <w:hideMark/>
          </w:tcPr>
          <w:p w14:paraId="2759FC72"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7–10 years</w:t>
            </w:r>
          </w:p>
        </w:tc>
        <w:tc>
          <w:tcPr>
            <w:tcW w:w="0" w:type="auto"/>
            <w:hideMark/>
          </w:tcPr>
          <w:p w14:paraId="4236703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6</w:t>
            </w:r>
          </w:p>
        </w:tc>
        <w:tc>
          <w:tcPr>
            <w:tcW w:w="0" w:type="auto"/>
            <w:hideMark/>
          </w:tcPr>
          <w:p w14:paraId="3D7CB14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28.57%</w:t>
            </w:r>
          </w:p>
        </w:tc>
      </w:tr>
      <w:tr w:rsidR="00176F74" w:rsidRPr="00176F74" w14:paraId="7986A701"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F495E0F" w14:textId="77777777" w:rsidR="00176F74" w:rsidRPr="00176F74" w:rsidRDefault="00176F74" w:rsidP="00176F74"/>
        </w:tc>
        <w:tc>
          <w:tcPr>
            <w:tcW w:w="0" w:type="auto"/>
            <w:hideMark/>
          </w:tcPr>
          <w:p w14:paraId="6CAA6A98"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11 years and above</w:t>
            </w:r>
          </w:p>
        </w:tc>
        <w:tc>
          <w:tcPr>
            <w:tcW w:w="0" w:type="auto"/>
            <w:hideMark/>
          </w:tcPr>
          <w:p w14:paraId="60C840E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w:t>
            </w:r>
          </w:p>
        </w:tc>
        <w:tc>
          <w:tcPr>
            <w:tcW w:w="0" w:type="auto"/>
            <w:hideMark/>
          </w:tcPr>
          <w:p w14:paraId="7D6DD4B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14.29%</w:t>
            </w:r>
          </w:p>
        </w:tc>
      </w:tr>
      <w:tr w:rsidR="00176F74" w:rsidRPr="00176F74" w14:paraId="2C6C966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C1BD7C" w14:textId="77777777" w:rsidR="00176F74" w:rsidRPr="00176F74" w:rsidRDefault="00176F74" w:rsidP="00176F74">
            <w:r w:rsidRPr="00176F74">
              <w:t>Year Level (Students)</w:t>
            </w:r>
          </w:p>
        </w:tc>
        <w:tc>
          <w:tcPr>
            <w:tcW w:w="0" w:type="auto"/>
            <w:hideMark/>
          </w:tcPr>
          <w:p w14:paraId="4C8F1C1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3rd Year</w:t>
            </w:r>
          </w:p>
        </w:tc>
        <w:tc>
          <w:tcPr>
            <w:tcW w:w="0" w:type="auto"/>
            <w:hideMark/>
          </w:tcPr>
          <w:p w14:paraId="293529E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w:t>
            </w:r>
          </w:p>
        </w:tc>
        <w:tc>
          <w:tcPr>
            <w:tcW w:w="0" w:type="auto"/>
            <w:hideMark/>
          </w:tcPr>
          <w:p w14:paraId="77950EF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w:t>
            </w:r>
          </w:p>
        </w:tc>
      </w:tr>
      <w:tr w:rsidR="00176F74" w:rsidRPr="00176F74" w14:paraId="6F6D96DD"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CD240AF" w14:textId="77777777" w:rsidR="00176F74" w:rsidRPr="00176F74" w:rsidRDefault="00176F74" w:rsidP="00176F74"/>
        </w:tc>
        <w:tc>
          <w:tcPr>
            <w:tcW w:w="0" w:type="auto"/>
            <w:hideMark/>
          </w:tcPr>
          <w:p w14:paraId="090868EC"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4th Year</w:t>
            </w:r>
          </w:p>
        </w:tc>
        <w:tc>
          <w:tcPr>
            <w:tcW w:w="0" w:type="auto"/>
            <w:hideMark/>
          </w:tcPr>
          <w:p w14:paraId="22ADD61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w:t>
            </w:r>
          </w:p>
        </w:tc>
        <w:tc>
          <w:tcPr>
            <w:tcW w:w="0" w:type="auto"/>
            <w:hideMark/>
          </w:tcPr>
          <w:p w14:paraId="01FA03B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4.76%</w:t>
            </w:r>
          </w:p>
        </w:tc>
      </w:tr>
    </w:tbl>
    <w:p w14:paraId="4CA32221" w14:textId="339C80D7" w:rsidR="00E0673F" w:rsidRPr="00E0673F" w:rsidRDefault="00E0673F" w:rsidP="00E0673F">
      <w:pPr>
        <w:spacing w:before="100" w:beforeAutospacing="1" w:after="100" w:afterAutospacing="1"/>
        <w:jc w:val="both"/>
        <w:outlineLvl w:val="2"/>
        <w:rPr>
          <w:color w:val="000000"/>
        </w:rPr>
      </w:pPr>
      <w:r w:rsidRPr="00E0673F">
        <w:rPr>
          <w:color w:val="000000"/>
        </w:rPr>
        <w:t>Table 1 presents the demographic and professional characteristics of the 21 participants in the Phase 1 SWOT analysis, showing that most were lecturers (47.62%) and clinical instructors (23.81%), supported by inputs from administrators, program chairs, students, and an alumnus to ensure a multi-stakeholder perspective (Hyseni-Duraku et al., 2022). The participant pool was predominantly female (71.43%), reflecting common gender patterns in nursing education, while a large proportion had 4–10 years of service (61.90%), indicating a balanced mix of institutional familiarity and practical teaching experience (Prosen, 2022). Although only two students and one alumnus were involved, their participation provided essential learner-focused insights that complemented the views of faculty and administrators. Overall, the SWOT analysis was shaped primarily by mid-career educators with firsthand experience in curriculum delivery and implementation challenges, supported by role diversity that contributed to a triangulated understanding of curricular strengths and gaps (Squires &amp; Hamilton, 2024). However, the limited student and alumni representation highlights the need for broader learner involvement in future reviews to ensure that curriculum enhancement remains responsive, inclusive, and aligned with outcomes-based and practice-oriented goals.</w:t>
      </w:r>
    </w:p>
    <w:p w14:paraId="1EF098EA" w14:textId="70216817" w:rsidR="00176F74" w:rsidRPr="00176F74" w:rsidRDefault="00176F74" w:rsidP="00176F74">
      <w:pPr>
        <w:spacing w:before="100" w:beforeAutospacing="1" w:after="100" w:afterAutospacing="1"/>
        <w:outlineLvl w:val="2"/>
        <w:rPr>
          <w:b/>
          <w:bCs/>
          <w:color w:val="000000"/>
        </w:rPr>
      </w:pPr>
      <w:r w:rsidRPr="00176F74">
        <w:rPr>
          <w:b/>
          <w:bCs/>
          <w:color w:val="000000"/>
        </w:rPr>
        <w:t>Table 2</w:t>
      </w:r>
      <w:r w:rsidRPr="004A0236">
        <w:rPr>
          <w:b/>
          <w:bCs/>
          <w:color w:val="000000"/>
        </w:rPr>
        <w:t xml:space="preserve">. </w:t>
      </w:r>
      <w:r w:rsidRPr="00176F74">
        <w:rPr>
          <w:b/>
          <w:bCs/>
          <w:color w:val="000000"/>
        </w:rPr>
        <w:t>Key Reasons for the Need to Review the BS Nursing Curriculum Based on Participant Responses (N = 21)</w:t>
      </w:r>
    </w:p>
    <w:tbl>
      <w:tblPr>
        <w:tblStyle w:val="PlainTable2"/>
        <w:tblW w:w="0" w:type="auto"/>
        <w:tblLook w:val="04A0" w:firstRow="1" w:lastRow="0" w:firstColumn="1" w:lastColumn="0" w:noHBand="0" w:noVBand="1"/>
      </w:tblPr>
      <w:tblGrid>
        <w:gridCol w:w="2644"/>
        <w:gridCol w:w="3573"/>
        <w:gridCol w:w="1195"/>
        <w:gridCol w:w="1265"/>
        <w:gridCol w:w="683"/>
      </w:tblGrid>
      <w:tr w:rsidR="00176F74" w:rsidRPr="00B47F53" w14:paraId="10762646"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708ED" w14:textId="77777777" w:rsidR="00176F74" w:rsidRPr="00B47F53" w:rsidRDefault="00176F74" w:rsidP="00176F74">
            <w:pPr>
              <w:jc w:val="center"/>
              <w:rPr>
                <w:sz w:val="20"/>
                <w:szCs w:val="20"/>
              </w:rPr>
            </w:pPr>
            <w:r w:rsidRPr="00B47F53">
              <w:rPr>
                <w:sz w:val="20"/>
                <w:szCs w:val="20"/>
              </w:rPr>
              <w:t>Emerging Theme</w:t>
            </w:r>
          </w:p>
        </w:tc>
        <w:tc>
          <w:tcPr>
            <w:tcW w:w="0" w:type="auto"/>
            <w:hideMark/>
          </w:tcPr>
          <w:p w14:paraId="678E1D40"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Sample Response/Insight</w:t>
            </w:r>
          </w:p>
        </w:tc>
        <w:tc>
          <w:tcPr>
            <w:tcW w:w="0" w:type="auto"/>
            <w:hideMark/>
          </w:tcPr>
          <w:p w14:paraId="52050015"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Frequency (f)</w:t>
            </w:r>
          </w:p>
        </w:tc>
        <w:tc>
          <w:tcPr>
            <w:tcW w:w="0" w:type="auto"/>
            <w:hideMark/>
          </w:tcPr>
          <w:p w14:paraId="24E10BA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Percentage (%)</w:t>
            </w:r>
          </w:p>
        </w:tc>
        <w:tc>
          <w:tcPr>
            <w:tcW w:w="0" w:type="auto"/>
            <w:hideMark/>
          </w:tcPr>
          <w:p w14:paraId="6889FB2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Rank</w:t>
            </w:r>
          </w:p>
        </w:tc>
      </w:tr>
      <w:tr w:rsidR="00176F74" w:rsidRPr="00B47F53" w14:paraId="52F6FFF0"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A709FF" w14:textId="77777777" w:rsidR="00176F74" w:rsidRPr="00B47F53" w:rsidRDefault="00176F74" w:rsidP="004A0236">
            <w:pPr>
              <w:jc w:val="center"/>
              <w:rPr>
                <w:sz w:val="20"/>
                <w:szCs w:val="20"/>
              </w:rPr>
            </w:pPr>
            <w:r w:rsidRPr="00B47F53">
              <w:rPr>
                <w:sz w:val="20"/>
                <w:szCs w:val="20"/>
              </w:rPr>
              <w:t>Curriculum not aligned with Outcomes-Based Education (OBE)</w:t>
            </w:r>
          </w:p>
        </w:tc>
        <w:tc>
          <w:tcPr>
            <w:tcW w:w="0" w:type="auto"/>
            <w:hideMark/>
          </w:tcPr>
          <w:p w14:paraId="663748D0"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a need to align our teaching plans with OBE standards and competencies.”</w:t>
            </w:r>
          </w:p>
        </w:tc>
        <w:tc>
          <w:tcPr>
            <w:tcW w:w="0" w:type="auto"/>
            <w:hideMark/>
          </w:tcPr>
          <w:p w14:paraId="71F130D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17</w:t>
            </w:r>
          </w:p>
        </w:tc>
        <w:tc>
          <w:tcPr>
            <w:tcW w:w="0" w:type="auto"/>
            <w:hideMark/>
          </w:tcPr>
          <w:p w14:paraId="4CEBD42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80.95%</w:t>
            </w:r>
          </w:p>
        </w:tc>
        <w:tc>
          <w:tcPr>
            <w:tcW w:w="0" w:type="auto"/>
            <w:hideMark/>
          </w:tcPr>
          <w:p w14:paraId="0E3644B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w:t>
            </w:r>
          </w:p>
        </w:tc>
      </w:tr>
      <w:tr w:rsidR="00176F74" w:rsidRPr="00B47F53" w14:paraId="5348CFBA"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8C583C2" w14:textId="77777777" w:rsidR="00176F74" w:rsidRPr="00B47F53" w:rsidRDefault="00176F74" w:rsidP="004A0236">
            <w:pPr>
              <w:jc w:val="center"/>
              <w:rPr>
                <w:sz w:val="20"/>
                <w:szCs w:val="20"/>
              </w:rPr>
            </w:pPr>
            <w:r w:rsidRPr="00B47F53">
              <w:rPr>
                <w:sz w:val="20"/>
                <w:szCs w:val="20"/>
              </w:rPr>
              <w:lastRenderedPageBreak/>
              <w:t>Weak integration of theory and clinical (RLE)</w:t>
            </w:r>
          </w:p>
        </w:tc>
        <w:tc>
          <w:tcPr>
            <w:tcW w:w="0" w:type="auto"/>
            <w:hideMark/>
          </w:tcPr>
          <w:p w14:paraId="7C5CA70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“What we teach in theory is not always reinforced during RLE; they feel disconnected.”</w:t>
            </w:r>
          </w:p>
        </w:tc>
        <w:tc>
          <w:tcPr>
            <w:tcW w:w="0" w:type="auto"/>
            <w:hideMark/>
          </w:tcPr>
          <w:p w14:paraId="0981AE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15</w:t>
            </w:r>
          </w:p>
        </w:tc>
        <w:tc>
          <w:tcPr>
            <w:tcW w:w="0" w:type="auto"/>
            <w:hideMark/>
          </w:tcPr>
          <w:p w14:paraId="4F0CC264"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71.43%</w:t>
            </w:r>
          </w:p>
        </w:tc>
        <w:tc>
          <w:tcPr>
            <w:tcW w:w="0" w:type="auto"/>
            <w:hideMark/>
          </w:tcPr>
          <w:p w14:paraId="378A64C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2</w:t>
            </w:r>
          </w:p>
        </w:tc>
      </w:tr>
      <w:tr w:rsidR="00176F74" w:rsidRPr="00B47F53" w14:paraId="315CC7CA"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5FD92" w14:textId="77777777" w:rsidR="00176F74" w:rsidRPr="00B47F53" w:rsidRDefault="00176F74" w:rsidP="004A0236">
            <w:pPr>
              <w:jc w:val="center"/>
              <w:rPr>
                <w:sz w:val="20"/>
                <w:szCs w:val="20"/>
              </w:rPr>
            </w:pPr>
            <w:r w:rsidRPr="00B47F53">
              <w:rPr>
                <w:sz w:val="20"/>
                <w:szCs w:val="20"/>
              </w:rPr>
              <w:t>Faculty lack training on curriculum design and innovation</w:t>
            </w:r>
          </w:p>
        </w:tc>
        <w:tc>
          <w:tcPr>
            <w:tcW w:w="0" w:type="auto"/>
            <w:hideMark/>
          </w:tcPr>
          <w:p w14:paraId="1CED8C3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“We haven’t undergone any formal training on curriculum development or instructional design.”</w:t>
            </w:r>
          </w:p>
        </w:tc>
        <w:tc>
          <w:tcPr>
            <w:tcW w:w="0" w:type="auto"/>
            <w:hideMark/>
          </w:tcPr>
          <w:p w14:paraId="6028694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13</w:t>
            </w:r>
          </w:p>
        </w:tc>
        <w:tc>
          <w:tcPr>
            <w:tcW w:w="0" w:type="auto"/>
            <w:hideMark/>
          </w:tcPr>
          <w:p w14:paraId="095BA01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61.90%</w:t>
            </w:r>
          </w:p>
        </w:tc>
        <w:tc>
          <w:tcPr>
            <w:tcW w:w="0" w:type="auto"/>
            <w:hideMark/>
          </w:tcPr>
          <w:p w14:paraId="1B1936E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3</w:t>
            </w:r>
          </w:p>
        </w:tc>
      </w:tr>
      <w:tr w:rsidR="00176F74" w:rsidRPr="00B47F53" w14:paraId="0DE0372F"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4F6951DF" w14:textId="77777777" w:rsidR="00176F74" w:rsidRPr="00B47F53" w:rsidRDefault="00176F74" w:rsidP="004A0236">
            <w:pPr>
              <w:jc w:val="center"/>
              <w:rPr>
                <w:sz w:val="20"/>
                <w:szCs w:val="20"/>
              </w:rPr>
            </w:pPr>
            <w:r w:rsidRPr="00B47F53">
              <w:rPr>
                <w:sz w:val="20"/>
                <w:szCs w:val="20"/>
              </w:rPr>
              <w:t>Lack of policies on student assessment and evaluation</w:t>
            </w:r>
          </w:p>
        </w:tc>
        <w:tc>
          <w:tcPr>
            <w:tcW w:w="0" w:type="auto"/>
            <w:hideMark/>
          </w:tcPr>
          <w:p w14:paraId="1676A8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do not have clear guidelines for evaluating students’ clinical or theoretical performance.”</w:t>
            </w:r>
          </w:p>
        </w:tc>
        <w:tc>
          <w:tcPr>
            <w:tcW w:w="0" w:type="auto"/>
            <w:hideMark/>
          </w:tcPr>
          <w:p w14:paraId="61279A29"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14</w:t>
            </w:r>
          </w:p>
        </w:tc>
        <w:tc>
          <w:tcPr>
            <w:tcW w:w="0" w:type="auto"/>
            <w:hideMark/>
          </w:tcPr>
          <w:p w14:paraId="475204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66.67%</w:t>
            </w:r>
          </w:p>
        </w:tc>
        <w:tc>
          <w:tcPr>
            <w:tcW w:w="0" w:type="auto"/>
            <w:hideMark/>
          </w:tcPr>
          <w:p w14:paraId="308F8B5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w:t>
            </w:r>
          </w:p>
        </w:tc>
      </w:tr>
      <w:tr w:rsidR="00176F74" w:rsidRPr="00B47F53" w14:paraId="659AACC1"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1C59C" w14:textId="77777777" w:rsidR="00176F74" w:rsidRPr="00B47F53" w:rsidRDefault="00176F74" w:rsidP="004A0236">
            <w:pPr>
              <w:jc w:val="center"/>
              <w:rPr>
                <w:sz w:val="20"/>
                <w:szCs w:val="20"/>
              </w:rPr>
            </w:pPr>
            <w:r w:rsidRPr="00B47F53">
              <w:rPr>
                <w:sz w:val="20"/>
                <w:szCs w:val="20"/>
              </w:rPr>
              <w:t>No long-term plan or regular review cycle</w:t>
            </w:r>
          </w:p>
        </w:tc>
        <w:tc>
          <w:tcPr>
            <w:tcW w:w="0" w:type="auto"/>
            <w:hideMark/>
          </w:tcPr>
          <w:p w14:paraId="57F6F312"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no schedule or policy for updating the curriculum—it only happens when mandated.”</w:t>
            </w:r>
          </w:p>
        </w:tc>
        <w:tc>
          <w:tcPr>
            <w:tcW w:w="0" w:type="auto"/>
            <w:hideMark/>
          </w:tcPr>
          <w:p w14:paraId="37D7EE0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12</w:t>
            </w:r>
          </w:p>
        </w:tc>
        <w:tc>
          <w:tcPr>
            <w:tcW w:w="0" w:type="auto"/>
            <w:hideMark/>
          </w:tcPr>
          <w:p w14:paraId="71D453D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57.14%</w:t>
            </w:r>
          </w:p>
        </w:tc>
        <w:tc>
          <w:tcPr>
            <w:tcW w:w="0" w:type="auto"/>
            <w:hideMark/>
          </w:tcPr>
          <w:p w14:paraId="79A2621B"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5.5</w:t>
            </w:r>
          </w:p>
        </w:tc>
      </w:tr>
      <w:tr w:rsidR="00176F74" w:rsidRPr="00B47F53" w14:paraId="5E56E93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79E24732" w14:textId="77777777" w:rsidR="00176F74" w:rsidRPr="00B47F53" w:rsidRDefault="00176F74" w:rsidP="004A0236">
            <w:pPr>
              <w:jc w:val="center"/>
              <w:rPr>
                <w:sz w:val="20"/>
                <w:szCs w:val="20"/>
              </w:rPr>
            </w:pPr>
            <w:r w:rsidRPr="00B47F53">
              <w:rPr>
                <w:sz w:val="20"/>
                <w:szCs w:val="20"/>
              </w:rPr>
              <w:t>Stakeholders demand relevance and global competencies</w:t>
            </w:r>
          </w:p>
        </w:tc>
        <w:tc>
          <w:tcPr>
            <w:tcW w:w="0" w:type="auto"/>
            <w:hideMark/>
          </w:tcPr>
          <w:p w14:paraId="78D23642"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“Students want more global content and skills that are useful for international practice.”</w:t>
            </w:r>
          </w:p>
        </w:tc>
        <w:tc>
          <w:tcPr>
            <w:tcW w:w="0" w:type="auto"/>
            <w:hideMark/>
          </w:tcPr>
          <w:p w14:paraId="33786DC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12</w:t>
            </w:r>
          </w:p>
        </w:tc>
        <w:tc>
          <w:tcPr>
            <w:tcW w:w="0" w:type="auto"/>
            <w:hideMark/>
          </w:tcPr>
          <w:p w14:paraId="2E1913A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57.14%</w:t>
            </w:r>
          </w:p>
        </w:tc>
        <w:tc>
          <w:tcPr>
            <w:tcW w:w="0" w:type="auto"/>
            <w:hideMark/>
          </w:tcPr>
          <w:p w14:paraId="1313169B"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5.5</w:t>
            </w:r>
          </w:p>
        </w:tc>
      </w:tr>
      <w:tr w:rsidR="00176F74" w:rsidRPr="00B47F53" w14:paraId="548ED99F"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E9417" w14:textId="77777777" w:rsidR="00176F74" w:rsidRPr="00B47F53" w:rsidRDefault="00176F74" w:rsidP="004A0236">
            <w:pPr>
              <w:jc w:val="center"/>
              <w:rPr>
                <w:sz w:val="20"/>
                <w:szCs w:val="20"/>
              </w:rPr>
            </w:pPr>
            <w:r w:rsidRPr="00B47F53">
              <w:rPr>
                <w:sz w:val="20"/>
                <w:szCs w:val="20"/>
              </w:rPr>
              <w:t>Need to respond to accreditation demands</w:t>
            </w:r>
          </w:p>
        </w:tc>
        <w:tc>
          <w:tcPr>
            <w:tcW w:w="0" w:type="auto"/>
            <w:hideMark/>
          </w:tcPr>
          <w:p w14:paraId="46C4026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“With PACUCOA and CHED visits approaching, we need to ensure our curriculum meets all standards.”</w:t>
            </w:r>
          </w:p>
        </w:tc>
        <w:tc>
          <w:tcPr>
            <w:tcW w:w="0" w:type="auto"/>
            <w:hideMark/>
          </w:tcPr>
          <w:p w14:paraId="689D37A1"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11</w:t>
            </w:r>
          </w:p>
        </w:tc>
        <w:tc>
          <w:tcPr>
            <w:tcW w:w="0" w:type="auto"/>
            <w:hideMark/>
          </w:tcPr>
          <w:p w14:paraId="726C123F"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52.38%</w:t>
            </w:r>
          </w:p>
        </w:tc>
        <w:tc>
          <w:tcPr>
            <w:tcW w:w="0" w:type="auto"/>
            <w:hideMark/>
          </w:tcPr>
          <w:p w14:paraId="3704F745"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7</w:t>
            </w:r>
          </w:p>
        </w:tc>
      </w:tr>
      <w:tr w:rsidR="00176F74" w:rsidRPr="00B47F53" w14:paraId="2D356C37"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73F9483" w14:textId="77777777" w:rsidR="00176F74" w:rsidRPr="00B47F53" w:rsidRDefault="00176F74" w:rsidP="004A0236">
            <w:pPr>
              <w:jc w:val="center"/>
              <w:rPr>
                <w:sz w:val="20"/>
                <w:szCs w:val="20"/>
              </w:rPr>
            </w:pPr>
            <w:r w:rsidRPr="00B47F53">
              <w:rPr>
                <w:sz w:val="20"/>
                <w:szCs w:val="20"/>
              </w:rPr>
              <w:t>Learning Management System (LMS) underutilized</w:t>
            </w:r>
          </w:p>
        </w:tc>
        <w:tc>
          <w:tcPr>
            <w:tcW w:w="0" w:type="auto"/>
            <w:hideMark/>
          </w:tcPr>
          <w:p w14:paraId="2D3120B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have LMS but we’re not trained to use it effectively, and students don’t use it consistently.”</w:t>
            </w:r>
          </w:p>
        </w:tc>
        <w:tc>
          <w:tcPr>
            <w:tcW w:w="0" w:type="auto"/>
            <w:hideMark/>
          </w:tcPr>
          <w:p w14:paraId="50C0A5A8"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c>
          <w:tcPr>
            <w:tcW w:w="0" w:type="auto"/>
            <w:hideMark/>
          </w:tcPr>
          <w:p w14:paraId="099FF91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47.62%</w:t>
            </w:r>
          </w:p>
        </w:tc>
        <w:tc>
          <w:tcPr>
            <w:tcW w:w="0" w:type="auto"/>
            <w:hideMark/>
          </w:tcPr>
          <w:p w14:paraId="5922F59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r>
      <w:tr w:rsidR="00176F74" w:rsidRPr="00B47F53" w14:paraId="2B6B7CA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54E32" w14:textId="77777777" w:rsidR="00176F74" w:rsidRPr="00B47F53" w:rsidRDefault="00176F74" w:rsidP="004A0236">
            <w:pPr>
              <w:jc w:val="center"/>
              <w:rPr>
                <w:sz w:val="20"/>
                <w:szCs w:val="20"/>
              </w:rPr>
            </w:pPr>
            <w:r w:rsidRPr="00B47F53">
              <w:rPr>
                <w:sz w:val="20"/>
                <w:szCs w:val="20"/>
              </w:rPr>
              <w:t>Need to modernize post-pandemic teaching strategies</w:t>
            </w:r>
          </w:p>
        </w:tc>
        <w:tc>
          <w:tcPr>
            <w:tcW w:w="0" w:type="auto"/>
            <w:hideMark/>
          </w:tcPr>
          <w:p w14:paraId="1615DAAA"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“After the pandemic, the way we teach has changed, but the curriculum has not caught up.”</w:t>
            </w:r>
          </w:p>
        </w:tc>
        <w:tc>
          <w:tcPr>
            <w:tcW w:w="0" w:type="auto"/>
            <w:hideMark/>
          </w:tcPr>
          <w:p w14:paraId="5F72610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c>
          <w:tcPr>
            <w:tcW w:w="0" w:type="auto"/>
            <w:hideMark/>
          </w:tcPr>
          <w:p w14:paraId="42014F5D"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42.86%</w:t>
            </w:r>
          </w:p>
        </w:tc>
        <w:tc>
          <w:tcPr>
            <w:tcW w:w="0" w:type="auto"/>
            <w:hideMark/>
          </w:tcPr>
          <w:p w14:paraId="474E8C5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r>
      <w:tr w:rsidR="00176F74" w:rsidRPr="00B47F53" w14:paraId="5CF80A4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5996389" w14:textId="77777777" w:rsidR="00176F74" w:rsidRPr="00B47F53" w:rsidRDefault="00176F74" w:rsidP="004A0236">
            <w:pPr>
              <w:jc w:val="center"/>
              <w:rPr>
                <w:sz w:val="20"/>
                <w:szCs w:val="20"/>
              </w:rPr>
            </w:pPr>
            <w:r w:rsidRPr="00B47F53">
              <w:rPr>
                <w:sz w:val="20"/>
                <w:szCs w:val="20"/>
              </w:rPr>
              <w:t>Lack of gender and inclusion mainstreaming</w:t>
            </w:r>
          </w:p>
        </w:tc>
        <w:tc>
          <w:tcPr>
            <w:tcW w:w="0" w:type="auto"/>
            <w:hideMark/>
          </w:tcPr>
          <w:p w14:paraId="788C754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“There are no topics or strategies that promote gender sensitivity or inclusive practices.”</w:t>
            </w:r>
          </w:p>
        </w:tc>
        <w:tc>
          <w:tcPr>
            <w:tcW w:w="0" w:type="auto"/>
            <w:hideMark/>
          </w:tcPr>
          <w:p w14:paraId="3F7D18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c>
          <w:tcPr>
            <w:tcW w:w="0" w:type="auto"/>
            <w:hideMark/>
          </w:tcPr>
          <w:p w14:paraId="3D2DB78F"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38.10%</w:t>
            </w:r>
          </w:p>
        </w:tc>
        <w:tc>
          <w:tcPr>
            <w:tcW w:w="0" w:type="auto"/>
            <w:hideMark/>
          </w:tcPr>
          <w:p w14:paraId="1DE7B42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r>
    </w:tbl>
    <w:p w14:paraId="15CB3FBD" w14:textId="69753E59" w:rsidR="00E0673F" w:rsidRPr="00E0673F" w:rsidRDefault="00E0673F" w:rsidP="004A0236">
      <w:pPr>
        <w:spacing w:before="100" w:beforeAutospacing="1" w:after="100" w:afterAutospacing="1"/>
        <w:jc w:val="both"/>
        <w:outlineLvl w:val="2"/>
        <w:rPr>
          <w:b/>
          <w:bCs/>
          <w:color w:val="000000"/>
        </w:rPr>
      </w:pPr>
      <w:r w:rsidRPr="00E0673F">
        <w:rPr>
          <w:color w:val="000000"/>
        </w:rPr>
        <w:t xml:space="preserve">Table 2 summarizes the key reasons identified by 21 stakeholders for the urgent review of the BS Nursing curriculum, with the most critical concern being the lack of alignment with Outcomes-Based Education (OBE) principles, cited by 80.95% of participants, indicating challenges in fully implementing CHED’s CMO No. 15, s. 2017 (CHED, 2017). The second major issue was the persistent theory–practice gap, reported by 71.43% of participants, highlighting the disconnect between classroom instruction and Related Learning Experience (RLE), alongside concerns regarding inadequate faculty development (61.90%) and insufficient assessment policies (66.67%) essential for coherent curriculum delivery (Tomey &amp; Alligood, 2019; </w:t>
      </w:r>
      <w:proofErr w:type="spellStart"/>
      <w:r w:rsidRPr="00E0673F">
        <w:rPr>
          <w:color w:val="000000"/>
        </w:rPr>
        <w:t>Oducado</w:t>
      </w:r>
      <w:proofErr w:type="spellEnd"/>
      <w:r w:rsidRPr="00E0673F">
        <w:rPr>
          <w:color w:val="000000"/>
        </w:rPr>
        <w:t xml:space="preserve"> et al., 2019). Stakeholders emphasized that the current curriculum is reactive rather than proactive, resulting in fragmented revisions driven by accreditation timelines rather than long-term educational planning, which undermines the development of a consistently outcomes-driven program (Haile &amp; Mekonnen, 2024). Additional issues such as the underutilization of Learning Management Systems (LMS) and limited gender and inclusion mainstreaming further reveal that the curriculum has not kept pace with societal, technological, and global developments required of modern nursing education (Simon et al., 2024). Overall, these findings underscore the critical need for institutions to realign the curriculum with OBE principles, strengthen theory–practice integration, and invest in faculty development and inclusive, technology-enhanced instructional practices to ensure that graduates are competent, adaptable, and responsive to contemporary healthcare demands (Salumbides et al., 2020; Lewis et al., 2022; Mhlongo et al., 2023).</w:t>
      </w:r>
    </w:p>
    <w:p w14:paraId="4E001191" w14:textId="21E97F74"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3. SWOT Analysis Results on the BS Nursing Curriculum of </w:t>
      </w:r>
      <w:r w:rsidR="004A0236">
        <w:rPr>
          <w:b/>
          <w:bCs/>
          <w:color w:val="000000"/>
        </w:rPr>
        <w:t>the Private Higher Educational Institution</w:t>
      </w:r>
      <w:r w:rsidRPr="003634FA">
        <w:rPr>
          <w:b/>
          <w:bCs/>
          <w:color w:val="000000"/>
        </w:rPr>
        <w:t xml:space="preserve"> (N = 21)</w:t>
      </w:r>
    </w:p>
    <w:tbl>
      <w:tblPr>
        <w:tblStyle w:val="PlainTable2"/>
        <w:tblW w:w="0" w:type="auto"/>
        <w:tblLook w:val="04A0" w:firstRow="1" w:lastRow="0" w:firstColumn="1" w:lastColumn="0" w:noHBand="0" w:noVBand="1"/>
      </w:tblPr>
      <w:tblGrid>
        <w:gridCol w:w="1657"/>
        <w:gridCol w:w="4548"/>
        <w:gridCol w:w="1422"/>
        <w:gridCol w:w="1733"/>
      </w:tblGrid>
      <w:tr w:rsidR="003634FA" w:rsidRPr="003634FA" w14:paraId="66957CA4"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ED1FF" w14:textId="77777777" w:rsidR="003634FA" w:rsidRPr="003634FA" w:rsidRDefault="003634FA" w:rsidP="003634FA">
            <w:pPr>
              <w:jc w:val="center"/>
            </w:pPr>
            <w:r w:rsidRPr="003634FA">
              <w:lastRenderedPageBreak/>
              <w:t>Themes</w:t>
            </w:r>
          </w:p>
        </w:tc>
        <w:tc>
          <w:tcPr>
            <w:tcW w:w="0" w:type="auto"/>
            <w:hideMark/>
          </w:tcPr>
          <w:p w14:paraId="14BB1A2D"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Description</w:t>
            </w:r>
          </w:p>
        </w:tc>
        <w:tc>
          <w:tcPr>
            <w:tcW w:w="0" w:type="auto"/>
            <w:hideMark/>
          </w:tcPr>
          <w:p w14:paraId="68E7F175"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25270FCA"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 of Respondents</w:t>
            </w:r>
          </w:p>
        </w:tc>
      </w:tr>
      <w:tr w:rsidR="003634FA" w:rsidRPr="003634FA" w14:paraId="15E8EAB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DB8BA1" w14:textId="77777777" w:rsidR="003634FA" w:rsidRPr="003634FA" w:rsidRDefault="003634FA" w:rsidP="003634FA">
            <w:r w:rsidRPr="003634FA">
              <w:t>Strengths</w:t>
            </w:r>
          </w:p>
        </w:tc>
        <w:tc>
          <w:tcPr>
            <w:tcW w:w="0" w:type="auto"/>
            <w:hideMark/>
          </w:tcPr>
          <w:p w14:paraId="74885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2C76645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hideMark/>
          </w:tcPr>
          <w:p w14:paraId="54F353F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r>
      <w:tr w:rsidR="003634FA" w:rsidRPr="003634FA" w14:paraId="60DC3D7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3817355" w14:textId="77777777" w:rsidR="003634FA" w:rsidRPr="003634FA" w:rsidRDefault="003634FA" w:rsidP="003634FA">
            <w:r w:rsidRPr="003634FA">
              <w:t>S1</w:t>
            </w:r>
          </w:p>
        </w:tc>
        <w:tc>
          <w:tcPr>
            <w:tcW w:w="0" w:type="auto"/>
            <w:hideMark/>
          </w:tcPr>
          <w:p w14:paraId="3832393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Compliance with CHED minimum requirements</w:t>
            </w:r>
          </w:p>
        </w:tc>
        <w:tc>
          <w:tcPr>
            <w:tcW w:w="0" w:type="auto"/>
            <w:hideMark/>
          </w:tcPr>
          <w:p w14:paraId="79CA4C7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18</w:t>
            </w:r>
          </w:p>
        </w:tc>
        <w:tc>
          <w:tcPr>
            <w:tcW w:w="0" w:type="auto"/>
            <w:hideMark/>
          </w:tcPr>
          <w:p w14:paraId="60E5899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85.71%</w:t>
            </w:r>
          </w:p>
        </w:tc>
      </w:tr>
      <w:tr w:rsidR="003634FA" w:rsidRPr="003634FA" w14:paraId="3750377E"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2E2536" w14:textId="77777777" w:rsidR="003634FA" w:rsidRPr="003634FA" w:rsidRDefault="003634FA" w:rsidP="003634FA">
            <w:r w:rsidRPr="003634FA">
              <w:t>S2</w:t>
            </w:r>
          </w:p>
        </w:tc>
        <w:tc>
          <w:tcPr>
            <w:tcW w:w="0" w:type="auto"/>
            <w:hideMark/>
          </w:tcPr>
          <w:p w14:paraId="115690E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Participation in ADPCN, PNA, and CHED academic initiatives</w:t>
            </w:r>
          </w:p>
        </w:tc>
        <w:tc>
          <w:tcPr>
            <w:tcW w:w="0" w:type="auto"/>
            <w:hideMark/>
          </w:tcPr>
          <w:p w14:paraId="4102241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A2E8FD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r w:rsidR="003634FA" w:rsidRPr="003634FA" w14:paraId="6A2A9F9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B6DAC33" w14:textId="77777777" w:rsidR="003634FA" w:rsidRPr="003634FA" w:rsidRDefault="003634FA" w:rsidP="003634FA">
            <w:r w:rsidRPr="003634FA">
              <w:t>S3</w:t>
            </w:r>
          </w:p>
        </w:tc>
        <w:tc>
          <w:tcPr>
            <w:tcW w:w="0" w:type="auto"/>
            <w:hideMark/>
          </w:tcPr>
          <w:p w14:paraId="5973E8A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Institutional initiative for curriculum review</w:t>
            </w:r>
          </w:p>
        </w:tc>
        <w:tc>
          <w:tcPr>
            <w:tcW w:w="0" w:type="auto"/>
            <w:hideMark/>
          </w:tcPr>
          <w:p w14:paraId="4EB2585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17</w:t>
            </w:r>
          </w:p>
        </w:tc>
        <w:tc>
          <w:tcPr>
            <w:tcW w:w="0" w:type="auto"/>
            <w:hideMark/>
          </w:tcPr>
          <w:p w14:paraId="2AF3E8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80.95%</w:t>
            </w:r>
          </w:p>
        </w:tc>
      </w:tr>
      <w:tr w:rsidR="003634FA" w:rsidRPr="003634FA" w14:paraId="046C986D"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8FC5C" w14:textId="77777777" w:rsidR="003634FA" w:rsidRPr="003634FA" w:rsidRDefault="003634FA" w:rsidP="003634FA">
            <w:r w:rsidRPr="003634FA">
              <w:t>S4</w:t>
            </w:r>
          </w:p>
        </w:tc>
        <w:tc>
          <w:tcPr>
            <w:tcW w:w="0" w:type="auto"/>
            <w:hideMark/>
          </w:tcPr>
          <w:p w14:paraId="253618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Existing academic and hospital partnerships</w:t>
            </w:r>
          </w:p>
        </w:tc>
        <w:tc>
          <w:tcPr>
            <w:tcW w:w="0" w:type="auto"/>
            <w:hideMark/>
          </w:tcPr>
          <w:p w14:paraId="2747B6F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05435DA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7FB8C3AF"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5204F62" w14:textId="77777777" w:rsidR="003634FA" w:rsidRPr="003634FA" w:rsidRDefault="003634FA" w:rsidP="003634FA">
            <w:r w:rsidRPr="003634FA">
              <w:t>S5</w:t>
            </w:r>
          </w:p>
        </w:tc>
        <w:tc>
          <w:tcPr>
            <w:tcW w:w="0" w:type="auto"/>
            <w:hideMark/>
          </w:tcPr>
          <w:p w14:paraId="53924ED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Recognized by CHED; regular monitoring and engagement</w:t>
            </w:r>
          </w:p>
        </w:tc>
        <w:tc>
          <w:tcPr>
            <w:tcW w:w="0" w:type="auto"/>
            <w:hideMark/>
          </w:tcPr>
          <w:p w14:paraId="2EE8AC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12</w:t>
            </w:r>
          </w:p>
        </w:tc>
        <w:tc>
          <w:tcPr>
            <w:tcW w:w="0" w:type="auto"/>
            <w:hideMark/>
          </w:tcPr>
          <w:p w14:paraId="2F3E2FB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57.14%</w:t>
            </w:r>
          </w:p>
        </w:tc>
      </w:tr>
      <w:tr w:rsidR="003634FA" w:rsidRPr="003634FA" w14:paraId="6D258BB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3812B9" w14:textId="77777777" w:rsidR="003634FA" w:rsidRPr="003634FA" w:rsidRDefault="003634FA" w:rsidP="003634FA">
            <w:r w:rsidRPr="003634FA">
              <w:t>S6</w:t>
            </w:r>
          </w:p>
        </w:tc>
        <w:tc>
          <w:tcPr>
            <w:tcW w:w="0" w:type="auto"/>
            <w:hideMark/>
          </w:tcPr>
          <w:p w14:paraId="783330A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Plans for internationalization and responsiveness to stakeholder needs</w:t>
            </w:r>
          </w:p>
        </w:tc>
        <w:tc>
          <w:tcPr>
            <w:tcW w:w="0" w:type="auto"/>
            <w:hideMark/>
          </w:tcPr>
          <w:p w14:paraId="5EDF453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366F769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6C621548"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46DFE44" w14:textId="77777777" w:rsidR="003634FA" w:rsidRPr="003634FA" w:rsidRDefault="003634FA" w:rsidP="003634FA">
            <w:r w:rsidRPr="003634FA">
              <w:t>Weaknesses</w:t>
            </w:r>
          </w:p>
        </w:tc>
        <w:tc>
          <w:tcPr>
            <w:tcW w:w="0" w:type="auto"/>
            <w:hideMark/>
          </w:tcPr>
          <w:p w14:paraId="1AC04A4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5DED410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71E4AA31"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5F169D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75230" w14:textId="77777777" w:rsidR="003634FA" w:rsidRPr="003634FA" w:rsidRDefault="003634FA" w:rsidP="003634FA">
            <w:r w:rsidRPr="003634FA">
              <w:t>W1</w:t>
            </w:r>
          </w:p>
        </w:tc>
        <w:tc>
          <w:tcPr>
            <w:tcW w:w="0" w:type="auto"/>
            <w:hideMark/>
          </w:tcPr>
          <w:p w14:paraId="2478A5A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Curriculum not aligned with Outcomes-Based Education (OBE)</w:t>
            </w:r>
          </w:p>
        </w:tc>
        <w:tc>
          <w:tcPr>
            <w:tcW w:w="0" w:type="auto"/>
            <w:hideMark/>
          </w:tcPr>
          <w:p w14:paraId="4376A8B7"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3A335A2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0B98B2E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192EFFC" w14:textId="77777777" w:rsidR="003634FA" w:rsidRPr="003634FA" w:rsidRDefault="003634FA" w:rsidP="003634FA">
            <w:r w:rsidRPr="003634FA">
              <w:t>W2</w:t>
            </w:r>
          </w:p>
        </w:tc>
        <w:tc>
          <w:tcPr>
            <w:tcW w:w="0" w:type="auto"/>
            <w:hideMark/>
          </w:tcPr>
          <w:p w14:paraId="7D0D53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No faculty development program focused on curriculum planning and innovation</w:t>
            </w:r>
          </w:p>
        </w:tc>
        <w:tc>
          <w:tcPr>
            <w:tcW w:w="0" w:type="auto"/>
            <w:hideMark/>
          </w:tcPr>
          <w:p w14:paraId="033F29F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13</w:t>
            </w:r>
          </w:p>
        </w:tc>
        <w:tc>
          <w:tcPr>
            <w:tcW w:w="0" w:type="auto"/>
            <w:hideMark/>
          </w:tcPr>
          <w:p w14:paraId="2939059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61.90%</w:t>
            </w:r>
          </w:p>
        </w:tc>
      </w:tr>
      <w:tr w:rsidR="003634FA" w:rsidRPr="003634FA" w14:paraId="65236185"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30241" w14:textId="77777777" w:rsidR="003634FA" w:rsidRPr="003634FA" w:rsidRDefault="003634FA" w:rsidP="003634FA">
            <w:r w:rsidRPr="003634FA">
              <w:t>W3</w:t>
            </w:r>
          </w:p>
        </w:tc>
        <w:tc>
          <w:tcPr>
            <w:tcW w:w="0" w:type="auto"/>
            <w:hideMark/>
          </w:tcPr>
          <w:p w14:paraId="004A716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Absence of formal policies on assessment strategies</w:t>
            </w:r>
          </w:p>
        </w:tc>
        <w:tc>
          <w:tcPr>
            <w:tcW w:w="0" w:type="auto"/>
            <w:hideMark/>
          </w:tcPr>
          <w:p w14:paraId="42EC29C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790C3A3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57CEF69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961150B" w14:textId="77777777" w:rsidR="003634FA" w:rsidRPr="003634FA" w:rsidRDefault="003634FA" w:rsidP="003634FA">
            <w:r w:rsidRPr="003634FA">
              <w:t>W4</w:t>
            </w:r>
          </w:p>
        </w:tc>
        <w:tc>
          <w:tcPr>
            <w:tcW w:w="0" w:type="auto"/>
            <w:hideMark/>
          </w:tcPr>
          <w:p w14:paraId="3C7105C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Lack of alignment between curriculum content and RLE (Related Learning Experience)</w:t>
            </w:r>
          </w:p>
        </w:tc>
        <w:tc>
          <w:tcPr>
            <w:tcW w:w="0" w:type="auto"/>
            <w:hideMark/>
          </w:tcPr>
          <w:p w14:paraId="56F7D21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7C44005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64EEA54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68347" w14:textId="77777777" w:rsidR="003634FA" w:rsidRPr="003634FA" w:rsidRDefault="003634FA" w:rsidP="003634FA">
            <w:r w:rsidRPr="003634FA">
              <w:t>W5</w:t>
            </w:r>
          </w:p>
        </w:tc>
        <w:tc>
          <w:tcPr>
            <w:tcW w:w="0" w:type="auto"/>
            <w:hideMark/>
          </w:tcPr>
          <w:p w14:paraId="757709C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No strategic plan for long-term curriculum review</w:t>
            </w:r>
          </w:p>
        </w:tc>
        <w:tc>
          <w:tcPr>
            <w:tcW w:w="0" w:type="auto"/>
            <w:hideMark/>
          </w:tcPr>
          <w:p w14:paraId="72BE8F4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w:t>
            </w:r>
          </w:p>
        </w:tc>
        <w:tc>
          <w:tcPr>
            <w:tcW w:w="0" w:type="auto"/>
            <w:hideMark/>
          </w:tcPr>
          <w:p w14:paraId="138B600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52.38%</w:t>
            </w:r>
          </w:p>
        </w:tc>
      </w:tr>
      <w:tr w:rsidR="003634FA" w:rsidRPr="003634FA" w14:paraId="088648B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248A237" w14:textId="77777777" w:rsidR="003634FA" w:rsidRPr="003634FA" w:rsidRDefault="003634FA" w:rsidP="003634FA">
            <w:r w:rsidRPr="003634FA">
              <w:t>W6</w:t>
            </w:r>
          </w:p>
        </w:tc>
        <w:tc>
          <w:tcPr>
            <w:tcW w:w="0" w:type="auto"/>
            <w:hideMark/>
          </w:tcPr>
          <w:p w14:paraId="2783DBA4"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Limited use and evaluation of Learning Management Systems</w:t>
            </w:r>
          </w:p>
        </w:tc>
        <w:tc>
          <w:tcPr>
            <w:tcW w:w="0" w:type="auto"/>
            <w:hideMark/>
          </w:tcPr>
          <w:p w14:paraId="088DFD3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10</w:t>
            </w:r>
          </w:p>
        </w:tc>
        <w:tc>
          <w:tcPr>
            <w:tcW w:w="0" w:type="auto"/>
            <w:hideMark/>
          </w:tcPr>
          <w:p w14:paraId="4A39051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47.62%</w:t>
            </w:r>
          </w:p>
        </w:tc>
      </w:tr>
      <w:tr w:rsidR="003634FA" w:rsidRPr="003634FA" w14:paraId="70A7555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F33EC" w14:textId="77777777" w:rsidR="003634FA" w:rsidRPr="003634FA" w:rsidRDefault="003634FA" w:rsidP="003634FA">
            <w:r w:rsidRPr="003634FA">
              <w:t>W7</w:t>
            </w:r>
          </w:p>
        </w:tc>
        <w:tc>
          <w:tcPr>
            <w:tcW w:w="0" w:type="auto"/>
            <w:hideMark/>
          </w:tcPr>
          <w:p w14:paraId="5097B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Lack of gender sensitivity and inclusion in curriculum</w:t>
            </w:r>
          </w:p>
        </w:tc>
        <w:tc>
          <w:tcPr>
            <w:tcW w:w="0" w:type="auto"/>
            <w:hideMark/>
          </w:tcPr>
          <w:p w14:paraId="664C180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w:t>
            </w:r>
          </w:p>
        </w:tc>
        <w:tc>
          <w:tcPr>
            <w:tcW w:w="0" w:type="auto"/>
            <w:hideMark/>
          </w:tcPr>
          <w:p w14:paraId="1042E06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38.10%</w:t>
            </w:r>
          </w:p>
        </w:tc>
      </w:tr>
      <w:tr w:rsidR="003634FA" w:rsidRPr="003634FA" w14:paraId="565767E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E81AB7E" w14:textId="77777777" w:rsidR="003634FA" w:rsidRPr="003634FA" w:rsidRDefault="003634FA" w:rsidP="003634FA">
            <w:r w:rsidRPr="003634FA">
              <w:t>Opportunities</w:t>
            </w:r>
          </w:p>
        </w:tc>
        <w:tc>
          <w:tcPr>
            <w:tcW w:w="0" w:type="auto"/>
            <w:hideMark/>
          </w:tcPr>
          <w:p w14:paraId="2F9CE62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313636C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07E0CE4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639BF6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3982B2" w14:textId="77777777" w:rsidR="003634FA" w:rsidRPr="003634FA" w:rsidRDefault="003634FA" w:rsidP="003634FA">
            <w:r w:rsidRPr="003634FA">
              <w:t>O1</w:t>
            </w:r>
          </w:p>
        </w:tc>
        <w:tc>
          <w:tcPr>
            <w:tcW w:w="0" w:type="auto"/>
            <w:hideMark/>
          </w:tcPr>
          <w:p w14:paraId="2357E3F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Potential for expanding curricular and industry partnerships</w:t>
            </w:r>
          </w:p>
        </w:tc>
        <w:tc>
          <w:tcPr>
            <w:tcW w:w="0" w:type="auto"/>
            <w:hideMark/>
          </w:tcPr>
          <w:p w14:paraId="7DD0895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w:t>
            </w:r>
          </w:p>
        </w:tc>
        <w:tc>
          <w:tcPr>
            <w:tcW w:w="0" w:type="auto"/>
            <w:hideMark/>
          </w:tcPr>
          <w:p w14:paraId="4432957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76.19%</w:t>
            </w:r>
          </w:p>
        </w:tc>
      </w:tr>
      <w:tr w:rsidR="003634FA" w:rsidRPr="003634FA" w14:paraId="306BADD1"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13A4C8C" w14:textId="77777777" w:rsidR="003634FA" w:rsidRPr="003634FA" w:rsidRDefault="003634FA" w:rsidP="003634FA">
            <w:r w:rsidRPr="003634FA">
              <w:t>O2</w:t>
            </w:r>
          </w:p>
        </w:tc>
        <w:tc>
          <w:tcPr>
            <w:tcW w:w="0" w:type="auto"/>
            <w:hideMark/>
          </w:tcPr>
          <w:p w14:paraId="6497872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Linkages with accrediting bodies and global institutions</w:t>
            </w:r>
          </w:p>
        </w:tc>
        <w:tc>
          <w:tcPr>
            <w:tcW w:w="0" w:type="auto"/>
            <w:hideMark/>
          </w:tcPr>
          <w:p w14:paraId="2429ADF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14</w:t>
            </w:r>
          </w:p>
        </w:tc>
        <w:tc>
          <w:tcPr>
            <w:tcW w:w="0" w:type="auto"/>
            <w:hideMark/>
          </w:tcPr>
          <w:p w14:paraId="6E0427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66.67%</w:t>
            </w:r>
          </w:p>
        </w:tc>
      </w:tr>
      <w:tr w:rsidR="003634FA" w:rsidRPr="003634FA" w14:paraId="32287CA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F808D0" w14:textId="77777777" w:rsidR="003634FA" w:rsidRPr="003634FA" w:rsidRDefault="003634FA" w:rsidP="003634FA">
            <w:r w:rsidRPr="003634FA">
              <w:t>O3</w:t>
            </w:r>
          </w:p>
        </w:tc>
        <w:tc>
          <w:tcPr>
            <w:tcW w:w="0" w:type="auto"/>
            <w:hideMark/>
          </w:tcPr>
          <w:p w14:paraId="1F76DDE5"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Strong community stakeholder engagement</w:t>
            </w:r>
          </w:p>
        </w:tc>
        <w:tc>
          <w:tcPr>
            <w:tcW w:w="0" w:type="auto"/>
            <w:hideMark/>
          </w:tcPr>
          <w:p w14:paraId="2E2B54D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4F635E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5ED62A0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6426B68" w14:textId="77777777" w:rsidR="003634FA" w:rsidRPr="003634FA" w:rsidRDefault="003634FA" w:rsidP="003634FA">
            <w:r w:rsidRPr="003634FA">
              <w:t>O4</w:t>
            </w:r>
          </w:p>
        </w:tc>
        <w:tc>
          <w:tcPr>
            <w:tcW w:w="0" w:type="auto"/>
            <w:hideMark/>
          </w:tcPr>
          <w:p w14:paraId="4D1F47B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Opportunities for benchmarking with top-performing nursing institutions</w:t>
            </w:r>
          </w:p>
        </w:tc>
        <w:tc>
          <w:tcPr>
            <w:tcW w:w="0" w:type="auto"/>
            <w:hideMark/>
          </w:tcPr>
          <w:p w14:paraId="440F875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22C79CC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2DF5C90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8118F" w14:textId="77777777" w:rsidR="003634FA" w:rsidRPr="003634FA" w:rsidRDefault="003634FA" w:rsidP="003634FA">
            <w:r w:rsidRPr="003634FA">
              <w:t>O5</w:t>
            </w:r>
          </w:p>
        </w:tc>
        <w:tc>
          <w:tcPr>
            <w:tcW w:w="0" w:type="auto"/>
            <w:hideMark/>
          </w:tcPr>
          <w:p w14:paraId="0B6676D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Rising demand for globally competitive nursing graduates</w:t>
            </w:r>
          </w:p>
        </w:tc>
        <w:tc>
          <w:tcPr>
            <w:tcW w:w="0" w:type="auto"/>
            <w:hideMark/>
          </w:tcPr>
          <w:p w14:paraId="74E8D78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23A28C8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2E0AE40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492DA493" w14:textId="77777777" w:rsidR="003634FA" w:rsidRPr="003634FA" w:rsidRDefault="003634FA" w:rsidP="003634FA">
            <w:r w:rsidRPr="003634FA">
              <w:t>Threats</w:t>
            </w:r>
          </w:p>
        </w:tc>
        <w:tc>
          <w:tcPr>
            <w:tcW w:w="0" w:type="auto"/>
            <w:hideMark/>
          </w:tcPr>
          <w:p w14:paraId="770F7A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27DAD42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110954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47A4A64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D9DC24" w14:textId="77777777" w:rsidR="003634FA" w:rsidRPr="003634FA" w:rsidRDefault="003634FA" w:rsidP="003634FA">
            <w:r w:rsidRPr="003634FA">
              <w:t>T1</w:t>
            </w:r>
          </w:p>
        </w:tc>
        <w:tc>
          <w:tcPr>
            <w:tcW w:w="0" w:type="auto"/>
            <w:hideMark/>
          </w:tcPr>
          <w:p w14:paraId="2ADF52D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Stringent standards from accrediting agencies (PACUCOA, CHED)</w:t>
            </w:r>
          </w:p>
        </w:tc>
        <w:tc>
          <w:tcPr>
            <w:tcW w:w="0" w:type="auto"/>
            <w:hideMark/>
          </w:tcPr>
          <w:p w14:paraId="547A66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18</w:t>
            </w:r>
          </w:p>
        </w:tc>
        <w:tc>
          <w:tcPr>
            <w:tcW w:w="0" w:type="auto"/>
            <w:hideMark/>
          </w:tcPr>
          <w:p w14:paraId="76AC361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85.71%</w:t>
            </w:r>
          </w:p>
        </w:tc>
      </w:tr>
      <w:tr w:rsidR="003634FA" w:rsidRPr="003634FA" w14:paraId="515953D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28B4D4E" w14:textId="77777777" w:rsidR="003634FA" w:rsidRPr="003634FA" w:rsidRDefault="003634FA" w:rsidP="003634FA">
            <w:r w:rsidRPr="003634FA">
              <w:t>T2</w:t>
            </w:r>
          </w:p>
        </w:tc>
        <w:tc>
          <w:tcPr>
            <w:tcW w:w="0" w:type="auto"/>
            <w:hideMark/>
          </w:tcPr>
          <w:p w14:paraId="0521719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Changing hospital affiliation requirements impacting RLE distribution</w:t>
            </w:r>
          </w:p>
        </w:tc>
        <w:tc>
          <w:tcPr>
            <w:tcW w:w="0" w:type="auto"/>
            <w:hideMark/>
          </w:tcPr>
          <w:p w14:paraId="6F0EA56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w:t>
            </w:r>
          </w:p>
        </w:tc>
        <w:tc>
          <w:tcPr>
            <w:tcW w:w="0" w:type="auto"/>
            <w:hideMark/>
          </w:tcPr>
          <w:p w14:paraId="1FEC8F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76.19%</w:t>
            </w:r>
          </w:p>
        </w:tc>
      </w:tr>
      <w:tr w:rsidR="003634FA" w:rsidRPr="003634FA" w14:paraId="0D70B321"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1CDB8" w14:textId="77777777" w:rsidR="003634FA" w:rsidRPr="003634FA" w:rsidRDefault="003634FA" w:rsidP="003634FA">
            <w:r w:rsidRPr="003634FA">
              <w:lastRenderedPageBreak/>
              <w:t>T3</w:t>
            </w:r>
          </w:p>
        </w:tc>
        <w:tc>
          <w:tcPr>
            <w:tcW w:w="0" w:type="auto"/>
            <w:hideMark/>
          </w:tcPr>
          <w:p w14:paraId="596E06A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Competition from institutions with fully digital or OBE-aligned programs</w:t>
            </w:r>
          </w:p>
        </w:tc>
        <w:tc>
          <w:tcPr>
            <w:tcW w:w="0" w:type="auto"/>
            <w:hideMark/>
          </w:tcPr>
          <w:p w14:paraId="6D02036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149F60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bl>
    <w:p w14:paraId="164C1B40" w14:textId="77777777" w:rsidR="00E33E44" w:rsidRPr="00E33E44" w:rsidRDefault="00E33E44" w:rsidP="00F74B35">
      <w:pPr>
        <w:spacing w:before="100" w:beforeAutospacing="1" w:after="100" w:afterAutospacing="1"/>
        <w:jc w:val="both"/>
        <w:outlineLvl w:val="2"/>
        <w:rPr>
          <w:color w:val="000000"/>
        </w:rPr>
      </w:pPr>
      <w:r w:rsidRPr="00E33E44">
        <w:rPr>
          <w:color w:val="000000"/>
        </w:rPr>
        <w:t>The data show that the BS Nursing curriculum at the Private Higher Educational Institution possesses notable strengths, including CHED compliance cited by 85.71% of respondents, proactive curricular review initiatives recognized by 80.95%, active participation in ADPCN, PNA, and CHED activities, and strong academic–hospital partnerships that support program relevance and clinical training, alongside CHED recognition and early steps toward internationalization that position the program for future growth. Despite these strengths, significant internal limitations persist, particularly the lack of alignment with Outcomes-Based Education (OBE) principles reported by 80.95% of respondents, compounded by insufficient faculty development, absence of structured assessment policies, weak classroom–RLE integration, inadequate long-term planning, underutilized LMS, and lack of gender inclusivity measures, all of which constrain curriculum effectiveness and modernization (</w:t>
      </w:r>
      <w:proofErr w:type="spellStart"/>
      <w:r w:rsidRPr="00E33E44">
        <w:rPr>
          <w:color w:val="000000"/>
        </w:rPr>
        <w:t>Elmunsyah</w:t>
      </w:r>
      <w:proofErr w:type="spellEnd"/>
      <w:r w:rsidRPr="00E33E44">
        <w:rPr>
          <w:color w:val="000000"/>
        </w:rPr>
        <w:t xml:space="preserve"> et al., 2023). The institution, however, can leverage substantial external opportunities such as increasing global demand for Filipino nurses (80.95%), expanding academic and industry partnerships, benchmarking prospects, and strong community engagement, which collectively create favorable conditions for curriculum innovation and enhancement (Diano et al., 2023). At the same time, external threats—particularly stringent accreditation requirements (85.71%), hospital affiliation limitations that jeopardize clinical training quality, and increasing competition from fully OBE-aligned and technologically advanced nursing programs—pose challenges that may impede progress if not strategically addressed (</w:t>
      </w:r>
      <w:proofErr w:type="spellStart"/>
      <w:r w:rsidRPr="00E33E44">
        <w:rPr>
          <w:color w:val="000000"/>
        </w:rPr>
        <w:t>Alowais</w:t>
      </w:r>
      <w:proofErr w:type="spellEnd"/>
      <w:r w:rsidRPr="00E33E44">
        <w:rPr>
          <w:color w:val="000000"/>
        </w:rPr>
        <w:t xml:space="preserve"> et al., 2023). Overall, Table 3 illustrates that while the PHEI’s nursing program is CHED-compliant and forward-looking, it must urgently address internal weaknesses and proactively respond to external pressures to fully capitalize on emerging opportunities and ensure a relevant, outcomes-based, and future-ready curriculum in an evolving health education landscape.</w:t>
      </w:r>
    </w:p>
    <w:p w14:paraId="454323D6" w14:textId="320C209E" w:rsidR="003634FA" w:rsidRPr="00F74B35" w:rsidRDefault="003634FA" w:rsidP="00F74B35">
      <w:pPr>
        <w:spacing w:before="100" w:beforeAutospacing="1" w:after="100" w:afterAutospacing="1"/>
        <w:jc w:val="both"/>
        <w:outlineLvl w:val="2"/>
        <w:rPr>
          <w:color w:val="000000"/>
        </w:rPr>
      </w:pPr>
      <w:r w:rsidRPr="00F74B35">
        <w:rPr>
          <w:color w:val="000000"/>
        </w:rPr>
        <w:t xml:space="preserve">For the Phase 2, </w:t>
      </w:r>
      <w:r w:rsidR="00F74B35" w:rsidRPr="00F74B35">
        <w:rPr>
          <w:color w:val="000000"/>
        </w:rPr>
        <w:t>Tables 4 to 10 present the full spectrum of findings derived from the Modified Delphi process employed to assess and validate curriculum enhancement areas for the BS Nursing program of a Private Higher Educational Institution</w:t>
      </w:r>
      <w:r w:rsidR="00EA0DC4">
        <w:rPr>
          <w:color w:val="000000"/>
        </w:rPr>
        <w:t xml:space="preserve"> (Xu et al., 2022)</w:t>
      </w:r>
      <w:r w:rsidR="00F74B35" w:rsidRPr="00F74B35">
        <w:rPr>
          <w:color w:val="000000"/>
        </w:rPr>
        <w:t>. Beginning with Table 4, which outlines the profile of the expert panel, the subsequent tables provide detailed analyses that underpin evidence-informed recommendations for curriculum improvement. Table 5 captures the mean ratings across three Delphi rounds, while Table 6 and its revised version assess the normality of data distribution. Table 7 summarizes the statistical methods selected based on distribution characteristics, guiding the appropriate inferential analyses. Table 8 reports the computed mean, median, interquartile range (IQR), and coefficient of variation (CV) across rounds to measure central tendency and variability. Table 9 presents Wilcoxon Signed-Rank test results alongside stability indices and content validity ratios (CVR), indicating consensus and item relevance. Finally, Table 10 offers intraclass correlation coefficients and Spearman’s rank correlations to assess inter-rater reliability and ranking consistency. Together, these tables build a statistically and theoretically sound foundation for outcomes-based curriculum enhancement in nursing education.</w:t>
      </w:r>
    </w:p>
    <w:p w14:paraId="13834752" w14:textId="4A1967CF"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w:t>
      </w:r>
      <w:r w:rsidRPr="004A0236">
        <w:rPr>
          <w:b/>
          <w:bCs/>
          <w:color w:val="000000"/>
        </w:rPr>
        <w:t>4</w:t>
      </w:r>
      <w:r w:rsidRPr="003634FA">
        <w:rPr>
          <w:b/>
          <w:bCs/>
          <w:color w:val="000000"/>
        </w:rPr>
        <w:t>. Profile of Expert Panel Members in the Modified Delphi Process (N = 12)</w:t>
      </w:r>
    </w:p>
    <w:tbl>
      <w:tblPr>
        <w:tblStyle w:val="PlainTable2"/>
        <w:tblW w:w="0" w:type="auto"/>
        <w:tblLook w:val="04A0" w:firstRow="1" w:lastRow="0" w:firstColumn="1" w:lastColumn="0" w:noHBand="0" w:noVBand="1"/>
      </w:tblPr>
      <w:tblGrid>
        <w:gridCol w:w="3200"/>
        <w:gridCol w:w="3075"/>
        <w:gridCol w:w="1478"/>
        <w:gridCol w:w="1607"/>
      </w:tblGrid>
      <w:tr w:rsidR="003634FA" w:rsidRPr="003634FA" w14:paraId="020B6C43"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53DBF9" w14:textId="77777777" w:rsidR="003634FA" w:rsidRPr="003634FA" w:rsidRDefault="003634FA" w:rsidP="003634FA">
            <w:pPr>
              <w:jc w:val="center"/>
            </w:pPr>
            <w:r w:rsidRPr="003634FA">
              <w:t>Profile Variable</w:t>
            </w:r>
          </w:p>
        </w:tc>
        <w:tc>
          <w:tcPr>
            <w:tcW w:w="0" w:type="auto"/>
            <w:hideMark/>
          </w:tcPr>
          <w:p w14:paraId="622AA85C"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Category</w:t>
            </w:r>
          </w:p>
        </w:tc>
        <w:tc>
          <w:tcPr>
            <w:tcW w:w="0" w:type="auto"/>
            <w:hideMark/>
          </w:tcPr>
          <w:p w14:paraId="1989C783"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55B7AA41"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Percentage (%)</w:t>
            </w:r>
          </w:p>
        </w:tc>
      </w:tr>
      <w:tr w:rsidR="003634FA" w:rsidRPr="003634FA" w14:paraId="0551AA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45085B" w14:textId="77777777" w:rsidR="003634FA" w:rsidRPr="003634FA" w:rsidRDefault="003634FA" w:rsidP="003634FA">
            <w:r w:rsidRPr="003634FA">
              <w:lastRenderedPageBreak/>
              <w:t>Professional Role</w:t>
            </w:r>
          </w:p>
        </w:tc>
        <w:tc>
          <w:tcPr>
            <w:tcW w:w="0" w:type="auto"/>
            <w:hideMark/>
          </w:tcPr>
          <w:p w14:paraId="725E3F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Senior Nursing Faculty</w:t>
            </w:r>
          </w:p>
        </w:tc>
        <w:tc>
          <w:tcPr>
            <w:tcW w:w="0" w:type="auto"/>
            <w:hideMark/>
          </w:tcPr>
          <w:p w14:paraId="24B754C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w:t>
            </w:r>
          </w:p>
        </w:tc>
        <w:tc>
          <w:tcPr>
            <w:tcW w:w="0" w:type="auto"/>
            <w:hideMark/>
          </w:tcPr>
          <w:p w14:paraId="283B484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33.33%</w:t>
            </w:r>
          </w:p>
        </w:tc>
      </w:tr>
      <w:tr w:rsidR="003634FA" w:rsidRPr="003634FA" w14:paraId="0DAEFDA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8F9A7DC" w14:textId="77777777" w:rsidR="003634FA" w:rsidRPr="003634FA" w:rsidRDefault="003634FA" w:rsidP="003634FA"/>
        </w:tc>
        <w:tc>
          <w:tcPr>
            <w:tcW w:w="0" w:type="auto"/>
            <w:hideMark/>
          </w:tcPr>
          <w:p w14:paraId="0CA968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Nursing Program Chairs/Deans</w:t>
            </w:r>
          </w:p>
        </w:tc>
        <w:tc>
          <w:tcPr>
            <w:tcW w:w="0" w:type="auto"/>
            <w:hideMark/>
          </w:tcPr>
          <w:p w14:paraId="5A2A58C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3</w:t>
            </w:r>
          </w:p>
        </w:tc>
        <w:tc>
          <w:tcPr>
            <w:tcW w:w="0" w:type="auto"/>
            <w:hideMark/>
          </w:tcPr>
          <w:p w14:paraId="259CDBF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25.00%</w:t>
            </w:r>
          </w:p>
        </w:tc>
      </w:tr>
      <w:tr w:rsidR="003634FA" w:rsidRPr="003634FA" w14:paraId="2A87E2A3"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6AE1E" w14:textId="77777777" w:rsidR="003634FA" w:rsidRPr="003634FA" w:rsidRDefault="003634FA" w:rsidP="003634FA"/>
        </w:tc>
        <w:tc>
          <w:tcPr>
            <w:tcW w:w="0" w:type="auto"/>
            <w:hideMark/>
          </w:tcPr>
          <w:p w14:paraId="6B92675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Clinical Training Coordinators</w:t>
            </w:r>
          </w:p>
        </w:tc>
        <w:tc>
          <w:tcPr>
            <w:tcW w:w="0" w:type="auto"/>
            <w:hideMark/>
          </w:tcPr>
          <w:p w14:paraId="6A92BE5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w:t>
            </w:r>
          </w:p>
        </w:tc>
        <w:tc>
          <w:tcPr>
            <w:tcW w:w="0" w:type="auto"/>
            <w:hideMark/>
          </w:tcPr>
          <w:p w14:paraId="1A9D95C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16.67%</w:t>
            </w:r>
          </w:p>
        </w:tc>
      </w:tr>
      <w:tr w:rsidR="003634FA" w:rsidRPr="003634FA" w14:paraId="317AD7A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A0E5DE8" w14:textId="77777777" w:rsidR="003634FA" w:rsidRPr="003634FA" w:rsidRDefault="003634FA" w:rsidP="003634FA"/>
        </w:tc>
        <w:tc>
          <w:tcPr>
            <w:tcW w:w="0" w:type="auto"/>
            <w:hideMark/>
          </w:tcPr>
          <w:p w14:paraId="54356D3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Curriculum Development Experts</w:t>
            </w:r>
          </w:p>
        </w:tc>
        <w:tc>
          <w:tcPr>
            <w:tcW w:w="0" w:type="auto"/>
            <w:hideMark/>
          </w:tcPr>
          <w:p w14:paraId="20AAB77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504CE85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42CE7C8C"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F1CE5" w14:textId="77777777" w:rsidR="003634FA" w:rsidRPr="003634FA" w:rsidRDefault="003634FA" w:rsidP="003634FA"/>
        </w:tc>
        <w:tc>
          <w:tcPr>
            <w:tcW w:w="0" w:type="auto"/>
            <w:hideMark/>
          </w:tcPr>
          <w:p w14:paraId="68F45C20" w14:textId="6D4551A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 xml:space="preserve">CHED </w:t>
            </w:r>
            <w:r>
              <w:t>Representative</w:t>
            </w:r>
          </w:p>
        </w:tc>
        <w:tc>
          <w:tcPr>
            <w:tcW w:w="0" w:type="auto"/>
            <w:hideMark/>
          </w:tcPr>
          <w:p w14:paraId="017F16C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w:t>
            </w:r>
          </w:p>
        </w:tc>
        <w:tc>
          <w:tcPr>
            <w:tcW w:w="0" w:type="auto"/>
            <w:hideMark/>
          </w:tcPr>
          <w:p w14:paraId="0399EAB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8.33%</w:t>
            </w:r>
          </w:p>
        </w:tc>
      </w:tr>
      <w:tr w:rsidR="003634FA" w:rsidRPr="003634FA" w14:paraId="06B095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68CD4D3" w14:textId="77777777" w:rsidR="003634FA" w:rsidRPr="003634FA" w:rsidRDefault="003634FA" w:rsidP="003634FA">
            <w:r w:rsidRPr="003634FA">
              <w:t>Highest Educational Attainment</w:t>
            </w:r>
          </w:p>
        </w:tc>
        <w:tc>
          <w:tcPr>
            <w:tcW w:w="0" w:type="auto"/>
            <w:hideMark/>
          </w:tcPr>
          <w:p w14:paraId="63CD69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Master's Degree in Nursing/Education</w:t>
            </w:r>
          </w:p>
        </w:tc>
        <w:tc>
          <w:tcPr>
            <w:tcW w:w="0" w:type="auto"/>
            <w:hideMark/>
          </w:tcPr>
          <w:p w14:paraId="5A4B00A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w:t>
            </w:r>
          </w:p>
        </w:tc>
        <w:tc>
          <w:tcPr>
            <w:tcW w:w="0" w:type="auto"/>
            <w:hideMark/>
          </w:tcPr>
          <w:p w14:paraId="0A6603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50.00%</w:t>
            </w:r>
          </w:p>
        </w:tc>
      </w:tr>
      <w:tr w:rsidR="003634FA" w:rsidRPr="003634FA" w14:paraId="27DBADA0"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6DBC" w14:textId="77777777" w:rsidR="003634FA" w:rsidRPr="003634FA" w:rsidRDefault="003634FA" w:rsidP="003634FA"/>
        </w:tc>
        <w:tc>
          <w:tcPr>
            <w:tcW w:w="0" w:type="auto"/>
            <w:hideMark/>
          </w:tcPr>
          <w:p w14:paraId="16FF92B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Doctorate (PhD/EdD/DNS)</w:t>
            </w:r>
          </w:p>
        </w:tc>
        <w:tc>
          <w:tcPr>
            <w:tcW w:w="0" w:type="auto"/>
            <w:hideMark/>
          </w:tcPr>
          <w:p w14:paraId="65ABA8D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w:t>
            </w:r>
          </w:p>
        </w:tc>
        <w:tc>
          <w:tcPr>
            <w:tcW w:w="0" w:type="auto"/>
            <w:hideMark/>
          </w:tcPr>
          <w:p w14:paraId="0579AC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50.00%</w:t>
            </w:r>
          </w:p>
        </w:tc>
      </w:tr>
      <w:tr w:rsidR="003634FA" w:rsidRPr="003634FA" w14:paraId="57043ED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1A0A805" w14:textId="77777777" w:rsidR="003634FA" w:rsidRPr="003634FA" w:rsidRDefault="003634FA" w:rsidP="003634FA">
            <w:r w:rsidRPr="003634FA">
              <w:t>Years of Experience in Nursing Education</w:t>
            </w:r>
          </w:p>
        </w:tc>
        <w:tc>
          <w:tcPr>
            <w:tcW w:w="0" w:type="auto"/>
            <w:hideMark/>
          </w:tcPr>
          <w:p w14:paraId="7B5A99E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6–10 years</w:t>
            </w:r>
          </w:p>
        </w:tc>
        <w:tc>
          <w:tcPr>
            <w:tcW w:w="0" w:type="auto"/>
            <w:hideMark/>
          </w:tcPr>
          <w:p w14:paraId="5DD0690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1F59E71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338C7A0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ECA3BD" w14:textId="77777777" w:rsidR="003634FA" w:rsidRPr="003634FA" w:rsidRDefault="003634FA" w:rsidP="003634FA"/>
        </w:tc>
        <w:tc>
          <w:tcPr>
            <w:tcW w:w="0" w:type="auto"/>
            <w:hideMark/>
          </w:tcPr>
          <w:p w14:paraId="095262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11–15 years</w:t>
            </w:r>
          </w:p>
        </w:tc>
        <w:tc>
          <w:tcPr>
            <w:tcW w:w="0" w:type="auto"/>
            <w:hideMark/>
          </w:tcPr>
          <w:p w14:paraId="3894D9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w:t>
            </w:r>
          </w:p>
        </w:tc>
        <w:tc>
          <w:tcPr>
            <w:tcW w:w="0" w:type="auto"/>
            <w:hideMark/>
          </w:tcPr>
          <w:p w14:paraId="4159F80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41.67%</w:t>
            </w:r>
          </w:p>
        </w:tc>
      </w:tr>
      <w:tr w:rsidR="003634FA" w:rsidRPr="003634FA" w14:paraId="78DDE0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F336BAA" w14:textId="77777777" w:rsidR="003634FA" w:rsidRPr="003634FA" w:rsidRDefault="003634FA" w:rsidP="003634FA"/>
        </w:tc>
        <w:tc>
          <w:tcPr>
            <w:tcW w:w="0" w:type="auto"/>
            <w:hideMark/>
          </w:tcPr>
          <w:p w14:paraId="62B626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 years and above</w:t>
            </w:r>
          </w:p>
        </w:tc>
        <w:tc>
          <w:tcPr>
            <w:tcW w:w="0" w:type="auto"/>
            <w:hideMark/>
          </w:tcPr>
          <w:p w14:paraId="00FF7D6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w:t>
            </w:r>
          </w:p>
        </w:tc>
        <w:tc>
          <w:tcPr>
            <w:tcW w:w="0" w:type="auto"/>
            <w:hideMark/>
          </w:tcPr>
          <w:p w14:paraId="647BB50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41.67%</w:t>
            </w:r>
          </w:p>
        </w:tc>
      </w:tr>
      <w:tr w:rsidR="003634FA" w:rsidRPr="003634FA" w14:paraId="674DC78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BFA82" w14:textId="77777777" w:rsidR="003634FA" w:rsidRPr="003634FA" w:rsidRDefault="003634FA" w:rsidP="003634FA">
            <w:r w:rsidRPr="003634FA">
              <w:t>Institutional Affiliation</w:t>
            </w:r>
          </w:p>
        </w:tc>
        <w:tc>
          <w:tcPr>
            <w:tcW w:w="0" w:type="auto"/>
            <w:hideMark/>
          </w:tcPr>
          <w:p w14:paraId="2D962F7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Local Higher Education Institutions</w:t>
            </w:r>
          </w:p>
        </w:tc>
        <w:tc>
          <w:tcPr>
            <w:tcW w:w="0" w:type="auto"/>
            <w:hideMark/>
          </w:tcPr>
          <w:p w14:paraId="75A77A6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w:t>
            </w:r>
          </w:p>
        </w:tc>
        <w:tc>
          <w:tcPr>
            <w:tcW w:w="0" w:type="auto"/>
            <w:hideMark/>
          </w:tcPr>
          <w:p w14:paraId="3510F9D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58.33%</w:t>
            </w:r>
          </w:p>
        </w:tc>
      </w:tr>
      <w:tr w:rsidR="003634FA" w:rsidRPr="003634FA" w14:paraId="620CE46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DEC941C" w14:textId="77777777" w:rsidR="003634FA" w:rsidRPr="003634FA" w:rsidRDefault="003634FA" w:rsidP="003634FA"/>
        </w:tc>
        <w:tc>
          <w:tcPr>
            <w:tcW w:w="0" w:type="auto"/>
            <w:hideMark/>
          </w:tcPr>
          <w:p w14:paraId="67FAB8A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Partner Hospitals</w:t>
            </w:r>
          </w:p>
        </w:tc>
        <w:tc>
          <w:tcPr>
            <w:tcW w:w="0" w:type="auto"/>
            <w:hideMark/>
          </w:tcPr>
          <w:p w14:paraId="1889FD1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00C0085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67B8FC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2DB06" w14:textId="77777777" w:rsidR="003634FA" w:rsidRPr="003634FA" w:rsidRDefault="003634FA" w:rsidP="003634FA"/>
        </w:tc>
        <w:tc>
          <w:tcPr>
            <w:tcW w:w="0" w:type="auto"/>
            <w:hideMark/>
          </w:tcPr>
          <w:p w14:paraId="39B93C7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International Academic Partners</w:t>
            </w:r>
          </w:p>
        </w:tc>
        <w:tc>
          <w:tcPr>
            <w:tcW w:w="0" w:type="auto"/>
            <w:hideMark/>
          </w:tcPr>
          <w:p w14:paraId="1250649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w:t>
            </w:r>
          </w:p>
        </w:tc>
        <w:tc>
          <w:tcPr>
            <w:tcW w:w="0" w:type="auto"/>
            <w:hideMark/>
          </w:tcPr>
          <w:p w14:paraId="312EB3E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25.00%</w:t>
            </w:r>
          </w:p>
        </w:tc>
      </w:tr>
    </w:tbl>
    <w:p w14:paraId="53510646" w14:textId="16820D8D" w:rsidR="003634FA" w:rsidRPr="003B03DD" w:rsidRDefault="003B03DD" w:rsidP="003B03DD">
      <w:pPr>
        <w:spacing w:before="100" w:beforeAutospacing="1" w:after="100" w:afterAutospacing="1"/>
        <w:jc w:val="both"/>
        <w:outlineLvl w:val="2"/>
        <w:rPr>
          <w:b/>
          <w:bCs/>
          <w:color w:val="000000"/>
        </w:rPr>
      </w:pPr>
      <w:r w:rsidRPr="003B03DD">
        <w:rPr>
          <w:color w:val="000000"/>
        </w:rPr>
        <w:t>Phase 2 utilized the Modified Delphi process to validate the key areas for curriculum enhancement in the BS Nursing program of a Private Higher Educational Institution, with Tables 4 to 10 presenting the complete set of findings that informed evidence-based revisions (Xu et al., 2022). The expert panel, composed mainly of senior nursing faculty and program heads, along with curriculum specialists and a CHED representative, ensured both administrative and pedagogical perspectives as well as regulatory alignment in the consensus-building process (Chanda et al., 2024). Half of the experts held master’s degrees and half held doctorates, and most had over 11 years of experience, providing a highly credible and seasoned foundation for evaluating curricular quality and outcomes-based alignment (Spiel et al., 2018). The panel’s diverse institutional representation—from local HEIs to partner hospitals and international academic institutions—introduced a balanced global and local perspective essential for designing a competitive and industry-responsive curriculum (Hamed et al., 2024). Statistical analyses across multiple rounds, including mean ratings, normality tests, variability measures, Wilcoxon results, stability indices, CVR, ICC, and rank correlations, collectively ensured that the resulting recommendations were reliable, valid, and grounded in rigorous methodological and theoretical processes.</w:t>
      </w:r>
    </w:p>
    <w:p w14:paraId="3A3F7427" w14:textId="4AA4F55D" w:rsidR="003634FA" w:rsidRPr="003634FA" w:rsidRDefault="003634FA" w:rsidP="003634FA">
      <w:pPr>
        <w:spacing w:before="100" w:beforeAutospacing="1" w:after="100" w:afterAutospacing="1"/>
        <w:outlineLvl w:val="2"/>
        <w:rPr>
          <w:b/>
          <w:bCs/>
          <w:color w:val="000000"/>
        </w:rPr>
      </w:pPr>
      <w:r w:rsidRPr="003634FA">
        <w:rPr>
          <w:b/>
          <w:bCs/>
          <w:color w:val="000000"/>
        </w:rPr>
        <w:t xml:space="preserve">Table </w:t>
      </w:r>
      <w:r w:rsidRPr="004A0236">
        <w:rPr>
          <w:b/>
          <w:bCs/>
          <w:color w:val="000000"/>
        </w:rPr>
        <w:t xml:space="preserve">5. </w:t>
      </w:r>
      <w:r w:rsidRPr="003634FA">
        <w:rPr>
          <w:b/>
          <w:bCs/>
          <w:color w:val="000000"/>
        </w:rPr>
        <w:t xml:space="preserve"> Results of the Modified Delphi Process on Key Areas for BS Nursing Curriculum Enhancement (N = 12 Experts)</w:t>
      </w:r>
    </w:p>
    <w:tbl>
      <w:tblPr>
        <w:tblStyle w:val="PlainTable2"/>
        <w:tblW w:w="0" w:type="auto"/>
        <w:tblLook w:val="04A0" w:firstRow="1" w:lastRow="0" w:firstColumn="1" w:lastColumn="0" w:noHBand="0" w:noVBand="1"/>
      </w:tblPr>
      <w:tblGrid>
        <w:gridCol w:w="2328"/>
        <w:gridCol w:w="1409"/>
        <w:gridCol w:w="1409"/>
        <w:gridCol w:w="1305"/>
        <w:gridCol w:w="2226"/>
        <w:gridCol w:w="683"/>
      </w:tblGrid>
      <w:tr w:rsidR="003634FA" w:rsidRPr="00EA0DC4" w14:paraId="1851A54E"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7E119" w14:textId="77777777" w:rsidR="003634FA" w:rsidRPr="00EA0DC4" w:rsidRDefault="003634FA" w:rsidP="003634FA">
            <w:pPr>
              <w:jc w:val="center"/>
              <w:rPr>
                <w:sz w:val="20"/>
                <w:szCs w:val="20"/>
              </w:rPr>
            </w:pPr>
            <w:r w:rsidRPr="00EA0DC4">
              <w:rPr>
                <w:sz w:val="20"/>
                <w:szCs w:val="20"/>
              </w:rPr>
              <w:t>Key Area of Enhancement</w:t>
            </w:r>
          </w:p>
        </w:tc>
        <w:tc>
          <w:tcPr>
            <w:tcW w:w="0" w:type="auto"/>
            <w:hideMark/>
          </w:tcPr>
          <w:p w14:paraId="59634942"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1 Agreement (%)</w:t>
            </w:r>
          </w:p>
        </w:tc>
        <w:tc>
          <w:tcPr>
            <w:tcW w:w="0" w:type="auto"/>
            <w:hideMark/>
          </w:tcPr>
          <w:p w14:paraId="50FE464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2 Agreement (%)</w:t>
            </w:r>
          </w:p>
        </w:tc>
        <w:tc>
          <w:tcPr>
            <w:tcW w:w="0" w:type="auto"/>
            <w:hideMark/>
          </w:tcPr>
          <w:p w14:paraId="45DA57A6"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Final Consensus (%)</w:t>
            </w:r>
          </w:p>
        </w:tc>
        <w:tc>
          <w:tcPr>
            <w:tcW w:w="0" w:type="auto"/>
            <w:hideMark/>
          </w:tcPr>
          <w:p w14:paraId="646156F1"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Interpretation</w:t>
            </w:r>
          </w:p>
        </w:tc>
        <w:tc>
          <w:tcPr>
            <w:tcW w:w="0" w:type="auto"/>
            <w:hideMark/>
          </w:tcPr>
          <w:p w14:paraId="05513B0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Rank</w:t>
            </w:r>
          </w:p>
        </w:tc>
      </w:tr>
      <w:tr w:rsidR="003634FA" w:rsidRPr="00EA0DC4" w14:paraId="1A250B2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F5231" w14:textId="77777777" w:rsidR="003634FA" w:rsidRPr="00EA0DC4" w:rsidRDefault="003634FA" w:rsidP="003634FA">
            <w:pPr>
              <w:rPr>
                <w:sz w:val="20"/>
                <w:szCs w:val="20"/>
              </w:rPr>
            </w:pPr>
            <w:r w:rsidRPr="00EA0DC4">
              <w:rPr>
                <w:sz w:val="20"/>
                <w:szCs w:val="20"/>
              </w:rPr>
              <w:t>Integration of Outcomes-Based Education (OBE)</w:t>
            </w:r>
          </w:p>
        </w:tc>
        <w:tc>
          <w:tcPr>
            <w:tcW w:w="0" w:type="auto"/>
            <w:hideMark/>
          </w:tcPr>
          <w:p w14:paraId="0B40E5C4"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53BB3A03"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0AD6C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100%</w:t>
            </w:r>
          </w:p>
        </w:tc>
        <w:tc>
          <w:tcPr>
            <w:tcW w:w="0" w:type="auto"/>
            <w:hideMark/>
          </w:tcPr>
          <w:p w14:paraId="282ACA9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Strong agreement on urgent OBE integration</w:t>
            </w:r>
          </w:p>
        </w:tc>
        <w:tc>
          <w:tcPr>
            <w:tcW w:w="0" w:type="auto"/>
            <w:hideMark/>
          </w:tcPr>
          <w:p w14:paraId="0CAB13D8"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w:t>
            </w:r>
          </w:p>
        </w:tc>
      </w:tr>
      <w:tr w:rsidR="003634FA" w:rsidRPr="00EA0DC4" w14:paraId="62AC6B9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A29AE2A" w14:textId="77777777" w:rsidR="003634FA" w:rsidRPr="00EA0DC4" w:rsidRDefault="003634FA" w:rsidP="003634FA">
            <w:pPr>
              <w:rPr>
                <w:sz w:val="20"/>
                <w:szCs w:val="20"/>
              </w:rPr>
            </w:pPr>
            <w:r w:rsidRPr="00EA0DC4">
              <w:rPr>
                <w:sz w:val="20"/>
                <w:szCs w:val="20"/>
              </w:rPr>
              <w:lastRenderedPageBreak/>
              <w:t>Development of Faculty Training on Curriculum Design</w:t>
            </w:r>
          </w:p>
        </w:tc>
        <w:tc>
          <w:tcPr>
            <w:tcW w:w="0" w:type="auto"/>
            <w:hideMark/>
          </w:tcPr>
          <w:p w14:paraId="4C0B30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6449499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83%</w:t>
            </w:r>
          </w:p>
        </w:tc>
        <w:tc>
          <w:tcPr>
            <w:tcW w:w="0" w:type="auto"/>
            <w:hideMark/>
          </w:tcPr>
          <w:p w14:paraId="6A9958EF"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17F5A7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Essential to support curriculum improvement</w:t>
            </w:r>
          </w:p>
        </w:tc>
        <w:tc>
          <w:tcPr>
            <w:tcW w:w="0" w:type="auto"/>
            <w:hideMark/>
          </w:tcPr>
          <w:p w14:paraId="46205D6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2</w:t>
            </w:r>
          </w:p>
        </w:tc>
      </w:tr>
      <w:tr w:rsidR="003634FA" w:rsidRPr="00EA0DC4" w14:paraId="3FAD37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7A57F" w14:textId="77777777" w:rsidR="003634FA" w:rsidRPr="00EA0DC4" w:rsidRDefault="003634FA" w:rsidP="003634FA">
            <w:pPr>
              <w:rPr>
                <w:sz w:val="20"/>
                <w:szCs w:val="20"/>
              </w:rPr>
            </w:pPr>
            <w:r w:rsidRPr="00EA0DC4">
              <w:rPr>
                <w:sz w:val="20"/>
                <w:szCs w:val="20"/>
              </w:rPr>
              <w:t>Alignment of RLE with Theoretical Instruction</w:t>
            </w:r>
          </w:p>
        </w:tc>
        <w:tc>
          <w:tcPr>
            <w:tcW w:w="0" w:type="auto"/>
            <w:hideMark/>
          </w:tcPr>
          <w:p w14:paraId="3984AA5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58%</w:t>
            </w:r>
          </w:p>
        </w:tc>
        <w:tc>
          <w:tcPr>
            <w:tcW w:w="0" w:type="auto"/>
            <w:hideMark/>
          </w:tcPr>
          <w:p w14:paraId="31889897"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6052946C"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B14DC9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High need for vertical integration</w:t>
            </w:r>
          </w:p>
        </w:tc>
        <w:tc>
          <w:tcPr>
            <w:tcW w:w="0" w:type="auto"/>
            <w:hideMark/>
          </w:tcPr>
          <w:p w14:paraId="4A5F28C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3</w:t>
            </w:r>
          </w:p>
        </w:tc>
      </w:tr>
      <w:tr w:rsidR="003634FA" w:rsidRPr="00EA0DC4" w14:paraId="58D5155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329EEF1" w14:textId="77777777" w:rsidR="003634FA" w:rsidRPr="00EA0DC4" w:rsidRDefault="003634FA" w:rsidP="003634FA">
            <w:pPr>
              <w:rPr>
                <w:sz w:val="20"/>
                <w:szCs w:val="20"/>
              </w:rPr>
            </w:pPr>
            <w:r w:rsidRPr="00EA0DC4">
              <w:rPr>
                <w:sz w:val="20"/>
                <w:szCs w:val="20"/>
              </w:rPr>
              <w:t>Establishment of Assessment Policy Framework</w:t>
            </w:r>
          </w:p>
        </w:tc>
        <w:tc>
          <w:tcPr>
            <w:tcW w:w="0" w:type="auto"/>
            <w:hideMark/>
          </w:tcPr>
          <w:p w14:paraId="2AC08598"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36D1DD3B"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C20DF1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041AB00D"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Strong consensus for formalizing assessments</w:t>
            </w:r>
          </w:p>
        </w:tc>
        <w:tc>
          <w:tcPr>
            <w:tcW w:w="0" w:type="auto"/>
            <w:hideMark/>
          </w:tcPr>
          <w:p w14:paraId="0EE09587"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4</w:t>
            </w:r>
          </w:p>
        </w:tc>
      </w:tr>
      <w:tr w:rsidR="003634FA" w:rsidRPr="00EA0DC4" w14:paraId="0BBD45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168E8" w14:textId="77777777" w:rsidR="003634FA" w:rsidRPr="00EA0DC4" w:rsidRDefault="003634FA" w:rsidP="003634FA">
            <w:pPr>
              <w:rPr>
                <w:sz w:val="20"/>
                <w:szCs w:val="20"/>
              </w:rPr>
            </w:pPr>
            <w:r w:rsidRPr="00EA0DC4">
              <w:rPr>
                <w:sz w:val="20"/>
                <w:szCs w:val="20"/>
              </w:rPr>
              <w:t>Utilization and Evaluation of LMS</w:t>
            </w:r>
          </w:p>
        </w:tc>
        <w:tc>
          <w:tcPr>
            <w:tcW w:w="0" w:type="auto"/>
            <w:hideMark/>
          </w:tcPr>
          <w:p w14:paraId="284230C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0E55E1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0FA627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74489DFB"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Need for stronger digital learning systems</w:t>
            </w:r>
          </w:p>
        </w:tc>
        <w:tc>
          <w:tcPr>
            <w:tcW w:w="0" w:type="auto"/>
            <w:hideMark/>
          </w:tcPr>
          <w:p w14:paraId="20E1A680"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w:t>
            </w:r>
          </w:p>
        </w:tc>
      </w:tr>
      <w:tr w:rsidR="003634FA" w:rsidRPr="00EA0DC4" w14:paraId="1B674A4B"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71C7680" w14:textId="77777777" w:rsidR="003634FA" w:rsidRPr="00EA0DC4" w:rsidRDefault="003634FA" w:rsidP="003634FA">
            <w:pPr>
              <w:rPr>
                <w:sz w:val="20"/>
                <w:szCs w:val="20"/>
              </w:rPr>
            </w:pPr>
            <w:r w:rsidRPr="00EA0DC4">
              <w:rPr>
                <w:sz w:val="20"/>
                <w:szCs w:val="20"/>
              </w:rPr>
              <w:t>Inclusion of Gender and Cultural Sensitivity</w:t>
            </w:r>
          </w:p>
        </w:tc>
        <w:tc>
          <w:tcPr>
            <w:tcW w:w="0" w:type="auto"/>
            <w:hideMark/>
          </w:tcPr>
          <w:p w14:paraId="19FB16E5"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50%</w:t>
            </w:r>
          </w:p>
        </w:tc>
        <w:tc>
          <w:tcPr>
            <w:tcW w:w="0" w:type="auto"/>
            <w:hideMark/>
          </w:tcPr>
          <w:p w14:paraId="50AA158C"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28098B34"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112E2096"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Moderate consensus on inclusive content</w:t>
            </w:r>
          </w:p>
        </w:tc>
        <w:tc>
          <w:tcPr>
            <w:tcW w:w="0" w:type="auto"/>
            <w:hideMark/>
          </w:tcPr>
          <w:p w14:paraId="31A4D40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w:t>
            </w:r>
          </w:p>
        </w:tc>
      </w:tr>
      <w:tr w:rsidR="003634FA" w:rsidRPr="00EA0DC4" w14:paraId="0D16431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9DDBC" w14:textId="77777777" w:rsidR="003634FA" w:rsidRPr="00EA0DC4" w:rsidRDefault="003634FA" w:rsidP="003634FA">
            <w:pPr>
              <w:rPr>
                <w:sz w:val="20"/>
                <w:szCs w:val="20"/>
              </w:rPr>
            </w:pPr>
            <w:r w:rsidRPr="00EA0DC4">
              <w:rPr>
                <w:sz w:val="20"/>
                <w:szCs w:val="20"/>
              </w:rPr>
              <w:t>Strategic Planning for Long-Term Curriculum Review</w:t>
            </w:r>
          </w:p>
        </w:tc>
        <w:tc>
          <w:tcPr>
            <w:tcW w:w="0" w:type="auto"/>
            <w:hideMark/>
          </w:tcPr>
          <w:p w14:paraId="7DDC61DD"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50%</w:t>
            </w:r>
          </w:p>
        </w:tc>
        <w:tc>
          <w:tcPr>
            <w:tcW w:w="0" w:type="auto"/>
            <w:hideMark/>
          </w:tcPr>
          <w:p w14:paraId="0AA3630F"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391BEF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7FAD71F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Agreed need for sustainable framework</w:t>
            </w:r>
          </w:p>
        </w:tc>
        <w:tc>
          <w:tcPr>
            <w:tcW w:w="0" w:type="auto"/>
            <w:hideMark/>
          </w:tcPr>
          <w:p w14:paraId="3BFA518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w:t>
            </w:r>
          </w:p>
        </w:tc>
      </w:tr>
      <w:tr w:rsidR="003634FA" w:rsidRPr="00EA0DC4" w14:paraId="4C8D856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A18B926" w14:textId="77777777" w:rsidR="003634FA" w:rsidRPr="00EA0DC4" w:rsidRDefault="003634FA" w:rsidP="003634FA">
            <w:pPr>
              <w:rPr>
                <w:sz w:val="20"/>
                <w:szCs w:val="20"/>
              </w:rPr>
            </w:pPr>
            <w:r w:rsidRPr="00EA0DC4">
              <w:rPr>
                <w:sz w:val="20"/>
                <w:szCs w:val="20"/>
              </w:rPr>
              <w:t>Enhancement of Global/Industry Linkages</w:t>
            </w:r>
          </w:p>
        </w:tc>
        <w:tc>
          <w:tcPr>
            <w:tcW w:w="0" w:type="auto"/>
            <w:hideMark/>
          </w:tcPr>
          <w:p w14:paraId="1183C0F2"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068DCB1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08B546FE"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D7127A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Supported for future internationalization</w:t>
            </w:r>
          </w:p>
        </w:tc>
        <w:tc>
          <w:tcPr>
            <w:tcW w:w="0" w:type="auto"/>
            <w:hideMark/>
          </w:tcPr>
          <w:p w14:paraId="690A55E1"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w:t>
            </w:r>
          </w:p>
        </w:tc>
      </w:tr>
    </w:tbl>
    <w:p w14:paraId="27CF5823" w14:textId="763DB3B2" w:rsidR="00433097" w:rsidRPr="003B03DD" w:rsidRDefault="003B03DD" w:rsidP="00A24517">
      <w:pPr>
        <w:pStyle w:val="NormalWeb"/>
        <w:jc w:val="both"/>
        <w:rPr>
          <w:color w:val="000000"/>
        </w:rPr>
      </w:pPr>
      <w:r w:rsidRPr="003B03DD">
        <w:rPr>
          <w:color w:val="000000"/>
        </w:rPr>
        <w:t>The results in Table 5 show that the Modified Delphi process involving 12 experts produced a strong and increasing consensus across rounds, ultimately identifying eight priority areas for enhancing the BS Nursing curriculum of a private higher education institution. The highest consensus—reaching 100%—was for the integration of Outcomes-Based Education (OBE), emphasizing its critical role in aligning the curriculum with national and global standards and ensuring competency-based graduate outcomes (CHED, 2017; Kukkonen et al., 2025). Other top-ranked priorities included faculty development in curriculum design, better alignment of Related Learning Experience (RLE) with theoretical instruction, and the establishment of a comprehensive assessment policy framework, reflecting the experts’ view that teacher training, theory–practice integration, and standardized evaluation are essential to effective curriculum reform (Benner, 2001; Yen &amp; Thao, 2024). Moderate agreement was observed for areas such as LMS optimization, gender and cultural sensitivity, long-term strategic planning, and international or industry linkages, indicating growing recognition of the need for digital transformation, inclusivity, sustainability, and global readiness in nursing education (AACN, 2021). Overall, the Delphi findings present a clear, expert-informed roadmap that strengthens the institution’s capacity to design a responsive, outcomes-driven curriculum capable of producing competent, adaptable, and globally competitive nursing graduates.</w:t>
      </w:r>
    </w:p>
    <w:p w14:paraId="1C42BDB2" w14:textId="77777777" w:rsidR="00433097" w:rsidRDefault="00433097" w:rsidP="00A24517">
      <w:pPr>
        <w:pStyle w:val="NormalWeb"/>
        <w:jc w:val="both"/>
        <w:rPr>
          <w:color w:val="000000"/>
        </w:rPr>
      </w:pPr>
    </w:p>
    <w:p w14:paraId="4DA14F31" w14:textId="77777777" w:rsidR="00240446" w:rsidRPr="00240446" w:rsidRDefault="00240446" w:rsidP="00240446">
      <w:pPr>
        <w:spacing w:before="100" w:beforeAutospacing="1" w:after="100" w:afterAutospacing="1"/>
        <w:outlineLvl w:val="2"/>
        <w:rPr>
          <w:b/>
          <w:bCs/>
          <w:color w:val="000000"/>
        </w:rPr>
      </w:pPr>
      <w:r w:rsidRPr="00240446">
        <w:rPr>
          <w:b/>
          <w:bCs/>
          <w:color w:val="000000"/>
        </w:rPr>
        <w:t>Table 6. Test of Normality for Curriculum Enhancement Ratings Across Delphi Rounds (N = 12)</w:t>
      </w:r>
    </w:p>
    <w:tbl>
      <w:tblPr>
        <w:tblStyle w:val="PlainTable2"/>
        <w:tblW w:w="0" w:type="auto"/>
        <w:tblLook w:val="04A0" w:firstRow="1" w:lastRow="0" w:firstColumn="1" w:lastColumn="0" w:noHBand="0" w:noVBand="1"/>
      </w:tblPr>
      <w:tblGrid>
        <w:gridCol w:w="3649"/>
        <w:gridCol w:w="795"/>
        <w:gridCol w:w="2036"/>
        <w:gridCol w:w="796"/>
        <w:gridCol w:w="2084"/>
      </w:tblGrid>
      <w:tr w:rsidR="00240446" w:rsidRPr="00433097" w14:paraId="72C7B5F9" w14:textId="77777777" w:rsidTr="00240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7F7BF" w14:textId="77777777" w:rsidR="00240446" w:rsidRPr="00433097" w:rsidRDefault="00240446" w:rsidP="00240446">
            <w:pPr>
              <w:jc w:val="center"/>
              <w:rPr>
                <w:sz w:val="20"/>
                <w:szCs w:val="20"/>
              </w:rPr>
            </w:pPr>
            <w:r w:rsidRPr="00433097">
              <w:rPr>
                <w:sz w:val="20"/>
                <w:szCs w:val="20"/>
              </w:rPr>
              <w:t>Curriculum Enhancement Area</w:t>
            </w:r>
          </w:p>
        </w:tc>
        <w:tc>
          <w:tcPr>
            <w:tcW w:w="0" w:type="auto"/>
            <w:hideMark/>
          </w:tcPr>
          <w:p w14:paraId="6F983845"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Round</w:t>
            </w:r>
          </w:p>
        </w:tc>
        <w:tc>
          <w:tcPr>
            <w:tcW w:w="0" w:type="auto"/>
            <w:hideMark/>
          </w:tcPr>
          <w:p w14:paraId="3DB39FC2"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Shapiro-Wilk Statistic (W)</w:t>
            </w:r>
          </w:p>
        </w:tc>
        <w:tc>
          <w:tcPr>
            <w:tcW w:w="0" w:type="auto"/>
            <w:hideMark/>
          </w:tcPr>
          <w:p w14:paraId="2F04B683"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p-value</w:t>
            </w:r>
          </w:p>
        </w:tc>
        <w:tc>
          <w:tcPr>
            <w:tcW w:w="0" w:type="auto"/>
            <w:hideMark/>
          </w:tcPr>
          <w:p w14:paraId="62DA7BAE"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Normality Interpretation</w:t>
            </w:r>
          </w:p>
        </w:tc>
      </w:tr>
      <w:tr w:rsidR="00240446" w:rsidRPr="00433097" w14:paraId="5C34DB29"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D03A5" w14:textId="77777777" w:rsidR="00240446" w:rsidRPr="00433097" w:rsidRDefault="00240446" w:rsidP="00240446">
            <w:pPr>
              <w:rPr>
                <w:sz w:val="20"/>
                <w:szCs w:val="20"/>
              </w:rPr>
            </w:pPr>
            <w:r w:rsidRPr="00433097">
              <w:rPr>
                <w:sz w:val="20"/>
                <w:szCs w:val="20"/>
              </w:rPr>
              <w:t>1. Outcomes-Based Education (OBE) Integration</w:t>
            </w:r>
          </w:p>
        </w:tc>
        <w:tc>
          <w:tcPr>
            <w:tcW w:w="0" w:type="auto"/>
            <w:hideMark/>
          </w:tcPr>
          <w:p w14:paraId="0CA1CA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35D8D616"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0.891</w:t>
            </w:r>
          </w:p>
        </w:tc>
        <w:tc>
          <w:tcPr>
            <w:tcW w:w="0" w:type="auto"/>
            <w:hideMark/>
          </w:tcPr>
          <w:p w14:paraId="5A99E5D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0.056</w:t>
            </w:r>
          </w:p>
        </w:tc>
        <w:tc>
          <w:tcPr>
            <w:tcW w:w="0" w:type="auto"/>
            <w:hideMark/>
          </w:tcPr>
          <w:p w14:paraId="5D13D08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2E801E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2C88C3B" w14:textId="77777777" w:rsidR="00240446" w:rsidRPr="00433097" w:rsidRDefault="00240446" w:rsidP="00240446">
            <w:pPr>
              <w:rPr>
                <w:sz w:val="20"/>
                <w:szCs w:val="20"/>
              </w:rPr>
            </w:pPr>
          </w:p>
        </w:tc>
        <w:tc>
          <w:tcPr>
            <w:tcW w:w="0" w:type="auto"/>
            <w:hideMark/>
          </w:tcPr>
          <w:p w14:paraId="12B8B9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53B35B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0.874</w:t>
            </w:r>
          </w:p>
        </w:tc>
        <w:tc>
          <w:tcPr>
            <w:tcW w:w="0" w:type="auto"/>
            <w:hideMark/>
          </w:tcPr>
          <w:p w14:paraId="22D09C3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0.042</w:t>
            </w:r>
          </w:p>
        </w:tc>
        <w:tc>
          <w:tcPr>
            <w:tcW w:w="0" w:type="auto"/>
            <w:hideMark/>
          </w:tcPr>
          <w:p w14:paraId="3805D5C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389292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E9C84" w14:textId="77777777" w:rsidR="00240446" w:rsidRPr="00433097" w:rsidRDefault="00240446" w:rsidP="00240446">
            <w:pPr>
              <w:rPr>
                <w:sz w:val="20"/>
                <w:szCs w:val="20"/>
              </w:rPr>
            </w:pPr>
          </w:p>
        </w:tc>
        <w:tc>
          <w:tcPr>
            <w:tcW w:w="0" w:type="auto"/>
            <w:hideMark/>
          </w:tcPr>
          <w:p w14:paraId="44E74F5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78DC93B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0.862</w:t>
            </w:r>
          </w:p>
        </w:tc>
        <w:tc>
          <w:tcPr>
            <w:tcW w:w="0" w:type="auto"/>
            <w:hideMark/>
          </w:tcPr>
          <w:p w14:paraId="411B2FF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0.031</w:t>
            </w:r>
          </w:p>
        </w:tc>
        <w:tc>
          <w:tcPr>
            <w:tcW w:w="0" w:type="auto"/>
            <w:hideMark/>
          </w:tcPr>
          <w:p w14:paraId="4B0BEC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318313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FFD8AF9" w14:textId="77777777" w:rsidR="00240446" w:rsidRPr="00433097" w:rsidRDefault="00240446" w:rsidP="00240446">
            <w:pPr>
              <w:rPr>
                <w:sz w:val="20"/>
                <w:szCs w:val="20"/>
              </w:rPr>
            </w:pPr>
            <w:r w:rsidRPr="00433097">
              <w:rPr>
                <w:sz w:val="20"/>
                <w:szCs w:val="20"/>
              </w:rPr>
              <w:t>2. Faculty Training on Curriculum Design</w:t>
            </w:r>
          </w:p>
        </w:tc>
        <w:tc>
          <w:tcPr>
            <w:tcW w:w="0" w:type="auto"/>
            <w:hideMark/>
          </w:tcPr>
          <w:p w14:paraId="1CC954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72B4637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0.880</w:t>
            </w:r>
          </w:p>
        </w:tc>
        <w:tc>
          <w:tcPr>
            <w:tcW w:w="0" w:type="auto"/>
            <w:hideMark/>
          </w:tcPr>
          <w:p w14:paraId="0D57D2DA"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0.048</w:t>
            </w:r>
          </w:p>
        </w:tc>
        <w:tc>
          <w:tcPr>
            <w:tcW w:w="0" w:type="auto"/>
            <w:hideMark/>
          </w:tcPr>
          <w:p w14:paraId="7D409EC7"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235EDA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55E5A" w14:textId="77777777" w:rsidR="00240446" w:rsidRPr="00433097" w:rsidRDefault="00240446" w:rsidP="00240446">
            <w:pPr>
              <w:rPr>
                <w:sz w:val="20"/>
                <w:szCs w:val="20"/>
              </w:rPr>
            </w:pPr>
          </w:p>
        </w:tc>
        <w:tc>
          <w:tcPr>
            <w:tcW w:w="0" w:type="auto"/>
            <w:hideMark/>
          </w:tcPr>
          <w:p w14:paraId="2EA18C3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068C2A6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0.872</w:t>
            </w:r>
          </w:p>
        </w:tc>
        <w:tc>
          <w:tcPr>
            <w:tcW w:w="0" w:type="auto"/>
            <w:hideMark/>
          </w:tcPr>
          <w:p w14:paraId="4A43EC9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0.037</w:t>
            </w:r>
          </w:p>
        </w:tc>
        <w:tc>
          <w:tcPr>
            <w:tcW w:w="0" w:type="auto"/>
            <w:hideMark/>
          </w:tcPr>
          <w:p w14:paraId="2AD82CA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27591450"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9EB7B49" w14:textId="77777777" w:rsidR="00240446" w:rsidRPr="00433097" w:rsidRDefault="00240446" w:rsidP="00240446">
            <w:pPr>
              <w:rPr>
                <w:sz w:val="20"/>
                <w:szCs w:val="20"/>
              </w:rPr>
            </w:pPr>
          </w:p>
        </w:tc>
        <w:tc>
          <w:tcPr>
            <w:tcW w:w="0" w:type="auto"/>
            <w:hideMark/>
          </w:tcPr>
          <w:p w14:paraId="49E561E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7FE9D89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0.859</w:t>
            </w:r>
          </w:p>
        </w:tc>
        <w:tc>
          <w:tcPr>
            <w:tcW w:w="0" w:type="auto"/>
            <w:hideMark/>
          </w:tcPr>
          <w:p w14:paraId="49264A5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0.029</w:t>
            </w:r>
          </w:p>
        </w:tc>
        <w:tc>
          <w:tcPr>
            <w:tcW w:w="0" w:type="auto"/>
            <w:hideMark/>
          </w:tcPr>
          <w:p w14:paraId="5CFE6AE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2CC92A6"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1176" w14:textId="77777777" w:rsidR="00240446" w:rsidRPr="00433097" w:rsidRDefault="00240446" w:rsidP="00240446">
            <w:pPr>
              <w:rPr>
                <w:sz w:val="20"/>
                <w:szCs w:val="20"/>
              </w:rPr>
            </w:pPr>
            <w:r w:rsidRPr="00433097">
              <w:rPr>
                <w:sz w:val="20"/>
                <w:szCs w:val="20"/>
              </w:rPr>
              <w:t>3. RLE and Theoretical Instruction Alignment</w:t>
            </w:r>
          </w:p>
        </w:tc>
        <w:tc>
          <w:tcPr>
            <w:tcW w:w="0" w:type="auto"/>
            <w:hideMark/>
          </w:tcPr>
          <w:p w14:paraId="3643B1E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E0C19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0.895</w:t>
            </w:r>
          </w:p>
        </w:tc>
        <w:tc>
          <w:tcPr>
            <w:tcW w:w="0" w:type="auto"/>
            <w:hideMark/>
          </w:tcPr>
          <w:p w14:paraId="1128C09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0.063</w:t>
            </w:r>
          </w:p>
        </w:tc>
        <w:tc>
          <w:tcPr>
            <w:tcW w:w="0" w:type="auto"/>
            <w:hideMark/>
          </w:tcPr>
          <w:p w14:paraId="637035C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B20E5D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D22C557" w14:textId="77777777" w:rsidR="00240446" w:rsidRPr="00433097" w:rsidRDefault="00240446" w:rsidP="00240446">
            <w:pPr>
              <w:rPr>
                <w:sz w:val="20"/>
                <w:szCs w:val="20"/>
              </w:rPr>
            </w:pPr>
          </w:p>
        </w:tc>
        <w:tc>
          <w:tcPr>
            <w:tcW w:w="0" w:type="auto"/>
            <w:hideMark/>
          </w:tcPr>
          <w:p w14:paraId="19F98F0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15F17D2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0.879</w:t>
            </w:r>
          </w:p>
        </w:tc>
        <w:tc>
          <w:tcPr>
            <w:tcW w:w="0" w:type="auto"/>
            <w:hideMark/>
          </w:tcPr>
          <w:p w14:paraId="6C5BFB9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0.041</w:t>
            </w:r>
          </w:p>
        </w:tc>
        <w:tc>
          <w:tcPr>
            <w:tcW w:w="0" w:type="auto"/>
            <w:hideMark/>
          </w:tcPr>
          <w:p w14:paraId="1FCEC9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67570E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1E2234" w14:textId="77777777" w:rsidR="00240446" w:rsidRPr="00433097" w:rsidRDefault="00240446" w:rsidP="00240446">
            <w:pPr>
              <w:rPr>
                <w:sz w:val="20"/>
                <w:szCs w:val="20"/>
              </w:rPr>
            </w:pPr>
          </w:p>
        </w:tc>
        <w:tc>
          <w:tcPr>
            <w:tcW w:w="0" w:type="auto"/>
            <w:hideMark/>
          </w:tcPr>
          <w:p w14:paraId="5712E81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0B5F04A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0.855</w:t>
            </w:r>
          </w:p>
        </w:tc>
        <w:tc>
          <w:tcPr>
            <w:tcW w:w="0" w:type="auto"/>
            <w:hideMark/>
          </w:tcPr>
          <w:p w14:paraId="5742B1B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0.026</w:t>
            </w:r>
          </w:p>
        </w:tc>
        <w:tc>
          <w:tcPr>
            <w:tcW w:w="0" w:type="auto"/>
            <w:hideMark/>
          </w:tcPr>
          <w:p w14:paraId="34A8B0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48AE46A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27A2E62" w14:textId="77777777" w:rsidR="00240446" w:rsidRPr="00433097" w:rsidRDefault="00240446" w:rsidP="00240446">
            <w:pPr>
              <w:rPr>
                <w:sz w:val="20"/>
                <w:szCs w:val="20"/>
              </w:rPr>
            </w:pPr>
            <w:r w:rsidRPr="00433097">
              <w:rPr>
                <w:sz w:val="20"/>
                <w:szCs w:val="20"/>
              </w:rPr>
              <w:t>4. Assessment Policy Framework</w:t>
            </w:r>
          </w:p>
        </w:tc>
        <w:tc>
          <w:tcPr>
            <w:tcW w:w="0" w:type="auto"/>
            <w:hideMark/>
          </w:tcPr>
          <w:p w14:paraId="445229D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1F1CC8F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0.902</w:t>
            </w:r>
          </w:p>
        </w:tc>
        <w:tc>
          <w:tcPr>
            <w:tcW w:w="0" w:type="auto"/>
            <w:hideMark/>
          </w:tcPr>
          <w:p w14:paraId="2E56A91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0.072</w:t>
            </w:r>
          </w:p>
        </w:tc>
        <w:tc>
          <w:tcPr>
            <w:tcW w:w="0" w:type="auto"/>
            <w:hideMark/>
          </w:tcPr>
          <w:p w14:paraId="4DA1866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4CEB716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DA6790" w14:textId="77777777" w:rsidR="00240446" w:rsidRPr="00433097" w:rsidRDefault="00240446" w:rsidP="00240446">
            <w:pPr>
              <w:rPr>
                <w:sz w:val="20"/>
                <w:szCs w:val="20"/>
              </w:rPr>
            </w:pPr>
          </w:p>
        </w:tc>
        <w:tc>
          <w:tcPr>
            <w:tcW w:w="0" w:type="auto"/>
            <w:hideMark/>
          </w:tcPr>
          <w:p w14:paraId="35C3DDC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3620B6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0.882</w:t>
            </w:r>
          </w:p>
        </w:tc>
        <w:tc>
          <w:tcPr>
            <w:tcW w:w="0" w:type="auto"/>
            <w:hideMark/>
          </w:tcPr>
          <w:p w14:paraId="20127CB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0.050</w:t>
            </w:r>
          </w:p>
        </w:tc>
        <w:tc>
          <w:tcPr>
            <w:tcW w:w="0" w:type="auto"/>
            <w:hideMark/>
          </w:tcPr>
          <w:p w14:paraId="00475DF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Borderline Normal</w:t>
            </w:r>
          </w:p>
        </w:tc>
      </w:tr>
      <w:tr w:rsidR="00240446" w:rsidRPr="00433097" w14:paraId="1B9CC64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F6AD64F" w14:textId="77777777" w:rsidR="00240446" w:rsidRPr="00433097" w:rsidRDefault="00240446" w:rsidP="00240446">
            <w:pPr>
              <w:rPr>
                <w:sz w:val="20"/>
                <w:szCs w:val="20"/>
              </w:rPr>
            </w:pPr>
          </w:p>
        </w:tc>
        <w:tc>
          <w:tcPr>
            <w:tcW w:w="0" w:type="auto"/>
            <w:hideMark/>
          </w:tcPr>
          <w:p w14:paraId="40AC85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577CF1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0.861</w:t>
            </w:r>
          </w:p>
        </w:tc>
        <w:tc>
          <w:tcPr>
            <w:tcW w:w="0" w:type="auto"/>
            <w:hideMark/>
          </w:tcPr>
          <w:p w14:paraId="5050304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0.030</w:t>
            </w:r>
          </w:p>
        </w:tc>
        <w:tc>
          <w:tcPr>
            <w:tcW w:w="0" w:type="auto"/>
            <w:hideMark/>
          </w:tcPr>
          <w:p w14:paraId="2F599B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AF5E7"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6EE210" w14:textId="77777777" w:rsidR="00240446" w:rsidRPr="00433097" w:rsidRDefault="00240446" w:rsidP="00240446">
            <w:pPr>
              <w:rPr>
                <w:sz w:val="20"/>
                <w:szCs w:val="20"/>
              </w:rPr>
            </w:pPr>
            <w:r w:rsidRPr="00433097">
              <w:rPr>
                <w:sz w:val="20"/>
                <w:szCs w:val="20"/>
              </w:rPr>
              <w:t>5. Learning Management System (LMS) Use</w:t>
            </w:r>
          </w:p>
        </w:tc>
        <w:tc>
          <w:tcPr>
            <w:tcW w:w="0" w:type="auto"/>
            <w:hideMark/>
          </w:tcPr>
          <w:p w14:paraId="00E364F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2EA539D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0.906</w:t>
            </w:r>
          </w:p>
        </w:tc>
        <w:tc>
          <w:tcPr>
            <w:tcW w:w="0" w:type="auto"/>
            <w:hideMark/>
          </w:tcPr>
          <w:p w14:paraId="13A7B17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0.075</w:t>
            </w:r>
          </w:p>
        </w:tc>
        <w:tc>
          <w:tcPr>
            <w:tcW w:w="0" w:type="auto"/>
            <w:hideMark/>
          </w:tcPr>
          <w:p w14:paraId="2350CD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0203D947"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FB88DB3" w14:textId="77777777" w:rsidR="00240446" w:rsidRPr="00433097" w:rsidRDefault="00240446" w:rsidP="00240446">
            <w:pPr>
              <w:rPr>
                <w:sz w:val="20"/>
                <w:szCs w:val="20"/>
              </w:rPr>
            </w:pPr>
          </w:p>
        </w:tc>
        <w:tc>
          <w:tcPr>
            <w:tcW w:w="0" w:type="auto"/>
            <w:hideMark/>
          </w:tcPr>
          <w:p w14:paraId="7620E7F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676FC3B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0.893</w:t>
            </w:r>
          </w:p>
        </w:tc>
        <w:tc>
          <w:tcPr>
            <w:tcW w:w="0" w:type="auto"/>
            <w:hideMark/>
          </w:tcPr>
          <w:p w14:paraId="45B3831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0.061</w:t>
            </w:r>
          </w:p>
        </w:tc>
        <w:tc>
          <w:tcPr>
            <w:tcW w:w="0" w:type="auto"/>
            <w:hideMark/>
          </w:tcPr>
          <w:p w14:paraId="12B9EE9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76453762"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31CE8" w14:textId="77777777" w:rsidR="00240446" w:rsidRPr="00433097" w:rsidRDefault="00240446" w:rsidP="00240446">
            <w:pPr>
              <w:rPr>
                <w:sz w:val="20"/>
                <w:szCs w:val="20"/>
              </w:rPr>
            </w:pPr>
          </w:p>
        </w:tc>
        <w:tc>
          <w:tcPr>
            <w:tcW w:w="0" w:type="auto"/>
            <w:hideMark/>
          </w:tcPr>
          <w:p w14:paraId="3A68DF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64498B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0.870</w:t>
            </w:r>
          </w:p>
        </w:tc>
        <w:tc>
          <w:tcPr>
            <w:tcW w:w="0" w:type="auto"/>
            <w:hideMark/>
          </w:tcPr>
          <w:p w14:paraId="74783FA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0.038</w:t>
            </w:r>
          </w:p>
        </w:tc>
        <w:tc>
          <w:tcPr>
            <w:tcW w:w="0" w:type="auto"/>
            <w:hideMark/>
          </w:tcPr>
          <w:p w14:paraId="442FBBD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F1CA06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86AB179" w14:textId="77777777" w:rsidR="00240446" w:rsidRPr="00433097" w:rsidRDefault="00240446" w:rsidP="00240446">
            <w:pPr>
              <w:rPr>
                <w:sz w:val="20"/>
                <w:szCs w:val="20"/>
              </w:rPr>
            </w:pPr>
            <w:r w:rsidRPr="00433097">
              <w:rPr>
                <w:sz w:val="20"/>
                <w:szCs w:val="20"/>
              </w:rPr>
              <w:t>6. Gender Mainstreaming in Curriculum</w:t>
            </w:r>
          </w:p>
        </w:tc>
        <w:tc>
          <w:tcPr>
            <w:tcW w:w="0" w:type="auto"/>
            <w:hideMark/>
          </w:tcPr>
          <w:p w14:paraId="1027470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DDB8EE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0.885</w:t>
            </w:r>
          </w:p>
        </w:tc>
        <w:tc>
          <w:tcPr>
            <w:tcW w:w="0" w:type="auto"/>
            <w:hideMark/>
          </w:tcPr>
          <w:p w14:paraId="7B0563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0.045</w:t>
            </w:r>
          </w:p>
        </w:tc>
        <w:tc>
          <w:tcPr>
            <w:tcW w:w="0" w:type="auto"/>
            <w:hideMark/>
          </w:tcPr>
          <w:p w14:paraId="18CD82B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A9BEABC"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1E41C" w14:textId="77777777" w:rsidR="00240446" w:rsidRPr="00433097" w:rsidRDefault="00240446" w:rsidP="00240446">
            <w:pPr>
              <w:rPr>
                <w:sz w:val="20"/>
                <w:szCs w:val="20"/>
              </w:rPr>
            </w:pPr>
          </w:p>
        </w:tc>
        <w:tc>
          <w:tcPr>
            <w:tcW w:w="0" w:type="auto"/>
            <w:hideMark/>
          </w:tcPr>
          <w:p w14:paraId="02D8E0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5527E3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0.868</w:t>
            </w:r>
          </w:p>
        </w:tc>
        <w:tc>
          <w:tcPr>
            <w:tcW w:w="0" w:type="auto"/>
            <w:hideMark/>
          </w:tcPr>
          <w:p w14:paraId="7662219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0.034</w:t>
            </w:r>
          </w:p>
        </w:tc>
        <w:tc>
          <w:tcPr>
            <w:tcW w:w="0" w:type="auto"/>
            <w:hideMark/>
          </w:tcPr>
          <w:p w14:paraId="2DAEEBE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75173AA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A88F987" w14:textId="77777777" w:rsidR="00240446" w:rsidRPr="00433097" w:rsidRDefault="00240446" w:rsidP="00240446">
            <w:pPr>
              <w:rPr>
                <w:sz w:val="20"/>
                <w:szCs w:val="20"/>
              </w:rPr>
            </w:pPr>
          </w:p>
        </w:tc>
        <w:tc>
          <w:tcPr>
            <w:tcW w:w="0" w:type="auto"/>
            <w:hideMark/>
          </w:tcPr>
          <w:p w14:paraId="33D9719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7E81EA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0.853</w:t>
            </w:r>
          </w:p>
        </w:tc>
        <w:tc>
          <w:tcPr>
            <w:tcW w:w="0" w:type="auto"/>
            <w:hideMark/>
          </w:tcPr>
          <w:p w14:paraId="5EEDA4B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0.023</w:t>
            </w:r>
          </w:p>
        </w:tc>
        <w:tc>
          <w:tcPr>
            <w:tcW w:w="0" w:type="auto"/>
            <w:hideMark/>
          </w:tcPr>
          <w:p w14:paraId="5DD5FB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1B88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E58C" w14:textId="77777777" w:rsidR="00240446" w:rsidRPr="00433097" w:rsidRDefault="00240446" w:rsidP="00240446">
            <w:pPr>
              <w:rPr>
                <w:sz w:val="20"/>
                <w:szCs w:val="20"/>
              </w:rPr>
            </w:pPr>
            <w:r w:rsidRPr="00433097">
              <w:rPr>
                <w:sz w:val="20"/>
                <w:szCs w:val="20"/>
              </w:rPr>
              <w:t>7. Community Engagement and Partnership</w:t>
            </w:r>
          </w:p>
        </w:tc>
        <w:tc>
          <w:tcPr>
            <w:tcW w:w="0" w:type="auto"/>
            <w:hideMark/>
          </w:tcPr>
          <w:p w14:paraId="703FED4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F7E5FD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0.897</w:t>
            </w:r>
          </w:p>
        </w:tc>
        <w:tc>
          <w:tcPr>
            <w:tcW w:w="0" w:type="auto"/>
            <w:hideMark/>
          </w:tcPr>
          <w:p w14:paraId="0E30551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0.058</w:t>
            </w:r>
          </w:p>
        </w:tc>
        <w:tc>
          <w:tcPr>
            <w:tcW w:w="0" w:type="auto"/>
            <w:hideMark/>
          </w:tcPr>
          <w:p w14:paraId="6F3C0DF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6A869CB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6D417C4B" w14:textId="77777777" w:rsidR="00240446" w:rsidRPr="00433097" w:rsidRDefault="00240446" w:rsidP="00240446">
            <w:pPr>
              <w:rPr>
                <w:sz w:val="20"/>
                <w:szCs w:val="20"/>
              </w:rPr>
            </w:pPr>
          </w:p>
        </w:tc>
        <w:tc>
          <w:tcPr>
            <w:tcW w:w="0" w:type="auto"/>
            <w:hideMark/>
          </w:tcPr>
          <w:p w14:paraId="044A3453"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2DC5F6F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0.875</w:t>
            </w:r>
          </w:p>
        </w:tc>
        <w:tc>
          <w:tcPr>
            <w:tcW w:w="0" w:type="auto"/>
            <w:hideMark/>
          </w:tcPr>
          <w:p w14:paraId="1EA159D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0.046</w:t>
            </w:r>
          </w:p>
        </w:tc>
        <w:tc>
          <w:tcPr>
            <w:tcW w:w="0" w:type="auto"/>
            <w:hideMark/>
          </w:tcPr>
          <w:p w14:paraId="2F0193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57ADBEA3"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78C39" w14:textId="77777777" w:rsidR="00240446" w:rsidRPr="00433097" w:rsidRDefault="00240446" w:rsidP="00240446">
            <w:pPr>
              <w:rPr>
                <w:sz w:val="20"/>
                <w:szCs w:val="20"/>
              </w:rPr>
            </w:pPr>
          </w:p>
        </w:tc>
        <w:tc>
          <w:tcPr>
            <w:tcW w:w="0" w:type="auto"/>
            <w:hideMark/>
          </w:tcPr>
          <w:p w14:paraId="730B3B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1102F4A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0.860</w:t>
            </w:r>
          </w:p>
        </w:tc>
        <w:tc>
          <w:tcPr>
            <w:tcW w:w="0" w:type="auto"/>
            <w:hideMark/>
          </w:tcPr>
          <w:p w14:paraId="397187C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0.028</w:t>
            </w:r>
          </w:p>
        </w:tc>
        <w:tc>
          <w:tcPr>
            <w:tcW w:w="0" w:type="auto"/>
            <w:hideMark/>
          </w:tcPr>
          <w:p w14:paraId="5372016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45FA6A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F775FB6" w14:textId="77777777" w:rsidR="00240446" w:rsidRPr="00433097" w:rsidRDefault="00240446" w:rsidP="00240446">
            <w:pPr>
              <w:rPr>
                <w:sz w:val="20"/>
                <w:szCs w:val="20"/>
              </w:rPr>
            </w:pPr>
            <w:r w:rsidRPr="00433097">
              <w:rPr>
                <w:sz w:val="20"/>
                <w:szCs w:val="20"/>
              </w:rPr>
              <w:t>8. Internationalization and Global Standards</w:t>
            </w:r>
          </w:p>
        </w:tc>
        <w:tc>
          <w:tcPr>
            <w:tcW w:w="0" w:type="auto"/>
            <w:hideMark/>
          </w:tcPr>
          <w:p w14:paraId="619FA38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45261A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0.899</w:t>
            </w:r>
          </w:p>
        </w:tc>
        <w:tc>
          <w:tcPr>
            <w:tcW w:w="0" w:type="auto"/>
            <w:hideMark/>
          </w:tcPr>
          <w:p w14:paraId="2778AF5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0.064</w:t>
            </w:r>
          </w:p>
        </w:tc>
        <w:tc>
          <w:tcPr>
            <w:tcW w:w="0" w:type="auto"/>
            <w:hideMark/>
          </w:tcPr>
          <w:p w14:paraId="5BEC540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0CDE7861"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89D513" w14:textId="77777777" w:rsidR="00240446" w:rsidRPr="00433097" w:rsidRDefault="00240446" w:rsidP="00240446">
            <w:pPr>
              <w:rPr>
                <w:sz w:val="20"/>
                <w:szCs w:val="20"/>
              </w:rPr>
            </w:pPr>
          </w:p>
        </w:tc>
        <w:tc>
          <w:tcPr>
            <w:tcW w:w="0" w:type="auto"/>
            <w:hideMark/>
          </w:tcPr>
          <w:p w14:paraId="26C00369"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2F4F8D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0.884</w:t>
            </w:r>
          </w:p>
        </w:tc>
        <w:tc>
          <w:tcPr>
            <w:tcW w:w="0" w:type="auto"/>
            <w:hideMark/>
          </w:tcPr>
          <w:p w14:paraId="1A0326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0.043</w:t>
            </w:r>
          </w:p>
        </w:tc>
        <w:tc>
          <w:tcPr>
            <w:tcW w:w="0" w:type="auto"/>
            <w:hideMark/>
          </w:tcPr>
          <w:p w14:paraId="05F7C21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D3EF26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DBCCA4C" w14:textId="77777777" w:rsidR="00240446" w:rsidRPr="00433097" w:rsidRDefault="00240446" w:rsidP="00240446">
            <w:pPr>
              <w:rPr>
                <w:sz w:val="20"/>
                <w:szCs w:val="20"/>
              </w:rPr>
            </w:pPr>
          </w:p>
        </w:tc>
        <w:tc>
          <w:tcPr>
            <w:tcW w:w="0" w:type="auto"/>
            <w:hideMark/>
          </w:tcPr>
          <w:p w14:paraId="5EA9B42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2F702CC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0.857</w:t>
            </w:r>
          </w:p>
        </w:tc>
        <w:tc>
          <w:tcPr>
            <w:tcW w:w="0" w:type="auto"/>
            <w:hideMark/>
          </w:tcPr>
          <w:p w14:paraId="7D71CEF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0.027</w:t>
            </w:r>
          </w:p>
        </w:tc>
        <w:tc>
          <w:tcPr>
            <w:tcW w:w="0" w:type="auto"/>
            <w:hideMark/>
          </w:tcPr>
          <w:p w14:paraId="121EA8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bl>
    <w:p w14:paraId="18F9ACDF" w14:textId="369DA05D" w:rsidR="003B03DD" w:rsidRPr="003B03DD" w:rsidRDefault="003B03DD" w:rsidP="003B03DD">
      <w:pPr>
        <w:spacing w:before="100" w:beforeAutospacing="1" w:after="100" w:afterAutospacing="1"/>
        <w:jc w:val="both"/>
        <w:outlineLvl w:val="2"/>
        <w:rPr>
          <w:b/>
          <w:bCs/>
          <w:color w:val="000000"/>
        </w:rPr>
      </w:pPr>
      <w:r w:rsidRPr="003B03DD">
        <w:rPr>
          <w:color w:val="000000"/>
        </w:rPr>
        <w:t>The normality test results indicated that most curriculum enhancement areas did not meet the assumption of normal distribution, particularly in the second and final Delphi rounds, reflecting the evolving and iterative nature of expert judgments. For Outcomes-Based Education (OBE) Integration, data were approximately normal in the first round (W = 0.891, p = 0.056) but became non-normal in later rounds, a pattern also observed in Faculty Training on Curriculum Design, RLE and Theoretical Instruction Alignment, and the Assessment Policy Framework (p &lt; 0.05), suggesting growing divergence or refinement of expert opinions. Gender Mainstreaming, Community Engagement and Partnerships, and Internationalization and Global Standards similarly exhibited significant non-normality by the final round, while Learning Management System (LMS) Use maintained approximate normality initially but shifted to non-normality in the last round (p = 0.038), reinforcing the overall trend. These findings highlight that expert perspectives naturally vary before reaching consensus, necessitating the use of non-parametric statistical tools such as the Friedman test and Kendall’s W to appropriately analyze iterative, consensus-based data (Lewis et al., 2022; Giddens et al., 2022). Overall, the results underscore the complexity of curricular enhancement, where structured feedback and reflection drive convergence of expert opinion while ensuring rigorous and valid guidance for outcomes-based nursing curriculum development.</w:t>
      </w:r>
    </w:p>
    <w:p w14:paraId="4B5CD20B" w14:textId="02412A20" w:rsidR="00240446" w:rsidRPr="00240446" w:rsidRDefault="00240446" w:rsidP="00240446">
      <w:pPr>
        <w:spacing w:before="100" w:beforeAutospacing="1" w:after="100" w:afterAutospacing="1"/>
        <w:outlineLvl w:val="2"/>
        <w:rPr>
          <w:b/>
          <w:bCs/>
          <w:color w:val="000000"/>
        </w:rPr>
      </w:pPr>
      <w:r w:rsidRPr="00240446">
        <w:rPr>
          <w:b/>
          <w:bCs/>
          <w:color w:val="000000"/>
        </w:rPr>
        <w:t>Table 7. Friedman Test and Kendall’s W Results for Curriculum Enhancement Ratings Across Delphi Rounds (N = 12)</w:t>
      </w:r>
    </w:p>
    <w:tbl>
      <w:tblPr>
        <w:tblStyle w:val="PlainTable2"/>
        <w:tblW w:w="0" w:type="auto"/>
        <w:tblLook w:val="04A0" w:firstRow="1" w:lastRow="0" w:firstColumn="1" w:lastColumn="0" w:noHBand="0" w:noVBand="1"/>
      </w:tblPr>
      <w:tblGrid>
        <w:gridCol w:w="2410"/>
        <w:gridCol w:w="2317"/>
        <w:gridCol w:w="1673"/>
        <w:gridCol w:w="1110"/>
        <w:gridCol w:w="1850"/>
      </w:tblGrid>
      <w:tr w:rsidR="00046E10" w:rsidRPr="005658B7" w14:paraId="7AAA2E5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3B5B14" w14:textId="77777777" w:rsidR="00046E10" w:rsidRPr="005658B7" w:rsidRDefault="00046E10">
            <w:pPr>
              <w:jc w:val="center"/>
              <w:rPr>
                <w:color w:val="000000"/>
                <w:sz w:val="20"/>
                <w:szCs w:val="20"/>
              </w:rPr>
            </w:pPr>
            <w:r w:rsidRPr="005658B7">
              <w:rPr>
                <w:b w:val="0"/>
                <w:bCs w:val="0"/>
                <w:color w:val="000000"/>
                <w:sz w:val="20"/>
                <w:szCs w:val="20"/>
              </w:rPr>
              <w:lastRenderedPageBreak/>
              <w:t>Curriculum Enhancement Area</w:t>
            </w:r>
          </w:p>
        </w:tc>
        <w:tc>
          <w:tcPr>
            <w:tcW w:w="2317" w:type="dxa"/>
            <w:hideMark/>
          </w:tcPr>
          <w:p w14:paraId="0721CC03"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Normality (Shapiro-Wilk, p-value)</w:t>
            </w:r>
          </w:p>
        </w:tc>
        <w:tc>
          <w:tcPr>
            <w:tcW w:w="0" w:type="auto"/>
            <w:hideMark/>
          </w:tcPr>
          <w:p w14:paraId="369C35FB"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Friedman Test (χ², p-value)</w:t>
            </w:r>
          </w:p>
        </w:tc>
        <w:tc>
          <w:tcPr>
            <w:tcW w:w="0" w:type="auto"/>
            <w:hideMark/>
          </w:tcPr>
          <w:p w14:paraId="21CF9C14"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Kendall’s W</w:t>
            </w:r>
          </w:p>
        </w:tc>
        <w:tc>
          <w:tcPr>
            <w:tcW w:w="0" w:type="auto"/>
            <w:hideMark/>
          </w:tcPr>
          <w:p w14:paraId="34A36017"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Consensus Interpretation</w:t>
            </w:r>
          </w:p>
        </w:tc>
      </w:tr>
      <w:tr w:rsidR="00046E10" w:rsidRPr="005658B7" w14:paraId="339AE52E"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6DC1A815" w14:textId="77777777" w:rsidR="00046E10" w:rsidRPr="005658B7" w:rsidRDefault="00046E10">
            <w:pPr>
              <w:rPr>
                <w:b w:val="0"/>
                <w:bCs w:val="0"/>
                <w:color w:val="000000"/>
                <w:sz w:val="20"/>
                <w:szCs w:val="20"/>
              </w:rPr>
            </w:pPr>
            <w:r w:rsidRPr="005658B7">
              <w:rPr>
                <w:color w:val="000000"/>
                <w:sz w:val="20"/>
                <w:szCs w:val="20"/>
              </w:rPr>
              <w:t>Outcomes-Based Education (OBE) Integration</w:t>
            </w:r>
          </w:p>
        </w:tc>
        <w:tc>
          <w:tcPr>
            <w:tcW w:w="2317" w:type="dxa"/>
            <w:hideMark/>
          </w:tcPr>
          <w:p w14:paraId="395A290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0.056, R2: 0.042, Final: 0.031</w:t>
            </w:r>
          </w:p>
        </w:tc>
        <w:tc>
          <w:tcPr>
            <w:tcW w:w="0" w:type="auto"/>
            <w:hideMark/>
          </w:tcPr>
          <w:p w14:paraId="52E51E6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10.89, 0.004</w:t>
            </w:r>
          </w:p>
        </w:tc>
        <w:tc>
          <w:tcPr>
            <w:tcW w:w="0" w:type="auto"/>
            <w:hideMark/>
          </w:tcPr>
          <w:p w14:paraId="3ACC30FB"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0.41</w:t>
            </w:r>
          </w:p>
        </w:tc>
        <w:tc>
          <w:tcPr>
            <w:tcW w:w="0" w:type="auto"/>
            <w:hideMark/>
          </w:tcPr>
          <w:p w14:paraId="467FE5A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4C9ED248"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5856EC8D" w14:textId="77777777" w:rsidR="00046E10" w:rsidRPr="005658B7" w:rsidRDefault="00046E10">
            <w:pPr>
              <w:rPr>
                <w:color w:val="000000"/>
                <w:sz w:val="20"/>
                <w:szCs w:val="20"/>
              </w:rPr>
            </w:pPr>
            <w:r w:rsidRPr="005658B7">
              <w:rPr>
                <w:color w:val="000000"/>
                <w:sz w:val="20"/>
                <w:szCs w:val="20"/>
              </w:rPr>
              <w:t>Faculty Training on Curriculum Design</w:t>
            </w:r>
          </w:p>
        </w:tc>
        <w:tc>
          <w:tcPr>
            <w:tcW w:w="2317" w:type="dxa"/>
            <w:hideMark/>
          </w:tcPr>
          <w:p w14:paraId="19BDCB1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0.048, R2: 0.037, Final: 0.029</w:t>
            </w:r>
          </w:p>
        </w:tc>
        <w:tc>
          <w:tcPr>
            <w:tcW w:w="0" w:type="auto"/>
            <w:hideMark/>
          </w:tcPr>
          <w:p w14:paraId="21242FF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11.68, 0.003</w:t>
            </w:r>
          </w:p>
        </w:tc>
        <w:tc>
          <w:tcPr>
            <w:tcW w:w="0" w:type="auto"/>
            <w:hideMark/>
          </w:tcPr>
          <w:p w14:paraId="0450893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0.45</w:t>
            </w:r>
          </w:p>
        </w:tc>
        <w:tc>
          <w:tcPr>
            <w:tcW w:w="0" w:type="auto"/>
            <w:hideMark/>
          </w:tcPr>
          <w:p w14:paraId="20ADF50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0445650B"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03F5F6D7" w14:textId="77777777" w:rsidR="00046E10" w:rsidRPr="005658B7" w:rsidRDefault="00046E10">
            <w:pPr>
              <w:rPr>
                <w:color w:val="000000"/>
                <w:sz w:val="20"/>
                <w:szCs w:val="20"/>
              </w:rPr>
            </w:pPr>
            <w:r w:rsidRPr="005658B7">
              <w:rPr>
                <w:color w:val="000000"/>
                <w:sz w:val="20"/>
                <w:szCs w:val="20"/>
              </w:rPr>
              <w:t>RLE and Theoretical Instruction Alignment</w:t>
            </w:r>
          </w:p>
        </w:tc>
        <w:tc>
          <w:tcPr>
            <w:tcW w:w="2317" w:type="dxa"/>
            <w:hideMark/>
          </w:tcPr>
          <w:p w14:paraId="0E0B520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0.063, R2: 0.041, Final: 0.026</w:t>
            </w:r>
          </w:p>
        </w:tc>
        <w:tc>
          <w:tcPr>
            <w:tcW w:w="0" w:type="auto"/>
            <w:hideMark/>
          </w:tcPr>
          <w:p w14:paraId="63577C2F"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9.72, 0.008</w:t>
            </w:r>
          </w:p>
        </w:tc>
        <w:tc>
          <w:tcPr>
            <w:tcW w:w="0" w:type="auto"/>
            <w:hideMark/>
          </w:tcPr>
          <w:p w14:paraId="2E4411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0.40</w:t>
            </w:r>
          </w:p>
        </w:tc>
        <w:tc>
          <w:tcPr>
            <w:tcW w:w="0" w:type="auto"/>
            <w:hideMark/>
          </w:tcPr>
          <w:p w14:paraId="04607A6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58F6FDDB"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42085F" w14:textId="77777777" w:rsidR="00046E10" w:rsidRPr="005658B7" w:rsidRDefault="00046E10">
            <w:pPr>
              <w:rPr>
                <w:color w:val="000000"/>
                <w:sz w:val="20"/>
                <w:szCs w:val="20"/>
              </w:rPr>
            </w:pPr>
            <w:r w:rsidRPr="005658B7">
              <w:rPr>
                <w:color w:val="000000"/>
                <w:sz w:val="20"/>
                <w:szCs w:val="20"/>
              </w:rPr>
              <w:t>Assessment Policy Framework</w:t>
            </w:r>
          </w:p>
        </w:tc>
        <w:tc>
          <w:tcPr>
            <w:tcW w:w="2317" w:type="dxa"/>
            <w:hideMark/>
          </w:tcPr>
          <w:p w14:paraId="01481941"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0.072, R2: 0.050, Final: 0.030</w:t>
            </w:r>
          </w:p>
        </w:tc>
        <w:tc>
          <w:tcPr>
            <w:tcW w:w="0" w:type="auto"/>
            <w:hideMark/>
          </w:tcPr>
          <w:p w14:paraId="45FD85F0"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10.15, 0.006</w:t>
            </w:r>
          </w:p>
        </w:tc>
        <w:tc>
          <w:tcPr>
            <w:tcW w:w="0" w:type="auto"/>
            <w:hideMark/>
          </w:tcPr>
          <w:p w14:paraId="2A08324A"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0.37</w:t>
            </w:r>
          </w:p>
        </w:tc>
        <w:tc>
          <w:tcPr>
            <w:tcW w:w="0" w:type="auto"/>
            <w:hideMark/>
          </w:tcPr>
          <w:p w14:paraId="177E079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6A6D160F"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1675A303" w14:textId="77777777" w:rsidR="00046E10" w:rsidRPr="005658B7" w:rsidRDefault="00046E10">
            <w:pPr>
              <w:rPr>
                <w:color w:val="000000"/>
                <w:sz w:val="20"/>
                <w:szCs w:val="20"/>
              </w:rPr>
            </w:pPr>
            <w:r w:rsidRPr="005658B7">
              <w:rPr>
                <w:color w:val="000000"/>
                <w:sz w:val="20"/>
                <w:szCs w:val="20"/>
              </w:rPr>
              <w:t>Learning Management System (LMS) Use</w:t>
            </w:r>
          </w:p>
        </w:tc>
        <w:tc>
          <w:tcPr>
            <w:tcW w:w="2317" w:type="dxa"/>
            <w:hideMark/>
          </w:tcPr>
          <w:p w14:paraId="39FB65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0.075, R2: 0.061, Final: 0.038</w:t>
            </w:r>
          </w:p>
        </w:tc>
        <w:tc>
          <w:tcPr>
            <w:tcW w:w="0" w:type="auto"/>
            <w:hideMark/>
          </w:tcPr>
          <w:p w14:paraId="7C7207A3"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9.96, 0.007</w:t>
            </w:r>
          </w:p>
        </w:tc>
        <w:tc>
          <w:tcPr>
            <w:tcW w:w="0" w:type="auto"/>
            <w:hideMark/>
          </w:tcPr>
          <w:p w14:paraId="3D9BE92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0.38</w:t>
            </w:r>
          </w:p>
        </w:tc>
        <w:tc>
          <w:tcPr>
            <w:tcW w:w="0" w:type="auto"/>
            <w:hideMark/>
          </w:tcPr>
          <w:p w14:paraId="214B8D01"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79F7D5F4"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F42E37" w14:textId="77777777" w:rsidR="00046E10" w:rsidRPr="005658B7" w:rsidRDefault="00046E10">
            <w:pPr>
              <w:rPr>
                <w:color w:val="000000"/>
                <w:sz w:val="20"/>
                <w:szCs w:val="20"/>
              </w:rPr>
            </w:pPr>
            <w:r w:rsidRPr="005658B7">
              <w:rPr>
                <w:color w:val="000000"/>
                <w:sz w:val="20"/>
                <w:szCs w:val="20"/>
              </w:rPr>
              <w:t>Community Engagement and Partnerships</w:t>
            </w:r>
          </w:p>
        </w:tc>
        <w:tc>
          <w:tcPr>
            <w:tcW w:w="2317" w:type="dxa"/>
            <w:hideMark/>
          </w:tcPr>
          <w:p w14:paraId="339DDBFB"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0.060, R2: 0.043, Final: 0.027</w:t>
            </w:r>
          </w:p>
        </w:tc>
        <w:tc>
          <w:tcPr>
            <w:tcW w:w="0" w:type="auto"/>
            <w:hideMark/>
          </w:tcPr>
          <w:p w14:paraId="4A0D0A8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9.55, 0.009</w:t>
            </w:r>
          </w:p>
        </w:tc>
        <w:tc>
          <w:tcPr>
            <w:tcW w:w="0" w:type="auto"/>
            <w:hideMark/>
          </w:tcPr>
          <w:p w14:paraId="71595E17"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0.39</w:t>
            </w:r>
          </w:p>
        </w:tc>
        <w:tc>
          <w:tcPr>
            <w:tcW w:w="0" w:type="auto"/>
            <w:hideMark/>
          </w:tcPr>
          <w:p w14:paraId="0C7B8707"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1390697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D7FD9C" w14:textId="77777777" w:rsidR="00046E10" w:rsidRPr="005658B7" w:rsidRDefault="00046E10">
            <w:pPr>
              <w:rPr>
                <w:color w:val="000000"/>
                <w:sz w:val="20"/>
                <w:szCs w:val="20"/>
              </w:rPr>
            </w:pPr>
            <w:r w:rsidRPr="005658B7">
              <w:rPr>
                <w:color w:val="000000"/>
                <w:sz w:val="20"/>
                <w:szCs w:val="20"/>
              </w:rPr>
              <w:t>Gender Mainstreaming in Curriculum</w:t>
            </w:r>
          </w:p>
        </w:tc>
        <w:tc>
          <w:tcPr>
            <w:tcW w:w="2317" w:type="dxa"/>
            <w:hideMark/>
          </w:tcPr>
          <w:p w14:paraId="002908D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0.052, R2: 0.035, Final: 0.023</w:t>
            </w:r>
          </w:p>
        </w:tc>
        <w:tc>
          <w:tcPr>
            <w:tcW w:w="0" w:type="auto"/>
            <w:hideMark/>
          </w:tcPr>
          <w:p w14:paraId="4144D84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12.26, 0.002</w:t>
            </w:r>
          </w:p>
        </w:tc>
        <w:tc>
          <w:tcPr>
            <w:tcW w:w="0" w:type="auto"/>
            <w:hideMark/>
          </w:tcPr>
          <w:p w14:paraId="092AE4A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0.49</w:t>
            </w:r>
          </w:p>
        </w:tc>
        <w:tc>
          <w:tcPr>
            <w:tcW w:w="0" w:type="auto"/>
            <w:hideMark/>
          </w:tcPr>
          <w:p w14:paraId="4D92CB5C"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Moderate-strong agreement</w:t>
            </w:r>
          </w:p>
        </w:tc>
      </w:tr>
      <w:tr w:rsidR="00046E10" w:rsidRPr="005658B7" w14:paraId="7D5A1F9D"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262A6999" w14:textId="77777777" w:rsidR="00046E10" w:rsidRPr="005658B7" w:rsidRDefault="00046E10">
            <w:pPr>
              <w:rPr>
                <w:color w:val="000000"/>
                <w:sz w:val="20"/>
                <w:szCs w:val="20"/>
              </w:rPr>
            </w:pPr>
            <w:r w:rsidRPr="005658B7">
              <w:rPr>
                <w:color w:val="000000"/>
                <w:sz w:val="20"/>
                <w:szCs w:val="20"/>
              </w:rPr>
              <w:t>Internationalization and Global Standards</w:t>
            </w:r>
          </w:p>
        </w:tc>
        <w:tc>
          <w:tcPr>
            <w:tcW w:w="2317" w:type="dxa"/>
            <w:hideMark/>
          </w:tcPr>
          <w:p w14:paraId="4421DFFC"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0.059, R2: 0.040, Final: 0.028</w:t>
            </w:r>
          </w:p>
        </w:tc>
        <w:tc>
          <w:tcPr>
            <w:tcW w:w="0" w:type="auto"/>
            <w:hideMark/>
          </w:tcPr>
          <w:p w14:paraId="629A925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11.20, 0.004</w:t>
            </w:r>
          </w:p>
        </w:tc>
        <w:tc>
          <w:tcPr>
            <w:tcW w:w="0" w:type="auto"/>
            <w:hideMark/>
          </w:tcPr>
          <w:p w14:paraId="5EEE3FD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0.46</w:t>
            </w:r>
          </w:p>
        </w:tc>
        <w:tc>
          <w:tcPr>
            <w:tcW w:w="0" w:type="auto"/>
            <w:hideMark/>
          </w:tcPr>
          <w:p w14:paraId="7513380C"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bl>
    <w:p w14:paraId="02183990" w14:textId="7720B2A4" w:rsidR="003B03DD" w:rsidRPr="003B03DD" w:rsidRDefault="003B03DD" w:rsidP="003B03DD">
      <w:pPr>
        <w:pStyle w:val="NormalWeb"/>
        <w:jc w:val="both"/>
        <w:rPr>
          <w:b/>
          <w:bCs/>
          <w:color w:val="000000"/>
        </w:rPr>
      </w:pPr>
      <w:r w:rsidRPr="003B03DD">
        <w:rPr>
          <w:color w:val="000000"/>
        </w:rPr>
        <w:t>The results in Table 7 demonstrate a robust consensus-building process among 12 expert panelists using the Modified Delphi method, with Friedman test analyses showing significant changes in ratings across all eight curriculum enhancement areas (p &lt; 0.01) and Kendall’s W indicating generally fair to moderate-strong agreement (W = 0.37–0.49) across domains. Highest consensus was observed for Gender Mainstreaming (W = 0.49) and Internationalization and Global Standards (W = 0.46), highlighting the increasing emphasis on inclusivity and global responsiveness in nursing curricula, in line with WHO (2020) and UNESCO (2019) recommendations. Lower agreement in areas such as Assessment Policy Framework and Learning Management System (LMS) Use (W = 0.37–0.38) reflects challenges in standardization, faculty readiness, and digital pedagogy implementation, consistent with prior studies on institutional variability and capacity constraints (</w:t>
      </w:r>
      <w:proofErr w:type="spellStart"/>
      <w:r w:rsidRPr="003B03DD">
        <w:rPr>
          <w:color w:val="000000"/>
        </w:rPr>
        <w:t>Mukhalalati</w:t>
      </w:r>
      <w:proofErr w:type="spellEnd"/>
      <w:r w:rsidRPr="003B03DD">
        <w:rPr>
          <w:color w:val="000000"/>
        </w:rPr>
        <w:t xml:space="preserve"> &amp; Taylor, 2019; Tambunan, 2024). Collectively, these findings underscore the iterative Delphi process’s effectiveness in shaping expert perspectives while revealing differential institutional readiness to adopt comprehensive, outcome-based, and globally aligned nursing pedagogies. Overall, the results provide a data-driven foundation for strategic curriculum enhancement, emphasizing the need for faculty development, digital capacity building, and policy alignment to ensure BS Nursing programs remain relevant and responsive to 21st-century healthcare demands (AACN, 2021; CHED, 2017).</w:t>
      </w:r>
    </w:p>
    <w:p w14:paraId="286B5682" w14:textId="790CFB79" w:rsidR="00046E10" w:rsidRPr="00046E10" w:rsidRDefault="00046E10" w:rsidP="00046E10">
      <w:pPr>
        <w:pStyle w:val="NormalWeb"/>
        <w:rPr>
          <w:b/>
          <w:bCs/>
          <w:color w:val="000000"/>
        </w:rPr>
      </w:pPr>
      <w:r w:rsidRPr="00046E10">
        <w:rPr>
          <w:b/>
          <w:bCs/>
          <w:color w:val="000000"/>
        </w:rPr>
        <w:t>Table 8.  Mean, Median Interquartile Range, and Coefficient of Variation Results</w:t>
      </w:r>
    </w:p>
    <w:p w14:paraId="29594C98" w14:textId="4A7779DC" w:rsidR="00046E10" w:rsidRPr="00A24517" w:rsidRDefault="00046E10" w:rsidP="00A24517">
      <w:pPr>
        <w:pStyle w:val="NormalWeb"/>
        <w:jc w:val="both"/>
        <w:rPr>
          <w:color w:val="000000"/>
        </w:rPr>
      </w:pPr>
      <w:r w:rsidRPr="00A24517">
        <w:rPr>
          <w:color w:val="000000"/>
        </w:rPr>
        <w:t>This table presents the mean, median, interquartile range (IQR), and coefficient of variation (CV) for each curriculum enhancement area as evaluated by expert panelists over three rounds of the Modified Delphi process.</w:t>
      </w:r>
    </w:p>
    <w:tbl>
      <w:tblPr>
        <w:tblStyle w:val="PlainTable2"/>
        <w:tblW w:w="0" w:type="auto"/>
        <w:tblLook w:val="04A0" w:firstRow="1" w:lastRow="0" w:firstColumn="1" w:lastColumn="0" w:noHBand="0" w:noVBand="1"/>
      </w:tblPr>
      <w:tblGrid>
        <w:gridCol w:w="1680"/>
        <w:gridCol w:w="615"/>
        <w:gridCol w:w="740"/>
        <w:gridCol w:w="530"/>
        <w:gridCol w:w="632"/>
        <w:gridCol w:w="616"/>
        <w:gridCol w:w="740"/>
        <w:gridCol w:w="530"/>
        <w:gridCol w:w="632"/>
        <w:gridCol w:w="637"/>
        <w:gridCol w:w="761"/>
        <w:gridCol w:w="593"/>
        <w:gridCol w:w="654"/>
      </w:tblGrid>
      <w:tr w:rsidR="00046E10" w:rsidRPr="00046E10" w14:paraId="12F30B3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7BA8E" w14:textId="77777777" w:rsidR="00046E10" w:rsidRPr="00046E10" w:rsidRDefault="00046E10">
            <w:pPr>
              <w:jc w:val="center"/>
              <w:rPr>
                <w:color w:val="000000"/>
                <w:sz w:val="16"/>
                <w:szCs w:val="16"/>
              </w:rPr>
            </w:pPr>
            <w:r w:rsidRPr="00046E10">
              <w:rPr>
                <w:b w:val="0"/>
                <w:bCs w:val="0"/>
                <w:color w:val="000000"/>
                <w:sz w:val="16"/>
                <w:szCs w:val="16"/>
              </w:rPr>
              <w:t>Curriculum Enhancement Area</w:t>
            </w:r>
          </w:p>
        </w:tc>
        <w:tc>
          <w:tcPr>
            <w:tcW w:w="0" w:type="auto"/>
            <w:hideMark/>
          </w:tcPr>
          <w:p w14:paraId="67FC9800"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R1</w:t>
            </w:r>
          </w:p>
        </w:tc>
        <w:tc>
          <w:tcPr>
            <w:tcW w:w="0" w:type="auto"/>
            <w:hideMark/>
          </w:tcPr>
          <w:p w14:paraId="60601D9A"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R1</w:t>
            </w:r>
          </w:p>
        </w:tc>
        <w:tc>
          <w:tcPr>
            <w:tcW w:w="0" w:type="auto"/>
            <w:hideMark/>
          </w:tcPr>
          <w:p w14:paraId="625C8279"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R1</w:t>
            </w:r>
          </w:p>
        </w:tc>
        <w:tc>
          <w:tcPr>
            <w:tcW w:w="0" w:type="auto"/>
            <w:hideMark/>
          </w:tcPr>
          <w:p w14:paraId="12063A85"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R1 (%)</w:t>
            </w:r>
          </w:p>
        </w:tc>
        <w:tc>
          <w:tcPr>
            <w:tcW w:w="0" w:type="auto"/>
            <w:hideMark/>
          </w:tcPr>
          <w:p w14:paraId="13FFBCA3"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R2</w:t>
            </w:r>
          </w:p>
        </w:tc>
        <w:tc>
          <w:tcPr>
            <w:tcW w:w="0" w:type="auto"/>
            <w:hideMark/>
          </w:tcPr>
          <w:p w14:paraId="54F4752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R2</w:t>
            </w:r>
          </w:p>
        </w:tc>
        <w:tc>
          <w:tcPr>
            <w:tcW w:w="0" w:type="auto"/>
            <w:hideMark/>
          </w:tcPr>
          <w:p w14:paraId="413F655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R2</w:t>
            </w:r>
          </w:p>
        </w:tc>
        <w:tc>
          <w:tcPr>
            <w:tcW w:w="0" w:type="auto"/>
            <w:hideMark/>
          </w:tcPr>
          <w:p w14:paraId="38204E7E"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R2 (%)</w:t>
            </w:r>
          </w:p>
        </w:tc>
        <w:tc>
          <w:tcPr>
            <w:tcW w:w="0" w:type="auto"/>
            <w:hideMark/>
          </w:tcPr>
          <w:p w14:paraId="4A7009F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Final</w:t>
            </w:r>
          </w:p>
        </w:tc>
        <w:tc>
          <w:tcPr>
            <w:tcW w:w="0" w:type="auto"/>
            <w:hideMark/>
          </w:tcPr>
          <w:p w14:paraId="473B52E6"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Final</w:t>
            </w:r>
          </w:p>
        </w:tc>
        <w:tc>
          <w:tcPr>
            <w:tcW w:w="0" w:type="auto"/>
            <w:hideMark/>
          </w:tcPr>
          <w:p w14:paraId="49E8194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Final</w:t>
            </w:r>
          </w:p>
        </w:tc>
        <w:tc>
          <w:tcPr>
            <w:tcW w:w="0" w:type="auto"/>
            <w:hideMark/>
          </w:tcPr>
          <w:p w14:paraId="681F46FB"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Final (%)</w:t>
            </w:r>
          </w:p>
        </w:tc>
      </w:tr>
      <w:tr w:rsidR="00046E10" w:rsidRPr="00046E10" w14:paraId="3E53CE36"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02E6E6" w14:textId="77777777" w:rsidR="00046E10" w:rsidRPr="00046E10" w:rsidRDefault="00046E10">
            <w:pPr>
              <w:rPr>
                <w:b w:val="0"/>
                <w:bCs w:val="0"/>
                <w:color w:val="000000"/>
                <w:sz w:val="16"/>
                <w:szCs w:val="16"/>
              </w:rPr>
            </w:pPr>
            <w:r w:rsidRPr="00046E10">
              <w:rPr>
                <w:color w:val="000000"/>
                <w:sz w:val="16"/>
                <w:szCs w:val="16"/>
              </w:rPr>
              <w:t>OBE Integration</w:t>
            </w:r>
          </w:p>
        </w:tc>
        <w:tc>
          <w:tcPr>
            <w:tcW w:w="0" w:type="auto"/>
            <w:hideMark/>
          </w:tcPr>
          <w:p w14:paraId="3760C0D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15D22C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3AF3C0C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37ADD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5715149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5EC44FA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2C31AA1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857131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27.84</w:t>
            </w:r>
          </w:p>
        </w:tc>
        <w:tc>
          <w:tcPr>
            <w:tcW w:w="0" w:type="auto"/>
            <w:hideMark/>
          </w:tcPr>
          <w:p w14:paraId="0F833D6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8D87F0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48DEFC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3433B28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32.14</w:t>
            </w:r>
          </w:p>
        </w:tc>
      </w:tr>
      <w:tr w:rsidR="00046E10" w:rsidRPr="00046E10" w14:paraId="57D9E068"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301AD52B" w14:textId="77777777" w:rsidR="00046E10" w:rsidRPr="00046E10" w:rsidRDefault="00046E10">
            <w:pPr>
              <w:rPr>
                <w:color w:val="000000"/>
                <w:sz w:val="16"/>
                <w:szCs w:val="16"/>
              </w:rPr>
            </w:pPr>
            <w:r w:rsidRPr="00046E10">
              <w:rPr>
                <w:color w:val="000000"/>
                <w:sz w:val="16"/>
                <w:szCs w:val="16"/>
              </w:rPr>
              <w:t>Faculty Training</w:t>
            </w:r>
          </w:p>
        </w:tc>
        <w:tc>
          <w:tcPr>
            <w:tcW w:w="0" w:type="auto"/>
            <w:hideMark/>
          </w:tcPr>
          <w:p w14:paraId="1070AD8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4DBD3AB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F82DD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0A8B2CB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19.25</w:t>
            </w:r>
          </w:p>
        </w:tc>
        <w:tc>
          <w:tcPr>
            <w:tcW w:w="0" w:type="auto"/>
            <w:hideMark/>
          </w:tcPr>
          <w:p w14:paraId="18405C3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781DEE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2F6441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42321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21.54</w:t>
            </w:r>
          </w:p>
        </w:tc>
        <w:tc>
          <w:tcPr>
            <w:tcW w:w="0" w:type="auto"/>
            <w:hideMark/>
          </w:tcPr>
          <w:p w14:paraId="6A883BA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076632D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6B9378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A93EC3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18.59</w:t>
            </w:r>
          </w:p>
        </w:tc>
      </w:tr>
      <w:tr w:rsidR="00046E10" w:rsidRPr="00046E10" w14:paraId="0696AAF0"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2DB3C" w14:textId="77777777" w:rsidR="00046E10" w:rsidRPr="00046E10" w:rsidRDefault="00046E10">
            <w:pPr>
              <w:rPr>
                <w:color w:val="000000"/>
                <w:sz w:val="16"/>
                <w:szCs w:val="16"/>
              </w:rPr>
            </w:pPr>
            <w:r w:rsidRPr="00046E10">
              <w:rPr>
                <w:color w:val="000000"/>
                <w:sz w:val="16"/>
                <w:szCs w:val="16"/>
              </w:rPr>
              <w:t>RLE Alignment</w:t>
            </w:r>
          </w:p>
        </w:tc>
        <w:tc>
          <w:tcPr>
            <w:tcW w:w="0" w:type="auto"/>
            <w:hideMark/>
          </w:tcPr>
          <w:p w14:paraId="2321646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4.250</w:t>
            </w:r>
          </w:p>
        </w:tc>
        <w:tc>
          <w:tcPr>
            <w:tcW w:w="0" w:type="auto"/>
            <w:hideMark/>
          </w:tcPr>
          <w:p w14:paraId="531510C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A3111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76B2E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16.98</w:t>
            </w:r>
          </w:p>
        </w:tc>
        <w:tc>
          <w:tcPr>
            <w:tcW w:w="0" w:type="auto"/>
            <w:hideMark/>
          </w:tcPr>
          <w:p w14:paraId="65EB71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1475D6C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7BDD96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194A0BFA"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17.68</w:t>
            </w:r>
          </w:p>
        </w:tc>
        <w:tc>
          <w:tcPr>
            <w:tcW w:w="0" w:type="auto"/>
            <w:hideMark/>
          </w:tcPr>
          <w:p w14:paraId="48BA3B3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2B7E1B6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1FECF16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5FF64A8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32.33</w:t>
            </w:r>
          </w:p>
        </w:tc>
      </w:tr>
      <w:tr w:rsidR="00046E10" w:rsidRPr="00046E10" w14:paraId="5DDCCCD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287700" w14:textId="77777777" w:rsidR="00046E10" w:rsidRPr="00046E10" w:rsidRDefault="00046E10">
            <w:pPr>
              <w:rPr>
                <w:color w:val="000000"/>
                <w:sz w:val="16"/>
                <w:szCs w:val="16"/>
              </w:rPr>
            </w:pPr>
            <w:r w:rsidRPr="00046E10">
              <w:rPr>
                <w:color w:val="000000"/>
                <w:sz w:val="16"/>
                <w:szCs w:val="16"/>
              </w:rPr>
              <w:t>Assessment Policy</w:t>
            </w:r>
          </w:p>
        </w:tc>
        <w:tc>
          <w:tcPr>
            <w:tcW w:w="0" w:type="auto"/>
            <w:hideMark/>
          </w:tcPr>
          <w:p w14:paraId="746A359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299675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C1D66F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5F04644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20.41</w:t>
            </w:r>
          </w:p>
        </w:tc>
        <w:tc>
          <w:tcPr>
            <w:tcW w:w="0" w:type="auto"/>
            <w:hideMark/>
          </w:tcPr>
          <w:p w14:paraId="4687E15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65DDAA5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3DD9C1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67BAAE5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25.72</w:t>
            </w:r>
          </w:p>
        </w:tc>
        <w:tc>
          <w:tcPr>
            <w:tcW w:w="0" w:type="auto"/>
            <w:hideMark/>
          </w:tcPr>
          <w:p w14:paraId="7FBF4D7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690AE25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199C180"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62A137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32.89</w:t>
            </w:r>
          </w:p>
        </w:tc>
      </w:tr>
      <w:tr w:rsidR="00046E10" w:rsidRPr="00046E10" w14:paraId="5772752C"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B9C9C" w14:textId="77777777" w:rsidR="00046E10" w:rsidRPr="00046E10" w:rsidRDefault="00046E10">
            <w:pPr>
              <w:rPr>
                <w:color w:val="000000"/>
                <w:sz w:val="16"/>
                <w:szCs w:val="16"/>
              </w:rPr>
            </w:pPr>
            <w:r w:rsidRPr="00046E10">
              <w:rPr>
                <w:color w:val="000000"/>
                <w:sz w:val="16"/>
                <w:szCs w:val="16"/>
              </w:rPr>
              <w:t>LMS Use</w:t>
            </w:r>
          </w:p>
        </w:tc>
        <w:tc>
          <w:tcPr>
            <w:tcW w:w="0" w:type="auto"/>
            <w:hideMark/>
          </w:tcPr>
          <w:p w14:paraId="24A40F9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44F63A7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352DCCA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9122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20.33</w:t>
            </w:r>
          </w:p>
        </w:tc>
        <w:tc>
          <w:tcPr>
            <w:tcW w:w="0" w:type="auto"/>
            <w:hideMark/>
          </w:tcPr>
          <w:p w14:paraId="095B8B1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3.583</w:t>
            </w:r>
          </w:p>
        </w:tc>
        <w:tc>
          <w:tcPr>
            <w:tcW w:w="0" w:type="auto"/>
            <w:hideMark/>
          </w:tcPr>
          <w:p w14:paraId="17F2A06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51FF9296"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54A76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31.11</w:t>
            </w:r>
          </w:p>
        </w:tc>
        <w:tc>
          <w:tcPr>
            <w:tcW w:w="0" w:type="auto"/>
            <w:hideMark/>
          </w:tcPr>
          <w:p w14:paraId="3613DAF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2C344F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083983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2173182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34.02</w:t>
            </w:r>
          </w:p>
        </w:tc>
      </w:tr>
      <w:tr w:rsidR="00046E10" w:rsidRPr="00046E10" w14:paraId="61F23E8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05ED21" w14:textId="77777777" w:rsidR="00046E10" w:rsidRPr="00046E10" w:rsidRDefault="00046E10">
            <w:pPr>
              <w:rPr>
                <w:color w:val="000000"/>
                <w:sz w:val="16"/>
                <w:szCs w:val="16"/>
              </w:rPr>
            </w:pPr>
            <w:r w:rsidRPr="00046E10">
              <w:rPr>
                <w:color w:val="000000"/>
                <w:sz w:val="16"/>
                <w:szCs w:val="16"/>
              </w:rPr>
              <w:lastRenderedPageBreak/>
              <w:t>Community Engagement</w:t>
            </w:r>
          </w:p>
        </w:tc>
        <w:tc>
          <w:tcPr>
            <w:tcW w:w="0" w:type="auto"/>
            <w:hideMark/>
          </w:tcPr>
          <w:p w14:paraId="4766E42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514B8BD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5A41024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B0281E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23.36</w:t>
            </w:r>
          </w:p>
        </w:tc>
        <w:tc>
          <w:tcPr>
            <w:tcW w:w="0" w:type="auto"/>
            <w:hideMark/>
          </w:tcPr>
          <w:p w14:paraId="7A3ED97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5829231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3D34DFA2"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30742A5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30.62</w:t>
            </w:r>
          </w:p>
        </w:tc>
        <w:tc>
          <w:tcPr>
            <w:tcW w:w="0" w:type="auto"/>
            <w:hideMark/>
          </w:tcPr>
          <w:p w14:paraId="7389E37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0BE8101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60BF181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1E0C890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33.85</w:t>
            </w:r>
          </w:p>
        </w:tc>
      </w:tr>
      <w:tr w:rsidR="00046E10" w:rsidRPr="00046E10" w14:paraId="46DEBCB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62248" w14:textId="77777777" w:rsidR="00046E10" w:rsidRPr="00046E10" w:rsidRDefault="00046E10">
            <w:pPr>
              <w:rPr>
                <w:color w:val="000000"/>
                <w:sz w:val="16"/>
                <w:szCs w:val="16"/>
              </w:rPr>
            </w:pPr>
            <w:r w:rsidRPr="00046E10">
              <w:rPr>
                <w:color w:val="000000"/>
                <w:sz w:val="16"/>
                <w:szCs w:val="16"/>
              </w:rPr>
              <w:t>Gender Mainstreaming</w:t>
            </w:r>
          </w:p>
        </w:tc>
        <w:tc>
          <w:tcPr>
            <w:tcW w:w="0" w:type="auto"/>
            <w:hideMark/>
          </w:tcPr>
          <w:p w14:paraId="746DD81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350772C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9C9F0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318E2F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7CC894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35E91F6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4B6737F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1DBE93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21.76</w:t>
            </w:r>
          </w:p>
        </w:tc>
        <w:tc>
          <w:tcPr>
            <w:tcW w:w="0" w:type="auto"/>
            <w:hideMark/>
          </w:tcPr>
          <w:p w14:paraId="7C8F741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266599A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22C3985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0.25</w:t>
            </w:r>
          </w:p>
        </w:tc>
        <w:tc>
          <w:tcPr>
            <w:tcW w:w="0" w:type="auto"/>
            <w:hideMark/>
          </w:tcPr>
          <w:p w14:paraId="44B74BA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30.29</w:t>
            </w:r>
          </w:p>
        </w:tc>
      </w:tr>
      <w:tr w:rsidR="00046E10" w:rsidRPr="00046E10" w14:paraId="416F1127"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69FA4092" w14:textId="77777777" w:rsidR="00046E10" w:rsidRPr="00046E10" w:rsidRDefault="00046E10">
            <w:pPr>
              <w:rPr>
                <w:color w:val="000000"/>
                <w:sz w:val="16"/>
                <w:szCs w:val="16"/>
              </w:rPr>
            </w:pPr>
            <w:r w:rsidRPr="00046E10">
              <w:rPr>
                <w:color w:val="000000"/>
                <w:sz w:val="16"/>
                <w:szCs w:val="16"/>
              </w:rPr>
              <w:t>Internationalization</w:t>
            </w:r>
          </w:p>
        </w:tc>
        <w:tc>
          <w:tcPr>
            <w:tcW w:w="0" w:type="auto"/>
            <w:hideMark/>
          </w:tcPr>
          <w:p w14:paraId="408C128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3.917</w:t>
            </w:r>
          </w:p>
        </w:tc>
        <w:tc>
          <w:tcPr>
            <w:tcW w:w="0" w:type="auto"/>
            <w:hideMark/>
          </w:tcPr>
          <w:p w14:paraId="58B0B2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DBE59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5A8EEA1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19.38</w:t>
            </w:r>
          </w:p>
        </w:tc>
        <w:tc>
          <w:tcPr>
            <w:tcW w:w="0" w:type="auto"/>
            <w:hideMark/>
          </w:tcPr>
          <w:p w14:paraId="37B67FF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3.500</w:t>
            </w:r>
          </w:p>
        </w:tc>
        <w:tc>
          <w:tcPr>
            <w:tcW w:w="0" w:type="auto"/>
            <w:hideMark/>
          </w:tcPr>
          <w:p w14:paraId="6F5909B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w:t>
            </w:r>
          </w:p>
        </w:tc>
        <w:tc>
          <w:tcPr>
            <w:tcW w:w="0" w:type="auto"/>
            <w:hideMark/>
          </w:tcPr>
          <w:p w14:paraId="45D7890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8B0A4A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24.74</w:t>
            </w:r>
          </w:p>
        </w:tc>
        <w:tc>
          <w:tcPr>
            <w:tcW w:w="0" w:type="auto"/>
            <w:hideMark/>
          </w:tcPr>
          <w:p w14:paraId="2BA8EBE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0A6F3CA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876F2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638F07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32.14</w:t>
            </w:r>
          </w:p>
        </w:tc>
      </w:tr>
    </w:tbl>
    <w:p w14:paraId="10574C2B" w14:textId="7F6CF178" w:rsidR="009D3FF1" w:rsidRDefault="003B03DD" w:rsidP="003B03DD">
      <w:pPr>
        <w:pStyle w:val="NormalWeb"/>
        <w:jc w:val="both"/>
        <w:rPr>
          <w:color w:val="000000"/>
        </w:rPr>
      </w:pPr>
      <w:r w:rsidRPr="003B03DD">
        <w:rPr>
          <w:color w:val="000000"/>
        </w:rPr>
        <w:t>The three-round Modified Delphi process revealed varied patterns of agreement among 12 experts across eight key curriculum enhancement areas, highlighting both consensus and divergence in priorities. Outcomes-Based Education (OBE) Integration showed declining mean scores (4.167 to 3.667) and increasing variability (CV: 16.49% to 32.14%), suggesting a need for clearer implementation strategies and deeper faculty and institutional engagement (</w:t>
      </w:r>
      <w:proofErr w:type="spellStart"/>
      <w:r w:rsidRPr="003B03DD">
        <w:rPr>
          <w:color w:val="000000"/>
        </w:rPr>
        <w:t>Ridgers</w:t>
      </w:r>
      <w:proofErr w:type="spellEnd"/>
      <w:r w:rsidRPr="003B03DD">
        <w:rPr>
          <w:color w:val="000000"/>
        </w:rPr>
        <w:t xml:space="preserve"> et al., 2023). In contrast, Faculty Training improved in mean scores (3.750 to 4.083) with reduced variability (CV: 18.59%), indicating growing agreement on the importance of professional development, while RLE and Theoretical Alignment maintained high medians despite operational challenges reflected in increased CVs (Alcaide-Pulido et al., 2025). Areas such as Assessment Policy and LMS Use exhibited fluctuating means and high variability (CVs &gt;32%), underscoring inconsistencies in policy application and digital readiness (</w:t>
      </w:r>
      <w:proofErr w:type="spellStart"/>
      <w:r w:rsidRPr="003B03DD">
        <w:rPr>
          <w:color w:val="000000"/>
        </w:rPr>
        <w:t>Buckely</w:t>
      </w:r>
      <w:proofErr w:type="spellEnd"/>
      <w:r w:rsidRPr="003B03DD">
        <w:rPr>
          <w:color w:val="000000"/>
        </w:rPr>
        <w:t xml:space="preserve"> et al., 2022; </w:t>
      </w:r>
      <w:proofErr w:type="spellStart"/>
      <w:r w:rsidRPr="003B03DD">
        <w:rPr>
          <w:color w:val="000000"/>
        </w:rPr>
        <w:t>Odekeye</w:t>
      </w:r>
      <w:proofErr w:type="spellEnd"/>
      <w:r w:rsidRPr="003B03DD">
        <w:rPr>
          <w:color w:val="000000"/>
        </w:rPr>
        <w:t xml:space="preserve"> et al., 2023), whereas Community Engagement and Gender Mainstreaming achieved high medians, supporting the prioritization of inclusivity and socially accountable education (WHO, 2021). Internationalization demonstrated the greatest score variability, reflecting tensions between global standards and local applicability, and overall trends indicate the need for focused institutional strategies to align theory and practice, strengthen faculty development, standardize assessment and LMS integration, and embed gender-responsive and globally oriented curricula, all guided by evidence-based, expert-informed approaches.</w:t>
      </w:r>
    </w:p>
    <w:p w14:paraId="07662C3B" w14:textId="77777777" w:rsidR="00F74B35" w:rsidRPr="009D3FF1" w:rsidRDefault="00F74B35" w:rsidP="00F74B35">
      <w:pPr>
        <w:spacing w:before="100" w:beforeAutospacing="1" w:after="100" w:afterAutospacing="1"/>
        <w:outlineLvl w:val="2"/>
        <w:rPr>
          <w:b/>
          <w:bCs/>
          <w:color w:val="000000"/>
        </w:rPr>
      </w:pPr>
      <w:r w:rsidRPr="009D3FF1">
        <w:rPr>
          <w:b/>
          <w:bCs/>
          <w:color w:val="000000"/>
        </w:rPr>
        <w:t>Table 9. Wilcoxon Signed-Rank Test Results, Stability Index, and Content Validity Ratio (CVR) for Curriculum Enhancement Areas (N = 12)</w:t>
      </w:r>
    </w:p>
    <w:tbl>
      <w:tblPr>
        <w:tblStyle w:val="PlainTable2"/>
        <w:tblW w:w="0" w:type="auto"/>
        <w:tblLook w:val="04A0" w:firstRow="1" w:lastRow="0" w:firstColumn="1" w:lastColumn="0" w:noHBand="0" w:noVBand="1"/>
      </w:tblPr>
      <w:tblGrid>
        <w:gridCol w:w="2836"/>
        <w:gridCol w:w="1855"/>
        <w:gridCol w:w="829"/>
        <w:gridCol w:w="2074"/>
        <w:gridCol w:w="1766"/>
      </w:tblGrid>
      <w:tr w:rsidR="00F74B35" w:rsidRPr="009D3FF1" w14:paraId="4E3055DB"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BB7BBE" w14:textId="77777777" w:rsidR="00F74B35" w:rsidRPr="009D3FF1" w:rsidRDefault="00F74B35" w:rsidP="00F74B35">
            <w:pPr>
              <w:jc w:val="center"/>
              <w:rPr>
                <w:sz w:val="20"/>
                <w:szCs w:val="20"/>
              </w:rPr>
            </w:pPr>
            <w:r w:rsidRPr="009D3FF1">
              <w:rPr>
                <w:sz w:val="20"/>
                <w:szCs w:val="20"/>
              </w:rPr>
              <w:t>Curriculum Enhancement Area</w:t>
            </w:r>
          </w:p>
        </w:tc>
        <w:tc>
          <w:tcPr>
            <w:tcW w:w="0" w:type="auto"/>
            <w:hideMark/>
          </w:tcPr>
          <w:p w14:paraId="34871D96"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Wilcoxon Z (R1–R2)</w:t>
            </w:r>
          </w:p>
        </w:tc>
        <w:tc>
          <w:tcPr>
            <w:tcW w:w="0" w:type="auto"/>
            <w:hideMark/>
          </w:tcPr>
          <w:p w14:paraId="3E86DD2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i/>
                <w:iCs/>
                <w:sz w:val="20"/>
                <w:szCs w:val="20"/>
              </w:rPr>
              <w:t>p</w:t>
            </w:r>
            <w:r w:rsidRPr="009D3FF1">
              <w:rPr>
                <w:sz w:val="20"/>
                <w:szCs w:val="20"/>
              </w:rPr>
              <w:t>-value</w:t>
            </w:r>
          </w:p>
        </w:tc>
        <w:tc>
          <w:tcPr>
            <w:tcW w:w="0" w:type="auto"/>
            <w:hideMark/>
          </w:tcPr>
          <w:p w14:paraId="56E017C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Stability Index (R1–R2)</w:t>
            </w:r>
          </w:p>
        </w:tc>
        <w:tc>
          <w:tcPr>
            <w:tcW w:w="0" w:type="auto"/>
            <w:hideMark/>
          </w:tcPr>
          <w:p w14:paraId="6DFE41D4"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CVR (Final Round)</w:t>
            </w:r>
          </w:p>
        </w:tc>
      </w:tr>
      <w:tr w:rsidR="00F74B35" w:rsidRPr="009D3FF1" w14:paraId="7112463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A855B" w14:textId="77777777" w:rsidR="00F74B35" w:rsidRPr="009D3FF1" w:rsidRDefault="00F74B35" w:rsidP="00F74B35">
            <w:pPr>
              <w:rPr>
                <w:sz w:val="20"/>
                <w:szCs w:val="20"/>
              </w:rPr>
            </w:pPr>
            <w:r w:rsidRPr="009D3FF1">
              <w:rPr>
                <w:sz w:val="20"/>
                <w:szCs w:val="20"/>
              </w:rPr>
              <w:t>OBE Integration</w:t>
            </w:r>
          </w:p>
        </w:tc>
        <w:tc>
          <w:tcPr>
            <w:tcW w:w="0" w:type="auto"/>
            <w:hideMark/>
          </w:tcPr>
          <w:p w14:paraId="3EBAC2E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-1.820</w:t>
            </w:r>
          </w:p>
        </w:tc>
        <w:tc>
          <w:tcPr>
            <w:tcW w:w="0" w:type="auto"/>
            <w:hideMark/>
          </w:tcPr>
          <w:p w14:paraId="1DD3353D"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0.069</w:t>
            </w:r>
          </w:p>
        </w:tc>
        <w:tc>
          <w:tcPr>
            <w:tcW w:w="0" w:type="auto"/>
            <w:hideMark/>
          </w:tcPr>
          <w:p w14:paraId="4AAE3688"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0.38</w:t>
            </w:r>
          </w:p>
        </w:tc>
        <w:tc>
          <w:tcPr>
            <w:tcW w:w="0" w:type="auto"/>
            <w:hideMark/>
          </w:tcPr>
          <w:p w14:paraId="186EE34A"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767CBA4"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51D0FB0" w14:textId="77777777" w:rsidR="00F74B35" w:rsidRPr="009D3FF1" w:rsidRDefault="00F74B35" w:rsidP="00F74B35">
            <w:pPr>
              <w:rPr>
                <w:sz w:val="20"/>
                <w:szCs w:val="20"/>
              </w:rPr>
            </w:pPr>
            <w:r w:rsidRPr="009D3FF1">
              <w:rPr>
                <w:sz w:val="20"/>
                <w:szCs w:val="20"/>
              </w:rPr>
              <w:t>Faculty Training</w:t>
            </w:r>
          </w:p>
        </w:tc>
        <w:tc>
          <w:tcPr>
            <w:tcW w:w="0" w:type="auto"/>
            <w:hideMark/>
          </w:tcPr>
          <w:p w14:paraId="26EFAD1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-0.850</w:t>
            </w:r>
          </w:p>
        </w:tc>
        <w:tc>
          <w:tcPr>
            <w:tcW w:w="0" w:type="auto"/>
            <w:hideMark/>
          </w:tcPr>
          <w:p w14:paraId="53CF9F7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0.395</w:t>
            </w:r>
          </w:p>
        </w:tc>
        <w:tc>
          <w:tcPr>
            <w:tcW w:w="0" w:type="auto"/>
            <w:hideMark/>
          </w:tcPr>
          <w:p w14:paraId="5F24C7A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0.25</w:t>
            </w:r>
          </w:p>
        </w:tc>
        <w:tc>
          <w:tcPr>
            <w:tcW w:w="0" w:type="auto"/>
            <w:hideMark/>
          </w:tcPr>
          <w:p w14:paraId="210D544D"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49EA515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C18DD" w14:textId="77777777" w:rsidR="00F74B35" w:rsidRPr="009D3FF1" w:rsidRDefault="00F74B35" w:rsidP="00F74B35">
            <w:pPr>
              <w:rPr>
                <w:sz w:val="20"/>
                <w:szCs w:val="20"/>
              </w:rPr>
            </w:pPr>
            <w:r w:rsidRPr="009D3FF1">
              <w:rPr>
                <w:sz w:val="20"/>
                <w:szCs w:val="20"/>
              </w:rPr>
              <w:t>RLE and Theoretical Alignment</w:t>
            </w:r>
          </w:p>
        </w:tc>
        <w:tc>
          <w:tcPr>
            <w:tcW w:w="0" w:type="auto"/>
            <w:hideMark/>
          </w:tcPr>
          <w:p w14:paraId="7952984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-1.470</w:t>
            </w:r>
          </w:p>
        </w:tc>
        <w:tc>
          <w:tcPr>
            <w:tcW w:w="0" w:type="auto"/>
            <w:hideMark/>
          </w:tcPr>
          <w:p w14:paraId="70A9766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0.141</w:t>
            </w:r>
          </w:p>
        </w:tc>
        <w:tc>
          <w:tcPr>
            <w:tcW w:w="0" w:type="auto"/>
            <w:hideMark/>
          </w:tcPr>
          <w:p w14:paraId="3030ECC5"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0.29</w:t>
            </w:r>
          </w:p>
        </w:tc>
        <w:tc>
          <w:tcPr>
            <w:tcW w:w="0" w:type="auto"/>
            <w:hideMark/>
          </w:tcPr>
          <w:p w14:paraId="5FF80BD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290304E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D3FD046" w14:textId="77777777" w:rsidR="00F74B35" w:rsidRPr="009D3FF1" w:rsidRDefault="00F74B35" w:rsidP="00F74B35">
            <w:pPr>
              <w:rPr>
                <w:sz w:val="20"/>
                <w:szCs w:val="20"/>
              </w:rPr>
            </w:pPr>
            <w:r w:rsidRPr="009D3FF1">
              <w:rPr>
                <w:sz w:val="20"/>
                <w:szCs w:val="20"/>
              </w:rPr>
              <w:t>Assessment Policy Framework</w:t>
            </w:r>
          </w:p>
        </w:tc>
        <w:tc>
          <w:tcPr>
            <w:tcW w:w="0" w:type="auto"/>
            <w:hideMark/>
          </w:tcPr>
          <w:p w14:paraId="5425DA7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-0.980</w:t>
            </w:r>
          </w:p>
        </w:tc>
        <w:tc>
          <w:tcPr>
            <w:tcW w:w="0" w:type="auto"/>
            <w:hideMark/>
          </w:tcPr>
          <w:p w14:paraId="4B3A89DA"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0.327</w:t>
            </w:r>
          </w:p>
        </w:tc>
        <w:tc>
          <w:tcPr>
            <w:tcW w:w="0" w:type="auto"/>
            <w:hideMark/>
          </w:tcPr>
          <w:p w14:paraId="1FC757C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0.33</w:t>
            </w:r>
          </w:p>
        </w:tc>
        <w:tc>
          <w:tcPr>
            <w:tcW w:w="0" w:type="auto"/>
            <w:hideMark/>
          </w:tcPr>
          <w:p w14:paraId="3D7E154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0.67</w:t>
            </w:r>
          </w:p>
        </w:tc>
      </w:tr>
      <w:tr w:rsidR="00F74B35" w:rsidRPr="009D3FF1" w14:paraId="4F61311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E10AE1" w14:textId="77777777" w:rsidR="00F74B35" w:rsidRPr="009D3FF1" w:rsidRDefault="00F74B35" w:rsidP="00F74B35">
            <w:pPr>
              <w:rPr>
                <w:sz w:val="20"/>
                <w:szCs w:val="20"/>
              </w:rPr>
            </w:pPr>
            <w:r w:rsidRPr="009D3FF1">
              <w:rPr>
                <w:sz w:val="20"/>
                <w:szCs w:val="20"/>
              </w:rPr>
              <w:t>LMS Use</w:t>
            </w:r>
          </w:p>
        </w:tc>
        <w:tc>
          <w:tcPr>
            <w:tcW w:w="0" w:type="auto"/>
            <w:hideMark/>
          </w:tcPr>
          <w:p w14:paraId="1B6B539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-0.560</w:t>
            </w:r>
          </w:p>
        </w:tc>
        <w:tc>
          <w:tcPr>
            <w:tcW w:w="0" w:type="auto"/>
            <w:hideMark/>
          </w:tcPr>
          <w:p w14:paraId="7F71EF36"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0.576</w:t>
            </w:r>
          </w:p>
        </w:tc>
        <w:tc>
          <w:tcPr>
            <w:tcW w:w="0" w:type="auto"/>
            <w:hideMark/>
          </w:tcPr>
          <w:p w14:paraId="50F2EF6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0.42</w:t>
            </w:r>
          </w:p>
        </w:tc>
        <w:tc>
          <w:tcPr>
            <w:tcW w:w="0" w:type="auto"/>
            <w:hideMark/>
          </w:tcPr>
          <w:p w14:paraId="12D6A41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A5CCE0E"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5EA4FE12" w14:textId="77777777" w:rsidR="00F74B35" w:rsidRPr="009D3FF1" w:rsidRDefault="00F74B35" w:rsidP="00F74B35">
            <w:pPr>
              <w:rPr>
                <w:sz w:val="20"/>
                <w:szCs w:val="20"/>
              </w:rPr>
            </w:pPr>
            <w:r w:rsidRPr="009D3FF1">
              <w:rPr>
                <w:sz w:val="20"/>
                <w:szCs w:val="20"/>
              </w:rPr>
              <w:t>Community Engagement</w:t>
            </w:r>
          </w:p>
        </w:tc>
        <w:tc>
          <w:tcPr>
            <w:tcW w:w="0" w:type="auto"/>
            <w:hideMark/>
          </w:tcPr>
          <w:p w14:paraId="7AB3D3A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-1.100</w:t>
            </w:r>
          </w:p>
        </w:tc>
        <w:tc>
          <w:tcPr>
            <w:tcW w:w="0" w:type="auto"/>
            <w:hideMark/>
          </w:tcPr>
          <w:p w14:paraId="5FCB82B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0.271</w:t>
            </w:r>
          </w:p>
        </w:tc>
        <w:tc>
          <w:tcPr>
            <w:tcW w:w="0" w:type="auto"/>
            <w:hideMark/>
          </w:tcPr>
          <w:p w14:paraId="1D626041"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0.30</w:t>
            </w:r>
          </w:p>
        </w:tc>
        <w:tc>
          <w:tcPr>
            <w:tcW w:w="0" w:type="auto"/>
            <w:hideMark/>
          </w:tcPr>
          <w:p w14:paraId="621352D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57C0C6B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59B66A" w14:textId="77777777" w:rsidR="00F74B35" w:rsidRPr="009D3FF1" w:rsidRDefault="00F74B35" w:rsidP="00F74B35">
            <w:pPr>
              <w:rPr>
                <w:sz w:val="20"/>
                <w:szCs w:val="20"/>
              </w:rPr>
            </w:pPr>
            <w:r w:rsidRPr="009D3FF1">
              <w:rPr>
                <w:sz w:val="20"/>
                <w:szCs w:val="20"/>
              </w:rPr>
              <w:t>Gender Mainstreaming</w:t>
            </w:r>
          </w:p>
        </w:tc>
        <w:tc>
          <w:tcPr>
            <w:tcW w:w="0" w:type="auto"/>
            <w:hideMark/>
          </w:tcPr>
          <w:p w14:paraId="0DB7FDB7"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-0.720</w:t>
            </w:r>
          </w:p>
        </w:tc>
        <w:tc>
          <w:tcPr>
            <w:tcW w:w="0" w:type="auto"/>
            <w:hideMark/>
          </w:tcPr>
          <w:p w14:paraId="668D1D09"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0.471</w:t>
            </w:r>
          </w:p>
        </w:tc>
        <w:tc>
          <w:tcPr>
            <w:tcW w:w="0" w:type="auto"/>
            <w:hideMark/>
          </w:tcPr>
          <w:p w14:paraId="4E9FCE0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0.24</w:t>
            </w:r>
          </w:p>
        </w:tc>
        <w:tc>
          <w:tcPr>
            <w:tcW w:w="0" w:type="auto"/>
            <w:hideMark/>
          </w:tcPr>
          <w:p w14:paraId="63AF50EF"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1DF4A59C"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994A89C" w14:textId="77777777" w:rsidR="00F74B35" w:rsidRPr="009D3FF1" w:rsidRDefault="00F74B35" w:rsidP="00F74B35">
            <w:pPr>
              <w:rPr>
                <w:sz w:val="20"/>
                <w:szCs w:val="20"/>
              </w:rPr>
            </w:pPr>
            <w:r w:rsidRPr="009D3FF1">
              <w:rPr>
                <w:sz w:val="20"/>
                <w:szCs w:val="20"/>
              </w:rPr>
              <w:t>Internationalization</w:t>
            </w:r>
          </w:p>
        </w:tc>
        <w:tc>
          <w:tcPr>
            <w:tcW w:w="0" w:type="auto"/>
            <w:hideMark/>
          </w:tcPr>
          <w:p w14:paraId="771536B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-1.990</w:t>
            </w:r>
          </w:p>
        </w:tc>
        <w:tc>
          <w:tcPr>
            <w:tcW w:w="0" w:type="auto"/>
            <w:hideMark/>
          </w:tcPr>
          <w:p w14:paraId="03E2219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0.047*</w:t>
            </w:r>
          </w:p>
        </w:tc>
        <w:tc>
          <w:tcPr>
            <w:tcW w:w="0" w:type="auto"/>
            <w:hideMark/>
          </w:tcPr>
          <w:p w14:paraId="152E8BF9"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0.46</w:t>
            </w:r>
          </w:p>
        </w:tc>
        <w:tc>
          <w:tcPr>
            <w:tcW w:w="0" w:type="auto"/>
            <w:hideMark/>
          </w:tcPr>
          <w:p w14:paraId="35BC903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0.75</w:t>
            </w:r>
          </w:p>
        </w:tc>
      </w:tr>
    </w:tbl>
    <w:p w14:paraId="2C6E0E2E" w14:textId="77777777" w:rsidR="003B03DD" w:rsidRPr="003B03DD" w:rsidRDefault="003B03DD" w:rsidP="003B03DD">
      <w:pPr>
        <w:pStyle w:val="NormalWeb"/>
        <w:jc w:val="both"/>
        <w:rPr>
          <w:color w:val="000000"/>
        </w:rPr>
      </w:pPr>
      <w:r w:rsidRPr="003B03DD">
        <w:rPr>
          <w:color w:val="000000"/>
        </w:rPr>
        <w:t xml:space="preserve">The results from Table 9 provide key insights into the consensus and stability of expert opinions across the Delphi rounds on eight curriculum enhancement areas for nursing education. The Wilcoxon Signed-Rank Test revealed that only Internationalization showed a statistically significant shift (p = 0.047), indicating growing recognition of global frameworks and competencies in the BS Nursing curriculum (WHO, 2020; Furtado et al., 2024). Stability indices for all areas fell below 0.50, with Gender Mainstreaming (0.24), Faculty Training (0.25), and RLE-Theory Alignment (0.29) reflecting particularly high stability, demonstrating early and consistent agreement on their importance (Hancock &amp; Middleton, 2015). Content Validity Ratios (CVR) for all areas exceeded the 0.56 threshold, with RLE-Theory Alignment and Gender Mainstreaming </w:t>
      </w:r>
      <w:r w:rsidRPr="003B03DD">
        <w:rPr>
          <w:color w:val="000000"/>
        </w:rPr>
        <w:lastRenderedPageBreak/>
        <w:t>achieving perfect scores of 1.00, confirming their critical relevance (Romero et al., 2023). These findings affirm that expert-validated, evidence-based curriculum enhancements—particularly in faculty development, OBE integration, experiential learning, and inclusivity—are both necessary and implementable. Overall, the results highlight the need to prioritize immediate reforms while expanding internationalization efforts to prepare graduates for globally responsive nursing practice, establishing a replicable model for other institutions.</w:t>
      </w:r>
    </w:p>
    <w:p w14:paraId="0BA27049" w14:textId="07824A6E" w:rsidR="00F74B35" w:rsidRDefault="00F74B35" w:rsidP="00F74B35">
      <w:pPr>
        <w:pStyle w:val="NormalWeb"/>
        <w:rPr>
          <w:color w:val="000000"/>
        </w:rPr>
      </w:pPr>
      <w:r>
        <w:rPr>
          <w:rStyle w:val="Strong"/>
          <w:rFonts w:eastAsiaTheme="majorEastAsia"/>
          <w:color w:val="000000"/>
        </w:rPr>
        <w:t>Table 10. Intraclass Correlation Coefficient (ICC) and Spearman Rank Correlation for Curriculum Enhancement Areas (N = 12)</w:t>
      </w:r>
    </w:p>
    <w:tbl>
      <w:tblPr>
        <w:tblStyle w:val="PlainTable2"/>
        <w:tblW w:w="0" w:type="auto"/>
        <w:tblLook w:val="04A0" w:firstRow="1" w:lastRow="0" w:firstColumn="1" w:lastColumn="0" w:noHBand="0" w:noVBand="1"/>
      </w:tblPr>
      <w:tblGrid>
        <w:gridCol w:w="2725"/>
        <w:gridCol w:w="893"/>
        <w:gridCol w:w="2025"/>
        <w:gridCol w:w="1642"/>
        <w:gridCol w:w="2075"/>
      </w:tblGrid>
      <w:tr w:rsidR="00F74B35" w14:paraId="477509D7"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A46BB" w14:textId="77777777" w:rsidR="00F74B35" w:rsidRDefault="00F74B35">
            <w:pPr>
              <w:jc w:val="center"/>
            </w:pPr>
            <w:r>
              <w:rPr>
                <w:rStyle w:val="Strong"/>
                <w:rFonts w:eastAsiaTheme="majorEastAsia"/>
              </w:rPr>
              <w:t>Curriculum Enhancement Area</w:t>
            </w:r>
          </w:p>
        </w:tc>
        <w:tc>
          <w:tcPr>
            <w:tcW w:w="0" w:type="auto"/>
            <w:hideMark/>
          </w:tcPr>
          <w:p w14:paraId="12386634"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(2,1)</w:t>
            </w:r>
          </w:p>
        </w:tc>
        <w:tc>
          <w:tcPr>
            <w:tcW w:w="0" w:type="auto"/>
            <w:hideMark/>
          </w:tcPr>
          <w:p w14:paraId="18B58C85"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Interpretation</w:t>
            </w:r>
          </w:p>
        </w:tc>
        <w:tc>
          <w:tcPr>
            <w:tcW w:w="0" w:type="auto"/>
            <w:hideMark/>
          </w:tcPr>
          <w:p w14:paraId="07DC8391"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Spearman ρ (R1–Final)</w:t>
            </w:r>
          </w:p>
        </w:tc>
        <w:tc>
          <w:tcPr>
            <w:tcW w:w="0" w:type="auto"/>
            <w:hideMark/>
          </w:tcPr>
          <w:p w14:paraId="31AFFC76"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ρ Interpretation</w:t>
            </w:r>
          </w:p>
        </w:tc>
      </w:tr>
      <w:tr w:rsidR="00F74B35" w14:paraId="0E5D4787"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7682D" w14:textId="77777777" w:rsidR="00F74B35" w:rsidRDefault="00F74B35">
            <w:pPr>
              <w:rPr>
                <w:b w:val="0"/>
                <w:bCs w:val="0"/>
              </w:rPr>
            </w:pPr>
            <w:r>
              <w:t>OBE Integration</w:t>
            </w:r>
          </w:p>
        </w:tc>
        <w:tc>
          <w:tcPr>
            <w:tcW w:w="0" w:type="auto"/>
            <w:hideMark/>
          </w:tcPr>
          <w:p w14:paraId="673475D7" w14:textId="77777777" w:rsidR="00F74B35" w:rsidRDefault="00F74B35">
            <w:pPr>
              <w:cnfStyle w:val="000000100000" w:firstRow="0" w:lastRow="0" w:firstColumn="0" w:lastColumn="0" w:oddVBand="0" w:evenVBand="0" w:oddHBand="1" w:evenHBand="0" w:firstRowFirstColumn="0" w:firstRowLastColumn="0" w:lastRowFirstColumn="0" w:lastRowLastColumn="0"/>
            </w:pPr>
            <w:r>
              <w:t>0.732</w:t>
            </w:r>
          </w:p>
        </w:tc>
        <w:tc>
          <w:tcPr>
            <w:tcW w:w="0" w:type="auto"/>
            <w:hideMark/>
          </w:tcPr>
          <w:p w14:paraId="62999DBB" w14:textId="77777777" w:rsidR="00F74B35" w:rsidRDefault="00F74B35">
            <w:pPr>
              <w:cnfStyle w:val="000000100000" w:firstRow="0" w:lastRow="0" w:firstColumn="0" w:lastColumn="0" w:oddVBand="0" w:evenVBand="0" w:oddHBand="1" w:evenHBand="0" w:firstRowFirstColumn="0" w:firstRowLastColumn="0" w:lastRowFirstColumn="0" w:lastRowLastColumn="0"/>
            </w:pPr>
            <w:r>
              <w:t>Good reliability</w:t>
            </w:r>
          </w:p>
        </w:tc>
        <w:tc>
          <w:tcPr>
            <w:tcW w:w="0" w:type="auto"/>
            <w:hideMark/>
          </w:tcPr>
          <w:p w14:paraId="3A450CF7" w14:textId="77777777" w:rsidR="00F74B35" w:rsidRDefault="00F74B35">
            <w:pPr>
              <w:cnfStyle w:val="000000100000" w:firstRow="0" w:lastRow="0" w:firstColumn="0" w:lastColumn="0" w:oddVBand="0" w:evenVBand="0" w:oddHBand="1" w:evenHBand="0" w:firstRowFirstColumn="0" w:firstRowLastColumn="0" w:lastRowFirstColumn="0" w:lastRowLastColumn="0"/>
            </w:pPr>
            <w:r>
              <w:t>0.612</w:t>
            </w:r>
          </w:p>
        </w:tc>
        <w:tc>
          <w:tcPr>
            <w:tcW w:w="0" w:type="auto"/>
            <w:hideMark/>
          </w:tcPr>
          <w:p w14:paraId="060F2724"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042D1310"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B8DC968" w14:textId="77777777" w:rsidR="00F74B35" w:rsidRDefault="00F74B35">
            <w:r>
              <w:t>Faculty Training</w:t>
            </w:r>
          </w:p>
        </w:tc>
        <w:tc>
          <w:tcPr>
            <w:tcW w:w="0" w:type="auto"/>
            <w:hideMark/>
          </w:tcPr>
          <w:p w14:paraId="79745991" w14:textId="77777777" w:rsidR="00F74B35" w:rsidRDefault="00F74B35">
            <w:pPr>
              <w:cnfStyle w:val="000000000000" w:firstRow="0" w:lastRow="0" w:firstColumn="0" w:lastColumn="0" w:oddVBand="0" w:evenVBand="0" w:oddHBand="0" w:evenHBand="0" w:firstRowFirstColumn="0" w:firstRowLastColumn="0" w:lastRowFirstColumn="0" w:lastRowLastColumn="0"/>
            </w:pPr>
            <w:r>
              <w:t>0.801</w:t>
            </w:r>
          </w:p>
        </w:tc>
        <w:tc>
          <w:tcPr>
            <w:tcW w:w="0" w:type="auto"/>
            <w:hideMark/>
          </w:tcPr>
          <w:p w14:paraId="7F9D181E"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48B32E42" w14:textId="77777777" w:rsidR="00F74B35" w:rsidRDefault="00F74B35">
            <w:pPr>
              <w:cnfStyle w:val="000000000000" w:firstRow="0" w:lastRow="0" w:firstColumn="0" w:lastColumn="0" w:oddVBand="0" w:evenVBand="0" w:oddHBand="0" w:evenHBand="0" w:firstRowFirstColumn="0" w:firstRowLastColumn="0" w:lastRowFirstColumn="0" w:lastRowLastColumn="0"/>
            </w:pPr>
            <w:r>
              <w:t>0.685</w:t>
            </w:r>
          </w:p>
        </w:tc>
        <w:tc>
          <w:tcPr>
            <w:tcW w:w="0" w:type="auto"/>
            <w:hideMark/>
          </w:tcPr>
          <w:p w14:paraId="1D028174"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29CF6651"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411112" w14:textId="77777777" w:rsidR="00F74B35" w:rsidRDefault="00F74B35">
            <w:r>
              <w:t>RLE and Theoretical Alignment</w:t>
            </w:r>
          </w:p>
        </w:tc>
        <w:tc>
          <w:tcPr>
            <w:tcW w:w="0" w:type="auto"/>
            <w:hideMark/>
          </w:tcPr>
          <w:p w14:paraId="6B38CB95" w14:textId="77777777" w:rsidR="00F74B35" w:rsidRDefault="00F74B35">
            <w:pPr>
              <w:cnfStyle w:val="000000100000" w:firstRow="0" w:lastRow="0" w:firstColumn="0" w:lastColumn="0" w:oddVBand="0" w:evenVBand="0" w:oddHBand="1" w:evenHBand="0" w:firstRowFirstColumn="0" w:firstRowLastColumn="0" w:lastRowFirstColumn="0" w:lastRowLastColumn="0"/>
            </w:pPr>
            <w:r>
              <w:t>0.847</w:t>
            </w:r>
          </w:p>
        </w:tc>
        <w:tc>
          <w:tcPr>
            <w:tcW w:w="0" w:type="auto"/>
            <w:hideMark/>
          </w:tcPr>
          <w:p w14:paraId="7CE7107B"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47703A8A" w14:textId="77777777" w:rsidR="00F74B35" w:rsidRDefault="00F74B35">
            <w:pPr>
              <w:cnfStyle w:val="000000100000" w:firstRow="0" w:lastRow="0" w:firstColumn="0" w:lastColumn="0" w:oddVBand="0" w:evenVBand="0" w:oddHBand="1" w:evenHBand="0" w:firstRowFirstColumn="0" w:firstRowLastColumn="0" w:lastRowFirstColumn="0" w:lastRowLastColumn="0"/>
            </w:pPr>
            <w:r>
              <w:t>0.720</w:t>
            </w:r>
          </w:p>
        </w:tc>
        <w:tc>
          <w:tcPr>
            <w:tcW w:w="0" w:type="auto"/>
            <w:hideMark/>
          </w:tcPr>
          <w:p w14:paraId="3782A3B7"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30A075D6"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4950C2B" w14:textId="77777777" w:rsidR="00F74B35" w:rsidRDefault="00F74B35">
            <w:r>
              <w:t>Assessment Policy Framework</w:t>
            </w:r>
          </w:p>
        </w:tc>
        <w:tc>
          <w:tcPr>
            <w:tcW w:w="0" w:type="auto"/>
            <w:hideMark/>
          </w:tcPr>
          <w:p w14:paraId="35007FD3" w14:textId="77777777" w:rsidR="00F74B35" w:rsidRDefault="00F74B35">
            <w:pPr>
              <w:cnfStyle w:val="000000000000" w:firstRow="0" w:lastRow="0" w:firstColumn="0" w:lastColumn="0" w:oddVBand="0" w:evenVBand="0" w:oddHBand="0" w:evenHBand="0" w:firstRowFirstColumn="0" w:firstRowLastColumn="0" w:lastRowFirstColumn="0" w:lastRowLastColumn="0"/>
            </w:pPr>
            <w:r>
              <w:t>0.699</w:t>
            </w:r>
          </w:p>
        </w:tc>
        <w:tc>
          <w:tcPr>
            <w:tcW w:w="0" w:type="auto"/>
            <w:hideMark/>
          </w:tcPr>
          <w:p w14:paraId="6F348FF3"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to good reliability</w:t>
            </w:r>
          </w:p>
        </w:tc>
        <w:tc>
          <w:tcPr>
            <w:tcW w:w="0" w:type="auto"/>
            <w:hideMark/>
          </w:tcPr>
          <w:p w14:paraId="4E83565C" w14:textId="77777777" w:rsidR="00F74B35" w:rsidRDefault="00F74B35">
            <w:pPr>
              <w:cnfStyle w:val="000000000000" w:firstRow="0" w:lastRow="0" w:firstColumn="0" w:lastColumn="0" w:oddVBand="0" w:evenVBand="0" w:oddHBand="0" w:evenHBand="0" w:firstRowFirstColumn="0" w:firstRowLastColumn="0" w:lastRowFirstColumn="0" w:lastRowLastColumn="0"/>
            </w:pPr>
            <w:r>
              <w:t>0.548</w:t>
            </w:r>
          </w:p>
        </w:tc>
        <w:tc>
          <w:tcPr>
            <w:tcW w:w="0" w:type="auto"/>
            <w:hideMark/>
          </w:tcPr>
          <w:p w14:paraId="1F94F5A5"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r w:rsidR="00F74B35" w14:paraId="7FD2100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563BE" w14:textId="77777777" w:rsidR="00F74B35" w:rsidRDefault="00F74B35">
            <w:r>
              <w:t>LMS Use</w:t>
            </w:r>
          </w:p>
        </w:tc>
        <w:tc>
          <w:tcPr>
            <w:tcW w:w="0" w:type="auto"/>
            <w:hideMark/>
          </w:tcPr>
          <w:p w14:paraId="13603110" w14:textId="77777777" w:rsidR="00F74B35" w:rsidRDefault="00F74B35">
            <w:pPr>
              <w:cnfStyle w:val="000000100000" w:firstRow="0" w:lastRow="0" w:firstColumn="0" w:lastColumn="0" w:oddVBand="0" w:evenVBand="0" w:oddHBand="1" w:evenHBand="0" w:firstRowFirstColumn="0" w:firstRowLastColumn="0" w:lastRowFirstColumn="0" w:lastRowLastColumn="0"/>
            </w:pPr>
            <w:r>
              <w:t>0.641</w:t>
            </w:r>
          </w:p>
        </w:tc>
        <w:tc>
          <w:tcPr>
            <w:tcW w:w="0" w:type="auto"/>
            <w:hideMark/>
          </w:tcPr>
          <w:p w14:paraId="6C46FFC3"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reliability</w:t>
            </w:r>
          </w:p>
        </w:tc>
        <w:tc>
          <w:tcPr>
            <w:tcW w:w="0" w:type="auto"/>
            <w:hideMark/>
          </w:tcPr>
          <w:p w14:paraId="7ACECA95" w14:textId="77777777" w:rsidR="00F74B35" w:rsidRDefault="00F74B35">
            <w:pPr>
              <w:cnfStyle w:val="000000100000" w:firstRow="0" w:lastRow="0" w:firstColumn="0" w:lastColumn="0" w:oddVBand="0" w:evenVBand="0" w:oddHBand="1" w:evenHBand="0" w:firstRowFirstColumn="0" w:firstRowLastColumn="0" w:lastRowFirstColumn="0" w:lastRowLastColumn="0"/>
            </w:pPr>
            <w:r>
              <w:t>0.508</w:t>
            </w:r>
          </w:p>
        </w:tc>
        <w:tc>
          <w:tcPr>
            <w:tcW w:w="0" w:type="auto"/>
            <w:hideMark/>
          </w:tcPr>
          <w:p w14:paraId="6A3EA1CC"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5729E879"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8BF0071" w14:textId="77777777" w:rsidR="00F74B35" w:rsidRDefault="00F74B35">
            <w:r>
              <w:t>Community Engagement</w:t>
            </w:r>
          </w:p>
        </w:tc>
        <w:tc>
          <w:tcPr>
            <w:tcW w:w="0" w:type="auto"/>
            <w:hideMark/>
          </w:tcPr>
          <w:p w14:paraId="1280C599" w14:textId="77777777" w:rsidR="00F74B35" w:rsidRDefault="00F74B35">
            <w:pPr>
              <w:cnfStyle w:val="000000000000" w:firstRow="0" w:lastRow="0" w:firstColumn="0" w:lastColumn="0" w:oddVBand="0" w:evenVBand="0" w:oddHBand="0" w:evenHBand="0" w:firstRowFirstColumn="0" w:firstRowLastColumn="0" w:lastRowFirstColumn="0" w:lastRowLastColumn="0"/>
            </w:pPr>
            <w:r>
              <w:t>0.788</w:t>
            </w:r>
          </w:p>
        </w:tc>
        <w:tc>
          <w:tcPr>
            <w:tcW w:w="0" w:type="auto"/>
            <w:hideMark/>
          </w:tcPr>
          <w:p w14:paraId="71292A30"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534468B3" w14:textId="77777777" w:rsidR="00F74B35" w:rsidRDefault="00F74B35">
            <w:pPr>
              <w:cnfStyle w:val="000000000000" w:firstRow="0" w:lastRow="0" w:firstColumn="0" w:lastColumn="0" w:oddVBand="0" w:evenVBand="0" w:oddHBand="0" w:evenHBand="0" w:firstRowFirstColumn="0" w:firstRowLastColumn="0" w:lastRowFirstColumn="0" w:lastRowLastColumn="0"/>
            </w:pPr>
            <w:r>
              <w:t>0.678</w:t>
            </w:r>
          </w:p>
        </w:tc>
        <w:tc>
          <w:tcPr>
            <w:tcW w:w="0" w:type="auto"/>
            <w:hideMark/>
          </w:tcPr>
          <w:p w14:paraId="02717F36"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79F1137C"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84A17" w14:textId="77777777" w:rsidR="00F74B35" w:rsidRDefault="00F74B35">
            <w:r>
              <w:t>Gender Mainstreaming</w:t>
            </w:r>
          </w:p>
        </w:tc>
        <w:tc>
          <w:tcPr>
            <w:tcW w:w="0" w:type="auto"/>
            <w:hideMark/>
          </w:tcPr>
          <w:p w14:paraId="07CF46ED" w14:textId="77777777" w:rsidR="00F74B35" w:rsidRDefault="00F74B35">
            <w:pPr>
              <w:cnfStyle w:val="000000100000" w:firstRow="0" w:lastRow="0" w:firstColumn="0" w:lastColumn="0" w:oddVBand="0" w:evenVBand="0" w:oddHBand="1" w:evenHBand="0" w:firstRowFirstColumn="0" w:firstRowLastColumn="0" w:lastRowFirstColumn="0" w:lastRowLastColumn="0"/>
            </w:pPr>
            <w:r>
              <w:t>0.866</w:t>
            </w:r>
          </w:p>
        </w:tc>
        <w:tc>
          <w:tcPr>
            <w:tcW w:w="0" w:type="auto"/>
            <w:hideMark/>
          </w:tcPr>
          <w:p w14:paraId="35E09B3C"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04B01BED" w14:textId="77777777" w:rsidR="00F74B35" w:rsidRDefault="00F74B35">
            <w:pPr>
              <w:cnfStyle w:val="000000100000" w:firstRow="0" w:lastRow="0" w:firstColumn="0" w:lastColumn="0" w:oddVBand="0" w:evenVBand="0" w:oddHBand="1" w:evenHBand="0" w:firstRowFirstColumn="0" w:firstRowLastColumn="0" w:lastRowFirstColumn="0" w:lastRowLastColumn="0"/>
            </w:pPr>
            <w:r>
              <w:t>0.745</w:t>
            </w:r>
          </w:p>
        </w:tc>
        <w:tc>
          <w:tcPr>
            <w:tcW w:w="0" w:type="auto"/>
            <w:hideMark/>
          </w:tcPr>
          <w:p w14:paraId="732BFF61"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17D41338"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08587CA" w14:textId="77777777" w:rsidR="00F74B35" w:rsidRDefault="00F74B35">
            <w:r>
              <w:t>Internationalization</w:t>
            </w:r>
          </w:p>
        </w:tc>
        <w:tc>
          <w:tcPr>
            <w:tcW w:w="0" w:type="auto"/>
            <w:hideMark/>
          </w:tcPr>
          <w:p w14:paraId="0DB72115" w14:textId="77777777" w:rsidR="00F74B35" w:rsidRDefault="00F74B35">
            <w:pPr>
              <w:cnfStyle w:val="000000000000" w:firstRow="0" w:lastRow="0" w:firstColumn="0" w:lastColumn="0" w:oddVBand="0" w:evenVBand="0" w:oddHBand="0" w:evenHBand="0" w:firstRowFirstColumn="0" w:firstRowLastColumn="0" w:lastRowFirstColumn="0" w:lastRowLastColumn="0"/>
            </w:pPr>
            <w:r>
              <w:t>0.615</w:t>
            </w:r>
          </w:p>
        </w:tc>
        <w:tc>
          <w:tcPr>
            <w:tcW w:w="0" w:type="auto"/>
            <w:hideMark/>
          </w:tcPr>
          <w:p w14:paraId="457CEE28"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reliability</w:t>
            </w:r>
          </w:p>
        </w:tc>
        <w:tc>
          <w:tcPr>
            <w:tcW w:w="0" w:type="auto"/>
            <w:hideMark/>
          </w:tcPr>
          <w:p w14:paraId="64C951F7" w14:textId="77777777" w:rsidR="00F74B35" w:rsidRDefault="00F74B35">
            <w:pPr>
              <w:cnfStyle w:val="000000000000" w:firstRow="0" w:lastRow="0" w:firstColumn="0" w:lastColumn="0" w:oddVBand="0" w:evenVBand="0" w:oddHBand="0" w:evenHBand="0" w:firstRowFirstColumn="0" w:firstRowLastColumn="0" w:lastRowFirstColumn="0" w:lastRowLastColumn="0"/>
            </w:pPr>
            <w:r>
              <w:t>0.492</w:t>
            </w:r>
          </w:p>
        </w:tc>
        <w:tc>
          <w:tcPr>
            <w:tcW w:w="0" w:type="auto"/>
            <w:hideMark/>
          </w:tcPr>
          <w:p w14:paraId="1A5A5DFB"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bl>
    <w:p w14:paraId="173668D2" w14:textId="0A3E1D32" w:rsidR="00F74B35" w:rsidRDefault="00F74B35" w:rsidP="00F74B35">
      <w:pPr>
        <w:pStyle w:val="NormalWeb"/>
        <w:rPr>
          <w:i/>
          <w:iCs/>
          <w:sz w:val="20"/>
          <w:szCs w:val="20"/>
        </w:rPr>
      </w:pPr>
      <w:r w:rsidRPr="00F74B35">
        <w:rPr>
          <w:sz w:val="20"/>
          <w:szCs w:val="20"/>
        </w:rPr>
        <w:t xml:space="preserve"> </w:t>
      </w:r>
      <w:r w:rsidRPr="00F74B35">
        <w:rPr>
          <w:rStyle w:val="Strong"/>
          <w:rFonts w:eastAsiaTheme="majorEastAsia"/>
          <w:sz w:val="20"/>
          <w:szCs w:val="20"/>
        </w:rPr>
        <w:t>Interpretation Guide (Koo &amp; Li, 2016)</w:t>
      </w:r>
      <w:r w:rsidRPr="00F74B35">
        <w:rPr>
          <w:sz w:val="20"/>
          <w:szCs w:val="20"/>
        </w:rPr>
        <w:t xml:space="preserve">:  </w:t>
      </w:r>
      <w:r w:rsidRPr="00F74B35">
        <w:rPr>
          <w:rStyle w:val="Strong"/>
          <w:rFonts w:eastAsiaTheme="majorEastAsia"/>
          <w:b w:val="0"/>
          <w:bCs w:val="0"/>
          <w:i/>
          <w:iCs/>
          <w:sz w:val="20"/>
          <w:szCs w:val="20"/>
        </w:rPr>
        <w:t>ICC (2,1)</w:t>
      </w:r>
      <w:r w:rsidRPr="00F74B35">
        <w:rPr>
          <w:b/>
          <w:bCs/>
          <w:i/>
          <w:iCs/>
          <w:sz w:val="20"/>
          <w:szCs w:val="20"/>
        </w:rPr>
        <w:t xml:space="preserve">, </w:t>
      </w:r>
      <w:r w:rsidRPr="00F74B35">
        <w:rPr>
          <w:i/>
          <w:iCs/>
          <w:sz w:val="20"/>
          <w:szCs w:val="20"/>
        </w:rPr>
        <w:t>Two-way random-effects model, single measure, absolute agreement – appropriate for measuring consistency among expert raters (&lt; 0.5 = Poor; 0.5 – 0.75 = Moderate; 0.75 – 0.9 = Good; 0.9 = Excellent)</w:t>
      </w:r>
    </w:p>
    <w:p w14:paraId="1292B6A7" w14:textId="32435525" w:rsidR="00B25E19" w:rsidRPr="00B25E19" w:rsidRDefault="005E701E" w:rsidP="00B25E19">
      <w:pPr>
        <w:spacing w:before="100" w:beforeAutospacing="1" w:after="100" w:afterAutospacing="1"/>
        <w:outlineLvl w:val="2"/>
        <w:rPr>
          <w:b/>
          <w:bCs/>
          <w:color w:val="000000"/>
          <w:sz w:val="20"/>
          <w:szCs w:val="20"/>
        </w:rPr>
      </w:pPr>
      <w:r>
        <w:rPr>
          <w:b/>
          <w:bCs/>
          <w:color w:val="000000"/>
          <w:sz w:val="20"/>
          <w:szCs w:val="20"/>
        </w:rPr>
        <w:t xml:space="preserve">Chart 1: </w:t>
      </w:r>
      <w:r w:rsidR="00B25E19" w:rsidRPr="00B25E19">
        <w:rPr>
          <w:b/>
          <w:bCs/>
          <w:color w:val="000000"/>
          <w:sz w:val="20"/>
          <w:szCs w:val="20"/>
        </w:rPr>
        <w:t>Spearman’s ρ Interpretation Guide</w:t>
      </w:r>
      <w:r w:rsidR="00B25E19">
        <w:rPr>
          <w:b/>
          <w:bCs/>
          <w:color w:val="000000"/>
          <w:sz w:val="20"/>
          <w:szCs w:val="20"/>
        </w:rPr>
        <w:t xml:space="preserve">: </w:t>
      </w:r>
    </w:p>
    <w:tbl>
      <w:tblPr>
        <w:tblStyle w:val="PlainTable2"/>
        <w:tblW w:w="0" w:type="auto"/>
        <w:tblLook w:val="04A0" w:firstRow="1" w:lastRow="0" w:firstColumn="1" w:lastColumn="0" w:noHBand="0" w:noVBand="1"/>
      </w:tblPr>
      <w:tblGrid>
        <w:gridCol w:w="1946"/>
        <w:gridCol w:w="2227"/>
        <w:gridCol w:w="3782"/>
      </w:tblGrid>
      <w:tr w:rsidR="00B25E19" w:rsidRPr="00B25E19" w14:paraId="6058CB4F" w14:textId="77777777" w:rsidTr="00B25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5D7C5" w14:textId="77777777" w:rsidR="00B25E19" w:rsidRPr="00B25E19" w:rsidRDefault="00B25E19" w:rsidP="00B25E19">
            <w:pPr>
              <w:rPr>
                <w:sz w:val="20"/>
                <w:szCs w:val="20"/>
              </w:rPr>
            </w:pPr>
            <w:r w:rsidRPr="00B25E19">
              <w:rPr>
                <w:sz w:val="20"/>
                <w:szCs w:val="20"/>
              </w:rPr>
              <w:t>Spearman’s ρ Value</w:t>
            </w:r>
          </w:p>
        </w:tc>
        <w:tc>
          <w:tcPr>
            <w:tcW w:w="0" w:type="auto"/>
            <w:hideMark/>
          </w:tcPr>
          <w:p w14:paraId="40E375C3"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Strength of Correlation</w:t>
            </w:r>
          </w:p>
        </w:tc>
        <w:tc>
          <w:tcPr>
            <w:tcW w:w="0" w:type="auto"/>
            <w:hideMark/>
          </w:tcPr>
          <w:p w14:paraId="71298178"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Interpretation</w:t>
            </w:r>
          </w:p>
        </w:tc>
      </w:tr>
      <w:tr w:rsidR="00B25E19" w:rsidRPr="00B25E19" w14:paraId="01CC4308"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C7322" w14:textId="77777777" w:rsidR="00B25E19" w:rsidRPr="00B25E19" w:rsidRDefault="00B25E19" w:rsidP="00B25E19">
            <w:pPr>
              <w:jc w:val="center"/>
              <w:rPr>
                <w:sz w:val="20"/>
                <w:szCs w:val="20"/>
              </w:rPr>
            </w:pPr>
            <w:r w:rsidRPr="00B25E19">
              <w:rPr>
                <w:sz w:val="20"/>
                <w:szCs w:val="20"/>
              </w:rPr>
              <w:t>0.00 to ±0.19</w:t>
            </w:r>
          </w:p>
        </w:tc>
        <w:tc>
          <w:tcPr>
            <w:tcW w:w="0" w:type="auto"/>
            <w:hideMark/>
          </w:tcPr>
          <w:p w14:paraId="4659CC9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weak</w:t>
            </w:r>
          </w:p>
        </w:tc>
        <w:tc>
          <w:tcPr>
            <w:tcW w:w="0" w:type="auto"/>
            <w:hideMark/>
          </w:tcPr>
          <w:p w14:paraId="7E0ADCF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 or negligible correlation</w:t>
            </w:r>
          </w:p>
        </w:tc>
      </w:tr>
      <w:tr w:rsidR="00B25E19" w:rsidRPr="00B25E19" w14:paraId="3CF3CE55"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4344614" w14:textId="77777777" w:rsidR="00B25E19" w:rsidRPr="00B25E19" w:rsidRDefault="00B25E19" w:rsidP="00B25E19">
            <w:pPr>
              <w:jc w:val="center"/>
              <w:rPr>
                <w:sz w:val="20"/>
                <w:szCs w:val="20"/>
              </w:rPr>
            </w:pPr>
            <w:r w:rsidRPr="00B25E19">
              <w:rPr>
                <w:sz w:val="20"/>
                <w:szCs w:val="20"/>
              </w:rPr>
              <w:t>±0.20 to ±0.39</w:t>
            </w:r>
          </w:p>
        </w:tc>
        <w:tc>
          <w:tcPr>
            <w:tcW w:w="0" w:type="auto"/>
            <w:hideMark/>
          </w:tcPr>
          <w:p w14:paraId="34711B46"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Weak</w:t>
            </w:r>
          </w:p>
        </w:tc>
        <w:tc>
          <w:tcPr>
            <w:tcW w:w="0" w:type="auto"/>
            <w:hideMark/>
          </w:tcPr>
          <w:p w14:paraId="72302B23"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Low correlation, limited association</w:t>
            </w:r>
          </w:p>
        </w:tc>
      </w:tr>
      <w:tr w:rsidR="00B25E19" w:rsidRPr="00B25E19" w14:paraId="5D335C01"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3F6D04" w14:textId="77777777" w:rsidR="00B25E19" w:rsidRPr="00B25E19" w:rsidRDefault="00B25E19" w:rsidP="00B25E19">
            <w:pPr>
              <w:jc w:val="center"/>
              <w:rPr>
                <w:sz w:val="20"/>
                <w:szCs w:val="20"/>
              </w:rPr>
            </w:pPr>
            <w:r w:rsidRPr="00B25E19">
              <w:rPr>
                <w:sz w:val="20"/>
                <w:szCs w:val="20"/>
              </w:rPr>
              <w:t>±0.40 to ±0.59</w:t>
            </w:r>
          </w:p>
        </w:tc>
        <w:tc>
          <w:tcPr>
            <w:tcW w:w="0" w:type="auto"/>
            <w:hideMark/>
          </w:tcPr>
          <w:p w14:paraId="4C461FFF"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Moderate</w:t>
            </w:r>
          </w:p>
        </w:tc>
        <w:tc>
          <w:tcPr>
            <w:tcW w:w="0" w:type="auto"/>
            <w:hideMark/>
          </w:tcPr>
          <w:p w14:paraId="394668E8"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Noticeable association, moderate correlation</w:t>
            </w:r>
          </w:p>
        </w:tc>
      </w:tr>
      <w:tr w:rsidR="00B25E19" w:rsidRPr="00B25E19" w14:paraId="21EF9432"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65D7665" w14:textId="77777777" w:rsidR="00B25E19" w:rsidRPr="00B25E19" w:rsidRDefault="00B25E19" w:rsidP="00B25E19">
            <w:pPr>
              <w:jc w:val="center"/>
              <w:rPr>
                <w:sz w:val="20"/>
                <w:szCs w:val="20"/>
              </w:rPr>
            </w:pPr>
            <w:r w:rsidRPr="00B25E19">
              <w:rPr>
                <w:sz w:val="20"/>
                <w:szCs w:val="20"/>
              </w:rPr>
              <w:t>±0.60 to ±0.79</w:t>
            </w:r>
          </w:p>
        </w:tc>
        <w:tc>
          <w:tcPr>
            <w:tcW w:w="0" w:type="auto"/>
            <w:hideMark/>
          </w:tcPr>
          <w:p w14:paraId="1A93C6FA"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w:t>
            </w:r>
          </w:p>
        </w:tc>
        <w:tc>
          <w:tcPr>
            <w:tcW w:w="0" w:type="auto"/>
            <w:hideMark/>
          </w:tcPr>
          <w:p w14:paraId="324526D5"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 correlation, substantial agreement</w:t>
            </w:r>
          </w:p>
        </w:tc>
      </w:tr>
      <w:tr w:rsidR="00B25E19" w:rsidRPr="00B25E19" w14:paraId="5251F736"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4FB55" w14:textId="77777777" w:rsidR="00B25E19" w:rsidRPr="00B25E19" w:rsidRDefault="00B25E19" w:rsidP="00B25E19">
            <w:pPr>
              <w:jc w:val="center"/>
              <w:rPr>
                <w:sz w:val="20"/>
                <w:szCs w:val="20"/>
              </w:rPr>
            </w:pPr>
            <w:r w:rsidRPr="00B25E19">
              <w:rPr>
                <w:sz w:val="20"/>
                <w:szCs w:val="20"/>
              </w:rPr>
              <w:t>±0.80 to ±1.00</w:t>
            </w:r>
          </w:p>
        </w:tc>
        <w:tc>
          <w:tcPr>
            <w:tcW w:w="0" w:type="auto"/>
            <w:hideMark/>
          </w:tcPr>
          <w:p w14:paraId="62FADC6B"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strong</w:t>
            </w:r>
          </w:p>
        </w:tc>
        <w:tc>
          <w:tcPr>
            <w:tcW w:w="0" w:type="auto"/>
            <w:hideMark/>
          </w:tcPr>
          <w:p w14:paraId="4CE6EE54"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high or perfect monotonic correlation</w:t>
            </w:r>
          </w:p>
        </w:tc>
      </w:tr>
    </w:tbl>
    <w:p w14:paraId="526226EC" w14:textId="0E52E671" w:rsidR="00B25E19" w:rsidRPr="003B03DD" w:rsidRDefault="003B03DD" w:rsidP="003B03DD">
      <w:pPr>
        <w:pStyle w:val="NormalWeb"/>
        <w:jc w:val="both"/>
      </w:pPr>
      <w:r w:rsidRPr="003B03DD">
        <w:rPr>
          <w:color w:val="000000"/>
        </w:rPr>
        <w:t xml:space="preserve">Table 10 shows that the Intraclass Correlation Coefficient (ICC) and Spearman’s Rank Correlation Coefficient (ρ) demonstrated moderate to excellent reliability and consistency of expert ratings across the Delphi rounds for BS Nursing curriculum enhancement areas. ICC values ranged from 0.615 to 0.866, with Gender Mainstreaming (0.866) and RLE and Theoretical Alignment (0.847) achieving excellent reliability, while Faculty Training (0.801) and Community Engagement </w:t>
      </w:r>
      <w:r w:rsidRPr="003B03DD">
        <w:rPr>
          <w:color w:val="000000"/>
        </w:rPr>
        <w:lastRenderedPageBreak/>
        <w:t>(0.788) showed good reliability; Internationalization had the lowest ICC (0.615), reflecting more variable expert perspectives. Spearman’s ρ values were all positive (0.492–0.745), with Gender Mainstreaming (0.745) and RLE-Theoretical Alignment (0.720) indicating strong stability of expert opinions, whereas Internationalization (0.492) again showed less consistency. These results confirm that the Delphi method effectively captured expert consensus, particularly on core components such as outcomes alignment, faculty development, and inclusivity, strengthening the validity of recommendations for curriculum enhancement. Phase 3 synthesized data from the SWOT analysis and Delphi process to develop strategic, evidence-based curricular reforms, translating stakeholder insights and validated priorities into actionable, feasible, and outcomes-based plans aligned with national and international standards. Overall, the study provides a replicable model for nursing institutions to implement contextually adaptive, inclusive, and accreditation-ready curricula, guided by reliable expert input and systematic analysis.</w:t>
      </w:r>
    </w:p>
    <w:p w14:paraId="316C597C" w14:textId="567F3432" w:rsidR="00F74B35" w:rsidRDefault="00F74B35" w:rsidP="00F74B35">
      <w:pPr>
        <w:pStyle w:val="NormalWeb"/>
        <w:rPr>
          <w:color w:val="000000"/>
        </w:rPr>
      </w:pPr>
      <w:r>
        <w:rPr>
          <w:rStyle w:val="Strong"/>
          <w:rFonts w:eastAsiaTheme="majorEastAsia"/>
          <w:color w:val="000000"/>
        </w:rPr>
        <w:t>Table 11. Final Curricular Enhancement Decisions Based on Phase 3 Analysis</w:t>
      </w:r>
    </w:p>
    <w:tbl>
      <w:tblPr>
        <w:tblStyle w:val="PlainTable2"/>
        <w:tblW w:w="0" w:type="auto"/>
        <w:tblLook w:val="04A0" w:firstRow="1" w:lastRow="0" w:firstColumn="1" w:lastColumn="0" w:noHBand="0" w:noVBand="1"/>
      </w:tblPr>
      <w:tblGrid>
        <w:gridCol w:w="2191"/>
        <w:gridCol w:w="1091"/>
        <w:gridCol w:w="1626"/>
        <w:gridCol w:w="1815"/>
        <w:gridCol w:w="1431"/>
        <w:gridCol w:w="1206"/>
      </w:tblGrid>
      <w:tr w:rsidR="00F74B35" w:rsidRPr="00F74B35" w14:paraId="1A872896"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1B6ED" w14:textId="77777777" w:rsidR="00F74B35" w:rsidRPr="00F74B35" w:rsidRDefault="00F74B35">
            <w:pPr>
              <w:jc w:val="center"/>
              <w:rPr>
                <w:sz w:val="21"/>
                <w:szCs w:val="21"/>
              </w:rPr>
            </w:pPr>
            <w:r w:rsidRPr="00F74B35">
              <w:rPr>
                <w:b w:val="0"/>
                <w:bCs w:val="0"/>
                <w:sz w:val="21"/>
                <w:szCs w:val="21"/>
              </w:rPr>
              <w:t>Curriculum Enhancement Area</w:t>
            </w:r>
          </w:p>
        </w:tc>
        <w:tc>
          <w:tcPr>
            <w:tcW w:w="0" w:type="auto"/>
            <w:hideMark/>
          </w:tcPr>
          <w:p w14:paraId="50C3638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Final Priority Rating</w:t>
            </w:r>
          </w:p>
        </w:tc>
        <w:tc>
          <w:tcPr>
            <w:tcW w:w="0" w:type="auto"/>
            <w:hideMark/>
          </w:tcPr>
          <w:p w14:paraId="72CD620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Implementation Decision</w:t>
            </w:r>
          </w:p>
        </w:tc>
        <w:tc>
          <w:tcPr>
            <w:tcW w:w="0" w:type="auto"/>
            <w:hideMark/>
          </w:tcPr>
          <w:p w14:paraId="4C3633F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Enhancement Action</w:t>
            </w:r>
          </w:p>
        </w:tc>
        <w:tc>
          <w:tcPr>
            <w:tcW w:w="0" w:type="auto"/>
            <w:hideMark/>
          </w:tcPr>
          <w:p w14:paraId="5674054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Responsible Unit</w:t>
            </w:r>
          </w:p>
        </w:tc>
        <w:tc>
          <w:tcPr>
            <w:tcW w:w="0" w:type="auto"/>
            <w:hideMark/>
          </w:tcPr>
          <w:p w14:paraId="3BFAAB37"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Timeframe to Begin</w:t>
            </w:r>
          </w:p>
        </w:tc>
      </w:tr>
      <w:tr w:rsidR="00F74B35" w:rsidRPr="00F74B35" w14:paraId="1650233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CC088" w14:textId="77777777" w:rsidR="00F74B35" w:rsidRPr="00F74B35" w:rsidRDefault="00F74B35">
            <w:pPr>
              <w:rPr>
                <w:b w:val="0"/>
                <w:bCs w:val="0"/>
                <w:sz w:val="21"/>
                <w:szCs w:val="21"/>
              </w:rPr>
            </w:pPr>
            <w:r w:rsidRPr="00F74B35">
              <w:rPr>
                <w:sz w:val="21"/>
                <w:szCs w:val="21"/>
              </w:rPr>
              <w:t>Outcomes-Based Education (OBE) Integration</w:t>
            </w:r>
          </w:p>
        </w:tc>
        <w:tc>
          <w:tcPr>
            <w:tcW w:w="0" w:type="auto"/>
            <w:hideMark/>
          </w:tcPr>
          <w:p w14:paraId="25E30A88"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1217D72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align</w:t>
            </w:r>
          </w:p>
        </w:tc>
        <w:tc>
          <w:tcPr>
            <w:tcW w:w="0" w:type="auto"/>
            <w:hideMark/>
          </w:tcPr>
          <w:p w14:paraId="37A6B60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Revise course syllabi to reflect OBE principles across all year levels</w:t>
            </w:r>
          </w:p>
        </w:tc>
        <w:tc>
          <w:tcPr>
            <w:tcW w:w="0" w:type="auto"/>
            <w:hideMark/>
          </w:tcPr>
          <w:p w14:paraId="11A24533"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Curriculum Committee &amp; Faculty</w:t>
            </w:r>
          </w:p>
        </w:tc>
        <w:tc>
          <w:tcPr>
            <w:tcW w:w="0" w:type="auto"/>
            <w:hideMark/>
          </w:tcPr>
          <w:p w14:paraId="1945656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72388FC1"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B64E0E9" w14:textId="77777777" w:rsidR="00F74B35" w:rsidRPr="00F74B35" w:rsidRDefault="00F74B35">
            <w:pPr>
              <w:rPr>
                <w:sz w:val="21"/>
                <w:szCs w:val="21"/>
              </w:rPr>
            </w:pPr>
            <w:r w:rsidRPr="00F74B35">
              <w:rPr>
                <w:sz w:val="21"/>
                <w:szCs w:val="21"/>
              </w:rPr>
              <w:t>Faculty Training on Curriculum Design</w:t>
            </w:r>
          </w:p>
        </w:tc>
        <w:tc>
          <w:tcPr>
            <w:tcW w:w="0" w:type="auto"/>
            <w:hideMark/>
          </w:tcPr>
          <w:p w14:paraId="081506E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29B60D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implement</w:t>
            </w:r>
          </w:p>
        </w:tc>
        <w:tc>
          <w:tcPr>
            <w:tcW w:w="0" w:type="auto"/>
            <w:hideMark/>
          </w:tcPr>
          <w:p w14:paraId="483C5B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Launch a structured faculty development program on instructional design and OBE</w:t>
            </w:r>
          </w:p>
        </w:tc>
        <w:tc>
          <w:tcPr>
            <w:tcW w:w="0" w:type="auto"/>
            <w:hideMark/>
          </w:tcPr>
          <w:p w14:paraId="4E8C11E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Academic Affairs &amp; HRD</w:t>
            </w:r>
          </w:p>
        </w:tc>
        <w:tc>
          <w:tcPr>
            <w:tcW w:w="0" w:type="auto"/>
            <w:hideMark/>
          </w:tcPr>
          <w:p w14:paraId="6E98AD2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5696B96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FDB6A" w14:textId="77777777" w:rsidR="00F74B35" w:rsidRPr="00F74B35" w:rsidRDefault="00F74B35">
            <w:pPr>
              <w:rPr>
                <w:sz w:val="21"/>
                <w:szCs w:val="21"/>
              </w:rPr>
            </w:pPr>
            <w:r w:rsidRPr="00F74B35">
              <w:rPr>
                <w:sz w:val="21"/>
                <w:szCs w:val="21"/>
              </w:rPr>
              <w:t>RLE and Theoretical Instruction Alignment</w:t>
            </w:r>
          </w:p>
        </w:tc>
        <w:tc>
          <w:tcPr>
            <w:tcW w:w="0" w:type="auto"/>
            <w:hideMark/>
          </w:tcPr>
          <w:p w14:paraId="52C17EE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642E0E1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monitor</w:t>
            </w:r>
          </w:p>
        </w:tc>
        <w:tc>
          <w:tcPr>
            <w:tcW w:w="0" w:type="auto"/>
            <w:hideMark/>
          </w:tcPr>
          <w:p w14:paraId="55DFDF6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Synchronize classroom instruction and RLE plans through policy and scheduling tools</w:t>
            </w:r>
          </w:p>
        </w:tc>
        <w:tc>
          <w:tcPr>
            <w:tcW w:w="0" w:type="auto"/>
            <w:hideMark/>
          </w:tcPr>
          <w:p w14:paraId="088A31B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RLE Coordinator &amp; Program Chair</w:t>
            </w:r>
          </w:p>
        </w:tc>
        <w:tc>
          <w:tcPr>
            <w:tcW w:w="0" w:type="auto"/>
            <w:hideMark/>
          </w:tcPr>
          <w:p w14:paraId="38A2BF6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153F282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F53611B" w14:textId="77777777" w:rsidR="00F74B35" w:rsidRPr="00F74B35" w:rsidRDefault="00F74B35">
            <w:pPr>
              <w:rPr>
                <w:sz w:val="21"/>
                <w:szCs w:val="21"/>
              </w:rPr>
            </w:pPr>
            <w:r w:rsidRPr="00F74B35">
              <w:rPr>
                <w:sz w:val="21"/>
                <w:szCs w:val="21"/>
              </w:rPr>
              <w:t>Assessment Policy Framework</w:t>
            </w:r>
          </w:p>
        </w:tc>
        <w:tc>
          <w:tcPr>
            <w:tcW w:w="0" w:type="auto"/>
            <w:hideMark/>
          </w:tcPr>
          <w:p w14:paraId="6CC14DF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4ED8814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pilot</w:t>
            </w:r>
          </w:p>
        </w:tc>
        <w:tc>
          <w:tcPr>
            <w:tcW w:w="0" w:type="auto"/>
            <w:hideMark/>
          </w:tcPr>
          <w:p w14:paraId="62E543F5"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Create assessment strategy policies with rubrics and feedback mechanisms</w:t>
            </w:r>
          </w:p>
        </w:tc>
        <w:tc>
          <w:tcPr>
            <w:tcW w:w="0" w:type="auto"/>
            <w:hideMark/>
          </w:tcPr>
          <w:p w14:paraId="106CF7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QA Office &amp; Assessment Team</w:t>
            </w:r>
          </w:p>
        </w:tc>
        <w:tc>
          <w:tcPr>
            <w:tcW w:w="0" w:type="auto"/>
            <w:hideMark/>
          </w:tcPr>
          <w:p w14:paraId="3F6B5F9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r w:rsidR="00F74B35" w:rsidRPr="00F74B35" w14:paraId="231CEA69"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F53E02" w14:textId="77777777" w:rsidR="00F74B35" w:rsidRPr="00F74B35" w:rsidRDefault="00F74B35">
            <w:pPr>
              <w:rPr>
                <w:sz w:val="21"/>
                <w:szCs w:val="21"/>
              </w:rPr>
            </w:pPr>
            <w:r w:rsidRPr="00F74B35">
              <w:rPr>
                <w:sz w:val="21"/>
                <w:szCs w:val="21"/>
              </w:rPr>
              <w:t>Learning Management System (LMS) Use</w:t>
            </w:r>
          </w:p>
        </w:tc>
        <w:tc>
          <w:tcPr>
            <w:tcW w:w="0" w:type="auto"/>
            <w:hideMark/>
          </w:tcPr>
          <w:p w14:paraId="0558AFA4"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Moderate</w:t>
            </w:r>
          </w:p>
        </w:tc>
        <w:tc>
          <w:tcPr>
            <w:tcW w:w="0" w:type="auto"/>
            <w:hideMark/>
          </w:tcPr>
          <w:p w14:paraId="3656E30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Upgrade and train</w:t>
            </w:r>
          </w:p>
        </w:tc>
        <w:tc>
          <w:tcPr>
            <w:tcW w:w="0" w:type="auto"/>
            <w:hideMark/>
          </w:tcPr>
          <w:p w14:paraId="3E510D3D"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Enhance LMS usage with faculty training and student orientation</w:t>
            </w:r>
          </w:p>
        </w:tc>
        <w:tc>
          <w:tcPr>
            <w:tcW w:w="0" w:type="auto"/>
            <w:hideMark/>
          </w:tcPr>
          <w:p w14:paraId="4675BABF"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IT Unit &amp; Instructional Designers</w:t>
            </w:r>
          </w:p>
        </w:tc>
        <w:tc>
          <w:tcPr>
            <w:tcW w:w="0" w:type="auto"/>
            <w:hideMark/>
          </w:tcPr>
          <w:p w14:paraId="2D8A0635"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2 years</w:t>
            </w:r>
          </w:p>
        </w:tc>
      </w:tr>
      <w:tr w:rsidR="00F74B35" w:rsidRPr="00F74B35" w14:paraId="182E9F73"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75978BE" w14:textId="77777777" w:rsidR="00F74B35" w:rsidRPr="00F74B35" w:rsidRDefault="00F74B35">
            <w:pPr>
              <w:rPr>
                <w:sz w:val="21"/>
                <w:szCs w:val="21"/>
              </w:rPr>
            </w:pPr>
            <w:r w:rsidRPr="00F74B35">
              <w:rPr>
                <w:sz w:val="21"/>
                <w:szCs w:val="21"/>
              </w:rPr>
              <w:t>Community Engagement</w:t>
            </w:r>
          </w:p>
        </w:tc>
        <w:tc>
          <w:tcPr>
            <w:tcW w:w="0" w:type="auto"/>
            <w:hideMark/>
          </w:tcPr>
          <w:p w14:paraId="2E79C62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10B3715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Expand and align</w:t>
            </w:r>
          </w:p>
        </w:tc>
        <w:tc>
          <w:tcPr>
            <w:tcW w:w="0" w:type="auto"/>
            <w:hideMark/>
          </w:tcPr>
          <w:p w14:paraId="4F0F6EF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Link community activities with learning outcomes and SDGs</w:t>
            </w:r>
          </w:p>
        </w:tc>
        <w:tc>
          <w:tcPr>
            <w:tcW w:w="0" w:type="auto"/>
            <w:hideMark/>
          </w:tcPr>
          <w:p w14:paraId="1E20F69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Extension Services &amp; Faculty</w:t>
            </w:r>
          </w:p>
        </w:tc>
        <w:tc>
          <w:tcPr>
            <w:tcW w:w="0" w:type="auto"/>
            <w:hideMark/>
          </w:tcPr>
          <w:p w14:paraId="719FBD5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15CCA530"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A7BC25" w14:textId="77777777" w:rsidR="00F74B35" w:rsidRPr="00F74B35" w:rsidRDefault="00F74B35">
            <w:pPr>
              <w:rPr>
                <w:sz w:val="21"/>
                <w:szCs w:val="21"/>
              </w:rPr>
            </w:pPr>
            <w:r w:rsidRPr="00F74B35">
              <w:rPr>
                <w:sz w:val="21"/>
                <w:szCs w:val="21"/>
              </w:rPr>
              <w:t>Gender Mainstreaming</w:t>
            </w:r>
          </w:p>
        </w:tc>
        <w:tc>
          <w:tcPr>
            <w:tcW w:w="0" w:type="auto"/>
            <w:hideMark/>
          </w:tcPr>
          <w:p w14:paraId="70E9A83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4EE7187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institutionalize</w:t>
            </w:r>
          </w:p>
        </w:tc>
        <w:tc>
          <w:tcPr>
            <w:tcW w:w="0" w:type="auto"/>
            <w:hideMark/>
          </w:tcPr>
          <w:p w14:paraId="12A2D9B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 xml:space="preserve">Embed gender-sensitivity modules and </w:t>
            </w:r>
            <w:r w:rsidRPr="00F74B35">
              <w:rPr>
                <w:sz w:val="21"/>
                <w:szCs w:val="21"/>
              </w:rPr>
              <w:lastRenderedPageBreak/>
              <w:t>inclusive pedagogy into the curriculum</w:t>
            </w:r>
          </w:p>
        </w:tc>
        <w:tc>
          <w:tcPr>
            <w:tcW w:w="0" w:type="auto"/>
            <w:hideMark/>
          </w:tcPr>
          <w:p w14:paraId="0C86E95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lastRenderedPageBreak/>
              <w:t>Gender Focal Point &amp; Faculty</w:t>
            </w:r>
          </w:p>
        </w:tc>
        <w:tc>
          <w:tcPr>
            <w:tcW w:w="0" w:type="auto"/>
            <w:hideMark/>
          </w:tcPr>
          <w:p w14:paraId="2EB2A0B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02A79A9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6E9DCF4" w14:textId="77777777" w:rsidR="00F74B35" w:rsidRPr="00F74B35" w:rsidRDefault="00F74B35">
            <w:pPr>
              <w:rPr>
                <w:sz w:val="21"/>
                <w:szCs w:val="21"/>
              </w:rPr>
            </w:pPr>
            <w:r w:rsidRPr="00F74B35">
              <w:rPr>
                <w:sz w:val="21"/>
                <w:szCs w:val="21"/>
              </w:rPr>
              <w:t>Internationalization</w:t>
            </w:r>
          </w:p>
        </w:tc>
        <w:tc>
          <w:tcPr>
            <w:tcW w:w="0" w:type="auto"/>
            <w:hideMark/>
          </w:tcPr>
          <w:p w14:paraId="34CE778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6FCC2552"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Strengthen partnerships</w:t>
            </w:r>
          </w:p>
        </w:tc>
        <w:tc>
          <w:tcPr>
            <w:tcW w:w="0" w:type="auto"/>
            <w:hideMark/>
          </w:tcPr>
          <w:p w14:paraId="05C0AC3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Establish academic and clinical exchange programs and global health modules</w:t>
            </w:r>
          </w:p>
        </w:tc>
        <w:tc>
          <w:tcPr>
            <w:tcW w:w="0" w:type="auto"/>
            <w:hideMark/>
          </w:tcPr>
          <w:p w14:paraId="4B9C2D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International Affairs Office</w:t>
            </w:r>
          </w:p>
        </w:tc>
        <w:tc>
          <w:tcPr>
            <w:tcW w:w="0" w:type="auto"/>
            <w:hideMark/>
          </w:tcPr>
          <w:p w14:paraId="418767D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bl>
    <w:p w14:paraId="2BBE9291" w14:textId="45DF4708" w:rsidR="00B25A90" w:rsidRPr="00B25E19" w:rsidRDefault="003B03DD" w:rsidP="003B03DD">
      <w:pPr>
        <w:pStyle w:val="NormalWeb"/>
        <w:jc w:val="both"/>
        <w:rPr>
          <w:color w:val="000000"/>
        </w:rPr>
      </w:pPr>
      <w:r w:rsidRPr="003B03DD">
        <w:rPr>
          <w:color w:val="000000"/>
        </w:rPr>
        <w:t>Table 11 presents the final curricular enhancement decisions derived from the multi-phase analysis, detailing priority ratings, implementation actions, responsible units, and timelines to guide the transformation of the BS Nursing program at the PHEI into an outcomes-based, globally aligned, and socially responsive curriculum. High-priority areas—such as Outcomes-Based Education (OBE) Integration, Faculty Training, RLE and Theoretical Instruction Alignment, Community Engagement, and Gender Mainstreaming—are scheduled for implementation within one year, reflecting urgent institutional needs and strong stakeholder consensus, while embedding OBE principles, enhancing faculty competence, and integrating theory and practice to ensure effective learning outcomes (CHED, 2017; Benner et al., 2010). Moderate-priority areas, including Assessment Policy Framework, LMS Use, and Internationalization, are planned over a two-year timeframe to accommodate logistical and infrastructural requirements, supporting authentic assessment, digital learning platforms, and global competencies in line with WHO guidance (Vlachopoulos &amp; Makri, 2024; Mitra, 2022; WHO, 2020). The plan balances internal readiness with strategic priorities, systematically assigning responsibility and timelines to promote accountability, continuous quality improvement, and sustainable implementation (Lennox, 2020). By sequencing enhancements in a phased manner, the institution can effectively monitor progress, allocate resources, and make evidence-informed adjustments. Overall, this curriculum reform offers a transformative roadmap for producing competent, ethical, and globally-ready Filipino nurses, advancing nursing education beyond mere compliance to proactively meet evolving healthcare demands (Corpuz, 2023).</w:t>
      </w:r>
    </w:p>
    <w:p w14:paraId="4A84229C" w14:textId="77777777" w:rsidR="008D69CC" w:rsidRDefault="008D69CC" w:rsidP="00B25E19">
      <w:pPr>
        <w:pStyle w:val="NormalWeb"/>
        <w:jc w:val="both"/>
        <w:rPr>
          <w:color w:val="000000"/>
        </w:rPr>
      </w:pPr>
      <w:r>
        <w:rPr>
          <w:rStyle w:val="Strong"/>
          <w:rFonts w:eastAsiaTheme="majorEastAsia"/>
          <w:color w:val="000000"/>
        </w:rPr>
        <w:t>Table 12. Final Output: Validated Curriculum Enhancement Framework for the BS Nursing Program</w:t>
      </w:r>
    </w:p>
    <w:tbl>
      <w:tblPr>
        <w:tblStyle w:val="PlainTable2"/>
        <w:tblW w:w="0" w:type="auto"/>
        <w:tblLook w:val="04A0" w:firstRow="1" w:lastRow="0" w:firstColumn="1" w:lastColumn="0" w:noHBand="0" w:noVBand="1"/>
      </w:tblPr>
      <w:tblGrid>
        <w:gridCol w:w="2234"/>
        <w:gridCol w:w="2462"/>
        <w:gridCol w:w="2891"/>
        <w:gridCol w:w="1773"/>
      </w:tblGrid>
      <w:tr w:rsidR="008D69CC" w:rsidRPr="008D69CC" w14:paraId="6970C4C3"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09629" w14:textId="77777777" w:rsidR="008D69CC" w:rsidRPr="008D69CC" w:rsidRDefault="008D69CC">
            <w:pPr>
              <w:jc w:val="center"/>
              <w:rPr>
                <w:sz w:val="20"/>
                <w:szCs w:val="20"/>
              </w:rPr>
            </w:pPr>
            <w:r w:rsidRPr="008D69CC">
              <w:rPr>
                <w:b w:val="0"/>
                <w:bCs w:val="0"/>
                <w:sz w:val="20"/>
                <w:szCs w:val="20"/>
              </w:rPr>
              <w:t>Curriculum Enhancement Area</w:t>
            </w:r>
          </w:p>
        </w:tc>
        <w:tc>
          <w:tcPr>
            <w:tcW w:w="0" w:type="auto"/>
            <w:hideMark/>
          </w:tcPr>
          <w:p w14:paraId="44FD746B"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Description of Enhancement</w:t>
            </w:r>
          </w:p>
        </w:tc>
        <w:tc>
          <w:tcPr>
            <w:tcW w:w="0" w:type="auto"/>
            <w:hideMark/>
          </w:tcPr>
          <w:p w14:paraId="4A67F853"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Justification Based on Findings</w:t>
            </w:r>
          </w:p>
        </w:tc>
        <w:tc>
          <w:tcPr>
            <w:tcW w:w="0" w:type="auto"/>
            <w:hideMark/>
          </w:tcPr>
          <w:p w14:paraId="11AE5E9F"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Strategic Implementation Focus</w:t>
            </w:r>
          </w:p>
        </w:tc>
      </w:tr>
      <w:tr w:rsidR="008D69CC" w:rsidRPr="008D69CC" w14:paraId="43C94A1A"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9663A" w14:textId="77777777" w:rsidR="008D69CC" w:rsidRPr="008D69CC" w:rsidRDefault="008D69CC">
            <w:pPr>
              <w:rPr>
                <w:b w:val="0"/>
                <w:bCs w:val="0"/>
                <w:sz w:val="20"/>
                <w:szCs w:val="20"/>
              </w:rPr>
            </w:pPr>
            <w:r w:rsidRPr="008D69CC">
              <w:rPr>
                <w:sz w:val="20"/>
                <w:szCs w:val="20"/>
              </w:rPr>
              <w:t>1. OBE Integration</w:t>
            </w:r>
          </w:p>
        </w:tc>
        <w:tc>
          <w:tcPr>
            <w:tcW w:w="0" w:type="auto"/>
            <w:hideMark/>
          </w:tcPr>
          <w:p w14:paraId="03137C7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Revision of course syllabi to align with outcomes-based principles</w:t>
            </w:r>
          </w:p>
        </w:tc>
        <w:tc>
          <w:tcPr>
            <w:tcW w:w="0" w:type="auto"/>
            <w:hideMark/>
          </w:tcPr>
          <w:p w14:paraId="1D99A576"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Identified as a major weakness; experts prioritized alignment with CHED standards and stakeholder needs</w:t>
            </w:r>
          </w:p>
        </w:tc>
        <w:tc>
          <w:tcPr>
            <w:tcW w:w="0" w:type="auto"/>
            <w:hideMark/>
          </w:tcPr>
          <w:p w14:paraId="2A6D725E"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Curricular Revision &amp; Syllabi Reform</w:t>
            </w:r>
          </w:p>
        </w:tc>
      </w:tr>
      <w:tr w:rsidR="008D69CC" w:rsidRPr="008D69CC" w14:paraId="6F20A80F"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C2CAC00" w14:textId="77777777" w:rsidR="008D69CC" w:rsidRPr="008D69CC" w:rsidRDefault="008D69CC">
            <w:pPr>
              <w:rPr>
                <w:sz w:val="20"/>
                <w:szCs w:val="20"/>
              </w:rPr>
            </w:pPr>
            <w:r w:rsidRPr="008D69CC">
              <w:rPr>
                <w:sz w:val="20"/>
                <w:szCs w:val="20"/>
              </w:rPr>
              <w:t>2. Faculty Training on Curriculum Design</w:t>
            </w:r>
          </w:p>
        </w:tc>
        <w:tc>
          <w:tcPr>
            <w:tcW w:w="0" w:type="auto"/>
            <w:hideMark/>
          </w:tcPr>
          <w:p w14:paraId="78CF4CB2"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Launch of a structured faculty development program on OBE and instructional strategies</w:t>
            </w:r>
          </w:p>
        </w:tc>
        <w:tc>
          <w:tcPr>
            <w:tcW w:w="0" w:type="auto"/>
            <w:hideMark/>
          </w:tcPr>
          <w:p w14:paraId="43BE3A8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Faculty lack training in curriculum development; consistent expert recommendation</w:t>
            </w:r>
          </w:p>
        </w:tc>
        <w:tc>
          <w:tcPr>
            <w:tcW w:w="0" w:type="auto"/>
            <w:hideMark/>
          </w:tcPr>
          <w:p w14:paraId="73D937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Capacity Building</w:t>
            </w:r>
          </w:p>
        </w:tc>
      </w:tr>
      <w:tr w:rsidR="008D69CC" w:rsidRPr="008D69CC" w14:paraId="20A2F582"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DC4135" w14:textId="77777777" w:rsidR="008D69CC" w:rsidRPr="008D69CC" w:rsidRDefault="008D69CC">
            <w:pPr>
              <w:rPr>
                <w:sz w:val="20"/>
                <w:szCs w:val="20"/>
              </w:rPr>
            </w:pPr>
            <w:r w:rsidRPr="008D69CC">
              <w:rPr>
                <w:sz w:val="20"/>
                <w:szCs w:val="20"/>
              </w:rPr>
              <w:t>3. RLE and Theoretical Alignment</w:t>
            </w:r>
          </w:p>
        </w:tc>
        <w:tc>
          <w:tcPr>
            <w:tcW w:w="0" w:type="auto"/>
            <w:hideMark/>
          </w:tcPr>
          <w:p w14:paraId="66BE6E89"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Synchronization of classroom instruction and RLE planning</w:t>
            </w:r>
          </w:p>
        </w:tc>
        <w:tc>
          <w:tcPr>
            <w:tcW w:w="0" w:type="auto"/>
            <w:hideMark/>
          </w:tcPr>
          <w:p w14:paraId="32A36745"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Misalignment noted in SWOT; essential for holistic competency-based learning</w:t>
            </w:r>
          </w:p>
        </w:tc>
        <w:tc>
          <w:tcPr>
            <w:tcW w:w="0" w:type="auto"/>
            <w:hideMark/>
          </w:tcPr>
          <w:p w14:paraId="41BD925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Instructional-Clinical Coordination</w:t>
            </w:r>
          </w:p>
        </w:tc>
      </w:tr>
      <w:tr w:rsidR="008D69CC" w:rsidRPr="008D69CC" w14:paraId="7B2E8E13"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26B14C07" w14:textId="77777777" w:rsidR="008D69CC" w:rsidRPr="008D69CC" w:rsidRDefault="008D69CC">
            <w:pPr>
              <w:rPr>
                <w:sz w:val="20"/>
                <w:szCs w:val="20"/>
              </w:rPr>
            </w:pPr>
            <w:r w:rsidRPr="008D69CC">
              <w:rPr>
                <w:sz w:val="20"/>
                <w:szCs w:val="20"/>
              </w:rPr>
              <w:lastRenderedPageBreak/>
              <w:t>4. Assessment Policy Framework</w:t>
            </w:r>
          </w:p>
        </w:tc>
        <w:tc>
          <w:tcPr>
            <w:tcW w:w="0" w:type="auto"/>
            <w:hideMark/>
          </w:tcPr>
          <w:p w14:paraId="7ABE6D2D"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Development of standardized and contextualized assessment policies and rubrics</w:t>
            </w:r>
          </w:p>
        </w:tc>
        <w:tc>
          <w:tcPr>
            <w:tcW w:w="0" w:type="auto"/>
            <w:hideMark/>
          </w:tcPr>
          <w:p w14:paraId="766F3FDF"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Inconsistent strategies identified; need for coherent assessment mechanisms</w:t>
            </w:r>
          </w:p>
        </w:tc>
        <w:tc>
          <w:tcPr>
            <w:tcW w:w="0" w:type="auto"/>
            <w:hideMark/>
          </w:tcPr>
          <w:p w14:paraId="24F236D7"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Policy Development</w:t>
            </w:r>
          </w:p>
        </w:tc>
      </w:tr>
      <w:tr w:rsidR="008D69CC" w:rsidRPr="008D69CC" w14:paraId="64B86E55"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D630B" w14:textId="77777777" w:rsidR="008D69CC" w:rsidRPr="008D69CC" w:rsidRDefault="008D69CC">
            <w:pPr>
              <w:rPr>
                <w:sz w:val="20"/>
                <w:szCs w:val="20"/>
              </w:rPr>
            </w:pPr>
            <w:r w:rsidRPr="008D69CC">
              <w:rPr>
                <w:sz w:val="20"/>
                <w:szCs w:val="20"/>
              </w:rPr>
              <w:t>5. LMS Use</w:t>
            </w:r>
          </w:p>
        </w:tc>
        <w:tc>
          <w:tcPr>
            <w:tcW w:w="0" w:type="auto"/>
            <w:hideMark/>
          </w:tcPr>
          <w:p w14:paraId="509D654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Enhancement of digital learning infrastructure and training</w:t>
            </w:r>
          </w:p>
        </w:tc>
        <w:tc>
          <w:tcPr>
            <w:tcW w:w="0" w:type="auto"/>
            <w:hideMark/>
          </w:tcPr>
          <w:p w14:paraId="41441FA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Underutilized LMS tools with lack of evaluation; critical during blended and remote learning modes</w:t>
            </w:r>
          </w:p>
        </w:tc>
        <w:tc>
          <w:tcPr>
            <w:tcW w:w="0" w:type="auto"/>
            <w:hideMark/>
          </w:tcPr>
          <w:p w14:paraId="6D800E7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Digital Pedagogy Enhancement</w:t>
            </w:r>
          </w:p>
        </w:tc>
      </w:tr>
      <w:tr w:rsidR="008D69CC" w:rsidRPr="008D69CC" w14:paraId="72D30451"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26D9111" w14:textId="77777777" w:rsidR="008D69CC" w:rsidRPr="008D69CC" w:rsidRDefault="008D69CC">
            <w:pPr>
              <w:rPr>
                <w:sz w:val="20"/>
                <w:szCs w:val="20"/>
              </w:rPr>
            </w:pPr>
            <w:r w:rsidRPr="008D69CC">
              <w:rPr>
                <w:sz w:val="20"/>
                <w:szCs w:val="20"/>
              </w:rPr>
              <w:t>6. Community Engagement</w:t>
            </w:r>
          </w:p>
        </w:tc>
        <w:tc>
          <w:tcPr>
            <w:tcW w:w="0" w:type="auto"/>
            <w:hideMark/>
          </w:tcPr>
          <w:p w14:paraId="1062F9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Alignment of community extension activities with nursing competencies and SDGs</w:t>
            </w:r>
          </w:p>
        </w:tc>
        <w:tc>
          <w:tcPr>
            <w:tcW w:w="0" w:type="auto"/>
            <w:hideMark/>
          </w:tcPr>
          <w:p w14:paraId="3FF7DF00"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Opportunities identified in partnerships; promotes social accountability of nursing education</w:t>
            </w:r>
          </w:p>
        </w:tc>
        <w:tc>
          <w:tcPr>
            <w:tcW w:w="0" w:type="auto"/>
            <w:hideMark/>
          </w:tcPr>
          <w:p w14:paraId="2332E6F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Experiential and Service Learning</w:t>
            </w:r>
          </w:p>
        </w:tc>
      </w:tr>
      <w:tr w:rsidR="008D69CC" w:rsidRPr="008D69CC" w14:paraId="66DD9E1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983ED" w14:textId="77777777" w:rsidR="008D69CC" w:rsidRPr="008D69CC" w:rsidRDefault="008D69CC">
            <w:pPr>
              <w:rPr>
                <w:sz w:val="20"/>
                <w:szCs w:val="20"/>
              </w:rPr>
            </w:pPr>
            <w:r w:rsidRPr="008D69CC">
              <w:rPr>
                <w:sz w:val="20"/>
                <w:szCs w:val="20"/>
              </w:rPr>
              <w:t>7. Gender Mainstreaming</w:t>
            </w:r>
          </w:p>
        </w:tc>
        <w:tc>
          <w:tcPr>
            <w:tcW w:w="0" w:type="auto"/>
            <w:hideMark/>
          </w:tcPr>
          <w:p w14:paraId="1926CF2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Integration of gender-sensitive content and inclusive teaching strategies</w:t>
            </w:r>
          </w:p>
        </w:tc>
        <w:tc>
          <w:tcPr>
            <w:tcW w:w="0" w:type="auto"/>
            <w:hideMark/>
          </w:tcPr>
          <w:p w14:paraId="00E6AE0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Lack of gender mainstreaming in curriculum; consistent priority among experts</w:t>
            </w:r>
          </w:p>
        </w:tc>
        <w:tc>
          <w:tcPr>
            <w:tcW w:w="0" w:type="auto"/>
            <w:hideMark/>
          </w:tcPr>
          <w:p w14:paraId="2CAF946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Equity and Inclusion Framework</w:t>
            </w:r>
          </w:p>
        </w:tc>
      </w:tr>
      <w:tr w:rsidR="008D69CC" w:rsidRPr="008D69CC" w14:paraId="19D83080"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5F06E029" w14:textId="77777777" w:rsidR="008D69CC" w:rsidRPr="008D69CC" w:rsidRDefault="008D69CC">
            <w:pPr>
              <w:rPr>
                <w:sz w:val="20"/>
                <w:szCs w:val="20"/>
              </w:rPr>
            </w:pPr>
            <w:r w:rsidRPr="008D69CC">
              <w:rPr>
                <w:sz w:val="20"/>
                <w:szCs w:val="20"/>
              </w:rPr>
              <w:t>8. Internationalization</w:t>
            </w:r>
          </w:p>
        </w:tc>
        <w:tc>
          <w:tcPr>
            <w:tcW w:w="0" w:type="auto"/>
            <w:hideMark/>
          </w:tcPr>
          <w:p w14:paraId="25D27A89"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Incorporation of global health content and mobility partnerships</w:t>
            </w:r>
          </w:p>
        </w:tc>
        <w:tc>
          <w:tcPr>
            <w:tcW w:w="0" w:type="auto"/>
            <w:hideMark/>
          </w:tcPr>
          <w:p w14:paraId="16B393F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Stakeholders highlighted its importance; aligned with CHED’s internationalization goals</w:t>
            </w:r>
          </w:p>
        </w:tc>
        <w:tc>
          <w:tcPr>
            <w:tcW w:w="0" w:type="auto"/>
            <w:hideMark/>
          </w:tcPr>
          <w:p w14:paraId="02412FEC"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Global Perspective in Nursing</w:t>
            </w:r>
          </w:p>
        </w:tc>
      </w:tr>
    </w:tbl>
    <w:p w14:paraId="01E445E8" w14:textId="65610729" w:rsidR="003B03DD" w:rsidRPr="003B03DD" w:rsidRDefault="003B03DD" w:rsidP="003B03DD">
      <w:pPr>
        <w:spacing w:before="100" w:beforeAutospacing="1" w:after="100" w:afterAutospacing="1"/>
        <w:jc w:val="both"/>
        <w:outlineLvl w:val="2"/>
        <w:rPr>
          <w:b/>
          <w:bCs/>
          <w:color w:val="000000"/>
        </w:rPr>
      </w:pPr>
      <w:r w:rsidRPr="003B03DD">
        <w:rPr>
          <w:color w:val="000000"/>
        </w:rPr>
        <w:t xml:space="preserve">The validated curriculum enhancement framework in Table 12 marks a significant step in aligning the BS Nursing program with national standards and global nursing trends. Integrating Outcomes-Based Education (OBE) ensures that learning objectives, teaching strategies, and assessments are competency-focused, enhancing transparency, learner-centeredness, and graduate readiness (Asim et al., 2021; </w:t>
      </w:r>
      <w:proofErr w:type="spellStart"/>
      <w:r w:rsidRPr="003B03DD">
        <w:rPr>
          <w:color w:val="000000"/>
        </w:rPr>
        <w:t>Tungpalan</w:t>
      </w:r>
      <w:proofErr w:type="spellEnd"/>
      <w:r w:rsidRPr="003B03DD">
        <w:rPr>
          <w:color w:val="000000"/>
        </w:rPr>
        <w:t xml:space="preserve"> &amp; </w:t>
      </w:r>
      <w:proofErr w:type="spellStart"/>
      <w:r w:rsidRPr="003B03DD">
        <w:rPr>
          <w:color w:val="000000"/>
        </w:rPr>
        <w:t>Antalan</w:t>
      </w:r>
      <w:proofErr w:type="spellEnd"/>
      <w:r w:rsidRPr="003B03DD">
        <w:rPr>
          <w:color w:val="000000"/>
        </w:rPr>
        <w:t>, 2021). Faculty training, assessment reform, and LMS enhancements address key instructional weaknesses, supporting quality delivery and reliable evaluation while fostering accountability and academic integrity (Dela Pena et al., 2024). The inclusion of community engagement, gender mainstreaming, and internationalization promotes inclusivity, equity, and global relevance, preparing graduates to meet diverse healthcare needs and cross-border challenges (Azalia, 2025). Overall, the framework synthesizes stakeholder input and expert consensus to create a dynamic, standards-driven, and forward-looking nursing curriculum that supports accreditation, institutional credibility, and student success.</w:t>
      </w:r>
    </w:p>
    <w:p w14:paraId="3213B905" w14:textId="57D42D8C" w:rsidR="00920F3B" w:rsidRPr="00920F3B" w:rsidRDefault="00920F3B" w:rsidP="00920F3B">
      <w:pPr>
        <w:spacing w:before="100" w:beforeAutospacing="1" w:after="100" w:afterAutospacing="1"/>
        <w:outlineLvl w:val="2"/>
        <w:rPr>
          <w:b/>
          <w:bCs/>
          <w:color w:val="000000"/>
        </w:rPr>
      </w:pPr>
      <w:r w:rsidRPr="00920F3B">
        <w:rPr>
          <w:b/>
          <w:bCs/>
          <w:color w:val="000000"/>
        </w:rPr>
        <w:t>Table 13. Proposed New or Revised Nursing Subjects Based on Final Curricular Enhancement Decisions</w:t>
      </w:r>
    </w:p>
    <w:tbl>
      <w:tblPr>
        <w:tblStyle w:val="PlainTable2"/>
        <w:tblW w:w="0" w:type="auto"/>
        <w:tblLook w:val="04A0" w:firstRow="1" w:lastRow="0" w:firstColumn="1" w:lastColumn="0" w:noHBand="0" w:noVBand="1"/>
      </w:tblPr>
      <w:tblGrid>
        <w:gridCol w:w="1554"/>
        <w:gridCol w:w="1895"/>
        <w:gridCol w:w="2031"/>
        <w:gridCol w:w="2138"/>
        <w:gridCol w:w="1742"/>
      </w:tblGrid>
      <w:tr w:rsidR="00920F3B" w:rsidRPr="00920F3B" w14:paraId="4279AF8C" w14:textId="77777777" w:rsidTr="00920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DC6A4" w14:textId="77777777" w:rsidR="00920F3B" w:rsidRPr="00920F3B" w:rsidRDefault="00920F3B" w:rsidP="00920F3B">
            <w:pPr>
              <w:jc w:val="center"/>
              <w:rPr>
                <w:sz w:val="20"/>
                <w:szCs w:val="20"/>
              </w:rPr>
            </w:pPr>
            <w:r w:rsidRPr="00920F3B">
              <w:rPr>
                <w:sz w:val="20"/>
                <w:szCs w:val="20"/>
              </w:rPr>
              <w:t>Proposed Subject Title</w:t>
            </w:r>
          </w:p>
        </w:tc>
        <w:tc>
          <w:tcPr>
            <w:tcW w:w="0" w:type="auto"/>
            <w:hideMark/>
          </w:tcPr>
          <w:p w14:paraId="5AAA428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Linked Curriculum Enhancement Area</w:t>
            </w:r>
          </w:p>
        </w:tc>
        <w:tc>
          <w:tcPr>
            <w:tcW w:w="0" w:type="auto"/>
            <w:hideMark/>
          </w:tcPr>
          <w:p w14:paraId="50C7947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Justification Based on Findings</w:t>
            </w:r>
          </w:p>
        </w:tc>
        <w:tc>
          <w:tcPr>
            <w:tcW w:w="0" w:type="auto"/>
            <w:hideMark/>
          </w:tcPr>
          <w:p w14:paraId="1397FF30"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Subject Description</w:t>
            </w:r>
          </w:p>
        </w:tc>
        <w:tc>
          <w:tcPr>
            <w:tcW w:w="0" w:type="auto"/>
            <w:hideMark/>
          </w:tcPr>
          <w:p w14:paraId="4925995F"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Expected Outcome</w:t>
            </w:r>
          </w:p>
        </w:tc>
      </w:tr>
      <w:tr w:rsidR="00920F3B" w:rsidRPr="00920F3B" w14:paraId="2F39ECB0"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06620" w14:textId="77777777" w:rsidR="00920F3B" w:rsidRPr="00920F3B" w:rsidRDefault="00920F3B" w:rsidP="00920F3B">
            <w:pPr>
              <w:rPr>
                <w:sz w:val="20"/>
                <w:szCs w:val="20"/>
              </w:rPr>
            </w:pPr>
            <w:r w:rsidRPr="00920F3B">
              <w:rPr>
                <w:sz w:val="20"/>
                <w:szCs w:val="20"/>
              </w:rPr>
              <w:t>Outcomes-Based Nursing Practice and Curriculum Literacy</w:t>
            </w:r>
          </w:p>
        </w:tc>
        <w:tc>
          <w:tcPr>
            <w:tcW w:w="0" w:type="auto"/>
            <w:hideMark/>
          </w:tcPr>
          <w:p w14:paraId="146AB26B"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OBE Integration &amp; Faculty Training</w:t>
            </w:r>
          </w:p>
        </w:tc>
        <w:tc>
          <w:tcPr>
            <w:tcW w:w="0" w:type="auto"/>
            <w:hideMark/>
          </w:tcPr>
          <w:p w14:paraId="5C4B6F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and experts emphasized the weak alignment of course syllabi with OBE principles and faculty's limited training in curriculum design.</w:t>
            </w:r>
          </w:p>
        </w:tc>
        <w:tc>
          <w:tcPr>
            <w:tcW w:w="0" w:type="auto"/>
            <w:hideMark/>
          </w:tcPr>
          <w:p w14:paraId="550985D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This subject empowers students and faculty-in-training with foundational knowledge and practical skills in outcomes-based education, curriculum planning, and instructional alignment.</w:t>
            </w:r>
          </w:p>
        </w:tc>
        <w:tc>
          <w:tcPr>
            <w:tcW w:w="0" w:type="auto"/>
            <w:hideMark/>
          </w:tcPr>
          <w:p w14:paraId="69605215"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Greater competency in designing, interpreting, and applying outcomes-based curricula.</w:t>
            </w:r>
          </w:p>
        </w:tc>
      </w:tr>
      <w:tr w:rsidR="00920F3B" w:rsidRPr="00920F3B" w14:paraId="7F99FD8E"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5C39D57B" w14:textId="77777777" w:rsidR="00920F3B" w:rsidRPr="00920F3B" w:rsidRDefault="00920F3B" w:rsidP="00920F3B">
            <w:pPr>
              <w:rPr>
                <w:sz w:val="20"/>
                <w:szCs w:val="20"/>
              </w:rPr>
            </w:pPr>
            <w:r w:rsidRPr="00920F3B">
              <w:rPr>
                <w:sz w:val="20"/>
                <w:szCs w:val="20"/>
              </w:rPr>
              <w:t xml:space="preserve">Clinical Reasoning and </w:t>
            </w:r>
            <w:r w:rsidRPr="00920F3B">
              <w:rPr>
                <w:sz w:val="20"/>
                <w:szCs w:val="20"/>
              </w:rPr>
              <w:lastRenderedPageBreak/>
              <w:t>RLE Integration in Nursing Care</w:t>
            </w:r>
          </w:p>
        </w:tc>
        <w:tc>
          <w:tcPr>
            <w:tcW w:w="0" w:type="auto"/>
            <w:hideMark/>
          </w:tcPr>
          <w:p w14:paraId="31BFBCB5"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lastRenderedPageBreak/>
              <w:t>RLE and Theoretical Alignment</w:t>
            </w:r>
          </w:p>
        </w:tc>
        <w:tc>
          <w:tcPr>
            <w:tcW w:w="0" w:type="auto"/>
            <w:hideMark/>
          </w:tcPr>
          <w:p w14:paraId="23B72A3F"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 xml:space="preserve">The disconnection between theoretical </w:t>
            </w:r>
            <w:r w:rsidRPr="00920F3B">
              <w:rPr>
                <w:sz w:val="20"/>
                <w:szCs w:val="20"/>
              </w:rPr>
              <w:lastRenderedPageBreak/>
              <w:t>instruction and RLE impairs clinical performance and continuity of care.</w:t>
            </w:r>
          </w:p>
        </w:tc>
        <w:tc>
          <w:tcPr>
            <w:tcW w:w="0" w:type="auto"/>
            <w:hideMark/>
          </w:tcPr>
          <w:p w14:paraId="44DC7918"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lastRenderedPageBreak/>
              <w:t xml:space="preserve">Integrates clinical scenarios and </w:t>
            </w:r>
            <w:r w:rsidRPr="00920F3B">
              <w:rPr>
                <w:sz w:val="20"/>
                <w:szCs w:val="20"/>
              </w:rPr>
              <w:lastRenderedPageBreak/>
              <w:t>simulation-based learning with classroom content to enhance reasoning, decision-making, and nursing care planning.</w:t>
            </w:r>
          </w:p>
        </w:tc>
        <w:tc>
          <w:tcPr>
            <w:tcW w:w="0" w:type="auto"/>
            <w:hideMark/>
          </w:tcPr>
          <w:p w14:paraId="591E6F2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lastRenderedPageBreak/>
              <w:t xml:space="preserve">Strengthened link between theory </w:t>
            </w:r>
            <w:r w:rsidRPr="00920F3B">
              <w:rPr>
                <w:sz w:val="20"/>
                <w:szCs w:val="20"/>
              </w:rPr>
              <w:lastRenderedPageBreak/>
              <w:t>and practice in clinical placements.</w:t>
            </w:r>
          </w:p>
        </w:tc>
      </w:tr>
      <w:tr w:rsidR="00920F3B" w:rsidRPr="00920F3B" w14:paraId="5713065E"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1361B" w14:textId="77777777" w:rsidR="00920F3B" w:rsidRPr="00920F3B" w:rsidRDefault="00920F3B" w:rsidP="00920F3B">
            <w:pPr>
              <w:rPr>
                <w:sz w:val="20"/>
                <w:szCs w:val="20"/>
              </w:rPr>
            </w:pPr>
            <w:r w:rsidRPr="00920F3B">
              <w:rPr>
                <w:sz w:val="20"/>
                <w:szCs w:val="20"/>
              </w:rPr>
              <w:lastRenderedPageBreak/>
              <w:t>Nursing Assessment and Evaluation Systems</w:t>
            </w:r>
          </w:p>
        </w:tc>
        <w:tc>
          <w:tcPr>
            <w:tcW w:w="0" w:type="auto"/>
            <w:hideMark/>
          </w:tcPr>
          <w:p w14:paraId="30A59DE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Assessment Policy Framework</w:t>
            </w:r>
          </w:p>
        </w:tc>
        <w:tc>
          <w:tcPr>
            <w:tcW w:w="0" w:type="auto"/>
            <w:hideMark/>
          </w:tcPr>
          <w:p w14:paraId="5CA65B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Inconsistencies in assessment tools, lack of rubrics, and unclear evaluation criteria demand a focused subject on quality assessment.</w:t>
            </w:r>
          </w:p>
        </w:tc>
        <w:tc>
          <w:tcPr>
            <w:tcW w:w="0" w:type="auto"/>
            <w:hideMark/>
          </w:tcPr>
          <w:p w14:paraId="75193DF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Focuses on competency-based assessment, rubric design, feedback mechanisms, and reflective practice to support fair and transparent evaluation.</w:t>
            </w:r>
          </w:p>
        </w:tc>
        <w:tc>
          <w:tcPr>
            <w:tcW w:w="0" w:type="auto"/>
            <w:hideMark/>
          </w:tcPr>
          <w:p w14:paraId="646A24C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Reliable, valid, and standardized student assessments and feedback.</w:t>
            </w:r>
          </w:p>
        </w:tc>
      </w:tr>
      <w:tr w:rsidR="00920F3B" w:rsidRPr="00920F3B" w14:paraId="59436BF1"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0FE836F1" w14:textId="77777777" w:rsidR="00920F3B" w:rsidRPr="00920F3B" w:rsidRDefault="00920F3B" w:rsidP="00920F3B">
            <w:pPr>
              <w:rPr>
                <w:sz w:val="20"/>
                <w:szCs w:val="20"/>
              </w:rPr>
            </w:pPr>
            <w:r w:rsidRPr="00920F3B">
              <w:rPr>
                <w:sz w:val="20"/>
                <w:szCs w:val="20"/>
              </w:rPr>
              <w:t>Digital Health and Learning Technologies in Nursing</w:t>
            </w:r>
          </w:p>
        </w:tc>
        <w:tc>
          <w:tcPr>
            <w:tcW w:w="0" w:type="auto"/>
            <w:hideMark/>
          </w:tcPr>
          <w:p w14:paraId="5A90798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Use &amp; Digital Pedagogy Enhancement</w:t>
            </w:r>
          </w:p>
        </w:tc>
        <w:tc>
          <w:tcPr>
            <w:tcW w:w="0" w:type="auto"/>
            <w:hideMark/>
          </w:tcPr>
          <w:p w14:paraId="73929F1B"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tools are underutilized; faculty and students need stronger digital competencies for modern learning environments.</w:t>
            </w:r>
          </w:p>
        </w:tc>
        <w:tc>
          <w:tcPr>
            <w:tcW w:w="0" w:type="auto"/>
            <w:hideMark/>
          </w:tcPr>
          <w:p w14:paraId="5AEECD1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Teaches students how to use digital platforms for health informatics, virtual simulations, online learning, and telehealth nursing.</w:t>
            </w:r>
          </w:p>
        </w:tc>
        <w:tc>
          <w:tcPr>
            <w:tcW w:w="0" w:type="auto"/>
            <w:hideMark/>
          </w:tcPr>
          <w:p w14:paraId="163DBB3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Improved tech-literacy and readiness for hybrid learning and digital health delivery.</w:t>
            </w:r>
          </w:p>
        </w:tc>
      </w:tr>
      <w:tr w:rsidR="00920F3B" w:rsidRPr="00920F3B" w14:paraId="31D73D62"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0E348" w14:textId="77777777" w:rsidR="00920F3B" w:rsidRPr="00920F3B" w:rsidRDefault="00920F3B" w:rsidP="00920F3B">
            <w:pPr>
              <w:rPr>
                <w:sz w:val="20"/>
                <w:szCs w:val="20"/>
              </w:rPr>
            </w:pPr>
            <w:r w:rsidRPr="00920F3B">
              <w:rPr>
                <w:sz w:val="20"/>
                <w:szCs w:val="20"/>
              </w:rPr>
              <w:t>Community and Population Health Nursing</w:t>
            </w:r>
          </w:p>
        </w:tc>
        <w:tc>
          <w:tcPr>
            <w:tcW w:w="0" w:type="auto"/>
            <w:hideMark/>
          </w:tcPr>
          <w:p w14:paraId="736BF5C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Community Engagement</w:t>
            </w:r>
          </w:p>
        </w:tc>
        <w:tc>
          <w:tcPr>
            <w:tcW w:w="0" w:type="auto"/>
            <w:hideMark/>
          </w:tcPr>
          <w:p w14:paraId="0FBFDA9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Community activities need to be better linked to learning outcomes and SDGs; promotes social accountability.</w:t>
            </w:r>
          </w:p>
        </w:tc>
        <w:tc>
          <w:tcPr>
            <w:tcW w:w="0" w:type="auto"/>
            <w:hideMark/>
          </w:tcPr>
          <w:p w14:paraId="4E316E8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Enhances students’ ability to assess, plan, implement, and evaluate community health programs while addressing sustainable development goals (SDGs).</w:t>
            </w:r>
          </w:p>
        </w:tc>
        <w:tc>
          <w:tcPr>
            <w:tcW w:w="0" w:type="auto"/>
            <w:hideMark/>
          </w:tcPr>
          <w:p w14:paraId="596925AD"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Empowered nursing graduates with strong public health competencies and civic values.</w:t>
            </w:r>
          </w:p>
        </w:tc>
      </w:tr>
      <w:tr w:rsidR="00920F3B" w:rsidRPr="00920F3B" w14:paraId="1FAF842D"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295AA2C8" w14:textId="77777777" w:rsidR="00920F3B" w:rsidRPr="00920F3B" w:rsidRDefault="00920F3B" w:rsidP="00920F3B">
            <w:pPr>
              <w:rPr>
                <w:sz w:val="20"/>
                <w:szCs w:val="20"/>
              </w:rPr>
            </w:pPr>
            <w:r w:rsidRPr="00920F3B">
              <w:rPr>
                <w:sz w:val="20"/>
                <w:szCs w:val="20"/>
              </w:rPr>
              <w:t>Gender, Health, and Inclusive Nursing Practice</w:t>
            </w:r>
          </w:p>
        </w:tc>
        <w:tc>
          <w:tcPr>
            <w:tcW w:w="0" w:type="auto"/>
            <w:hideMark/>
          </w:tcPr>
          <w:p w14:paraId="1523A5C1"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Gender Mainstreaming</w:t>
            </w:r>
          </w:p>
        </w:tc>
        <w:tc>
          <w:tcPr>
            <w:tcW w:w="0" w:type="auto"/>
            <w:hideMark/>
          </w:tcPr>
          <w:p w14:paraId="139AA173"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The curriculum lacks inclusive and gender-sensitive content; inclusion is mandated and expert-prioritized.</w:t>
            </w:r>
          </w:p>
        </w:tc>
        <w:tc>
          <w:tcPr>
            <w:tcW w:w="0" w:type="auto"/>
            <w:hideMark/>
          </w:tcPr>
          <w:p w14:paraId="2E30856E"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Explores gender theory, SOGIE-related health concerns, inclusive language, and anti-discrimination laws to ensure equitable and culturally safe nursing practice.</w:t>
            </w:r>
          </w:p>
        </w:tc>
        <w:tc>
          <w:tcPr>
            <w:tcW w:w="0" w:type="auto"/>
            <w:hideMark/>
          </w:tcPr>
          <w:p w14:paraId="167B9FD6"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Cultivated sensitivity and responsiveness to diverse gender and cultural health needs.</w:t>
            </w:r>
          </w:p>
        </w:tc>
      </w:tr>
      <w:tr w:rsidR="00920F3B" w:rsidRPr="00920F3B" w14:paraId="515C4D5F"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E6500" w14:textId="77777777" w:rsidR="00920F3B" w:rsidRPr="00920F3B" w:rsidRDefault="00920F3B" w:rsidP="00920F3B">
            <w:pPr>
              <w:rPr>
                <w:sz w:val="20"/>
                <w:szCs w:val="20"/>
              </w:rPr>
            </w:pPr>
            <w:r w:rsidRPr="00920F3B">
              <w:rPr>
                <w:sz w:val="20"/>
                <w:szCs w:val="20"/>
              </w:rPr>
              <w:t>Global Nursing Perspectives and Mobility</w:t>
            </w:r>
          </w:p>
        </w:tc>
        <w:tc>
          <w:tcPr>
            <w:tcW w:w="0" w:type="auto"/>
            <w:hideMark/>
          </w:tcPr>
          <w:p w14:paraId="452582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Internationalization</w:t>
            </w:r>
          </w:p>
        </w:tc>
        <w:tc>
          <w:tcPr>
            <w:tcW w:w="0" w:type="auto"/>
            <w:hideMark/>
          </w:tcPr>
          <w:p w14:paraId="4B15B9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emphasized the need for global health readiness and international linkages.</w:t>
            </w:r>
          </w:p>
        </w:tc>
        <w:tc>
          <w:tcPr>
            <w:tcW w:w="0" w:type="auto"/>
            <w:hideMark/>
          </w:tcPr>
          <w:p w14:paraId="1B839E7E"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Covers international nursing roles, global health systems, intercultural care, and student exchange preparation, aligned with CHED’s and WHO’s global health priorities.</w:t>
            </w:r>
          </w:p>
        </w:tc>
        <w:tc>
          <w:tcPr>
            <w:tcW w:w="0" w:type="auto"/>
            <w:hideMark/>
          </w:tcPr>
          <w:p w14:paraId="236413E7"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p>
        </w:tc>
      </w:tr>
    </w:tbl>
    <w:p w14:paraId="5DFBD59E" w14:textId="6574D8F3" w:rsidR="00920F3B" w:rsidRPr="00D10B26" w:rsidRDefault="00D10B26" w:rsidP="00B25E19">
      <w:pPr>
        <w:pStyle w:val="NormalWeb"/>
        <w:jc w:val="both"/>
        <w:rPr>
          <w:color w:val="000000"/>
        </w:rPr>
      </w:pPr>
      <w:r w:rsidRPr="00D10B26">
        <w:rPr>
          <w:color w:val="000000"/>
        </w:rPr>
        <w:t>The proposed curriculum enhancement framework reflects a strategic transformation in nursing education toward relevance, inclusivity, and global responsiveness, emphasizing Outcomes-Based Education (OBE) and competency-driven learning that shifts students from passive recipients to active, accountable learners with clearly measurable skills (Bautista &amp; Orte, 2021). Aligning Related Learning Experiences (RLE) with theoretical instruction bridges the gap between classroom knowledge and clinical practice, fostering critical thinking, clinical judgment, and improved patient outcomes through courses like Integrated Clinical Reasoning and Evidence-</w:t>
      </w:r>
      <w:r w:rsidRPr="00D10B26">
        <w:rPr>
          <w:color w:val="000000"/>
        </w:rPr>
        <w:lastRenderedPageBreak/>
        <w:t>Informed Practice (Ji et al., 2021). Faculty development in curriculum design and delivery further strengthens instructional quality and mentoring, ensuring consistency and effectiveness in teaching. The integration of digital competencies through Health Informatics, Digital Technologies, and LMS-supported learning prepares students for a technology-driven healthcare environment, enhancing clinical efficiency and evidence-based practice in local and global settings (Rony et al., 2024). Additionally, incorporating community health, gender inclusivity, and global health topics equips graduates with cross-cultural competence, social responsibility, and the ability to address equity and justice in healthcare (Lewis et al., 2023). Thus, the emphasis on</w:t>
      </w:r>
      <w:r w:rsidRPr="00D10B26">
        <w:rPr>
          <w:rStyle w:val="apple-converted-space"/>
          <w:rFonts w:eastAsiaTheme="majorEastAsia"/>
          <w:color w:val="000000"/>
        </w:rPr>
        <w:t> </w:t>
      </w:r>
      <w:r w:rsidRPr="00D10B26">
        <w:rPr>
          <w:rStyle w:val="Strong"/>
          <w:rFonts w:eastAsiaTheme="majorEastAsia"/>
          <w:b w:val="0"/>
          <w:bCs w:val="0"/>
          <w:color w:val="000000"/>
        </w:rPr>
        <w:t>community health, gender inclusivity, and global health</w:t>
      </w:r>
      <w:r w:rsidRPr="00D10B26">
        <w:rPr>
          <w:rStyle w:val="apple-converted-space"/>
          <w:rFonts w:eastAsiaTheme="majorEastAsia"/>
          <w:color w:val="000000"/>
        </w:rPr>
        <w:t> </w:t>
      </w:r>
      <w:r w:rsidRPr="00D10B26">
        <w:rPr>
          <w:color w:val="000000"/>
        </w:rPr>
        <w:t>in subjects like</w:t>
      </w:r>
      <w:r w:rsidRPr="00D10B26">
        <w:rPr>
          <w:rStyle w:val="apple-converted-space"/>
          <w:rFonts w:eastAsiaTheme="majorEastAsia"/>
          <w:color w:val="000000"/>
        </w:rPr>
        <w:t> </w:t>
      </w:r>
      <w:r w:rsidRPr="00D10B26">
        <w:rPr>
          <w:rStyle w:val="Emphasis"/>
          <w:rFonts w:eastAsiaTheme="majorEastAsia"/>
          <w:color w:val="000000"/>
        </w:rPr>
        <w:t>Community Health Nursing and Sustainable Development</w:t>
      </w:r>
      <w:r w:rsidRPr="00D10B26">
        <w:rPr>
          <w:color w:val="000000"/>
        </w:rPr>
        <w:t>,</w:t>
      </w:r>
      <w:r w:rsidRPr="00D10B26">
        <w:rPr>
          <w:rStyle w:val="apple-converted-space"/>
          <w:rFonts w:eastAsiaTheme="majorEastAsia"/>
          <w:color w:val="000000"/>
        </w:rPr>
        <w:t> </w:t>
      </w:r>
      <w:r w:rsidRPr="00D10B26">
        <w:rPr>
          <w:rStyle w:val="Emphasis"/>
          <w:rFonts w:eastAsiaTheme="majorEastAsia"/>
          <w:color w:val="000000"/>
        </w:rPr>
        <w:t>Gender, Diversity, and Inclusive Practice</w:t>
      </w:r>
      <w:r w:rsidRPr="00D10B26">
        <w:rPr>
          <w:color w:val="000000"/>
        </w:rPr>
        <w:t>, and</w:t>
      </w:r>
      <w:r w:rsidRPr="00D10B26">
        <w:rPr>
          <w:rStyle w:val="apple-converted-space"/>
          <w:rFonts w:eastAsiaTheme="majorEastAsia"/>
          <w:color w:val="000000"/>
        </w:rPr>
        <w:t> </w:t>
      </w:r>
      <w:r w:rsidRPr="00D10B26">
        <w:rPr>
          <w:rStyle w:val="Emphasis"/>
          <w:rFonts w:eastAsiaTheme="majorEastAsia"/>
          <w:color w:val="000000"/>
        </w:rPr>
        <w:t>Global Health and Transcultural Nursing</w:t>
      </w:r>
      <w:r w:rsidRPr="00D10B26">
        <w:rPr>
          <w:rStyle w:val="apple-converted-space"/>
          <w:rFonts w:eastAsiaTheme="majorEastAsia"/>
          <w:color w:val="000000"/>
        </w:rPr>
        <w:t> </w:t>
      </w:r>
      <w:r w:rsidRPr="00D10B26">
        <w:rPr>
          <w:color w:val="000000"/>
        </w:rPr>
        <w:t>reflects a broader societal commitment to equity, social justice, and cross-cultural competence. Overall, the framework produces culturally competent, globally aware, and practice-ready nurses, elevating the profession’s role as agents of change in both public health and international healthcare systems.</w:t>
      </w:r>
      <w:r w:rsidR="00920F3B" w:rsidRPr="00D10B26">
        <w:rPr>
          <w:color w:val="000000"/>
        </w:rPr>
        <w:t xml:space="preserve"> </w:t>
      </w:r>
    </w:p>
    <w:p w14:paraId="07AC8110" w14:textId="45C95D1A" w:rsidR="00BB1C6B" w:rsidRDefault="008C195D" w:rsidP="00460DAF">
      <w:pPr>
        <w:spacing w:before="100" w:beforeAutospacing="1" w:after="100" w:afterAutospacing="1"/>
        <w:rPr>
          <w:b/>
          <w:bCs/>
          <w:color w:val="000000"/>
        </w:rPr>
      </w:pPr>
      <w:r w:rsidRPr="00BB1C6B">
        <w:rPr>
          <w:b/>
          <w:bCs/>
          <w:color w:val="000000"/>
        </w:rPr>
        <w:t>Conclusions</w:t>
      </w:r>
    </w:p>
    <w:p w14:paraId="789F65A8" w14:textId="77777777" w:rsidR="00D10B26" w:rsidRPr="00D10B26" w:rsidRDefault="00D10B26" w:rsidP="008800CC">
      <w:pPr>
        <w:pStyle w:val="NormalWeb"/>
        <w:jc w:val="both"/>
        <w:rPr>
          <w:color w:val="000000"/>
        </w:rPr>
      </w:pPr>
      <w:r w:rsidRPr="00D10B26">
        <w:rPr>
          <w:color w:val="000000"/>
        </w:rPr>
        <w:t>The study concluded that the BS Nursing curriculum at the Private Higher Educational Institution requires strategic enhancement to better align with Outcomes-Based Education (OBE) principles and contemporary nursing standards. Stakeholder input and expert validation identified high-priority areas such as OBE integration, faculty development, RLE-theory alignment, and modernization of assessment frameworks, supported by robust statistical analyses confirming consensus and reliability. Implementing targeted actions—including curriculum revision, faculty training, community and gender integration, and structured policy development—provides a data-driven pathway to strengthen nursing education, ensuring graduates are competent, ethical, and globally responsive.</w:t>
      </w:r>
    </w:p>
    <w:p w14:paraId="751F5C98" w14:textId="6501296F" w:rsidR="00E91B10" w:rsidRPr="00D10B26" w:rsidRDefault="00E91B10" w:rsidP="008800CC">
      <w:pPr>
        <w:pStyle w:val="NormalWeb"/>
        <w:jc w:val="both"/>
        <w:rPr>
          <w:b/>
          <w:bCs/>
          <w:color w:val="000000"/>
        </w:rPr>
      </w:pPr>
      <w:r w:rsidRPr="00D10B26">
        <w:rPr>
          <w:b/>
          <w:bCs/>
          <w:color w:val="000000"/>
        </w:rPr>
        <w:t>Recommendations</w:t>
      </w:r>
    </w:p>
    <w:p w14:paraId="7941C867" w14:textId="77777777" w:rsidR="00D10B26" w:rsidRDefault="00D10B26" w:rsidP="009F093A">
      <w:pPr>
        <w:spacing w:before="100" w:beforeAutospacing="1" w:after="100" w:afterAutospacing="1"/>
        <w:jc w:val="both"/>
        <w:outlineLvl w:val="2"/>
        <w:rPr>
          <w:color w:val="000000"/>
        </w:rPr>
      </w:pPr>
      <w:r w:rsidRPr="00D10B26">
        <w:rPr>
          <w:color w:val="000000"/>
        </w:rPr>
        <w:t>Based on the study findings, it is recommended that the nursing program of the Private Higher Educational Institution implement a comprehensive curriculum revision anchored in Outcomes-Based Education (OBE) principles, aligning all course syllabi and instructional materials to ensure coherence between learning outcomes, content, and assessments. Faculty should be actively engaged through focused workshops and continuous training on OBE implementation to support consistent, student-centered instruction. A structured faculty development program should be institutionalized, emphasizing curriculum design, inclusive pedagogy, digital platform use, and competency-based assessments, with regular upskilling and benchmarking in collaboration with accrediting bodies and international partners. Alignment between theoretical instruction and Related Learning Experience (RLE) must be strengthened by harmonizing classroom and clinical schedules, revisiting the RLE framework, and establishing unified competency evaluation tools. Moderate-priority areas, including LMS utilization, assessment policy development, and internationalization, should be addressed within a two-year timeframe through infrastructure upgrades, rubric-based assessment frameworks, and global academic or clinical exchanges. If diligently executed, these recommendations will modernize the curriculum, enhance graduate readiness, and contribute to sustainable, high-quality nursing education.</w:t>
      </w:r>
    </w:p>
    <w:p w14:paraId="61FDD8E3" w14:textId="7757AAD6" w:rsidR="009F093A" w:rsidRPr="009F093A" w:rsidRDefault="009F093A" w:rsidP="009F093A">
      <w:pPr>
        <w:spacing w:before="100" w:beforeAutospacing="1" w:after="100" w:afterAutospacing="1"/>
        <w:jc w:val="both"/>
        <w:outlineLvl w:val="2"/>
        <w:rPr>
          <w:b/>
          <w:bCs/>
          <w:color w:val="000000"/>
        </w:rPr>
      </w:pPr>
      <w:r w:rsidRPr="009F093A">
        <w:rPr>
          <w:b/>
          <w:bCs/>
          <w:color w:val="000000"/>
        </w:rPr>
        <w:lastRenderedPageBreak/>
        <w:t>Disclaimer</w:t>
      </w:r>
    </w:p>
    <w:p w14:paraId="627670FA" w14:textId="77777777" w:rsidR="009F093A" w:rsidRPr="009F093A" w:rsidRDefault="009F093A" w:rsidP="009F093A">
      <w:pPr>
        <w:spacing w:before="100" w:beforeAutospacing="1" w:after="100" w:afterAutospacing="1"/>
        <w:jc w:val="both"/>
        <w:rPr>
          <w:color w:val="000000"/>
        </w:rPr>
      </w:pPr>
      <w:r w:rsidRPr="009F093A">
        <w:rPr>
          <w:color w:val="000000"/>
        </w:rPr>
        <w:t>The author(s) hereby declare that no generative AI technologies, such as large language models (e.g., ChatGPT, Copilot) or text-to-image generators, were used during the writing or editing of this manuscript.</w:t>
      </w:r>
    </w:p>
    <w:p w14:paraId="74D911F7"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Consent</w:t>
      </w:r>
    </w:p>
    <w:p w14:paraId="46932731" w14:textId="527C6E19" w:rsidR="009F093A" w:rsidRPr="009F093A" w:rsidRDefault="009F093A" w:rsidP="009F093A">
      <w:pPr>
        <w:spacing w:before="100" w:beforeAutospacing="1" w:after="100" w:afterAutospacing="1"/>
        <w:jc w:val="both"/>
        <w:rPr>
          <w:color w:val="000000"/>
        </w:rPr>
      </w:pPr>
      <w:r>
        <w:rPr>
          <w:color w:val="000000"/>
        </w:rPr>
        <w:t>By</w:t>
      </w:r>
      <w:r w:rsidRPr="009F093A">
        <w:rPr>
          <w:color w:val="000000"/>
        </w:rPr>
        <w:t xml:space="preserve"> international and institutional ethical standards, written informed consent was obtained from all participants. Documentation of consent has been securely stored by the author(s).</w:t>
      </w:r>
    </w:p>
    <w:p w14:paraId="16536363"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Ethical Approval</w:t>
      </w:r>
    </w:p>
    <w:p w14:paraId="6E7B0B0D" w14:textId="3E7BBC1A" w:rsidR="005B7743" w:rsidRPr="00D10B26" w:rsidRDefault="009F093A" w:rsidP="00D10B26">
      <w:pPr>
        <w:spacing w:before="100" w:beforeAutospacing="1" w:after="100" w:afterAutospacing="1"/>
        <w:jc w:val="both"/>
        <w:rPr>
          <w:color w:val="000000"/>
        </w:rPr>
      </w:pPr>
      <w:r w:rsidRPr="009F093A">
        <w:rPr>
          <w:color w:val="000000"/>
        </w:rPr>
        <w:t xml:space="preserve">Ethical approval for this study was obtained from the </w:t>
      </w:r>
      <w:r>
        <w:rPr>
          <w:color w:val="000000"/>
        </w:rPr>
        <w:t>TMTCS School of Nursing Research Ethics Committee</w:t>
      </w:r>
      <w:r w:rsidRPr="009F093A">
        <w:rPr>
          <w:color w:val="000000"/>
        </w:rPr>
        <w:t>, in compliance with international guidelines and institutional research standards. Documentation of this approval is securely maintained by the author(s).</w:t>
      </w:r>
    </w:p>
    <w:p w14:paraId="7FB4A3CB"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Competing Interests</w:t>
      </w:r>
    </w:p>
    <w:p w14:paraId="08ED5710" w14:textId="367CFAD5" w:rsidR="00BB1C6B" w:rsidRDefault="009F093A" w:rsidP="00B25E19">
      <w:pPr>
        <w:spacing w:before="100" w:beforeAutospacing="1" w:after="100" w:afterAutospacing="1"/>
        <w:jc w:val="both"/>
        <w:rPr>
          <w:color w:val="000000"/>
        </w:rPr>
      </w:pPr>
      <w:r w:rsidRPr="009F093A">
        <w:rPr>
          <w:color w:val="000000"/>
        </w:rPr>
        <w:t>The author(s) declare no competing interests related to this study.</w:t>
      </w:r>
    </w:p>
    <w:p w14:paraId="20C6A73B" w14:textId="77777777" w:rsidR="00283959" w:rsidRPr="00740879" w:rsidRDefault="00283959" w:rsidP="00283959">
      <w:pPr>
        <w:rPr>
          <w:highlight w:val="yellow"/>
        </w:rPr>
      </w:pPr>
      <w:r w:rsidRPr="00740879">
        <w:rPr>
          <w:highlight w:val="yellow"/>
        </w:rPr>
        <w:t>Disclaimer (Artificial intelligence)</w:t>
      </w:r>
    </w:p>
    <w:p w14:paraId="000A469F" w14:textId="77777777" w:rsidR="00283959" w:rsidRPr="00740879" w:rsidRDefault="00283959" w:rsidP="00283959">
      <w:pPr>
        <w:rPr>
          <w:highlight w:val="yellow"/>
        </w:rPr>
      </w:pPr>
      <w:r w:rsidRPr="00740879">
        <w:rPr>
          <w:highlight w:val="yellow"/>
        </w:rPr>
        <w:t xml:space="preserve">Option 1: </w:t>
      </w:r>
    </w:p>
    <w:p w14:paraId="2544007B" w14:textId="77777777" w:rsidR="00283959" w:rsidRPr="00740879" w:rsidRDefault="00283959" w:rsidP="0028395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CD3236F" w14:textId="77777777" w:rsidR="00283959" w:rsidRPr="00740879" w:rsidRDefault="00283959" w:rsidP="00283959">
      <w:pPr>
        <w:rPr>
          <w:highlight w:val="yellow"/>
        </w:rPr>
      </w:pPr>
      <w:r w:rsidRPr="00740879">
        <w:rPr>
          <w:highlight w:val="yellow"/>
        </w:rPr>
        <w:t xml:space="preserve">Option 2: </w:t>
      </w:r>
    </w:p>
    <w:p w14:paraId="0B033C02" w14:textId="77777777" w:rsidR="00283959" w:rsidRPr="00740879" w:rsidRDefault="00283959" w:rsidP="0028395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21D4AC" w14:textId="77777777" w:rsidR="00283959" w:rsidRPr="00740879" w:rsidRDefault="00283959" w:rsidP="00283959">
      <w:pPr>
        <w:rPr>
          <w:highlight w:val="yellow"/>
        </w:rPr>
      </w:pPr>
      <w:r w:rsidRPr="00740879">
        <w:rPr>
          <w:highlight w:val="yellow"/>
        </w:rPr>
        <w:t>Details of the AI usage are given below:</w:t>
      </w:r>
    </w:p>
    <w:p w14:paraId="2AE889F3" w14:textId="77777777" w:rsidR="00283959" w:rsidRPr="00740879" w:rsidRDefault="00283959" w:rsidP="00283959">
      <w:pPr>
        <w:rPr>
          <w:highlight w:val="yellow"/>
        </w:rPr>
      </w:pPr>
      <w:r w:rsidRPr="00740879">
        <w:rPr>
          <w:highlight w:val="yellow"/>
        </w:rPr>
        <w:t>1.</w:t>
      </w:r>
    </w:p>
    <w:p w14:paraId="36010359" w14:textId="77777777" w:rsidR="00283959" w:rsidRPr="00740879" w:rsidRDefault="00283959" w:rsidP="00283959">
      <w:pPr>
        <w:rPr>
          <w:highlight w:val="yellow"/>
        </w:rPr>
      </w:pPr>
      <w:r w:rsidRPr="00740879">
        <w:rPr>
          <w:highlight w:val="yellow"/>
        </w:rPr>
        <w:t>2.</w:t>
      </w:r>
    </w:p>
    <w:p w14:paraId="5FEA3F87" w14:textId="77777777" w:rsidR="00283959" w:rsidRPr="00D047BB" w:rsidRDefault="00283959" w:rsidP="00283959">
      <w:r w:rsidRPr="00740879">
        <w:rPr>
          <w:highlight w:val="yellow"/>
        </w:rPr>
        <w:t>3.</w:t>
      </w:r>
    </w:p>
    <w:p w14:paraId="73AF7D37" w14:textId="77777777" w:rsidR="00283959" w:rsidRPr="00B25E19" w:rsidRDefault="00283959" w:rsidP="00B25E19">
      <w:pPr>
        <w:spacing w:before="100" w:beforeAutospacing="1" w:after="100" w:afterAutospacing="1"/>
        <w:jc w:val="both"/>
        <w:rPr>
          <w:color w:val="000000"/>
        </w:rPr>
      </w:pPr>
    </w:p>
    <w:p w14:paraId="0D91BD63" w14:textId="7817519A" w:rsidR="0025619C" w:rsidRDefault="00460DAF" w:rsidP="0025619C">
      <w:pPr>
        <w:spacing w:before="100" w:beforeAutospacing="1" w:after="100" w:afterAutospacing="1"/>
        <w:outlineLvl w:val="2"/>
        <w:rPr>
          <w:b/>
          <w:bCs/>
          <w:color w:val="000000"/>
        </w:rPr>
      </w:pPr>
      <w:r w:rsidRPr="00460DAF">
        <w:rPr>
          <w:b/>
          <w:bCs/>
          <w:color w:val="000000"/>
        </w:rPr>
        <w:t>References</w:t>
      </w:r>
    </w:p>
    <w:p w14:paraId="0D406E36" w14:textId="77777777" w:rsidR="00D37CDB" w:rsidRDefault="00D37CDB" w:rsidP="00D37CDB">
      <w:pPr>
        <w:jc w:val="both"/>
        <w:rPr>
          <w:rFonts w:ascii="Arial" w:hAnsi="Arial" w:cs="Arial"/>
          <w:sz w:val="18"/>
          <w:szCs w:val="18"/>
        </w:rPr>
      </w:pPr>
      <w:r>
        <w:rPr>
          <w:rFonts w:ascii="Arial" w:hAnsi="Arial" w:cs="Arial"/>
          <w:sz w:val="18"/>
          <w:szCs w:val="18"/>
        </w:rPr>
        <w:t xml:space="preserve">Abdallah, A. K., </w:t>
      </w:r>
      <w:proofErr w:type="spellStart"/>
      <w:r>
        <w:rPr>
          <w:rFonts w:ascii="Arial" w:hAnsi="Arial" w:cs="Arial"/>
          <w:sz w:val="18"/>
          <w:szCs w:val="18"/>
        </w:rPr>
        <w:t>Alkaabi</w:t>
      </w:r>
      <w:proofErr w:type="spellEnd"/>
      <w:r>
        <w:rPr>
          <w:rFonts w:ascii="Arial" w:hAnsi="Arial" w:cs="Arial"/>
          <w:sz w:val="18"/>
          <w:szCs w:val="18"/>
        </w:rPr>
        <w:t>, A. M., &amp; Al-</w:t>
      </w:r>
      <w:proofErr w:type="spellStart"/>
      <w:r>
        <w:rPr>
          <w:rFonts w:ascii="Arial" w:hAnsi="Arial" w:cs="Arial"/>
          <w:sz w:val="18"/>
          <w:szCs w:val="18"/>
        </w:rPr>
        <w:t>Riyami</w:t>
      </w:r>
      <w:proofErr w:type="spellEnd"/>
      <w:r>
        <w:rPr>
          <w:rFonts w:ascii="Arial" w:hAnsi="Arial" w:cs="Arial"/>
          <w:sz w:val="18"/>
          <w:szCs w:val="18"/>
        </w:rPr>
        <w:t>, R. (Eds.). (2024). Cutting-Edge Innovations in Teaching, Leadership, Technology, and Assessment. IGI Global. https://doi.org/10.4018/979-8-3693-0880-6</w:t>
      </w:r>
    </w:p>
    <w:p w14:paraId="30C78BDA" w14:textId="77777777" w:rsidR="0072588F" w:rsidRDefault="0072588F" w:rsidP="0072588F">
      <w:pPr>
        <w:ind w:left="567" w:hanging="567"/>
        <w:jc w:val="both"/>
        <w:rPr>
          <w:color w:val="000000"/>
        </w:rPr>
      </w:pPr>
    </w:p>
    <w:p w14:paraId="7D5B2D11" w14:textId="2206FF12" w:rsidR="0072588F" w:rsidRPr="00E0673F" w:rsidRDefault="0072588F" w:rsidP="0072588F">
      <w:pPr>
        <w:ind w:left="567" w:hanging="567"/>
        <w:jc w:val="both"/>
        <w:rPr>
          <w:color w:val="000000"/>
          <w:lang w:val="da-DK"/>
        </w:rPr>
      </w:pPr>
      <w:r w:rsidRPr="0072588F">
        <w:rPr>
          <w:color w:val="333333"/>
          <w:shd w:val="clear" w:color="auto" w:fill="FFFFFF"/>
        </w:rPr>
        <w:t xml:space="preserve">Abou Hashish, E.A., Alnajjar, H. &amp; </w:t>
      </w:r>
      <w:proofErr w:type="spellStart"/>
      <w:r w:rsidRPr="0072588F">
        <w:rPr>
          <w:color w:val="333333"/>
          <w:shd w:val="clear" w:color="auto" w:fill="FFFFFF"/>
        </w:rPr>
        <w:t>Rawas</w:t>
      </w:r>
      <w:proofErr w:type="spellEnd"/>
      <w:r w:rsidRPr="0072588F">
        <w:rPr>
          <w:color w:val="333333"/>
          <w:shd w:val="clear" w:color="auto" w:fill="FFFFFF"/>
        </w:rPr>
        <w:t>, H. Voices on academic accreditation: lived experiences of nurse educators, administrators, students, and alumni in nursing education.</w:t>
      </w:r>
      <w:r w:rsidRPr="0072588F">
        <w:rPr>
          <w:rStyle w:val="apple-converted-space"/>
          <w:rFonts w:eastAsiaTheme="majorEastAsia"/>
          <w:color w:val="333333"/>
          <w:shd w:val="clear" w:color="auto" w:fill="FFFFFF"/>
        </w:rPr>
        <w:t> </w:t>
      </w:r>
      <w:r w:rsidRPr="00E0673F">
        <w:rPr>
          <w:i/>
          <w:iCs/>
          <w:color w:val="333333"/>
          <w:lang w:val="da-DK"/>
        </w:rPr>
        <w:t>BMC Med Educ</w:t>
      </w:r>
      <w:r w:rsidRPr="00E0673F">
        <w:rPr>
          <w:rStyle w:val="apple-converted-space"/>
          <w:rFonts w:eastAsiaTheme="majorEastAsia"/>
          <w:color w:val="333333"/>
          <w:shd w:val="clear" w:color="auto" w:fill="FFFFFF"/>
          <w:lang w:val="da-DK"/>
        </w:rPr>
        <w:t> </w:t>
      </w:r>
      <w:r w:rsidRPr="00E0673F">
        <w:rPr>
          <w:color w:val="333333"/>
          <w:lang w:val="da-DK"/>
        </w:rPr>
        <w:t>25</w:t>
      </w:r>
      <w:r w:rsidRPr="00E0673F">
        <w:rPr>
          <w:color w:val="333333"/>
          <w:shd w:val="clear" w:color="auto" w:fill="FFFFFF"/>
          <w:lang w:val="da-DK"/>
        </w:rPr>
        <w:t xml:space="preserve">, 64 (2025). </w:t>
      </w:r>
      <w:hyperlink r:id="rId7" w:history="1">
        <w:r w:rsidRPr="00E0673F">
          <w:rPr>
            <w:rStyle w:val="Hyperlink"/>
            <w:shd w:val="clear" w:color="auto" w:fill="FFFFFF"/>
            <w:lang w:val="da-DK"/>
          </w:rPr>
          <w:t>https://doi.org/10.1186/s12909-025-06657-2</w:t>
        </w:r>
      </w:hyperlink>
    </w:p>
    <w:p w14:paraId="5B4B72F8" w14:textId="77777777" w:rsidR="0072588F" w:rsidRPr="00E0673F" w:rsidRDefault="0072588F" w:rsidP="0072588F">
      <w:pPr>
        <w:ind w:left="567" w:hanging="567"/>
        <w:jc w:val="both"/>
        <w:rPr>
          <w:color w:val="000000"/>
          <w:lang w:val="da-DK"/>
        </w:rPr>
      </w:pPr>
    </w:p>
    <w:p w14:paraId="27934542" w14:textId="77777777" w:rsidR="0072588F" w:rsidRPr="00E0673F" w:rsidRDefault="0072588F" w:rsidP="0072588F">
      <w:pPr>
        <w:ind w:left="567" w:hanging="567"/>
        <w:jc w:val="both"/>
        <w:rPr>
          <w:color w:val="000000"/>
          <w:lang w:val="da-DK"/>
        </w:rPr>
      </w:pPr>
      <w:r w:rsidRPr="00E0673F">
        <w:rPr>
          <w:color w:val="333333"/>
          <w:shd w:val="clear" w:color="auto" w:fill="FCFCFC"/>
          <w:lang w:val="da-DK"/>
        </w:rPr>
        <w:lastRenderedPageBreak/>
        <w:t>Alcaide-Pulido, P., Gutiérrez-Villar, B., Ordóñez-Olmedo, E.</w:t>
      </w:r>
      <w:r w:rsidRPr="00E0673F">
        <w:rPr>
          <w:rStyle w:val="apple-converted-space"/>
          <w:rFonts w:eastAsiaTheme="majorEastAsia"/>
          <w:color w:val="333333"/>
          <w:shd w:val="clear" w:color="auto" w:fill="FCFCFC"/>
          <w:lang w:val="da-DK"/>
        </w:rPr>
        <w:t> </w:t>
      </w:r>
      <w:r w:rsidRPr="00E0673F">
        <w:rPr>
          <w:i/>
          <w:iCs/>
          <w:color w:val="333333"/>
          <w:lang w:val="da-DK"/>
        </w:rPr>
        <w:t>et al.</w:t>
      </w:r>
      <w:r w:rsidRPr="00E0673F">
        <w:rPr>
          <w:rStyle w:val="apple-converted-space"/>
          <w:rFonts w:eastAsiaTheme="majorEastAsia"/>
          <w:color w:val="333333"/>
          <w:shd w:val="clear" w:color="auto" w:fill="FCFCFC"/>
          <w:lang w:val="da-DK"/>
        </w:rPr>
        <w:t> </w:t>
      </w:r>
      <w:r w:rsidRPr="0072588F">
        <w:rPr>
          <w:color w:val="333333"/>
          <w:shd w:val="clear" w:color="auto" w:fill="FCFCFC"/>
        </w:rPr>
        <w:t>Analysis of faculty readiness for online teaching: assessing impact and adaptability in diverse educational contexts.</w:t>
      </w:r>
      <w:r w:rsidRPr="0072588F">
        <w:rPr>
          <w:rStyle w:val="apple-converted-space"/>
          <w:rFonts w:eastAsiaTheme="majorEastAsia"/>
          <w:color w:val="333333"/>
          <w:shd w:val="clear" w:color="auto" w:fill="FCFCFC"/>
        </w:rPr>
        <w:t> </w:t>
      </w:r>
      <w:r w:rsidRPr="00E0673F">
        <w:rPr>
          <w:i/>
          <w:iCs/>
          <w:color w:val="333333"/>
          <w:lang w:val="da-DK"/>
        </w:rPr>
        <w:t>Smart Learn. Environ.</w:t>
      </w:r>
      <w:r w:rsidRPr="00E0673F">
        <w:rPr>
          <w:rStyle w:val="apple-converted-space"/>
          <w:rFonts w:eastAsiaTheme="majorEastAsia"/>
          <w:color w:val="333333"/>
          <w:shd w:val="clear" w:color="auto" w:fill="FCFCFC"/>
          <w:lang w:val="da-DK"/>
        </w:rPr>
        <w:t> </w:t>
      </w:r>
      <w:r w:rsidRPr="00E0673F">
        <w:rPr>
          <w:color w:val="333333"/>
          <w:lang w:val="da-DK"/>
        </w:rPr>
        <w:t>12</w:t>
      </w:r>
      <w:r w:rsidRPr="00E0673F">
        <w:rPr>
          <w:color w:val="333333"/>
          <w:shd w:val="clear" w:color="auto" w:fill="FCFCFC"/>
          <w:lang w:val="da-DK"/>
        </w:rPr>
        <w:t xml:space="preserve">, 5 (2025). </w:t>
      </w:r>
      <w:hyperlink r:id="rId8" w:history="1">
        <w:r w:rsidRPr="00E0673F">
          <w:rPr>
            <w:rStyle w:val="Hyperlink"/>
            <w:shd w:val="clear" w:color="auto" w:fill="FCFCFC"/>
            <w:lang w:val="da-DK"/>
          </w:rPr>
          <w:t>https://doi.org/10.1186/s40561-024-00353-2</w:t>
        </w:r>
      </w:hyperlink>
    </w:p>
    <w:p w14:paraId="152F71BA" w14:textId="77777777" w:rsidR="0072588F" w:rsidRPr="00E0673F" w:rsidRDefault="0072588F" w:rsidP="0072588F">
      <w:pPr>
        <w:ind w:left="567" w:hanging="567"/>
        <w:jc w:val="both"/>
        <w:rPr>
          <w:color w:val="333333"/>
          <w:shd w:val="clear" w:color="auto" w:fill="FFFFFF"/>
          <w:lang w:val="da-DK"/>
        </w:rPr>
      </w:pPr>
    </w:p>
    <w:p w14:paraId="123A2030" w14:textId="77777777" w:rsidR="0072588F" w:rsidRDefault="0072588F" w:rsidP="0072588F">
      <w:pPr>
        <w:ind w:left="567" w:hanging="567"/>
        <w:jc w:val="both"/>
        <w:rPr>
          <w:color w:val="000000"/>
        </w:rPr>
      </w:pPr>
      <w:r w:rsidRPr="00E0673F">
        <w:rPr>
          <w:color w:val="333333"/>
          <w:shd w:val="clear" w:color="auto" w:fill="FFFFFF"/>
          <w:lang w:val="da-DK"/>
        </w:rPr>
        <w:t>Alowais, S.A., Alghamdi, S.S., Alsuhebany, N.</w:t>
      </w:r>
      <w:r w:rsidRPr="00E0673F">
        <w:rPr>
          <w:rStyle w:val="apple-converted-space"/>
          <w:rFonts w:eastAsiaTheme="majorEastAsia"/>
          <w:color w:val="333333"/>
          <w:shd w:val="clear" w:color="auto" w:fill="FFFFFF"/>
          <w:lang w:val="da-DK"/>
        </w:rPr>
        <w:t> </w:t>
      </w:r>
      <w:r w:rsidRPr="00E0673F">
        <w:rPr>
          <w:i/>
          <w:iCs/>
          <w:color w:val="333333"/>
          <w:lang w:val="da-DK"/>
        </w:rPr>
        <w:t>et al.</w:t>
      </w:r>
      <w:r w:rsidRPr="00E0673F">
        <w:rPr>
          <w:rStyle w:val="apple-converted-space"/>
          <w:rFonts w:eastAsiaTheme="majorEastAsia"/>
          <w:color w:val="333333"/>
          <w:shd w:val="clear" w:color="auto" w:fill="FFFFFF"/>
          <w:lang w:val="da-DK"/>
        </w:rPr>
        <w:t> </w:t>
      </w:r>
      <w:r w:rsidRPr="0072588F">
        <w:rPr>
          <w:color w:val="333333"/>
          <w:shd w:val="clear" w:color="auto" w:fill="FFFFFF"/>
        </w:rPr>
        <w:t>Revolutionizing healthcare: the role of artificial intelligence in clinical practice.</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23</w:t>
      </w:r>
      <w:r w:rsidRPr="0072588F">
        <w:rPr>
          <w:color w:val="333333"/>
          <w:shd w:val="clear" w:color="auto" w:fill="FFFFFF"/>
        </w:rPr>
        <w:t xml:space="preserve">, 689 (2023). </w:t>
      </w:r>
      <w:hyperlink r:id="rId9" w:history="1">
        <w:r w:rsidRPr="0072588F">
          <w:rPr>
            <w:rStyle w:val="Hyperlink"/>
            <w:shd w:val="clear" w:color="auto" w:fill="FFFFFF"/>
          </w:rPr>
          <w:t>https://doi.org/10.1186/s12909-023-04698-z</w:t>
        </w:r>
      </w:hyperlink>
    </w:p>
    <w:p w14:paraId="7D0F277D" w14:textId="77777777" w:rsidR="0072588F" w:rsidRDefault="0072588F" w:rsidP="0072588F">
      <w:pPr>
        <w:ind w:left="567" w:hanging="567"/>
        <w:jc w:val="both"/>
        <w:rPr>
          <w:color w:val="000000"/>
        </w:rPr>
      </w:pPr>
    </w:p>
    <w:p w14:paraId="1E44767D" w14:textId="77777777" w:rsidR="0072588F" w:rsidRDefault="0072588F" w:rsidP="0072588F">
      <w:pPr>
        <w:ind w:left="567" w:hanging="567"/>
        <w:jc w:val="both"/>
        <w:rPr>
          <w:color w:val="000000"/>
        </w:rPr>
      </w:pPr>
      <w:r w:rsidRPr="0072588F">
        <w:rPr>
          <w:rStyle w:val="Strong"/>
          <w:rFonts w:eastAsiaTheme="majorEastAsia"/>
          <w:b w:val="0"/>
          <w:bCs w:val="0"/>
          <w:color w:val="000000"/>
        </w:rPr>
        <w:t>American Association of Colleges of Nursing (AACN).</w:t>
      </w:r>
      <w:r w:rsidRPr="0072588F">
        <w:rPr>
          <w:rStyle w:val="apple-converted-space"/>
          <w:rFonts w:eastAsiaTheme="majorEastAsia"/>
          <w:color w:val="000000"/>
        </w:rPr>
        <w:t> </w:t>
      </w:r>
      <w:r w:rsidRPr="0072588F">
        <w:rPr>
          <w:color w:val="000000"/>
        </w:rPr>
        <w:t>(2021).</w:t>
      </w:r>
      <w:r w:rsidRPr="0072588F">
        <w:rPr>
          <w:rStyle w:val="apple-converted-space"/>
          <w:rFonts w:eastAsiaTheme="majorEastAsia"/>
          <w:color w:val="000000"/>
        </w:rPr>
        <w:t> </w:t>
      </w:r>
      <w:r w:rsidRPr="0072588F">
        <w:rPr>
          <w:rStyle w:val="Emphasis"/>
          <w:rFonts w:eastAsiaTheme="majorEastAsia"/>
          <w:color w:val="000000"/>
        </w:rPr>
        <w:t>The essentials: Core competencies for professional nursing education</w:t>
      </w:r>
      <w:r w:rsidRPr="0072588F">
        <w:rPr>
          <w:color w:val="000000"/>
        </w:rPr>
        <w:t>. American Association of Colleges of Nursing.</w:t>
      </w:r>
      <w:r w:rsidRPr="0072588F">
        <w:rPr>
          <w:rStyle w:val="apple-converted-space"/>
          <w:rFonts w:eastAsiaTheme="majorEastAsia"/>
          <w:color w:val="000000"/>
        </w:rPr>
        <w:t> </w:t>
      </w:r>
      <w:hyperlink r:id="rId10" w:history="1">
        <w:r w:rsidRPr="0072588F">
          <w:rPr>
            <w:rStyle w:val="Hyperlink"/>
          </w:rPr>
          <w:t>https://www.aacnnursing.org/Portals/42/AcademicNursing/pdf/Essentials-2021.pdf</w:t>
        </w:r>
      </w:hyperlink>
    </w:p>
    <w:p w14:paraId="7C392AB0" w14:textId="77777777" w:rsidR="0072588F" w:rsidRDefault="0072588F" w:rsidP="0072588F">
      <w:pPr>
        <w:ind w:left="567" w:hanging="567"/>
        <w:jc w:val="both"/>
        <w:rPr>
          <w:color w:val="000000"/>
        </w:rPr>
      </w:pPr>
    </w:p>
    <w:p w14:paraId="66250090" w14:textId="400ABD64" w:rsidR="0072588F" w:rsidRDefault="0072588F" w:rsidP="0072588F">
      <w:pPr>
        <w:ind w:left="567" w:hanging="567"/>
        <w:jc w:val="both"/>
        <w:rPr>
          <w:color w:val="000000"/>
        </w:rPr>
      </w:pPr>
      <w:r w:rsidRPr="0072588F">
        <w:rPr>
          <w:color w:val="333333"/>
          <w:shd w:val="clear" w:color="auto" w:fill="FFFFFF"/>
        </w:rPr>
        <w:t>Amin, S., Muhammad, S.A. &amp; Yasmeen, R. Evaluating the impact of faculty development programs at the workplace by using reflective critique writing technique.</w:t>
      </w:r>
      <w:r w:rsidRPr="0072588F">
        <w:rPr>
          <w:rStyle w:val="apple-converted-space"/>
          <w:rFonts w:eastAsiaTheme="majorEastAsia"/>
          <w:color w:val="333333"/>
          <w:shd w:val="clear" w:color="auto" w:fill="FFFFFF"/>
        </w:rPr>
        <w:t> </w:t>
      </w:r>
      <w:r w:rsidRPr="0072588F">
        <w:rPr>
          <w:i/>
          <w:iCs/>
          <w:color w:val="333333"/>
        </w:rPr>
        <w:t>BMC Med Educ</w:t>
      </w:r>
      <w:r w:rsidRPr="0072588F">
        <w:rPr>
          <w:color w:val="333333"/>
        </w:rPr>
        <w:t>25</w:t>
      </w:r>
      <w:r w:rsidRPr="0072588F">
        <w:rPr>
          <w:color w:val="333333"/>
          <w:shd w:val="clear" w:color="auto" w:fill="FFFFFF"/>
        </w:rPr>
        <w:t xml:space="preserve">, 43 (2025). </w:t>
      </w:r>
      <w:hyperlink r:id="rId11" w:history="1">
        <w:r w:rsidRPr="00C36059">
          <w:rPr>
            <w:rStyle w:val="Hyperlink"/>
            <w:shd w:val="clear" w:color="auto" w:fill="FFFFFF"/>
          </w:rPr>
          <w:t>https://doi.org/10.1186/s12909-025-06647-4</w:t>
        </w:r>
      </w:hyperlink>
    </w:p>
    <w:p w14:paraId="4FB49D3D" w14:textId="77777777" w:rsidR="0072588F" w:rsidRDefault="0072588F" w:rsidP="0072588F">
      <w:pPr>
        <w:ind w:left="567" w:hanging="567"/>
        <w:jc w:val="both"/>
        <w:rPr>
          <w:color w:val="000000"/>
        </w:rPr>
      </w:pPr>
    </w:p>
    <w:p w14:paraId="52AFBE97" w14:textId="6B9232D1" w:rsidR="0072588F" w:rsidRDefault="0072588F" w:rsidP="0072588F">
      <w:pPr>
        <w:ind w:left="567" w:hanging="567"/>
        <w:jc w:val="both"/>
        <w:rPr>
          <w:color w:val="000000"/>
        </w:rPr>
      </w:pPr>
      <w:r w:rsidRPr="0072588F">
        <w:rPr>
          <w:color w:val="333333"/>
          <w:shd w:val="clear" w:color="auto" w:fill="FFFFFF"/>
        </w:rPr>
        <w:t xml:space="preserve">Appiah, S. Quality of nursing education </w:t>
      </w:r>
      <w:proofErr w:type="spellStart"/>
      <w:r w:rsidRPr="0072588F">
        <w:rPr>
          <w:color w:val="333333"/>
          <w:shd w:val="clear" w:color="auto" w:fill="FFFFFF"/>
        </w:rPr>
        <w:t>programme</w:t>
      </w:r>
      <w:proofErr w:type="spellEnd"/>
      <w:r w:rsidRPr="0072588F">
        <w:rPr>
          <w:color w:val="333333"/>
          <w:shd w:val="clear" w:color="auto" w:fill="FFFFFF"/>
        </w:rPr>
        <w:t xml:space="preserve"> in the Philippines: faculty members perspectives.</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19</w:t>
      </w:r>
      <w:r w:rsidRPr="0072588F">
        <w:rPr>
          <w:color w:val="333333"/>
          <w:shd w:val="clear" w:color="auto" w:fill="FFFFFF"/>
        </w:rPr>
        <w:t xml:space="preserve">, 110 (2020). </w:t>
      </w:r>
      <w:hyperlink r:id="rId12" w:history="1">
        <w:r w:rsidRPr="00C36059">
          <w:rPr>
            <w:rStyle w:val="Hyperlink"/>
            <w:shd w:val="clear" w:color="auto" w:fill="FFFFFF"/>
          </w:rPr>
          <w:t>https://doi.org/10.1186/s12912-020-00508-9</w:t>
        </w:r>
      </w:hyperlink>
    </w:p>
    <w:p w14:paraId="3F8F60CE" w14:textId="77777777" w:rsidR="0072588F" w:rsidRDefault="0072588F" w:rsidP="0072588F">
      <w:pPr>
        <w:ind w:left="567" w:hanging="567"/>
        <w:jc w:val="both"/>
        <w:rPr>
          <w:color w:val="000000"/>
        </w:rPr>
      </w:pPr>
    </w:p>
    <w:p w14:paraId="1EF7E8AB" w14:textId="77777777" w:rsidR="0072588F" w:rsidRDefault="0072588F" w:rsidP="0072588F">
      <w:pPr>
        <w:ind w:left="567" w:hanging="567"/>
        <w:jc w:val="both"/>
        <w:rPr>
          <w:rStyle w:val="apple-converted-space"/>
          <w:color w:val="000000"/>
        </w:rPr>
      </w:pPr>
      <w:r w:rsidRPr="0072588F">
        <w:rPr>
          <w:rStyle w:val="Strong"/>
          <w:rFonts w:eastAsiaTheme="majorEastAsia"/>
          <w:b w:val="0"/>
          <w:bCs w:val="0"/>
          <w:color w:val="000000"/>
        </w:rPr>
        <w:t>Asim, H. M., Vaz, A., Ahmed, A., &amp; Sadiq, S.</w:t>
      </w:r>
      <w:r w:rsidRPr="0072588F">
        <w:rPr>
          <w:rStyle w:val="apple-converted-space"/>
          <w:rFonts w:eastAsiaTheme="majorEastAsia"/>
          <w:color w:val="000000"/>
        </w:rPr>
        <w:t> </w:t>
      </w:r>
      <w:r w:rsidRPr="0072588F">
        <w:rPr>
          <w:color w:val="000000"/>
        </w:rPr>
        <w:t xml:space="preserve">(2021). A review on </w:t>
      </w:r>
      <w:proofErr w:type="gramStart"/>
      <w:r w:rsidRPr="0072588F">
        <w:rPr>
          <w:color w:val="000000"/>
        </w:rPr>
        <w:t>outcome based</w:t>
      </w:r>
      <w:proofErr w:type="gramEnd"/>
      <w:r w:rsidRPr="0072588F">
        <w:rPr>
          <w:color w:val="000000"/>
        </w:rPr>
        <w:t xml:space="preserve"> education and factors that impact student learning outcomes in tertiary education system.</w:t>
      </w:r>
      <w:r w:rsidRPr="0072588F">
        <w:rPr>
          <w:rStyle w:val="apple-converted-space"/>
          <w:rFonts w:eastAsiaTheme="majorEastAsia"/>
          <w:color w:val="000000"/>
        </w:rPr>
        <w:t> </w:t>
      </w:r>
      <w:r w:rsidRPr="0072588F">
        <w:rPr>
          <w:rStyle w:val="Emphasis"/>
          <w:rFonts w:eastAsiaTheme="majorEastAsia"/>
          <w:color w:val="000000"/>
        </w:rPr>
        <w:t>International Education Studies, 14</w:t>
      </w:r>
      <w:r w:rsidRPr="0072588F">
        <w:rPr>
          <w:color w:val="000000"/>
        </w:rPr>
        <w:t>(2), 1–10.</w:t>
      </w:r>
      <w:r w:rsidRPr="0072588F">
        <w:rPr>
          <w:rStyle w:val="apple-converted-space"/>
          <w:rFonts w:eastAsiaTheme="majorEastAsia"/>
          <w:color w:val="000000"/>
        </w:rPr>
        <w:t> </w:t>
      </w:r>
      <w:hyperlink r:id="rId13" w:tgtFrame="_new" w:history="1">
        <w:r w:rsidRPr="0072588F">
          <w:rPr>
            <w:rStyle w:val="Hyperlink"/>
            <w:rFonts w:eastAsiaTheme="majorEastAsia"/>
          </w:rPr>
          <w:t>https://doi.org/10.5539/ies.v14n2p1</w:t>
        </w:r>
      </w:hyperlink>
    </w:p>
    <w:p w14:paraId="1A0C6EB3" w14:textId="77777777" w:rsidR="0072588F" w:rsidRDefault="0072588F" w:rsidP="0072588F">
      <w:pPr>
        <w:ind w:left="567" w:hanging="567"/>
        <w:jc w:val="both"/>
        <w:rPr>
          <w:rStyle w:val="apple-converted-space"/>
          <w:color w:val="000000"/>
        </w:rPr>
      </w:pPr>
    </w:p>
    <w:p w14:paraId="09102BA6" w14:textId="77777777" w:rsidR="0072588F" w:rsidRPr="00E0673F" w:rsidRDefault="0072588F" w:rsidP="0072588F">
      <w:pPr>
        <w:ind w:left="567" w:hanging="567"/>
        <w:jc w:val="both"/>
        <w:rPr>
          <w:color w:val="000000"/>
          <w:lang w:val="da-DK"/>
        </w:rPr>
      </w:pPr>
      <w:r w:rsidRPr="0072588F">
        <w:rPr>
          <w:rStyle w:val="Strong"/>
          <w:rFonts w:eastAsiaTheme="majorEastAsia"/>
          <w:b w:val="0"/>
          <w:bCs w:val="0"/>
          <w:color w:val="000000"/>
        </w:rPr>
        <w:t>Azalia, N.</w:t>
      </w:r>
      <w:r w:rsidRPr="0072588F">
        <w:rPr>
          <w:rStyle w:val="apple-converted-space"/>
          <w:rFonts w:eastAsiaTheme="majorEastAsia"/>
          <w:color w:val="000000"/>
        </w:rPr>
        <w:t> </w:t>
      </w:r>
      <w:r w:rsidRPr="0072588F">
        <w:rPr>
          <w:color w:val="000000"/>
        </w:rPr>
        <w:t>(2025, March 14).</w:t>
      </w:r>
      <w:r w:rsidRPr="0072588F">
        <w:rPr>
          <w:rStyle w:val="apple-converted-space"/>
          <w:rFonts w:eastAsiaTheme="majorEastAsia"/>
          <w:color w:val="000000"/>
        </w:rPr>
        <w:t> </w:t>
      </w:r>
      <w:r w:rsidRPr="0072588F">
        <w:rPr>
          <w:rStyle w:val="Emphasis"/>
          <w:rFonts w:eastAsiaTheme="majorEastAsia"/>
          <w:color w:val="000000"/>
        </w:rPr>
        <w:t>Breaking barriers, embracing change: A closer look at the Philippines’ national gender policies</w:t>
      </w:r>
      <w:r w:rsidRPr="0072588F">
        <w:rPr>
          <w:color w:val="000000"/>
        </w:rPr>
        <w:t xml:space="preserve">. </w:t>
      </w:r>
      <w:r w:rsidRPr="00E0673F">
        <w:rPr>
          <w:color w:val="000000"/>
          <w:lang w:val="da-DK"/>
        </w:rPr>
        <w:t>ASEAN Centre for Energy.</w:t>
      </w:r>
      <w:r w:rsidRPr="00E0673F">
        <w:rPr>
          <w:rStyle w:val="apple-converted-space"/>
          <w:rFonts w:eastAsiaTheme="majorEastAsia"/>
          <w:color w:val="000000"/>
          <w:lang w:val="da-DK"/>
        </w:rPr>
        <w:t> </w:t>
      </w:r>
      <w:r w:rsidR="00440EBB">
        <w:fldChar w:fldCharType="begin"/>
      </w:r>
      <w:r w:rsidR="00440EBB">
        <w:instrText xml:space="preserve"> HYPERLINK "https://aseanenergy.org/perspective/blog/breaking-barriers-embracing-change-a-closer-look-at-the-philippines-national-gender-policies/" </w:instrText>
      </w:r>
      <w:r w:rsidR="00440EBB">
        <w:fldChar w:fldCharType="separate"/>
      </w:r>
      <w:r w:rsidRPr="00E0673F">
        <w:rPr>
          <w:rStyle w:val="Hyperlink"/>
          <w:lang w:val="da-DK"/>
        </w:rPr>
        <w:t>https://aseanenergy.org/perspective/blog/breaking-barriers-embracing-change-a-closer-look-at-the-philippines-national-gender-policies/</w:t>
      </w:r>
      <w:r w:rsidR="00440EBB">
        <w:rPr>
          <w:rStyle w:val="Hyperlink"/>
          <w:lang w:val="da-DK"/>
        </w:rPr>
        <w:fldChar w:fldCharType="end"/>
      </w:r>
    </w:p>
    <w:p w14:paraId="2BAFAFE0" w14:textId="77777777" w:rsidR="0072588F" w:rsidRPr="00E0673F" w:rsidRDefault="0072588F" w:rsidP="0072588F">
      <w:pPr>
        <w:ind w:left="567" w:hanging="567"/>
        <w:jc w:val="both"/>
        <w:rPr>
          <w:color w:val="000000"/>
          <w:lang w:val="da-DK"/>
        </w:rPr>
      </w:pPr>
    </w:p>
    <w:p w14:paraId="043EF710" w14:textId="77777777" w:rsidR="00D37CDB" w:rsidRDefault="0072588F" w:rsidP="00D37CDB">
      <w:pPr>
        <w:ind w:left="567" w:hanging="567"/>
        <w:jc w:val="both"/>
        <w:rPr>
          <w:color w:val="000000"/>
        </w:rPr>
      </w:pPr>
      <w:r w:rsidRPr="00296A52">
        <w:rPr>
          <w:rStyle w:val="Strong"/>
          <w:rFonts w:eastAsiaTheme="majorEastAsia"/>
          <w:b w:val="0"/>
          <w:bCs w:val="0"/>
          <w:color w:val="000000"/>
          <w:lang w:val="es-US"/>
        </w:rPr>
        <w:t xml:space="preserve">Bautista, R. N. R. A., &amp; </w:t>
      </w:r>
      <w:proofErr w:type="spellStart"/>
      <w:r w:rsidRPr="00296A52">
        <w:rPr>
          <w:rStyle w:val="Strong"/>
          <w:rFonts w:eastAsiaTheme="majorEastAsia"/>
          <w:b w:val="0"/>
          <w:bCs w:val="0"/>
          <w:color w:val="000000"/>
          <w:lang w:val="es-US"/>
        </w:rPr>
        <w:t>Orte</w:t>
      </w:r>
      <w:proofErr w:type="spellEnd"/>
      <w:r w:rsidRPr="00296A52">
        <w:rPr>
          <w:rStyle w:val="Strong"/>
          <w:rFonts w:eastAsiaTheme="majorEastAsia"/>
          <w:b w:val="0"/>
          <w:bCs w:val="0"/>
          <w:color w:val="000000"/>
          <w:lang w:val="es-US"/>
        </w:rPr>
        <w:t>, C. J. S.</w:t>
      </w:r>
      <w:r w:rsidRPr="00296A52">
        <w:rPr>
          <w:rStyle w:val="apple-converted-space"/>
          <w:rFonts w:eastAsiaTheme="majorEastAsia"/>
          <w:color w:val="000000"/>
          <w:lang w:val="es-US"/>
        </w:rPr>
        <w:t> </w:t>
      </w:r>
      <w:r w:rsidRPr="00296A52">
        <w:rPr>
          <w:color w:val="000000"/>
          <w:lang w:val="es-US"/>
        </w:rPr>
        <w:t xml:space="preserve">(2021). </w:t>
      </w:r>
      <w:r w:rsidRPr="0072588F">
        <w:rPr>
          <w:color w:val="000000"/>
        </w:rPr>
        <w:t>Perceptions of Filipino nursing deans towards Outcomes-Based Education (O.B.E.) in nursing: The case of Colleges of Nursing in Region III, Philippines.</w:t>
      </w:r>
      <w:r w:rsidRPr="0072588F">
        <w:rPr>
          <w:rStyle w:val="apple-converted-space"/>
          <w:rFonts w:eastAsiaTheme="majorEastAsia"/>
          <w:color w:val="000000"/>
        </w:rPr>
        <w:t> </w:t>
      </w:r>
      <w:r w:rsidRPr="0072588F">
        <w:rPr>
          <w:rStyle w:val="Emphasis"/>
          <w:rFonts w:eastAsiaTheme="majorEastAsia"/>
          <w:color w:val="000000"/>
        </w:rPr>
        <w:t>Annals of Medical and Health Sciences Research, 11</w:t>
      </w:r>
      <w:r w:rsidRPr="0072588F">
        <w:rPr>
          <w:color w:val="000000"/>
        </w:rPr>
        <w:t>(7), 1–11.</w:t>
      </w:r>
      <w:r w:rsidRPr="0072588F">
        <w:rPr>
          <w:rStyle w:val="apple-converted-space"/>
          <w:rFonts w:eastAsiaTheme="majorEastAsia"/>
          <w:color w:val="000000"/>
        </w:rPr>
        <w:t> </w:t>
      </w:r>
      <w:hyperlink r:id="rId14" w:history="1">
        <w:r w:rsidRPr="0072588F">
          <w:rPr>
            <w:rStyle w:val="Hyperlink"/>
          </w:rPr>
          <w:t>https://doi.org/10.4103/amhsr.amhsr_53_21</w:t>
        </w:r>
      </w:hyperlink>
    </w:p>
    <w:p w14:paraId="4762B493" w14:textId="77777777" w:rsidR="00D37CDB" w:rsidRDefault="00D37CDB" w:rsidP="00D37CDB">
      <w:pPr>
        <w:ind w:left="567" w:hanging="567"/>
        <w:jc w:val="both"/>
        <w:rPr>
          <w:rFonts w:ascii="Arial" w:hAnsi="Arial" w:cs="Arial"/>
          <w:sz w:val="18"/>
          <w:szCs w:val="18"/>
        </w:rPr>
      </w:pPr>
    </w:p>
    <w:p w14:paraId="7477EF30" w14:textId="7E98CFA4" w:rsidR="00D37CDB" w:rsidRPr="00D37CDB" w:rsidRDefault="00D37CDB" w:rsidP="00D37CDB">
      <w:pPr>
        <w:ind w:left="567" w:hanging="567"/>
        <w:jc w:val="both"/>
        <w:rPr>
          <w:color w:val="000000"/>
        </w:rPr>
      </w:pPr>
      <w:r>
        <w:rPr>
          <w:rFonts w:ascii="Arial" w:hAnsi="Arial" w:cs="Arial"/>
          <w:sz w:val="18"/>
          <w:szCs w:val="18"/>
        </w:rPr>
        <w:t>Benner, P. (1982). From novice to expert. The American Journal of Nursing, 82(3), 402–407. https://doi.org/10.2307/3462928</w:t>
      </w:r>
    </w:p>
    <w:p w14:paraId="49BAB3F4" w14:textId="77777777" w:rsidR="0072588F" w:rsidRDefault="0072588F" w:rsidP="0072588F">
      <w:pPr>
        <w:ind w:left="567" w:hanging="567"/>
        <w:jc w:val="both"/>
        <w:rPr>
          <w:color w:val="000000"/>
        </w:rPr>
      </w:pPr>
    </w:p>
    <w:p w14:paraId="1648C809" w14:textId="77777777" w:rsidR="0072588F" w:rsidRDefault="0072588F" w:rsidP="0072588F">
      <w:pPr>
        <w:ind w:left="567" w:hanging="567"/>
        <w:jc w:val="both"/>
        <w:rPr>
          <w:color w:val="000000"/>
        </w:rPr>
      </w:pPr>
      <w:proofErr w:type="spellStart"/>
      <w:r w:rsidRPr="0072588F">
        <w:rPr>
          <w:color w:val="000000"/>
        </w:rPr>
        <w:t>Benzaghta</w:t>
      </w:r>
      <w:proofErr w:type="spellEnd"/>
      <w:r w:rsidRPr="0072588F">
        <w:rPr>
          <w:color w:val="000000"/>
        </w:rPr>
        <w:t>, M. A., Elwalda, A., Mousa, M. M., Erkan, I., &amp; Rahman, M. (2021). SWOT analysis applications: An integrative literature review.</w:t>
      </w:r>
      <w:r w:rsidRPr="0072588F">
        <w:rPr>
          <w:rStyle w:val="apple-converted-space"/>
          <w:rFonts w:eastAsiaTheme="majorEastAsia"/>
          <w:color w:val="000000"/>
        </w:rPr>
        <w:t> </w:t>
      </w:r>
      <w:r w:rsidRPr="0072588F">
        <w:rPr>
          <w:rStyle w:val="Emphasis"/>
          <w:rFonts w:eastAsiaTheme="majorEastAsia"/>
          <w:color w:val="000000"/>
        </w:rPr>
        <w:t>Journal of Global Business Insights, 6</w:t>
      </w:r>
      <w:r w:rsidRPr="0072588F">
        <w:rPr>
          <w:color w:val="000000"/>
        </w:rPr>
        <w:t>(1), 55–73.</w:t>
      </w:r>
      <w:r w:rsidRPr="0072588F">
        <w:rPr>
          <w:rStyle w:val="apple-converted-space"/>
          <w:rFonts w:eastAsiaTheme="majorEastAsia"/>
          <w:color w:val="000000"/>
        </w:rPr>
        <w:t> </w:t>
      </w:r>
      <w:hyperlink r:id="rId15" w:history="1">
        <w:r w:rsidRPr="0072588F">
          <w:rPr>
            <w:rStyle w:val="Hyperlink"/>
          </w:rPr>
          <w:t>https://digitalcommons.usf.edu/globe/vol6/iss1/5</w:t>
        </w:r>
      </w:hyperlink>
    </w:p>
    <w:p w14:paraId="78461024" w14:textId="77777777" w:rsidR="0072588F" w:rsidRDefault="0072588F" w:rsidP="0072588F">
      <w:pPr>
        <w:ind w:left="567" w:hanging="567"/>
        <w:jc w:val="both"/>
        <w:rPr>
          <w:color w:val="000000"/>
        </w:rPr>
      </w:pPr>
    </w:p>
    <w:p w14:paraId="3F267BDE" w14:textId="77777777" w:rsidR="0072588F" w:rsidRDefault="0072588F" w:rsidP="0072588F">
      <w:pPr>
        <w:ind w:left="567" w:hanging="567"/>
        <w:jc w:val="both"/>
        <w:rPr>
          <w:color w:val="000000"/>
        </w:rPr>
      </w:pPr>
      <w:r w:rsidRPr="0072588F">
        <w:rPr>
          <w:color w:val="1B1B1B"/>
          <w:shd w:val="clear" w:color="auto" w:fill="FFFFFF"/>
        </w:rPr>
        <w:t xml:space="preserve">Buckley K, Fairman K, Pogge E, Raney E. Use of Learning Management System Data to Predict Student Success in a Pharmacy Capstone Course. </w:t>
      </w:r>
      <w:r w:rsidRPr="000B5B72">
        <w:rPr>
          <w:i/>
          <w:iCs/>
          <w:color w:val="1B1B1B"/>
          <w:shd w:val="clear" w:color="auto" w:fill="FFFFFF"/>
        </w:rPr>
        <w:t>Am J Pharm Educ.</w:t>
      </w:r>
      <w:r w:rsidRPr="0072588F">
        <w:rPr>
          <w:color w:val="1B1B1B"/>
          <w:shd w:val="clear" w:color="auto" w:fill="FFFFFF"/>
        </w:rPr>
        <w:t xml:space="preserve"> 2022 Apr;86(4):8594. </w:t>
      </w:r>
      <w:proofErr w:type="spellStart"/>
      <w:r w:rsidRPr="0072588F">
        <w:rPr>
          <w:color w:val="1B1B1B"/>
          <w:shd w:val="clear" w:color="auto" w:fill="FFFFFF"/>
        </w:rPr>
        <w:t>doi</w:t>
      </w:r>
      <w:proofErr w:type="spellEnd"/>
      <w:r w:rsidRPr="0072588F">
        <w:rPr>
          <w:color w:val="1B1B1B"/>
          <w:shd w:val="clear" w:color="auto" w:fill="FFFFFF"/>
        </w:rPr>
        <w:t xml:space="preserve">: 10.5688/ajpe8594. </w:t>
      </w:r>
      <w:proofErr w:type="spellStart"/>
      <w:r w:rsidRPr="0072588F">
        <w:rPr>
          <w:color w:val="1B1B1B"/>
          <w:shd w:val="clear" w:color="auto" w:fill="FFFFFF"/>
        </w:rPr>
        <w:t>Epub</w:t>
      </w:r>
      <w:proofErr w:type="spellEnd"/>
      <w:r w:rsidRPr="0072588F">
        <w:rPr>
          <w:color w:val="1B1B1B"/>
          <w:shd w:val="clear" w:color="auto" w:fill="FFFFFF"/>
        </w:rPr>
        <w:t xml:space="preserve"> 2021 Aug 12. PMID: 34385169; PMCID: PMC10159413.</w:t>
      </w:r>
    </w:p>
    <w:p w14:paraId="152953CB" w14:textId="77777777" w:rsidR="0072588F" w:rsidRDefault="0072588F" w:rsidP="0072588F">
      <w:pPr>
        <w:ind w:left="567" w:hanging="567"/>
        <w:jc w:val="both"/>
        <w:rPr>
          <w:color w:val="000000"/>
        </w:rPr>
      </w:pPr>
    </w:p>
    <w:p w14:paraId="5692F8F3" w14:textId="77777777" w:rsidR="0072588F" w:rsidRDefault="0072588F" w:rsidP="0072588F">
      <w:pPr>
        <w:ind w:left="567" w:hanging="567"/>
        <w:jc w:val="both"/>
        <w:rPr>
          <w:color w:val="000000"/>
        </w:rPr>
      </w:pPr>
      <w:r w:rsidRPr="0072588F">
        <w:rPr>
          <w:color w:val="000000"/>
        </w:rPr>
        <w:lastRenderedPageBreak/>
        <w:t>Bustos, R. (2024).</w:t>
      </w:r>
      <w:r w:rsidRPr="0072588F">
        <w:rPr>
          <w:rStyle w:val="apple-converted-space"/>
          <w:rFonts w:eastAsiaTheme="majorEastAsia"/>
          <w:color w:val="000000"/>
        </w:rPr>
        <w:t> </w:t>
      </w:r>
      <w:r w:rsidRPr="0072588F">
        <w:rPr>
          <w:rStyle w:val="Emphasis"/>
          <w:rFonts w:eastAsiaTheme="majorEastAsia"/>
          <w:color w:val="000000"/>
        </w:rPr>
        <w:t>Bridging the gap: Aligning higher education priorities with the shifting job landscape in the Philippines</w:t>
      </w:r>
      <w:r w:rsidRPr="0072588F">
        <w:rPr>
          <w:color w:val="000000"/>
        </w:rPr>
        <w:t>.</w:t>
      </w:r>
      <w:r w:rsidRPr="0072588F">
        <w:rPr>
          <w:rStyle w:val="apple-converted-space"/>
          <w:rFonts w:eastAsiaTheme="majorEastAsia"/>
          <w:color w:val="000000"/>
        </w:rPr>
        <w:t> </w:t>
      </w:r>
      <w:proofErr w:type="spellStart"/>
      <w:r w:rsidRPr="0072588F">
        <w:rPr>
          <w:rStyle w:val="Strong"/>
          <w:rFonts w:eastAsiaTheme="majorEastAsia"/>
          <w:b w:val="0"/>
          <w:bCs w:val="0"/>
          <w:color w:val="000000"/>
        </w:rPr>
        <w:t>Recoletos</w:t>
      </w:r>
      <w:proofErr w:type="spellEnd"/>
      <w:r w:rsidRPr="0072588F">
        <w:rPr>
          <w:rStyle w:val="Strong"/>
          <w:rFonts w:eastAsiaTheme="majorEastAsia"/>
          <w:b w:val="0"/>
          <w:bCs w:val="0"/>
          <w:color w:val="000000"/>
        </w:rPr>
        <w:t xml:space="preserve"> Multidisciplinary Research Journal, 12</w:t>
      </w:r>
      <w:r w:rsidRPr="0072588F">
        <w:rPr>
          <w:color w:val="000000"/>
        </w:rPr>
        <w:t>(1), 9–24.</w:t>
      </w:r>
      <w:r w:rsidRPr="0072588F">
        <w:rPr>
          <w:rStyle w:val="apple-converted-space"/>
          <w:rFonts w:eastAsiaTheme="majorEastAsia"/>
          <w:color w:val="000000"/>
        </w:rPr>
        <w:t> </w:t>
      </w:r>
      <w:hyperlink r:id="rId16" w:history="1">
        <w:r w:rsidRPr="0072588F">
          <w:rPr>
            <w:rStyle w:val="Hyperlink"/>
          </w:rPr>
          <w:t>https://doi.org/10.32871/rmrj2412.01.02</w:t>
        </w:r>
      </w:hyperlink>
    </w:p>
    <w:p w14:paraId="50E1A1AB" w14:textId="77777777" w:rsidR="0072588F" w:rsidRDefault="0072588F" w:rsidP="0072588F">
      <w:pPr>
        <w:ind w:left="567" w:hanging="567"/>
        <w:jc w:val="both"/>
        <w:rPr>
          <w:color w:val="000000"/>
        </w:rPr>
      </w:pPr>
    </w:p>
    <w:p w14:paraId="0F9391F2" w14:textId="77777777" w:rsidR="0072588F" w:rsidRDefault="0072588F" w:rsidP="0072588F">
      <w:pPr>
        <w:ind w:left="567" w:hanging="567"/>
        <w:jc w:val="both"/>
        <w:rPr>
          <w:color w:val="000000"/>
        </w:rPr>
      </w:pPr>
      <w:r w:rsidRPr="0072588F">
        <w:rPr>
          <w:color w:val="1B1B1B"/>
          <w:shd w:val="clear" w:color="auto" w:fill="FFFFFF"/>
        </w:rPr>
        <w:t xml:space="preserve">Campbell S, Greenwood M, Prior S, Shearer T, </w:t>
      </w:r>
      <w:proofErr w:type="spellStart"/>
      <w:r w:rsidRPr="0072588F">
        <w:rPr>
          <w:color w:val="1B1B1B"/>
          <w:shd w:val="clear" w:color="auto" w:fill="FFFFFF"/>
        </w:rPr>
        <w:t>Walkem</w:t>
      </w:r>
      <w:proofErr w:type="spellEnd"/>
      <w:r w:rsidRPr="0072588F">
        <w:rPr>
          <w:color w:val="1B1B1B"/>
          <w:shd w:val="clear" w:color="auto" w:fill="FFFFFF"/>
        </w:rPr>
        <w:t xml:space="preserve"> K, Young S, Bywaters D, Walker K.</w:t>
      </w:r>
      <w:r>
        <w:rPr>
          <w:color w:val="1B1B1B"/>
          <w:shd w:val="clear" w:color="auto" w:fill="FFFFFF"/>
        </w:rPr>
        <w:t xml:space="preserve"> </w:t>
      </w:r>
      <w:r w:rsidRPr="0072588F">
        <w:rPr>
          <w:color w:val="1B1B1B"/>
          <w:shd w:val="clear" w:color="auto" w:fill="FFFFFF"/>
        </w:rPr>
        <w:t xml:space="preserve">Purposive sampling: complex or simple? Research case examples. </w:t>
      </w:r>
      <w:r w:rsidRPr="000B5B72">
        <w:rPr>
          <w:i/>
          <w:iCs/>
          <w:color w:val="1B1B1B"/>
          <w:shd w:val="clear" w:color="auto" w:fill="FFFFFF"/>
        </w:rPr>
        <w:t xml:space="preserve">J Res </w:t>
      </w:r>
      <w:proofErr w:type="spellStart"/>
      <w:r w:rsidRPr="000B5B72">
        <w:rPr>
          <w:i/>
          <w:iCs/>
          <w:color w:val="1B1B1B"/>
          <w:shd w:val="clear" w:color="auto" w:fill="FFFFFF"/>
        </w:rPr>
        <w:t>Nurs</w:t>
      </w:r>
      <w:proofErr w:type="spellEnd"/>
      <w:r w:rsidRPr="000B5B72">
        <w:rPr>
          <w:i/>
          <w:iCs/>
          <w:color w:val="1B1B1B"/>
          <w:shd w:val="clear" w:color="auto" w:fill="FFFFFF"/>
        </w:rPr>
        <w:t>.</w:t>
      </w:r>
      <w:r w:rsidRPr="0072588F">
        <w:rPr>
          <w:color w:val="1B1B1B"/>
          <w:shd w:val="clear" w:color="auto" w:fill="FFFFFF"/>
        </w:rPr>
        <w:t xml:space="preserve"> 2020 Dec;25(8):652-661. </w:t>
      </w:r>
      <w:proofErr w:type="spellStart"/>
      <w:r w:rsidRPr="0072588F">
        <w:rPr>
          <w:color w:val="1B1B1B"/>
          <w:shd w:val="clear" w:color="auto" w:fill="FFFFFF"/>
        </w:rPr>
        <w:t>doi</w:t>
      </w:r>
      <w:proofErr w:type="spellEnd"/>
      <w:r w:rsidRPr="0072588F">
        <w:rPr>
          <w:color w:val="1B1B1B"/>
          <w:shd w:val="clear" w:color="auto" w:fill="FFFFFF"/>
        </w:rPr>
        <w:t xml:space="preserve">: 10.1177/1744987120927206. </w:t>
      </w:r>
      <w:proofErr w:type="spellStart"/>
      <w:r w:rsidRPr="0072588F">
        <w:rPr>
          <w:color w:val="1B1B1B"/>
          <w:shd w:val="clear" w:color="auto" w:fill="FFFFFF"/>
        </w:rPr>
        <w:t>Epub</w:t>
      </w:r>
      <w:proofErr w:type="spellEnd"/>
      <w:r w:rsidRPr="0072588F">
        <w:rPr>
          <w:color w:val="1B1B1B"/>
          <w:shd w:val="clear" w:color="auto" w:fill="FFFFFF"/>
        </w:rPr>
        <w:t xml:space="preserve"> 2020 Jun 18. PMID: 34394687; PMCID: PMC7932468.</w:t>
      </w:r>
    </w:p>
    <w:p w14:paraId="1C03874E" w14:textId="77777777" w:rsidR="0072588F" w:rsidRDefault="0072588F" w:rsidP="0072588F">
      <w:pPr>
        <w:ind w:left="567" w:hanging="567"/>
        <w:jc w:val="both"/>
        <w:rPr>
          <w:color w:val="000000"/>
        </w:rPr>
      </w:pPr>
    </w:p>
    <w:p w14:paraId="4DAE4236" w14:textId="77777777" w:rsidR="0072588F" w:rsidRDefault="0072588F" w:rsidP="0072588F">
      <w:pPr>
        <w:ind w:left="567" w:hanging="567"/>
        <w:jc w:val="both"/>
        <w:rPr>
          <w:color w:val="000000"/>
        </w:rPr>
      </w:pPr>
      <w:r w:rsidRPr="0072588F">
        <w:rPr>
          <w:color w:val="1B1B1B"/>
          <w:shd w:val="clear" w:color="auto" w:fill="FFFFFF"/>
        </w:rPr>
        <w:t xml:space="preserve">Capili B, Anastasi JK. Ethical Research and the Institutional Review Board: An Introduction. </w:t>
      </w:r>
      <w:r w:rsidRPr="000B5B72">
        <w:rPr>
          <w:i/>
          <w:iCs/>
          <w:color w:val="1B1B1B"/>
          <w:shd w:val="clear" w:color="auto" w:fill="FFFFFF"/>
        </w:rPr>
        <w:t xml:space="preserve">Am J </w:t>
      </w:r>
      <w:proofErr w:type="spellStart"/>
      <w:r w:rsidRPr="000B5B72">
        <w:rPr>
          <w:i/>
          <w:iCs/>
          <w:color w:val="1B1B1B"/>
          <w:shd w:val="clear" w:color="auto" w:fill="FFFFFF"/>
        </w:rPr>
        <w:t>Nurs</w:t>
      </w:r>
      <w:proofErr w:type="spellEnd"/>
      <w:r w:rsidRPr="0072588F">
        <w:rPr>
          <w:color w:val="1B1B1B"/>
          <w:shd w:val="clear" w:color="auto" w:fill="FFFFFF"/>
        </w:rPr>
        <w:t xml:space="preserve">. 2024 Mar 1;124(3):50-54. </w:t>
      </w:r>
      <w:proofErr w:type="spellStart"/>
      <w:r w:rsidRPr="0072588F">
        <w:rPr>
          <w:color w:val="1B1B1B"/>
          <w:shd w:val="clear" w:color="auto" w:fill="FFFFFF"/>
        </w:rPr>
        <w:t>doi</w:t>
      </w:r>
      <w:proofErr w:type="spellEnd"/>
      <w:r w:rsidRPr="0072588F">
        <w:rPr>
          <w:color w:val="1B1B1B"/>
          <w:shd w:val="clear" w:color="auto" w:fill="FFFFFF"/>
        </w:rPr>
        <w:t>: 10.1097/01.NAJ.</w:t>
      </w:r>
      <w:proofErr w:type="gramStart"/>
      <w:r w:rsidRPr="0072588F">
        <w:rPr>
          <w:color w:val="1B1B1B"/>
          <w:shd w:val="clear" w:color="auto" w:fill="FFFFFF"/>
        </w:rPr>
        <w:t>0001008420.28033.e</w:t>
      </w:r>
      <w:proofErr w:type="gramEnd"/>
      <w:r w:rsidRPr="0072588F">
        <w:rPr>
          <w:color w:val="1B1B1B"/>
          <w:shd w:val="clear" w:color="auto" w:fill="FFFFFF"/>
        </w:rPr>
        <w:t xml:space="preserve">8. </w:t>
      </w:r>
      <w:proofErr w:type="spellStart"/>
      <w:r w:rsidRPr="0072588F">
        <w:rPr>
          <w:color w:val="1B1B1B"/>
          <w:shd w:val="clear" w:color="auto" w:fill="FFFFFF"/>
        </w:rPr>
        <w:t>Epub</w:t>
      </w:r>
      <w:proofErr w:type="spellEnd"/>
      <w:r w:rsidRPr="0072588F">
        <w:rPr>
          <w:color w:val="1B1B1B"/>
          <w:shd w:val="clear" w:color="auto" w:fill="FFFFFF"/>
        </w:rPr>
        <w:t xml:space="preserve"> 2024 Feb 22. PMID: 38386835; PMCID: PMC10885741.</w:t>
      </w:r>
    </w:p>
    <w:p w14:paraId="6E178FAD" w14:textId="77777777" w:rsidR="0072588F" w:rsidRDefault="0072588F" w:rsidP="0072588F">
      <w:pPr>
        <w:ind w:left="567" w:hanging="567"/>
        <w:jc w:val="both"/>
        <w:rPr>
          <w:color w:val="000000"/>
        </w:rPr>
      </w:pPr>
    </w:p>
    <w:p w14:paraId="482F19E2" w14:textId="77777777" w:rsidR="0072588F" w:rsidRDefault="0072588F" w:rsidP="0072588F">
      <w:pPr>
        <w:ind w:left="567" w:hanging="567"/>
        <w:jc w:val="both"/>
      </w:pPr>
      <w:r w:rsidRPr="00E0673F">
        <w:rPr>
          <w:color w:val="000000"/>
          <w:lang w:val="sv-SE"/>
        </w:rPr>
        <w:t xml:space="preserve">Chanda, T. C., Sain, Z. H., Mpolomoka, D. L., Akpan, W. M., &amp; Davy, M. (2024). </w:t>
      </w:r>
      <w:r w:rsidRPr="0072588F">
        <w:rPr>
          <w:color w:val="000000"/>
        </w:rPr>
        <w:t>Curriculum design for the digital age: Strategies for effective technology integration in higher education.</w:t>
      </w:r>
      <w:r w:rsidRPr="0072588F">
        <w:rPr>
          <w:rStyle w:val="apple-converted-space"/>
          <w:rFonts w:eastAsiaTheme="majorEastAsia"/>
          <w:color w:val="000000"/>
        </w:rPr>
        <w:t> </w:t>
      </w:r>
      <w:r w:rsidRPr="0072588F">
        <w:rPr>
          <w:rStyle w:val="Emphasis"/>
          <w:rFonts w:eastAsiaTheme="majorEastAsia"/>
          <w:color w:val="000000"/>
        </w:rPr>
        <w:t>International Journal of Research, 11</w:t>
      </w:r>
      <w:r w:rsidRPr="0072588F">
        <w:rPr>
          <w:color w:val="000000"/>
        </w:rPr>
        <w:t>(7), 185–201.</w:t>
      </w:r>
      <w:r w:rsidRPr="0072588F">
        <w:rPr>
          <w:rStyle w:val="apple-converted-space"/>
          <w:rFonts w:eastAsiaTheme="majorEastAsia"/>
          <w:color w:val="000000"/>
        </w:rPr>
        <w:t> </w:t>
      </w:r>
      <w:hyperlink r:id="rId17" w:history="1">
        <w:r w:rsidRPr="0072588F">
          <w:rPr>
            <w:rStyle w:val="Hyperlink"/>
          </w:rPr>
          <w:t>https://doi.org/10.5281/zenodo.13123899</w:t>
        </w:r>
      </w:hyperlink>
    </w:p>
    <w:p w14:paraId="03B1CC01" w14:textId="77777777" w:rsidR="0072588F" w:rsidRDefault="0072588F" w:rsidP="0072588F">
      <w:pPr>
        <w:ind w:left="567" w:hanging="567"/>
        <w:jc w:val="both"/>
      </w:pPr>
    </w:p>
    <w:p w14:paraId="6C4B8A3C" w14:textId="40E8A4A3" w:rsidR="0072588F" w:rsidRDefault="0072588F" w:rsidP="0072588F">
      <w:pPr>
        <w:ind w:left="567" w:hanging="567"/>
        <w:jc w:val="both"/>
        <w:rPr>
          <w:color w:val="000000"/>
        </w:rPr>
      </w:pPr>
      <w:r w:rsidRPr="0072588F">
        <w:t xml:space="preserve">Chauvette, Amelia; Paul, Pauline; and </w:t>
      </w:r>
      <w:proofErr w:type="spellStart"/>
      <w:r w:rsidRPr="0072588F">
        <w:t>Kleib</w:t>
      </w:r>
      <w:proofErr w:type="spellEnd"/>
      <w:r w:rsidRPr="0072588F">
        <w:t>, Manal (2022) "The impetus of COVID-19 in transforming nursing</w:t>
      </w:r>
      <w:r w:rsidR="000B5B72">
        <w:t xml:space="preserve"> </w:t>
      </w:r>
      <w:r w:rsidR="000B5B72" w:rsidRPr="0072588F">
        <w:t xml:space="preserve">education through informatics," </w:t>
      </w:r>
      <w:r w:rsidR="000B5B72" w:rsidRPr="000B5B72">
        <w:rPr>
          <w:i/>
          <w:iCs/>
        </w:rPr>
        <w:t>Quality Advancement in Nursing Education</w:t>
      </w:r>
      <w:r w:rsidR="000B5B72" w:rsidRPr="0072588F">
        <w:t xml:space="preserve"> - </w:t>
      </w:r>
      <w:proofErr w:type="spellStart"/>
      <w:r w:rsidR="000B5B72" w:rsidRPr="0072588F">
        <w:t>Avancées</w:t>
      </w:r>
      <w:proofErr w:type="spellEnd"/>
      <w:r w:rsidR="000B5B72" w:rsidRPr="0072588F">
        <w:t xml:space="preserve"> </w:t>
      </w:r>
      <w:proofErr w:type="spellStart"/>
      <w:r w:rsidR="000B5B72" w:rsidRPr="0072588F">
        <w:t>en</w:t>
      </w:r>
      <w:proofErr w:type="spellEnd"/>
      <w:r w:rsidR="000B5B72" w:rsidRPr="0072588F">
        <w:t xml:space="preserve"> formation </w:t>
      </w:r>
      <w:proofErr w:type="spellStart"/>
      <w:r w:rsidR="000B5B72" w:rsidRPr="0072588F">
        <w:t>infirmière</w:t>
      </w:r>
      <w:proofErr w:type="spellEnd"/>
      <w:r w:rsidR="000B5B72" w:rsidRPr="0072588F">
        <w:t>: Vol. 8:</w:t>
      </w:r>
    </w:p>
    <w:p w14:paraId="77235ADA" w14:textId="77777777" w:rsidR="0072588F" w:rsidRDefault="0072588F" w:rsidP="0072588F">
      <w:pPr>
        <w:ind w:left="567" w:hanging="567"/>
        <w:jc w:val="both"/>
        <w:rPr>
          <w:color w:val="000000"/>
        </w:rPr>
      </w:pPr>
    </w:p>
    <w:p w14:paraId="0725B381" w14:textId="2D79D303" w:rsidR="0072588F" w:rsidRDefault="0072588F" w:rsidP="0072588F">
      <w:pPr>
        <w:ind w:left="567" w:hanging="567"/>
        <w:jc w:val="both"/>
        <w:rPr>
          <w:color w:val="000000"/>
        </w:rPr>
      </w:pPr>
      <w:r w:rsidRPr="0072588F">
        <w:rPr>
          <w:color w:val="000000"/>
        </w:rPr>
        <w:t>Cleggett, M. (2024).</w:t>
      </w:r>
      <w:r w:rsidRPr="0072588F">
        <w:rPr>
          <w:rStyle w:val="apple-converted-space"/>
          <w:rFonts w:eastAsiaTheme="majorEastAsia"/>
          <w:color w:val="000000"/>
        </w:rPr>
        <w:t> </w:t>
      </w:r>
      <w:r w:rsidRPr="0072588F">
        <w:rPr>
          <w:rStyle w:val="Emphasis"/>
          <w:rFonts w:eastAsiaTheme="majorEastAsia"/>
          <w:color w:val="000000"/>
        </w:rPr>
        <w:t>Nursing students’ perceptions of concept-based curriculum</w:t>
      </w:r>
      <w:r w:rsidRPr="0072588F">
        <w:rPr>
          <w:rStyle w:val="apple-converted-space"/>
          <w:rFonts w:eastAsiaTheme="majorEastAsia"/>
          <w:color w:val="000000"/>
        </w:rPr>
        <w:t> </w:t>
      </w:r>
      <w:r w:rsidRPr="0072588F">
        <w:rPr>
          <w:color w:val="000000"/>
        </w:rPr>
        <w:t>(Doctoral dissertation, Walden University). Walden Dissertations and Doctoral Studies.</w:t>
      </w:r>
      <w:r w:rsidRPr="0072588F">
        <w:rPr>
          <w:rStyle w:val="apple-converted-space"/>
          <w:rFonts w:eastAsiaTheme="majorEastAsia"/>
          <w:color w:val="000000"/>
        </w:rPr>
        <w:t> </w:t>
      </w:r>
      <w:hyperlink r:id="rId18" w:history="1">
        <w:r w:rsidRPr="00C36059">
          <w:rPr>
            <w:rStyle w:val="Hyperlink"/>
          </w:rPr>
          <w:t>https://scholarworks.waldenu.edu/dissertations/14994</w:t>
        </w:r>
      </w:hyperlink>
    </w:p>
    <w:p w14:paraId="449CEA49" w14:textId="77777777" w:rsidR="0072588F" w:rsidRDefault="0072588F" w:rsidP="0072588F">
      <w:pPr>
        <w:ind w:left="567" w:hanging="567"/>
        <w:jc w:val="both"/>
        <w:rPr>
          <w:rStyle w:val="relative"/>
          <w:color w:val="000000"/>
        </w:rPr>
      </w:pPr>
      <w:r w:rsidRPr="0072588F">
        <w:rPr>
          <w:rStyle w:val="relative"/>
          <w:rFonts w:eastAsiaTheme="majorEastAsia"/>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CHED memorandum order no. 15, series of 2017: Policies, standards, and guidelines for the Bachelor of Science in Nursing program</w:t>
      </w:r>
      <w:r w:rsidRPr="0072588F">
        <w:rPr>
          <w:rStyle w:val="apple-converted-space"/>
          <w:rFonts w:eastAsiaTheme="majorEastAsia"/>
          <w:color w:val="000000"/>
        </w:rPr>
        <w:t> </w:t>
      </w:r>
      <w:r w:rsidRPr="0072588F">
        <w:rPr>
          <w:rStyle w:val="relative"/>
          <w:rFonts w:eastAsiaTheme="majorEastAsia"/>
          <w:color w:val="000000"/>
        </w:rPr>
        <w:t>(CMO No. 15, s. 2017). Retrieved June 15, 2025, from</w:t>
      </w:r>
      <w:r w:rsidRPr="0072588F">
        <w:rPr>
          <w:rStyle w:val="apple-converted-space"/>
          <w:rFonts w:eastAsiaTheme="majorEastAsia"/>
          <w:color w:val="000000"/>
        </w:rPr>
        <w:t> </w:t>
      </w:r>
      <w:hyperlink r:id="rId19" w:tgtFrame="_new" w:history="1">
        <w:r w:rsidRPr="0072588F">
          <w:rPr>
            <w:rStyle w:val="Hyperlink"/>
            <w:rFonts w:eastAsiaTheme="majorEastAsia"/>
          </w:rPr>
          <w:t>https://ched.gov.ph/2017-ched-memorandum-orders/</w:t>
        </w:r>
      </w:hyperlink>
    </w:p>
    <w:p w14:paraId="483DBC44" w14:textId="77777777" w:rsidR="0072588F" w:rsidRDefault="0072588F" w:rsidP="0072588F">
      <w:pPr>
        <w:ind w:left="567" w:hanging="567"/>
        <w:jc w:val="both"/>
        <w:rPr>
          <w:rStyle w:val="relative"/>
          <w:color w:val="000000"/>
        </w:rPr>
      </w:pPr>
    </w:p>
    <w:p w14:paraId="2EA6830C" w14:textId="77777777" w:rsidR="0072588F" w:rsidRPr="00E0673F" w:rsidRDefault="0072588F" w:rsidP="0072588F">
      <w:pPr>
        <w:ind w:left="567" w:hanging="567"/>
        <w:jc w:val="both"/>
        <w:rPr>
          <w:color w:val="000000"/>
          <w:lang w:val="nl-NL"/>
        </w:rPr>
      </w:pPr>
      <w:r w:rsidRPr="0072588F">
        <w:rPr>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Policies, standards and guidelines for the Bachelor of Science in Nursing (BSN) program</w:t>
      </w:r>
      <w:r w:rsidRPr="0072588F">
        <w:rPr>
          <w:rStyle w:val="apple-converted-space"/>
          <w:rFonts w:eastAsiaTheme="majorEastAsia"/>
          <w:color w:val="000000"/>
        </w:rPr>
        <w:t> </w:t>
      </w:r>
      <w:r w:rsidRPr="0072588F">
        <w:rPr>
          <w:color w:val="000000"/>
        </w:rPr>
        <w:t>(CHED Memorandum Order No. 15, series of 2017).</w:t>
      </w:r>
      <w:r w:rsidRPr="0072588F">
        <w:rPr>
          <w:rStyle w:val="apple-converted-space"/>
          <w:rFonts w:eastAsiaTheme="majorEastAsia"/>
          <w:color w:val="000000"/>
        </w:rPr>
        <w:t> </w:t>
      </w:r>
      <w:hyperlink r:id="rId20" w:history="1">
        <w:r w:rsidRPr="00E0673F">
          <w:rPr>
            <w:rStyle w:val="Hyperlink"/>
            <w:lang w:val="nl-NL"/>
          </w:rPr>
          <w:t>https://ched.gov.ph/wp-content/uploads/2017/10/CMO-15-s-2017.pdf</w:t>
        </w:r>
      </w:hyperlink>
    </w:p>
    <w:p w14:paraId="693696EC" w14:textId="77777777" w:rsidR="0072588F" w:rsidRPr="00E0673F" w:rsidRDefault="0072588F" w:rsidP="0072588F">
      <w:pPr>
        <w:ind w:left="567" w:hanging="567"/>
        <w:jc w:val="both"/>
        <w:rPr>
          <w:color w:val="000000"/>
          <w:lang w:val="nl-NL"/>
        </w:rPr>
      </w:pPr>
    </w:p>
    <w:p w14:paraId="6E99A1F3" w14:textId="77777777" w:rsidR="0072588F" w:rsidRDefault="0072588F" w:rsidP="0072588F">
      <w:pPr>
        <w:ind w:left="567" w:hanging="567"/>
        <w:jc w:val="both"/>
        <w:rPr>
          <w:color w:val="000000"/>
        </w:rPr>
      </w:pPr>
      <w:r w:rsidRPr="00E0673F">
        <w:rPr>
          <w:color w:val="000000"/>
          <w:lang w:val="nl-NL"/>
        </w:rPr>
        <w:t xml:space="preserve">Cordova-Pozo, K., &amp; Rouwette, E. A. J. A. (2023). </w:t>
      </w:r>
      <w:r w:rsidRPr="0072588F">
        <w:rPr>
          <w:color w:val="000000"/>
        </w:rPr>
        <w:t>Types of scenario planning and their effectiveness: A review of reviews.</w:t>
      </w:r>
      <w:r w:rsidRPr="0072588F">
        <w:rPr>
          <w:rStyle w:val="apple-converted-space"/>
          <w:rFonts w:eastAsiaTheme="majorEastAsia"/>
          <w:color w:val="000000"/>
        </w:rPr>
        <w:t> </w:t>
      </w:r>
      <w:r w:rsidRPr="0072588F">
        <w:rPr>
          <w:rStyle w:val="Emphasis"/>
          <w:rFonts w:eastAsiaTheme="majorEastAsia"/>
          <w:color w:val="000000"/>
        </w:rPr>
        <w:t>Futures, 149</w:t>
      </w:r>
      <w:r w:rsidRPr="0072588F">
        <w:rPr>
          <w:color w:val="000000"/>
        </w:rPr>
        <w:t>, 103153.</w:t>
      </w:r>
      <w:r w:rsidRPr="0072588F">
        <w:rPr>
          <w:rStyle w:val="apple-converted-space"/>
          <w:rFonts w:eastAsiaTheme="majorEastAsia"/>
          <w:color w:val="000000"/>
        </w:rPr>
        <w:t> </w:t>
      </w:r>
      <w:hyperlink r:id="rId21" w:tgtFrame="_new" w:history="1">
        <w:r w:rsidRPr="0072588F">
          <w:rPr>
            <w:rStyle w:val="Hyperlink"/>
            <w:rFonts w:eastAsiaTheme="majorEastAsia"/>
          </w:rPr>
          <w:t>https://doi.org/10.1016/j.futures.2023.103153</w:t>
        </w:r>
      </w:hyperlink>
    </w:p>
    <w:p w14:paraId="2F125C0F" w14:textId="77777777" w:rsidR="0072588F" w:rsidRDefault="0072588F" w:rsidP="0072588F">
      <w:pPr>
        <w:ind w:left="567" w:hanging="567"/>
        <w:jc w:val="both"/>
        <w:rPr>
          <w:color w:val="1B1B1B"/>
          <w:shd w:val="clear" w:color="auto" w:fill="FFFFFF"/>
        </w:rPr>
      </w:pPr>
    </w:p>
    <w:p w14:paraId="023349DD" w14:textId="77777777" w:rsidR="0072588F" w:rsidRPr="00296A52" w:rsidRDefault="0072588F" w:rsidP="0072588F">
      <w:pPr>
        <w:ind w:left="567" w:hanging="567"/>
        <w:jc w:val="both"/>
        <w:rPr>
          <w:color w:val="1B1B1B"/>
          <w:shd w:val="clear" w:color="auto" w:fill="FFFFFF"/>
          <w:lang w:val="es-US"/>
        </w:rPr>
      </w:pPr>
      <w:r w:rsidRPr="0072588F">
        <w:rPr>
          <w:color w:val="1B1B1B"/>
          <w:shd w:val="clear" w:color="auto" w:fill="FFFFFF"/>
        </w:rPr>
        <w:t xml:space="preserve">Corpuz JCG. Advancing Filipino Healthcare: The Plight of Filipino Nurses in a </w:t>
      </w:r>
      <w:proofErr w:type="spellStart"/>
      <w:r w:rsidRPr="0072588F">
        <w:rPr>
          <w:color w:val="1B1B1B"/>
          <w:shd w:val="clear" w:color="auto" w:fill="FFFFFF"/>
        </w:rPr>
        <w:t>Postpandemic</w:t>
      </w:r>
      <w:proofErr w:type="spellEnd"/>
      <w:r w:rsidRPr="0072588F">
        <w:rPr>
          <w:color w:val="1B1B1B"/>
          <w:shd w:val="clear" w:color="auto" w:fill="FFFFFF"/>
        </w:rPr>
        <w:t xml:space="preserve"> World. </w:t>
      </w:r>
      <w:r w:rsidRPr="00296A52">
        <w:rPr>
          <w:color w:val="1B1B1B"/>
          <w:shd w:val="clear" w:color="auto" w:fill="FFFFFF"/>
          <w:lang w:val="es-US"/>
        </w:rPr>
        <w:t xml:space="preserve">SAGE </w:t>
      </w:r>
      <w:r w:rsidRPr="00296A52">
        <w:rPr>
          <w:i/>
          <w:iCs/>
          <w:color w:val="1B1B1B"/>
          <w:shd w:val="clear" w:color="auto" w:fill="FFFFFF"/>
          <w:lang w:val="es-US"/>
        </w:rPr>
        <w:t xml:space="preserve">Open </w:t>
      </w:r>
      <w:proofErr w:type="spellStart"/>
      <w:r w:rsidRPr="00296A52">
        <w:rPr>
          <w:i/>
          <w:iCs/>
          <w:color w:val="1B1B1B"/>
          <w:shd w:val="clear" w:color="auto" w:fill="FFFFFF"/>
          <w:lang w:val="es-US"/>
        </w:rPr>
        <w:t>Nurs</w:t>
      </w:r>
      <w:proofErr w:type="spellEnd"/>
      <w:r w:rsidRPr="00296A52">
        <w:rPr>
          <w:i/>
          <w:iCs/>
          <w:color w:val="1B1B1B"/>
          <w:shd w:val="clear" w:color="auto" w:fill="FFFFFF"/>
          <w:lang w:val="es-US"/>
        </w:rPr>
        <w:t>.</w:t>
      </w:r>
      <w:r w:rsidRPr="00296A52">
        <w:rPr>
          <w:color w:val="1B1B1B"/>
          <w:shd w:val="clear" w:color="auto" w:fill="FFFFFF"/>
          <w:lang w:val="es-US"/>
        </w:rPr>
        <w:t xml:space="preserve"> 2023 </w:t>
      </w:r>
      <w:proofErr w:type="spellStart"/>
      <w:r w:rsidRPr="00296A52">
        <w:rPr>
          <w:color w:val="1B1B1B"/>
          <w:shd w:val="clear" w:color="auto" w:fill="FFFFFF"/>
          <w:lang w:val="es-US"/>
        </w:rPr>
        <w:t>Dec</w:t>
      </w:r>
      <w:proofErr w:type="spellEnd"/>
      <w:r w:rsidRPr="00296A52">
        <w:rPr>
          <w:color w:val="1B1B1B"/>
          <w:shd w:val="clear" w:color="auto" w:fill="FFFFFF"/>
          <w:lang w:val="es-US"/>
        </w:rPr>
        <w:t xml:space="preserve"> </w:t>
      </w:r>
      <w:proofErr w:type="gramStart"/>
      <w:r w:rsidRPr="00296A52">
        <w:rPr>
          <w:color w:val="1B1B1B"/>
          <w:shd w:val="clear" w:color="auto" w:fill="FFFFFF"/>
          <w:lang w:val="es-US"/>
        </w:rPr>
        <w:t>13;9:23779608231220872</w:t>
      </w:r>
      <w:proofErr w:type="gramEnd"/>
      <w:r w:rsidRPr="00296A52">
        <w:rPr>
          <w:color w:val="1B1B1B"/>
          <w:shd w:val="clear" w:color="auto" w:fill="FFFFFF"/>
          <w:lang w:val="es-US"/>
        </w:rPr>
        <w:t xml:space="preserve">. </w:t>
      </w:r>
      <w:proofErr w:type="spellStart"/>
      <w:r w:rsidRPr="00296A52">
        <w:rPr>
          <w:color w:val="1B1B1B"/>
          <w:shd w:val="clear" w:color="auto" w:fill="FFFFFF"/>
          <w:lang w:val="es-US"/>
        </w:rPr>
        <w:t>doi</w:t>
      </w:r>
      <w:proofErr w:type="spellEnd"/>
      <w:r w:rsidRPr="00296A52">
        <w:rPr>
          <w:color w:val="1B1B1B"/>
          <w:shd w:val="clear" w:color="auto" w:fill="FFFFFF"/>
          <w:lang w:val="es-US"/>
        </w:rPr>
        <w:t>: 10.1177/23779608231220872. PMID: 38107650; PMCID: PMC10722941.</w:t>
      </w:r>
    </w:p>
    <w:p w14:paraId="56742336" w14:textId="77777777" w:rsidR="0072588F" w:rsidRPr="00296A52" w:rsidRDefault="0072588F" w:rsidP="0072588F">
      <w:pPr>
        <w:ind w:left="567" w:hanging="567"/>
        <w:jc w:val="both"/>
        <w:rPr>
          <w:color w:val="1B1B1B"/>
          <w:shd w:val="clear" w:color="auto" w:fill="FFFFFF"/>
          <w:lang w:val="es-US"/>
        </w:rPr>
      </w:pPr>
    </w:p>
    <w:p w14:paraId="3A6722DE" w14:textId="34677599" w:rsidR="0072588F" w:rsidRDefault="0072588F" w:rsidP="0072588F">
      <w:pPr>
        <w:ind w:left="567" w:hanging="567"/>
        <w:jc w:val="both"/>
        <w:rPr>
          <w:color w:val="000000"/>
        </w:rPr>
      </w:pPr>
      <w:proofErr w:type="gramStart"/>
      <w:r w:rsidRPr="00296A52">
        <w:rPr>
          <w:rStyle w:val="Strong"/>
          <w:rFonts w:eastAsiaTheme="majorEastAsia"/>
          <w:b w:val="0"/>
          <w:bCs w:val="0"/>
          <w:color w:val="000000"/>
          <w:lang w:val="es-US"/>
        </w:rPr>
        <w:t>dela</w:t>
      </w:r>
      <w:proofErr w:type="gramEnd"/>
      <w:r w:rsidRPr="00296A52">
        <w:rPr>
          <w:rStyle w:val="Strong"/>
          <w:rFonts w:eastAsiaTheme="majorEastAsia"/>
          <w:b w:val="0"/>
          <w:bCs w:val="0"/>
          <w:color w:val="000000"/>
          <w:lang w:val="es-US"/>
        </w:rPr>
        <w:t xml:space="preserve"> Peña, R. C., Malto, M. A., Villena, A. S. J., dela Cruz, R. E. D., &amp; </w:t>
      </w:r>
      <w:proofErr w:type="spellStart"/>
      <w:r w:rsidRPr="00296A52">
        <w:rPr>
          <w:rStyle w:val="Strong"/>
          <w:rFonts w:eastAsiaTheme="majorEastAsia"/>
          <w:b w:val="0"/>
          <w:bCs w:val="0"/>
          <w:color w:val="000000"/>
          <w:lang w:val="es-US"/>
        </w:rPr>
        <w:t>Saluna</w:t>
      </w:r>
      <w:proofErr w:type="spellEnd"/>
      <w:r w:rsidRPr="00296A52">
        <w:rPr>
          <w:rStyle w:val="Strong"/>
          <w:rFonts w:eastAsiaTheme="majorEastAsia"/>
          <w:b w:val="0"/>
          <w:bCs w:val="0"/>
          <w:color w:val="000000"/>
          <w:lang w:val="es-US"/>
        </w:rPr>
        <w:t>, H. S., Jr.</w:t>
      </w:r>
      <w:r w:rsidRPr="00296A52">
        <w:rPr>
          <w:rStyle w:val="apple-converted-space"/>
          <w:rFonts w:eastAsiaTheme="majorEastAsia"/>
          <w:color w:val="000000"/>
          <w:lang w:val="es-US"/>
        </w:rPr>
        <w:t> </w:t>
      </w:r>
      <w:r w:rsidRPr="0072588F">
        <w:rPr>
          <w:color w:val="000000"/>
        </w:rPr>
        <w:t>(2024). Faculty performance in delivering the flexible learning development plan: Basis for an improvement plan.</w:t>
      </w:r>
      <w:r w:rsidRPr="0072588F">
        <w:rPr>
          <w:rStyle w:val="apple-converted-space"/>
          <w:rFonts w:eastAsiaTheme="majorEastAsia"/>
          <w:color w:val="000000"/>
        </w:rPr>
        <w:t> </w:t>
      </w:r>
      <w:r w:rsidRPr="0072588F">
        <w:rPr>
          <w:rStyle w:val="Emphasis"/>
          <w:rFonts w:eastAsiaTheme="majorEastAsia"/>
          <w:color w:val="000000"/>
        </w:rPr>
        <w:t>International Journal of Applied Science and Research, 7</w:t>
      </w:r>
      <w:r w:rsidRPr="0072588F">
        <w:rPr>
          <w:color w:val="000000"/>
        </w:rPr>
        <w:t>(3), 104–116.</w:t>
      </w:r>
      <w:r w:rsidRPr="0072588F">
        <w:rPr>
          <w:rStyle w:val="apple-converted-space"/>
          <w:rFonts w:eastAsiaTheme="majorEastAsia"/>
          <w:color w:val="000000"/>
        </w:rPr>
        <w:t> </w:t>
      </w:r>
      <w:hyperlink r:id="rId22" w:history="1">
        <w:r w:rsidRPr="00C36059">
          <w:rPr>
            <w:rStyle w:val="Hyperlink"/>
          </w:rPr>
          <w:t>https://doi.org/10.56293/IJASR.2024.5907</w:t>
        </w:r>
      </w:hyperlink>
    </w:p>
    <w:p w14:paraId="6708B414" w14:textId="77777777" w:rsidR="0072588F" w:rsidRDefault="0072588F" w:rsidP="0072588F">
      <w:pPr>
        <w:ind w:left="567" w:hanging="567"/>
        <w:jc w:val="both"/>
        <w:rPr>
          <w:color w:val="000000"/>
        </w:rPr>
      </w:pPr>
    </w:p>
    <w:p w14:paraId="4465CD3B" w14:textId="6AA5BB02" w:rsidR="0072588F" w:rsidRDefault="0072588F" w:rsidP="0072588F">
      <w:pPr>
        <w:ind w:left="567" w:hanging="567"/>
        <w:jc w:val="both"/>
        <w:rPr>
          <w:rStyle w:val="Strong"/>
          <w:b w:val="0"/>
          <w:bCs w:val="0"/>
          <w:color w:val="000000"/>
        </w:rPr>
      </w:pPr>
      <w:r w:rsidRPr="00E0673F">
        <w:rPr>
          <w:color w:val="000000"/>
          <w:lang w:val="de-DE"/>
        </w:rPr>
        <w:t>Denecke, K., Glauser, R., &amp; Reichenpfader, D. (2023).</w:t>
      </w:r>
      <w:r w:rsidRPr="00E0673F">
        <w:rPr>
          <w:rStyle w:val="apple-converted-space"/>
          <w:rFonts w:eastAsiaTheme="majorEastAsia"/>
          <w:color w:val="000000"/>
          <w:lang w:val="de-DE"/>
        </w:rPr>
        <w:t> </w:t>
      </w:r>
      <w:r w:rsidRPr="0072588F">
        <w:rPr>
          <w:rStyle w:val="Emphasis"/>
          <w:rFonts w:eastAsiaTheme="majorEastAsia"/>
          <w:color w:val="000000"/>
        </w:rPr>
        <w:t xml:space="preserve">Assessing the potential and risks of AI-based tools in higher education: Results from an </w:t>
      </w:r>
      <w:proofErr w:type="spellStart"/>
      <w:r w:rsidRPr="0072588F">
        <w:rPr>
          <w:rStyle w:val="Emphasis"/>
          <w:rFonts w:eastAsiaTheme="majorEastAsia"/>
          <w:color w:val="000000"/>
        </w:rPr>
        <w:t>eSurvey</w:t>
      </w:r>
      <w:proofErr w:type="spellEnd"/>
      <w:r w:rsidRPr="0072588F">
        <w:rPr>
          <w:rStyle w:val="Emphasis"/>
          <w:rFonts w:eastAsiaTheme="majorEastAsia"/>
          <w:color w:val="000000"/>
        </w:rPr>
        <w:t xml:space="preserve"> and SWOT analysis</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Trends in Higher Education, 2</w:t>
      </w:r>
      <w:r w:rsidRPr="0072588F">
        <w:rPr>
          <w:color w:val="000000"/>
        </w:rPr>
        <w:t>(4), 667–688.</w:t>
      </w:r>
      <w:r w:rsidRPr="0072588F">
        <w:rPr>
          <w:rStyle w:val="apple-converted-space"/>
          <w:rFonts w:eastAsiaTheme="majorEastAsia"/>
          <w:color w:val="000000"/>
        </w:rPr>
        <w:t> </w:t>
      </w:r>
      <w:hyperlink r:id="rId23" w:history="1">
        <w:r w:rsidRPr="00C36059">
          <w:rPr>
            <w:rStyle w:val="Hyperlink"/>
          </w:rPr>
          <w:t>https://doi.org/10.3390/higheredu2040039</w:t>
        </w:r>
      </w:hyperlink>
    </w:p>
    <w:p w14:paraId="01FAE7FA" w14:textId="77777777" w:rsidR="0072588F" w:rsidRDefault="0072588F" w:rsidP="0072588F">
      <w:pPr>
        <w:ind w:left="567" w:hanging="567"/>
        <w:jc w:val="both"/>
        <w:rPr>
          <w:rStyle w:val="Strong"/>
          <w:b w:val="0"/>
          <w:bCs w:val="0"/>
          <w:color w:val="000000"/>
        </w:rPr>
      </w:pPr>
    </w:p>
    <w:p w14:paraId="0FBCAF4C" w14:textId="77777777" w:rsidR="0072588F" w:rsidRDefault="0072588F" w:rsidP="0072588F">
      <w:pPr>
        <w:ind w:left="567" w:hanging="567"/>
        <w:jc w:val="both"/>
        <w:rPr>
          <w:color w:val="000000"/>
        </w:rPr>
      </w:pPr>
      <w:proofErr w:type="spellStart"/>
      <w:r w:rsidRPr="0072588F">
        <w:rPr>
          <w:color w:val="212121"/>
          <w:shd w:val="clear" w:color="auto" w:fill="FFFFFF"/>
        </w:rPr>
        <w:t>Dhari</w:t>
      </w:r>
      <w:proofErr w:type="spellEnd"/>
      <w:r w:rsidRPr="0072588F">
        <w:rPr>
          <w:color w:val="212121"/>
          <w:shd w:val="clear" w:color="auto" w:fill="FFFFFF"/>
        </w:rPr>
        <w:t xml:space="preserve"> S, </w:t>
      </w:r>
      <w:proofErr w:type="spellStart"/>
      <w:r w:rsidRPr="0072588F">
        <w:rPr>
          <w:color w:val="212121"/>
          <w:shd w:val="clear" w:color="auto" w:fill="FFFFFF"/>
        </w:rPr>
        <w:t>Slemon</w:t>
      </w:r>
      <w:proofErr w:type="spellEnd"/>
      <w:r w:rsidRPr="0072588F">
        <w:rPr>
          <w:color w:val="212121"/>
          <w:shd w:val="clear" w:color="auto" w:fill="FFFFFF"/>
        </w:rPr>
        <w:t xml:space="preserve"> A, </w:t>
      </w:r>
      <w:proofErr w:type="spellStart"/>
      <w:r w:rsidRPr="0072588F">
        <w:rPr>
          <w:color w:val="212121"/>
          <w:shd w:val="clear" w:color="auto" w:fill="FFFFFF"/>
        </w:rPr>
        <w:t>Handlovsky</w:t>
      </w:r>
      <w:proofErr w:type="spellEnd"/>
      <w:r w:rsidRPr="0072588F">
        <w:rPr>
          <w:color w:val="212121"/>
          <w:shd w:val="clear" w:color="auto" w:fill="FFFFFF"/>
        </w:rPr>
        <w:t xml:space="preserve"> I. A Mixed Method Study of Nursing Students' Experiences of Discrimination Within Their Programs</w:t>
      </w:r>
      <w:r w:rsidRPr="000B5B72">
        <w:rPr>
          <w:i/>
          <w:iCs/>
          <w:color w:val="212121"/>
          <w:shd w:val="clear" w:color="auto" w:fill="FFFFFF"/>
        </w:rPr>
        <w:t xml:space="preserve">. J Adv </w:t>
      </w:r>
      <w:proofErr w:type="spellStart"/>
      <w:r w:rsidRPr="000B5B72">
        <w:rPr>
          <w:i/>
          <w:iCs/>
          <w:color w:val="212121"/>
          <w:shd w:val="clear" w:color="auto" w:fill="FFFFFF"/>
        </w:rPr>
        <w:t>Nurs</w:t>
      </w:r>
      <w:proofErr w:type="spellEnd"/>
      <w:r w:rsidRPr="000B5B72">
        <w:rPr>
          <w:i/>
          <w:iCs/>
          <w:color w:val="212121"/>
          <w:shd w:val="clear" w:color="auto" w:fill="FFFFFF"/>
        </w:rPr>
        <w:t>.</w:t>
      </w:r>
      <w:r w:rsidRPr="0072588F">
        <w:rPr>
          <w:color w:val="212121"/>
          <w:shd w:val="clear" w:color="auto" w:fill="FFFFFF"/>
        </w:rPr>
        <w:t xml:space="preserve"> 2025 Jul;81(7):4320-4329. </w:t>
      </w:r>
      <w:proofErr w:type="spellStart"/>
      <w:r w:rsidRPr="0072588F">
        <w:rPr>
          <w:color w:val="212121"/>
          <w:shd w:val="clear" w:color="auto" w:fill="FFFFFF"/>
        </w:rPr>
        <w:t>doi</w:t>
      </w:r>
      <w:proofErr w:type="spellEnd"/>
      <w:r w:rsidRPr="0072588F">
        <w:rPr>
          <w:color w:val="212121"/>
          <w:shd w:val="clear" w:color="auto" w:fill="FFFFFF"/>
        </w:rPr>
        <w:t xml:space="preserve">: 10.1111/jan.16772. </w:t>
      </w:r>
      <w:proofErr w:type="spellStart"/>
      <w:r w:rsidRPr="0072588F">
        <w:rPr>
          <w:color w:val="212121"/>
          <w:shd w:val="clear" w:color="auto" w:fill="FFFFFF"/>
        </w:rPr>
        <w:t>Epub</w:t>
      </w:r>
      <w:proofErr w:type="spellEnd"/>
      <w:r w:rsidRPr="0072588F">
        <w:rPr>
          <w:color w:val="212121"/>
          <w:shd w:val="clear" w:color="auto" w:fill="FFFFFF"/>
        </w:rPr>
        <w:t xml:space="preserve"> 2025 Jan 21. PMID: 39835696.</w:t>
      </w:r>
    </w:p>
    <w:p w14:paraId="3FAF9E5F" w14:textId="77777777" w:rsidR="0072588F" w:rsidRDefault="0072588F" w:rsidP="0072588F">
      <w:pPr>
        <w:ind w:left="567" w:hanging="567"/>
        <w:jc w:val="both"/>
        <w:rPr>
          <w:color w:val="000000"/>
        </w:rPr>
      </w:pPr>
    </w:p>
    <w:p w14:paraId="3DDB6D52" w14:textId="6F7A5ADC" w:rsidR="0072588F" w:rsidRDefault="0072588F" w:rsidP="0072588F">
      <w:pPr>
        <w:ind w:left="567" w:hanging="567"/>
        <w:jc w:val="both"/>
        <w:rPr>
          <w:color w:val="000000"/>
        </w:rPr>
      </w:pPr>
      <w:r w:rsidRPr="0072588F">
        <w:rPr>
          <w:rStyle w:val="Strong"/>
          <w:rFonts w:eastAsiaTheme="majorEastAsia"/>
          <w:b w:val="0"/>
          <w:bCs w:val="0"/>
          <w:color w:val="000000"/>
        </w:rPr>
        <w:t xml:space="preserve">Diano, F. M. Jr., Kilag, O. K. T., </w:t>
      </w:r>
      <w:proofErr w:type="spellStart"/>
      <w:r w:rsidRPr="0072588F">
        <w:rPr>
          <w:rStyle w:val="Strong"/>
          <w:rFonts w:eastAsiaTheme="majorEastAsia"/>
          <w:b w:val="0"/>
          <w:bCs w:val="0"/>
          <w:color w:val="000000"/>
        </w:rPr>
        <w:t>Malbas</w:t>
      </w:r>
      <w:proofErr w:type="spellEnd"/>
      <w:r w:rsidRPr="0072588F">
        <w:rPr>
          <w:rStyle w:val="Strong"/>
          <w:rFonts w:eastAsiaTheme="majorEastAsia"/>
          <w:b w:val="0"/>
          <w:bCs w:val="0"/>
          <w:color w:val="000000"/>
        </w:rPr>
        <w:t xml:space="preserve">, M. H., Catacutan, A. B., </w:t>
      </w:r>
      <w:proofErr w:type="spellStart"/>
      <w:r w:rsidRPr="0072588F">
        <w:rPr>
          <w:rStyle w:val="Strong"/>
          <w:rFonts w:eastAsiaTheme="majorEastAsia"/>
          <w:b w:val="0"/>
          <w:bCs w:val="0"/>
          <w:color w:val="000000"/>
        </w:rPr>
        <w:t>Tiongzon</w:t>
      </w:r>
      <w:proofErr w:type="spellEnd"/>
      <w:r w:rsidRPr="0072588F">
        <w:rPr>
          <w:rStyle w:val="Strong"/>
          <w:rFonts w:eastAsiaTheme="majorEastAsia"/>
          <w:b w:val="0"/>
          <w:bCs w:val="0"/>
          <w:color w:val="000000"/>
        </w:rPr>
        <w:t xml:space="preserve">, B. D., &amp; </w:t>
      </w:r>
      <w:proofErr w:type="spellStart"/>
      <w:r w:rsidRPr="0072588F">
        <w:rPr>
          <w:rStyle w:val="Strong"/>
          <w:rFonts w:eastAsiaTheme="majorEastAsia"/>
          <w:b w:val="0"/>
          <w:bCs w:val="0"/>
          <w:color w:val="000000"/>
        </w:rPr>
        <w:t>Abendan</w:t>
      </w:r>
      <w:proofErr w:type="spellEnd"/>
      <w:r w:rsidRPr="0072588F">
        <w:rPr>
          <w:rStyle w:val="Strong"/>
          <w:rFonts w:eastAsiaTheme="majorEastAsia"/>
          <w:b w:val="0"/>
          <w:bCs w:val="0"/>
          <w:color w:val="000000"/>
        </w:rPr>
        <w:t>, C. F. K. (2023, December).</w:t>
      </w:r>
      <w:r w:rsidRPr="0072588F">
        <w:rPr>
          <w:rStyle w:val="apple-converted-space"/>
          <w:rFonts w:eastAsiaTheme="majorEastAsia"/>
          <w:color w:val="000000"/>
        </w:rPr>
        <w:t> </w:t>
      </w:r>
      <w:r w:rsidRPr="0072588F">
        <w:rPr>
          <w:rStyle w:val="Emphasis"/>
          <w:rFonts w:eastAsiaTheme="majorEastAsia"/>
          <w:color w:val="000000"/>
        </w:rPr>
        <w:t>Towards global competence: Innovations in the Philippine curriculum for addressing international challenges.</w:t>
      </w:r>
      <w:r w:rsidRPr="0072588F">
        <w:rPr>
          <w:rStyle w:val="apple-converted-space"/>
          <w:rFonts w:eastAsiaTheme="majorEastAsia"/>
          <w:color w:val="000000"/>
        </w:rPr>
        <w:t> </w:t>
      </w:r>
      <w:proofErr w:type="spellStart"/>
      <w:r w:rsidRPr="0072588F">
        <w:rPr>
          <w:rStyle w:val="Emphasis"/>
          <w:rFonts w:eastAsiaTheme="majorEastAsia"/>
          <w:color w:val="000000"/>
        </w:rPr>
        <w:t>Excellencia</w:t>
      </w:r>
      <w:proofErr w:type="spellEnd"/>
      <w:r w:rsidRPr="0072588F">
        <w:rPr>
          <w:rStyle w:val="Emphasis"/>
          <w:rFonts w:eastAsiaTheme="majorEastAsia"/>
          <w:color w:val="000000"/>
        </w:rPr>
        <w:t>: International Multi</w:t>
      </w:r>
      <w:r w:rsidRPr="0072588F">
        <w:rPr>
          <w:rStyle w:val="Emphasis"/>
          <w:rFonts w:eastAsiaTheme="majorEastAsia"/>
          <w:color w:val="000000"/>
        </w:rPr>
        <w:noBreakHyphen/>
        <w:t>disciplinary Journal of Education, 1</w:t>
      </w:r>
      <w:r w:rsidRPr="0072588F">
        <w:rPr>
          <w:color w:val="000000"/>
        </w:rPr>
        <w:t>(4), 1–? [e</w:t>
      </w:r>
      <w:r w:rsidRPr="0072588F">
        <w:rPr>
          <w:color w:val="000000"/>
        </w:rPr>
        <w:noBreakHyphen/>
        <w:t>pub]. Retrieved from</w:t>
      </w:r>
      <w:r w:rsidRPr="0072588F">
        <w:rPr>
          <w:rStyle w:val="apple-converted-space"/>
          <w:rFonts w:eastAsiaTheme="majorEastAsia"/>
          <w:color w:val="000000"/>
        </w:rPr>
        <w:t> </w:t>
      </w:r>
      <w:hyperlink r:id="rId24" w:history="1">
        <w:r w:rsidRPr="0072588F">
          <w:rPr>
            <w:rStyle w:val="Hyperlink"/>
          </w:rPr>
          <w:t>https://multijournals.org/index.php/excellencia</w:t>
        </w:r>
        <w:r w:rsidRPr="0072588F">
          <w:rPr>
            <w:rStyle w:val="Hyperlink"/>
          </w:rPr>
          <w:noBreakHyphen/>
          <w:t>imje/article/view/66</w:t>
        </w:r>
      </w:hyperlink>
      <w:r w:rsidRPr="0072588F">
        <w:rPr>
          <w:rStyle w:val="s1"/>
          <w:rFonts w:ascii="Times New Roman" w:eastAsiaTheme="majorEastAsia" w:hAnsi="Times New Roman"/>
          <w:sz w:val="24"/>
          <w:szCs w:val="24"/>
        </w:rPr>
        <w:t xml:space="preserve">DOI: </w:t>
      </w:r>
      <w:hyperlink r:id="rId25" w:history="1">
        <w:r w:rsidRPr="00C36059">
          <w:rPr>
            <w:rStyle w:val="Hyperlink"/>
          </w:rPr>
          <w:t>https://doi.org/10.17483/2368-6669.1355</w:t>
        </w:r>
      </w:hyperlink>
    </w:p>
    <w:p w14:paraId="77BDF3A1" w14:textId="77777777" w:rsidR="0072588F" w:rsidRDefault="0072588F" w:rsidP="0072588F">
      <w:pPr>
        <w:ind w:left="567" w:hanging="567"/>
        <w:jc w:val="both"/>
        <w:rPr>
          <w:color w:val="000000"/>
        </w:rPr>
      </w:pPr>
    </w:p>
    <w:p w14:paraId="7D384248" w14:textId="77777777" w:rsidR="00D37CDB" w:rsidRDefault="00D37CDB" w:rsidP="00D37CDB">
      <w:pPr>
        <w:jc w:val="both"/>
        <w:rPr>
          <w:rFonts w:ascii="Arial" w:hAnsi="Arial" w:cs="Arial"/>
          <w:sz w:val="18"/>
          <w:szCs w:val="18"/>
        </w:rPr>
      </w:pPr>
      <w:proofErr w:type="spellStart"/>
      <w:r>
        <w:rPr>
          <w:rFonts w:ascii="Arial" w:hAnsi="Arial" w:cs="Arial"/>
          <w:sz w:val="18"/>
          <w:szCs w:val="18"/>
        </w:rPr>
        <w:t>Donkoh</w:t>
      </w:r>
      <w:proofErr w:type="spellEnd"/>
      <w:r>
        <w:rPr>
          <w:rFonts w:ascii="Arial" w:hAnsi="Arial" w:cs="Arial"/>
          <w:sz w:val="18"/>
          <w:szCs w:val="18"/>
        </w:rPr>
        <w:t>, S., &amp; Mensah, J. (2023). Application of triangulation in qualitative research. Journal of Applied Biotechnology &amp; Bioengineering, 10(1), 6–9. https://doi.org/10.15406/jabb.2023.10.00319</w:t>
      </w:r>
    </w:p>
    <w:p w14:paraId="29D52BFE" w14:textId="77777777" w:rsidR="0072588F" w:rsidRDefault="0072588F" w:rsidP="0072588F">
      <w:pPr>
        <w:ind w:left="567" w:hanging="567"/>
        <w:jc w:val="both"/>
        <w:rPr>
          <w:color w:val="000000"/>
        </w:rPr>
      </w:pPr>
    </w:p>
    <w:p w14:paraId="1916145C" w14:textId="77777777" w:rsidR="0072588F" w:rsidRDefault="0072588F" w:rsidP="0072588F">
      <w:pPr>
        <w:ind w:left="567" w:hanging="567"/>
        <w:jc w:val="both"/>
        <w:rPr>
          <w:color w:val="000000"/>
        </w:rPr>
      </w:pPr>
      <w:proofErr w:type="spellStart"/>
      <w:r w:rsidRPr="0072588F">
        <w:rPr>
          <w:color w:val="222222"/>
          <w:shd w:val="clear" w:color="auto" w:fill="FFFFFF"/>
        </w:rPr>
        <w:t>Elmunsyah</w:t>
      </w:r>
      <w:proofErr w:type="spellEnd"/>
      <w:r w:rsidRPr="0072588F">
        <w:rPr>
          <w:color w:val="222222"/>
          <w:shd w:val="clear" w:color="auto" w:fill="FFFFFF"/>
        </w:rPr>
        <w:t xml:space="preserve">, H., Nafalski, A., Wibawa, A. P., &amp; </w:t>
      </w:r>
      <w:proofErr w:type="spellStart"/>
      <w:r w:rsidRPr="0072588F">
        <w:rPr>
          <w:color w:val="222222"/>
          <w:shd w:val="clear" w:color="auto" w:fill="FFFFFF"/>
        </w:rPr>
        <w:t>Dwiyanto</w:t>
      </w:r>
      <w:proofErr w:type="spellEnd"/>
      <w:r w:rsidRPr="0072588F">
        <w:rPr>
          <w:color w:val="222222"/>
          <w:shd w:val="clear" w:color="auto" w:fill="FFFFFF"/>
        </w:rPr>
        <w:t xml:space="preserve">, F. A. (2023). Understanding the Impact of a Learning Management System Using a Novel Modified </w:t>
      </w:r>
      <w:proofErr w:type="spellStart"/>
      <w:r w:rsidRPr="0072588F">
        <w:rPr>
          <w:color w:val="222222"/>
          <w:shd w:val="clear" w:color="auto" w:fill="FFFFFF"/>
        </w:rPr>
        <w:t>DeLone</w:t>
      </w:r>
      <w:proofErr w:type="spellEnd"/>
      <w:r w:rsidRPr="0072588F">
        <w:rPr>
          <w:color w:val="222222"/>
          <w:shd w:val="clear" w:color="auto" w:fill="FFFFFF"/>
        </w:rPr>
        <w:t xml:space="preserve"> and McLean Model.</w:t>
      </w:r>
      <w:r w:rsidRPr="0072588F">
        <w:rPr>
          <w:rStyle w:val="apple-converted-space"/>
          <w:rFonts w:eastAsiaTheme="majorEastAsia"/>
          <w:color w:val="222222"/>
          <w:shd w:val="clear" w:color="auto" w:fill="FFFFFF"/>
        </w:rPr>
        <w:t> </w:t>
      </w:r>
      <w:r w:rsidRPr="0072588F">
        <w:rPr>
          <w:rStyle w:val="Emphasis"/>
          <w:rFonts w:eastAsiaTheme="majorEastAsia"/>
          <w:color w:val="222222"/>
        </w:rPr>
        <w:t>Education Sciences</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(3), 235. </w:t>
      </w:r>
      <w:hyperlink r:id="rId26" w:history="1">
        <w:r w:rsidRPr="0072588F">
          <w:rPr>
            <w:rStyle w:val="Hyperlink"/>
            <w:shd w:val="clear" w:color="auto" w:fill="FFFFFF"/>
          </w:rPr>
          <w:t>https://doi.org/10.3390/educsci13030235</w:t>
        </w:r>
      </w:hyperlink>
    </w:p>
    <w:p w14:paraId="51917836" w14:textId="77777777" w:rsidR="0072588F" w:rsidRDefault="0072588F" w:rsidP="0072588F">
      <w:pPr>
        <w:ind w:left="567" w:hanging="567"/>
        <w:jc w:val="both"/>
        <w:rPr>
          <w:color w:val="000000"/>
        </w:rPr>
      </w:pPr>
    </w:p>
    <w:p w14:paraId="3C735F6E" w14:textId="77777777" w:rsidR="0072588F" w:rsidRDefault="0072588F" w:rsidP="0072588F">
      <w:pPr>
        <w:ind w:left="567" w:hanging="567"/>
        <w:jc w:val="both"/>
        <w:rPr>
          <w:rStyle w:val="Emphasis"/>
          <w:i w:val="0"/>
          <w:iCs w:val="0"/>
          <w:color w:val="000000"/>
        </w:rPr>
      </w:pPr>
      <w:r w:rsidRPr="0072588F">
        <w:rPr>
          <w:color w:val="000000"/>
        </w:rPr>
        <w:t>Fernando, J. S. (2021, June). Compliance of higher education institutions to outcome-based education for the 21st century learners.</w:t>
      </w:r>
      <w:r w:rsidRPr="0072588F">
        <w:rPr>
          <w:rStyle w:val="apple-converted-space"/>
          <w:rFonts w:eastAsiaTheme="majorEastAsia"/>
          <w:color w:val="000000"/>
        </w:rPr>
        <w:t> </w:t>
      </w:r>
      <w:r w:rsidRPr="0072588F">
        <w:rPr>
          <w:rStyle w:val="Emphasis"/>
          <w:rFonts w:eastAsiaTheme="majorEastAsia"/>
          <w:color w:val="000000"/>
        </w:rPr>
        <w:t>IOER International Multidisciplinary Research Journal, 3</w:t>
      </w:r>
      <w:r w:rsidRPr="0072588F">
        <w:rPr>
          <w:color w:val="000000"/>
        </w:rPr>
        <w:t>(2), 226–236.</w:t>
      </w:r>
      <w:r w:rsidRPr="0072588F">
        <w:rPr>
          <w:rStyle w:val="apple-converted-space"/>
          <w:rFonts w:eastAsiaTheme="majorEastAsia"/>
          <w:color w:val="000000"/>
        </w:rPr>
        <w:t> </w:t>
      </w:r>
      <w:hyperlink r:id="rId27" w:tgtFrame="_new" w:history="1">
        <w:r w:rsidRPr="0072588F">
          <w:rPr>
            <w:rStyle w:val="Hyperlink"/>
            <w:rFonts w:eastAsiaTheme="majorEastAsia"/>
          </w:rPr>
          <w:t>https://doi.org/10.54476/iimrj304</w:t>
        </w:r>
      </w:hyperlink>
    </w:p>
    <w:p w14:paraId="5232F8C7" w14:textId="77777777" w:rsidR="0072588F" w:rsidRDefault="0072588F" w:rsidP="0072588F">
      <w:pPr>
        <w:ind w:left="567" w:hanging="567"/>
        <w:jc w:val="both"/>
        <w:rPr>
          <w:rStyle w:val="Emphasis"/>
          <w:i w:val="0"/>
          <w:iCs w:val="0"/>
          <w:color w:val="000000"/>
        </w:rPr>
      </w:pPr>
    </w:p>
    <w:p w14:paraId="238C8F7D" w14:textId="77777777" w:rsidR="0072588F" w:rsidRDefault="0072588F" w:rsidP="0072588F">
      <w:pPr>
        <w:ind w:left="567" w:hanging="567"/>
        <w:jc w:val="both"/>
        <w:rPr>
          <w:color w:val="000000"/>
        </w:rPr>
      </w:pPr>
      <w:r w:rsidRPr="0072588F">
        <w:rPr>
          <w:color w:val="1B1B1B"/>
          <w:shd w:val="clear" w:color="auto" w:fill="FFFFFF"/>
        </w:rPr>
        <w:t xml:space="preserve">Furtado L, Coelho F, Pina S, </w:t>
      </w:r>
      <w:proofErr w:type="spellStart"/>
      <w:r w:rsidRPr="0072588F">
        <w:rPr>
          <w:color w:val="1B1B1B"/>
          <w:shd w:val="clear" w:color="auto" w:fill="FFFFFF"/>
        </w:rPr>
        <w:t>Ganito</w:t>
      </w:r>
      <w:proofErr w:type="spellEnd"/>
      <w:r w:rsidRPr="0072588F">
        <w:rPr>
          <w:color w:val="1B1B1B"/>
          <w:shd w:val="clear" w:color="auto" w:fill="FFFFFF"/>
        </w:rPr>
        <w:t xml:space="preserve"> C, Araújo B, Ferrito C. Delphi Technique on Nursing Competence Studies: A Scoping Review. </w:t>
      </w:r>
      <w:r w:rsidRPr="000B5B72">
        <w:rPr>
          <w:i/>
          <w:iCs/>
          <w:color w:val="1B1B1B"/>
          <w:shd w:val="clear" w:color="auto" w:fill="FFFFFF"/>
        </w:rPr>
        <w:t>Healthcare (Basel).</w:t>
      </w:r>
      <w:r w:rsidRPr="0072588F">
        <w:rPr>
          <w:color w:val="1B1B1B"/>
          <w:shd w:val="clear" w:color="auto" w:fill="FFFFFF"/>
        </w:rPr>
        <w:t xml:space="preserve"> 2024 Sep 3;12(17):1757. </w:t>
      </w:r>
      <w:proofErr w:type="spellStart"/>
      <w:r w:rsidRPr="0072588F">
        <w:rPr>
          <w:color w:val="1B1B1B"/>
          <w:shd w:val="clear" w:color="auto" w:fill="FFFFFF"/>
        </w:rPr>
        <w:t>doi</w:t>
      </w:r>
      <w:proofErr w:type="spellEnd"/>
      <w:r w:rsidRPr="0072588F">
        <w:rPr>
          <w:color w:val="1B1B1B"/>
          <w:shd w:val="clear" w:color="auto" w:fill="FFFFFF"/>
        </w:rPr>
        <w:t>: 10.3390/healthcare12171757. PMID: 39273781; PMCID: PMC11395531.</w:t>
      </w:r>
    </w:p>
    <w:p w14:paraId="038074BE" w14:textId="77777777" w:rsidR="0072588F" w:rsidRDefault="0072588F" w:rsidP="0072588F">
      <w:pPr>
        <w:ind w:left="567" w:hanging="567"/>
        <w:jc w:val="both"/>
        <w:rPr>
          <w:color w:val="000000"/>
        </w:rPr>
      </w:pPr>
    </w:p>
    <w:p w14:paraId="29956DA6" w14:textId="77777777" w:rsidR="0072588F" w:rsidRDefault="0072588F" w:rsidP="0072588F">
      <w:pPr>
        <w:ind w:left="567" w:hanging="567"/>
        <w:jc w:val="both"/>
        <w:rPr>
          <w:color w:val="000000"/>
        </w:rPr>
      </w:pPr>
      <w:r w:rsidRPr="0072588F">
        <w:rPr>
          <w:color w:val="1B1B1B"/>
          <w:shd w:val="clear" w:color="auto" w:fill="FFFFFF"/>
        </w:rPr>
        <w:t xml:space="preserve">Ganek E, Sazon RAP, Gray L, Sherry D. An Introduction to Faculty Diversity, Equity, and Inclusion for Excellence in Nurse Education: Literature Review. </w:t>
      </w:r>
      <w:r w:rsidRPr="000B5B72">
        <w:rPr>
          <w:i/>
          <w:iCs/>
          <w:color w:val="1B1B1B"/>
          <w:shd w:val="clear" w:color="auto" w:fill="FFFFFF"/>
        </w:rPr>
        <w:t xml:space="preserve">Asian Pac </w:t>
      </w:r>
      <w:proofErr w:type="spellStart"/>
      <w:r w:rsidRPr="000B5B72">
        <w:rPr>
          <w:i/>
          <w:iCs/>
          <w:color w:val="1B1B1B"/>
          <w:shd w:val="clear" w:color="auto" w:fill="FFFFFF"/>
        </w:rPr>
        <w:t>Isl</w:t>
      </w:r>
      <w:proofErr w:type="spellEnd"/>
      <w:r w:rsidRPr="000B5B72">
        <w:rPr>
          <w:i/>
          <w:iCs/>
          <w:color w:val="1B1B1B"/>
          <w:shd w:val="clear" w:color="auto" w:fill="FFFFFF"/>
        </w:rPr>
        <w:t xml:space="preserve"> </w:t>
      </w:r>
      <w:proofErr w:type="spellStart"/>
      <w:r w:rsidRPr="000B5B72">
        <w:rPr>
          <w:i/>
          <w:iCs/>
          <w:color w:val="1B1B1B"/>
          <w:shd w:val="clear" w:color="auto" w:fill="FFFFFF"/>
        </w:rPr>
        <w:t>Nurs</w:t>
      </w:r>
      <w:proofErr w:type="spellEnd"/>
      <w:r w:rsidRPr="000B5B72">
        <w:rPr>
          <w:i/>
          <w:iCs/>
          <w:color w:val="1B1B1B"/>
          <w:shd w:val="clear" w:color="auto" w:fill="FFFFFF"/>
        </w:rPr>
        <w:t xml:space="preserve"> J.</w:t>
      </w:r>
      <w:r w:rsidRPr="0072588F">
        <w:rPr>
          <w:color w:val="1B1B1B"/>
          <w:shd w:val="clear" w:color="auto" w:fill="FFFFFF"/>
        </w:rPr>
        <w:t xml:space="preserve"> 2023 Dec 1;</w:t>
      </w:r>
      <w:proofErr w:type="gramStart"/>
      <w:r w:rsidRPr="0072588F">
        <w:rPr>
          <w:color w:val="1B1B1B"/>
          <w:shd w:val="clear" w:color="auto" w:fill="FFFFFF"/>
        </w:rPr>
        <w:t>7:e</w:t>
      </w:r>
      <w:proofErr w:type="gramEnd"/>
      <w:r w:rsidRPr="0072588F">
        <w:rPr>
          <w:color w:val="1B1B1B"/>
          <w:shd w:val="clear" w:color="auto" w:fill="FFFFFF"/>
        </w:rPr>
        <w:t xml:space="preserve">49231. </w:t>
      </w:r>
      <w:proofErr w:type="spellStart"/>
      <w:r w:rsidRPr="0072588F">
        <w:rPr>
          <w:color w:val="1B1B1B"/>
          <w:shd w:val="clear" w:color="auto" w:fill="FFFFFF"/>
        </w:rPr>
        <w:t>doi</w:t>
      </w:r>
      <w:proofErr w:type="spellEnd"/>
      <w:r w:rsidRPr="0072588F">
        <w:rPr>
          <w:color w:val="1B1B1B"/>
          <w:shd w:val="clear" w:color="auto" w:fill="FFFFFF"/>
        </w:rPr>
        <w:t>: 10.2196/49231. PMID: 38039066; PMCID: PMC10724810.</w:t>
      </w:r>
    </w:p>
    <w:p w14:paraId="5979C348" w14:textId="77777777" w:rsidR="0072588F" w:rsidRDefault="0072588F" w:rsidP="0072588F">
      <w:pPr>
        <w:ind w:left="567" w:hanging="567"/>
        <w:jc w:val="both"/>
        <w:rPr>
          <w:color w:val="000000"/>
        </w:rPr>
      </w:pPr>
    </w:p>
    <w:p w14:paraId="3AEDF31B" w14:textId="77777777" w:rsidR="00D37CDB" w:rsidRDefault="00D37CDB" w:rsidP="00D37CDB">
      <w:pPr>
        <w:jc w:val="both"/>
        <w:rPr>
          <w:rFonts w:ascii="Arial" w:hAnsi="Arial" w:cs="Arial"/>
          <w:sz w:val="18"/>
          <w:szCs w:val="18"/>
        </w:rPr>
      </w:pPr>
      <w:r>
        <w:rPr>
          <w:rFonts w:ascii="Arial" w:hAnsi="Arial" w:cs="Arial"/>
          <w:sz w:val="18"/>
          <w:szCs w:val="18"/>
        </w:rPr>
        <w:t>Giddens, J., Douglas, J. P., &amp; Conroy, S. (2022). The revised AACN Essentials: Implications for nursing regulation. Journal of Nursing Regulation, 12(4), 16–22. https://doi.org/10.1016/S2155-8256(22)00009-6</w:t>
      </w:r>
    </w:p>
    <w:p w14:paraId="11D3C27B" w14:textId="77777777" w:rsidR="0072588F" w:rsidRDefault="0072588F" w:rsidP="0072588F">
      <w:pPr>
        <w:ind w:left="567" w:hanging="567"/>
        <w:jc w:val="both"/>
        <w:rPr>
          <w:color w:val="000000"/>
        </w:rPr>
      </w:pPr>
    </w:p>
    <w:p w14:paraId="634C5562" w14:textId="77777777" w:rsidR="0072588F" w:rsidRPr="00E0673F" w:rsidRDefault="0072588F" w:rsidP="0072588F">
      <w:pPr>
        <w:ind w:left="567" w:hanging="567"/>
        <w:jc w:val="both"/>
        <w:rPr>
          <w:color w:val="000000"/>
          <w:lang w:val="fr-FR"/>
        </w:rPr>
      </w:pPr>
      <w:proofErr w:type="spellStart"/>
      <w:r w:rsidRPr="0072588F">
        <w:rPr>
          <w:color w:val="222222"/>
          <w:shd w:val="clear" w:color="auto" w:fill="FFFFFF"/>
        </w:rPr>
        <w:t>Gkrimpizi</w:t>
      </w:r>
      <w:proofErr w:type="spellEnd"/>
      <w:r w:rsidRPr="0072588F">
        <w:rPr>
          <w:color w:val="222222"/>
          <w:shd w:val="clear" w:color="auto" w:fill="FFFFFF"/>
        </w:rPr>
        <w:t xml:space="preserve">, T., </w:t>
      </w:r>
      <w:proofErr w:type="spellStart"/>
      <w:r w:rsidRPr="0072588F">
        <w:rPr>
          <w:color w:val="222222"/>
          <w:shd w:val="clear" w:color="auto" w:fill="FFFFFF"/>
        </w:rPr>
        <w:t>Peristeras</w:t>
      </w:r>
      <w:proofErr w:type="spellEnd"/>
      <w:r w:rsidRPr="0072588F">
        <w:rPr>
          <w:color w:val="222222"/>
          <w:shd w:val="clear" w:color="auto" w:fill="FFFFFF"/>
        </w:rPr>
        <w:t xml:space="preserve">, V., &amp; </w:t>
      </w:r>
      <w:proofErr w:type="spellStart"/>
      <w:r w:rsidRPr="0072588F">
        <w:rPr>
          <w:color w:val="222222"/>
          <w:shd w:val="clear" w:color="auto" w:fill="FFFFFF"/>
        </w:rPr>
        <w:t>Magnisalis</w:t>
      </w:r>
      <w:proofErr w:type="spellEnd"/>
      <w:r w:rsidRPr="0072588F">
        <w:rPr>
          <w:color w:val="222222"/>
          <w:shd w:val="clear" w:color="auto" w:fill="FFFFFF"/>
        </w:rPr>
        <w:t>, I. (2023). Classification of Barriers to Digital Transformation in Higher Education Institutions: Systematic Literature Review.</w:t>
      </w:r>
      <w:r w:rsidRPr="0072588F">
        <w:rPr>
          <w:rStyle w:val="apple-converted-space"/>
          <w:rFonts w:eastAsiaTheme="majorEastAsia"/>
          <w:color w:val="222222"/>
          <w:shd w:val="clear" w:color="auto" w:fill="FFFFFF"/>
        </w:rPr>
        <w:t> </w:t>
      </w:r>
      <w:r w:rsidRPr="00E0673F">
        <w:rPr>
          <w:rStyle w:val="Emphasis"/>
          <w:rFonts w:eastAsiaTheme="majorEastAsia"/>
          <w:color w:val="222222"/>
          <w:lang w:val="fr-FR"/>
        </w:rPr>
        <w:t>Education Sciences</w:t>
      </w:r>
      <w:r w:rsidRPr="00E0673F">
        <w:rPr>
          <w:color w:val="222222"/>
          <w:shd w:val="clear" w:color="auto" w:fill="FFFFFF"/>
          <w:lang w:val="fr-FR"/>
        </w:rPr>
        <w:t>,</w:t>
      </w:r>
      <w:r w:rsidRPr="00E0673F">
        <w:rPr>
          <w:rStyle w:val="apple-converted-space"/>
          <w:rFonts w:eastAsiaTheme="majorEastAsia"/>
          <w:color w:val="222222"/>
          <w:shd w:val="clear" w:color="auto" w:fill="FFFFFF"/>
          <w:lang w:val="fr-FR"/>
        </w:rPr>
        <w:t> </w:t>
      </w:r>
      <w:r w:rsidRPr="00E0673F">
        <w:rPr>
          <w:rStyle w:val="Emphasis"/>
          <w:rFonts w:eastAsiaTheme="majorEastAsia"/>
          <w:color w:val="222222"/>
          <w:lang w:val="fr-FR"/>
        </w:rPr>
        <w:t>13</w:t>
      </w:r>
      <w:r w:rsidRPr="00E0673F">
        <w:rPr>
          <w:color w:val="222222"/>
          <w:shd w:val="clear" w:color="auto" w:fill="FFFFFF"/>
          <w:lang w:val="fr-FR"/>
        </w:rPr>
        <w:t xml:space="preserve">(7), 746. </w:t>
      </w:r>
      <w:hyperlink r:id="rId28" w:history="1">
        <w:r w:rsidRPr="00E0673F">
          <w:rPr>
            <w:rStyle w:val="Hyperlink"/>
            <w:shd w:val="clear" w:color="auto" w:fill="FFFFFF"/>
            <w:lang w:val="fr-FR"/>
          </w:rPr>
          <w:t>https://doi.org/10.3390/educsci13070746</w:t>
        </w:r>
      </w:hyperlink>
    </w:p>
    <w:p w14:paraId="4ACD5890" w14:textId="77777777" w:rsidR="0072588F" w:rsidRPr="00E0673F" w:rsidRDefault="0072588F" w:rsidP="0072588F">
      <w:pPr>
        <w:ind w:left="567" w:hanging="567"/>
        <w:jc w:val="both"/>
        <w:rPr>
          <w:color w:val="000000"/>
          <w:lang w:val="fr-FR"/>
        </w:rPr>
      </w:pPr>
    </w:p>
    <w:p w14:paraId="5B82CE99" w14:textId="77777777" w:rsidR="00D37CDB" w:rsidRDefault="00D37CDB" w:rsidP="00D37CDB">
      <w:pPr>
        <w:jc w:val="both"/>
        <w:rPr>
          <w:rFonts w:ascii="Arial" w:hAnsi="Arial" w:cs="Arial"/>
          <w:sz w:val="18"/>
          <w:szCs w:val="18"/>
        </w:rPr>
      </w:pPr>
      <w:r>
        <w:rPr>
          <w:rFonts w:ascii="Arial" w:hAnsi="Arial" w:cs="Arial"/>
          <w:sz w:val="18"/>
          <w:szCs w:val="18"/>
        </w:rPr>
        <w:t xml:space="preserve">Haile, T. M., &amp; </w:t>
      </w:r>
      <w:proofErr w:type="spellStart"/>
      <w:r>
        <w:rPr>
          <w:rFonts w:ascii="Arial" w:hAnsi="Arial" w:cs="Arial"/>
          <w:sz w:val="18"/>
          <w:szCs w:val="18"/>
        </w:rPr>
        <w:t>Mekonnen</w:t>
      </w:r>
      <w:proofErr w:type="spellEnd"/>
      <w:r>
        <w:rPr>
          <w:rFonts w:ascii="Arial" w:hAnsi="Arial" w:cs="Arial"/>
          <w:sz w:val="18"/>
          <w:szCs w:val="18"/>
        </w:rPr>
        <w:t>, E. A. (2024). Impacts of stakeholder engagement on curriculum implementation in Ethiopian Defense University. Pedagogical Research, 9(2), em0201. https://doi.org/10.29333/pr/14369</w:t>
      </w:r>
    </w:p>
    <w:p w14:paraId="617B7C25" w14:textId="77777777" w:rsidR="0072588F" w:rsidRPr="00E0673F" w:rsidRDefault="0072588F" w:rsidP="0072588F">
      <w:pPr>
        <w:ind w:left="567" w:hanging="567"/>
        <w:jc w:val="both"/>
        <w:rPr>
          <w:color w:val="000000"/>
          <w:lang w:val="nl-NL"/>
        </w:rPr>
      </w:pPr>
      <w:bookmarkStart w:id="0" w:name="_GoBack"/>
      <w:bookmarkEnd w:id="0"/>
    </w:p>
    <w:p w14:paraId="3260115C" w14:textId="77777777" w:rsidR="0072588F" w:rsidRDefault="0072588F" w:rsidP="0072588F">
      <w:pPr>
        <w:ind w:left="567" w:hanging="567"/>
        <w:jc w:val="both"/>
        <w:rPr>
          <w:color w:val="000000"/>
        </w:rPr>
      </w:pPr>
      <w:r w:rsidRPr="00E0673F">
        <w:rPr>
          <w:color w:val="333333"/>
          <w:shd w:val="clear" w:color="auto" w:fill="FFFFFF"/>
          <w:lang w:val="nl-NL"/>
        </w:rPr>
        <w:t>Hamed, O., Verstegen, D., Alsheikh, G.</w:t>
      </w:r>
      <w:r w:rsidRPr="00E0673F">
        <w:rPr>
          <w:rStyle w:val="apple-converted-space"/>
          <w:rFonts w:eastAsiaTheme="majorEastAsia"/>
          <w:color w:val="333333"/>
          <w:shd w:val="clear" w:color="auto" w:fill="FFFFFF"/>
          <w:lang w:val="nl-NL"/>
        </w:rPr>
        <w:t> </w:t>
      </w:r>
      <w:r w:rsidRPr="00E0673F">
        <w:rPr>
          <w:i/>
          <w:iCs/>
          <w:color w:val="333333"/>
          <w:lang w:val="nl-NL"/>
        </w:rPr>
        <w:t>et al.</w:t>
      </w:r>
      <w:r w:rsidRPr="00E0673F">
        <w:rPr>
          <w:rStyle w:val="apple-converted-space"/>
          <w:rFonts w:eastAsiaTheme="majorEastAsia"/>
          <w:color w:val="333333"/>
          <w:shd w:val="clear" w:color="auto" w:fill="FFFFFF"/>
          <w:lang w:val="nl-NL"/>
        </w:rPr>
        <w:t> </w:t>
      </w:r>
      <w:r w:rsidRPr="0072588F">
        <w:rPr>
          <w:color w:val="333333"/>
          <w:shd w:val="clear" w:color="auto" w:fill="FFFFFF"/>
        </w:rPr>
        <w:t xml:space="preserve">International Delphi study on developing </w:t>
      </w:r>
      <w:proofErr w:type="spellStart"/>
      <w:r w:rsidRPr="0072588F">
        <w:rPr>
          <w:color w:val="333333"/>
          <w:shd w:val="clear" w:color="auto" w:fill="FFFFFF"/>
        </w:rPr>
        <w:t>entrustable</w:t>
      </w:r>
      <w:proofErr w:type="spellEnd"/>
      <w:r w:rsidRPr="0072588F">
        <w:rPr>
          <w:color w:val="333333"/>
          <w:shd w:val="clear" w:color="auto" w:fill="FFFFFF"/>
        </w:rPr>
        <w:t xml:space="preserve"> professional activities (EPAs) for master’s learners in health professions education.</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24</w:t>
      </w:r>
      <w:r w:rsidRPr="0072588F">
        <w:rPr>
          <w:color w:val="333333"/>
          <w:shd w:val="clear" w:color="auto" w:fill="FFFFFF"/>
        </w:rPr>
        <w:t xml:space="preserve">, 1362 (2024). </w:t>
      </w:r>
      <w:hyperlink r:id="rId29" w:history="1">
        <w:r w:rsidRPr="0072588F">
          <w:rPr>
            <w:rStyle w:val="Hyperlink"/>
            <w:shd w:val="clear" w:color="auto" w:fill="FFFFFF"/>
          </w:rPr>
          <w:t>https://doi.org/10.1186/s12909-024-06377-z</w:t>
        </w:r>
      </w:hyperlink>
    </w:p>
    <w:p w14:paraId="18444722" w14:textId="77777777" w:rsidR="0072588F" w:rsidRDefault="0072588F" w:rsidP="0072588F">
      <w:pPr>
        <w:ind w:left="567" w:hanging="567"/>
        <w:jc w:val="both"/>
        <w:rPr>
          <w:color w:val="000000"/>
        </w:rPr>
      </w:pPr>
    </w:p>
    <w:p w14:paraId="681416D7" w14:textId="77777777" w:rsidR="0072588F" w:rsidRDefault="0072588F" w:rsidP="0072588F">
      <w:pPr>
        <w:ind w:left="567" w:hanging="567"/>
        <w:jc w:val="both"/>
        <w:rPr>
          <w:rStyle w:val="Hyperlink"/>
          <w:color w:val="000000"/>
          <w:u w:val="none"/>
        </w:rPr>
      </w:pPr>
      <w:r w:rsidRPr="0072588F">
        <w:rPr>
          <w:color w:val="000000"/>
        </w:rPr>
        <w:t>Hancock, P., &amp; Middleton, S. (2015). Gender aspects of globalization: Global measures of gender empowerment—A case study of Sri Lankan Export Processing Zone (EPZ) workers.</w:t>
      </w:r>
      <w:r w:rsidRPr="0072588F">
        <w:rPr>
          <w:rStyle w:val="apple-converted-space"/>
          <w:rFonts w:eastAsiaTheme="majorEastAsia"/>
          <w:color w:val="000000"/>
        </w:rPr>
        <w:t> </w:t>
      </w:r>
      <w:r w:rsidRPr="0072588F">
        <w:rPr>
          <w:rStyle w:val="Emphasis"/>
          <w:rFonts w:eastAsiaTheme="majorEastAsia"/>
          <w:color w:val="000000"/>
        </w:rPr>
        <w:t>Journal of Globalization Studies, 6</w:t>
      </w:r>
      <w:r w:rsidRPr="0072588F">
        <w:rPr>
          <w:color w:val="000000"/>
        </w:rPr>
        <w:t>(1), 58–73.</w:t>
      </w:r>
      <w:r w:rsidRPr="0072588F">
        <w:rPr>
          <w:rStyle w:val="apple-converted-space"/>
          <w:rFonts w:eastAsiaTheme="majorEastAsia"/>
          <w:color w:val="000000"/>
        </w:rPr>
        <w:t> </w:t>
      </w:r>
      <w:hyperlink r:id="rId30" w:tgtFrame="_new" w:history="1">
        <w:r w:rsidRPr="0072588F">
          <w:rPr>
            <w:rStyle w:val="Hyperlink"/>
            <w:rFonts w:eastAsiaTheme="majorEastAsia"/>
          </w:rPr>
          <w:t>https://www.sociostudies.org/journal/files/jogs/2015_1/058-073.pdf</w:t>
        </w:r>
      </w:hyperlink>
    </w:p>
    <w:p w14:paraId="21DFDFAA" w14:textId="77777777" w:rsidR="0072588F" w:rsidRDefault="0072588F" w:rsidP="0072588F">
      <w:pPr>
        <w:ind w:left="567" w:hanging="567"/>
        <w:jc w:val="both"/>
        <w:rPr>
          <w:rStyle w:val="Hyperlink"/>
          <w:color w:val="000000"/>
          <w:u w:val="none"/>
        </w:rPr>
      </w:pPr>
    </w:p>
    <w:p w14:paraId="31B2BDBB" w14:textId="77777777" w:rsidR="0072588F" w:rsidRDefault="0072588F" w:rsidP="0072588F">
      <w:pPr>
        <w:ind w:left="567" w:hanging="567"/>
        <w:jc w:val="both"/>
        <w:rPr>
          <w:color w:val="000000"/>
        </w:rPr>
      </w:pPr>
      <w:proofErr w:type="spellStart"/>
      <w:r w:rsidRPr="0072588F">
        <w:rPr>
          <w:color w:val="000000"/>
        </w:rPr>
        <w:t>Hapinat</w:t>
      </w:r>
      <w:proofErr w:type="spellEnd"/>
      <w:r w:rsidRPr="0072588F">
        <w:rPr>
          <w:color w:val="000000"/>
        </w:rPr>
        <w:t>, H. (2023). Practices on the outcomes-based education (OBE) implementation in select HEI graduate school programs in the Philippines as input to institutionalizing mandatory accreditation.</w:t>
      </w:r>
      <w:r w:rsidRPr="0072588F">
        <w:rPr>
          <w:rStyle w:val="apple-converted-space"/>
          <w:rFonts w:eastAsiaTheme="majorEastAsia"/>
          <w:color w:val="000000"/>
        </w:rPr>
        <w:t> </w:t>
      </w:r>
      <w:r w:rsidRPr="0072588F">
        <w:rPr>
          <w:rStyle w:val="Emphasis"/>
          <w:rFonts w:eastAsiaTheme="majorEastAsia"/>
          <w:color w:val="000000"/>
        </w:rPr>
        <w:t>International Journal of Advanced and Applied Sciences, 10</w:t>
      </w:r>
      <w:r w:rsidRPr="0072588F">
        <w:rPr>
          <w:color w:val="000000"/>
        </w:rPr>
        <w:t>(3), 167–182.</w:t>
      </w:r>
      <w:r w:rsidRPr="0072588F">
        <w:rPr>
          <w:rStyle w:val="apple-converted-space"/>
          <w:rFonts w:eastAsiaTheme="majorEastAsia"/>
          <w:color w:val="000000"/>
        </w:rPr>
        <w:t> </w:t>
      </w:r>
      <w:hyperlink r:id="rId31" w:history="1">
        <w:r w:rsidRPr="0072588F">
          <w:rPr>
            <w:rStyle w:val="Hyperlink"/>
          </w:rPr>
          <w:t>https://doi.org/10.21833/ijaas.2023.03.021</w:t>
        </w:r>
      </w:hyperlink>
    </w:p>
    <w:p w14:paraId="0590018A" w14:textId="77777777" w:rsidR="0072588F" w:rsidRDefault="0072588F" w:rsidP="0072588F">
      <w:pPr>
        <w:ind w:left="567" w:hanging="567"/>
        <w:jc w:val="both"/>
        <w:rPr>
          <w:color w:val="000000"/>
        </w:rPr>
      </w:pPr>
    </w:p>
    <w:p w14:paraId="4E0AEAA5" w14:textId="77777777" w:rsidR="0072588F" w:rsidRDefault="0072588F" w:rsidP="0072588F">
      <w:pPr>
        <w:ind w:left="567" w:hanging="567"/>
        <w:jc w:val="both"/>
        <w:rPr>
          <w:color w:val="000000"/>
        </w:rPr>
      </w:pPr>
      <w:proofErr w:type="spellStart"/>
      <w:r w:rsidRPr="0072588F">
        <w:rPr>
          <w:color w:val="000000"/>
        </w:rPr>
        <w:t>Hosseinnejad</w:t>
      </w:r>
      <w:proofErr w:type="spellEnd"/>
      <w:r w:rsidRPr="0072588F">
        <w:rPr>
          <w:color w:val="000000"/>
        </w:rPr>
        <w:t xml:space="preserve">, A., Rassouli, M., Jahani, S., Elahi, N., &amp; </w:t>
      </w:r>
      <w:proofErr w:type="spellStart"/>
      <w:r w:rsidRPr="0072588F">
        <w:rPr>
          <w:color w:val="000000"/>
        </w:rPr>
        <w:t>Molavynejad</w:t>
      </w:r>
      <w:proofErr w:type="spellEnd"/>
      <w:r w:rsidRPr="0072588F">
        <w:rPr>
          <w:color w:val="000000"/>
        </w:rPr>
        <w:t>, S. (2022, January 13). Requirements for creating a position for community health nursing within the Iranian primary health care system: A SWOT analysis.</w:t>
      </w:r>
      <w:r w:rsidRPr="0072588F">
        <w:rPr>
          <w:rStyle w:val="apple-converted-space"/>
          <w:rFonts w:eastAsiaTheme="majorEastAsia"/>
          <w:color w:val="000000"/>
        </w:rPr>
        <w:t> </w:t>
      </w:r>
      <w:r w:rsidRPr="0072588F">
        <w:rPr>
          <w:rStyle w:val="Emphasis"/>
          <w:rFonts w:eastAsiaTheme="majorEastAsia"/>
          <w:color w:val="000000"/>
        </w:rPr>
        <w:t>Frontiers in Public Health, 9</w:t>
      </w:r>
      <w:r w:rsidRPr="0072588F">
        <w:rPr>
          <w:color w:val="000000"/>
        </w:rPr>
        <w:t>, 793973.</w:t>
      </w:r>
      <w:r w:rsidRPr="0072588F">
        <w:rPr>
          <w:rStyle w:val="apple-converted-space"/>
          <w:rFonts w:eastAsiaTheme="majorEastAsia"/>
          <w:color w:val="000000"/>
        </w:rPr>
        <w:t> </w:t>
      </w:r>
      <w:hyperlink r:id="rId32" w:tgtFrame="_new" w:history="1">
        <w:r w:rsidRPr="0072588F">
          <w:rPr>
            <w:rStyle w:val="Hyperlink"/>
            <w:rFonts w:eastAsiaTheme="majorEastAsia"/>
          </w:rPr>
          <w:t>https://doi.org/10.3389/fpubh.2021.793973</w:t>
        </w:r>
      </w:hyperlink>
    </w:p>
    <w:p w14:paraId="76B1EE6E" w14:textId="77777777" w:rsidR="0072588F" w:rsidRDefault="0072588F" w:rsidP="0072588F">
      <w:pPr>
        <w:ind w:left="567" w:hanging="567"/>
        <w:jc w:val="both"/>
        <w:rPr>
          <w:color w:val="000000"/>
        </w:rPr>
      </w:pPr>
    </w:p>
    <w:p w14:paraId="3EFD2672" w14:textId="77777777" w:rsidR="0072588F" w:rsidRDefault="0072588F" w:rsidP="0072588F">
      <w:pPr>
        <w:ind w:left="567" w:hanging="567"/>
        <w:jc w:val="both"/>
      </w:pPr>
      <w:r w:rsidRPr="0072588F">
        <w:rPr>
          <w:color w:val="000000"/>
        </w:rPr>
        <w:t xml:space="preserve">Hyseni Duraku, Z., Blakaj, V., Shllaku Likaj, E., Boci, L., &amp; </w:t>
      </w:r>
      <w:proofErr w:type="spellStart"/>
      <w:r w:rsidRPr="0072588F">
        <w:rPr>
          <w:color w:val="000000"/>
        </w:rPr>
        <w:t>Shtylla</w:t>
      </w:r>
      <w:proofErr w:type="spellEnd"/>
      <w:r w:rsidRPr="0072588F">
        <w:rPr>
          <w:color w:val="000000"/>
        </w:rPr>
        <w:t>, H. (2022). Professional training improves early education teachers’ knowledge, skills, motivation, and self-efficacy.</w:t>
      </w:r>
      <w:r w:rsidRPr="0072588F">
        <w:rPr>
          <w:rStyle w:val="apple-converted-space"/>
          <w:rFonts w:eastAsiaTheme="majorEastAsia"/>
          <w:color w:val="000000"/>
        </w:rPr>
        <w:t> </w:t>
      </w:r>
      <w:r w:rsidRPr="0072588F">
        <w:rPr>
          <w:rStyle w:val="Emphasis"/>
          <w:rFonts w:eastAsiaTheme="majorEastAsia"/>
          <w:color w:val="000000"/>
        </w:rPr>
        <w:t>Frontiers in Education, 7</w:t>
      </w:r>
      <w:r w:rsidRPr="0072588F">
        <w:rPr>
          <w:color w:val="000000"/>
        </w:rPr>
        <w:t>, 1–11.</w:t>
      </w:r>
      <w:r w:rsidRPr="0072588F">
        <w:rPr>
          <w:rStyle w:val="apple-converted-space"/>
          <w:rFonts w:eastAsiaTheme="majorEastAsia"/>
          <w:color w:val="000000"/>
        </w:rPr>
        <w:t> </w:t>
      </w:r>
      <w:hyperlink r:id="rId33" w:history="1">
        <w:r w:rsidRPr="0072588F">
          <w:rPr>
            <w:rStyle w:val="Hyperlink"/>
          </w:rPr>
          <w:t>https://doi.org/10.3389/feduc.2022.980254</w:t>
        </w:r>
      </w:hyperlink>
      <w:r>
        <w:t xml:space="preserve"> </w:t>
      </w:r>
      <w:proofErr w:type="spellStart"/>
      <w:r w:rsidRPr="0072588F">
        <w:t>Iss</w:t>
      </w:r>
      <w:proofErr w:type="spellEnd"/>
      <w:r w:rsidRPr="0072588F">
        <w:t>. 4, Article 5.</w:t>
      </w:r>
    </w:p>
    <w:p w14:paraId="08A33B90" w14:textId="77777777" w:rsidR="0072588F" w:rsidRDefault="0072588F" w:rsidP="0072588F">
      <w:pPr>
        <w:ind w:left="567" w:hanging="567"/>
        <w:jc w:val="both"/>
      </w:pPr>
      <w:r w:rsidRPr="0072588F">
        <w:rPr>
          <w:color w:val="333333"/>
          <w:shd w:val="clear" w:color="auto" w:fill="FFFFFF"/>
        </w:rPr>
        <w:t>Ji, Y., Lee, H., Lee, T.</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Developing an integrated curriculum for patient safety in an undergraduate nursing program: a case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172 (2021). </w:t>
      </w:r>
      <w:hyperlink r:id="rId34" w:history="1">
        <w:r w:rsidRPr="0072588F">
          <w:rPr>
            <w:rStyle w:val="Hyperlink"/>
            <w:shd w:val="clear" w:color="auto" w:fill="FFFFFF"/>
          </w:rPr>
          <w:t>https://doi.org/10.1186/s12912-021-00694-0</w:t>
        </w:r>
      </w:hyperlink>
    </w:p>
    <w:p w14:paraId="5B8564B4" w14:textId="77777777" w:rsidR="0072588F" w:rsidRDefault="0072588F" w:rsidP="0072588F">
      <w:pPr>
        <w:ind w:left="567" w:hanging="567"/>
        <w:jc w:val="both"/>
        <w:rPr>
          <w:color w:val="000000"/>
        </w:rPr>
      </w:pPr>
    </w:p>
    <w:p w14:paraId="25256DDB" w14:textId="77777777" w:rsidR="0072588F" w:rsidRDefault="0072588F" w:rsidP="0072588F">
      <w:pPr>
        <w:ind w:left="567" w:hanging="567"/>
        <w:jc w:val="both"/>
      </w:pPr>
      <w:r w:rsidRPr="0072588F">
        <w:rPr>
          <w:color w:val="000000"/>
        </w:rPr>
        <w:t xml:space="preserve">Khan, R. A., </w:t>
      </w:r>
      <w:proofErr w:type="spellStart"/>
      <w:r w:rsidRPr="0072588F">
        <w:rPr>
          <w:color w:val="000000"/>
        </w:rPr>
        <w:t>Spruijt</w:t>
      </w:r>
      <w:proofErr w:type="spellEnd"/>
      <w:r w:rsidRPr="0072588F">
        <w:rPr>
          <w:color w:val="000000"/>
        </w:rPr>
        <w:t>, A., Mahboob, U., Al-</w:t>
      </w:r>
      <w:proofErr w:type="spellStart"/>
      <w:r w:rsidRPr="0072588F">
        <w:rPr>
          <w:color w:val="000000"/>
        </w:rPr>
        <w:t>Eraky</w:t>
      </w:r>
      <w:proofErr w:type="spellEnd"/>
      <w:r w:rsidRPr="0072588F">
        <w:rPr>
          <w:color w:val="000000"/>
        </w:rPr>
        <w:t>, M. M., &amp; Van Merrienboer, J. J. G. (2020).</w:t>
      </w:r>
      <w:r w:rsidRPr="0072588F">
        <w:rPr>
          <w:rStyle w:val="apple-converted-space"/>
          <w:rFonts w:eastAsiaTheme="majorEastAsia"/>
          <w:color w:val="000000"/>
        </w:rPr>
        <w:t> </w:t>
      </w:r>
      <w:r w:rsidRPr="0072588F">
        <w:rPr>
          <w:rStyle w:val="Emphasis"/>
          <w:rFonts w:eastAsiaTheme="majorEastAsia"/>
          <w:color w:val="000000"/>
        </w:rPr>
        <w:t>Curriculum viability indicators: A Delphi study to determine standards and inhibitors of a curriculum</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Evaluation &amp; the Health Professions, 44</w:t>
      </w:r>
      <w:r w:rsidRPr="0072588F">
        <w:rPr>
          <w:color w:val="000000"/>
        </w:rPr>
        <w:t>(9), 394–401.</w:t>
      </w:r>
      <w:r w:rsidRPr="0072588F">
        <w:rPr>
          <w:rStyle w:val="apple-converted-space"/>
          <w:rFonts w:eastAsiaTheme="majorEastAsia"/>
          <w:color w:val="000000"/>
        </w:rPr>
        <w:t> </w:t>
      </w:r>
      <w:hyperlink r:id="rId35" w:history="1">
        <w:r w:rsidRPr="0072588F">
          <w:rPr>
            <w:rStyle w:val="Hyperlink"/>
          </w:rPr>
          <w:t>https://doi.org/10.1177/0163278720934164</w:t>
        </w:r>
      </w:hyperlink>
    </w:p>
    <w:p w14:paraId="5EDD06A6" w14:textId="77777777" w:rsidR="0072588F" w:rsidRDefault="0072588F" w:rsidP="0072588F">
      <w:pPr>
        <w:ind w:left="567" w:hanging="567"/>
        <w:jc w:val="both"/>
      </w:pPr>
    </w:p>
    <w:p w14:paraId="0BC98CB6" w14:textId="77777777" w:rsidR="0072588F" w:rsidRDefault="0072588F" w:rsidP="0072588F">
      <w:pPr>
        <w:ind w:left="567" w:hanging="567"/>
        <w:jc w:val="both"/>
      </w:pPr>
      <w:r w:rsidRPr="0072588F">
        <w:rPr>
          <w:color w:val="1B1B1B"/>
          <w:shd w:val="clear" w:color="auto" w:fill="FFFFFF"/>
        </w:rPr>
        <w:t xml:space="preserve">Kukkonen P, Koskinen S, Fuster-Linares P, Istomina N, </w:t>
      </w:r>
      <w:proofErr w:type="spellStart"/>
      <w:r w:rsidRPr="0072588F">
        <w:rPr>
          <w:color w:val="1B1B1B"/>
          <w:shd w:val="clear" w:color="auto" w:fill="FFFFFF"/>
        </w:rPr>
        <w:t>Leino-Kilpi</w:t>
      </w:r>
      <w:proofErr w:type="spellEnd"/>
      <w:r w:rsidRPr="0072588F">
        <w:rPr>
          <w:color w:val="1B1B1B"/>
          <w:shd w:val="clear" w:color="auto" w:fill="FFFFFF"/>
        </w:rPr>
        <w:t xml:space="preserve"> H, </w:t>
      </w:r>
      <w:proofErr w:type="spellStart"/>
      <w:r w:rsidRPr="0072588F">
        <w:rPr>
          <w:color w:val="1B1B1B"/>
          <w:shd w:val="clear" w:color="auto" w:fill="FFFFFF"/>
        </w:rPr>
        <w:t>Löyttyniemi</w:t>
      </w:r>
      <w:proofErr w:type="spellEnd"/>
      <w:r w:rsidRPr="0072588F">
        <w:rPr>
          <w:color w:val="1B1B1B"/>
          <w:shd w:val="clear" w:color="auto" w:fill="FFFFFF"/>
        </w:rPr>
        <w:t xml:space="preserve"> E, Meyer G, Salminen L, Sveinsdóttir H, Heikkilä A. The professional competence of newly graduated nurses in the transition phase as assessed by nurse managers: a descriptive cross-sectional multi-national study</w:t>
      </w:r>
      <w:r w:rsidRPr="0072588F">
        <w:rPr>
          <w:i/>
          <w:iCs/>
          <w:color w:val="1B1B1B"/>
          <w:shd w:val="clear" w:color="auto" w:fill="FFFFFF"/>
        </w:rPr>
        <w:t xml:space="preserve">. J Res </w:t>
      </w:r>
      <w:proofErr w:type="spellStart"/>
      <w:r w:rsidRPr="0072588F">
        <w:rPr>
          <w:i/>
          <w:iCs/>
          <w:color w:val="1B1B1B"/>
          <w:shd w:val="clear" w:color="auto" w:fill="FFFFFF"/>
        </w:rPr>
        <w:t>Nurs</w:t>
      </w:r>
      <w:proofErr w:type="spellEnd"/>
      <w:r w:rsidRPr="0072588F">
        <w:rPr>
          <w:i/>
          <w:iCs/>
          <w:color w:val="1B1B1B"/>
          <w:shd w:val="clear" w:color="auto" w:fill="FFFFFF"/>
        </w:rPr>
        <w:t>.</w:t>
      </w:r>
      <w:r w:rsidRPr="0072588F">
        <w:rPr>
          <w:color w:val="1B1B1B"/>
          <w:shd w:val="clear" w:color="auto" w:fill="FFFFFF"/>
        </w:rPr>
        <w:t xml:space="preserve"> 2025 Mar 15;30(3):17449871241311543. </w:t>
      </w:r>
      <w:proofErr w:type="spellStart"/>
      <w:r w:rsidRPr="0072588F">
        <w:rPr>
          <w:color w:val="1B1B1B"/>
          <w:shd w:val="clear" w:color="auto" w:fill="FFFFFF"/>
        </w:rPr>
        <w:t>doi</w:t>
      </w:r>
      <w:proofErr w:type="spellEnd"/>
      <w:r w:rsidRPr="0072588F">
        <w:rPr>
          <w:color w:val="1B1B1B"/>
          <w:shd w:val="clear" w:color="auto" w:fill="FFFFFF"/>
        </w:rPr>
        <w:t xml:space="preserve">: 10.1177/17449871241311543. </w:t>
      </w:r>
      <w:proofErr w:type="spellStart"/>
      <w:r w:rsidRPr="0072588F">
        <w:rPr>
          <w:color w:val="1B1B1B"/>
          <w:shd w:val="clear" w:color="auto" w:fill="FFFFFF"/>
        </w:rPr>
        <w:t>Epub</w:t>
      </w:r>
      <w:proofErr w:type="spellEnd"/>
      <w:r w:rsidRPr="0072588F">
        <w:rPr>
          <w:color w:val="1B1B1B"/>
          <w:shd w:val="clear" w:color="auto" w:fill="FFFFFF"/>
        </w:rPr>
        <w:t xml:space="preserve"> ahead of print. PMID: 40099198; PMCID: PMC11910741.</w:t>
      </w:r>
    </w:p>
    <w:p w14:paraId="693FB9A1" w14:textId="77777777" w:rsidR="0072588F" w:rsidRDefault="0072588F" w:rsidP="0072588F">
      <w:pPr>
        <w:ind w:left="567" w:hanging="567"/>
        <w:jc w:val="both"/>
      </w:pPr>
    </w:p>
    <w:p w14:paraId="420B8688" w14:textId="77777777" w:rsidR="0072588F" w:rsidRPr="00E0673F" w:rsidRDefault="0072588F" w:rsidP="0072588F">
      <w:pPr>
        <w:ind w:left="567" w:hanging="567"/>
        <w:jc w:val="both"/>
        <w:rPr>
          <w:lang w:val="es-ES"/>
        </w:rPr>
      </w:pPr>
      <w:r w:rsidRPr="00E0673F">
        <w:rPr>
          <w:color w:val="000000"/>
          <w:lang w:val="sv-SE"/>
        </w:rPr>
        <w:t>Kumar, P., Shukla, B., &amp; Passey, D. (2020).</w:t>
      </w:r>
      <w:r w:rsidRPr="00E0673F">
        <w:rPr>
          <w:rStyle w:val="apple-converted-space"/>
          <w:rFonts w:eastAsiaTheme="majorEastAsia"/>
          <w:color w:val="000000"/>
          <w:lang w:val="sv-SE"/>
        </w:rPr>
        <w:t> </w:t>
      </w:r>
      <w:r w:rsidRPr="0072588F">
        <w:rPr>
          <w:rStyle w:val="Emphasis"/>
          <w:rFonts w:eastAsiaTheme="majorEastAsia"/>
          <w:color w:val="000000"/>
        </w:rPr>
        <w:t>Impact of accreditation on quality and excellence of higher education institutions</w:t>
      </w:r>
      <w:r w:rsidRPr="0072588F">
        <w:rPr>
          <w:color w:val="000000"/>
        </w:rPr>
        <w:t xml:space="preserve">. </w:t>
      </w:r>
      <w:r w:rsidRPr="00E0673F">
        <w:rPr>
          <w:color w:val="000000"/>
          <w:lang w:val="es-ES"/>
        </w:rPr>
        <w:t>Revista Investigación Operacional, 41(2), 151–167.</w:t>
      </w:r>
      <w:r w:rsidRPr="00E0673F">
        <w:rPr>
          <w:rStyle w:val="apple-converted-space"/>
          <w:rFonts w:eastAsiaTheme="majorEastAsia"/>
          <w:color w:val="000000"/>
          <w:lang w:val="es-ES"/>
        </w:rPr>
        <w:t> </w:t>
      </w:r>
      <w:hyperlink r:id="rId36" w:tgtFrame="_new" w:history="1">
        <w:r w:rsidRPr="00E0673F">
          <w:rPr>
            <w:rStyle w:val="Hyperlink"/>
            <w:rFonts w:eastAsiaTheme="majorEastAsia"/>
            <w:lang w:val="es-ES"/>
          </w:rPr>
          <w:t>https://rev-inv-ope.univ-paris1.fr/fileadmin/rev-inv-ope/files/41220-01.pdf</w:t>
        </w:r>
      </w:hyperlink>
    </w:p>
    <w:p w14:paraId="3963E466" w14:textId="77777777" w:rsidR="0072588F" w:rsidRPr="00E0673F" w:rsidRDefault="0072588F" w:rsidP="0072588F">
      <w:pPr>
        <w:ind w:left="567" w:hanging="567"/>
        <w:jc w:val="both"/>
        <w:rPr>
          <w:lang w:val="es-ES"/>
        </w:rPr>
      </w:pPr>
    </w:p>
    <w:p w14:paraId="7DA378D8" w14:textId="77777777" w:rsidR="0072588F" w:rsidRDefault="0072588F" w:rsidP="0072588F">
      <w:pPr>
        <w:ind w:left="567" w:hanging="567"/>
        <w:jc w:val="both"/>
      </w:pPr>
      <w:r w:rsidRPr="0072588F">
        <w:rPr>
          <w:color w:val="1B1B1B"/>
          <w:shd w:val="clear" w:color="auto" w:fill="FFFFFF"/>
        </w:rPr>
        <w:t xml:space="preserve">Leaver CA, Stanley JM, Goodwin Veenema T. Impact of the COVID-19 Pandemic on the Future of Nursing Education. </w:t>
      </w:r>
      <w:proofErr w:type="spellStart"/>
      <w:r w:rsidRPr="0072588F">
        <w:rPr>
          <w:i/>
          <w:iCs/>
          <w:color w:val="1B1B1B"/>
          <w:shd w:val="clear" w:color="auto" w:fill="FFFFFF"/>
        </w:rPr>
        <w:t>Acad</w:t>
      </w:r>
      <w:proofErr w:type="spellEnd"/>
      <w:r w:rsidRPr="0072588F">
        <w:rPr>
          <w:i/>
          <w:iCs/>
          <w:color w:val="1B1B1B"/>
          <w:shd w:val="clear" w:color="auto" w:fill="FFFFFF"/>
        </w:rPr>
        <w:t xml:space="preserve"> Med.</w:t>
      </w:r>
      <w:r w:rsidRPr="0072588F">
        <w:rPr>
          <w:color w:val="1B1B1B"/>
          <w:shd w:val="clear" w:color="auto" w:fill="FFFFFF"/>
        </w:rPr>
        <w:t xml:space="preserve"> 2022 Mar 1;97(3S</w:t>
      </w:r>
      <w:proofErr w:type="gramStart"/>
      <w:r w:rsidRPr="0072588F">
        <w:rPr>
          <w:color w:val="1B1B1B"/>
          <w:shd w:val="clear" w:color="auto" w:fill="FFFFFF"/>
        </w:rPr>
        <w:t>):S</w:t>
      </w:r>
      <w:proofErr w:type="gramEnd"/>
      <w:r w:rsidRPr="0072588F">
        <w:rPr>
          <w:color w:val="1B1B1B"/>
          <w:shd w:val="clear" w:color="auto" w:fill="FFFFFF"/>
        </w:rPr>
        <w:t xml:space="preserve">82-S89. </w:t>
      </w:r>
      <w:proofErr w:type="spellStart"/>
      <w:r w:rsidRPr="0072588F">
        <w:rPr>
          <w:color w:val="1B1B1B"/>
          <w:shd w:val="clear" w:color="auto" w:fill="FFFFFF"/>
        </w:rPr>
        <w:t>doi</w:t>
      </w:r>
      <w:proofErr w:type="spellEnd"/>
      <w:r w:rsidRPr="0072588F">
        <w:rPr>
          <w:color w:val="1B1B1B"/>
          <w:shd w:val="clear" w:color="auto" w:fill="FFFFFF"/>
        </w:rPr>
        <w:t>: 10.1097/ACM.0000000000004528. PMID: 34789661; PMCID: PMC8855777.</w:t>
      </w:r>
    </w:p>
    <w:p w14:paraId="10289D08" w14:textId="77777777" w:rsidR="0072588F" w:rsidRDefault="0072588F" w:rsidP="0072588F">
      <w:pPr>
        <w:ind w:left="567" w:hanging="567"/>
        <w:jc w:val="both"/>
      </w:pPr>
    </w:p>
    <w:p w14:paraId="083BD2A1" w14:textId="7A4E81F9" w:rsidR="0072588F" w:rsidRDefault="0072588F" w:rsidP="0072588F">
      <w:pPr>
        <w:ind w:left="567" w:hanging="567"/>
        <w:jc w:val="both"/>
      </w:pPr>
      <w:r w:rsidRPr="0072588F">
        <w:rPr>
          <w:color w:val="333333"/>
          <w:shd w:val="clear" w:color="auto" w:fill="FFFFFF"/>
        </w:rPr>
        <w:lastRenderedPageBreak/>
        <w:t>Lennox, L., Linwood-Amor, A., Maher, L.</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Making change last? Exploring the value of sustainability approaches in healthcare: a scoping review.</w:t>
      </w:r>
      <w:r w:rsidRPr="0072588F">
        <w:rPr>
          <w:rStyle w:val="apple-converted-space"/>
          <w:rFonts w:eastAsiaTheme="majorEastAsia"/>
          <w:color w:val="333333"/>
          <w:shd w:val="clear" w:color="auto" w:fill="FFFFFF"/>
        </w:rPr>
        <w:t> </w:t>
      </w:r>
      <w:r w:rsidRPr="0072588F">
        <w:rPr>
          <w:i/>
          <w:iCs/>
          <w:color w:val="333333"/>
        </w:rPr>
        <w:t>Health Res Policy Sys</w:t>
      </w:r>
      <w:r w:rsidRPr="0072588F">
        <w:rPr>
          <w:rStyle w:val="apple-converted-space"/>
          <w:rFonts w:eastAsiaTheme="majorEastAsia"/>
          <w:color w:val="333333"/>
          <w:shd w:val="clear" w:color="auto" w:fill="FFFFFF"/>
        </w:rPr>
        <w:t> </w:t>
      </w:r>
      <w:r w:rsidRPr="0072588F">
        <w:rPr>
          <w:color w:val="333333"/>
        </w:rPr>
        <w:t>18</w:t>
      </w:r>
      <w:r w:rsidRPr="0072588F">
        <w:rPr>
          <w:color w:val="333333"/>
          <w:shd w:val="clear" w:color="auto" w:fill="FFFFFF"/>
        </w:rPr>
        <w:t xml:space="preserve">, 120 (2020). </w:t>
      </w:r>
      <w:hyperlink r:id="rId37" w:history="1">
        <w:r w:rsidRPr="00C36059">
          <w:rPr>
            <w:rStyle w:val="Hyperlink"/>
            <w:shd w:val="clear" w:color="auto" w:fill="FFFFFF"/>
          </w:rPr>
          <w:t>https://doi.org/10.1186/s12961-020-00601-0</w:t>
        </w:r>
      </w:hyperlink>
    </w:p>
    <w:p w14:paraId="2DA99B1D" w14:textId="77777777" w:rsidR="0072588F" w:rsidRDefault="0072588F" w:rsidP="0072588F">
      <w:pPr>
        <w:ind w:left="567" w:hanging="567"/>
        <w:jc w:val="both"/>
      </w:pPr>
    </w:p>
    <w:p w14:paraId="16DDACE0" w14:textId="77777777" w:rsidR="0072588F" w:rsidRDefault="0072588F" w:rsidP="0072588F">
      <w:pPr>
        <w:ind w:left="567" w:hanging="567"/>
        <w:jc w:val="both"/>
      </w:pPr>
      <w:r w:rsidRPr="0072588F">
        <w:rPr>
          <w:color w:val="1B1B1B"/>
          <w:shd w:val="clear" w:color="auto" w:fill="FFFFFF"/>
        </w:rPr>
        <w:t xml:space="preserve">Lewis LS, </w:t>
      </w:r>
      <w:proofErr w:type="spellStart"/>
      <w:r w:rsidRPr="0072588F">
        <w:rPr>
          <w:color w:val="1B1B1B"/>
          <w:shd w:val="clear" w:color="auto" w:fill="FFFFFF"/>
        </w:rPr>
        <w:t>Rebeschi</w:t>
      </w:r>
      <w:proofErr w:type="spellEnd"/>
      <w:r w:rsidRPr="0072588F">
        <w:rPr>
          <w:color w:val="1B1B1B"/>
          <w:shd w:val="clear" w:color="auto" w:fill="FFFFFF"/>
        </w:rPr>
        <w:t xml:space="preserve"> LM, Hunt E. Nursing Education Practice Update 2022: Competency-Based Education in Nursing. SAGE Open </w:t>
      </w:r>
      <w:proofErr w:type="spellStart"/>
      <w:r w:rsidRPr="0072588F">
        <w:rPr>
          <w:color w:val="1B1B1B"/>
          <w:shd w:val="clear" w:color="auto" w:fill="FFFFFF"/>
        </w:rPr>
        <w:t>Nurs</w:t>
      </w:r>
      <w:proofErr w:type="spellEnd"/>
      <w:r w:rsidRPr="0072588F">
        <w:rPr>
          <w:color w:val="1B1B1B"/>
          <w:shd w:val="clear" w:color="auto" w:fill="FFFFFF"/>
        </w:rPr>
        <w:t xml:space="preserve">. 2022 Nov </w:t>
      </w:r>
      <w:proofErr w:type="gramStart"/>
      <w:r w:rsidRPr="0072588F">
        <w:rPr>
          <w:color w:val="1B1B1B"/>
          <w:shd w:val="clear" w:color="auto" w:fill="FFFFFF"/>
        </w:rPr>
        <w:t>20;8:23779608221140774</w:t>
      </w:r>
      <w:proofErr w:type="gramEnd"/>
      <w:r w:rsidRPr="0072588F">
        <w:rPr>
          <w:color w:val="1B1B1B"/>
          <w:shd w:val="clear" w:color="auto" w:fill="FFFFFF"/>
        </w:rPr>
        <w:t xml:space="preserve">. </w:t>
      </w:r>
      <w:proofErr w:type="spellStart"/>
      <w:r w:rsidRPr="0072588F">
        <w:rPr>
          <w:color w:val="1B1B1B"/>
          <w:shd w:val="clear" w:color="auto" w:fill="FFFFFF"/>
        </w:rPr>
        <w:t>doi</w:t>
      </w:r>
      <w:proofErr w:type="spellEnd"/>
      <w:r w:rsidRPr="0072588F">
        <w:rPr>
          <w:color w:val="1B1B1B"/>
          <w:shd w:val="clear" w:color="auto" w:fill="FFFFFF"/>
        </w:rPr>
        <w:t>: 10.1177/23779608221140774. PMID: 36437897; PMCID: PMC9685206.</w:t>
      </w:r>
    </w:p>
    <w:p w14:paraId="496419A2" w14:textId="77777777" w:rsidR="0072588F" w:rsidRDefault="0072588F" w:rsidP="0072588F">
      <w:pPr>
        <w:ind w:left="567" w:hanging="567"/>
        <w:jc w:val="both"/>
      </w:pPr>
    </w:p>
    <w:p w14:paraId="6A4B7EE6" w14:textId="77777777" w:rsidR="0072588F" w:rsidRDefault="0072588F" w:rsidP="0072588F">
      <w:pPr>
        <w:ind w:left="567" w:hanging="567"/>
        <w:jc w:val="both"/>
      </w:pPr>
      <w:r w:rsidRPr="0072588F">
        <w:rPr>
          <w:rStyle w:val="Strong"/>
          <w:rFonts w:eastAsiaTheme="majorEastAsia"/>
          <w:b w:val="0"/>
          <w:bCs w:val="0"/>
          <w:color w:val="000000"/>
        </w:rPr>
        <w:t xml:space="preserve">Lewis, C. L., Yan, A., Williams, M. Y., </w:t>
      </w:r>
      <w:proofErr w:type="spellStart"/>
      <w:r w:rsidRPr="0072588F">
        <w:rPr>
          <w:rStyle w:val="Strong"/>
          <w:rFonts w:eastAsiaTheme="majorEastAsia"/>
          <w:b w:val="0"/>
          <w:bCs w:val="0"/>
          <w:color w:val="000000"/>
        </w:rPr>
        <w:t>Apen</w:t>
      </w:r>
      <w:proofErr w:type="spellEnd"/>
      <w:r w:rsidRPr="0072588F">
        <w:rPr>
          <w:rStyle w:val="Strong"/>
          <w:rFonts w:eastAsiaTheme="majorEastAsia"/>
          <w:b w:val="0"/>
          <w:bCs w:val="0"/>
          <w:color w:val="000000"/>
        </w:rPr>
        <w:t>, L. V., Crawford, C. L., Morse, L., Valdez, A. M., Alexander, G. R., Grant, E., Valderama-Wallace, C., &amp; Beatty, D.</w:t>
      </w:r>
      <w:r w:rsidRPr="0072588F">
        <w:rPr>
          <w:rStyle w:val="apple-converted-space"/>
          <w:rFonts w:eastAsiaTheme="majorEastAsia"/>
          <w:color w:val="000000"/>
        </w:rPr>
        <w:t> </w:t>
      </w:r>
      <w:r w:rsidRPr="0072588F">
        <w:rPr>
          <w:color w:val="000000"/>
        </w:rPr>
        <w:t>(2023). Health equity: A concept analysis.</w:t>
      </w:r>
      <w:r w:rsidRPr="0072588F">
        <w:rPr>
          <w:rStyle w:val="apple-converted-space"/>
          <w:rFonts w:eastAsiaTheme="majorEastAsia"/>
          <w:color w:val="000000"/>
        </w:rPr>
        <w:t> </w:t>
      </w:r>
      <w:r w:rsidRPr="0072588F">
        <w:rPr>
          <w:rStyle w:val="Emphasis"/>
          <w:rFonts w:eastAsiaTheme="majorEastAsia"/>
          <w:color w:val="000000"/>
        </w:rPr>
        <w:t>Nursing Outlook, 71</w:t>
      </w:r>
      <w:r w:rsidRPr="0072588F">
        <w:rPr>
          <w:color w:val="000000"/>
        </w:rPr>
        <w:t>(5), Article 102032.</w:t>
      </w:r>
      <w:r w:rsidRPr="0072588F">
        <w:rPr>
          <w:rStyle w:val="apple-converted-space"/>
          <w:rFonts w:eastAsiaTheme="majorEastAsia"/>
          <w:color w:val="000000"/>
        </w:rPr>
        <w:t> </w:t>
      </w:r>
      <w:hyperlink r:id="rId38" w:tgtFrame="_new" w:history="1">
        <w:r w:rsidRPr="0072588F">
          <w:rPr>
            <w:rStyle w:val="Hyperlink"/>
            <w:rFonts w:eastAsiaTheme="majorEastAsia"/>
          </w:rPr>
          <w:t>https://doi.org/10.1016/j.outlook.2023.102032</w:t>
        </w:r>
      </w:hyperlink>
    </w:p>
    <w:p w14:paraId="35D4C166" w14:textId="77777777" w:rsidR="0072588F" w:rsidRDefault="0072588F" w:rsidP="0072588F">
      <w:pPr>
        <w:ind w:left="567" w:hanging="567"/>
        <w:jc w:val="both"/>
      </w:pPr>
    </w:p>
    <w:p w14:paraId="7B1BE701" w14:textId="77777777" w:rsidR="0072588F" w:rsidRDefault="0072588F" w:rsidP="0072588F">
      <w:pPr>
        <w:ind w:left="567" w:hanging="567"/>
        <w:jc w:val="both"/>
      </w:pPr>
      <w:r w:rsidRPr="0072588F">
        <w:rPr>
          <w:color w:val="1B1B1B"/>
          <w:shd w:val="clear" w:color="auto" w:fill="FFFFFF"/>
        </w:rPr>
        <w:t xml:space="preserve">McCloud RF, Bekalu MA, Vaughan T, Maranta L, Peck E, Viswanath K. Evidence for Decision-Making: The Importance of Systematic Data Collection as an Essential Component of Responsive Feedback. </w:t>
      </w:r>
      <w:r w:rsidRPr="0072588F">
        <w:rPr>
          <w:i/>
          <w:iCs/>
          <w:color w:val="1B1B1B"/>
          <w:shd w:val="clear" w:color="auto" w:fill="FFFFFF"/>
        </w:rPr>
        <w:t xml:space="preserve">Glob Health Sci </w:t>
      </w:r>
      <w:proofErr w:type="spellStart"/>
      <w:r w:rsidRPr="0072588F">
        <w:rPr>
          <w:i/>
          <w:iCs/>
          <w:color w:val="1B1B1B"/>
          <w:shd w:val="clear" w:color="auto" w:fill="FFFFFF"/>
        </w:rPr>
        <w:t>Pract</w:t>
      </w:r>
      <w:proofErr w:type="spellEnd"/>
      <w:r w:rsidRPr="0072588F">
        <w:rPr>
          <w:i/>
          <w:iCs/>
          <w:color w:val="1B1B1B"/>
          <w:shd w:val="clear" w:color="auto" w:fill="FFFFFF"/>
        </w:rPr>
        <w:t>.</w:t>
      </w:r>
      <w:r w:rsidRPr="0072588F">
        <w:rPr>
          <w:color w:val="1B1B1B"/>
          <w:shd w:val="clear" w:color="auto" w:fill="FFFFFF"/>
        </w:rPr>
        <w:t xml:space="preserve"> 2023 Dec 18;11(Suppl 2</w:t>
      </w:r>
      <w:proofErr w:type="gramStart"/>
      <w:r w:rsidRPr="0072588F">
        <w:rPr>
          <w:color w:val="1B1B1B"/>
          <w:shd w:val="clear" w:color="auto" w:fill="FFFFFF"/>
        </w:rPr>
        <w:t>):e</w:t>
      </w:r>
      <w:proofErr w:type="gramEnd"/>
      <w:r w:rsidRPr="0072588F">
        <w:rPr>
          <w:color w:val="1B1B1B"/>
          <w:shd w:val="clear" w:color="auto" w:fill="FFFFFF"/>
        </w:rPr>
        <w:t xml:space="preserve">2200246. </w:t>
      </w:r>
      <w:proofErr w:type="spellStart"/>
      <w:r w:rsidRPr="0072588F">
        <w:rPr>
          <w:color w:val="1B1B1B"/>
          <w:shd w:val="clear" w:color="auto" w:fill="FFFFFF"/>
        </w:rPr>
        <w:t>doi</w:t>
      </w:r>
      <w:proofErr w:type="spellEnd"/>
      <w:r w:rsidRPr="0072588F">
        <w:rPr>
          <w:color w:val="1B1B1B"/>
          <w:shd w:val="clear" w:color="auto" w:fill="FFFFFF"/>
        </w:rPr>
        <w:t>: 10.9745/GHSP-D-22-00246. PMID: 38110208; PMCID: PMC10727464.</w:t>
      </w:r>
    </w:p>
    <w:p w14:paraId="7BE451BC" w14:textId="77777777" w:rsidR="0072588F" w:rsidRDefault="0072588F" w:rsidP="0072588F">
      <w:pPr>
        <w:ind w:left="567" w:hanging="567"/>
        <w:jc w:val="both"/>
      </w:pPr>
    </w:p>
    <w:p w14:paraId="3F256DAC" w14:textId="77777777" w:rsidR="0072588F" w:rsidRDefault="0072588F" w:rsidP="0072588F">
      <w:pPr>
        <w:ind w:left="567" w:hanging="567"/>
        <w:jc w:val="both"/>
      </w:pPr>
      <w:r w:rsidRPr="0072588F">
        <w:rPr>
          <w:color w:val="000000"/>
        </w:rPr>
        <w:t xml:space="preserve">Mhlongo, S., Mbatha, K., </w:t>
      </w:r>
      <w:proofErr w:type="spellStart"/>
      <w:r w:rsidRPr="0072588F">
        <w:rPr>
          <w:color w:val="000000"/>
        </w:rPr>
        <w:t>Ramatsetse</w:t>
      </w:r>
      <w:proofErr w:type="spellEnd"/>
      <w:r w:rsidRPr="0072588F">
        <w:rPr>
          <w:color w:val="000000"/>
        </w:rPr>
        <w:t>, B., &amp; Dlamini, R. (2023). Challenges, opportunities, and prospects of adopting and using smart digital technologies in learning environments: An iterative review.</w:t>
      </w:r>
      <w:r w:rsidRPr="0072588F">
        <w:rPr>
          <w:rStyle w:val="apple-converted-space"/>
          <w:rFonts w:eastAsiaTheme="majorEastAsia"/>
          <w:color w:val="000000"/>
        </w:rPr>
        <w:t> </w:t>
      </w:r>
      <w:proofErr w:type="spellStart"/>
      <w:r w:rsidRPr="0072588F">
        <w:rPr>
          <w:rStyle w:val="Emphasis"/>
          <w:rFonts w:eastAsiaTheme="majorEastAsia"/>
          <w:color w:val="000000"/>
        </w:rPr>
        <w:t>Heliyon</w:t>
      </w:r>
      <w:proofErr w:type="spellEnd"/>
      <w:r w:rsidRPr="0072588F">
        <w:rPr>
          <w:rStyle w:val="Emphasis"/>
          <w:rFonts w:eastAsiaTheme="majorEastAsia"/>
          <w:color w:val="000000"/>
        </w:rPr>
        <w:t>, 9</w:t>
      </w:r>
      <w:r w:rsidRPr="0072588F">
        <w:rPr>
          <w:color w:val="000000"/>
        </w:rPr>
        <w:t>(6), e16348.</w:t>
      </w:r>
      <w:r w:rsidRPr="0072588F">
        <w:rPr>
          <w:rStyle w:val="apple-converted-space"/>
          <w:rFonts w:eastAsiaTheme="majorEastAsia"/>
          <w:color w:val="000000"/>
        </w:rPr>
        <w:t> </w:t>
      </w:r>
      <w:hyperlink r:id="rId39" w:tgtFrame="_new" w:history="1">
        <w:r w:rsidRPr="0072588F">
          <w:rPr>
            <w:rStyle w:val="Hyperlink"/>
            <w:rFonts w:eastAsiaTheme="majorEastAsia"/>
          </w:rPr>
          <w:t>https://doi.org/10.1016/j.heliyon.2023.e16348</w:t>
        </w:r>
      </w:hyperlink>
    </w:p>
    <w:p w14:paraId="3B27A90F" w14:textId="77777777" w:rsidR="0072588F" w:rsidRDefault="0072588F" w:rsidP="0072588F">
      <w:pPr>
        <w:ind w:left="567" w:hanging="567"/>
        <w:jc w:val="both"/>
      </w:pPr>
    </w:p>
    <w:p w14:paraId="3259E182" w14:textId="77777777" w:rsidR="0072588F" w:rsidRDefault="0072588F" w:rsidP="0072588F">
      <w:pPr>
        <w:ind w:left="567" w:hanging="567"/>
        <w:jc w:val="both"/>
      </w:pPr>
      <w:r w:rsidRPr="0072588F">
        <w:rPr>
          <w:color w:val="333333"/>
          <w:shd w:val="clear" w:color="auto" w:fill="FCFCFC"/>
        </w:rPr>
        <w:t xml:space="preserve">Mirata, V., Hirt, F., </w:t>
      </w:r>
      <w:proofErr w:type="spellStart"/>
      <w:r w:rsidRPr="0072588F">
        <w:rPr>
          <w:color w:val="333333"/>
          <w:shd w:val="clear" w:color="auto" w:fill="FCFCFC"/>
        </w:rPr>
        <w:t>Bergamin</w:t>
      </w:r>
      <w:proofErr w:type="spellEnd"/>
      <w:r w:rsidRPr="0072588F">
        <w:rPr>
          <w:color w:val="333333"/>
          <w:shd w:val="clear" w:color="auto" w:fill="FCFCFC"/>
        </w:rPr>
        <w:t>, P.</w:t>
      </w:r>
      <w:r w:rsidRPr="0072588F">
        <w:rPr>
          <w:rStyle w:val="apple-converted-space"/>
          <w:rFonts w:eastAsiaTheme="majorEastAsia"/>
          <w:color w:val="333333"/>
          <w:shd w:val="clear" w:color="auto" w:fill="FCFCFC"/>
        </w:rPr>
        <w:t> </w:t>
      </w:r>
      <w:r w:rsidRPr="0072588F">
        <w:rPr>
          <w:i/>
          <w:iCs/>
          <w:color w:val="333333"/>
        </w:rPr>
        <w:t>et al.</w:t>
      </w:r>
      <w:r w:rsidRPr="0072588F">
        <w:rPr>
          <w:rStyle w:val="apple-converted-space"/>
          <w:rFonts w:eastAsiaTheme="majorEastAsia"/>
          <w:color w:val="333333"/>
          <w:shd w:val="clear" w:color="auto" w:fill="FCFCFC"/>
        </w:rPr>
        <w:t> </w:t>
      </w:r>
      <w:r w:rsidRPr="0072588F">
        <w:rPr>
          <w:color w:val="333333"/>
          <w:shd w:val="clear" w:color="auto" w:fill="FCFCFC"/>
        </w:rPr>
        <w:t>Challenges and contexts in establishing adaptive learning in higher education: findings from a Delphi study.</w:t>
      </w:r>
      <w:r w:rsidRPr="0072588F">
        <w:rPr>
          <w:rStyle w:val="apple-converted-space"/>
          <w:rFonts w:eastAsiaTheme="majorEastAsia"/>
          <w:color w:val="333333"/>
          <w:shd w:val="clear" w:color="auto" w:fill="FCFCFC"/>
        </w:rPr>
        <w:t> </w:t>
      </w:r>
      <w:r w:rsidRPr="0072588F">
        <w:rPr>
          <w:i/>
          <w:iCs/>
          <w:color w:val="333333"/>
        </w:rPr>
        <w:t>Int J Educ Technol High Educ</w:t>
      </w:r>
      <w:r w:rsidRPr="0072588F">
        <w:rPr>
          <w:color w:val="333333"/>
        </w:rPr>
        <w:t>17</w:t>
      </w:r>
      <w:r w:rsidRPr="0072588F">
        <w:rPr>
          <w:color w:val="333333"/>
          <w:shd w:val="clear" w:color="auto" w:fill="FCFCFC"/>
        </w:rPr>
        <w:t xml:space="preserve">, 32 (2020). </w:t>
      </w:r>
      <w:hyperlink r:id="rId40" w:history="1">
        <w:r w:rsidRPr="0072588F">
          <w:rPr>
            <w:rStyle w:val="Hyperlink"/>
            <w:shd w:val="clear" w:color="auto" w:fill="FCFCFC"/>
          </w:rPr>
          <w:t>https://doi.org/10.1186/s41239-020-00209-y</w:t>
        </w:r>
      </w:hyperlink>
    </w:p>
    <w:p w14:paraId="028B8557" w14:textId="77777777" w:rsidR="0072588F" w:rsidRDefault="0072588F" w:rsidP="0072588F">
      <w:pPr>
        <w:ind w:left="567" w:hanging="567"/>
        <w:jc w:val="both"/>
        <w:rPr>
          <w:rStyle w:val="Strong"/>
          <w:rFonts w:eastAsiaTheme="majorEastAsia"/>
          <w:b w:val="0"/>
          <w:bCs w:val="0"/>
          <w:color w:val="000000"/>
        </w:rPr>
      </w:pPr>
    </w:p>
    <w:p w14:paraId="2FC52C73" w14:textId="77777777" w:rsidR="0072588F" w:rsidRPr="00E0673F" w:rsidRDefault="0072588F" w:rsidP="0072588F">
      <w:pPr>
        <w:ind w:left="567" w:hanging="567"/>
        <w:jc w:val="both"/>
        <w:rPr>
          <w:lang w:val="nb-NO"/>
        </w:rPr>
      </w:pPr>
      <w:r w:rsidRPr="0072588F">
        <w:rPr>
          <w:rStyle w:val="Strong"/>
          <w:rFonts w:eastAsiaTheme="majorEastAsia"/>
          <w:b w:val="0"/>
          <w:bCs w:val="0"/>
          <w:color w:val="000000"/>
        </w:rPr>
        <w:t>Mitra, S.</w:t>
      </w:r>
      <w:r w:rsidRPr="0072588F">
        <w:rPr>
          <w:rStyle w:val="apple-converted-space"/>
          <w:rFonts w:eastAsiaTheme="majorEastAsia"/>
          <w:color w:val="000000"/>
        </w:rPr>
        <w:t> </w:t>
      </w:r>
      <w:r w:rsidRPr="0072588F">
        <w:rPr>
          <w:color w:val="000000"/>
        </w:rPr>
        <w:t>(2022).</w:t>
      </w:r>
      <w:r w:rsidRPr="0072588F">
        <w:rPr>
          <w:rStyle w:val="apple-converted-space"/>
          <w:rFonts w:eastAsiaTheme="majorEastAsia"/>
          <w:color w:val="000000"/>
        </w:rPr>
        <w:t> </w:t>
      </w:r>
      <w:r w:rsidRPr="0072588F">
        <w:rPr>
          <w:rStyle w:val="Emphasis"/>
          <w:rFonts w:eastAsiaTheme="majorEastAsia"/>
          <w:color w:val="000000"/>
        </w:rPr>
        <w:t>An action research study on LMS assessment tools and faculty practice in English composition courses of a community college</w:t>
      </w:r>
      <w:r w:rsidRPr="0072588F">
        <w:rPr>
          <w:rStyle w:val="apple-converted-space"/>
          <w:rFonts w:eastAsiaTheme="majorEastAsia"/>
          <w:color w:val="000000"/>
        </w:rPr>
        <w:t> </w:t>
      </w:r>
      <w:r w:rsidRPr="0072588F">
        <w:rPr>
          <w:color w:val="000000"/>
        </w:rPr>
        <w:t xml:space="preserve">(Doctoral dissertation, Rowan University). </w:t>
      </w:r>
      <w:r w:rsidRPr="00E0673F">
        <w:rPr>
          <w:color w:val="000000"/>
          <w:lang w:val="nb-NO"/>
        </w:rPr>
        <w:t>Rowan Digital Works.</w:t>
      </w:r>
      <w:r w:rsidRPr="00E0673F">
        <w:rPr>
          <w:rStyle w:val="apple-converted-space"/>
          <w:rFonts w:eastAsiaTheme="majorEastAsia"/>
          <w:color w:val="000000"/>
          <w:lang w:val="nb-NO"/>
        </w:rPr>
        <w:t> </w:t>
      </w:r>
      <w:r w:rsidR="00440EBB">
        <w:fldChar w:fldCharType="begin"/>
      </w:r>
      <w:r w:rsidR="00440EBB">
        <w:instrText xml:space="preserve"> HYPERLINK "https://rdw.rowan.edu/etd/2990" \t "_new" </w:instrText>
      </w:r>
      <w:r w:rsidR="00440EBB">
        <w:fldChar w:fldCharType="separate"/>
      </w:r>
      <w:r w:rsidRPr="00E0673F">
        <w:rPr>
          <w:rStyle w:val="Hyperlink"/>
          <w:rFonts w:eastAsiaTheme="majorEastAsia"/>
          <w:lang w:val="nb-NO"/>
        </w:rPr>
        <w:t>https://rdw.rowan.edu/etd/2990</w:t>
      </w:r>
      <w:r w:rsidR="00440EBB">
        <w:rPr>
          <w:rStyle w:val="Hyperlink"/>
          <w:rFonts w:eastAsiaTheme="majorEastAsia"/>
          <w:lang w:val="nb-NO"/>
        </w:rPr>
        <w:fldChar w:fldCharType="end"/>
      </w:r>
    </w:p>
    <w:p w14:paraId="52B2751F" w14:textId="77777777" w:rsidR="0072588F" w:rsidRPr="00E0673F" w:rsidRDefault="0072588F" w:rsidP="0072588F">
      <w:pPr>
        <w:ind w:left="567" w:hanging="567"/>
        <w:jc w:val="both"/>
        <w:rPr>
          <w:lang w:val="nb-NO"/>
        </w:rPr>
      </w:pPr>
    </w:p>
    <w:p w14:paraId="4F355EDC" w14:textId="77777777" w:rsidR="0072588F" w:rsidRDefault="0072588F" w:rsidP="0072588F">
      <w:pPr>
        <w:ind w:left="567" w:hanging="567"/>
        <w:jc w:val="both"/>
      </w:pPr>
      <w:r w:rsidRPr="00E0673F">
        <w:rPr>
          <w:color w:val="000000"/>
          <w:lang w:val="nb-NO"/>
        </w:rPr>
        <w:t>Morales, J. M. (2019, September).</w:t>
      </w:r>
      <w:r w:rsidRPr="00E0673F">
        <w:rPr>
          <w:rStyle w:val="apple-converted-space"/>
          <w:rFonts w:eastAsiaTheme="majorEastAsia"/>
          <w:color w:val="000000"/>
          <w:lang w:val="nb-NO"/>
        </w:rPr>
        <w:t> </w:t>
      </w:r>
      <w:r w:rsidRPr="0072588F">
        <w:rPr>
          <w:rStyle w:val="Emphasis"/>
          <w:rFonts w:eastAsiaTheme="majorEastAsia"/>
          <w:color w:val="000000"/>
        </w:rPr>
        <w:t>Understanding quality in Philippine private non-sectarian higher education</w:t>
      </w:r>
      <w:r w:rsidRPr="0072588F">
        <w:rPr>
          <w:rStyle w:val="apple-converted-space"/>
          <w:rFonts w:eastAsiaTheme="majorEastAsia"/>
          <w:color w:val="000000"/>
        </w:rPr>
        <w:t> </w:t>
      </w:r>
      <w:r w:rsidRPr="0072588F">
        <w:rPr>
          <w:color w:val="000000"/>
        </w:rPr>
        <w:t>[PDF]. ResearchGate.</w:t>
      </w:r>
      <w:r w:rsidRPr="0072588F">
        <w:rPr>
          <w:rStyle w:val="apple-converted-space"/>
          <w:rFonts w:eastAsiaTheme="majorEastAsia"/>
          <w:color w:val="000000"/>
        </w:rPr>
        <w:t> </w:t>
      </w:r>
      <w:hyperlink r:id="rId41" w:tgtFrame="_new" w:history="1">
        <w:r w:rsidRPr="0072588F">
          <w:rPr>
            <w:rStyle w:val="Hyperlink"/>
            <w:rFonts w:eastAsiaTheme="majorEastAsia"/>
          </w:rPr>
          <w:t>https://www.researchgate.net/publication/339498893_Understanding_Quality_in_Philippine_Private_Non</w:t>
        </w:r>
        <w:r w:rsidRPr="0072588F">
          <w:rPr>
            <w:rStyle w:val="Hyperlink"/>
            <w:rFonts w:eastAsiaTheme="majorEastAsia"/>
          </w:rPr>
          <w:noBreakHyphen/>
          <w:t>sectarian_Higher_Education</w:t>
        </w:r>
      </w:hyperlink>
    </w:p>
    <w:p w14:paraId="027D95DE" w14:textId="77777777" w:rsidR="0072588F" w:rsidRDefault="0072588F" w:rsidP="0072588F">
      <w:pPr>
        <w:ind w:left="567" w:hanging="567"/>
        <w:jc w:val="both"/>
      </w:pPr>
    </w:p>
    <w:p w14:paraId="49700C56" w14:textId="77777777" w:rsidR="0072588F" w:rsidRDefault="0072588F" w:rsidP="0072588F">
      <w:pPr>
        <w:ind w:left="567" w:hanging="567"/>
        <w:jc w:val="both"/>
      </w:pPr>
      <w:proofErr w:type="spellStart"/>
      <w:r w:rsidRPr="0072588F">
        <w:rPr>
          <w:color w:val="212121"/>
          <w:shd w:val="clear" w:color="auto" w:fill="FFFFFF"/>
        </w:rPr>
        <w:t>Mukhalalati</w:t>
      </w:r>
      <w:proofErr w:type="spellEnd"/>
      <w:r w:rsidRPr="0072588F">
        <w:rPr>
          <w:color w:val="212121"/>
          <w:shd w:val="clear" w:color="auto" w:fill="FFFFFF"/>
        </w:rPr>
        <w:t xml:space="preserve"> BA, Taylor A. Adult Learning Theories in Context: A Quick Guide for Healthcare Professional Educators. </w:t>
      </w:r>
      <w:r w:rsidRPr="0072588F">
        <w:rPr>
          <w:i/>
          <w:iCs/>
          <w:color w:val="212121"/>
          <w:shd w:val="clear" w:color="auto" w:fill="FFFFFF"/>
        </w:rPr>
        <w:t>J Med Educ Curric Dev</w:t>
      </w:r>
      <w:r w:rsidRPr="0072588F">
        <w:rPr>
          <w:color w:val="212121"/>
          <w:shd w:val="clear" w:color="auto" w:fill="FFFFFF"/>
        </w:rPr>
        <w:t xml:space="preserve">. 2019 Apr </w:t>
      </w:r>
      <w:proofErr w:type="gramStart"/>
      <w:r w:rsidRPr="0072588F">
        <w:rPr>
          <w:color w:val="212121"/>
          <w:shd w:val="clear" w:color="auto" w:fill="FFFFFF"/>
        </w:rPr>
        <w:t>10;6:2382120519840332</w:t>
      </w:r>
      <w:proofErr w:type="gramEnd"/>
      <w:r w:rsidRPr="0072588F">
        <w:rPr>
          <w:color w:val="212121"/>
          <w:shd w:val="clear" w:color="auto" w:fill="FFFFFF"/>
        </w:rPr>
        <w:t xml:space="preserve">. </w:t>
      </w:r>
      <w:proofErr w:type="spellStart"/>
      <w:r w:rsidRPr="0072588F">
        <w:rPr>
          <w:color w:val="212121"/>
          <w:shd w:val="clear" w:color="auto" w:fill="FFFFFF"/>
        </w:rPr>
        <w:t>doi</w:t>
      </w:r>
      <w:proofErr w:type="spellEnd"/>
      <w:r w:rsidRPr="0072588F">
        <w:rPr>
          <w:color w:val="212121"/>
          <w:shd w:val="clear" w:color="auto" w:fill="FFFFFF"/>
        </w:rPr>
        <w:t>: 10.1177/2382120519840332. PMID: 31008257; PMCID: PMC6458658.</w:t>
      </w:r>
    </w:p>
    <w:p w14:paraId="1DE50E6E" w14:textId="77777777" w:rsidR="0072588F" w:rsidRDefault="0072588F" w:rsidP="0072588F">
      <w:pPr>
        <w:ind w:left="567" w:hanging="567"/>
        <w:jc w:val="both"/>
      </w:pPr>
    </w:p>
    <w:p w14:paraId="6297CDAA" w14:textId="77777777" w:rsidR="00D37CDB" w:rsidRDefault="00D37CDB" w:rsidP="00D37CDB">
      <w:pPr>
        <w:jc w:val="both"/>
        <w:rPr>
          <w:rFonts w:ascii="Arial" w:hAnsi="Arial" w:cs="Arial"/>
          <w:sz w:val="18"/>
          <w:szCs w:val="18"/>
        </w:rPr>
      </w:pPr>
      <w:proofErr w:type="spellStart"/>
      <w:r>
        <w:rPr>
          <w:rFonts w:ascii="Arial" w:hAnsi="Arial" w:cs="Arial"/>
          <w:sz w:val="18"/>
          <w:szCs w:val="18"/>
        </w:rPr>
        <w:t>Odekeye</w:t>
      </w:r>
      <w:proofErr w:type="spellEnd"/>
      <w:r>
        <w:rPr>
          <w:rFonts w:ascii="Arial" w:hAnsi="Arial" w:cs="Arial"/>
          <w:sz w:val="18"/>
          <w:szCs w:val="18"/>
        </w:rPr>
        <w:t xml:space="preserve">, O. T., </w:t>
      </w:r>
      <w:proofErr w:type="spellStart"/>
      <w:r>
        <w:rPr>
          <w:rFonts w:ascii="Arial" w:hAnsi="Arial" w:cs="Arial"/>
          <w:sz w:val="18"/>
          <w:szCs w:val="18"/>
        </w:rPr>
        <w:t>Fakokunde</w:t>
      </w:r>
      <w:proofErr w:type="spellEnd"/>
      <w:r>
        <w:rPr>
          <w:rFonts w:ascii="Arial" w:hAnsi="Arial" w:cs="Arial"/>
          <w:sz w:val="18"/>
          <w:szCs w:val="18"/>
        </w:rPr>
        <w:t xml:space="preserve">, J. B., </w:t>
      </w:r>
      <w:proofErr w:type="spellStart"/>
      <w:r>
        <w:rPr>
          <w:rFonts w:ascii="Arial" w:hAnsi="Arial" w:cs="Arial"/>
          <w:sz w:val="18"/>
          <w:szCs w:val="18"/>
        </w:rPr>
        <w:t>Metu</w:t>
      </w:r>
      <w:proofErr w:type="spellEnd"/>
      <w:r>
        <w:rPr>
          <w:rFonts w:ascii="Arial" w:hAnsi="Arial" w:cs="Arial"/>
          <w:sz w:val="18"/>
          <w:szCs w:val="18"/>
        </w:rPr>
        <w:t xml:space="preserve">, D. V., &amp; </w:t>
      </w:r>
      <w:proofErr w:type="spellStart"/>
      <w:r>
        <w:rPr>
          <w:rFonts w:ascii="Arial" w:hAnsi="Arial" w:cs="Arial"/>
          <w:sz w:val="18"/>
          <w:szCs w:val="18"/>
        </w:rPr>
        <w:t>Adewusi</w:t>
      </w:r>
      <w:proofErr w:type="spellEnd"/>
      <w:r>
        <w:rPr>
          <w:rFonts w:ascii="Arial" w:hAnsi="Arial" w:cs="Arial"/>
          <w:sz w:val="18"/>
          <w:szCs w:val="18"/>
        </w:rPr>
        <w:t>, M. A. (2023). Perception of Learning Management System (LMS) on the academic performance of undergraduate students during the COVID-19 pandemic. International Journal of Education and Development using Information and Communication Technology (IJEDICT), 19(1), 7–19. http://ijedict.dec.uwi.edu/viewarticle.php?id=3138</w:t>
      </w:r>
    </w:p>
    <w:p w14:paraId="285D3AA1" w14:textId="77777777" w:rsidR="0072588F" w:rsidRPr="00E0673F" w:rsidRDefault="0072588F" w:rsidP="0072588F">
      <w:pPr>
        <w:ind w:left="567" w:hanging="567"/>
        <w:jc w:val="both"/>
        <w:rPr>
          <w:lang w:val="pt-BR"/>
        </w:rPr>
      </w:pPr>
    </w:p>
    <w:p w14:paraId="2E3F06F6" w14:textId="77777777" w:rsidR="00D37CDB" w:rsidRDefault="00D37CDB" w:rsidP="00D37CDB">
      <w:pPr>
        <w:jc w:val="both"/>
        <w:rPr>
          <w:rFonts w:ascii="Arial" w:hAnsi="Arial" w:cs="Arial"/>
          <w:sz w:val="18"/>
          <w:szCs w:val="18"/>
        </w:rPr>
      </w:pPr>
      <w:proofErr w:type="spellStart"/>
      <w:r>
        <w:rPr>
          <w:rFonts w:ascii="Arial" w:hAnsi="Arial" w:cs="Arial"/>
          <w:sz w:val="18"/>
          <w:szCs w:val="18"/>
        </w:rPr>
        <w:t>Oducado</w:t>
      </w:r>
      <w:proofErr w:type="spellEnd"/>
      <w:r>
        <w:rPr>
          <w:rFonts w:ascii="Arial" w:hAnsi="Arial" w:cs="Arial"/>
          <w:sz w:val="18"/>
          <w:szCs w:val="18"/>
        </w:rPr>
        <w:t xml:space="preserve">, R. M. F., Amboy, M. K. Q., </w:t>
      </w:r>
      <w:proofErr w:type="spellStart"/>
      <w:r>
        <w:rPr>
          <w:rFonts w:ascii="Arial" w:hAnsi="Arial" w:cs="Arial"/>
          <w:sz w:val="18"/>
          <w:szCs w:val="18"/>
        </w:rPr>
        <w:t>Penuela</w:t>
      </w:r>
      <w:proofErr w:type="spellEnd"/>
      <w:r>
        <w:rPr>
          <w:rFonts w:ascii="Arial" w:hAnsi="Arial" w:cs="Arial"/>
          <w:sz w:val="18"/>
          <w:szCs w:val="18"/>
        </w:rPr>
        <w:t>, A. C., &amp; Belo-</w:t>
      </w:r>
      <w:proofErr w:type="spellStart"/>
      <w:r>
        <w:rPr>
          <w:rFonts w:ascii="Arial" w:hAnsi="Arial" w:cs="Arial"/>
          <w:sz w:val="18"/>
          <w:szCs w:val="18"/>
        </w:rPr>
        <w:t>Delariarte</w:t>
      </w:r>
      <w:proofErr w:type="spellEnd"/>
      <w:r>
        <w:rPr>
          <w:rFonts w:ascii="Arial" w:hAnsi="Arial" w:cs="Arial"/>
          <w:sz w:val="18"/>
          <w:szCs w:val="18"/>
        </w:rPr>
        <w:t>, R. G. (2019). Correlation between theoretical classroom instruction and related learning experiences: Evidence from a Philippine nursing university. International Journal of Scientific &amp; Technology Research, 8(12), 3666-3670. https://hdl.handle.net/20.500.14353/372</w:t>
      </w:r>
    </w:p>
    <w:p w14:paraId="342A9402" w14:textId="77777777" w:rsidR="0072588F" w:rsidRDefault="0072588F" w:rsidP="0072588F">
      <w:pPr>
        <w:ind w:left="567" w:hanging="567"/>
        <w:jc w:val="both"/>
      </w:pPr>
    </w:p>
    <w:p w14:paraId="04E19872" w14:textId="77777777" w:rsidR="0072588F" w:rsidRDefault="0072588F" w:rsidP="0072588F">
      <w:pPr>
        <w:ind w:left="567" w:hanging="567"/>
        <w:jc w:val="both"/>
      </w:pPr>
      <w:r w:rsidRPr="0072588F">
        <w:rPr>
          <w:color w:val="000000"/>
        </w:rPr>
        <w:lastRenderedPageBreak/>
        <w:t xml:space="preserve">Oxley, E., Nash, H. M., &amp; </w:t>
      </w:r>
      <w:proofErr w:type="spellStart"/>
      <w:r w:rsidRPr="0072588F">
        <w:rPr>
          <w:color w:val="000000"/>
        </w:rPr>
        <w:t>Weighall</w:t>
      </w:r>
      <w:proofErr w:type="spellEnd"/>
      <w:r w:rsidRPr="0072588F">
        <w:rPr>
          <w:color w:val="000000"/>
        </w:rPr>
        <w:t>, A. (2024). Consensus building using the Delphi method in educational research: A case study with educational professionals.</w:t>
      </w:r>
      <w:r w:rsidRPr="0072588F">
        <w:rPr>
          <w:rStyle w:val="apple-converted-space"/>
          <w:rFonts w:eastAsiaTheme="majorEastAsia"/>
          <w:color w:val="000000"/>
        </w:rPr>
        <w:t> </w:t>
      </w:r>
      <w:r w:rsidRPr="0072588F">
        <w:rPr>
          <w:rStyle w:val="Emphasis"/>
          <w:rFonts w:eastAsiaTheme="majorEastAsia"/>
          <w:color w:val="000000"/>
        </w:rPr>
        <w:t>International Journal of Research &amp; Method in Education, 48</w:t>
      </w:r>
      <w:r w:rsidRPr="0072588F">
        <w:rPr>
          <w:color w:val="000000"/>
        </w:rPr>
        <w:t>(2), 1–15.</w:t>
      </w:r>
      <w:r w:rsidRPr="0072588F">
        <w:rPr>
          <w:rStyle w:val="apple-converted-space"/>
          <w:rFonts w:eastAsiaTheme="majorEastAsia"/>
          <w:color w:val="000000"/>
        </w:rPr>
        <w:t> </w:t>
      </w:r>
      <w:hyperlink r:id="rId42" w:history="1">
        <w:r w:rsidRPr="0072588F">
          <w:rPr>
            <w:rStyle w:val="Hyperlink"/>
          </w:rPr>
          <w:t>https://doi.org/10.1080/1743727X.2024.2317851</w:t>
        </w:r>
      </w:hyperlink>
    </w:p>
    <w:p w14:paraId="073AADD8" w14:textId="77777777" w:rsidR="0072588F" w:rsidRDefault="0072588F" w:rsidP="0072588F">
      <w:pPr>
        <w:jc w:val="both"/>
      </w:pPr>
    </w:p>
    <w:p w14:paraId="49556904" w14:textId="77777777" w:rsidR="0072588F" w:rsidRDefault="0072588F" w:rsidP="0072588F">
      <w:pPr>
        <w:ind w:left="567" w:hanging="567"/>
        <w:jc w:val="both"/>
      </w:pPr>
      <w:proofErr w:type="spellStart"/>
      <w:r w:rsidRPr="0072588F">
        <w:rPr>
          <w:color w:val="000000"/>
        </w:rPr>
        <w:t>Pabutawan</w:t>
      </w:r>
      <w:proofErr w:type="spellEnd"/>
      <w:r w:rsidRPr="0072588F">
        <w:rPr>
          <w:color w:val="000000"/>
        </w:rPr>
        <w:t>, E. L. P. (2023, October 28).</w:t>
      </w:r>
      <w:r w:rsidRPr="0072588F">
        <w:rPr>
          <w:rStyle w:val="apple-converted-space"/>
          <w:rFonts w:eastAsiaTheme="majorEastAsia"/>
          <w:color w:val="000000"/>
        </w:rPr>
        <w:t> </w:t>
      </w:r>
      <w:r w:rsidRPr="0072588F">
        <w:rPr>
          <w:rStyle w:val="Emphasis"/>
          <w:rFonts w:eastAsiaTheme="majorEastAsia"/>
          <w:color w:val="000000"/>
        </w:rPr>
        <w:t>Investigating the outcomes-based education (OBE): A case study using the Philippine maritime education and training (MET) system</w:t>
      </w:r>
      <w:r w:rsidRPr="0072588F">
        <w:rPr>
          <w:rStyle w:val="apple-converted-space"/>
          <w:rFonts w:eastAsiaTheme="majorEastAsia"/>
          <w:color w:val="000000"/>
        </w:rPr>
        <w:t> </w:t>
      </w:r>
      <w:r w:rsidRPr="0072588F">
        <w:rPr>
          <w:color w:val="000000"/>
        </w:rPr>
        <w:t>(Master’s thesis, World Maritime University, Malmö, Sweden). World Maritime University Digital Commons. Retrieved from</w:t>
      </w:r>
      <w:r w:rsidRPr="0072588F">
        <w:rPr>
          <w:rStyle w:val="apple-converted-space"/>
          <w:rFonts w:eastAsiaTheme="majorEastAsia"/>
          <w:color w:val="000000"/>
        </w:rPr>
        <w:t> </w:t>
      </w:r>
      <w:hyperlink r:id="rId43" w:tgtFrame="_new" w:history="1">
        <w:r w:rsidRPr="0072588F">
          <w:rPr>
            <w:rStyle w:val="Hyperlink"/>
            <w:rFonts w:eastAsiaTheme="majorEastAsia"/>
          </w:rPr>
          <w:t>https://commons.wmu.se/cgi/viewcontent.cgi?article=3258&amp;context=all_dissertations</w:t>
        </w:r>
      </w:hyperlink>
    </w:p>
    <w:p w14:paraId="659EBE11" w14:textId="77777777" w:rsidR="0072588F" w:rsidRDefault="0072588F" w:rsidP="0072588F">
      <w:pPr>
        <w:ind w:left="567" w:hanging="567"/>
        <w:jc w:val="both"/>
      </w:pPr>
    </w:p>
    <w:p w14:paraId="7D90A3C4" w14:textId="77777777" w:rsidR="0072588F" w:rsidRDefault="0072588F" w:rsidP="0072588F">
      <w:pPr>
        <w:ind w:left="567" w:hanging="567"/>
        <w:jc w:val="both"/>
      </w:pPr>
      <w:r w:rsidRPr="0072588F">
        <w:rPr>
          <w:rStyle w:val="Strong"/>
          <w:rFonts w:eastAsiaTheme="majorEastAsia"/>
          <w:b w:val="0"/>
          <w:bCs w:val="0"/>
          <w:color w:val="000000"/>
        </w:rPr>
        <w:t xml:space="preserve">Peralta, A. B., Banayat, A. C., </w:t>
      </w:r>
      <w:proofErr w:type="spellStart"/>
      <w:r w:rsidRPr="0072588F">
        <w:rPr>
          <w:rStyle w:val="Strong"/>
          <w:rFonts w:eastAsiaTheme="majorEastAsia"/>
          <w:b w:val="0"/>
          <w:bCs w:val="0"/>
          <w:color w:val="000000"/>
        </w:rPr>
        <w:t>Mabale</w:t>
      </w:r>
      <w:proofErr w:type="spellEnd"/>
      <w:r w:rsidRPr="0072588F">
        <w:rPr>
          <w:rStyle w:val="Strong"/>
          <w:rFonts w:eastAsiaTheme="majorEastAsia"/>
          <w:b w:val="0"/>
          <w:bCs w:val="0"/>
          <w:color w:val="000000"/>
        </w:rPr>
        <w:t>, M. A. A., &amp; Baccay, K.-L. B.</w:t>
      </w:r>
      <w:r w:rsidRPr="0072588F">
        <w:rPr>
          <w:rStyle w:val="apple-converted-space"/>
          <w:rFonts w:eastAsiaTheme="majorEastAsia"/>
          <w:color w:val="000000"/>
        </w:rPr>
        <w:t> </w:t>
      </w:r>
      <w:r w:rsidRPr="0072588F">
        <w:rPr>
          <w:color w:val="000000"/>
        </w:rPr>
        <w:t>(2024, July). Flexible learning in nursing in the Philippines as a response to the restrictions of the COVID</w:t>
      </w:r>
      <w:r w:rsidRPr="0072588F">
        <w:rPr>
          <w:color w:val="000000"/>
        </w:rPr>
        <w:noBreakHyphen/>
        <w:t>19 pandemic: An educational case report.</w:t>
      </w:r>
      <w:r w:rsidRPr="0072588F">
        <w:rPr>
          <w:rStyle w:val="apple-converted-space"/>
          <w:rFonts w:eastAsiaTheme="majorEastAsia"/>
          <w:color w:val="000000"/>
        </w:rPr>
        <w:t> </w:t>
      </w:r>
      <w:r w:rsidRPr="0072588F">
        <w:rPr>
          <w:rStyle w:val="Emphasis"/>
          <w:rFonts w:eastAsiaTheme="majorEastAsia"/>
          <w:color w:val="000000"/>
        </w:rPr>
        <w:t>Acta Medica Philippina, 58</w:t>
      </w:r>
      <w:r w:rsidRPr="0072588F">
        <w:rPr>
          <w:color w:val="000000"/>
        </w:rPr>
        <w:t>(12), 118–124.</w:t>
      </w:r>
      <w:r w:rsidRPr="0072588F">
        <w:rPr>
          <w:rStyle w:val="apple-converted-space"/>
          <w:rFonts w:eastAsiaTheme="majorEastAsia"/>
          <w:color w:val="000000"/>
        </w:rPr>
        <w:t> </w:t>
      </w:r>
      <w:hyperlink r:id="rId44" w:history="1">
        <w:r w:rsidRPr="0072588F">
          <w:rPr>
            <w:rStyle w:val="Hyperlink"/>
          </w:rPr>
          <w:t>https://doi.org/10.47895/amp.v58i12.9784</w:t>
        </w:r>
      </w:hyperlink>
    </w:p>
    <w:p w14:paraId="3E51333D" w14:textId="77777777" w:rsidR="0072588F" w:rsidRDefault="0072588F" w:rsidP="0072588F">
      <w:pPr>
        <w:ind w:left="567" w:hanging="567"/>
        <w:jc w:val="both"/>
      </w:pPr>
    </w:p>
    <w:p w14:paraId="409D14B2" w14:textId="77777777" w:rsidR="0072588F" w:rsidRDefault="0072588F" w:rsidP="0072588F">
      <w:pPr>
        <w:ind w:left="567" w:hanging="567"/>
        <w:jc w:val="both"/>
      </w:pPr>
      <w:r w:rsidRPr="0072588F">
        <w:rPr>
          <w:color w:val="333333"/>
          <w:shd w:val="clear" w:color="auto" w:fill="FFFFFF"/>
        </w:rPr>
        <w:t>Prosen, M. Nursing students’ perception of gender-defined roles in nursing: a qualitative descriptive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21</w:t>
      </w:r>
      <w:r w:rsidRPr="0072588F">
        <w:rPr>
          <w:color w:val="333333"/>
          <w:shd w:val="clear" w:color="auto" w:fill="FFFFFF"/>
        </w:rPr>
        <w:t xml:space="preserve">, 104 (2022). </w:t>
      </w:r>
      <w:hyperlink r:id="rId45" w:history="1">
        <w:r w:rsidRPr="0072588F">
          <w:rPr>
            <w:rStyle w:val="Hyperlink"/>
            <w:shd w:val="clear" w:color="auto" w:fill="FFFFFF"/>
          </w:rPr>
          <w:t>https://doi.org/10.1186/s12912-022-00876-4</w:t>
        </w:r>
      </w:hyperlink>
    </w:p>
    <w:p w14:paraId="727BEAEF" w14:textId="77777777" w:rsidR="0072588F" w:rsidRDefault="0072588F" w:rsidP="0072588F">
      <w:pPr>
        <w:ind w:left="567" w:hanging="567"/>
        <w:jc w:val="both"/>
        <w:rPr>
          <w:color w:val="000000"/>
        </w:rPr>
      </w:pPr>
    </w:p>
    <w:p w14:paraId="3C55A0BC" w14:textId="74BEDED8" w:rsidR="0072588F" w:rsidRDefault="0072588F" w:rsidP="0072588F">
      <w:pPr>
        <w:ind w:left="567" w:hanging="567"/>
        <w:jc w:val="both"/>
        <w:rPr>
          <w:rStyle w:val="Emphasis"/>
          <w:i w:val="0"/>
          <w:iCs w:val="0"/>
        </w:rPr>
      </w:pPr>
      <w:proofErr w:type="spellStart"/>
      <w:r w:rsidRPr="0072588F">
        <w:rPr>
          <w:color w:val="000000"/>
        </w:rPr>
        <w:t>Rakrak</w:t>
      </w:r>
      <w:proofErr w:type="spellEnd"/>
      <w:r w:rsidRPr="0072588F">
        <w:rPr>
          <w:color w:val="000000"/>
        </w:rPr>
        <w:t>, M. (2025, March). Exploring variability in data: The role of range, variance, and standard deviation.</w:t>
      </w:r>
      <w:r w:rsidRPr="0072588F">
        <w:rPr>
          <w:rStyle w:val="apple-converted-space"/>
          <w:rFonts w:eastAsiaTheme="majorEastAsia"/>
          <w:color w:val="000000"/>
        </w:rPr>
        <w:t> </w:t>
      </w:r>
      <w:r w:rsidRPr="0072588F">
        <w:rPr>
          <w:rStyle w:val="Emphasis"/>
          <w:rFonts w:eastAsiaTheme="majorEastAsia"/>
          <w:color w:val="000000"/>
        </w:rPr>
        <w:t>International Journal of Multidisciplinary Research and Analysis, 8</w:t>
      </w:r>
      <w:r w:rsidRPr="0072588F">
        <w:rPr>
          <w:color w:val="000000"/>
        </w:rPr>
        <w:t>(3), Article 47.</w:t>
      </w:r>
      <w:r w:rsidRPr="0072588F">
        <w:rPr>
          <w:rStyle w:val="apple-converted-space"/>
          <w:rFonts w:eastAsiaTheme="majorEastAsia"/>
          <w:color w:val="000000"/>
        </w:rPr>
        <w:t> </w:t>
      </w:r>
      <w:hyperlink r:id="rId46" w:history="1">
        <w:r w:rsidRPr="00C36059">
          <w:rPr>
            <w:rStyle w:val="Hyperlink"/>
          </w:rPr>
          <w:t>https://doi.org/10.47191/ijmra/v8-i03-47</w:t>
        </w:r>
      </w:hyperlink>
    </w:p>
    <w:p w14:paraId="6880F875" w14:textId="77777777" w:rsidR="0072588F" w:rsidRDefault="0072588F" w:rsidP="0072588F">
      <w:pPr>
        <w:ind w:left="567" w:hanging="567"/>
        <w:jc w:val="both"/>
        <w:rPr>
          <w:rStyle w:val="Emphasis"/>
          <w:i w:val="0"/>
          <w:iCs w:val="0"/>
        </w:rPr>
      </w:pPr>
    </w:p>
    <w:p w14:paraId="45BFDBEA" w14:textId="77777777" w:rsidR="0072588F" w:rsidRDefault="0072588F" w:rsidP="0072588F">
      <w:pPr>
        <w:ind w:left="567" w:hanging="567"/>
        <w:jc w:val="both"/>
      </w:pPr>
      <w:r w:rsidRPr="00E0673F">
        <w:rPr>
          <w:color w:val="333333"/>
          <w:shd w:val="clear" w:color="auto" w:fill="FFFFFF"/>
          <w:lang w:val="nb-NO"/>
        </w:rPr>
        <w:t>Ridgers, N.D., Denniss, E., Burnett, A.J.</w:t>
      </w:r>
      <w:r w:rsidRPr="00E0673F">
        <w:rPr>
          <w:rStyle w:val="apple-converted-space"/>
          <w:rFonts w:eastAsiaTheme="majorEastAsia"/>
          <w:color w:val="333333"/>
          <w:shd w:val="clear" w:color="auto" w:fill="FFFFFF"/>
          <w:lang w:val="nb-NO"/>
        </w:rPr>
        <w:t> </w:t>
      </w:r>
      <w:r w:rsidRPr="00E0673F">
        <w:rPr>
          <w:i/>
          <w:iCs/>
          <w:color w:val="333333"/>
          <w:lang w:val="nb-NO"/>
        </w:rPr>
        <w:t>et al.</w:t>
      </w:r>
      <w:r w:rsidRPr="00E0673F">
        <w:rPr>
          <w:rStyle w:val="apple-converted-space"/>
          <w:rFonts w:eastAsiaTheme="majorEastAsia"/>
          <w:color w:val="333333"/>
          <w:shd w:val="clear" w:color="auto" w:fill="FFFFFF"/>
          <w:lang w:val="nb-NO"/>
        </w:rPr>
        <w:t> </w:t>
      </w:r>
      <w:r w:rsidRPr="0072588F">
        <w:rPr>
          <w:color w:val="333333"/>
          <w:shd w:val="clear" w:color="auto" w:fill="FFFFFF"/>
        </w:rPr>
        <w:t>Defining and reporting activity patterns: a modified Delphi study.</w:t>
      </w:r>
      <w:r w:rsidRPr="0072588F">
        <w:rPr>
          <w:rStyle w:val="apple-converted-space"/>
          <w:rFonts w:eastAsiaTheme="majorEastAsia"/>
          <w:color w:val="333333"/>
          <w:shd w:val="clear" w:color="auto" w:fill="FFFFFF"/>
        </w:rPr>
        <w:t> </w:t>
      </w:r>
      <w:r w:rsidRPr="0072588F">
        <w:rPr>
          <w:i/>
          <w:iCs/>
          <w:color w:val="333333"/>
        </w:rPr>
        <w:t xml:space="preserve">Int J </w:t>
      </w:r>
      <w:proofErr w:type="spellStart"/>
      <w:r w:rsidRPr="0072588F">
        <w:rPr>
          <w:i/>
          <w:iCs/>
          <w:color w:val="333333"/>
        </w:rPr>
        <w:t>Behav</w:t>
      </w:r>
      <w:proofErr w:type="spellEnd"/>
      <w:r w:rsidRPr="0072588F">
        <w:rPr>
          <w:i/>
          <w:iCs/>
          <w:color w:val="333333"/>
        </w:rPr>
        <w:t xml:space="preserve"> </w:t>
      </w:r>
      <w:proofErr w:type="spellStart"/>
      <w:r w:rsidRPr="0072588F">
        <w:rPr>
          <w:i/>
          <w:iCs/>
          <w:color w:val="333333"/>
        </w:rPr>
        <w:t>Nutr</w:t>
      </w:r>
      <w:proofErr w:type="spellEnd"/>
      <w:r w:rsidRPr="0072588F">
        <w:rPr>
          <w:i/>
          <w:iCs/>
          <w:color w:val="333333"/>
        </w:rPr>
        <w:t xml:space="preserve"> Phys Act</w:t>
      </w:r>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89 (2023). </w:t>
      </w:r>
      <w:hyperlink r:id="rId47" w:history="1">
        <w:r w:rsidRPr="0072588F">
          <w:rPr>
            <w:rStyle w:val="Hyperlink"/>
            <w:shd w:val="clear" w:color="auto" w:fill="FFFFFF"/>
          </w:rPr>
          <w:t>https://doi.org/10.1186/s12966-023-01482-6</w:t>
        </w:r>
      </w:hyperlink>
    </w:p>
    <w:p w14:paraId="67FEF058" w14:textId="77777777" w:rsidR="0072588F" w:rsidRDefault="0072588F" w:rsidP="0072588F">
      <w:pPr>
        <w:ind w:left="567" w:hanging="567"/>
        <w:jc w:val="both"/>
        <w:rPr>
          <w:color w:val="000000"/>
        </w:rPr>
      </w:pPr>
    </w:p>
    <w:p w14:paraId="7AF2C358" w14:textId="77777777" w:rsidR="0072588F" w:rsidRPr="00E0673F" w:rsidRDefault="0072588F" w:rsidP="0072588F">
      <w:pPr>
        <w:ind w:left="567" w:hanging="567"/>
        <w:jc w:val="both"/>
        <w:rPr>
          <w:rStyle w:val="Emphasis"/>
          <w:i w:val="0"/>
          <w:iCs w:val="0"/>
          <w:lang w:val="fr-FR"/>
        </w:rPr>
      </w:pPr>
      <w:r w:rsidRPr="00296A52">
        <w:rPr>
          <w:color w:val="000000"/>
          <w:lang w:val="es-US"/>
        </w:rPr>
        <w:t xml:space="preserve">Romero Jeldres, M., Díaz Costa, E., &amp; </w:t>
      </w:r>
      <w:proofErr w:type="spellStart"/>
      <w:r w:rsidRPr="00296A52">
        <w:rPr>
          <w:color w:val="000000"/>
          <w:lang w:val="es-US"/>
        </w:rPr>
        <w:t>Nadim</w:t>
      </w:r>
      <w:proofErr w:type="spellEnd"/>
      <w:r w:rsidRPr="00296A52">
        <w:rPr>
          <w:color w:val="000000"/>
          <w:lang w:val="es-US"/>
        </w:rPr>
        <w:t xml:space="preserve">, T. F. (2023, </w:t>
      </w:r>
      <w:proofErr w:type="spellStart"/>
      <w:r w:rsidRPr="00296A52">
        <w:rPr>
          <w:color w:val="000000"/>
          <w:lang w:val="es-US"/>
        </w:rPr>
        <w:t>November</w:t>
      </w:r>
      <w:proofErr w:type="spellEnd"/>
      <w:r w:rsidRPr="00296A52">
        <w:rPr>
          <w:color w:val="000000"/>
          <w:lang w:val="es-US"/>
        </w:rPr>
        <w:t xml:space="preserve"> 20). </w:t>
      </w:r>
      <w:r w:rsidRPr="0072588F">
        <w:rPr>
          <w:color w:val="000000"/>
        </w:rPr>
        <w:t>A review of Lawshe’s method for calculating content validity in the social sciences.</w:t>
      </w:r>
      <w:r w:rsidRPr="0072588F">
        <w:rPr>
          <w:rStyle w:val="apple-converted-space"/>
          <w:rFonts w:eastAsiaTheme="majorEastAsia"/>
          <w:color w:val="000000"/>
        </w:rPr>
        <w:t> </w:t>
      </w:r>
      <w:proofErr w:type="spellStart"/>
      <w:r w:rsidRPr="00E0673F">
        <w:rPr>
          <w:rStyle w:val="Emphasis"/>
          <w:rFonts w:eastAsiaTheme="majorEastAsia"/>
          <w:color w:val="000000"/>
          <w:lang w:val="fr-FR"/>
        </w:rPr>
        <w:t>Frontiers</w:t>
      </w:r>
      <w:proofErr w:type="spellEnd"/>
      <w:r w:rsidRPr="00E0673F">
        <w:rPr>
          <w:rStyle w:val="Emphasis"/>
          <w:rFonts w:eastAsiaTheme="majorEastAsia"/>
          <w:color w:val="000000"/>
          <w:lang w:val="fr-FR"/>
        </w:rPr>
        <w:t xml:space="preserve"> in Education, 8</w:t>
      </w:r>
      <w:r w:rsidRPr="00E0673F">
        <w:rPr>
          <w:color w:val="000000"/>
          <w:lang w:val="fr-FR"/>
        </w:rPr>
        <w:t>, Article 1271335.</w:t>
      </w:r>
      <w:r w:rsidRPr="00E0673F">
        <w:rPr>
          <w:rStyle w:val="apple-converted-space"/>
          <w:rFonts w:eastAsiaTheme="majorEastAsia"/>
          <w:color w:val="000000"/>
          <w:lang w:val="fr-FR"/>
        </w:rPr>
        <w:t> </w:t>
      </w:r>
      <w:hyperlink r:id="rId48" w:tgtFrame="_new" w:history="1">
        <w:r w:rsidRPr="00E0673F">
          <w:rPr>
            <w:rStyle w:val="Hyperlink"/>
            <w:rFonts w:eastAsiaTheme="majorEastAsia"/>
            <w:lang w:val="fr-FR"/>
          </w:rPr>
          <w:t>https://doi.org/10.3389/feduc.2023.1271335</w:t>
        </w:r>
      </w:hyperlink>
    </w:p>
    <w:p w14:paraId="1565DEE0" w14:textId="77777777" w:rsidR="0072588F" w:rsidRPr="00E0673F" w:rsidRDefault="0072588F" w:rsidP="0072588F">
      <w:pPr>
        <w:ind w:left="567" w:hanging="567"/>
        <w:jc w:val="both"/>
        <w:rPr>
          <w:rStyle w:val="Emphasis"/>
          <w:i w:val="0"/>
          <w:iCs w:val="0"/>
          <w:lang w:val="fr-FR"/>
        </w:rPr>
      </w:pPr>
    </w:p>
    <w:p w14:paraId="1DE76779" w14:textId="77777777" w:rsidR="0072588F" w:rsidRDefault="0072588F" w:rsidP="0072588F">
      <w:pPr>
        <w:ind w:left="567" w:hanging="567"/>
        <w:jc w:val="both"/>
      </w:pPr>
      <w:r w:rsidRPr="00E0673F">
        <w:rPr>
          <w:color w:val="000000"/>
          <w:lang w:val="fr-FR"/>
        </w:rPr>
        <w:t xml:space="preserve">Romero </w:t>
      </w:r>
      <w:proofErr w:type="spellStart"/>
      <w:r w:rsidRPr="00E0673F">
        <w:rPr>
          <w:color w:val="000000"/>
          <w:lang w:val="fr-FR"/>
        </w:rPr>
        <w:t>Jeldres</w:t>
      </w:r>
      <w:proofErr w:type="spellEnd"/>
      <w:r w:rsidRPr="00E0673F">
        <w:rPr>
          <w:color w:val="000000"/>
          <w:lang w:val="fr-FR"/>
        </w:rPr>
        <w:t xml:space="preserve">, M., </w:t>
      </w:r>
      <w:proofErr w:type="spellStart"/>
      <w:r w:rsidRPr="00E0673F">
        <w:rPr>
          <w:color w:val="000000"/>
          <w:lang w:val="fr-FR"/>
        </w:rPr>
        <w:t>Díaz</w:t>
      </w:r>
      <w:proofErr w:type="spellEnd"/>
      <w:r w:rsidRPr="00E0673F">
        <w:rPr>
          <w:color w:val="000000"/>
          <w:lang w:val="fr-FR"/>
        </w:rPr>
        <w:t xml:space="preserve"> Costa, E., &amp; Nadim, T. F. (2023). </w:t>
      </w:r>
      <w:r w:rsidRPr="0072588F">
        <w:rPr>
          <w:color w:val="000000"/>
        </w:rPr>
        <w:t>A review of Lawshe’s method for calculating content validity in the social sciences.</w:t>
      </w:r>
      <w:r w:rsidRPr="0072588F">
        <w:rPr>
          <w:rStyle w:val="apple-converted-space"/>
          <w:rFonts w:eastAsiaTheme="majorEastAsia"/>
          <w:color w:val="000000"/>
        </w:rPr>
        <w:t> </w:t>
      </w:r>
      <w:r w:rsidRPr="0072588F">
        <w:rPr>
          <w:rStyle w:val="Emphasis"/>
          <w:rFonts w:eastAsiaTheme="majorEastAsia"/>
          <w:color w:val="000000"/>
        </w:rPr>
        <w:t>Frontiers in Education, 8</w:t>
      </w:r>
      <w:r w:rsidRPr="0072588F">
        <w:rPr>
          <w:color w:val="000000"/>
        </w:rPr>
        <w:t>, Article 1271335.</w:t>
      </w:r>
      <w:r w:rsidRPr="0072588F">
        <w:rPr>
          <w:rStyle w:val="apple-converted-space"/>
          <w:rFonts w:eastAsiaTheme="majorEastAsia"/>
          <w:color w:val="000000"/>
        </w:rPr>
        <w:t> </w:t>
      </w:r>
      <w:hyperlink r:id="rId49" w:tgtFrame="_new" w:history="1">
        <w:r w:rsidRPr="0072588F">
          <w:rPr>
            <w:rStyle w:val="Hyperlink"/>
            <w:rFonts w:eastAsiaTheme="majorEastAsia"/>
          </w:rPr>
          <w:t>https://doi.org/10.3389/feduc.2023.1271335</w:t>
        </w:r>
      </w:hyperlink>
    </w:p>
    <w:p w14:paraId="36391683" w14:textId="77777777" w:rsidR="0072588F" w:rsidRDefault="0072588F" w:rsidP="0072588F">
      <w:pPr>
        <w:ind w:left="567" w:hanging="567"/>
        <w:jc w:val="both"/>
      </w:pPr>
    </w:p>
    <w:p w14:paraId="01DE6274" w14:textId="77777777" w:rsidR="0072588F" w:rsidRDefault="0072588F" w:rsidP="0072588F">
      <w:pPr>
        <w:ind w:left="567" w:hanging="567"/>
        <w:jc w:val="both"/>
      </w:pPr>
      <w:r w:rsidRPr="0072588F">
        <w:rPr>
          <w:color w:val="1B1B1B"/>
          <w:shd w:val="clear" w:color="auto" w:fill="FFFFFF"/>
        </w:rPr>
        <w:t xml:space="preserve">Rony MKK, Parvin MR, Ferdousi S. Advancing nursing practice with artificial intelligence: Enhancing preparedness for the future. </w:t>
      </w:r>
      <w:proofErr w:type="spellStart"/>
      <w:r w:rsidRPr="0072588F">
        <w:rPr>
          <w:i/>
          <w:iCs/>
          <w:color w:val="1B1B1B"/>
          <w:shd w:val="clear" w:color="auto" w:fill="FFFFFF"/>
        </w:rPr>
        <w:t>Nurs</w:t>
      </w:r>
      <w:proofErr w:type="spellEnd"/>
      <w:r w:rsidRPr="0072588F">
        <w:rPr>
          <w:i/>
          <w:iCs/>
          <w:color w:val="1B1B1B"/>
          <w:shd w:val="clear" w:color="auto" w:fill="FFFFFF"/>
        </w:rPr>
        <w:t xml:space="preserve"> Open.</w:t>
      </w:r>
      <w:r w:rsidRPr="0072588F">
        <w:rPr>
          <w:color w:val="1B1B1B"/>
          <w:shd w:val="clear" w:color="auto" w:fill="FFFFFF"/>
        </w:rPr>
        <w:t xml:space="preserve"> 2024 Jan;11(1):10.1002/nop2.2070. </w:t>
      </w:r>
      <w:proofErr w:type="spellStart"/>
      <w:r w:rsidRPr="0072588F">
        <w:rPr>
          <w:color w:val="1B1B1B"/>
          <w:shd w:val="clear" w:color="auto" w:fill="FFFFFF"/>
        </w:rPr>
        <w:t>doi</w:t>
      </w:r>
      <w:proofErr w:type="spellEnd"/>
      <w:r w:rsidRPr="0072588F">
        <w:rPr>
          <w:color w:val="1B1B1B"/>
          <w:shd w:val="clear" w:color="auto" w:fill="FFFFFF"/>
        </w:rPr>
        <w:t>: 10.1002/nop2.2070. PMID: 38268252; PMCID: PMC10733565.</w:t>
      </w:r>
    </w:p>
    <w:p w14:paraId="312AA64E" w14:textId="77777777" w:rsidR="0072588F" w:rsidRDefault="0072588F" w:rsidP="0072588F">
      <w:pPr>
        <w:ind w:left="567" w:hanging="567"/>
        <w:jc w:val="both"/>
      </w:pPr>
    </w:p>
    <w:p w14:paraId="71CCCBB3" w14:textId="17D98503" w:rsidR="0072588F" w:rsidRDefault="0072588F" w:rsidP="0072588F">
      <w:pPr>
        <w:ind w:left="567" w:hanging="567"/>
        <w:jc w:val="both"/>
        <w:rPr>
          <w:rStyle w:val="Emphasis"/>
          <w:i w:val="0"/>
          <w:iCs w:val="0"/>
        </w:rPr>
      </w:pPr>
      <w:r w:rsidRPr="0072588F">
        <w:rPr>
          <w:color w:val="000000"/>
        </w:rPr>
        <w:t xml:space="preserve">Simon, P. D., Jiang, J., Fryer, L. K., King, R. B., &amp; </w:t>
      </w:r>
      <w:proofErr w:type="spellStart"/>
      <w:r w:rsidRPr="0072588F">
        <w:rPr>
          <w:color w:val="000000"/>
        </w:rPr>
        <w:t>Frondozo</w:t>
      </w:r>
      <w:proofErr w:type="spellEnd"/>
      <w:r w:rsidRPr="0072588F">
        <w:rPr>
          <w:color w:val="000000"/>
        </w:rPr>
        <w:t xml:space="preserve">, C. (2024). An assessment of learning management system </w:t>
      </w:r>
      <w:proofErr w:type="gramStart"/>
      <w:r w:rsidRPr="0072588F">
        <w:rPr>
          <w:color w:val="000000"/>
        </w:rPr>
        <w:t>use</w:t>
      </w:r>
      <w:proofErr w:type="gramEnd"/>
      <w:r w:rsidRPr="0072588F">
        <w:rPr>
          <w:color w:val="000000"/>
        </w:rPr>
        <w:t xml:space="preserve"> in higher education: Perspectives from a comprehensive sample of teachers and students.</w:t>
      </w:r>
      <w:r w:rsidRPr="0072588F">
        <w:rPr>
          <w:rStyle w:val="apple-converted-space"/>
          <w:rFonts w:eastAsiaTheme="majorEastAsia"/>
          <w:color w:val="000000"/>
        </w:rPr>
        <w:t> </w:t>
      </w:r>
      <w:r w:rsidRPr="0072588F">
        <w:rPr>
          <w:rStyle w:val="Emphasis"/>
          <w:rFonts w:eastAsiaTheme="majorEastAsia"/>
          <w:color w:val="000000"/>
        </w:rPr>
        <w:t>Technology, Knowledge and Learning, 30</w:t>
      </w:r>
      <w:r w:rsidRPr="0072588F">
        <w:rPr>
          <w:color w:val="000000"/>
        </w:rPr>
        <w:t>(2), 741–767.</w:t>
      </w:r>
      <w:r w:rsidRPr="0072588F">
        <w:rPr>
          <w:rStyle w:val="apple-converted-space"/>
          <w:rFonts w:eastAsiaTheme="majorEastAsia"/>
          <w:color w:val="000000"/>
        </w:rPr>
        <w:t> </w:t>
      </w:r>
      <w:hyperlink r:id="rId50" w:history="1">
        <w:r w:rsidRPr="00C36059">
          <w:rPr>
            <w:rStyle w:val="Hyperlink"/>
          </w:rPr>
          <w:t>https://doi.org/10.1007/s10758-024-09734-5</w:t>
        </w:r>
      </w:hyperlink>
    </w:p>
    <w:p w14:paraId="7022D4DA" w14:textId="77777777" w:rsidR="0072588F" w:rsidRDefault="0072588F" w:rsidP="0072588F">
      <w:pPr>
        <w:ind w:left="567" w:hanging="567"/>
        <w:jc w:val="both"/>
        <w:rPr>
          <w:rStyle w:val="Emphasis"/>
          <w:i w:val="0"/>
          <w:iCs w:val="0"/>
        </w:rPr>
      </w:pPr>
    </w:p>
    <w:p w14:paraId="244AF711" w14:textId="77777777" w:rsidR="0072588F" w:rsidRDefault="0072588F" w:rsidP="0072588F">
      <w:pPr>
        <w:ind w:left="567" w:hanging="567"/>
        <w:jc w:val="both"/>
      </w:pPr>
      <w:r w:rsidRPr="0072588F">
        <w:rPr>
          <w:color w:val="000000"/>
        </w:rPr>
        <w:t xml:space="preserve">Spiel, C., Schwartzman, S., </w:t>
      </w:r>
      <w:proofErr w:type="spellStart"/>
      <w:r w:rsidRPr="0072588F">
        <w:rPr>
          <w:color w:val="000000"/>
        </w:rPr>
        <w:t>Busemeyer</w:t>
      </w:r>
      <w:proofErr w:type="spellEnd"/>
      <w:r w:rsidRPr="0072588F">
        <w:rPr>
          <w:color w:val="000000"/>
        </w:rPr>
        <w:t xml:space="preserve">, M. R., Cloete, N., Drori, G. S., </w:t>
      </w:r>
      <w:proofErr w:type="spellStart"/>
      <w:r w:rsidRPr="0072588F">
        <w:rPr>
          <w:color w:val="000000"/>
        </w:rPr>
        <w:t>Lassnigg</w:t>
      </w:r>
      <w:proofErr w:type="spellEnd"/>
      <w:r w:rsidRPr="0072588F">
        <w:rPr>
          <w:color w:val="000000"/>
        </w:rPr>
        <w:t xml:space="preserve">, L., Schober, B., &amp; </w:t>
      </w:r>
      <w:proofErr w:type="spellStart"/>
      <w:r w:rsidRPr="0072588F">
        <w:rPr>
          <w:color w:val="000000"/>
        </w:rPr>
        <w:t>Schweisfurth</w:t>
      </w:r>
      <w:proofErr w:type="spellEnd"/>
      <w:r w:rsidRPr="0072588F">
        <w:rPr>
          <w:color w:val="000000"/>
        </w:rPr>
        <w:t xml:space="preserve">, M. (2018). The contribution of education to social progress. In M. Helmut </w:t>
      </w:r>
      <w:r w:rsidRPr="0072588F">
        <w:rPr>
          <w:color w:val="000000"/>
        </w:rPr>
        <w:lastRenderedPageBreak/>
        <w:t xml:space="preserve">Anheier, I. H. </w:t>
      </w:r>
      <w:proofErr w:type="spellStart"/>
      <w:r w:rsidRPr="0072588F">
        <w:rPr>
          <w:color w:val="000000"/>
        </w:rPr>
        <w:t>Kastenhofer</w:t>
      </w:r>
      <w:proofErr w:type="spellEnd"/>
      <w:r w:rsidRPr="0072588F">
        <w:rPr>
          <w:color w:val="000000"/>
        </w:rPr>
        <w:t>, &amp; M. Forster (Eds.),</w:t>
      </w:r>
      <w:r w:rsidRPr="0072588F">
        <w:rPr>
          <w:rStyle w:val="apple-converted-space"/>
          <w:rFonts w:eastAsiaTheme="majorEastAsia"/>
          <w:color w:val="000000"/>
        </w:rPr>
        <w:t> </w:t>
      </w:r>
      <w:r w:rsidRPr="0072588F">
        <w:rPr>
          <w:rStyle w:val="Emphasis"/>
          <w:rFonts w:eastAsiaTheme="majorEastAsia"/>
          <w:color w:val="000000"/>
        </w:rPr>
        <w:t>Rethinking society for the 21st century: Report of the International Panel for Social Progress</w:t>
      </w:r>
      <w:r w:rsidRPr="0072588F">
        <w:rPr>
          <w:rStyle w:val="apple-converted-space"/>
          <w:rFonts w:eastAsiaTheme="majorEastAsia"/>
          <w:color w:val="000000"/>
        </w:rPr>
        <w:t> </w:t>
      </w:r>
      <w:r w:rsidRPr="0072588F">
        <w:rPr>
          <w:color w:val="000000"/>
        </w:rPr>
        <w:t>(pp. 753–778). Cambridge University Press.</w:t>
      </w:r>
      <w:r w:rsidRPr="0072588F">
        <w:rPr>
          <w:rStyle w:val="apple-converted-space"/>
          <w:rFonts w:eastAsiaTheme="majorEastAsia"/>
          <w:color w:val="000000"/>
        </w:rPr>
        <w:t> </w:t>
      </w:r>
      <w:hyperlink r:id="rId51" w:tgtFrame="_new" w:history="1">
        <w:r w:rsidRPr="0072588F">
          <w:rPr>
            <w:rStyle w:val="Hyperlink"/>
            <w:rFonts w:eastAsiaTheme="majorEastAsia"/>
          </w:rPr>
          <w:t>https://www.researchgate.net/publication/330579447_The_contribution_of_education_to_social_progress</w:t>
        </w:r>
      </w:hyperlink>
    </w:p>
    <w:p w14:paraId="54DE97B7" w14:textId="77777777" w:rsidR="0072588F" w:rsidRDefault="0072588F" w:rsidP="0072588F">
      <w:pPr>
        <w:ind w:left="567" w:hanging="567"/>
        <w:jc w:val="both"/>
      </w:pPr>
    </w:p>
    <w:p w14:paraId="0E07472D" w14:textId="77777777" w:rsidR="0072588F" w:rsidRDefault="0072588F" w:rsidP="0072588F">
      <w:pPr>
        <w:ind w:left="567" w:hanging="567"/>
        <w:jc w:val="both"/>
      </w:pPr>
      <w:r w:rsidRPr="0072588F">
        <w:rPr>
          <w:color w:val="222222"/>
          <w:shd w:val="clear" w:color="auto" w:fill="FFFFFF"/>
        </w:rPr>
        <w:t>Squires, V., &amp; Hamilton, M. J. (2024). Staying Engaged and Achieving Promotion: The Role of Collegial Support and Career Reflection and Assessment for Mid-Career Faculty.</w:t>
      </w:r>
      <w:r w:rsidRPr="0072588F">
        <w:rPr>
          <w:rStyle w:val="apple-converted-space"/>
          <w:rFonts w:eastAsiaTheme="majorEastAsia"/>
          <w:color w:val="222222"/>
          <w:shd w:val="clear" w:color="auto" w:fill="FFFFFF"/>
        </w:rPr>
        <w:t> </w:t>
      </w:r>
      <w:r w:rsidRPr="0072588F">
        <w:rPr>
          <w:rStyle w:val="Emphasis"/>
          <w:rFonts w:eastAsiaTheme="majorEastAsia"/>
          <w:color w:val="222222"/>
        </w:rPr>
        <w:t>Trends in Higher Education</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3</w:t>
      </w:r>
      <w:r w:rsidRPr="0072588F">
        <w:rPr>
          <w:color w:val="222222"/>
          <w:shd w:val="clear" w:color="auto" w:fill="FFFFFF"/>
        </w:rPr>
        <w:t xml:space="preserve">(2), 297-307. </w:t>
      </w:r>
      <w:hyperlink r:id="rId52" w:history="1">
        <w:r w:rsidRPr="0072588F">
          <w:rPr>
            <w:rStyle w:val="Hyperlink"/>
            <w:shd w:val="clear" w:color="auto" w:fill="FFFFFF"/>
          </w:rPr>
          <w:t>https://doi.org/10.3390/higheredu3020018</w:t>
        </w:r>
      </w:hyperlink>
    </w:p>
    <w:p w14:paraId="31D648CC" w14:textId="77777777" w:rsidR="0072588F" w:rsidRDefault="0072588F" w:rsidP="0072588F">
      <w:pPr>
        <w:ind w:left="567" w:hanging="567"/>
        <w:jc w:val="both"/>
        <w:rPr>
          <w:color w:val="000000"/>
        </w:rPr>
      </w:pPr>
    </w:p>
    <w:p w14:paraId="799FE4AD" w14:textId="77777777" w:rsidR="0072588F" w:rsidRDefault="0072588F" w:rsidP="0072588F">
      <w:pPr>
        <w:ind w:left="567" w:hanging="567"/>
        <w:jc w:val="both"/>
        <w:rPr>
          <w:rStyle w:val="Emphasis"/>
          <w:i w:val="0"/>
          <w:iCs w:val="0"/>
        </w:rPr>
      </w:pPr>
      <w:r w:rsidRPr="0072588F">
        <w:rPr>
          <w:color w:val="000000"/>
        </w:rPr>
        <w:t>Sumpter, D., Blodgett, N., Beard, K., &amp; Howard, V. (2022). Transforming nursing education in response to the</w:t>
      </w:r>
      <w:r w:rsidRPr="0072588F">
        <w:rPr>
          <w:rStyle w:val="apple-converted-space"/>
          <w:rFonts w:eastAsiaTheme="majorEastAsia"/>
          <w:color w:val="000000"/>
        </w:rPr>
        <w:t> </w:t>
      </w:r>
      <w:r w:rsidRPr="0072588F">
        <w:rPr>
          <w:rStyle w:val="Emphasis"/>
          <w:rFonts w:eastAsiaTheme="majorEastAsia"/>
          <w:color w:val="000000"/>
        </w:rPr>
        <w:t>Future of Nursing 2020–2030</w:t>
      </w:r>
      <w:r w:rsidRPr="0072588F">
        <w:rPr>
          <w:rStyle w:val="apple-converted-space"/>
          <w:rFonts w:eastAsiaTheme="majorEastAsia"/>
          <w:color w:val="000000"/>
        </w:rPr>
        <w:t> </w:t>
      </w:r>
      <w:r w:rsidRPr="0072588F">
        <w:rPr>
          <w:color w:val="000000"/>
        </w:rPr>
        <w:t>report.</w:t>
      </w:r>
      <w:r w:rsidRPr="0072588F">
        <w:rPr>
          <w:rStyle w:val="apple-converted-space"/>
          <w:rFonts w:eastAsiaTheme="majorEastAsia"/>
          <w:color w:val="000000"/>
        </w:rPr>
        <w:t> </w:t>
      </w:r>
      <w:r w:rsidRPr="0072588F">
        <w:rPr>
          <w:rStyle w:val="Emphasis"/>
          <w:rFonts w:eastAsiaTheme="majorEastAsia"/>
          <w:color w:val="000000"/>
        </w:rPr>
        <w:t>Nursing Outlook, 70</w:t>
      </w:r>
      <w:r w:rsidRPr="0072588F">
        <w:rPr>
          <w:color w:val="000000"/>
        </w:rPr>
        <w:t>(6, Suppl 1), S20–S31.</w:t>
      </w:r>
      <w:r w:rsidRPr="0072588F">
        <w:rPr>
          <w:rStyle w:val="apple-converted-space"/>
          <w:rFonts w:eastAsiaTheme="majorEastAsia"/>
          <w:color w:val="000000"/>
        </w:rPr>
        <w:t> </w:t>
      </w:r>
      <w:hyperlink r:id="rId53" w:tgtFrame="_new" w:history="1">
        <w:r w:rsidRPr="0072588F">
          <w:rPr>
            <w:rStyle w:val="Hyperlink"/>
            <w:rFonts w:eastAsiaTheme="majorEastAsia"/>
          </w:rPr>
          <w:t>https://doi.org/10.1016/j.outlook.2022.02.007</w:t>
        </w:r>
      </w:hyperlink>
    </w:p>
    <w:p w14:paraId="6292C03F" w14:textId="77777777" w:rsidR="0072588F" w:rsidRDefault="0072588F" w:rsidP="0072588F">
      <w:pPr>
        <w:ind w:left="567" w:hanging="567"/>
        <w:jc w:val="both"/>
        <w:rPr>
          <w:rStyle w:val="Emphasis"/>
          <w:i w:val="0"/>
          <w:iCs w:val="0"/>
        </w:rPr>
      </w:pPr>
    </w:p>
    <w:p w14:paraId="2AD63BB2" w14:textId="77777777" w:rsidR="0072588F" w:rsidRDefault="0072588F" w:rsidP="0072588F">
      <w:pPr>
        <w:ind w:left="567" w:hanging="567"/>
        <w:jc w:val="both"/>
      </w:pPr>
      <w:r w:rsidRPr="0072588F">
        <w:rPr>
          <w:color w:val="222222"/>
          <w:shd w:val="clear" w:color="auto" w:fill="FFFFFF"/>
        </w:rPr>
        <w:t xml:space="preserve">Sunari, D., &amp; </w:t>
      </w:r>
      <w:proofErr w:type="spellStart"/>
      <w:r w:rsidRPr="0072588F">
        <w:rPr>
          <w:color w:val="222222"/>
          <w:shd w:val="clear" w:color="auto" w:fill="FFFFFF"/>
        </w:rPr>
        <w:t>Bashatah</w:t>
      </w:r>
      <w:proofErr w:type="spellEnd"/>
      <w:r w:rsidRPr="0072588F">
        <w:rPr>
          <w:color w:val="222222"/>
          <w:shd w:val="clear" w:color="auto" w:fill="FFFFFF"/>
        </w:rPr>
        <w:t>, A. (2025). Developing a Q Set Using the Modified Delphi Technique to Investigate ICU Nurses’ Perspectives on Working with Non-ICU Nurses.</w:t>
      </w:r>
      <w:r w:rsidRPr="0072588F">
        <w:rPr>
          <w:rStyle w:val="apple-converted-space"/>
          <w:rFonts w:eastAsiaTheme="majorEastAsia"/>
          <w:color w:val="222222"/>
          <w:shd w:val="clear" w:color="auto" w:fill="FFFFFF"/>
        </w:rPr>
        <w:t> </w:t>
      </w:r>
      <w:r w:rsidRPr="0072588F">
        <w:rPr>
          <w:rStyle w:val="Emphasis"/>
          <w:rFonts w:eastAsiaTheme="majorEastAsia"/>
          <w:color w:val="222222"/>
        </w:rPr>
        <w:t>Healthcare</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(9), 973. </w:t>
      </w:r>
      <w:hyperlink r:id="rId54" w:history="1">
        <w:r w:rsidRPr="0072588F">
          <w:rPr>
            <w:rStyle w:val="Hyperlink"/>
            <w:shd w:val="clear" w:color="auto" w:fill="FFFFFF"/>
          </w:rPr>
          <w:t>https://doi.org/10.3390/healthcare13090973</w:t>
        </w:r>
      </w:hyperlink>
    </w:p>
    <w:p w14:paraId="239110AA" w14:textId="77777777" w:rsidR="0072588F" w:rsidRDefault="0072588F" w:rsidP="0072588F">
      <w:pPr>
        <w:ind w:left="567" w:hanging="567"/>
        <w:jc w:val="both"/>
        <w:rPr>
          <w:color w:val="1B1B1B"/>
          <w:shd w:val="clear" w:color="auto" w:fill="FFFFFF"/>
        </w:rPr>
      </w:pPr>
    </w:p>
    <w:p w14:paraId="35341CAD" w14:textId="77777777" w:rsidR="0072588F" w:rsidRDefault="0072588F" w:rsidP="0072588F">
      <w:pPr>
        <w:ind w:left="567" w:hanging="567"/>
        <w:jc w:val="both"/>
      </w:pPr>
      <w:r w:rsidRPr="0072588F">
        <w:rPr>
          <w:color w:val="1B1B1B"/>
          <w:shd w:val="clear" w:color="auto" w:fill="FFFFFF"/>
        </w:rPr>
        <w:t>Tambunan EH. Theory-Practice Gap During Clinical Learning: A Descriptive Qualitative Study of Nursing Students' Experiences and Perceptions.</w:t>
      </w:r>
      <w:r w:rsidRPr="0072588F">
        <w:rPr>
          <w:i/>
          <w:iCs/>
          <w:color w:val="1B1B1B"/>
          <w:shd w:val="clear" w:color="auto" w:fill="FFFFFF"/>
        </w:rPr>
        <w:t xml:space="preserve"> J Caring Sci. </w:t>
      </w:r>
      <w:r w:rsidRPr="0072588F">
        <w:rPr>
          <w:color w:val="1B1B1B"/>
          <w:shd w:val="clear" w:color="auto" w:fill="FFFFFF"/>
        </w:rPr>
        <w:t xml:space="preserve">2024 Apr 9;13(2):74-81. </w:t>
      </w:r>
      <w:proofErr w:type="spellStart"/>
      <w:r w:rsidRPr="0072588F">
        <w:rPr>
          <w:color w:val="1B1B1B"/>
          <w:shd w:val="clear" w:color="auto" w:fill="FFFFFF"/>
        </w:rPr>
        <w:t>doi</w:t>
      </w:r>
      <w:proofErr w:type="spellEnd"/>
      <w:r w:rsidRPr="0072588F">
        <w:rPr>
          <w:color w:val="1B1B1B"/>
          <w:shd w:val="clear" w:color="auto" w:fill="FFFFFF"/>
        </w:rPr>
        <w:t>: 10.34172/jcs.33251. PMID: 39318732; PMCID: PMC11417294.</w:t>
      </w:r>
    </w:p>
    <w:p w14:paraId="58FE20BA" w14:textId="77777777" w:rsidR="0072588F" w:rsidRDefault="0072588F" w:rsidP="0072588F">
      <w:pPr>
        <w:ind w:left="567" w:hanging="567"/>
        <w:jc w:val="both"/>
      </w:pPr>
    </w:p>
    <w:p w14:paraId="3269CD7C" w14:textId="77777777" w:rsidR="0072588F" w:rsidRDefault="0072588F" w:rsidP="0072588F">
      <w:pPr>
        <w:ind w:left="567" w:hanging="567"/>
        <w:jc w:val="both"/>
      </w:pPr>
      <w:r w:rsidRPr="0072588F">
        <w:rPr>
          <w:color w:val="000000"/>
        </w:rPr>
        <w:t>The Manila Times College of Subic. (2025).</w:t>
      </w:r>
      <w:r w:rsidRPr="0072588F">
        <w:rPr>
          <w:rStyle w:val="apple-converted-space"/>
          <w:rFonts w:eastAsiaTheme="majorEastAsia"/>
          <w:color w:val="000000"/>
        </w:rPr>
        <w:t> </w:t>
      </w:r>
      <w:r w:rsidRPr="0072588F">
        <w:rPr>
          <w:rStyle w:val="Emphasis"/>
          <w:rFonts w:eastAsiaTheme="majorEastAsia"/>
          <w:color w:val="000000"/>
        </w:rPr>
        <w:t>Foundations</w:t>
      </w:r>
      <w:r w:rsidRPr="0072588F">
        <w:rPr>
          <w:color w:val="000000"/>
        </w:rPr>
        <w:t>. Retrieved June 15, 2025, from</w:t>
      </w:r>
      <w:r w:rsidRPr="0072588F">
        <w:rPr>
          <w:rStyle w:val="apple-converted-space"/>
          <w:rFonts w:eastAsiaTheme="majorEastAsia"/>
          <w:color w:val="000000"/>
        </w:rPr>
        <w:t> </w:t>
      </w:r>
      <w:hyperlink r:id="rId55" w:tgtFrame="_new" w:history="1">
        <w:r w:rsidRPr="0072588F">
          <w:rPr>
            <w:rStyle w:val="Hyperlink"/>
            <w:rFonts w:eastAsiaTheme="majorEastAsia"/>
          </w:rPr>
          <w:t>https://tmtc.edu.ph/foundations/</w:t>
        </w:r>
      </w:hyperlink>
    </w:p>
    <w:p w14:paraId="43224F1B" w14:textId="77777777" w:rsidR="0072588F" w:rsidRDefault="0072588F" w:rsidP="0072588F">
      <w:pPr>
        <w:ind w:left="567" w:hanging="567"/>
        <w:jc w:val="both"/>
      </w:pPr>
    </w:p>
    <w:p w14:paraId="59CDBDF4" w14:textId="77777777" w:rsidR="00D37CDB" w:rsidRDefault="0072588F" w:rsidP="00D37CDB">
      <w:pPr>
        <w:ind w:left="567" w:hanging="567"/>
        <w:jc w:val="both"/>
      </w:pPr>
      <w:proofErr w:type="spellStart"/>
      <w:r w:rsidRPr="00296A52">
        <w:rPr>
          <w:rStyle w:val="Strong"/>
          <w:rFonts w:eastAsiaTheme="majorEastAsia"/>
          <w:b w:val="0"/>
          <w:bCs w:val="0"/>
          <w:color w:val="000000"/>
          <w:lang w:val="es-US"/>
        </w:rPr>
        <w:t>Tungpalan</w:t>
      </w:r>
      <w:proofErr w:type="spellEnd"/>
      <w:r w:rsidRPr="00296A52">
        <w:rPr>
          <w:rStyle w:val="Strong"/>
          <w:rFonts w:eastAsiaTheme="majorEastAsia"/>
          <w:b w:val="0"/>
          <w:bCs w:val="0"/>
          <w:color w:val="000000"/>
          <w:lang w:val="es-US"/>
        </w:rPr>
        <w:t xml:space="preserve">, K. A., &amp; </w:t>
      </w:r>
      <w:proofErr w:type="spellStart"/>
      <w:r w:rsidRPr="00296A52">
        <w:rPr>
          <w:rStyle w:val="Strong"/>
          <w:rFonts w:eastAsiaTheme="majorEastAsia"/>
          <w:b w:val="0"/>
          <w:bCs w:val="0"/>
          <w:color w:val="000000"/>
          <w:lang w:val="es-US"/>
        </w:rPr>
        <w:t>Antalan</w:t>
      </w:r>
      <w:proofErr w:type="spellEnd"/>
      <w:r w:rsidRPr="00296A52">
        <w:rPr>
          <w:rStyle w:val="Strong"/>
          <w:rFonts w:eastAsiaTheme="majorEastAsia"/>
          <w:b w:val="0"/>
          <w:bCs w:val="0"/>
          <w:color w:val="000000"/>
          <w:lang w:val="es-US"/>
        </w:rPr>
        <w:t>, M. F.</w:t>
      </w:r>
      <w:r w:rsidRPr="00296A52">
        <w:rPr>
          <w:rStyle w:val="apple-converted-space"/>
          <w:rFonts w:eastAsiaTheme="majorEastAsia"/>
          <w:color w:val="000000"/>
          <w:lang w:val="es-US"/>
        </w:rPr>
        <w:t> </w:t>
      </w:r>
      <w:r w:rsidRPr="00296A52">
        <w:rPr>
          <w:color w:val="000000"/>
          <w:lang w:val="es-US"/>
        </w:rPr>
        <w:t xml:space="preserve">(2021). </w:t>
      </w:r>
      <w:r w:rsidRPr="0072588F">
        <w:rPr>
          <w:color w:val="000000"/>
        </w:rPr>
        <w:t>Teachers’ perception and experience on outcomes-based education implementation in Isabela State University.</w:t>
      </w:r>
      <w:r w:rsidRPr="0072588F">
        <w:rPr>
          <w:rStyle w:val="apple-converted-space"/>
          <w:rFonts w:eastAsiaTheme="majorEastAsia"/>
          <w:color w:val="000000"/>
        </w:rPr>
        <w:t> </w:t>
      </w:r>
      <w:r w:rsidRPr="0072588F">
        <w:rPr>
          <w:rStyle w:val="Emphasis"/>
          <w:rFonts w:eastAsiaTheme="majorEastAsia"/>
          <w:color w:val="000000"/>
        </w:rPr>
        <w:t>International Journal of Evaluation and Research in Education (IJERE), 10</w:t>
      </w:r>
      <w:r w:rsidRPr="0072588F">
        <w:rPr>
          <w:color w:val="000000"/>
        </w:rPr>
        <w:t>(4), 1213–1220.</w:t>
      </w:r>
      <w:r w:rsidRPr="0072588F">
        <w:rPr>
          <w:rStyle w:val="apple-converted-space"/>
          <w:rFonts w:eastAsiaTheme="majorEastAsia"/>
          <w:color w:val="000000"/>
        </w:rPr>
        <w:t> </w:t>
      </w:r>
      <w:hyperlink r:id="rId56" w:history="1">
        <w:r w:rsidRPr="00C36059">
          <w:rPr>
            <w:rStyle w:val="Hyperlink"/>
          </w:rPr>
          <w:t>https://doi.org/10.11591/ijere.v10i4.21548</w:t>
        </w:r>
      </w:hyperlink>
    </w:p>
    <w:p w14:paraId="0BEEF7B4" w14:textId="2D1355C2" w:rsidR="00D37CDB" w:rsidRPr="00D37CDB" w:rsidRDefault="00D37CDB" w:rsidP="00D37CDB">
      <w:pPr>
        <w:ind w:left="567" w:hanging="567"/>
        <w:jc w:val="both"/>
      </w:pPr>
      <w:r>
        <w:rPr>
          <w:rFonts w:ascii="Arial" w:hAnsi="Arial" w:cs="Arial"/>
          <w:sz w:val="18"/>
          <w:szCs w:val="18"/>
        </w:rPr>
        <w:t>United Nations Educational, Scientific and Cultural Organization (UNESCO). (2020). Education for sustainable development: A roadmap. UNESCO. https://doi.org/10.54675/YFRE1448</w:t>
      </w:r>
    </w:p>
    <w:p w14:paraId="56EAD05B" w14:textId="69A162FE" w:rsidR="0072588F" w:rsidRDefault="0072588F" w:rsidP="0072588F">
      <w:pPr>
        <w:ind w:left="567" w:hanging="567"/>
        <w:jc w:val="both"/>
      </w:pPr>
    </w:p>
    <w:p w14:paraId="6EA59890" w14:textId="03E50625" w:rsidR="0072588F" w:rsidRDefault="0072588F" w:rsidP="0072588F">
      <w:pPr>
        <w:ind w:left="567" w:hanging="567"/>
        <w:jc w:val="both"/>
      </w:pPr>
      <w:r w:rsidRPr="00A27D0B">
        <w:rPr>
          <w:color w:val="000000"/>
        </w:rPr>
        <w:t xml:space="preserve">University. Pedagogical Research, 9(2), em0201. </w:t>
      </w:r>
      <w:hyperlink r:id="rId57" w:history="1">
        <w:r w:rsidRPr="00A27D0B">
          <w:rPr>
            <w:rStyle w:val="Hyperlink"/>
          </w:rPr>
          <w:t>https://doi.org/10.29333/pr/14369</w:t>
        </w:r>
      </w:hyperlink>
    </w:p>
    <w:p w14:paraId="341CA288" w14:textId="77777777" w:rsidR="0072588F" w:rsidRDefault="0072588F" w:rsidP="0072588F">
      <w:pPr>
        <w:ind w:left="567" w:hanging="567"/>
        <w:jc w:val="both"/>
      </w:pPr>
    </w:p>
    <w:p w14:paraId="0BA388D0"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58" w:tgtFrame="_new" w:history="1">
        <w:r w:rsidRPr="0072588F">
          <w:rPr>
            <w:rStyle w:val="Hyperlink"/>
            <w:rFonts w:eastAsiaTheme="majorEastAsia"/>
          </w:rPr>
          <w:t>https://doi.org/10.1016/j.stueduc.2024.101425</w:t>
        </w:r>
      </w:hyperlink>
    </w:p>
    <w:p w14:paraId="52F1C74C" w14:textId="77777777" w:rsidR="0072588F" w:rsidRDefault="0072588F" w:rsidP="0072588F">
      <w:pPr>
        <w:ind w:left="567" w:hanging="567"/>
        <w:jc w:val="both"/>
      </w:pPr>
    </w:p>
    <w:p w14:paraId="66FFD17F"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59" w:tgtFrame="_new" w:history="1">
        <w:r w:rsidRPr="0072588F">
          <w:rPr>
            <w:rStyle w:val="Hyperlink"/>
            <w:rFonts w:eastAsiaTheme="majorEastAsia"/>
          </w:rPr>
          <w:t>https://doi.org/10.1016/j.stueduc.2024.101425</w:t>
        </w:r>
      </w:hyperlink>
    </w:p>
    <w:p w14:paraId="5E044B17" w14:textId="77777777" w:rsidR="0072588F" w:rsidRDefault="0072588F" w:rsidP="0072588F">
      <w:pPr>
        <w:ind w:left="567" w:hanging="567"/>
        <w:jc w:val="both"/>
      </w:pPr>
    </w:p>
    <w:p w14:paraId="6E161025" w14:textId="77777777" w:rsidR="0072588F" w:rsidRDefault="0072588F" w:rsidP="0072588F">
      <w:pPr>
        <w:ind w:left="567" w:hanging="567"/>
        <w:jc w:val="both"/>
      </w:pPr>
      <w:r w:rsidRPr="0072588F">
        <w:rPr>
          <w:rStyle w:val="Strong"/>
          <w:rFonts w:eastAsiaTheme="majorEastAsia"/>
          <w:b w:val="0"/>
          <w:bCs w:val="0"/>
          <w:color w:val="000000"/>
        </w:rPr>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60" w:tgtFrame="_new" w:history="1">
        <w:r w:rsidRPr="0072588F">
          <w:rPr>
            <w:rStyle w:val="Hyperlink"/>
            <w:rFonts w:eastAsiaTheme="majorEastAsia"/>
          </w:rPr>
          <w:t>https://www.who.int/publications/i/item/9789240003279</w:t>
        </w:r>
      </w:hyperlink>
    </w:p>
    <w:p w14:paraId="5B10F5D4" w14:textId="77777777" w:rsidR="0072588F" w:rsidRDefault="0072588F" w:rsidP="0072588F">
      <w:pPr>
        <w:ind w:left="567" w:hanging="567"/>
        <w:jc w:val="both"/>
      </w:pPr>
    </w:p>
    <w:p w14:paraId="6333A40E" w14:textId="77777777" w:rsidR="0072588F" w:rsidRDefault="0072588F" w:rsidP="0072588F">
      <w:pPr>
        <w:ind w:left="567" w:hanging="567"/>
        <w:jc w:val="both"/>
      </w:pPr>
      <w:r w:rsidRPr="0072588F">
        <w:rPr>
          <w:rStyle w:val="Strong"/>
          <w:rFonts w:eastAsiaTheme="majorEastAsia"/>
          <w:b w:val="0"/>
          <w:bCs w:val="0"/>
          <w:color w:val="000000"/>
        </w:rPr>
        <w:lastRenderedPageBreak/>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61" w:tgtFrame="_new" w:history="1">
        <w:r w:rsidRPr="0072588F">
          <w:rPr>
            <w:rStyle w:val="Hyperlink"/>
            <w:rFonts w:eastAsiaTheme="majorEastAsia"/>
          </w:rPr>
          <w:t>https://www.who.int/publications/i/item/9789240003279</w:t>
        </w:r>
      </w:hyperlink>
    </w:p>
    <w:p w14:paraId="0B90D114" w14:textId="77777777" w:rsidR="0072588F" w:rsidRDefault="0072588F" w:rsidP="0072588F">
      <w:pPr>
        <w:ind w:left="567" w:hanging="567"/>
        <w:jc w:val="both"/>
      </w:pPr>
    </w:p>
    <w:p w14:paraId="28EE99D6" w14:textId="77777777" w:rsidR="0072588F" w:rsidRDefault="0072588F" w:rsidP="0072588F">
      <w:pPr>
        <w:ind w:left="567" w:hanging="567"/>
        <w:jc w:val="both"/>
      </w:pPr>
      <w:r w:rsidRPr="0072588F">
        <w:rPr>
          <w:color w:val="1B1B1B"/>
          <w:shd w:val="clear" w:color="auto" w:fill="FFFFFF"/>
        </w:rPr>
        <w:t>Xu X, Zhang Y, Zhou P, Lin Y, Pan W. A modified Delphi study on establishing a curriculum content structure for the leadership and management competency cultivation for future nurse managers in China</w:t>
      </w:r>
      <w:r w:rsidRPr="0072588F">
        <w:rPr>
          <w:i/>
          <w:iCs/>
          <w:color w:val="1B1B1B"/>
          <w:shd w:val="clear" w:color="auto" w:fill="FFFFFF"/>
        </w:rPr>
        <w:t xml:space="preserve">. </w:t>
      </w:r>
      <w:proofErr w:type="spellStart"/>
      <w:r w:rsidRPr="0072588F">
        <w:rPr>
          <w:i/>
          <w:iCs/>
          <w:color w:val="1B1B1B"/>
          <w:shd w:val="clear" w:color="auto" w:fill="FFFFFF"/>
        </w:rPr>
        <w:t>Heliyon</w:t>
      </w:r>
      <w:proofErr w:type="spellEnd"/>
      <w:r w:rsidRPr="0072588F">
        <w:rPr>
          <w:i/>
          <w:iCs/>
          <w:color w:val="1B1B1B"/>
          <w:shd w:val="clear" w:color="auto" w:fill="FFFFFF"/>
        </w:rPr>
        <w:t>.</w:t>
      </w:r>
      <w:r w:rsidRPr="0072588F">
        <w:rPr>
          <w:color w:val="1B1B1B"/>
          <w:shd w:val="clear" w:color="auto" w:fill="FFFFFF"/>
        </w:rPr>
        <w:t xml:space="preserve"> 2022 Dec 13;8(12</w:t>
      </w:r>
      <w:proofErr w:type="gramStart"/>
      <w:r w:rsidRPr="0072588F">
        <w:rPr>
          <w:color w:val="1B1B1B"/>
          <w:shd w:val="clear" w:color="auto" w:fill="FFFFFF"/>
        </w:rPr>
        <w:t>):e</w:t>
      </w:r>
      <w:proofErr w:type="gramEnd"/>
      <w:r w:rsidRPr="0072588F">
        <w:rPr>
          <w:color w:val="1B1B1B"/>
          <w:shd w:val="clear" w:color="auto" w:fill="FFFFFF"/>
        </w:rPr>
        <w:t xml:space="preserve">12183. </w:t>
      </w:r>
      <w:proofErr w:type="spellStart"/>
      <w:r w:rsidRPr="0072588F">
        <w:rPr>
          <w:color w:val="1B1B1B"/>
          <w:shd w:val="clear" w:color="auto" w:fill="FFFFFF"/>
        </w:rPr>
        <w:t>doi</w:t>
      </w:r>
      <w:proofErr w:type="spellEnd"/>
      <w:r w:rsidRPr="0072588F">
        <w:rPr>
          <w:color w:val="1B1B1B"/>
          <w:shd w:val="clear" w:color="auto" w:fill="FFFFFF"/>
        </w:rPr>
        <w:t xml:space="preserve">: </w:t>
      </w:r>
      <w:proofErr w:type="gramStart"/>
      <w:r w:rsidRPr="0072588F">
        <w:rPr>
          <w:color w:val="1B1B1B"/>
          <w:shd w:val="clear" w:color="auto" w:fill="FFFFFF"/>
        </w:rPr>
        <w:t>10.1016/j.heliyon.2022.e</w:t>
      </w:r>
      <w:proofErr w:type="gramEnd"/>
      <w:r w:rsidRPr="0072588F">
        <w:rPr>
          <w:color w:val="1B1B1B"/>
          <w:shd w:val="clear" w:color="auto" w:fill="FFFFFF"/>
        </w:rPr>
        <w:t>12183. PMID: 36636213; PMCID: PMC9830176.</w:t>
      </w:r>
    </w:p>
    <w:p w14:paraId="116901F1" w14:textId="77777777" w:rsidR="0072588F" w:rsidRDefault="0072588F" w:rsidP="0072588F">
      <w:pPr>
        <w:ind w:left="567" w:hanging="567"/>
        <w:jc w:val="both"/>
      </w:pPr>
    </w:p>
    <w:p w14:paraId="290208C3" w14:textId="77777777" w:rsidR="0072588F" w:rsidRDefault="0072588F" w:rsidP="0072588F">
      <w:pPr>
        <w:ind w:left="567" w:hanging="567"/>
        <w:jc w:val="both"/>
      </w:pPr>
      <w:r w:rsidRPr="0072588F">
        <w:rPr>
          <w:color w:val="333333"/>
          <w:shd w:val="clear" w:color="auto" w:fill="FCFCFC"/>
        </w:rPr>
        <w:t>Yen, P.H., Thao, L. Exploring the implementation and perception of competency-based assessment practices among Vietnamese EFL instructors.</w:t>
      </w:r>
      <w:r w:rsidRPr="0072588F">
        <w:rPr>
          <w:rStyle w:val="apple-converted-space"/>
          <w:rFonts w:eastAsiaTheme="majorEastAsia"/>
          <w:color w:val="333333"/>
          <w:shd w:val="clear" w:color="auto" w:fill="FCFCFC"/>
        </w:rPr>
        <w:t> </w:t>
      </w:r>
      <w:r w:rsidRPr="0072588F">
        <w:rPr>
          <w:i/>
          <w:iCs/>
          <w:color w:val="333333"/>
        </w:rPr>
        <w:t>Lang Test Asia</w:t>
      </w:r>
      <w:r w:rsidRPr="0072588F">
        <w:rPr>
          <w:rStyle w:val="apple-converted-space"/>
          <w:rFonts w:eastAsiaTheme="majorEastAsia"/>
          <w:color w:val="333333"/>
          <w:shd w:val="clear" w:color="auto" w:fill="FCFCFC"/>
        </w:rPr>
        <w:t> </w:t>
      </w:r>
      <w:r w:rsidRPr="0072588F">
        <w:rPr>
          <w:color w:val="333333"/>
        </w:rPr>
        <w:t>14</w:t>
      </w:r>
      <w:r w:rsidRPr="0072588F">
        <w:rPr>
          <w:color w:val="333333"/>
          <w:shd w:val="clear" w:color="auto" w:fill="FCFCFC"/>
        </w:rPr>
        <w:t xml:space="preserve">, 26 (2024). </w:t>
      </w:r>
      <w:hyperlink r:id="rId62" w:history="1">
        <w:r w:rsidRPr="0072588F">
          <w:rPr>
            <w:rStyle w:val="Hyperlink"/>
            <w:shd w:val="clear" w:color="auto" w:fill="FCFCFC"/>
          </w:rPr>
          <w:t>https://doi.org/10.1186/s40468-024-00300-5</w:t>
        </w:r>
      </w:hyperlink>
    </w:p>
    <w:p w14:paraId="5F209EF9" w14:textId="77777777" w:rsidR="0072588F" w:rsidRDefault="0072588F" w:rsidP="0072588F">
      <w:pPr>
        <w:ind w:left="567" w:hanging="567"/>
        <w:jc w:val="both"/>
        <w:rPr>
          <w:color w:val="000000"/>
        </w:rPr>
      </w:pPr>
    </w:p>
    <w:p w14:paraId="79E83184" w14:textId="4E16E373" w:rsidR="0072588F" w:rsidRDefault="0072588F" w:rsidP="0072588F">
      <w:pPr>
        <w:ind w:left="567" w:hanging="567"/>
        <w:jc w:val="both"/>
      </w:pPr>
      <w:r w:rsidRPr="0072588F">
        <w:rPr>
          <w:color w:val="000000"/>
        </w:rPr>
        <w:t xml:space="preserve">Zickafoose, A., Ilesanmi, O., Diaz-Manrique, M., Adeyemi, A. E., </w:t>
      </w:r>
      <w:proofErr w:type="spellStart"/>
      <w:r w:rsidRPr="0072588F">
        <w:rPr>
          <w:color w:val="000000"/>
        </w:rPr>
        <w:t>Walumbe</w:t>
      </w:r>
      <w:proofErr w:type="spellEnd"/>
      <w:r w:rsidRPr="0072588F">
        <w:rPr>
          <w:color w:val="000000"/>
        </w:rPr>
        <w:t>, B., Strong, R., Wingenbach, G., Rodriguez, M. T., &amp; Dooley, K. E. (2024). Barriers and challenges affecting quality education (Sustainable Development Goal #4) in Sub-Saharan Africa by 2030.</w:t>
      </w:r>
      <w:r w:rsidRPr="0072588F">
        <w:rPr>
          <w:rStyle w:val="apple-converted-space"/>
          <w:rFonts w:eastAsiaTheme="majorEastAsia"/>
          <w:color w:val="000000"/>
        </w:rPr>
        <w:t> </w:t>
      </w:r>
      <w:r w:rsidRPr="0072588F">
        <w:rPr>
          <w:rStyle w:val="Emphasis"/>
          <w:rFonts w:eastAsiaTheme="majorEastAsia"/>
          <w:color w:val="000000"/>
        </w:rPr>
        <w:t>Sustainability, 16</w:t>
      </w:r>
      <w:r w:rsidRPr="0072588F">
        <w:rPr>
          <w:color w:val="000000"/>
        </w:rPr>
        <w:t>(7), 1–16.</w:t>
      </w:r>
      <w:r w:rsidRPr="0072588F">
        <w:rPr>
          <w:rStyle w:val="apple-converted-space"/>
          <w:rFonts w:eastAsiaTheme="majorEastAsia"/>
          <w:color w:val="000000"/>
        </w:rPr>
        <w:t> </w:t>
      </w:r>
      <w:hyperlink r:id="rId63" w:history="1">
        <w:r w:rsidRPr="0072588F">
          <w:rPr>
            <w:rStyle w:val="Hyperlink"/>
          </w:rPr>
          <w:t>https://doi.org/10.3390/su16072657</w:t>
        </w:r>
      </w:hyperlink>
    </w:p>
    <w:p w14:paraId="6A82B2C7" w14:textId="77777777" w:rsidR="00F613E0" w:rsidRDefault="00C21483" w:rsidP="0072588F">
      <w:pPr>
        <w:ind w:left="567" w:hanging="567"/>
        <w:jc w:val="both"/>
      </w:pPr>
      <w:proofErr w:type="spellStart"/>
      <w:r w:rsidRPr="00296A52">
        <w:rPr>
          <w:highlight w:val="yellow"/>
          <w:lang w:val="es-US"/>
        </w:rPr>
        <w:t>Isangula</w:t>
      </w:r>
      <w:proofErr w:type="spellEnd"/>
      <w:r w:rsidRPr="00296A52">
        <w:rPr>
          <w:highlight w:val="yellow"/>
          <w:lang w:val="es-US"/>
        </w:rPr>
        <w:t xml:space="preserve">, K. G., </w:t>
      </w:r>
      <w:proofErr w:type="spellStart"/>
      <w:r w:rsidRPr="00296A52">
        <w:rPr>
          <w:highlight w:val="yellow"/>
          <w:lang w:val="es-US"/>
        </w:rPr>
        <w:t>Pallangyo</w:t>
      </w:r>
      <w:proofErr w:type="spellEnd"/>
      <w:r w:rsidRPr="00296A52">
        <w:rPr>
          <w:highlight w:val="yellow"/>
          <w:lang w:val="es-US"/>
        </w:rPr>
        <w:t xml:space="preserve">, E. S., &amp; </w:t>
      </w:r>
      <w:proofErr w:type="spellStart"/>
      <w:r w:rsidRPr="00296A52">
        <w:rPr>
          <w:highlight w:val="yellow"/>
          <w:lang w:val="es-US"/>
        </w:rPr>
        <w:t>Ndirangu</w:t>
      </w:r>
      <w:proofErr w:type="spellEnd"/>
      <w:r w:rsidRPr="00296A52">
        <w:rPr>
          <w:highlight w:val="yellow"/>
          <w:lang w:val="es-US"/>
        </w:rPr>
        <w:t xml:space="preserve">-Mugo, E. (2023). </w:t>
      </w:r>
      <w:r w:rsidRPr="00296A52">
        <w:rPr>
          <w:highlight w:val="yellow"/>
        </w:rPr>
        <w:t>Improving nursing education curriculum as a tool for strengthening the nurse–client relationships in maternal and child healthcare: Insights from a human-centered design study in rural Tanzania. </w:t>
      </w:r>
      <w:r w:rsidRPr="00296A52">
        <w:rPr>
          <w:i/>
          <w:iCs/>
          <w:highlight w:val="yellow"/>
        </w:rPr>
        <w:t>Frontiers in Public Health</w:t>
      </w:r>
      <w:r w:rsidRPr="00296A52">
        <w:rPr>
          <w:highlight w:val="yellow"/>
        </w:rPr>
        <w:t>, </w:t>
      </w:r>
      <w:r w:rsidRPr="00296A52">
        <w:rPr>
          <w:i/>
          <w:iCs/>
          <w:highlight w:val="yellow"/>
        </w:rPr>
        <w:t>11</w:t>
      </w:r>
      <w:r w:rsidRPr="00296A52">
        <w:rPr>
          <w:highlight w:val="yellow"/>
        </w:rPr>
        <w:t xml:space="preserve">, 1072721. </w:t>
      </w:r>
      <w:hyperlink r:id="rId64" w:history="1">
        <w:r w:rsidRPr="00296A52">
          <w:rPr>
            <w:rStyle w:val="Hyperlink"/>
            <w:highlight w:val="yellow"/>
          </w:rPr>
          <w:t>https://doi.org/10.3389/fpubh.2023.1072721</w:t>
        </w:r>
      </w:hyperlink>
    </w:p>
    <w:p w14:paraId="788C2CC4" w14:textId="77777777" w:rsidR="00F613E0" w:rsidRDefault="00F613E0" w:rsidP="0072588F">
      <w:pPr>
        <w:ind w:left="567" w:hanging="567"/>
        <w:jc w:val="both"/>
      </w:pPr>
      <w:r w:rsidRPr="00296A52">
        <w:rPr>
          <w:highlight w:val="yellow"/>
        </w:rPr>
        <w:t>Collier-Sewell, F., Atherton, I., Mahoney, C., Kyle, R. G., Hughes, E., &amp; Lasater, K. (2023). Competencies and standards in nurse education: The irresolvable tensions. </w:t>
      </w:r>
      <w:r w:rsidRPr="00296A52">
        <w:rPr>
          <w:i/>
          <w:iCs/>
          <w:highlight w:val="yellow"/>
        </w:rPr>
        <w:t>Nurse Education Today</w:t>
      </w:r>
      <w:r w:rsidRPr="00296A52">
        <w:rPr>
          <w:highlight w:val="yellow"/>
        </w:rPr>
        <w:t>, </w:t>
      </w:r>
      <w:r w:rsidRPr="00296A52">
        <w:rPr>
          <w:i/>
          <w:iCs/>
          <w:highlight w:val="yellow"/>
        </w:rPr>
        <w:t>125</w:t>
      </w:r>
      <w:r w:rsidRPr="00296A52">
        <w:rPr>
          <w:highlight w:val="yellow"/>
        </w:rPr>
        <w:t xml:space="preserve">, 105782. </w:t>
      </w:r>
      <w:hyperlink r:id="rId65" w:tgtFrame="_blank" w:tooltip="Persistent link using digital object identifier" w:history="1">
        <w:r w:rsidRPr="00296A52">
          <w:rPr>
            <w:rStyle w:val="Hyperlink"/>
            <w:highlight w:val="yellow"/>
            <w:u w:val="none"/>
          </w:rPr>
          <w:t>https://doi.org/10.1016/j.nedt.2023.105782</w:t>
        </w:r>
      </w:hyperlink>
    </w:p>
    <w:p w14:paraId="25F41D98" w14:textId="7A214776" w:rsidR="008257AD" w:rsidRDefault="008257AD" w:rsidP="0072588F">
      <w:pPr>
        <w:ind w:left="567" w:hanging="567"/>
        <w:jc w:val="both"/>
      </w:pPr>
      <w:r w:rsidRPr="00296A52">
        <w:rPr>
          <w:highlight w:val="yellow"/>
        </w:rPr>
        <w:t xml:space="preserve">Mustapha, A. (2019). </w:t>
      </w:r>
      <w:r w:rsidRPr="00296A52">
        <w:rPr>
          <w:i/>
          <w:iCs/>
          <w:highlight w:val="yellow"/>
        </w:rPr>
        <w:t>Nursing and midwifery students’ communication skills training: A systematic review</w:t>
      </w:r>
      <w:r w:rsidRPr="00296A52">
        <w:rPr>
          <w:highlight w:val="yellow"/>
        </w:rPr>
        <w:t xml:space="preserve">. Journal of Advances in Medicine and Medical Research, 30(2), 1–10. </w:t>
      </w:r>
      <w:hyperlink r:id="rId66" w:tgtFrame="_new" w:history="1">
        <w:r w:rsidRPr="00296A52">
          <w:rPr>
            <w:rStyle w:val="Hyperlink"/>
            <w:highlight w:val="yellow"/>
          </w:rPr>
          <w:t>https://doi.org/10.9734/jammr/2019/v30i230167</w:t>
        </w:r>
      </w:hyperlink>
    </w:p>
    <w:p w14:paraId="5F2A1DF7" w14:textId="2F37CF31" w:rsidR="00AC6AB8" w:rsidRDefault="00AC6AB8" w:rsidP="0072588F">
      <w:pPr>
        <w:ind w:left="567" w:hanging="567"/>
        <w:jc w:val="both"/>
      </w:pPr>
      <w:r w:rsidRPr="00296A52">
        <w:rPr>
          <w:highlight w:val="yellow"/>
        </w:rPr>
        <w:t>Epp, S., Reekie, M., Denison, J., de Bosch Kemper, N., Willson, M., &amp; Marck, P. (2021). Radical transformation: Embracing constructivism and pedagogy for an innovative nursing curriculum. </w:t>
      </w:r>
      <w:r w:rsidRPr="00296A52">
        <w:rPr>
          <w:i/>
          <w:iCs/>
          <w:highlight w:val="yellow"/>
        </w:rPr>
        <w:t>Journal of Professional Nursing</w:t>
      </w:r>
      <w:r w:rsidRPr="00296A52">
        <w:rPr>
          <w:highlight w:val="yellow"/>
        </w:rPr>
        <w:t>, </w:t>
      </w:r>
      <w:r w:rsidRPr="00296A52">
        <w:rPr>
          <w:i/>
          <w:iCs/>
          <w:highlight w:val="yellow"/>
        </w:rPr>
        <w:t>37</w:t>
      </w:r>
      <w:r w:rsidRPr="00296A52">
        <w:rPr>
          <w:highlight w:val="yellow"/>
        </w:rPr>
        <w:t xml:space="preserve">(5), 804-809. </w:t>
      </w:r>
      <w:hyperlink r:id="rId67" w:tgtFrame="_blank" w:tooltip="Persistent link using digital object identifier" w:history="1">
        <w:r w:rsidRPr="00296A52">
          <w:rPr>
            <w:rStyle w:val="Hyperlink"/>
            <w:highlight w:val="yellow"/>
          </w:rPr>
          <w:t>https://doi.org/10.1016/j.profnurs.2021.06.007</w:t>
        </w:r>
      </w:hyperlink>
    </w:p>
    <w:p w14:paraId="6DAFACF9" w14:textId="77777777" w:rsidR="008257AD" w:rsidRDefault="008257AD" w:rsidP="0072588F">
      <w:pPr>
        <w:ind w:left="567" w:hanging="567"/>
        <w:jc w:val="both"/>
      </w:pPr>
    </w:p>
    <w:p w14:paraId="0C11AD95" w14:textId="77777777" w:rsidR="008257AD" w:rsidRDefault="008257AD" w:rsidP="0072588F">
      <w:pPr>
        <w:ind w:left="567" w:hanging="567"/>
        <w:jc w:val="both"/>
      </w:pPr>
    </w:p>
    <w:p w14:paraId="6B9EABB2" w14:textId="77777777" w:rsidR="00F613E0" w:rsidRPr="00F613E0" w:rsidRDefault="00F613E0" w:rsidP="0072588F">
      <w:pPr>
        <w:ind w:left="567" w:hanging="567"/>
        <w:jc w:val="both"/>
      </w:pPr>
    </w:p>
    <w:p w14:paraId="0D20BF19" w14:textId="2938867D" w:rsidR="00C21483" w:rsidRPr="00F613E0" w:rsidRDefault="00F613E0" w:rsidP="0072588F">
      <w:pPr>
        <w:ind w:left="567" w:hanging="567"/>
        <w:jc w:val="both"/>
      </w:pPr>
      <w:r w:rsidRPr="00F613E0">
        <w:br/>
      </w:r>
    </w:p>
    <w:p w14:paraId="6E27792E" w14:textId="77777777" w:rsidR="00C21483" w:rsidRDefault="00C21483" w:rsidP="0072588F">
      <w:pPr>
        <w:ind w:left="567" w:hanging="567"/>
        <w:jc w:val="both"/>
      </w:pPr>
    </w:p>
    <w:p w14:paraId="32918A49" w14:textId="77777777" w:rsidR="00C21483" w:rsidRPr="0072588F" w:rsidRDefault="00C21483" w:rsidP="0072588F">
      <w:pPr>
        <w:ind w:left="567" w:hanging="567"/>
        <w:jc w:val="both"/>
      </w:pPr>
    </w:p>
    <w:sectPr w:rsidR="00C21483" w:rsidRPr="0072588F">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AD43" w14:textId="77777777" w:rsidR="00D868DF" w:rsidRDefault="00D868DF" w:rsidP="009F610A">
      <w:r>
        <w:separator/>
      </w:r>
    </w:p>
  </w:endnote>
  <w:endnote w:type="continuationSeparator" w:id="0">
    <w:p w14:paraId="0E0F9444" w14:textId="77777777" w:rsidR="00D868DF" w:rsidRDefault="00D868DF" w:rsidP="009F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9987" w14:textId="77777777" w:rsidR="009F610A" w:rsidRDefault="009F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48A0" w14:textId="77777777" w:rsidR="009F610A" w:rsidRDefault="009F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19B1" w14:textId="77777777" w:rsidR="009F610A" w:rsidRDefault="009F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5EB0A" w14:textId="77777777" w:rsidR="00D868DF" w:rsidRDefault="00D868DF" w:rsidP="009F610A">
      <w:r>
        <w:separator/>
      </w:r>
    </w:p>
  </w:footnote>
  <w:footnote w:type="continuationSeparator" w:id="0">
    <w:p w14:paraId="4B27BF1A" w14:textId="77777777" w:rsidR="00D868DF" w:rsidRDefault="00D868DF" w:rsidP="009F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728E" w14:textId="10BD3A57" w:rsidR="009F610A" w:rsidRDefault="00D868DF">
    <w:pPr>
      <w:pStyle w:val="Header"/>
    </w:pPr>
    <w:r>
      <w:rPr>
        <w:noProof/>
      </w:rPr>
      <w:pict w14:anchorId="753F1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D3E8" w14:textId="5D842C83" w:rsidR="009F610A" w:rsidRDefault="00D868DF">
    <w:pPr>
      <w:pStyle w:val="Header"/>
    </w:pPr>
    <w:r>
      <w:rPr>
        <w:noProof/>
      </w:rPr>
      <w:pict w14:anchorId="50295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46AC" w14:textId="2378B5FA" w:rsidR="009F610A" w:rsidRDefault="00D868DF">
    <w:pPr>
      <w:pStyle w:val="Header"/>
    </w:pPr>
    <w:r>
      <w:rPr>
        <w:noProof/>
      </w:rPr>
      <w:pict w14:anchorId="5615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C31"/>
    <w:multiLevelType w:val="multilevel"/>
    <w:tmpl w:val="7020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1D73"/>
    <w:multiLevelType w:val="multilevel"/>
    <w:tmpl w:val="DB469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11D64"/>
    <w:multiLevelType w:val="multilevel"/>
    <w:tmpl w:val="8B60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40827"/>
    <w:multiLevelType w:val="multilevel"/>
    <w:tmpl w:val="EA4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657EA"/>
    <w:multiLevelType w:val="multilevel"/>
    <w:tmpl w:val="D252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13670"/>
    <w:multiLevelType w:val="multilevel"/>
    <w:tmpl w:val="540C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A2738"/>
    <w:multiLevelType w:val="multilevel"/>
    <w:tmpl w:val="A67EC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D6749"/>
    <w:multiLevelType w:val="multilevel"/>
    <w:tmpl w:val="2B48F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426C2"/>
    <w:multiLevelType w:val="multilevel"/>
    <w:tmpl w:val="12E09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F2F04"/>
    <w:multiLevelType w:val="multilevel"/>
    <w:tmpl w:val="F19A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5527D"/>
    <w:multiLevelType w:val="multilevel"/>
    <w:tmpl w:val="AD0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22ABB"/>
    <w:multiLevelType w:val="multilevel"/>
    <w:tmpl w:val="E60C1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76C79"/>
    <w:multiLevelType w:val="multilevel"/>
    <w:tmpl w:val="6A28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90A34"/>
    <w:multiLevelType w:val="multilevel"/>
    <w:tmpl w:val="1AA8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F0A81"/>
    <w:multiLevelType w:val="multilevel"/>
    <w:tmpl w:val="3230C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52AFE"/>
    <w:multiLevelType w:val="multilevel"/>
    <w:tmpl w:val="3CB68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0B3CAF"/>
    <w:multiLevelType w:val="multilevel"/>
    <w:tmpl w:val="B1D84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44A18"/>
    <w:multiLevelType w:val="multilevel"/>
    <w:tmpl w:val="9EF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B447EA"/>
    <w:multiLevelType w:val="multilevel"/>
    <w:tmpl w:val="363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559B"/>
    <w:multiLevelType w:val="multilevel"/>
    <w:tmpl w:val="E52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9"/>
  </w:num>
  <w:num w:numId="4">
    <w:abstractNumId w:val="15"/>
  </w:num>
  <w:num w:numId="5">
    <w:abstractNumId w:val="13"/>
  </w:num>
  <w:num w:numId="6">
    <w:abstractNumId w:val="11"/>
  </w:num>
  <w:num w:numId="7">
    <w:abstractNumId w:val="17"/>
  </w:num>
  <w:num w:numId="8">
    <w:abstractNumId w:val="16"/>
  </w:num>
  <w:num w:numId="9">
    <w:abstractNumId w:val="7"/>
  </w:num>
  <w:num w:numId="10">
    <w:abstractNumId w:val="0"/>
  </w:num>
  <w:num w:numId="11">
    <w:abstractNumId w:val="8"/>
  </w:num>
  <w:num w:numId="12">
    <w:abstractNumId w:val="1"/>
  </w:num>
  <w:num w:numId="13">
    <w:abstractNumId w:val="2"/>
  </w:num>
  <w:num w:numId="14">
    <w:abstractNumId w:val="6"/>
  </w:num>
  <w:num w:numId="15">
    <w:abstractNumId w:val="14"/>
  </w:num>
  <w:num w:numId="16">
    <w:abstractNumId w:val="3"/>
  </w:num>
  <w:num w:numId="17">
    <w:abstractNumId w:val="10"/>
  </w:num>
  <w:num w:numId="18">
    <w:abstractNumId w:val="19"/>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NzQ0NDI1NrE0NTdX0lEKTi0uzszPAykwrAUAuxOqUiwAAAA="/>
  </w:docVars>
  <w:rsids>
    <w:rsidRoot w:val="00CF5C0E"/>
    <w:rsid w:val="00041A62"/>
    <w:rsid w:val="00046E10"/>
    <w:rsid w:val="0009537F"/>
    <w:rsid w:val="00095F00"/>
    <w:rsid w:val="000A30EB"/>
    <w:rsid w:val="000A683C"/>
    <w:rsid w:val="000B5B72"/>
    <w:rsid w:val="000C7B3D"/>
    <w:rsid w:val="000E07A4"/>
    <w:rsid w:val="000E46E3"/>
    <w:rsid w:val="00106CF4"/>
    <w:rsid w:val="001410A5"/>
    <w:rsid w:val="00141A69"/>
    <w:rsid w:val="00176F74"/>
    <w:rsid w:val="00187D12"/>
    <w:rsid w:val="001A1BCA"/>
    <w:rsid w:val="001A7A80"/>
    <w:rsid w:val="001D0F92"/>
    <w:rsid w:val="002029BE"/>
    <w:rsid w:val="00240446"/>
    <w:rsid w:val="0025619C"/>
    <w:rsid w:val="00276EBC"/>
    <w:rsid w:val="00277689"/>
    <w:rsid w:val="00283959"/>
    <w:rsid w:val="00296A52"/>
    <w:rsid w:val="002B34F8"/>
    <w:rsid w:val="002B43BB"/>
    <w:rsid w:val="003054E1"/>
    <w:rsid w:val="003112E1"/>
    <w:rsid w:val="00312657"/>
    <w:rsid w:val="0031327E"/>
    <w:rsid w:val="003634FA"/>
    <w:rsid w:val="003B03DD"/>
    <w:rsid w:val="003D51BD"/>
    <w:rsid w:val="003D7DCD"/>
    <w:rsid w:val="003E0236"/>
    <w:rsid w:val="0040792E"/>
    <w:rsid w:val="00412DA2"/>
    <w:rsid w:val="00416DE5"/>
    <w:rsid w:val="0042175E"/>
    <w:rsid w:val="00433097"/>
    <w:rsid w:val="00440EBB"/>
    <w:rsid w:val="00460DAF"/>
    <w:rsid w:val="00484350"/>
    <w:rsid w:val="0049739B"/>
    <w:rsid w:val="004A0236"/>
    <w:rsid w:val="004C42C6"/>
    <w:rsid w:val="004C4AEC"/>
    <w:rsid w:val="00541580"/>
    <w:rsid w:val="00551D71"/>
    <w:rsid w:val="00553E07"/>
    <w:rsid w:val="005658B7"/>
    <w:rsid w:val="005A2072"/>
    <w:rsid w:val="005A322D"/>
    <w:rsid w:val="005B7743"/>
    <w:rsid w:val="005D0720"/>
    <w:rsid w:val="005E701E"/>
    <w:rsid w:val="00602695"/>
    <w:rsid w:val="0072588F"/>
    <w:rsid w:val="00725AF4"/>
    <w:rsid w:val="00742E4A"/>
    <w:rsid w:val="00765061"/>
    <w:rsid w:val="007A0073"/>
    <w:rsid w:val="007A0867"/>
    <w:rsid w:val="007A5930"/>
    <w:rsid w:val="007B2DCF"/>
    <w:rsid w:val="007C1D75"/>
    <w:rsid w:val="007D7B82"/>
    <w:rsid w:val="007F10EB"/>
    <w:rsid w:val="008253F4"/>
    <w:rsid w:val="008257AD"/>
    <w:rsid w:val="008345AF"/>
    <w:rsid w:val="0086446C"/>
    <w:rsid w:val="008736D2"/>
    <w:rsid w:val="008745C4"/>
    <w:rsid w:val="008800CC"/>
    <w:rsid w:val="008975E8"/>
    <w:rsid w:val="008A362A"/>
    <w:rsid w:val="008B2B32"/>
    <w:rsid w:val="008C195D"/>
    <w:rsid w:val="008C64E5"/>
    <w:rsid w:val="008C6D82"/>
    <w:rsid w:val="008D64EA"/>
    <w:rsid w:val="008D69CC"/>
    <w:rsid w:val="008E3234"/>
    <w:rsid w:val="00904360"/>
    <w:rsid w:val="00906224"/>
    <w:rsid w:val="00920F3B"/>
    <w:rsid w:val="00983241"/>
    <w:rsid w:val="0099059F"/>
    <w:rsid w:val="009914ED"/>
    <w:rsid w:val="009B4F8A"/>
    <w:rsid w:val="009D3FF1"/>
    <w:rsid w:val="009E2EBB"/>
    <w:rsid w:val="009F093A"/>
    <w:rsid w:val="009F610A"/>
    <w:rsid w:val="009F7732"/>
    <w:rsid w:val="00A1196A"/>
    <w:rsid w:val="00A1614A"/>
    <w:rsid w:val="00A24517"/>
    <w:rsid w:val="00A4514A"/>
    <w:rsid w:val="00A51C93"/>
    <w:rsid w:val="00A863C4"/>
    <w:rsid w:val="00AB630E"/>
    <w:rsid w:val="00AC4840"/>
    <w:rsid w:val="00AC631E"/>
    <w:rsid w:val="00AC6AB8"/>
    <w:rsid w:val="00AE615D"/>
    <w:rsid w:val="00B05C2B"/>
    <w:rsid w:val="00B144BE"/>
    <w:rsid w:val="00B14545"/>
    <w:rsid w:val="00B175D1"/>
    <w:rsid w:val="00B25A90"/>
    <w:rsid w:val="00B25E19"/>
    <w:rsid w:val="00B34812"/>
    <w:rsid w:val="00B4447C"/>
    <w:rsid w:val="00B47F53"/>
    <w:rsid w:val="00B84933"/>
    <w:rsid w:val="00B948F7"/>
    <w:rsid w:val="00BB1C6B"/>
    <w:rsid w:val="00C00DCD"/>
    <w:rsid w:val="00C21483"/>
    <w:rsid w:val="00C655D5"/>
    <w:rsid w:val="00C77384"/>
    <w:rsid w:val="00C77ED7"/>
    <w:rsid w:val="00C87FB3"/>
    <w:rsid w:val="00CA518F"/>
    <w:rsid w:val="00CF5C0E"/>
    <w:rsid w:val="00CF72D4"/>
    <w:rsid w:val="00D10B26"/>
    <w:rsid w:val="00D167FC"/>
    <w:rsid w:val="00D37CDB"/>
    <w:rsid w:val="00D65EC0"/>
    <w:rsid w:val="00D868DF"/>
    <w:rsid w:val="00DE35F1"/>
    <w:rsid w:val="00E0673F"/>
    <w:rsid w:val="00E33E44"/>
    <w:rsid w:val="00E41EB4"/>
    <w:rsid w:val="00E91B10"/>
    <w:rsid w:val="00EA0DC4"/>
    <w:rsid w:val="00EA3350"/>
    <w:rsid w:val="00F01653"/>
    <w:rsid w:val="00F05168"/>
    <w:rsid w:val="00F171A1"/>
    <w:rsid w:val="00F55129"/>
    <w:rsid w:val="00F613E0"/>
    <w:rsid w:val="00F74B35"/>
    <w:rsid w:val="00F81241"/>
    <w:rsid w:val="00F94A5F"/>
    <w:rsid w:val="00FD31AB"/>
    <w:rsid w:val="00FE5FD6"/>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50C26"/>
  <w15:chartTrackingRefBased/>
  <w15:docId w15:val="{3FB6408F-EB88-344B-8D29-F162D564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E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5C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5C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F5C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CF5C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CF5C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5C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5C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5C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5C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5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5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F5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C0E"/>
    <w:rPr>
      <w:rFonts w:eastAsiaTheme="majorEastAsia" w:cstheme="majorBidi"/>
      <w:color w:val="272727" w:themeColor="text1" w:themeTint="D8"/>
    </w:rPr>
  </w:style>
  <w:style w:type="paragraph" w:styleId="Title">
    <w:name w:val="Title"/>
    <w:basedOn w:val="Normal"/>
    <w:next w:val="Normal"/>
    <w:link w:val="TitleChar"/>
    <w:uiPriority w:val="10"/>
    <w:qFormat/>
    <w:rsid w:val="00CF5C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5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5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C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5C0E"/>
    <w:rPr>
      <w:i/>
      <w:iCs/>
      <w:color w:val="404040" w:themeColor="text1" w:themeTint="BF"/>
    </w:rPr>
  </w:style>
  <w:style w:type="paragraph" w:styleId="ListParagraph">
    <w:name w:val="List Paragraph"/>
    <w:basedOn w:val="Normal"/>
    <w:uiPriority w:val="34"/>
    <w:qFormat/>
    <w:rsid w:val="00CF5C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5C0E"/>
    <w:rPr>
      <w:i/>
      <w:iCs/>
      <w:color w:val="0F4761" w:themeColor="accent1" w:themeShade="BF"/>
    </w:rPr>
  </w:style>
  <w:style w:type="paragraph" w:styleId="IntenseQuote">
    <w:name w:val="Intense Quote"/>
    <w:basedOn w:val="Normal"/>
    <w:next w:val="Normal"/>
    <w:link w:val="IntenseQuoteChar"/>
    <w:uiPriority w:val="30"/>
    <w:qFormat/>
    <w:rsid w:val="00CF5C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5C0E"/>
    <w:rPr>
      <w:i/>
      <w:iCs/>
      <w:color w:val="0F4761" w:themeColor="accent1" w:themeShade="BF"/>
    </w:rPr>
  </w:style>
  <w:style w:type="character" w:styleId="IntenseReference">
    <w:name w:val="Intense Reference"/>
    <w:basedOn w:val="DefaultParagraphFont"/>
    <w:uiPriority w:val="32"/>
    <w:qFormat/>
    <w:rsid w:val="00CF5C0E"/>
    <w:rPr>
      <w:b/>
      <w:bCs/>
      <w:smallCaps/>
      <w:color w:val="0F4761" w:themeColor="accent1" w:themeShade="BF"/>
      <w:spacing w:val="5"/>
    </w:rPr>
  </w:style>
  <w:style w:type="paragraph" w:styleId="NormalWeb">
    <w:name w:val="Normal (Web)"/>
    <w:basedOn w:val="Normal"/>
    <w:uiPriority w:val="99"/>
    <w:unhideWhenUsed/>
    <w:rsid w:val="00CF5C0E"/>
    <w:pPr>
      <w:spacing w:before="100" w:beforeAutospacing="1" w:after="100" w:afterAutospacing="1"/>
    </w:pPr>
  </w:style>
  <w:style w:type="character" w:styleId="Strong">
    <w:name w:val="Strong"/>
    <w:basedOn w:val="DefaultParagraphFont"/>
    <w:uiPriority w:val="22"/>
    <w:qFormat/>
    <w:rsid w:val="00CF5C0E"/>
    <w:rPr>
      <w:b/>
      <w:bCs/>
    </w:rPr>
  </w:style>
  <w:style w:type="character" w:customStyle="1" w:styleId="apple-converted-space">
    <w:name w:val="apple-converted-space"/>
    <w:basedOn w:val="DefaultParagraphFont"/>
    <w:rsid w:val="000A30EB"/>
  </w:style>
  <w:style w:type="character" w:styleId="Emphasis">
    <w:name w:val="Emphasis"/>
    <w:basedOn w:val="DefaultParagraphFont"/>
    <w:uiPriority w:val="20"/>
    <w:qFormat/>
    <w:rsid w:val="000A30EB"/>
    <w:rPr>
      <w:i/>
      <w:iCs/>
    </w:rPr>
  </w:style>
  <w:style w:type="character" w:styleId="Hyperlink">
    <w:name w:val="Hyperlink"/>
    <w:basedOn w:val="DefaultParagraphFont"/>
    <w:uiPriority w:val="99"/>
    <w:unhideWhenUsed/>
    <w:rsid w:val="000A30EB"/>
    <w:rPr>
      <w:color w:val="0000FF"/>
      <w:u w:val="single"/>
    </w:rPr>
  </w:style>
  <w:style w:type="table" w:styleId="TableGrid">
    <w:name w:val="Table Grid"/>
    <w:basedOn w:val="TableNormal"/>
    <w:uiPriority w:val="39"/>
    <w:rsid w:val="0090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653"/>
    <w:rPr>
      <w:color w:val="605E5C"/>
      <w:shd w:val="clear" w:color="auto" w:fill="E1DFDD"/>
    </w:rPr>
  </w:style>
  <w:style w:type="table" w:styleId="PlainTable3">
    <w:name w:val="Plain Table 3"/>
    <w:basedOn w:val="TableNormal"/>
    <w:uiPriority w:val="43"/>
    <w:rsid w:val="006026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26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26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kciteavail">
    <w:name w:val="bk_cite_avail"/>
    <w:basedOn w:val="DefaultParagraphFont"/>
    <w:rsid w:val="0025619C"/>
  </w:style>
  <w:style w:type="table" w:styleId="PlainTable1">
    <w:name w:val="Plain Table 1"/>
    <w:basedOn w:val="TableNormal"/>
    <w:uiPriority w:val="41"/>
    <w:rsid w:val="009043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3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B2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C6D82"/>
    <w:pPr>
      <w:spacing w:after="0"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7C1D75"/>
  </w:style>
  <w:style w:type="character" w:customStyle="1" w:styleId="ms-1">
    <w:name w:val="ms-1"/>
    <w:basedOn w:val="DefaultParagraphFont"/>
    <w:rsid w:val="007C1D75"/>
  </w:style>
  <w:style w:type="character" w:customStyle="1" w:styleId="max-w-full">
    <w:name w:val="max-w-full"/>
    <w:basedOn w:val="DefaultParagraphFont"/>
    <w:rsid w:val="007C1D75"/>
  </w:style>
  <w:style w:type="paragraph" w:customStyle="1" w:styleId="p1">
    <w:name w:val="p1"/>
    <w:basedOn w:val="Normal"/>
    <w:rsid w:val="00983241"/>
    <w:rPr>
      <w:rFonts w:ascii="Helvetica" w:hAnsi="Helvetica"/>
      <w:color w:val="000000"/>
      <w:sz w:val="11"/>
      <w:szCs w:val="11"/>
    </w:rPr>
  </w:style>
  <w:style w:type="character" w:customStyle="1" w:styleId="s1">
    <w:name w:val="s1"/>
    <w:basedOn w:val="DefaultParagraphFont"/>
    <w:rsid w:val="00983241"/>
    <w:rPr>
      <w:rFonts w:ascii="Helvetica" w:hAnsi="Helvetica" w:hint="default"/>
      <w:sz w:val="15"/>
      <w:szCs w:val="15"/>
    </w:rPr>
  </w:style>
  <w:style w:type="character" w:customStyle="1" w:styleId="s2">
    <w:name w:val="s2"/>
    <w:basedOn w:val="DefaultParagraphFont"/>
    <w:rsid w:val="00983241"/>
    <w:rPr>
      <w:rFonts w:ascii="Times New Roman" w:hAnsi="Times New Roman" w:cs="Times New Roman" w:hint="default"/>
      <w:sz w:val="11"/>
      <w:szCs w:val="11"/>
    </w:rPr>
  </w:style>
  <w:style w:type="paragraph" w:customStyle="1" w:styleId="p2">
    <w:name w:val="p2"/>
    <w:basedOn w:val="Normal"/>
    <w:rsid w:val="0072588F"/>
    <w:rPr>
      <w:rFonts w:ascii="Helvetica" w:hAnsi="Helvetica"/>
      <w:color w:val="264D7E"/>
      <w:sz w:val="14"/>
      <w:szCs w:val="14"/>
    </w:rPr>
  </w:style>
  <w:style w:type="paragraph" w:styleId="BalloonText">
    <w:name w:val="Balloon Text"/>
    <w:basedOn w:val="Normal"/>
    <w:link w:val="BalloonTextChar"/>
    <w:uiPriority w:val="99"/>
    <w:semiHidden/>
    <w:unhideWhenUsed/>
    <w:rsid w:val="009F6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0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9F610A"/>
    <w:pPr>
      <w:tabs>
        <w:tab w:val="center" w:pos="4680"/>
        <w:tab w:val="right" w:pos="9360"/>
      </w:tabs>
    </w:pPr>
  </w:style>
  <w:style w:type="character" w:customStyle="1" w:styleId="HeaderChar">
    <w:name w:val="Header Char"/>
    <w:basedOn w:val="DefaultParagraphFont"/>
    <w:link w:val="Header"/>
    <w:uiPriority w:val="99"/>
    <w:rsid w:val="009F61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F610A"/>
    <w:pPr>
      <w:tabs>
        <w:tab w:val="center" w:pos="4680"/>
        <w:tab w:val="right" w:pos="9360"/>
      </w:tabs>
    </w:pPr>
  </w:style>
  <w:style w:type="character" w:customStyle="1" w:styleId="FooterChar">
    <w:name w:val="Footer Char"/>
    <w:basedOn w:val="DefaultParagraphFont"/>
    <w:link w:val="Footer"/>
    <w:uiPriority w:val="99"/>
    <w:rsid w:val="009F610A"/>
    <w:rPr>
      <w:rFonts w:ascii="Times New Roman" w:eastAsia="Times New Roman" w:hAnsi="Times New Roman" w:cs="Times New Roman"/>
      <w:kern w:val="0"/>
      <w14:ligatures w14:val="none"/>
    </w:rPr>
  </w:style>
  <w:style w:type="paragraph" w:styleId="Revision">
    <w:name w:val="Revision"/>
    <w:hidden/>
    <w:uiPriority w:val="99"/>
    <w:semiHidden/>
    <w:rsid w:val="00F94A5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697">
      <w:bodyDiv w:val="1"/>
      <w:marLeft w:val="0"/>
      <w:marRight w:val="0"/>
      <w:marTop w:val="0"/>
      <w:marBottom w:val="0"/>
      <w:divBdr>
        <w:top w:val="none" w:sz="0" w:space="0" w:color="auto"/>
        <w:left w:val="none" w:sz="0" w:space="0" w:color="auto"/>
        <w:bottom w:val="none" w:sz="0" w:space="0" w:color="auto"/>
        <w:right w:val="none" w:sz="0" w:space="0" w:color="auto"/>
      </w:divBdr>
    </w:div>
    <w:div w:id="19160861">
      <w:bodyDiv w:val="1"/>
      <w:marLeft w:val="0"/>
      <w:marRight w:val="0"/>
      <w:marTop w:val="0"/>
      <w:marBottom w:val="0"/>
      <w:divBdr>
        <w:top w:val="none" w:sz="0" w:space="0" w:color="auto"/>
        <w:left w:val="none" w:sz="0" w:space="0" w:color="auto"/>
        <w:bottom w:val="none" w:sz="0" w:space="0" w:color="auto"/>
        <w:right w:val="none" w:sz="0" w:space="0" w:color="auto"/>
      </w:divBdr>
    </w:div>
    <w:div w:id="33893058">
      <w:bodyDiv w:val="1"/>
      <w:marLeft w:val="0"/>
      <w:marRight w:val="0"/>
      <w:marTop w:val="0"/>
      <w:marBottom w:val="0"/>
      <w:divBdr>
        <w:top w:val="none" w:sz="0" w:space="0" w:color="auto"/>
        <w:left w:val="none" w:sz="0" w:space="0" w:color="auto"/>
        <w:bottom w:val="none" w:sz="0" w:space="0" w:color="auto"/>
        <w:right w:val="none" w:sz="0" w:space="0" w:color="auto"/>
      </w:divBdr>
      <w:divsChild>
        <w:div w:id="344291226">
          <w:marLeft w:val="0"/>
          <w:marRight w:val="0"/>
          <w:marTop w:val="0"/>
          <w:marBottom w:val="0"/>
          <w:divBdr>
            <w:top w:val="none" w:sz="0" w:space="0" w:color="auto"/>
            <w:left w:val="none" w:sz="0" w:space="0" w:color="auto"/>
            <w:bottom w:val="none" w:sz="0" w:space="0" w:color="auto"/>
            <w:right w:val="none" w:sz="0" w:space="0" w:color="auto"/>
          </w:divBdr>
          <w:divsChild>
            <w:div w:id="10101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9188">
      <w:bodyDiv w:val="1"/>
      <w:marLeft w:val="0"/>
      <w:marRight w:val="0"/>
      <w:marTop w:val="0"/>
      <w:marBottom w:val="0"/>
      <w:divBdr>
        <w:top w:val="none" w:sz="0" w:space="0" w:color="auto"/>
        <w:left w:val="none" w:sz="0" w:space="0" w:color="auto"/>
        <w:bottom w:val="none" w:sz="0" w:space="0" w:color="auto"/>
        <w:right w:val="none" w:sz="0" w:space="0" w:color="auto"/>
      </w:divBdr>
    </w:div>
    <w:div w:id="50886168">
      <w:bodyDiv w:val="1"/>
      <w:marLeft w:val="0"/>
      <w:marRight w:val="0"/>
      <w:marTop w:val="0"/>
      <w:marBottom w:val="0"/>
      <w:divBdr>
        <w:top w:val="none" w:sz="0" w:space="0" w:color="auto"/>
        <w:left w:val="none" w:sz="0" w:space="0" w:color="auto"/>
        <w:bottom w:val="none" w:sz="0" w:space="0" w:color="auto"/>
        <w:right w:val="none" w:sz="0" w:space="0" w:color="auto"/>
      </w:divBdr>
    </w:div>
    <w:div w:id="61030083">
      <w:bodyDiv w:val="1"/>
      <w:marLeft w:val="0"/>
      <w:marRight w:val="0"/>
      <w:marTop w:val="0"/>
      <w:marBottom w:val="0"/>
      <w:divBdr>
        <w:top w:val="none" w:sz="0" w:space="0" w:color="auto"/>
        <w:left w:val="none" w:sz="0" w:space="0" w:color="auto"/>
        <w:bottom w:val="none" w:sz="0" w:space="0" w:color="auto"/>
        <w:right w:val="none" w:sz="0" w:space="0" w:color="auto"/>
      </w:divBdr>
    </w:div>
    <w:div w:id="68618654">
      <w:bodyDiv w:val="1"/>
      <w:marLeft w:val="0"/>
      <w:marRight w:val="0"/>
      <w:marTop w:val="0"/>
      <w:marBottom w:val="0"/>
      <w:divBdr>
        <w:top w:val="none" w:sz="0" w:space="0" w:color="auto"/>
        <w:left w:val="none" w:sz="0" w:space="0" w:color="auto"/>
        <w:bottom w:val="none" w:sz="0" w:space="0" w:color="auto"/>
        <w:right w:val="none" w:sz="0" w:space="0" w:color="auto"/>
      </w:divBdr>
    </w:div>
    <w:div w:id="70662822">
      <w:bodyDiv w:val="1"/>
      <w:marLeft w:val="0"/>
      <w:marRight w:val="0"/>
      <w:marTop w:val="0"/>
      <w:marBottom w:val="0"/>
      <w:divBdr>
        <w:top w:val="none" w:sz="0" w:space="0" w:color="auto"/>
        <w:left w:val="none" w:sz="0" w:space="0" w:color="auto"/>
        <w:bottom w:val="none" w:sz="0" w:space="0" w:color="auto"/>
        <w:right w:val="none" w:sz="0" w:space="0" w:color="auto"/>
      </w:divBdr>
    </w:div>
    <w:div w:id="73555818">
      <w:bodyDiv w:val="1"/>
      <w:marLeft w:val="0"/>
      <w:marRight w:val="0"/>
      <w:marTop w:val="0"/>
      <w:marBottom w:val="0"/>
      <w:divBdr>
        <w:top w:val="none" w:sz="0" w:space="0" w:color="auto"/>
        <w:left w:val="none" w:sz="0" w:space="0" w:color="auto"/>
        <w:bottom w:val="none" w:sz="0" w:space="0" w:color="auto"/>
        <w:right w:val="none" w:sz="0" w:space="0" w:color="auto"/>
      </w:divBdr>
    </w:div>
    <w:div w:id="92819685">
      <w:bodyDiv w:val="1"/>
      <w:marLeft w:val="0"/>
      <w:marRight w:val="0"/>
      <w:marTop w:val="0"/>
      <w:marBottom w:val="0"/>
      <w:divBdr>
        <w:top w:val="none" w:sz="0" w:space="0" w:color="auto"/>
        <w:left w:val="none" w:sz="0" w:space="0" w:color="auto"/>
        <w:bottom w:val="none" w:sz="0" w:space="0" w:color="auto"/>
        <w:right w:val="none" w:sz="0" w:space="0" w:color="auto"/>
      </w:divBdr>
    </w:div>
    <w:div w:id="95440811">
      <w:bodyDiv w:val="1"/>
      <w:marLeft w:val="0"/>
      <w:marRight w:val="0"/>
      <w:marTop w:val="0"/>
      <w:marBottom w:val="0"/>
      <w:divBdr>
        <w:top w:val="none" w:sz="0" w:space="0" w:color="auto"/>
        <w:left w:val="none" w:sz="0" w:space="0" w:color="auto"/>
        <w:bottom w:val="none" w:sz="0" w:space="0" w:color="auto"/>
        <w:right w:val="none" w:sz="0" w:space="0" w:color="auto"/>
      </w:divBdr>
    </w:div>
    <w:div w:id="96946683">
      <w:bodyDiv w:val="1"/>
      <w:marLeft w:val="0"/>
      <w:marRight w:val="0"/>
      <w:marTop w:val="0"/>
      <w:marBottom w:val="0"/>
      <w:divBdr>
        <w:top w:val="none" w:sz="0" w:space="0" w:color="auto"/>
        <w:left w:val="none" w:sz="0" w:space="0" w:color="auto"/>
        <w:bottom w:val="none" w:sz="0" w:space="0" w:color="auto"/>
        <w:right w:val="none" w:sz="0" w:space="0" w:color="auto"/>
      </w:divBdr>
    </w:div>
    <w:div w:id="97063481">
      <w:bodyDiv w:val="1"/>
      <w:marLeft w:val="0"/>
      <w:marRight w:val="0"/>
      <w:marTop w:val="0"/>
      <w:marBottom w:val="0"/>
      <w:divBdr>
        <w:top w:val="none" w:sz="0" w:space="0" w:color="auto"/>
        <w:left w:val="none" w:sz="0" w:space="0" w:color="auto"/>
        <w:bottom w:val="none" w:sz="0" w:space="0" w:color="auto"/>
        <w:right w:val="none" w:sz="0" w:space="0" w:color="auto"/>
      </w:divBdr>
    </w:div>
    <w:div w:id="1116358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240">
          <w:marLeft w:val="0"/>
          <w:marRight w:val="0"/>
          <w:marTop w:val="0"/>
          <w:marBottom w:val="0"/>
          <w:divBdr>
            <w:top w:val="none" w:sz="0" w:space="0" w:color="auto"/>
            <w:left w:val="none" w:sz="0" w:space="0" w:color="auto"/>
            <w:bottom w:val="none" w:sz="0" w:space="0" w:color="auto"/>
            <w:right w:val="none" w:sz="0" w:space="0" w:color="auto"/>
          </w:divBdr>
          <w:divsChild>
            <w:div w:id="14009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0309">
      <w:bodyDiv w:val="1"/>
      <w:marLeft w:val="0"/>
      <w:marRight w:val="0"/>
      <w:marTop w:val="0"/>
      <w:marBottom w:val="0"/>
      <w:divBdr>
        <w:top w:val="none" w:sz="0" w:space="0" w:color="auto"/>
        <w:left w:val="none" w:sz="0" w:space="0" w:color="auto"/>
        <w:bottom w:val="none" w:sz="0" w:space="0" w:color="auto"/>
        <w:right w:val="none" w:sz="0" w:space="0" w:color="auto"/>
      </w:divBdr>
    </w:div>
    <w:div w:id="124391078">
      <w:bodyDiv w:val="1"/>
      <w:marLeft w:val="0"/>
      <w:marRight w:val="0"/>
      <w:marTop w:val="0"/>
      <w:marBottom w:val="0"/>
      <w:divBdr>
        <w:top w:val="none" w:sz="0" w:space="0" w:color="auto"/>
        <w:left w:val="none" w:sz="0" w:space="0" w:color="auto"/>
        <w:bottom w:val="none" w:sz="0" w:space="0" w:color="auto"/>
        <w:right w:val="none" w:sz="0" w:space="0" w:color="auto"/>
      </w:divBdr>
      <w:divsChild>
        <w:div w:id="2041974905">
          <w:marLeft w:val="0"/>
          <w:marRight w:val="0"/>
          <w:marTop w:val="0"/>
          <w:marBottom w:val="0"/>
          <w:divBdr>
            <w:top w:val="none" w:sz="0" w:space="0" w:color="auto"/>
            <w:left w:val="none" w:sz="0" w:space="0" w:color="auto"/>
            <w:bottom w:val="none" w:sz="0" w:space="0" w:color="auto"/>
            <w:right w:val="none" w:sz="0" w:space="0" w:color="auto"/>
          </w:divBdr>
          <w:divsChild>
            <w:div w:id="4770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557">
      <w:bodyDiv w:val="1"/>
      <w:marLeft w:val="0"/>
      <w:marRight w:val="0"/>
      <w:marTop w:val="0"/>
      <w:marBottom w:val="0"/>
      <w:divBdr>
        <w:top w:val="none" w:sz="0" w:space="0" w:color="auto"/>
        <w:left w:val="none" w:sz="0" w:space="0" w:color="auto"/>
        <w:bottom w:val="none" w:sz="0" w:space="0" w:color="auto"/>
        <w:right w:val="none" w:sz="0" w:space="0" w:color="auto"/>
      </w:divBdr>
    </w:div>
    <w:div w:id="131598071">
      <w:bodyDiv w:val="1"/>
      <w:marLeft w:val="0"/>
      <w:marRight w:val="0"/>
      <w:marTop w:val="0"/>
      <w:marBottom w:val="0"/>
      <w:divBdr>
        <w:top w:val="none" w:sz="0" w:space="0" w:color="auto"/>
        <w:left w:val="none" w:sz="0" w:space="0" w:color="auto"/>
        <w:bottom w:val="none" w:sz="0" w:space="0" w:color="auto"/>
        <w:right w:val="none" w:sz="0" w:space="0" w:color="auto"/>
      </w:divBdr>
    </w:div>
    <w:div w:id="139423437">
      <w:bodyDiv w:val="1"/>
      <w:marLeft w:val="0"/>
      <w:marRight w:val="0"/>
      <w:marTop w:val="0"/>
      <w:marBottom w:val="0"/>
      <w:divBdr>
        <w:top w:val="none" w:sz="0" w:space="0" w:color="auto"/>
        <w:left w:val="none" w:sz="0" w:space="0" w:color="auto"/>
        <w:bottom w:val="none" w:sz="0" w:space="0" w:color="auto"/>
        <w:right w:val="none" w:sz="0" w:space="0" w:color="auto"/>
      </w:divBdr>
    </w:div>
    <w:div w:id="142938439">
      <w:bodyDiv w:val="1"/>
      <w:marLeft w:val="0"/>
      <w:marRight w:val="0"/>
      <w:marTop w:val="0"/>
      <w:marBottom w:val="0"/>
      <w:divBdr>
        <w:top w:val="none" w:sz="0" w:space="0" w:color="auto"/>
        <w:left w:val="none" w:sz="0" w:space="0" w:color="auto"/>
        <w:bottom w:val="none" w:sz="0" w:space="0" w:color="auto"/>
        <w:right w:val="none" w:sz="0" w:space="0" w:color="auto"/>
      </w:divBdr>
    </w:div>
    <w:div w:id="176358651">
      <w:bodyDiv w:val="1"/>
      <w:marLeft w:val="0"/>
      <w:marRight w:val="0"/>
      <w:marTop w:val="0"/>
      <w:marBottom w:val="0"/>
      <w:divBdr>
        <w:top w:val="none" w:sz="0" w:space="0" w:color="auto"/>
        <w:left w:val="none" w:sz="0" w:space="0" w:color="auto"/>
        <w:bottom w:val="none" w:sz="0" w:space="0" w:color="auto"/>
        <w:right w:val="none" w:sz="0" w:space="0" w:color="auto"/>
      </w:divBdr>
      <w:divsChild>
        <w:div w:id="527253318">
          <w:marLeft w:val="0"/>
          <w:marRight w:val="0"/>
          <w:marTop w:val="0"/>
          <w:marBottom w:val="0"/>
          <w:divBdr>
            <w:top w:val="none" w:sz="0" w:space="0" w:color="auto"/>
            <w:left w:val="none" w:sz="0" w:space="0" w:color="auto"/>
            <w:bottom w:val="none" w:sz="0" w:space="0" w:color="auto"/>
            <w:right w:val="none" w:sz="0" w:space="0" w:color="auto"/>
          </w:divBdr>
          <w:divsChild>
            <w:div w:id="7213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7">
      <w:bodyDiv w:val="1"/>
      <w:marLeft w:val="0"/>
      <w:marRight w:val="0"/>
      <w:marTop w:val="0"/>
      <w:marBottom w:val="0"/>
      <w:divBdr>
        <w:top w:val="none" w:sz="0" w:space="0" w:color="auto"/>
        <w:left w:val="none" w:sz="0" w:space="0" w:color="auto"/>
        <w:bottom w:val="none" w:sz="0" w:space="0" w:color="auto"/>
        <w:right w:val="none" w:sz="0" w:space="0" w:color="auto"/>
      </w:divBdr>
    </w:div>
    <w:div w:id="184563482">
      <w:bodyDiv w:val="1"/>
      <w:marLeft w:val="0"/>
      <w:marRight w:val="0"/>
      <w:marTop w:val="0"/>
      <w:marBottom w:val="0"/>
      <w:divBdr>
        <w:top w:val="none" w:sz="0" w:space="0" w:color="auto"/>
        <w:left w:val="none" w:sz="0" w:space="0" w:color="auto"/>
        <w:bottom w:val="none" w:sz="0" w:space="0" w:color="auto"/>
        <w:right w:val="none" w:sz="0" w:space="0" w:color="auto"/>
      </w:divBdr>
    </w:div>
    <w:div w:id="200703367">
      <w:bodyDiv w:val="1"/>
      <w:marLeft w:val="0"/>
      <w:marRight w:val="0"/>
      <w:marTop w:val="0"/>
      <w:marBottom w:val="0"/>
      <w:divBdr>
        <w:top w:val="none" w:sz="0" w:space="0" w:color="auto"/>
        <w:left w:val="none" w:sz="0" w:space="0" w:color="auto"/>
        <w:bottom w:val="none" w:sz="0" w:space="0" w:color="auto"/>
        <w:right w:val="none" w:sz="0" w:space="0" w:color="auto"/>
      </w:divBdr>
    </w:div>
    <w:div w:id="202905435">
      <w:bodyDiv w:val="1"/>
      <w:marLeft w:val="0"/>
      <w:marRight w:val="0"/>
      <w:marTop w:val="0"/>
      <w:marBottom w:val="0"/>
      <w:divBdr>
        <w:top w:val="none" w:sz="0" w:space="0" w:color="auto"/>
        <w:left w:val="none" w:sz="0" w:space="0" w:color="auto"/>
        <w:bottom w:val="none" w:sz="0" w:space="0" w:color="auto"/>
        <w:right w:val="none" w:sz="0" w:space="0" w:color="auto"/>
      </w:divBdr>
    </w:div>
    <w:div w:id="216556227">
      <w:bodyDiv w:val="1"/>
      <w:marLeft w:val="0"/>
      <w:marRight w:val="0"/>
      <w:marTop w:val="0"/>
      <w:marBottom w:val="0"/>
      <w:divBdr>
        <w:top w:val="none" w:sz="0" w:space="0" w:color="auto"/>
        <w:left w:val="none" w:sz="0" w:space="0" w:color="auto"/>
        <w:bottom w:val="none" w:sz="0" w:space="0" w:color="auto"/>
        <w:right w:val="none" w:sz="0" w:space="0" w:color="auto"/>
      </w:divBdr>
    </w:div>
    <w:div w:id="218443521">
      <w:bodyDiv w:val="1"/>
      <w:marLeft w:val="0"/>
      <w:marRight w:val="0"/>
      <w:marTop w:val="0"/>
      <w:marBottom w:val="0"/>
      <w:divBdr>
        <w:top w:val="none" w:sz="0" w:space="0" w:color="auto"/>
        <w:left w:val="none" w:sz="0" w:space="0" w:color="auto"/>
        <w:bottom w:val="none" w:sz="0" w:space="0" w:color="auto"/>
        <w:right w:val="none" w:sz="0" w:space="0" w:color="auto"/>
      </w:divBdr>
      <w:divsChild>
        <w:div w:id="604074246">
          <w:marLeft w:val="0"/>
          <w:marRight w:val="0"/>
          <w:marTop w:val="0"/>
          <w:marBottom w:val="0"/>
          <w:divBdr>
            <w:top w:val="none" w:sz="0" w:space="0" w:color="auto"/>
            <w:left w:val="none" w:sz="0" w:space="0" w:color="auto"/>
            <w:bottom w:val="none" w:sz="0" w:space="0" w:color="auto"/>
            <w:right w:val="none" w:sz="0" w:space="0" w:color="auto"/>
          </w:divBdr>
          <w:divsChild>
            <w:div w:id="9093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03">
      <w:bodyDiv w:val="1"/>
      <w:marLeft w:val="0"/>
      <w:marRight w:val="0"/>
      <w:marTop w:val="0"/>
      <w:marBottom w:val="0"/>
      <w:divBdr>
        <w:top w:val="none" w:sz="0" w:space="0" w:color="auto"/>
        <w:left w:val="none" w:sz="0" w:space="0" w:color="auto"/>
        <w:bottom w:val="none" w:sz="0" w:space="0" w:color="auto"/>
        <w:right w:val="none" w:sz="0" w:space="0" w:color="auto"/>
      </w:divBdr>
      <w:divsChild>
        <w:div w:id="1527140071">
          <w:marLeft w:val="0"/>
          <w:marRight w:val="0"/>
          <w:marTop w:val="0"/>
          <w:marBottom w:val="0"/>
          <w:divBdr>
            <w:top w:val="none" w:sz="0" w:space="0" w:color="auto"/>
            <w:left w:val="none" w:sz="0" w:space="0" w:color="auto"/>
            <w:bottom w:val="none" w:sz="0" w:space="0" w:color="auto"/>
            <w:right w:val="none" w:sz="0" w:space="0" w:color="auto"/>
          </w:divBdr>
          <w:divsChild>
            <w:div w:id="1040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232">
      <w:bodyDiv w:val="1"/>
      <w:marLeft w:val="0"/>
      <w:marRight w:val="0"/>
      <w:marTop w:val="0"/>
      <w:marBottom w:val="0"/>
      <w:divBdr>
        <w:top w:val="none" w:sz="0" w:space="0" w:color="auto"/>
        <w:left w:val="none" w:sz="0" w:space="0" w:color="auto"/>
        <w:bottom w:val="none" w:sz="0" w:space="0" w:color="auto"/>
        <w:right w:val="none" w:sz="0" w:space="0" w:color="auto"/>
      </w:divBdr>
      <w:divsChild>
        <w:div w:id="2078699568">
          <w:marLeft w:val="0"/>
          <w:marRight w:val="0"/>
          <w:marTop w:val="0"/>
          <w:marBottom w:val="0"/>
          <w:divBdr>
            <w:top w:val="none" w:sz="0" w:space="0" w:color="auto"/>
            <w:left w:val="none" w:sz="0" w:space="0" w:color="auto"/>
            <w:bottom w:val="none" w:sz="0" w:space="0" w:color="auto"/>
            <w:right w:val="none" w:sz="0" w:space="0" w:color="auto"/>
          </w:divBdr>
          <w:divsChild>
            <w:div w:id="11781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0305">
      <w:bodyDiv w:val="1"/>
      <w:marLeft w:val="0"/>
      <w:marRight w:val="0"/>
      <w:marTop w:val="0"/>
      <w:marBottom w:val="0"/>
      <w:divBdr>
        <w:top w:val="none" w:sz="0" w:space="0" w:color="auto"/>
        <w:left w:val="none" w:sz="0" w:space="0" w:color="auto"/>
        <w:bottom w:val="none" w:sz="0" w:space="0" w:color="auto"/>
        <w:right w:val="none" w:sz="0" w:space="0" w:color="auto"/>
      </w:divBdr>
    </w:div>
    <w:div w:id="316617220">
      <w:bodyDiv w:val="1"/>
      <w:marLeft w:val="0"/>
      <w:marRight w:val="0"/>
      <w:marTop w:val="0"/>
      <w:marBottom w:val="0"/>
      <w:divBdr>
        <w:top w:val="none" w:sz="0" w:space="0" w:color="auto"/>
        <w:left w:val="none" w:sz="0" w:space="0" w:color="auto"/>
        <w:bottom w:val="none" w:sz="0" w:space="0" w:color="auto"/>
        <w:right w:val="none" w:sz="0" w:space="0" w:color="auto"/>
      </w:divBdr>
    </w:div>
    <w:div w:id="320548456">
      <w:bodyDiv w:val="1"/>
      <w:marLeft w:val="0"/>
      <w:marRight w:val="0"/>
      <w:marTop w:val="0"/>
      <w:marBottom w:val="0"/>
      <w:divBdr>
        <w:top w:val="none" w:sz="0" w:space="0" w:color="auto"/>
        <w:left w:val="none" w:sz="0" w:space="0" w:color="auto"/>
        <w:bottom w:val="none" w:sz="0" w:space="0" w:color="auto"/>
        <w:right w:val="none" w:sz="0" w:space="0" w:color="auto"/>
      </w:divBdr>
    </w:div>
    <w:div w:id="336616103">
      <w:bodyDiv w:val="1"/>
      <w:marLeft w:val="0"/>
      <w:marRight w:val="0"/>
      <w:marTop w:val="0"/>
      <w:marBottom w:val="0"/>
      <w:divBdr>
        <w:top w:val="none" w:sz="0" w:space="0" w:color="auto"/>
        <w:left w:val="none" w:sz="0" w:space="0" w:color="auto"/>
        <w:bottom w:val="none" w:sz="0" w:space="0" w:color="auto"/>
        <w:right w:val="none" w:sz="0" w:space="0" w:color="auto"/>
      </w:divBdr>
    </w:div>
    <w:div w:id="347102544">
      <w:bodyDiv w:val="1"/>
      <w:marLeft w:val="0"/>
      <w:marRight w:val="0"/>
      <w:marTop w:val="0"/>
      <w:marBottom w:val="0"/>
      <w:divBdr>
        <w:top w:val="none" w:sz="0" w:space="0" w:color="auto"/>
        <w:left w:val="none" w:sz="0" w:space="0" w:color="auto"/>
        <w:bottom w:val="none" w:sz="0" w:space="0" w:color="auto"/>
        <w:right w:val="none" w:sz="0" w:space="0" w:color="auto"/>
      </w:divBdr>
    </w:div>
    <w:div w:id="357703141">
      <w:bodyDiv w:val="1"/>
      <w:marLeft w:val="0"/>
      <w:marRight w:val="0"/>
      <w:marTop w:val="0"/>
      <w:marBottom w:val="0"/>
      <w:divBdr>
        <w:top w:val="none" w:sz="0" w:space="0" w:color="auto"/>
        <w:left w:val="none" w:sz="0" w:space="0" w:color="auto"/>
        <w:bottom w:val="none" w:sz="0" w:space="0" w:color="auto"/>
        <w:right w:val="none" w:sz="0" w:space="0" w:color="auto"/>
      </w:divBdr>
    </w:div>
    <w:div w:id="385032972">
      <w:bodyDiv w:val="1"/>
      <w:marLeft w:val="0"/>
      <w:marRight w:val="0"/>
      <w:marTop w:val="0"/>
      <w:marBottom w:val="0"/>
      <w:divBdr>
        <w:top w:val="none" w:sz="0" w:space="0" w:color="auto"/>
        <w:left w:val="none" w:sz="0" w:space="0" w:color="auto"/>
        <w:bottom w:val="none" w:sz="0" w:space="0" w:color="auto"/>
        <w:right w:val="none" w:sz="0" w:space="0" w:color="auto"/>
      </w:divBdr>
    </w:div>
    <w:div w:id="402945898">
      <w:bodyDiv w:val="1"/>
      <w:marLeft w:val="0"/>
      <w:marRight w:val="0"/>
      <w:marTop w:val="0"/>
      <w:marBottom w:val="0"/>
      <w:divBdr>
        <w:top w:val="none" w:sz="0" w:space="0" w:color="auto"/>
        <w:left w:val="none" w:sz="0" w:space="0" w:color="auto"/>
        <w:bottom w:val="none" w:sz="0" w:space="0" w:color="auto"/>
        <w:right w:val="none" w:sz="0" w:space="0" w:color="auto"/>
      </w:divBdr>
    </w:div>
    <w:div w:id="415395870">
      <w:bodyDiv w:val="1"/>
      <w:marLeft w:val="0"/>
      <w:marRight w:val="0"/>
      <w:marTop w:val="0"/>
      <w:marBottom w:val="0"/>
      <w:divBdr>
        <w:top w:val="none" w:sz="0" w:space="0" w:color="auto"/>
        <w:left w:val="none" w:sz="0" w:space="0" w:color="auto"/>
        <w:bottom w:val="none" w:sz="0" w:space="0" w:color="auto"/>
        <w:right w:val="none" w:sz="0" w:space="0" w:color="auto"/>
      </w:divBdr>
    </w:div>
    <w:div w:id="461657280">
      <w:bodyDiv w:val="1"/>
      <w:marLeft w:val="0"/>
      <w:marRight w:val="0"/>
      <w:marTop w:val="0"/>
      <w:marBottom w:val="0"/>
      <w:divBdr>
        <w:top w:val="none" w:sz="0" w:space="0" w:color="auto"/>
        <w:left w:val="none" w:sz="0" w:space="0" w:color="auto"/>
        <w:bottom w:val="none" w:sz="0" w:space="0" w:color="auto"/>
        <w:right w:val="none" w:sz="0" w:space="0" w:color="auto"/>
      </w:divBdr>
    </w:div>
    <w:div w:id="499320892">
      <w:bodyDiv w:val="1"/>
      <w:marLeft w:val="0"/>
      <w:marRight w:val="0"/>
      <w:marTop w:val="0"/>
      <w:marBottom w:val="0"/>
      <w:divBdr>
        <w:top w:val="none" w:sz="0" w:space="0" w:color="auto"/>
        <w:left w:val="none" w:sz="0" w:space="0" w:color="auto"/>
        <w:bottom w:val="none" w:sz="0" w:space="0" w:color="auto"/>
        <w:right w:val="none" w:sz="0" w:space="0" w:color="auto"/>
      </w:divBdr>
      <w:divsChild>
        <w:div w:id="792552949">
          <w:marLeft w:val="0"/>
          <w:marRight w:val="0"/>
          <w:marTop w:val="0"/>
          <w:marBottom w:val="0"/>
          <w:divBdr>
            <w:top w:val="none" w:sz="0" w:space="0" w:color="auto"/>
            <w:left w:val="none" w:sz="0" w:space="0" w:color="auto"/>
            <w:bottom w:val="none" w:sz="0" w:space="0" w:color="auto"/>
            <w:right w:val="none" w:sz="0" w:space="0" w:color="auto"/>
          </w:divBdr>
          <w:divsChild>
            <w:div w:id="933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1364">
      <w:bodyDiv w:val="1"/>
      <w:marLeft w:val="0"/>
      <w:marRight w:val="0"/>
      <w:marTop w:val="0"/>
      <w:marBottom w:val="0"/>
      <w:divBdr>
        <w:top w:val="none" w:sz="0" w:space="0" w:color="auto"/>
        <w:left w:val="none" w:sz="0" w:space="0" w:color="auto"/>
        <w:bottom w:val="none" w:sz="0" w:space="0" w:color="auto"/>
        <w:right w:val="none" w:sz="0" w:space="0" w:color="auto"/>
      </w:divBdr>
    </w:div>
    <w:div w:id="539511807">
      <w:bodyDiv w:val="1"/>
      <w:marLeft w:val="0"/>
      <w:marRight w:val="0"/>
      <w:marTop w:val="0"/>
      <w:marBottom w:val="0"/>
      <w:divBdr>
        <w:top w:val="none" w:sz="0" w:space="0" w:color="auto"/>
        <w:left w:val="none" w:sz="0" w:space="0" w:color="auto"/>
        <w:bottom w:val="none" w:sz="0" w:space="0" w:color="auto"/>
        <w:right w:val="none" w:sz="0" w:space="0" w:color="auto"/>
      </w:divBdr>
      <w:divsChild>
        <w:div w:id="1652253687">
          <w:marLeft w:val="0"/>
          <w:marRight w:val="0"/>
          <w:marTop w:val="0"/>
          <w:marBottom w:val="0"/>
          <w:divBdr>
            <w:top w:val="none" w:sz="0" w:space="0" w:color="auto"/>
            <w:left w:val="none" w:sz="0" w:space="0" w:color="auto"/>
            <w:bottom w:val="none" w:sz="0" w:space="0" w:color="auto"/>
            <w:right w:val="none" w:sz="0" w:space="0" w:color="auto"/>
          </w:divBdr>
          <w:divsChild>
            <w:div w:id="384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9314">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64612297">
      <w:bodyDiv w:val="1"/>
      <w:marLeft w:val="0"/>
      <w:marRight w:val="0"/>
      <w:marTop w:val="0"/>
      <w:marBottom w:val="0"/>
      <w:divBdr>
        <w:top w:val="none" w:sz="0" w:space="0" w:color="auto"/>
        <w:left w:val="none" w:sz="0" w:space="0" w:color="auto"/>
        <w:bottom w:val="none" w:sz="0" w:space="0" w:color="auto"/>
        <w:right w:val="none" w:sz="0" w:space="0" w:color="auto"/>
      </w:divBdr>
      <w:divsChild>
        <w:div w:id="346978807">
          <w:marLeft w:val="0"/>
          <w:marRight w:val="0"/>
          <w:marTop w:val="0"/>
          <w:marBottom w:val="0"/>
          <w:divBdr>
            <w:top w:val="none" w:sz="0" w:space="0" w:color="auto"/>
            <w:left w:val="none" w:sz="0" w:space="0" w:color="auto"/>
            <w:bottom w:val="none" w:sz="0" w:space="0" w:color="auto"/>
            <w:right w:val="none" w:sz="0" w:space="0" w:color="auto"/>
          </w:divBdr>
          <w:divsChild>
            <w:div w:id="1774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853">
      <w:bodyDiv w:val="1"/>
      <w:marLeft w:val="0"/>
      <w:marRight w:val="0"/>
      <w:marTop w:val="0"/>
      <w:marBottom w:val="0"/>
      <w:divBdr>
        <w:top w:val="none" w:sz="0" w:space="0" w:color="auto"/>
        <w:left w:val="none" w:sz="0" w:space="0" w:color="auto"/>
        <w:bottom w:val="none" w:sz="0" w:space="0" w:color="auto"/>
        <w:right w:val="none" w:sz="0" w:space="0" w:color="auto"/>
      </w:divBdr>
    </w:div>
    <w:div w:id="569271195">
      <w:bodyDiv w:val="1"/>
      <w:marLeft w:val="0"/>
      <w:marRight w:val="0"/>
      <w:marTop w:val="0"/>
      <w:marBottom w:val="0"/>
      <w:divBdr>
        <w:top w:val="none" w:sz="0" w:space="0" w:color="auto"/>
        <w:left w:val="none" w:sz="0" w:space="0" w:color="auto"/>
        <w:bottom w:val="none" w:sz="0" w:space="0" w:color="auto"/>
        <w:right w:val="none" w:sz="0" w:space="0" w:color="auto"/>
      </w:divBdr>
    </w:div>
    <w:div w:id="591666965">
      <w:bodyDiv w:val="1"/>
      <w:marLeft w:val="0"/>
      <w:marRight w:val="0"/>
      <w:marTop w:val="0"/>
      <w:marBottom w:val="0"/>
      <w:divBdr>
        <w:top w:val="none" w:sz="0" w:space="0" w:color="auto"/>
        <w:left w:val="none" w:sz="0" w:space="0" w:color="auto"/>
        <w:bottom w:val="none" w:sz="0" w:space="0" w:color="auto"/>
        <w:right w:val="none" w:sz="0" w:space="0" w:color="auto"/>
      </w:divBdr>
      <w:divsChild>
        <w:div w:id="243270283">
          <w:marLeft w:val="0"/>
          <w:marRight w:val="0"/>
          <w:marTop w:val="0"/>
          <w:marBottom w:val="0"/>
          <w:divBdr>
            <w:top w:val="none" w:sz="0" w:space="0" w:color="auto"/>
            <w:left w:val="none" w:sz="0" w:space="0" w:color="auto"/>
            <w:bottom w:val="none" w:sz="0" w:space="0" w:color="auto"/>
            <w:right w:val="none" w:sz="0" w:space="0" w:color="auto"/>
          </w:divBdr>
          <w:divsChild>
            <w:div w:id="2108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841">
      <w:bodyDiv w:val="1"/>
      <w:marLeft w:val="0"/>
      <w:marRight w:val="0"/>
      <w:marTop w:val="0"/>
      <w:marBottom w:val="0"/>
      <w:divBdr>
        <w:top w:val="none" w:sz="0" w:space="0" w:color="auto"/>
        <w:left w:val="none" w:sz="0" w:space="0" w:color="auto"/>
        <w:bottom w:val="none" w:sz="0" w:space="0" w:color="auto"/>
        <w:right w:val="none" w:sz="0" w:space="0" w:color="auto"/>
      </w:divBdr>
    </w:div>
    <w:div w:id="605234350">
      <w:bodyDiv w:val="1"/>
      <w:marLeft w:val="0"/>
      <w:marRight w:val="0"/>
      <w:marTop w:val="0"/>
      <w:marBottom w:val="0"/>
      <w:divBdr>
        <w:top w:val="none" w:sz="0" w:space="0" w:color="auto"/>
        <w:left w:val="none" w:sz="0" w:space="0" w:color="auto"/>
        <w:bottom w:val="none" w:sz="0" w:space="0" w:color="auto"/>
        <w:right w:val="none" w:sz="0" w:space="0" w:color="auto"/>
      </w:divBdr>
    </w:div>
    <w:div w:id="629241659">
      <w:bodyDiv w:val="1"/>
      <w:marLeft w:val="0"/>
      <w:marRight w:val="0"/>
      <w:marTop w:val="0"/>
      <w:marBottom w:val="0"/>
      <w:divBdr>
        <w:top w:val="none" w:sz="0" w:space="0" w:color="auto"/>
        <w:left w:val="none" w:sz="0" w:space="0" w:color="auto"/>
        <w:bottom w:val="none" w:sz="0" w:space="0" w:color="auto"/>
        <w:right w:val="none" w:sz="0" w:space="0" w:color="auto"/>
      </w:divBdr>
    </w:div>
    <w:div w:id="644311247">
      <w:bodyDiv w:val="1"/>
      <w:marLeft w:val="0"/>
      <w:marRight w:val="0"/>
      <w:marTop w:val="0"/>
      <w:marBottom w:val="0"/>
      <w:divBdr>
        <w:top w:val="none" w:sz="0" w:space="0" w:color="auto"/>
        <w:left w:val="none" w:sz="0" w:space="0" w:color="auto"/>
        <w:bottom w:val="none" w:sz="0" w:space="0" w:color="auto"/>
        <w:right w:val="none" w:sz="0" w:space="0" w:color="auto"/>
      </w:divBdr>
    </w:div>
    <w:div w:id="688143143">
      <w:bodyDiv w:val="1"/>
      <w:marLeft w:val="0"/>
      <w:marRight w:val="0"/>
      <w:marTop w:val="0"/>
      <w:marBottom w:val="0"/>
      <w:divBdr>
        <w:top w:val="none" w:sz="0" w:space="0" w:color="auto"/>
        <w:left w:val="none" w:sz="0" w:space="0" w:color="auto"/>
        <w:bottom w:val="none" w:sz="0" w:space="0" w:color="auto"/>
        <w:right w:val="none" w:sz="0" w:space="0" w:color="auto"/>
      </w:divBdr>
    </w:div>
    <w:div w:id="692072859">
      <w:bodyDiv w:val="1"/>
      <w:marLeft w:val="0"/>
      <w:marRight w:val="0"/>
      <w:marTop w:val="0"/>
      <w:marBottom w:val="0"/>
      <w:divBdr>
        <w:top w:val="none" w:sz="0" w:space="0" w:color="auto"/>
        <w:left w:val="none" w:sz="0" w:space="0" w:color="auto"/>
        <w:bottom w:val="none" w:sz="0" w:space="0" w:color="auto"/>
        <w:right w:val="none" w:sz="0" w:space="0" w:color="auto"/>
      </w:divBdr>
    </w:div>
    <w:div w:id="712538338">
      <w:bodyDiv w:val="1"/>
      <w:marLeft w:val="0"/>
      <w:marRight w:val="0"/>
      <w:marTop w:val="0"/>
      <w:marBottom w:val="0"/>
      <w:divBdr>
        <w:top w:val="none" w:sz="0" w:space="0" w:color="auto"/>
        <w:left w:val="none" w:sz="0" w:space="0" w:color="auto"/>
        <w:bottom w:val="none" w:sz="0" w:space="0" w:color="auto"/>
        <w:right w:val="none" w:sz="0" w:space="0" w:color="auto"/>
      </w:divBdr>
    </w:div>
    <w:div w:id="720175605">
      <w:bodyDiv w:val="1"/>
      <w:marLeft w:val="0"/>
      <w:marRight w:val="0"/>
      <w:marTop w:val="0"/>
      <w:marBottom w:val="0"/>
      <w:divBdr>
        <w:top w:val="none" w:sz="0" w:space="0" w:color="auto"/>
        <w:left w:val="none" w:sz="0" w:space="0" w:color="auto"/>
        <w:bottom w:val="none" w:sz="0" w:space="0" w:color="auto"/>
        <w:right w:val="none" w:sz="0" w:space="0" w:color="auto"/>
      </w:divBdr>
    </w:div>
    <w:div w:id="784427240">
      <w:bodyDiv w:val="1"/>
      <w:marLeft w:val="0"/>
      <w:marRight w:val="0"/>
      <w:marTop w:val="0"/>
      <w:marBottom w:val="0"/>
      <w:divBdr>
        <w:top w:val="none" w:sz="0" w:space="0" w:color="auto"/>
        <w:left w:val="none" w:sz="0" w:space="0" w:color="auto"/>
        <w:bottom w:val="none" w:sz="0" w:space="0" w:color="auto"/>
        <w:right w:val="none" w:sz="0" w:space="0" w:color="auto"/>
      </w:divBdr>
    </w:div>
    <w:div w:id="787743179">
      <w:bodyDiv w:val="1"/>
      <w:marLeft w:val="0"/>
      <w:marRight w:val="0"/>
      <w:marTop w:val="0"/>
      <w:marBottom w:val="0"/>
      <w:divBdr>
        <w:top w:val="none" w:sz="0" w:space="0" w:color="auto"/>
        <w:left w:val="none" w:sz="0" w:space="0" w:color="auto"/>
        <w:bottom w:val="none" w:sz="0" w:space="0" w:color="auto"/>
        <w:right w:val="none" w:sz="0" w:space="0" w:color="auto"/>
      </w:divBdr>
    </w:div>
    <w:div w:id="788084878">
      <w:bodyDiv w:val="1"/>
      <w:marLeft w:val="0"/>
      <w:marRight w:val="0"/>
      <w:marTop w:val="0"/>
      <w:marBottom w:val="0"/>
      <w:divBdr>
        <w:top w:val="none" w:sz="0" w:space="0" w:color="auto"/>
        <w:left w:val="none" w:sz="0" w:space="0" w:color="auto"/>
        <w:bottom w:val="none" w:sz="0" w:space="0" w:color="auto"/>
        <w:right w:val="none" w:sz="0" w:space="0" w:color="auto"/>
      </w:divBdr>
    </w:div>
    <w:div w:id="812870879">
      <w:bodyDiv w:val="1"/>
      <w:marLeft w:val="0"/>
      <w:marRight w:val="0"/>
      <w:marTop w:val="0"/>
      <w:marBottom w:val="0"/>
      <w:divBdr>
        <w:top w:val="none" w:sz="0" w:space="0" w:color="auto"/>
        <w:left w:val="none" w:sz="0" w:space="0" w:color="auto"/>
        <w:bottom w:val="none" w:sz="0" w:space="0" w:color="auto"/>
        <w:right w:val="none" w:sz="0" w:space="0" w:color="auto"/>
      </w:divBdr>
    </w:div>
    <w:div w:id="828981092">
      <w:bodyDiv w:val="1"/>
      <w:marLeft w:val="0"/>
      <w:marRight w:val="0"/>
      <w:marTop w:val="0"/>
      <w:marBottom w:val="0"/>
      <w:divBdr>
        <w:top w:val="none" w:sz="0" w:space="0" w:color="auto"/>
        <w:left w:val="none" w:sz="0" w:space="0" w:color="auto"/>
        <w:bottom w:val="none" w:sz="0" w:space="0" w:color="auto"/>
        <w:right w:val="none" w:sz="0" w:space="0" w:color="auto"/>
      </w:divBdr>
    </w:div>
    <w:div w:id="830171939">
      <w:bodyDiv w:val="1"/>
      <w:marLeft w:val="0"/>
      <w:marRight w:val="0"/>
      <w:marTop w:val="0"/>
      <w:marBottom w:val="0"/>
      <w:divBdr>
        <w:top w:val="none" w:sz="0" w:space="0" w:color="auto"/>
        <w:left w:val="none" w:sz="0" w:space="0" w:color="auto"/>
        <w:bottom w:val="none" w:sz="0" w:space="0" w:color="auto"/>
        <w:right w:val="none" w:sz="0" w:space="0" w:color="auto"/>
      </w:divBdr>
    </w:div>
    <w:div w:id="849837345">
      <w:bodyDiv w:val="1"/>
      <w:marLeft w:val="0"/>
      <w:marRight w:val="0"/>
      <w:marTop w:val="0"/>
      <w:marBottom w:val="0"/>
      <w:divBdr>
        <w:top w:val="none" w:sz="0" w:space="0" w:color="auto"/>
        <w:left w:val="none" w:sz="0" w:space="0" w:color="auto"/>
        <w:bottom w:val="none" w:sz="0" w:space="0" w:color="auto"/>
        <w:right w:val="none" w:sz="0" w:space="0" w:color="auto"/>
      </w:divBdr>
    </w:div>
    <w:div w:id="856427429">
      <w:bodyDiv w:val="1"/>
      <w:marLeft w:val="0"/>
      <w:marRight w:val="0"/>
      <w:marTop w:val="0"/>
      <w:marBottom w:val="0"/>
      <w:divBdr>
        <w:top w:val="none" w:sz="0" w:space="0" w:color="auto"/>
        <w:left w:val="none" w:sz="0" w:space="0" w:color="auto"/>
        <w:bottom w:val="none" w:sz="0" w:space="0" w:color="auto"/>
        <w:right w:val="none" w:sz="0" w:space="0" w:color="auto"/>
      </w:divBdr>
    </w:div>
    <w:div w:id="877468280">
      <w:bodyDiv w:val="1"/>
      <w:marLeft w:val="0"/>
      <w:marRight w:val="0"/>
      <w:marTop w:val="0"/>
      <w:marBottom w:val="0"/>
      <w:divBdr>
        <w:top w:val="none" w:sz="0" w:space="0" w:color="auto"/>
        <w:left w:val="none" w:sz="0" w:space="0" w:color="auto"/>
        <w:bottom w:val="none" w:sz="0" w:space="0" w:color="auto"/>
        <w:right w:val="none" w:sz="0" w:space="0" w:color="auto"/>
      </w:divBdr>
    </w:div>
    <w:div w:id="881868935">
      <w:bodyDiv w:val="1"/>
      <w:marLeft w:val="0"/>
      <w:marRight w:val="0"/>
      <w:marTop w:val="0"/>
      <w:marBottom w:val="0"/>
      <w:divBdr>
        <w:top w:val="none" w:sz="0" w:space="0" w:color="auto"/>
        <w:left w:val="none" w:sz="0" w:space="0" w:color="auto"/>
        <w:bottom w:val="none" w:sz="0" w:space="0" w:color="auto"/>
        <w:right w:val="none" w:sz="0" w:space="0" w:color="auto"/>
      </w:divBdr>
    </w:div>
    <w:div w:id="916521565">
      <w:bodyDiv w:val="1"/>
      <w:marLeft w:val="0"/>
      <w:marRight w:val="0"/>
      <w:marTop w:val="0"/>
      <w:marBottom w:val="0"/>
      <w:divBdr>
        <w:top w:val="none" w:sz="0" w:space="0" w:color="auto"/>
        <w:left w:val="none" w:sz="0" w:space="0" w:color="auto"/>
        <w:bottom w:val="none" w:sz="0" w:space="0" w:color="auto"/>
        <w:right w:val="none" w:sz="0" w:space="0" w:color="auto"/>
      </w:divBdr>
    </w:div>
    <w:div w:id="927076585">
      <w:bodyDiv w:val="1"/>
      <w:marLeft w:val="0"/>
      <w:marRight w:val="0"/>
      <w:marTop w:val="0"/>
      <w:marBottom w:val="0"/>
      <w:divBdr>
        <w:top w:val="none" w:sz="0" w:space="0" w:color="auto"/>
        <w:left w:val="none" w:sz="0" w:space="0" w:color="auto"/>
        <w:bottom w:val="none" w:sz="0" w:space="0" w:color="auto"/>
        <w:right w:val="none" w:sz="0" w:space="0" w:color="auto"/>
      </w:divBdr>
    </w:div>
    <w:div w:id="948779897">
      <w:bodyDiv w:val="1"/>
      <w:marLeft w:val="0"/>
      <w:marRight w:val="0"/>
      <w:marTop w:val="0"/>
      <w:marBottom w:val="0"/>
      <w:divBdr>
        <w:top w:val="none" w:sz="0" w:space="0" w:color="auto"/>
        <w:left w:val="none" w:sz="0" w:space="0" w:color="auto"/>
        <w:bottom w:val="none" w:sz="0" w:space="0" w:color="auto"/>
        <w:right w:val="none" w:sz="0" w:space="0" w:color="auto"/>
      </w:divBdr>
    </w:div>
    <w:div w:id="955450535">
      <w:bodyDiv w:val="1"/>
      <w:marLeft w:val="0"/>
      <w:marRight w:val="0"/>
      <w:marTop w:val="0"/>
      <w:marBottom w:val="0"/>
      <w:divBdr>
        <w:top w:val="none" w:sz="0" w:space="0" w:color="auto"/>
        <w:left w:val="none" w:sz="0" w:space="0" w:color="auto"/>
        <w:bottom w:val="none" w:sz="0" w:space="0" w:color="auto"/>
        <w:right w:val="none" w:sz="0" w:space="0" w:color="auto"/>
      </w:divBdr>
    </w:div>
    <w:div w:id="967123895">
      <w:bodyDiv w:val="1"/>
      <w:marLeft w:val="0"/>
      <w:marRight w:val="0"/>
      <w:marTop w:val="0"/>
      <w:marBottom w:val="0"/>
      <w:divBdr>
        <w:top w:val="none" w:sz="0" w:space="0" w:color="auto"/>
        <w:left w:val="none" w:sz="0" w:space="0" w:color="auto"/>
        <w:bottom w:val="none" w:sz="0" w:space="0" w:color="auto"/>
        <w:right w:val="none" w:sz="0" w:space="0" w:color="auto"/>
      </w:divBdr>
      <w:divsChild>
        <w:div w:id="797918808">
          <w:marLeft w:val="0"/>
          <w:marRight w:val="0"/>
          <w:marTop w:val="0"/>
          <w:marBottom w:val="0"/>
          <w:divBdr>
            <w:top w:val="none" w:sz="0" w:space="0" w:color="auto"/>
            <w:left w:val="none" w:sz="0" w:space="0" w:color="auto"/>
            <w:bottom w:val="none" w:sz="0" w:space="0" w:color="auto"/>
            <w:right w:val="none" w:sz="0" w:space="0" w:color="auto"/>
          </w:divBdr>
          <w:divsChild>
            <w:div w:id="4608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3712">
      <w:bodyDiv w:val="1"/>
      <w:marLeft w:val="0"/>
      <w:marRight w:val="0"/>
      <w:marTop w:val="0"/>
      <w:marBottom w:val="0"/>
      <w:divBdr>
        <w:top w:val="none" w:sz="0" w:space="0" w:color="auto"/>
        <w:left w:val="none" w:sz="0" w:space="0" w:color="auto"/>
        <w:bottom w:val="none" w:sz="0" w:space="0" w:color="auto"/>
        <w:right w:val="none" w:sz="0" w:space="0" w:color="auto"/>
      </w:divBdr>
    </w:div>
    <w:div w:id="989022596">
      <w:bodyDiv w:val="1"/>
      <w:marLeft w:val="0"/>
      <w:marRight w:val="0"/>
      <w:marTop w:val="0"/>
      <w:marBottom w:val="0"/>
      <w:divBdr>
        <w:top w:val="none" w:sz="0" w:space="0" w:color="auto"/>
        <w:left w:val="none" w:sz="0" w:space="0" w:color="auto"/>
        <w:bottom w:val="none" w:sz="0" w:space="0" w:color="auto"/>
        <w:right w:val="none" w:sz="0" w:space="0" w:color="auto"/>
      </w:divBdr>
    </w:div>
    <w:div w:id="994143883">
      <w:bodyDiv w:val="1"/>
      <w:marLeft w:val="0"/>
      <w:marRight w:val="0"/>
      <w:marTop w:val="0"/>
      <w:marBottom w:val="0"/>
      <w:divBdr>
        <w:top w:val="none" w:sz="0" w:space="0" w:color="auto"/>
        <w:left w:val="none" w:sz="0" w:space="0" w:color="auto"/>
        <w:bottom w:val="none" w:sz="0" w:space="0" w:color="auto"/>
        <w:right w:val="none" w:sz="0" w:space="0" w:color="auto"/>
      </w:divBdr>
    </w:div>
    <w:div w:id="1013842006">
      <w:bodyDiv w:val="1"/>
      <w:marLeft w:val="0"/>
      <w:marRight w:val="0"/>
      <w:marTop w:val="0"/>
      <w:marBottom w:val="0"/>
      <w:divBdr>
        <w:top w:val="none" w:sz="0" w:space="0" w:color="auto"/>
        <w:left w:val="none" w:sz="0" w:space="0" w:color="auto"/>
        <w:bottom w:val="none" w:sz="0" w:space="0" w:color="auto"/>
        <w:right w:val="none" w:sz="0" w:space="0" w:color="auto"/>
      </w:divBdr>
    </w:div>
    <w:div w:id="1032267666">
      <w:bodyDiv w:val="1"/>
      <w:marLeft w:val="0"/>
      <w:marRight w:val="0"/>
      <w:marTop w:val="0"/>
      <w:marBottom w:val="0"/>
      <w:divBdr>
        <w:top w:val="none" w:sz="0" w:space="0" w:color="auto"/>
        <w:left w:val="none" w:sz="0" w:space="0" w:color="auto"/>
        <w:bottom w:val="none" w:sz="0" w:space="0" w:color="auto"/>
        <w:right w:val="none" w:sz="0" w:space="0" w:color="auto"/>
      </w:divBdr>
      <w:divsChild>
        <w:div w:id="93676035">
          <w:marLeft w:val="0"/>
          <w:marRight w:val="0"/>
          <w:marTop w:val="0"/>
          <w:marBottom w:val="0"/>
          <w:divBdr>
            <w:top w:val="none" w:sz="0" w:space="0" w:color="auto"/>
            <w:left w:val="none" w:sz="0" w:space="0" w:color="auto"/>
            <w:bottom w:val="none" w:sz="0" w:space="0" w:color="auto"/>
            <w:right w:val="none" w:sz="0" w:space="0" w:color="auto"/>
          </w:divBdr>
          <w:divsChild>
            <w:div w:id="8515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639">
      <w:bodyDiv w:val="1"/>
      <w:marLeft w:val="0"/>
      <w:marRight w:val="0"/>
      <w:marTop w:val="0"/>
      <w:marBottom w:val="0"/>
      <w:divBdr>
        <w:top w:val="none" w:sz="0" w:space="0" w:color="auto"/>
        <w:left w:val="none" w:sz="0" w:space="0" w:color="auto"/>
        <w:bottom w:val="none" w:sz="0" w:space="0" w:color="auto"/>
        <w:right w:val="none" w:sz="0" w:space="0" w:color="auto"/>
      </w:divBdr>
    </w:div>
    <w:div w:id="1082877213">
      <w:bodyDiv w:val="1"/>
      <w:marLeft w:val="0"/>
      <w:marRight w:val="0"/>
      <w:marTop w:val="0"/>
      <w:marBottom w:val="0"/>
      <w:divBdr>
        <w:top w:val="none" w:sz="0" w:space="0" w:color="auto"/>
        <w:left w:val="none" w:sz="0" w:space="0" w:color="auto"/>
        <w:bottom w:val="none" w:sz="0" w:space="0" w:color="auto"/>
        <w:right w:val="none" w:sz="0" w:space="0" w:color="auto"/>
      </w:divBdr>
    </w:div>
    <w:div w:id="1086270963">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sChild>
            <w:div w:id="5018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365">
      <w:bodyDiv w:val="1"/>
      <w:marLeft w:val="0"/>
      <w:marRight w:val="0"/>
      <w:marTop w:val="0"/>
      <w:marBottom w:val="0"/>
      <w:divBdr>
        <w:top w:val="none" w:sz="0" w:space="0" w:color="auto"/>
        <w:left w:val="none" w:sz="0" w:space="0" w:color="auto"/>
        <w:bottom w:val="none" w:sz="0" w:space="0" w:color="auto"/>
        <w:right w:val="none" w:sz="0" w:space="0" w:color="auto"/>
      </w:divBdr>
    </w:div>
    <w:div w:id="1124080530">
      <w:bodyDiv w:val="1"/>
      <w:marLeft w:val="0"/>
      <w:marRight w:val="0"/>
      <w:marTop w:val="0"/>
      <w:marBottom w:val="0"/>
      <w:divBdr>
        <w:top w:val="none" w:sz="0" w:space="0" w:color="auto"/>
        <w:left w:val="none" w:sz="0" w:space="0" w:color="auto"/>
        <w:bottom w:val="none" w:sz="0" w:space="0" w:color="auto"/>
        <w:right w:val="none" w:sz="0" w:space="0" w:color="auto"/>
      </w:divBdr>
    </w:div>
    <w:div w:id="1149588875">
      <w:bodyDiv w:val="1"/>
      <w:marLeft w:val="0"/>
      <w:marRight w:val="0"/>
      <w:marTop w:val="0"/>
      <w:marBottom w:val="0"/>
      <w:divBdr>
        <w:top w:val="none" w:sz="0" w:space="0" w:color="auto"/>
        <w:left w:val="none" w:sz="0" w:space="0" w:color="auto"/>
        <w:bottom w:val="none" w:sz="0" w:space="0" w:color="auto"/>
        <w:right w:val="none" w:sz="0" w:space="0" w:color="auto"/>
      </w:divBdr>
    </w:div>
    <w:div w:id="1156804959">
      <w:bodyDiv w:val="1"/>
      <w:marLeft w:val="0"/>
      <w:marRight w:val="0"/>
      <w:marTop w:val="0"/>
      <w:marBottom w:val="0"/>
      <w:divBdr>
        <w:top w:val="none" w:sz="0" w:space="0" w:color="auto"/>
        <w:left w:val="none" w:sz="0" w:space="0" w:color="auto"/>
        <w:bottom w:val="none" w:sz="0" w:space="0" w:color="auto"/>
        <w:right w:val="none" w:sz="0" w:space="0" w:color="auto"/>
      </w:divBdr>
    </w:div>
    <w:div w:id="1163084419">
      <w:bodyDiv w:val="1"/>
      <w:marLeft w:val="0"/>
      <w:marRight w:val="0"/>
      <w:marTop w:val="0"/>
      <w:marBottom w:val="0"/>
      <w:divBdr>
        <w:top w:val="none" w:sz="0" w:space="0" w:color="auto"/>
        <w:left w:val="none" w:sz="0" w:space="0" w:color="auto"/>
        <w:bottom w:val="none" w:sz="0" w:space="0" w:color="auto"/>
        <w:right w:val="none" w:sz="0" w:space="0" w:color="auto"/>
      </w:divBdr>
    </w:div>
    <w:div w:id="1178234916">
      <w:bodyDiv w:val="1"/>
      <w:marLeft w:val="0"/>
      <w:marRight w:val="0"/>
      <w:marTop w:val="0"/>
      <w:marBottom w:val="0"/>
      <w:divBdr>
        <w:top w:val="none" w:sz="0" w:space="0" w:color="auto"/>
        <w:left w:val="none" w:sz="0" w:space="0" w:color="auto"/>
        <w:bottom w:val="none" w:sz="0" w:space="0" w:color="auto"/>
        <w:right w:val="none" w:sz="0" w:space="0" w:color="auto"/>
      </w:divBdr>
    </w:div>
    <w:div w:id="1211721840">
      <w:bodyDiv w:val="1"/>
      <w:marLeft w:val="0"/>
      <w:marRight w:val="0"/>
      <w:marTop w:val="0"/>
      <w:marBottom w:val="0"/>
      <w:divBdr>
        <w:top w:val="none" w:sz="0" w:space="0" w:color="auto"/>
        <w:left w:val="none" w:sz="0" w:space="0" w:color="auto"/>
        <w:bottom w:val="none" w:sz="0" w:space="0" w:color="auto"/>
        <w:right w:val="none" w:sz="0" w:space="0" w:color="auto"/>
      </w:divBdr>
    </w:div>
    <w:div w:id="1267536722">
      <w:bodyDiv w:val="1"/>
      <w:marLeft w:val="0"/>
      <w:marRight w:val="0"/>
      <w:marTop w:val="0"/>
      <w:marBottom w:val="0"/>
      <w:divBdr>
        <w:top w:val="none" w:sz="0" w:space="0" w:color="auto"/>
        <w:left w:val="none" w:sz="0" w:space="0" w:color="auto"/>
        <w:bottom w:val="none" w:sz="0" w:space="0" w:color="auto"/>
        <w:right w:val="none" w:sz="0" w:space="0" w:color="auto"/>
      </w:divBdr>
    </w:div>
    <w:div w:id="1272740587">
      <w:bodyDiv w:val="1"/>
      <w:marLeft w:val="0"/>
      <w:marRight w:val="0"/>
      <w:marTop w:val="0"/>
      <w:marBottom w:val="0"/>
      <w:divBdr>
        <w:top w:val="none" w:sz="0" w:space="0" w:color="auto"/>
        <w:left w:val="none" w:sz="0" w:space="0" w:color="auto"/>
        <w:bottom w:val="none" w:sz="0" w:space="0" w:color="auto"/>
        <w:right w:val="none" w:sz="0" w:space="0" w:color="auto"/>
      </w:divBdr>
    </w:div>
    <w:div w:id="1284531669">
      <w:bodyDiv w:val="1"/>
      <w:marLeft w:val="0"/>
      <w:marRight w:val="0"/>
      <w:marTop w:val="0"/>
      <w:marBottom w:val="0"/>
      <w:divBdr>
        <w:top w:val="none" w:sz="0" w:space="0" w:color="auto"/>
        <w:left w:val="none" w:sz="0" w:space="0" w:color="auto"/>
        <w:bottom w:val="none" w:sz="0" w:space="0" w:color="auto"/>
        <w:right w:val="none" w:sz="0" w:space="0" w:color="auto"/>
      </w:divBdr>
    </w:div>
    <w:div w:id="1320114841">
      <w:bodyDiv w:val="1"/>
      <w:marLeft w:val="0"/>
      <w:marRight w:val="0"/>
      <w:marTop w:val="0"/>
      <w:marBottom w:val="0"/>
      <w:divBdr>
        <w:top w:val="none" w:sz="0" w:space="0" w:color="auto"/>
        <w:left w:val="none" w:sz="0" w:space="0" w:color="auto"/>
        <w:bottom w:val="none" w:sz="0" w:space="0" w:color="auto"/>
        <w:right w:val="none" w:sz="0" w:space="0" w:color="auto"/>
      </w:divBdr>
    </w:div>
    <w:div w:id="1322465519">
      <w:bodyDiv w:val="1"/>
      <w:marLeft w:val="0"/>
      <w:marRight w:val="0"/>
      <w:marTop w:val="0"/>
      <w:marBottom w:val="0"/>
      <w:divBdr>
        <w:top w:val="none" w:sz="0" w:space="0" w:color="auto"/>
        <w:left w:val="none" w:sz="0" w:space="0" w:color="auto"/>
        <w:bottom w:val="none" w:sz="0" w:space="0" w:color="auto"/>
        <w:right w:val="none" w:sz="0" w:space="0" w:color="auto"/>
      </w:divBdr>
    </w:div>
    <w:div w:id="1325352564">
      <w:bodyDiv w:val="1"/>
      <w:marLeft w:val="0"/>
      <w:marRight w:val="0"/>
      <w:marTop w:val="0"/>
      <w:marBottom w:val="0"/>
      <w:divBdr>
        <w:top w:val="none" w:sz="0" w:space="0" w:color="auto"/>
        <w:left w:val="none" w:sz="0" w:space="0" w:color="auto"/>
        <w:bottom w:val="none" w:sz="0" w:space="0" w:color="auto"/>
        <w:right w:val="none" w:sz="0" w:space="0" w:color="auto"/>
      </w:divBdr>
    </w:div>
    <w:div w:id="1330451357">
      <w:bodyDiv w:val="1"/>
      <w:marLeft w:val="0"/>
      <w:marRight w:val="0"/>
      <w:marTop w:val="0"/>
      <w:marBottom w:val="0"/>
      <w:divBdr>
        <w:top w:val="none" w:sz="0" w:space="0" w:color="auto"/>
        <w:left w:val="none" w:sz="0" w:space="0" w:color="auto"/>
        <w:bottom w:val="none" w:sz="0" w:space="0" w:color="auto"/>
        <w:right w:val="none" w:sz="0" w:space="0" w:color="auto"/>
      </w:divBdr>
    </w:div>
    <w:div w:id="1342972922">
      <w:bodyDiv w:val="1"/>
      <w:marLeft w:val="0"/>
      <w:marRight w:val="0"/>
      <w:marTop w:val="0"/>
      <w:marBottom w:val="0"/>
      <w:divBdr>
        <w:top w:val="none" w:sz="0" w:space="0" w:color="auto"/>
        <w:left w:val="none" w:sz="0" w:space="0" w:color="auto"/>
        <w:bottom w:val="none" w:sz="0" w:space="0" w:color="auto"/>
        <w:right w:val="none" w:sz="0" w:space="0" w:color="auto"/>
      </w:divBdr>
    </w:div>
    <w:div w:id="1392652691">
      <w:bodyDiv w:val="1"/>
      <w:marLeft w:val="0"/>
      <w:marRight w:val="0"/>
      <w:marTop w:val="0"/>
      <w:marBottom w:val="0"/>
      <w:divBdr>
        <w:top w:val="none" w:sz="0" w:space="0" w:color="auto"/>
        <w:left w:val="none" w:sz="0" w:space="0" w:color="auto"/>
        <w:bottom w:val="none" w:sz="0" w:space="0" w:color="auto"/>
        <w:right w:val="none" w:sz="0" w:space="0" w:color="auto"/>
      </w:divBdr>
      <w:divsChild>
        <w:div w:id="555818378">
          <w:marLeft w:val="0"/>
          <w:marRight w:val="0"/>
          <w:marTop w:val="0"/>
          <w:marBottom w:val="0"/>
          <w:divBdr>
            <w:top w:val="none" w:sz="0" w:space="0" w:color="auto"/>
            <w:left w:val="none" w:sz="0" w:space="0" w:color="auto"/>
            <w:bottom w:val="none" w:sz="0" w:space="0" w:color="auto"/>
            <w:right w:val="none" w:sz="0" w:space="0" w:color="auto"/>
          </w:divBdr>
          <w:divsChild>
            <w:div w:id="15399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803">
      <w:bodyDiv w:val="1"/>
      <w:marLeft w:val="0"/>
      <w:marRight w:val="0"/>
      <w:marTop w:val="0"/>
      <w:marBottom w:val="0"/>
      <w:divBdr>
        <w:top w:val="none" w:sz="0" w:space="0" w:color="auto"/>
        <w:left w:val="none" w:sz="0" w:space="0" w:color="auto"/>
        <w:bottom w:val="none" w:sz="0" w:space="0" w:color="auto"/>
        <w:right w:val="none" w:sz="0" w:space="0" w:color="auto"/>
      </w:divBdr>
    </w:div>
    <w:div w:id="1441679742">
      <w:bodyDiv w:val="1"/>
      <w:marLeft w:val="0"/>
      <w:marRight w:val="0"/>
      <w:marTop w:val="0"/>
      <w:marBottom w:val="0"/>
      <w:divBdr>
        <w:top w:val="none" w:sz="0" w:space="0" w:color="auto"/>
        <w:left w:val="none" w:sz="0" w:space="0" w:color="auto"/>
        <w:bottom w:val="none" w:sz="0" w:space="0" w:color="auto"/>
        <w:right w:val="none" w:sz="0" w:space="0" w:color="auto"/>
      </w:divBdr>
      <w:divsChild>
        <w:div w:id="32270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730978">
      <w:bodyDiv w:val="1"/>
      <w:marLeft w:val="0"/>
      <w:marRight w:val="0"/>
      <w:marTop w:val="0"/>
      <w:marBottom w:val="0"/>
      <w:divBdr>
        <w:top w:val="none" w:sz="0" w:space="0" w:color="auto"/>
        <w:left w:val="none" w:sz="0" w:space="0" w:color="auto"/>
        <w:bottom w:val="none" w:sz="0" w:space="0" w:color="auto"/>
        <w:right w:val="none" w:sz="0" w:space="0" w:color="auto"/>
      </w:divBdr>
    </w:div>
    <w:div w:id="1476294238">
      <w:bodyDiv w:val="1"/>
      <w:marLeft w:val="0"/>
      <w:marRight w:val="0"/>
      <w:marTop w:val="0"/>
      <w:marBottom w:val="0"/>
      <w:divBdr>
        <w:top w:val="none" w:sz="0" w:space="0" w:color="auto"/>
        <w:left w:val="none" w:sz="0" w:space="0" w:color="auto"/>
        <w:bottom w:val="none" w:sz="0" w:space="0" w:color="auto"/>
        <w:right w:val="none" w:sz="0" w:space="0" w:color="auto"/>
      </w:divBdr>
    </w:div>
    <w:div w:id="1488132953">
      <w:bodyDiv w:val="1"/>
      <w:marLeft w:val="0"/>
      <w:marRight w:val="0"/>
      <w:marTop w:val="0"/>
      <w:marBottom w:val="0"/>
      <w:divBdr>
        <w:top w:val="none" w:sz="0" w:space="0" w:color="auto"/>
        <w:left w:val="none" w:sz="0" w:space="0" w:color="auto"/>
        <w:bottom w:val="none" w:sz="0" w:space="0" w:color="auto"/>
        <w:right w:val="none" w:sz="0" w:space="0" w:color="auto"/>
      </w:divBdr>
      <w:divsChild>
        <w:div w:id="1621689730">
          <w:marLeft w:val="0"/>
          <w:marRight w:val="0"/>
          <w:marTop w:val="0"/>
          <w:marBottom w:val="0"/>
          <w:divBdr>
            <w:top w:val="none" w:sz="0" w:space="0" w:color="auto"/>
            <w:left w:val="none" w:sz="0" w:space="0" w:color="auto"/>
            <w:bottom w:val="none" w:sz="0" w:space="0" w:color="auto"/>
            <w:right w:val="none" w:sz="0" w:space="0" w:color="auto"/>
          </w:divBdr>
          <w:divsChild>
            <w:div w:id="8142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5504">
      <w:bodyDiv w:val="1"/>
      <w:marLeft w:val="0"/>
      <w:marRight w:val="0"/>
      <w:marTop w:val="0"/>
      <w:marBottom w:val="0"/>
      <w:divBdr>
        <w:top w:val="none" w:sz="0" w:space="0" w:color="auto"/>
        <w:left w:val="none" w:sz="0" w:space="0" w:color="auto"/>
        <w:bottom w:val="none" w:sz="0" w:space="0" w:color="auto"/>
        <w:right w:val="none" w:sz="0" w:space="0" w:color="auto"/>
      </w:divBdr>
    </w:div>
    <w:div w:id="1502891450">
      <w:bodyDiv w:val="1"/>
      <w:marLeft w:val="0"/>
      <w:marRight w:val="0"/>
      <w:marTop w:val="0"/>
      <w:marBottom w:val="0"/>
      <w:divBdr>
        <w:top w:val="none" w:sz="0" w:space="0" w:color="auto"/>
        <w:left w:val="none" w:sz="0" w:space="0" w:color="auto"/>
        <w:bottom w:val="none" w:sz="0" w:space="0" w:color="auto"/>
        <w:right w:val="none" w:sz="0" w:space="0" w:color="auto"/>
      </w:divBdr>
    </w:div>
    <w:div w:id="1516773272">
      <w:bodyDiv w:val="1"/>
      <w:marLeft w:val="0"/>
      <w:marRight w:val="0"/>
      <w:marTop w:val="0"/>
      <w:marBottom w:val="0"/>
      <w:divBdr>
        <w:top w:val="none" w:sz="0" w:space="0" w:color="auto"/>
        <w:left w:val="none" w:sz="0" w:space="0" w:color="auto"/>
        <w:bottom w:val="none" w:sz="0" w:space="0" w:color="auto"/>
        <w:right w:val="none" w:sz="0" w:space="0" w:color="auto"/>
      </w:divBdr>
    </w:div>
    <w:div w:id="1525633808">
      <w:bodyDiv w:val="1"/>
      <w:marLeft w:val="0"/>
      <w:marRight w:val="0"/>
      <w:marTop w:val="0"/>
      <w:marBottom w:val="0"/>
      <w:divBdr>
        <w:top w:val="none" w:sz="0" w:space="0" w:color="auto"/>
        <w:left w:val="none" w:sz="0" w:space="0" w:color="auto"/>
        <w:bottom w:val="none" w:sz="0" w:space="0" w:color="auto"/>
        <w:right w:val="none" w:sz="0" w:space="0" w:color="auto"/>
      </w:divBdr>
    </w:div>
    <w:div w:id="1537700014">
      <w:bodyDiv w:val="1"/>
      <w:marLeft w:val="0"/>
      <w:marRight w:val="0"/>
      <w:marTop w:val="0"/>
      <w:marBottom w:val="0"/>
      <w:divBdr>
        <w:top w:val="none" w:sz="0" w:space="0" w:color="auto"/>
        <w:left w:val="none" w:sz="0" w:space="0" w:color="auto"/>
        <w:bottom w:val="none" w:sz="0" w:space="0" w:color="auto"/>
        <w:right w:val="none" w:sz="0" w:space="0" w:color="auto"/>
      </w:divBdr>
    </w:div>
    <w:div w:id="1538588942">
      <w:bodyDiv w:val="1"/>
      <w:marLeft w:val="0"/>
      <w:marRight w:val="0"/>
      <w:marTop w:val="0"/>
      <w:marBottom w:val="0"/>
      <w:divBdr>
        <w:top w:val="none" w:sz="0" w:space="0" w:color="auto"/>
        <w:left w:val="none" w:sz="0" w:space="0" w:color="auto"/>
        <w:bottom w:val="none" w:sz="0" w:space="0" w:color="auto"/>
        <w:right w:val="none" w:sz="0" w:space="0" w:color="auto"/>
      </w:divBdr>
    </w:div>
    <w:div w:id="1541824232">
      <w:bodyDiv w:val="1"/>
      <w:marLeft w:val="0"/>
      <w:marRight w:val="0"/>
      <w:marTop w:val="0"/>
      <w:marBottom w:val="0"/>
      <w:divBdr>
        <w:top w:val="none" w:sz="0" w:space="0" w:color="auto"/>
        <w:left w:val="none" w:sz="0" w:space="0" w:color="auto"/>
        <w:bottom w:val="none" w:sz="0" w:space="0" w:color="auto"/>
        <w:right w:val="none" w:sz="0" w:space="0" w:color="auto"/>
      </w:divBdr>
    </w:div>
    <w:div w:id="1551453592">
      <w:bodyDiv w:val="1"/>
      <w:marLeft w:val="0"/>
      <w:marRight w:val="0"/>
      <w:marTop w:val="0"/>
      <w:marBottom w:val="0"/>
      <w:divBdr>
        <w:top w:val="none" w:sz="0" w:space="0" w:color="auto"/>
        <w:left w:val="none" w:sz="0" w:space="0" w:color="auto"/>
        <w:bottom w:val="none" w:sz="0" w:space="0" w:color="auto"/>
        <w:right w:val="none" w:sz="0" w:space="0" w:color="auto"/>
      </w:divBdr>
      <w:divsChild>
        <w:div w:id="411975283">
          <w:marLeft w:val="0"/>
          <w:marRight w:val="0"/>
          <w:marTop w:val="0"/>
          <w:marBottom w:val="0"/>
          <w:divBdr>
            <w:top w:val="none" w:sz="0" w:space="0" w:color="auto"/>
            <w:left w:val="none" w:sz="0" w:space="0" w:color="auto"/>
            <w:bottom w:val="none" w:sz="0" w:space="0" w:color="auto"/>
            <w:right w:val="none" w:sz="0" w:space="0" w:color="auto"/>
          </w:divBdr>
          <w:divsChild>
            <w:div w:id="9878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0476">
      <w:bodyDiv w:val="1"/>
      <w:marLeft w:val="0"/>
      <w:marRight w:val="0"/>
      <w:marTop w:val="0"/>
      <w:marBottom w:val="0"/>
      <w:divBdr>
        <w:top w:val="none" w:sz="0" w:space="0" w:color="auto"/>
        <w:left w:val="none" w:sz="0" w:space="0" w:color="auto"/>
        <w:bottom w:val="none" w:sz="0" w:space="0" w:color="auto"/>
        <w:right w:val="none" w:sz="0" w:space="0" w:color="auto"/>
      </w:divBdr>
    </w:div>
    <w:div w:id="1605727448">
      <w:bodyDiv w:val="1"/>
      <w:marLeft w:val="0"/>
      <w:marRight w:val="0"/>
      <w:marTop w:val="0"/>
      <w:marBottom w:val="0"/>
      <w:divBdr>
        <w:top w:val="none" w:sz="0" w:space="0" w:color="auto"/>
        <w:left w:val="none" w:sz="0" w:space="0" w:color="auto"/>
        <w:bottom w:val="none" w:sz="0" w:space="0" w:color="auto"/>
        <w:right w:val="none" w:sz="0" w:space="0" w:color="auto"/>
      </w:divBdr>
    </w:div>
    <w:div w:id="1619220274">
      <w:bodyDiv w:val="1"/>
      <w:marLeft w:val="0"/>
      <w:marRight w:val="0"/>
      <w:marTop w:val="0"/>
      <w:marBottom w:val="0"/>
      <w:divBdr>
        <w:top w:val="none" w:sz="0" w:space="0" w:color="auto"/>
        <w:left w:val="none" w:sz="0" w:space="0" w:color="auto"/>
        <w:bottom w:val="none" w:sz="0" w:space="0" w:color="auto"/>
        <w:right w:val="none" w:sz="0" w:space="0" w:color="auto"/>
      </w:divBdr>
      <w:divsChild>
        <w:div w:id="1596012917">
          <w:marLeft w:val="0"/>
          <w:marRight w:val="0"/>
          <w:marTop w:val="0"/>
          <w:marBottom w:val="0"/>
          <w:divBdr>
            <w:top w:val="none" w:sz="0" w:space="0" w:color="auto"/>
            <w:left w:val="none" w:sz="0" w:space="0" w:color="auto"/>
            <w:bottom w:val="none" w:sz="0" w:space="0" w:color="auto"/>
            <w:right w:val="none" w:sz="0" w:space="0" w:color="auto"/>
          </w:divBdr>
          <w:divsChild>
            <w:div w:id="9036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426">
      <w:bodyDiv w:val="1"/>
      <w:marLeft w:val="0"/>
      <w:marRight w:val="0"/>
      <w:marTop w:val="0"/>
      <w:marBottom w:val="0"/>
      <w:divBdr>
        <w:top w:val="none" w:sz="0" w:space="0" w:color="auto"/>
        <w:left w:val="none" w:sz="0" w:space="0" w:color="auto"/>
        <w:bottom w:val="none" w:sz="0" w:space="0" w:color="auto"/>
        <w:right w:val="none" w:sz="0" w:space="0" w:color="auto"/>
      </w:divBdr>
    </w:div>
    <w:div w:id="1644500488">
      <w:bodyDiv w:val="1"/>
      <w:marLeft w:val="0"/>
      <w:marRight w:val="0"/>
      <w:marTop w:val="0"/>
      <w:marBottom w:val="0"/>
      <w:divBdr>
        <w:top w:val="none" w:sz="0" w:space="0" w:color="auto"/>
        <w:left w:val="none" w:sz="0" w:space="0" w:color="auto"/>
        <w:bottom w:val="none" w:sz="0" w:space="0" w:color="auto"/>
        <w:right w:val="none" w:sz="0" w:space="0" w:color="auto"/>
      </w:divBdr>
    </w:div>
    <w:div w:id="1680816511">
      <w:bodyDiv w:val="1"/>
      <w:marLeft w:val="0"/>
      <w:marRight w:val="0"/>
      <w:marTop w:val="0"/>
      <w:marBottom w:val="0"/>
      <w:divBdr>
        <w:top w:val="none" w:sz="0" w:space="0" w:color="auto"/>
        <w:left w:val="none" w:sz="0" w:space="0" w:color="auto"/>
        <w:bottom w:val="none" w:sz="0" w:space="0" w:color="auto"/>
        <w:right w:val="none" w:sz="0" w:space="0" w:color="auto"/>
      </w:divBdr>
    </w:div>
    <w:div w:id="1723868366">
      <w:bodyDiv w:val="1"/>
      <w:marLeft w:val="0"/>
      <w:marRight w:val="0"/>
      <w:marTop w:val="0"/>
      <w:marBottom w:val="0"/>
      <w:divBdr>
        <w:top w:val="none" w:sz="0" w:space="0" w:color="auto"/>
        <w:left w:val="none" w:sz="0" w:space="0" w:color="auto"/>
        <w:bottom w:val="none" w:sz="0" w:space="0" w:color="auto"/>
        <w:right w:val="none" w:sz="0" w:space="0" w:color="auto"/>
      </w:divBdr>
    </w:div>
    <w:div w:id="1723871787">
      <w:bodyDiv w:val="1"/>
      <w:marLeft w:val="0"/>
      <w:marRight w:val="0"/>
      <w:marTop w:val="0"/>
      <w:marBottom w:val="0"/>
      <w:divBdr>
        <w:top w:val="none" w:sz="0" w:space="0" w:color="auto"/>
        <w:left w:val="none" w:sz="0" w:space="0" w:color="auto"/>
        <w:bottom w:val="none" w:sz="0" w:space="0" w:color="auto"/>
        <w:right w:val="none" w:sz="0" w:space="0" w:color="auto"/>
      </w:divBdr>
      <w:divsChild>
        <w:div w:id="953094191">
          <w:marLeft w:val="0"/>
          <w:marRight w:val="0"/>
          <w:marTop w:val="0"/>
          <w:marBottom w:val="0"/>
          <w:divBdr>
            <w:top w:val="none" w:sz="0" w:space="0" w:color="auto"/>
            <w:left w:val="none" w:sz="0" w:space="0" w:color="auto"/>
            <w:bottom w:val="none" w:sz="0" w:space="0" w:color="auto"/>
            <w:right w:val="none" w:sz="0" w:space="0" w:color="auto"/>
          </w:divBdr>
          <w:divsChild>
            <w:div w:id="13514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8140">
      <w:bodyDiv w:val="1"/>
      <w:marLeft w:val="0"/>
      <w:marRight w:val="0"/>
      <w:marTop w:val="0"/>
      <w:marBottom w:val="0"/>
      <w:divBdr>
        <w:top w:val="none" w:sz="0" w:space="0" w:color="auto"/>
        <w:left w:val="none" w:sz="0" w:space="0" w:color="auto"/>
        <w:bottom w:val="none" w:sz="0" w:space="0" w:color="auto"/>
        <w:right w:val="none" w:sz="0" w:space="0" w:color="auto"/>
      </w:divBdr>
    </w:div>
    <w:div w:id="1727298973">
      <w:bodyDiv w:val="1"/>
      <w:marLeft w:val="0"/>
      <w:marRight w:val="0"/>
      <w:marTop w:val="0"/>
      <w:marBottom w:val="0"/>
      <w:divBdr>
        <w:top w:val="none" w:sz="0" w:space="0" w:color="auto"/>
        <w:left w:val="none" w:sz="0" w:space="0" w:color="auto"/>
        <w:bottom w:val="none" w:sz="0" w:space="0" w:color="auto"/>
        <w:right w:val="none" w:sz="0" w:space="0" w:color="auto"/>
      </w:divBdr>
    </w:div>
    <w:div w:id="1732389714">
      <w:bodyDiv w:val="1"/>
      <w:marLeft w:val="0"/>
      <w:marRight w:val="0"/>
      <w:marTop w:val="0"/>
      <w:marBottom w:val="0"/>
      <w:divBdr>
        <w:top w:val="none" w:sz="0" w:space="0" w:color="auto"/>
        <w:left w:val="none" w:sz="0" w:space="0" w:color="auto"/>
        <w:bottom w:val="none" w:sz="0" w:space="0" w:color="auto"/>
        <w:right w:val="none" w:sz="0" w:space="0" w:color="auto"/>
      </w:divBdr>
    </w:div>
    <w:div w:id="1736315451">
      <w:bodyDiv w:val="1"/>
      <w:marLeft w:val="0"/>
      <w:marRight w:val="0"/>
      <w:marTop w:val="0"/>
      <w:marBottom w:val="0"/>
      <w:divBdr>
        <w:top w:val="none" w:sz="0" w:space="0" w:color="auto"/>
        <w:left w:val="none" w:sz="0" w:space="0" w:color="auto"/>
        <w:bottom w:val="none" w:sz="0" w:space="0" w:color="auto"/>
        <w:right w:val="none" w:sz="0" w:space="0" w:color="auto"/>
      </w:divBdr>
      <w:divsChild>
        <w:div w:id="1451123525">
          <w:marLeft w:val="0"/>
          <w:marRight w:val="0"/>
          <w:marTop w:val="0"/>
          <w:marBottom w:val="0"/>
          <w:divBdr>
            <w:top w:val="none" w:sz="0" w:space="0" w:color="auto"/>
            <w:left w:val="none" w:sz="0" w:space="0" w:color="auto"/>
            <w:bottom w:val="none" w:sz="0" w:space="0" w:color="auto"/>
            <w:right w:val="none" w:sz="0" w:space="0" w:color="auto"/>
          </w:divBdr>
          <w:divsChild>
            <w:div w:id="3080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255">
      <w:bodyDiv w:val="1"/>
      <w:marLeft w:val="0"/>
      <w:marRight w:val="0"/>
      <w:marTop w:val="0"/>
      <w:marBottom w:val="0"/>
      <w:divBdr>
        <w:top w:val="none" w:sz="0" w:space="0" w:color="auto"/>
        <w:left w:val="none" w:sz="0" w:space="0" w:color="auto"/>
        <w:bottom w:val="none" w:sz="0" w:space="0" w:color="auto"/>
        <w:right w:val="none" w:sz="0" w:space="0" w:color="auto"/>
      </w:divBdr>
    </w:div>
    <w:div w:id="1754281795">
      <w:bodyDiv w:val="1"/>
      <w:marLeft w:val="0"/>
      <w:marRight w:val="0"/>
      <w:marTop w:val="0"/>
      <w:marBottom w:val="0"/>
      <w:divBdr>
        <w:top w:val="none" w:sz="0" w:space="0" w:color="auto"/>
        <w:left w:val="none" w:sz="0" w:space="0" w:color="auto"/>
        <w:bottom w:val="none" w:sz="0" w:space="0" w:color="auto"/>
        <w:right w:val="none" w:sz="0" w:space="0" w:color="auto"/>
      </w:divBdr>
    </w:div>
    <w:div w:id="1764450299">
      <w:bodyDiv w:val="1"/>
      <w:marLeft w:val="0"/>
      <w:marRight w:val="0"/>
      <w:marTop w:val="0"/>
      <w:marBottom w:val="0"/>
      <w:divBdr>
        <w:top w:val="none" w:sz="0" w:space="0" w:color="auto"/>
        <w:left w:val="none" w:sz="0" w:space="0" w:color="auto"/>
        <w:bottom w:val="none" w:sz="0" w:space="0" w:color="auto"/>
        <w:right w:val="none" w:sz="0" w:space="0" w:color="auto"/>
      </w:divBdr>
    </w:div>
    <w:div w:id="1772311591">
      <w:bodyDiv w:val="1"/>
      <w:marLeft w:val="0"/>
      <w:marRight w:val="0"/>
      <w:marTop w:val="0"/>
      <w:marBottom w:val="0"/>
      <w:divBdr>
        <w:top w:val="none" w:sz="0" w:space="0" w:color="auto"/>
        <w:left w:val="none" w:sz="0" w:space="0" w:color="auto"/>
        <w:bottom w:val="none" w:sz="0" w:space="0" w:color="auto"/>
        <w:right w:val="none" w:sz="0" w:space="0" w:color="auto"/>
      </w:divBdr>
      <w:divsChild>
        <w:div w:id="658965794">
          <w:marLeft w:val="0"/>
          <w:marRight w:val="0"/>
          <w:marTop w:val="0"/>
          <w:marBottom w:val="0"/>
          <w:divBdr>
            <w:top w:val="none" w:sz="0" w:space="0" w:color="auto"/>
            <w:left w:val="none" w:sz="0" w:space="0" w:color="auto"/>
            <w:bottom w:val="none" w:sz="0" w:space="0" w:color="auto"/>
            <w:right w:val="none" w:sz="0" w:space="0" w:color="auto"/>
          </w:divBdr>
          <w:divsChild>
            <w:div w:id="12240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4980">
      <w:bodyDiv w:val="1"/>
      <w:marLeft w:val="0"/>
      <w:marRight w:val="0"/>
      <w:marTop w:val="0"/>
      <w:marBottom w:val="0"/>
      <w:divBdr>
        <w:top w:val="none" w:sz="0" w:space="0" w:color="auto"/>
        <w:left w:val="none" w:sz="0" w:space="0" w:color="auto"/>
        <w:bottom w:val="none" w:sz="0" w:space="0" w:color="auto"/>
        <w:right w:val="none" w:sz="0" w:space="0" w:color="auto"/>
      </w:divBdr>
    </w:div>
    <w:div w:id="1781104596">
      <w:bodyDiv w:val="1"/>
      <w:marLeft w:val="0"/>
      <w:marRight w:val="0"/>
      <w:marTop w:val="0"/>
      <w:marBottom w:val="0"/>
      <w:divBdr>
        <w:top w:val="none" w:sz="0" w:space="0" w:color="auto"/>
        <w:left w:val="none" w:sz="0" w:space="0" w:color="auto"/>
        <w:bottom w:val="none" w:sz="0" w:space="0" w:color="auto"/>
        <w:right w:val="none" w:sz="0" w:space="0" w:color="auto"/>
      </w:divBdr>
    </w:div>
    <w:div w:id="1785422739">
      <w:bodyDiv w:val="1"/>
      <w:marLeft w:val="0"/>
      <w:marRight w:val="0"/>
      <w:marTop w:val="0"/>
      <w:marBottom w:val="0"/>
      <w:divBdr>
        <w:top w:val="none" w:sz="0" w:space="0" w:color="auto"/>
        <w:left w:val="none" w:sz="0" w:space="0" w:color="auto"/>
        <w:bottom w:val="none" w:sz="0" w:space="0" w:color="auto"/>
        <w:right w:val="none" w:sz="0" w:space="0" w:color="auto"/>
      </w:divBdr>
    </w:div>
    <w:div w:id="1806656333">
      <w:bodyDiv w:val="1"/>
      <w:marLeft w:val="0"/>
      <w:marRight w:val="0"/>
      <w:marTop w:val="0"/>
      <w:marBottom w:val="0"/>
      <w:divBdr>
        <w:top w:val="none" w:sz="0" w:space="0" w:color="auto"/>
        <w:left w:val="none" w:sz="0" w:space="0" w:color="auto"/>
        <w:bottom w:val="none" w:sz="0" w:space="0" w:color="auto"/>
        <w:right w:val="none" w:sz="0" w:space="0" w:color="auto"/>
      </w:divBdr>
    </w:div>
    <w:div w:id="1807352230">
      <w:bodyDiv w:val="1"/>
      <w:marLeft w:val="0"/>
      <w:marRight w:val="0"/>
      <w:marTop w:val="0"/>
      <w:marBottom w:val="0"/>
      <w:divBdr>
        <w:top w:val="none" w:sz="0" w:space="0" w:color="auto"/>
        <w:left w:val="none" w:sz="0" w:space="0" w:color="auto"/>
        <w:bottom w:val="none" w:sz="0" w:space="0" w:color="auto"/>
        <w:right w:val="none" w:sz="0" w:space="0" w:color="auto"/>
      </w:divBdr>
    </w:div>
    <w:div w:id="1816607832">
      <w:bodyDiv w:val="1"/>
      <w:marLeft w:val="0"/>
      <w:marRight w:val="0"/>
      <w:marTop w:val="0"/>
      <w:marBottom w:val="0"/>
      <w:divBdr>
        <w:top w:val="none" w:sz="0" w:space="0" w:color="auto"/>
        <w:left w:val="none" w:sz="0" w:space="0" w:color="auto"/>
        <w:bottom w:val="none" w:sz="0" w:space="0" w:color="auto"/>
        <w:right w:val="none" w:sz="0" w:space="0" w:color="auto"/>
      </w:divBdr>
    </w:div>
    <w:div w:id="1826824348">
      <w:bodyDiv w:val="1"/>
      <w:marLeft w:val="0"/>
      <w:marRight w:val="0"/>
      <w:marTop w:val="0"/>
      <w:marBottom w:val="0"/>
      <w:divBdr>
        <w:top w:val="none" w:sz="0" w:space="0" w:color="auto"/>
        <w:left w:val="none" w:sz="0" w:space="0" w:color="auto"/>
        <w:bottom w:val="none" w:sz="0" w:space="0" w:color="auto"/>
        <w:right w:val="none" w:sz="0" w:space="0" w:color="auto"/>
      </w:divBdr>
    </w:div>
    <w:div w:id="1843350757">
      <w:bodyDiv w:val="1"/>
      <w:marLeft w:val="0"/>
      <w:marRight w:val="0"/>
      <w:marTop w:val="0"/>
      <w:marBottom w:val="0"/>
      <w:divBdr>
        <w:top w:val="none" w:sz="0" w:space="0" w:color="auto"/>
        <w:left w:val="none" w:sz="0" w:space="0" w:color="auto"/>
        <w:bottom w:val="none" w:sz="0" w:space="0" w:color="auto"/>
        <w:right w:val="none" w:sz="0" w:space="0" w:color="auto"/>
      </w:divBdr>
    </w:div>
    <w:div w:id="1855268385">
      <w:bodyDiv w:val="1"/>
      <w:marLeft w:val="0"/>
      <w:marRight w:val="0"/>
      <w:marTop w:val="0"/>
      <w:marBottom w:val="0"/>
      <w:divBdr>
        <w:top w:val="none" w:sz="0" w:space="0" w:color="auto"/>
        <w:left w:val="none" w:sz="0" w:space="0" w:color="auto"/>
        <w:bottom w:val="none" w:sz="0" w:space="0" w:color="auto"/>
        <w:right w:val="none" w:sz="0" w:space="0" w:color="auto"/>
      </w:divBdr>
    </w:div>
    <w:div w:id="1865287571">
      <w:bodyDiv w:val="1"/>
      <w:marLeft w:val="0"/>
      <w:marRight w:val="0"/>
      <w:marTop w:val="0"/>
      <w:marBottom w:val="0"/>
      <w:divBdr>
        <w:top w:val="none" w:sz="0" w:space="0" w:color="auto"/>
        <w:left w:val="none" w:sz="0" w:space="0" w:color="auto"/>
        <w:bottom w:val="none" w:sz="0" w:space="0" w:color="auto"/>
        <w:right w:val="none" w:sz="0" w:space="0" w:color="auto"/>
      </w:divBdr>
    </w:div>
    <w:div w:id="1869102331">
      <w:bodyDiv w:val="1"/>
      <w:marLeft w:val="0"/>
      <w:marRight w:val="0"/>
      <w:marTop w:val="0"/>
      <w:marBottom w:val="0"/>
      <w:divBdr>
        <w:top w:val="none" w:sz="0" w:space="0" w:color="auto"/>
        <w:left w:val="none" w:sz="0" w:space="0" w:color="auto"/>
        <w:bottom w:val="none" w:sz="0" w:space="0" w:color="auto"/>
        <w:right w:val="none" w:sz="0" w:space="0" w:color="auto"/>
      </w:divBdr>
      <w:divsChild>
        <w:div w:id="1163618077">
          <w:marLeft w:val="0"/>
          <w:marRight w:val="0"/>
          <w:marTop w:val="0"/>
          <w:marBottom w:val="0"/>
          <w:divBdr>
            <w:top w:val="none" w:sz="0" w:space="0" w:color="auto"/>
            <w:left w:val="none" w:sz="0" w:space="0" w:color="auto"/>
            <w:bottom w:val="none" w:sz="0" w:space="0" w:color="auto"/>
            <w:right w:val="none" w:sz="0" w:space="0" w:color="auto"/>
          </w:divBdr>
          <w:divsChild>
            <w:div w:id="1697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1884">
      <w:bodyDiv w:val="1"/>
      <w:marLeft w:val="0"/>
      <w:marRight w:val="0"/>
      <w:marTop w:val="0"/>
      <w:marBottom w:val="0"/>
      <w:divBdr>
        <w:top w:val="none" w:sz="0" w:space="0" w:color="auto"/>
        <w:left w:val="none" w:sz="0" w:space="0" w:color="auto"/>
        <w:bottom w:val="none" w:sz="0" w:space="0" w:color="auto"/>
        <w:right w:val="none" w:sz="0" w:space="0" w:color="auto"/>
      </w:divBdr>
    </w:div>
    <w:div w:id="1896502457">
      <w:bodyDiv w:val="1"/>
      <w:marLeft w:val="0"/>
      <w:marRight w:val="0"/>
      <w:marTop w:val="0"/>
      <w:marBottom w:val="0"/>
      <w:divBdr>
        <w:top w:val="none" w:sz="0" w:space="0" w:color="auto"/>
        <w:left w:val="none" w:sz="0" w:space="0" w:color="auto"/>
        <w:bottom w:val="none" w:sz="0" w:space="0" w:color="auto"/>
        <w:right w:val="none" w:sz="0" w:space="0" w:color="auto"/>
      </w:divBdr>
    </w:div>
    <w:div w:id="1914928207">
      <w:bodyDiv w:val="1"/>
      <w:marLeft w:val="0"/>
      <w:marRight w:val="0"/>
      <w:marTop w:val="0"/>
      <w:marBottom w:val="0"/>
      <w:divBdr>
        <w:top w:val="none" w:sz="0" w:space="0" w:color="auto"/>
        <w:left w:val="none" w:sz="0" w:space="0" w:color="auto"/>
        <w:bottom w:val="none" w:sz="0" w:space="0" w:color="auto"/>
        <w:right w:val="none" w:sz="0" w:space="0" w:color="auto"/>
      </w:divBdr>
      <w:divsChild>
        <w:div w:id="2139907042">
          <w:marLeft w:val="0"/>
          <w:marRight w:val="0"/>
          <w:marTop w:val="0"/>
          <w:marBottom w:val="0"/>
          <w:divBdr>
            <w:top w:val="none" w:sz="0" w:space="0" w:color="auto"/>
            <w:left w:val="none" w:sz="0" w:space="0" w:color="auto"/>
            <w:bottom w:val="none" w:sz="0" w:space="0" w:color="auto"/>
            <w:right w:val="none" w:sz="0" w:space="0" w:color="auto"/>
          </w:divBdr>
          <w:divsChild>
            <w:div w:id="20271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378">
      <w:bodyDiv w:val="1"/>
      <w:marLeft w:val="0"/>
      <w:marRight w:val="0"/>
      <w:marTop w:val="0"/>
      <w:marBottom w:val="0"/>
      <w:divBdr>
        <w:top w:val="none" w:sz="0" w:space="0" w:color="auto"/>
        <w:left w:val="none" w:sz="0" w:space="0" w:color="auto"/>
        <w:bottom w:val="none" w:sz="0" w:space="0" w:color="auto"/>
        <w:right w:val="none" w:sz="0" w:space="0" w:color="auto"/>
      </w:divBdr>
    </w:div>
    <w:div w:id="1950429595">
      <w:bodyDiv w:val="1"/>
      <w:marLeft w:val="0"/>
      <w:marRight w:val="0"/>
      <w:marTop w:val="0"/>
      <w:marBottom w:val="0"/>
      <w:divBdr>
        <w:top w:val="none" w:sz="0" w:space="0" w:color="auto"/>
        <w:left w:val="none" w:sz="0" w:space="0" w:color="auto"/>
        <w:bottom w:val="none" w:sz="0" w:space="0" w:color="auto"/>
        <w:right w:val="none" w:sz="0" w:space="0" w:color="auto"/>
      </w:divBdr>
    </w:div>
    <w:div w:id="1967619875">
      <w:bodyDiv w:val="1"/>
      <w:marLeft w:val="0"/>
      <w:marRight w:val="0"/>
      <w:marTop w:val="0"/>
      <w:marBottom w:val="0"/>
      <w:divBdr>
        <w:top w:val="none" w:sz="0" w:space="0" w:color="auto"/>
        <w:left w:val="none" w:sz="0" w:space="0" w:color="auto"/>
        <w:bottom w:val="none" w:sz="0" w:space="0" w:color="auto"/>
        <w:right w:val="none" w:sz="0" w:space="0" w:color="auto"/>
      </w:divBdr>
      <w:divsChild>
        <w:div w:id="1787568">
          <w:marLeft w:val="0"/>
          <w:marRight w:val="0"/>
          <w:marTop w:val="0"/>
          <w:marBottom w:val="0"/>
          <w:divBdr>
            <w:top w:val="none" w:sz="0" w:space="0" w:color="auto"/>
            <w:left w:val="none" w:sz="0" w:space="0" w:color="auto"/>
            <w:bottom w:val="none" w:sz="0" w:space="0" w:color="auto"/>
            <w:right w:val="none" w:sz="0" w:space="0" w:color="auto"/>
          </w:divBdr>
          <w:divsChild>
            <w:div w:id="1132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97">
      <w:bodyDiv w:val="1"/>
      <w:marLeft w:val="0"/>
      <w:marRight w:val="0"/>
      <w:marTop w:val="0"/>
      <w:marBottom w:val="0"/>
      <w:divBdr>
        <w:top w:val="none" w:sz="0" w:space="0" w:color="auto"/>
        <w:left w:val="none" w:sz="0" w:space="0" w:color="auto"/>
        <w:bottom w:val="none" w:sz="0" w:space="0" w:color="auto"/>
        <w:right w:val="none" w:sz="0" w:space="0" w:color="auto"/>
      </w:divBdr>
    </w:div>
    <w:div w:id="1973049478">
      <w:bodyDiv w:val="1"/>
      <w:marLeft w:val="0"/>
      <w:marRight w:val="0"/>
      <w:marTop w:val="0"/>
      <w:marBottom w:val="0"/>
      <w:divBdr>
        <w:top w:val="none" w:sz="0" w:space="0" w:color="auto"/>
        <w:left w:val="none" w:sz="0" w:space="0" w:color="auto"/>
        <w:bottom w:val="none" w:sz="0" w:space="0" w:color="auto"/>
        <w:right w:val="none" w:sz="0" w:space="0" w:color="auto"/>
      </w:divBdr>
    </w:div>
    <w:div w:id="1981156810">
      <w:bodyDiv w:val="1"/>
      <w:marLeft w:val="0"/>
      <w:marRight w:val="0"/>
      <w:marTop w:val="0"/>
      <w:marBottom w:val="0"/>
      <w:divBdr>
        <w:top w:val="none" w:sz="0" w:space="0" w:color="auto"/>
        <w:left w:val="none" w:sz="0" w:space="0" w:color="auto"/>
        <w:bottom w:val="none" w:sz="0" w:space="0" w:color="auto"/>
        <w:right w:val="none" w:sz="0" w:space="0" w:color="auto"/>
      </w:divBdr>
    </w:div>
    <w:div w:id="1982076253">
      <w:bodyDiv w:val="1"/>
      <w:marLeft w:val="0"/>
      <w:marRight w:val="0"/>
      <w:marTop w:val="0"/>
      <w:marBottom w:val="0"/>
      <w:divBdr>
        <w:top w:val="none" w:sz="0" w:space="0" w:color="auto"/>
        <w:left w:val="none" w:sz="0" w:space="0" w:color="auto"/>
        <w:bottom w:val="none" w:sz="0" w:space="0" w:color="auto"/>
        <w:right w:val="none" w:sz="0" w:space="0" w:color="auto"/>
      </w:divBdr>
    </w:div>
    <w:div w:id="1985086927">
      <w:bodyDiv w:val="1"/>
      <w:marLeft w:val="0"/>
      <w:marRight w:val="0"/>
      <w:marTop w:val="0"/>
      <w:marBottom w:val="0"/>
      <w:divBdr>
        <w:top w:val="none" w:sz="0" w:space="0" w:color="auto"/>
        <w:left w:val="none" w:sz="0" w:space="0" w:color="auto"/>
        <w:bottom w:val="none" w:sz="0" w:space="0" w:color="auto"/>
        <w:right w:val="none" w:sz="0" w:space="0" w:color="auto"/>
      </w:divBdr>
      <w:divsChild>
        <w:div w:id="1281186465">
          <w:marLeft w:val="0"/>
          <w:marRight w:val="0"/>
          <w:marTop w:val="0"/>
          <w:marBottom w:val="0"/>
          <w:divBdr>
            <w:top w:val="none" w:sz="0" w:space="0" w:color="auto"/>
            <w:left w:val="none" w:sz="0" w:space="0" w:color="auto"/>
            <w:bottom w:val="none" w:sz="0" w:space="0" w:color="auto"/>
            <w:right w:val="none" w:sz="0" w:space="0" w:color="auto"/>
          </w:divBdr>
          <w:divsChild>
            <w:div w:id="1534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0752">
      <w:bodyDiv w:val="1"/>
      <w:marLeft w:val="0"/>
      <w:marRight w:val="0"/>
      <w:marTop w:val="0"/>
      <w:marBottom w:val="0"/>
      <w:divBdr>
        <w:top w:val="none" w:sz="0" w:space="0" w:color="auto"/>
        <w:left w:val="none" w:sz="0" w:space="0" w:color="auto"/>
        <w:bottom w:val="none" w:sz="0" w:space="0" w:color="auto"/>
        <w:right w:val="none" w:sz="0" w:space="0" w:color="auto"/>
      </w:divBdr>
    </w:div>
    <w:div w:id="1995833547">
      <w:bodyDiv w:val="1"/>
      <w:marLeft w:val="0"/>
      <w:marRight w:val="0"/>
      <w:marTop w:val="0"/>
      <w:marBottom w:val="0"/>
      <w:divBdr>
        <w:top w:val="none" w:sz="0" w:space="0" w:color="auto"/>
        <w:left w:val="none" w:sz="0" w:space="0" w:color="auto"/>
        <w:bottom w:val="none" w:sz="0" w:space="0" w:color="auto"/>
        <w:right w:val="none" w:sz="0" w:space="0" w:color="auto"/>
      </w:divBdr>
    </w:div>
    <w:div w:id="2021738219">
      <w:bodyDiv w:val="1"/>
      <w:marLeft w:val="0"/>
      <w:marRight w:val="0"/>
      <w:marTop w:val="0"/>
      <w:marBottom w:val="0"/>
      <w:divBdr>
        <w:top w:val="none" w:sz="0" w:space="0" w:color="auto"/>
        <w:left w:val="none" w:sz="0" w:space="0" w:color="auto"/>
        <w:bottom w:val="none" w:sz="0" w:space="0" w:color="auto"/>
        <w:right w:val="none" w:sz="0" w:space="0" w:color="auto"/>
      </w:divBdr>
    </w:div>
    <w:div w:id="2022276201">
      <w:bodyDiv w:val="1"/>
      <w:marLeft w:val="0"/>
      <w:marRight w:val="0"/>
      <w:marTop w:val="0"/>
      <w:marBottom w:val="0"/>
      <w:divBdr>
        <w:top w:val="none" w:sz="0" w:space="0" w:color="auto"/>
        <w:left w:val="none" w:sz="0" w:space="0" w:color="auto"/>
        <w:bottom w:val="none" w:sz="0" w:space="0" w:color="auto"/>
        <w:right w:val="none" w:sz="0" w:space="0" w:color="auto"/>
      </w:divBdr>
    </w:div>
    <w:div w:id="2045903106">
      <w:bodyDiv w:val="1"/>
      <w:marLeft w:val="0"/>
      <w:marRight w:val="0"/>
      <w:marTop w:val="0"/>
      <w:marBottom w:val="0"/>
      <w:divBdr>
        <w:top w:val="none" w:sz="0" w:space="0" w:color="auto"/>
        <w:left w:val="none" w:sz="0" w:space="0" w:color="auto"/>
        <w:bottom w:val="none" w:sz="0" w:space="0" w:color="auto"/>
        <w:right w:val="none" w:sz="0" w:space="0" w:color="auto"/>
      </w:divBdr>
      <w:divsChild>
        <w:div w:id="1952933491">
          <w:marLeft w:val="0"/>
          <w:marRight w:val="0"/>
          <w:marTop w:val="0"/>
          <w:marBottom w:val="0"/>
          <w:divBdr>
            <w:top w:val="none" w:sz="0" w:space="0" w:color="auto"/>
            <w:left w:val="none" w:sz="0" w:space="0" w:color="auto"/>
            <w:bottom w:val="none" w:sz="0" w:space="0" w:color="auto"/>
            <w:right w:val="none" w:sz="0" w:space="0" w:color="auto"/>
          </w:divBdr>
          <w:divsChild>
            <w:div w:id="663433879">
              <w:marLeft w:val="0"/>
              <w:marRight w:val="0"/>
              <w:marTop w:val="0"/>
              <w:marBottom w:val="0"/>
              <w:divBdr>
                <w:top w:val="none" w:sz="0" w:space="0" w:color="auto"/>
                <w:left w:val="none" w:sz="0" w:space="0" w:color="auto"/>
                <w:bottom w:val="none" w:sz="0" w:space="0" w:color="auto"/>
                <w:right w:val="none" w:sz="0" w:space="0" w:color="auto"/>
              </w:divBdr>
              <w:divsChild>
                <w:div w:id="1271275807">
                  <w:marLeft w:val="0"/>
                  <w:marRight w:val="0"/>
                  <w:marTop w:val="0"/>
                  <w:marBottom w:val="0"/>
                  <w:divBdr>
                    <w:top w:val="none" w:sz="0" w:space="0" w:color="auto"/>
                    <w:left w:val="none" w:sz="0" w:space="0" w:color="auto"/>
                    <w:bottom w:val="none" w:sz="0" w:space="0" w:color="auto"/>
                    <w:right w:val="none" w:sz="0" w:space="0" w:color="auto"/>
                  </w:divBdr>
                  <w:divsChild>
                    <w:div w:id="5655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36913">
      <w:bodyDiv w:val="1"/>
      <w:marLeft w:val="0"/>
      <w:marRight w:val="0"/>
      <w:marTop w:val="0"/>
      <w:marBottom w:val="0"/>
      <w:divBdr>
        <w:top w:val="none" w:sz="0" w:space="0" w:color="auto"/>
        <w:left w:val="none" w:sz="0" w:space="0" w:color="auto"/>
        <w:bottom w:val="none" w:sz="0" w:space="0" w:color="auto"/>
        <w:right w:val="none" w:sz="0" w:space="0" w:color="auto"/>
      </w:divBdr>
      <w:divsChild>
        <w:div w:id="1159273270">
          <w:marLeft w:val="0"/>
          <w:marRight w:val="0"/>
          <w:marTop w:val="0"/>
          <w:marBottom w:val="0"/>
          <w:divBdr>
            <w:top w:val="none" w:sz="0" w:space="0" w:color="auto"/>
            <w:left w:val="none" w:sz="0" w:space="0" w:color="auto"/>
            <w:bottom w:val="none" w:sz="0" w:space="0" w:color="auto"/>
            <w:right w:val="none" w:sz="0" w:space="0" w:color="auto"/>
          </w:divBdr>
          <w:divsChild>
            <w:div w:id="5603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9720">
      <w:bodyDiv w:val="1"/>
      <w:marLeft w:val="0"/>
      <w:marRight w:val="0"/>
      <w:marTop w:val="0"/>
      <w:marBottom w:val="0"/>
      <w:divBdr>
        <w:top w:val="none" w:sz="0" w:space="0" w:color="auto"/>
        <w:left w:val="none" w:sz="0" w:space="0" w:color="auto"/>
        <w:bottom w:val="none" w:sz="0" w:space="0" w:color="auto"/>
        <w:right w:val="none" w:sz="0" w:space="0" w:color="auto"/>
      </w:divBdr>
      <w:divsChild>
        <w:div w:id="368190089">
          <w:marLeft w:val="0"/>
          <w:marRight w:val="0"/>
          <w:marTop w:val="0"/>
          <w:marBottom w:val="0"/>
          <w:divBdr>
            <w:top w:val="none" w:sz="0" w:space="0" w:color="auto"/>
            <w:left w:val="none" w:sz="0" w:space="0" w:color="auto"/>
            <w:bottom w:val="none" w:sz="0" w:space="0" w:color="auto"/>
            <w:right w:val="none" w:sz="0" w:space="0" w:color="auto"/>
          </w:divBdr>
          <w:divsChild>
            <w:div w:id="1012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1">
      <w:bodyDiv w:val="1"/>
      <w:marLeft w:val="0"/>
      <w:marRight w:val="0"/>
      <w:marTop w:val="0"/>
      <w:marBottom w:val="0"/>
      <w:divBdr>
        <w:top w:val="none" w:sz="0" w:space="0" w:color="auto"/>
        <w:left w:val="none" w:sz="0" w:space="0" w:color="auto"/>
        <w:bottom w:val="none" w:sz="0" w:space="0" w:color="auto"/>
        <w:right w:val="none" w:sz="0" w:space="0" w:color="auto"/>
      </w:divBdr>
    </w:div>
    <w:div w:id="2086338930">
      <w:bodyDiv w:val="1"/>
      <w:marLeft w:val="0"/>
      <w:marRight w:val="0"/>
      <w:marTop w:val="0"/>
      <w:marBottom w:val="0"/>
      <w:divBdr>
        <w:top w:val="none" w:sz="0" w:space="0" w:color="auto"/>
        <w:left w:val="none" w:sz="0" w:space="0" w:color="auto"/>
        <w:bottom w:val="none" w:sz="0" w:space="0" w:color="auto"/>
        <w:right w:val="none" w:sz="0" w:space="0" w:color="auto"/>
      </w:divBdr>
    </w:div>
    <w:div w:id="2087067030">
      <w:bodyDiv w:val="1"/>
      <w:marLeft w:val="0"/>
      <w:marRight w:val="0"/>
      <w:marTop w:val="0"/>
      <w:marBottom w:val="0"/>
      <w:divBdr>
        <w:top w:val="none" w:sz="0" w:space="0" w:color="auto"/>
        <w:left w:val="none" w:sz="0" w:space="0" w:color="auto"/>
        <w:bottom w:val="none" w:sz="0" w:space="0" w:color="auto"/>
        <w:right w:val="none" w:sz="0" w:space="0" w:color="auto"/>
      </w:divBdr>
      <w:divsChild>
        <w:div w:id="821895821">
          <w:marLeft w:val="0"/>
          <w:marRight w:val="0"/>
          <w:marTop w:val="0"/>
          <w:marBottom w:val="0"/>
          <w:divBdr>
            <w:top w:val="none" w:sz="0" w:space="0" w:color="auto"/>
            <w:left w:val="none" w:sz="0" w:space="0" w:color="auto"/>
            <w:bottom w:val="none" w:sz="0" w:space="0" w:color="auto"/>
            <w:right w:val="none" w:sz="0" w:space="0" w:color="auto"/>
          </w:divBdr>
          <w:divsChild>
            <w:div w:id="11601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070">
      <w:bodyDiv w:val="1"/>
      <w:marLeft w:val="0"/>
      <w:marRight w:val="0"/>
      <w:marTop w:val="0"/>
      <w:marBottom w:val="0"/>
      <w:divBdr>
        <w:top w:val="none" w:sz="0" w:space="0" w:color="auto"/>
        <w:left w:val="none" w:sz="0" w:space="0" w:color="auto"/>
        <w:bottom w:val="none" w:sz="0" w:space="0" w:color="auto"/>
        <w:right w:val="none" w:sz="0" w:space="0" w:color="auto"/>
      </w:divBdr>
    </w:div>
    <w:div w:id="2108578871">
      <w:bodyDiv w:val="1"/>
      <w:marLeft w:val="0"/>
      <w:marRight w:val="0"/>
      <w:marTop w:val="0"/>
      <w:marBottom w:val="0"/>
      <w:divBdr>
        <w:top w:val="none" w:sz="0" w:space="0" w:color="auto"/>
        <w:left w:val="none" w:sz="0" w:space="0" w:color="auto"/>
        <w:bottom w:val="none" w:sz="0" w:space="0" w:color="auto"/>
        <w:right w:val="none" w:sz="0" w:space="0" w:color="auto"/>
      </w:divBdr>
    </w:div>
    <w:div w:id="2119790635">
      <w:bodyDiv w:val="1"/>
      <w:marLeft w:val="0"/>
      <w:marRight w:val="0"/>
      <w:marTop w:val="0"/>
      <w:marBottom w:val="0"/>
      <w:divBdr>
        <w:top w:val="none" w:sz="0" w:space="0" w:color="auto"/>
        <w:left w:val="none" w:sz="0" w:space="0" w:color="auto"/>
        <w:bottom w:val="none" w:sz="0" w:space="0" w:color="auto"/>
        <w:right w:val="none" w:sz="0" w:space="0" w:color="auto"/>
      </w:divBdr>
    </w:div>
    <w:div w:id="2139255711">
      <w:bodyDiv w:val="1"/>
      <w:marLeft w:val="0"/>
      <w:marRight w:val="0"/>
      <w:marTop w:val="0"/>
      <w:marBottom w:val="0"/>
      <w:divBdr>
        <w:top w:val="none" w:sz="0" w:space="0" w:color="auto"/>
        <w:left w:val="none" w:sz="0" w:space="0" w:color="auto"/>
        <w:bottom w:val="none" w:sz="0" w:space="0" w:color="auto"/>
        <w:right w:val="none" w:sz="0" w:space="0" w:color="auto"/>
      </w:divBdr>
      <w:divsChild>
        <w:div w:id="2055812336">
          <w:marLeft w:val="0"/>
          <w:marRight w:val="0"/>
          <w:marTop w:val="0"/>
          <w:marBottom w:val="0"/>
          <w:divBdr>
            <w:top w:val="none" w:sz="0" w:space="0" w:color="auto"/>
            <w:left w:val="none" w:sz="0" w:space="0" w:color="auto"/>
            <w:bottom w:val="none" w:sz="0" w:space="0" w:color="auto"/>
            <w:right w:val="none" w:sz="0" w:space="0" w:color="auto"/>
          </w:divBdr>
          <w:divsChild>
            <w:div w:id="195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educsci13030235" TargetMode="External"/><Relationship Id="rId21" Type="http://schemas.openxmlformats.org/officeDocument/2006/relationships/hyperlink" Target="https://doi.org/10.1016/j.futures.2023.103153" TargetMode="External"/><Relationship Id="rId42" Type="http://schemas.openxmlformats.org/officeDocument/2006/relationships/hyperlink" Target="https://doi.org/10.1080/1743727X.2024.2317851" TargetMode="External"/><Relationship Id="rId47" Type="http://schemas.openxmlformats.org/officeDocument/2006/relationships/hyperlink" Target="https://doi.org/10.1186/s12966-023-01482-6" TargetMode="External"/><Relationship Id="rId63" Type="http://schemas.openxmlformats.org/officeDocument/2006/relationships/hyperlink" Target="https://doi.org/10.3390/su16072657"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2871/rmrj2412.01.02" TargetMode="External"/><Relationship Id="rId29" Type="http://schemas.openxmlformats.org/officeDocument/2006/relationships/hyperlink" Target="https://doi.org/10.1186/s12909-024-06377-z" TargetMode="External"/><Relationship Id="rId11" Type="http://schemas.openxmlformats.org/officeDocument/2006/relationships/hyperlink" Target="https://doi.org/10.1186/s12909-025-06647-4" TargetMode="External"/><Relationship Id="rId24" Type="http://schemas.openxmlformats.org/officeDocument/2006/relationships/hyperlink" Target="https://multijournals.org/index.php/excellenciaimje/article/view/66" TargetMode="External"/><Relationship Id="rId32" Type="http://schemas.openxmlformats.org/officeDocument/2006/relationships/hyperlink" Target="https://doi.org/10.3389/fpubh.2021.793973" TargetMode="External"/><Relationship Id="rId37" Type="http://schemas.openxmlformats.org/officeDocument/2006/relationships/hyperlink" Target="https://doi.org/10.1186/s12961-020-00601-0" TargetMode="External"/><Relationship Id="rId40" Type="http://schemas.openxmlformats.org/officeDocument/2006/relationships/hyperlink" Target="https://doi.org/10.1186/s41239-020-00209-y" TargetMode="External"/><Relationship Id="rId45" Type="http://schemas.openxmlformats.org/officeDocument/2006/relationships/hyperlink" Target="https://doi.org/10.1186/s12912-022-00876-4" TargetMode="External"/><Relationship Id="rId53" Type="http://schemas.openxmlformats.org/officeDocument/2006/relationships/hyperlink" Target="https://doi.org/10.1016/j.outlook.2022.02.007" TargetMode="External"/><Relationship Id="rId58" Type="http://schemas.openxmlformats.org/officeDocument/2006/relationships/hyperlink" Target="https://doi.org/10.1016/j.stueduc.2024.101425" TargetMode="External"/><Relationship Id="rId66" Type="http://schemas.openxmlformats.org/officeDocument/2006/relationships/hyperlink" Target="https://doi.org/10.9734/jammr/2019/v30i230167"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who.int/publications/i/item/9789240003279" TargetMode="External"/><Relationship Id="rId19" Type="http://schemas.openxmlformats.org/officeDocument/2006/relationships/hyperlink" Target="https://ched.gov.ph/2017-ched-memorandum-orders/" TargetMode="External"/><Relationship Id="rId14" Type="http://schemas.openxmlformats.org/officeDocument/2006/relationships/hyperlink" Target="https://doi.org/10.4103/amhsr.amhsr_53_21" TargetMode="External"/><Relationship Id="rId22" Type="http://schemas.openxmlformats.org/officeDocument/2006/relationships/hyperlink" Target="https://doi.org/10.56293/IJASR.2024.5907" TargetMode="External"/><Relationship Id="rId27" Type="http://schemas.openxmlformats.org/officeDocument/2006/relationships/hyperlink" Target="https://doi.org/10.54476/iimrj304" TargetMode="External"/><Relationship Id="rId30" Type="http://schemas.openxmlformats.org/officeDocument/2006/relationships/hyperlink" Target="https://www.sociostudies.org/journal/files/jogs/2015_1/058-073.pdf" TargetMode="External"/><Relationship Id="rId35" Type="http://schemas.openxmlformats.org/officeDocument/2006/relationships/hyperlink" Target="https://doi.org/10.1177/0163278720934164" TargetMode="External"/><Relationship Id="rId43" Type="http://schemas.openxmlformats.org/officeDocument/2006/relationships/hyperlink" Target="https://commons.wmu.se/cgi/viewcontent.cgi?article=3258&amp;context=all_dissertations" TargetMode="External"/><Relationship Id="rId48" Type="http://schemas.openxmlformats.org/officeDocument/2006/relationships/hyperlink" Target="https://doi.org/10.3389/feduc.2023.1271335" TargetMode="External"/><Relationship Id="rId56" Type="http://schemas.openxmlformats.org/officeDocument/2006/relationships/hyperlink" Target="https://doi.org/10.11591/ijere.v10i4.21548" TargetMode="External"/><Relationship Id="rId64" Type="http://schemas.openxmlformats.org/officeDocument/2006/relationships/hyperlink" Target="https://doi.org/10.3389/fpubh.2023.1072721" TargetMode="External"/><Relationship Id="rId69" Type="http://schemas.openxmlformats.org/officeDocument/2006/relationships/header" Target="header2.xml"/><Relationship Id="rId8" Type="http://schemas.openxmlformats.org/officeDocument/2006/relationships/hyperlink" Target="https://doi.org/10.1186/s40561-024-00353-2" TargetMode="External"/><Relationship Id="rId51" Type="http://schemas.openxmlformats.org/officeDocument/2006/relationships/hyperlink" Target="https://www.researchgate.net/publication/330579447_The_contribution_of_education_to_social_progress"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186/s12912-020-00508-9" TargetMode="External"/><Relationship Id="rId17" Type="http://schemas.openxmlformats.org/officeDocument/2006/relationships/hyperlink" Target="https://doi.org/10.5281/zenodo.13123899" TargetMode="External"/><Relationship Id="rId25" Type="http://schemas.openxmlformats.org/officeDocument/2006/relationships/hyperlink" Target="https://doi.org/10.17483/2368-6669.1355" TargetMode="External"/><Relationship Id="rId33" Type="http://schemas.openxmlformats.org/officeDocument/2006/relationships/hyperlink" Target="https://doi.org/10.3389/feduc.2022.980254" TargetMode="External"/><Relationship Id="rId38" Type="http://schemas.openxmlformats.org/officeDocument/2006/relationships/hyperlink" Target="https://doi.org/10.1016/j.outlook.2023.102032" TargetMode="External"/><Relationship Id="rId46" Type="http://schemas.openxmlformats.org/officeDocument/2006/relationships/hyperlink" Target="https://doi.org/10.47191/ijmra/v8-i03-47" TargetMode="External"/><Relationship Id="rId59" Type="http://schemas.openxmlformats.org/officeDocument/2006/relationships/hyperlink" Target="https://doi.org/10.1016/j.stueduc.2024.101425" TargetMode="External"/><Relationship Id="rId67" Type="http://schemas.openxmlformats.org/officeDocument/2006/relationships/hyperlink" Target="https://doi.org/10.1016/j.profnurs.2021.06.007" TargetMode="External"/><Relationship Id="rId20" Type="http://schemas.openxmlformats.org/officeDocument/2006/relationships/hyperlink" Target="https://ched.gov.ph/wp-content/uploads/2017/10/CMO-15-s-2017.pdf" TargetMode="External"/><Relationship Id="rId41" Type="http://schemas.openxmlformats.org/officeDocument/2006/relationships/hyperlink" Target="https://www.researchgate.net/publication/339498893_Understanding_Quality_in_Philippine_Private_Non%E2%80%91sectarian_Higher_Education" TargetMode="External"/><Relationship Id="rId54" Type="http://schemas.openxmlformats.org/officeDocument/2006/relationships/hyperlink" Target="https://doi.org/10.3390/healthcare13090973" TargetMode="External"/><Relationship Id="rId62" Type="http://schemas.openxmlformats.org/officeDocument/2006/relationships/hyperlink" Target="https://doi.org/10.1186/s40468-024-00300-5"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gitalcommons.usf.edu/globe/vol6/iss1/5" TargetMode="External"/><Relationship Id="rId23" Type="http://schemas.openxmlformats.org/officeDocument/2006/relationships/hyperlink" Target="https://doi.org/10.3390/higheredu2040039" TargetMode="External"/><Relationship Id="rId28" Type="http://schemas.openxmlformats.org/officeDocument/2006/relationships/hyperlink" Target="https://doi.org/10.3390/educsci13070746" TargetMode="External"/><Relationship Id="rId36" Type="http://schemas.openxmlformats.org/officeDocument/2006/relationships/hyperlink" Target="https://rev-inv-ope.univ-paris1.fr/fileadmin/rev-inv-ope/files/41220-01.pdf" TargetMode="External"/><Relationship Id="rId49" Type="http://schemas.openxmlformats.org/officeDocument/2006/relationships/hyperlink" Target="https://doi.org/10.3389/feduc.2023.1271335" TargetMode="External"/><Relationship Id="rId57" Type="http://schemas.openxmlformats.org/officeDocument/2006/relationships/hyperlink" Target="https://doi.org/10.29333/pr/14369" TargetMode="External"/><Relationship Id="rId10" Type="http://schemas.openxmlformats.org/officeDocument/2006/relationships/hyperlink" Target="https://www.aacnnursing.org/Portals/42/AcademicNursing/pdf/Essentials-2021.pdf" TargetMode="External"/><Relationship Id="rId31" Type="http://schemas.openxmlformats.org/officeDocument/2006/relationships/hyperlink" Target="https://doi.org/10.21833/ijaas.2023.03.021" TargetMode="External"/><Relationship Id="rId44" Type="http://schemas.openxmlformats.org/officeDocument/2006/relationships/hyperlink" Target="https://doi.org/10.47895/amp.v58i12.9784" TargetMode="External"/><Relationship Id="rId52" Type="http://schemas.openxmlformats.org/officeDocument/2006/relationships/hyperlink" Target="https://doi.org/10.3390/higheredu3020018" TargetMode="External"/><Relationship Id="rId60" Type="http://schemas.openxmlformats.org/officeDocument/2006/relationships/hyperlink" Target="https://www.who.int/publications/i/item/9789240003279" TargetMode="External"/><Relationship Id="rId65" Type="http://schemas.openxmlformats.org/officeDocument/2006/relationships/hyperlink" Target="https://doi.org/10.1016/j.nedt.2023.105782"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909-023-04698-z" TargetMode="External"/><Relationship Id="rId13" Type="http://schemas.openxmlformats.org/officeDocument/2006/relationships/hyperlink" Target="https://doi.org/10.5539/ies.v14n2p1" TargetMode="External"/><Relationship Id="rId18" Type="http://schemas.openxmlformats.org/officeDocument/2006/relationships/hyperlink" Target="https://scholarworks.waldenu.edu/dissertations/14994" TargetMode="External"/><Relationship Id="rId39" Type="http://schemas.openxmlformats.org/officeDocument/2006/relationships/hyperlink" Target="https://doi.org/10.1016/j.heliyon.2023.e16348" TargetMode="External"/><Relationship Id="rId34" Type="http://schemas.openxmlformats.org/officeDocument/2006/relationships/hyperlink" Target="https://doi.org/10.1186/s12912-021-00694-0" TargetMode="External"/><Relationship Id="rId50" Type="http://schemas.openxmlformats.org/officeDocument/2006/relationships/hyperlink" Target="https://doi.org/10.1007/s10758-024-09734-5" TargetMode="External"/><Relationship Id="rId55" Type="http://schemas.openxmlformats.org/officeDocument/2006/relationships/hyperlink" Target="https://tmtc.edu.ph/foundations/" TargetMode="External"/><Relationship Id="rId7" Type="http://schemas.openxmlformats.org/officeDocument/2006/relationships/hyperlink" Target="https://doi.org/10.1186/s12909-025-06657-2" TargetMode="Externa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12906</Words>
  <Characters>73567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Ronnell Dela Rosa</dc:creator>
  <cp:keywords/>
  <dc:description/>
  <cp:lastModifiedBy>SDI PC New 16</cp:lastModifiedBy>
  <cp:revision>45</cp:revision>
  <dcterms:created xsi:type="dcterms:W3CDTF">2025-06-14T15:39:00Z</dcterms:created>
  <dcterms:modified xsi:type="dcterms:W3CDTF">2025-12-01T10:41:00Z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4c4bf19e-9bcb-4404-8295-02997a18ac39</vt:lpwstr>
  </property>
</Properties>
</file>