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1CCB" w14:textId="1394D926" w:rsidR="00C07845" w:rsidRDefault="009E4330">
      <w:pPr>
        <w:pStyle w:val="Body"/>
        <w:jc w:val="both"/>
        <w:rPr>
          <w:rFonts w:ascii="Times New Roman" w:hAnsi="Times New Roman"/>
        </w:rPr>
      </w:pPr>
      <w:r>
        <w:rPr>
          <w:rFonts w:ascii="Times New Roman" w:hAnsi="Times New Roman"/>
        </w:rPr>
        <w:t xml:space="preserve"> </w:t>
      </w:r>
    </w:p>
    <w:p w14:paraId="60FFA558" w14:textId="77777777" w:rsidR="00654B37" w:rsidRDefault="00654B37" w:rsidP="00282A57">
      <w:pPr>
        <w:pStyle w:val="Title"/>
        <w:jc w:val="right"/>
        <w:rPr>
          <w:rFonts w:ascii="Arial" w:hAnsi="Arial" w:cs="Arial"/>
          <w:sz w:val="36"/>
          <w:szCs w:val="36"/>
        </w:rPr>
      </w:pPr>
      <w:r w:rsidRPr="00654B37">
        <w:rPr>
          <w:rFonts w:ascii="Arial" w:hAnsi="Arial" w:cs="Arial"/>
          <w:sz w:val="36"/>
          <w:szCs w:val="36"/>
        </w:rPr>
        <w:t>Review Article</w:t>
      </w:r>
    </w:p>
    <w:p w14:paraId="267085F9" w14:textId="77777777" w:rsidR="00E85390" w:rsidRDefault="00E85390" w:rsidP="00282A57">
      <w:pPr>
        <w:pStyle w:val="Title"/>
        <w:jc w:val="right"/>
        <w:rPr>
          <w:rFonts w:ascii="Arial" w:hAnsi="Arial" w:cs="Arial"/>
          <w:sz w:val="36"/>
          <w:szCs w:val="36"/>
        </w:rPr>
      </w:pPr>
    </w:p>
    <w:p w14:paraId="0F2E7FB3" w14:textId="794AD74C" w:rsidR="00B006E6" w:rsidRPr="007538F3" w:rsidRDefault="007538F3" w:rsidP="007538F3">
      <w:pPr>
        <w:pStyle w:val="Body"/>
        <w:jc w:val="right"/>
        <w:rPr>
          <w:rFonts w:ascii="Arial" w:hAnsi="Arial" w:cs="Arial"/>
          <w:b/>
          <w:bCs/>
          <w:sz w:val="36"/>
          <w:szCs w:val="36"/>
          <w:lang w:val="en-US"/>
        </w:rPr>
      </w:pPr>
      <w:proofErr w:type="spellStart"/>
      <w:r w:rsidRPr="007538F3">
        <w:rPr>
          <w:rFonts w:ascii="Arial" w:hAnsi="Arial" w:cs="Arial"/>
          <w:b/>
          <w:bCs/>
          <w:sz w:val="36"/>
          <w:szCs w:val="36"/>
          <w:lang w:val="en-US"/>
        </w:rPr>
        <w:t>Kyasanur</w:t>
      </w:r>
      <w:proofErr w:type="spellEnd"/>
      <w:r w:rsidRPr="007538F3">
        <w:rPr>
          <w:rFonts w:ascii="Arial" w:hAnsi="Arial" w:cs="Arial"/>
          <w:b/>
          <w:bCs/>
          <w:sz w:val="36"/>
          <w:szCs w:val="36"/>
          <w:lang w:val="en-US"/>
        </w:rPr>
        <w:t xml:space="preserve"> Forest Disease in India: Epidemiology, Transmission Ecology, Clinical Spectrum, Diagnostics and One Health Control</w:t>
      </w:r>
    </w:p>
    <w:p w14:paraId="0E76F18C" w14:textId="12E27ACB" w:rsidR="00B006E6" w:rsidRDefault="00B006E6">
      <w:pPr>
        <w:pStyle w:val="Body"/>
        <w:rPr>
          <w:rFonts w:ascii="Arial" w:hAnsi="Arial" w:cs="Arial"/>
          <w:b/>
          <w:bCs/>
          <w:lang w:val="en-US"/>
        </w:rPr>
      </w:pPr>
    </w:p>
    <w:p w14:paraId="158D74D2" w14:textId="77777777" w:rsidR="0064443A" w:rsidRPr="0083224C" w:rsidRDefault="0064443A">
      <w:pPr>
        <w:pStyle w:val="Body"/>
        <w:rPr>
          <w:rFonts w:ascii="Arial" w:hAnsi="Arial" w:cs="Arial"/>
          <w:b/>
          <w:bCs/>
          <w:lang w:val="en-US"/>
        </w:rPr>
      </w:pPr>
    </w:p>
    <w:p w14:paraId="46895488" w14:textId="77777777" w:rsidR="00B006E6" w:rsidRDefault="00B006E6">
      <w:pPr>
        <w:pStyle w:val="Body"/>
        <w:rPr>
          <w:rFonts w:ascii="Arial" w:hAnsi="Arial" w:cs="Arial"/>
          <w:b/>
          <w:bCs/>
          <w:lang w:val="en-US"/>
        </w:rPr>
      </w:pPr>
    </w:p>
    <w:p w14:paraId="6B3233BE" w14:textId="563190B5" w:rsidR="00C07845" w:rsidRDefault="00D417C3">
      <w:pPr>
        <w:pStyle w:val="Body"/>
        <w:rPr>
          <w:rFonts w:hint="eastAsia"/>
        </w:rPr>
      </w:pPr>
      <w:r w:rsidRPr="00282A57">
        <w:rPr>
          <w:rFonts w:ascii="Arial" w:hAnsi="Arial" w:cs="Arial"/>
          <w:b/>
          <w:bCs/>
          <w:lang w:val="en-US"/>
        </w:rPr>
        <w:t>ABSTRACT</w:t>
      </w:r>
      <w:r>
        <w:rPr>
          <w:lang w:val="en-US"/>
        </w:rPr>
        <w:t xml:space="preserve"> </w:t>
      </w:r>
    </w:p>
    <w:p w14:paraId="7FF801B9" w14:textId="77777777" w:rsidR="00C07845" w:rsidRDefault="00C07845">
      <w:pPr>
        <w:pStyle w:val="Body"/>
        <w:rPr>
          <w:rFonts w:hint="eastAsia"/>
        </w:rPr>
      </w:pPr>
    </w:p>
    <w:p w14:paraId="526C62D3" w14:textId="77777777" w:rsidR="007538F3" w:rsidRPr="007538F3" w:rsidRDefault="007538F3" w:rsidP="007538F3">
      <w:pPr>
        <w:pStyle w:val="Heading"/>
        <w:jc w:val="both"/>
        <w:rPr>
          <w:rFonts w:ascii="Arial" w:hAnsi="Arial" w:cs="Arial"/>
          <w:sz w:val="20"/>
          <w:szCs w:val="20"/>
        </w:rPr>
      </w:pPr>
      <w:r w:rsidRPr="007538F3">
        <w:rPr>
          <w:rFonts w:ascii="Arial" w:hAnsi="Arial" w:cs="Arial"/>
          <w:sz w:val="20"/>
          <w:szCs w:val="20"/>
        </w:rPr>
        <w:t>Abstract</w:t>
      </w:r>
    </w:p>
    <w:p w14:paraId="23181651" w14:textId="77777777" w:rsidR="007538F3" w:rsidRPr="007538F3" w:rsidRDefault="007538F3" w:rsidP="007538F3">
      <w:pPr>
        <w:pStyle w:val="Heading"/>
        <w:jc w:val="both"/>
        <w:rPr>
          <w:rFonts w:ascii="Arial" w:hAnsi="Arial" w:cs="Arial"/>
          <w:b w:val="0"/>
          <w:bCs w:val="0"/>
          <w:sz w:val="20"/>
          <w:szCs w:val="20"/>
        </w:rPr>
      </w:pPr>
      <w:r w:rsidRPr="007538F3">
        <w:rPr>
          <w:rFonts w:ascii="Arial" w:hAnsi="Arial" w:cs="Arial"/>
          <w:b w:val="0"/>
          <w:bCs w:val="0"/>
          <w:sz w:val="20"/>
          <w:szCs w:val="20"/>
        </w:rPr>
        <w:t xml:space="preserve">Background: This narrative review synthesizes current evidence on </w:t>
      </w:r>
      <w:proofErr w:type="spellStart"/>
      <w:r w:rsidRPr="007538F3">
        <w:rPr>
          <w:rFonts w:ascii="Arial" w:hAnsi="Arial" w:cs="Arial"/>
          <w:b w:val="0"/>
          <w:bCs w:val="0"/>
          <w:sz w:val="20"/>
          <w:szCs w:val="20"/>
        </w:rPr>
        <w:t>Kyasanur</w:t>
      </w:r>
      <w:proofErr w:type="spellEnd"/>
      <w:r w:rsidRPr="007538F3">
        <w:rPr>
          <w:rFonts w:ascii="Arial" w:hAnsi="Arial" w:cs="Arial"/>
          <w:b w:val="0"/>
          <w:bCs w:val="0"/>
          <w:sz w:val="20"/>
          <w:szCs w:val="20"/>
        </w:rPr>
        <w:t xml:space="preserve"> Forest Disease (KFD), a tick-borne viral </w:t>
      </w:r>
      <w:proofErr w:type="spellStart"/>
      <w:r w:rsidRPr="007538F3">
        <w:rPr>
          <w:rFonts w:ascii="Arial" w:hAnsi="Arial" w:cs="Arial"/>
          <w:b w:val="0"/>
          <w:bCs w:val="0"/>
          <w:sz w:val="20"/>
          <w:szCs w:val="20"/>
        </w:rPr>
        <w:t>hemorrhagic</w:t>
      </w:r>
      <w:proofErr w:type="spellEnd"/>
      <w:r w:rsidRPr="007538F3">
        <w:rPr>
          <w:rFonts w:ascii="Arial" w:hAnsi="Arial" w:cs="Arial"/>
          <w:b w:val="0"/>
          <w:bCs w:val="0"/>
          <w:sz w:val="20"/>
          <w:szCs w:val="20"/>
        </w:rPr>
        <w:t xml:space="preserve"> fever endemic to India</w:t>
      </w:r>
      <w:r w:rsidRPr="007538F3">
        <w:rPr>
          <w:rFonts w:ascii="Arial" w:hAnsi="Arial" w:cs="Arial"/>
          <w:b w:val="0"/>
          <w:bCs w:val="0"/>
          <w:i/>
          <w:iCs/>
          <w:sz w:val="20"/>
          <w:szCs w:val="20"/>
        </w:rPr>
        <w:t>.</w:t>
      </w:r>
      <w:r w:rsidRPr="007538F3">
        <w:rPr>
          <w:rFonts w:ascii="Arial" w:hAnsi="Arial" w:cs="Arial"/>
          <w:b w:val="0"/>
          <w:bCs w:val="0"/>
          <w:sz w:val="20"/>
          <w:szCs w:val="20"/>
        </w:rPr>
        <w:t xml:space="preserve"> Caused by </w:t>
      </w:r>
      <w:proofErr w:type="spellStart"/>
      <w:r w:rsidRPr="007538F3">
        <w:rPr>
          <w:rFonts w:ascii="Arial" w:hAnsi="Arial" w:cs="Arial"/>
          <w:b w:val="0"/>
          <w:bCs w:val="0"/>
          <w:sz w:val="20"/>
          <w:szCs w:val="20"/>
        </w:rPr>
        <w:t>Kyasanur</w:t>
      </w:r>
      <w:proofErr w:type="spellEnd"/>
      <w:r w:rsidRPr="007538F3">
        <w:rPr>
          <w:rFonts w:ascii="Arial" w:hAnsi="Arial" w:cs="Arial"/>
          <w:b w:val="0"/>
          <w:bCs w:val="0"/>
          <w:sz w:val="20"/>
          <w:szCs w:val="20"/>
        </w:rPr>
        <w:t xml:space="preserve"> Forest disease virus (KFDV), a member of the tick-borne encephalitis virus </w:t>
      </w:r>
      <w:proofErr w:type="spellStart"/>
      <w:r w:rsidRPr="007538F3">
        <w:rPr>
          <w:rFonts w:ascii="Arial" w:hAnsi="Arial" w:cs="Arial"/>
          <w:b w:val="0"/>
          <w:bCs w:val="0"/>
          <w:sz w:val="20"/>
          <w:szCs w:val="20"/>
        </w:rPr>
        <w:t>serocomplex</w:t>
      </w:r>
      <w:proofErr w:type="spellEnd"/>
      <w:r w:rsidRPr="007538F3">
        <w:rPr>
          <w:rFonts w:ascii="Arial" w:hAnsi="Arial" w:cs="Arial"/>
          <w:b w:val="0"/>
          <w:bCs w:val="0"/>
          <w:sz w:val="20"/>
          <w:szCs w:val="20"/>
        </w:rPr>
        <w:t>, KFD represents an emerging zoonotic threat with expanding geographic distribution across the Western Ghats.</w:t>
      </w:r>
    </w:p>
    <w:p w14:paraId="6E1CD6D9" w14:textId="77777777" w:rsidR="007538F3" w:rsidRPr="007538F3" w:rsidRDefault="007538F3" w:rsidP="007538F3">
      <w:pPr>
        <w:pStyle w:val="Heading"/>
        <w:jc w:val="both"/>
        <w:rPr>
          <w:rFonts w:ascii="Arial" w:hAnsi="Arial" w:cs="Arial"/>
          <w:b w:val="0"/>
          <w:bCs w:val="0"/>
          <w:sz w:val="20"/>
          <w:szCs w:val="20"/>
        </w:rPr>
      </w:pPr>
      <w:r w:rsidRPr="007538F3">
        <w:rPr>
          <w:rFonts w:ascii="Arial" w:hAnsi="Arial" w:cs="Arial"/>
          <w:sz w:val="20"/>
          <w:szCs w:val="20"/>
        </w:rPr>
        <w:t>Methods:</w:t>
      </w:r>
      <w:r w:rsidRPr="007538F3">
        <w:rPr>
          <w:rFonts w:ascii="Arial" w:hAnsi="Arial" w:cs="Arial"/>
          <w:b w:val="0"/>
          <w:bCs w:val="0"/>
          <w:sz w:val="20"/>
          <w:szCs w:val="20"/>
        </w:rPr>
        <w:t xml:space="preserve"> A comprehensive literature review was conducted using PubMed, Web of Science, and Scopus databases, covering publications from 1957 to 2024. Peer-reviewed original studies, surveillance reports, and relevant reviews were included and synthesized narratively to integrate evidence on epidemiology, transmission ecology, pathophysiology, clinical spectrum, diagnostics, and prevention strategies.</w:t>
      </w:r>
    </w:p>
    <w:p w14:paraId="636B303A" w14:textId="77777777" w:rsidR="007538F3" w:rsidRPr="007538F3" w:rsidRDefault="007538F3" w:rsidP="007538F3">
      <w:pPr>
        <w:pStyle w:val="Heading"/>
        <w:jc w:val="both"/>
        <w:rPr>
          <w:rFonts w:ascii="Arial" w:hAnsi="Arial" w:cs="Arial"/>
          <w:b w:val="0"/>
          <w:bCs w:val="0"/>
          <w:sz w:val="20"/>
          <w:szCs w:val="20"/>
        </w:rPr>
      </w:pPr>
      <w:r w:rsidRPr="007538F3">
        <w:rPr>
          <w:rFonts w:ascii="Arial" w:hAnsi="Arial" w:cs="Arial"/>
          <w:sz w:val="20"/>
          <w:szCs w:val="20"/>
        </w:rPr>
        <w:t>Results:</w:t>
      </w:r>
      <w:r w:rsidRPr="007538F3">
        <w:rPr>
          <w:rFonts w:ascii="Arial" w:hAnsi="Arial" w:cs="Arial"/>
          <w:b w:val="0"/>
          <w:bCs w:val="0"/>
          <w:sz w:val="20"/>
          <w:szCs w:val="20"/>
        </w:rPr>
        <w:t xml:space="preserve"> In humans, KFD typically manifests after a 3–8-day incubation period with acute febrile illness, headache, myalgia, and severe prostration. Approximately 20% of patients develop a biphasic illness, with a subset progressing to neurological involvement during the second phase. The overall reported case fatality rate ranges from 3–5%. Diagnosis relies primarily on serological assays (IgM/IgG ELISA) and molecular detection by RT-PCR during early illness. Ecologically, KFDV circulates through enzootic cycles involving </w:t>
      </w:r>
      <w:proofErr w:type="spellStart"/>
      <w:r w:rsidRPr="007538F3">
        <w:rPr>
          <w:rFonts w:ascii="Arial" w:hAnsi="Arial" w:cs="Arial"/>
          <w:b w:val="0"/>
          <w:bCs w:val="0"/>
          <w:i/>
          <w:iCs/>
          <w:sz w:val="20"/>
          <w:szCs w:val="20"/>
        </w:rPr>
        <w:t>Haemaphysalis</w:t>
      </w:r>
      <w:proofErr w:type="spellEnd"/>
      <w:r w:rsidRPr="007538F3">
        <w:rPr>
          <w:rFonts w:ascii="Arial" w:hAnsi="Arial" w:cs="Arial"/>
          <w:b w:val="0"/>
          <w:bCs w:val="0"/>
          <w:sz w:val="20"/>
          <w:szCs w:val="20"/>
        </w:rPr>
        <w:t xml:space="preserve"> ticks and multiple vertebrate hosts, with monkey epizootics serving as sentinel indicators of local transmission. Geographic expansion has been associated with ecological disruption, deforestation, and increased human–tick interactions.</w:t>
      </w:r>
    </w:p>
    <w:p w14:paraId="22260268" w14:textId="77777777" w:rsidR="007538F3" w:rsidRDefault="007538F3" w:rsidP="007538F3">
      <w:pPr>
        <w:pStyle w:val="Heading"/>
        <w:jc w:val="both"/>
        <w:rPr>
          <w:rFonts w:ascii="Arial" w:hAnsi="Arial" w:cs="Arial"/>
          <w:b w:val="0"/>
          <w:bCs w:val="0"/>
          <w:sz w:val="20"/>
          <w:szCs w:val="20"/>
        </w:rPr>
      </w:pPr>
      <w:r w:rsidRPr="007538F3">
        <w:rPr>
          <w:rFonts w:ascii="Arial" w:hAnsi="Arial" w:cs="Arial"/>
          <w:sz w:val="20"/>
          <w:szCs w:val="20"/>
        </w:rPr>
        <w:t>Conclusions</w:t>
      </w:r>
      <w:r w:rsidRPr="007538F3">
        <w:rPr>
          <w:rFonts w:ascii="Arial" w:hAnsi="Arial" w:cs="Arial"/>
          <w:b w:val="0"/>
          <w:bCs w:val="0"/>
          <w:sz w:val="20"/>
          <w:szCs w:val="20"/>
        </w:rPr>
        <w:t xml:space="preserve">: </w:t>
      </w:r>
      <w:proofErr w:type="spellStart"/>
      <w:r w:rsidRPr="007538F3">
        <w:rPr>
          <w:rFonts w:ascii="Arial" w:hAnsi="Arial" w:cs="Arial"/>
          <w:b w:val="0"/>
          <w:bCs w:val="0"/>
          <w:sz w:val="20"/>
          <w:szCs w:val="20"/>
        </w:rPr>
        <w:t>Kyasanur</w:t>
      </w:r>
      <w:proofErr w:type="spellEnd"/>
      <w:r w:rsidRPr="007538F3">
        <w:rPr>
          <w:rFonts w:ascii="Arial" w:hAnsi="Arial" w:cs="Arial"/>
          <w:b w:val="0"/>
          <w:bCs w:val="0"/>
          <w:sz w:val="20"/>
          <w:szCs w:val="20"/>
        </w:rPr>
        <w:t xml:space="preserve"> Forest Disease remains an evolving zoonotic challenge driven by environmental change and complex transmission dynamics. Effective control requires strengthened One Health–oriented surveillance, improved vaccination coverage, and integration of viral genomic monitoring with clinical and ecological data to support early detection and targeted prevention.</w:t>
      </w:r>
    </w:p>
    <w:p w14:paraId="731879BA" w14:textId="77777777" w:rsidR="007538F3" w:rsidRPr="007538F3" w:rsidRDefault="007538F3" w:rsidP="007538F3">
      <w:pPr>
        <w:pStyle w:val="Body"/>
      </w:pPr>
    </w:p>
    <w:p w14:paraId="27370163" w14:textId="77777777" w:rsidR="007538F3" w:rsidRPr="007538F3" w:rsidRDefault="007538F3" w:rsidP="007538F3">
      <w:pPr>
        <w:pStyle w:val="Heading"/>
        <w:jc w:val="both"/>
        <w:rPr>
          <w:rFonts w:ascii="Arial" w:hAnsi="Arial" w:cs="Arial"/>
          <w:b w:val="0"/>
          <w:bCs w:val="0"/>
          <w:sz w:val="20"/>
          <w:szCs w:val="20"/>
        </w:rPr>
      </w:pPr>
      <w:r w:rsidRPr="007538F3">
        <w:rPr>
          <w:rFonts w:ascii="Arial" w:hAnsi="Arial" w:cs="Arial"/>
          <w:sz w:val="20"/>
          <w:szCs w:val="20"/>
        </w:rPr>
        <w:t>Keywords:</w:t>
      </w:r>
      <w:r w:rsidRPr="007538F3">
        <w:rPr>
          <w:rFonts w:ascii="Arial" w:hAnsi="Arial" w:cs="Arial"/>
          <w:b w:val="0"/>
          <w:bCs w:val="0"/>
          <w:sz w:val="20"/>
          <w:szCs w:val="20"/>
        </w:rPr>
        <w:t xml:space="preserve"> </w:t>
      </w:r>
      <w:proofErr w:type="spellStart"/>
      <w:r w:rsidRPr="007538F3">
        <w:rPr>
          <w:rFonts w:ascii="Arial" w:hAnsi="Arial" w:cs="Arial"/>
          <w:b w:val="0"/>
          <w:bCs w:val="0"/>
          <w:sz w:val="20"/>
          <w:szCs w:val="20"/>
        </w:rPr>
        <w:t>Kyasanur</w:t>
      </w:r>
      <w:proofErr w:type="spellEnd"/>
      <w:r w:rsidRPr="007538F3">
        <w:rPr>
          <w:rFonts w:ascii="Arial" w:hAnsi="Arial" w:cs="Arial"/>
          <w:b w:val="0"/>
          <w:bCs w:val="0"/>
          <w:sz w:val="20"/>
          <w:szCs w:val="20"/>
        </w:rPr>
        <w:t xml:space="preserve"> Forest disease; tick-borne viral </w:t>
      </w:r>
      <w:proofErr w:type="spellStart"/>
      <w:r w:rsidRPr="007538F3">
        <w:rPr>
          <w:rFonts w:ascii="Arial" w:hAnsi="Arial" w:cs="Arial"/>
          <w:b w:val="0"/>
          <w:bCs w:val="0"/>
          <w:sz w:val="20"/>
          <w:szCs w:val="20"/>
        </w:rPr>
        <w:t>hemorrhagic</w:t>
      </w:r>
      <w:proofErr w:type="spellEnd"/>
      <w:r w:rsidRPr="007538F3">
        <w:rPr>
          <w:rFonts w:ascii="Arial" w:hAnsi="Arial" w:cs="Arial"/>
          <w:b w:val="0"/>
          <w:bCs w:val="0"/>
          <w:sz w:val="20"/>
          <w:szCs w:val="20"/>
        </w:rPr>
        <w:t xml:space="preserve"> fever; transmission ecology; pathophysiology; One Health surveillance.</w:t>
      </w:r>
    </w:p>
    <w:p w14:paraId="09752467" w14:textId="77777777" w:rsidR="00C07845" w:rsidRDefault="00C07845">
      <w:pPr>
        <w:pStyle w:val="Heading"/>
        <w:jc w:val="both"/>
        <w:rPr>
          <w:rFonts w:ascii="Times New Roman" w:eastAsia="Times New Roman" w:hAnsi="Times New Roman" w:cs="Times New Roman"/>
          <w:b w:val="0"/>
          <w:bCs w:val="0"/>
        </w:rPr>
      </w:pPr>
    </w:p>
    <w:p w14:paraId="6E024B46" w14:textId="29220EF8" w:rsidR="00C07845" w:rsidRPr="00430A28" w:rsidRDefault="00430A28">
      <w:pPr>
        <w:pStyle w:val="Heading"/>
        <w:jc w:val="both"/>
        <w:rPr>
          <w:rFonts w:ascii="Times New Roman" w:eastAsia="Times New Roman" w:hAnsi="Times New Roman" w:cs="Times New Roman"/>
          <w:b w:val="0"/>
          <w:bCs w:val="0"/>
          <w:sz w:val="22"/>
          <w:szCs w:val="22"/>
        </w:rPr>
      </w:pPr>
      <w:r w:rsidRPr="00E73179">
        <w:rPr>
          <w:rFonts w:ascii="Arial" w:hAnsi="Arial"/>
          <w:sz w:val="22"/>
          <w:szCs w:val="22"/>
        </w:rPr>
        <w:t>INTRODUCTION</w:t>
      </w:r>
    </w:p>
    <w:p w14:paraId="690E9DAF" w14:textId="77777777" w:rsidR="00C07845" w:rsidRDefault="00C07845">
      <w:pPr>
        <w:pStyle w:val="Body"/>
        <w:jc w:val="both"/>
        <w:rPr>
          <w:rFonts w:ascii="Times New Roman" w:eastAsia="Times New Roman" w:hAnsi="Times New Roman" w:cs="Times New Roman"/>
        </w:rPr>
      </w:pPr>
    </w:p>
    <w:p w14:paraId="70C43A15" w14:textId="2C75EBD6" w:rsidR="00C07845" w:rsidRPr="00430A28" w:rsidRDefault="00D417C3">
      <w:pPr>
        <w:pStyle w:val="Default"/>
        <w:suppressAutoHyphens/>
        <w:spacing w:before="0" w:after="240" w:line="240" w:lineRule="auto"/>
        <w:jc w:val="both"/>
        <w:rPr>
          <w:rFonts w:ascii="Arial" w:eastAsia="Arial" w:hAnsi="Arial" w:cs="Arial"/>
          <w:sz w:val="20"/>
          <w:szCs w:val="20"/>
        </w:rPr>
      </w:pP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(KFD), also known as Monkey Fever, is a tick-borne viral </w:t>
      </w:r>
      <w:proofErr w:type="spellStart"/>
      <w:r w:rsidRPr="00430A28">
        <w:rPr>
          <w:rFonts w:ascii="Arial" w:hAnsi="Arial" w:cs="Arial"/>
          <w:sz w:val="20"/>
          <w:szCs w:val="20"/>
        </w:rPr>
        <w:t>haemorrhagic</w:t>
      </w:r>
      <w:proofErr w:type="spellEnd"/>
      <w:r w:rsidRPr="00430A28">
        <w:rPr>
          <w:rFonts w:ascii="Arial" w:hAnsi="Arial" w:cs="Arial"/>
          <w:sz w:val="20"/>
          <w:szCs w:val="20"/>
        </w:rPr>
        <w:t xml:space="preserve"> fever endemic to South Asia and represents an important vector-borne viral infection in India (1,41). </w:t>
      </w:r>
      <w:r w:rsidR="007538F3" w:rsidRPr="007538F3">
        <w:rPr>
          <w:rFonts w:ascii="Arial" w:hAnsi="Arial" w:cs="Arial"/>
          <w:sz w:val="20"/>
          <w:szCs w:val="20"/>
        </w:rPr>
        <w:t xml:space="preserve">The causative agent, </w:t>
      </w:r>
      <w:proofErr w:type="spellStart"/>
      <w:r w:rsidR="007538F3" w:rsidRPr="007538F3">
        <w:rPr>
          <w:rFonts w:ascii="Arial" w:hAnsi="Arial" w:cs="Arial"/>
          <w:sz w:val="20"/>
          <w:szCs w:val="20"/>
        </w:rPr>
        <w:t>Kyasanur</w:t>
      </w:r>
      <w:proofErr w:type="spellEnd"/>
      <w:r w:rsidR="007538F3" w:rsidRPr="007538F3">
        <w:rPr>
          <w:rFonts w:ascii="Arial" w:hAnsi="Arial" w:cs="Arial"/>
          <w:sz w:val="20"/>
          <w:szCs w:val="20"/>
        </w:rPr>
        <w:t xml:space="preserve"> Forest disease virus (KFDV), belongs to the family Flaviviridae and the genus Flavivirus and was first isolated in 1957 from sick monkeys captured in the </w:t>
      </w:r>
      <w:proofErr w:type="spellStart"/>
      <w:r w:rsidR="007538F3" w:rsidRPr="007538F3">
        <w:rPr>
          <w:rFonts w:ascii="Arial" w:hAnsi="Arial" w:cs="Arial"/>
          <w:sz w:val="20"/>
          <w:szCs w:val="20"/>
        </w:rPr>
        <w:t>Kyasanur</w:t>
      </w:r>
      <w:proofErr w:type="spellEnd"/>
      <w:r w:rsidR="007538F3" w:rsidRPr="007538F3">
        <w:rPr>
          <w:rFonts w:ascii="Arial" w:hAnsi="Arial" w:cs="Arial"/>
          <w:sz w:val="20"/>
          <w:szCs w:val="20"/>
        </w:rPr>
        <w:t xml:space="preserve"> forest region of </w:t>
      </w:r>
      <w:proofErr w:type="spellStart"/>
      <w:r w:rsidR="007538F3" w:rsidRPr="007538F3">
        <w:rPr>
          <w:rFonts w:ascii="Arial" w:hAnsi="Arial" w:cs="Arial"/>
          <w:sz w:val="20"/>
          <w:szCs w:val="20"/>
        </w:rPr>
        <w:t>Shimoga</w:t>
      </w:r>
      <w:proofErr w:type="spellEnd"/>
      <w:r w:rsidR="007538F3" w:rsidRPr="007538F3">
        <w:rPr>
          <w:rFonts w:ascii="Arial" w:hAnsi="Arial" w:cs="Arial"/>
          <w:sz w:val="20"/>
          <w:szCs w:val="20"/>
        </w:rPr>
        <w:t xml:space="preserve"> district, Karnataka, marking one of the earliest recognized tick-borne viral hemorrhagic fevers in </w:t>
      </w:r>
      <w:proofErr w:type="gramStart"/>
      <w:r w:rsidR="007538F3" w:rsidRPr="007538F3">
        <w:rPr>
          <w:rFonts w:ascii="Arial" w:hAnsi="Arial" w:cs="Arial"/>
          <w:sz w:val="20"/>
          <w:szCs w:val="20"/>
        </w:rPr>
        <w:t>India</w:t>
      </w:r>
      <w:r w:rsidRPr="00430A28">
        <w:rPr>
          <w:rFonts w:ascii="Arial" w:hAnsi="Arial" w:cs="Arial"/>
          <w:sz w:val="20"/>
          <w:szCs w:val="20"/>
        </w:rPr>
        <w:t>.{</w:t>
      </w:r>
      <w:proofErr w:type="gramEnd"/>
      <w:r w:rsidRPr="00430A28">
        <w:rPr>
          <w:rFonts w:ascii="Arial" w:hAnsi="Arial" w:cs="Arial"/>
          <w:sz w:val="20"/>
          <w:szCs w:val="20"/>
        </w:rPr>
        <w:t>1</w:t>
      </w:r>
      <w:r w:rsidR="000D3345">
        <w:rPr>
          <w:rFonts w:ascii="Arial" w:hAnsi="Arial" w:cs="Arial"/>
          <w:sz w:val="20"/>
          <w:szCs w:val="20"/>
        </w:rPr>
        <w:t>, 43</w:t>
      </w:r>
      <w:r w:rsidRPr="00430A28">
        <w:rPr>
          <w:rFonts w:ascii="Arial" w:hAnsi="Arial" w:cs="Arial"/>
          <w:sz w:val="20"/>
          <w:szCs w:val="20"/>
        </w:rPr>
        <w:t>}</w:t>
      </w:r>
    </w:p>
    <w:p w14:paraId="32F52CF8" w14:textId="77777777" w:rsidR="00C07845" w:rsidRDefault="00D417C3">
      <w:pPr>
        <w:pStyle w:val="Body"/>
        <w:jc w:val="both"/>
        <w:rPr>
          <w:rFonts w:ascii="Arial" w:hAnsi="Arial" w:cs="Arial"/>
          <w:sz w:val="20"/>
          <w:szCs w:val="20"/>
          <w:lang w:val="en-US"/>
        </w:rPr>
      </w:pPr>
      <w:r w:rsidRPr="00430A28">
        <w:rPr>
          <w:rFonts w:ascii="Arial" w:hAnsi="Arial" w:cs="Arial"/>
          <w:sz w:val="20"/>
          <w:szCs w:val="20"/>
          <w:lang w:val="en-US"/>
        </w:rPr>
        <w:t>For several decades, KFD was considered geographically restricted, with sustained endemicity documented primarily in five districts of Karnataka—</w:t>
      </w:r>
      <w:proofErr w:type="spellStart"/>
      <w:r w:rsidRPr="00430A28">
        <w:rPr>
          <w:rFonts w:ascii="Arial" w:hAnsi="Arial" w:cs="Arial"/>
          <w:sz w:val="20"/>
          <w:szCs w:val="20"/>
          <w:lang w:val="en-US"/>
        </w:rPr>
        <w:t>Shimoga</w:t>
      </w:r>
      <w:proofErr w:type="spellEnd"/>
      <w:r w:rsidRPr="00430A28">
        <w:rPr>
          <w:rFonts w:ascii="Arial" w:hAnsi="Arial" w:cs="Arial"/>
          <w:sz w:val="20"/>
          <w:szCs w:val="20"/>
          <w:lang w:val="en-US"/>
        </w:rPr>
        <w:t xml:space="preserve">, Uttar Kannada, Dakshina Kannada, </w:t>
      </w:r>
      <w:proofErr w:type="spellStart"/>
      <w:r w:rsidRPr="00430A28">
        <w:rPr>
          <w:rFonts w:ascii="Arial" w:hAnsi="Arial" w:cs="Arial"/>
          <w:sz w:val="20"/>
          <w:szCs w:val="20"/>
          <w:lang w:val="en-US"/>
        </w:rPr>
        <w:t>Chikmaglur</w:t>
      </w:r>
      <w:proofErr w:type="spellEnd"/>
      <w:r w:rsidRPr="00430A28">
        <w:rPr>
          <w:rFonts w:ascii="Arial" w:hAnsi="Arial" w:cs="Arial"/>
          <w:sz w:val="20"/>
          <w:szCs w:val="20"/>
          <w:lang w:val="en-US"/>
        </w:rPr>
        <w:t xml:space="preserve">, and Udupi. However, improvements in diagnostic capacity and surveillance have revealed a broader distribution, with KFDV infection detected in ticks and/or monkeys and sporadic human cases reported from Chamarajanagar district in Karnataka, the </w:t>
      </w:r>
      <w:proofErr w:type="spellStart"/>
      <w:r w:rsidRPr="00430A28">
        <w:rPr>
          <w:rFonts w:ascii="Arial" w:hAnsi="Arial" w:cs="Arial"/>
          <w:sz w:val="20"/>
          <w:szCs w:val="20"/>
          <w:lang w:val="en-US"/>
        </w:rPr>
        <w:t>Nilgiri</w:t>
      </w:r>
      <w:proofErr w:type="spellEnd"/>
      <w:r w:rsidRPr="00430A28">
        <w:rPr>
          <w:rFonts w:ascii="Arial" w:hAnsi="Arial" w:cs="Arial"/>
          <w:sz w:val="20"/>
          <w:szCs w:val="20"/>
          <w:lang w:val="en-US"/>
        </w:rPr>
        <w:t xml:space="preserve"> district of Tamil Nadu, Wayanad and Malappuram districts of Kerala, and Pali village in Goa, largely within the Western Ghats forest ecosystem.{3} The disease disproportionately affects low-income, forest-dependent rural populations, including small-holder farmers, plantation and forestry workers, and tribal communities, resulting in substantial socioeconomic impact; household surveys from affected areas indicate that 69% of respondents were perturbed by KFD</w:t>
      </w:r>
      <w:r w:rsidRPr="00430A28">
        <w:rPr>
          <w:rFonts w:ascii="Arial" w:hAnsi="Arial" w:cs="Arial"/>
          <w:sz w:val="20"/>
          <w:szCs w:val="20"/>
          <w:rtl/>
        </w:rPr>
        <w:t>’</w:t>
      </w:r>
      <w:r w:rsidRPr="00430A28">
        <w:rPr>
          <w:rFonts w:ascii="Arial" w:hAnsi="Arial" w:cs="Arial"/>
          <w:sz w:val="20"/>
          <w:szCs w:val="20"/>
          <w:lang w:val="en-US"/>
        </w:rPr>
        <w:t>s effect on their livelihoods.{4}</w:t>
      </w:r>
    </w:p>
    <w:p w14:paraId="5DF3F19D" w14:textId="77777777" w:rsidR="002645D8" w:rsidRPr="00430A28" w:rsidRDefault="002645D8">
      <w:pPr>
        <w:pStyle w:val="Body"/>
        <w:jc w:val="both"/>
        <w:rPr>
          <w:rFonts w:ascii="Arial" w:eastAsia="Arial" w:hAnsi="Arial" w:cs="Arial"/>
          <w:sz w:val="20"/>
          <w:szCs w:val="20"/>
        </w:rPr>
      </w:pPr>
    </w:p>
    <w:p w14:paraId="02CAEAF5" w14:textId="77777777" w:rsidR="00C07845" w:rsidRDefault="00D417C3">
      <w:pPr>
        <w:pStyle w:val="Body"/>
        <w:jc w:val="both"/>
        <w:rPr>
          <w:rFonts w:ascii="Arial" w:hAnsi="Arial" w:cs="Arial"/>
          <w:sz w:val="20"/>
          <w:szCs w:val="20"/>
          <w:lang w:val="en-US"/>
        </w:rPr>
      </w:pPr>
      <w:r w:rsidRPr="00430A28">
        <w:rPr>
          <w:rFonts w:ascii="Arial" w:hAnsi="Arial" w:cs="Arial"/>
          <w:sz w:val="20"/>
          <w:szCs w:val="20"/>
          <w:lang w:val="en-US"/>
        </w:rPr>
        <w:t xml:space="preserve">Ecologically, KFDV is maintained through complex enzootic transmission cycles involving ticks and multiple vertebrate hosts. The virus commonly infects non-human primates—particularly the black-faced langur and red-faced macaque—as well as small mammals such as rats and shrews, and has also been reported from a </w:t>
      </w:r>
      <w:r w:rsidRPr="00430A28">
        <w:rPr>
          <w:rFonts w:ascii="Arial" w:hAnsi="Arial" w:cs="Arial"/>
          <w:sz w:val="20"/>
          <w:szCs w:val="20"/>
          <w:lang w:val="en-US"/>
        </w:rPr>
        <w:lastRenderedPageBreak/>
        <w:t xml:space="preserve">bat species. KFDV has been isolated from multiple tick species and is transmitted to humans primarily through the bite of infective </w:t>
      </w:r>
      <w:proofErr w:type="spellStart"/>
      <w:r w:rsidRPr="00430A28">
        <w:rPr>
          <w:rFonts w:ascii="Arial" w:hAnsi="Arial" w:cs="Arial"/>
          <w:sz w:val="20"/>
          <w:szCs w:val="20"/>
          <w:lang w:val="en-US"/>
        </w:rPr>
        <w:t>Haemaphysalis</w:t>
      </w:r>
      <w:proofErr w:type="spellEnd"/>
      <w:r w:rsidRPr="00430A28">
        <w:rPr>
          <w:rFonts w:ascii="Arial" w:hAnsi="Arial" w:cs="Arial"/>
          <w:sz w:val="20"/>
          <w:szCs w:val="20"/>
          <w:lang w:val="en-US"/>
        </w:rPr>
        <w:t xml:space="preserve"> </w:t>
      </w:r>
      <w:proofErr w:type="spellStart"/>
      <w:r w:rsidRPr="00430A28">
        <w:rPr>
          <w:rFonts w:ascii="Arial" w:hAnsi="Arial" w:cs="Arial"/>
          <w:sz w:val="20"/>
          <w:szCs w:val="20"/>
          <w:lang w:val="en-US"/>
        </w:rPr>
        <w:t>spinigera</w:t>
      </w:r>
      <w:proofErr w:type="spellEnd"/>
      <w:r w:rsidRPr="00430A28">
        <w:rPr>
          <w:rFonts w:ascii="Arial" w:hAnsi="Arial" w:cs="Arial"/>
          <w:sz w:val="20"/>
          <w:szCs w:val="20"/>
          <w:lang w:val="en-US"/>
        </w:rPr>
        <w:t xml:space="preserve"> ticks, especially during the nymphal stage, which can remain infectious throughout their life span.{8} The disease causes epizootics among primates with high fatality rates, and monkey deaths are regarded as an early indicator of active viral transmission; consequently, areas reporting </w:t>
      </w:r>
      <w:proofErr w:type="spellStart"/>
      <w:r w:rsidRPr="00430A28">
        <w:rPr>
          <w:rFonts w:ascii="Arial" w:hAnsi="Arial" w:cs="Arial"/>
          <w:sz w:val="20"/>
          <w:szCs w:val="20"/>
          <w:lang w:val="en-US"/>
        </w:rPr>
        <w:t>Haemaphysalis</w:t>
      </w:r>
      <w:proofErr w:type="spellEnd"/>
      <w:r w:rsidRPr="00430A28">
        <w:rPr>
          <w:rFonts w:ascii="Arial" w:hAnsi="Arial" w:cs="Arial"/>
          <w:sz w:val="20"/>
          <w:szCs w:val="20"/>
          <w:lang w:val="en-US"/>
        </w:rPr>
        <w:t xml:space="preserve"> ticks and/or KFDV-infected monkey carcasses are designated as high-risk hotspots prioritized for surveillance and control activities.{9}</w:t>
      </w:r>
    </w:p>
    <w:p w14:paraId="0D64B628" w14:textId="77777777" w:rsidR="002645D8" w:rsidRPr="00430A28" w:rsidRDefault="002645D8">
      <w:pPr>
        <w:pStyle w:val="Body"/>
        <w:jc w:val="both"/>
        <w:rPr>
          <w:rFonts w:ascii="Arial" w:eastAsia="Arial" w:hAnsi="Arial" w:cs="Arial"/>
          <w:sz w:val="20"/>
          <w:szCs w:val="20"/>
        </w:rPr>
      </w:pPr>
    </w:p>
    <w:p w14:paraId="3DA469B5" w14:textId="77777777" w:rsidR="00C07845" w:rsidRDefault="00D417C3">
      <w:pPr>
        <w:pStyle w:val="Body"/>
        <w:jc w:val="both"/>
        <w:rPr>
          <w:rFonts w:ascii="Arial" w:hAnsi="Arial" w:cs="Arial"/>
          <w:sz w:val="20"/>
          <w:szCs w:val="20"/>
          <w:lang w:val="en-US"/>
        </w:rPr>
      </w:pPr>
      <w:r w:rsidRPr="00430A28">
        <w:rPr>
          <w:rFonts w:ascii="Arial" w:hAnsi="Arial" w:cs="Arial"/>
          <w:sz w:val="20"/>
          <w:szCs w:val="20"/>
          <w:lang w:val="en-US"/>
        </w:rPr>
        <w:t xml:space="preserve">Clinically, KFD resembles Omsk </w:t>
      </w:r>
      <w:proofErr w:type="spellStart"/>
      <w:r w:rsidRPr="00430A28">
        <w:rPr>
          <w:rFonts w:ascii="Arial" w:hAnsi="Arial" w:cs="Arial"/>
          <w:sz w:val="20"/>
          <w:szCs w:val="20"/>
          <w:lang w:val="en-US"/>
        </w:rPr>
        <w:t>haemorrhagic</w:t>
      </w:r>
      <w:proofErr w:type="spellEnd"/>
      <w:r w:rsidRPr="00430A28">
        <w:rPr>
          <w:rFonts w:ascii="Arial" w:hAnsi="Arial" w:cs="Arial"/>
          <w:sz w:val="20"/>
          <w:szCs w:val="20"/>
          <w:lang w:val="en-US"/>
        </w:rPr>
        <w:t xml:space="preserve"> fever and typically manifests after an incubation period of 3</w:t>
      </w:r>
      <w:r w:rsidRPr="00430A28">
        <w:rPr>
          <w:rFonts w:ascii="Arial" w:hAnsi="Arial" w:cs="Arial"/>
          <w:sz w:val="20"/>
          <w:szCs w:val="20"/>
        </w:rPr>
        <w:t>–</w:t>
      </w:r>
      <w:r w:rsidRPr="00430A28">
        <w:rPr>
          <w:rFonts w:ascii="Arial" w:hAnsi="Arial" w:cs="Arial"/>
          <w:sz w:val="20"/>
          <w:szCs w:val="20"/>
          <w:lang w:val="en-US"/>
        </w:rPr>
        <w:t xml:space="preserve">8 days, followed by abrupt onset of chills, severe frontal headache, and high-grade fever often exceeding 40 </w:t>
      </w:r>
      <w:r w:rsidRPr="00430A28">
        <w:rPr>
          <w:rFonts w:ascii="Arial" w:hAnsi="Arial" w:cs="Arial"/>
          <w:sz w:val="20"/>
          <w:szCs w:val="20"/>
          <w:lang w:val="it-IT"/>
        </w:rPr>
        <w:t>°</w:t>
      </w:r>
      <w:r w:rsidRPr="00430A28">
        <w:rPr>
          <w:rFonts w:ascii="Arial" w:hAnsi="Arial" w:cs="Arial"/>
          <w:sz w:val="20"/>
          <w:szCs w:val="20"/>
          <w:lang w:val="en-US"/>
        </w:rPr>
        <w:t xml:space="preserve">C. Additional manifestations include bradycardia, generalized myalgia, severe prostration, conjunctival suffusion, and photophobia.{12} Although approximately 80% of patients recover without sequelae, a subset exhibits a biphasic disease course, and a smaller proportion of these individuals progress to severe </w:t>
      </w:r>
      <w:proofErr w:type="spellStart"/>
      <w:r w:rsidRPr="00430A28">
        <w:rPr>
          <w:rFonts w:ascii="Arial" w:hAnsi="Arial" w:cs="Arial"/>
          <w:sz w:val="20"/>
          <w:szCs w:val="20"/>
          <w:lang w:val="en-US"/>
        </w:rPr>
        <w:t>haemorrhagic</w:t>
      </w:r>
      <w:proofErr w:type="spellEnd"/>
      <w:r w:rsidRPr="00430A28">
        <w:rPr>
          <w:rFonts w:ascii="Arial" w:hAnsi="Arial" w:cs="Arial"/>
          <w:sz w:val="20"/>
          <w:szCs w:val="20"/>
          <w:lang w:val="en-US"/>
        </w:rPr>
        <w:t xml:space="preserve"> or neurological complications.{5}</w:t>
      </w:r>
    </w:p>
    <w:p w14:paraId="62AB8C41" w14:textId="77777777" w:rsidR="002645D8" w:rsidRPr="00430A28" w:rsidRDefault="002645D8">
      <w:pPr>
        <w:pStyle w:val="Body"/>
        <w:jc w:val="both"/>
        <w:rPr>
          <w:rFonts w:ascii="Arial" w:eastAsia="Arial" w:hAnsi="Arial" w:cs="Arial"/>
          <w:sz w:val="20"/>
          <w:szCs w:val="20"/>
        </w:rPr>
      </w:pPr>
    </w:p>
    <w:p w14:paraId="67782124" w14:textId="77777777" w:rsidR="00C07845" w:rsidRPr="00430A28" w:rsidRDefault="00D417C3">
      <w:pPr>
        <w:pStyle w:val="Body"/>
        <w:jc w:val="both"/>
        <w:rPr>
          <w:rFonts w:ascii="Arial" w:eastAsia="Arial" w:hAnsi="Arial" w:cs="Arial"/>
          <w:sz w:val="20"/>
          <w:szCs w:val="20"/>
        </w:rPr>
      </w:pPr>
      <w:r w:rsidRPr="00430A28">
        <w:rPr>
          <w:rFonts w:ascii="Arial" w:hAnsi="Arial" w:cs="Arial"/>
          <w:sz w:val="20"/>
          <w:szCs w:val="20"/>
          <w:lang w:val="en-US"/>
        </w:rPr>
        <w:t>The continued geographic expansion of KFD, together with ecological disruption and increased human</w:t>
      </w:r>
      <w:r w:rsidRPr="00430A28">
        <w:rPr>
          <w:rFonts w:ascii="Arial" w:hAnsi="Arial" w:cs="Arial"/>
          <w:sz w:val="20"/>
          <w:szCs w:val="20"/>
        </w:rPr>
        <w:t>–</w:t>
      </w:r>
      <w:r w:rsidRPr="00430A28">
        <w:rPr>
          <w:rFonts w:ascii="Arial" w:hAnsi="Arial" w:cs="Arial"/>
          <w:sz w:val="20"/>
          <w:szCs w:val="20"/>
          <w:lang w:val="en-US"/>
        </w:rPr>
        <w:t xml:space="preserve">tick interactions, underscores the need for an updated synthesis of current evidence. This review therefore focuses on the transmission ecology, pathophysiology, and clinical spectrum of </w:t>
      </w:r>
      <w:proofErr w:type="spellStart"/>
      <w:r w:rsidRPr="00430A28">
        <w:rPr>
          <w:rFonts w:ascii="Arial" w:hAnsi="Arial" w:cs="Arial"/>
          <w:sz w:val="20"/>
          <w:szCs w:val="20"/>
          <w:lang w:val="en-US"/>
        </w:rPr>
        <w:t>Kyasanur</w:t>
      </w:r>
      <w:proofErr w:type="spellEnd"/>
      <w:r w:rsidRPr="00430A28">
        <w:rPr>
          <w:rFonts w:ascii="Arial" w:hAnsi="Arial" w:cs="Arial"/>
          <w:sz w:val="20"/>
          <w:szCs w:val="20"/>
          <w:lang w:val="en-US"/>
        </w:rPr>
        <w:t xml:space="preserve"> Forest disease, providing an integrated perspective relevant to clinicians.</w:t>
      </w:r>
    </w:p>
    <w:p w14:paraId="069C5180" w14:textId="77777777" w:rsidR="00C07845" w:rsidRDefault="00C07845">
      <w:pPr>
        <w:pStyle w:val="Default"/>
        <w:suppressAutoHyphens/>
        <w:spacing w:before="0" w:after="240" w:line="240" w:lineRule="auto"/>
        <w:jc w:val="both"/>
        <w:rPr>
          <w:rFonts w:ascii="Times New Roman" w:eastAsia="Times New Roman" w:hAnsi="Times New Roman" w:cs="Times New Roman"/>
        </w:rPr>
      </w:pPr>
    </w:p>
    <w:p w14:paraId="35EF52CC" w14:textId="75ED8CBE" w:rsidR="00C07845" w:rsidRPr="00430A28" w:rsidRDefault="00430A28" w:rsidP="00430A28">
      <w:pPr>
        <w:pStyle w:val="Default"/>
        <w:suppressAutoHyphens/>
        <w:spacing w:before="0" w:after="280" w:line="240" w:lineRule="auto"/>
        <w:rPr>
          <w:rFonts w:ascii="Arial" w:eastAsia="Times New Roman" w:hAnsi="Arial" w:cs="Arial"/>
          <w:b/>
          <w:bCs/>
          <w:sz w:val="22"/>
          <w:szCs w:val="22"/>
        </w:rPr>
      </w:pPr>
      <w:r w:rsidRPr="00430A28">
        <w:rPr>
          <w:rFonts w:ascii="Arial" w:hAnsi="Arial" w:cs="Arial"/>
          <w:b/>
          <w:bCs/>
          <w:sz w:val="22"/>
          <w:szCs w:val="22"/>
        </w:rPr>
        <w:t>METHODOLOGY</w:t>
      </w:r>
    </w:p>
    <w:p w14:paraId="394837E6" w14:textId="77777777" w:rsidR="00C07845" w:rsidRPr="00430A28" w:rsidRDefault="00D417C3">
      <w:pPr>
        <w:pStyle w:val="Default"/>
        <w:suppressAutoHyphens/>
        <w:spacing w:before="0" w:after="240" w:line="240" w:lineRule="auto"/>
        <w:jc w:val="both"/>
        <w:rPr>
          <w:rFonts w:ascii="Arial" w:eastAsia="Arial" w:hAnsi="Arial" w:cs="Arial"/>
          <w:sz w:val="20"/>
          <w:szCs w:val="20"/>
        </w:rPr>
      </w:pPr>
      <w:r w:rsidRPr="00430A28">
        <w:rPr>
          <w:rFonts w:ascii="Arial" w:hAnsi="Arial" w:cs="Arial"/>
          <w:sz w:val="20"/>
          <w:szCs w:val="20"/>
        </w:rPr>
        <w:t xml:space="preserve">A literature review on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(KFD) was conducted using searches of the PubMed, Web of Science, and Scopus databases. The search strategy employed combinations of the terms </w:t>
      </w:r>
      <w:r w:rsidRPr="00430A28">
        <w:rPr>
          <w:rFonts w:ascii="Arial" w:hAnsi="Arial" w:cs="Arial"/>
          <w:sz w:val="20"/>
          <w:szCs w:val="20"/>
          <w:rtl/>
          <w:lang w:val="ar-SA" w:bidi="ar-SA"/>
        </w:rPr>
        <w:t>“</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“KFD,”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 virus,” “</w:t>
      </w:r>
      <w:r w:rsidRPr="00430A28">
        <w:rPr>
          <w:rFonts w:ascii="Arial" w:hAnsi="Arial" w:cs="Arial"/>
          <w:sz w:val="20"/>
          <w:szCs w:val="20"/>
          <w:lang w:val="da-DK"/>
        </w:rPr>
        <w:t>KFDV,</w:t>
      </w:r>
      <w:r w:rsidRPr="00430A28">
        <w:rPr>
          <w:rFonts w:ascii="Arial" w:hAnsi="Arial" w:cs="Arial"/>
          <w:sz w:val="20"/>
          <w:szCs w:val="20"/>
        </w:rPr>
        <w:t xml:space="preserve">” “tick-borne viral </w:t>
      </w:r>
      <w:proofErr w:type="spellStart"/>
      <w:r w:rsidRPr="00430A28">
        <w:rPr>
          <w:rFonts w:ascii="Arial" w:hAnsi="Arial" w:cs="Arial"/>
          <w:sz w:val="20"/>
          <w:szCs w:val="20"/>
        </w:rPr>
        <w:t>haemorrhagic</w:t>
      </w:r>
      <w:proofErr w:type="spellEnd"/>
      <w:r w:rsidRPr="00430A28">
        <w:rPr>
          <w:rFonts w:ascii="Arial" w:hAnsi="Arial" w:cs="Arial"/>
          <w:sz w:val="20"/>
          <w:szCs w:val="20"/>
        </w:rPr>
        <w:t xml:space="preserve"> fever,” “</w:t>
      </w:r>
      <w:r w:rsidRPr="00430A28">
        <w:rPr>
          <w:rFonts w:ascii="Arial" w:hAnsi="Arial" w:cs="Arial"/>
          <w:sz w:val="20"/>
          <w:szCs w:val="20"/>
          <w:lang w:val="de-DE"/>
        </w:rPr>
        <w:t>Haemaphysalis spinigera,</w:t>
      </w:r>
      <w:r w:rsidRPr="00430A28">
        <w:rPr>
          <w:rFonts w:ascii="Arial" w:hAnsi="Arial" w:cs="Arial"/>
          <w:sz w:val="20"/>
          <w:szCs w:val="20"/>
        </w:rPr>
        <w:t>” “</w:t>
      </w:r>
      <w:r w:rsidRPr="00E73179">
        <w:rPr>
          <w:rFonts w:ascii="Arial" w:hAnsi="Arial" w:cs="Arial"/>
          <w:sz w:val="20"/>
          <w:szCs w:val="20"/>
          <w:lang w:val="en-IN"/>
        </w:rPr>
        <w:t>transmission,</w:t>
      </w:r>
      <w:r w:rsidRPr="00430A28">
        <w:rPr>
          <w:rFonts w:ascii="Arial" w:hAnsi="Arial" w:cs="Arial"/>
          <w:sz w:val="20"/>
          <w:szCs w:val="20"/>
        </w:rPr>
        <w:t xml:space="preserve">” “pathophysiology,” and </w:t>
      </w:r>
      <w:r w:rsidRPr="00430A28">
        <w:rPr>
          <w:rFonts w:ascii="Arial" w:hAnsi="Arial" w:cs="Arial"/>
          <w:sz w:val="20"/>
          <w:szCs w:val="20"/>
          <w:rtl/>
          <w:lang w:val="ar-SA" w:bidi="ar-SA"/>
        </w:rPr>
        <w:t>“</w:t>
      </w:r>
      <w:r w:rsidRPr="00E73179">
        <w:rPr>
          <w:rFonts w:ascii="Arial" w:hAnsi="Arial" w:cs="Arial"/>
          <w:sz w:val="20"/>
          <w:szCs w:val="20"/>
          <w:lang w:val="en-IN"/>
        </w:rPr>
        <w:t>clinical spectrum.</w:t>
      </w:r>
      <w:r w:rsidRPr="00430A28">
        <w:rPr>
          <w:rFonts w:ascii="Arial" w:hAnsi="Arial" w:cs="Arial"/>
          <w:sz w:val="20"/>
          <w:szCs w:val="20"/>
        </w:rPr>
        <w:t>”</w:t>
      </w:r>
    </w:p>
    <w:p w14:paraId="22953997" w14:textId="77777777" w:rsidR="00C07845" w:rsidRPr="00430A28" w:rsidRDefault="00D417C3">
      <w:pPr>
        <w:pStyle w:val="Default"/>
        <w:suppressAutoHyphens/>
        <w:spacing w:before="0" w:after="240" w:line="240" w:lineRule="auto"/>
        <w:jc w:val="both"/>
        <w:rPr>
          <w:rFonts w:ascii="Arial" w:eastAsia="Arial" w:hAnsi="Arial" w:cs="Arial"/>
          <w:sz w:val="20"/>
          <w:szCs w:val="20"/>
        </w:rPr>
      </w:pPr>
      <w:r w:rsidRPr="00430A28">
        <w:rPr>
          <w:rFonts w:ascii="Arial" w:hAnsi="Arial" w:cs="Arial"/>
          <w:sz w:val="20"/>
          <w:szCs w:val="20"/>
        </w:rPr>
        <w:t>Publications from 1957 to 2024 were reviewed, with emphasis on studies published in the past decade, while also including earlier landmark reports relevant to the discovery, epidemiology, and natural history of KFD. Peer-reviewed original research articles, review articles, surveillance reports, and selected case reports published in English were included. Conference abstracts, editorials, and non–peer-reviewed literature were excluded. No geographical restrictions were applied. Duplicate records identified across databases were removed.</w:t>
      </w:r>
    </w:p>
    <w:p w14:paraId="51CF10D3" w14:textId="77777777" w:rsidR="00C07845" w:rsidRPr="00430A28" w:rsidRDefault="00D417C3">
      <w:pPr>
        <w:pStyle w:val="Default"/>
        <w:suppressAutoHyphens/>
        <w:spacing w:before="0" w:after="240" w:line="240" w:lineRule="auto"/>
        <w:jc w:val="both"/>
        <w:rPr>
          <w:rFonts w:ascii="Arial" w:eastAsia="Arial" w:hAnsi="Arial" w:cs="Arial"/>
          <w:sz w:val="20"/>
          <w:szCs w:val="20"/>
        </w:rPr>
      </w:pPr>
      <w:r w:rsidRPr="00430A28">
        <w:rPr>
          <w:rFonts w:ascii="Arial" w:hAnsi="Arial" w:cs="Arial"/>
          <w:sz w:val="20"/>
          <w:szCs w:val="20"/>
        </w:rPr>
        <w:t xml:space="preserve">The retrieved literature was reviewed and synthesized narratively to provide an integrated overview of the transmission ecology, pathophysiology, and clinical spectrum of </w:t>
      </w:r>
      <w:proofErr w:type="spellStart"/>
      <w:r w:rsidRPr="00430A28">
        <w:rPr>
          <w:rFonts w:ascii="Arial" w:hAnsi="Arial" w:cs="Arial"/>
          <w:sz w:val="20"/>
          <w:szCs w:val="20"/>
        </w:rPr>
        <w:t>Kyasanur</w:t>
      </w:r>
      <w:proofErr w:type="spellEnd"/>
      <w:r w:rsidRPr="00430A28">
        <w:rPr>
          <w:rFonts w:ascii="Arial" w:hAnsi="Arial" w:cs="Arial"/>
          <w:sz w:val="20"/>
          <w:szCs w:val="20"/>
        </w:rPr>
        <w:t xml:space="preserve"> Forest Disease</w:t>
      </w:r>
    </w:p>
    <w:p w14:paraId="0FC5469F" w14:textId="19A6E477" w:rsidR="00C07845" w:rsidRPr="00430A28" w:rsidRDefault="00430A28" w:rsidP="00430A28">
      <w:pPr>
        <w:pStyle w:val="Default"/>
        <w:suppressAutoHyphens/>
        <w:spacing w:before="0" w:after="240" w:line="240" w:lineRule="auto"/>
        <w:rPr>
          <w:rFonts w:ascii="Arial" w:eastAsia="Times New Roman" w:hAnsi="Arial" w:cs="Arial"/>
          <w:b/>
          <w:bCs/>
          <w:sz w:val="22"/>
          <w:szCs w:val="22"/>
        </w:rPr>
      </w:pPr>
      <w:r w:rsidRPr="00430A28">
        <w:rPr>
          <w:rFonts w:ascii="Arial" w:hAnsi="Arial" w:cs="Arial"/>
          <w:b/>
          <w:bCs/>
          <w:sz w:val="22"/>
          <w:szCs w:val="22"/>
        </w:rPr>
        <w:t xml:space="preserve">RESULT </w:t>
      </w:r>
    </w:p>
    <w:p w14:paraId="2561268A" w14:textId="094FD53D" w:rsidR="00C07845" w:rsidRPr="00430A28" w:rsidRDefault="00430A28" w:rsidP="00430A28">
      <w:pPr>
        <w:pStyle w:val="Body"/>
        <w:numPr>
          <w:ilvl w:val="0"/>
          <w:numId w:val="4"/>
        </w:numPr>
        <w:rPr>
          <w:rFonts w:ascii="Arial" w:eastAsia="Times New Roman" w:hAnsi="Arial" w:cs="Arial"/>
          <w:b/>
          <w:bCs/>
        </w:rPr>
      </w:pPr>
      <w:proofErr w:type="spellStart"/>
      <w:r w:rsidRPr="00430A28">
        <w:rPr>
          <w:rFonts w:ascii="Arial" w:hAnsi="Arial" w:cs="Arial"/>
          <w:b/>
          <w:bCs/>
        </w:rPr>
        <w:t>Etiology</w:t>
      </w:r>
      <w:proofErr w:type="spellEnd"/>
    </w:p>
    <w:p w14:paraId="08C0861D" w14:textId="77777777" w:rsidR="00430A28" w:rsidRDefault="00430A28">
      <w:pPr>
        <w:pStyle w:val="Default"/>
        <w:suppressAutoHyphens/>
        <w:spacing w:before="0" w:after="240" w:line="240" w:lineRule="auto"/>
        <w:jc w:val="both"/>
        <w:rPr>
          <w:rFonts w:ascii="Arial" w:hAnsi="Arial"/>
          <w:sz w:val="20"/>
          <w:szCs w:val="20"/>
        </w:rPr>
      </w:pPr>
    </w:p>
    <w:p w14:paraId="599A2757" w14:textId="38E6C92D" w:rsidR="00C07845" w:rsidRDefault="00D417C3">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virus (KFDV) is a zoonotic, tick-borne flavivirus belonging to the family Flaviviridae and genus Flavivirus. It is classified within the Tick-Borne Encephalitis Virus (TBEV) </w:t>
      </w:r>
      <w:proofErr w:type="spellStart"/>
      <w:r>
        <w:rPr>
          <w:rFonts w:ascii="Arial" w:hAnsi="Arial"/>
          <w:sz w:val="20"/>
          <w:szCs w:val="20"/>
        </w:rPr>
        <w:t>serocomplex</w:t>
      </w:r>
      <w:proofErr w:type="spellEnd"/>
      <w:r>
        <w:rPr>
          <w:rFonts w:ascii="Arial" w:hAnsi="Arial"/>
          <w:sz w:val="20"/>
          <w:szCs w:val="20"/>
        </w:rPr>
        <w:t xml:space="preserve">, which also includes </w:t>
      </w:r>
      <w:proofErr w:type="spellStart"/>
      <w:r>
        <w:rPr>
          <w:rFonts w:ascii="Arial" w:hAnsi="Arial"/>
          <w:sz w:val="20"/>
          <w:szCs w:val="20"/>
        </w:rPr>
        <w:t>Alkhumra</w:t>
      </w:r>
      <w:proofErr w:type="spellEnd"/>
      <w:r>
        <w:rPr>
          <w:rFonts w:ascii="Arial" w:hAnsi="Arial"/>
          <w:sz w:val="20"/>
          <w:szCs w:val="20"/>
        </w:rPr>
        <w:t xml:space="preserve"> hemorrhagic fever virus (AHFV) and Omsk hemorrhagic fever virus (OHFV) (35). This taxonomic grouping reflects the close genetic and antigenic relationships among these viruses, which share conserved structural features and a common evolutionary ancestry characteristic of tick-borne flaviviruses (35).</w:t>
      </w:r>
    </w:p>
    <w:p w14:paraId="09E410FF"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In nature, KFDV is maintained through enzootic transmission cycles involving </w:t>
      </w:r>
      <w:proofErr w:type="spellStart"/>
      <w:r>
        <w:rPr>
          <w:rFonts w:ascii="Arial" w:hAnsi="Arial"/>
          <w:sz w:val="20"/>
          <w:szCs w:val="20"/>
        </w:rPr>
        <w:t>Haemaphysalis</w:t>
      </w:r>
      <w:proofErr w:type="spellEnd"/>
      <w:r>
        <w:rPr>
          <w:rFonts w:ascii="Arial" w:hAnsi="Arial"/>
          <w:sz w:val="20"/>
          <w:szCs w:val="20"/>
        </w:rPr>
        <w:t xml:space="preserve"> ticks and a wide range of vertebrate hosts and is classically associated with the Indian subcontinent (8,10). The virus is the etiological agent of </w:t>
      </w:r>
      <w:proofErr w:type="spellStart"/>
      <w:r>
        <w:rPr>
          <w:rFonts w:ascii="Arial" w:hAnsi="Arial"/>
          <w:sz w:val="20"/>
          <w:szCs w:val="20"/>
        </w:rPr>
        <w:t>Kyasanur</w:t>
      </w:r>
      <w:proofErr w:type="spellEnd"/>
      <w:r>
        <w:rPr>
          <w:rFonts w:ascii="Arial" w:hAnsi="Arial"/>
          <w:sz w:val="20"/>
          <w:szCs w:val="20"/>
        </w:rPr>
        <w:t xml:space="preserve"> Forest disease, a viral hemorrhagic fever endemic to forested regions of southern India. AHFV represents a closely related member of this lineage, sharing approximately 89% nucleotide sequence homology with KFDV, and is therefore regarded as a variant within the KFDV evolutionary clade. Its emergence is hypothesized to have resulted from the historical movement or introduction of a KFDV-like virus into the Arabian Peninsula (2,10). While KFDV remains geographically restricted to South Asia, AHFV has been reported predominantly from Saudi Arabia and, to a lesser extent, Egypt (8,10).</w:t>
      </w:r>
    </w:p>
    <w:p w14:paraId="0D6CB8B1" w14:textId="77777777" w:rsidR="00C07845" w:rsidRDefault="00C07845">
      <w:pPr>
        <w:pStyle w:val="Body"/>
        <w:jc w:val="both"/>
        <w:rPr>
          <w:rFonts w:ascii="Times New Roman" w:eastAsia="Times New Roman" w:hAnsi="Times New Roman" w:cs="Times New Roman"/>
          <w:sz w:val="28"/>
          <w:szCs w:val="28"/>
        </w:rPr>
      </w:pPr>
    </w:p>
    <w:p w14:paraId="1EF61EAB" w14:textId="65C413D5" w:rsidR="00C07845" w:rsidRPr="00430A28" w:rsidRDefault="00D417C3" w:rsidP="00430A28">
      <w:pPr>
        <w:pStyle w:val="Body"/>
        <w:numPr>
          <w:ilvl w:val="0"/>
          <w:numId w:val="4"/>
        </w:numPr>
        <w:rPr>
          <w:rFonts w:ascii="Arial" w:eastAsia="Times New Roman" w:hAnsi="Arial" w:cs="Arial"/>
          <w:b/>
          <w:bCs/>
        </w:rPr>
      </w:pPr>
      <w:r w:rsidRPr="00430A28">
        <w:rPr>
          <w:rFonts w:ascii="Arial" w:hAnsi="Arial" w:cs="Arial"/>
          <w:b/>
          <w:bCs/>
        </w:rPr>
        <w:t>Virology</w:t>
      </w:r>
    </w:p>
    <w:p w14:paraId="63033AB8" w14:textId="77777777" w:rsidR="00C07845" w:rsidRDefault="00C07845">
      <w:pPr>
        <w:pStyle w:val="Body"/>
        <w:jc w:val="both"/>
        <w:rPr>
          <w:rFonts w:ascii="Times New Roman" w:eastAsia="Times New Roman" w:hAnsi="Times New Roman" w:cs="Times New Roman"/>
          <w:sz w:val="28"/>
          <w:szCs w:val="28"/>
        </w:rPr>
      </w:pPr>
    </w:p>
    <w:p w14:paraId="0DF09251" w14:textId="77777777" w:rsidR="00C07845" w:rsidRDefault="00D417C3">
      <w:pPr>
        <w:pStyle w:val="Body"/>
        <w:jc w:val="both"/>
        <w:rPr>
          <w:rFonts w:ascii="Arial" w:eastAsia="Arial" w:hAnsi="Arial" w:cs="Arial"/>
          <w:sz w:val="20"/>
          <w:szCs w:val="20"/>
        </w:rPr>
      </w:pPr>
      <w:r>
        <w:rPr>
          <w:rFonts w:ascii="Arial" w:hAnsi="Arial"/>
          <w:sz w:val="20"/>
          <w:szCs w:val="20"/>
          <w:lang w:val="en-US"/>
        </w:rPr>
        <w:lastRenderedPageBreak/>
        <w:t>Both viruses belong to the genus Flavivirus (family Flaviviridae) and form enveloped virions with an icosahedral nucleocapsid, typically described within the ~40</w:t>
      </w:r>
      <w:r>
        <w:rPr>
          <w:rFonts w:ascii="Arial" w:hAnsi="Arial"/>
          <w:sz w:val="20"/>
          <w:szCs w:val="20"/>
        </w:rPr>
        <w:t>–</w:t>
      </w:r>
      <w:r>
        <w:rPr>
          <w:rFonts w:ascii="Arial" w:hAnsi="Arial"/>
          <w:sz w:val="20"/>
          <w:szCs w:val="20"/>
          <w:lang w:val="en-US"/>
        </w:rPr>
        <w:t xml:space="preserve">65 nm size range (2,10). The viral genome consists of a positive-sense, single-stranded RNA of 10,774 nucleotides (~11 kb) that is translated as a single polyprotein (2,10). This polyprotein is subsequently processed into three structural proteins (C, </w:t>
      </w:r>
      <w:proofErr w:type="spellStart"/>
      <w:r>
        <w:rPr>
          <w:rFonts w:ascii="Arial" w:hAnsi="Arial"/>
          <w:sz w:val="20"/>
          <w:szCs w:val="20"/>
          <w:lang w:val="en-US"/>
        </w:rPr>
        <w:t>prM</w:t>
      </w:r>
      <w:proofErr w:type="spellEnd"/>
      <w:r>
        <w:rPr>
          <w:rFonts w:ascii="Arial" w:hAnsi="Arial"/>
          <w:sz w:val="20"/>
          <w:szCs w:val="20"/>
          <w:lang w:val="en-US"/>
        </w:rPr>
        <w:t>/M, E) and seven non-structural proteins (NS1</w:t>
      </w:r>
      <w:r>
        <w:rPr>
          <w:rFonts w:ascii="Arial" w:hAnsi="Arial"/>
          <w:sz w:val="20"/>
          <w:szCs w:val="20"/>
        </w:rPr>
        <w:t>–</w:t>
      </w:r>
      <w:r>
        <w:rPr>
          <w:rFonts w:ascii="Arial" w:hAnsi="Arial"/>
          <w:sz w:val="20"/>
          <w:szCs w:val="20"/>
          <w:lang w:val="en-US"/>
        </w:rPr>
        <w:t>NS5), consistent with canonical flavivirus genome organization (2,10).</w:t>
      </w:r>
    </w:p>
    <w:p w14:paraId="6129EF5C" w14:textId="77777777" w:rsidR="00C07845" w:rsidRDefault="00C07845">
      <w:pPr>
        <w:pStyle w:val="Body"/>
        <w:jc w:val="both"/>
        <w:rPr>
          <w:rFonts w:ascii="Arial" w:eastAsia="Arial" w:hAnsi="Arial" w:cs="Arial"/>
          <w:sz w:val="20"/>
          <w:szCs w:val="20"/>
        </w:rPr>
      </w:pPr>
    </w:p>
    <w:p w14:paraId="20D096A2" w14:textId="77777777" w:rsidR="00C07845" w:rsidRDefault="00C07845">
      <w:pPr>
        <w:pStyle w:val="Body"/>
        <w:jc w:val="both"/>
        <w:rPr>
          <w:rFonts w:ascii="Times New Roman" w:eastAsia="Times New Roman" w:hAnsi="Times New Roman" w:cs="Times New Roman"/>
          <w:sz w:val="28"/>
          <w:szCs w:val="28"/>
        </w:rPr>
      </w:pPr>
    </w:p>
    <w:p w14:paraId="7D2F8224" w14:textId="1C801409" w:rsidR="00C07845" w:rsidRPr="00430A28" w:rsidRDefault="00D417C3" w:rsidP="00430A28">
      <w:pPr>
        <w:pStyle w:val="Body"/>
        <w:numPr>
          <w:ilvl w:val="0"/>
          <w:numId w:val="4"/>
        </w:numPr>
        <w:jc w:val="both"/>
        <w:rPr>
          <w:rFonts w:ascii="Arial" w:eastAsia="Times New Roman" w:hAnsi="Arial" w:cs="Arial"/>
          <w:b/>
          <w:bCs/>
        </w:rPr>
      </w:pPr>
      <w:r w:rsidRPr="00430A28">
        <w:rPr>
          <w:rFonts w:ascii="Arial" w:hAnsi="Arial" w:cs="Arial"/>
          <w:b/>
          <w:bCs/>
          <w:lang w:val="en-US"/>
        </w:rPr>
        <w:t>Vectors and hosts</w:t>
      </w:r>
    </w:p>
    <w:p w14:paraId="22A08F3F" w14:textId="77777777" w:rsidR="00C07845" w:rsidRDefault="00C07845">
      <w:pPr>
        <w:pStyle w:val="Body"/>
        <w:jc w:val="both"/>
        <w:rPr>
          <w:rFonts w:ascii="Times New Roman" w:eastAsia="Times New Roman" w:hAnsi="Times New Roman" w:cs="Times New Roman"/>
          <w:sz w:val="48"/>
          <w:szCs w:val="48"/>
        </w:rPr>
      </w:pPr>
    </w:p>
    <w:p w14:paraId="04A43A95"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For KFDV, </w:t>
      </w:r>
      <w:proofErr w:type="spellStart"/>
      <w:r>
        <w:rPr>
          <w:rFonts w:ascii="Arial" w:hAnsi="Arial"/>
          <w:sz w:val="20"/>
          <w:szCs w:val="20"/>
          <w:lang w:val="en-US"/>
        </w:rPr>
        <w:t>Haemaphysalis</w:t>
      </w:r>
      <w:proofErr w:type="spellEnd"/>
      <w:r>
        <w:rPr>
          <w:rFonts w:ascii="Arial" w:hAnsi="Arial"/>
          <w:sz w:val="20"/>
          <w:szCs w:val="20"/>
          <w:lang w:val="en-US"/>
        </w:rPr>
        <w:t xml:space="preserve"> </w:t>
      </w:r>
      <w:proofErr w:type="spellStart"/>
      <w:r>
        <w:rPr>
          <w:rFonts w:ascii="Arial" w:hAnsi="Arial"/>
          <w:sz w:val="20"/>
          <w:szCs w:val="20"/>
          <w:lang w:val="en-US"/>
        </w:rPr>
        <w:t>spinigera</w:t>
      </w:r>
      <w:proofErr w:type="spellEnd"/>
      <w:r>
        <w:rPr>
          <w:rFonts w:ascii="Arial" w:hAnsi="Arial"/>
          <w:sz w:val="20"/>
          <w:szCs w:val="20"/>
          <w:lang w:val="en-US"/>
        </w:rPr>
        <w:t xml:space="preserve"> is widely recognized as the principal tick vector, with human infection commonly linked to tick exposure during periods of high nymphal activity (8). The virus is maintained across multiple vertebrate hosts, particularly monkeys (notably black-faced langur and bonnet macaque) and small mammals such as rodents and shrews, with additional reports implicating birds and bats; overt disease is most prominent in non-human primates (8).</w:t>
      </w:r>
    </w:p>
    <w:p w14:paraId="2B681FAD"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In contrast, AHFV transmission has been linked primarily to ticks such as </w:t>
      </w:r>
      <w:proofErr w:type="spellStart"/>
      <w:r>
        <w:rPr>
          <w:rFonts w:ascii="Arial" w:hAnsi="Arial"/>
          <w:sz w:val="20"/>
          <w:szCs w:val="20"/>
          <w:lang w:val="en-US"/>
        </w:rPr>
        <w:t>Ornithodoros</w:t>
      </w:r>
      <w:proofErr w:type="spellEnd"/>
      <w:r>
        <w:rPr>
          <w:rFonts w:ascii="Arial" w:hAnsi="Arial"/>
          <w:sz w:val="20"/>
          <w:szCs w:val="20"/>
          <w:lang w:val="en-US"/>
        </w:rPr>
        <w:t xml:space="preserve"> savignyi, with additional reports involving </w:t>
      </w:r>
      <w:proofErr w:type="spellStart"/>
      <w:r>
        <w:rPr>
          <w:rFonts w:ascii="Arial" w:hAnsi="Arial"/>
          <w:sz w:val="20"/>
          <w:szCs w:val="20"/>
          <w:lang w:val="en-US"/>
        </w:rPr>
        <w:t>Hyalomma</w:t>
      </w:r>
      <w:proofErr w:type="spellEnd"/>
      <w:r>
        <w:rPr>
          <w:rFonts w:ascii="Arial" w:hAnsi="Arial"/>
          <w:sz w:val="20"/>
          <w:szCs w:val="20"/>
          <w:lang w:val="en-US"/>
        </w:rPr>
        <w:t xml:space="preserve"> species, and epidemiologic associations with livestock, including camels and sheep. Human infection occurs through tick bites or contact with infectious animal fluids, and sustained human-to-human transmission has not been documented (8,10)</w:t>
      </w:r>
    </w:p>
    <w:p w14:paraId="5493F681" w14:textId="77777777" w:rsidR="00C07845" w:rsidRDefault="00C07845">
      <w:pPr>
        <w:pStyle w:val="Body"/>
        <w:jc w:val="both"/>
        <w:rPr>
          <w:rFonts w:ascii="Arial" w:eastAsia="Arial" w:hAnsi="Arial" w:cs="Arial"/>
          <w:sz w:val="20"/>
          <w:szCs w:val="20"/>
        </w:rPr>
      </w:pPr>
    </w:p>
    <w:p w14:paraId="4B6497B7" w14:textId="7D7630C3" w:rsidR="00C07845" w:rsidRPr="00430A28" w:rsidRDefault="00D417C3" w:rsidP="00430A28">
      <w:pPr>
        <w:pStyle w:val="Body"/>
        <w:numPr>
          <w:ilvl w:val="0"/>
          <w:numId w:val="4"/>
        </w:numPr>
        <w:rPr>
          <w:rFonts w:ascii="Arial" w:eastAsia="Times New Roman" w:hAnsi="Arial" w:cs="Arial"/>
          <w:b/>
          <w:bCs/>
        </w:rPr>
      </w:pPr>
      <w:r w:rsidRPr="00430A28">
        <w:rPr>
          <w:rFonts w:ascii="Arial" w:hAnsi="Arial" w:cs="Arial"/>
          <w:b/>
          <w:bCs/>
          <w:lang w:val="en-US"/>
        </w:rPr>
        <w:t>Transmission Cycle and Zoonotic Ecology</w:t>
      </w:r>
    </w:p>
    <w:p w14:paraId="6D1D340D" w14:textId="77777777" w:rsidR="00C07845" w:rsidRDefault="00C07845">
      <w:pPr>
        <w:pStyle w:val="Body"/>
        <w:jc w:val="both"/>
        <w:rPr>
          <w:rFonts w:ascii="Times New Roman" w:eastAsia="Times New Roman" w:hAnsi="Times New Roman" w:cs="Times New Roman"/>
          <w:sz w:val="48"/>
          <w:szCs w:val="48"/>
        </w:rPr>
      </w:pPr>
    </w:p>
    <w:p w14:paraId="1462B822" w14:textId="792F7FB2" w:rsidR="00C07845" w:rsidRDefault="00D417C3">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(KFD) is a zoonosis in which humans do not contribute meaningfully to onward transmission and are regarded as incidental, dead-end hosts (3,10,11). In the natural enzootic cycle, </w:t>
      </w:r>
      <w:proofErr w:type="spellStart"/>
      <w:r>
        <w:rPr>
          <w:rFonts w:ascii="Arial" w:hAnsi="Arial"/>
          <w:sz w:val="20"/>
          <w:szCs w:val="20"/>
        </w:rPr>
        <w:t>Haemaphysalis</w:t>
      </w:r>
      <w:proofErr w:type="spellEnd"/>
      <w:r>
        <w:rPr>
          <w:rFonts w:ascii="Arial" w:hAnsi="Arial"/>
          <w:sz w:val="20"/>
          <w:szCs w:val="20"/>
        </w:rPr>
        <w:t xml:space="preserve"> ticks act as the principal vectors and maintenance hosts, transmitting </w:t>
      </w:r>
      <w:proofErr w:type="spellStart"/>
      <w:r>
        <w:rPr>
          <w:rFonts w:ascii="Arial" w:hAnsi="Arial"/>
          <w:sz w:val="20"/>
          <w:szCs w:val="20"/>
        </w:rPr>
        <w:t>Kyasanur</w:t>
      </w:r>
      <w:proofErr w:type="spellEnd"/>
      <w:r>
        <w:rPr>
          <w:rFonts w:ascii="Arial" w:hAnsi="Arial"/>
          <w:sz w:val="20"/>
          <w:szCs w:val="20"/>
        </w:rPr>
        <w:t xml:space="preserve"> Forest disease virus (KFDV) while feeding on non-human vertebrate hosts such as small mammals, with additional reports implicating ground birds (10,11). Among these ticks, </w:t>
      </w:r>
      <w:proofErr w:type="spellStart"/>
      <w:r>
        <w:rPr>
          <w:rFonts w:ascii="Arial" w:hAnsi="Arial"/>
          <w:sz w:val="20"/>
          <w:szCs w:val="20"/>
        </w:rPr>
        <w:t>Haemaphysalis</w:t>
      </w:r>
      <w:proofErr w:type="spellEnd"/>
      <w:r>
        <w:rPr>
          <w:rFonts w:ascii="Arial" w:hAnsi="Arial"/>
          <w:sz w:val="20"/>
          <w:szCs w:val="20"/>
        </w:rPr>
        <w:t xml:space="preserve"> </w:t>
      </w:r>
      <w:proofErr w:type="spellStart"/>
      <w:r>
        <w:rPr>
          <w:rFonts w:ascii="Arial" w:hAnsi="Arial"/>
          <w:sz w:val="20"/>
          <w:szCs w:val="20"/>
        </w:rPr>
        <w:t>spinigera</w:t>
      </w:r>
      <w:proofErr w:type="spellEnd"/>
      <w:r>
        <w:rPr>
          <w:rFonts w:ascii="Arial" w:hAnsi="Arial"/>
          <w:sz w:val="20"/>
          <w:szCs w:val="20"/>
        </w:rPr>
        <w:t xml:space="preserve"> is described as the major vector, accounting for most virus isolations, with </w:t>
      </w:r>
      <w:proofErr w:type="spellStart"/>
      <w:r>
        <w:rPr>
          <w:rFonts w:ascii="Arial" w:hAnsi="Arial"/>
          <w:sz w:val="20"/>
          <w:szCs w:val="20"/>
        </w:rPr>
        <w:t>Haemaphysalis</w:t>
      </w:r>
      <w:proofErr w:type="spellEnd"/>
      <w:r>
        <w:rPr>
          <w:rFonts w:ascii="Arial" w:hAnsi="Arial"/>
          <w:sz w:val="20"/>
          <w:szCs w:val="20"/>
        </w:rPr>
        <w:t xml:space="preserve"> </w:t>
      </w:r>
      <w:proofErr w:type="spellStart"/>
      <w:r>
        <w:rPr>
          <w:rFonts w:ascii="Arial" w:hAnsi="Arial"/>
          <w:sz w:val="20"/>
          <w:szCs w:val="20"/>
        </w:rPr>
        <w:t>turturis</w:t>
      </w:r>
      <w:proofErr w:type="spellEnd"/>
      <w:r>
        <w:rPr>
          <w:rFonts w:ascii="Arial" w:hAnsi="Arial"/>
          <w:sz w:val="20"/>
          <w:szCs w:val="20"/>
        </w:rPr>
        <w:t xml:space="preserve"> also repeatedly implicated; additional </w:t>
      </w:r>
      <w:proofErr w:type="spellStart"/>
      <w:r>
        <w:rPr>
          <w:rFonts w:ascii="Arial" w:hAnsi="Arial"/>
          <w:sz w:val="20"/>
          <w:szCs w:val="20"/>
        </w:rPr>
        <w:t>Haemaphysalis</w:t>
      </w:r>
      <w:proofErr w:type="spellEnd"/>
      <w:r>
        <w:rPr>
          <w:rFonts w:ascii="Arial" w:hAnsi="Arial"/>
          <w:sz w:val="20"/>
          <w:szCs w:val="20"/>
        </w:rPr>
        <w:t xml:space="preserve"> species and other genera (e.g., Ixodes) have been reported with the capacity to develop infection (10,11). KFDV persists in tick populations through transstadial transmission across life stages and transovarial transmission to progeny, and an efficient route of spread between ticks occurs via co-feeding on the same mammalian host even in the absence of established host infection (3,11). Small mammals—particularly rodents and shrews—support ongoing viral circulation by continually replenishing susceptible host populations, while monkeys such as the red-faced bonnet monkey (Macaca radiata) and black-faced langur are highly susceptible and can generate local hotspots when infected ticks drop from carcasses following monkey deaths (10,11). Domestic and wild mammals further serve as important hosts for maintaining adult Ixodidae tick populations in forest fringes and deep forest regions (42). Human infection typically occurs accidentally in forest or woodland settings through bites of infected nymphs, which are described as relatively anthropophilic, and proximity to forested areas or dead-monkey sites, along with ecological disruption such as deforestation, increases the likelihood of tick–human contact (10,11). Because KFDV is not detected in body secretions except blood and humans are dead-end hosts, nosocomial spread and human-to-human transmission are considered unlikely (3).</w:t>
      </w:r>
      <w:r w:rsidR="00430A28">
        <w:rPr>
          <w:rFonts w:ascii="Arial" w:hAnsi="Arial"/>
          <w:sz w:val="20"/>
          <w:szCs w:val="20"/>
        </w:rPr>
        <w:t xml:space="preserve"> (Figure no. 1)</w:t>
      </w:r>
    </w:p>
    <w:p w14:paraId="2A3EA8ED" w14:textId="77777777" w:rsidR="00C07845" w:rsidRDefault="00C07845">
      <w:pPr>
        <w:pStyle w:val="Body"/>
        <w:jc w:val="both"/>
        <w:rPr>
          <w:rFonts w:ascii="Times New Roman" w:eastAsia="Times New Roman" w:hAnsi="Times New Roman" w:cs="Times New Roman"/>
        </w:rPr>
      </w:pPr>
    </w:p>
    <w:p w14:paraId="1C86BCC1" w14:textId="421D7069" w:rsidR="00430A28" w:rsidRDefault="00430A28" w:rsidP="00430A28">
      <w:pPr>
        <w:pStyle w:val="Body"/>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14:anchorId="7E6E362C" wp14:editId="65212181">
            <wp:extent cx="6114217" cy="8669586"/>
            <wp:effectExtent l="0" t="0" r="0" b="0"/>
            <wp:docPr id="1073741825" name="officeArt object" descr="Kyasanur Forest Disease.jpeg"/>
            <wp:cNvGraphicFramePr/>
            <a:graphic xmlns:a="http://schemas.openxmlformats.org/drawingml/2006/main">
              <a:graphicData uri="http://schemas.openxmlformats.org/drawingml/2006/picture">
                <pic:pic xmlns:pic="http://schemas.openxmlformats.org/drawingml/2006/picture">
                  <pic:nvPicPr>
                    <pic:cNvPr id="1073741825" name="Kyasanur Forest Disease.jpeg" descr="Kyasanur Forest Disease.jpeg"/>
                    <pic:cNvPicPr>
                      <a:picLocks noChangeAspect="1"/>
                    </pic:cNvPicPr>
                  </pic:nvPicPr>
                  <pic:blipFill>
                    <a:blip r:embed="rId7"/>
                    <a:stretch>
                      <a:fillRect/>
                    </a:stretch>
                  </pic:blipFill>
                  <pic:spPr>
                    <a:xfrm>
                      <a:off x="0" y="0"/>
                      <a:ext cx="6114217" cy="8669586"/>
                    </a:xfrm>
                    <a:prstGeom prst="rect">
                      <a:avLst/>
                    </a:prstGeom>
                    <a:ln w="12700" cap="flat">
                      <a:noFill/>
                      <a:miter lim="400000"/>
                    </a:ln>
                    <a:effectLst/>
                  </pic:spPr>
                </pic:pic>
              </a:graphicData>
            </a:graphic>
          </wp:inline>
        </w:drawing>
      </w:r>
    </w:p>
    <w:p w14:paraId="3944CBAB" w14:textId="1B48C193" w:rsidR="00430A28" w:rsidRPr="00430A28" w:rsidRDefault="00430A28" w:rsidP="00430A28">
      <w:pPr>
        <w:pStyle w:val="Body"/>
        <w:jc w:val="center"/>
        <w:rPr>
          <w:rFonts w:ascii="Arial" w:eastAsia="Times New Roman" w:hAnsi="Arial" w:cs="Arial"/>
          <w:b/>
          <w:bCs/>
        </w:rPr>
      </w:pPr>
      <w:r w:rsidRPr="00430A28">
        <w:rPr>
          <w:rFonts w:ascii="Arial" w:eastAsia="Times New Roman" w:hAnsi="Arial" w:cs="Arial"/>
          <w:b/>
          <w:bCs/>
        </w:rPr>
        <w:t xml:space="preserve">Figure no. 1: </w:t>
      </w:r>
      <w:r w:rsidRPr="00430A28">
        <w:rPr>
          <w:rFonts w:ascii="Arial" w:hAnsi="Arial" w:cs="Arial"/>
          <w:b/>
          <w:bCs/>
          <w:lang w:val="en-US"/>
        </w:rPr>
        <w:t>Transmission Cycle</w:t>
      </w:r>
      <w:r w:rsidRPr="00430A28">
        <w:rPr>
          <w:rFonts w:ascii="Arial" w:eastAsia="Times New Roman" w:hAnsi="Arial" w:cs="Arial"/>
          <w:b/>
          <w:bCs/>
        </w:rPr>
        <w:t xml:space="preserve"> of </w:t>
      </w:r>
      <w:proofErr w:type="spellStart"/>
      <w:r w:rsidRPr="00430A28">
        <w:rPr>
          <w:rFonts w:ascii="Arial" w:hAnsi="Arial" w:cs="Arial"/>
          <w:b/>
          <w:bCs/>
          <w:lang w:val="en-US"/>
        </w:rPr>
        <w:t>Kyasanur</w:t>
      </w:r>
      <w:proofErr w:type="spellEnd"/>
      <w:r w:rsidRPr="00430A28">
        <w:rPr>
          <w:rFonts w:ascii="Arial" w:hAnsi="Arial" w:cs="Arial"/>
          <w:b/>
          <w:bCs/>
          <w:lang w:val="en-US"/>
        </w:rPr>
        <w:t xml:space="preserve"> Forest Disease</w:t>
      </w:r>
    </w:p>
    <w:p w14:paraId="40E344E5" w14:textId="77777777" w:rsidR="00C07845" w:rsidRDefault="00C07845">
      <w:pPr>
        <w:pStyle w:val="Body"/>
        <w:jc w:val="both"/>
        <w:rPr>
          <w:rFonts w:ascii="Times New Roman" w:eastAsia="Times New Roman" w:hAnsi="Times New Roman" w:cs="Times New Roman"/>
        </w:rPr>
      </w:pPr>
    </w:p>
    <w:p w14:paraId="69D6D2E4" w14:textId="45A16F5F" w:rsidR="00C07845" w:rsidRPr="00430A28" w:rsidRDefault="00D417C3" w:rsidP="00430A28">
      <w:pPr>
        <w:pStyle w:val="Body"/>
        <w:numPr>
          <w:ilvl w:val="0"/>
          <w:numId w:val="4"/>
        </w:numPr>
        <w:rPr>
          <w:rFonts w:ascii="Arial" w:eastAsia="Times New Roman" w:hAnsi="Arial" w:cs="Arial"/>
          <w:b/>
          <w:bCs/>
        </w:rPr>
      </w:pPr>
      <w:r w:rsidRPr="00430A28">
        <w:rPr>
          <w:rFonts w:ascii="Arial" w:hAnsi="Arial" w:cs="Arial"/>
          <w:b/>
          <w:bCs/>
          <w:lang w:val="en-US"/>
        </w:rPr>
        <w:t>Epidemiology</w:t>
      </w:r>
    </w:p>
    <w:p w14:paraId="71655C87" w14:textId="77777777" w:rsidR="00C07845" w:rsidRDefault="00C07845">
      <w:pPr>
        <w:pStyle w:val="Body"/>
        <w:jc w:val="both"/>
        <w:rPr>
          <w:rFonts w:ascii="Times New Roman" w:eastAsia="Times New Roman" w:hAnsi="Times New Roman" w:cs="Times New Roman"/>
          <w:sz w:val="48"/>
          <w:szCs w:val="48"/>
        </w:rPr>
      </w:pPr>
    </w:p>
    <w:p w14:paraId="589B8FDE" w14:textId="5BCC3C1F" w:rsidR="00C07845" w:rsidRDefault="00D417C3">
      <w:pPr>
        <w:pStyle w:val="Body"/>
        <w:jc w:val="both"/>
        <w:rPr>
          <w:rFonts w:ascii="Arial" w:eastAsia="Arial" w:hAnsi="Arial" w:cs="Arial"/>
          <w:sz w:val="20"/>
          <w:szCs w:val="20"/>
        </w:rPr>
      </w:pPr>
      <w:proofErr w:type="spellStart"/>
      <w:r>
        <w:rPr>
          <w:rFonts w:ascii="Arial" w:hAnsi="Arial"/>
          <w:sz w:val="20"/>
          <w:szCs w:val="20"/>
          <w:lang w:val="en-US"/>
        </w:rPr>
        <w:t>Kyasanur</w:t>
      </w:r>
      <w:proofErr w:type="spellEnd"/>
      <w:r>
        <w:rPr>
          <w:rFonts w:ascii="Arial" w:hAnsi="Arial"/>
          <w:sz w:val="20"/>
          <w:szCs w:val="20"/>
          <w:lang w:val="en-US"/>
        </w:rPr>
        <w:t xml:space="preserve"> Forest disease (KFD) is an endemic tick-borne viral disease restricted to India, with transmission largely confined to the Western Ghats region (1). Since its first identification in 1957, approximately 10,000 human cases were reported through 2017, with major epidemic peaks recorded in 1957</w:t>
      </w:r>
      <w:r>
        <w:rPr>
          <w:rFonts w:ascii="Arial" w:hAnsi="Arial"/>
          <w:sz w:val="20"/>
          <w:szCs w:val="20"/>
        </w:rPr>
        <w:t>–</w:t>
      </w:r>
      <w:r>
        <w:rPr>
          <w:rFonts w:ascii="Arial" w:hAnsi="Arial"/>
          <w:sz w:val="20"/>
          <w:szCs w:val="20"/>
          <w:lang w:val="it-IT"/>
        </w:rPr>
        <w:t>1958 (681 cases), 1983</w:t>
      </w:r>
      <w:r>
        <w:rPr>
          <w:rFonts w:ascii="Arial" w:hAnsi="Arial"/>
          <w:sz w:val="20"/>
          <w:szCs w:val="20"/>
        </w:rPr>
        <w:t>–</w:t>
      </w:r>
      <w:r>
        <w:rPr>
          <w:rFonts w:ascii="Arial" w:hAnsi="Arial"/>
          <w:sz w:val="20"/>
          <w:szCs w:val="20"/>
          <w:lang w:val="it-IT"/>
        </w:rPr>
        <w:t>1984 (2589 cases), 2002</w:t>
      </w:r>
      <w:r>
        <w:rPr>
          <w:rFonts w:ascii="Arial" w:hAnsi="Arial"/>
          <w:sz w:val="20"/>
          <w:szCs w:val="20"/>
        </w:rPr>
        <w:t>–</w:t>
      </w:r>
      <w:r>
        <w:rPr>
          <w:rFonts w:ascii="Arial" w:hAnsi="Arial"/>
          <w:sz w:val="20"/>
          <w:szCs w:val="20"/>
          <w:lang w:val="en-US"/>
        </w:rPr>
        <w:t>2003 (1562 cases), and 2016</w:t>
      </w:r>
      <w:r>
        <w:rPr>
          <w:rFonts w:ascii="Arial" w:hAnsi="Arial"/>
          <w:sz w:val="20"/>
          <w:szCs w:val="20"/>
        </w:rPr>
        <w:t>–</w:t>
      </w:r>
      <w:r>
        <w:rPr>
          <w:rFonts w:ascii="Arial" w:hAnsi="Arial"/>
          <w:sz w:val="20"/>
          <w:szCs w:val="20"/>
          <w:lang w:val="it-IT"/>
        </w:rPr>
        <w:t xml:space="preserve">2017 (809 cases) (10). </w:t>
      </w:r>
      <w:r>
        <w:rPr>
          <w:rFonts w:ascii="Arial" w:hAnsi="Arial"/>
          <w:sz w:val="20"/>
          <w:szCs w:val="20"/>
          <w:lang w:val="en-US"/>
        </w:rPr>
        <w:t>Highlighting the ongoing challenge, recent surveillance data from 2019</w:t>
      </w:r>
      <w:r>
        <w:rPr>
          <w:rFonts w:ascii="Arial" w:hAnsi="Arial"/>
          <w:sz w:val="20"/>
          <w:szCs w:val="20"/>
        </w:rPr>
        <w:t>–</w:t>
      </w:r>
      <w:r>
        <w:rPr>
          <w:rFonts w:ascii="Arial" w:hAnsi="Arial"/>
          <w:sz w:val="20"/>
          <w:szCs w:val="20"/>
          <w:lang w:val="en-US"/>
        </w:rPr>
        <w:t>2024 indicate an additional 700</w:t>
      </w:r>
      <w:r>
        <w:rPr>
          <w:rFonts w:ascii="Arial" w:hAnsi="Arial"/>
          <w:sz w:val="20"/>
          <w:szCs w:val="20"/>
        </w:rPr>
        <w:t>–</w:t>
      </w:r>
      <w:r>
        <w:rPr>
          <w:rFonts w:ascii="Arial" w:hAnsi="Arial"/>
          <w:sz w:val="20"/>
          <w:szCs w:val="20"/>
          <w:lang w:val="en-US"/>
        </w:rPr>
        <w:t>900 cases, predominantly from Karnataka, with increasing reports from Kerala, Tamil Nadu, Goa, and Maharashtra, reflecting geographic expansion within the Western Ghats landscape (10). Notable outbreaks include Kerala in 2013</w:t>
      </w:r>
      <w:r>
        <w:rPr>
          <w:rFonts w:ascii="Arial" w:hAnsi="Arial"/>
          <w:sz w:val="20"/>
          <w:szCs w:val="20"/>
        </w:rPr>
        <w:t>–</w:t>
      </w:r>
      <w:r>
        <w:rPr>
          <w:rFonts w:ascii="Arial" w:hAnsi="Arial"/>
          <w:sz w:val="20"/>
          <w:szCs w:val="20"/>
          <w:lang w:val="en-US"/>
        </w:rPr>
        <w:t>2014 followed by a major outbreak in 2014</w:t>
      </w:r>
      <w:r>
        <w:rPr>
          <w:rFonts w:ascii="Arial" w:hAnsi="Arial"/>
          <w:sz w:val="20"/>
          <w:szCs w:val="20"/>
        </w:rPr>
        <w:t>–</w:t>
      </w:r>
      <w:r>
        <w:rPr>
          <w:rFonts w:ascii="Arial" w:hAnsi="Arial"/>
          <w:sz w:val="20"/>
          <w:szCs w:val="20"/>
          <w:lang w:val="en-US"/>
        </w:rPr>
        <w:t>2015 with 102 laboratory-confirmed cases and 11 deaths, North Goa in 2015</w:t>
      </w:r>
      <w:r>
        <w:rPr>
          <w:rFonts w:ascii="Arial" w:hAnsi="Arial"/>
          <w:sz w:val="20"/>
          <w:szCs w:val="20"/>
        </w:rPr>
        <w:t>–</w:t>
      </w:r>
      <w:r>
        <w:rPr>
          <w:rFonts w:ascii="Arial" w:hAnsi="Arial"/>
          <w:sz w:val="20"/>
          <w:szCs w:val="20"/>
          <w:lang w:val="en-US"/>
        </w:rPr>
        <w:t>2016 with 36 confirmed cases and one death, and Sindhudurg district of Maharashtra in 2016 with 129 cases and eight deaths (1). A recent surge was reported from Siddapur taluk of Uttara Kannada district, Karnataka, with two fatalities and 49 laboratory-confirmed cases statewide as of February 9, 2024, including 34 cases from Uttara Kannada district (6). Clinically relevant epidemiologic indicators include a reported neurological complication rate of approximately 10</w:t>
      </w:r>
      <w:r>
        <w:rPr>
          <w:rFonts w:ascii="Arial" w:hAnsi="Arial"/>
          <w:sz w:val="20"/>
          <w:szCs w:val="20"/>
        </w:rPr>
        <w:t>–</w:t>
      </w:r>
      <w:r>
        <w:rPr>
          <w:rFonts w:ascii="Arial" w:hAnsi="Arial"/>
          <w:sz w:val="20"/>
          <w:szCs w:val="20"/>
          <w:lang w:val="en-US"/>
        </w:rPr>
        <w:t>20% and an overall case fatality rate of 3</w:t>
      </w:r>
      <w:r>
        <w:rPr>
          <w:rFonts w:ascii="Arial" w:hAnsi="Arial"/>
          <w:sz w:val="20"/>
          <w:szCs w:val="20"/>
        </w:rPr>
        <w:t>–</w:t>
      </w:r>
      <w:r>
        <w:rPr>
          <w:rFonts w:ascii="Arial" w:hAnsi="Arial"/>
          <w:sz w:val="20"/>
          <w:szCs w:val="20"/>
          <w:lang w:val="en-US"/>
        </w:rPr>
        <w:t>5% (10).</w:t>
      </w:r>
      <w:r w:rsidR="000D3345">
        <w:rPr>
          <w:rFonts w:ascii="Arial" w:hAnsi="Arial"/>
          <w:sz w:val="20"/>
          <w:szCs w:val="20"/>
          <w:lang w:val="en-US"/>
        </w:rPr>
        <w:t xml:space="preserve"> </w:t>
      </w:r>
      <w:r w:rsidR="000D3345" w:rsidRPr="000D3345">
        <w:rPr>
          <w:rFonts w:ascii="Arial" w:hAnsi="Arial"/>
          <w:sz w:val="20"/>
          <w:szCs w:val="20"/>
          <w:lang w:val="en-US"/>
        </w:rPr>
        <w:t>Early epidemiological investigations established KFD as a focal zoonosis of the Western Ghats, characterized by enzootic maintenance in forest ecosystems and periodic spillover into human populations, a pattern that continues to define the disease decades after its initial description</w:t>
      </w:r>
      <w:r w:rsidR="000D3345">
        <w:rPr>
          <w:rFonts w:ascii="Arial" w:hAnsi="Arial"/>
          <w:sz w:val="20"/>
          <w:szCs w:val="20"/>
          <w:lang w:val="en-US"/>
        </w:rPr>
        <w:t>.</w:t>
      </w:r>
      <w:r>
        <w:rPr>
          <w:rFonts w:ascii="Arial" w:hAnsi="Arial"/>
          <w:sz w:val="20"/>
          <w:szCs w:val="20"/>
          <w:lang w:val="en-US"/>
        </w:rPr>
        <w:t xml:space="preserve"> The observed expansion and intensification of transmission are associated with environmental and ecological drivers, including deforestation, climatic variability, and increased human</w:t>
      </w:r>
      <w:r>
        <w:rPr>
          <w:rFonts w:ascii="Arial" w:hAnsi="Arial"/>
          <w:sz w:val="20"/>
          <w:szCs w:val="20"/>
        </w:rPr>
        <w:t>–</w:t>
      </w:r>
      <w:r>
        <w:rPr>
          <w:rFonts w:ascii="Arial" w:hAnsi="Arial"/>
          <w:sz w:val="20"/>
          <w:szCs w:val="20"/>
          <w:lang w:val="en-US"/>
        </w:rPr>
        <w:t>tick interactions in forest-fringe areas (10</w:t>
      </w:r>
      <w:r w:rsidR="000D3345">
        <w:rPr>
          <w:rFonts w:ascii="Arial" w:hAnsi="Arial"/>
          <w:sz w:val="20"/>
          <w:szCs w:val="20"/>
          <w:lang w:val="en-US"/>
        </w:rPr>
        <w:t>, 43</w:t>
      </w:r>
      <w:r>
        <w:rPr>
          <w:rFonts w:ascii="Arial" w:hAnsi="Arial"/>
          <w:sz w:val="20"/>
          <w:szCs w:val="20"/>
          <w:lang w:val="en-US"/>
        </w:rPr>
        <w:t>).</w:t>
      </w:r>
    </w:p>
    <w:p w14:paraId="62EB15FB" w14:textId="77777777" w:rsidR="00C07845" w:rsidRDefault="00C07845">
      <w:pPr>
        <w:pStyle w:val="Body"/>
        <w:jc w:val="both"/>
        <w:rPr>
          <w:rFonts w:ascii="Arial" w:eastAsia="Arial" w:hAnsi="Arial" w:cs="Arial"/>
          <w:sz w:val="20"/>
          <w:szCs w:val="20"/>
        </w:rPr>
      </w:pPr>
    </w:p>
    <w:p w14:paraId="6FB73252" w14:textId="414457B9" w:rsidR="00C07845" w:rsidRDefault="00C07845">
      <w:pPr>
        <w:pStyle w:val="Body"/>
        <w:jc w:val="both"/>
        <w:rPr>
          <w:rFonts w:ascii="Times New Roman" w:eastAsia="Times New Roman" w:hAnsi="Times New Roman" w:cs="Times New Roman"/>
        </w:rPr>
      </w:pPr>
    </w:p>
    <w:p w14:paraId="62126275" w14:textId="77777777" w:rsidR="00C07845" w:rsidRDefault="00C07845">
      <w:pPr>
        <w:pStyle w:val="Body"/>
        <w:jc w:val="both"/>
        <w:rPr>
          <w:rFonts w:ascii="Times New Roman" w:eastAsia="Times New Roman" w:hAnsi="Times New Roman" w:cs="Times New Roman"/>
        </w:rPr>
      </w:pPr>
    </w:p>
    <w:p w14:paraId="76580748" w14:textId="77777777" w:rsidR="00C07845" w:rsidRDefault="00C07845">
      <w:pPr>
        <w:pStyle w:val="Body"/>
        <w:jc w:val="both"/>
        <w:rPr>
          <w:rFonts w:ascii="Times New Roman" w:eastAsia="Times New Roman" w:hAnsi="Times New Roman" w:cs="Times New Roman"/>
        </w:rPr>
      </w:pPr>
    </w:p>
    <w:p w14:paraId="2A1C3AC3" w14:textId="4EED56F8" w:rsidR="00C07845" w:rsidRPr="00430A28" w:rsidRDefault="00D417C3" w:rsidP="00430A28">
      <w:pPr>
        <w:pStyle w:val="Heading"/>
        <w:numPr>
          <w:ilvl w:val="0"/>
          <w:numId w:val="4"/>
        </w:numPr>
        <w:jc w:val="both"/>
        <w:rPr>
          <w:rFonts w:ascii="Arial" w:eastAsia="Times New Roman" w:hAnsi="Arial" w:cs="Arial"/>
          <w:sz w:val="22"/>
          <w:szCs w:val="22"/>
        </w:rPr>
      </w:pPr>
      <w:r w:rsidRPr="00430A28">
        <w:rPr>
          <w:rFonts w:ascii="Arial" w:hAnsi="Arial" w:cs="Arial"/>
          <w:sz w:val="22"/>
          <w:szCs w:val="22"/>
          <w:lang w:val="en-US"/>
        </w:rPr>
        <w:t xml:space="preserve">Pathophysiology of </w:t>
      </w:r>
      <w:proofErr w:type="spellStart"/>
      <w:r w:rsidRPr="00430A28">
        <w:rPr>
          <w:rFonts w:ascii="Arial" w:hAnsi="Arial" w:cs="Arial"/>
          <w:sz w:val="22"/>
          <w:szCs w:val="22"/>
          <w:lang w:val="en-US"/>
        </w:rPr>
        <w:t>Kyasanur</w:t>
      </w:r>
      <w:proofErr w:type="spellEnd"/>
      <w:r w:rsidRPr="00430A28">
        <w:rPr>
          <w:rFonts w:ascii="Arial" w:hAnsi="Arial" w:cs="Arial"/>
          <w:sz w:val="22"/>
          <w:szCs w:val="22"/>
          <w:lang w:val="en-US"/>
        </w:rPr>
        <w:t xml:space="preserve"> Forest Disease</w:t>
      </w:r>
    </w:p>
    <w:p w14:paraId="18070A02" w14:textId="77777777" w:rsidR="00C07845" w:rsidRDefault="00C07845">
      <w:pPr>
        <w:pStyle w:val="Body"/>
        <w:jc w:val="both"/>
        <w:rPr>
          <w:rFonts w:ascii="Times New Roman" w:eastAsia="Times New Roman" w:hAnsi="Times New Roman" w:cs="Times New Roman"/>
          <w:sz w:val="48"/>
          <w:szCs w:val="48"/>
        </w:rPr>
      </w:pPr>
    </w:p>
    <w:p w14:paraId="6117A6EC" w14:textId="31FCF405" w:rsidR="00C07845" w:rsidRPr="00E27762" w:rsidRDefault="00430A28" w:rsidP="00E27762">
      <w:pPr>
        <w:pStyle w:val="Body"/>
        <w:rPr>
          <w:rFonts w:ascii="Arial" w:eastAsia="Arial" w:hAnsi="Arial" w:cs="Arial"/>
          <w:b/>
          <w:bCs/>
          <w:sz w:val="20"/>
          <w:szCs w:val="20"/>
          <w:u w:val="single"/>
        </w:rPr>
      </w:pPr>
      <w:r w:rsidRPr="00E27762">
        <w:rPr>
          <w:rFonts w:ascii="Arial" w:hAnsi="Arial"/>
          <w:b/>
          <w:bCs/>
          <w:sz w:val="20"/>
          <w:szCs w:val="20"/>
          <w:u w:val="single"/>
          <w:lang w:val="en-US"/>
        </w:rPr>
        <w:t>6.1</w:t>
      </w:r>
      <w:r w:rsidR="00E27762" w:rsidRPr="00E27762">
        <w:rPr>
          <w:rFonts w:ascii="Arial" w:hAnsi="Arial"/>
          <w:b/>
          <w:bCs/>
          <w:sz w:val="20"/>
          <w:szCs w:val="20"/>
          <w:u w:val="single"/>
          <w:lang w:val="en-US"/>
        </w:rPr>
        <w:t xml:space="preserve">: </w:t>
      </w:r>
      <w:r w:rsidRPr="00E27762">
        <w:rPr>
          <w:rFonts w:ascii="Arial" w:hAnsi="Arial"/>
          <w:b/>
          <w:bCs/>
          <w:sz w:val="20"/>
          <w:szCs w:val="20"/>
          <w:u w:val="single"/>
          <w:lang w:val="en-US"/>
        </w:rPr>
        <w:t>Early infection and dissemination</w:t>
      </w:r>
    </w:p>
    <w:p w14:paraId="636B8E6A" w14:textId="77777777" w:rsidR="00C07845" w:rsidRDefault="00C07845">
      <w:pPr>
        <w:pStyle w:val="Body"/>
        <w:jc w:val="both"/>
        <w:rPr>
          <w:rFonts w:ascii="Arial" w:eastAsia="Arial" w:hAnsi="Arial" w:cs="Arial"/>
          <w:sz w:val="20"/>
          <w:szCs w:val="20"/>
        </w:rPr>
      </w:pPr>
    </w:p>
    <w:p w14:paraId="30435AD1"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Transmission to humans occurs predominantly through the bite of infected </w:t>
      </w:r>
      <w:proofErr w:type="spellStart"/>
      <w:r>
        <w:rPr>
          <w:rFonts w:ascii="Arial" w:hAnsi="Arial"/>
          <w:sz w:val="20"/>
          <w:szCs w:val="20"/>
          <w:lang w:val="en-US"/>
        </w:rPr>
        <w:t>Haemaphysalis</w:t>
      </w:r>
      <w:proofErr w:type="spellEnd"/>
      <w:r>
        <w:rPr>
          <w:rFonts w:ascii="Arial" w:hAnsi="Arial"/>
          <w:sz w:val="20"/>
          <w:szCs w:val="20"/>
          <w:lang w:val="en-US"/>
        </w:rPr>
        <w:t xml:space="preserve"> </w:t>
      </w:r>
      <w:proofErr w:type="spellStart"/>
      <w:r>
        <w:rPr>
          <w:rFonts w:ascii="Arial" w:hAnsi="Arial"/>
          <w:sz w:val="20"/>
          <w:szCs w:val="20"/>
          <w:lang w:val="en-US"/>
        </w:rPr>
        <w:t>spinigera</w:t>
      </w:r>
      <w:proofErr w:type="spellEnd"/>
      <w:r>
        <w:rPr>
          <w:rFonts w:ascii="Arial" w:hAnsi="Arial"/>
          <w:sz w:val="20"/>
          <w:szCs w:val="20"/>
          <w:lang w:val="en-US"/>
        </w:rPr>
        <w:t xml:space="preserve"> ticks, with an incubation period typically ranging from 3</w:t>
      </w:r>
      <w:r>
        <w:rPr>
          <w:rFonts w:ascii="Arial" w:hAnsi="Arial"/>
          <w:sz w:val="20"/>
          <w:szCs w:val="20"/>
        </w:rPr>
        <w:t>–</w:t>
      </w:r>
      <w:r>
        <w:rPr>
          <w:rFonts w:ascii="Arial" w:hAnsi="Arial"/>
          <w:sz w:val="20"/>
          <w:szCs w:val="20"/>
          <w:lang w:val="en-US"/>
        </w:rPr>
        <w:t>8 days; transmission following contact with infected animals has been rarely reported, although tick bite remains the dominant route (</w:t>
      </w:r>
      <w:proofErr w:type="gramStart"/>
      <w:r>
        <w:rPr>
          <w:rFonts w:ascii="Arial" w:hAnsi="Arial"/>
          <w:sz w:val="20"/>
          <w:szCs w:val="20"/>
          <w:lang w:val="en-US"/>
        </w:rPr>
        <w:t>12 )</w:t>
      </w:r>
      <w:proofErr w:type="gramEnd"/>
      <w:r>
        <w:rPr>
          <w:rFonts w:ascii="Arial" w:hAnsi="Arial"/>
          <w:sz w:val="20"/>
          <w:szCs w:val="20"/>
          <w:lang w:val="en-US"/>
        </w:rPr>
        <w:t>. In human infection, KFDV RNA is typically detectable in blood during the first 1</w:t>
      </w:r>
      <w:r>
        <w:rPr>
          <w:rFonts w:ascii="Arial" w:hAnsi="Arial"/>
          <w:sz w:val="20"/>
          <w:szCs w:val="20"/>
        </w:rPr>
        <w:t>–</w:t>
      </w:r>
      <w:r>
        <w:rPr>
          <w:rFonts w:ascii="Arial" w:hAnsi="Arial"/>
          <w:sz w:val="20"/>
          <w:szCs w:val="20"/>
          <w:lang w:val="en-US"/>
        </w:rPr>
        <w:t>12 days of illness, with peak viremia observed around days 3</w:t>
      </w:r>
      <w:r>
        <w:rPr>
          <w:rFonts w:ascii="Arial" w:hAnsi="Arial"/>
          <w:sz w:val="20"/>
          <w:szCs w:val="20"/>
        </w:rPr>
        <w:t>–</w:t>
      </w:r>
      <w:r>
        <w:rPr>
          <w:rFonts w:ascii="Arial" w:hAnsi="Arial"/>
          <w:sz w:val="20"/>
          <w:szCs w:val="20"/>
          <w:lang w:val="en-US"/>
        </w:rPr>
        <w:t>4 following symptom onset (14)</w:t>
      </w:r>
    </w:p>
    <w:p w14:paraId="22FFC364" w14:textId="77777777" w:rsidR="00C07845" w:rsidRDefault="00D417C3">
      <w:pPr>
        <w:pStyle w:val="Body"/>
        <w:jc w:val="both"/>
        <w:rPr>
          <w:rFonts w:ascii="Arial" w:eastAsia="Arial" w:hAnsi="Arial" w:cs="Arial"/>
          <w:sz w:val="20"/>
          <w:szCs w:val="20"/>
        </w:rPr>
      </w:pPr>
      <w:r>
        <w:rPr>
          <w:rFonts w:ascii="Arial" w:hAnsi="Arial"/>
          <w:sz w:val="20"/>
          <w:szCs w:val="20"/>
          <w:lang w:val="en-US"/>
        </w:rPr>
        <w:t>In non-human primate models, bonnet macaques infected subcutaneously demonstrate viremia up to approximately day 13 post-inoculation, with an early peak around days 3</w:t>
      </w:r>
      <w:r>
        <w:rPr>
          <w:rFonts w:ascii="Arial" w:hAnsi="Arial"/>
          <w:sz w:val="20"/>
          <w:szCs w:val="20"/>
        </w:rPr>
        <w:t>–</w:t>
      </w:r>
      <w:r>
        <w:rPr>
          <w:rFonts w:ascii="Arial" w:hAnsi="Arial"/>
          <w:sz w:val="20"/>
          <w:szCs w:val="20"/>
          <w:lang w:val="en-US"/>
        </w:rPr>
        <w:t>4, closely mirroring human infection. Viral RNA has also been detected in organs such as the liver and spleen from early time points, indicating rapid systemic dissemination (13).</w:t>
      </w:r>
    </w:p>
    <w:p w14:paraId="48F7A766" w14:textId="77777777" w:rsidR="00C07845" w:rsidRDefault="00C07845">
      <w:pPr>
        <w:pStyle w:val="Body"/>
        <w:jc w:val="both"/>
        <w:rPr>
          <w:rFonts w:ascii="Arial" w:eastAsia="Arial" w:hAnsi="Arial" w:cs="Arial"/>
          <w:sz w:val="20"/>
          <w:szCs w:val="20"/>
        </w:rPr>
      </w:pPr>
    </w:p>
    <w:p w14:paraId="5FDDC640" w14:textId="1B6C1025" w:rsidR="00C07845" w:rsidRPr="00E27762" w:rsidRDefault="00E27762" w:rsidP="00E27762">
      <w:pPr>
        <w:pStyle w:val="Body"/>
        <w:rPr>
          <w:rFonts w:ascii="Arial" w:eastAsia="Arial" w:hAnsi="Arial" w:cs="Arial"/>
          <w:b/>
          <w:bCs/>
          <w:sz w:val="20"/>
          <w:szCs w:val="20"/>
          <w:u w:val="single"/>
        </w:rPr>
      </w:pPr>
      <w:r>
        <w:rPr>
          <w:rFonts w:ascii="Arial" w:hAnsi="Arial"/>
          <w:b/>
          <w:bCs/>
          <w:sz w:val="20"/>
          <w:szCs w:val="20"/>
          <w:u w:val="single"/>
          <w:lang w:val="en-US"/>
        </w:rPr>
        <w:t xml:space="preserve">6.2: </w:t>
      </w:r>
      <w:r w:rsidRPr="00E27762">
        <w:rPr>
          <w:rFonts w:ascii="Arial" w:hAnsi="Arial"/>
          <w:b/>
          <w:bCs/>
          <w:sz w:val="20"/>
          <w:szCs w:val="20"/>
          <w:u w:val="single"/>
          <w:lang w:val="en-US"/>
        </w:rPr>
        <w:t xml:space="preserve">Vascular and </w:t>
      </w:r>
      <w:proofErr w:type="spellStart"/>
      <w:r w:rsidRPr="00E27762">
        <w:rPr>
          <w:rFonts w:ascii="Arial" w:hAnsi="Arial"/>
          <w:b/>
          <w:bCs/>
          <w:sz w:val="20"/>
          <w:szCs w:val="20"/>
          <w:u w:val="single"/>
          <w:lang w:val="en-US"/>
        </w:rPr>
        <w:t>haemorrhagic</w:t>
      </w:r>
      <w:proofErr w:type="spellEnd"/>
      <w:r w:rsidRPr="00E27762">
        <w:rPr>
          <w:rFonts w:ascii="Arial" w:hAnsi="Arial"/>
          <w:b/>
          <w:bCs/>
          <w:sz w:val="20"/>
          <w:szCs w:val="20"/>
          <w:u w:val="single"/>
          <w:lang w:val="en-US"/>
        </w:rPr>
        <w:t xml:space="preserve"> feature</w:t>
      </w:r>
    </w:p>
    <w:p w14:paraId="5A0B690E" w14:textId="77777777" w:rsidR="00C07845" w:rsidRDefault="00C07845">
      <w:pPr>
        <w:pStyle w:val="Body"/>
        <w:jc w:val="both"/>
        <w:rPr>
          <w:rFonts w:ascii="Arial" w:eastAsia="Arial" w:hAnsi="Arial" w:cs="Arial"/>
          <w:sz w:val="20"/>
          <w:szCs w:val="20"/>
        </w:rPr>
      </w:pPr>
    </w:p>
    <w:p w14:paraId="02CA15D5"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In vitro studies using primary human dermal microvascular endothelial cells demonstrate that these cells are permissive to KFDV infection. Infection induces endothelial activation, characterized by increased expression of adhesion molecules including E-selectin, ICAM-1, and VCAM-1, leading to enhanced leukocyte adhesion (12). These changes provide a mechanistic basis for the vascular dysfunction and </w:t>
      </w:r>
      <w:proofErr w:type="spellStart"/>
      <w:r>
        <w:rPr>
          <w:rFonts w:ascii="Arial" w:hAnsi="Arial"/>
          <w:sz w:val="20"/>
          <w:szCs w:val="20"/>
          <w:lang w:val="en-US"/>
        </w:rPr>
        <w:t>haemorrhagic</w:t>
      </w:r>
      <w:proofErr w:type="spellEnd"/>
      <w:r>
        <w:rPr>
          <w:rFonts w:ascii="Arial" w:hAnsi="Arial"/>
          <w:sz w:val="20"/>
          <w:szCs w:val="20"/>
          <w:lang w:val="en-US"/>
        </w:rPr>
        <w:t xml:space="preserve"> manifestations observed clinically.</w:t>
      </w:r>
    </w:p>
    <w:p w14:paraId="1DB43465" w14:textId="77777777" w:rsidR="00C07845" w:rsidRDefault="00D417C3">
      <w:pPr>
        <w:pStyle w:val="Body"/>
        <w:jc w:val="both"/>
        <w:rPr>
          <w:rFonts w:ascii="Arial" w:eastAsia="Arial" w:hAnsi="Arial" w:cs="Arial"/>
          <w:sz w:val="20"/>
          <w:szCs w:val="20"/>
        </w:rPr>
      </w:pPr>
      <w:r>
        <w:rPr>
          <w:rFonts w:ascii="Arial" w:hAnsi="Arial"/>
          <w:sz w:val="20"/>
          <w:szCs w:val="20"/>
          <w:lang w:val="en-US"/>
        </w:rPr>
        <w:t>Beyond endothelial cells, KFDV has also been shown in vitro to infect monocyte-derived dendritic cells, resulting in the release of pro-inflammatory cytokines such as IL-6 and TNF-</w:t>
      </w:r>
      <w:r>
        <w:rPr>
          <w:rFonts w:ascii="Arial" w:hAnsi="Arial"/>
          <w:sz w:val="20"/>
          <w:szCs w:val="20"/>
        </w:rPr>
        <w:t>α</w:t>
      </w:r>
      <w:r>
        <w:rPr>
          <w:rFonts w:ascii="Arial" w:hAnsi="Arial"/>
          <w:sz w:val="20"/>
          <w:szCs w:val="20"/>
          <w:lang w:val="en-US"/>
        </w:rPr>
        <w:t>. Supernatants from infected dendritic cells can secondarily activate endothelial cells, suggesting an indirect cytokine-mediated pathway contributing to vascular injury (12). Clinical and experimental observations further support systemic involvement, with thrombocytopenia, leukopenia, and coagulation abnormalities reported in infected macaques, alongside frequent cytopenias in human cases (13</w:t>
      </w:r>
      <w:proofErr w:type="gramStart"/>
      <w:r>
        <w:rPr>
          <w:rFonts w:ascii="Arial" w:hAnsi="Arial"/>
          <w:sz w:val="20"/>
          <w:szCs w:val="20"/>
          <w:lang w:val="en-US"/>
        </w:rPr>
        <w:t>).Understanding</w:t>
      </w:r>
      <w:proofErr w:type="gramEnd"/>
      <w:r>
        <w:rPr>
          <w:rFonts w:ascii="Arial" w:hAnsi="Arial"/>
          <w:sz w:val="20"/>
          <w:szCs w:val="20"/>
          <w:lang w:val="en-US"/>
        </w:rPr>
        <w:t xml:space="preserve"> these endothelial changes is critical for managing the coagulopathy and </w:t>
      </w:r>
      <w:proofErr w:type="spellStart"/>
      <w:r>
        <w:rPr>
          <w:rFonts w:ascii="Arial" w:hAnsi="Arial"/>
          <w:sz w:val="20"/>
          <w:szCs w:val="20"/>
          <w:lang w:val="en-US"/>
        </w:rPr>
        <w:t>haemorrhagic</w:t>
      </w:r>
      <w:proofErr w:type="spellEnd"/>
      <w:r>
        <w:rPr>
          <w:rFonts w:ascii="Arial" w:hAnsi="Arial"/>
          <w:sz w:val="20"/>
          <w:szCs w:val="20"/>
          <w:lang w:val="en-US"/>
        </w:rPr>
        <w:t xml:space="preserve"> manifestations seen in severe KFD cases.</w:t>
      </w:r>
    </w:p>
    <w:p w14:paraId="254ABA06" w14:textId="77777777" w:rsidR="00C07845" w:rsidRDefault="00C07845">
      <w:pPr>
        <w:pStyle w:val="Body"/>
        <w:jc w:val="both"/>
        <w:rPr>
          <w:rFonts w:ascii="Arial" w:eastAsia="Arial" w:hAnsi="Arial" w:cs="Arial"/>
          <w:sz w:val="20"/>
          <w:szCs w:val="20"/>
        </w:rPr>
      </w:pPr>
    </w:p>
    <w:p w14:paraId="3ECF2C8E" w14:textId="487BD476" w:rsidR="00C07845" w:rsidRPr="00E27762" w:rsidRDefault="00E27762" w:rsidP="00E27762">
      <w:pPr>
        <w:pStyle w:val="Body"/>
        <w:rPr>
          <w:rFonts w:ascii="Arial" w:eastAsia="Arial" w:hAnsi="Arial" w:cs="Arial"/>
          <w:b/>
          <w:bCs/>
          <w:sz w:val="20"/>
          <w:szCs w:val="20"/>
          <w:u w:val="single"/>
        </w:rPr>
      </w:pPr>
      <w:r w:rsidRPr="00E27762">
        <w:rPr>
          <w:rFonts w:ascii="Arial" w:hAnsi="Arial"/>
          <w:b/>
          <w:bCs/>
          <w:sz w:val="20"/>
          <w:szCs w:val="20"/>
          <w:u w:val="single"/>
          <w:lang w:val="en-US"/>
        </w:rPr>
        <w:t xml:space="preserve">6.3: </w:t>
      </w:r>
      <w:proofErr w:type="spellStart"/>
      <w:r w:rsidRPr="00E27762">
        <w:rPr>
          <w:rFonts w:ascii="Arial" w:hAnsi="Arial"/>
          <w:b/>
          <w:bCs/>
          <w:sz w:val="20"/>
          <w:szCs w:val="20"/>
          <w:u w:val="single"/>
          <w:lang w:val="en-US"/>
        </w:rPr>
        <w:t>Neuroinvasion</w:t>
      </w:r>
      <w:proofErr w:type="spellEnd"/>
      <w:r w:rsidRPr="00E27762">
        <w:rPr>
          <w:rFonts w:ascii="Arial" w:hAnsi="Arial"/>
          <w:b/>
          <w:bCs/>
          <w:sz w:val="20"/>
          <w:szCs w:val="20"/>
          <w:u w:val="single"/>
          <w:lang w:val="en-US"/>
        </w:rPr>
        <w:t xml:space="preserve"> and biphasic illness</w:t>
      </w:r>
    </w:p>
    <w:p w14:paraId="2CED1C27" w14:textId="77777777" w:rsidR="00C07845" w:rsidRDefault="00C07845">
      <w:pPr>
        <w:pStyle w:val="Body"/>
        <w:jc w:val="both"/>
        <w:rPr>
          <w:rFonts w:ascii="Arial" w:eastAsia="Arial" w:hAnsi="Arial" w:cs="Arial"/>
          <w:sz w:val="20"/>
          <w:szCs w:val="20"/>
        </w:rPr>
      </w:pPr>
    </w:p>
    <w:p w14:paraId="1F5DD278" w14:textId="77777777" w:rsidR="00C07845" w:rsidRDefault="00D417C3">
      <w:pPr>
        <w:pStyle w:val="Body"/>
        <w:jc w:val="both"/>
        <w:rPr>
          <w:rFonts w:ascii="Arial" w:eastAsia="Arial" w:hAnsi="Arial" w:cs="Arial"/>
          <w:sz w:val="20"/>
          <w:szCs w:val="20"/>
        </w:rPr>
      </w:pPr>
      <w:r>
        <w:rPr>
          <w:rFonts w:ascii="Arial" w:hAnsi="Arial"/>
          <w:sz w:val="20"/>
          <w:szCs w:val="20"/>
          <w:lang w:val="en-US"/>
        </w:rPr>
        <w:t>Approximately 20% of human KFD cases develop neurological manifestations following an initial febrile phase, typically occurring 2</w:t>
      </w:r>
      <w:r>
        <w:rPr>
          <w:rFonts w:ascii="Arial" w:hAnsi="Arial"/>
          <w:sz w:val="20"/>
          <w:szCs w:val="20"/>
        </w:rPr>
        <w:t>–</w:t>
      </w:r>
      <w:r>
        <w:rPr>
          <w:rFonts w:ascii="Arial" w:hAnsi="Arial"/>
          <w:sz w:val="20"/>
          <w:szCs w:val="20"/>
          <w:lang w:val="en-US"/>
        </w:rPr>
        <w:t>3 weeks into the illness, consistent with a biphasic disease course in a subset of patients (</w:t>
      </w:r>
      <w:proofErr w:type="gramStart"/>
      <w:r>
        <w:rPr>
          <w:rFonts w:ascii="Arial" w:hAnsi="Arial"/>
          <w:sz w:val="20"/>
          <w:szCs w:val="20"/>
          <w:lang w:val="en-US"/>
        </w:rPr>
        <w:t>14 )</w:t>
      </w:r>
      <w:proofErr w:type="gramEnd"/>
      <w:r>
        <w:rPr>
          <w:rFonts w:ascii="Arial" w:hAnsi="Arial"/>
          <w:sz w:val="20"/>
          <w:szCs w:val="20"/>
          <w:lang w:val="en-US"/>
        </w:rPr>
        <w:t>. In bonnet macaques, viral RNA has been detected in brain tissue only in moribund animals, suggesting that central nervous system involvement is associated with severe or late-stage disease rather than being a universal feature of infection (13).</w:t>
      </w:r>
    </w:p>
    <w:p w14:paraId="6D601850" w14:textId="77777777" w:rsidR="00C07845" w:rsidRDefault="00D417C3">
      <w:pPr>
        <w:pStyle w:val="Body"/>
        <w:jc w:val="both"/>
        <w:rPr>
          <w:rFonts w:ascii="Arial" w:eastAsia="Arial" w:hAnsi="Arial" w:cs="Arial"/>
          <w:sz w:val="20"/>
          <w:szCs w:val="20"/>
        </w:rPr>
      </w:pPr>
      <w:r>
        <w:rPr>
          <w:rFonts w:ascii="Arial" w:hAnsi="Arial"/>
          <w:sz w:val="20"/>
          <w:szCs w:val="20"/>
          <w:lang w:val="en-US"/>
        </w:rPr>
        <w:lastRenderedPageBreak/>
        <w:t xml:space="preserve">Experimental mouse studies have demonstrated that KFDV strains subjected to extensive suckling-mouse-brain passage may exhibit predominant neurotropism in mice. However, this finding highlights a potential limitation of heavily passaged laboratory strains and suggests that apparent neurovirulence in animal models may not accurately reflect natural human disease (15). The observation that </w:t>
      </w:r>
      <w:proofErr w:type="spellStart"/>
      <w:r>
        <w:rPr>
          <w:rFonts w:ascii="Arial" w:hAnsi="Arial"/>
          <w:sz w:val="20"/>
          <w:szCs w:val="20"/>
          <w:lang w:val="en-US"/>
        </w:rPr>
        <w:t>neuroinvasion</w:t>
      </w:r>
      <w:proofErr w:type="spellEnd"/>
      <w:r>
        <w:rPr>
          <w:rFonts w:ascii="Arial" w:hAnsi="Arial"/>
          <w:sz w:val="20"/>
          <w:szCs w:val="20"/>
          <w:lang w:val="en-US"/>
        </w:rPr>
        <w:t xml:space="preserve"> is linked to severe disease, rather than being a primary neurotropic phenotype, underscores the importance of early intervention in patients presenting with neurological symptoms.</w:t>
      </w:r>
    </w:p>
    <w:p w14:paraId="1A91A349" w14:textId="77777777" w:rsidR="00C07845" w:rsidRDefault="00C07845">
      <w:pPr>
        <w:pStyle w:val="Body"/>
        <w:jc w:val="both"/>
        <w:rPr>
          <w:rFonts w:ascii="Arial" w:eastAsia="Arial" w:hAnsi="Arial" w:cs="Arial"/>
          <w:sz w:val="20"/>
          <w:szCs w:val="20"/>
        </w:rPr>
      </w:pPr>
    </w:p>
    <w:p w14:paraId="6031E27D" w14:textId="719A3319" w:rsidR="00C07845" w:rsidRPr="00E27762" w:rsidRDefault="00E27762" w:rsidP="00E27762">
      <w:pPr>
        <w:pStyle w:val="Body"/>
        <w:rPr>
          <w:rFonts w:ascii="Arial" w:eastAsia="Arial" w:hAnsi="Arial" w:cs="Arial"/>
          <w:b/>
          <w:bCs/>
          <w:sz w:val="20"/>
          <w:szCs w:val="20"/>
          <w:u w:val="single"/>
        </w:rPr>
      </w:pPr>
      <w:r>
        <w:rPr>
          <w:rFonts w:ascii="Arial" w:hAnsi="Arial"/>
          <w:b/>
          <w:bCs/>
          <w:sz w:val="20"/>
          <w:szCs w:val="20"/>
          <w:u w:val="single"/>
          <w:lang w:val="en-US"/>
        </w:rPr>
        <w:t xml:space="preserve">6.4: </w:t>
      </w:r>
      <w:r w:rsidRPr="00E27762">
        <w:rPr>
          <w:rFonts w:ascii="Arial" w:hAnsi="Arial"/>
          <w:b/>
          <w:bCs/>
          <w:sz w:val="20"/>
          <w:szCs w:val="20"/>
          <w:u w:val="single"/>
          <w:lang w:val="en-US"/>
        </w:rPr>
        <w:t>Host response and immune modulation</w:t>
      </w:r>
    </w:p>
    <w:p w14:paraId="74CAAD60" w14:textId="77777777" w:rsidR="00C07845" w:rsidRDefault="00C07845">
      <w:pPr>
        <w:pStyle w:val="Body"/>
        <w:jc w:val="both"/>
        <w:rPr>
          <w:rFonts w:ascii="Arial" w:eastAsia="Arial" w:hAnsi="Arial" w:cs="Arial"/>
          <w:sz w:val="20"/>
          <w:szCs w:val="20"/>
        </w:rPr>
      </w:pPr>
    </w:p>
    <w:p w14:paraId="1E6A1F28" w14:textId="77777777" w:rsidR="00C07845" w:rsidRDefault="00D417C3">
      <w:pPr>
        <w:pStyle w:val="Body"/>
        <w:jc w:val="both"/>
        <w:rPr>
          <w:rFonts w:ascii="Arial" w:eastAsia="Arial" w:hAnsi="Arial" w:cs="Arial"/>
          <w:sz w:val="20"/>
          <w:szCs w:val="20"/>
        </w:rPr>
      </w:pPr>
      <w:r>
        <w:rPr>
          <w:rFonts w:ascii="Arial" w:hAnsi="Arial"/>
          <w:sz w:val="20"/>
          <w:szCs w:val="20"/>
          <w:lang w:val="en-US"/>
        </w:rPr>
        <w:t>In humans, clearance of viremia coincides with peak CD8</w:t>
      </w:r>
      <w:r>
        <w:rPr>
          <w:rFonts w:ascii="Arial Unicode MS" w:hAnsi="Arial Unicode MS"/>
          <w:sz w:val="20"/>
          <w:szCs w:val="20"/>
        </w:rPr>
        <w:t>⁺</w:t>
      </w:r>
      <w:r>
        <w:rPr>
          <w:rFonts w:ascii="Arial" w:hAnsi="Arial"/>
          <w:sz w:val="20"/>
          <w:szCs w:val="20"/>
        </w:rPr>
        <w:t xml:space="preserve"> </w:t>
      </w:r>
      <w:r>
        <w:rPr>
          <w:rFonts w:ascii="Arial" w:hAnsi="Arial"/>
          <w:sz w:val="20"/>
          <w:szCs w:val="20"/>
          <w:lang w:val="en-US"/>
        </w:rPr>
        <w:t>T-cell activation and the appearance of KFDV-specific antibodies. IgM antibodies typically become detectable around day 6, followed by IgG antibodies around days 7</w:t>
      </w:r>
      <w:r>
        <w:rPr>
          <w:rFonts w:ascii="Arial" w:hAnsi="Arial"/>
          <w:sz w:val="20"/>
          <w:szCs w:val="20"/>
        </w:rPr>
        <w:t>–</w:t>
      </w:r>
      <w:r>
        <w:rPr>
          <w:rFonts w:ascii="Arial" w:hAnsi="Arial"/>
          <w:sz w:val="20"/>
          <w:szCs w:val="20"/>
          <w:lang w:val="en-US"/>
        </w:rPr>
        <w:t>8, with both peaking later in the course of illness (</w:t>
      </w:r>
      <w:proofErr w:type="gramStart"/>
      <w:r>
        <w:rPr>
          <w:rFonts w:ascii="Arial" w:hAnsi="Arial"/>
          <w:sz w:val="20"/>
          <w:szCs w:val="20"/>
          <w:lang w:val="en-US"/>
        </w:rPr>
        <w:t>14 )</w:t>
      </w:r>
      <w:proofErr w:type="gramEnd"/>
      <w:r>
        <w:rPr>
          <w:rFonts w:ascii="Arial" w:hAnsi="Arial"/>
          <w:sz w:val="20"/>
          <w:szCs w:val="20"/>
          <w:lang w:val="en-US"/>
        </w:rPr>
        <w:t xml:space="preserve">. Bonnet macaques exhibit a broadly similar immune kinetic pattern, with IgM appearing approximately </w:t>
      </w:r>
      <w:proofErr w:type="gramStart"/>
      <w:r>
        <w:rPr>
          <w:rFonts w:ascii="Arial" w:hAnsi="Arial"/>
          <w:sz w:val="20"/>
          <w:szCs w:val="20"/>
          <w:lang w:val="en-US"/>
        </w:rPr>
        <w:t>one week</w:t>
      </w:r>
      <w:proofErr w:type="gramEnd"/>
      <w:r>
        <w:rPr>
          <w:rFonts w:ascii="Arial" w:hAnsi="Arial"/>
          <w:sz w:val="20"/>
          <w:szCs w:val="20"/>
          <w:lang w:val="en-US"/>
        </w:rPr>
        <w:t xml:space="preserve"> post-inoculation and IgG around two weeks, although only a minority of animals develop severe clinical disease, underscoring the role of host-specific factors in determining disease severity (13). While direct evidence in KFDV remains limited, studies on other flaviviruses, including dengue, West Nile, and yellow fever viruses, have shown that the non-structural protein NS1 can antagonize complement activation by recruiting C4b-binding protein (C4BP). This mechanism has therefore been proposed as a plausible immune-evasion pathway warranting further investigation in KFDV infection (16).</w:t>
      </w:r>
    </w:p>
    <w:p w14:paraId="683A0EEE" w14:textId="77777777" w:rsidR="00C07845" w:rsidRDefault="00C07845">
      <w:pPr>
        <w:pStyle w:val="Body"/>
        <w:jc w:val="both"/>
        <w:rPr>
          <w:rFonts w:ascii="Times New Roman" w:eastAsia="Times New Roman" w:hAnsi="Times New Roman" w:cs="Times New Roman"/>
          <w:sz w:val="28"/>
          <w:szCs w:val="28"/>
        </w:rPr>
      </w:pPr>
    </w:p>
    <w:p w14:paraId="165BB2A8" w14:textId="77777777" w:rsidR="00C07845" w:rsidRDefault="00C07845">
      <w:pPr>
        <w:pStyle w:val="Body"/>
        <w:jc w:val="both"/>
        <w:rPr>
          <w:rFonts w:ascii="Times New Roman" w:eastAsia="Times New Roman" w:hAnsi="Times New Roman" w:cs="Times New Roman"/>
          <w:sz w:val="28"/>
          <w:szCs w:val="28"/>
        </w:rPr>
      </w:pPr>
    </w:p>
    <w:p w14:paraId="56E1839D" w14:textId="77777777" w:rsidR="00C07845" w:rsidRDefault="00C07845">
      <w:pPr>
        <w:pStyle w:val="Body"/>
        <w:jc w:val="both"/>
        <w:rPr>
          <w:rFonts w:ascii="Times New Roman" w:eastAsia="Times New Roman" w:hAnsi="Times New Roman" w:cs="Times New Roman"/>
          <w:sz w:val="28"/>
          <w:szCs w:val="28"/>
        </w:rPr>
      </w:pPr>
    </w:p>
    <w:p w14:paraId="2482FACC" w14:textId="77777777" w:rsidR="00C07845" w:rsidRDefault="00C07845">
      <w:pPr>
        <w:pStyle w:val="Body"/>
        <w:jc w:val="both"/>
        <w:rPr>
          <w:rFonts w:ascii="Times New Roman" w:eastAsia="Times New Roman" w:hAnsi="Times New Roman" w:cs="Times New Roman"/>
          <w:sz w:val="28"/>
          <w:szCs w:val="28"/>
        </w:rPr>
      </w:pPr>
    </w:p>
    <w:p w14:paraId="4FDC3901" w14:textId="77777777" w:rsidR="00C07845" w:rsidRDefault="00C07845">
      <w:pPr>
        <w:pStyle w:val="Body"/>
        <w:jc w:val="both"/>
        <w:rPr>
          <w:rFonts w:ascii="Times New Roman" w:eastAsia="Times New Roman" w:hAnsi="Times New Roman" w:cs="Times New Roman"/>
          <w:sz w:val="28"/>
          <w:szCs w:val="28"/>
        </w:rPr>
      </w:pPr>
    </w:p>
    <w:p w14:paraId="4E83AD7C" w14:textId="75BF69B7" w:rsidR="00C07845" w:rsidRPr="00E27762" w:rsidRDefault="00D417C3" w:rsidP="00E27762">
      <w:pPr>
        <w:pStyle w:val="Body"/>
        <w:numPr>
          <w:ilvl w:val="0"/>
          <w:numId w:val="4"/>
        </w:numPr>
        <w:rPr>
          <w:rFonts w:ascii="Arial" w:eastAsia="Times New Roman" w:hAnsi="Arial" w:cs="Arial"/>
          <w:b/>
          <w:bCs/>
        </w:rPr>
      </w:pPr>
      <w:r w:rsidRPr="00E27762">
        <w:rPr>
          <w:rFonts w:ascii="Arial" w:hAnsi="Arial" w:cs="Arial"/>
          <w:b/>
          <w:bCs/>
          <w:lang w:val="en-US"/>
        </w:rPr>
        <w:t>Clinical Spectrum and Disease Course</w:t>
      </w:r>
    </w:p>
    <w:p w14:paraId="2CA34AE2" w14:textId="77777777" w:rsidR="00C07845" w:rsidRDefault="00C07845">
      <w:pPr>
        <w:pStyle w:val="Body"/>
        <w:jc w:val="both"/>
        <w:rPr>
          <w:rFonts w:ascii="Times New Roman" w:eastAsia="Times New Roman" w:hAnsi="Times New Roman" w:cs="Times New Roman"/>
          <w:sz w:val="28"/>
          <w:szCs w:val="28"/>
        </w:rPr>
      </w:pPr>
    </w:p>
    <w:p w14:paraId="0F7C9BF8" w14:textId="77777777" w:rsidR="00C07845" w:rsidRDefault="00D417C3">
      <w:pPr>
        <w:pStyle w:val="Body"/>
        <w:jc w:val="both"/>
        <w:rPr>
          <w:rFonts w:ascii="Arial" w:eastAsia="Arial" w:hAnsi="Arial" w:cs="Arial"/>
          <w:sz w:val="20"/>
          <w:szCs w:val="20"/>
        </w:rPr>
      </w:pPr>
      <w:proofErr w:type="spellStart"/>
      <w:r>
        <w:rPr>
          <w:rFonts w:ascii="Arial" w:hAnsi="Arial"/>
          <w:sz w:val="20"/>
          <w:szCs w:val="20"/>
          <w:lang w:val="en-US"/>
        </w:rPr>
        <w:t>Kyasanur</w:t>
      </w:r>
      <w:proofErr w:type="spellEnd"/>
      <w:r>
        <w:rPr>
          <w:rFonts w:ascii="Arial" w:hAnsi="Arial"/>
          <w:sz w:val="20"/>
          <w:szCs w:val="20"/>
          <w:lang w:val="en-US"/>
        </w:rPr>
        <w:t xml:space="preserve"> Forest Disease (KFD) has an incubation period typically ranging from 3</w:t>
      </w:r>
      <w:r>
        <w:rPr>
          <w:rFonts w:ascii="Arial" w:hAnsi="Arial"/>
          <w:sz w:val="20"/>
          <w:szCs w:val="20"/>
        </w:rPr>
        <w:t>–</w:t>
      </w:r>
      <w:r>
        <w:rPr>
          <w:rFonts w:ascii="Arial" w:hAnsi="Arial"/>
          <w:sz w:val="20"/>
          <w:szCs w:val="20"/>
          <w:lang w:val="en-US"/>
        </w:rPr>
        <w:t xml:space="preserve">8 days following an infected tick bite (17,18,19). The illness is often biphasic, with most patients recovering uneventfully after the initial febrile phase, while a subset experience relapse with a second phase of symptoms (17). The first phase usually begins abruptly with high fever, severe headache, and prominent myalgia, commonly involving the neck, back, and limbs, and is frequently accompanied by marked prostration and weakness that may persist beyond defervescence, leading to a prolonged convalescent period (17,18). Gastrointestinal manifestations such as vomiting, abdominal pain, and </w:t>
      </w:r>
      <w:proofErr w:type="spellStart"/>
      <w:r>
        <w:rPr>
          <w:rFonts w:ascii="Arial" w:hAnsi="Arial"/>
          <w:sz w:val="20"/>
          <w:szCs w:val="20"/>
          <w:lang w:val="en-US"/>
        </w:rPr>
        <w:t>diarrhoea</w:t>
      </w:r>
      <w:proofErr w:type="spellEnd"/>
      <w:r>
        <w:rPr>
          <w:rFonts w:ascii="Arial" w:hAnsi="Arial"/>
          <w:sz w:val="20"/>
          <w:szCs w:val="20"/>
          <w:lang w:val="en-US"/>
        </w:rPr>
        <w:t xml:space="preserve"> are common, and ocular and oral findings, including conjunctival congestion and oral or palatal mucosal lesions, have been reported (17,18,19). Some patients also exhibit non-specific systemic features such as lymphadenopathy and hepatosplenomegaly (17,18).</w:t>
      </w:r>
    </w:p>
    <w:p w14:paraId="3A7820BB"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Hemorrhagic manifestations may occur, typically a few days after illness onset, most often involving mucosal or gastrointestinal bleeding such as </w:t>
      </w:r>
      <w:proofErr w:type="spellStart"/>
      <w:r>
        <w:rPr>
          <w:rFonts w:ascii="Arial" w:hAnsi="Arial"/>
          <w:sz w:val="20"/>
          <w:szCs w:val="20"/>
          <w:lang w:val="en-US"/>
        </w:rPr>
        <w:t>haematemesis</w:t>
      </w:r>
      <w:proofErr w:type="spellEnd"/>
      <w:r>
        <w:rPr>
          <w:rFonts w:ascii="Arial" w:hAnsi="Arial"/>
          <w:sz w:val="20"/>
          <w:szCs w:val="20"/>
          <w:lang w:val="en-US"/>
        </w:rPr>
        <w:t xml:space="preserve"> or melaena, while epistaxis and rectal bleeding are reported less frequently (17,18,19). A minority of patients develop hypotension or persistent shock, and organ involvement, including hepatitis and acute kidney injury, has been documented (18). A diffuse erythematous blanching rash, often associated with conjunctival </w:t>
      </w:r>
      <w:proofErr w:type="spellStart"/>
      <w:r>
        <w:rPr>
          <w:rFonts w:ascii="Arial" w:hAnsi="Arial"/>
          <w:sz w:val="20"/>
          <w:szCs w:val="20"/>
          <w:lang w:val="en-US"/>
        </w:rPr>
        <w:t>hyperaemia</w:t>
      </w:r>
      <w:proofErr w:type="spellEnd"/>
      <w:r>
        <w:rPr>
          <w:rFonts w:ascii="Arial" w:hAnsi="Arial"/>
          <w:sz w:val="20"/>
          <w:szCs w:val="20"/>
          <w:lang w:val="en-US"/>
        </w:rPr>
        <w:t xml:space="preserve"> and palatal petechiae, has been described as a useful bedside clinical clue in some cases (19).</w:t>
      </w:r>
    </w:p>
    <w:p w14:paraId="2D8C8325" w14:textId="77777777" w:rsidR="00C07845" w:rsidRDefault="00D417C3">
      <w:pPr>
        <w:pStyle w:val="Body"/>
        <w:jc w:val="both"/>
        <w:rPr>
          <w:rFonts w:ascii="Arial" w:eastAsia="Arial" w:hAnsi="Arial" w:cs="Arial"/>
          <w:sz w:val="20"/>
          <w:szCs w:val="20"/>
        </w:rPr>
      </w:pPr>
      <w:r>
        <w:rPr>
          <w:rFonts w:ascii="Arial" w:hAnsi="Arial"/>
          <w:sz w:val="20"/>
          <w:szCs w:val="20"/>
          <w:lang w:val="en-US"/>
        </w:rPr>
        <w:t xml:space="preserve">During convalescence, neuromuscular symptoms such as tremors, </w:t>
      </w:r>
      <w:proofErr w:type="spellStart"/>
      <w:r>
        <w:rPr>
          <w:rFonts w:ascii="Arial" w:hAnsi="Arial"/>
          <w:sz w:val="20"/>
          <w:szCs w:val="20"/>
          <w:lang w:val="en-US"/>
        </w:rPr>
        <w:t>paraesthesias</w:t>
      </w:r>
      <w:proofErr w:type="spellEnd"/>
      <w:r>
        <w:rPr>
          <w:rFonts w:ascii="Arial" w:hAnsi="Arial"/>
          <w:sz w:val="20"/>
          <w:szCs w:val="20"/>
          <w:lang w:val="en-US"/>
        </w:rPr>
        <w:t>, and generalized shaking or weakness may be observed (17). When a second (relapse) phase occurs, it is characterized by recurrent fever with predominant neurological manifestations, typically lasting 12</w:t>
      </w:r>
      <w:r>
        <w:rPr>
          <w:rFonts w:ascii="Arial" w:hAnsi="Arial"/>
          <w:sz w:val="20"/>
          <w:szCs w:val="20"/>
        </w:rPr>
        <w:t>–</w:t>
      </w:r>
      <w:r>
        <w:rPr>
          <w:rFonts w:ascii="Arial" w:hAnsi="Arial"/>
          <w:sz w:val="20"/>
          <w:szCs w:val="20"/>
          <w:lang w:val="en-US"/>
        </w:rPr>
        <w:t>14 days in reported series (17). The neurological spectrum includes drowsiness, confusion or disorientation, seizures or convulsions, altered sensorium, and meningeal signs such as neck stiffness or a positive Kernig sign, resembling an aseptic meningitis-like illness (17,18). Importantly, early neurological complications, particularly within the first two weeks of illness in hospital-based series, have been associated with poorer clinical outcomes (18).</w:t>
      </w:r>
    </w:p>
    <w:p w14:paraId="028FFAC9" w14:textId="77777777" w:rsidR="00C07845" w:rsidRDefault="00C07845">
      <w:pPr>
        <w:pStyle w:val="Body"/>
        <w:jc w:val="both"/>
        <w:rPr>
          <w:rFonts w:ascii="Times New Roman" w:eastAsia="Times New Roman" w:hAnsi="Times New Roman" w:cs="Times New Roman"/>
          <w:sz w:val="28"/>
          <w:szCs w:val="28"/>
        </w:rPr>
      </w:pPr>
    </w:p>
    <w:p w14:paraId="6894AA6A" w14:textId="630F0807" w:rsidR="00C07845" w:rsidRPr="00E27762" w:rsidRDefault="00D417C3" w:rsidP="00E27762">
      <w:pPr>
        <w:pStyle w:val="Default"/>
        <w:numPr>
          <w:ilvl w:val="0"/>
          <w:numId w:val="4"/>
        </w:numPr>
        <w:suppressAutoHyphens/>
        <w:spacing w:before="0" w:after="240" w:line="240" w:lineRule="auto"/>
        <w:rPr>
          <w:rFonts w:ascii="Arial" w:eastAsia="Times New Roman" w:hAnsi="Arial" w:cs="Arial"/>
          <w:b/>
          <w:bCs/>
          <w:sz w:val="22"/>
          <w:szCs w:val="22"/>
        </w:rPr>
      </w:pPr>
      <w:r w:rsidRPr="00E27762">
        <w:rPr>
          <w:rFonts w:ascii="Arial" w:hAnsi="Arial" w:cs="Arial"/>
          <w:b/>
          <w:bCs/>
          <w:sz w:val="22"/>
          <w:szCs w:val="22"/>
        </w:rPr>
        <w:t xml:space="preserve">Laboratory diagnosis </w:t>
      </w:r>
    </w:p>
    <w:p w14:paraId="2A5A8399" w14:textId="1A0D0FE4" w:rsidR="00C07845" w:rsidRPr="00E27762" w:rsidRDefault="00E27762" w:rsidP="00E27762">
      <w:pPr>
        <w:pStyle w:val="Default"/>
        <w:suppressAutoHyphens/>
        <w:spacing w:before="0" w:after="280" w:line="240" w:lineRule="auto"/>
        <w:rPr>
          <w:rFonts w:ascii="Arial" w:eastAsia="Arial" w:hAnsi="Arial" w:cs="Arial"/>
          <w:b/>
          <w:bCs/>
          <w:sz w:val="20"/>
          <w:szCs w:val="20"/>
          <w:u w:val="single"/>
        </w:rPr>
      </w:pPr>
      <w:r>
        <w:rPr>
          <w:rFonts w:ascii="Arial" w:hAnsi="Arial"/>
          <w:b/>
          <w:bCs/>
          <w:sz w:val="20"/>
          <w:szCs w:val="20"/>
          <w:u w:val="single"/>
        </w:rPr>
        <w:t xml:space="preserve">8.1: </w:t>
      </w:r>
      <w:r w:rsidRPr="00E27762">
        <w:rPr>
          <w:rFonts w:ascii="Arial" w:hAnsi="Arial"/>
          <w:b/>
          <w:bCs/>
          <w:sz w:val="20"/>
          <w:szCs w:val="20"/>
          <w:u w:val="single"/>
        </w:rPr>
        <w:t>Virus isolation and culture</w:t>
      </w:r>
    </w:p>
    <w:p w14:paraId="6D773BF4"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Virus isolation and culture were once treated as reference methods for viral diagnosis, but their role is now limited because rapid molecular tests—especially PCR—are widely available [28]. These approaches are resource-intensive, needing BSL-3/4 containment, trained personnel, and relatively long turnaround times [33,26,28,31]. For these reasons, they are generally not advised as first-line diagnostic tests in routine practice [28</w:t>
      </w:r>
      <w:r w:rsidRPr="00E73179">
        <w:rPr>
          <w:rFonts w:ascii="Arial" w:hAnsi="Arial"/>
          <w:sz w:val="20"/>
          <w:szCs w:val="20"/>
          <w:lang w:val="en-IN"/>
        </w:rPr>
        <w:t>].</w:t>
      </w:r>
    </w:p>
    <w:p w14:paraId="1243E266" w14:textId="2AD23CE6" w:rsidR="00C07845" w:rsidRPr="00E27762" w:rsidRDefault="00E27762" w:rsidP="00E27762">
      <w:pPr>
        <w:pStyle w:val="Default"/>
        <w:suppressAutoHyphens/>
        <w:spacing w:before="0" w:after="280" w:line="240" w:lineRule="auto"/>
        <w:rPr>
          <w:rFonts w:ascii="Arial" w:eastAsia="Arial" w:hAnsi="Arial" w:cs="Arial"/>
          <w:b/>
          <w:bCs/>
          <w:sz w:val="20"/>
          <w:szCs w:val="20"/>
          <w:u w:val="single"/>
        </w:rPr>
      </w:pPr>
      <w:r w:rsidRPr="00E27762">
        <w:rPr>
          <w:rFonts w:ascii="Arial" w:hAnsi="Arial"/>
          <w:b/>
          <w:bCs/>
          <w:sz w:val="20"/>
          <w:szCs w:val="20"/>
          <w:u w:val="single"/>
        </w:rPr>
        <w:lastRenderedPageBreak/>
        <w:t>8.2: Serological methods</w:t>
      </w:r>
    </w:p>
    <w:p w14:paraId="5151261D"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In symptomatic cases, serology remains the most commonly used diagnostic approach, and serum and CSF are the main clinical specimens [32,33,28]. ELISA can detect virus-specific antibodies starting in the first week of illness and extending into early convalescence [31]. Acute infection is supported by IgM detection in serum or CSF, or by demonstrating a fourfold (or greater) rise in IgG titers between paired serum samples [28,31]. ELISA is also well-suited for high-throughput workflows because it can be automated and yields more objective readouts [32,33</w:t>
      </w:r>
      <w:r w:rsidRPr="00E73179">
        <w:rPr>
          <w:rFonts w:ascii="Arial" w:hAnsi="Arial"/>
          <w:sz w:val="20"/>
          <w:szCs w:val="20"/>
          <w:lang w:val="en-IN"/>
        </w:rPr>
        <w:t>].</w:t>
      </w:r>
    </w:p>
    <w:p w14:paraId="3130162E"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HI, CF, and </w:t>
      </w:r>
      <w:proofErr w:type="spellStart"/>
      <w:r>
        <w:rPr>
          <w:rFonts w:ascii="Arial" w:hAnsi="Arial"/>
          <w:sz w:val="20"/>
          <w:szCs w:val="20"/>
        </w:rPr>
        <w:t>neutralisation</w:t>
      </w:r>
      <w:proofErr w:type="spellEnd"/>
      <w:r>
        <w:rPr>
          <w:rFonts w:ascii="Arial" w:hAnsi="Arial"/>
          <w:sz w:val="20"/>
          <w:szCs w:val="20"/>
        </w:rPr>
        <w:t xml:space="preserve"> assays assess humoral responses across different phases of infection [32,33,22]. HI often shows an early rise in antibody titers, CF is generally less sensitive and may need confirmation, and </w:t>
      </w:r>
      <w:proofErr w:type="spellStart"/>
      <w:r>
        <w:rPr>
          <w:rFonts w:ascii="Arial" w:hAnsi="Arial"/>
          <w:sz w:val="20"/>
          <w:szCs w:val="20"/>
        </w:rPr>
        <w:t>neutralisation</w:t>
      </w:r>
      <w:proofErr w:type="spellEnd"/>
      <w:r>
        <w:rPr>
          <w:rFonts w:ascii="Arial" w:hAnsi="Arial"/>
          <w:sz w:val="20"/>
          <w:szCs w:val="20"/>
        </w:rPr>
        <w:t xml:space="preserve"> testing can detect durable </w:t>
      </w:r>
      <w:proofErr w:type="spellStart"/>
      <w:r>
        <w:rPr>
          <w:rFonts w:ascii="Arial" w:hAnsi="Arial"/>
          <w:sz w:val="20"/>
          <w:szCs w:val="20"/>
        </w:rPr>
        <w:t>neutralising</w:t>
      </w:r>
      <w:proofErr w:type="spellEnd"/>
      <w:r>
        <w:rPr>
          <w:rFonts w:ascii="Arial" w:hAnsi="Arial"/>
          <w:sz w:val="20"/>
          <w:szCs w:val="20"/>
          <w:lang w:val="de-DE"/>
        </w:rPr>
        <w:t xml:space="preserve"> antibodies</w:t>
      </w:r>
      <w:r>
        <w:rPr>
          <w:rFonts w:ascii="Arial" w:hAnsi="Arial"/>
          <w:sz w:val="20"/>
          <w:szCs w:val="20"/>
        </w:rPr>
        <w:t xml:space="preserve">—useful for retrospective or postmortem assessment [32,33,22]. A key drawback is serologic cross-reactivity among tick-borne flaviviruses within the same </w:t>
      </w:r>
      <w:proofErr w:type="spellStart"/>
      <w:r>
        <w:rPr>
          <w:rFonts w:ascii="Arial" w:hAnsi="Arial"/>
          <w:sz w:val="20"/>
          <w:szCs w:val="20"/>
        </w:rPr>
        <w:t>serocomplex</w:t>
      </w:r>
      <w:proofErr w:type="spellEnd"/>
      <w:r>
        <w:rPr>
          <w:rFonts w:ascii="Arial" w:hAnsi="Arial"/>
          <w:sz w:val="20"/>
          <w:szCs w:val="20"/>
        </w:rPr>
        <w:t>, which can prevent reliable species-level identification [32,34,33]. To address this, NS1-based ELISA formats have been developed and appear to reduce cross-reactivity between OHFV and TBEV [23,24</w:t>
      </w:r>
      <w:r w:rsidRPr="00E73179">
        <w:rPr>
          <w:rFonts w:ascii="Arial" w:hAnsi="Arial"/>
          <w:sz w:val="20"/>
          <w:szCs w:val="20"/>
          <w:lang w:val="en-IN"/>
        </w:rPr>
        <w:t>].</w:t>
      </w:r>
    </w:p>
    <w:p w14:paraId="1CCFAEEA" w14:textId="48E9D700" w:rsidR="00C07845" w:rsidRPr="00E27762" w:rsidRDefault="00E27762" w:rsidP="00E27762">
      <w:pPr>
        <w:pStyle w:val="Default"/>
        <w:suppressAutoHyphens/>
        <w:spacing w:before="0" w:after="280" w:line="240" w:lineRule="auto"/>
        <w:rPr>
          <w:rFonts w:ascii="Arial" w:eastAsia="Arial" w:hAnsi="Arial" w:cs="Arial"/>
          <w:b/>
          <w:bCs/>
          <w:sz w:val="20"/>
          <w:szCs w:val="20"/>
          <w:u w:val="single"/>
        </w:rPr>
      </w:pPr>
      <w:r w:rsidRPr="00E27762">
        <w:rPr>
          <w:rFonts w:ascii="Arial" w:hAnsi="Arial"/>
          <w:b/>
          <w:bCs/>
          <w:sz w:val="20"/>
          <w:szCs w:val="20"/>
          <w:u w:val="single"/>
        </w:rPr>
        <w:t>8.3: Molecular methods</w:t>
      </w:r>
    </w:p>
    <w:p w14:paraId="6676166E"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Molecular diagnosis mainly uses RT-PCR to identify viral RNA in blood or CSF, and species-specific primers can help distinguish among tick-borne flaviviruses [32,33,29,30]. For OHFV and KFDV, clinical sensitivity can be reduced because viremia is brief and tends to occur before symptoms or early in the prodrome [32,33,29,30]. After hemorrhagic or neurological features begin, viral RNA is often no longer detectable, and there are currently no confirmed OHFV or KFDV diagnoses established by CSF PCR [25]. As a result, RT-PCR is more often applied in postmortem workups and in surveillance of ticks and animal hosts [33,31</w:t>
      </w:r>
      <w:r w:rsidRPr="00E73179">
        <w:rPr>
          <w:rFonts w:ascii="Arial" w:hAnsi="Arial"/>
          <w:sz w:val="20"/>
          <w:szCs w:val="20"/>
          <w:lang w:val="en-IN"/>
        </w:rPr>
        <w:t>].</w:t>
      </w:r>
    </w:p>
    <w:p w14:paraId="5B47687B" w14:textId="77777777" w:rsidR="00C07845" w:rsidRDefault="00D417C3">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Newer real-time RT-PCR methods can discriminate among more than 50 </w:t>
      </w:r>
      <w:proofErr w:type="spellStart"/>
      <w:r>
        <w:rPr>
          <w:rFonts w:ascii="Arial" w:hAnsi="Arial"/>
          <w:sz w:val="20"/>
          <w:szCs w:val="20"/>
        </w:rPr>
        <w:t>Orthoflavivirus</w:t>
      </w:r>
      <w:proofErr w:type="spellEnd"/>
      <w:r>
        <w:rPr>
          <w:rFonts w:ascii="Arial" w:hAnsi="Arial"/>
          <w:sz w:val="20"/>
          <w:szCs w:val="20"/>
        </w:rPr>
        <w:t xml:space="preserve"> species with minimal cross-reactivity [29–31]. Methods such as nested RT-PCR and RT-polymerase spiral reaction (RT-PSR) can improve detection when viral loads are low and may support faster field-oriented testing [26,30]. Timely clinical suspicion and highly sensitive, species-specific assays remain essential to </w:t>
      </w:r>
      <w:proofErr w:type="spellStart"/>
      <w:r>
        <w:rPr>
          <w:rFonts w:ascii="Arial" w:hAnsi="Arial"/>
          <w:sz w:val="20"/>
          <w:szCs w:val="20"/>
        </w:rPr>
        <w:t>maximise</w:t>
      </w:r>
      <w:proofErr w:type="spellEnd"/>
      <w:r>
        <w:rPr>
          <w:rFonts w:ascii="Arial" w:hAnsi="Arial"/>
          <w:sz w:val="20"/>
          <w:szCs w:val="20"/>
          <w:lang w:val="es-ES_tradnl"/>
        </w:rPr>
        <w:t xml:space="preserve"> molecular diagnostic yield</w:t>
      </w:r>
      <w:r>
        <w:rPr>
          <w:rFonts w:ascii="Arial" w:hAnsi="Arial"/>
          <w:sz w:val="20"/>
          <w:szCs w:val="20"/>
        </w:rPr>
        <w:t xml:space="preserve"> </w:t>
      </w:r>
      <w:r w:rsidRPr="00E73179">
        <w:rPr>
          <w:rFonts w:ascii="Arial" w:hAnsi="Arial"/>
          <w:sz w:val="20"/>
          <w:szCs w:val="20"/>
          <w:lang w:val="en-IN"/>
        </w:rPr>
        <w:t>[</w:t>
      </w:r>
      <w:r>
        <w:rPr>
          <w:rFonts w:ascii="Arial" w:hAnsi="Arial"/>
          <w:sz w:val="20"/>
          <w:szCs w:val="20"/>
        </w:rPr>
        <w:t>32,33,27,30</w:t>
      </w:r>
      <w:r w:rsidRPr="00E73179">
        <w:rPr>
          <w:rFonts w:ascii="Arial" w:hAnsi="Arial"/>
          <w:sz w:val="20"/>
          <w:szCs w:val="20"/>
          <w:lang w:val="en-IN"/>
        </w:rPr>
        <w:t>].</w:t>
      </w:r>
    </w:p>
    <w:p w14:paraId="5D800D73" w14:textId="77777777" w:rsidR="00C07845" w:rsidRDefault="00C07845">
      <w:pPr>
        <w:pStyle w:val="Default"/>
        <w:suppressAutoHyphens/>
        <w:spacing w:before="0" w:after="240" w:line="240" w:lineRule="auto"/>
        <w:jc w:val="both"/>
        <w:rPr>
          <w:rFonts w:ascii="Arial" w:eastAsia="Arial" w:hAnsi="Arial" w:cs="Arial"/>
          <w:sz w:val="20"/>
          <w:szCs w:val="20"/>
        </w:rPr>
      </w:pPr>
    </w:p>
    <w:p w14:paraId="1490DBA8" w14:textId="69D12CAA" w:rsidR="00C07845" w:rsidRPr="00E27762" w:rsidRDefault="00D417C3" w:rsidP="00E27762">
      <w:pPr>
        <w:pStyle w:val="Default"/>
        <w:numPr>
          <w:ilvl w:val="0"/>
          <w:numId w:val="4"/>
        </w:numPr>
        <w:suppressAutoHyphens/>
        <w:spacing w:before="0" w:after="240" w:line="240" w:lineRule="auto"/>
        <w:rPr>
          <w:rFonts w:ascii="Arial" w:eastAsia="Times New Roman" w:hAnsi="Arial" w:cs="Arial"/>
          <w:b/>
          <w:bCs/>
          <w:sz w:val="22"/>
          <w:szCs w:val="22"/>
        </w:rPr>
      </w:pPr>
      <w:r w:rsidRPr="00E27762">
        <w:rPr>
          <w:rFonts w:ascii="Arial" w:hAnsi="Arial" w:cs="Arial"/>
          <w:b/>
          <w:bCs/>
          <w:sz w:val="22"/>
          <w:szCs w:val="22"/>
        </w:rPr>
        <w:t xml:space="preserve">Surveillance, One Health Approaches, and Prevention </w:t>
      </w:r>
    </w:p>
    <w:p w14:paraId="14477E92" w14:textId="77777777" w:rsidR="00C07845" w:rsidRDefault="00D417C3" w:rsidP="00DB0BC1">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(KFD) continues to pose a major public health threat due to the absence of specific antivirals and the limited effectiveness of the available vaccine, making integrated prevention strategies central to disease control. Strengthened surveillance—incorporating geospatial mapping [3] and IDSP-linked mobile app–based reporting—enables near real-time tracking of monkey deaths and human infections, facilitating early outbreak detection and rapid containment. Predictive platforms such as the KFD Explorer integrate ecological and epidemiological data to identify high-risk areas and support targeted interventions in Karnataka [36</w:t>
      </w:r>
      <w:r w:rsidRPr="00E73179">
        <w:rPr>
          <w:rFonts w:ascii="Arial" w:hAnsi="Arial"/>
          <w:sz w:val="20"/>
          <w:szCs w:val="20"/>
          <w:lang w:val="en-IN"/>
        </w:rPr>
        <w:t>].</w:t>
      </w:r>
    </w:p>
    <w:p w14:paraId="15CF65E8"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A One Health approach integrating human, animal, and environmental sectors has demonstrated clear value in KFD management [37]. During the 2015 outbreak in Wayanad, Kerala, coordinated multisectoral action and integrated surveillance were successfully implemented, underscoring the effectiveness of this strategy for sustained control [38]. Co-developed decision-support tools and community education initiatives in endemic regions further show that exposure to infected ticks occurs not only in forest interiors but also at forest fringes and around households, disproportionately affecting socially vulnerable populations [3o]. In India, the Indian Council of Medical Research (ICMR) has </w:t>
      </w:r>
      <w:proofErr w:type="spellStart"/>
      <w:r>
        <w:rPr>
          <w:rFonts w:ascii="Arial" w:hAnsi="Arial"/>
          <w:sz w:val="20"/>
          <w:szCs w:val="20"/>
        </w:rPr>
        <w:t>operationalised</w:t>
      </w:r>
      <w:proofErr w:type="spellEnd"/>
      <w:r>
        <w:rPr>
          <w:rFonts w:ascii="Arial" w:hAnsi="Arial"/>
          <w:sz w:val="20"/>
          <w:szCs w:val="20"/>
        </w:rPr>
        <w:t xml:space="preserve"> a One Health framework to enhance early warning, advance diagnostics, strengthen capacity, and promote coordinated responses to KFD [40</w:t>
      </w:r>
      <w:r w:rsidRPr="00E73179">
        <w:rPr>
          <w:rFonts w:ascii="Arial" w:hAnsi="Arial"/>
          <w:sz w:val="20"/>
          <w:szCs w:val="20"/>
          <w:lang w:val="en-IN"/>
        </w:rPr>
        <w:t>].</w:t>
      </w:r>
    </w:p>
    <w:p w14:paraId="508537F7" w14:textId="10BB0BD2" w:rsidR="00C07845" w:rsidRDefault="00E27762" w:rsidP="00DB0BC1">
      <w:pPr>
        <w:pStyle w:val="Default"/>
        <w:suppressAutoHyphens/>
        <w:spacing w:before="0" w:after="280" w:line="240" w:lineRule="auto"/>
        <w:rPr>
          <w:rFonts w:ascii="Times New Roman" w:eastAsia="Times New Roman" w:hAnsi="Times New Roman" w:cs="Times New Roman"/>
          <w:sz w:val="48"/>
          <w:szCs w:val="48"/>
        </w:rPr>
      </w:pPr>
      <w:r w:rsidRPr="00E27762">
        <w:rPr>
          <w:rFonts w:ascii="Arial" w:hAnsi="Arial" w:cs="Arial"/>
          <w:b/>
          <w:bCs/>
          <w:sz w:val="22"/>
          <w:szCs w:val="22"/>
        </w:rPr>
        <w:t>DISCUSSION</w:t>
      </w:r>
    </w:p>
    <w:p w14:paraId="21C0F1E6"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Historical and contemporary analyses indicate that </w:t>
      </w:r>
      <w:proofErr w:type="spellStart"/>
      <w:r>
        <w:rPr>
          <w:rFonts w:ascii="Arial" w:hAnsi="Arial"/>
          <w:sz w:val="20"/>
          <w:szCs w:val="20"/>
        </w:rPr>
        <w:t>Kyasanur</w:t>
      </w:r>
      <w:proofErr w:type="spellEnd"/>
      <w:r>
        <w:rPr>
          <w:rFonts w:ascii="Arial" w:hAnsi="Arial"/>
          <w:sz w:val="20"/>
          <w:szCs w:val="20"/>
        </w:rPr>
        <w:t xml:space="preserve"> Forest disease (KFD) has progressively expanded beyond its early Karnataka-centric distribution, with emergence into new foci closely associated with landscape modification—such as deforestation for agriculture or logging—which disrupts natural habitats and bring infected ticks and vertebrate hosts into closer proximity with human settlements, thereby amplifying opportunities for zoonotic spillover. This expansion is further reinforced by forest-edge livelihoods and altered patterns of human–tick interaction across the Western Ghats. Clinically, the characteristic biphasic course of illness remains a major challenge, as a subset of patients experience delayed clinical worsening with </w:t>
      </w:r>
      <w:r>
        <w:rPr>
          <w:rFonts w:ascii="Arial" w:hAnsi="Arial"/>
          <w:sz w:val="20"/>
          <w:szCs w:val="20"/>
        </w:rPr>
        <w:lastRenderedPageBreak/>
        <w:t xml:space="preserve">predominantly neurological manifestations, prolonging morbidity and complicating follow-up after apparent recovery from the initial febrile phase. Preventive control is further constrained by programmatic limitations; field evaluations have consistently reported suboptimal vaccine coverage and variable effectiveness under routine conditions, underscoring that implementation fidelity and adherence are as critical as intrinsic biological </w:t>
      </w:r>
      <w:proofErr w:type="gramStart"/>
      <w:r>
        <w:rPr>
          <w:rFonts w:ascii="Arial" w:hAnsi="Arial"/>
          <w:sz w:val="20"/>
          <w:szCs w:val="20"/>
        </w:rPr>
        <w:t>efficacy.[</w:t>
      </w:r>
      <w:proofErr w:type="gramEnd"/>
      <w:r>
        <w:rPr>
          <w:rFonts w:ascii="Arial" w:hAnsi="Arial"/>
          <w:sz w:val="20"/>
          <w:szCs w:val="20"/>
        </w:rPr>
        <w:t>17,20,21]</w:t>
      </w:r>
    </w:p>
    <w:p w14:paraId="020CBF01" w14:textId="77777777" w:rsidR="00C07845" w:rsidRPr="00E27762" w:rsidRDefault="00D417C3" w:rsidP="00DB0BC1">
      <w:pPr>
        <w:pStyle w:val="Default"/>
        <w:suppressAutoHyphens/>
        <w:spacing w:before="0" w:after="240" w:line="240" w:lineRule="auto"/>
        <w:rPr>
          <w:rFonts w:ascii="Arial" w:eastAsia="Arial" w:hAnsi="Arial" w:cs="Arial"/>
          <w:b/>
          <w:bCs/>
          <w:sz w:val="20"/>
          <w:szCs w:val="20"/>
        </w:rPr>
      </w:pPr>
      <w:r w:rsidRPr="00E27762">
        <w:rPr>
          <w:rFonts w:ascii="Arial" w:hAnsi="Arial"/>
          <w:b/>
          <w:bCs/>
          <w:sz w:val="20"/>
          <w:szCs w:val="20"/>
        </w:rPr>
        <w:t>Research gaps</w:t>
      </w:r>
    </w:p>
    <w:p w14:paraId="3E08308D"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 xml:space="preserve">Key knowledge gaps persist. These include the need to quantify which specific land-use changes most strongly amplify human exposure risk and the spatial scales at which these effects operate in newly affected districts.[20] The predictors and underlying mechanisms of biphasic and neurological disease—particularly the relative contributions of viral persistence versus immune-mediated injury—remain insufficiently defined and require investigation through prospective human cohorts.[17] There is also a need to integrate viral genomic data with clinical severity and patterns of </w:t>
      </w:r>
      <w:r>
        <w:rPr>
          <w:rFonts w:ascii="Arial" w:hAnsi="Arial"/>
          <w:sz w:val="20"/>
          <w:szCs w:val="20"/>
          <w:rtl/>
          <w:lang w:val="ar-SA" w:bidi="ar-SA"/>
        </w:rPr>
        <w:t>“</w:t>
      </w:r>
      <w:r>
        <w:rPr>
          <w:rFonts w:ascii="Arial" w:hAnsi="Arial"/>
          <w:sz w:val="20"/>
          <w:szCs w:val="20"/>
        </w:rPr>
        <w:t>new-focus” emergence to distinguish repeated introductions from local ecological establishment.[20] Additionally, validated severity scores or biomarkers to guide referral decisions, monitoring intensity, and discharge counseling—especially to anticipate relapse—are lacking.[17] Finally, implementation research is needed to clarify the determinants of persistently low vaccine coverage and to identify delivery models that improve completion of multi-dose vaccination schedules.[21</w:t>
      </w:r>
      <w:r w:rsidRPr="00E73179">
        <w:rPr>
          <w:rFonts w:ascii="Arial" w:hAnsi="Arial"/>
          <w:sz w:val="20"/>
          <w:szCs w:val="20"/>
          <w:lang w:val="en-IN"/>
        </w:rPr>
        <w:t>]</w:t>
      </w:r>
    </w:p>
    <w:p w14:paraId="5B3B6AFD" w14:textId="77777777" w:rsidR="00C07845" w:rsidRPr="00E27762" w:rsidRDefault="00D417C3" w:rsidP="00DB0BC1">
      <w:pPr>
        <w:pStyle w:val="Default"/>
        <w:suppressAutoHyphens/>
        <w:spacing w:before="0" w:after="280" w:line="240" w:lineRule="auto"/>
        <w:rPr>
          <w:rFonts w:ascii="Arial" w:eastAsia="Arial" w:hAnsi="Arial" w:cs="Arial"/>
          <w:b/>
          <w:bCs/>
          <w:sz w:val="20"/>
          <w:szCs w:val="20"/>
        </w:rPr>
      </w:pPr>
      <w:r w:rsidRPr="00E27762">
        <w:rPr>
          <w:rFonts w:ascii="Arial" w:hAnsi="Arial"/>
          <w:b/>
          <w:bCs/>
          <w:sz w:val="20"/>
          <w:szCs w:val="20"/>
        </w:rPr>
        <w:t>Future directions</w:t>
      </w:r>
    </w:p>
    <w:p w14:paraId="11844D9F" w14:textId="77777777" w:rsidR="00C07845" w:rsidRDefault="00D417C3" w:rsidP="00DB0BC1">
      <w:pPr>
        <w:pStyle w:val="Default"/>
        <w:suppressAutoHyphens/>
        <w:spacing w:before="0" w:after="240" w:line="240" w:lineRule="auto"/>
        <w:jc w:val="both"/>
        <w:rPr>
          <w:rFonts w:ascii="Arial" w:eastAsia="Arial" w:hAnsi="Arial" w:cs="Arial"/>
          <w:sz w:val="20"/>
          <w:szCs w:val="20"/>
        </w:rPr>
      </w:pPr>
      <w:r>
        <w:rPr>
          <w:rFonts w:ascii="Arial" w:hAnsi="Arial"/>
          <w:sz w:val="20"/>
          <w:szCs w:val="20"/>
        </w:rPr>
        <w:t>Future efforts should prioritize integrated surveillance systems that link human case detection with tick and vertebrate host sampling, alongside rapid investigation of sentinel events, to enable earlier identification of micro-hotspots.[20] Pragmatic evaluations of vaccination strategies—including hotspot-targeted campaigns, mobile outreach, and booster-dose tracking—should be conducted using routine programmatic data as effectiveness endpoints.[21] Establishing standardized, multi-site clinical cohorts with serial sampling across both phases of illness will be essential to characterize viral kinetics and immune or endothelial injury signatures.[17] Routine incorporation of viral sequencing with minimal but standardized metadata (location, time, vaccination status, and outcomes) into outbreak investigations would further support actionable phylodynamic analyses and inform targeted control strategies.[20</w:t>
      </w:r>
      <w:r w:rsidRPr="00E73179">
        <w:rPr>
          <w:rFonts w:ascii="Arial" w:hAnsi="Arial"/>
          <w:sz w:val="20"/>
          <w:szCs w:val="20"/>
          <w:lang w:val="en-IN"/>
        </w:rPr>
        <w:t>]</w:t>
      </w:r>
    </w:p>
    <w:p w14:paraId="1BA27AD8" w14:textId="77777777" w:rsidR="00C07845" w:rsidRDefault="00C07845" w:rsidP="00DB0BC1">
      <w:pPr>
        <w:pStyle w:val="Default"/>
        <w:suppressAutoHyphens/>
        <w:spacing w:before="0" w:after="240" w:line="240" w:lineRule="auto"/>
        <w:jc w:val="both"/>
        <w:rPr>
          <w:rFonts w:ascii="Times New Roman" w:eastAsia="Times New Roman" w:hAnsi="Times New Roman" w:cs="Times New Roman"/>
        </w:rPr>
      </w:pPr>
    </w:p>
    <w:p w14:paraId="434F7F25" w14:textId="7E68AAD3" w:rsidR="00C07845" w:rsidRDefault="00E27762" w:rsidP="00DB0BC1">
      <w:pPr>
        <w:pStyle w:val="Default"/>
        <w:suppressAutoHyphens/>
        <w:spacing w:before="0" w:after="280" w:line="240" w:lineRule="auto"/>
        <w:rPr>
          <w:rFonts w:ascii="Times New Roman" w:eastAsia="Times New Roman" w:hAnsi="Times New Roman" w:cs="Times New Roman"/>
          <w:sz w:val="48"/>
          <w:szCs w:val="48"/>
        </w:rPr>
      </w:pPr>
      <w:r w:rsidRPr="00E27762">
        <w:rPr>
          <w:rFonts w:ascii="Arial" w:hAnsi="Arial" w:cs="Arial"/>
          <w:b/>
          <w:bCs/>
          <w:sz w:val="22"/>
          <w:szCs w:val="22"/>
          <w:lang w:val="it-IT"/>
        </w:rPr>
        <w:t>CONCLUSION</w:t>
      </w:r>
    </w:p>
    <w:p w14:paraId="5BCD7DA4" w14:textId="77777777" w:rsidR="00C07845" w:rsidRDefault="00D417C3" w:rsidP="00DB0BC1">
      <w:pPr>
        <w:pStyle w:val="Default"/>
        <w:suppressAutoHyphens/>
        <w:spacing w:before="0" w:after="240" w:line="240" w:lineRule="auto"/>
        <w:jc w:val="both"/>
        <w:rPr>
          <w:rFonts w:ascii="Arial" w:eastAsia="Arial" w:hAnsi="Arial" w:cs="Arial"/>
          <w:sz w:val="20"/>
          <w:szCs w:val="20"/>
        </w:rPr>
      </w:pPr>
      <w:proofErr w:type="spellStart"/>
      <w:r>
        <w:rPr>
          <w:rFonts w:ascii="Arial" w:hAnsi="Arial"/>
          <w:sz w:val="20"/>
          <w:szCs w:val="20"/>
        </w:rPr>
        <w:t>Kyasanur</w:t>
      </w:r>
      <w:proofErr w:type="spellEnd"/>
      <w:r>
        <w:rPr>
          <w:rFonts w:ascii="Arial" w:hAnsi="Arial"/>
          <w:sz w:val="20"/>
          <w:szCs w:val="20"/>
        </w:rPr>
        <w:t xml:space="preserve"> Forest disease remains a persistent and expanding zoonotic viral infection shaped by ecological disruption, vector dynamics, and human exposure in the Western Ghats. Despite decades of recognition, its complex enzootic maintenance, focal yet widening distribution, and characteristic biphasic illness with delayed neurological complications continue to challenge both understanding and control. The emergence of new transmission foci underscores that KFD is an evolving disease system rather than a static endemic entity. Limitations in surveillance and variable vaccine coverage further constrain prevention efforts. Progress will require integrated approaches combining ecological monitoring, clinical cohort studies, and viral genomics to improve risk stratification, guide targeted interventions, and prevent further geographic expansion.</w:t>
      </w:r>
    </w:p>
    <w:p w14:paraId="584183A9" w14:textId="021A0BFA" w:rsidR="00B3473E" w:rsidRDefault="00B3473E" w:rsidP="00DB0BC1">
      <w:pPr>
        <w:pStyle w:val="Default"/>
        <w:suppressAutoHyphens/>
        <w:spacing w:before="0" w:after="240" w:line="240" w:lineRule="auto"/>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pPr>
      <w:r w:rsidRPr="00B3473E">
        <w:rPr>
          <w:rFonts w:ascii="Arial" w:eastAsia="Times New Roman" w:hAnsi="Arial" w:cs="Arial"/>
          <w:b/>
          <w:caps/>
          <w:color w:val="auto"/>
          <w:sz w:val="22"/>
          <w:szCs w:val="20"/>
          <w:bdr w:val="none" w:sz="0" w:space="0" w:color="auto"/>
          <w:lang w:eastAsia="en-US" w:bidi="ar-SA"/>
          <w14:textOutline w14:w="0" w14:cap="rnd" w14:cmpd="sng" w14:algn="ctr">
            <w14:noFill/>
            <w14:prstDash w14:val="solid"/>
            <w14:bevel/>
          </w14:textOutline>
        </w:rPr>
        <w:t>DISCLAIMER (</w:t>
      </w:r>
      <w:r w:rsidR="000D3345" w:rsidRPr="000D3345">
        <w:rPr>
          <w:rFonts w:ascii="Arial" w:eastAsia="Times New Roman" w:hAnsi="Arial" w:cs="Arial"/>
          <w:b/>
          <w:caps/>
          <w:color w:val="auto"/>
          <w:sz w:val="22"/>
          <w:szCs w:val="20"/>
          <w:bdr w:val="none" w:sz="0" w:space="0" w:color="auto"/>
          <w:lang w:eastAsia="en-US" w:bidi="ar-SA"/>
          <w14:textOutline w14:w="0" w14:cap="rnd" w14:cmpd="sng" w14:algn="ctr">
            <w14:noFill/>
            <w14:prstDash w14:val="solid"/>
            <w14:bevel/>
          </w14:textOutline>
        </w:rPr>
        <w:t>Language Editing Assistance</w:t>
      </w:r>
      <w:r w:rsidRPr="00B3473E">
        <w:rPr>
          <w:rFonts w:ascii="Arial" w:eastAsia="Times New Roman" w:hAnsi="Arial" w:cs="Arial"/>
          <w:b/>
          <w:caps/>
          <w:color w:val="auto"/>
          <w:sz w:val="22"/>
          <w:szCs w:val="20"/>
          <w:bdr w:val="none" w:sz="0" w:space="0" w:color="auto"/>
          <w:lang w:eastAsia="en-US" w:bidi="ar-SA"/>
          <w14:textOutline w14:w="0" w14:cap="rnd" w14:cmpd="sng" w14:algn="ctr">
            <w14:noFill/>
            <w14:prstDash w14:val="solid"/>
            <w14:bevel/>
          </w14:textOutline>
        </w:rPr>
        <w:t>):</w:t>
      </w:r>
      <w:r w:rsidRPr="00B3473E">
        <w:rPr>
          <w:rFonts w:ascii="Arial" w:eastAsia="Times New Roman" w:hAnsi="Arial" w:cs="Arial"/>
          <w:b/>
          <w:caps/>
          <w:color w:val="auto"/>
          <w:sz w:val="22"/>
          <w:szCs w:val="20"/>
          <w:bdr w:val="none" w:sz="0" w:space="0" w:color="auto"/>
          <w:lang w:eastAsia="en-US" w:bidi="ar-SA"/>
          <w14:textOutline w14:w="0" w14:cap="rnd" w14:cmpd="sng" w14:algn="ctr">
            <w14:noFill/>
            <w14:prstDash w14:val="solid"/>
            <w14:bevel/>
          </w14:textOutline>
        </w:rPr>
        <w:br/>
      </w:r>
      <w:r w:rsidR="000D3345" w:rsidRPr="000D3345">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t xml:space="preserve">The authors declare that language editing tools were used solely to improve grammar, clarity, and readability of the manuscript. All scientific content, data interpretation, conclusions, and responses to peer review were developed entirely by the authors, who take full responsibility for the integrity and originality of the </w:t>
      </w:r>
      <w:proofErr w:type="gramStart"/>
      <w:r w:rsidR="000D3345" w:rsidRPr="000D3345">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t>work.</w:t>
      </w:r>
      <w:r w:rsidRPr="00B3473E">
        <w:rPr>
          <w:rFonts w:ascii="Arial" w:eastAsia="Times New Roman" w:hAnsi="Arial" w:cs="Arial"/>
          <w:bCs/>
          <w:color w:val="auto"/>
          <w:sz w:val="20"/>
          <w:szCs w:val="20"/>
          <w:bdr w:val="none" w:sz="0" w:space="0" w:color="auto"/>
          <w:lang w:eastAsia="en-US" w:bidi="ar-SA"/>
          <w14:textOutline w14:w="0" w14:cap="rnd" w14:cmpd="sng" w14:algn="ctr">
            <w14:noFill/>
            <w14:prstDash w14:val="solid"/>
            <w14:bevel/>
          </w14:textOutline>
        </w:rPr>
        <w:t>.</w:t>
      </w:r>
      <w:proofErr w:type="gramEnd"/>
    </w:p>
    <w:p w14:paraId="57EF8CD5" w14:textId="3A72C54E" w:rsidR="00B3473E" w:rsidRPr="00B3473E" w:rsidRDefault="00B3473E" w:rsidP="00DB0BC1">
      <w:pPr>
        <w:pStyle w:val="Default"/>
        <w:suppressAutoHyphens/>
        <w:spacing w:before="0" w:after="240"/>
        <w:rPr>
          <w:rFonts w:ascii="Arial" w:eastAsia="Times New Roman" w:hAnsi="Arial" w:cs="Arial"/>
          <w:bCs/>
          <w:caps/>
          <w:sz w:val="20"/>
          <w:szCs w:val="20"/>
          <w:bdr w:val="none" w:sz="0" w:space="0" w:color="auto"/>
          <w:lang w:val="en-IN" w:bidi="ar-SA"/>
        </w:rPr>
      </w:pPr>
      <w:r w:rsidRPr="00B3473E">
        <w:rPr>
          <w:rFonts w:ascii="Arial" w:eastAsia="Times New Roman" w:hAnsi="Arial" w:cs="Arial"/>
          <w:b/>
          <w:caps/>
          <w:sz w:val="22"/>
          <w:szCs w:val="22"/>
          <w:bdr w:val="none" w:sz="0" w:space="0" w:color="auto"/>
          <w:lang w:val="en-IN" w:bidi="ar-SA"/>
        </w:rPr>
        <w:t>CONSENT:</w:t>
      </w:r>
      <w:r>
        <w:rPr>
          <w:rFonts w:ascii="Arial" w:eastAsia="Times New Roman" w:hAnsi="Arial" w:cs="Arial"/>
          <w:bCs/>
          <w:caps/>
          <w:sz w:val="20"/>
          <w:szCs w:val="20"/>
          <w:bdr w:val="none" w:sz="0" w:space="0" w:color="auto"/>
          <w:lang w:val="en-IN" w:bidi="ar-SA"/>
        </w:rPr>
        <w:t xml:space="preserve"> N</w:t>
      </w:r>
      <w:r w:rsidRPr="00B3473E">
        <w:rPr>
          <w:rFonts w:ascii="Arial" w:eastAsia="Times New Roman" w:hAnsi="Arial" w:cs="Arial"/>
          <w:bCs/>
          <w:sz w:val="20"/>
          <w:szCs w:val="20"/>
          <w:bdr w:val="none" w:sz="0" w:space="0" w:color="auto"/>
          <w:lang w:val="en-IN" w:bidi="ar-SA"/>
        </w:rPr>
        <w:t>ot Applicable</w:t>
      </w:r>
      <w:r w:rsidRPr="00B3473E">
        <w:rPr>
          <w:rFonts w:ascii="Arial" w:eastAsia="Times New Roman" w:hAnsi="Arial" w:cs="Arial"/>
          <w:bCs/>
          <w:caps/>
          <w:sz w:val="20"/>
          <w:szCs w:val="20"/>
          <w:bdr w:val="none" w:sz="0" w:space="0" w:color="auto"/>
          <w:lang w:val="en-IN" w:bidi="ar-SA"/>
        </w:rPr>
        <w:t>.</w:t>
      </w:r>
    </w:p>
    <w:p w14:paraId="1BFAB3BA" w14:textId="3121695E" w:rsidR="00B3473E" w:rsidRPr="00B3473E" w:rsidRDefault="00B3473E" w:rsidP="00DB0BC1">
      <w:pPr>
        <w:pStyle w:val="Default"/>
        <w:suppressAutoHyphens/>
        <w:spacing w:before="0" w:after="240"/>
        <w:rPr>
          <w:rFonts w:ascii="Arial" w:eastAsia="Times New Roman" w:hAnsi="Arial" w:cs="Arial"/>
          <w:bCs/>
          <w:caps/>
          <w:sz w:val="20"/>
          <w:szCs w:val="20"/>
          <w:bdr w:val="none" w:sz="0" w:space="0" w:color="auto"/>
          <w:lang w:val="en-IN" w:bidi="ar-SA"/>
        </w:rPr>
      </w:pPr>
      <w:r w:rsidRPr="00B3473E">
        <w:rPr>
          <w:rFonts w:ascii="Arial" w:eastAsia="Times New Roman" w:hAnsi="Arial" w:cs="Arial"/>
          <w:b/>
          <w:caps/>
          <w:sz w:val="22"/>
          <w:szCs w:val="22"/>
          <w:bdr w:val="none" w:sz="0" w:space="0" w:color="auto"/>
          <w:lang w:val="en-IN" w:bidi="ar-SA"/>
        </w:rPr>
        <w:t>ETHICAL APPROVAL</w:t>
      </w:r>
      <w:r w:rsidRPr="00B3473E">
        <w:rPr>
          <w:rFonts w:ascii="Arial" w:eastAsia="Times New Roman" w:hAnsi="Arial" w:cs="Arial"/>
          <w:bCs/>
          <w:caps/>
          <w:sz w:val="20"/>
          <w:szCs w:val="20"/>
          <w:bdr w:val="none" w:sz="0" w:space="0" w:color="auto"/>
          <w:lang w:val="en-IN" w:bidi="ar-SA"/>
        </w:rPr>
        <w:t>:</w:t>
      </w:r>
      <w:r>
        <w:rPr>
          <w:rFonts w:ascii="Arial" w:eastAsia="Times New Roman" w:hAnsi="Arial" w:cs="Arial"/>
          <w:bCs/>
          <w:caps/>
          <w:sz w:val="20"/>
          <w:szCs w:val="20"/>
          <w:bdr w:val="none" w:sz="0" w:space="0" w:color="auto"/>
          <w:lang w:val="en-IN" w:bidi="ar-SA"/>
        </w:rPr>
        <w:t xml:space="preserve"> </w:t>
      </w:r>
      <w:r w:rsidRPr="00B3473E">
        <w:rPr>
          <w:rFonts w:ascii="Arial" w:eastAsia="Times New Roman" w:hAnsi="Arial" w:cs="Arial"/>
          <w:bCs/>
          <w:sz w:val="20"/>
          <w:szCs w:val="20"/>
          <w:bdr w:val="none" w:sz="0" w:space="0" w:color="auto"/>
          <w:lang w:val="en-IN" w:bidi="ar-SA"/>
        </w:rPr>
        <w:t>Not Applicable</w:t>
      </w:r>
      <w:r w:rsidRPr="00B3473E">
        <w:rPr>
          <w:rFonts w:ascii="Arial" w:eastAsia="Times New Roman" w:hAnsi="Arial" w:cs="Arial"/>
          <w:bCs/>
          <w:caps/>
          <w:sz w:val="20"/>
          <w:szCs w:val="20"/>
          <w:bdr w:val="none" w:sz="0" w:space="0" w:color="auto"/>
          <w:lang w:val="en-IN" w:bidi="ar-SA"/>
        </w:rPr>
        <w:t>.</w:t>
      </w:r>
    </w:p>
    <w:p w14:paraId="7BCDB312" w14:textId="0502EF57" w:rsidR="00B3473E" w:rsidRPr="00B3473E" w:rsidRDefault="00B3473E" w:rsidP="00DB0BC1">
      <w:pPr>
        <w:pStyle w:val="Default"/>
        <w:suppressAutoHyphens/>
        <w:spacing w:before="0" w:after="240"/>
        <w:rPr>
          <w:rFonts w:ascii="Arial" w:eastAsia="Times New Roman" w:hAnsi="Arial" w:cs="Arial"/>
          <w:bCs/>
          <w:caps/>
          <w:sz w:val="20"/>
          <w:szCs w:val="20"/>
          <w:bdr w:val="none" w:sz="0" w:space="0" w:color="auto"/>
          <w:lang w:val="en-IN" w:bidi="ar-SA"/>
        </w:rPr>
      </w:pPr>
      <w:r w:rsidRPr="00B3473E">
        <w:rPr>
          <w:rFonts w:ascii="Arial" w:eastAsia="Times New Roman" w:hAnsi="Arial" w:cs="Arial"/>
          <w:b/>
          <w:caps/>
          <w:sz w:val="22"/>
          <w:szCs w:val="22"/>
          <w:bdr w:val="none" w:sz="0" w:space="0" w:color="auto"/>
          <w:lang w:val="en-IN" w:bidi="ar-SA"/>
        </w:rPr>
        <w:t>COMPETING INTERESTS:</w:t>
      </w:r>
      <w:r>
        <w:rPr>
          <w:rFonts w:ascii="Arial" w:eastAsia="Times New Roman" w:hAnsi="Arial" w:cs="Arial"/>
          <w:bCs/>
          <w:caps/>
          <w:sz w:val="20"/>
          <w:szCs w:val="20"/>
          <w:bdr w:val="none" w:sz="0" w:space="0" w:color="auto"/>
          <w:lang w:val="en-IN" w:bidi="ar-SA"/>
        </w:rPr>
        <w:t xml:space="preserve"> </w:t>
      </w:r>
      <w:r>
        <w:rPr>
          <w:rFonts w:ascii="Arial" w:eastAsia="Times New Roman" w:hAnsi="Arial" w:cs="Arial"/>
          <w:bCs/>
          <w:sz w:val="20"/>
          <w:szCs w:val="20"/>
          <w:bdr w:val="none" w:sz="0" w:space="0" w:color="auto"/>
          <w:lang w:val="en-IN" w:bidi="ar-SA"/>
        </w:rPr>
        <w:t>T</w:t>
      </w:r>
      <w:r w:rsidRPr="00B3473E">
        <w:rPr>
          <w:rFonts w:ascii="Arial" w:eastAsia="Times New Roman" w:hAnsi="Arial" w:cs="Arial"/>
          <w:bCs/>
          <w:sz w:val="20"/>
          <w:szCs w:val="20"/>
          <w:bdr w:val="none" w:sz="0" w:space="0" w:color="auto"/>
          <w:lang w:val="en-IN" w:bidi="ar-SA"/>
        </w:rPr>
        <w:t>he authors declare that there are no competing interests</w:t>
      </w:r>
      <w:r w:rsidRPr="00B3473E">
        <w:rPr>
          <w:rFonts w:ascii="Arial" w:eastAsia="Times New Roman" w:hAnsi="Arial" w:cs="Arial"/>
          <w:bCs/>
          <w:caps/>
          <w:sz w:val="20"/>
          <w:szCs w:val="20"/>
          <w:bdr w:val="none" w:sz="0" w:space="0" w:color="auto"/>
          <w:lang w:val="en-IN" w:bidi="ar-SA"/>
        </w:rPr>
        <w:t>.</w:t>
      </w:r>
    </w:p>
    <w:p w14:paraId="6C9B9446" w14:textId="77777777" w:rsidR="00B3473E" w:rsidRPr="00B3473E" w:rsidRDefault="00B3473E" w:rsidP="00DB0BC1">
      <w:pPr>
        <w:pStyle w:val="Default"/>
        <w:suppressAutoHyphens/>
        <w:spacing w:before="0" w:after="240" w:line="240" w:lineRule="auto"/>
        <w:rPr>
          <w:rFonts w:ascii="Arial" w:eastAsia="Times New Roman" w:hAnsi="Arial" w:cs="Arial"/>
          <w:bCs/>
          <w:caps/>
          <w:color w:val="auto"/>
          <w:sz w:val="20"/>
          <w:szCs w:val="20"/>
          <w:bdr w:val="none" w:sz="0" w:space="0" w:color="auto"/>
          <w:lang w:eastAsia="en-US" w:bidi="ar-SA"/>
          <w14:textOutline w14:w="0" w14:cap="rnd" w14:cmpd="sng" w14:algn="ctr">
            <w14:noFill/>
            <w14:prstDash w14:val="solid"/>
            <w14:bevel/>
          </w14:textOutline>
        </w:rPr>
      </w:pPr>
    </w:p>
    <w:p w14:paraId="127AF8EF" w14:textId="7518ECCE" w:rsidR="00C07845" w:rsidRDefault="00E27762" w:rsidP="00DB0BC1">
      <w:pPr>
        <w:pStyle w:val="Default"/>
        <w:suppressAutoHyphens/>
        <w:spacing w:before="0" w:after="240" w:line="240" w:lineRule="auto"/>
        <w:rPr>
          <w:rFonts w:ascii="Arial" w:eastAsia="Arial" w:hAnsi="Arial" w:cs="Arial"/>
          <w:sz w:val="20"/>
          <w:szCs w:val="20"/>
        </w:rPr>
      </w:pPr>
      <w:r w:rsidRPr="00E27762">
        <w:rPr>
          <w:rFonts w:ascii="Arial" w:hAnsi="Arial" w:cs="Arial"/>
          <w:b/>
          <w:bCs/>
          <w:sz w:val="22"/>
          <w:szCs w:val="22"/>
        </w:rPr>
        <w:t>REFERENCES</w:t>
      </w:r>
      <w:r>
        <w:rPr>
          <w:rFonts w:ascii="Arial" w:hAnsi="Arial"/>
          <w:sz w:val="20"/>
          <w:szCs w:val="20"/>
        </w:rPr>
        <w:t xml:space="preserve"> </w:t>
      </w:r>
    </w:p>
    <w:p w14:paraId="12ACA84B" w14:textId="6E89FBAE" w:rsidR="00C07845" w:rsidRDefault="00D417C3">
      <w:pPr>
        <w:pStyle w:val="Default"/>
        <w:numPr>
          <w:ilvl w:val="1"/>
          <w:numId w:val="2"/>
        </w:numPr>
        <w:suppressAutoHyphens/>
        <w:spacing w:before="0" w:line="240" w:lineRule="auto"/>
        <w:jc w:val="both"/>
        <w:rPr>
          <w:rFonts w:ascii="Arial" w:hAnsi="Arial"/>
          <w:sz w:val="20"/>
          <w:szCs w:val="20"/>
        </w:rPr>
      </w:pPr>
      <w:r>
        <w:rPr>
          <w:rFonts w:ascii="Arial" w:hAnsi="Arial"/>
          <w:sz w:val="20"/>
          <w:szCs w:val="20"/>
        </w:rPr>
        <w:lastRenderedPageBreak/>
        <w:t xml:space="preserve">Juneja S. </w:t>
      </w:r>
      <w:proofErr w:type="spellStart"/>
      <w:r>
        <w:rPr>
          <w:rFonts w:ascii="Arial" w:hAnsi="Arial"/>
          <w:sz w:val="20"/>
          <w:szCs w:val="20"/>
        </w:rPr>
        <w:t>Kyasanur</w:t>
      </w:r>
      <w:proofErr w:type="spellEnd"/>
      <w:r>
        <w:rPr>
          <w:rFonts w:ascii="Arial" w:hAnsi="Arial"/>
          <w:sz w:val="20"/>
          <w:szCs w:val="20"/>
        </w:rPr>
        <w:t xml:space="preserve"> Forest Disease in India: robust prevention and control strategy is the need of the hour. International Journal of Advanced Research in Medicine 2023; 5(3): 45-47.</w:t>
      </w:r>
      <w:r w:rsidR="00E73179" w:rsidRPr="00E73179">
        <w:t xml:space="preserve"> </w:t>
      </w:r>
      <w:hyperlink r:id="rId8" w:history="1">
        <w:r w:rsidR="00E73179" w:rsidRPr="00FF26D4">
          <w:rPr>
            <w:rStyle w:val="Hyperlink"/>
            <w:rFonts w:ascii="Arial" w:hAnsi="Arial"/>
            <w:sz w:val="20"/>
            <w:szCs w:val="20"/>
          </w:rPr>
          <w:t>https://doi.org/10.22271/27069567.2023.v5.i3a.500</w:t>
        </w:r>
      </w:hyperlink>
      <w:r w:rsidR="00E73179">
        <w:rPr>
          <w:rFonts w:ascii="Arial" w:hAnsi="Arial"/>
          <w:sz w:val="20"/>
          <w:szCs w:val="20"/>
        </w:rPr>
        <w:t xml:space="preserve"> </w:t>
      </w:r>
    </w:p>
    <w:p w14:paraId="04C0F2F5" w14:textId="77777777" w:rsidR="00C07845" w:rsidRDefault="00D417C3">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lang w:val="pt-BR"/>
        </w:rPr>
        <w:t xml:space="preserve">Achappa S, Aldabaan NA, Alasmary M, Shaikh IA, Mahnashi MH, Desai SV, et al. </w:t>
      </w:r>
      <w:r>
        <w:rPr>
          <w:rFonts w:ascii="Arial" w:hAnsi="Arial"/>
          <w:sz w:val="20"/>
          <w:szCs w:val="20"/>
        </w:rPr>
        <w:t xml:space="preserve">(2025) Exploration of effective pharmacological inhibitors for NS5 protein through computational approach: A strategy to combat the neglected </w:t>
      </w:r>
      <w:proofErr w:type="spellStart"/>
      <w:r>
        <w:rPr>
          <w:rFonts w:ascii="Arial" w:hAnsi="Arial"/>
          <w:sz w:val="20"/>
          <w:szCs w:val="20"/>
        </w:rPr>
        <w:t>Kyasanur</w:t>
      </w:r>
      <w:proofErr w:type="spellEnd"/>
      <w:r>
        <w:rPr>
          <w:rFonts w:ascii="Arial" w:hAnsi="Arial"/>
          <w:sz w:val="20"/>
          <w:szCs w:val="20"/>
        </w:rPr>
        <w:t xml:space="preserve"> forest disease virus. </w:t>
      </w:r>
      <w:proofErr w:type="spellStart"/>
      <w:r>
        <w:rPr>
          <w:rFonts w:ascii="Arial" w:hAnsi="Arial"/>
          <w:sz w:val="20"/>
          <w:szCs w:val="20"/>
        </w:rPr>
        <w:t>PLoS</w:t>
      </w:r>
      <w:proofErr w:type="spellEnd"/>
      <w:r>
        <w:rPr>
          <w:rFonts w:ascii="Arial" w:hAnsi="Arial"/>
          <w:sz w:val="20"/>
          <w:szCs w:val="20"/>
        </w:rPr>
        <w:t xml:space="preserve"> One 20(7): e0325613. https://doi.org/10.1371/journal.pone.0325613</w:t>
      </w:r>
    </w:p>
    <w:p w14:paraId="79354CD5" w14:textId="3705E764"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Murhekar MV, </w:t>
      </w:r>
      <w:proofErr w:type="spellStart"/>
      <w:r>
        <w:rPr>
          <w:rFonts w:ascii="Arial" w:hAnsi="Arial"/>
          <w:sz w:val="20"/>
          <w:szCs w:val="20"/>
        </w:rPr>
        <w:t>Kasabi</w:t>
      </w:r>
      <w:proofErr w:type="spellEnd"/>
      <w:r>
        <w:rPr>
          <w:rFonts w:ascii="Arial" w:hAnsi="Arial"/>
          <w:sz w:val="20"/>
          <w:szCs w:val="20"/>
        </w:rPr>
        <w:t xml:space="preserve"> GS, Mehendale SM, Mourya DT, Yadav PD, </w:t>
      </w:r>
      <w:proofErr w:type="spellStart"/>
      <w:r>
        <w:rPr>
          <w:rFonts w:ascii="Arial" w:hAnsi="Arial"/>
          <w:sz w:val="20"/>
          <w:szCs w:val="20"/>
        </w:rPr>
        <w:t>Tandale</w:t>
      </w:r>
      <w:proofErr w:type="spellEnd"/>
      <w:r>
        <w:rPr>
          <w:rFonts w:ascii="Arial" w:hAnsi="Arial"/>
          <w:sz w:val="20"/>
          <w:szCs w:val="20"/>
        </w:rPr>
        <w:t xml:space="preserve"> BV. On the transmission pattern of </w:t>
      </w:r>
      <w:proofErr w:type="spellStart"/>
      <w:r>
        <w:rPr>
          <w:rFonts w:ascii="Arial" w:hAnsi="Arial"/>
          <w:sz w:val="20"/>
          <w:szCs w:val="20"/>
        </w:rPr>
        <w:t>Kyasanur</w:t>
      </w:r>
      <w:proofErr w:type="spellEnd"/>
      <w:r>
        <w:rPr>
          <w:rFonts w:ascii="Arial" w:hAnsi="Arial"/>
          <w:sz w:val="20"/>
          <w:szCs w:val="20"/>
        </w:rPr>
        <w:t xml:space="preserve"> Forest disease (KFD) in India [Letter]. Infect Dis Poverty. 2015 Aug </w:t>
      </w:r>
      <w:proofErr w:type="gramStart"/>
      <w:r>
        <w:rPr>
          <w:rFonts w:ascii="Arial" w:hAnsi="Arial"/>
          <w:sz w:val="20"/>
          <w:szCs w:val="20"/>
        </w:rPr>
        <w:t>19;4:37</w:t>
      </w:r>
      <w:proofErr w:type="gramEnd"/>
      <w:r>
        <w:rPr>
          <w:rFonts w:ascii="Arial" w:hAnsi="Arial"/>
          <w:sz w:val="20"/>
          <w:szCs w:val="20"/>
        </w:rPr>
        <w:t>.</w:t>
      </w:r>
      <w:r w:rsidR="00E73179" w:rsidRPr="00E73179">
        <w:t xml:space="preserve"> </w:t>
      </w:r>
      <w:hyperlink r:id="rId9" w:history="1">
        <w:r w:rsidR="00E73179" w:rsidRPr="00FF26D4">
          <w:rPr>
            <w:rStyle w:val="Hyperlink"/>
            <w:rFonts w:ascii="Arial" w:hAnsi="Arial"/>
            <w:sz w:val="20"/>
            <w:szCs w:val="20"/>
          </w:rPr>
          <w:t>https://doi.org/10.1186/s40249-015-0066-9</w:t>
        </w:r>
      </w:hyperlink>
      <w:r w:rsidR="00E73179">
        <w:rPr>
          <w:rFonts w:ascii="Arial" w:hAnsi="Arial"/>
          <w:sz w:val="20"/>
          <w:szCs w:val="20"/>
        </w:rPr>
        <w:t xml:space="preserve"> </w:t>
      </w:r>
    </w:p>
    <w:p w14:paraId="0CD1918D" w14:textId="77777777" w:rsidR="00C07845" w:rsidRPr="00E73179" w:rsidRDefault="00D417C3">
      <w:pPr>
        <w:pStyle w:val="Default"/>
        <w:numPr>
          <w:ilvl w:val="0"/>
          <w:numId w:val="3"/>
        </w:numPr>
        <w:suppressAutoHyphens/>
        <w:spacing w:before="0" w:line="240" w:lineRule="auto"/>
        <w:jc w:val="both"/>
        <w:rPr>
          <w:rFonts w:ascii="Arial" w:hAnsi="Arial"/>
          <w:sz w:val="20"/>
          <w:szCs w:val="20"/>
          <w:lang w:val="fr-FR"/>
        </w:rPr>
      </w:pPr>
      <w:r>
        <w:rPr>
          <w:rFonts w:ascii="Arial" w:hAnsi="Arial"/>
          <w:sz w:val="20"/>
          <w:szCs w:val="20"/>
        </w:rPr>
        <w:t xml:space="preserve">Burthe SJ, Scha ¨fer SM, </w:t>
      </w:r>
      <w:proofErr w:type="spellStart"/>
      <w:r>
        <w:rPr>
          <w:rFonts w:ascii="Arial" w:hAnsi="Arial"/>
          <w:sz w:val="20"/>
          <w:szCs w:val="20"/>
        </w:rPr>
        <w:t>Asaaga</w:t>
      </w:r>
      <w:proofErr w:type="spellEnd"/>
      <w:r>
        <w:rPr>
          <w:rFonts w:ascii="Arial" w:hAnsi="Arial"/>
          <w:sz w:val="20"/>
          <w:szCs w:val="20"/>
        </w:rPr>
        <w:t xml:space="preserve"> </w:t>
      </w:r>
      <w:proofErr w:type="spellStart"/>
      <w:proofErr w:type="gramStart"/>
      <w:r>
        <w:rPr>
          <w:rFonts w:ascii="Arial" w:hAnsi="Arial"/>
          <w:sz w:val="20"/>
          <w:szCs w:val="20"/>
        </w:rPr>
        <w:t>FA,Balakrishnan</w:t>
      </w:r>
      <w:proofErr w:type="spellEnd"/>
      <w:proofErr w:type="gramEnd"/>
      <w:r>
        <w:rPr>
          <w:rFonts w:ascii="Arial" w:hAnsi="Arial"/>
          <w:sz w:val="20"/>
          <w:szCs w:val="20"/>
        </w:rPr>
        <w:t xml:space="preserve"> N, Chanda MM, Darshan N, et al. (2021) Reviewing the ecological evidence base for management of emerging tropical zoonoses: </w:t>
      </w:r>
      <w:proofErr w:type="spellStart"/>
      <w:r>
        <w:rPr>
          <w:rFonts w:ascii="Arial" w:hAnsi="Arial"/>
          <w:sz w:val="20"/>
          <w:szCs w:val="20"/>
        </w:rPr>
        <w:t>Kyasanur</w:t>
      </w:r>
      <w:proofErr w:type="spellEnd"/>
      <w:r>
        <w:rPr>
          <w:rFonts w:ascii="Arial" w:hAnsi="Arial"/>
          <w:sz w:val="20"/>
          <w:szCs w:val="20"/>
        </w:rPr>
        <w:t xml:space="preserve"> Forest Disease in India as a case study. </w:t>
      </w:r>
      <w:r w:rsidRPr="00E73179">
        <w:rPr>
          <w:rFonts w:ascii="Arial" w:hAnsi="Arial"/>
          <w:sz w:val="20"/>
          <w:szCs w:val="20"/>
          <w:lang w:val="fr-FR"/>
        </w:rPr>
        <w:t>PLoS Negl Trop Dis 15(4): e0009243. https://doi. org/10.1371/journal.pntd.0009243</w:t>
      </w:r>
    </w:p>
    <w:p w14:paraId="5EC97F99"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Munivenkatappa</w:t>
      </w:r>
      <w:proofErr w:type="spellEnd"/>
      <w:r>
        <w:rPr>
          <w:rFonts w:ascii="Arial" w:hAnsi="Arial"/>
          <w:sz w:val="20"/>
          <w:szCs w:val="20"/>
        </w:rPr>
        <w:t xml:space="preserve">, A., Sahay, R., Yadav, P., Viswanathan, R., &amp; Mourya, D. (2018). Clinical &amp; epidemiological significance of </w:t>
      </w:r>
      <w:proofErr w:type="spellStart"/>
      <w:r>
        <w:rPr>
          <w:rFonts w:ascii="Arial" w:hAnsi="Arial"/>
          <w:sz w:val="20"/>
          <w:szCs w:val="20"/>
        </w:rPr>
        <w:t>Kyasanur</w:t>
      </w:r>
      <w:proofErr w:type="spellEnd"/>
      <w:r>
        <w:rPr>
          <w:rFonts w:ascii="Arial" w:hAnsi="Arial"/>
          <w:sz w:val="20"/>
          <w:szCs w:val="20"/>
        </w:rPr>
        <w:t xml:space="preserve"> forest disease. The Indian Journal of Medical Research, 148, 145 - 150. https://doi.org/10.4103/ijmr.ijmr_688_17.</w:t>
      </w:r>
    </w:p>
    <w:p w14:paraId="73310551"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Verma, A., Anand, A., Singh, A., Khare, A., </w:t>
      </w:r>
      <w:proofErr w:type="spellStart"/>
      <w:r>
        <w:rPr>
          <w:rFonts w:ascii="Arial" w:hAnsi="Arial"/>
          <w:sz w:val="20"/>
          <w:szCs w:val="20"/>
        </w:rPr>
        <w:t>Neyazi</w:t>
      </w:r>
      <w:proofErr w:type="spellEnd"/>
      <w:r>
        <w:rPr>
          <w:rFonts w:ascii="Arial" w:hAnsi="Arial"/>
          <w:sz w:val="20"/>
          <w:szCs w:val="20"/>
        </w:rPr>
        <w:t xml:space="preserve">, A., Rustagi, S., Kukreti, N., </w:t>
      </w:r>
      <w:proofErr w:type="spellStart"/>
      <w:r>
        <w:rPr>
          <w:rFonts w:ascii="Arial" w:hAnsi="Arial"/>
          <w:sz w:val="20"/>
          <w:szCs w:val="20"/>
        </w:rPr>
        <w:t>Gaidhane</w:t>
      </w:r>
      <w:proofErr w:type="spellEnd"/>
      <w:r>
        <w:rPr>
          <w:rFonts w:ascii="Arial" w:hAnsi="Arial"/>
          <w:sz w:val="20"/>
          <w:szCs w:val="20"/>
        </w:rPr>
        <w:t xml:space="preserve">, A., Zahiruddin, Q., &amp; Satapathy, P. (2024). </w:t>
      </w:r>
      <w:proofErr w:type="spellStart"/>
      <w:r>
        <w:rPr>
          <w:rFonts w:ascii="Arial" w:hAnsi="Arial"/>
          <w:sz w:val="20"/>
          <w:szCs w:val="20"/>
        </w:rPr>
        <w:t>Kyasanur</w:t>
      </w:r>
      <w:proofErr w:type="spellEnd"/>
      <w:r>
        <w:rPr>
          <w:rFonts w:ascii="Arial" w:hAnsi="Arial"/>
          <w:sz w:val="20"/>
          <w:szCs w:val="20"/>
        </w:rPr>
        <w:t xml:space="preserve"> Forest Disease: Clinical manifestations and molecular dynamics in a zoonotic landscape. Clinical Infection in Practice. https://doi.org/10.1016/j.clinpr.2024.100352.</w:t>
      </w:r>
    </w:p>
    <w:p w14:paraId="3AA5F47B"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Bhatia, B., Feldmann, H., &amp; Marzi, A. (2020). </w:t>
      </w:r>
      <w:proofErr w:type="spellStart"/>
      <w:r>
        <w:rPr>
          <w:rFonts w:ascii="Arial" w:hAnsi="Arial"/>
          <w:sz w:val="20"/>
          <w:szCs w:val="20"/>
        </w:rPr>
        <w:t>Kyasanur</w:t>
      </w:r>
      <w:proofErr w:type="spellEnd"/>
      <w:r>
        <w:rPr>
          <w:rFonts w:ascii="Arial" w:hAnsi="Arial"/>
          <w:sz w:val="20"/>
          <w:szCs w:val="20"/>
        </w:rPr>
        <w:t xml:space="preserve"> Forest Disease and </w:t>
      </w:r>
      <w:proofErr w:type="spellStart"/>
      <w:r>
        <w:rPr>
          <w:rFonts w:ascii="Arial" w:hAnsi="Arial"/>
          <w:sz w:val="20"/>
          <w:szCs w:val="20"/>
        </w:rPr>
        <w:t>Alkhurma</w:t>
      </w:r>
      <w:proofErr w:type="spellEnd"/>
      <w:r>
        <w:rPr>
          <w:rFonts w:ascii="Arial" w:hAnsi="Arial"/>
          <w:sz w:val="20"/>
          <w:szCs w:val="20"/>
        </w:rPr>
        <w:t xml:space="preserve"> Hemorrhagic Fever Virus—Two Neglected Zoonotic Pathogens. Microorganisms, 8. https://doi.org/10.3390/microorganisms8091406.</w:t>
      </w:r>
    </w:p>
    <w:p w14:paraId="0BA0D67F"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Dhaka, R., Verma, R., Kumar, R., </w:t>
      </w:r>
      <w:proofErr w:type="spellStart"/>
      <w:r>
        <w:rPr>
          <w:rFonts w:ascii="Arial" w:hAnsi="Arial"/>
          <w:sz w:val="20"/>
          <w:szCs w:val="20"/>
        </w:rPr>
        <w:t>Dhankar</w:t>
      </w:r>
      <w:proofErr w:type="spellEnd"/>
      <w:r>
        <w:rPr>
          <w:rFonts w:ascii="Arial" w:hAnsi="Arial"/>
          <w:sz w:val="20"/>
          <w:szCs w:val="20"/>
        </w:rPr>
        <w:t xml:space="preserve">, M., Bhalla, K., &amp; Agrawal, G. (2018). </w:t>
      </w:r>
      <w:proofErr w:type="spellStart"/>
      <w:r>
        <w:rPr>
          <w:rFonts w:ascii="Arial" w:hAnsi="Arial"/>
          <w:sz w:val="20"/>
          <w:szCs w:val="20"/>
        </w:rPr>
        <w:t>Kyasanur</w:t>
      </w:r>
      <w:proofErr w:type="spellEnd"/>
      <w:r>
        <w:rPr>
          <w:rFonts w:ascii="Arial" w:hAnsi="Arial"/>
          <w:sz w:val="20"/>
          <w:szCs w:val="20"/>
        </w:rPr>
        <w:t xml:space="preserve"> forest disease: a rare viral hemorrhagic disease in India. International Journal </w:t>
      </w:r>
      <w:proofErr w:type="gramStart"/>
      <w:r>
        <w:rPr>
          <w:rFonts w:ascii="Arial" w:hAnsi="Arial"/>
          <w:sz w:val="20"/>
          <w:szCs w:val="20"/>
        </w:rPr>
        <w:t>Of</w:t>
      </w:r>
      <w:proofErr w:type="gramEnd"/>
      <w:r>
        <w:rPr>
          <w:rFonts w:ascii="Arial" w:hAnsi="Arial"/>
          <w:sz w:val="20"/>
          <w:szCs w:val="20"/>
        </w:rPr>
        <w:t xml:space="preserve"> Community Medicine </w:t>
      </w:r>
      <w:proofErr w:type="gramStart"/>
      <w:r>
        <w:rPr>
          <w:rFonts w:ascii="Arial" w:hAnsi="Arial"/>
          <w:sz w:val="20"/>
          <w:szCs w:val="20"/>
        </w:rPr>
        <w:t>And</w:t>
      </w:r>
      <w:proofErr w:type="gramEnd"/>
      <w:r>
        <w:rPr>
          <w:rFonts w:ascii="Arial" w:hAnsi="Arial"/>
          <w:sz w:val="20"/>
          <w:szCs w:val="20"/>
        </w:rPr>
        <w:t xml:space="preserve"> Public Health. https://doi.org/10.18203/2394-6040.ijcmph20183042.</w:t>
      </w:r>
    </w:p>
    <w:p w14:paraId="7B39517C" w14:textId="56F1B67C" w:rsidR="00E73179" w:rsidRDefault="00E73179">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rPr>
        <w:t xml:space="preserve">Srividya, K. V., Bhavesh, L. R., Choudhary, S., </w:t>
      </w:r>
      <w:proofErr w:type="spellStart"/>
      <w:r w:rsidRPr="00E73179">
        <w:rPr>
          <w:rFonts w:ascii="Arial" w:hAnsi="Arial"/>
          <w:sz w:val="20"/>
          <w:szCs w:val="20"/>
        </w:rPr>
        <w:t>Shewale</w:t>
      </w:r>
      <w:proofErr w:type="spellEnd"/>
      <w:r w:rsidRPr="00E73179">
        <w:rPr>
          <w:rFonts w:ascii="Arial" w:hAnsi="Arial"/>
          <w:sz w:val="20"/>
          <w:szCs w:val="20"/>
        </w:rPr>
        <w:t xml:space="preserve">, A., Pallavi, D. M., Padma, M. R., &amp; Tiwari, S. (2024). Descriptive Epidemiology of </w:t>
      </w:r>
      <w:proofErr w:type="spellStart"/>
      <w:r w:rsidRPr="00E73179">
        <w:rPr>
          <w:rFonts w:ascii="Arial" w:hAnsi="Arial"/>
          <w:sz w:val="20"/>
          <w:szCs w:val="20"/>
        </w:rPr>
        <w:t>Kyasanur</w:t>
      </w:r>
      <w:proofErr w:type="spellEnd"/>
      <w:r w:rsidRPr="00E73179">
        <w:rPr>
          <w:rFonts w:ascii="Arial" w:hAnsi="Arial"/>
          <w:sz w:val="20"/>
          <w:szCs w:val="20"/>
        </w:rPr>
        <w:t xml:space="preserve"> Forest Disease in </w:t>
      </w:r>
      <w:proofErr w:type="spellStart"/>
      <w:r w:rsidRPr="00E73179">
        <w:rPr>
          <w:rFonts w:ascii="Arial" w:hAnsi="Arial"/>
          <w:sz w:val="20"/>
          <w:szCs w:val="20"/>
        </w:rPr>
        <w:t>Thirthahalli</w:t>
      </w:r>
      <w:proofErr w:type="spellEnd"/>
      <w:r w:rsidRPr="00E73179">
        <w:rPr>
          <w:rFonts w:ascii="Arial" w:hAnsi="Arial"/>
          <w:sz w:val="20"/>
          <w:szCs w:val="20"/>
        </w:rPr>
        <w:t xml:space="preserve"> Taluk, Shivamogga, 2018-2022. </w:t>
      </w:r>
      <w:proofErr w:type="spellStart"/>
      <w:r w:rsidRPr="00E73179">
        <w:rPr>
          <w:rFonts w:ascii="Arial" w:hAnsi="Arial"/>
          <w:sz w:val="20"/>
          <w:szCs w:val="20"/>
        </w:rPr>
        <w:t>medRxiv</w:t>
      </w:r>
      <w:proofErr w:type="spellEnd"/>
      <w:r w:rsidRPr="00E73179">
        <w:rPr>
          <w:rFonts w:ascii="Arial" w:hAnsi="Arial"/>
          <w:sz w:val="20"/>
          <w:szCs w:val="20"/>
        </w:rPr>
        <w:t xml:space="preserve">. </w:t>
      </w:r>
      <w:hyperlink r:id="rId10" w:history="1">
        <w:r w:rsidRPr="00FF26D4">
          <w:rPr>
            <w:rStyle w:val="Hyperlink"/>
            <w:rFonts w:ascii="Arial" w:hAnsi="Arial"/>
            <w:sz w:val="20"/>
            <w:szCs w:val="20"/>
          </w:rPr>
          <w:t>https://doi.org/10.1101/2024.04.26.24306123</w:t>
        </w:r>
      </w:hyperlink>
    </w:p>
    <w:p w14:paraId="36E9943B" w14:textId="2EFB56AF" w:rsidR="00C07845" w:rsidRDefault="00D417C3">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lang w:val="pt-BR"/>
        </w:rPr>
        <w:t xml:space="preserve"> Bohra, B., Srivastava, K., Raj, A., Pal, N., &amp; Shukla, R. (2025). </w:t>
      </w:r>
      <w:proofErr w:type="spellStart"/>
      <w:r>
        <w:rPr>
          <w:rFonts w:ascii="Arial" w:hAnsi="Arial"/>
          <w:sz w:val="20"/>
          <w:szCs w:val="20"/>
        </w:rPr>
        <w:t>Kyasanur</w:t>
      </w:r>
      <w:proofErr w:type="spellEnd"/>
      <w:r>
        <w:rPr>
          <w:rFonts w:ascii="Arial" w:hAnsi="Arial"/>
          <w:sz w:val="20"/>
          <w:szCs w:val="20"/>
        </w:rPr>
        <w:t xml:space="preserve"> Forest Disease Virus: Epidemiological Insights, Pathogenesis, Therapeutic Strategies, and Advances in Vaccines and Diagnostics. Viruses. https://doi.org/10.3390/v17081022.</w:t>
      </w:r>
    </w:p>
    <w:p w14:paraId="39E86E9B" w14:textId="45F1CC6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Shah SZ, Jabbar B, Ahmed </w:t>
      </w:r>
      <w:proofErr w:type="spellStart"/>
      <w:proofErr w:type="gramStart"/>
      <w:r>
        <w:rPr>
          <w:rFonts w:ascii="Arial" w:hAnsi="Arial"/>
          <w:sz w:val="20"/>
          <w:szCs w:val="20"/>
        </w:rPr>
        <w:t>N,Rehman</w:t>
      </w:r>
      <w:proofErr w:type="spellEnd"/>
      <w:proofErr w:type="gramEnd"/>
      <w:r>
        <w:rPr>
          <w:rFonts w:ascii="Arial" w:hAnsi="Arial"/>
          <w:sz w:val="20"/>
          <w:szCs w:val="20"/>
        </w:rPr>
        <w:t xml:space="preserve"> A, Nasir H, Nadeem </w:t>
      </w:r>
      <w:proofErr w:type="spellStart"/>
      <w:proofErr w:type="gramStart"/>
      <w:r>
        <w:rPr>
          <w:rFonts w:ascii="Arial" w:hAnsi="Arial"/>
          <w:sz w:val="20"/>
          <w:szCs w:val="20"/>
        </w:rPr>
        <w:t>S,Jabbar</w:t>
      </w:r>
      <w:proofErr w:type="spellEnd"/>
      <w:proofErr w:type="gramEnd"/>
      <w:r>
        <w:rPr>
          <w:rFonts w:ascii="Arial" w:hAnsi="Arial"/>
          <w:sz w:val="20"/>
          <w:szCs w:val="20"/>
        </w:rPr>
        <w:t xml:space="preserve"> I, Rahman Z and Azam S (2018) Epidemiology, Pathogenesis, and Control of a Tick-Borne Disease- </w:t>
      </w:r>
      <w:proofErr w:type="spellStart"/>
      <w:r>
        <w:rPr>
          <w:rFonts w:ascii="Arial" w:hAnsi="Arial"/>
          <w:sz w:val="20"/>
          <w:szCs w:val="20"/>
        </w:rPr>
        <w:t>Kyasanur</w:t>
      </w:r>
      <w:proofErr w:type="spellEnd"/>
      <w:r>
        <w:rPr>
          <w:rFonts w:ascii="Arial" w:hAnsi="Arial"/>
          <w:sz w:val="20"/>
          <w:szCs w:val="20"/>
        </w:rPr>
        <w:t xml:space="preserve"> Forest Disease: Current Status and Future Directions. Front. Cell. Infect. Microbiol. 8:149.</w:t>
      </w:r>
      <w:r w:rsidR="00E73179" w:rsidRPr="00E73179">
        <w:t xml:space="preserve"> </w:t>
      </w:r>
      <w:hyperlink r:id="rId11" w:history="1">
        <w:r w:rsidR="00E73179" w:rsidRPr="00FF26D4">
          <w:rPr>
            <w:rStyle w:val="Hyperlink"/>
            <w:rFonts w:ascii="Arial" w:hAnsi="Arial"/>
            <w:sz w:val="20"/>
            <w:szCs w:val="20"/>
          </w:rPr>
          <w:t>https://doi.org/10.3389/fcimb.2018.00149</w:t>
        </w:r>
      </w:hyperlink>
      <w:r w:rsidR="00E73179">
        <w:rPr>
          <w:rFonts w:ascii="Arial" w:hAnsi="Arial"/>
          <w:sz w:val="20"/>
          <w:szCs w:val="20"/>
        </w:rPr>
        <w:t xml:space="preserve"> </w:t>
      </w:r>
    </w:p>
    <w:p w14:paraId="24E7FB9D" w14:textId="77777777" w:rsidR="00C07845" w:rsidRDefault="00C078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jc w:val="both"/>
        <w:rPr>
          <w:rFonts w:ascii="Arial" w:eastAsia="Arial" w:hAnsi="Arial" w:cs="Arial"/>
          <w:sz w:val="20"/>
          <w:szCs w:val="20"/>
        </w:rPr>
      </w:pPr>
    </w:p>
    <w:p w14:paraId="129F9FED" w14:textId="77777777" w:rsidR="00E73179" w:rsidRDefault="00D417C3" w:rsidP="00E73179">
      <w:pPr>
        <w:pStyle w:val="Default"/>
        <w:numPr>
          <w:ilvl w:val="0"/>
          <w:numId w:val="3"/>
        </w:numPr>
        <w:suppressAutoHyphens/>
        <w:spacing w:before="0" w:line="240" w:lineRule="auto"/>
        <w:jc w:val="both"/>
        <w:rPr>
          <w:rFonts w:ascii="Arial" w:hAnsi="Arial"/>
          <w:sz w:val="20"/>
          <w:szCs w:val="20"/>
        </w:rPr>
      </w:pPr>
      <w:proofErr w:type="spellStart"/>
      <w:r w:rsidRPr="00E73179">
        <w:rPr>
          <w:rFonts w:ascii="Arial" w:hAnsi="Arial"/>
          <w:sz w:val="20"/>
          <w:szCs w:val="20"/>
        </w:rPr>
        <w:t>Sirmarova</w:t>
      </w:r>
      <w:proofErr w:type="spellEnd"/>
      <w:r w:rsidRPr="00E73179">
        <w:rPr>
          <w:rFonts w:ascii="Arial" w:hAnsi="Arial"/>
          <w:sz w:val="20"/>
          <w:szCs w:val="20"/>
        </w:rPr>
        <w:t xml:space="preserve"> J, Salat J, Palus M, Hönig V, </w:t>
      </w:r>
      <w:proofErr w:type="spellStart"/>
      <w:r w:rsidRPr="00E73179">
        <w:rPr>
          <w:rFonts w:ascii="Arial" w:hAnsi="Arial"/>
          <w:sz w:val="20"/>
          <w:szCs w:val="20"/>
        </w:rPr>
        <w:t>Langhansova</w:t>
      </w:r>
      <w:proofErr w:type="spellEnd"/>
      <w:r w:rsidRPr="00E73179">
        <w:rPr>
          <w:rFonts w:ascii="Arial" w:hAnsi="Arial"/>
          <w:sz w:val="20"/>
          <w:szCs w:val="20"/>
        </w:rPr>
        <w:t xml:space="preserve"> H, Holbrook MR, Ruzek D. </w:t>
      </w:r>
      <w:proofErr w:type="spellStart"/>
      <w:r w:rsidRPr="00E73179">
        <w:rPr>
          <w:rFonts w:ascii="Arial" w:hAnsi="Arial"/>
          <w:sz w:val="20"/>
          <w:szCs w:val="20"/>
        </w:rPr>
        <w:t>Kyasanur</w:t>
      </w:r>
      <w:proofErr w:type="spellEnd"/>
      <w:r w:rsidRPr="00E73179">
        <w:rPr>
          <w:rFonts w:ascii="Arial" w:hAnsi="Arial"/>
          <w:sz w:val="20"/>
          <w:szCs w:val="20"/>
        </w:rPr>
        <w:t xml:space="preserve"> Forest disease virus infection activates human vascular endothelial cells and monocyte-derived dendritic cells. Emerg Microbes Infect. 2018 Nov 7;7(1):175</w:t>
      </w:r>
      <w:r w:rsidR="00E73179" w:rsidRPr="00E73179">
        <w:t xml:space="preserve"> </w:t>
      </w:r>
      <w:r w:rsidR="00E73179" w:rsidRPr="00E73179">
        <w:rPr>
          <w:rFonts w:ascii="Arial" w:hAnsi="Arial"/>
          <w:sz w:val="20"/>
          <w:szCs w:val="20"/>
        </w:rPr>
        <w:t xml:space="preserve">https://doi.org/10.1038/s41426-018-0177-z </w:t>
      </w:r>
    </w:p>
    <w:p w14:paraId="10C6F3E8" w14:textId="77777777" w:rsidR="00E73179" w:rsidRDefault="00E73179" w:rsidP="00E73179">
      <w:pPr>
        <w:pStyle w:val="ListParagraph"/>
        <w:rPr>
          <w:rFonts w:ascii="Arial" w:hAnsi="Arial"/>
          <w:sz w:val="20"/>
          <w:szCs w:val="20"/>
        </w:rPr>
      </w:pPr>
    </w:p>
    <w:p w14:paraId="5E8053EB" w14:textId="3AC1C569" w:rsidR="00C07845" w:rsidRPr="00E73179" w:rsidRDefault="00D417C3" w:rsidP="00E73179">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rPr>
        <w:t xml:space="preserve">Patil, D.R.; Yadav, P.D.; Shete, A.; </w:t>
      </w:r>
      <w:proofErr w:type="spellStart"/>
      <w:r w:rsidRPr="00E73179">
        <w:rPr>
          <w:rFonts w:ascii="Arial" w:hAnsi="Arial"/>
          <w:sz w:val="20"/>
          <w:szCs w:val="20"/>
        </w:rPr>
        <w:t>Chaubal</w:t>
      </w:r>
      <w:proofErr w:type="spellEnd"/>
      <w:r w:rsidRPr="00E73179">
        <w:rPr>
          <w:rFonts w:ascii="Arial" w:hAnsi="Arial"/>
          <w:sz w:val="20"/>
          <w:szCs w:val="20"/>
        </w:rPr>
        <w:t xml:space="preserve">, G.; Mohandas, S.; Sahay, R.R.; Jain, R.; Mote, C.; Kumar, S.; Kaushal, H.; et al. Study of </w:t>
      </w:r>
      <w:proofErr w:type="spellStart"/>
      <w:r w:rsidRPr="00E73179">
        <w:rPr>
          <w:rFonts w:ascii="Arial" w:hAnsi="Arial"/>
          <w:sz w:val="20"/>
          <w:szCs w:val="20"/>
        </w:rPr>
        <w:t>Kyasanur</w:t>
      </w:r>
      <w:proofErr w:type="spellEnd"/>
      <w:r w:rsidRPr="00E73179">
        <w:rPr>
          <w:rFonts w:ascii="Arial" w:hAnsi="Arial"/>
          <w:sz w:val="20"/>
          <w:szCs w:val="20"/>
        </w:rPr>
        <w:t xml:space="preserve"> forest disease viremia, antibody kinetics, and virus infection in target organs of Macaca radiata. Sci. Rep.2020, 10, 12561</w:t>
      </w:r>
      <w:r w:rsidR="00E73179" w:rsidRPr="00E73179">
        <w:t xml:space="preserve"> </w:t>
      </w:r>
      <w:hyperlink r:id="rId12" w:history="1">
        <w:r w:rsidR="00E73179" w:rsidRPr="00FF26D4">
          <w:rPr>
            <w:rStyle w:val="Hyperlink"/>
            <w:rFonts w:ascii="Arial" w:hAnsi="Arial"/>
            <w:sz w:val="20"/>
            <w:szCs w:val="20"/>
          </w:rPr>
          <w:t>https://doi.org/10.1038/s41426-018-0177-z</w:t>
        </w:r>
      </w:hyperlink>
      <w:r w:rsidR="00E73179">
        <w:rPr>
          <w:rFonts w:ascii="Arial" w:hAnsi="Arial"/>
          <w:sz w:val="20"/>
          <w:szCs w:val="20"/>
        </w:rPr>
        <w:t xml:space="preserve"> </w:t>
      </w:r>
    </w:p>
    <w:p w14:paraId="7C205714" w14:textId="79D582CB"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Devadiga, S.; McElroy, A.K.; Prabhu, S.G.; Arunkumar, G. Dynamics of human B and T cell adaptive immune responses to </w:t>
      </w:r>
      <w:proofErr w:type="spellStart"/>
      <w:r>
        <w:rPr>
          <w:rFonts w:ascii="Arial" w:hAnsi="Arial"/>
          <w:sz w:val="20"/>
          <w:szCs w:val="20"/>
        </w:rPr>
        <w:t>Kyasanur</w:t>
      </w:r>
      <w:proofErr w:type="spellEnd"/>
      <w:r>
        <w:rPr>
          <w:rFonts w:ascii="Arial" w:hAnsi="Arial"/>
          <w:sz w:val="20"/>
          <w:szCs w:val="20"/>
        </w:rPr>
        <w:t xml:space="preserve"> Forest disease virus infection. Sci. Rep. 2020, 10, 15306.</w:t>
      </w:r>
      <w:r w:rsidR="00E73179" w:rsidRPr="00E73179">
        <w:t xml:space="preserve"> </w:t>
      </w:r>
      <w:hyperlink r:id="rId13" w:history="1">
        <w:r w:rsidR="00E73179" w:rsidRPr="00FF26D4">
          <w:rPr>
            <w:rStyle w:val="Hyperlink"/>
            <w:rFonts w:ascii="Arial" w:hAnsi="Arial"/>
            <w:sz w:val="20"/>
            <w:szCs w:val="20"/>
          </w:rPr>
          <w:t>https://doi.org/10.1038/s41598-020-72205-1</w:t>
        </w:r>
      </w:hyperlink>
      <w:r w:rsidR="00E73179">
        <w:rPr>
          <w:rFonts w:ascii="Arial" w:hAnsi="Arial"/>
          <w:sz w:val="20"/>
          <w:szCs w:val="20"/>
        </w:rPr>
        <w:t xml:space="preserve"> </w:t>
      </w:r>
    </w:p>
    <w:p w14:paraId="7FB98C01"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Sawatsky, Bevan, Alexander J. McAuley, Michael R. Holbrook, and Dennis A. Bente. </w:t>
      </w:r>
      <w:r>
        <w:rPr>
          <w:rFonts w:ascii="Arial" w:hAnsi="Arial"/>
          <w:sz w:val="20"/>
          <w:szCs w:val="20"/>
          <w:rtl/>
          <w:lang w:val="ar-SA" w:bidi="ar-SA"/>
        </w:rPr>
        <w:t>“</w:t>
      </w:r>
      <w:r>
        <w:rPr>
          <w:rFonts w:ascii="Arial" w:hAnsi="Arial"/>
          <w:sz w:val="20"/>
          <w:szCs w:val="20"/>
        </w:rPr>
        <w:t xml:space="preserve">Comparative Pathogenesis of </w:t>
      </w:r>
      <w:proofErr w:type="spellStart"/>
      <w:r>
        <w:rPr>
          <w:rFonts w:ascii="Arial" w:hAnsi="Arial"/>
          <w:sz w:val="20"/>
          <w:szCs w:val="20"/>
        </w:rPr>
        <w:t>Alkhumra</w:t>
      </w:r>
      <w:proofErr w:type="spellEnd"/>
      <w:r>
        <w:rPr>
          <w:rFonts w:ascii="Arial" w:hAnsi="Arial"/>
          <w:sz w:val="20"/>
          <w:szCs w:val="20"/>
        </w:rPr>
        <w:t xml:space="preserve"> Hemorrhagic Fever and </w:t>
      </w:r>
      <w:proofErr w:type="spellStart"/>
      <w:r>
        <w:rPr>
          <w:rFonts w:ascii="Arial" w:hAnsi="Arial"/>
          <w:sz w:val="20"/>
          <w:szCs w:val="20"/>
        </w:rPr>
        <w:t>Kyasanur</w:t>
      </w:r>
      <w:proofErr w:type="spellEnd"/>
      <w:r>
        <w:rPr>
          <w:rFonts w:ascii="Arial" w:hAnsi="Arial"/>
          <w:sz w:val="20"/>
          <w:szCs w:val="20"/>
        </w:rPr>
        <w:t xml:space="preserve"> Forest Disease Viruses in a Mouse Model.” PLOS Neglected Tropical Diseases 8, no. 6 (2014): e2934. https://doi.org/10.1371/journal.pntd.0002934</w:t>
      </w:r>
    </w:p>
    <w:p w14:paraId="0C3CF861"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Avirutnan</w:t>
      </w:r>
      <w:proofErr w:type="spellEnd"/>
      <w:r>
        <w:rPr>
          <w:rFonts w:ascii="Arial" w:hAnsi="Arial"/>
          <w:sz w:val="20"/>
          <w:szCs w:val="20"/>
        </w:rPr>
        <w:t xml:space="preserve">, </w:t>
      </w:r>
      <w:proofErr w:type="spellStart"/>
      <w:r>
        <w:rPr>
          <w:rFonts w:ascii="Arial" w:hAnsi="Arial"/>
          <w:sz w:val="20"/>
          <w:szCs w:val="20"/>
        </w:rPr>
        <w:t>Panisadee</w:t>
      </w:r>
      <w:proofErr w:type="spellEnd"/>
      <w:r>
        <w:rPr>
          <w:rFonts w:ascii="Arial" w:hAnsi="Arial"/>
          <w:sz w:val="20"/>
          <w:szCs w:val="20"/>
        </w:rPr>
        <w:t xml:space="preserve">, Richard E. </w:t>
      </w:r>
      <w:proofErr w:type="spellStart"/>
      <w:r>
        <w:rPr>
          <w:rFonts w:ascii="Arial" w:hAnsi="Arial"/>
          <w:sz w:val="20"/>
          <w:szCs w:val="20"/>
        </w:rPr>
        <w:t>Hauhart</w:t>
      </w:r>
      <w:proofErr w:type="spellEnd"/>
      <w:r>
        <w:rPr>
          <w:rFonts w:ascii="Arial" w:hAnsi="Arial"/>
          <w:sz w:val="20"/>
          <w:szCs w:val="20"/>
        </w:rPr>
        <w:t xml:space="preserve">, </w:t>
      </w:r>
      <w:proofErr w:type="spellStart"/>
      <w:r>
        <w:rPr>
          <w:rFonts w:ascii="Arial" w:hAnsi="Arial"/>
          <w:sz w:val="20"/>
          <w:szCs w:val="20"/>
        </w:rPr>
        <w:t>Pawit</w:t>
      </w:r>
      <w:proofErr w:type="spellEnd"/>
      <w:r>
        <w:rPr>
          <w:rFonts w:ascii="Arial" w:hAnsi="Arial"/>
          <w:sz w:val="20"/>
          <w:szCs w:val="20"/>
        </w:rPr>
        <w:t xml:space="preserve"> Somnuke, Anna M. Blom, Michael S. Diamond, and John P. Atkinson. </w:t>
      </w:r>
      <w:r>
        <w:rPr>
          <w:rFonts w:ascii="Arial" w:hAnsi="Arial"/>
          <w:sz w:val="20"/>
          <w:szCs w:val="20"/>
          <w:rtl/>
          <w:lang w:val="ar-SA" w:bidi="ar-SA"/>
        </w:rPr>
        <w:t>“</w:t>
      </w:r>
      <w:r>
        <w:rPr>
          <w:rFonts w:ascii="Arial" w:hAnsi="Arial"/>
          <w:sz w:val="20"/>
          <w:szCs w:val="20"/>
        </w:rPr>
        <w:t>Binding of Flavivirus Non-structural Protein NS1 to C4b Binding Protein Modulates Complement Activation.” Journal of Immunology 187, no. 1 (2011): 424–433. https://doi.org/10.4049/jimmunol.1100750</w:t>
      </w:r>
    </w:p>
    <w:p w14:paraId="1A115803" w14:textId="15A83E3E"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Munivenkatappa A, Sahay RR, Yadav PD, Viswanathan R, Mourya DT. Clinical &amp; epidemiological significance of </w:t>
      </w:r>
      <w:proofErr w:type="spellStart"/>
      <w:r>
        <w:rPr>
          <w:rFonts w:ascii="Arial" w:hAnsi="Arial"/>
          <w:sz w:val="20"/>
          <w:szCs w:val="20"/>
        </w:rPr>
        <w:t>Kyasanur</w:t>
      </w:r>
      <w:proofErr w:type="spellEnd"/>
      <w:r>
        <w:rPr>
          <w:rFonts w:ascii="Arial" w:hAnsi="Arial"/>
          <w:sz w:val="20"/>
          <w:szCs w:val="20"/>
        </w:rPr>
        <w:t xml:space="preserve"> forest disease. Indian J Med Res. 2018;148(Aug):145-150. </w:t>
      </w:r>
      <w:r w:rsidR="00E73179" w:rsidRPr="00E73179">
        <w:rPr>
          <w:rFonts w:ascii="Arial" w:hAnsi="Arial"/>
          <w:sz w:val="20"/>
          <w:szCs w:val="20"/>
        </w:rPr>
        <w:t>https://doi.org/10.4103/ijmr.IJMR_688_17</w:t>
      </w:r>
    </w:p>
    <w:p w14:paraId="266A3C77" w14:textId="4F4DC360"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Gladson V, </w:t>
      </w:r>
      <w:proofErr w:type="spellStart"/>
      <w:r>
        <w:rPr>
          <w:rFonts w:ascii="Arial" w:hAnsi="Arial"/>
          <w:sz w:val="20"/>
          <w:szCs w:val="20"/>
        </w:rPr>
        <w:t>Moosan</w:t>
      </w:r>
      <w:proofErr w:type="spellEnd"/>
      <w:r>
        <w:rPr>
          <w:rFonts w:ascii="Arial" w:hAnsi="Arial"/>
          <w:sz w:val="20"/>
          <w:szCs w:val="20"/>
        </w:rPr>
        <w:t xml:space="preserve"> H, Mathew S, </w:t>
      </w:r>
      <w:proofErr w:type="spellStart"/>
      <w:r>
        <w:rPr>
          <w:rFonts w:ascii="Arial" w:hAnsi="Arial"/>
          <w:sz w:val="20"/>
          <w:szCs w:val="20"/>
        </w:rPr>
        <w:t>Dineesh</w:t>
      </w:r>
      <w:proofErr w:type="spellEnd"/>
      <w:r>
        <w:rPr>
          <w:rFonts w:ascii="Arial" w:hAnsi="Arial"/>
          <w:sz w:val="20"/>
          <w:szCs w:val="20"/>
        </w:rPr>
        <w:t xml:space="preserve"> P. Clinical and Laboratory Diagnostic Features of </w:t>
      </w:r>
      <w:proofErr w:type="spellStart"/>
      <w:r>
        <w:rPr>
          <w:rFonts w:ascii="Arial" w:hAnsi="Arial"/>
          <w:sz w:val="20"/>
          <w:szCs w:val="20"/>
        </w:rPr>
        <w:t>Kyasanur</w:t>
      </w:r>
      <w:proofErr w:type="spellEnd"/>
      <w:r>
        <w:rPr>
          <w:rFonts w:ascii="Arial" w:hAnsi="Arial"/>
          <w:sz w:val="20"/>
          <w:szCs w:val="20"/>
        </w:rPr>
        <w:t xml:space="preserve"> Forest Disease: A Study </w:t>
      </w:r>
      <w:proofErr w:type="gramStart"/>
      <w:r>
        <w:rPr>
          <w:rFonts w:ascii="Arial" w:hAnsi="Arial"/>
          <w:sz w:val="20"/>
          <w:szCs w:val="20"/>
        </w:rPr>
        <w:t>From</w:t>
      </w:r>
      <w:proofErr w:type="gramEnd"/>
      <w:r>
        <w:rPr>
          <w:rFonts w:ascii="Arial" w:hAnsi="Arial"/>
          <w:sz w:val="20"/>
          <w:szCs w:val="20"/>
        </w:rPr>
        <w:t xml:space="preserve"> Wayanad, South India. Cureus. 2021 Dec 6;13(12</w:t>
      </w:r>
      <w:proofErr w:type="gramStart"/>
      <w:r>
        <w:rPr>
          <w:rFonts w:ascii="Arial" w:hAnsi="Arial"/>
          <w:sz w:val="20"/>
          <w:szCs w:val="20"/>
        </w:rPr>
        <w:t>):e</w:t>
      </w:r>
      <w:proofErr w:type="gramEnd"/>
      <w:r>
        <w:rPr>
          <w:rFonts w:ascii="Arial" w:hAnsi="Arial"/>
          <w:sz w:val="20"/>
          <w:szCs w:val="20"/>
        </w:rPr>
        <w:t xml:space="preserve">20194. </w:t>
      </w:r>
      <w:hyperlink r:id="rId14" w:history="1">
        <w:r w:rsidR="00E73179" w:rsidRPr="00FF26D4">
          <w:rPr>
            <w:rStyle w:val="Hyperlink"/>
            <w:rFonts w:ascii="Arial" w:hAnsi="Arial"/>
            <w:sz w:val="20"/>
            <w:szCs w:val="20"/>
          </w:rPr>
          <w:t>https://doi.org/10.7759/cureus.20194</w:t>
        </w:r>
      </w:hyperlink>
      <w:r w:rsidR="00E73179">
        <w:rPr>
          <w:rFonts w:ascii="Arial" w:hAnsi="Arial"/>
          <w:sz w:val="20"/>
          <w:szCs w:val="20"/>
        </w:rPr>
        <w:t xml:space="preserve"> </w:t>
      </w:r>
    </w:p>
    <w:p w14:paraId="549E5EBF" w14:textId="28041EC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Sebastian AP, Varma M, Gupta N. </w:t>
      </w:r>
      <w:proofErr w:type="spellStart"/>
      <w:r>
        <w:rPr>
          <w:rFonts w:ascii="Arial" w:hAnsi="Arial"/>
          <w:sz w:val="20"/>
          <w:szCs w:val="20"/>
        </w:rPr>
        <w:t>Kyasanur</w:t>
      </w:r>
      <w:proofErr w:type="spellEnd"/>
      <w:r>
        <w:rPr>
          <w:rFonts w:ascii="Arial" w:hAnsi="Arial"/>
          <w:sz w:val="20"/>
          <w:szCs w:val="20"/>
        </w:rPr>
        <w:t xml:space="preserve"> forest disease in India: a case report. J Travel Med. 2024;31(5</w:t>
      </w:r>
      <w:proofErr w:type="gramStart"/>
      <w:r>
        <w:rPr>
          <w:rFonts w:ascii="Arial" w:hAnsi="Arial"/>
          <w:sz w:val="20"/>
          <w:szCs w:val="20"/>
        </w:rPr>
        <w:t>):taae</w:t>
      </w:r>
      <w:proofErr w:type="gramEnd"/>
      <w:r>
        <w:rPr>
          <w:rFonts w:ascii="Arial" w:hAnsi="Arial"/>
          <w:sz w:val="20"/>
          <w:szCs w:val="20"/>
        </w:rPr>
        <w:t xml:space="preserve">071. </w:t>
      </w:r>
      <w:r w:rsidR="00E73179" w:rsidRPr="00E73179">
        <w:rPr>
          <w:rFonts w:ascii="Arial" w:hAnsi="Arial"/>
          <w:sz w:val="20"/>
          <w:szCs w:val="20"/>
        </w:rPr>
        <w:t>https://doi.org/10.1093/jtm/taae071</w:t>
      </w:r>
      <w:r w:rsidR="00E73179">
        <w:rPr>
          <w:rFonts w:ascii="Arial" w:hAnsi="Arial"/>
          <w:sz w:val="20"/>
          <w:szCs w:val="20"/>
        </w:rPr>
        <w:t xml:space="preserve"> </w:t>
      </w:r>
      <w:r w:rsidR="00F36DC9">
        <w:rPr>
          <w:rFonts w:ascii="Arial" w:hAnsi="Arial"/>
          <w:sz w:val="20"/>
          <w:szCs w:val="20"/>
        </w:rPr>
        <w:t xml:space="preserve"> </w:t>
      </w:r>
    </w:p>
    <w:p w14:paraId="5AA5A418"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lastRenderedPageBreak/>
        <w:t xml:space="preserve">Chakraborty, S., F. C. D. Andrade, S. Ghosh, J. Uelmen, and M. O. Ruiz. </w:t>
      </w:r>
      <w:r>
        <w:rPr>
          <w:rFonts w:ascii="Arial" w:hAnsi="Arial"/>
          <w:sz w:val="20"/>
          <w:szCs w:val="20"/>
          <w:rtl/>
          <w:lang w:val="ar-SA" w:bidi="ar-SA"/>
        </w:rPr>
        <w:t>“</w:t>
      </w:r>
      <w:r>
        <w:rPr>
          <w:rFonts w:ascii="Arial" w:hAnsi="Arial"/>
          <w:sz w:val="20"/>
          <w:szCs w:val="20"/>
        </w:rPr>
        <w:t xml:space="preserve">Historical Expansion of </w:t>
      </w:r>
      <w:proofErr w:type="spellStart"/>
      <w:r>
        <w:rPr>
          <w:rFonts w:ascii="Arial" w:hAnsi="Arial"/>
          <w:sz w:val="20"/>
          <w:szCs w:val="20"/>
        </w:rPr>
        <w:t>Kyasanur</w:t>
      </w:r>
      <w:proofErr w:type="spellEnd"/>
      <w:r>
        <w:rPr>
          <w:rFonts w:ascii="Arial" w:hAnsi="Arial"/>
          <w:sz w:val="20"/>
          <w:szCs w:val="20"/>
        </w:rPr>
        <w:t xml:space="preserve"> Forest Disease in India From 1957 to 2017: A Retrospective Analysis.” </w:t>
      </w:r>
      <w:proofErr w:type="spellStart"/>
      <w:r>
        <w:rPr>
          <w:rFonts w:ascii="Arial" w:hAnsi="Arial"/>
          <w:sz w:val="20"/>
          <w:szCs w:val="20"/>
        </w:rPr>
        <w:t>GeoHealth</w:t>
      </w:r>
      <w:proofErr w:type="spellEnd"/>
      <w:r>
        <w:rPr>
          <w:rFonts w:ascii="Arial" w:hAnsi="Arial"/>
          <w:sz w:val="20"/>
          <w:szCs w:val="20"/>
        </w:rPr>
        <w:t xml:space="preserve"> 3, no. 2 (2019): 44–55. https://doi.org/10.1029/2018GH000164.</w:t>
      </w:r>
    </w:p>
    <w:p w14:paraId="1F951D57"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Kasabi</w:t>
      </w:r>
      <w:proofErr w:type="spellEnd"/>
      <w:r>
        <w:rPr>
          <w:rFonts w:ascii="Arial" w:hAnsi="Arial"/>
          <w:sz w:val="20"/>
          <w:szCs w:val="20"/>
        </w:rPr>
        <w:t xml:space="preserve">, </w:t>
      </w:r>
      <w:proofErr w:type="spellStart"/>
      <w:r>
        <w:rPr>
          <w:rFonts w:ascii="Arial" w:hAnsi="Arial"/>
          <w:sz w:val="20"/>
          <w:szCs w:val="20"/>
        </w:rPr>
        <w:t>Gudadappa</w:t>
      </w:r>
      <w:proofErr w:type="spellEnd"/>
      <w:r>
        <w:rPr>
          <w:rFonts w:ascii="Arial" w:hAnsi="Arial"/>
          <w:sz w:val="20"/>
          <w:szCs w:val="20"/>
        </w:rPr>
        <w:t xml:space="preserve"> S., Manoj V. Murhekar, Vijay K. Sandhya, </w:t>
      </w:r>
      <w:proofErr w:type="spellStart"/>
      <w:r>
        <w:rPr>
          <w:rFonts w:ascii="Arial" w:hAnsi="Arial"/>
          <w:sz w:val="20"/>
          <w:szCs w:val="20"/>
        </w:rPr>
        <w:t>Ramappa</w:t>
      </w:r>
      <w:proofErr w:type="spellEnd"/>
      <w:r>
        <w:rPr>
          <w:rFonts w:ascii="Arial" w:hAnsi="Arial"/>
          <w:sz w:val="20"/>
          <w:szCs w:val="20"/>
        </w:rPr>
        <w:t xml:space="preserve"> Raghunandan, Shivani K. Kiran, </w:t>
      </w:r>
      <w:proofErr w:type="spellStart"/>
      <w:r>
        <w:rPr>
          <w:rFonts w:ascii="Arial" w:hAnsi="Arial"/>
          <w:sz w:val="20"/>
          <w:szCs w:val="20"/>
        </w:rPr>
        <w:t>Gowdra</w:t>
      </w:r>
      <w:proofErr w:type="spellEnd"/>
      <w:r>
        <w:rPr>
          <w:rFonts w:ascii="Arial" w:hAnsi="Arial"/>
          <w:sz w:val="20"/>
          <w:szCs w:val="20"/>
        </w:rPr>
        <w:t xml:space="preserve"> H. </w:t>
      </w:r>
      <w:proofErr w:type="spellStart"/>
      <w:r>
        <w:rPr>
          <w:rFonts w:ascii="Arial" w:hAnsi="Arial"/>
          <w:sz w:val="20"/>
          <w:szCs w:val="20"/>
        </w:rPr>
        <w:t>Channabasappa</w:t>
      </w:r>
      <w:proofErr w:type="spellEnd"/>
      <w:r>
        <w:rPr>
          <w:rFonts w:ascii="Arial" w:hAnsi="Arial"/>
          <w:sz w:val="20"/>
          <w:szCs w:val="20"/>
        </w:rPr>
        <w:t xml:space="preserve">, and Sanjay M. Mehendale. </w:t>
      </w:r>
      <w:r>
        <w:rPr>
          <w:rFonts w:ascii="Arial" w:hAnsi="Arial"/>
          <w:sz w:val="20"/>
          <w:szCs w:val="20"/>
          <w:rtl/>
          <w:lang w:val="ar-SA" w:bidi="ar-SA"/>
        </w:rPr>
        <w:t>“</w:t>
      </w:r>
      <w:r>
        <w:rPr>
          <w:rFonts w:ascii="Arial" w:hAnsi="Arial"/>
          <w:sz w:val="20"/>
          <w:szCs w:val="20"/>
        </w:rPr>
        <w:t xml:space="preserve">Coverage and Effectiveness of </w:t>
      </w:r>
      <w:proofErr w:type="spellStart"/>
      <w:r>
        <w:rPr>
          <w:rFonts w:ascii="Arial" w:hAnsi="Arial"/>
          <w:sz w:val="20"/>
          <w:szCs w:val="20"/>
        </w:rPr>
        <w:t>Kyasanur</w:t>
      </w:r>
      <w:proofErr w:type="spellEnd"/>
      <w:r>
        <w:rPr>
          <w:rFonts w:ascii="Arial" w:hAnsi="Arial"/>
          <w:sz w:val="20"/>
          <w:szCs w:val="20"/>
        </w:rPr>
        <w:t xml:space="preserve"> Forest Disease (KFD) Vaccine in Karnataka, South India, 2005–10.” </w:t>
      </w:r>
      <w:proofErr w:type="spellStart"/>
      <w:r>
        <w:rPr>
          <w:rFonts w:ascii="Arial" w:hAnsi="Arial"/>
          <w:sz w:val="20"/>
          <w:szCs w:val="20"/>
        </w:rPr>
        <w:t>PLoS</w:t>
      </w:r>
      <w:proofErr w:type="spellEnd"/>
      <w:r>
        <w:rPr>
          <w:rFonts w:ascii="Arial" w:hAnsi="Arial"/>
          <w:sz w:val="20"/>
          <w:szCs w:val="20"/>
        </w:rPr>
        <w:t xml:space="preserve"> Neglected Tropical Diseases 7, no. 1 (2013): e2025. https://doi.org/10.1371/journal.pntd.0002025</w:t>
      </w:r>
    </w:p>
    <w:p w14:paraId="3693464F" w14:textId="1583C6C7" w:rsidR="00C07845" w:rsidRPr="00F36DC9" w:rsidRDefault="00D417C3">
      <w:pPr>
        <w:pStyle w:val="Default"/>
        <w:numPr>
          <w:ilvl w:val="0"/>
          <w:numId w:val="3"/>
        </w:numPr>
        <w:suppressAutoHyphens/>
        <w:spacing w:before="0" w:line="240" w:lineRule="auto"/>
        <w:jc w:val="both"/>
        <w:rPr>
          <w:rFonts w:ascii="Arial" w:hAnsi="Arial"/>
          <w:sz w:val="20"/>
          <w:szCs w:val="20"/>
          <w:lang w:val="en-IN"/>
        </w:rPr>
      </w:pPr>
      <w:r w:rsidRPr="00E73179">
        <w:rPr>
          <w:rFonts w:ascii="Arial" w:hAnsi="Arial"/>
          <w:sz w:val="20"/>
          <w:szCs w:val="20"/>
          <w:lang w:val="en-IN"/>
        </w:rPr>
        <w:t xml:space="preserve">Phipps LP, Johnson N. Tick-borne encephalitis virus. </w:t>
      </w:r>
      <w:r w:rsidRPr="00F36DC9">
        <w:rPr>
          <w:rFonts w:ascii="Arial" w:hAnsi="Arial"/>
          <w:sz w:val="20"/>
          <w:szCs w:val="20"/>
          <w:lang w:val="en-IN"/>
        </w:rPr>
        <w:t xml:space="preserve">J Med </w:t>
      </w:r>
      <w:proofErr w:type="spellStart"/>
      <w:r w:rsidRPr="00F36DC9">
        <w:rPr>
          <w:rFonts w:ascii="Arial" w:hAnsi="Arial"/>
          <w:sz w:val="20"/>
          <w:szCs w:val="20"/>
          <w:lang w:val="en-IN"/>
        </w:rPr>
        <w:t>Microbiol</w:t>
      </w:r>
      <w:proofErr w:type="spellEnd"/>
      <w:r w:rsidRPr="00F36DC9">
        <w:rPr>
          <w:rFonts w:ascii="Arial" w:hAnsi="Arial"/>
          <w:sz w:val="20"/>
          <w:szCs w:val="20"/>
          <w:lang w:val="en-IN"/>
        </w:rPr>
        <w:t xml:space="preserve">. </w:t>
      </w:r>
      <w:proofErr w:type="gramStart"/>
      <w:r w:rsidRPr="00F36DC9">
        <w:rPr>
          <w:rFonts w:ascii="Arial" w:hAnsi="Arial"/>
          <w:sz w:val="20"/>
          <w:szCs w:val="20"/>
          <w:lang w:val="en-IN"/>
        </w:rPr>
        <w:t>2022;71:001492</w:t>
      </w:r>
      <w:proofErr w:type="gramEnd"/>
      <w:r w:rsidRPr="00F36DC9">
        <w:rPr>
          <w:rFonts w:ascii="Arial" w:hAnsi="Arial"/>
          <w:sz w:val="20"/>
          <w:szCs w:val="20"/>
          <w:lang w:val="en-IN"/>
        </w:rPr>
        <w:t xml:space="preserve">. </w:t>
      </w:r>
      <w:r w:rsidR="00F36DC9" w:rsidRPr="00F36DC9">
        <w:rPr>
          <w:rFonts w:ascii="Arial" w:hAnsi="Arial"/>
          <w:sz w:val="20"/>
          <w:szCs w:val="20"/>
          <w:lang w:val="en-IN"/>
        </w:rPr>
        <w:t>https://doi.org/10.1099/jmm.0.001492</w:t>
      </w:r>
    </w:p>
    <w:p w14:paraId="4AFD04EA" w14:textId="717D521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Kravchuk BI, </w:t>
      </w:r>
      <w:proofErr w:type="spellStart"/>
      <w:r>
        <w:rPr>
          <w:rFonts w:ascii="Arial" w:hAnsi="Arial"/>
          <w:sz w:val="20"/>
          <w:szCs w:val="20"/>
        </w:rPr>
        <w:t>Khlusevich</w:t>
      </w:r>
      <w:proofErr w:type="spellEnd"/>
      <w:r>
        <w:rPr>
          <w:rFonts w:ascii="Arial" w:hAnsi="Arial"/>
          <w:sz w:val="20"/>
          <w:szCs w:val="20"/>
        </w:rPr>
        <w:t xml:space="preserve"> YA, </w:t>
      </w:r>
      <w:proofErr w:type="spellStart"/>
      <w:r>
        <w:rPr>
          <w:rFonts w:ascii="Arial" w:hAnsi="Arial"/>
          <w:sz w:val="20"/>
          <w:szCs w:val="20"/>
        </w:rPr>
        <w:t>Chicherina</w:t>
      </w:r>
      <w:proofErr w:type="spellEnd"/>
      <w:r>
        <w:rPr>
          <w:rFonts w:ascii="Arial" w:hAnsi="Arial"/>
          <w:sz w:val="20"/>
          <w:szCs w:val="20"/>
        </w:rPr>
        <w:t xml:space="preserve"> GS, Yakimenko VV, Krasnova EI, </w:t>
      </w:r>
      <w:proofErr w:type="spellStart"/>
      <w:r>
        <w:rPr>
          <w:rFonts w:ascii="Arial" w:hAnsi="Arial"/>
          <w:sz w:val="20"/>
          <w:szCs w:val="20"/>
        </w:rPr>
        <w:t>Tikunova</w:t>
      </w:r>
      <w:proofErr w:type="spellEnd"/>
      <w:r>
        <w:rPr>
          <w:rFonts w:ascii="Arial" w:hAnsi="Arial"/>
          <w:sz w:val="20"/>
          <w:szCs w:val="20"/>
        </w:rPr>
        <w:t xml:space="preserve"> NN, et </w:t>
      </w:r>
      <w:proofErr w:type="spellStart"/>
      <w:proofErr w:type="gramStart"/>
      <w:r>
        <w:rPr>
          <w:rFonts w:ascii="Arial" w:hAnsi="Arial"/>
          <w:sz w:val="20"/>
          <w:szCs w:val="20"/>
        </w:rPr>
        <w:t>al.Cross</w:t>
      </w:r>
      <w:proofErr w:type="spellEnd"/>
      <w:proofErr w:type="gramEnd"/>
      <w:r>
        <w:rPr>
          <w:rFonts w:ascii="Arial" w:hAnsi="Arial"/>
          <w:sz w:val="20"/>
          <w:szCs w:val="20"/>
        </w:rPr>
        <w:t xml:space="preserve">-reactive antibodies to the NS1 protein of Omsk hemorrhagic fever virus are absent in the sera of patients with tick-borne encephalitis. Viruses. </w:t>
      </w:r>
      <w:proofErr w:type="gramStart"/>
      <w:r>
        <w:rPr>
          <w:rFonts w:ascii="Arial" w:hAnsi="Arial"/>
          <w:sz w:val="20"/>
          <w:szCs w:val="20"/>
        </w:rPr>
        <w:t>2024;16:1032</w:t>
      </w:r>
      <w:proofErr w:type="gramEnd"/>
      <w:r>
        <w:rPr>
          <w:rFonts w:ascii="Arial" w:hAnsi="Arial"/>
          <w:sz w:val="20"/>
          <w:szCs w:val="20"/>
        </w:rPr>
        <w:t xml:space="preserve">. </w:t>
      </w:r>
      <w:hyperlink r:id="rId15" w:history="1">
        <w:r w:rsidR="00F36DC9" w:rsidRPr="00FF26D4">
          <w:rPr>
            <w:rStyle w:val="Hyperlink"/>
            <w:rFonts w:ascii="Arial" w:hAnsi="Arial"/>
            <w:sz w:val="20"/>
            <w:szCs w:val="20"/>
          </w:rPr>
          <w:t>https://doi.org/10.3390/v16071032</w:t>
        </w:r>
      </w:hyperlink>
      <w:r w:rsidR="00F36DC9">
        <w:rPr>
          <w:rFonts w:ascii="Arial" w:hAnsi="Arial"/>
          <w:sz w:val="20"/>
          <w:szCs w:val="20"/>
        </w:rPr>
        <w:t xml:space="preserve"> </w:t>
      </w:r>
    </w:p>
    <w:p w14:paraId="7217F11A" w14:textId="77777777" w:rsidR="00F36DC9" w:rsidRDefault="00D417C3" w:rsidP="00F36DC9">
      <w:pPr>
        <w:pStyle w:val="Default"/>
        <w:numPr>
          <w:ilvl w:val="0"/>
          <w:numId w:val="3"/>
        </w:numPr>
        <w:suppressAutoHyphens/>
        <w:spacing w:before="0" w:line="240" w:lineRule="auto"/>
        <w:jc w:val="both"/>
        <w:rPr>
          <w:rFonts w:ascii="Arial" w:hAnsi="Arial"/>
          <w:sz w:val="20"/>
          <w:szCs w:val="20"/>
        </w:rPr>
      </w:pPr>
      <w:r w:rsidRPr="00F36DC9">
        <w:rPr>
          <w:rFonts w:ascii="Arial" w:hAnsi="Arial"/>
          <w:sz w:val="20"/>
          <w:szCs w:val="20"/>
          <w:lang w:val="fr-FR"/>
        </w:rPr>
        <w:t xml:space="preserve">Vilibic-Cavlek T, Ferenc T, Vujica Ferenc M, Bogdanic M, Potonik-Hunjadi T, Sabadi D, et al. </w:t>
      </w:r>
      <w:r w:rsidRPr="00F36DC9">
        <w:rPr>
          <w:rFonts w:ascii="Arial" w:hAnsi="Arial"/>
          <w:sz w:val="20"/>
          <w:szCs w:val="20"/>
        </w:rPr>
        <w:t xml:space="preserve">Cross-reactive antibodies in tick-borne encephalitis: case report and literature review. Antibodies (Basel) </w:t>
      </w:r>
      <w:proofErr w:type="gramStart"/>
      <w:r w:rsidRPr="00F36DC9">
        <w:rPr>
          <w:rFonts w:ascii="Arial" w:hAnsi="Arial"/>
          <w:sz w:val="20"/>
          <w:szCs w:val="20"/>
        </w:rPr>
        <w:t>2022;11:72</w:t>
      </w:r>
      <w:proofErr w:type="gramEnd"/>
      <w:r w:rsidR="00F36DC9" w:rsidRPr="00F36DC9">
        <w:t xml:space="preserve"> </w:t>
      </w:r>
      <w:hyperlink r:id="rId16" w:history="1">
        <w:r w:rsidR="00F36DC9" w:rsidRPr="00FF26D4">
          <w:rPr>
            <w:rStyle w:val="Hyperlink"/>
            <w:rFonts w:ascii="Arial" w:hAnsi="Arial"/>
            <w:sz w:val="20"/>
            <w:szCs w:val="20"/>
          </w:rPr>
          <w:t>https://doi.org/10.3390/antib11040072</w:t>
        </w:r>
      </w:hyperlink>
      <w:r w:rsidR="00F36DC9">
        <w:rPr>
          <w:rFonts w:ascii="Arial" w:hAnsi="Arial"/>
          <w:sz w:val="20"/>
          <w:szCs w:val="20"/>
        </w:rPr>
        <w:t xml:space="preserve"> </w:t>
      </w:r>
    </w:p>
    <w:p w14:paraId="3F01F29E" w14:textId="121F51CD" w:rsidR="00C07845" w:rsidRPr="00F36DC9" w:rsidRDefault="00D417C3" w:rsidP="00F36DC9">
      <w:pPr>
        <w:pStyle w:val="Default"/>
        <w:numPr>
          <w:ilvl w:val="0"/>
          <w:numId w:val="3"/>
        </w:numPr>
        <w:suppressAutoHyphens/>
        <w:spacing w:before="0" w:line="240" w:lineRule="auto"/>
        <w:jc w:val="both"/>
        <w:rPr>
          <w:rFonts w:ascii="Arial" w:hAnsi="Arial"/>
          <w:sz w:val="20"/>
          <w:szCs w:val="20"/>
        </w:rPr>
      </w:pPr>
      <w:proofErr w:type="spellStart"/>
      <w:r w:rsidRPr="00F36DC9">
        <w:rPr>
          <w:rFonts w:ascii="Arial" w:hAnsi="Arial"/>
          <w:sz w:val="20"/>
          <w:szCs w:val="20"/>
        </w:rPr>
        <w:t>Estofolete</w:t>
      </w:r>
      <w:proofErr w:type="spellEnd"/>
      <w:r w:rsidRPr="00F36DC9">
        <w:rPr>
          <w:rFonts w:ascii="Arial" w:hAnsi="Arial"/>
          <w:sz w:val="20"/>
          <w:szCs w:val="20"/>
        </w:rPr>
        <w:t xml:space="preserve"> CF </w:t>
      </w:r>
      <w:proofErr w:type="spellStart"/>
      <w:r w:rsidRPr="00F36DC9">
        <w:rPr>
          <w:rFonts w:ascii="Arial" w:hAnsi="Arial"/>
          <w:sz w:val="20"/>
          <w:szCs w:val="20"/>
        </w:rPr>
        <w:t>Milhim</w:t>
      </w:r>
      <w:proofErr w:type="spellEnd"/>
      <w:r w:rsidRPr="00F36DC9">
        <w:rPr>
          <w:rFonts w:ascii="Arial" w:hAnsi="Arial"/>
          <w:sz w:val="20"/>
          <w:szCs w:val="20"/>
        </w:rPr>
        <w:t xml:space="preserve"> BHGA, Zini N, </w:t>
      </w:r>
      <w:proofErr w:type="spellStart"/>
      <w:r w:rsidRPr="00F36DC9">
        <w:rPr>
          <w:rFonts w:ascii="Arial" w:hAnsi="Arial"/>
          <w:sz w:val="20"/>
          <w:szCs w:val="20"/>
        </w:rPr>
        <w:t>Scamardi</w:t>
      </w:r>
      <w:proofErr w:type="spellEnd"/>
      <w:r w:rsidRPr="00F36DC9">
        <w:rPr>
          <w:rFonts w:ascii="Arial" w:hAnsi="Arial"/>
          <w:sz w:val="20"/>
          <w:szCs w:val="20"/>
        </w:rPr>
        <w:t xml:space="preserve"> SN, </w:t>
      </w:r>
      <w:proofErr w:type="spellStart"/>
      <w:r w:rsidRPr="00F36DC9">
        <w:rPr>
          <w:rFonts w:ascii="Arial" w:hAnsi="Arial"/>
          <w:sz w:val="20"/>
          <w:szCs w:val="20"/>
        </w:rPr>
        <w:t>Selvante</w:t>
      </w:r>
      <w:proofErr w:type="spellEnd"/>
      <w:r w:rsidRPr="00F36DC9">
        <w:rPr>
          <w:rFonts w:ascii="Arial" w:hAnsi="Arial"/>
          <w:sz w:val="20"/>
          <w:szCs w:val="20"/>
        </w:rPr>
        <w:t xml:space="preserve"> JD, Vasilakis N, et al. Flavivirus infection associated with cerebrovascular events. Viruses. </w:t>
      </w:r>
      <w:proofErr w:type="gramStart"/>
      <w:r w:rsidRPr="00F36DC9">
        <w:rPr>
          <w:rFonts w:ascii="Arial" w:hAnsi="Arial"/>
          <w:sz w:val="20"/>
          <w:szCs w:val="20"/>
        </w:rPr>
        <w:t>2020;12:671</w:t>
      </w:r>
      <w:proofErr w:type="gramEnd"/>
      <w:r w:rsidRPr="00F36DC9">
        <w:rPr>
          <w:rFonts w:ascii="Arial" w:hAnsi="Arial"/>
          <w:sz w:val="20"/>
          <w:szCs w:val="20"/>
        </w:rPr>
        <w:t xml:space="preserve">. </w:t>
      </w:r>
      <w:r w:rsidR="00F36DC9" w:rsidRPr="00F36DC9">
        <w:rPr>
          <w:rFonts w:ascii="Arial" w:hAnsi="Arial"/>
          <w:sz w:val="20"/>
          <w:szCs w:val="20"/>
        </w:rPr>
        <w:t>https://doi.org/10.3390/v12060671</w:t>
      </w:r>
    </w:p>
    <w:p w14:paraId="48C57EF3" w14:textId="48298D96"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Yadav P, </w:t>
      </w:r>
      <w:proofErr w:type="spellStart"/>
      <w:r>
        <w:rPr>
          <w:rFonts w:ascii="Arial" w:hAnsi="Arial"/>
          <w:sz w:val="20"/>
          <w:szCs w:val="20"/>
        </w:rPr>
        <w:t>Dhankher</w:t>
      </w:r>
      <w:proofErr w:type="spellEnd"/>
      <w:r>
        <w:rPr>
          <w:rFonts w:ascii="Arial" w:hAnsi="Arial"/>
          <w:sz w:val="20"/>
          <w:szCs w:val="20"/>
        </w:rPr>
        <w:t xml:space="preserve"> S, Sharma S. Simplified visual detection of </w:t>
      </w:r>
      <w:proofErr w:type="spellStart"/>
      <w:r>
        <w:rPr>
          <w:rFonts w:ascii="Arial" w:hAnsi="Arial"/>
          <w:sz w:val="20"/>
          <w:szCs w:val="20"/>
        </w:rPr>
        <w:t>Kyasanur</w:t>
      </w:r>
      <w:proofErr w:type="spellEnd"/>
      <w:r>
        <w:rPr>
          <w:rFonts w:ascii="Arial" w:hAnsi="Arial"/>
          <w:sz w:val="20"/>
          <w:szCs w:val="20"/>
        </w:rPr>
        <w:t xml:space="preserve"> Forest disease virus employing reverse transcriptase-polymerase spiral reaction (RT-PSR) Virus Res.2023;335:199180. </w:t>
      </w:r>
      <w:r w:rsidR="00F36DC9" w:rsidRPr="00F36DC9">
        <w:rPr>
          <w:rFonts w:ascii="Arial" w:hAnsi="Arial"/>
          <w:sz w:val="20"/>
          <w:szCs w:val="20"/>
        </w:rPr>
        <w:t>https://doi.org/10.1016/j.virusres.2023.199180</w:t>
      </w:r>
    </w:p>
    <w:p w14:paraId="5BA40B2A" w14:textId="31266F3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Wagner E, Shin A, </w:t>
      </w:r>
      <w:proofErr w:type="spellStart"/>
      <w:r>
        <w:rPr>
          <w:rFonts w:ascii="Arial" w:hAnsi="Arial"/>
          <w:sz w:val="20"/>
          <w:szCs w:val="20"/>
        </w:rPr>
        <w:t>Tukhanova</w:t>
      </w:r>
      <w:proofErr w:type="spellEnd"/>
      <w:r>
        <w:rPr>
          <w:rFonts w:ascii="Arial" w:hAnsi="Arial"/>
          <w:sz w:val="20"/>
          <w:szCs w:val="20"/>
        </w:rPr>
        <w:t xml:space="preserve"> N, </w:t>
      </w:r>
      <w:proofErr w:type="spellStart"/>
      <w:r>
        <w:rPr>
          <w:rFonts w:ascii="Arial" w:hAnsi="Arial"/>
          <w:sz w:val="20"/>
          <w:szCs w:val="20"/>
        </w:rPr>
        <w:t>Turebekov</w:t>
      </w:r>
      <w:proofErr w:type="spellEnd"/>
      <w:r>
        <w:rPr>
          <w:rFonts w:ascii="Arial" w:hAnsi="Arial"/>
          <w:sz w:val="20"/>
          <w:szCs w:val="20"/>
        </w:rPr>
        <w:t xml:space="preserve"> N, </w:t>
      </w:r>
      <w:proofErr w:type="spellStart"/>
      <w:r>
        <w:rPr>
          <w:rFonts w:ascii="Arial" w:hAnsi="Arial"/>
          <w:sz w:val="20"/>
          <w:szCs w:val="20"/>
        </w:rPr>
        <w:t>Nurmakhanov</w:t>
      </w:r>
      <w:proofErr w:type="spellEnd"/>
      <w:r>
        <w:rPr>
          <w:rFonts w:ascii="Arial" w:hAnsi="Arial"/>
          <w:sz w:val="20"/>
          <w:szCs w:val="20"/>
        </w:rPr>
        <w:t xml:space="preserve"> T, </w:t>
      </w:r>
      <w:proofErr w:type="spellStart"/>
      <w:r>
        <w:rPr>
          <w:rFonts w:ascii="Arial" w:hAnsi="Arial"/>
          <w:sz w:val="20"/>
          <w:szCs w:val="20"/>
        </w:rPr>
        <w:t>Sutyagin</w:t>
      </w:r>
      <w:proofErr w:type="spellEnd"/>
      <w:r>
        <w:rPr>
          <w:rFonts w:ascii="Arial" w:hAnsi="Arial"/>
          <w:sz w:val="20"/>
          <w:szCs w:val="20"/>
        </w:rPr>
        <w:t xml:space="preserve"> V, et al. First indications of Omsk </w:t>
      </w:r>
      <w:proofErr w:type="spellStart"/>
      <w:r>
        <w:rPr>
          <w:rFonts w:ascii="Arial" w:hAnsi="Arial"/>
          <w:sz w:val="20"/>
          <w:szCs w:val="20"/>
        </w:rPr>
        <w:t>haemorrhagic</w:t>
      </w:r>
      <w:proofErr w:type="spellEnd"/>
      <w:r>
        <w:rPr>
          <w:rFonts w:ascii="Arial" w:hAnsi="Arial"/>
          <w:sz w:val="20"/>
          <w:szCs w:val="20"/>
        </w:rPr>
        <w:t xml:space="preserve"> fever virus beyond Russia. Viruses. </w:t>
      </w:r>
      <w:proofErr w:type="gramStart"/>
      <w:r>
        <w:rPr>
          <w:rFonts w:ascii="Arial" w:hAnsi="Arial"/>
          <w:sz w:val="20"/>
          <w:szCs w:val="20"/>
        </w:rPr>
        <w:t>2022;14:754</w:t>
      </w:r>
      <w:proofErr w:type="gramEnd"/>
      <w:r>
        <w:rPr>
          <w:rFonts w:ascii="Arial" w:hAnsi="Arial"/>
          <w:sz w:val="20"/>
          <w:szCs w:val="20"/>
        </w:rPr>
        <w:t xml:space="preserve">. </w:t>
      </w:r>
      <w:r w:rsidR="00F36DC9" w:rsidRPr="00F36DC9">
        <w:rPr>
          <w:rFonts w:ascii="Arial" w:hAnsi="Arial"/>
          <w:sz w:val="20"/>
          <w:szCs w:val="20"/>
        </w:rPr>
        <w:t>https://doi.org/10.3390/v14040754</w:t>
      </w:r>
    </w:p>
    <w:p w14:paraId="3F4D30C3" w14:textId="376D06F8"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Racsa</w:t>
      </w:r>
      <w:proofErr w:type="spellEnd"/>
      <w:r>
        <w:rPr>
          <w:rFonts w:ascii="Arial" w:hAnsi="Arial"/>
          <w:sz w:val="20"/>
          <w:szCs w:val="20"/>
        </w:rPr>
        <w:t xml:space="preserve"> LD, Kraft CS, Olinger GG, Hensley LE. Viral hemorrhagic fever diagnostics. Clin Infect Dis. </w:t>
      </w:r>
      <w:proofErr w:type="gramStart"/>
      <w:r>
        <w:rPr>
          <w:rFonts w:ascii="Arial" w:hAnsi="Arial"/>
          <w:sz w:val="20"/>
          <w:szCs w:val="20"/>
        </w:rPr>
        <w:t>2016;62:214</w:t>
      </w:r>
      <w:proofErr w:type="gramEnd"/>
      <w:r>
        <w:rPr>
          <w:rFonts w:ascii="Arial" w:hAnsi="Arial"/>
          <w:sz w:val="20"/>
          <w:szCs w:val="20"/>
        </w:rPr>
        <w:t xml:space="preserve">-9. </w:t>
      </w:r>
      <w:r w:rsidR="00F36DC9" w:rsidRPr="00F36DC9">
        <w:rPr>
          <w:rFonts w:ascii="Arial" w:hAnsi="Arial"/>
          <w:sz w:val="20"/>
          <w:szCs w:val="20"/>
        </w:rPr>
        <w:t>https://doi.org/10.3390/v14040754</w:t>
      </w:r>
    </w:p>
    <w:p w14:paraId="0F546EE7" w14:textId="4E937ED5"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Saksida A, Duh D, </w:t>
      </w:r>
      <w:proofErr w:type="spellStart"/>
      <w:r>
        <w:rPr>
          <w:rFonts w:ascii="Arial" w:hAnsi="Arial"/>
          <w:sz w:val="20"/>
          <w:szCs w:val="20"/>
        </w:rPr>
        <w:t>Lotric</w:t>
      </w:r>
      <w:proofErr w:type="spellEnd"/>
      <w:r>
        <w:rPr>
          <w:rFonts w:ascii="Arial" w:hAnsi="Arial"/>
          <w:sz w:val="20"/>
          <w:szCs w:val="20"/>
        </w:rPr>
        <w:t xml:space="preserve">-Furlan S, Strle E, </w:t>
      </w:r>
      <w:proofErr w:type="spellStart"/>
      <w:r>
        <w:rPr>
          <w:rFonts w:ascii="Arial" w:hAnsi="Arial"/>
          <w:sz w:val="20"/>
          <w:szCs w:val="20"/>
        </w:rPr>
        <w:t>Petrovec</w:t>
      </w:r>
      <w:proofErr w:type="spellEnd"/>
      <w:r>
        <w:rPr>
          <w:rFonts w:ascii="Arial" w:hAnsi="Arial"/>
          <w:sz w:val="20"/>
          <w:szCs w:val="20"/>
        </w:rPr>
        <w:t xml:space="preserve"> M, </w:t>
      </w:r>
      <w:proofErr w:type="spellStart"/>
      <w:r>
        <w:rPr>
          <w:rFonts w:ascii="Arial" w:hAnsi="Arial"/>
          <w:sz w:val="20"/>
          <w:szCs w:val="20"/>
        </w:rPr>
        <w:t>Avsic</w:t>
      </w:r>
      <w:proofErr w:type="spellEnd"/>
      <w:r>
        <w:rPr>
          <w:rFonts w:ascii="Arial" w:hAnsi="Arial"/>
          <w:sz w:val="20"/>
          <w:szCs w:val="20"/>
        </w:rPr>
        <w:t xml:space="preserve">-Zupanc T. The importance of tick-borne encephalitis virus RNA detection for early differential diagnosis of tick-borne encephalitis. J Clin Virol. </w:t>
      </w:r>
      <w:proofErr w:type="gramStart"/>
      <w:r>
        <w:rPr>
          <w:rFonts w:ascii="Arial" w:hAnsi="Arial"/>
          <w:sz w:val="20"/>
          <w:szCs w:val="20"/>
        </w:rPr>
        <w:t>2005;33:331</w:t>
      </w:r>
      <w:proofErr w:type="gramEnd"/>
      <w:r>
        <w:rPr>
          <w:rFonts w:ascii="Arial" w:hAnsi="Arial"/>
          <w:sz w:val="20"/>
          <w:szCs w:val="20"/>
        </w:rPr>
        <w:t>-5.</w:t>
      </w:r>
      <w:r w:rsidR="00F36DC9" w:rsidRPr="00F36DC9">
        <w:t xml:space="preserve"> </w:t>
      </w:r>
      <w:r w:rsidR="00F36DC9" w:rsidRPr="00F36DC9">
        <w:rPr>
          <w:rFonts w:ascii="Arial" w:hAnsi="Arial"/>
          <w:sz w:val="20"/>
          <w:szCs w:val="20"/>
        </w:rPr>
        <w:t>https://doi.org/10.1016/j.jcv.2004.07.014</w:t>
      </w:r>
    </w:p>
    <w:p w14:paraId="352F4107" w14:textId="3495644B"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Mourya DT, Yadav PD, </w:t>
      </w:r>
      <w:proofErr w:type="spellStart"/>
      <w:r>
        <w:rPr>
          <w:rFonts w:ascii="Arial" w:hAnsi="Arial"/>
          <w:sz w:val="20"/>
          <w:szCs w:val="20"/>
        </w:rPr>
        <w:t>Mehla</w:t>
      </w:r>
      <w:proofErr w:type="spellEnd"/>
      <w:r>
        <w:rPr>
          <w:rFonts w:ascii="Arial" w:hAnsi="Arial"/>
          <w:sz w:val="20"/>
          <w:szCs w:val="20"/>
        </w:rPr>
        <w:t xml:space="preserve"> R, Barde PV, </w:t>
      </w:r>
      <w:proofErr w:type="spellStart"/>
      <w:r>
        <w:rPr>
          <w:rFonts w:ascii="Arial" w:hAnsi="Arial"/>
          <w:sz w:val="20"/>
          <w:szCs w:val="20"/>
        </w:rPr>
        <w:t>Yergolkar</w:t>
      </w:r>
      <w:proofErr w:type="spellEnd"/>
      <w:r>
        <w:rPr>
          <w:rFonts w:ascii="Arial" w:hAnsi="Arial"/>
          <w:sz w:val="20"/>
          <w:szCs w:val="20"/>
        </w:rPr>
        <w:t xml:space="preserve"> PN, Kumar SR, et al. Diagnosis of </w:t>
      </w:r>
      <w:proofErr w:type="spellStart"/>
      <w:r>
        <w:rPr>
          <w:rFonts w:ascii="Arial" w:hAnsi="Arial"/>
          <w:sz w:val="20"/>
          <w:szCs w:val="20"/>
        </w:rPr>
        <w:t>Kyasanur</w:t>
      </w:r>
      <w:proofErr w:type="spellEnd"/>
      <w:r>
        <w:rPr>
          <w:rFonts w:ascii="Arial" w:hAnsi="Arial"/>
          <w:sz w:val="20"/>
          <w:szCs w:val="20"/>
        </w:rPr>
        <w:t xml:space="preserve"> Forest disease by nested RT-PCR, real-time RT-PCR and IgM capture ELISA. J </w:t>
      </w:r>
      <w:proofErr w:type="spellStart"/>
      <w:r>
        <w:rPr>
          <w:rFonts w:ascii="Arial" w:hAnsi="Arial"/>
          <w:sz w:val="20"/>
          <w:szCs w:val="20"/>
        </w:rPr>
        <w:t>Virol</w:t>
      </w:r>
      <w:proofErr w:type="spellEnd"/>
      <w:r>
        <w:rPr>
          <w:rFonts w:ascii="Arial" w:hAnsi="Arial"/>
          <w:sz w:val="20"/>
          <w:szCs w:val="20"/>
        </w:rPr>
        <w:t xml:space="preserve"> Methods. </w:t>
      </w:r>
      <w:proofErr w:type="gramStart"/>
      <w:r>
        <w:rPr>
          <w:rFonts w:ascii="Arial" w:hAnsi="Arial"/>
          <w:sz w:val="20"/>
          <w:szCs w:val="20"/>
        </w:rPr>
        <w:t>2012;186:49</w:t>
      </w:r>
      <w:proofErr w:type="gramEnd"/>
      <w:r>
        <w:rPr>
          <w:rFonts w:ascii="Arial" w:hAnsi="Arial"/>
          <w:sz w:val="20"/>
          <w:szCs w:val="20"/>
        </w:rPr>
        <w:t xml:space="preserve">-54. </w:t>
      </w:r>
      <w:r w:rsidR="00F36DC9" w:rsidRPr="00F36DC9">
        <w:rPr>
          <w:rFonts w:ascii="Arial" w:hAnsi="Arial"/>
          <w:sz w:val="20"/>
          <w:szCs w:val="20"/>
        </w:rPr>
        <w:t>https://doi.org/10.1016/j.jcv.2004.07.014</w:t>
      </w:r>
    </w:p>
    <w:p w14:paraId="70DE6A5A" w14:textId="67AB9C7B"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Růžek</w:t>
      </w:r>
      <w:proofErr w:type="spellEnd"/>
      <w:r>
        <w:rPr>
          <w:rFonts w:ascii="Arial" w:hAnsi="Arial"/>
          <w:sz w:val="20"/>
          <w:szCs w:val="20"/>
        </w:rPr>
        <w:t xml:space="preserve"> D, Yakimenko VV, Karan LS, Tkachev SE. Omsk </w:t>
      </w:r>
      <w:proofErr w:type="spellStart"/>
      <w:r>
        <w:rPr>
          <w:rFonts w:ascii="Arial" w:hAnsi="Arial"/>
          <w:sz w:val="20"/>
          <w:szCs w:val="20"/>
        </w:rPr>
        <w:t>haemorrhagic</w:t>
      </w:r>
      <w:proofErr w:type="spellEnd"/>
      <w:r>
        <w:rPr>
          <w:rFonts w:ascii="Arial" w:hAnsi="Arial"/>
          <w:sz w:val="20"/>
          <w:szCs w:val="20"/>
        </w:rPr>
        <w:t xml:space="preserve"> fever. Lancet.2010;376:2104-13. </w:t>
      </w:r>
      <w:r w:rsidR="00F36DC9" w:rsidRPr="00F36DC9">
        <w:rPr>
          <w:rFonts w:ascii="Arial" w:hAnsi="Arial"/>
          <w:sz w:val="20"/>
          <w:szCs w:val="20"/>
        </w:rPr>
        <w:t>https://doi.org/10.1016/S0140-6736(10)61120-8</w:t>
      </w:r>
    </w:p>
    <w:p w14:paraId="5A8E17C3" w14:textId="00B5C26D" w:rsidR="005A2990" w:rsidRPr="005A2990" w:rsidRDefault="00D417C3" w:rsidP="005A2990">
      <w:pPr>
        <w:pStyle w:val="Default"/>
        <w:numPr>
          <w:ilvl w:val="0"/>
          <w:numId w:val="3"/>
        </w:numPr>
        <w:suppressAutoHyphens/>
        <w:spacing w:before="0" w:line="240" w:lineRule="auto"/>
        <w:jc w:val="both"/>
        <w:rPr>
          <w:rFonts w:ascii="Arial" w:hAnsi="Arial"/>
          <w:sz w:val="20"/>
          <w:szCs w:val="20"/>
        </w:rPr>
      </w:pPr>
      <w:r w:rsidRPr="005A2990">
        <w:rPr>
          <w:rFonts w:ascii="Arial" w:hAnsi="Arial"/>
          <w:sz w:val="20"/>
          <w:szCs w:val="20"/>
          <w:lang w:val="de-DE"/>
        </w:rPr>
        <w:t xml:space="preserve">Lasala PR, Holbrook M. Tick-borne flaviviruses. Clin Lab Med. 2010;30:221-35. </w:t>
      </w:r>
      <w:r w:rsidR="005A2990">
        <w:rPr>
          <w:rFonts w:ascii="Arial" w:hAnsi="Arial"/>
          <w:sz w:val="20"/>
          <w:szCs w:val="20"/>
          <w:lang w:val="de-DE"/>
        </w:rPr>
        <w:fldChar w:fldCharType="begin"/>
      </w:r>
      <w:r w:rsidR="005A2990">
        <w:rPr>
          <w:rFonts w:ascii="Arial" w:hAnsi="Arial"/>
          <w:sz w:val="20"/>
          <w:szCs w:val="20"/>
          <w:lang w:val="de-DE"/>
        </w:rPr>
        <w:instrText xml:space="preserve"> HYPERLINK "</w:instrText>
      </w:r>
      <w:r w:rsidR="005A2990" w:rsidRPr="005A2990">
        <w:rPr>
          <w:rFonts w:ascii="Arial" w:hAnsi="Arial"/>
          <w:sz w:val="20"/>
          <w:szCs w:val="20"/>
          <w:lang w:val="de-DE"/>
        </w:rPr>
        <w:instrText>https://doi.org/10.1016/j.cll.2010.01.002</w:instrText>
      </w:r>
      <w:r w:rsidR="005A2990">
        <w:rPr>
          <w:rFonts w:ascii="Arial" w:hAnsi="Arial"/>
          <w:sz w:val="20"/>
          <w:szCs w:val="20"/>
          <w:lang w:val="de-DE"/>
        </w:rPr>
        <w:instrText xml:space="preserve">" </w:instrText>
      </w:r>
      <w:r w:rsidR="005A2990">
        <w:rPr>
          <w:rFonts w:ascii="Arial" w:hAnsi="Arial"/>
          <w:sz w:val="20"/>
          <w:szCs w:val="20"/>
          <w:lang w:val="de-DE"/>
        </w:rPr>
      </w:r>
      <w:r w:rsidR="005A2990">
        <w:rPr>
          <w:rFonts w:ascii="Arial" w:hAnsi="Arial"/>
          <w:sz w:val="20"/>
          <w:szCs w:val="20"/>
          <w:lang w:val="de-DE"/>
        </w:rPr>
        <w:fldChar w:fldCharType="separate"/>
      </w:r>
      <w:r w:rsidR="005A2990" w:rsidRPr="00FF26D4">
        <w:rPr>
          <w:rStyle w:val="Hyperlink"/>
          <w:rFonts w:ascii="Arial" w:hAnsi="Arial"/>
          <w:sz w:val="20"/>
          <w:szCs w:val="20"/>
          <w:lang w:val="de-DE"/>
        </w:rPr>
        <w:t>https://doi.org/10.1016/j.cll.2010.01.002</w:t>
      </w:r>
      <w:r w:rsidR="005A2990">
        <w:rPr>
          <w:rFonts w:ascii="Arial" w:hAnsi="Arial"/>
          <w:sz w:val="20"/>
          <w:szCs w:val="20"/>
          <w:lang w:val="de-DE"/>
        </w:rPr>
        <w:fldChar w:fldCharType="end"/>
      </w:r>
    </w:p>
    <w:p w14:paraId="4BC8E756" w14:textId="4ABB5DF0" w:rsidR="00C07845" w:rsidRDefault="00D417C3" w:rsidP="005A2990">
      <w:pPr>
        <w:pStyle w:val="Default"/>
        <w:numPr>
          <w:ilvl w:val="0"/>
          <w:numId w:val="3"/>
        </w:numPr>
        <w:suppressAutoHyphens/>
        <w:spacing w:before="0" w:line="240" w:lineRule="auto"/>
        <w:jc w:val="both"/>
        <w:rPr>
          <w:rFonts w:ascii="Arial" w:hAnsi="Arial"/>
          <w:sz w:val="20"/>
          <w:szCs w:val="20"/>
        </w:rPr>
      </w:pPr>
      <w:proofErr w:type="spellStart"/>
      <w:r w:rsidRPr="005A2990">
        <w:rPr>
          <w:rFonts w:ascii="Arial" w:hAnsi="Arial"/>
          <w:sz w:val="20"/>
          <w:szCs w:val="20"/>
        </w:rPr>
        <w:t>Růzek</w:t>
      </w:r>
      <w:proofErr w:type="spellEnd"/>
      <w:r w:rsidRPr="005A2990">
        <w:rPr>
          <w:rFonts w:ascii="Arial" w:hAnsi="Arial"/>
          <w:sz w:val="20"/>
          <w:szCs w:val="20"/>
        </w:rPr>
        <w:t xml:space="preserve"> D, Holbrook MR, Yakimenko VV, Karan LS, Tkachev SE. In: Manual of security sensitive microbes and toxins. Liu D, editor. CRC Press; 2014. Omsk hemorrhagic fever virus; pp. 193-200.</w:t>
      </w:r>
      <w:r w:rsidR="005A2990" w:rsidRPr="005A2990">
        <w:t xml:space="preserve"> </w:t>
      </w:r>
      <w:hyperlink r:id="rId17" w:history="1">
        <w:r w:rsidR="005A2990" w:rsidRPr="00FF26D4">
          <w:rPr>
            <w:rStyle w:val="Hyperlink"/>
            <w:rFonts w:ascii="Arial" w:hAnsi="Arial"/>
            <w:sz w:val="20"/>
            <w:szCs w:val="20"/>
          </w:rPr>
          <w:t>https://doi.org/10.1201/b16752-19</w:t>
        </w:r>
      </w:hyperlink>
    </w:p>
    <w:p w14:paraId="18A759BC" w14:textId="77777777" w:rsidR="005A2990" w:rsidRPr="005A2990" w:rsidRDefault="005A2990" w:rsidP="005A299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ind w:left="287"/>
        <w:jc w:val="both"/>
        <w:rPr>
          <w:rFonts w:ascii="Arial" w:hAnsi="Arial"/>
          <w:sz w:val="20"/>
          <w:szCs w:val="20"/>
        </w:rPr>
      </w:pPr>
    </w:p>
    <w:p w14:paraId="755FB8CA" w14:textId="26ABFA63"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Charrel RN, Attoui H, Butenko AM, Clegg JC, Deubel V, Frolova TV, et al. Tick-borne virus diseases of human interest in Europe. Clin Microbiol Infect. </w:t>
      </w:r>
      <w:proofErr w:type="gramStart"/>
      <w:r>
        <w:rPr>
          <w:rFonts w:ascii="Arial" w:hAnsi="Arial"/>
          <w:sz w:val="20"/>
          <w:szCs w:val="20"/>
        </w:rPr>
        <w:t>2004;10:1040</w:t>
      </w:r>
      <w:proofErr w:type="gramEnd"/>
      <w:r>
        <w:rPr>
          <w:rFonts w:ascii="Arial" w:hAnsi="Arial"/>
          <w:sz w:val="20"/>
          <w:szCs w:val="20"/>
        </w:rPr>
        <w:t xml:space="preserve">-55. </w:t>
      </w:r>
      <w:hyperlink r:id="rId18" w:history="1">
        <w:r w:rsidR="005A2990" w:rsidRPr="00FF26D4">
          <w:rPr>
            <w:rStyle w:val="Hyperlink"/>
            <w:rFonts w:ascii="Arial" w:hAnsi="Arial"/>
            <w:sz w:val="20"/>
            <w:szCs w:val="20"/>
          </w:rPr>
          <w:t>https://doi.org/10.1111/j.1469-0691.2004.01022.x</w:t>
        </w:r>
      </w:hyperlink>
      <w:r w:rsidR="005A2990">
        <w:rPr>
          <w:rFonts w:ascii="Arial" w:hAnsi="Arial"/>
          <w:sz w:val="20"/>
          <w:szCs w:val="20"/>
        </w:rPr>
        <w:t xml:space="preserve"> </w:t>
      </w:r>
    </w:p>
    <w:p w14:paraId="74410275" w14:textId="246DC3C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Kaushal H, Kumar Meena V, Das S, Sarkar S, </w:t>
      </w:r>
      <w:proofErr w:type="spellStart"/>
      <w:r>
        <w:rPr>
          <w:rFonts w:ascii="Arial" w:hAnsi="Arial"/>
          <w:sz w:val="20"/>
          <w:szCs w:val="20"/>
        </w:rPr>
        <w:t>Kartaskar</w:t>
      </w:r>
      <w:proofErr w:type="spellEnd"/>
      <w:r>
        <w:rPr>
          <w:rFonts w:ascii="Arial" w:hAnsi="Arial"/>
          <w:sz w:val="20"/>
          <w:szCs w:val="20"/>
        </w:rPr>
        <w:t xml:space="preserve"> RS, Sharma V, Kumar N. Pathogenicity and virulence of </w:t>
      </w:r>
      <w:proofErr w:type="spellStart"/>
      <w:r>
        <w:rPr>
          <w:rFonts w:ascii="Arial" w:hAnsi="Arial"/>
          <w:sz w:val="20"/>
          <w:szCs w:val="20"/>
        </w:rPr>
        <w:t>Kyasanur</w:t>
      </w:r>
      <w:proofErr w:type="spellEnd"/>
      <w:r>
        <w:rPr>
          <w:rFonts w:ascii="Arial" w:hAnsi="Arial"/>
          <w:sz w:val="20"/>
          <w:szCs w:val="20"/>
        </w:rPr>
        <w:t xml:space="preserve"> Forest disease: A comprehensive review of an expanding zoonotic threat in southwestern India. Virulence. 2025 Dec;16(1):2580154. </w:t>
      </w:r>
      <w:r w:rsidR="005A2990" w:rsidRPr="005A2990">
        <w:rPr>
          <w:rFonts w:ascii="Arial" w:hAnsi="Arial"/>
          <w:sz w:val="20"/>
          <w:szCs w:val="20"/>
        </w:rPr>
        <w:t>https://doi.org/10.1080/21505594.2025.2580154</w:t>
      </w:r>
    </w:p>
    <w:p w14:paraId="7D08440D" w14:textId="1811B1AB" w:rsidR="00C07845" w:rsidRDefault="00D417C3">
      <w:pPr>
        <w:pStyle w:val="Default"/>
        <w:numPr>
          <w:ilvl w:val="0"/>
          <w:numId w:val="3"/>
        </w:numPr>
        <w:suppressAutoHyphens/>
        <w:spacing w:before="0" w:line="240" w:lineRule="auto"/>
        <w:jc w:val="both"/>
        <w:rPr>
          <w:rFonts w:ascii="Arial" w:hAnsi="Arial"/>
          <w:sz w:val="20"/>
          <w:szCs w:val="20"/>
        </w:rPr>
      </w:pPr>
      <w:r w:rsidRPr="00E73179">
        <w:rPr>
          <w:rFonts w:ascii="Arial" w:hAnsi="Arial"/>
          <w:sz w:val="20"/>
          <w:szCs w:val="20"/>
          <w:lang w:val="fr-FR"/>
        </w:rPr>
        <w:t xml:space="preserve">Purse BV, Darshan N, Kasabi GS, et al. </w:t>
      </w:r>
      <w:r>
        <w:rPr>
          <w:rFonts w:ascii="Arial" w:hAnsi="Arial"/>
          <w:sz w:val="20"/>
          <w:szCs w:val="20"/>
        </w:rPr>
        <w:t xml:space="preserve">Predicting disease risk areas through co-production of spatial models: the example of </w:t>
      </w:r>
      <w:proofErr w:type="spellStart"/>
      <w:r>
        <w:rPr>
          <w:rFonts w:ascii="Arial" w:hAnsi="Arial"/>
          <w:sz w:val="20"/>
          <w:szCs w:val="20"/>
        </w:rPr>
        <w:t>Kyasanur</w:t>
      </w:r>
      <w:proofErr w:type="spellEnd"/>
      <w:r>
        <w:rPr>
          <w:rFonts w:ascii="Arial" w:hAnsi="Arial"/>
          <w:sz w:val="20"/>
          <w:szCs w:val="20"/>
        </w:rPr>
        <w:t xml:space="preserve"> forest disease in </w:t>
      </w:r>
      <w:proofErr w:type="spellStart"/>
      <w:r>
        <w:rPr>
          <w:rFonts w:ascii="Arial" w:hAnsi="Arial"/>
          <w:sz w:val="20"/>
          <w:szCs w:val="20"/>
        </w:rPr>
        <w:t>india</w:t>
      </w:r>
      <w:proofErr w:type="spellEnd"/>
      <w:r>
        <w:rPr>
          <w:rFonts w:ascii="Arial" w:hAnsi="Arial"/>
          <w:sz w:val="20"/>
          <w:szCs w:val="20"/>
          <w:rtl/>
        </w:rPr>
        <w:t>’</w:t>
      </w:r>
      <w:r>
        <w:rPr>
          <w:rFonts w:ascii="Arial" w:hAnsi="Arial"/>
          <w:sz w:val="20"/>
          <w:szCs w:val="20"/>
        </w:rPr>
        <w:t xml:space="preserve">s forest landscapes. PLOS </w:t>
      </w:r>
      <w:proofErr w:type="spellStart"/>
      <w:r>
        <w:rPr>
          <w:rFonts w:ascii="Arial" w:hAnsi="Arial"/>
          <w:sz w:val="20"/>
          <w:szCs w:val="20"/>
        </w:rPr>
        <w:t>Negl</w:t>
      </w:r>
      <w:proofErr w:type="spellEnd"/>
      <w:r>
        <w:rPr>
          <w:rFonts w:ascii="Arial" w:hAnsi="Arial"/>
          <w:sz w:val="20"/>
          <w:szCs w:val="20"/>
        </w:rPr>
        <w:t xml:space="preserve"> Trop Dis. </w:t>
      </w:r>
      <w:proofErr w:type="gramStart"/>
      <w:r>
        <w:rPr>
          <w:rFonts w:ascii="Arial" w:hAnsi="Arial"/>
          <w:sz w:val="20"/>
          <w:szCs w:val="20"/>
        </w:rPr>
        <w:t>2020;14:1</w:t>
      </w:r>
      <w:proofErr w:type="gramEnd"/>
      <w:r>
        <w:rPr>
          <w:rFonts w:ascii="Arial" w:hAnsi="Arial"/>
          <w:sz w:val="20"/>
          <w:szCs w:val="20"/>
        </w:rPr>
        <w:t>–</w:t>
      </w:r>
      <w:r>
        <w:rPr>
          <w:rFonts w:ascii="Arial" w:hAnsi="Arial"/>
          <w:sz w:val="20"/>
          <w:szCs w:val="20"/>
          <w:lang w:val="fr-FR"/>
        </w:rPr>
        <w:t xml:space="preserve">27. </w:t>
      </w:r>
      <w:r w:rsidR="005A2990" w:rsidRPr="005A2990">
        <w:rPr>
          <w:rFonts w:ascii="Arial" w:hAnsi="Arial"/>
          <w:sz w:val="20"/>
          <w:szCs w:val="20"/>
          <w:lang w:val="fr-FR"/>
        </w:rPr>
        <w:t>https://doi.org/10.1371/journal.pntd.0008179</w:t>
      </w:r>
    </w:p>
    <w:p w14:paraId="4127A92C" w14:textId="68BEFD2B"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FAO; UNEP; WHO; WOAH. One health joint plan of action (2022–2026). Working together for the health of humans, animals, plants and the environment. Rome, Italy: </w:t>
      </w:r>
      <w:proofErr w:type="gramStart"/>
      <w:r>
        <w:rPr>
          <w:rFonts w:ascii="Arial" w:hAnsi="Arial"/>
          <w:sz w:val="20"/>
          <w:szCs w:val="20"/>
        </w:rPr>
        <w:t>FAO ;</w:t>
      </w:r>
      <w:proofErr w:type="gramEnd"/>
      <w:r>
        <w:rPr>
          <w:rFonts w:ascii="Arial" w:hAnsi="Arial"/>
          <w:sz w:val="20"/>
          <w:szCs w:val="20"/>
        </w:rPr>
        <w:t xml:space="preserve"> </w:t>
      </w:r>
      <w:proofErr w:type="gramStart"/>
      <w:r>
        <w:rPr>
          <w:rFonts w:ascii="Arial" w:hAnsi="Arial"/>
          <w:sz w:val="20"/>
          <w:szCs w:val="20"/>
        </w:rPr>
        <w:t>UNEP ;</w:t>
      </w:r>
      <w:proofErr w:type="gramEnd"/>
      <w:r>
        <w:rPr>
          <w:rFonts w:ascii="Arial" w:hAnsi="Arial"/>
          <w:sz w:val="20"/>
          <w:szCs w:val="20"/>
        </w:rPr>
        <w:t xml:space="preserve"> </w:t>
      </w:r>
      <w:proofErr w:type="gramStart"/>
      <w:r>
        <w:rPr>
          <w:rFonts w:ascii="Arial" w:hAnsi="Arial"/>
          <w:sz w:val="20"/>
          <w:szCs w:val="20"/>
        </w:rPr>
        <w:t>WHO ;</w:t>
      </w:r>
      <w:proofErr w:type="gramEnd"/>
      <w:r>
        <w:rPr>
          <w:rFonts w:ascii="Arial" w:hAnsi="Arial"/>
          <w:sz w:val="20"/>
          <w:szCs w:val="20"/>
        </w:rPr>
        <w:t xml:space="preserve"> World </w:t>
      </w:r>
      <w:proofErr w:type="spellStart"/>
      <w:r>
        <w:rPr>
          <w:rFonts w:ascii="Arial" w:hAnsi="Arial"/>
          <w:sz w:val="20"/>
          <w:szCs w:val="20"/>
        </w:rPr>
        <w:t>Organisation</w:t>
      </w:r>
      <w:proofErr w:type="spellEnd"/>
      <w:r>
        <w:rPr>
          <w:rFonts w:ascii="Arial" w:hAnsi="Arial"/>
          <w:sz w:val="20"/>
          <w:szCs w:val="20"/>
        </w:rPr>
        <w:t xml:space="preserve"> for Animal Health (WOAH); 2022. 86.</w:t>
      </w:r>
      <w:r w:rsidR="005A2990" w:rsidRPr="005A2990">
        <w:t xml:space="preserve"> </w:t>
      </w:r>
      <w:r w:rsidR="005A2990" w:rsidRPr="005A2990">
        <w:rPr>
          <w:rFonts w:ascii="Arial" w:hAnsi="Arial"/>
          <w:sz w:val="20"/>
          <w:szCs w:val="20"/>
        </w:rPr>
        <w:t>https://www.who.int/publications/i/item/9789240063817</w:t>
      </w:r>
    </w:p>
    <w:p w14:paraId="2991DFF7" w14:textId="77777777" w:rsidR="00C07845" w:rsidRDefault="00D417C3">
      <w:pPr>
        <w:pStyle w:val="Default"/>
        <w:numPr>
          <w:ilvl w:val="0"/>
          <w:numId w:val="3"/>
        </w:numPr>
        <w:suppressAutoHyphens/>
        <w:spacing w:before="0" w:line="240" w:lineRule="auto"/>
        <w:jc w:val="both"/>
        <w:rPr>
          <w:rFonts w:ascii="Arial" w:hAnsi="Arial"/>
          <w:sz w:val="20"/>
          <w:szCs w:val="20"/>
        </w:rPr>
      </w:pPr>
      <w:proofErr w:type="spellStart"/>
      <w:r>
        <w:rPr>
          <w:rFonts w:ascii="Arial" w:hAnsi="Arial"/>
          <w:sz w:val="20"/>
          <w:szCs w:val="20"/>
        </w:rPr>
        <w:t>Prejit</w:t>
      </w:r>
      <w:proofErr w:type="spellEnd"/>
      <w:r>
        <w:rPr>
          <w:rFonts w:ascii="Arial" w:hAnsi="Arial"/>
          <w:sz w:val="20"/>
          <w:szCs w:val="20"/>
        </w:rPr>
        <w:t xml:space="preserve"> HM, Asha K, Asha K. Effectiveness of One health approach for control of </w:t>
      </w:r>
      <w:proofErr w:type="spellStart"/>
      <w:r>
        <w:rPr>
          <w:rFonts w:ascii="Arial" w:hAnsi="Arial"/>
          <w:sz w:val="20"/>
          <w:szCs w:val="20"/>
        </w:rPr>
        <w:t>Kyasanur</w:t>
      </w:r>
      <w:proofErr w:type="spellEnd"/>
      <w:r>
        <w:rPr>
          <w:rFonts w:ascii="Arial" w:hAnsi="Arial"/>
          <w:sz w:val="20"/>
          <w:szCs w:val="20"/>
        </w:rPr>
        <w:t xml:space="preserve"> forest disease in Wayanad, Kerala, India. J Vector Borne Dis. 2022;59(1):70–</w:t>
      </w:r>
      <w:r>
        <w:rPr>
          <w:rFonts w:ascii="Arial" w:hAnsi="Arial"/>
          <w:sz w:val="20"/>
          <w:szCs w:val="20"/>
          <w:lang w:val="pt-PT"/>
        </w:rPr>
        <w:t>78. doi: 10.4103/0972-9062.331407</w:t>
      </w:r>
    </w:p>
    <w:p w14:paraId="5C49DE8C" w14:textId="53927A79"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t xml:space="preserve">Purse B, Burthe S, </w:t>
      </w:r>
      <w:proofErr w:type="spellStart"/>
      <w:r>
        <w:rPr>
          <w:rFonts w:ascii="Arial" w:hAnsi="Arial"/>
          <w:sz w:val="20"/>
          <w:szCs w:val="20"/>
        </w:rPr>
        <w:t>Narayanswamy</w:t>
      </w:r>
      <w:proofErr w:type="spellEnd"/>
      <w:r>
        <w:rPr>
          <w:rFonts w:ascii="Arial" w:hAnsi="Arial"/>
          <w:sz w:val="20"/>
          <w:szCs w:val="20"/>
        </w:rPr>
        <w:t xml:space="preserve"> D, et al. A One health ecosystem approach for understanding and mitigating spill-over of tick-borne diseases in India</w:t>
      </w:r>
      <w:r>
        <w:rPr>
          <w:rFonts w:ascii="Arial" w:hAnsi="Arial"/>
          <w:sz w:val="20"/>
          <w:szCs w:val="20"/>
          <w:rtl/>
        </w:rPr>
        <w:t>’</w:t>
      </w:r>
      <w:r>
        <w:rPr>
          <w:rFonts w:ascii="Arial" w:hAnsi="Arial"/>
          <w:sz w:val="20"/>
          <w:szCs w:val="20"/>
        </w:rPr>
        <w:t xml:space="preserve">s degraded forests. One Heal Cases. </w:t>
      </w:r>
      <w:proofErr w:type="gramStart"/>
      <w:r>
        <w:rPr>
          <w:rFonts w:ascii="Arial" w:hAnsi="Arial"/>
          <w:sz w:val="20"/>
          <w:szCs w:val="20"/>
        </w:rPr>
        <w:t>2023;2023:1</w:t>
      </w:r>
      <w:proofErr w:type="gramEnd"/>
      <w:r>
        <w:rPr>
          <w:rFonts w:ascii="Arial" w:hAnsi="Arial"/>
          <w:sz w:val="20"/>
          <w:szCs w:val="20"/>
        </w:rPr>
        <w:t xml:space="preserve">–13. </w:t>
      </w:r>
      <w:r w:rsidR="005A2990" w:rsidRPr="005A2990">
        <w:rPr>
          <w:rFonts w:ascii="Arial" w:hAnsi="Arial"/>
          <w:sz w:val="20"/>
          <w:szCs w:val="20"/>
        </w:rPr>
        <w:t>https://doi.org/10.4103/0972-9062.331407</w:t>
      </w:r>
    </w:p>
    <w:p w14:paraId="1E29EA5A" w14:textId="5D2328E6" w:rsidR="005A2990" w:rsidRDefault="00D417C3" w:rsidP="005A2990">
      <w:pPr>
        <w:pStyle w:val="Default"/>
        <w:numPr>
          <w:ilvl w:val="0"/>
          <w:numId w:val="3"/>
        </w:numPr>
        <w:suppressAutoHyphens/>
        <w:spacing w:before="0" w:line="240" w:lineRule="auto"/>
        <w:jc w:val="both"/>
        <w:rPr>
          <w:rFonts w:ascii="Arial" w:hAnsi="Arial"/>
          <w:sz w:val="20"/>
          <w:szCs w:val="20"/>
        </w:rPr>
      </w:pPr>
      <w:r w:rsidRPr="005A2990">
        <w:rPr>
          <w:rFonts w:ascii="Arial" w:hAnsi="Arial"/>
          <w:sz w:val="20"/>
          <w:szCs w:val="20"/>
          <w:lang w:val="fr-FR"/>
        </w:rPr>
        <w:t xml:space="preserve">Mourya DT, Yadav PD, Patil DY, et al. </w:t>
      </w:r>
      <w:r w:rsidRPr="005A2990">
        <w:rPr>
          <w:rFonts w:ascii="Arial" w:hAnsi="Arial"/>
          <w:sz w:val="20"/>
          <w:szCs w:val="20"/>
        </w:rPr>
        <w:t xml:space="preserve">Experiences of Indian council of medical research with tick-borne zoonotic infections: </w:t>
      </w:r>
      <w:proofErr w:type="spellStart"/>
      <w:r w:rsidRPr="005A2990">
        <w:rPr>
          <w:rFonts w:ascii="Arial" w:hAnsi="Arial"/>
          <w:sz w:val="20"/>
          <w:szCs w:val="20"/>
        </w:rPr>
        <w:t>Kyasanur</w:t>
      </w:r>
      <w:proofErr w:type="spellEnd"/>
      <w:r w:rsidRPr="005A2990">
        <w:rPr>
          <w:rFonts w:ascii="Arial" w:hAnsi="Arial"/>
          <w:sz w:val="20"/>
          <w:szCs w:val="20"/>
        </w:rPr>
        <w:t xml:space="preserve"> forest disease &amp; </w:t>
      </w:r>
      <w:proofErr w:type="spellStart"/>
      <w:r w:rsidRPr="005A2990">
        <w:rPr>
          <w:rFonts w:ascii="Arial" w:hAnsi="Arial"/>
          <w:sz w:val="20"/>
          <w:szCs w:val="20"/>
        </w:rPr>
        <w:t>crimean-congo</w:t>
      </w:r>
      <w:proofErr w:type="spellEnd"/>
      <w:r w:rsidRPr="005A2990">
        <w:rPr>
          <w:rFonts w:ascii="Arial" w:hAnsi="Arial"/>
          <w:sz w:val="20"/>
          <w:szCs w:val="20"/>
        </w:rPr>
        <w:t xml:space="preserve"> </w:t>
      </w:r>
      <w:proofErr w:type="spellStart"/>
      <w:r w:rsidRPr="005A2990">
        <w:rPr>
          <w:rFonts w:ascii="Arial" w:hAnsi="Arial"/>
          <w:sz w:val="20"/>
          <w:szCs w:val="20"/>
        </w:rPr>
        <w:t>haemorrhagic</w:t>
      </w:r>
      <w:proofErr w:type="spellEnd"/>
      <w:r w:rsidRPr="005A2990">
        <w:rPr>
          <w:rFonts w:ascii="Arial" w:hAnsi="Arial"/>
          <w:sz w:val="20"/>
          <w:szCs w:val="20"/>
        </w:rPr>
        <w:t xml:space="preserve"> fever in India with one health focus. Indian J Med Res. 2021;153(3):339–347. </w:t>
      </w:r>
      <w:hyperlink r:id="rId19" w:history="1">
        <w:r w:rsidR="005A2990" w:rsidRPr="00FF26D4">
          <w:rPr>
            <w:rStyle w:val="Hyperlink"/>
            <w:rFonts w:ascii="Arial" w:hAnsi="Arial"/>
            <w:sz w:val="20"/>
            <w:szCs w:val="20"/>
          </w:rPr>
          <w:t>https://doi.org/10.4103/ijmr.IJMR_532_21</w:t>
        </w:r>
      </w:hyperlink>
    </w:p>
    <w:p w14:paraId="1C227E76" w14:textId="08DB76A8" w:rsidR="00C07845" w:rsidRDefault="00D417C3" w:rsidP="005A2990">
      <w:pPr>
        <w:pStyle w:val="Default"/>
        <w:numPr>
          <w:ilvl w:val="0"/>
          <w:numId w:val="3"/>
        </w:numPr>
        <w:suppressAutoHyphens/>
        <w:spacing w:before="0" w:line="240" w:lineRule="auto"/>
        <w:jc w:val="both"/>
        <w:rPr>
          <w:rFonts w:ascii="Arial" w:hAnsi="Arial"/>
          <w:sz w:val="20"/>
          <w:szCs w:val="20"/>
        </w:rPr>
      </w:pPr>
      <w:proofErr w:type="spellStart"/>
      <w:r w:rsidRPr="005A2990">
        <w:rPr>
          <w:rFonts w:ascii="Arial" w:hAnsi="Arial"/>
          <w:sz w:val="20"/>
          <w:szCs w:val="20"/>
        </w:rPr>
        <w:t>Perumalsamy</w:t>
      </w:r>
      <w:proofErr w:type="spellEnd"/>
      <w:r w:rsidRPr="005A2990">
        <w:rPr>
          <w:rFonts w:ascii="Arial" w:hAnsi="Arial"/>
          <w:sz w:val="20"/>
          <w:szCs w:val="20"/>
        </w:rPr>
        <w:t xml:space="preserve"> N, Sharma R, Elango A, Nagarajan SA, Rahi M. 12S rRNA based phylogeny and genetic diversity of </w:t>
      </w:r>
      <w:proofErr w:type="spellStart"/>
      <w:r w:rsidRPr="005A2990">
        <w:rPr>
          <w:rFonts w:ascii="Arial" w:hAnsi="Arial"/>
          <w:sz w:val="20"/>
          <w:szCs w:val="20"/>
        </w:rPr>
        <w:t>Haemaphysalis</w:t>
      </w:r>
      <w:proofErr w:type="spellEnd"/>
      <w:r w:rsidRPr="005A2990">
        <w:rPr>
          <w:rFonts w:ascii="Arial" w:hAnsi="Arial"/>
          <w:sz w:val="20"/>
          <w:szCs w:val="20"/>
        </w:rPr>
        <w:t xml:space="preserve"> </w:t>
      </w:r>
      <w:proofErr w:type="spellStart"/>
      <w:r w:rsidRPr="005A2990">
        <w:rPr>
          <w:rFonts w:ascii="Arial" w:hAnsi="Arial"/>
          <w:sz w:val="20"/>
          <w:szCs w:val="20"/>
        </w:rPr>
        <w:t>spinigera</w:t>
      </w:r>
      <w:proofErr w:type="spellEnd"/>
      <w:r w:rsidRPr="005A2990">
        <w:rPr>
          <w:rFonts w:ascii="Arial" w:hAnsi="Arial"/>
          <w:sz w:val="20"/>
          <w:szCs w:val="20"/>
        </w:rPr>
        <w:t xml:space="preserve">, the primary vector for </w:t>
      </w:r>
      <w:proofErr w:type="spellStart"/>
      <w:r w:rsidRPr="005A2990">
        <w:rPr>
          <w:rFonts w:ascii="Arial" w:hAnsi="Arial"/>
          <w:sz w:val="20"/>
          <w:szCs w:val="20"/>
        </w:rPr>
        <w:t>Kyasanur</w:t>
      </w:r>
      <w:proofErr w:type="spellEnd"/>
      <w:r w:rsidRPr="005A2990">
        <w:rPr>
          <w:rFonts w:ascii="Arial" w:hAnsi="Arial"/>
          <w:sz w:val="20"/>
          <w:szCs w:val="20"/>
        </w:rPr>
        <w:t xml:space="preserve"> forest disease in India. Sci Rep. 2025 Nov 12;15(1):39688. </w:t>
      </w:r>
      <w:hyperlink r:id="rId20" w:history="1">
        <w:r w:rsidR="005A2990" w:rsidRPr="00FF26D4">
          <w:rPr>
            <w:rStyle w:val="Hyperlink"/>
            <w:rFonts w:ascii="Arial" w:hAnsi="Arial"/>
            <w:sz w:val="20"/>
            <w:szCs w:val="20"/>
          </w:rPr>
          <w:t>https://doi.org/10.1038/s41598-025-23226-1</w:t>
        </w:r>
      </w:hyperlink>
    </w:p>
    <w:p w14:paraId="61F2789A" w14:textId="77777777" w:rsidR="005A2990" w:rsidRPr="005A2990" w:rsidRDefault="005A2990" w:rsidP="005A299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40" w:lineRule="auto"/>
        <w:ind w:left="287"/>
        <w:jc w:val="both"/>
        <w:rPr>
          <w:rFonts w:ascii="Arial" w:hAnsi="Arial"/>
          <w:sz w:val="20"/>
          <w:szCs w:val="20"/>
        </w:rPr>
      </w:pPr>
    </w:p>
    <w:p w14:paraId="725A38F9" w14:textId="77777777" w:rsidR="00C07845" w:rsidRDefault="00D417C3">
      <w:pPr>
        <w:pStyle w:val="Default"/>
        <w:numPr>
          <w:ilvl w:val="0"/>
          <w:numId w:val="3"/>
        </w:numPr>
        <w:suppressAutoHyphens/>
        <w:spacing w:before="0" w:line="240" w:lineRule="auto"/>
        <w:jc w:val="both"/>
        <w:rPr>
          <w:rFonts w:ascii="Arial" w:hAnsi="Arial"/>
          <w:sz w:val="20"/>
          <w:szCs w:val="20"/>
        </w:rPr>
      </w:pPr>
      <w:r>
        <w:rPr>
          <w:rFonts w:ascii="Arial" w:hAnsi="Arial"/>
          <w:sz w:val="20"/>
          <w:szCs w:val="20"/>
        </w:rPr>
        <w:lastRenderedPageBreak/>
        <w:t xml:space="preserve">Raju HK, Elango A, Krishnamoorthi R, Rahi M. Prevalence and Abundance of Ixodid Ticks in Domestic Mammals in Villages at the Forest Fringes of the Western Ghats, India. Animals (Basel). 2025 Jul 8;15(14):2005. </w:t>
      </w:r>
      <w:proofErr w:type="spellStart"/>
      <w:r>
        <w:rPr>
          <w:rFonts w:ascii="Arial" w:hAnsi="Arial"/>
          <w:sz w:val="20"/>
          <w:szCs w:val="20"/>
        </w:rPr>
        <w:t>doi</w:t>
      </w:r>
      <w:proofErr w:type="spellEnd"/>
      <w:r>
        <w:rPr>
          <w:rFonts w:ascii="Arial" w:hAnsi="Arial"/>
          <w:sz w:val="20"/>
          <w:szCs w:val="20"/>
        </w:rPr>
        <w:t>: 10.3390/ani15142005. PMID: 40723468; PMCID: PMC12291773.</w:t>
      </w:r>
    </w:p>
    <w:p w14:paraId="3E7223D2" w14:textId="77777777" w:rsidR="000D3345" w:rsidRDefault="000D3345" w:rsidP="000D3345">
      <w:pPr>
        <w:pStyle w:val="ListParagraph"/>
        <w:rPr>
          <w:rFonts w:ascii="Arial" w:hAnsi="Arial"/>
          <w:sz w:val="20"/>
          <w:szCs w:val="20"/>
        </w:rPr>
      </w:pPr>
    </w:p>
    <w:p w14:paraId="3D0330C1" w14:textId="3BD5029C" w:rsidR="000D3345" w:rsidRPr="000D3345" w:rsidRDefault="000D3345">
      <w:pPr>
        <w:pStyle w:val="Default"/>
        <w:numPr>
          <w:ilvl w:val="0"/>
          <w:numId w:val="3"/>
        </w:numPr>
        <w:suppressAutoHyphens/>
        <w:spacing w:before="0" w:line="240" w:lineRule="auto"/>
        <w:jc w:val="both"/>
        <w:rPr>
          <w:rFonts w:ascii="Arial" w:hAnsi="Arial" w:cs="Arial"/>
          <w:sz w:val="20"/>
          <w:szCs w:val="20"/>
        </w:rPr>
      </w:pPr>
      <w:r w:rsidRPr="000D3345">
        <w:rPr>
          <w:rFonts w:ascii="Arial" w:hAnsi="Arial" w:cs="Arial"/>
          <w:sz w:val="20"/>
          <w:szCs w:val="20"/>
          <w:lang w:val="en-GB"/>
        </w:rPr>
        <w:t xml:space="preserve">Banerjee, K. (2019). </w:t>
      </w:r>
      <w:proofErr w:type="spellStart"/>
      <w:r w:rsidRPr="000D3345">
        <w:rPr>
          <w:rFonts w:ascii="Arial" w:hAnsi="Arial" w:cs="Arial"/>
          <w:sz w:val="20"/>
          <w:szCs w:val="20"/>
          <w:lang w:val="en-GB"/>
        </w:rPr>
        <w:t>Kyasanur</w:t>
      </w:r>
      <w:proofErr w:type="spellEnd"/>
      <w:r w:rsidRPr="000D3345">
        <w:rPr>
          <w:rFonts w:ascii="Arial" w:hAnsi="Arial" w:cs="Arial"/>
          <w:sz w:val="20"/>
          <w:szCs w:val="20"/>
          <w:lang w:val="en-GB"/>
        </w:rPr>
        <w:t xml:space="preserve"> forest disease. In Arboviruses (pp. 93-116). CRC Press</w:t>
      </w:r>
    </w:p>
    <w:sectPr w:rsidR="000D3345" w:rsidRPr="000D3345">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A2E7" w14:textId="77777777" w:rsidR="002315B6" w:rsidRDefault="002315B6">
      <w:r>
        <w:separator/>
      </w:r>
    </w:p>
  </w:endnote>
  <w:endnote w:type="continuationSeparator" w:id="0">
    <w:p w14:paraId="57FCC10E" w14:textId="77777777" w:rsidR="002315B6" w:rsidRDefault="0023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EEE3" w14:textId="77777777" w:rsidR="0064443A" w:rsidRDefault="00644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7E06" w14:textId="77777777" w:rsidR="00C07845" w:rsidRDefault="00C078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41FD" w14:textId="77777777" w:rsidR="0064443A" w:rsidRDefault="00644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F8C9" w14:textId="77777777" w:rsidR="002315B6" w:rsidRDefault="002315B6">
      <w:r>
        <w:separator/>
      </w:r>
    </w:p>
  </w:footnote>
  <w:footnote w:type="continuationSeparator" w:id="0">
    <w:p w14:paraId="360F8C17" w14:textId="77777777" w:rsidR="002315B6" w:rsidRDefault="0023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6260" w14:textId="7529212E" w:rsidR="0064443A" w:rsidRDefault="00000000">
    <w:pPr>
      <w:pStyle w:val="Header"/>
    </w:pPr>
    <w:r>
      <w:rPr>
        <w:noProof/>
      </w:rPr>
      <w:pict w14:anchorId="06408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35329" o:spid="_x0000_s1026"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CCC4" w14:textId="27BC7FE8" w:rsidR="00C07845" w:rsidRDefault="00000000">
    <w:r>
      <w:rPr>
        <w:noProof/>
      </w:rPr>
      <w:pict w14:anchorId="00C1D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35330" o:spid="_x0000_s1027"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2851" w14:textId="799777D0" w:rsidR="0064443A" w:rsidRDefault="00000000">
    <w:pPr>
      <w:pStyle w:val="Header"/>
    </w:pPr>
    <w:r>
      <w:rPr>
        <w:noProof/>
      </w:rPr>
      <w:pict w14:anchorId="35CC4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935328" o:spid="_x0000_s1025"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C4723"/>
    <w:multiLevelType w:val="hybridMultilevel"/>
    <w:tmpl w:val="2DECFDA6"/>
    <w:lvl w:ilvl="0" w:tplc="B67C2D88">
      <w:start w:val="1"/>
      <w:numFmt w:val="decimal"/>
      <w:lvlText w:val="%1."/>
      <w:lvlJc w:val="left"/>
      <w:pPr>
        <w:ind w:left="720" w:hanging="360"/>
      </w:pPr>
      <w:rPr>
        <w:rFonts w:eastAsia="Arial Unicode M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322267D"/>
    <w:multiLevelType w:val="hybridMultilevel"/>
    <w:tmpl w:val="A4CEED8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4D1DB4"/>
    <w:multiLevelType w:val="hybridMultilevel"/>
    <w:tmpl w:val="3C3E5F3A"/>
    <w:numStyleLink w:val="Numbered"/>
  </w:abstractNum>
  <w:abstractNum w:abstractNumId="3" w15:restartNumberingAfterBreak="0">
    <w:nsid w:val="725046E2"/>
    <w:multiLevelType w:val="hybridMultilevel"/>
    <w:tmpl w:val="3C3E5F3A"/>
    <w:styleLink w:val="Numbered"/>
    <w:lvl w:ilvl="0" w:tplc="A2CE44C8">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4A47660">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F86121C">
      <w:start w:val="1"/>
      <w:numFmt w:val="decimal"/>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6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3BAF58C">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8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54B764">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E78FE8A">
      <w:start w:val="1"/>
      <w:numFmt w:val="decimal"/>
      <w:lvlText w:val="%6."/>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9EE8614">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3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16848DE">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14AC4F2">
      <w:start w:val="1"/>
      <w:numFmt w:val="decimal"/>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7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788356098">
    <w:abstractNumId w:val="3"/>
  </w:num>
  <w:num w:numId="2" w16cid:durableId="1655987028">
    <w:abstractNumId w:val="2"/>
  </w:num>
  <w:num w:numId="3" w16cid:durableId="1883708624">
    <w:abstractNumId w:val="2"/>
    <w:lvlOverride w:ilvl="0">
      <w:lvl w:ilvl="0" w:tplc="F8DA4C8C">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36CB0A4">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4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806CC8">
        <w:start w:val="1"/>
        <w:numFmt w:val="decimal"/>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6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7D2CC08">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8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728B15C">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B92CD42">
        <w:start w:val="1"/>
        <w:numFmt w:val="decimal"/>
        <w:lvlText w:val="%6."/>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36214C4">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3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98D9D8">
        <w:start w:val="1"/>
        <w:numFmt w:val="decimal"/>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5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36250F6">
        <w:start w:val="1"/>
        <w:numFmt w:val="decimal"/>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7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958341126">
    <w:abstractNumId w:val="0"/>
  </w:num>
  <w:num w:numId="5" w16cid:durableId="29533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845"/>
    <w:rsid w:val="00086493"/>
    <w:rsid w:val="000D3345"/>
    <w:rsid w:val="002315B6"/>
    <w:rsid w:val="002574B5"/>
    <w:rsid w:val="002645D8"/>
    <w:rsid w:val="00282A57"/>
    <w:rsid w:val="00430A28"/>
    <w:rsid w:val="0049069F"/>
    <w:rsid w:val="004C3A7C"/>
    <w:rsid w:val="004F14C6"/>
    <w:rsid w:val="0053147D"/>
    <w:rsid w:val="005A2990"/>
    <w:rsid w:val="005E1847"/>
    <w:rsid w:val="005F2C34"/>
    <w:rsid w:val="0064443A"/>
    <w:rsid w:val="00654B37"/>
    <w:rsid w:val="00735311"/>
    <w:rsid w:val="007538F3"/>
    <w:rsid w:val="0083224C"/>
    <w:rsid w:val="00891F1C"/>
    <w:rsid w:val="008F22D8"/>
    <w:rsid w:val="009E4330"/>
    <w:rsid w:val="00A13480"/>
    <w:rsid w:val="00AA79C0"/>
    <w:rsid w:val="00B006E6"/>
    <w:rsid w:val="00B2117A"/>
    <w:rsid w:val="00B3473E"/>
    <w:rsid w:val="00B45568"/>
    <w:rsid w:val="00C07845"/>
    <w:rsid w:val="00D174C3"/>
    <w:rsid w:val="00D417C3"/>
    <w:rsid w:val="00DB0BC1"/>
    <w:rsid w:val="00E27762"/>
    <w:rsid w:val="00E73179"/>
    <w:rsid w:val="00E85390"/>
    <w:rsid w:val="00F36DC9"/>
    <w:rsid w:val="00F72750"/>
    <w:rsid w:val="00FA6403"/>
    <w:rsid w:val="00FC03D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04CF"/>
  <w15:docId w15:val="{14FA98D3-C47F-41D6-8AF3-EC33C33F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AcknHead">
    <w:name w:val="Ackn Head"/>
    <w:basedOn w:val="Normal"/>
    <w:rsid w:val="00E27762"/>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Helvetica" w:eastAsia="Times New Roman" w:hAnsi="Helvetica"/>
      <w:b/>
      <w:caps/>
      <w:sz w:val="22"/>
      <w:szCs w:val="20"/>
      <w:bdr w:val="none" w:sz="0" w:space="0" w:color="auto"/>
    </w:rPr>
  </w:style>
  <w:style w:type="paragraph" w:customStyle="1" w:styleId="ReferHead">
    <w:name w:val="Refer Head"/>
    <w:basedOn w:val="Normal"/>
    <w:rsid w:val="00E27762"/>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Helvetica" w:eastAsia="Times New Roman" w:hAnsi="Helvetica"/>
      <w:b/>
      <w:caps/>
      <w:sz w:val="22"/>
      <w:szCs w:val="20"/>
      <w:bdr w:val="none" w:sz="0" w:space="0" w:color="auto"/>
    </w:rPr>
  </w:style>
  <w:style w:type="paragraph" w:styleId="ListParagraph">
    <w:name w:val="List Paragraph"/>
    <w:basedOn w:val="Normal"/>
    <w:uiPriority w:val="34"/>
    <w:qFormat/>
    <w:rsid w:val="0083224C"/>
    <w:pPr>
      <w:ind w:left="720"/>
      <w:contextualSpacing/>
    </w:pPr>
  </w:style>
  <w:style w:type="character" w:styleId="UnresolvedMention">
    <w:name w:val="Unresolved Mention"/>
    <w:basedOn w:val="DefaultParagraphFont"/>
    <w:uiPriority w:val="99"/>
    <w:semiHidden/>
    <w:unhideWhenUsed/>
    <w:rsid w:val="00E85390"/>
    <w:rPr>
      <w:color w:val="605E5C"/>
      <w:shd w:val="clear" w:color="auto" w:fill="E1DFDD"/>
    </w:rPr>
  </w:style>
  <w:style w:type="paragraph" w:styleId="Header">
    <w:name w:val="header"/>
    <w:basedOn w:val="Normal"/>
    <w:link w:val="HeaderChar"/>
    <w:uiPriority w:val="99"/>
    <w:unhideWhenUsed/>
    <w:rsid w:val="0064443A"/>
    <w:pPr>
      <w:tabs>
        <w:tab w:val="center" w:pos="4680"/>
        <w:tab w:val="right" w:pos="9360"/>
      </w:tabs>
    </w:pPr>
  </w:style>
  <w:style w:type="character" w:customStyle="1" w:styleId="HeaderChar">
    <w:name w:val="Header Char"/>
    <w:basedOn w:val="DefaultParagraphFont"/>
    <w:link w:val="Header"/>
    <w:uiPriority w:val="99"/>
    <w:rsid w:val="0064443A"/>
    <w:rPr>
      <w:sz w:val="24"/>
      <w:szCs w:val="24"/>
      <w:lang w:val="en-US" w:eastAsia="en-US" w:bidi="ar-SA"/>
    </w:rPr>
  </w:style>
  <w:style w:type="paragraph" w:styleId="Footer">
    <w:name w:val="footer"/>
    <w:basedOn w:val="Normal"/>
    <w:link w:val="FooterChar"/>
    <w:uiPriority w:val="99"/>
    <w:unhideWhenUsed/>
    <w:rsid w:val="0064443A"/>
    <w:pPr>
      <w:tabs>
        <w:tab w:val="center" w:pos="4680"/>
        <w:tab w:val="right" w:pos="9360"/>
      </w:tabs>
    </w:pPr>
  </w:style>
  <w:style w:type="character" w:customStyle="1" w:styleId="FooterChar">
    <w:name w:val="Footer Char"/>
    <w:basedOn w:val="DefaultParagraphFont"/>
    <w:link w:val="Footer"/>
    <w:uiPriority w:val="99"/>
    <w:rsid w:val="0064443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2271/27069567.2023.v5.i3a.500" TargetMode="External"/><Relationship Id="rId13" Type="http://schemas.openxmlformats.org/officeDocument/2006/relationships/hyperlink" Target="https://doi.org/10.1038/s41598-020-72205-1" TargetMode="External"/><Relationship Id="rId18" Type="http://schemas.openxmlformats.org/officeDocument/2006/relationships/hyperlink" Target="https://doi.org/10.1111/j.1469-0691.2004.01022.x"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doi.org/10.1038/s41426-018-0177-z" TargetMode="External"/><Relationship Id="rId17" Type="http://schemas.openxmlformats.org/officeDocument/2006/relationships/hyperlink" Target="https://doi.org/10.1201/b16752-1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antib11040072" TargetMode="External"/><Relationship Id="rId20" Type="http://schemas.openxmlformats.org/officeDocument/2006/relationships/hyperlink" Target="https://doi.org/10.1038/s41598-025-2322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cimb.2018.0014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v1607103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01/2024.04.26.24306123" TargetMode="External"/><Relationship Id="rId19" Type="http://schemas.openxmlformats.org/officeDocument/2006/relationships/hyperlink" Target="https://doi.org/10.4103/ijmr.IJMR_532_21" TargetMode="External"/><Relationship Id="rId4" Type="http://schemas.openxmlformats.org/officeDocument/2006/relationships/webSettings" Target="webSettings.xml"/><Relationship Id="rId9" Type="http://schemas.openxmlformats.org/officeDocument/2006/relationships/hyperlink" Target="https://doi.org/10.1186/s40249-015-0066-9" TargetMode="External"/><Relationship Id="rId14" Type="http://schemas.openxmlformats.org/officeDocument/2006/relationships/hyperlink" Target="https://doi.org/10.7759/cureus.2019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6024</Words>
  <Characters>34343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Sushant Sawant</dc:creator>
  <cp:lastModifiedBy>Sushant Sawant</cp:lastModifiedBy>
  <cp:revision>2</cp:revision>
  <dcterms:created xsi:type="dcterms:W3CDTF">2025-12-24T21:02:00Z</dcterms:created>
  <dcterms:modified xsi:type="dcterms:W3CDTF">2025-12-24T21:02:00Z</dcterms:modified>
</cp:coreProperties>
</file>