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8B2CE" w14:textId="7EBF28FE" w:rsidR="0050272F" w:rsidRPr="00822DBC" w:rsidRDefault="0050272F" w:rsidP="000E0FE4">
      <w:pPr>
        <w:shd w:val="clear" w:color="auto" w:fill="FFFFFF"/>
        <w:spacing w:before="100" w:beforeAutospacing="1" w:after="100" w:afterAutospacing="1"/>
        <w:jc w:val="center"/>
        <w:outlineLvl w:val="0"/>
        <w:rPr>
          <w:rFonts w:ascii="Arial" w:eastAsia="Times New Roman" w:hAnsi="Arial" w:cs="Arial"/>
          <w:b/>
          <w:bCs/>
          <w:color w:val="222222"/>
          <w:kern w:val="36"/>
          <w:sz w:val="36"/>
          <w:szCs w:val="36"/>
        </w:rPr>
      </w:pPr>
      <w:bookmarkStart w:id="0" w:name="_Hlk216355359"/>
      <w:bookmarkStart w:id="1" w:name="_GoBack"/>
      <w:bookmarkEnd w:id="1"/>
      <w:r w:rsidRPr="00822DBC">
        <w:rPr>
          <w:rFonts w:ascii="Arial" w:eastAsia="Times New Roman" w:hAnsi="Arial" w:cs="Arial"/>
          <w:b/>
          <w:bCs/>
          <w:color w:val="222222"/>
          <w:kern w:val="36"/>
          <w:sz w:val="36"/>
          <w:szCs w:val="36"/>
        </w:rPr>
        <w:t>Herpes simplex virus t</w:t>
      </w:r>
      <w:r w:rsidR="00C461F5" w:rsidRPr="00822DBC">
        <w:rPr>
          <w:rFonts w:ascii="Arial" w:eastAsia="Times New Roman" w:hAnsi="Arial" w:cs="Arial"/>
          <w:b/>
          <w:bCs/>
          <w:color w:val="222222"/>
          <w:kern w:val="36"/>
          <w:sz w:val="36"/>
          <w:szCs w:val="36"/>
        </w:rPr>
        <w:t>ype 1 (HSV-1) in burn patients</w:t>
      </w:r>
    </w:p>
    <w:p w14:paraId="7EB04DC4" w14:textId="77777777" w:rsidR="0050272F" w:rsidRPr="00822DBC" w:rsidRDefault="0050272F" w:rsidP="000E0FE4">
      <w:pPr>
        <w:shd w:val="clear" w:color="auto" w:fill="FFFFFF"/>
        <w:spacing w:before="100" w:beforeAutospacing="1" w:after="100" w:afterAutospacing="1"/>
        <w:jc w:val="center"/>
        <w:rPr>
          <w:rFonts w:ascii="Arial" w:hAnsi="Arial" w:cs="Arial"/>
          <w:color w:val="222222"/>
          <w:sz w:val="36"/>
          <w:szCs w:val="36"/>
        </w:rPr>
      </w:pPr>
      <w:r w:rsidRPr="00822DBC">
        <w:rPr>
          <w:rFonts w:ascii="Arial" w:hAnsi="Arial" w:cs="Arial"/>
          <w:b/>
          <w:bCs/>
          <w:color w:val="222222"/>
          <w:sz w:val="36"/>
          <w:szCs w:val="36"/>
        </w:rPr>
        <w:t>Prevention versus treatment: finding the right balance</w:t>
      </w:r>
    </w:p>
    <w:bookmarkEnd w:id="0"/>
    <w:p w14:paraId="59D066CD" w14:textId="43505FBC" w:rsidR="000E0FE4" w:rsidRDefault="000E0FE4" w:rsidP="0050272F">
      <w:pPr>
        <w:shd w:val="clear" w:color="auto" w:fill="FFFFFF"/>
        <w:spacing w:before="100" w:beforeAutospacing="1" w:after="100" w:afterAutospacing="1"/>
        <w:rPr>
          <w:rFonts w:ascii="Arial" w:hAnsi="Arial" w:cs="Arial"/>
          <w:b/>
          <w:bCs/>
          <w:color w:val="222222"/>
        </w:rPr>
      </w:pPr>
    </w:p>
    <w:p w14:paraId="7D758DDA" w14:textId="77777777" w:rsidR="00E96E5B" w:rsidRPr="0050272F" w:rsidRDefault="00E96E5B" w:rsidP="0050272F">
      <w:pPr>
        <w:shd w:val="clear" w:color="auto" w:fill="FFFFFF"/>
        <w:spacing w:before="100" w:beforeAutospacing="1" w:after="100" w:afterAutospacing="1"/>
        <w:rPr>
          <w:rFonts w:ascii="Arial" w:hAnsi="Arial" w:cs="Arial"/>
          <w:color w:val="222222"/>
        </w:rPr>
      </w:pPr>
    </w:p>
    <w:p w14:paraId="7524C846" w14:textId="7630DA53" w:rsidR="0050272F" w:rsidRPr="0050272F" w:rsidRDefault="0050272F" w:rsidP="0050272F">
      <w:pPr>
        <w:shd w:val="clear" w:color="auto" w:fill="FFFFFF"/>
        <w:spacing w:before="100" w:beforeAutospacing="1" w:after="100" w:afterAutospacing="1"/>
        <w:outlineLvl w:val="1"/>
        <w:rPr>
          <w:rFonts w:ascii="Arial" w:eastAsia="Times New Roman" w:hAnsi="Arial" w:cs="Arial"/>
          <w:b/>
          <w:bCs/>
          <w:color w:val="222222"/>
          <w:sz w:val="36"/>
          <w:szCs w:val="36"/>
        </w:rPr>
      </w:pPr>
      <w:r w:rsidRPr="0050272F">
        <w:rPr>
          <w:rFonts w:ascii="Arial" w:eastAsia="Times New Roman" w:hAnsi="Arial" w:cs="Arial"/>
          <w:b/>
          <w:bCs/>
          <w:color w:val="222222"/>
          <w:sz w:val="36"/>
          <w:szCs w:val="36"/>
        </w:rPr>
        <w:t xml:space="preserve">Abstract </w:t>
      </w:r>
    </w:p>
    <w:p w14:paraId="0629F34A" w14:textId="77777777" w:rsidR="0051755E" w:rsidRDefault="0050272F" w:rsidP="00C461F5">
      <w:pPr>
        <w:shd w:val="clear" w:color="auto" w:fill="FFFFFF"/>
        <w:spacing w:before="100" w:beforeAutospacing="1" w:after="100" w:afterAutospacing="1"/>
        <w:jc w:val="both"/>
        <w:rPr>
          <w:rFonts w:ascii="Arial" w:hAnsi="Arial" w:cs="Arial"/>
          <w:color w:val="222222"/>
        </w:rPr>
      </w:pPr>
      <w:r w:rsidRPr="0050272F">
        <w:rPr>
          <w:rFonts w:ascii="Arial" w:hAnsi="Arial" w:cs="Arial"/>
          <w:color w:val="222222"/>
        </w:rPr>
        <w:t xml:space="preserve">Herpes simplex virus type 1 (HSV-1) is an under-recognized but clinically important pathogen in the burn population. Burn injury causes a unique and sustained alteration of innate and adaptive immunity and destroys the dermal barrier that normally contains mucocutaneous herpesvirus reservoirs; these factors predispose to HSV-1 reactivation and primary or secondary infection of burns and graft sites. HSV-1 in burn patients may present as delayed wound healing, necrotic graft loss, fever of unclear source, or atypical vesiculoulcerative lesions and can be mistaken for bacterial infection or ischemic tissue necrosis. Management options fall broadly into prevention (infection control, screening, and antiviral prophylaxis) and treatment (topical and systemic antivirals, surgical management, and management of antiviral resistance). </w:t>
      </w:r>
    </w:p>
    <w:p w14:paraId="6499BC98" w14:textId="12672272" w:rsidR="0051755E" w:rsidRDefault="0050272F" w:rsidP="00C461F5">
      <w:pPr>
        <w:shd w:val="clear" w:color="auto" w:fill="FFFFFF"/>
        <w:spacing w:before="100" w:beforeAutospacing="1" w:after="100" w:afterAutospacing="1"/>
        <w:jc w:val="both"/>
        <w:rPr>
          <w:rFonts w:ascii="Arial" w:hAnsi="Arial" w:cs="Arial"/>
          <w:color w:val="222222"/>
        </w:rPr>
      </w:pPr>
      <w:r w:rsidRPr="0050272F">
        <w:rPr>
          <w:rFonts w:ascii="Arial" w:hAnsi="Arial" w:cs="Arial"/>
          <w:color w:val="222222"/>
        </w:rPr>
        <w:t>The evidence base is limited and heterogeneous: case reports and small series document clinically significant wound HSV-1 infection causing graft failure and worsened scarring [1–7], systematic reviews summarize the inconsistency of outcome data [1,2], and randomized trials in related critically ill populations have questioned the benefit of routine preemptive systemic antiviral strategies [8–10]. Prophylactic acyclovir is widely used in facial resurfacing and is</w:t>
      </w:r>
      <w:r w:rsidR="00961888">
        <w:rPr>
          <w:rFonts w:ascii="Arial" w:hAnsi="Arial" w:cs="Arial"/>
          <w:color w:val="222222"/>
        </w:rPr>
        <w:t xml:space="preserve"> practiced in some burn centers </w:t>
      </w:r>
      <w:r w:rsidRPr="0050272F">
        <w:rPr>
          <w:rFonts w:ascii="Arial" w:hAnsi="Arial" w:cs="Arial"/>
          <w:color w:val="222222"/>
        </w:rPr>
        <w:t>particularly for facial burns and in patients with large TBSA burns or prolonge</w:t>
      </w:r>
      <w:r w:rsidR="00961888">
        <w:rPr>
          <w:rFonts w:ascii="Arial" w:hAnsi="Arial" w:cs="Arial"/>
          <w:color w:val="222222"/>
        </w:rPr>
        <w:t xml:space="preserve">d intubation </w:t>
      </w:r>
      <w:r w:rsidRPr="0050272F">
        <w:rPr>
          <w:rFonts w:ascii="Arial" w:hAnsi="Arial" w:cs="Arial"/>
          <w:color w:val="222222"/>
        </w:rPr>
        <w:t xml:space="preserve">but no multicenter randomized trial has established a universal recommendation specifically for burn patients [4,11,15]. Conversely, early targeted treatment of confirmed HSV-1 infection with systemic acyclovir or, in resistant cases, foscarnet, is associated with rapid clinical improvement and salvage of grafts in published series [5–7,12,14]. </w:t>
      </w:r>
    </w:p>
    <w:p w14:paraId="19A12A9C" w14:textId="77777777" w:rsidR="0051755E" w:rsidRDefault="0050272F" w:rsidP="00C461F5">
      <w:pPr>
        <w:shd w:val="clear" w:color="auto" w:fill="FFFFFF"/>
        <w:spacing w:before="100" w:beforeAutospacing="1" w:after="100" w:afterAutospacing="1"/>
        <w:jc w:val="both"/>
        <w:rPr>
          <w:rFonts w:ascii="Arial" w:hAnsi="Arial" w:cs="Arial"/>
          <w:color w:val="222222"/>
        </w:rPr>
      </w:pPr>
      <w:r w:rsidRPr="0050272F">
        <w:rPr>
          <w:rFonts w:ascii="Arial" w:hAnsi="Arial" w:cs="Arial"/>
          <w:color w:val="222222"/>
        </w:rPr>
        <w:t xml:space="preserve">Practical decision-making therefore requires balancing the (low) risk and cost of prophylaxis and the rare but serious consequences of HSV wound disease, while accounting for local HSV prevalence, patient risk factors (facial burns, immunosuppression, prolonged mechanical ventilation, steroid use), diagnostic capacity (PCR, immunohistochemistry), and stewardship concerns (resistance, nephrotoxicity). </w:t>
      </w:r>
    </w:p>
    <w:p w14:paraId="1F242AE1" w14:textId="56EC692E" w:rsidR="0050272F" w:rsidRDefault="0050272F" w:rsidP="00C461F5">
      <w:pPr>
        <w:shd w:val="clear" w:color="auto" w:fill="FFFFFF"/>
        <w:spacing w:before="100" w:beforeAutospacing="1" w:after="100" w:afterAutospacing="1"/>
        <w:jc w:val="both"/>
        <w:rPr>
          <w:rFonts w:ascii="Arial" w:hAnsi="Arial" w:cs="Arial"/>
          <w:color w:val="222222"/>
        </w:rPr>
      </w:pPr>
      <w:r w:rsidRPr="0050272F">
        <w:rPr>
          <w:rFonts w:ascii="Arial" w:hAnsi="Arial" w:cs="Arial"/>
          <w:color w:val="222222"/>
        </w:rPr>
        <w:t>In this article we synthesize contemporary evidence, review diagnostic and therapeutic options, discuss prevention strategies, and propose a pragmatic, risk-stratified algorithm for clinicians in burn units to achieve the optimal prevention–treatment balance for HSV-1 in burn patients.</w:t>
      </w:r>
    </w:p>
    <w:p w14:paraId="41D78B9E" w14:textId="77777777" w:rsidR="004034E0" w:rsidRDefault="004034E0" w:rsidP="00C461F5">
      <w:pPr>
        <w:shd w:val="clear" w:color="auto" w:fill="FFFFFF"/>
        <w:spacing w:before="100" w:beforeAutospacing="1" w:after="100" w:afterAutospacing="1"/>
        <w:jc w:val="both"/>
        <w:rPr>
          <w:rFonts w:ascii="Arial" w:hAnsi="Arial" w:cs="Arial"/>
          <w:color w:val="222222"/>
        </w:rPr>
      </w:pPr>
    </w:p>
    <w:p w14:paraId="4696BE20" w14:textId="77777777" w:rsidR="004034E0" w:rsidRPr="00C461F5" w:rsidRDefault="004034E0" w:rsidP="004034E0">
      <w:pPr>
        <w:shd w:val="clear" w:color="auto" w:fill="FFFFFF"/>
        <w:spacing w:before="100" w:beforeAutospacing="1" w:after="100" w:afterAutospacing="1"/>
        <w:rPr>
          <w:rFonts w:ascii="Arial" w:hAnsi="Arial" w:cs="Arial"/>
          <w:color w:val="222222"/>
        </w:rPr>
      </w:pPr>
      <w:r w:rsidRPr="0050272F">
        <w:rPr>
          <w:rFonts w:ascii="Arial" w:hAnsi="Arial" w:cs="Arial"/>
          <w:b/>
          <w:bCs/>
          <w:color w:val="222222"/>
        </w:rPr>
        <w:lastRenderedPageBreak/>
        <w:t>Keywords:</w:t>
      </w:r>
      <w:r w:rsidRPr="0050272F">
        <w:rPr>
          <w:rFonts w:ascii="Arial" w:hAnsi="Arial" w:cs="Arial"/>
          <w:color w:val="222222"/>
        </w:rPr>
        <w:t> </w:t>
      </w:r>
      <w:r w:rsidRPr="001506B5">
        <w:rPr>
          <w:rFonts w:ascii="Arial" w:hAnsi="Arial" w:cs="Arial"/>
          <w:i/>
          <w:color w:val="222222"/>
        </w:rPr>
        <w:t>Herpes simplex virus type 1; HSV-1; burns; burn wound infection; acyclovir; prophylaxis; antiviral resistance; burn unit infection control</w:t>
      </w:r>
      <w:r w:rsidRPr="0050272F">
        <w:rPr>
          <w:rFonts w:ascii="Arial" w:hAnsi="Arial" w:cs="Arial"/>
          <w:color w:val="222222"/>
        </w:rPr>
        <w:t>.</w:t>
      </w:r>
    </w:p>
    <w:p w14:paraId="6AFB5272" w14:textId="77777777" w:rsidR="004034E0" w:rsidRDefault="004034E0" w:rsidP="00C461F5">
      <w:pPr>
        <w:shd w:val="clear" w:color="auto" w:fill="FFFFFF"/>
        <w:spacing w:before="100" w:beforeAutospacing="1" w:after="100" w:afterAutospacing="1"/>
        <w:jc w:val="both"/>
        <w:rPr>
          <w:rFonts w:ascii="Arial" w:hAnsi="Arial" w:cs="Arial"/>
          <w:color w:val="222222"/>
        </w:rPr>
      </w:pPr>
    </w:p>
    <w:p w14:paraId="20F2DFDA" w14:textId="77777777" w:rsidR="0050272F" w:rsidRPr="0050272F" w:rsidRDefault="0050272F" w:rsidP="0050272F">
      <w:pPr>
        <w:shd w:val="clear" w:color="auto" w:fill="FFFFFF"/>
        <w:spacing w:before="100" w:beforeAutospacing="1" w:after="100" w:afterAutospacing="1"/>
        <w:rPr>
          <w:rFonts w:ascii="Arial" w:hAnsi="Arial" w:cs="Arial"/>
          <w:color w:val="222222"/>
        </w:rPr>
      </w:pPr>
    </w:p>
    <w:p w14:paraId="2C8F5CB4" w14:textId="77777777" w:rsidR="000E0FE4" w:rsidRDefault="000E0FE4" w:rsidP="00C461F5">
      <w:pPr>
        <w:shd w:val="clear" w:color="auto" w:fill="FFFFFF"/>
        <w:jc w:val="both"/>
        <w:outlineLvl w:val="1"/>
        <w:rPr>
          <w:rFonts w:ascii="Arial" w:eastAsia="Times New Roman" w:hAnsi="Arial" w:cs="Arial"/>
          <w:b/>
          <w:bCs/>
          <w:color w:val="222222"/>
          <w:sz w:val="36"/>
          <w:szCs w:val="36"/>
        </w:rPr>
      </w:pPr>
    </w:p>
    <w:p w14:paraId="12E4424E" w14:textId="77777777" w:rsidR="000E0FE4" w:rsidRDefault="000E0FE4" w:rsidP="00C461F5">
      <w:pPr>
        <w:shd w:val="clear" w:color="auto" w:fill="FFFFFF"/>
        <w:jc w:val="both"/>
        <w:outlineLvl w:val="1"/>
        <w:rPr>
          <w:rFonts w:ascii="Arial" w:eastAsia="Times New Roman" w:hAnsi="Arial" w:cs="Arial"/>
          <w:b/>
          <w:bCs/>
          <w:color w:val="222222"/>
          <w:sz w:val="36"/>
          <w:szCs w:val="36"/>
        </w:rPr>
      </w:pPr>
    </w:p>
    <w:p w14:paraId="34C1C90F" w14:textId="77777777" w:rsidR="00C50032" w:rsidRDefault="00C50032" w:rsidP="00C461F5">
      <w:pPr>
        <w:shd w:val="clear" w:color="auto" w:fill="FFFFFF"/>
        <w:jc w:val="both"/>
        <w:outlineLvl w:val="1"/>
        <w:rPr>
          <w:rFonts w:ascii="Arial" w:eastAsia="Times New Roman" w:hAnsi="Arial" w:cs="Arial"/>
          <w:b/>
          <w:bCs/>
          <w:color w:val="222222"/>
          <w:sz w:val="36"/>
          <w:szCs w:val="36"/>
        </w:rPr>
        <w:sectPr w:rsidR="00C50032" w:rsidSect="000E0FE4">
          <w:headerReference w:type="even" r:id="rId7"/>
          <w:headerReference w:type="default" r:id="rId8"/>
          <w:footerReference w:type="even" r:id="rId9"/>
          <w:footerReference w:type="default" r:id="rId10"/>
          <w:headerReference w:type="first" r:id="rId11"/>
          <w:footerReference w:type="first" r:id="rId12"/>
          <w:pgSz w:w="11900" w:h="16840"/>
          <w:pgMar w:top="567" w:right="1417" w:bottom="1417" w:left="1417" w:header="708" w:footer="708" w:gutter="0"/>
          <w:cols w:space="708"/>
          <w:docGrid w:linePitch="360"/>
        </w:sectPr>
      </w:pPr>
    </w:p>
    <w:p w14:paraId="2A2B22C9" w14:textId="132CB253" w:rsidR="0050272F" w:rsidRDefault="0050272F" w:rsidP="00C461F5">
      <w:pPr>
        <w:shd w:val="clear" w:color="auto" w:fill="FFFFFF"/>
        <w:jc w:val="both"/>
        <w:outlineLvl w:val="1"/>
        <w:rPr>
          <w:rFonts w:ascii="Arial" w:eastAsia="Times New Roman" w:hAnsi="Arial" w:cs="Arial"/>
          <w:b/>
          <w:bCs/>
          <w:color w:val="222222"/>
          <w:sz w:val="36"/>
          <w:szCs w:val="36"/>
        </w:rPr>
      </w:pPr>
      <w:r w:rsidRPr="0050272F">
        <w:rPr>
          <w:rFonts w:ascii="Arial" w:eastAsia="Times New Roman" w:hAnsi="Arial" w:cs="Arial"/>
          <w:b/>
          <w:bCs/>
          <w:color w:val="222222"/>
          <w:sz w:val="36"/>
          <w:szCs w:val="36"/>
        </w:rPr>
        <w:t>Introduction</w:t>
      </w:r>
    </w:p>
    <w:p w14:paraId="5AA99984" w14:textId="77777777" w:rsidR="00C461F5" w:rsidRDefault="00C461F5" w:rsidP="00C461F5">
      <w:pPr>
        <w:shd w:val="clear" w:color="auto" w:fill="FFFFFF"/>
        <w:jc w:val="both"/>
        <w:outlineLvl w:val="1"/>
        <w:rPr>
          <w:rFonts w:ascii="Arial" w:eastAsia="Times New Roman" w:hAnsi="Arial" w:cs="Arial"/>
          <w:b/>
          <w:bCs/>
          <w:color w:val="222222"/>
          <w:sz w:val="36"/>
          <w:szCs w:val="36"/>
        </w:rPr>
      </w:pPr>
    </w:p>
    <w:p w14:paraId="53E24A77" w14:textId="3E3DFD03" w:rsidR="0050272F" w:rsidRPr="0050272F" w:rsidRDefault="0050272F" w:rsidP="00C461F5">
      <w:pPr>
        <w:shd w:val="clear" w:color="auto" w:fill="FFFFFF"/>
        <w:jc w:val="both"/>
        <w:outlineLvl w:val="1"/>
        <w:rPr>
          <w:rFonts w:ascii="Arial" w:eastAsia="Times New Roman" w:hAnsi="Arial" w:cs="Arial"/>
          <w:bCs/>
          <w:color w:val="222222"/>
        </w:rPr>
      </w:pPr>
      <w:r w:rsidRPr="0050272F">
        <w:rPr>
          <w:rFonts w:ascii="Arial" w:eastAsia="Times New Roman" w:hAnsi="Arial" w:cs="Arial"/>
          <w:bCs/>
          <w:color w:val="222222"/>
        </w:rPr>
        <w:t>Burn injury has a global health issue  causing an elevated rate of morbidity and mortality</w:t>
      </w:r>
      <w:r>
        <w:rPr>
          <w:rFonts w:ascii="Arial" w:eastAsia="Times New Roman" w:hAnsi="Arial" w:cs="Arial"/>
          <w:bCs/>
          <w:color w:val="222222"/>
        </w:rPr>
        <w:t> ; burn infection is a serious complication responsible for high risk of death,</w:t>
      </w:r>
      <w:r w:rsidR="00961888">
        <w:rPr>
          <w:rFonts w:ascii="Arial" w:eastAsia="Times New Roman" w:hAnsi="Arial" w:cs="Arial"/>
          <w:bCs/>
          <w:color w:val="222222"/>
        </w:rPr>
        <w:t xml:space="preserve"> </w:t>
      </w:r>
      <w:r>
        <w:rPr>
          <w:rFonts w:ascii="Arial" w:eastAsia="Times New Roman" w:hAnsi="Arial" w:cs="Arial"/>
          <w:bCs/>
          <w:color w:val="222222"/>
        </w:rPr>
        <w:t xml:space="preserve">pronlonged hospital stay and serious desabilities in burn survivors </w:t>
      </w:r>
      <w:r w:rsidRPr="0050272F">
        <w:rPr>
          <w:rFonts w:ascii="Arial" w:hAnsi="Arial" w:cs="Arial"/>
          <w:color w:val="222222"/>
        </w:rPr>
        <w:t>[13,16].</w:t>
      </w:r>
    </w:p>
    <w:p w14:paraId="2B4FA214" w14:textId="77777777" w:rsidR="0050272F" w:rsidRDefault="0050272F" w:rsidP="00C461F5">
      <w:pPr>
        <w:shd w:val="clear" w:color="auto" w:fill="FFFFFF"/>
        <w:jc w:val="both"/>
        <w:rPr>
          <w:rFonts w:ascii="Arial" w:hAnsi="Arial" w:cs="Arial"/>
          <w:color w:val="222222"/>
        </w:rPr>
      </w:pPr>
      <w:r>
        <w:rPr>
          <w:rFonts w:ascii="Arial" w:hAnsi="Arial" w:cs="Arial"/>
          <w:color w:val="222222"/>
        </w:rPr>
        <w:t>Infection in b</w:t>
      </w:r>
      <w:r w:rsidRPr="0050272F">
        <w:rPr>
          <w:rFonts w:ascii="Arial" w:hAnsi="Arial" w:cs="Arial"/>
          <w:color w:val="222222"/>
        </w:rPr>
        <w:t>urn injury remains</w:t>
      </w:r>
      <w:r>
        <w:rPr>
          <w:rFonts w:ascii="Arial" w:hAnsi="Arial" w:cs="Arial"/>
          <w:color w:val="222222"/>
        </w:rPr>
        <w:t xml:space="preserve"> dominated by </w:t>
      </w:r>
      <w:r w:rsidRPr="0050272F">
        <w:rPr>
          <w:rFonts w:ascii="Arial" w:hAnsi="Arial" w:cs="Arial"/>
          <w:color w:val="222222"/>
        </w:rPr>
        <w:t>bacterial pathogens</w:t>
      </w:r>
      <w:r>
        <w:rPr>
          <w:rFonts w:ascii="Arial" w:hAnsi="Arial" w:cs="Arial"/>
          <w:color w:val="222222"/>
        </w:rPr>
        <w:t>, while viral pathogens most commonly</w:t>
      </w:r>
      <w:r w:rsidRPr="0050272F">
        <w:rPr>
          <w:rFonts w:ascii="Arial" w:hAnsi="Arial" w:cs="Arial"/>
          <w:color w:val="222222"/>
        </w:rPr>
        <w:t xml:space="preserve"> memb</w:t>
      </w:r>
      <w:r>
        <w:rPr>
          <w:rFonts w:ascii="Arial" w:hAnsi="Arial" w:cs="Arial"/>
          <w:color w:val="222222"/>
        </w:rPr>
        <w:t xml:space="preserve">ers of the Herpesviridae family that </w:t>
      </w:r>
      <w:r w:rsidRPr="0050272F">
        <w:rPr>
          <w:rFonts w:ascii="Arial" w:hAnsi="Arial" w:cs="Arial"/>
          <w:color w:val="222222"/>
        </w:rPr>
        <w:t>are an important and sometimes overlooked cause</w:t>
      </w:r>
      <w:r>
        <w:rPr>
          <w:rFonts w:ascii="Arial" w:hAnsi="Arial" w:cs="Arial"/>
          <w:color w:val="222222"/>
        </w:rPr>
        <w:t>, are responsible for a</w:t>
      </w:r>
      <w:r w:rsidRPr="0050272F">
        <w:rPr>
          <w:rFonts w:ascii="Arial" w:hAnsi="Arial" w:cs="Arial"/>
          <w:color w:val="222222"/>
        </w:rPr>
        <w:t xml:space="preserve"> delayed healing, graft failure, disseminated infection, and increased resource utilization [1,2,3]. </w:t>
      </w:r>
    </w:p>
    <w:p w14:paraId="7445A32F" w14:textId="7C8F5DF3" w:rsidR="003F41FA" w:rsidRDefault="0050272F" w:rsidP="00C461F5">
      <w:pPr>
        <w:shd w:val="clear" w:color="auto" w:fill="FFFFFF"/>
        <w:jc w:val="both"/>
        <w:rPr>
          <w:rFonts w:ascii="Arial" w:hAnsi="Arial" w:cs="Arial"/>
          <w:color w:val="222222"/>
        </w:rPr>
      </w:pPr>
      <w:r>
        <w:rPr>
          <w:rFonts w:ascii="Arial" w:hAnsi="Arial" w:cs="Arial"/>
          <w:color w:val="222222"/>
        </w:rPr>
        <w:t xml:space="preserve">Among these viruses </w:t>
      </w:r>
      <w:r w:rsidRPr="0050272F">
        <w:rPr>
          <w:rFonts w:ascii="Arial" w:hAnsi="Arial" w:cs="Arial"/>
          <w:color w:val="222222"/>
        </w:rPr>
        <w:t>HSV-1</w:t>
      </w:r>
      <w:r>
        <w:rPr>
          <w:rFonts w:ascii="Arial" w:hAnsi="Arial" w:cs="Arial"/>
          <w:color w:val="222222"/>
        </w:rPr>
        <w:t xml:space="preserve"> is an important and dangerous</w:t>
      </w:r>
      <w:r w:rsidR="003F41FA">
        <w:rPr>
          <w:rFonts w:ascii="Arial" w:hAnsi="Arial" w:cs="Arial"/>
          <w:color w:val="222222"/>
        </w:rPr>
        <w:t xml:space="preserve"> opportunistic pathogen ;</w:t>
      </w:r>
      <w:r>
        <w:rPr>
          <w:rFonts w:ascii="Arial" w:hAnsi="Arial" w:cs="Arial"/>
          <w:color w:val="222222"/>
        </w:rPr>
        <w:t xml:space="preserve"> either </w:t>
      </w:r>
      <w:r w:rsidRPr="0050272F">
        <w:rPr>
          <w:rFonts w:ascii="Arial" w:hAnsi="Arial" w:cs="Arial"/>
          <w:color w:val="222222"/>
        </w:rPr>
        <w:t>reactivate</w:t>
      </w:r>
      <w:r>
        <w:rPr>
          <w:rFonts w:ascii="Arial" w:hAnsi="Arial" w:cs="Arial"/>
          <w:color w:val="222222"/>
        </w:rPr>
        <w:t>d</w:t>
      </w:r>
      <w:r w:rsidRPr="0050272F">
        <w:rPr>
          <w:rFonts w:ascii="Arial" w:hAnsi="Arial" w:cs="Arial"/>
          <w:color w:val="222222"/>
        </w:rPr>
        <w:t xml:space="preserve"> from mucocutaneous reservoirs and infect</w:t>
      </w:r>
      <w:r w:rsidR="003F41FA">
        <w:rPr>
          <w:rFonts w:ascii="Arial" w:hAnsi="Arial" w:cs="Arial"/>
          <w:color w:val="222222"/>
        </w:rPr>
        <w:t>ing</w:t>
      </w:r>
      <w:r w:rsidRPr="0050272F">
        <w:rPr>
          <w:rFonts w:ascii="Arial" w:hAnsi="Arial" w:cs="Arial"/>
          <w:color w:val="222222"/>
        </w:rPr>
        <w:t xml:space="preserve"> burn wounds or grafts or as a primary infection (transmission from caregivers, visitors, or patient contacts), </w:t>
      </w:r>
      <w:r>
        <w:rPr>
          <w:rFonts w:ascii="Arial" w:hAnsi="Arial" w:cs="Arial"/>
          <w:color w:val="222222"/>
        </w:rPr>
        <w:t xml:space="preserve">it can be responsible for </w:t>
      </w:r>
      <w:r w:rsidRPr="0050272F">
        <w:rPr>
          <w:rFonts w:ascii="Arial" w:hAnsi="Arial" w:cs="Arial"/>
          <w:color w:val="222222"/>
        </w:rPr>
        <w:t xml:space="preserve"> local tissue destruction and</w:t>
      </w:r>
      <w:r w:rsidR="003F41FA">
        <w:rPr>
          <w:rFonts w:ascii="Arial" w:hAnsi="Arial" w:cs="Arial"/>
          <w:color w:val="222222"/>
        </w:rPr>
        <w:t xml:space="preserve"> serious </w:t>
      </w:r>
      <w:r w:rsidRPr="0050272F">
        <w:rPr>
          <w:rFonts w:ascii="Arial" w:hAnsi="Arial" w:cs="Arial"/>
          <w:color w:val="222222"/>
        </w:rPr>
        <w:t xml:space="preserve"> systemic manifestations [1,</w:t>
      </w:r>
      <w:r w:rsidR="00961888">
        <w:rPr>
          <w:rFonts w:ascii="Arial" w:hAnsi="Arial" w:cs="Arial"/>
          <w:color w:val="222222"/>
        </w:rPr>
        <w:t xml:space="preserve"> </w:t>
      </w:r>
      <w:r w:rsidRPr="0050272F">
        <w:rPr>
          <w:rFonts w:ascii="Arial" w:hAnsi="Arial" w:cs="Arial"/>
          <w:color w:val="222222"/>
        </w:rPr>
        <w:t>4,</w:t>
      </w:r>
      <w:r w:rsidR="00961888">
        <w:rPr>
          <w:rFonts w:ascii="Arial" w:hAnsi="Arial" w:cs="Arial"/>
          <w:color w:val="222222"/>
        </w:rPr>
        <w:t xml:space="preserve"> </w:t>
      </w:r>
      <w:r w:rsidRPr="0050272F">
        <w:rPr>
          <w:rFonts w:ascii="Arial" w:hAnsi="Arial" w:cs="Arial"/>
          <w:color w:val="222222"/>
        </w:rPr>
        <w:t xml:space="preserve">5]. </w:t>
      </w:r>
    </w:p>
    <w:p w14:paraId="2E923EFB" w14:textId="4BF4C5B0" w:rsidR="0050272F" w:rsidRDefault="0050272F" w:rsidP="00C461F5">
      <w:pPr>
        <w:shd w:val="clear" w:color="auto" w:fill="FFFFFF"/>
        <w:jc w:val="both"/>
        <w:rPr>
          <w:rFonts w:ascii="Arial" w:hAnsi="Arial" w:cs="Arial"/>
          <w:color w:val="222222"/>
        </w:rPr>
      </w:pPr>
      <w:r w:rsidRPr="0050272F">
        <w:rPr>
          <w:rFonts w:ascii="Arial" w:hAnsi="Arial" w:cs="Arial"/>
          <w:color w:val="222222"/>
        </w:rPr>
        <w:t>The pathogenic</w:t>
      </w:r>
      <w:r w:rsidR="003F41FA">
        <w:rPr>
          <w:rFonts w:ascii="Arial" w:hAnsi="Arial" w:cs="Arial"/>
          <w:color w:val="222222"/>
        </w:rPr>
        <w:t xml:space="preserve"> pr</w:t>
      </w:r>
      <w:r w:rsidR="00961888">
        <w:rPr>
          <w:rFonts w:ascii="Arial" w:hAnsi="Arial" w:cs="Arial"/>
          <w:color w:val="222222"/>
        </w:rPr>
        <w:t>esentation can be very variable</w:t>
      </w:r>
      <w:r w:rsidR="003F41FA">
        <w:rPr>
          <w:rFonts w:ascii="Arial" w:hAnsi="Arial" w:cs="Arial"/>
          <w:color w:val="222222"/>
        </w:rPr>
        <w:t>, from little localized lesions that can resemble cellulitis, to extensive graft necrosis, or respiratory infection in ventilated patients</w:t>
      </w:r>
      <w:r w:rsidR="00961888">
        <w:rPr>
          <w:rFonts w:ascii="Arial" w:hAnsi="Arial" w:cs="Arial"/>
          <w:color w:val="222222"/>
        </w:rPr>
        <w:t xml:space="preserve"> </w:t>
      </w:r>
      <w:r w:rsidR="00961888" w:rsidRPr="0050272F">
        <w:rPr>
          <w:rFonts w:ascii="Arial" w:hAnsi="Arial" w:cs="Arial"/>
          <w:color w:val="222222"/>
        </w:rPr>
        <w:t>[</w:t>
      </w:r>
      <w:r w:rsidR="00961888">
        <w:rPr>
          <w:rFonts w:ascii="Arial" w:hAnsi="Arial" w:cs="Arial"/>
          <w:color w:val="222222"/>
        </w:rPr>
        <w:t>27</w:t>
      </w:r>
      <w:proofErr w:type="gramStart"/>
      <w:r w:rsidR="00961888" w:rsidRPr="0050272F">
        <w:rPr>
          <w:rFonts w:ascii="Arial" w:hAnsi="Arial" w:cs="Arial"/>
          <w:color w:val="222222"/>
        </w:rPr>
        <w:t>]</w:t>
      </w:r>
      <w:r w:rsidR="00961888">
        <w:rPr>
          <w:rFonts w:ascii="Arial" w:hAnsi="Arial" w:cs="Arial"/>
          <w:color w:val="222222"/>
        </w:rPr>
        <w:t xml:space="preserve"> </w:t>
      </w:r>
      <w:r w:rsidR="003F41FA">
        <w:rPr>
          <w:rFonts w:ascii="Arial" w:hAnsi="Arial" w:cs="Arial"/>
          <w:color w:val="222222"/>
        </w:rPr>
        <w:t>,</w:t>
      </w:r>
      <w:proofErr w:type="gramEnd"/>
      <w:r w:rsidR="003F41FA">
        <w:rPr>
          <w:rFonts w:ascii="Arial" w:hAnsi="Arial" w:cs="Arial"/>
          <w:color w:val="222222"/>
        </w:rPr>
        <w:t xml:space="preserve"> to the more serious dessiminated infection.</w:t>
      </w:r>
    </w:p>
    <w:p w14:paraId="3B86F53B" w14:textId="77777777" w:rsidR="003F41FA" w:rsidRPr="0050272F" w:rsidRDefault="003F41FA" w:rsidP="00C461F5">
      <w:pPr>
        <w:shd w:val="clear" w:color="auto" w:fill="FFFFFF"/>
        <w:jc w:val="both"/>
        <w:rPr>
          <w:rFonts w:ascii="Arial" w:hAnsi="Arial" w:cs="Arial"/>
          <w:color w:val="222222"/>
        </w:rPr>
      </w:pPr>
      <w:r>
        <w:rPr>
          <w:rFonts w:ascii="Arial" w:hAnsi="Arial" w:cs="Arial"/>
          <w:color w:val="222222"/>
        </w:rPr>
        <w:t>In the setting of infections the most important question regarding clnical decision making in burn centers remains : Should</w:t>
      </w:r>
      <w:r w:rsidR="000E7293">
        <w:rPr>
          <w:rFonts w:ascii="Arial" w:hAnsi="Arial" w:cs="Arial"/>
          <w:color w:val="222222"/>
        </w:rPr>
        <w:t xml:space="preserve"> we</w:t>
      </w:r>
      <w:r>
        <w:rPr>
          <w:rFonts w:ascii="Arial" w:hAnsi="Arial" w:cs="Arial"/>
          <w:color w:val="222222"/>
        </w:rPr>
        <w:t xml:space="preserve"> prioritize </w:t>
      </w:r>
      <w:proofErr w:type="gramStart"/>
      <w:r w:rsidR="000E7293">
        <w:rPr>
          <w:rFonts w:ascii="Arial" w:hAnsi="Arial" w:cs="Arial"/>
          <w:color w:val="222222"/>
        </w:rPr>
        <w:t>prevention ,</w:t>
      </w:r>
      <w:proofErr w:type="gramEnd"/>
      <w:r w:rsidR="000E7293">
        <w:rPr>
          <w:rFonts w:ascii="Arial" w:hAnsi="Arial" w:cs="Arial"/>
          <w:color w:val="222222"/>
        </w:rPr>
        <w:t xml:space="preserve"> or should we favor a targeted treatement based on diagnostic confirmation?</w:t>
      </w:r>
      <w:r>
        <w:rPr>
          <w:rFonts w:ascii="Arial" w:hAnsi="Arial" w:cs="Arial"/>
          <w:color w:val="222222"/>
        </w:rPr>
        <w:t xml:space="preserve"> </w:t>
      </w:r>
    </w:p>
    <w:p w14:paraId="437AAE4D" w14:textId="77777777" w:rsidR="0050272F" w:rsidRPr="0050272F" w:rsidRDefault="000E7293" w:rsidP="00C461F5">
      <w:pPr>
        <w:shd w:val="clear" w:color="auto" w:fill="FFFFFF"/>
        <w:jc w:val="both"/>
        <w:rPr>
          <w:rFonts w:ascii="Arial" w:hAnsi="Arial" w:cs="Arial"/>
          <w:color w:val="222222"/>
        </w:rPr>
      </w:pPr>
      <w:r>
        <w:rPr>
          <w:rFonts w:ascii="Arial" w:hAnsi="Arial" w:cs="Arial"/>
          <w:color w:val="222222"/>
        </w:rPr>
        <w:t xml:space="preserve">Prophylaxis may </w:t>
      </w:r>
      <w:r w:rsidR="0050272F" w:rsidRPr="0050272F">
        <w:rPr>
          <w:rFonts w:ascii="Arial" w:hAnsi="Arial" w:cs="Arial"/>
          <w:color w:val="222222"/>
        </w:rPr>
        <w:t>reduce the incidence of clinically significant HSV</w:t>
      </w:r>
      <w:r>
        <w:rPr>
          <w:rFonts w:ascii="Arial" w:hAnsi="Arial" w:cs="Arial"/>
          <w:color w:val="222222"/>
        </w:rPr>
        <w:t xml:space="preserve"> complications  but at a risk of overtreatement with all the</w:t>
      </w:r>
      <w:r w:rsidR="0050272F" w:rsidRPr="0050272F">
        <w:rPr>
          <w:rFonts w:ascii="Arial" w:hAnsi="Arial" w:cs="Arial"/>
          <w:color w:val="222222"/>
        </w:rPr>
        <w:t xml:space="preserve"> cost, drug</w:t>
      </w:r>
      <w:r>
        <w:rPr>
          <w:rFonts w:ascii="Arial" w:hAnsi="Arial" w:cs="Arial"/>
          <w:color w:val="222222"/>
        </w:rPr>
        <w:t xml:space="preserve"> toxicities</w:t>
      </w:r>
      <w:r w:rsidR="0050272F" w:rsidRPr="0050272F">
        <w:rPr>
          <w:rFonts w:ascii="Arial" w:hAnsi="Arial" w:cs="Arial"/>
          <w:color w:val="222222"/>
        </w:rPr>
        <w:t>, and antiviral resistance</w:t>
      </w:r>
      <w:r>
        <w:rPr>
          <w:rFonts w:ascii="Arial" w:hAnsi="Arial" w:cs="Arial"/>
          <w:color w:val="222222"/>
        </w:rPr>
        <w:t xml:space="preserve"> that it carries</w:t>
      </w:r>
      <w:r w:rsidR="0050272F" w:rsidRPr="0050272F">
        <w:rPr>
          <w:rFonts w:ascii="Arial" w:hAnsi="Arial" w:cs="Arial"/>
          <w:color w:val="222222"/>
        </w:rPr>
        <w:t>; an</w:t>
      </w:r>
      <w:r>
        <w:rPr>
          <w:rFonts w:ascii="Arial" w:hAnsi="Arial" w:cs="Arial"/>
          <w:color w:val="222222"/>
        </w:rPr>
        <w:t xml:space="preserve">d targeted approach can come at a cost of </w:t>
      </w:r>
      <w:r w:rsidR="0050272F" w:rsidRPr="0050272F">
        <w:rPr>
          <w:rFonts w:ascii="Arial" w:hAnsi="Arial" w:cs="Arial"/>
          <w:color w:val="222222"/>
        </w:rPr>
        <w:t xml:space="preserve">delayed diagnosis with graft loss </w:t>
      </w:r>
      <w:r>
        <w:rPr>
          <w:rFonts w:ascii="Arial" w:hAnsi="Arial" w:cs="Arial"/>
          <w:color w:val="222222"/>
        </w:rPr>
        <w:t>and complications. Throught this review we aim to</w:t>
      </w:r>
      <w:r w:rsidR="0050272F" w:rsidRPr="0050272F">
        <w:rPr>
          <w:rFonts w:ascii="Arial" w:hAnsi="Arial" w:cs="Arial"/>
          <w:color w:val="222222"/>
        </w:rPr>
        <w:t xml:space="preserve"> synthesizes the available literature, including systematic reviews, observational cohorts, case series, randomized trials in related populations, and co</w:t>
      </w:r>
      <w:r w:rsidR="00691B89">
        <w:rPr>
          <w:rFonts w:ascii="Arial" w:hAnsi="Arial" w:cs="Arial"/>
          <w:color w:val="222222"/>
        </w:rPr>
        <w:t xml:space="preserve">ntemporary guidance, to elaborate </w:t>
      </w:r>
      <w:r w:rsidR="0050272F" w:rsidRPr="0050272F">
        <w:rPr>
          <w:rFonts w:ascii="Arial" w:hAnsi="Arial" w:cs="Arial"/>
          <w:color w:val="222222"/>
        </w:rPr>
        <w:t>a prac</w:t>
      </w:r>
      <w:r w:rsidR="00691B89">
        <w:rPr>
          <w:rFonts w:ascii="Arial" w:hAnsi="Arial" w:cs="Arial"/>
          <w:color w:val="222222"/>
        </w:rPr>
        <w:t>tical framework for</w:t>
      </w:r>
      <w:r w:rsidR="0050272F" w:rsidRPr="0050272F">
        <w:rPr>
          <w:rFonts w:ascii="Arial" w:hAnsi="Arial" w:cs="Arial"/>
          <w:color w:val="222222"/>
        </w:rPr>
        <w:t xml:space="preserve"> balancing prevention and treatment of HSV-1 in burn patients.</w:t>
      </w:r>
    </w:p>
    <w:p w14:paraId="547D9FF4" w14:textId="139AD467" w:rsidR="0050272F" w:rsidRPr="0050272F" w:rsidRDefault="0050272F" w:rsidP="0050272F">
      <w:pPr>
        <w:rPr>
          <w:rFonts w:ascii="Times" w:eastAsia="Times New Roman" w:hAnsi="Times" w:cs="Times New Roman"/>
          <w:sz w:val="20"/>
          <w:szCs w:val="20"/>
        </w:rPr>
      </w:pPr>
    </w:p>
    <w:p w14:paraId="0BBECC39" w14:textId="11AFEEBA" w:rsidR="004B7A1C" w:rsidRPr="0050272F" w:rsidRDefault="0050272F" w:rsidP="0050272F">
      <w:pPr>
        <w:shd w:val="clear" w:color="auto" w:fill="FFFFFF"/>
        <w:spacing w:before="100" w:beforeAutospacing="1" w:after="100" w:afterAutospacing="1"/>
        <w:outlineLvl w:val="1"/>
        <w:rPr>
          <w:rFonts w:ascii="Arial" w:eastAsia="Times New Roman" w:hAnsi="Arial" w:cs="Arial"/>
          <w:b/>
          <w:bCs/>
          <w:color w:val="222222"/>
          <w:sz w:val="36"/>
          <w:szCs w:val="36"/>
        </w:rPr>
      </w:pPr>
      <w:r w:rsidRPr="0050272F">
        <w:rPr>
          <w:rFonts w:ascii="Arial" w:eastAsia="Times New Roman" w:hAnsi="Arial" w:cs="Arial"/>
          <w:b/>
          <w:bCs/>
          <w:color w:val="222222"/>
          <w:sz w:val="36"/>
          <w:szCs w:val="36"/>
        </w:rPr>
        <w:t>Epidemiology and burden of HSV-1 in burn patients</w:t>
      </w:r>
    </w:p>
    <w:p w14:paraId="31AD6D5E" w14:textId="77777777" w:rsidR="004B7A1C" w:rsidRDefault="0050272F" w:rsidP="003A423B">
      <w:pPr>
        <w:shd w:val="clear" w:color="auto" w:fill="FFFFFF"/>
        <w:jc w:val="both"/>
        <w:rPr>
          <w:rFonts w:ascii="Arial" w:hAnsi="Arial" w:cs="Arial"/>
          <w:color w:val="222222"/>
        </w:rPr>
      </w:pPr>
      <w:r w:rsidRPr="0050272F">
        <w:rPr>
          <w:rFonts w:ascii="Arial" w:hAnsi="Arial" w:cs="Arial"/>
          <w:color w:val="222222"/>
        </w:rPr>
        <w:t>HSV-1 is</w:t>
      </w:r>
      <w:r w:rsidR="004B7A1C">
        <w:rPr>
          <w:rFonts w:ascii="Arial" w:hAnsi="Arial" w:cs="Arial"/>
          <w:color w:val="222222"/>
        </w:rPr>
        <w:t xml:space="preserve"> a virus that is considered endemic in the global population. B y middle age most adult would have been exposed to the virus. HSV1 usually remains dormant in sensory ganglia and can reactivate periodically.</w:t>
      </w:r>
    </w:p>
    <w:p w14:paraId="65496DA3" w14:textId="4FF8B0AA" w:rsidR="0050272F" w:rsidRDefault="0050272F" w:rsidP="003A423B">
      <w:pPr>
        <w:shd w:val="clear" w:color="auto" w:fill="FFFFFF"/>
        <w:jc w:val="both"/>
        <w:rPr>
          <w:rFonts w:ascii="Arial" w:hAnsi="Arial" w:cs="Arial"/>
          <w:color w:val="222222"/>
        </w:rPr>
      </w:pPr>
      <w:r w:rsidRPr="0050272F">
        <w:rPr>
          <w:rFonts w:ascii="Arial" w:hAnsi="Arial" w:cs="Arial"/>
          <w:color w:val="222222"/>
        </w:rPr>
        <w:t xml:space="preserve"> In burn</w:t>
      </w:r>
      <w:r w:rsidR="004B7A1C">
        <w:rPr>
          <w:rFonts w:ascii="Arial" w:hAnsi="Arial" w:cs="Arial"/>
          <w:color w:val="222222"/>
        </w:rPr>
        <w:t xml:space="preserve"> the case of</w:t>
      </w:r>
      <w:r w:rsidR="00961888">
        <w:rPr>
          <w:rFonts w:ascii="Arial" w:hAnsi="Arial" w:cs="Arial"/>
          <w:color w:val="222222"/>
        </w:rPr>
        <w:t xml:space="preserve"> </w:t>
      </w:r>
      <w:r w:rsidR="004B7A1C">
        <w:rPr>
          <w:rFonts w:ascii="Arial" w:hAnsi="Arial" w:cs="Arial"/>
          <w:color w:val="222222"/>
        </w:rPr>
        <w:t>burn injury</w:t>
      </w:r>
      <w:r w:rsidR="00961888">
        <w:rPr>
          <w:rFonts w:ascii="Arial" w:hAnsi="Arial" w:cs="Arial"/>
          <w:color w:val="222222"/>
        </w:rPr>
        <w:t>,</w:t>
      </w:r>
      <w:r w:rsidRPr="0050272F">
        <w:rPr>
          <w:rFonts w:ascii="Arial" w:hAnsi="Arial" w:cs="Arial"/>
          <w:color w:val="222222"/>
        </w:rPr>
        <w:t xml:space="preserve"> </w:t>
      </w:r>
      <w:r w:rsidR="004B7A1C">
        <w:rPr>
          <w:rFonts w:ascii="Arial" w:hAnsi="Arial" w:cs="Arial"/>
          <w:color w:val="222222"/>
        </w:rPr>
        <w:t xml:space="preserve">the combination of </w:t>
      </w:r>
      <w:r w:rsidRPr="0050272F">
        <w:rPr>
          <w:rFonts w:ascii="Arial" w:hAnsi="Arial" w:cs="Arial"/>
          <w:color w:val="222222"/>
        </w:rPr>
        <w:t>skin</w:t>
      </w:r>
      <w:r w:rsidR="004B7A1C">
        <w:rPr>
          <w:rFonts w:ascii="Arial" w:hAnsi="Arial" w:cs="Arial"/>
          <w:color w:val="222222"/>
        </w:rPr>
        <w:t xml:space="preserve"> disruption</w:t>
      </w:r>
      <w:r w:rsidRPr="0050272F">
        <w:rPr>
          <w:rFonts w:ascii="Arial" w:hAnsi="Arial" w:cs="Arial"/>
          <w:color w:val="222222"/>
        </w:rPr>
        <w:t xml:space="preserve"> and immune dysfunction </w:t>
      </w:r>
      <w:r w:rsidR="004B7A1C">
        <w:rPr>
          <w:rFonts w:ascii="Arial" w:hAnsi="Arial" w:cs="Arial"/>
          <w:color w:val="222222"/>
        </w:rPr>
        <w:t xml:space="preserve">is wht </w:t>
      </w:r>
      <w:r w:rsidRPr="0050272F">
        <w:rPr>
          <w:rFonts w:ascii="Arial" w:hAnsi="Arial" w:cs="Arial"/>
          <w:color w:val="222222"/>
        </w:rPr>
        <w:t>create</w:t>
      </w:r>
      <w:r w:rsidR="004B7A1C">
        <w:rPr>
          <w:rFonts w:ascii="Arial" w:hAnsi="Arial" w:cs="Arial"/>
          <w:color w:val="222222"/>
        </w:rPr>
        <w:t xml:space="preserve">s </w:t>
      </w:r>
      <w:r w:rsidR="004B7A1C" w:rsidRPr="0050272F">
        <w:rPr>
          <w:rFonts w:ascii="Arial" w:hAnsi="Arial" w:cs="Arial"/>
          <w:color w:val="222222"/>
        </w:rPr>
        <w:t>favourable</w:t>
      </w:r>
      <w:r w:rsidRPr="0050272F">
        <w:rPr>
          <w:rFonts w:ascii="Arial" w:hAnsi="Arial" w:cs="Arial"/>
          <w:color w:val="222222"/>
        </w:rPr>
        <w:t xml:space="preserve"> conditions to HSV reactivation and local invasion of wounds [1,2,3].</w:t>
      </w:r>
    </w:p>
    <w:p w14:paraId="4CFFF2C9" w14:textId="77777777" w:rsidR="004B7A1C" w:rsidRDefault="004B7A1C" w:rsidP="003A423B">
      <w:pPr>
        <w:shd w:val="clear" w:color="auto" w:fill="FFFFFF"/>
        <w:jc w:val="both"/>
        <w:rPr>
          <w:rFonts w:ascii="Arial" w:hAnsi="Arial" w:cs="Arial"/>
          <w:color w:val="222222"/>
        </w:rPr>
      </w:pPr>
      <w:r>
        <w:rPr>
          <w:rFonts w:ascii="Arial" w:hAnsi="Arial" w:cs="Arial"/>
          <w:color w:val="222222"/>
        </w:rPr>
        <w:lastRenderedPageBreak/>
        <w:t xml:space="preserve">HSV prevalence in association with burn injury is very variable, mostly because of the diferrences in diagnosis modalities </w:t>
      </w:r>
      <w:r w:rsidRPr="0050272F">
        <w:rPr>
          <w:rFonts w:ascii="Arial" w:hAnsi="Arial" w:cs="Arial"/>
          <w:color w:val="222222"/>
        </w:rPr>
        <w:t>(cult</w:t>
      </w:r>
      <w:r>
        <w:rPr>
          <w:rFonts w:ascii="Arial" w:hAnsi="Arial" w:cs="Arial"/>
          <w:color w:val="222222"/>
        </w:rPr>
        <w:t>ure, immunohistochemistry, PCR) sampling strategies, and burn severity.</w:t>
      </w:r>
    </w:p>
    <w:p w14:paraId="1211EA6E" w14:textId="77777777" w:rsidR="004B7A1C" w:rsidRPr="0050272F" w:rsidRDefault="004B7A1C" w:rsidP="003A423B">
      <w:pPr>
        <w:shd w:val="clear" w:color="auto" w:fill="FFFFFF"/>
        <w:jc w:val="both"/>
        <w:rPr>
          <w:rFonts w:ascii="Arial" w:hAnsi="Arial" w:cs="Arial"/>
          <w:color w:val="222222"/>
        </w:rPr>
      </w:pPr>
      <w:proofErr w:type="gramStart"/>
      <w:r>
        <w:rPr>
          <w:rFonts w:ascii="Arial" w:hAnsi="Arial" w:cs="Arial"/>
          <w:color w:val="222222"/>
        </w:rPr>
        <w:t>Active  HSV</w:t>
      </w:r>
      <w:proofErr w:type="gramEnd"/>
      <w:r>
        <w:rPr>
          <w:rFonts w:ascii="Arial" w:hAnsi="Arial" w:cs="Arial"/>
          <w:color w:val="222222"/>
        </w:rPr>
        <w:t xml:space="preserve"> infection</w:t>
      </w:r>
      <w:r w:rsidR="00604954">
        <w:rPr>
          <w:rFonts w:ascii="Arial" w:hAnsi="Arial" w:cs="Arial"/>
          <w:color w:val="222222"/>
        </w:rPr>
        <w:t xml:space="preserve"> or </w:t>
      </w:r>
      <w:r>
        <w:rPr>
          <w:rFonts w:ascii="Arial" w:hAnsi="Arial" w:cs="Arial"/>
          <w:color w:val="222222"/>
        </w:rPr>
        <w:t xml:space="preserve"> </w:t>
      </w:r>
      <w:r w:rsidRPr="0050272F">
        <w:rPr>
          <w:rFonts w:ascii="Arial" w:hAnsi="Arial" w:cs="Arial"/>
          <w:color w:val="222222"/>
        </w:rPr>
        <w:t>reactivation occurs in a minority but clinically relevant subset of burn patients</w:t>
      </w:r>
      <w:r w:rsidR="00604954">
        <w:rPr>
          <w:rFonts w:ascii="Arial" w:hAnsi="Arial" w:cs="Arial"/>
          <w:color w:val="222222"/>
        </w:rPr>
        <w:t xml:space="preserve"> according to many systematic reviews and multicenter cohort studies, is associated with impaired and delayed wound healing and graft loss</w:t>
      </w:r>
      <w:r w:rsidR="00604954" w:rsidRPr="0050272F">
        <w:rPr>
          <w:rFonts w:ascii="Arial" w:hAnsi="Arial" w:cs="Arial"/>
          <w:color w:val="222222"/>
        </w:rPr>
        <w:t>[1,2,3].</w:t>
      </w:r>
    </w:p>
    <w:p w14:paraId="545B3688" w14:textId="77777777" w:rsidR="00604954" w:rsidRDefault="00604954" w:rsidP="003A423B">
      <w:pPr>
        <w:shd w:val="clear" w:color="auto" w:fill="FFFFFF"/>
        <w:jc w:val="both"/>
        <w:rPr>
          <w:rFonts w:ascii="Arial" w:hAnsi="Arial" w:cs="Arial"/>
          <w:color w:val="222222"/>
        </w:rPr>
      </w:pPr>
      <w:r>
        <w:rPr>
          <w:rFonts w:ascii="Arial" w:hAnsi="Arial" w:cs="Arial"/>
          <w:color w:val="222222"/>
        </w:rPr>
        <w:t>Some c</w:t>
      </w:r>
      <w:r w:rsidR="0050272F" w:rsidRPr="0050272F">
        <w:rPr>
          <w:rFonts w:ascii="Arial" w:hAnsi="Arial" w:cs="Arial"/>
          <w:color w:val="222222"/>
        </w:rPr>
        <w:t xml:space="preserve">ase series from </w:t>
      </w:r>
      <w:r>
        <w:rPr>
          <w:rFonts w:ascii="Arial" w:hAnsi="Arial" w:cs="Arial"/>
          <w:color w:val="222222"/>
        </w:rPr>
        <w:t xml:space="preserve">have </w:t>
      </w:r>
      <w:r w:rsidR="0050272F" w:rsidRPr="0050272F">
        <w:rPr>
          <w:rFonts w:ascii="Arial" w:hAnsi="Arial" w:cs="Arial"/>
          <w:color w:val="222222"/>
        </w:rPr>
        <w:t>report</w:t>
      </w:r>
      <w:r>
        <w:rPr>
          <w:rFonts w:ascii="Arial" w:hAnsi="Arial" w:cs="Arial"/>
          <w:color w:val="222222"/>
        </w:rPr>
        <w:t>ed</w:t>
      </w:r>
      <w:r w:rsidR="0050272F" w:rsidRPr="0050272F">
        <w:rPr>
          <w:rFonts w:ascii="Arial" w:hAnsi="Arial" w:cs="Arial"/>
          <w:color w:val="222222"/>
        </w:rPr>
        <w:t xml:space="preserve"> HSV-1 detection in facial burns and graft failures, and multiple case reports document</w:t>
      </w:r>
      <w:r>
        <w:rPr>
          <w:rFonts w:ascii="Arial" w:hAnsi="Arial" w:cs="Arial"/>
          <w:color w:val="222222"/>
        </w:rPr>
        <w:t>ed</w:t>
      </w:r>
      <w:r w:rsidR="0050272F" w:rsidRPr="0050272F">
        <w:rPr>
          <w:rFonts w:ascii="Arial" w:hAnsi="Arial" w:cs="Arial"/>
          <w:color w:val="222222"/>
        </w:rPr>
        <w:t xml:space="preserve"> smaller TBSA burns complicated by HSV infection [4–7,10]. </w:t>
      </w:r>
    </w:p>
    <w:p w14:paraId="4A47DE91" w14:textId="77777777" w:rsidR="00604954" w:rsidRPr="0050272F" w:rsidRDefault="00604954" w:rsidP="003A423B">
      <w:pPr>
        <w:shd w:val="clear" w:color="auto" w:fill="FFFFFF"/>
        <w:jc w:val="both"/>
        <w:rPr>
          <w:rFonts w:ascii="Arial" w:hAnsi="Arial" w:cs="Arial"/>
          <w:color w:val="222222"/>
        </w:rPr>
      </w:pPr>
      <w:r>
        <w:rPr>
          <w:rFonts w:ascii="Arial" w:hAnsi="Arial" w:cs="Arial"/>
          <w:color w:val="222222"/>
        </w:rPr>
        <w:t xml:space="preserve">It is mandatory to distinguish colonization or </w:t>
      </w:r>
      <w:r w:rsidR="0050272F" w:rsidRPr="0050272F">
        <w:rPr>
          <w:rFonts w:ascii="Arial" w:hAnsi="Arial" w:cs="Arial"/>
          <w:color w:val="222222"/>
        </w:rPr>
        <w:t>reactiva</w:t>
      </w:r>
      <w:r>
        <w:rPr>
          <w:rFonts w:ascii="Arial" w:hAnsi="Arial" w:cs="Arial"/>
          <w:color w:val="222222"/>
        </w:rPr>
        <w:t xml:space="preserve">tion from invasive HSV disease </w:t>
      </w:r>
      <w:r w:rsidR="0050272F" w:rsidRPr="0050272F">
        <w:rPr>
          <w:rFonts w:ascii="Arial" w:hAnsi="Arial" w:cs="Arial"/>
          <w:color w:val="222222"/>
        </w:rPr>
        <w:t xml:space="preserve"> [8–11]</w:t>
      </w:r>
      <w:r>
        <w:rPr>
          <w:rFonts w:ascii="Arial" w:hAnsi="Arial" w:cs="Arial"/>
          <w:color w:val="222222"/>
        </w:rPr>
        <w:t xml:space="preserve"> because </w:t>
      </w:r>
      <w:r w:rsidRPr="0050272F">
        <w:rPr>
          <w:rFonts w:ascii="Arial" w:hAnsi="Arial" w:cs="Arial"/>
          <w:color w:val="222222"/>
        </w:rPr>
        <w:t>detection of HSV DNA in mucocutaneous sites or respiratory s</w:t>
      </w:r>
      <w:r>
        <w:rPr>
          <w:rFonts w:ascii="Arial" w:hAnsi="Arial" w:cs="Arial"/>
          <w:color w:val="222222"/>
        </w:rPr>
        <w:t>ecretions does not always mean a</w:t>
      </w:r>
      <w:r w:rsidRPr="0050272F">
        <w:rPr>
          <w:rFonts w:ascii="Arial" w:hAnsi="Arial" w:cs="Arial"/>
          <w:color w:val="222222"/>
        </w:rPr>
        <w:t xml:space="preserve"> clinically important disease;</w:t>
      </w:r>
    </w:p>
    <w:p w14:paraId="42322E60" w14:textId="77777777" w:rsidR="00604954" w:rsidRDefault="0050272F" w:rsidP="003A423B">
      <w:pPr>
        <w:shd w:val="clear" w:color="auto" w:fill="FFFFFF"/>
        <w:jc w:val="both"/>
        <w:rPr>
          <w:rFonts w:ascii="Arial" w:hAnsi="Arial" w:cs="Arial"/>
          <w:color w:val="222222"/>
        </w:rPr>
      </w:pPr>
      <w:r w:rsidRPr="0050272F">
        <w:rPr>
          <w:rFonts w:ascii="Arial" w:hAnsi="Arial" w:cs="Arial"/>
          <w:color w:val="222222"/>
        </w:rPr>
        <w:t xml:space="preserve">HSV-1 reactivation in severely burned or ventilated patients has been described in the respiratory </w:t>
      </w:r>
      <w:r w:rsidR="00604954">
        <w:rPr>
          <w:rFonts w:ascii="Arial" w:hAnsi="Arial" w:cs="Arial"/>
          <w:color w:val="222222"/>
        </w:rPr>
        <w:t xml:space="preserve">tract and associated with a worsened prognosis  </w:t>
      </w:r>
      <w:r w:rsidRPr="0050272F">
        <w:rPr>
          <w:rFonts w:ascii="Arial" w:hAnsi="Arial" w:cs="Arial"/>
          <w:color w:val="222222"/>
        </w:rPr>
        <w:t>in observational studies, although randomized trials in mechanically ventilated cohorts have not shown clear outcome benefit from systemic antivirals in ICU populations [8–11].</w:t>
      </w:r>
    </w:p>
    <w:p w14:paraId="1A2A0094" w14:textId="129E3E35" w:rsidR="0050272F" w:rsidRPr="0050272F" w:rsidRDefault="00604954" w:rsidP="003A423B">
      <w:pPr>
        <w:shd w:val="clear" w:color="auto" w:fill="FFFFFF"/>
        <w:jc w:val="both"/>
        <w:rPr>
          <w:rFonts w:ascii="Arial" w:hAnsi="Arial" w:cs="Arial"/>
          <w:color w:val="222222"/>
        </w:rPr>
      </w:pPr>
      <w:r>
        <w:rPr>
          <w:rFonts w:ascii="Arial" w:hAnsi="Arial" w:cs="Arial"/>
          <w:color w:val="222222"/>
        </w:rPr>
        <w:t xml:space="preserve"> In</w:t>
      </w:r>
      <w:r w:rsidR="0050272F" w:rsidRPr="0050272F">
        <w:rPr>
          <w:rFonts w:ascii="Arial" w:hAnsi="Arial" w:cs="Arial"/>
          <w:color w:val="222222"/>
        </w:rPr>
        <w:t xml:space="preserve"> burn patients the combination of facial burns, orofacial colonization, and</w:t>
      </w:r>
      <w:r w:rsidR="00290FB6">
        <w:rPr>
          <w:rFonts w:ascii="Arial" w:hAnsi="Arial" w:cs="Arial"/>
          <w:color w:val="222222"/>
        </w:rPr>
        <w:t xml:space="preserve"> the frequency of</w:t>
      </w:r>
      <w:r w:rsidR="0050272F" w:rsidRPr="0050272F">
        <w:rPr>
          <w:rFonts w:ascii="Arial" w:hAnsi="Arial" w:cs="Arial"/>
          <w:color w:val="222222"/>
        </w:rPr>
        <w:t xml:space="preserve"> invasive procedures (intubation, repeated dressing changes) </w:t>
      </w:r>
      <w:r w:rsidR="00290FB6">
        <w:rPr>
          <w:rFonts w:ascii="Arial" w:hAnsi="Arial" w:cs="Arial"/>
          <w:color w:val="222222"/>
        </w:rPr>
        <w:t>can increase</w:t>
      </w:r>
      <w:r w:rsidR="0050272F" w:rsidRPr="0050272F">
        <w:rPr>
          <w:rFonts w:ascii="Arial" w:hAnsi="Arial" w:cs="Arial"/>
          <w:color w:val="222222"/>
        </w:rPr>
        <w:t xml:space="preserve"> the risk of clinically significant HSV</w:t>
      </w:r>
      <w:r w:rsidR="00961888">
        <w:rPr>
          <w:rFonts w:ascii="Arial" w:hAnsi="Arial" w:cs="Arial"/>
          <w:color w:val="222222"/>
        </w:rPr>
        <w:t xml:space="preserve"> </w:t>
      </w:r>
      <w:r w:rsidR="00290FB6">
        <w:rPr>
          <w:rFonts w:ascii="Arial" w:hAnsi="Arial" w:cs="Arial"/>
          <w:color w:val="222222"/>
        </w:rPr>
        <w:t>complications</w:t>
      </w:r>
      <w:r w:rsidR="0050272F" w:rsidRPr="0050272F">
        <w:rPr>
          <w:rFonts w:ascii="Arial" w:hAnsi="Arial" w:cs="Arial"/>
          <w:color w:val="222222"/>
        </w:rPr>
        <w:t>.</w:t>
      </w:r>
    </w:p>
    <w:p w14:paraId="5864F03A" w14:textId="77777777" w:rsidR="0050272F" w:rsidRPr="0050272F" w:rsidRDefault="0050272F" w:rsidP="0050272F">
      <w:pPr>
        <w:rPr>
          <w:rFonts w:ascii="Times" w:eastAsia="Times New Roman" w:hAnsi="Times" w:cs="Times New Roman"/>
          <w:sz w:val="20"/>
          <w:szCs w:val="20"/>
        </w:rPr>
      </w:pPr>
    </w:p>
    <w:p w14:paraId="6204A801" w14:textId="77777777" w:rsidR="003A423B" w:rsidRDefault="003A423B" w:rsidP="0050272F">
      <w:pPr>
        <w:shd w:val="clear" w:color="auto" w:fill="FFFFFF"/>
        <w:spacing w:before="100" w:beforeAutospacing="1" w:after="100" w:afterAutospacing="1"/>
        <w:outlineLvl w:val="1"/>
        <w:rPr>
          <w:rFonts w:ascii="Arial" w:eastAsia="Times New Roman" w:hAnsi="Arial" w:cs="Arial"/>
          <w:b/>
          <w:bCs/>
          <w:color w:val="222222"/>
          <w:sz w:val="36"/>
          <w:szCs w:val="36"/>
        </w:rPr>
      </w:pPr>
    </w:p>
    <w:p w14:paraId="3360BF55" w14:textId="77777777" w:rsidR="0050272F" w:rsidRPr="0050272F" w:rsidRDefault="0050272F" w:rsidP="0050272F">
      <w:pPr>
        <w:shd w:val="clear" w:color="auto" w:fill="FFFFFF"/>
        <w:spacing w:before="100" w:beforeAutospacing="1" w:after="100" w:afterAutospacing="1"/>
        <w:outlineLvl w:val="1"/>
        <w:rPr>
          <w:rFonts w:ascii="Arial" w:eastAsia="Times New Roman" w:hAnsi="Arial" w:cs="Arial"/>
          <w:b/>
          <w:bCs/>
          <w:color w:val="222222"/>
          <w:sz w:val="36"/>
          <w:szCs w:val="36"/>
        </w:rPr>
      </w:pPr>
      <w:r w:rsidRPr="0050272F">
        <w:rPr>
          <w:rFonts w:ascii="Arial" w:eastAsia="Times New Roman" w:hAnsi="Arial" w:cs="Arial"/>
          <w:b/>
          <w:bCs/>
          <w:color w:val="222222"/>
          <w:sz w:val="36"/>
          <w:szCs w:val="36"/>
        </w:rPr>
        <w:t>Pathophysiology: why burn patients are susceptible</w:t>
      </w:r>
    </w:p>
    <w:p w14:paraId="2198E6B0" w14:textId="017F4C0A" w:rsidR="0050272F" w:rsidRPr="0050272F" w:rsidRDefault="00422639" w:rsidP="003A423B">
      <w:pPr>
        <w:shd w:val="clear" w:color="auto" w:fill="FFFFFF"/>
        <w:jc w:val="both"/>
        <w:rPr>
          <w:rFonts w:ascii="Arial" w:hAnsi="Arial" w:cs="Arial"/>
          <w:color w:val="222222"/>
        </w:rPr>
      </w:pPr>
      <w:r>
        <w:rPr>
          <w:rFonts w:ascii="Arial" w:hAnsi="Arial" w:cs="Arial"/>
          <w:color w:val="222222"/>
        </w:rPr>
        <w:t>Burn injury is responsible for</w:t>
      </w:r>
      <w:r w:rsidR="0050272F" w:rsidRPr="0050272F">
        <w:rPr>
          <w:rFonts w:ascii="Arial" w:hAnsi="Arial" w:cs="Arial"/>
          <w:color w:val="222222"/>
        </w:rPr>
        <w:t xml:space="preserve"> immediate local tissue necrosis and a systemic response th</w:t>
      </w:r>
      <w:r>
        <w:rPr>
          <w:rFonts w:ascii="Arial" w:hAnsi="Arial" w:cs="Arial"/>
          <w:color w:val="222222"/>
        </w:rPr>
        <w:t xml:space="preserve">at </w:t>
      </w:r>
      <w:proofErr w:type="gramStart"/>
      <w:r>
        <w:rPr>
          <w:rFonts w:ascii="Arial" w:hAnsi="Arial" w:cs="Arial"/>
          <w:color w:val="222222"/>
        </w:rPr>
        <w:t>impairs  innate</w:t>
      </w:r>
      <w:proofErr w:type="gramEnd"/>
      <w:r>
        <w:rPr>
          <w:rFonts w:ascii="Arial" w:hAnsi="Arial" w:cs="Arial"/>
          <w:color w:val="222222"/>
        </w:rPr>
        <w:t xml:space="preserve"> and adaptive immunity</w:t>
      </w:r>
      <w:r w:rsidR="00961888">
        <w:rPr>
          <w:rFonts w:ascii="Arial" w:hAnsi="Arial" w:cs="Arial"/>
          <w:color w:val="222222"/>
        </w:rPr>
        <w:t xml:space="preserve"> </w:t>
      </w:r>
      <w:r w:rsidR="00961888" w:rsidRPr="0050272F">
        <w:rPr>
          <w:rFonts w:ascii="Arial" w:hAnsi="Arial" w:cs="Arial"/>
          <w:color w:val="222222"/>
        </w:rPr>
        <w:t>[</w:t>
      </w:r>
      <w:r w:rsidR="00961888">
        <w:rPr>
          <w:rFonts w:ascii="Arial" w:hAnsi="Arial" w:cs="Arial"/>
          <w:color w:val="222222"/>
        </w:rPr>
        <w:t>29</w:t>
      </w:r>
      <w:r w:rsidR="00961888" w:rsidRPr="0050272F">
        <w:rPr>
          <w:rFonts w:ascii="Arial" w:hAnsi="Arial" w:cs="Arial"/>
          <w:color w:val="222222"/>
        </w:rPr>
        <w:t>]</w:t>
      </w:r>
      <w:r>
        <w:rPr>
          <w:rFonts w:ascii="Arial" w:hAnsi="Arial" w:cs="Arial"/>
          <w:color w:val="222222"/>
        </w:rPr>
        <w:t xml:space="preserve"> that is </w:t>
      </w:r>
      <w:r w:rsidR="0050272F" w:rsidRPr="0050272F">
        <w:rPr>
          <w:rFonts w:ascii="Arial" w:hAnsi="Arial" w:cs="Arial"/>
          <w:color w:val="222222"/>
        </w:rPr>
        <w:t>sometimes described as burn-induced immunosuppression [13,16</w:t>
      </w:r>
      <w:r w:rsidR="00961888">
        <w:rPr>
          <w:rFonts w:ascii="Arial" w:hAnsi="Arial" w:cs="Arial"/>
          <w:color w:val="222222"/>
        </w:rPr>
        <w:t>,28</w:t>
      </w:r>
      <w:r w:rsidR="0050272F" w:rsidRPr="0050272F">
        <w:rPr>
          <w:rFonts w:ascii="Arial" w:hAnsi="Arial" w:cs="Arial"/>
          <w:color w:val="222222"/>
        </w:rPr>
        <w:t>]</w:t>
      </w:r>
      <w:r w:rsidR="00EB4149">
        <w:rPr>
          <w:rFonts w:ascii="Arial" w:hAnsi="Arial" w:cs="Arial"/>
          <w:color w:val="222222"/>
        </w:rPr>
        <w:t xml:space="preserve"> </w:t>
      </w:r>
      <w:r w:rsidR="0050272F" w:rsidRPr="0050272F">
        <w:rPr>
          <w:rFonts w:ascii="Arial" w:hAnsi="Arial" w:cs="Arial"/>
          <w:color w:val="222222"/>
        </w:rPr>
        <w:t>. Key mechanisms that increase susceptibility to HSV-1 include:</w:t>
      </w:r>
    </w:p>
    <w:p w14:paraId="01D6BA5E" w14:textId="3458CCE0" w:rsidR="0050272F" w:rsidRPr="0050272F" w:rsidRDefault="00422639" w:rsidP="003A423B">
      <w:pPr>
        <w:shd w:val="clear" w:color="auto" w:fill="FFFFFF"/>
        <w:jc w:val="both"/>
        <w:rPr>
          <w:rFonts w:ascii="Arial" w:hAnsi="Arial" w:cs="Arial"/>
          <w:color w:val="222222"/>
        </w:rPr>
      </w:pPr>
      <w:r>
        <w:rPr>
          <w:rFonts w:ascii="Arial" w:hAnsi="Arial" w:cs="Arial"/>
          <w:color w:val="222222"/>
        </w:rPr>
        <w:t>A l</w:t>
      </w:r>
      <w:r w:rsidR="0050272F" w:rsidRPr="0050272F">
        <w:rPr>
          <w:rFonts w:ascii="Arial" w:hAnsi="Arial" w:cs="Arial"/>
          <w:color w:val="222222"/>
        </w:rPr>
        <w:t>oss of the cutaneous</w:t>
      </w:r>
      <w:r>
        <w:rPr>
          <w:rFonts w:ascii="Arial" w:hAnsi="Arial" w:cs="Arial"/>
          <w:color w:val="222222"/>
        </w:rPr>
        <w:t xml:space="preserve"> protective </w:t>
      </w:r>
      <w:r w:rsidR="0050272F" w:rsidRPr="0050272F">
        <w:rPr>
          <w:rFonts w:ascii="Arial" w:hAnsi="Arial" w:cs="Arial"/>
          <w:color w:val="222222"/>
        </w:rPr>
        <w:t xml:space="preserve"> barrier and exposure of</w:t>
      </w:r>
      <w:r>
        <w:rPr>
          <w:rFonts w:ascii="Arial" w:hAnsi="Arial" w:cs="Arial"/>
          <w:color w:val="222222"/>
        </w:rPr>
        <w:t xml:space="preserve"> dermis and </w:t>
      </w:r>
      <w:r w:rsidR="0050272F" w:rsidRPr="0050272F">
        <w:rPr>
          <w:rFonts w:ascii="Arial" w:hAnsi="Arial" w:cs="Arial"/>
          <w:color w:val="222222"/>
        </w:rPr>
        <w:t xml:space="preserve"> nerve</w:t>
      </w:r>
      <w:r w:rsidR="00961888">
        <w:rPr>
          <w:rFonts w:ascii="Arial" w:hAnsi="Arial" w:cs="Arial"/>
          <w:color w:val="222222"/>
        </w:rPr>
        <w:t xml:space="preserve"> endings</w:t>
      </w:r>
      <w:r w:rsidR="0050272F" w:rsidRPr="0050272F">
        <w:rPr>
          <w:rFonts w:ascii="Arial" w:hAnsi="Arial" w:cs="Arial"/>
          <w:color w:val="222222"/>
        </w:rPr>
        <w:t>, facilitating viral entry and replication in previously latent sensory neurons and nearby tissue [1,2].</w:t>
      </w:r>
    </w:p>
    <w:p w14:paraId="25B8661E" w14:textId="7283CEBB" w:rsidR="0050272F" w:rsidRPr="0050272F" w:rsidRDefault="00422639" w:rsidP="003A423B">
      <w:pPr>
        <w:shd w:val="clear" w:color="auto" w:fill="FFFFFF"/>
        <w:jc w:val="both"/>
        <w:rPr>
          <w:rFonts w:ascii="Arial" w:hAnsi="Arial" w:cs="Arial"/>
          <w:color w:val="222222"/>
        </w:rPr>
      </w:pPr>
      <w:r>
        <w:rPr>
          <w:rFonts w:ascii="Arial" w:hAnsi="Arial" w:cs="Arial"/>
          <w:color w:val="222222"/>
        </w:rPr>
        <w:t xml:space="preserve">The systemic immunological changes that occur in </w:t>
      </w:r>
      <w:r w:rsidR="0050272F" w:rsidRPr="0050272F">
        <w:rPr>
          <w:rFonts w:ascii="Arial" w:hAnsi="Arial" w:cs="Arial"/>
          <w:color w:val="222222"/>
        </w:rPr>
        <w:t>cell-mediated immunity, lymphocyte dysfunctio</w:t>
      </w:r>
      <w:r>
        <w:rPr>
          <w:rFonts w:ascii="Arial" w:hAnsi="Arial" w:cs="Arial"/>
          <w:color w:val="222222"/>
        </w:rPr>
        <w:t>n, and altered cytokine secretion</w:t>
      </w:r>
      <w:r w:rsidR="0050272F" w:rsidRPr="0050272F">
        <w:rPr>
          <w:rFonts w:ascii="Arial" w:hAnsi="Arial" w:cs="Arial"/>
          <w:color w:val="222222"/>
        </w:rPr>
        <w:t xml:space="preserve"> after major burns</w:t>
      </w:r>
      <w:r>
        <w:rPr>
          <w:rFonts w:ascii="Arial" w:hAnsi="Arial" w:cs="Arial"/>
          <w:color w:val="222222"/>
        </w:rPr>
        <w:t xml:space="preserve"> that impairs </w:t>
      </w:r>
      <w:r w:rsidR="0050272F" w:rsidRPr="0050272F">
        <w:rPr>
          <w:rFonts w:ascii="Arial" w:hAnsi="Arial" w:cs="Arial"/>
          <w:color w:val="222222"/>
        </w:rPr>
        <w:t xml:space="preserve"> surveillance</w:t>
      </w:r>
      <w:r>
        <w:rPr>
          <w:rFonts w:ascii="Arial" w:hAnsi="Arial" w:cs="Arial"/>
          <w:color w:val="222222"/>
        </w:rPr>
        <w:t xml:space="preserve"> capacity</w:t>
      </w:r>
      <w:r w:rsidR="0050272F" w:rsidRPr="0050272F">
        <w:rPr>
          <w:rFonts w:ascii="Arial" w:hAnsi="Arial" w:cs="Arial"/>
          <w:color w:val="222222"/>
        </w:rPr>
        <w:t xml:space="preserve"> against latent viral reactivation [1,16].</w:t>
      </w:r>
    </w:p>
    <w:p w14:paraId="2E3248B2" w14:textId="6D2EA26A" w:rsidR="0050272F" w:rsidRPr="0050272F" w:rsidRDefault="00422639" w:rsidP="003A423B">
      <w:pPr>
        <w:shd w:val="clear" w:color="auto" w:fill="FFFFFF"/>
        <w:jc w:val="both"/>
        <w:rPr>
          <w:rFonts w:ascii="Arial" w:hAnsi="Arial" w:cs="Arial"/>
          <w:color w:val="222222"/>
        </w:rPr>
      </w:pPr>
      <w:r>
        <w:rPr>
          <w:rFonts w:ascii="Arial" w:hAnsi="Arial" w:cs="Arial"/>
          <w:color w:val="222222"/>
        </w:rPr>
        <w:t xml:space="preserve">Local factors that help in viral replication ; sush as </w:t>
      </w:r>
      <w:r w:rsidR="0050272F" w:rsidRPr="0050272F">
        <w:rPr>
          <w:rFonts w:ascii="Arial" w:hAnsi="Arial" w:cs="Arial"/>
          <w:color w:val="222222"/>
        </w:rPr>
        <w:t xml:space="preserve"> impaired local perfusion, biofilm</w:t>
      </w:r>
      <w:r>
        <w:rPr>
          <w:rFonts w:ascii="Arial" w:hAnsi="Arial" w:cs="Arial"/>
          <w:color w:val="222222"/>
        </w:rPr>
        <w:t xml:space="preserve"> costitution,</w:t>
      </w:r>
      <w:r w:rsidR="0050272F" w:rsidRPr="0050272F">
        <w:rPr>
          <w:rFonts w:ascii="Arial" w:hAnsi="Arial" w:cs="Arial"/>
          <w:color w:val="222222"/>
        </w:rPr>
        <w:t xml:space="preserve"> and bacterial co-infection [2,17].</w:t>
      </w:r>
    </w:p>
    <w:p w14:paraId="5A1B9D32" w14:textId="259453FE" w:rsidR="0050272F" w:rsidRPr="0050272F" w:rsidRDefault="00422639" w:rsidP="003A423B">
      <w:pPr>
        <w:shd w:val="clear" w:color="auto" w:fill="FFFFFF"/>
        <w:jc w:val="both"/>
        <w:rPr>
          <w:rFonts w:ascii="Arial" w:hAnsi="Arial" w:cs="Arial"/>
          <w:color w:val="222222"/>
        </w:rPr>
      </w:pPr>
      <w:r>
        <w:rPr>
          <w:rFonts w:ascii="Arial" w:hAnsi="Arial" w:cs="Arial"/>
          <w:color w:val="222222"/>
        </w:rPr>
        <w:t xml:space="preserve">The addition of Iatrogenic factors like </w:t>
      </w:r>
      <w:r w:rsidR="0050272F" w:rsidRPr="0050272F">
        <w:rPr>
          <w:rFonts w:ascii="Arial" w:hAnsi="Arial" w:cs="Arial"/>
          <w:color w:val="222222"/>
        </w:rPr>
        <w:t>prolonged mechanical ventilation, systemic corticosteroid treatment, broad-spectrum antibiotics altering microbiome interactions, an</w:t>
      </w:r>
      <w:r>
        <w:rPr>
          <w:rFonts w:ascii="Arial" w:hAnsi="Arial" w:cs="Arial"/>
          <w:color w:val="222222"/>
        </w:rPr>
        <w:t>d device-related breaches ;</w:t>
      </w:r>
      <w:r w:rsidR="0050272F" w:rsidRPr="0050272F">
        <w:rPr>
          <w:rFonts w:ascii="Arial" w:hAnsi="Arial" w:cs="Arial"/>
          <w:color w:val="222222"/>
        </w:rPr>
        <w:t xml:space="preserve"> tracheal intubation) [8–11].</w:t>
      </w:r>
    </w:p>
    <w:p w14:paraId="706A5A68" w14:textId="33831C93" w:rsidR="0050272F" w:rsidRPr="0050272F" w:rsidRDefault="0050272F" w:rsidP="003A423B">
      <w:pPr>
        <w:shd w:val="clear" w:color="auto" w:fill="FFFFFF"/>
        <w:jc w:val="both"/>
        <w:rPr>
          <w:rFonts w:ascii="Arial" w:hAnsi="Arial" w:cs="Arial"/>
          <w:color w:val="222222"/>
        </w:rPr>
      </w:pPr>
      <w:r w:rsidRPr="0050272F">
        <w:rPr>
          <w:rFonts w:ascii="Arial" w:hAnsi="Arial" w:cs="Arial"/>
          <w:color w:val="222222"/>
        </w:rPr>
        <w:t>These mechanisms</w:t>
      </w:r>
      <w:r w:rsidR="00422639">
        <w:rPr>
          <w:rFonts w:ascii="Arial" w:hAnsi="Arial" w:cs="Arial"/>
          <w:color w:val="222222"/>
        </w:rPr>
        <w:t xml:space="preserve"> </w:t>
      </w:r>
      <w:proofErr w:type="gramStart"/>
      <w:r w:rsidR="00422639">
        <w:rPr>
          <w:rFonts w:ascii="Arial" w:hAnsi="Arial" w:cs="Arial"/>
          <w:color w:val="222222"/>
        </w:rPr>
        <w:t xml:space="preserve">can </w:t>
      </w:r>
      <w:r w:rsidRPr="0050272F">
        <w:rPr>
          <w:rFonts w:ascii="Arial" w:hAnsi="Arial" w:cs="Arial"/>
          <w:color w:val="222222"/>
        </w:rPr>
        <w:t xml:space="preserve"> explain</w:t>
      </w:r>
      <w:proofErr w:type="gramEnd"/>
      <w:r w:rsidRPr="0050272F">
        <w:rPr>
          <w:rFonts w:ascii="Arial" w:hAnsi="Arial" w:cs="Arial"/>
          <w:color w:val="222222"/>
        </w:rPr>
        <w:t xml:space="preserve"> why HSV reactivation and clinical disease are more common among severely burned patients</w:t>
      </w:r>
      <w:r w:rsidR="00B53FEF">
        <w:rPr>
          <w:rFonts w:ascii="Arial" w:hAnsi="Arial" w:cs="Arial"/>
          <w:color w:val="222222"/>
        </w:rPr>
        <w:t xml:space="preserve"> [20,21,22</w:t>
      </w:r>
      <w:r w:rsidR="00B53FEF" w:rsidRPr="0050272F">
        <w:rPr>
          <w:rFonts w:ascii="Arial" w:hAnsi="Arial" w:cs="Arial"/>
          <w:color w:val="222222"/>
        </w:rPr>
        <w:t>].</w:t>
      </w:r>
      <w:r w:rsidR="00B53FEF">
        <w:rPr>
          <w:rFonts w:ascii="Arial" w:hAnsi="Arial" w:cs="Arial"/>
          <w:color w:val="222222"/>
        </w:rPr>
        <w:t> </w:t>
      </w:r>
      <w:r w:rsidRPr="0050272F">
        <w:rPr>
          <w:rFonts w:ascii="Arial" w:hAnsi="Arial" w:cs="Arial"/>
          <w:color w:val="222222"/>
        </w:rPr>
        <w:t>, those receiving steroids, and patients requiring prolonged intensive care support.</w:t>
      </w:r>
    </w:p>
    <w:p w14:paraId="3B1B406B" w14:textId="777C0012" w:rsidR="0050272F" w:rsidRPr="0050272F" w:rsidRDefault="0050272F" w:rsidP="0050272F">
      <w:pPr>
        <w:rPr>
          <w:rFonts w:ascii="Times" w:eastAsia="Times New Roman" w:hAnsi="Times" w:cs="Times New Roman"/>
          <w:sz w:val="20"/>
          <w:szCs w:val="20"/>
        </w:rPr>
      </w:pPr>
    </w:p>
    <w:p w14:paraId="1F830D6F" w14:textId="77777777" w:rsidR="0050272F" w:rsidRPr="0050272F" w:rsidRDefault="0050272F" w:rsidP="0050272F">
      <w:pPr>
        <w:shd w:val="clear" w:color="auto" w:fill="FFFFFF"/>
        <w:spacing w:before="100" w:beforeAutospacing="1" w:after="100" w:afterAutospacing="1"/>
        <w:outlineLvl w:val="1"/>
        <w:rPr>
          <w:rFonts w:ascii="Arial" w:eastAsia="Times New Roman" w:hAnsi="Arial" w:cs="Arial"/>
          <w:b/>
          <w:bCs/>
          <w:color w:val="222222"/>
          <w:sz w:val="36"/>
          <w:szCs w:val="36"/>
        </w:rPr>
      </w:pPr>
      <w:r w:rsidRPr="0050272F">
        <w:rPr>
          <w:rFonts w:ascii="Arial" w:eastAsia="Times New Roman" w:hAnsi="Arial" w:cs="Arial"/>
          <w:b/>
          <w:bCs/>
          <w:color w:val="222222"/>
          <w:sz w:val="36"/>
          <w:szCs w:val="36"/>
        </w:rPr>
        <w:t>Clinical presentations and diagnostic pitfalls</w:t>
      </w:r>
    </w:p>
    <w:p w14:paraId="01A71686" w14:textId="592265DE" w:rsidR="0050272F" w:rsidRPr="00AD3270" w:rsidRDefault="001A2042" w:rsidP="00AD3270">
      <w:pPr>
        <w:shd w:val="clear" w:color="auto" w:fill="FFFFFF"/>
        <w:jc w:val="both"/>
        <w:rPr>
          <w:rFonts w:ascii="Arial" w:hAnsi="Arial" w:cs="Arial"/>
          <w:color w:val="222222"/>
        </w:rPr>
      </w:pPr>
      <w:r w:rsidRPr="00AD3270">
        <w:rPr>
          <w:rFonts w:ascii="Arial" w:hAnsi="Arial" w:cs="Arial"/>
          <w:color w:val="222222"/>
        </w:rPr>
        <w:t xml:space="preserve">HSV-1 can multiple presentations in burned patients </w:t>
      </w:r>
      <w:r w:rsidR="0050272F" w:rsidRPr="00AD3270">
        <w:rPr>
          <w:rFonts w:ascii="Arial" w:hAnsi="Arial" w:cs="Arial"/>
          <w:color w:val="222222"/>
        </w:rPr>
        <w:t xml:space="preserve"> in burn patients:</w:t>
      </w:r>
    </w:p>
    <w:p w14:paraId="23717C28" w14:textId="46833B34" w:rsidR="001A2042" w:rsidRPr="00AD3270" w:rsidRDefault="0050272F" w:rsidP="00AD3270">
      <w:pPr>
        <w:shd w:val="clear" w:color="auto" w:fill="FFFFFF"/>
        <w:jc w:val="both"/>
        <w:rPr>
          <w:rFonts w:ascii="Arial" w:hAnsi="Arial" w:cs="Arial"/>
          <w:color w:val="222222"/>
        </w:rPr>
      </w:pPr>
      <w:r w:rsidRPr="00AD3270">
        <w:rPr>
          <w:rFonts w:ascii="Arial" w:hAnsi="Arial" w:cs="Arial"/>
          <w:bCs/>
          <w:color w:val="222222"/>
        </w:rPr>
        <w:t>Localized burn wound HSV infection</w:t>
      </w:r>
      <w:r w:rsidR="001A2042" w:rsidRPr="00AD3270">
        <w:rPr>
          <w:rFonts w:ascii="Arial" w:hAnsi="Arial" w:cs="Arial"/>
          <w:bCs/>
          <w:color w:val="222222"/>
        </w:rPr>
        <w:t xml:space="preserve"> presents as a</w:t>
      </w:r>
      <w:r w:rsidR="001A2042" w:rsidRPr="00AD3270">
        <w:rPr>
          <w:rFonts w:ascii="Arial" w:hAnsi="Arial" w:cs="Arial"/>
          <w:color w:val="222222"/>
        </w:rPr>
        <w:t> v</w:t>
      </w:r>
      <w:r w:rsidRPr="00AD3270">
        <w:rPr>
          <w:rFonts w:ascii="Arial" w:hAnsi="Arial" w:cs="Arial"/>
          <w:color w:val="222222"/>
        </w:rPr>
        <w:t xml:space="preserve">esicular or ulcerative lesions </w:t>
      </w:r>
      <w:r w:rsidR="001A2042" w:rsidRPr="00AD3270">
        <w:rPr>
          <w:rFonts w:ascii="Arial" w:hAnsi="Arial" w:cs="Arial"/>
          <w:color w:val="222222"/>
        </w:rPr>
        <w:t xml:space="preserve">either </w:t>
      </w:r>
      <w:r w:rsidRPr="00AD3270">
        <w:rPr>
          <w:rFonts w:ascii="Arial" w:hAnsi="Arial" w:cs="Arial"/>
          <w:color w:val="222222"/>
        </w:rPr>
        <w:t>within or ad</w:t>
      </w:r>
      <w:r w:rsidR="001A2042" w:rsidRPr="00AD3270">
        <w:rPr>
          <w:rFonts w:ascii="Arial" w:hAnsi="Arial" w:cs="Arial"/>
          <w:color w:val="222222"/>
        </w:rPr>
        <w:t xml:space="preserve">jacent to a burn or graft site beeing responsible for delayed </w:t>
      </w:r>
      <w:r w:rsidR="001A2042" w:rsidRPr="00AD3270">
        <w:rPr>
          <w:rFonts w:ascii="Arial" w:hAnsi="Arial" w:cs="Arial"/>
          <w:color w:val="222222"/>
        </w:rPr>
        <w:lastRenderedPageBreak/>
        <w:t>epithelialization;</w:t>
      </w:r>
      <w:r w:rsidR="00B53FEF">
        <w:rPr>
          <w:rFonts w:ascii="Arial" w:hAnsi="Arial" w:cs="Arial"/>
          <w:color w:val="222222"/>
        </w:rPr>
        <w:t xml:space="preserve"> </w:t>
      </w:r>
      <w:r w:rsidR="001A2042" w:rsidRPr="00AD3270">
        <w:rPr>
          <w:rFonts w:ascii="Arial" w:hAnsi="Arial" w:cs="Arial"/>
          <w:color w:val="222222"/>
        </w:rPr>
        <w:t xml:space="preserve">loss of skin grafts; </w:t>
      </w:r>
      <w:r w:rsidRPr="00AD3270">
        <w:rPr>
          <w:rFonts w:ascii="Arial" w:hAnsi="Arial" w:cs="Arial"/>
          <w:color w:val="222222"/>
        </w:rPr>
        <w:t xml:space="preserve">pain </w:t>
      </w:r>
      <w:r w:rsidR="001A2042" w:rsidRPr="00AD3270">
        <w:rPr>
          <w:rFonts w:ascii="Arial" w:hAnsi="Arial" w:cs="Arial"/>
          <w:color w:val="222222"/>
        </w:rPr>
        <w:t xml:space="preserve"> that is </w:t>
      </w:r>
      <w:r w:rsidRPr="00AD3270">
        <w:rPr>
          <w:rFonts w:ascii="Arial" w:hAnsi="Arial" w:cs="Arial"/>
          <w:color w:val="222222"/>
        </w:rPr>
        <w:t>dispropo</w:t>
      </w:r>
      <w:r w:rsidR="00B53FEF">
        <w:rPr>
          <w:rFonts w:ascii="Arial" w:hAnsi="Arial" w:cs="Arial"/>
          <w:color w:val="222222"/>
        </w:rPr>
        <w:t>rtionate to wound appearance [4,</w:t>
      </w:r>
      <w:r w:rsidRPr="00AD3270">
        <w:rPr>
          <w:rFonts w:ascii="Arial" w:hAnsi="Arial" w:cs="Arial"/>
          <w:color w:val="222222"/>
        </w:rPr>
        <w:t>7].</w:t>
      </w:r>
    </w:p>
    <w:p w14:paraId="62341F92" w14:textId="7A0B966D" w:rsidR="0050272F" w:rsidRPr="00AD3270" w:rsidRDefault="0050272F" w:rsidP="00AD3270">
      <w:pPr>
        <w:shd w:val="clear" w:color="auto" w:fill="FFFFFF"/>
        <w:jc w:val="both"/>
        <w:rPr>
          <w:rFonts w:ascii="Arial" w:hAnsi="Arial" w:cs="Arial"/>
          <w:color w:val="222222"/>
        </w:rPr>
      </w:pPr>
      <w:r w:rsidRPr="00AD3270">
        <w:rPr>
          <w:rFonts w:ascii="Arial" w:hAnsi="Arial" w:cs="Arial"/>
          <w:bCs/>
          <w:color w:val="222222"/>
        </w:rPr>
        <w:t>Orof</w:t>
      </w:r>
      <w:r w:rsidR="001A2042" w:rsidRPr="00AD3270">
        <w:rPr>
          <w:rFonts w:ascii="Arial" w:hAnsi="Arial" w:cs="Arial"/>
          <w:bCs/>
          <w:color w:val="222222"/>
        </w:rPr>
        <w:t>acial HSV reactivation p</w:t>
      </w:r>
      <w:r w:rsidRPr="00AD3270">
        <w:rPr>
          <w:rFonts w:ascii="Arial" w:hAnsi="Arial" w:cs="Arial"/>
          <w:color w:val="222222"/>
        </w:rPr>
        <w:t>articularly relevant after facial burns and res</w:t>
      </w:r>
      <w:r w:rsidR="001A2042" w:rsidRPr="00AD3270">
        <w:rPr>
          <w:rFonts w:ascii="Arial" w:hAnsi="Arial" w:cs="Arial"/>
          <w:color w:val="222222"/>
        </w:rPr>
        <w:t>urfacing procedures and may compromize</w:t>
      </w:r>
      <w:r w:rsidRPr="00AD3270">
        <w:rPr>
          <w:rFonts w:ascii="Arial" w:hAnsi="Arial" w:cs="Arial"/>
          <w:color w:val="222222"/>
        </w:rPr>
        <w:t xml:space="preserve"> graft and</w:t>
      </w:r>
      <w:r w:rsidR="001A2042" w:rsidRPr="00AD3270">
        <w:rPr>
          <w:rFonts w:ascii="Arial" w:hAnsi="Arial" w:cs="Arial"/>
          <w:color w:val="222222"/>
        </w:rPr>
        <w:t xml:space="preserve"> be responsible for</w:t>
      </w:r>
      <w:r w:rsidRPr="00AD3270">
        <w:rPr>
          <w:rFonts w:ascii="Arial" w:hAnsi="Arial" w:cs="Arial"/>
          <w:color w:val="222222"/>
        </w:rPr>
        <w:t xml:space="preserve"> poor cosmetic outcomes [4,11].</w:t>
      </w:r>
    </w:p>
    <w:p w14:paraId="04ABFDFE" w14:textId="37A34081" w:rsidR="0050272F" w:rsidRPr="00AD3270" w:rsidRDefault="0050272F" w:rsidP="00AD3270">
      <w:pPr>
        <w:shd w:val="clear" w:color="auto" w:fill="FFFFFF"/>
        <w:rPr>
          <w:rFonts w:ascii="Arial" w:hAnsi="Arial" w:cs="Arial"/>
          <w:color w:val="222222"/>
        </w:rPr>
      </w:pPr>
      <w:r w:rsidRPr="00AD3270">
        <w:rPr>
          <w:rFonts w:ascii="Arial" w:hAnsi="Arial" w:cs="Arial"/>
          <w:bCs/>
          <w:color w:val="222222"/>
        </w:rPr>
        <w:t>Respiratory HSV disease</w:t>
      </w:r>
      <w:r w:rsidR="00AD3270" w:rsidRPr="00AD3270">
        <w:rPr>
          <w:rFonts w:ascii="Arial" w:hAnsi="Arial" w:cs="Arial"/>
          <w:bCs/>
          <w:color w:val="222222"/>
        </w:rPr>
        <w:t xml:space="preserve"> can manifest as a result </w:t>
      </w:r>
      <w:proofErr w:type="gramStart"/>
      <w:r w:rsidR="00AD3270" w:rsidRPr="00AD3270">
        <w:rPr>
          <w:rFonts w:ascii="Arial" w:hAnsi="Arial" w:cs="Arial"/>
          <w:bCs/>
          <w:color w:val="222222"/>
        </w:rPr>
        <w:t xml:space="preserve">of </w:t>
      </w:r>
      <w:r w:rsidRPr="00AD3270">
        <w:rPr>
          <w:rFonts w:ascii="Arial" w:hAnsi="Arial" w:cs="Arial"/>
          <w:color w:val="222222"/>
        </w:rPr>
        <w:t> Oropharyngeal</w:t>
      </w:r>
      <w:proofErr w:type="gramEnd"/>
      <w:r w:rsidRPr="00AD3270">
        <w:rPr>
          <w:rFonts w:ascii="Arial" w:hAnsi="Arial" w:cs="Arial"/>
          <w:color w:val="222222"/>
        </w:rPr>
        <w:t xml:space="preserve"> reactivation with extension to tracheobronchial tree or pneumonia in ventilated patients [8,10,11]</w:t>
      </w:r>
      <w:r w:rsidR="00B53FEF">
        <w:rPr>
          <w:rFonts w:ascii="Arial" w:hAnsi="Arial" w:cs="Arial"/>
          <w:color w:val="222222"/>
        </w:rPr>
        <w:t xml:space="preserve"> </w:t>
      </w:r>
      <w:r w:rsidRPr="00AD3270">
        <w:rPr>
          <w:rFonts w:ascii="Arial" w:hAnsi="Arial" w:cs="Arial"/>
          <w:color w:val="222222"/>
        </w:rPr>
        <w:t>.</w:t>
      </w:r>
    </w:p>
    <w:p w14:paraId="553BAB40" w14:textId="2F8A26F4" w:rsidR="0050272F" w:rsidRPr="00AD3270" w:rsidRDefault="0050272F" w:rsidP="00AD3270">
      <w:pPr>
        <w:shd w:val="clear" w:color="auto" w:fill="FFFFFF"/>
        <w:rPr>
          <w:rFonts w:ascii="Arial" w:hAnsi="Arial" w:cs="Arial"/>
          <w:color w:val="222222"/>
        </w:rPr>
      </w:pPr>
      <w:r w:rsidRPr="00AD3270">
        <w:rPr>
          <w:rFonts w:ascii="Arial" w:hAnsi="Arial" w:cs="Arial"/>
          <w:bCs/>
          <w:color w:val="222222"/>
        </w:rPr>
        <w:t>Disseminated</w:t>
      </w:r>
      <w:r w:rsidR="00AD3270" w:rsidRPr="00AD3270">
        <w:rPr>
          <w:rFonts w:ascii="Arial" w:hAnsi="Arial" w:cs="Arial"/>
          <w:bCs/>
          <w:color w:val="222222"/>
        </w:rPr>
        <w:t xml:space="preserve"> systemic</w:t>
      </w:r>
      <w:r w:rsidRPr="00AD3270">
        <w:rPr>
          <w:rFonts w:ascii="Arial" w:hAnsi="Arial" w:cs="Arial"/>
          <w:bCs/>
          <w:color w:val="222222"/>
        </w:rPr>
        <w:t xml:space="preserve"> disease</w:t>
      </w:r>
      <w:r w:rsidR="00AD3270" w:rsidRPr="00AD3270">
        <w:rPr>
          <w:rFonts w:ascii="Arial" w:hAnsi="Arial" w:cs="Arial"/>
          <w:color w:val="222222"/>
        </w:rPr>
        <w:t xml:space="preserve"> remains a rare but possible occurence</w:t>
      </w:r>
      <w:r w:rsidRPr="00AD3270">
        <w:rPr>
          <w:rFonts w:ascii="Arial" w:hAnsi="Arial" w:cs="Arial"/>
          <w:color w:val="222222"/>
        </w:rPr>
        <w:t>, usually in the context of severe immunosuppression</w:t>
      </w:r>
      <w:r w:rsidR="00AD3270" w:rsidRPr="00AD3270">
        <w:rPr>
          <w:rFonts w:ascii="Arial" w:hAnsi="Arial" w:cs="Arial"/>
          <w:color w:val="222222"/>
        </w:rPr>
        <w:t>; may lead to</w:t>
      </w:r>
      <w:r w:rsidRPr="00AD3270">
        <w:rPr>
          <w:rFonts w:ascii="Arial" w:hAnsi="Arial" w:cs="Arial"/>
          <w:color w:val="222222"/>
        </w:rPr>
        <w:t xml:space="preserve"> hepatitis, encephalitis, or multiorgan involvement [1,2].</w:t>
      </w:r>
    </w:p>
    <w:p w14:paraId="62053807" w14:textId="61E8A48A" w:rsidR="00AD3270" w:rsidRPr="00AD3270" w:rsidRDefault="00AD3270" w:rsidP="00AD3270">
      <w:pPr>
        <w:shd w:val="clear" w:color="auto" w:fill="FFFFFF"/>
        <w:rPr>
          <w:rFonts w:ascii="Arial" w:hAnsi="Arial" w:cs="Arial"/>
          <w:color w:val="222222"/>
        </w:rPr>
      </w:pPr>
    </w:p>
    <w:p w14:paraId="4C376285" w14:textId="77777777" w:rsidR="00AD3270" w:rsidRPr="00AD3270" w:rsidRDefault="00AD3270" w:rsidP="00AD3270">
      <w:pPr>
        <w:shd w:val="clear" w:color="auto" w:fill="FFFFFF"/>
        <w:rPr>
          <w:rFonts w:ascii="Arial" w:hAnsi="Arial" w:cs="Arial"/>
          <w:color w:val="222222"/>
        </w:rPr>
      </w:pPr>
      <w:r w:rsidRPr="00AD3270">
        <w:rPr>
          <w:rFonts w:ascii="Arial" w:hAnsi="Arial" w:cs="Arial"/>
          <w:color w:val="222222"/>
        </w:rPr>
        <w:t xml:space="preserve">Clinical evaluation </w:t>
      </w:r>
      <w:proofErr w:type="gramStart"/>
      <w:r w:rsidRPr="00AD3270">
        <w:rPr>
          <w:rFonts w:ascii="Arial" w:hAnsi="Arial" w:cs="Arial"/>
          <w:color w:val="222222"/>
        </w:rPr>
        <w:t>alone  can</w:t>
      </w:r>
      <w:proofErr w:type="gramEnd"/>
      <w:r w:rsidRPr="00AD3270">
        <w:rPr>
          <w:rFonts w:ascii="Arial" w:hAnsi="Arial" w:cs="Arial"/>
          <w:color w:val="222222"/>
        </w:rPr>
        <w:t xml:space="preserve"> be</w:t>
      </w:r>
      <w:r w:rsidR="0050272F" w:rsidRPr="00AD3270">
        <w:rPr>
          <w:rFonts w:ascii="Arial" w:hAnsi="Arial" w:cs="Arial"/>
          <w:color w:val="222222"/>
        </w:rPr>
        <w:t xml:space="preserve"> insufficient: HSV lesions may be atypical, and </w:t>
      </w:r>
      <w:r w:rsidRPr="00AD3270">
        <w:rPr>
          <w:rFonts w:ascii="Arial" w:hAnsi="Arial" w:cs="Arial"/>
          <w:color w:val="222222"/>
        </w:rPr>
        <w:t xml:space="preserve"> in many cases masqued by </w:t>
      </w:r>
      <w:r w:rsidR="0050272F" w:rsidRPr="00AD3270">
        <w:rPr>
          <w:rFonts w:ascii="Arial" w:hAnsi="Arial" w:cs="Arial"/>
          <w:color w:val="222222"/>
        </w:rPr>
        <w:t>ba</w:t>
      </w:r>
      <w:r w:rsidRPr="00AD3270">
        <w:rPr>
          <w:rFonts w:ascii="Arial" w:hAnsi="Arial" w:cs="Arial"/>
          <w:color w:val="222222"/>
        </w:rPr>
        <w:t xml:space="preserve">cterial superinfection </w:t>
      </w:r>
      <w:r w:rsidR="0050272F" w:rsidRPr="00AD3270">
        <w:rPr>
          <w:rFonts w:ascii="Arial" w:hAnsi="Arial" w:cs="Arial"/>
          <w:color w:val="222222"/>
        </w:rPr>
        <w:t xml:space="preserve">. </w:t>
      </w:r>
    </w:p>
    <w:p w14:paraId="6D259602" w14:textId="2F5009DF" w:rsidR="0050272F" w:rsidRPr="00AD3270" w:rsidRDefault="00AD3270" w:rsidP="00650D12">
      <w:pPr>
        <w:shd w:val="clear" w:color="auto" w:fill="FFFFFF"/>
        <w:rPr>
          <w:rFonts w:ascii="Arial" w:hAnsi="Arial" w:cs="Arial"/>
          <w:color w:val="222222"/>
        </w:rPr>
      </w:pPr>
      <w:r w:rsidRPr="00AD3270">
        <w:rPr>
          <w:rFonts w:ascii="Arial" w:hAnsi="Arial" w:cs="Arial"/>
          <w:color w:val="222222"/>
        </w:rPr>
        <w:t xml:space="preserve">Misattribution of graft loss to ischemia or bacterial infection, can lead  to unnecessary surgical reintervention and delayed antiviral therapy. </w:t>
      </w:r>
      <w:r w:rsidR="0050272F" w:rsidRPr="00AD3270">
        <w:rPr>
          <w:rFonts w:ascii="Arial" w:hAnsi="Arial" w:cs="Arial"/>
          <w:color w:val="222222"/>
        </w:rPr>
        <w:t>Thus, laboratory confirmation is important.</w:t>
      </w:r>
    </w:p>
    <w:p w14:paraId="3F97575F" w14:textId="0868CB9F" w:rsidR="0050272F" w:rsidRPr="00650D12" w:rsidRDefault="0050272F" w:rsidP="00650D12">
      <w:pPr>
        <w:shd w:val="clear" w:color="auto" w:fill="FFFFFF"/>
        <w:jc w:val="both"/>
        <w:rPr>
          <w:rFonts w:ascii="Arial" w:hAnsi="Arial" w:cs="Arial"/>
          <w:color w:val="222222"/>
        </w:rPr>
      </w:pPr>
      <w:r w:rsidRPr="00650D12">
        <w:rPr>
          <w:rFonts w:ascii="Arial" w:hAnsi="Arial" w:cs="Arial"/>
          <w:bCs/>
          <w:color w:val="222222"/>
        </w:rPr>
        <w:t>Diagnosti</w:t>
      </w:r>
      <w:r w:rsidR="00650D12" w:rsidRPr="00650D12">
        <w:rPr>
          <w:rFonts w:ascii="Arial" w:hAnsi="Arial" w:cs="Arial"/>
          <w:bCs/>
          <w:color w:val="222222"/>
        </w:rPr>
        <w:t>c methods for HSV 1</w:t>
      </w:r>
      <w:r w:rsidR="00650D12" w:rsidRPr="00650D12">
        <w:rPr>
          <w:rFonts w:ascii="Arial" w:hAnsi="Arial" w:cs="Arial"/>
          <w:color w:val="222222"/>
        </w:rPr>
        <w:t xml:space="preserve"> include </w:t>
      </w:r>
      <w:r w:rsidRPr="00650D12">
        <w:rPr>
          <w:rFonts w:ascii="Arial" w:hAnsi="Arial" w:cs="Arial"/>
          <w:bCs/>
          <w:color w:val="222222"/>
        </w:rPr>
        <w:t xml:space="preserve">PCR </w:t>
      </w:r>
      <w:r w:rsidR="00650D12" w:rsidRPr="00650D12">
        <w:rPr>
          <w:rFonts w:ascii="Arial" w:hAnsi="Arial" w:cs="Arial"/>
          <w:color w:val="222222"/>
        </w:rPr>
        <w:t xml:space="preserve">via </w:t>
      </w:r>
      <w:r w:rsidRPr="00650D12">
        <w:rPr>
          <w:rFonts w:ascii="Arial" w:hAnsi="Arial" w:cs="Arial"/>
          <w:color w:val="222222"/>
        </w:rPr>
        <w:t xml:space="preserve">wound swab, tissue </w:t>
      </w:r>
      <w:r w:rsidR="00650D12" w:rsidRPr="00650D12">
        <w:rPr>
          <w:rFonts w:ascii="Arial" w:hAnsi="Arial" w:cs="Arial"/>
          <w:color w:val="222222"/>
        </w:rPr>
        <w:t xml:space="preserve">biopsy, or respiratory </w:t>
      </w:r>
      <w:proofErr w:type="gramStart"/>
      <w:r w:rsidR="00650D12" w:rsidRPr="00650D12">
        <w:rPr>
          <w:rFonts w:ascii="Arial" w:hAnsi="Arial" w:cs="Arial"/>
          <w:color w:val="222222"/>
        </w:rPr>
        <w:t xml:space="preserve">samples </w:t>
      </w:r>
      <w:r w:rsidRPr="00650D12">
        <w:rPr>
          <w:rFonts w:ascii="Arial" w:hAnsi="Arial" w:cs="Arial"/>
          <w:color w:val="222222"/>
        </w:rPr>
        <w:t xml:space="preserve"> high</w:t>
      </w:r>
      <w:proofErr w:type="gramEnd"/>
      <w:r w:rsidRPr="00650D12">
        <w:rPr>
          <w:rFonts w:ascii="Arial" w:hAnsi="Arial" w:cs="Arial"/>
          <w:color w:val="222222"/>
        </w:rPr>
        <w:t xml:space="preserve"> sensitivity and rapid turnaround; m</w:t>
      </w:r>
      <w:r w:rsidR="00650D12" w:rsidRPr="00650D12">
        <w:rPr>
          <w:rFonts w:ascii="Arial" w:hAnsi="Arial" w:cs="Arial"/>
          <w:color w:val="222222"/>
        </w:rPr>
        <w:t>ost widely used in clinical</w:t>
      </w:r>
      <w:r w:rsidRPr="00650D12">
        <w:rPr>
          <w:rFonts w:ascii="Arial" w:hAnsi="Arial" w:cs="Arial"/>
          <w:color w:val="222222"/>
        </w:rPr>
        <w:t xml:space="preserve"> practice [1,2,5].</w:t>
      </w:r>
    </w:p>
    <w:p w14:paraId="2BFFA3F1" w14:textId="69ADBB9E" w:rsidR="0050272F" w:rsidRPr="00650D12" w:rsidRDefault="00650D12" w:rsidP="00650D12">
      <w:pPr>
        <w:shd w:val="clear" w:color="auto" w:fill="FFFFFF"/>
        <w:jc w:val="both"/>
        <w:rPr>
          <w:rFonts w:ascii="Arial" w:hAnsi="Arial" w:cs="Arial"/>
          <w:color w:val="222222"/>
        </w:rPr>
      </w:pPr>
      <w:r w:rsidRPr="00650D12">
        <w:rPr>
          <w:rFonts w:ascii="Arial" w:hAnsi="Arial" w:cs="Arial"/>
          <w:bCs/>
          <w:color w:val="222222"/>
        </w:rPr>
        <w:t>Immunohistochemistry /</w:t>
      </w:r>
      <w:r w:rsidR="0050272F" w:rsidRPr="00650D12">
        <w:rPr>
          <w:rFonts w:ascii="Arial" w:hAnsi="Arial" w:cs="Arial"/>
          <w:bCs/>
          <w:color w:val="222222"/>
        </w:rPr>
        <w:t>histology</w:t>
      </w:r>
      <w:r w:rsidR="0050272F" w:rsidRPr="00650D12">
        <w:rPr>
          <w:rFonts w:ascii="Arial" w:hAnsi="Arial" w:cs="Arial"/>
          <w:color w:val="222222"/>
        </w:rPr>
        <w:t> of biopsy specimens: useful when tissue invasion is suspected and to demonstrate characteristic cytopathic effect (multinucleated giant cells, Cowdry type A inclusions) [7].</w:t>
      </w:r>
    </w:p>
    <w:p w14:paraId="144EF3F8" w14:textId="77777777" w:rsidR="00650D12" w:rsidRPr="00650D12" w:rsidRDefault="00650D12" w:rsidP="00650D12">
      <w:pPr>
        <w:shd w:val="clear" w:color="auto" w:fill="FFFFFF"/>
        <w:jc w:val="both"/>
        <w:rPr>
          <w:rFonts w:ascii="Arial" w:hAnsi="Arial" w:cs="Arial"/>
          <w:color w:val="222222"/>
        </w:rPr>
      </w:pPr>
      <w:r w:rsidRPr="00650D12">
        <w:rPr>
          <w:rFonts w:ascii="Arial" w:hAnsi="Arial" w:cs="Arial"/>
          <w:color w:val="222222"/>
        </w:rPr>
        <w:t>Positive PCR from oropharyngeal or wound sites must be correlated with clinical signs and, when possible, tissue demonstration of viral cytopathic changes to confirm invasive disease.</w:t>
      </w:r>
    </w:p>
    <w:p w14:paraId="45A63513" w14:textId="77777777" w:rsidR="00650D12" w:rsidRPr="00650D12" w:rsidRDefault="00650D12" w:rsidP="00650D12">
      <w:pPr>
        <w:shd w:val="clear" w:color="auto" w:fill="FFFFFF"/>
        <w:jc w:val="both"/>
        <w:rPr>
          <w:rFonts w:ascii="Arial" w:hAnsi="Arial" w:cs="Arial"/>
          <w:color w:val="222222"/>
        </w:rPr>
      </w:pPr>
    </w:p>
    <w:p w14:paraId="09411285" w14:textId="2B43F2D0" w:rsidR="0050272F" w:rsidRPr="00650D12" w:rsidRDefault="0050272F" w:rsidP="00650D12">
      <w:pPr>
        <w:shd w:val="clear" w:color="auto" w:fill="FFFFFF"/>
        <w:jc w:val="both"/>
        <w:rPr>
          <w:rFonts w:ascii="Arial" w:hAnsi="Arial" w:cs="Arial"/>
          <w:color w:val="222222"/>
        </w:rPr>
      </w:pPr>
      <w:r w:rsidRPr="00650D12">
        <w:rPr>
          <w:rFonts w:ascii="Arial" w:hAnsi="Arial" w:cs="Arial"/>
          <w:bCs/>
          <w:color w:val="222222"/>
        </w:rPr>
        <w:t>Viral culture</w:t>
      </w:r>
      <w:r w:rsidR="00650D12" w:rsidRPr="00650D12">
        <w:rPr>
          <w:rFonts w:ascii="Arial" w:hAnsi="Arial" w:cs="Arial"/>
          <w:bCs/>
          <w:color w:val="222222"/>
        </w:rPr>
        <w:t xml:space="preserve"> on the other hand has</w:t>
      </w:r>
      <w:r w:rsidRPr="00650D12">
        <w:rPr>
          <w:rFonts w:ascii="Arial" w:hAnsi="Arial" w:cs="Arial"/>
          <w:color w:val="222222"/>
        </w:rPr>
        <w:t> lower sensitivity and</w:t>
      </w:r>
      <w:r w:rsidR="00650D12" w:rsidRPr="00650D12">
        <w:rPr>
          <w:rFonts w:ascii="Arial" w:hAnsi="Arial" w:cs="Arial"/>
          <w:color w:val="222222"/>
        </w:rPr>
        <w:t xml:space="preserve"> takes longer time is</w:t>
      </w:r>
      <w:r w:rsidRPr="00650D12">
        <w:rPr>
          <w:rFonts w:ascii="Arial" w:hAnsi="Arial" w:cs="Arial"/>
          <w:color w:val="222222"/>
        </w:rPr>
        <w:t xml:space="preserve"> still used in some centers.</w:t>
      </w:r>
    </w:p>
    <w:p w14:paraId="2070341D" w14:textId="1D88721A" w:rsidR="0050272F" w:rsidRPr="00650D12" w:rsidRDefault="0050272F" w:rsidP="00650D12">
      <w:pPr>
        <w:shd w:val="clear" w:color="auto" w:fill="FFFFFF"/>
        <w:jc w:val="both"/>
        <w:rPr>
          <w:rFonts w:ascii="Arial" w:hAnsi="Arial" w:cs="Arial"/>
          <w:color w:val="222222"/>
        </w:rPr>
      </w:pPr>
      <w:r w:rsidRPr="00650D12">
        <w:rPr>
          <w:rFonts w:ascii="Arial" w:hAnsi="Arial" w:cs="Arial"/>
          <w:bCs/>
          <w:color w:val="222222"/>
        </w:rPr>
        <w:t>Serology</w:t>
      </w:r>
      <w:r w:rsidR="00650D12" w:rsidRPr="00650D12">
        <w:rPr>
          <w:rFonts w:ascii="Arial" w:hAnsi="Arial" w:cs="Arial"/>
          <w:bCs/>
          <w:color w:val="222222"/>
        </w:rPr>
        <w:t xml:space="preserve"> remains of very </w:t>
      </w:r>
      <w:r w:rsidRPr="00650D12">
        <w:rPr>
          <w:rFonts w:ascii="Arial" w:hAnsi="Arial" w:cs="Arial"/>
          <w:color w:val="222222"/>
        </w:rPr>
        <w:t> limited utility for acute diagnosis because many adults have seropositivity</w:t>
      </w:r>
      <w:r w:rsidR="00650D12" w:rsidRPr="00650D12">
        <w:rPr>
          <w:rFonts w:ascii="Arial" w:hAnsi="Arial" w:cs="Arial"/>
          <w:color w:val="222222"/>
        </w:rPr>
        <w:t xml:space="preserve"> to HVS </w:t>
      </w:r>
      <w:r w:rsidRPr="00650D12">
        <w:rPr>
          <w:rFonts w:ascii="Arial" w:hAnsi="Arial" w:cs="Arial"/>
          <w:color w:val="222222"/>
        </w:rPr>
        <w:t>[1,4].</w:t>
      </w:r>
    </w:p>
    <w:p w14:paraId="1238B821" w14:textId="6B83A8AF" w:rsidR="0050272F" w:rsidRPr="0050272F" w:rsidRDefault="0050272F" w:rsidP="0050272F">
      <w:pPr>
        <w:rPr>
          <w:rFonts w:ascii="Times" w:eastAsia="Times New Roman" w:hAnsi="Times" w:cs="Times New Roman"/>
          <w:sz w:val="20"/>
          <w:szCs w:val="20"/>
        </w:rPr>
      </w:pPr>
    </w:p>
    <w:p w14:paraId="24FC7513" w14:textId="22E60E4A" w:rsidR="0050272F" w:rsidRPr="0050272F" w:rsidRDefault="0050272F" w:rsidP="0050272F">
      <w:pPr>
        <w:shd w:val="clear" w:color="auto" w:fill="FFFFFF"/>
        <w:spacing w:before="100" w:beforeAutospacing="1" w:after="100" w:afterAutospacing="1"/>
        <w:outlineLvl w:val="1"/>
        <w:rPr>
          <w:rFonts w:ascii="Arial" w:eastAsia="Times New Roman" w:hAnsi="Arial" w:cs="Arial"/>
          <w:b/>
          <w:bCs/>
          <w:color w:val="222222"/>
          <w:sz w:val="36"/>
          <w:szCs w:val="36"/>
        </w:rPr>
      </w:pPr>
      <w:r w:rsidRPr="0050272F">
        <w:rPr>
          <w:rFonts w:ascii="Arial" w:eastAsia="Times New Roman" w:hAnsi="Arial" w:cs="Arial"/>
          <w:b/>
          <w:bCs/>
          <w:color w:val="222222"/>
          <w:sz w:val="36"/>
          <w:szCs w:val="36"/>
        </w:rPr>
        <w:t>Treatment options: t</w:t>
      </w:r>
      <w:r w:rsidR="0015772F">
        <w:rPr>
          <w:rFonts w:ascii="Arial" w:eastAsia="Times New Roman" w:hAnsi="Arial" w:cs="Arial"/>
          <w:b/>
          <w:bCs/>
          <w:color w:val="222222"/>
          <w:sz w:val="36"/>
          <w:szCs w:val="36"/>
        </w:rPr>
        <w:t>opical and systemic antivirals</w:t>
      </w:r>
    </w:p>
    <w:p w14:paraId="78AE968D" w14:textId="367AF715" w:rsidR="0050272F" w:rsidRPr="0015772F" w:rsidRDefault="0050272F" w:rsidP="0015772F">
      <w:pPr>
        <w:shd w:val="clear" w:color="auto" w:fill="FFFFFF"/>
        <w:jc w:val="both"/>
        <w:rPr>
          <w:rFonts w:ascii="Arial" w:hAnsi="Arial" w:cs="Arial"/>
          <w:color w:val="222222"/>
        </w:rPr>
      </w:pPr>
      <w:r w:rsidRPr="0015772F">
        <w:rPr>
          <w:rFonts w:ascii="Arial" w:hAnsi="Arial" w:cs="Arial"/>
          <w:color w:val="222222"/>
        </w:rPr>
        <w:t>When clinically significant HSV-1 infection is suspected or confirmed in a burn patient, antiviral ther</w:t>
      </w:r>
      <w:r w:rsidR="0015772F" w:rsidRPr="0015772F">
        <w:rPr>
          <w:rFonts w:ascii="Arial" w:hAnsi="Arial" w:cs="Arial"/>
          <w:color w:val="222222"/>
        </w:rPr>
        <w:t xml:space="preserve">apy should be initiated </w:t>
      </w:r>
      <w:proofErr w:type="gramStart"/>
      <w:r w:rsidR="0015772F" w:rsidRPr="0015772F">
        <w:rPr>
          <w:rFonts w:ascii="Arial" w:hAnsi="Arial" w:cs="Arial"/>
          <w:color w:val="222222"/>
        </w:rPr>
        <w:t xml:space="preserve">immediatly </w:t>
      </w:r>
      <w:r w:rsidRPr="0015772F">
        <w:rPr>
          <w:rFonts w:ascii="Arial" w:hAnsi="Arial" w:cs="Arial"/>
          <w:color w:val="222222"/>
        </w:rPr>
        <w:t>.</w:t>
      </w:r>
      <w:proofErr w:type="gramEnd"/>
      <w:r w:rsidRPr="0015772F">
        <w:rPr>
          <w:rFonts w:ascii="Arial" w:hAnsi="Arial" w:cs="Arial"/>
          <w:color w:val="222222"/>
        </w:rPr>
        <w:t xml:space="preserve"> Treatment options include topical antivirals, systemic o</w:t>
      </w:r>
      <w:r w:rsidR="0015772F" w:rsidRPr="0015772F">
        <w:rPr>
          <w:rFonts w:ascii="Arial" w:hAnsi="Arial" w:cs="Arial"/>
          <w:color w:val="222222"/>
        </w:rPr>
        <w:t xml:space="preserve">ral or intravenous therapy, and when necessary </w:t>
      </w:r>
      <w:r w:rsidRPr="0015772F">
        <w:rPr>
          <w:rFonts w:ascii="Arial" w:hAnsi="Arial" w:cs="Arial"/>
          <w:color w:val="222222"/>
        </w:rPr>
        <w:t>antiviral alternatives for resistant strains.</w:t>
      </w:r>
    </w:p>
    <w:p w14:paraId="5CD29037" w14:textId="60D1CF72" w:rsidR="0050272F" w:rsidRPr="0015772F" w:rsidRDefault="0050272F" w:rsidP="0015772F">
      <w:pPr>
        <w:shd w:val="clear" w:color="auto" w:fill="FFFFFF"/>
        <w:jc w:val="both"/>
        <w:rPr>
          <w:rFonts w:ascii="Arial" w:hAnsi="Arial" w:cs="Arial"/>
          <w:color w:val="222222"/>
        </w:rPr>
      </w:pPr>
      <w:r w:rsidRPr="0015772F">
        <w:rPr>
          <w:rFonts w:ascii="Arial" w:hAnsi="Arial" w:cs="Arial"/>
          <w:color w:val="222222"/>
        </w:rPr>
        <w:t>Topical formulations such as </w:t>
      </w:r>
      <w:r w:rsidRPr="0015772F">
        <w:rPr>
          <w:rFonts w:ascii="Arial" w:hAnsi="Arial" w:cs="Arial"/>
          <w:bCs/>
          <w:color w:val="222222"/>
        </w:rPr>
        <w:t>aciclovir cream</w:t>
      </w:r>
      <w:r w:rsidRPr="0015772F">
        <w:rPr>
          <w:rFonts w:ascii="Arial" w:hAnsi="Arial" w:cs="Arial"/>
          <w:color w:val="222222"/>
        </w:rPr>
        <w:t> may be used for localized mucocutaneous disease but have limited penetration in deep or graft-related infection. In burn wounds with surrounding intact epidermis or superficial involvement, top</w:t>
      </w:r>
      <w:r w:rsidR="0015772F" w:rsidRPr="0015772F">
        <w:rPr>
          <w:rFonts w:ascii="Arial" w:hAnsi="Arial" w:cs="Arial"/>
          <w:color w:val="222222"/>
        </w:rPr>
        <w:t xml:space="preserve">ical therapy can be </w:t>
      </w:r>
      <w:proofErr w:type="gramStart"/>
      <w:r w:rsidR="0015772F" w:rsidRPr="0015772F">
        <w:rPr>
          <w:rFonts w:ascii="Arial" w:hAnsi="Arial" w:cs="Arial"/>
          <w:color w:val="222222"/>
        </w:rPr>
        <w:t>adjunctive</w:t>
      </w:r>
      <w:r w:rsidRPr="0015772F">
        <w:rPr>
          <w:rFonts w:ascii="Arial" w:hAnsi="Arial" w:cs="Arial"/>
          <w:color w:val="222222"/>
        </w:rPr>
        <w:t>[</w:t>
      </w:r>
      <w:proofErr w:type="gramEnd"/>
      <w:r w:rsidRPr="0015772F">
        <w:rPr>
          <w:rFonts w:ascii="Arial" w:hAnsi="Arial" w:cs="Arial"/>
          <w:color w:val="222222"/>
        </w:rPr>
        <w:t>4–6].</w:t>
      </w:r>
    </w:p>
    <w:p w14:paraId="58643AA6" w14:textId="0D07E4A4" w:rsidR="0050272F" w:rsidRPr="0015772F" w:rsidRDefault="00650D12" w:rsidP="0015772F">
      <w:pPr>
        <w:shd w:val="clear" w:color="auto" w:fill="FFFFFF"/>
        <w:jc w:val="both"/>
        <w:rPr>
          <w:rFonts w:ascii="Arial" w:hAnsi="Arial" w:cs="Arial"/>
          <w:color w:val="222222"/>
        </w:rPr>
      </w:pPr>
      <w:proofErr w:type="gramStart"/>
      <w:r w:rsidRPr="0015772F">
        <w:rPr>
          <w:rFonts w:ascii="Arial" w:hAnsi="Arial" w:cs="Arial"/>
          <w:bCs/>
          <w:color w:val="222222"/>
        </w:rPr>
        <w:t>intravenous</w:t>
      </w:r>
      <w:proofErr w:type="gramEnd"/>
      <w:r w:rsidRPr="0015772F">
        <w:rPr>
          <w:rFonts w:ascii="Arial" w:hAnsi="Arial" w:cs="Arial"/>
          <w:bCs/>
          <w:color w:val="222222"/>
        </w:rPr>
        <w:t xml:space="preserve"> </w:t>
      </w:r>
      <w:r w:rsidR="0050272F" w:rsidRPr="0015772F">
        <w:rPr>
          <w:rFonts w:ascii="Arial" w:hAnsi="Arial" w:cs="Arial"/>
          <w:bCs/>
          <w:color w:val="222222"/>
        </w:rPr>
        <w:t>Acyclovir</w:t>
      </w:r>
      <w:r w:rsidR="0050272F" w:rsidRPr="0015772F">
        <w:rPr>
          <w:rFonts w:ascii="Arial" w:hAnsi="Arial" w:cs="Arial"/>
          <w:color w:val="222222"/>
        </w:rPr>
        <w:t> </w:t>
      </w:r>
      <w:r w:rsidRPr="0015772F">
        <w:rPr>
          <w:rFonts w:ascii="Arial" w:hAnsi="Arial" w:cs="Arial"/>
          <w:color w:val="222222"/>
        </w:rPr>
        <w:t xml:space="preserve"> is first-line therapy ; f</w:t>
      </w:r>
      <w:r w:rsidR="0050272F" w:rsidRPr="0015772F">
        <w:rPr>
          <w:rFonts w:ascii="Arial" w:hAnsi="Arial" w:cs="Arial"/>
          <w:color w:val="222222"/>
        </w:rPr>
        <w:t>or severe or invasive disease (deep wound involvement, graft loss, or suspected disseminated disease) </w:t>
      </w:r>
      <w:r w:rsidR="0050272F" w:rsidRPr="0015772F">
        <w:rPr>
          <w:rFonts w:ascii="Arial" w:hAnsi="Arial" w:cs="Arial"/>
          <w:bCs/>
          <w:color w:val="222222"/>
        </w:rPr>
        <w:t xml:space="preserve"> acyclovir</w:t>
      </w:r>
      <w:r w:rsidR="0050272F" w:rsidRPr="0015772F">
        <w:rPr>
          <w:rFonts w:ascii="Arial" w:hAnsi="Arial" w:cs="Arial"/>
          <w:color w:val="222222"/>
        </w:rPr>
        <w:t> is indicated. Common regimens used include </w:t>
      </w:r>
      <w:r w:rsidR="0050272F" w:rsidRPr="0015772F">
        <w:rPr>
          <w:rFonts w:ascii="Arial" w:hAnsi="Arial" w:cs="Arial"/>
          <w:bCs/>
          <w:color w:val="222222"/>
        </w:rPr>
        <w:t>5–10 mg/kg IV every 8 hours</w:t>
      </w:r>
      <w:r w:rsidR="0050272F" w:rsidRPr="0015772F">
        <w:rPr>
          <w:rFonts w:ascii="Arial" w:hAnsi="Arial" w:cs="Arial"/>
          <w:color w:val="222222"/>
        </w:rPr>
        <w:t>, adjusted for renal function, with typical courses of </w:t>
      </w:r>
      <w:r w:rsidR="0050272F" w:rsidRPr="0015772F">
        <w:rPr>
          <w:rFonts w:ascii="Arial" w:hAnsi="Arial" w:cs="Arial"/>
          <w:bCs/>
          <w:color w:val="222222"/>
        </w:rPr>
        <w:t>7–14 days</w:t>
      </w:r>
      <w:r w:rsidR="0015772F" w:rsidRPr="0015772F">
        <w:rPr>
          <w:rFonts w:ascii="Arial" w:hAnsi="Arial" w:cs="Arial"/>
          <w:bCs/>
          <w:color w:val="222222"/>
        </w:rPr>
        <w:t xml:space="preserve"> </w:t>
      </w:r>
      <w:r w:rsidR="0050272F" w:rsidRPr="0015772F">
        <w:rPr>
          <w:rFonts w:ascii="Arial" w:hAnsi="Arial" w:cs="Arial"/>
          <w:color w:val="222222"/>
        </w:rPr>
        <w:t>depending on clinical response and virological clearance [5,8,12]. Oral acyclovir or valacyclovir can be used for less severe disease or step-down after clinical improvement and when gastrointestinal absorption is adequate.</w:t>
      </w:r>
    </w:p>
    <w:p w14:paraId="182AE792" w14:textId="1C1FCC9C" w:rsidR="0050272F" w:rsidRPr="0015772F" w:rsidRDefault="0015772F" w:rsidP="0015772F">
      <w:pPr>
        <w:shd w:val="clear" w:color="auto" w:fill="FFFFFF"/>
        <w:jc w:val="both"/>
        <w:rPr>
          <w:rFonts w:ascii="Arial" w:hAnsi="Arial" w:cs="Arial"/>
          <w:color w:val="222222"/>
        </w:rPr>
      </w:pPr>
      <w:r w:rsidRPr="0015772F">
        <w:rPr>
          <w:rFonts w:ascii="Arial" w:hAnsi="Arial" w:cs="Arial"/>
          <w:color w:val="222222"/>
        </w:rPr>
        <w:lastRenderedPageBreak/>
        <w:t>A</w:t>
      </w:r>
      <w:r w:rsidR="0050272F" w:rsidRPr="0015772F">
        <w:rPr>
          <w:rFonts w:ascii="Arial" w:hAnsi="Arial" w:cs="Arial"/>
          <w:color w:val="222222"/>
        </w:rPr>
        <w:t>cyclovir is generally well tolerated but can cause </w:t>
      </w:r>
      <w:r w:rsidR="0050272F" w:rsidRPr="0015772F">
        <w:rPr>
          <w:rFonts w:ascii="Arial" w:hAnsi="Arial" w:cs="Arial"/>
          <w:bCs/>
          <w:color w:val="222222"/>
        </w:rPr>
        <w:t>nephrotoxicity</w:t>
      </w:r>
      <w:r w:rsidR="0050272F" w:rsidRPr="0015772F">
        <w:rPr>
          <w:rFonts w:ascii="Arial" w:hAnsi="Arial" w:cs="Arial"/>
          <w:color w:val="222222"/>
        </w:rPr>
        <w:t xml:space="preserve"> particularly with IV therapy and in </w:t>
      </w:r>
      <w:r w:rsidRPr="0015772F">
        <w:rPr>
          <w:rFonts w:ascii="Arial" w:hAnsi="Arial" w:cs="Arial"/>
          <w:color w:val="222222"/>
        </w:rPr>
        <w:t>patients with renal disease a</w:t>
      </w:r>
      <w:r w:rsidR="0050272F" w:rsidRPr="0015772F">
        <w:rPr>
          <w:rFonts w:ascii="Arial" w:hAnsi="Arial" w:cs="Arial"/>
          <w:color w:val="222222"/>
        </w:rPr>
        <w:t xml:space="preserve">dequate hydration and dose adjustment </w:t>
      </w:r>
      <w:r w:rsidRPr="0015772F">
        <w:rPr>
          <w:rFonts w:ascii="Arial" w:hAnsi="Arial" w:cs="Arial"/>
          <w:color w:val="222222"/>
        </w:rPr>
        <w:t xml:space="preserve">is a must </w:t>
      </w:r>
      <w:r w:rsidR="0050272F" w:rsidRPr="0015772F">
        <w:rPr>
          <w:rFonts w:ascii="Arial" w:hAnsi="Arial" w:cs="Arial"/>
          <w:color w:val="222222"/>
        </w:rPr>
        <w:t>[12,14].</w:t>
      </w:r>
    </w:p>
    <w:p w14:paraId="2481CEAE" w14:textId="5507FB1D" w:rsidR="0015772F" w:rsidRPr="00396D71" w:rsidRDefault="0015772F" w:rsidP="00396D71">
      <w:pPr>
        <w:shd w:val="clear" w:color="auto" w:fill="FFFFFF"/>
        <w:jc w:val="both"/>
        <w:rPr>
          <w:rFonts w:ascii="Arial" w:hAnsi="Arial" w:cs="Arial"/>
          <w:color w:val="222222"/>
        </w:rPr>
      </w:pPr>
      <w:r>
        <w:rPr>
          <w:rFonts w:ascii="Arial" w:hAnsi="Arial" w:cs="Arial"/>
          <w:color w:val="222222"/>
        </w:rPr>
        <w:t xml:space="preserve">Mutations in </w:t>
      </w:r>
      <w:r w:rsidRPr="0050272F">
        <w:rPr>
          <w:rFonts w:ascii="Arial" w:hAnsi="Arial" w:cs="Arial"/>
          <w:color w:val="222222"/>
        </w:rPr>
        <w:t>thymidine kinase</w:t>
      </w:r>
      <w:r>
        <w:rPr>
          <w:rFonts w:ascii="Arial" w:hAnsi="Arial" w:cs="Arial"/>
          <w:color w:val="222222"/>
        </w:rPr>
        <w:t xml:space="preserve"> confers resistance </w:t>
      </w:r>
      <w:r w:rsidRPr="0050272F">
        <w:rPr>
          <w:rFonts w:ascii="Arial" w:hAnsi="Arial" w:cs="Arial"/>
          <w:color w:val="222222"/>
        </w:rPr>
        <w:t>to acyclovir</w:t>
      </w:r>
      <w:r w:rsidR="0050272F" w:rsidRPr="0050272F">
        <w:rPr>
          <w:rFonts w:ascii="Arial" w:hAnsi="Arial" w:cs="Arial"/>
          <w:color w:val="222222"/>
        </w:rPr>
        <w:t xml:space="preserve">. </w:t>
      </w:r>
      <w:r>
        <w:rPr>
          <w:rFonts w:ascii="Arial" w:hAnsi="Arial" w:cs="Arial"/>
          <w:color w:val="222222"/>
        </w:rPr>
        <w:t xml:space="preserve">When resistance is </w:t>
      </w:r>
      <w:r w:rsidRPr="00396D71">
        <w:rPr>
          <w:rFonts w:ascii="Arial" w:hAnsi="Arial" w:cs="Arial"/>
          <w:color w:val="222222"/>
        </w:rPr>
        <w:t xml:space="preserve">suspected in case of </w:t>
      </w:r>
      <w:r w:rsidR="0050272F" w:rsidRPr="00396D71">
        <w:rPr>
          <w:rFonts w:ascii="Arial" w:hAnsi="Arial" w:cs="Arial"/>
          <w:color w:val="222222"/>
        </w:rPr>
        <w:t>lack of clinical response after appropriate therapy, </w:t>
      </w:r>
      <w:r w:rsidR="0050272F" w:rsidRPr="00396D71">
        <w:rPr>
          <w:rFonts w:ascii="Arial" w:hAnsi="Arial" w:cs="Arial"/>
          <w:bCs/>
          <w:color w:val="222222"/>
        </w:rPr>
        <w:t>foscarnet</w:t>
      </w:r>
      <w:r w:rsidR="0050272F" w:rsidRPr="00396D71">
        <w:rPr>
          <w:rFonts w:ascii="Arial" w:hAnsi="Arial" w:cs="Arial"/>
          <w:color w:val="222222"/>
        </w:rPr>
        <w:t> or </w:t>
      </w:r>
      <w:r w:rsidR="0050272F" w:rsidRPr="00396D71">
        <w:rPr>
          <w:rFonts w:ascii="Arial" w:hAnsi="Arial" w:cs="Arial"/>
          <w:bCs/>
          <w:color w:val="222222"/>
        </w:rPr>
        <w:t>cidofovir</w:t>
      </w:r>
      <w:r w:rsidR="0050272F" w:rsidRPr="00396D71">
        <w:rPr>
          <w:rFonts w:ascii="Arial" w:hAnsi="Arial" w:cs="Arial"/>
          <w:color w:val="222222"/>
        </w:rPr>
        <w:t> may be used; both agents have</w:t>
      </w:r>
      <w:r w:rsidRPr="00396D71">
        <w:rPr>
          <w:rFonts w:ascii="Arial" w:hAnsi="Arial" w:cs="Arial"/>
          <w:color w:val="222222"/>
        </w:rPr>
        <w:t xml:space="preserve"> significant toxicity profiles ; notably nephrotoxicity</w:t>
      </w:r>
      <w:r w:rsidR="0050272F" w:rsidRPr="00396D71">
        <w:rPr>
          <w:rFonts w:ascii="Arial" w:hAnsi="Arial" w:cs="Arial"/>
          <w:color w:val="222222"/>
        </w:rPr>
        <w:t xml:space="preserve"> and should be managed in consultation with infectious diseases specialists [14]. </w:t>
      </w:r>
    </w:p>
    <w:p w14:paraId="1EAFCD75" w14:textId="77777777" w:rsidR="00396D71" w:rsidRPr="00396D71" w:rsidRDefault="0050272F" w:rsidP="00396D71">
      <w:pPr>
        <w:shd w:val="clear" w:color="auto" w:fill="FFFFFF"/>
        <w:jc w:val="both"/>
        <w:rPr>
          <w:rFonts w:ascii="Arial" w:hAnsi="Arial" w:cs="Arial"/>
          <w:color w:val="222222"/>
        </w:rPr>
      </w:pPr>
      <w:r w:rsidRPr="00396D71">
        <w:rPr>
          <w:rFonts w:ascii="Arial" w:hAnsi="Arial" w:cs="Arial"/>
          <w:color w:val="222222"/>
        </w:rPr>
        <w:t>Newer ag</w:t>
      </w:r>
      <w:r w:rsidR="0015772F" w:rsidRPr="00396D71">
        <w:rPr>
          <w:rFonts w:ascii="Arial" w:hAnsi="Arial" w:cs="Arial"/>
          <w:color w:val="222222"/>
        </w:rPr>
        <w:t xml:space="preserve">ents and investigational drugs like </w:t>
      </w:r>
      <w:r w:rsidRPr="00396D71">
        <w:rPr>
          <w:rFonts w:ascii="Arial" w:hAnsi="Arial" w:cs="Arial"/>
          <w:color w:val="222222"/>
        </w:rPr>
        <w:t xml:space="preserve">helicase-primase inhibitors such as pritelivir) are under </w:t>
      </w:r>
      <w:r w:rsidR="0015772F" w:rsidRPr="00396D71">
        <w:rPr>
          <w:rFonts w:ascii="Arial" w:hAnsi="Arial" w:cs="Arial"/>
          <w:color w:val="222222"/>
        </w:rPr>
        <w:t xml:space="preserve">research </w:t>
      </w:r>
      <w:r w:rsidRPr="00396D71">
        <w:rPr>
          <w:rFonts w:ascii="Arial" w:hAnsi="Arial" w:cs="Arial"/>
          <w:color w:val="222222"/>
        </w:rPr>
        <w:t>but are not yet standard therapy in burn units [14].</w:t>
      </w:r>
    </w:p>
    <w:p w14:paraId="1C7BC4F6" w14:textId="11257F1E" w:rsidR="0050272F" w:rsidRPr="00396D71" w:rsidRDefault="00396D71" w:rsidP="00396D71">
      <w:pPr>
        <w:shd w:val="clear" w:color="auto" w:fill="FFFFFF"/>
        <w:jc w:val="both"/>
        <w:rPr>
          <w:rFonts w:ascii="Arial" w:hAnsi="Arial" w:cs="Arial"/>
          <w:color w:val="222222"/>
        </w:rPr>
      </w:pPr>
      <w:r w:rsidRPr="00396D71">
        <w:rPr>
          <w:rFonts w:ascii="Arial" w:hAnsi="Arial" w:cs="Arial"/>
          <w:color w:val="222222"/>
        </w:rPr>
        <w:t xml:space="preserve">In addition to antiviral treatemant multiples adjunctive measures should be taken ; essentially </w:t>
      </w:r>
      <w:r w:rsidR="0050272F" w:rsidRPr="00396D71">
        <w:rPr>
          <w:rFonts w:ascii="Arial" w:hAnsi="Arial" w:cs="Arial"/>
          <w:bCs/>
          <w:color w:val="222222"/>
        </w:rPr>
        <w:t>wound bed and perfusion</w:t>
      </w:r>
      <w:r w:rsidRPr="00396D71">
        <w:rPr>
          <w:rFonts w:ascii="Arial" w:hAnsi="Arial" w:cs="Arial"/>
          <w:bCs/>
          <w:color w:val="222222"/>
        </w:rPr>
        <w:t xml:space="preserve"> Optimization </w:t>
      </w:r>
      <w:r w:rsidRPr="00396D71">
        <w:rPr>
          <w:rFonts w:ascii="Arial" w:hAnsi="Arial" w:cs="Arial"/>
          <w:color w:val="222222"/>
        </w:rPr>
        <w:t xml:space="preserve">such as </w:t>
      </w:r>
      <w:r w:rsidR="0050272F" w:rsidRPr="00396D71">
        <w:rPr>
          <w:rFonts w:ascii="Arial" w:hAnsi="Arial" w:cs="Arial"/>
          <w:color w:val="222222"/>
        </w:rPr>
        <w:t>control</w:t>
      </w:r>
      <w:r w:rsidRPr="00396D71">
        <w:rPr>
          <w:rFonts w:ascii="Arial" w:hAnsi="Arial" w:cs="Arial"/>
          <w:color w:val="222222"/>
        </w:rPr>
        <w:t xml:space="preserve"> of </w:t>
      </w:r>
      <w:r w:rsidR="0050272F" w:rsidRPr="00396D71">
        <w:rPr>
          <w:rFonts w:ascii="Arial" w:hAnsi="Arial" w:cs="Arial"/>
          <w:color w:val="222222"/>
        </w:rPr>
        <w:t xml:space="preserve"> bacterial superinfection, and </w:t>
      </w:r>
      <w:r w:rsidRPr="00396D71">
        <w:rPr>
          <w:rFonts w:ascii="Arial" w:hAnsi="Arial" w:cs="Arial"/>
          <w:color w:val="222222"/>
        </w:rPr>
        <w:t xml:space="preserve">debridement of </w:t>
      </w:r>
      <w:r w:rsidR="0050272F" w:rsidRPr="00396D71">
        <w:rPr>
          <w:rFonts w:ascii="Arial" w:hAnsi="Arial" w:cs="Arial"/>
          <w:color w:val="222222"/>
        </w:rPr>
        <w:t>tissue. Antiviral therapy is most effective when combined with appropriate surgical and wound care measures [5,17].</w:t>
      </w:r>
    </w:p>
    <w:p w14:paraId="533FC717" w14:textId="66BF64F7" w:rsidR="0050272F" w:rsidRPr="00396D71" w:rsidRDefault="0050272F" w:rsidP="00396D71">
      <w:pPr>
        <w:shd w:val="clear" w:color="auto" w:fill="FFFFFF"/>
        <w:jc w:val="both"/>
        <w:rPr>
          <w:rFonts w:ascii="Arial" w:hAnsi="Arial" w:cs="Arial"/>
          <w:color w:val="222222"/>
        </w:rPr>
      </w:pPr>
      <w:proofErr w:type="gramStart"/>
      <w:r w:rsidRPr="00396D71">
        <w:rPr>
          <w:rFonts w:ascii="Arial" w:hAnsi="Arial" w:cs="Arial"/>
          <w:bCs/>
          <w:color w:val="222222"/>
        </w:rPr>
        <w:t>temporary</w:t>
      </w:r>
      <w:proofErr w:type="gramEnd"/>
      <w:r w:rsidRPr="00396D71">
        <w:rPr>
          <w:rFonts w:ascii="Arial" w:hAnsi="Arial" w:cs="Arial"/>
          <w:bCs/>
          <w:color w:val="222222"/>
        </w:rPr>
        <w:t xml:space="preserve"> suspension or minimization of</w:t>
      </w:r>
      <w:r w:rsidR="00396D71" w:rsidRPr="00396D71">
        <w:rPr>
          <w:rFonts w:ascii="Arial" w:hAnsi="Arial" w:cs="Arial"/>
          <w:bCs/>
          <w:color w:val="222222"/>
        </w:rPr>
        <w:t xml:space="preserve"> any</w:t>
      </w:r>
      <w:r w:rsidRPr="00396D71">
        <w:rPr>
          <w:rFonts w:ascii="Arial" w:hAnsi="Arial" w:cs="Arial"/>
          <w:bCs/>
          <w:color w:val="222222"/>
        </w:rPr>
        <w:t xml:space="preserve"> immunosuppressive therapy</w:t>
      </w:r>
      <w:r w:rsidRPr="00396D71">
        <w:rPr>
          <w:rFonts w:ascii="Arial" w:hAnsi="Arial" w:cs="Arial"/>
          <w:color w:val="222222"/>
        </w:rPr>
        <w:t> where possible to allow immune recovery.</w:t>
      </w:r>
    </w:p>
    <w:p w14:paraId="50C5A043" w14:textId="351CF0AD" w:rsidR="0050272F" w:rsidRDefault="0050272F" w:rsidP="00396D71">
      <w:pPr>
        <w:shd w:val="clear" w:color="auto" w:fill="FFFFFF"/>
        <w:jc w:val="both"/>
        <w:rPr>
          <w:rFonts w:ascii="Arial" w:hAnsi="Arial" w:cs="Arial"/>
          <w:color w:val="222222"/>
        </w:rPr>
      </w:pPr>
      <w:r w:rsidRPr="00396D71">
        <w:rPr>
          <w:rFonts w:ascii="Arial" w:hAnsi="Arial" w:cs="Arial"/>
          <w:bCs/>
          <w:color w:val="222222"/>
        </w:rPr>
        <w:t>Supportive care</w:t>
      </w:r>
      <w:r w:rsidR="00396D71" w:rsidRPr="00396D71">
        <w:rPr>
          <w:rFonts w:ascii="Arial" w:hAnsi="Arial" w:cs="Arial"/>
          <w:color w:val="222222"/>
        </w:rPr>
        <w:t xml:space="preserve"> for systemic symptoms; and monitoring </w:t>
      </w:r>
      <w:r w:rsidRPr="00396D71">
        <w:rPr>
          <w:rFonts w:ascii="Arial" w:hAnsi="Arial" w:cs="Arial"/>
          <w:color w:val="222222"/>
        </w:rPr>
        <w:t>renal function c</w:t>
      </w:r>
      <w:r w:rsidR="00396D71" w:rsidRPr="00396D71">
        <w:rPr>
          <w:rFonts w:ascii="Arial" w:hAnsi="Arial" w:cs="Arial"/>
          <w:color w:val="222222"/>
        </w:rPr>
        <w:t>losely during antiviral therapy is necessary.</w:t>
      </w:r>
    </w:p>
    <w:p w14:paraId="7A69803B" w14:textId="77777777" w:rsidR="003619DE" w:rsidRDefault="003619DE" w:rsidP="00396D71">
      <w:pPr>
        <w:shd w:val="clear" w:color="auto" w:fill="FFFFFF"/>
        <w:jc w:val="both"/>
        <w:rPr>
          <w:rFonts w:ascii="Arial" w:hAnsi="Arial" w:cs="Arial"/>
          <w:color w:val="222222"/>
        </w:rPr>
      </w:pPr>
    </w:p>
    <w:p w14:paraId="2F9EC209" w14:textId="77777777" w:rsidR="003619DE" w:rsidRDefault="003619DE" w:rsidP="00396D71">
      <w:pPr>
        <w:shd w:val="clear" w:color="auto" w:fill="FFFFFF"/>
        <w:jc w:val="both"/>
        <w:rPr>
          <w:rFonts w:ascii="Arial" w:hAnsi="Arial" w:cs="Arial"/>
          <w:color w:val="222222"/>
        </w:rPr>
      </w:pPr>
    </w:p>
    <w:p w14:paraId="7886A3BD" w14:textId="77777777" w:rsidR="003619DE" w:rsidRDefault="003619DE" w:rsidP="00396D71">
      <w:pPr>
        <w:shd w:val="clear" w:color="auto" w:fill="FFFFFF"/>
        <w:jc w:val="both"/>
        <w:rPr>
          <w:rFonts w:ascii="Arial" w:hAnsi="Arial" w:cs="Arial"/>
          <w:color w:val="222222"/>
        </w:rPr>
      </w:pPr>
    </w:p>
    <w:p w14:paraId="60448D02" w14:textId="77777777" w:rsidR="003619DE" w:rsidRDefault="003619DE" w:rsidP="00396D71">
      <w:pPr>
        <w:shd w:val="clear" w:color="auto" w:fill="FFFFFF"/>
        <w:jc w:val="both"/>
        <w:rPr>
          <w:rFonts w:ascii="Arial" w:hAnsi="Arial" w:cs="Arial"/>
          <w:color w:val="222222"/>
        </w:rPr>
      </w:pPr>
    </w:p>
    <w:tbl>
      <w:tblPr>
        <w:tblStyle w:val="TableGrid"/>
        <w:tblW w:w="9322" w:type="dxa"/>
        <w:tblLook w:val="04A0" w:firstRow="1" w:lastRow="0" w:firstColumn="1" w:lastColumn="0" w:noHBand="0" w:noVBand="1"/>
      </w:tblPr>
      <w:tblGrid>
        <w:gridCol w:w="2235"/>
        <w:gridCol w:w="3618"/>
        <w:gridCol w:w="3469"/>
      </w:tblGrid>
      <w:tr w:rsidR="003619DE" w14:paraId="3E636E1B" w14:textId="77777777" w:rsidTr="003619DE">
        <w:trPr>
          <w:trHeight w:val="477"/>
        </w:trPr>
        <w:tc>
          <w:tcPr>
            <w:tcW w:w="2235" w:type="dxa"/>
          </w:tcPr>
          <w:p w14:paraId="49E033AC" w14:textId="77777777" w:rsidR="003619DE" w:rsidRPr="008E0FA9" w:rsidRDefault="003619DE" w:rsidP="003619DE">
            <w:pPr>
              <w:pStyle w:val="Heading1"/>
              <w:outlineLvl w:val="0"/>
              <w:rPr>
                <w:sz w:val="24"/>
                <w:szCs w:val="24"/>
              </w:rPr>
            </w:pPr>
            <w:r w:rsidRPr="008E0FA9">
              <w:rPr>
                <w:sz w:val="24"/>
                <w:szCs w:val="24"/>
              </w:rPr>
              <w:t>Drug / indication</w:t>
            </w:r>
          </w:p>
        </w:tc>
        <w:tc>
          <w:tcPr>
            <w:tcW w:w="3618" w:type="dxa"/>
          </w:tcPr>
          <w:p w14:paraId="0AABB40C" w14:textId="77777777" w:rsidR="003619DE" w:rsidRPr="008E0FA9" w:rsidRDefault="003619DE" w:rsidP="003619DE">
            <w:pPr>
              <w:rPr>
                <w:b/>
              </w:rPr>
            </w:pPr>
            <w:r w:rsidRPr="008E0FA9">
              <w:rPr>
                <w:b/>
              </w:rPr>
              <w:t xml:space="preserve">Typical adult dosing (non-renal impaired) </w:t>
            </w:r>
          </w:p>
          <w:p w14:paraId="7826D838" w14:textId="77777777" w:rsidR="003619DE" w:rsidRPr="008E0FA9" w:rsidRDefault="003619DE" w:rsidP="003619DE">
            <w:pPr>
              <w:rPr>
                <w:b/>
              </w:rPr>
            </w:pPr>
            <w:r>
              <w:rPr>
                <w:b/>
              </w:rPr>
              <w:t xml:space="preserve"> </w:t>
            </w:r>
          </w:p>
        </w:tc>
        <w:tc>
          <w:tcPr>
            <w:tcW w:w="3469" w:type="dxa"/>
          </w:tcPr>
          <w:p w14:paraId="631F2F38" w14:textId="77777777" w:rsidR="003619DE" w:rsidRPr="008E0FA9" w:rsidRDefault="003619DE" w:rsidP="003619DE">
            <w:pPr>
              <w:rPr>
                <w:b/>
              </w:rPr>
            </w:pPr>
            <w:r w:rsidRPr="008E0FA9">
              <w:rPr>
                <w:b/>
              </w:rPr>
              <w:t xml:space="preserve">Renal dose adjustments </w:t>
            </w:r>
          </w:p>
        </w:tc>
      </w:tr>
      <w:tr w:rsidR="003619DE" w14:paraId="6A461394" w14:textId="77777777" w:rsidTr="003619DE">
        <w:tc>
          <w:tcPr>
            <w:tcW w:w="2235" w:type="dxa"/>
          </w:tcPr>
          <w:p w14:paraId="0783D7D4" w14:textId="77777777" w:rsidR="003619DE" w:rsidRDefault="003619DE" w:rsidP="003619DE"/>
          <w:p w14:paraId="67FBA792" w14:textId="77777777" w:rsidR="003619DE" w:rsidRDefault="003619DE" w:rsidP="003619DE">
            <w:r>
              <w:t xml:space="preserve">Acyclovir (IV) </w:t>
            </w:r>
          </w:p>
        </w:tc>
        <w:tc>
          <w:tcPr>
            <w:tcW w:w="3618" w:type="dxa"/>
          </w:tcPr>
          <w:p w14:paraId="3C5877C9" w14:textId="77777777" w:rsidR="003619DE" w:rsidRDefault="003619DE" w:rsidP="003619DE">
            <w:r>
              <w:t>5–10 mg/kg IV every 8 hours; infuse over 1 hour; ensure hydration.</w:t>
            </w:r>
          </w:p>
        </w:tc>
        <w:tc>
          <w:tcPr>
            <w:tcW w:w="3469" w:type="dxa"/>
          </w:tcPr>
          <w:p w14:paraId="28F83B81" w14:textId="77777777" w:rsidR="003619DE" w:rsidRDefault="003619DE" w:rsidP="003619DE">
            <w:r>
              <w:t xml:space="preserve">CrCl 25–50: 12h; </w:t>
            </w:r>
          </w:p>
          <w:p w14:paraId="560F8367" w14:textId="77777777" w:rsidR="003619DE" w:rsidRDefault="003619DE" w:rsidP="003619DE">
            <w:r>
              <w:t xml:space="preserve">CrCl 10–25: 24h; </w:t>
            </w:r>
          </w:p>
          <w:p w14:paraId="2C30E175" w14:textId="77777777" w:rsidR="003619DE" w:rsidRDefault="003619DE" w:rsidP="003619DE">
            <w:r>
              <w:t>CrCl &lt;10: reduce dose/extend interval. Monitor renal function.</w:t>
            </w:r>
          </w:p>
        </w:tc>
      </w:tr>
      <w:tr w:rsidR="003619DE" w14:paraId="7E649129" w14:textId="77777777" w:rsidTr="003619DE">
        <w:tc>
          <w:tcPr>
            <w:tcW w:w="2235" w:type="dxa"/>
          </w:tcPr>
          <w:p w14:paraId="1D69F8F2" w14:textId="77777777" w:rsidR="003619DE" w:rsidRDefault="003619DE" w:rsidP="003619DE"/>
          <w:p w14:paraId="05803023" w14:textId="77777777" w:rsidR="003619DE" w:rsidRDefault="003619DE" w:rsidP="003619DE">
            <w:r>
              <w:t xml:space="preserve">Acyclovir (oral) </w:t>
            </w:r>
          </w:p>
        </w:tc>
        <w:tc>
          <w:tcPr>
            <w:tcW w:w="3618" w:type="dxa"/>
          </w:tcPr>
          <w:p w14:paraId="21C3687D" w14:textId="77777777" w:rsidR="003619DE" w:rsidRDefault="003619DE" w:rsidP="003619DE">
            <w:r>
              <w:t>400 mg PO five times daily (typical); alternative: 200 mg PO five times daily.</w:t>
            </w:r>
          </w:p>
        </w:tc>
        <w:tc>
          <w:tcPr>
            <w:tcW w:w="3469" w:type="dxa"/>
          </w:tcPr>
          <w:p w14:paraId="608C389C" w14:textId="77777777" w:rsidR="003619DE" w:rsidRDefault="003619DE" w:rsidP="003619DE">
            <w:r>
              <w:t>Reduce dose/interval per CrCl; follow drug label.</w:t>
            </w:r>
          </w:p>
        </w:tc>
      </w:tr>
      <w:tr w:rsidR="003619DE" w14:paraId="6B3261BA" w14:textId="77777777" w:rsidTr="003619DE">
        <w:tc>
          <w:tcPr>
            <w:tcW w:w="2235" w:type="dxa"/>
          </w:tcPr>
          <w:p w14:paraId="7321BF96" w14:textId="77777777" w:rsidR="003619DE" w:rsidRDefault="003619DE" w:rsidP="003619DE"/>
          <w:p w14:paraId="70BFDAB2" w14:textId="77777777" w:rsidR="003619DE" w:rsidRDefault="003619DE" w:rsidP="003619DE">
            <w:r>
              <w:t xml:space="preserve">Valacyclovir (oral) </w:t>
            </w:r>
          </w:p>
        </w:tc>
        <w:tc>
          <w:tcPr>
            <w:tcW w:w="3618" w:type="dxa"/>
          </w:tcPr>
          <w:p w14:paraId="0B35CC96" w14:textId="77777777" w:rsidR="003619DE" w:rsidRDefault="003619DE" w:rsidP="003619DE">
            <w:r>
              <w:t>1 g PO twice daily for mucocutaneous HSV; 500 mg PO BID for some prophylaxis protocols.</w:t>
            </w:r>
          </w:p>
        </w:tc>
        <w:tc>
          <w:tcPr>
            <w:tcW w:w="3469" w:type="dxa"/>
          </w:tcPr>
          <w:p w14:paraId="06DDF1C2" w14:textId="77777777" w:rsidR="003619DE" w:rsidRDefault="003619DE" w:rsidP="003619DE">
            <w:r>
              <w:t xml:space="preserve">CrCl 30–49: 500 mg 12h; </w:t>
            </w:r>
          </w:p>
          <w:p w14:paraId="543AE74C" w14:textId="0B906025" w:rsidR="003619DE" w:rsidRDefault="003619DE" w:rsidP="003619DE">
            <w:r>
              <w:t xml:space="preserve">CrCl 10–29: 500 mg daily; </w:t>
            </w:r>
          </w:p>
          <w:p w14:paraId="29F65BF4" w14:textId="72C83D20" w:rsidR="003619DE" w:rsidRDefault="003619DE" w:rsidP="003619DE">
            <w:r>
              <w:t>CrCl &lt;10: adjust per label.</w:t>
            </w:r>
          </w:p>
        </w:tc>
      </w:tr>
      <w:tr w:rsidR="003619DE" w14:paraId="654ABBA9" w14:textId="77777777" w:rsidTr="003619DE">
        <w:tc>
          <w:tcPr>
            <w:tcW w:w="2235" w:type="dxa"/>
          </w:tcPr>
          <w:p w14:paraId="06DBFE5B" w14:textId="77777777" w:rsidR="003619DE" w:rsidRDefault="003619DE" w:rsidP="003619DE"/>
          <w:p w14:paraId="40B99E2F" w14:textId="77777777" w:rsidR="003619DE" w:rsidRDefault="003619DE" w:rsidP="003619DE">
            <w:r>
              <w:t xml:space="preserve">Foscarnet (IV) </w:t>
            </w:r>
          </w:p>
          <w:p w14:paraId="2BF64299" w14:textId="77777777" w:rsidR="003619DE" w:rsidRDefault="003619DE" w:rsidP="003619DE">
            <w:r>
              <w:t xml:space="preserve"> </w:t>
            </w:r>
          </w:p>
        </w:tc>
        <w:tc>
          <w:tcPr>
            <w:tcW w:w="3618" w:type="dxa"/>
          </w:tcPr>
          <w:p w14:paraId="2165B309" w14:textId="77777777" w:rsidR="003619DE" w:rsidRDefault="003619DE" w:rsidP="003619DE">
            <w:r>
              <w:t>40 mg/kg IV every 8–12 hours (80–120 mg/kg/day divided).</w:t>
            </w:r>
          </w:p>
        </w:tc>
        <w:tc>
          <w:tcPr>
            <w:tcW w:w="3469" w:type="dxa"/>
          </w:tcPr>
          <w:p w14:paraId="559236BC" w14:textId="77777777" w:rsidR="003619DE" w:rsidRDefault="003619DE" w:rsidP="003619DE">
            <w:r>
              <w:t>Nephrotoxic; adjust for renal impairment; monitor electrolytes closely.</w:t>
            </w:r>
          </w:p>
        </w:tc>
      </w:tr>
      <w:tr w:rsidR="003619DE" w14:paraId="227E17EC" w14:textId="77777777" w:rsidTr="003619DE">
        <w:trPr>
          <w:trHeight w:val="664"/>
        </w:trPr>
        <w:tc>
          <w:tcPr>
            <w:tcW w:w="2235" w:type="dxa"/>
          </w:tcPr>
          <w:p w14:paraId="7F0E3BC6" w14:textId="77777777" w:rsidR="003619DE" w:rsidRDefault="003619DE" w:rsidP="003619DE"/>
          <w:p w14:paraId="60182505" w14:textId="77777777" w:rsidR="003619DE" w:rsidRDefault="003619DE" w:rsidP="003619DE">
            <w:r>
              <w:t xml:space="preserve">Cidofovir (IV) </w:t>
            </w:r>
          </w:p>
        </w:tc>
        <w:tc>
          <w:tcPr>
            <w:tcW w:w="3618" w:type="dxa"/>
          </w:tcPr>
          <w:p w14:paraId="19512808" w14:textId="77777777" w:rsidR="003619DE" w:rsidRDefault="003619DE" w:rsidP="003619DE">
            <w:r>
              <w:t>5 mg/kg IV weekly with probenecid (example regimen).</w:t>
            </w:r>
          </w:p>
        </w:tc>
        <w:tc>
          <w:tcPr>
            <w:tcW w:w="3469" w:type="dxa"/>
          </w:tcPr>
          <w:p w14:paraId="59796E02" w14:textId="77777777" w:rsidR="003619DE" w:rsidRDefault="003619DE" w:rsidP="003619DE">
            <w:r>
              <w:t>High nephrotoxicity; use only with ID guidance.</w:t>
            </w:r>
          </w:p>
        </w:tc>
      </w:tr>
    </w:tbl>
    <w:p w14:paraId="0C91D19D" w14:textId="64609E0D" w:rsidR="00822DBC" w:rsidRPr="003619DE" w:rsidRDefault="003619DE" w:rsidP="003619DE">
      <w:pPr>
        <w:pStyle w:val="Heading2"/>
        <w:jc w:val="center"/>
        <w:rPr>
          <w:sz w:val="24"/>
          <w:szCs w:val="24"/>
        </w:rPr>
      </w:pPr>
      <w:r w:rsidRPr="003619DE">
        <w:rPr>
          <w:sz w:val="24"/>
          <w:szCs w:val="24"/>
        </w:rPr>
        <w:t>Table 1. Suggested antiviral dosing and renal dose adjustments for burn patient</w:t>
      </w:r>
    </w:p>
    <w:p w14:paraId="51231ED2" w14:textId="77777777" w:rsidR="00822DBC" w:rsidRDefault="00822DBC" w:rsidP="0050272F">
      <w:pPr>
        <w:shd w:val="clear" w:color="auto" w:fill="FFFFFF"/>
        <w:spacing w:before="100" w:beforeAutospacing="1" w:after="100" w:afterAutospacing="1"/>
        <w:outlineLvl w:val="1"/>
        <w:rPr>
          <w:rFonts w:ascii="Arial" w:eastAsia="Times New Roman" w:hAnsi="Arial" w:cs="Arial"/>
          <w:b/>
          <w:bCs/>
          <w:color w:val="222222"/>
          <w:sz w:val="36"/>
          <w:szCs w:val="36"/>
        </w:rPr>
      </w:pPr>
    </w:p>
    <w:p w14:paraId="192001A4" w14:textId="77777777" w:rsidR="00822DBC" w:rsidRDefault="00822DBC" w:rsidP="0050272F">
      <w:pPr>
        <w:shd w:val="clear" w:color="auto" w:fill="FFFFFF"/>
        <w:spacing w:before="100" w:beforeAutospacing="1" w:after="100" w:afterAutospacing="1"/>
        <w:outlineLvl w:val="1"/>
        <w:rPr>
          <w:rFonts w:ascii="Arial" w:eastAsia="Times New Roman" w:hAnsi="Arial" w:cs="Arial"/>
          <w:b/>
          <w:bCs/>
          <w:color w:val="222222"/>
          <w:sz w:val="36"/>
          <w:szCs w:val="36"/>
        </w:rPr>
      </w:pPr>
    </w:p>
    <w:p w14:paraId="092E39E8" w14:textId="77777777" w:rsidR="0050272F" w:rsidRPr="00C461F5" w:rsidRDefault="0050272F" w:rsidP="0050272F">
      <w:pPr>
        <w:shd w:val="clear" w:color="auto" w:fill="FFFFFF"/>
        <w:spacing w:before="100" w:beforeAutospacing="1" w:after="100" w:afterAutospacing="1"/>
        <w:outlineLvl w:val="1"/>
        <w:rPr>
          <w:rFonts w:ascii="Arial" w:eastAsia="Times New Roman" w:hAnsi="Arial" w:cs="Arial"/>
          <w:b/>
          <w:bCs/>
          <w:sz w:val="36"/>
          <w:szCs w:val="36"/>
        </w:rPr>
      </w:pPr>
      <w:r w:rsidRPr="00C461F5">
        <w:rPr>
          <w:rFonts w:ascii="Arial" w:eastAsia="Times New Roman" w:hAnsi="Arial" w:cs="Arial"/>
          <w:b/>
          <w:bCs/>
          <w:sz w:val="36"/>
          <w:szCs w:val="36"/>
        </w:rPr>
        <w:t>Evidence for therapeutic efficacy</w:t>
      </w:r>
    </w:p>
    <w:p w14:paraId="4D70281C" w14:textId="30F4035C" w:rsidR="0050272F" w:rsidRPr="00C461F5" w:rsidRDefault="0050272F" w:rsidP="00C461F5">
      <w:pPr>
        <w:shd w:val="clear" w:color="auto" w:fill="FFFFFF"/>
        <w:spacing w:before="100" w:beforeAutospacing="1" w:after="100" w:afterAutospacing="1"/>
        <w:jc w:val="both"/>
        <w:rPr>
          <w:rFonts w:ascii="Arial" w:hAnsi="Arial" w:cs="Arial"/>
        </w:rPr>
      </w:pPr>
      <w:r w:rsidRPr="00C461F5">
        <w:rPr>
          <w:rFonts w:ascii="Arial" w:hAnsi="Arial" w:cs="Arial"/>
        </w:rPr>
        <w:t xml:space="preserve">The literature supporting antiviral treatment in burns is composed largely of case reports, small case series, and extrapolation from ICU HSV studies. Case reports </w:t>
      </w:r>
      <w:r w:rsidRPr="00C461F5">
        <w:rPr>
          <w:rFonts w:ascii="Arial" w:hAnsi="Arial" w:cs="Arial"/>
        </w:rPr>
        <w:lastRenderedPageBreak/>
        <w:t>demonstrate </w:t>
      </w:r>
      <w:r w:rsidRPr="00C461F5">
        <w:rPr>
          <w:rFonts w:ascii="Arial" w:hAnsi="Arial" w:cs="Arial"/>
          <w:bCs/>
        </w:rPr>
        <w:t>rapid improvement in wound appearance and graft salvage after initiation of acyclovir</w:t>
      </w:r>
      <w:r w:rsidRPr="00C461F5">
        <w:rPr>
          <w:rFonts w:ascii="Arial" w:hAnsi="Arial" w:cs="Arial"/>
        </w:rPr>
        <w:t> in patients with biopsy-confirmed HSV infection [5–7]. Larger observational ICU studies suggest that acyc</w:t>
      </w:r>
      <w:r w:rsidR="00C461F5" w:rsidRPr="00C461F5">
        <w:rPr>
          <w:rFonts w:ascii="Arial" w:hAnsi="Arial" w:cs="Arial"/>
        </w:rPr>
        <w:t xml:space="preserve">lovir may reduce viral load and intriguingly </w:t>
      </w:r>
      <w:r w:rsidRPr="00C461F5">
        <w:rPr>
          <w:rFonts w:ascii="Arial" w:hAnsi="Arial" w:cs="Arial"/>
        </w:rPr>
        <w:t>improve outcomes in selected patients with HSV in the lower respiratory tract, but randomized evidence is mixed [8–11,16]. The multicenter randomized trial by Luyt and colleagues in mechanically ventilated ICU patients with oropharyngeal HSV reactivation found </w:t>
      </w:r>
      <w:r w:rsidRPr="00C461F5">
        <w:rPr>
          <w:rFonts w:ascii="Arial" w:hAnsi="Arial" w:cs="Arial"/>
          <w:bCs/>
        </w:rPr>
        <w:t>no increase in ventilator-free days</w:t>
      </w:r>
      <w:r w:rsidRPr="00C461F5">
        <w:rPr>
          <w:rFonts w:ascii="Arial" w:hAnsi="Arial" w:cs="Arial"/>
        </w:rPr>
        <w:t> with preemptive acyclovir compared with placebo, though some secondary analyses suggested reduced bronchopneumonitis rates in treated patients [8,9]. Meta-analyses of critically ill populations indicate that antiviral therapy reduces viral reactivation</w:t>
      </w:r>
      <w:r w:rsidR="00EB4149">
        <w:rPr>
          <w:rFonts w:ascii="Arial" w:hAnsi="Arial" w:cs="Arial"/>
        </w:rPr>
        <w:t xml:space="preserve"> </w:t>
      </w:r>
      <w:r w:rsidR="00EB4149" w:rsidRPr="00C461F5">
        <w:rPr>
          <w:rFonts w:ascii="Arial" w:hAnsi="Arial" w:cs="Arial"/>
        </w:rPr>
        <w:t xml:space="preserve"> [</w:t>
      </w:r>
      <w:r w:rsidR="00EB4149">
        <w:rPr>
          <w:rFonts w:ascii="Arial" w:hAnsi="Arial" w:cs="Arial"/>
        </w:rPr>
        <w:t>24,26</w:t>
      </w:r>
      <w:r w:rsidR="00EB4149" w:rsidRPr="00C461F5">
        <w:rPr>
          <w:rFonts w:ascii="Arial" w:hAnsi="Arial" w:cs="Arial"/>
        </w:rPr>
        <w:t>]</w:t>
      </w:r>
      <w:r w:rsidRPr="00C461F5">
        <w:rPr>
          <w:rFonts w:ascii="Arial" w:hAnsi="Arial" w:cs="Arial"/>
        </w:rPr>
        <w:t xml:space="preserve"> but that effects on hard clinical outcomes (mortality, ventilator days) are uncertain [9,12].</w:t>
      </w:r>
    </w:p>
    <w:p w14:paraId="6DA345F8" w14:textId="0232E968" w:rsidR="0050272F" w:rsidRPr="0050272F" w:rsidRDefault="0050272F" w:rsidP="0050272F">
      <w:pPr>
        <w:rPr>
          <w:rFonts w:ascii="Times" w:eastAsia="Times New Roman" w:hAnsi="Times" w:cs="Times New Roman"/>
          <w:sz w:val="20"/>
          <w:szCs w:val="20"/>
        </w:rPr>
      </w:pPr>
    </w:p>
    <w:p w14:paraId="071D3582" w14:textId="77777777" w:rsidR="003619DE" w:rsidRDefault="003619DE" w:rsidP="0050272F">
      <w:pPr>
        <w:shd w:val="clear" w:color="auto" w:fill="FFFFFF"/>
        <w:spacing w:before="100" w:beforeAutospacing="1" w:after="100" w:afterAutospacing="1"/>
        <w:outlineLvl w:val="1"/>
        <w:rPr>
          <w:rFonts w:ascii="Arial" w:eastAsia="Times New Roman" w:hAnsi="Arial" w:cs="Arial"/>
          <w:b/>
          <w:bCs/>
          <w:color w:val="222222"/>
          <w:sz w:val="36"/>
          <w:szCs w:val="36"/>
        </w:rPr>
      </w:pPr>
    </w:p>
    <w:p w14:paraId="2BC03ED2" w14:textId="77777777" w:rsidR="0050272F" w:rsidRPr="0050272F" w:rsidRDefault="0050272F" w:rsidP="0050272F">
      <w:pPr>
        <w:shd w:val="clear" w:color="auto" w:fill="FFFFFF"/>
        <w:spacing w:before="100" w:beforeAutospacing="1" w:after="100" w:afterAutospacing="1"/>
        <w:outlineLvl w:val="1"/>
        <w:rPr>
          <w:rFonts w:ascii="Arial" w:eastAsia="Times New Roman" w:hAnsi="Arial" w:cs="Arial"/>
          <w:b/>
          <w:bCs/>
          <w:color w:val="222222"/>
          <w:sz w:val="36"/>
          <w:szCs w:val="36"/>
        </w:rPr>
      </w:pPr>
      <w:r w:rsidRPr="0050272F">
        <w:rPr>
          <w:rFonts w:ascii="Arial" w:eastAsia="Times New Roman" w:hAnsi="Arial" w:cs="Arial"/>
          <w:b/>
          <w:bCs/>
          <w:color w:val="222222"/>
          <w:sz w:val="36"/>
          <w:szCs w:val="36"/>
        </w:rPr>
        <w:t>Prevention: infection control, screening, and antiviral prophylaxis</w:t>
      </w:r>
    </w:p>
    <w:p w14:paraId="0936BE5B" w14:textId="22845613" w:rsidR="0050272F" w:rsidRPr="00675DD4" w:rsidRDefault="0050272F" w:rsidP="00675DD4">
      <w:pPr>
        <w:shd w:val="clear" w:color="auto" w:fill="FFFFFF"/>
        <w:jc w:val="both"/>
        <w:rPr>
          <w:rFonts w:ascii="Arial" w:hAnsi="Arial" w:cs="Arial"/>
          <w:color w:val="222222"/>
        </w:rPr>
      </w:pPr>
      <w:r w:rsidRPr="00675DD4">
        <w:rPr>
          <w:rFonts w:ascii="Arial" w:hAnsi="Arial" w:cs="Arial"/>
          <w:color w:val="222222"/>
        </w:rPr>
        <w:t xml:space="preserve">Prevention </w:t>
      </w:r>
      <w:r w:rsidR="00396D71" w:rsidRPr="00675DD4">
        <w:rPr>
          <w:rFonts w:ascii="Arial" w:hAnsi="Arial" w:cs="Arial"/>
          <w:color w:val="222222"/>
        </w:rPr>
        <w:t xml:space="preserve">englobes </w:t>
      </w:r>
      <w:r w:rsidRPr="00675DD4">
        <w:rPr>
          <w:rFonts w:ascii="Arial" w:hAnsi="Arial" w:cs="Arial"/>
          <w:color w:val="222222"/>
        </w:rPr>
        <w:t>a</w:t>
      </w:r>
      <w:r w:rsidR="00396D71" w:rsidRPr="00675DD4">
        <w:rPr>
          <w:rFonts w:ascii="Arial" w:hAnsi="Arial" w:cs="Arial"/>
          <w:color w:val="222222"/>
        </w:rPr>
        <w:t xml:space="preserve"> large </w:t>
      </w:r>
      <w:r w:rsidRPr="00675DD4">
        <w:rPr>
          <w:rFonts w:ascii="Arial" w:hAnsi="Arial" w:cs="Arial"/>
          <w:color w:val="222222"/>
        </w:rPr>
        <w:t xml:space="preserve"> spectrum from standard infection control and personnel practices to antiviral prophylaxis.</w:t>
      </w:r>
    </w:p>
    <w:p w14:paraId="6B6B2852" w14:textId="380B3295" w:rsidR="00396D71" w:rsidRPr="00675DD4" w:rsidRDefault="00396D71" w:rsidP="00675DD4">
      <w:pPr>
        <w:shd w:val="clear" w:color="auto" w:fill="FFFFFF"/>
        <w:jc w:val="both"/>
        <w:rPr>
          <w:rFonts w:ascii="Arial" w:hAnsi="Arial" w:cs="Arial"/>
          <w:color w:val="222222"/>
        </w:rPr>
      </w:pPr>
      <w:r w:rsidRPr="00675DD4">
        <w:rPr>
          <w:rFonts w:ascii="Arial" w:hAnsi="Arial" w:cs="Arial"/>
          <w:bCs/>
          <w:color w:val="222222"/>
        </w:rPr>
        <w:t xml:space="preserve">Simple </w:t>
      </w:r>
      <w:r w:rsidR="0050272F" w:rsidRPr="00675DD4">
        <w:rPr>
          <w:rFonts w:ascii="Arial" w:hAnsi="Arial" w:cs="Arial"/>
          <w:bCs/>
          <w:color w:val="222222"/>
        </w:rPr>
        <w:t>Hand hygiene</w:t>
      </w:r>
      <w:r w:rsidRPr="00675DD4">
        <w:rPr>
          <w:rFonts w:ascii="Arial" w:hAnsi="Arial" w:cs="Arial"/>
          <w:color w:val="222222"/>
        </w:rPr>
        <w:t xml:space="preserve"> and </w:t>
      </w:r>
      <w:r w:rsidR="0050272F" w:rsidRPr="00675DD4">
        <w:rPr>
          <w:rFonts w:ascii="Arial" w:hAnsi="Arial" w:cs="Arial"/>
          <w:bCs/>
          <w:color w:val="222222"/>
        </w:rPr>
        <w:t>appropriate use of personal protective equipment (PPE)</w:t>
      </w:r>
      <w:r w:rsidRPr="00675DD4">
        <w:rPr>
          <w:rFonts w:ascii="Arial" w:hAnsi="Arial" w:cs="Arial"/>
          <w:color w:val="222222"/>
        </w:rPr>
        <w:t xml:space="preserve">, can </w:t>
      </w:r>
      <w:r w:rsidR="0050272F" w:rsidRPr="00675DD4">
        <w:rPr>
          <w:rFonts w:ascii="Arial" w:hAnsi="Arial" w:cs="Arial"/>
          <w:color w:val="222222"/>
        </w:rPr>
        <w:t xml:space="preserve">reduce nosocomial transmission risk. </w:t>
      </w:r>
    </w:p>
    <w:p w14:paraId="46755165" w14:textId="4210DA21" w:rsidR="0050272F" w:rsidRPr="00675DD4" w:rsidRDefault="0050272F" w:rsidP="00675DD4">
      <w:pPr>
        <w:shd w:val="clear" w:color="auto" w:fill="FFFFFF"/>
        <w:jc w:val="both"/>
        <w:rPr>
          <w:rFonts w:ascii="Arial" w:hAnsi="Arial" w:cs="Arial"/>
          <w:color w:val="222222"/>
        </w:rPr>
      </w:pPr>
      <w:r w:rsidRPr="00675DD4">
        <w:rPr>
          <w:rFonts w:ascii="Arial" w:hAnsi="Arial" w:cs="Arial"/>
          <w:color w:val="222222"/>
        </w:rPr>
        <w:t>Caregivers with active orolabial herpes should avoid direct conta</w:t>
      </w:r>
      <w:r w:rsidR="00675DD4">
        <w:rPr>
          <w:rFonts w:ascii="Arial" w:hAnsi="Arial" w:cs="Arial"/>
          <w:color w:val="222222"/>
        </w:rPr>
        <w:t>ct with patients</w:t>
      </w:r>
      <w:r w:rsidRPr="00675DD4">
        <w:rPr>
          <w:rFonts w:ascii="Arial" w:hAnsi="Arial" w:cs="Arial"/>
          <w:color w:val="222222"/>
        </w:rPr>
        <w:t>. Hi</w:t>
      </w:r>
      <w:r w:rsidR="00396D71" w:rsidRPr="00675DD4">
        <w:rPr>
          <w:rFonts w:ascii="Arial" w:hAnsi="Arial" w:cs="Arial"/>
          <w:color w:val="222222"/>
        </w:rPr>
        <w:t>storical case reports highlight</w:t>
      </w:r>
      <w:r w:rsidRPr="00675DD4">
        <w:rPr>
          <w:rFonts w:ascii="Arial" w:hAnsi="Arial" w:cs="Arial"/>
          <w:color w:val="222222"/>
        </w:rPr>
        <w:t xml:space="preserve"> transmission from caregivers with active lesions to burn patients [20].</w:t>
      </w:r>
    </w:p>
    <w:p w14:paraId="7AA0D2D1" w14:textId="77777777" w:rsidR="002D1038" w:rsidRDefault="0050272F" w:rsidP="002D1038">
      <w:pPr>
        <w:shd w:val="clear" w:color="auto" w:fill="FFFFFF"/>
        <w:jc w:val="both"/>
        <w:rPr>
          <w:rFonts w:ascii="Arial" w:hAnsi="Arial" w:cs="Arial"/>
          <w:color w:val="222222"/>
        </w:rPr>
      </w:pPr>
      <w:r w:rsidRPr="00675DD4">
        <w:rPr>
          <w:rFonts w:ascii="Arial" w:hAnsi="Arial" w:cs="Arial"/>
          <w:color w:val="222222"/>
        </w:rPr>
        <w:t xml:space="preserve">While routine donor skin testing for HSV is not </w:t>
      </w:r>
      <w:r w:rsidR="00396D71" w:rsidRPr="00675DD4">
        <w:rPr>
          <w:rFonts w:ascii="Arial" w:hAnsi="Arial" w:cs="Arial"/>
          <w:color w:val="222222"/>
        </w:rPr>
        <w:t xml:space="preserve">a </w:t>
      </w:r>
      <w:r w:rsidRPr="00675DD4">
        <w:rPr>
          <w:rFonts w:ascii="Arial" w:hAnsi="Arial" w:cs="Arial"/>
          <w:color w:val="222222"/>
        </w:rPr>
        <w:t xml:space="preserve">standard practice, </w:t>
      </w:r>
      <w:r w:rsidR="00675DD4" w:rsidRPr="00675DD4">
        <w:rPr>
          <w:rFonts w:ascii="Arial" w:hAnsi="Arial" w:cs="Arial"/>
          <w:color w:val="222222"/>
        </w:rPr>
        <w:t xml:space="preserve">Allograft from </w:t>
      </w:r>
      <w:r w:rsidRPr="00675DD4">
        <w:rPr>
          <w:rFonts w:ascii="Arial" w:hAnsi="Arial" w:cs="Arial"/>
          <w:color w:val="222222"/>
        </w:rPr>
        <w:t>donors with active herpes le</w:t>
      </w:r>
      <w:r w:rsidR="00396D71" w:rsidRPr="00675DD4">
        <w:rPr>
          <w:rFonts w:ascii="Arial" w:hAnsi="Arial" w:cs="Arial"/>
          <w:color w:val="222222"/>
        </w:rPr>
        <w:t>sions should be avoided</w:t>
      </w:r>
      <w:r w:rsidRPr="00675DD4">
        <w:rPr>
          <w:rFonts w:ascii="Arial" w:hAnsi="Arial" w:cs="Arial"/>
          <w:color w:val="222222"/>
        </w:rPr>
        <w:t>.</w:t>
      </w:r>
      <w:r w:rsidR="00675DD4" w:rsidRPr="00675DD4">
        <w:rPr>
          <w:rFonts w:ascii="Arial" w:hAnsi="Arial" w:cs="Arial"/>
          <w:color w:val="222222"/>
        </w:rPr>
        <w:t xml:space="preserve"> And  minimizing un</w:t>
      </w:r>
      <w:r w:rsidRPr="00675DD4">
        <w:rPr>
          <w:rFonts w:ascii="Arial" w:hAnsi="Arial" w:cs="Arial"/>
          <w:color w:val="222222"/>
        </w:rPr>
        <w:t>ecessary exposure of open g</w:t>
      </w:r>
      <w:r w:rsidR="00675DD4" w:rsidRPr="00675DD4">
        <w:rPr>
          <w:rFonts w:ascii="Arial" w:hAnsi="Arial" w:cs="Arial"/>
          <w:color w:val="222222"/>
        </w:rPr>
        <w:t>rafts to visitors and staff as well as</w:t>
      </w:r>
      <w:r w:rsidRPr="00675DD4">
        <w:rPr>
          <w:rFonts w:ascii="Arial" w:hAnsi="Arial" w:cs="Arial"/>
          <w:color w:val="222222"/>
        </w:rPr>
        <w:t xml:space="preserve"> maintain antiseptic protocols for dressing changes.</w:t>
      </w:r>
    </w:p>
    <w:p w14:paraId="530BBE7C" w14:textId="06C4885A" w:rsidR="0050272F" w:rsidRPr="002D1038" w:rsidRDefault="002D1038" w:rsidP="002D1038">
      <w:pPr>
        <w:shd w:val="clear" w:color="auto" w:fill="FFFFFF"/>
        <w:jc w:val="both"/>
        <w:rPr>
          <w:rFonts w:ascii="Arial" w:hAnsi="Arial" w:cs="Arial"/>
          <w:color w:val="222222"/>
        </w:rPr>
      </w:pPr>
      <w:r w:rsidRPr="002D1038">
        <w:rPr>
          <w:rFonts w:ascii="Arial" w:hAnsi="Arial" w:cs="Arial"/>
          <w:color w:val="222222"/>
        </w:rPr>
        <w:t>In ICU trials</w:t>
      </w:r>
      <w:r w:rsidR="0050272F" w:rsidRPr="002D1038">
        <w:rPr>
          <w:rFonts w:ascii="Arial" w:hAnsi="Arial" w:cs="Arial"/>
          <w:color w:val="222222"/>
        </w:rPr>
        <w:t xml:space="preserve"> oral/oropharyngeal swabs for HSV PCR</w:t>
      </w:r>
      <w:r w:rsidRPr="002D1038">
        <w:rPr>
          <w:rFonts w:ascii="Arial" w:hAnsi="Arial" w:cs="Arial"/>
          <w:color w:val="222222"/>
        </w:rPr>
        <w:t xml:space="preserve"> Twice-weekly</w:t>
      </w:r>
      <w:r w:rsidR="0050272F" w:rsidRPr="002D1038">
        <w:rPr>
          <w:rFonts w:ascii="Arial" w:hAnsi="Arial" w:cs="Arial"/>
          <w:color w:val="222222"/>
        </w:rPr>
        <w:t xml:space="preserve"> have been used to detect reactivation and initiate therapy [8]. In burn units, </w:t>
      </w:r>
      <w:r w:rsidR="0050272F" w:rsidRPr="002D1038">
        <w:rPr>
          <w:rFonts w:ascii="Arial" w:hAnsi="Arial" w:cs="Arial"/>
          <w:bCs/>
          <w:color w:val="222222"/>
        </w:rPr>
        <w:t>targeted surveillance</w:t>
      </w:r>
      <w:r w:rsidR="0050272F" w:rsidRPr="002D1038">
        <w:rPr>
          <w:rFonts w:ascii="Arial" w:hAnsi="Arial" w:cs="Arial"/>
          <w:color w:val="222222"/>
        </w:rPr>
        <w:t xml:space="preserve"> of high-risk patients </w:t>
      </w:r>
      <w:r w:rsidRPr="002D1038">
        <w:rPr>
          <w:rFonts w:ascii="Arial" w:hAnsi="Arial" w:cs="Arial"/>
          <w:color w:val="222222"/>
        </w:rPr>
        <w:t>can allow for</w:t>
      </w:r>
      <w:r w:rsidR="0050272F" w:rsidRPr="002D1038">
        <w:rPr>
          <w:rFonts w:ascii="Arial" w:hAnsi="Arial" w:cs="Arial"/>
          <w:color w:val="222222"/>
        </w:rPr>
        <w:t xml:space="preserve"> early detection and treatment.</w:t>
      </w:r>
    </w:p>
    <w:p w14:paraId="2CF3B3CB" w14:textId="3E388507" w:rsidR="0050272F" w:rsidRPr="00544E52" w:rsidRDefault="0050272F" w:rsidP="00544E52">
      <w:pPr>
        <w:shd w:val="clear" w:color="auto" w:fill="FFFFFF"/>
        <w:spacing w:before="100" w:beforeAutospacing="1" w:after="100" w:afterAutospacing="1"/>
        <w:jc w:val="both"/>
        <w:rPr>
          <w:rFonts w:ascii="Arial" w:hAnsi="Arial" w:cs="Arial"/>
          <w:color w:val="222222"/>
        </w:rPr>
      </w:pPr>
      <w:r w:rsidRPr="002D1038">
        <w:rPr>
          <w:rFonts w:ascii="Arial" w:hAnsi="Arial" w:cs="Arial"/>
          <w:bCs/>
          <w:color w:val="222222"/>
        </w:rPr>
        <w:t>Acyclovir prophylaxis</w:t>
      </w:r>
      <w:r w:rsidRPr="002D1038">
        <w:rPr>
          <w:rFonts w:ascii="Arial" w:hAnsi="Arial" w:cs="Arial"/>
          <w:color w:val="222222"/>
        </w:rPr>
        <w:t xml:space="preserve"> (systemic, oral or IV depending on severity) is established practice in certain surgical settings (e.g., laser resurfacing) and has been </w:t>
      </w:r>
      <w:r w:rsidR="002D1038" w:rsidRPr="002D1038">
        <w:rPr>
          <w:rFonts w:ascii="Arial" w:hAnsi="Arial" w:cs="Arial"/>
          <w:color w:val="222222"/>
        </w:rPr>
        <w:t xml:space="preserve">defended </w:t>
      </w:r>
      <w:r w:rsidRPr="002D1038">
        <w:rPr>
          <w:rFonts w:ascii="Arial" w:hAnsi="Arial" w:cs="Arial"/>
          <w:color w:val="222222"/>
        </w:rPr>
        <w:t>by some burn surgeons for </w:t>
      </w:r>
      <w:r w:rsidRPr="002D1038">
        <w:rPr>
          <w:rFonts w:ascii="Arial" w:hAnsi="Arial" w:cs="Arial"/>
          <w:bCs/>
          <w:color w:val="222222"/>
        </w:rPr>
        <w:t>facial burns</w:t>
      </w:r>
      <w:r w:rsidRPr="002D1038">
        <w:rPr>
          <w:rFonts w:ascii="Arial" w:hAnsi="Arial" w:cs="Arial"/>
          <w:color w:val="222222"/>
        </w:rPr>
        <w:t xml:space="preserve"> and for patients with extensive TBSA involvement or prolonged mechanical ventilation [4,11,15]. Evidence is largely observational and derived from case series and expert </w:t>
      </w:r>
      <w:proofErr w:type="gramStart"/>
      <w:r w:rsidRPr="002D1038">
        <w:rPr>
          <w:rFonts w:ascii="Arial" w:hAnsi="Arial" w:cs="Arial"/>
          <w:color w:val="222222"/>
        </w:rPr>
        <w:t>opinion.</w:t>
      </w:r>
      <w:r w:rsidR="002D1038">
        <w:rPr>
          <w:rFonts w:ascii="Arial" w:hAnsi="Arial" w:cs="Arial"/>
          <w:color w:val="222222"/>
        </w:rPr>
        <w:t>Initiation</w:t>
      </w:r>
      <w:proofErr w:type="gramEnd"/>
      <w:r w:rsidR="002D1038">
        <w:rPr>
          <w:rFonts w:ascii="Arial" w:hAnsi="Arial" w:cs="Arial"/>
          <w:color w:val="222222"/>
        </w:rPr>
        <w:t xml:space="preserve"> of antviral prophylaxis has a p</w:t>
      </w:r>
      <w:r w:rsidRPr="0050272F">
        <w:rPr>
          <w:rFonts w:ascii="Arial" w:hAnsi="Arial" w:cs="Arial"/>
          <w:color w:val="222222"/>
        </w:rPr>
        <w:t xml:space="preserve">otential to reduce clinically significant HSV events that cause graft loss and morbidity; facial graft failure </w:t>
      </w:r>
      <w:r w:rsidR="002D1038">
        <w:rPr>
          <w:rFonts w:ascii="Arial" w:hAnsi="Arial" w:cs="Arial"/>
          <w:color w:val="222222"/>
        </w:rPr>
        <w:t xml:space="preserve">and </w:t>
      </w:r>
      <w:r w:rsidRPr="0050272F">
        <w:rPr>
          <w:rFonts w:ascii="Arial" w:hAnsi="Arial" w:cs="Arial"/>
          <w:color w:val="222222"/>
        </w:rPr>
        <w:t>has</w:t>
      </w:r>
      <w:r w:rsidR="002D1038">
        <w:rPr>
          <w:rFonts w:ascii="Arial" w:hAnsi="Arial" w:cs="Arial"/>
          <w:color w:val="222222"/>
        </w:rPr>
        <w:t xml:space="preserve"> a</w:t>
      </w:r>
      <w:r w:rsidRPr="0050272F">
        <w:rPr>
          <w:rFonts w:ascii="Arial" w:hAnsi="Arial" w:cs="Arial"/>
          <w:color w:val="222222"/>
        </w:rPr>
        <w:t xml:space="preserve"> significant functional and cosmetic </w:t>
      </w:r>
      <w:r w:rsidRPr="00544E52">
        <w:rPr>
          <w:rFonts w:ascii="Arial" w:hAnsi="Arial" w:cs="Arial"/>
          <w:color w:val="222222"/>
        </w:rPr>
        <w:t>consequences.</w:t>
      </w:r>
      <w:r w:rsidR="002D1038" w:rsidRPr="00544E52">
        <w:rPr>
          <w:rFonts w:ascii="Arial" w:hAnsi="Arial" w:cs="Arial"/>
          <w:color w:val="222222"/>
        </w:rPr>
        <w:t>It also helps Reduce cost and keep a favorable safety profile for short use,</w:t>
      </w:r>
      <w:r w:rsidRPr="00544E52">
        <w:rPr>
          <w:rFonts w:ascii="Arial" w:hAnsi="Arial" w:cs="Arial"/>
          <w:color w:val="222222"/>
        </w:rPr>
        <w:t>especially oral valacyclovir/acyclovir in patients without renal impairment.</w:t>
      </w:r>
    </w:p>
    <w:p w14:paraId="4CBFABDE" w14:textId="0BE91026" w:rsidR="003619DE" w:rsidRPr="003619DE" w:rsidRDefault="00544E52" w:rsidP="003619DE">
      <w:pPr>
        <w:shd w:val="clear" w:color="auto" w:fill="FFFFFF"/>
        <w:spacing w:before="100" w:beforeAutospacing="1" w:after="100" w:afterAutospacing="1"/>
        <w:jc w:val="both"/>
        <w:rPr>
          <w:rFonts w:ascii="Arial" w:hAnsi="Arial" w:cs="Arial"/>
          <w:color w:val="222222"/>
        </w:rPr>
      </w:pPr>
      <w:r w:rsidRPr="00544E52">
        <w:rPr>
          <w:rFonts w:ascii="Arial" w:hAnsi="Arial" w:cs="Arial"/>
          <w:color w:val="222222"/>
        </w:rPr>
        <w:t>Some a</w:t>
      </w:r>
      <w:r w:rsidR="0050272F" w:rsidRPr="00544E52">
        <w:rPr>
          <w:rFonts w:ascii="Arial" w:hAnsi="Arial" w:cs="Arial"/>
          <w:color w:val="222222"/>
        </w:rPr>
        <w:t>rguments</w:t>
      </w:r>
      <w:r w:rsidRPr="00544E52">
        <w:rPr>
          <w:rFonts w:ascii="Arial" w:hAnsi="Arial" w:cs="Arial"/>
          <w:color w:val="222222"/>
        </w:rPr>
        <w:t xml:space="preserve"> may be </w:t>
      </w:r>
      <w:r w:rsidR="0050272F" w:rsidRPr="00544E52">
        <w:rPr>
          <w:rFonts w:ascii="Arial" w:hAnsi="Arial" w:cs="Arial"/>
          <w:color w:val="222222"/>
        </w:rPr>
        <w:t xml:space="preserve"> against</w:t>
      </w:r>
      <w:r w:rsidRPr="00544E52">
        <w:rPr>
          <w:rFonts w:ascii="Arial" w:hAnsi="Arial" w:cs="Arial"/>
          <w:color w:val="222222"/>
        </w:rPr>
        <w:t xml:space="preserve"> prophylaxis like the l</w:t>
      </w:r>
      <w:r w:rsidR="0050272F" w:rsidRPr="00544E52">
        <w:rPr>
          <w:rFonts w:ascii="Arial" w:hAnsi="Arial" w:cs="Arial"/>
          <w:color w:val="222222"/>
        </w:rPr>
        <w:t>ack of robust randomized controlled evidence in burn populat</w:t>
      </w:r>
      <w:r w:rsidRPr="00544E52">
        <w:rPr>
          <w:rFonts w:ascii="Arial" w:hAnsi="Arial" w:cs="Arial"/>
          <w:color w:val="222222"/>
        </w:rPr>
        <w:t xml:space="preserve">ions demonstrating improved </w:t>
      </w:r>
      <w:r w:rsidR="0050272F" w:rsidRPr="00544E52">
        <w:rPr>
          <w:rFonts w:ascii="Arial" w:hAnsi="Arial" w:cs="Arial"/>
          <w:color w:val="222222"/>
        </w:rPr>
        <w:t xml:space="preserve"> out</w:t>
      </w:r>
      <w:r w:rsidRPr="00544E52">
        <w:rPr>
          <w:rFonts w:ascii="Arial" w:hAnsi="Arial" w:cs="Arial"/>
          <w:color w:val="222222"/>
        </w:rPr>
        <w:t>comes, the p</w:t>
      </w:r>
      <w:r w:rsidR="0050272F" w:rsidRPr="00544E52">
        <w:rPr>
          <w:rFonts w:ascii="Arial" w:hAnsi="Arial" w:cs="Arial"/>
          <w:color w:val="222222"/>
        </w:rPr>
        <w:t>otential adverse effects and the risk of inducin</w:t>
      </w:r>
      <w:r w:rsidRPr="00544E52">
        <w:rPr>
          <w:rFonts w:ascii="Arial" w:hAnsi="Arial" w:cs="Arial"/>
          <w:color w:val="222222"/>
        </w:rPr>
        <w:t>g antiviral resistance if used intensively, and the c</w:t>
      </w:r>
      <w:r w:rsidR="0050272F" w:rsidRPr="00544E52">
        <w:rPr>
          <w:rFonts w:ascii="Arial" w:hAnsi="Arial" w:cs="Arial"/>
          <w:color w:val="222222"/>
        </w:rPr>
        <w:t>ost and logistic burden of treating many patients to prevent rare events</w:t>
      </w:r>
      <w:r w:rsidR="00C461F5">
        <w:rPr>
          <w:rFonts w:ascii="Arial" w:hAnsi="Arial" w:cs="Arial"/>
          <w:color w:val="222222"/>
        </w:rPr>
        <w:t>.</w:t>
      </w:r>
    </w:p>
    <w:tbl>
      <w:tblPr>
        <w:tblStyle w:val="TableGrid"/>
        <w:tblW w:w="8962" w:type="dxa"/>
        <w:tblLook w:val="04A0" w:firstRow="1" w:lastRow="0" w:firstColumn="1" w:lastColumn="0" w:noHBand="0" w:noVBand="1"/>
      </w:tblPr>
      <w:tblGrid>
        <w:gridCol w:w="2193"/>
        <w:gridCol w:w="2189"/>
        <w:gridCol w:w="2186"/>
        <w:gridCol w:w="2394"/>
      </w:tblGrid>
      <w:tr w:rsidR="003619DE" w14:paraId="76E4A6EE" w14:textId="77777777" w:rsidTr="003619DE">
        <w:tc>
          <w:tcPr>
            <w:tcW w:w="2193" w:type="dxa"/>
          </w:tcPr>
          <w:p w14:paraId="7031389D" w14:textId="77777777" w:rsidR="003619DE" w:rsidRPr="008E0FA9" w:rsidRDefault="003619DE" w:rsidP="003619DE">
            <w:pPr>
              <w:rPr>
                <w:b/>
                <w:sz w:val="24"/>
                <w:szCs w:val="24"/>
              </w:rPr>
            </w:pPr>
            <w:r w:rsidRPr="008E0FA9">
              <w:rPr>
                <w:b/>
                <w:sz w:val="24"/>
                <w:szCs w:val="24"/>
              </w:rPr>
              <w:lastRenderedPageBreak/>
              <w:t>Cause</w:t>
            </w:r>
          </w:p>
        </w:tc>
        <w:tc>
          <w:tcPr>
            <w:tcW w:w="2189" w:type="dxa"/>
          </w:tcPr>
          <w:p w14:paraId="2B55DE7D" w14:textId="77777777" w:rsidR="003619DE" w:rsidRPr="008E0FA9" w:rsidRDefault="003619DE" w:rsidP="003619DE">
            <w:pPr>
              <w:rPr>
                <w:b/>
                <w:sz w:val="24"/>
                <w:szCs w:val="24"/>
              </w:rPr>
            </w:pPr>
            <w:r w:rsidRPr="008E0FA9">
              <w:rPr>
                <w:b/>
                <w:sz w:val="24"/>
                <w:szCs w:val="24"/>
              </w:rPr>
              <w:t>Clinical clues / effect on graft</w:t>
            </w:r>
          </w:p>
        </w:tc>
        <w:tc>
          <w:tcPr>
            <w:tcW w:w="2186" w:type="dxa"/>
          </w:tcPr>
          <w:p w14:paraId="18453A34" w14:textId="77777777" w:rsidR="003619DE" w:rsidRPr="008E0FA9" w:rsidRDefault="003619DE" w:rsidP="003619DE">
            <w:pPr>
              <w:rPr>
                <w:b/>
                <w:sz w:val="24"/>
                <w:szCs w:val="24"/>
              </w:rPr>
            </w:pPr>
            <w:r w:rsidRPr="008E0FA9">
              <w:rPr>
                <w:b/>
                <w:sz w:val="24"/>
                <w:szCs w:val="24"/>
              </w:rPr>
              <w:t>Suggested diagnostic tests</w:t>
            </w:r>
          </w:p>
        </w:tc>
        <w:tc>
          <w:tcPr>
            <w:tcW w:w="2394" w:type="dxa"/>
          </w:tcPr>
          <w:p w14:paraId="32D699BC" w14:textId="77777777" w:rsidR="003619DE" w:rsidRDefault="003619DE" w:rsidP="003619DE">
            <w:pPr>
              <w:rPr>
                <w:b/>
                <w:sz w:val="24"/>
                <w:szCs w:val="24"/>
              </w:rPr>
            </w:pPr>
            <w:r w:rsidRPr="008E0FA9">
              <w:rPr>
                <w:b/>
                <w:sz w:val="24"/>
                <w:szCs w:val="24"/>
              </w:rPr>
              <w:t>Management</w:t>
            </w:r>
          </w:p>
          <w:p w14:paraId="6DD487A7" w14:textId="77777777" w:rsidR="003619DE" w:rsidRDefault="003619DE" w:rsidP="003619DE">
            <w:pPr>
              <w:rPr>
                <w:b/>
                <w:sz w:val="24"/>
                <w:szCs w:val="24"/>
              </w:rPr>
            </w:pPr>
          </w:p>
          <w:p w14:paraId="0D650104" w14:textId="77777777" w:rsidR="003619DE" w:rsidRPr="008E0FA9" w:rsidRDefault="003619DE" w:rsidP="003619DE">
            <w:pPr>
              <w:rPr>
                <w:b/>
                <w:sz w:val="24"/>
                <w:szCs w:val="24"/>
              </w:rPr>
            </w:pPr>
          </w:p>
        </w:tc>
      </w:tr>
      <w:tr w:rsidR="003619DE" w14:paraId="003A3A7E" w14:textId="77777777" w:rsidTr="003619DE">
        <w:tc>
          <w:tcPr>
            <w:tcW w:w="2193" w:type="dxa"/>
          </w:tcPr>
          <w:p w14:paraId="3CE4E64E" w14:textId="77777777" w:rsidR="003619DE" w:rsidRPr="008E0FA9" w:rsidRDefault="003619DE" w:rsidP="003619DE">
            <w:pPr>
              <w:rPr>
                <w:color w:val="548DD4" w:themeColor="text2" w:themeTint="99"/>
              </w:rPr>
            </w:pPr>
            <w:r w:rsidRPr="008E0FA9">
              <w:rPr>
                <w:color w:val="548DD4" w:themeColor="text2" w:themeTint="99"/>
              </w:rPr>
              <w:t>Bacterial infection</w:t>
            </w:r>
          </w:p>
        </w:tc>
        <w:tc>
          <w:tcPr>
            <w:tcW w:w="2189" w:type="dxa"/>
          </w:tcPr>
          <w:p w14:paraId="34642344" w14:textId="77777777" w:rsidR="003619DE" w:rsidRDefault="003619DE" w:rsidP="003619DE">
            <w:r>
              <w:t>Purulent exudate, erythema, malodor, graft necrosis.</w:t>
            </w:r>
          </w:p>
        </w:tc>
        <w:tc>
          <w:tcPr>
            <w:tcW w:w="2186" w:type="dxa"/>
          </w:tcPr>
          <w:p w14:paraId="00A9B4E2" w14:textId="77777777" w:rsidR="003619DE" w:rsidRDefault="003619DE" w:rsidP="003619DE">
            <w:r>
              <w:t>Wound cultures, tissue culture, blood cultures if systemic.</w:t>
            </w:r>
          </w:p>
        </w:tc>
        <w:tc>
          <w:tcPr>
            <w:tcW w:w="2394" w:type="dxa"/>
          </w:tcPr>
          <w:p w14:paraId="098CF907" w14:textId="77777777" w:rsidR="003619DE" w:rsidRDefault="003619DE" w:rsidP="003619DE">
            <w:r>
              <w:t>Empiric antibiotics; debridement; adjust per culture.</w:t>
            </w:r>
          </w:p>
        </w:tc>
      </w:tr>
      <w:tr w:rsidR="003619DE" w14:paraId="3CDB2402" w14:textId="77777777" w:rsidTr="003619DE">
        <w:tc>
          <w:tcPr>
            <w:tcW w:w="2193" w:type="dxa"/>
          </w:tcPr>
          <w:p w14:paraId="54E2B48C" w14:textId="77777777" w:rsidR="003619DE" w:rsidRPr="008E0FA9" w:rsidRDefault="003619DE" w:rsidP="003619DE">
            <w:pPr>
              <w:rPr>
                <w:color w:val="548DD4" w:themeColor="text2" w:themeTint="99"/>
              </w:rPr>
            </w:pPr>
            <w:r w:rsidRPr="008E0FA9">
              <w:rPr>
                <w:color w:val="548DD4" w:themeColor="text2" w:themeTint="99"/>
              </w:rPr>
              <w:t>Ischemia / hematoma / shear</w:t>
            </w:r>
          </w:p>
        </w:tc>
        <w:tc>
          <w:tcPr>
            <w:tcW w:w="2189" w:type="dxa"/>
          </w:tcPr>
          <w:p w14:paraId="18354CF9" w14:textId="77777777" w:rsidR="003619DE" w:rsidRDefault="003619DE" w:rsidP="003619DE">
            <w:r>
              <w:t>Dusky graft, non-adherence, blisters; history of shear/hematoma.</w:t>
            </w:r>
          </w:p>
        </w:tc>
        <w:tc>
          <w:tcPr>
            <w:tcW w:w="2186" w:type="dxa"/>
          </w:tcPr>
          <w:p w14:paraId="4FD69811" w14:textId="77777777" w:rsidR="003619DE" w:rsidRDefault="003619DE" w:rsidP="003619DE">
            <w:r>
              <w:t>Clinical exam; Doppler/perfusion assessment.</w:t>
            </w:r>
          </w:p>
        </w:tc>
        <w:tc>
          <w:tcPr>
            <w:tcW w:w="2394" w:type="dxa"/>
          </w:tcPr>
          <w:p w14:paraId="76949313" w14:textId="77777777" w:rsidR="003619DE" w:rsidRDefault="003619DE" w:rsidP="003619DE">
            <w:r>
              <w:t>Evacuate hematoma; re-secure graft; immobilize; optimize perfusion.</w:t>
            </w:r>
          </w:p>
        </w:tc>
      </w:tr>
      <w:tr w:rsidR="003619DE" w14:paraId="16F82017" w14:textId="77777777" w:rsidTr="003619DE">
        <w:tc>
          <w:tcPr>
            <w:tcW w:w="2193" w:type="dxa"/>
          </w:tcPr>
          <w:p w14:paraId="3E012DFA" w14:textId="77777777" w:rsidR="003619DE" w:rsidRPr="008E0FA9" w:rsidRDefault="003619DE" w:rsidP="003619DE">
            <w:pPr>
              <w:rPr>
                <w:color w:val="548DD4" w:themeColor="text2" w:themeTint="99"/>
              </w:rPr>
            </w:pPr>
            <w:r w:rsidRPr="008E0FA9">
              <w:rPr>
                <w:color w:val="548DD4" w:themeColor="text2" w:themeTint="99"/>
              </w:rPr>
              <w:t>HSV infection</w:t>
            </w:r>
          </w:p>
        </w:tc>
        <w:tc>
          <w:tcPr>
            <w:tcW w:w="2189" w:type="dxa"/>
          </w:tcPr>
          <w:p w14:paraId="4E4DB413" w14:textId="77777777" w:rsidR="003619DE" w:rsidRDefault="003619DE" w:rsidP="003619DE">
            <w:r>
              <w:t>Punched‑out erosions, vesiculo‑ulcerative lesions, localized graft loss.</w:t>
            </w:r>
          </w:p>
        </w:tc>
        <w:tc>
          <w:tcPr>
            <w:tcW w:w="2186" w:type="dxa"/>
          </w:tcPr>
          <w:p w14:paraId="16021818" w14:textId="77777777" w:rsidR="003619DE" w:rsidRDefault="003619DE" w:rsidP="003619DE">
            <w:r>
              <w:t>PCR from lesion, Tzanck smear, viral culture.</w:t>
            </w:r>
          </w:p>
        </w:tc>
        <w:tc>
          <w:tcPr>
            <w:tcW w:w="2394" w:type="dxa"/>
          </w:tcPr>
          <w:p w14:paraId="6963065D" w14:textId="77777777" w:rsidR="003619DE" w:rsidRDefault="003619DE" w:rsidP="003619DE">
            <w:r>
              <w:t>Immediate antiviral therapy; isolate; evaluate for dissemination.</w:t>
            </w:r>
          </w:p>
        </w:tc>
      </w:tr>
      <w:tr w:rsidR="003619DE" w14:paraId="613AD59B" w14:textId="77777777" w:rsidTr="003619DE">
        <w:tc>
          <w:tcPr>
            <w:tcW w:w="2193" w:type="dxa"/>
          </w:tcPr>
          <w:p w14:paraId="47F3C0F6" w14:textId="77777777" w:rsidR="003619DE" w:rsidRPr="008E0FA9" w:rsidRDefault="003619DE" w:rsidP="003619DE">
            <w:pPr>
              <w:rPr>
                <w:color w:val="548DD4" w:themeColor="text2" w:themeTint="99"/>
              </w:rPr>
            </w:pPr>
            <w:r w:rsidRPr="008E0FA9">
              <w:rPr>
                <w:color w:val="548DD4" w:themeColor="text2" w:themeTint="99"/>
              </w:rPr>
              <w:t>VZV infection</w:t>
            </w:r>
          </w:p>
        </w:tc>
        <w:tc>
          <w:tcPr>
            <w:tcW w:w="2189" w:type="dxa"/>
          </w:tcPr>
          <w:p w14:paraId="6D3E7674" w14:textId="77777777" w:rsidR="003619DE" w:rsidRDefault="003619DE" w:rsidP="003619DE">
            <w:r>
              <w:t>Dermatomal vesicles; painful eruption; may involve graft.</w:t>
            </w:r>
          </w:p>
        </w:tc>
        <w:tc>
          <w:tcPr>
            <w:tcW w:w="2186" w:type="dxa"/>
          </w:tcPr>
          <w:p w14:paraId="10533F39" w14:textId="77777777" w:rsidR="003619DE" w:rsidRDefault="003619DE" w:rsidP="003619DE">
            <w:r>
              <w:t>PCR for VZV; clinical pattern.</w:t>
            </w:r>
          </w:p>
        </w:tc>
        <w:tc>
          <w:tcPr>
            <w:tcW w:w="2394" w:type="dxa"/>
          </w:tcPr>
          <w:p w14:paraId="64AD2394" w14:textId="77777777" w:rsidR="003619DE" w:rsidRDefault="003619DE" w:rsidP="003619DE">
            <w:r>
              <w:t>Acyclovir/valacyclovir; pain control.</w:t>
            </w:r>
          </w:p>
        </w:tc>
      </w:tr>
      <w:tr w:rsidR="003619DE" w14:paraId="3FB47AEE" w14:textId="77777777" w:rsidTr="003619DE">
        <w:trPr>
          <w:trHeight w:val="1239"/>
        </w:trPr>
        <w:tc>
          <w:tcPr>
            <w:tcW w:w="2193" w:type="dxa"/>
          </w:tcPr>
          <w:p w14:paraId="29218A47" w14:textId="77777777" w:rsidR="003619DE" w:rsidRPr="008E0FA9" w:rsidRDefault="003619DE" w:rsidP="003619DE">
            <w:pPr>
              <w:rPr>
                <w:color w:val="548DD4" w:themeColor="text2" w:themeTint="99"/>
              </w:rPr>
            </w:pPr>
            <w:r w:rsidRPr="008E0FA9">
              <w:rPr>
                <w:color w:val="548DD4" w:themeColor="text2" w:themeTint="99"/>
              </w:rPr>
              <w:t>Fungal infection</w:t>
            </w:r>
          </w:p>
        </w:tc>
        <w:tc>
          <w:tcPr>
            <w:tcW w:w="2189" w:type="dxa"/>
          </w:tcPr>
          <w:p w14:paraId="06C2A003" w14:textId="77777777" w:rsidR="003619DE" w:rsidRDefault="003619DE" w:rsidP="003619DE">
            <w:r>
              <w:t>Necrosis, black discoloration (angioinvasive fungi), slow healing.</w:t>
            </w:r>
          </w:p>
        </w:tc>
        <w:tc>
          <w:tcPr>
            <w:tcW w:w="2186" w:type="dxa"/>
          </w:tcPr>
          <w:p w14:paraId="73813AE0" w14:textId="77777777" w:rsidR="003619DE" w:rsidRDefault="003619DE" w:rsidP="003619DE">
            <w:r>
              <w:t>Fungal cultures, biopsy with histopathology.</w:t>
            </w:r>
          </w:p>
        </w:tc>
        <w:tc>
          <w:tcPr>
            <w:tcW w:w="2394" w:type="dxa"/>
          </w:tcPr>
          <w:p w14:paraId="3FBC8E86" w14:textId="77777777" w:rsidR="003619DE" w:rsidRDefault="003619DE" w:rsidP="003619DE">
            <w:r>
              <w:t>Debridement; systemic antifungals.</w:t>
            </w:r>
          </w:p>
        </w:tc>
      </w:tr>
      <w:tr w:rsidR="003619DE" w14:paraId="0D10DC30" w14:textId="77777777" w:rsidTr="003619DE">
        <w:tc>
          <w:tcPr>
            <w:tcW w:w="2193" w:type="dxa"/>
          </w:tcPr>
          <w:p w14:paraId="09DCC48C" w14:textId="77777777" w:rsidR="003619DE" w:rsidRPr="008E0FA9" w:rsidRDefault="003619DE" w:rsidP="003619DE">
            <w:pPr>
              <w:rPr>
                <w:color w:val="548DD4" w:themeColor="text2" w:themeTint="99"/>
              </w:rPr>
            </w:pPr>
            <w:r w:rsidRPr="008E0FA9">
              <w:rPr>
                <w:color w:val="548DD4" w:themeColor="text2" w:themeTint="99"/>
              </w:rPr>
              <w:t>Topical agent cytotoxicity</w:t>
            </w:r>
          </w:p>
        </w:tc>
        <w:tc>
          <w:tcPr>
            <w:tcW w:w="2189" w:type="dxa"/>
          </w:tcPr>
          <w:p w14:paraId="756CD84B" w14:textId="77777777" w:rsidR="003619DE" w:rsidRDefault="003619DE" w:rsidP="003619DE">
            <w:r>
              <w:t>Delayed epithelialization in well vascularized bed; pattern matches agent use.</w:t>
            </w:r>
          </w:p>
        </w:tc>
        <w:tc>
          <w:tcPr>
            <w:tcW w:w="2186" w:type="dxa"/>
          </w:tcPr>
          <w:p w14:paraId="6BB2A03E" w14:textId="77777777" w:rsidR="003619DE" w:rsidRDefault="003619DE" w:rsidP="003619DE">
            <w:r>
              <w:t>Review dressing/agent exposure.</w:t>
            </w:r>
          </w:p>
        </w:tc>
        <w:tc>
          <w:tcPr>
            <w:tcW w:w="2394" w:type="dxa"/>
          </w:tcPr>
          <w:p w14:paraId="3EBA530C" w14:textId="77777777" w:rsidR="003619DE" w:rsidRDefault="003619DE" w:rsidP="003619DE">
            <w:r>
              <w:t>Discontinue agent; non‑cytotoxic dressings.</w:t>
            </w:r>
          </w:p>
        </w:tc>
      </w:tr>
      <w:tr w:rsidR="003619DE" w14:paraId="4829A682" w14:textId="77777777" w:rsidTr="003619DE">
        <w:tc>
          <w:tcPr>
            <w:tcW w:w="2193" w:type="dxa"/>
          </w:tcPr>
          <w:p w14:paraId="5ADBD555" w14:textId="77777777" w:rsidR="003619DE" w:rsidRPr="008E0FA9" w:rsidRDefault="003619DE" w:rsidP="003619DE">
            <w:pPr>
              <w:rPr>
                <w:color w:val="548DD4" w:themeColor="text2" w:themeTint="99"/>
              </w:rPr>
            </w:pPr>
            <w:r w:rsidRPr="008E0FA9">
              <w:rPr>
                <w:color w:val="548DD4" w:themeColor="text2" w:themeTint="99"/>
              </w:rPr>
              <w:t>Nutritional / metabolic factors</w:t>
            </w:r>
          </w:p>
        </w:tc>
        <w:tc>
          <w:tcPr>
            <w:tcW w:w="2189" w:type="dxa"/>
          </w:tcPr>
          <w:p w14:paraId="3E940B0D" w14:textId="77777777" w:rsidR="003619DE" w:rsidRDefault="003619DE" w:rsidP="003619DE">
            <w:r>
              <w:t>Diffuse poor take; poor collagen formation; low albumin.</w:t>
            </w:r>
          </w:p>
        </w:tc>
        <w:tc>
          <w:tcPr>
            <w:tcW w:w="2186" w:type="dxa"/>
          </w:tcPr>
          <w:p w14:paraId="5078BE26" w14:textId="77777777" w:rsidR="003619DE" w:rsidRDefault="003619DE" w:rsidP="003619DE">
            <w:r>
              <w:t>Albumin, prealbumin, CBC, glucose.</w:t>
            </w:r>
          </w:p>
        </w:tc>
        <w:tc>
          <w:tcPr>
            <w:tcW w:w="2394" w:type="dxa"/>
          </w:tcPr>
          <w:p w14:paraId="43239C22" w14:textId="77777777" w:rsidR="003619DE" w:rsidRDefault="003619DE" w:rsidP="003619DE">
            <w:r>
              <w:t>Optimize nutrition, anemia, glucose control.</w:t>
            </w:r>
          </w:p>
        </w:tc>
      </w:tr>
      <w:tr w:rsidR="003619DE" w14:paraId="186D752A" w14:textId="77777777" w:rsidTr="003619DE">
        <w:tc>
          <w:tcPr>
            <w:tcW w:w="2193" w:type="dxa"/>
          </w:tcPr>
          <w:p w14:paraId="00E5A11F" w14:textId="77777777" w:rsidR="003619DE" w:rsidRPr="008E0FA9" w:rsidRDefault="003619DE" w:rsidP="003619DE">
            <w:pPr>
              <w:rPr>
                <w:color w:val="548DD4" w:themeColor="text2" w:themeTint="99"/>
              </w:rPr>
            </w:pPr>
            <w:r w:rsidRPr="008E0FA9">
              <w:rPr>
                <w:color w:val="548DD4" w:themeColor="text2" w:themeTint="99"/>
              </w:rPr>
              <w:t>Immunosuppression / medications</w:t>
            </w:r>
          </w:p>
        </w:tc>
        <w:tc>
          <w:tcPr>
            <w:tcW w:w="2189" w:type="dxa"/>
          </w:tcPr>
          <w:p w14:paraId="0462D837" w14:textId="77777777" w:rsidR="003619DE" w:rsidRDefault="003619DE" w:rsidP="003619DE">
            <w:r>
              <w:t>Generalized delayed healing; high infection risk.</w:t>
            </w:r>
          </w:p>
        </w:tc>
        <w:tc>
          <w:tcPr>
            <w:tcW w:w="2186" w:type="dxa"/>
          </w:tcPr>
          <w:p w14:paraId="5F0D6110" w14:textId="77777777" w:rsidR="003619DE" w:rsidRDefault="003619DE" w:rsidP="003619DE">
            <w:r>
              <w:t>Medication review; immune tests.</w:t>
            </w:r>
          </w:p>
        </w:tc>
        <w:tc>
          <w:tcPr>
            <w:tcW w:w="2394" w:type="dxa"/>
          </w:tcPr>
          <w:p w14:paraId="1F519929" w14:textId="77777777" w:rsidR="003619DE" w:rsidRDefault="003619DE" w:rsidP="003619DE">
            <w:r>
              <w:t>Adjust immunosuppression if possible; prophylaxis as needed.</w:t>
            </w:r>
          </w:p>
        </w:tc>
      </w:tr>
      <w:tr w:rsidR="003619DE" w14:paraId="3619283A" w14:textId="77777777" w:rsidTr="003619DE">
        <w:tc>
          <w:tcPr>
            <w:tcW w:w="2193" w:type="dxa"/>
          </w:tcPr>
          <w:p w14:paraId="3A3499BC" w14:textId="77777777" w:rsidR="003619DE" w:rsidRPr="008E0FA9" w:rsidRDefault="003619DE" w:rsidP="003619DE">
            <w:pPr>
              <w:rPr>
                <w:color w:val="548DD4" w:themeColor="text2" w:themeTint="99"/>
              </w:rPr>
            </w:pPr>
            <w:r w:rsidRPr="008E0FA9">
              <w:rPr>
                <w:color w:val="548DD4" w:themeColor="text2" w:themeTint="99"/>
              </w:rPr>
              <w:t>Foreign body / retained necrotic tissue</w:t>
            </w:r>
          </w:p>
        </w:tc>
        <w:tc>
          <w:tcPr>
            <w:tcW w:w="2189" w:type="dxa"/>
          </w:tcPr>
          <w:p w14:paraId="0EFA9419" w14:textId="77777777" w:rsidR="003619DE" w:rsidRDefault="003619DE" w:rsidP="003619DE">
            <w:r>
              <w:t>Localized graft failure; persistent drainage.</w:t>
            </w:r>
          </w:p>
        </w:tc>
        <w:tc>
          <w:tcPr>
            <w:tcW w:w="2186" w:type="dxa"/>
          </w:tcPr>
          <w:p w14:paraId="3E102B8B" w14:textId="77777777" w:rsidR="003619DE" w:rsidRDefault="003619DE" w:rsidP="003619DE">
            <w:r>
              <w:t>Clinical exam; re-exploration.</w:t>
            </w:r>
          </w:p>
        </w:tc>
        <w:tc>
          <w:tcPr>
            <w:tcW w:w="2394" w:type="dxa"/>
          </w:tcPr>
          <w:p w14:paraId="0D6350A3" w14:textId="77777777" w:rsidR="003619DE" w:rsidRDefault="003619DE" w:rsidP="003619DE">
            <w:r>
              <w:t>Debridement; prepare wound bed; re-graft.</w:t>
            </w:r>
          </w:p>
        </w:tc>
      </w:tr>
    </w:tbl>
    <w:p w14:paraId="7E28F695" w14:textId="77777777" w:rsidR="003619DE" w:rsidRPr="003619DE" w:rsidRDefault="003619DE" w:rsidP="003619DE">
      <w:pPr>
        <w:pStyle w:val="Heading2"/>
        <w:jc w:val="center"/>
        <w:rPr>
          <w:color w:val="548DD4" w:themeColor="text2" w:themeTint="99"/>
          <w:sz w:val="24"/>
          <w:szCs w:val="24"/>
        </w:rPr>
      </w:pPr>
      <w:r w:rsidRPr="003619DE">
        <w:rPr>
          <w:color w:val="548DD4" w:themeColor="text2" w:themeTint="99"/>
          <w:sz w:val="24"/>
          <w:szCs w:val="24"/>
        </w:rPr>
        <w:t>Table 2. Differential diagnosis for graft failure and delayed wound healing in burn patients</w:t>
      </w:r>
    </w:p>
    <w:p w14:paraId="57CF74C6" w14:textId="77777777" w:rsidR="003619DE" w:rsidRPr="00C461F5" w:rsidRDefault="003619DE" w:rsidP="00C461F5">
      <w:pPr>
        <w:shd w:val="clear" w:color="auto" w:fill="FFFFFF"/>
        <w:spacing w:before="100" w:beforeAutospacing="1" w:after="100" w:afterAutospacing="1"/>
        <w:jc w:val="both"/>
        <w:rPr>
          <w:rFonts w:ascii="Arial" w:hAnsi="Arial" w:cs="Arial"/>
          <w:color w:val="222222"/>
        </w:rPr>
      </w:pPr>
    </w:p>
    <w:p w14:paraId="4301BE36" w14:textId="4B703385" w:rsidR="0050272F" w:rsidRPr="0050272F" w:rsidRDefault="0050272F" w:rsidP="0050272F">
      <w:pPr>
        <w:rPr>
          <w:rFonts w:ascii="Times" w:eastAsia="Times New Roman" w:hAnsi="Times" w:cs="Times New Roman"/>
          <w:sz w:val="20"/>
          <w:szCs w:val="20"/>
        </w:rPr>
      </w:pPr>
    </w:p>
    <w:p w14:paraId="34EB076B" w14:textId="77777777" w:rsidR="0050272F" w:rsidRPr="0050272F" w:rsidRDefault="0050272F" w:rsidP="0050272F">
      <w:pPr>
        <w:shd w:val="clear" w:color="auto" w:fill="FFFFFF"/>
        <w:spacing w:before="100" w:beforeAutospacing="1" w:after="100" w:afterAutospacing="1"/>
        <w:outlineLvl w:val="1"/>
        <w:rPr>
          <w:rFonts w:ascii="Arial" w:eastAsia="Times New Roman" w:hAnsi="Arial" w:cs="Arial"/>
          <w:b/>
          <w:bCs/>
          <w:color w:val="222222"/>
          <w:sz w:val="36"/>
          <w:szCs w:val="36"/>
        </w:rPr>
      </w:pPr>
      <w:r w:rsidRPr="0050272F">
        <w:rPr>
          <w:rFonts w:ascii="Arial" w:eastAsia="Times New Roman" w:hAnsi="Arial" w:cs="Arial"/>
          <w:b/>
          <w:bCs/>
          <w:color w:val="222222"/>
          <w:sz w:val="36"/>
          <w:szCs w:val="36"/>
        </w:rPr>
        <w:t>Balancing prevention and treatment: harms, benefits and stewardship</w:t>
      </w:r>
    </w:p>
    <w:p w14:paraId="20053414" w14:textId="5DEB8165" w:rsidR="0050272F" w:rsidRPr="000E0FE4" w:rsidRDefault="00C461F5" w:rsidP="000E0FE4">
      <w:pPr>
        <w:shd w:val="clear" w:color="auto" w:fill="FFFFFF"/>
        <w:jc w:val="both"/>
        <w:rPr>
          <w:rFonts w:ascii="Arial" w:hAnsi="Arial" w:cs="Arial"/>
          <w:color w:val="222222"/>
        </w:rPr>
      </w:pPr>
      <w:r w:rsidRPr="000E0FE4">
        <w:rPr>
          <w:rFonts w:ascii="Arial" w:hAnsi="Arial" w:cs="Arial"/>
          <w:color w:val="222222"/>
        </w:rPr>
        <w:t>The optimal strategy balances</w:t>
      </w:r>
      <w:r w:rsidRPr="000E0FE4">
        <w:rPr>
          <w:rFonts w:ascii="Arial" w:hAnsi="Arial" w:cs="Arial"/>
          <w:bCs/>
          <w:color w:val="222222"/>
        </w:rPr>
        <w:t xml:space="preserve"> b</w:t>
      </w:r>
      <w:r w:rsidR="0050272F" w:rsidRPr="000E0FE4">
        <w:rPr>
          <w:rFonts w:ascii="Arial" w:hAnsi="Arial" w:cs="Arial"/>
          <w:bCs/>
          <w:color w:val="222222"/>
        </w:rPr>
        <w:t>enefit</w:t>
      </w:r>
      <w:r w:rsidRPr="000E0FE4">
        <w:rPr>
          <w:rFonts w:ascii="Arial" w:hAnsi="Arial" w:cs="Arial"/>
          <w:color w:val="222222"/>
        </w:rPr>
        <w:t xml:space="preserve"> like </w:t>
      </w:r>
      <w:r w:rsidR="0050272F" w:rsidRPr="000E0FE4">
        <w:rPr>
          <w:rFonts w:ascii="Arial" w:hAnsi="Arial" w:cs="Arial"/>
          <w:color w:val="222222"/>
        </w:rPr>
        <w:t>reduced incidence of HSV wound disease, graft salvage, reduced pain and scarring, pote</w:t>
      </w:r>
      <w:r w:rsidR="000E0FE4" w:rsidRPr="000E0FE4">
        <w:rPr>
          <w:rFonts w:ascii="Arial" w:hAnsi="Arial" w:cs="Arial"/>
          <w:color w:val="222222"/>
        </w:rPr>
        <w:t xml:space="preserve">ntially fewer ICU complications versus </w:t>
      </w:r>
      <w:r w:rsidR="000E0FE4" w:rsidRPr="000E0FE4">
        <w:rPr>
          <w:rFonts w:ascii="Arial" w:hAnsi="Arial" w:cs="Arial"/>
          <w:color w:val="222222"/>
        </w:rPr>
        <w:lastRenderedPageBreak/>
        <w:t xml:space="preserve">complications such as </w:t>
      </w:r>
      <w:r w:rsidR="0050272F" w:rsidRPr="000E0FE4">
        <w:rPr>
          <w:rFonts w:ascii="Arial" w:hAnsi="Arial" w:cs="Arial"/>
          <w:color w:val="222222"/>
        </w:rPr>
        <w:t>drug adverse effects (renal toxicity), costs, selection for antiviral resistance, and unnecessary exposure of many patients to antivirals to prevent events in a minority.</w:t>
      </w:r>
    </w:p>
    <w:p w14:paraId="02AB99D1" w14:textId="137A4255" w:rsidR="0050272F" w:rsidRPr="000E0FE4" w:rsidRDefault="0050272F" w:rsidP="000E0FE4">
      <w:pPr>
        <w:shd w:val="clear" w:color="auto" w:fill="FFFFFF"/>
        <w:jc w:val="both"/>
        <w:rPr>
          <w:rFonts w:ascii="Arial" w:hAnsi="Arial" w:cs="Arial"/>
          <w:color w:val="222222"/>
        </w:rPr>
      </w:pPr>
      <w:r w:rsidRPr="000E0FE4">
        <w:rPr>
          <w:rFonts w:ascii="Arial" w:hAnsi="Arial" w:cs="Arial"/>
          <w:color w:val="222222"/>
        </w:rPr>
        <w:t>Evidence from ICU trials suggests that </w:t>
      </w:r>
      <w:r w:rsidRPr="000E0FE4">
        <w:rPr>
          <w:rFonts w:ascii="Arial" w:hAnsi="Arial" w:cs="Arial"/>
          <w:bCs/>
          <w:color w:val="222222"/>
        </w:rPr>
        <w:t>preemptive antiviral therapy reduces viral bronchopneumonitis</w:t>
      </w:r>
      <w:r w:rsidRPr="000E0FE4">
        <w:rPr>
          <w:rFonts w:ascii="Arial" w:hAnsi="Arial" w:cs="Arial"/>
          <w:color w:val="222222"/>
        </w:rPr>
        <w:t> in some analyses but does not universally improve ventilator-free days or mortali</w:t>
      </w:r>
      <w:r w:rsidR="00BC4A47">
        <w:rPr>
          <w:rFonts w:ascii="Arial" w:hAnsi="Arial" w:cs="Arial"/>
          <w:color w:val="222222"/>
        </w:rPr>
        <w:t xml:space="preserve">ty [8–10,12]. For burn patients </w:t>
      </w:r>
      <w:r w:rsidRPr="000E0FE4">
        <w:rPr>
          <w:rFonts w:ascii="Arial" w:hAnsi="Arial" w:cs="Arial"/>
          <w:color w:val="222222"/>
        </w:rPr>
        <w:t>particularly in facial burns where cosmetic and fu</w:t>
      </w:r>
      <w:r w:rsidR="00BC4A47">
        <w:rPr>
          <w:rFonts w:ascii="Arial" w:hAnsi="Arial" w:cs="Arial"/>
          <w:color w:val="222222"/>
        </w:rPr>
        <w:t xml:space="preserve">nctional outcomes are paramount </w:t>
      </w:r>
      <w:r w:rsidRPr="000E0FE4">
        <w:rPr>
          <w:rFonts w:ascii="Arial" w:hAnsi="Arial" w:cs="Arial"/>
          <w:color w:val="222222"/>
        </w:rPr>
        <w:t>the threshold for prophylaxis is understandably lower; several authors recommend prophylaxis in such scenarios despite imperfect evidence [4,11]. Stewardship principles favour </w:t>
      </w:r>
      <w:r w:rsidRPr="000E0FE4">
        <w:rPr>
          <w:rFonts w:ascii="Arial" w:hAnsi="Arial" w:cs="Arial"/>
          <w:bCs/>
          <w:color w:val="222222"/>
        </w:rPr>
        <w:t>targeted prophylaxis</w:t>
      </w:r>
      <w:r w:rsidRPr="000E0FE4">
        <w:rPr>
          <w:rFonts w:ascii="Arial" w:hAnsi="Arial" w:cs="Arial"/>
          <w:color w:val="222222"/>
        </w:rPr>
        <w:t> rather than universal treatment, combined with </w:t>
      </w:r>
      <w:r w:rsidRPr="000E0FE4">
        <w:rPr>
          <w:rFonts w:ascii="Arial" w:hAnsi="Arial" w:cs="Arial"/>
          <w:bCs/>
          <w:color w:val="222222"/>
        </w:rPr>
        <w:t>robust surveillance and rapid diagnostic access</w:t>
      </w:r>
      <w:r w:rsidRPr="000E0FE4">
        <w:rPr>
          <w:rFonts w:ascii="Arial" w:hAnsi="Arial" w:cs="Arial"/>
          <w:color w:val="222222"/>
        </w:rPr>
        <w:t> so that treatment can be started promptly in confirmed cases.</w:t>
      </w:r>
    </w:p>
    <w:p w14:paraId="0C38A365" w14:textId="2A755B25" w:rsidR="0050272F" w:rsidRPr="0050272F" w:rsidRDefault="0050272F" w:rsidP="0050272F">
      <w:pPr>
        <w:rPr>
          <w:rFonts w:ascii="Times" w:eastAsia="Times New Roman" w:hAnsi="Times" w:cs="Times New Roman"/>
          <w:sz w:val="20"/>
          <w:szCs w:val="20"/>
        </w:rPr>
      </w:pPr>
    </w:p>
    <w:p w14:paraId="73E12392" w14:textId="77777777" w:rsidR="0050272F" w:rsidRPr="0050272F" w:rsidRDefault="0050272F" w:rsidP="0050272F">
      <w:pPr>
        <w:shd w:val="clear" w:color="auto" w:fill="FFFFFF"/>
        <w:spacing w:before="100" w:beforeAutospacing="1" w:after="100" w:afterAutospacing="1"/>
        <w:outlineLvl w:val="1"/>
        <w:rPr>
          <w:rFonts w:ascii="Arial" w:eastAsia="Times New Roman" w:hAnsi="Arial" w:cs="Arial"/>
          <w:b/>
          <w:bCs/>
          <w:color w:val="222222"/>
          <w:sz w:val="36"/>
          <w:szCs w:val="36"/>
        </w:rPr>
      </w:pPr>
      <w:r w:rsidRPr="0050272F">
        <w:rPr>
          <w:rFonts w:ascii="Arial" w:eastAsia="Times New Roman" w:hAnsi="Arial" w:cs="Arial"/>
          <w:b/>
          <w:bCs/>
          <w:color w:val="222222"/>
          <w:sz w:val="36"/>
          <w:szCs w:val="36"/>
        </w:rPr>
        <w:t>Proposed pragmatic algorithm for HSV management in burn units</w:t>
      </w:r>
    </w:p>
    <w:p w14:paraId="1F1E8C9F" w14:textId="643FF0BA" w:rsidR="0050272F" w:rsidRPr="007D4D61" w:rsidRDefault="0050272F" w:rsidP="007D4D61">
      <w:pPr>
        <w:shd w:val="clear" w:color="auto" w:fill="FFFFFF"/>
        <w:jc w:val="both"/>
        <w:rPr>
          <w:rFonts w:ascii="Arial" w:hAnsi="Arial" w:cs="Arial"/>
          <w:color w:val="222222"/>
        </w:rPr>
      </w:pPr>
      <w:r w:rsidRPr="007D4D61">
        <w:rPr>
          <w:rFonts w:ascii="Arial" w:hAnsi="Arial" w:cs="Arial"/>
          <w:color w:val="222222"/>
        </w:rPr>
        <w:t>Below is a practical</w:t>
      </w:r>
      <w:r w:rsidR="00BC4A47">
        <w:rPr>
          <w:rFonts w:ascii="Arial" w:hAnsi="Arial" w:cs="Arial"/>
          <w:color w:val="222222"/>
        </w:rPr>
        <w:t xml:space="preserve"> algorithm to guide clinicians (Figure 1)</w:t>
      </w:r>
    </w:p>
    <w:p w14:paraId="1F64F76E" w14:textId="721D68BB" w:rsidR="0050272F" w:rsidRPr="007D4D61" w:rsidRDefault="0050272F" w:rsidP="007D4D61">
      <w:pPr>
        <w:shd w:val="clear" w:color="auto" w:fill="FFFFFF"/>
        <w:jc w:val="both"/>
        <w:rPr>
          <w:rFonts w:ascii="Arial" w:hAnsi="Arial" w:cs="Arial"/>
          <w:color w:val="222222"/>
        </w:rPr>
      </w:pPr>
      <w:r w:rsidRPr="007D4D61">
        <w:rPr>
          <w:rFonts w:ascii="Arial" w:hAnsi="Arial" w:cs="Arial"/>
          <w:bCs/>
          <w:color w:val="222222"/>
        </w:rPr>
        <w:t>Admission assessment</w:t>
      </w:r>
      <w:r w:rsidR="007D4D61" w:rsidRPr="007D4D61">
        <w:rPr>
          <w:rFonts w:ascii="Arial" w:hAnsi="Arial" w:cs="Arial"/>
          <w:color w:val="222222"/>
        </w:rPr>
        <w:t xml:space="preserve"> is necessary toidentify high-risk features  like </w:t>
      </w:r>
      <w:r w:rsidRPr="007D4D61">
        <w:rPr>
          <w:rFonts w:ascii="Arial" w:hAnsi="Arial" w:cs="Arial"/>
          <w:color w:val="222222"/>
        </w:rPr>
        <w:t>facial burns, TBSA &gt;20–30%, mechanical ventilation expected &gt;48–72 h, p</w:t>
      </w:r>
      <w:r w:rsidR="007D4D61" w:rsidRPr="007D4D61">
        <w:rPr>
          <w:rFonts w:ascii="Arial" w:hAnsi="Arial" w:cs="Arial"/>
          <w:color w:val="222222"/>
        </w:rPr>
        <w:t xml:space="preserve">lanned multiple grafts, steroid or </w:t>
      </w:r>
      <w:r w:rsidRPr="007D4D61">
        <w:rPr>
          <w:rFonts w:ascii="Arial" w:hAnsi="Arial" w:cs="Arial"/>
          <w:color w:val="222222"/>
        </w:rPr>
        <w:t>immunosuppression.</w:t>
      </w:r>
      <w:r w:rsidR="007D4D61" w:rsidRPr="007D4D61">
        <w:rPr>
          <w:rFonts w:ascii="Arial" w:hAnsi="Arial" w:cs="Arial"/>
          <w:color w:val="222222"/>
        </w:rPr>
        <w:t xml:space="preserve"> </w:t>
      </w:r>
      <w:r w:rsidRPr="007D4D61">
        <w:rPr>
          <w:rFonts w:ascii="Arial" w:hAnsi="Arial" w:cs="Arial"/>
          <w:bCs/>
          <w:color w:val="222222"/>
        </w:rPr>
        <w:t>Baseline measures</w:t>
      </w:r>
      <w:r w:rsidR="007D4D61" w:rsidRPr="007D4D61">
        <w:rPr>
          <w:rFonts w:ascii="Arial" w:hAnsi="Arial" w:cs="Arial"/>
          <w:color w:val="222222"/>
        </w:rPr>
        <w:t xml:space="preserve"> should aim for </w:t>
      </w:r>
      <w:r w:rsidRPr="007D4D61">
        <w:rPr>
          <w:rFonts w:ascii="Arial" w:hAnsi="Arial" w:cs="Arial"/>
          <w:color w:val="222222"/>
        </w:rPr>
        <w:t>strict infection control; consider baseline oropharyngeal swab (PCR) in high-risk patients.</w:t>
      </w:r>
      <w:r w:rsidRPr="007D4D61">
        <w:rPr>
          <w:rFonts w:ascii="Arial" w:hAnsi="Arial" w:cs="Arial"/>
          <w:bCs/>
          <w:color w:val="222222"/>
        </w:rPr>
        <w:t>Surveillance</w:t>
      </w:r>
      <w:r w:rsidR="007D4D61" w:rsidRPr="007D4D61">
        <w:rPr>
          <w:rFonts w:ascii="Arial" w:hAnsi="Arial" w:cs="Arial"/>
          <w:color w:val="222222"/>
        </w:rPr>
        <w:t xml:space="preserve"> </w:t>
      </w:r>
      <w:r w:rsidRPr="007D4D61">
        <w:rPr>
          <w:rFonts w:ascii="Arial" w:hAnsi="Arial" w:cs="Arial"/>
          <w:color w:val="222222"/>
        </w:rPr>
        <w:t>for high-risk patients, twice-weekly oropharyngeal/wound PCR and clinical inspection during the acute period; for others, monitor clinically.</w:t>
      </w:r>
    </w:p>
    <w:p w14:paraId="7F750C87" w14:textId="29E5DB5E" w:rsidR="0050272F" w:rsidRPr="007D4D61" w:rsidRDefault="007D4D61" w:rsidP="007D4D61">
      <w:pPr>
        <w:shd w:val="clear" w:color="auto" w:fill="FFFFFF"/>
        <w:jc w:val="both"/>
        <w:rPr>
          <w:rFonts w:ascii="Arial" w:hAnsi="Arial" w:cs="Arial"/>
          <w:color w:val="222222"/>
        </w:rPr>
      </w:pPr>
      <w:r w:rsidRPr="007D4D61">
        <w:rPr>
          <w:rFonts w:ascii="Arial" w:hAnsi="Arial" w:cs="Arial"/>
          <w:bCs/>
          <w:color w:val="222222"/>
        </w:rPr>
        <w:t xml:space="preserve">Implement </w:t>
      </w:r>
      <w:r w:rsidR="0050272F" w:rsidRPr="007D4D61">
        <w:rPr>
          <w:rFonts w:ascii="Arial" w:hAnsi="Arial" w:cs="Arial"/>
          <w:bCs/>
          <w:color w:val="222222"/>
        </w:rPr>
        <w:t>Prophylaxis</w:t>
      </w:r>
      <w:r w:rsidRPr="007D4D61">
        <w:rPr>
          <w:rFonts w:ascii="Arial" w:hAnsi="Arial" w:cs="Arial"/>
          <w:color w:val="222222"/>
        </w:rPr>
        <w:t xml:space="preserve"> ; </w:t>
      </w:r>
      <w:r w:rsidR="0050272F" w:rsidRPr="007D4D61">
        <w:rPr>
          <w:rFonts w:ascii="Arial" w:hAnsi="Arial" w:cs="Arial"/>
          <w:color w:val="222222"/>
        </w:rPr>
        <w:t>consider oral acyclovir 400 mg TID or valacyclovir 500 mg–1 g BID for short course (5–10 days) in </w:t>
      </w:r>
      <w:r w:rsidR="0050272F" w:rsidRPr="007D4D61">
        <w:rPr>
          <w:rFonts w:ascii="Arial" w:hAnsi="Arial" w:cs="Arial"/>
          <w:i/>
          <w:iCs/>
          <w:color w:val="222222"/>
        </w:rPr>
        <w:t>facial burns during grafting</w:t>
      </w:r>
      <w:r w:rsidR="0050272F" w:rsidRPr="007D4D61">
        <w:rPr>
          <w:rFonts w:ascii="Arial" w:hAnsi="Arial" w:cs="Arial"/>
          <w:color w:val="222222"/>
        </w:rPr>
        <w:t> or in patients with prior documented HSV graft complications; consult local policy and ID for dosing, particularly in renal impairment. For ventilated patients with oropharyngeal PCR conversion, consider IV acyclovir.</w:t>
      </w:r>
    </w:p>
    <w:p w14:paraId="63AEBFD2" w14:textId="77777777" w:rsidR="00BC4A47" w:rsidRDefault="007D4D61" w:rsidP="0012794E">
      <w:pPr>
        <w:shd w:val="clear" w:color="auto" w:fill="FFFFFF"/>
        <w:jc w:val="both"/>
        <w:rPr>
          <w:rFonts w:ascii="Arial" w:hAnsi="Arial" w:cs="Arial"/>
          <w:color w:val="222222"/>
        </w:rPr>
      </w:pPr>
      <w:r w:rsidRPr="007D4D61">
        <w:rPr>
          <w:rFonts w:ascii="Arial" w:hAnsi="Arial" w:cs="Arial"/>
          <w:bCs/>
          <w:color w:val="222222"/>
        </w:rPr>
        <w:t>In case of a s</w:t>
      </w:r>
      <w:r w:rsidR="0050272F" w:rsidRPr="007D4D61">
        <w:rPr>
          <w:rFonts w:ascii="Arial" w:hAnsi="Arial" w:cs="Arial"/>
          <w:bCs/>
          <w:color w:val="222222"/>
        </w:rPr>
        <w:t>uspe</w:t>
      </w:r>
      <w:r w:rsidRPr="007D4D61">
        <w:rPr>
          <w:rFonts w:ascii="Arial" w:hAnsi="Arial" w:cs="Arial"/>
          <w:bCs/>
          <w:color w:val="222222"/>
        </w:rPr>
        <w:t xml:space="preserve">cted or </w:t>
      </w:r>
      <w:r w:rsidR="0050272F" w:rsidRPr="007D4D61">
        <w:rPr>
          <w:rFonts w:ascii="Arial" w:hAnsi="Arial" w:cs="Arial"/>
          <w:bCs/>
          <w:color w:val="222222"/>
        </w:rPr>
        <w:t>confirmed invasive HSV wound disease</w:t>
      </w:r>
      <w:r w:rsidRPr="007D4D61">
        <w:rPr>
          <w:rFonts w:ascii="Arial" w:hAnsi="Arial" w:cs="Arial"/>
          <w:color w:val="222222"/>
        </w:rPr>
        <w:t xml:space="preserve"> initiation </w:t>
      </w:r>
      <w:proofErr w:type="gramStart"/>
      <w:r w:rsidRPr="007D4D61">
        <w:rPr>
          <w:rFonts w:ascii="Arial" w:hAnsi="Arial" w:cs="Arial"/>
          <w:color w:val="222222"/>
        </w:rPr>
        <w:t xml:space="preserve">of </w:t>
      </w:r>
      <w:r w:rsidR="0050272F" w:rsidRPr="007D4D61">
        <w:rPr>
          <w:rFonts w:ascii="Arial" w:hAnsi="Arial" w:cs="Arial"/>
          <w:color w:val="222222"/>
        </w:rPr>
        <w:t xml:space="preserve"> systemic</w:t>
      </w:r>
      <w:proofErr w:type="gramEnd"/>
      <w:r w:rsidR="0050272F" w:rsidRPr="007D4D61">
        <w:rPr>
          <w:rFonts w:ascii="Arial" w:hAnsi="Arial" w:cs="Arial"/>
          <w:color w:val="222222"/>
        </w:rPr>
        <w:t xml:space="preserve"> antiv</w:t>
      </w:r>
      <w:r w:rsidRPr="007D4D61">
        <w:rPr>
          <w:rFonts w:ascii="Arial" w:hAnsi="Arial" w:cs="Arial"/>
          <w:color w:val="222222"/>
        </w:rPr>
        <w:t xml:space="preserve">irals (IV acyclovir 5–10 mg/kg </w:t>
      </w:r>
      <w:r w:rsidR="0050272F" w:rsidRPr="007D4D61">
        <w:rPr>
          <w:rFonts w:ascii="Arial" w:hAnsi="Arial" w:cs="Arial"/>
          <w:color w:val="222222"/>
        </w:rPr>
        <w:t>8h, adjust for renal function)</w:t>
      </w:r>
      <w:r w:rsidRPr="007D4D61">
        <w:rPr>
          <w:rFonts w:ascii="Arial" w:hAnsi="Arial" w:cs="Arial"/>
          <w:color w:val="222222"/>
        </w:rPr>
        <w:t xml:space="preserve"> should be done as soon as possible as well as</w:t>
      </w:r>
      <w:r w:rsidR="0050272F" w:rsidRPr="007D4D61">
        <w:rPr>
          <w:rFonts w:ascii="Arial" w:hAnsi="Arial" w:cs="Arial"/>
          <w:color w:val="222222"/>
        </w:rPr>
        <w:t xml:space="preserve"> obtain</w:t>
      </w:r>
      <w:r w:rsidRPr="007D4D61">
        <w:rPr>
          <w:rFonts w:ascii="Arial" w:hAnsi="Arial" w:cs="Arial"/>
          <w:color w:val="222222"/>
        </w:rPr>
        <w:t>tion of</w:t>
      </w:r>
      <w:r w:rsidR="0050272F" w:rsidRPr="007D4D61">
        <w:rPr>
          <w:rFonts w:ascii="Arial" w:hAnsi="Arial" w:cs="Arial"/>
          <w:color w:val="222222"/>
        </w:rPr>
        <w:t xml:space="preserve"> tissue biopsy and </w:t>
      </w:r>
      <w:r w:rsidRPr="007D4D61">
        <w:rPr>
          <w:rFonts w:ascii="Arial" w:hAnsi="Arial" w:cs="Arial"/>
          <w:color w:val="222222"/>
        </w:rPr>
        <w:t>PCR for confirmation;in association</w:t>
      </w:r>
      <w:r w:rsidR="0050272F" w:rsidRPr="007D4D61">
        <w:rPr>
          <w:rFonts w:ascii="Arial" w:hAnsi="Arial" w:cs="Arial"/>
          <w:color w:val="222222"/>
        </w:rPr>
        <w:t xml:space="preserve"> with</w:t>
      </w:r>
      <w:r>
        <w:rPr>
          <w:rFonts w:ascii="Arial" w:hAnsi="Arial" w:cs="Arial"/>
          <w:color w:val="222222"/>
        </w:rPr>
        <w:t xml:space="preserve"> surgical debridement as needed. </w:t>
      </w:r>
      <w:proofErr w:type="gramStart"/>
      <w:r w:rsidR="0050272F" w:rsidRPr="0050272F">
        <w:rPr>
          <w:rFonts w:ascii="Arial" w:hAnsi="Arial" w:cs="Arial"/>
          <w:color w:val="222222"/>
        </w:rPr>
        <w:t>consider</w:t>
      </w:r>
      <w:r>
        <w:rPr>
          <w:rFonts w:ascii="Arial" w:hAnsi="Arial" w:cs="Arial"/>
          <w:color w:val="222222"/>
        </w:rPr>
        <w:t>ing</w:t>
      </w:r>
      <w:proofErr w:type="gramEnd"/>
      <w:r>
        <w:rPr>
          <w:rFonts w:ascii="Arial" w:hAnsi="Arial" w:cs="Arial"/>
          <w:color w:val="222222"/>
        </w:rPr>
        <w:t xml:space="preserve"> viral genotype</w:t>
      </w:r>
      <w:r w:rsidR="0050272F" w:rsidRPr="0050272F">
        <w:rPr>
          <w:rFonts w:ascii="Arial" w:hAnsi="Arial" w:cs="Arial"/>
          <w:color w:val="222222"/>
        </w:rPr>
        <w:t xml:space="preserve"> and use foscarnet or cidofovir if resistance proven.treat</w:t>
      </w:r>
      <w:r w:rsidR="0012794E">
        <w:rPr>
          <w:rFonts w:ascii="Arial" w:hAnsi="Arial" w:cs="Arial"/>
          <w:color w:val="222222"/>
        </w:rPr>
        <w:t xml:space="preserve">ement should be maintained </w:t>
      </w:r>
      <w:r w:rsidR="0050272F" w:rsidRPr="0050272F">
        <w:rPr>
          <w:rFonts w:ascii="Arial" w:hAnsi="Arial" w:cs="Arial"/>
          <w:color w:val="222222"/>
        </w:rPr>
        <w:t xml:space="preserve"> until clinical resolution and, if needed, until PCR negativity in invasive disease; step-down to oral therapy when improving.</w:t>
      </w:r>
    </w:p>
    <w:p w14:paraId="0353E983" w14:textId="77777777" w:rsidR="00BC4A47" w:rsidRDefault="00BC4A47" w:rsidP="0012794E">
      <w:pPr>
        <w:shd w:val="clear" w:color="auto" w:fill="FFFFFF"/>
        <w:jc w:val="both"/>
        <w:rPr>
          <w:rFonts w:ascii="Arial" w:hAnsi="Arial" w:cs="Arial"/>
          <w:color w:val="222222"/>
        </w:rPr>
      </w:pPr>
    </w:p>
    <w:p w14:paraId="0192BBEC" w14:textId="4CB9B4B8" w:rsidR="0050272F" w:rsidRPr="0050272F" w:rsidRDefault="00BC4A47" w:rsidP="00BC4A47">
      <w:pPr>
        <w:shd w:val="clear" w:color="auto" w:fill="FFFFFF"/>
        <w:ind w:left="1843"/>
        <w:jc w:val="both"/>
        <w:rPr>
          <w:rFonts w:ascii="Arial" w:hAnsi="Arial" w:cs="Arial"/>
          <w:color w:val="222222"/>
        </w:rPr>
      </w:pPr>
      <w:r>
        <w:rPr>
          <w:rFonts w:ascii="Arial" w:hAnsi="Arial" w:cs="Arial"/>
          <w:noProof/>
          <w:color w:val="222222"/>
        </w:rPr>
        <w:lastRenderedPageBreak/>
        <mc:AlternateContent>
          <mc:Choice Requires="wps">
            <w:drawing>
              <wp:anchor distT="0" distB="0" distL="114300" distR="114300" simplePos="0" relativeHeight="251660288" behindDoc="0" locked="0" layoutInCell="1" allowOverlap="1" wp14:anchorId="0B56D22F" wp14:editId="7FE21700">
                <wp:simplePos x="0" y="0"/>
                <wp:positionH relativeFrom="column">
                  <wp:posOffset>1943100</wp:posOffset>
                </wp:positionH>
                <wp:positionV relativeFrom="paragraph">
                  <wp:posOffset>4606290</wp:posOffset>
                </wp:positionV>
                <wp:extent cx="3200400" cy="342900"/>
                <wp:effectExtent l="0" t="0" r="0" b="12700"/>
                <wp:wrapSquare wrapText="bothSides"/>
                <wp:docPr id="3" name="Zone de texte 3"/>
                <wp:cNvGraphicFramePr/>
                <a:graphic xmlns:a="http://schemas.openxmlformats.org/drawingml/2006/main">
                  <a:graphicData uri="http://schemas.microsoft.com/office/word/2010/wordprocessingShape">
                    <wps:wsp>
                      <wps:cNvSpPr txBox="1"/>
                      <wps:spPr>
                        <a:xfrm>
                          <a:off x="0" y="0"/>
                          <a:ext cx="32004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81B4B13" w14:textId="2ED6A988" w:rsidR="001506B5" w:rsidRPr="00BC4A47" w:rsidRDefault="001506B5">
                            <w:pPr>
                              <w:rPr>
                                <w:b/>
                              </w:rPr>
                            </w:pPr>
                            <w:r w:rsidRPr="00BC4A47">
                              <w:rPr>
                                <w:rFonts w:ascii="Arial" w:hAnsi="Arial" w:cs="Arial"/>
                                <w:b/>
                                <w:color w:val="222222"/>
                              </w:rPr>
                              <w:t>Figure 1 :</w:t>
                            </w:r>
                            <w:r>
                              <w:rPr>
                                <w:rFonts w:ascii="Arial" w:hAnsi="Arial" w:cs="Arial"/>
                                <w:b/>
                                <w:color w:val="222222"/>
                              </w:rPr>
                              <w:t xml:space="preserve"> </w:t>
                            </w:r>
                            <w:r w:rsidRPr="00BC4A47">
                              <w:rPr>
                                <w:rFonts w:ascii="Arial" w:hAnsi="Arial" w:cs="Arial"/>
                                <w:b/>
                                <w:color w:val="222222"/>
                              </w:rPr>
                              <w:t xml:space="preserve">Algorithm to guide clinicians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56D22F" id="_x0000_t202" coordsize="21600,21600" o:spt="202" path="m,l,21600r21600,l21600,xe">
                <v:stroke joinstyle="miter"/>
                <v:path gradientshapeok="t" o:connecttype="rect"/>
              </v:shapetype>
              <v:shape id="Zone de texte 3" o:spid="_x0000_s1026" type="#_x0000_t202" style="position:absolute;left:0;text-align:left;margin-left:153pt;margin-top:362.7pt;width:252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" filled="f" stroked="f">
                <v:textbox>
                  <w:txbxContent>
                    <w:p w14:paraId="581B4B13" w14:textId="2ED6A988" w:rsidR="001506B5" w:rsidRPr="00BC4A47" w:rsidRDefault="001506B5">
                      <w:pPr>
                        <w:rPr>
                          <w:b/>
                        </w:rPr>
                      </w:pPr>
                      <w:r w:rsidRPr="00BC4A47">
                        <w:rPr>
                          <w:rFonts w:ascii="Arial" w:hAnsi="Arial" w:cs="Arial"/>
                          <w:b/>
                          <w:color w:val="222222"/>
                        </w:rPr>
                        <w:t>Figure 1 :</w:t>
                      </w:r>
                      <w:r>
                        <w:rPr>
                          <w:rFonts w:ascii="Arial" w:hAnsi="Arial" w:cs="Arial"/>
                          <w:b/>
                          <w:color w:val="222222"/>
                        </w:rPr>
                        <w:t xml:space="preserve"> </w:t>
                      </w:r>
                      <w:r w:rsidRPr="00BC4A47">
                        <w:rPr>
                          <w:rFonts w:ascii="Arial" w:hAnsi="Arial" w:cs="Arial"/>
                          <w:b/>
                          <w:color w:val="222222"/>
                        </w:rPr>
                        <w:t xml:space="preserve">Algorithm to guide clinicians </w:t>
                      </w:r>
                    </w:p>
                  </w:txbxContent>
                </v:textbox>
                <w10:wrap type="square"/>
              </v:shape>
            </w:pict>
          </mc:Fallback>
        </mc:AlternateContent>
      </w:r>
      <w:r>
        <w:rPr>
          <w:rFonts w:ascii="Arial" w:hAnsi="Arial" w:cs="Arial"/>
          <w:noProof/>
          <w:color w:val="222222"/>
        </w:rPr>
        <w:drawing>
          <wp:inline distT="0" distB="0" distL="0" distR="0" wp14:anchorId="05A19762" wp14:editId="79450893">
            <wp:extent cx="4114165" cy="4451703"/>
            <wp:effectExtent l="0" t="0" r="635" b="0"/>
            <wp:docPr id="1" name="Image 1" descr="Sans titre:Users:f:Downloads:imag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s titre:Users:f:Downloads:image0.jpeg"/>
                    <pic:cNvPicPr>
                      <a:picLocks noChangeAspect="1" noChangeArrowheads="1"/>
                    </pic:cNvPicPr>
                  </pic:nvPicPr>
                  <pic:blipFill rotWithShape="1">
                    <a:blip r:embed="rId13">
                      <a:extLst>
                        <a:ext uri="{28A0092B-C50C-407E-A947-70E740481C1C}">
                          <a14:useLocalDpi xmlns:a14="http://schemas.microsoft.com/office/drawing/2010/main" val="0"/>
                        </a:ext>
                      </a:extLst>
                    </a:blip>
                    <a:srcRect t="8208"/>
                    <a:stretch/>
                  </pic:blipFill>
                  <pic:spPr bwMode="auto">
                    <a:xfrm>
                      <a:off x="0" y="0"/>
                      <a:ext cx="4115478" cy="4453124"/>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8727712" w14:textId="77777777" w:rsidR="00BC4A47" w:rsidRDefault="00BC4A47" w:rsidP="0050272F">
      <w:pPr>
        <w:shd w:val="clear" w:color="auto" w:fill="FFFFFF"/>
        <w:spacing w:before="100" w:beforeAutospacing="1" w:after="100" w:afterAutospacing="1"/>
        <w:outlineLvl w:val="1"/>
        <w:rPr>
          <w:rFonts w:ascii="Arial" w:eastAsia="Times New Roman" w:hAnsi="Arial" w:cs="Arial"/>
          <w:b/>
          <w:bCs/>
          <w:color w:val="222222"/>
          <w:sz w:val="36"/>
          <w:szCs w:val="36"/>
        </w:rPr>
      </w:pPr>
    </w:p>
    <w:p w14:paraId="7A4EA3C9" w14:textId="77777777" w:rsidR="00BC4A47" w:rsidRDefault="00BC4A47" w:rsidP="0050272F">
      <w:pPr>
        <w:shd w:val="clear" w:color="auto" w:fill="FFFFFF"/>
        <w:spacing w:before="100" w:beforeAutospacing="1" w:after="100" w:afterAutospacing="1"/>
        <w:outlineLvl w:val="1"/>
        <w:rPr>
          <w:rFonts w:ascii="Arial" w:eastAsia="Times New Roman" w:hAnsi="Arial" w:cs="Arial"/>
          <w:b/>
          <w:bCs/>
          <w:color w:val="222222"/>
          <w:sz w:val="36"/>
          <w:szCs w:val="36"/>
        </w:rPr>
      </w:pPr>
    </w:p>
    <w:p w14:paraId="716B565E" w14:textId="77777777" w:rsidR="0050272F" w:rsidRPr="0050272F" w:rsidRDefault="0050272F" w:rsidP="0050272F">
      <w:pPr>
        <w:shd w:val="clear" w:color="auto" w:fill="FFFFFF"/>
        <w:spacing w:before="100" w:beforeAutospacing="1" w:after="100" w:afterAutospacing="1"/>
        <w:outlineLvl w:val="1"/>
        <w:rPr>
          <w:rFonts w:ascii="Arial" w:eastAsia="Times New Roman" w:hAnsi="Arial" w:cs="Arial"/>
          <w:b/>
          <w:bCs/>
          <w:color w:val="222222"/>
          <w:sz w:val="36"/>
          <w:szCs w:val="36"/>
        </w:rPr>
      </w:pPr>
      <w:r w:rsidRPr="0050272F">
        <w:rPr>
          <w:rFonts w:ascii="Arial" w:eastAsia="Times New Roman" w:hAnsi="Arial" w:cs="Arial"/>
          <w:b/>
          <w:bCs/>
          <w:color w:val="222222"/>
          <w:sz w:val="36"/>
          <w:szCs w:val="36"/>
        </w:rPr>
        <w:t>Special scenarios</w:t>
      </w:r>
    </w:p>
    <w:p w14:paraId="6BDD9657" w14:textId="77777777" w:rsidR="0050272F" w:rsidRPr="00FD77F6" w:rsidRDefault="0050272F" w:rsidP="00FD77F6">
      <w:pPr>
        <w:shd w:val="clear" w:color="auto" w:fill="FFFFFF"/>
        <w:jc w:val="both"/>
        <w:rPr>
          <w:rFonts w:ascii="Arial" w:hAnsi="Arial" w:cs="Arial"/>
          <w:color w:val="222222"/>
        </w:rPr>
      </w:pPr>
      <w:r w:rsidRPr="00FD77F6">
        <w:rPr>
          <w:rFonts w:ascii="Arial" w:hAnsi="Arial" w:cs="Arial"/>
          <w:color w:val="222222"/>
        </w:rPr>
        <w:t>Facial burns carry unique consequences: graft loss results in disfiguring scarring and complex secondary reconstruction. Several reviews and series advocate </w:t>
      </w:r>
      <w:r w:rsidRPr="00FD77F6">
        <w:rPr>
          <w:rFonts w:ascii="Arial" w:hAnsi="Arial" w:cs="Arial"/>
          <w:bCs/>
          <w:color w:val="222222"/>
        </w:rPr>
        <w:t>lower threshold for prophylactic antiviral use</w:t>
      </w:r>
      <w:r w:rsidRPr="00FD77F6">
        <w:rPr>
          <w:rFonts w:ascii="Arial" w:hAnsi="Arial" w:cs="Arial"/>
          <w:color w:val="222222"/>
        </w:rPr>
        <w:t> in facial burns during the peri-grafting period [4,11]. Where local protocols report repeated HSV-related graft failure, short-course perioperative prophylaxis is reasonable.</w:t>
      </w:r>
    </w:p>
    <w:p w14:paraId="7E8E3D1F" w14:textId="75CF797E" w:rsidR="0050272F" w:rsidRPr="00FD77F6" w:rsidRDefault="00FD77F6" w:rsidP="00FD77F6">
      <w:pPr>
        <w:shd w:val="clear" w:color="auto" w:fill="FFFFFF"/>
        <w:jc w:val="both"/>
        <w:rPr>
          <w:rFonts w:ascii="Arial" w:hAnsi="Arial" w:cs="Arial"/>
          <w:color w:val="222222"/>
        </w:rPr>
      </w:pPr>
      <w:r w:rsidRPr="00FD77F6">
        <w:rPr>
          <w:rFonts w:ascii="Arial" w:hAnsi="Arial" w:cs="Arial"/>
          <w:color w:val="222222"/>
        </w:rPr>
        <w:t>I</w:t>
      </w:r>
      <w:r w:rsidR="0050272F" w:rsidRPr="00FD77F6">
        <w:rPr>
          <w:rFonts w:ascii="Arial" w:hAnsi="Arial" w:cs="Arial"/>
          <w:color w:val="222222"/>
        </w:rPr>
        <w:t>n pediatric burns</w:t>
      </w:r>
      <w:r w:rsidRPr="00FD77F6">
        <w:rPr>
          <w:rFonts w:ascii="Arial" w:hAnsi="Arial" w:cs="Arial"/>
          <w:color w:val="222222"/>
        </w:rPr>
        <w:t xml:space="preserve"> HSV infection</w:t>
      </w:r>
      <w:r w:rsidR="0050272F" w:rsidRPr="00FD77F6">
        <w:rPr>
          <w:rFonts w:ascii="Arial" w:hAnsi="Arial" w:cs="Arial"/>
          <w:color w:val="222222"/>
        </w:rPr>
        <w:t xml:space="preserve"> is well documented in isolated case reports; children may present with atypical lesions and primary infection. Diagnosis can be delayed if clinicians assume all pediatric burn infection</w:t>
      </w:r>
      <w:r w:rsidRPr="00FD77F6">
        <w:rPr>
          <w:rFonts w:ascii="Arial" w:hAnsi="Arial" w:cs="Arial"/>
          <w:color w:val="222222"/>
        </w:rPr>
        <w:t xml:space="preserve">s are bacterial [6,7]. Considerring </w:t>
      </w:r>
      <w:r w:rsidR="0050272F" w:rsidRPr="00FD77F6">
        <w:rPr>
          <w:rFonts w:ascii="Arial" w:hAnsi="Arial" w:cs="Arial"/>
          <w:color w:val="222222"/>
        </w:rPr>
        <w:t>early diagnostic testing and lower threshold for systemic therapy in pediatric p</w:t>
      </w:r>
      <w:r w:rsidRPr="00FD77F6">
        <w:rPr>
          <w:rFonts w:ascii="Arial" w:hAnsi="Arial" w:cs="Arial"/>
          <w:color w:val="222222"/>
        </w:rPr>
        <w:t>atients with suspicious lesions is necessary.</w:t>
      </w:r>
    </w:p>
    <w:p w14:paraId="6F8941E8" w14:textId="18308716" w:rsidR="0050272F" w:rsidRPr="00FD77F6" w:rsidRDefault="0050272F" w:rsidP="00FD77F6">
      <w:pPr>
        <w:shd w:val="clear" w:color="auto" w:fill="FFFFFF"/>
        <w:jc w:val="both"/>
        <w:rPr>
          <w:rFonts w:ascii="Arial" w:hAnsi="Arial" w:cs="Arial"/>
          <w:color w:val="222222"/>
        </w:rPr>
      </w:pPr>
      <w:r w:rsidRPr="00FD77F6">
        <w:rPr>
          <w:rFonts w:ascii="Arial" w:hAnsi="Arial" w:cs="Arial"/>
          <w:color w:val="222222"/>
        </w:rPr>
        <w:t>Ventilated burn patients share risk factors with other ICU populations (intubation, sedation, steroids)</w:t>
      </w:r>
      <w:r w:rsidR="00EB4149" w:rsidRPr="00EB4149">
        <w:rPr>
          <w:rFonts w:ascii="Arial" w:hAnsi="Arial" w:cs="Arial"/>
          <w:color w:val="222222"/>
        </w:rPr>
        <w:t xml:space="preserve"> </w:t>
      </w:r>
      <w:r w:rsidR="00EB4149" w:rsidRPr="00FD77F6">
        <w:rPr>
          <w:rFonts w:ascii="Arial" w:hAnsi="Arial" w:cs="Arial"/>
          <w:color w:val="222222"/>
        </w:rPr>
        <w:t>[</w:t>
      </w:r>
      <w:r w:rsidR="00EB4149">
        <w:rPr>
          <w:rFonts w:ascii="Arial" w:hAnsi="Arial" w:cs="Arial"/>
          <w:color w:val="222222"/>
        </w:rPr>
        <w:t>27</w:t>
      </w:r>
      <w:proofErr w:type="gramStart"/>
      <w:r w:rsidR="00EB4149" w:rsidRPr="00FD77F6">
        <w:rPr>
          <w:rFonts w:ascii="Arial" w:hAnsi="Arial" w:cs="Arial"/>
          <w:color w:val="222222"/>
        </w:rPr>
        <w:t>]</w:t>
      </w:r>
      <w:r w:rsidR="00EB4149">
        <w:rPr>
          <w:rFonts w:ascii="Arial" w:hAnsi="Arial" w:cs="Arial"/>
          <w:color w:val="222222"/>
        </w:rPr>
        <w:t xml:space="preserve"> </w:t>
      </w:r>
      <w:r w:rsidRPr="00FD77F6">
        <w:rPr>
          <w:rFonts w:ascii="Arial" w:hAnsi="Arial" w:cs="Arial"/>
          <w:color w:val="222222"/>
        </w:rPr>
        <w:t>.</w:t>
      </w:r>
      <w:proofErr w:type="gramEnd"/>
      <w:r w:rsidRPr="00FD77F6">
        <w:rPr>
          <w:rFonts w:ascii="Arial" w:hAnsi="Arial" w:cs="Arial"/>
          <w:color w:val="222222"/>
        </w:rPr>
        <w:t xml:space="preserve"> ICU trial data indicate that routine preemptive therapy for all ventilated patients is not beneficial, but </w:t>
      </w:r>
      <w:r w:rsidRPr="00FD77F6">
        <w:rPr>
          <w:rFonts w:ascii="Arial" w:hAnsi="Arial" w:cs="Arial"/>
          <w:bCs/>
          <w:color w:val="222222"/>
        </w:rPr>
        <w:t>targeted preemptive therapy</w:t>
      </w:r>
      <w:r w:rsidRPr="00FD77F6">
        <w:rPr>
          <w:rFonts w:ascii="Arial" w:hAnsi="Arial" w:cs="Arial"/>
          <w:color w:val="222222"/>
        </w:rPr>
        <w:t xml:space="preserve"> for patients with oropharyngeal HSV reactivation and clinical deterioration may reduce bronchopneumonitis rates [8–10,12]. </w:t>
      </w:r>
    </w:p>
    <w:p w14:paraId="7FB26035" w14:textId="20B3713F" w:rsidR="0050272F" w:rsidRPr="0050272F" w:rsidRDefault="0050272F" w:rsidP="0050272F">
      <w:pPr>
        <w:rPr>
          <w:rFonts w:ascii="Times" w:eastAsia="Times New Roman" w:hAnsi="Times" w:cs="Times New Roman"/>
          <w:sz w:val="20"/>
          <w:szCs w:val="20"/>
        </w:rPr>
      </w:pPr>
    </w:p>
    <w:p w14:paraId="06CB5863" w14:textId="77777777" w:rsidR="00943B33" w:rsidRPr="0050272F" w:rsidRDefault="00943B33" w:rsidP="0050272F">
      <w:pPr>
        <w:rPr>
          <w:rFonts w:ascii="Times" w:eastAsia="Times New Roman" w:hAnsi="Times" w:cs="Times New Roman"/>
          <w:sz w:val="20"/>
          <w:szCs w:val="20"/>
        </w:rPr>
      </w:pPr>
    </w:p>
    <w:p w14:paraId="37E265D4" w14:textId="77777777" w:rsidR="0050272F" w:rsidRPr="0050272F" w:rsidRDefault="0050272F" w:rsidP="0050272F">
      <w:pPr>
        <w:shd w:val="clear" w:color="auto" w:fill="FFFFFF"/>
        <w:spacing w:before="100" w:beforeAutospacing="1" w:after="100" w:afterAutospacing="1"/>
        <w:outlineLvl w:val="1"/>
        <w:rPr>
          <w:rFonts w:ascii="Arial" w:eastAsia="Times New Roman" w:hAnsi="Arial" w:cs="Arial"/>
          <w:b/>
          <w:bCs/>
          <w:color w:val="222222"/>
          <w:sz w:val="36"/>
          <w:szCs w:val="36"/>
        </w:rPr>
      </w:pPr>
      <w:r w:rsidRPr="0050272F">
        <w:rPr>
          <w:rFonts w:ascii="Arial" w:eastAsia="Times New Roman" w:hAnsi="Arial" w:cs="Arial"/>
          <w:b/>
          <w:bCs/>
          <w:color w:val="222222"/>
          <w:sz w:val="36"/>
          <w:szCs w:val="36"/>
        </w:rPr>
        <w:lastRenderedPageBreak/>
        <w:t>Practical considerations: dosing, renal safety, and monitoring</w:t>
      </w:r>
    </w:p>
    <w:p w14:paraId="03693C61" w14:textId="1E5725EE" w:rsidR="0050272F" w:rsidRPr="00943B33" w:rsidRDefault="0050272F" w:rsidP="00943B33">
      <w:pPr>
        <w:shd w:val="clear" w:color="auto" w:fill="FFFFFF"/>
        <w:jc w:val="both"/>
        <w:rPr>
          <w:rFonts w:ascii="Arial" w:hAnsi="Arial" w:cs="Arial"/>
          <w:color w:val="222222"/>
        </w:rPr>
      </w:pPr>
      <w:r w:rsidRPr="00943B33">
        <w:rPr>
          <w:rFonts w:ascii="Arial" w:hAnsi="Arial" w:cs="Arial"/>
          <w:bCs/>
          <w:color w:val="222222"/>
        </w:rPr>
        <w:t>IV acyclovir dosing</w:t>
      </w:r>
      <w:r w:rsidR="00943B33" w:rsidRPr="00943B33">
        <w:rPr>
          <w:rFonts w:ascii="Arial" w:hAnsi="Arial" w:cs="Arial"/>
          <w:color w:val="222222"/>
        </w:rPr>
        <w:t xml:space="preserve">  is commonly 5–10 mg/kg IV 8h</w:t>
      </w:r>
      <w:r w:rsidRPr="00943B33">
        <w:rPr>
          <w:rFonts w:ascii="Arial" w:hAnsi="Arial" w:cs="Arial"/>
          <w:color w:val="222222"/>
        </w:rPr>
        <w:t>, duration tailored to clinical response.</w:t>
      </w:r>
    </w:p>
    <w:p w14:paraId="699E6E3B" w14:textId="232B6E6B" w:rsidR="0050272F" w:rsidRPr="00943B33" w:rsidRDefault="00943B33" w:rsidP="00943B33">
      <w:pPr>
        <w:shd w:val="clear" w:color="auto" w:fill="FFFFFF"/>
        <w:jc w:val="both"/>
        <w:rPr>
          <w:rFonts w:ascii="Arial" w:hAnsi="Arial" w:cs="Arial"/>
          <w:color w:val="222222"/>
        </w:rPr>
      </w:pPr>
      <w:r w:rsidRPr="00943B33">
        <w:rPr>
          <w:rFonts w:ascii="Arial" w:hAnsi="Arial" w:cs="Arial"/>
          <w:color w:val="222222"/>
        </w:rPr>
        <w:t>E</w:t>
      </w:r>
      <w:r w:rsidR="0050272F" w:rsidRPr="00943B33">
        <w:rPr>
          <w:rFonts w:ascii="Arial" w:hAnsi="Arial" w:cs="Arial"/>
          <w:color w:val="222222"/>
        </w:rPr>
        <w:t>nsure adequate intravenous hydration and monitor serum creatinine and electrolytes during IV acyclovir, particularly in patients with other nephrotoxins. Dose adjust for renal impairment.</w:t>
      </w:r>
      <w:r w:rsidRPr="00943B33">
        <w:rPr>
          <w:rFonts w:ascii="Arial" w:hAnsi="Arial" w:cs="Arial"/>
          <w:color w:val="222222"/>
        </w:rPr>
        <w:t>O</w:t>
      </w:r>
      <w:r w:rsidR="0050272F" w:rsidRPr="00943B33">
        <w:rPr>
          <w:rFonts w:ascii="Arial" w:hAnsi="Arial" w:cs="Arial"/>
          <w:color w:val="222222"/>
        </w:rPr>
        <w:t>nce clinical improvement is evident and oral absorption is reliable, step down to oral acyclovir or valacyclovir to complete therapy [12].</w:t>
      </w:r>
      <w:r w:rsidRPr="00943B33">
        <w:rPr>
          <w:rFonts w:ascii="Arial" w:hAnsi="Arial" w:cs="Arial"/>
          <w:color w:val="222222"/>
        </w:rPr>
        <w:t xml:space="preserve"> C</w:t>
      </w:r>
      <w:r w:rsidR="0050272F" w:rsidRPr="00943B33">
        <w:rPr>
          <w:rFonts w:ascii="Arial" w:hAnsi="Arial" w:cs="Arial"/>
          <w:color w:val="222222"/>
        </w:rPr>
        <w:t>h</w:t>
      </w:r>
      <w:r w:rsidRPr="00943B33">
        <w:rPr>
          <w:rFonts w:ascii="Arial" w:hAnsi="Arial" w:cs="Arial"/>
          <w:color w:val="222222"/>
        </w:rPr>
        <w:t>eck for concomitant nephrotoxic drugs</w:t>
      </w:r>
      <w:r w:rsidR="0050272F" w:rsidRPr="00943B33">
        <w:rPr>
          <w:rFonts w:ascii="Arial" w:hAnsi="Arial" w:cs="Arial"/>
          <w:color w:val="222222"/>
        </w:rPr>
        <w:t xml:space="preserve"> (aminoglycosides, vancomycin, NSAIDs) that increase renal risk.</w:t>
      </w:r>
    </w:p>
    <w:p w14:paraId="7DF7C16B" w14:textId="420A7DD8" w:rsidR="0050272F" w:rsidRPr="0050272F" w:rsidRDefault="0050272F" w:rsidP="0050272F">
      <w:pPr>
        <w:rPr>
          <w:rFonts w:ascii="Times" w:eastAsia="Times New Roman" w:hAnsi="Times" w:cs="Times New Roman"/>
          <w:sz w:val="20"/>
          <w:szCs w:val="20"/>
        </w:rPr>
      </w:pPr>
    </w:p>
    <w:p w14:paraId="24C42CF8" w14:textId="77777777" w:rsidR="0050272F" w:rsidRPr="0050272F" w:rsidRDefault="0050272F" w:rsidP="0050272F">
      <w:pPr>
        <w:shd w:val="clear" w:color="auto" w:fill="FFFFFF"/>
        <w:spacing w:before="100" w:beforeAutospacing="1" w:after="100" w:afterAutospacing="1"/>
        <w:outlineLvl w:val="1"/>
        <w:rPr>
          <w:rFonts w:ascii="Arial" w:eastAsia="Times New Roman" w:hAnsi="Arial" w:cs="Arial"/>
          <w:b/>
          <w:bCs/>
          <w:color w:val="222222"/>
          <w:sz w:val="36"/>
          <w:szCs w:val="36"/>
        </w:rPr>
      </w:pPr>
      <w:r w:rsidRPr="0050272F">
        <w:rPr>
          <w:rFonts w:ascii="Arial" w:eastAsia="Times New Roman" w:hAnsi="Arial" w:cs="Arial"/>
          <w:b/>
          <w:bCs/>
          <w:color w:val="222222"/>
          <w:sz w:val="36"/>
          <w:szCs w:val="36"/>
        </w:rPr>
        <w:t>Gaps in knowledge and research priorities</w:t>
      </w:r>
    </w:p>
    <w:p w14:paraId="3236EB3A" w14:textId="41237E4E" w:rsidR="0050272F" w:rsidRPr="00C461F5" w:rsidRDefault="00943B33" w:rsidP="00C461F5">
      <w:pPr>
        <w:shd w:val="clear" w:color="auto" w:fill="FFFFFF"/>
        <w:jc w:val="both"/>
        <w:rPr>
          <w:rFonts w:ascii="Arial" w:hAnsi="Arial" w:cs="Arial"/>
          <w:color w:val="222222"/>
        </w:rPr>
      </w:pPr>
      <w:r w:rsidRPr="00C461F5">
        <w:rPr>
          <w:rFonts w:ascii="Arial" w:hAnsi="Arial" w:cs="Arial"/>
          <w:bCs/>
          <w:color w:val="222222"/>
        </w:rPr>
        <w:t>Mjor gaps in HSV infection remains that there are n</w:t>
      </w:r>
      <w:r w:rsidR="0050272F" w:rsidRPr="00C461F5">
        <w:rPr>
          <w:rFonts w:ascii="Arial" w:hAnsi="Arial" w:cs="Arial"/>
          <w:bCs/>
          <w:color w:val="222222"/>
        </w:rPr>
        <w:t>o large randomized trials in burn populations</w:t>
      </w:r>
      <w:r w:rsidR="0050272F" w:rsidRPr="00C461F5">
        <w:rPr>
          <w:rFonts w:ascii="Arial" w:hAnsi="Arial" w:cs="Arial"/>
          <w:color w:val="222222"/>
        </w:rPr>
        <w:t> assessing prophylactic acyclovir versus placebo with clinical endpoints (graft survival, wound healing, scarring, resource use). A clinical trial to address prophylactic acyclovir in burn patients indicates investigator interest but definitive multicenter data are absent [15].</w:t>
      </w:r>
      <w:r w:rsidRPr="00C461F5">
        <w:rPr>
          <w:rFonts w:ascii="Arial" w:hAnsi="Arial" w:cs="Arial"/>
          <w:color w:val="222222"/>
        </w:rPr>
        <w:t xml:space="preserve"> </w:t>
      </w:r>
      <w:r w:rsidR="0050272F" w:rsidRPr="00C461F5">
        <w:rPr>
          <w:rFonts w:ascii="Arial" w:hAnsi="Arial" w:cs="Arial"/>
          <w:bCs/>
          <w:color w:val="222222"/>
        </w:rPr>
        <w:t>Optimal dosing and duration</w:t>
      </w:r>
      <w:r w:rsidR="0050272F" w:rsidRPr="00C461F5">
        <w:rPr>
          <w:rFonts w:ascii="Arial" w:hAnsi="Arial" w:cs="Arial"/>
          <w:color w:val="222222"/>
        </w:rPr>
        <w:t> for prophylaxis in high-risk burn patients are not standardized</w:t>
      </w:r>
      <w:r w:rsidR="00C461F5" w:rsidRPr="00C461F5">
        <w:rPr>
          <w:rFonts w:ascii="Arial" w:hAnsi="Arial" w:cs="Arial"/>
          <w:color w:val="222222"/>
        </w:rPr>
        <w:t xml:space="preserve"> and </w:t>
      </w:r>
      <w:r w:rsidR="00C461F5" w:rsidRPr="00C461F5">
        <w:rPr>
          <w:rFonts w:ascii="Arial" w:hAnsi="Arial" w:cs="Arial"/>
          <w:bCs/>
          <w:color w:val="222222"/>
        </w:rPr>
        <w:t>c</w:t>
      </w:r>
      <w:r w:rsidR="0050272F" w:rsidRPr="00C461F5">
        <w:rPr>
          <w:rFonts w:ascii="Arial" w:hAnsi="Arial" w:cs="Arial"/>
          <w:bCs/>
          <w:color w:val="222222"/>
        </w:rPr>
        <w:t>ost-effectiveness analyses</w:t>
      </w:r>
      <w:r w:rsidR="0050272F" w:rsidRPr="00C461F5">
        <w:rPr>
          <w:rFonts w:ascii="Arial" w:hAnsi="Arial" w:cs="Arial"/>
          <w:color w:val="222222"/>
        </w:rPr>
        <w:t> of prophylaxis strategies in burn units are lacking.</w:t>
      </w:r>
      <w:r w:rsidR="0050272F" w:rsidRPr="00C461F5">
        <w:rPr>
          <w:rFonts w:ascii="Arial" w:hAnsi="Arial" w:cs="Arial"/>
          <w:bCs/>
          <w:color w:val="222222"/>
        </w:rPr>
        <w:t>Better diagnostic thresholds</w:t>
      </w:r>
      <w:r w:rsidR="0050272F" w:rsidRPr="00C461F5">
        <w:rPr>
          <w:rFonts w:ascii="Arial" w:hAnsi="Arial" w:cs="Arial"/>
          <w:color w:val="222222"/>
        </w:rPr>
        <w:t> to distinguish colonization from invasive disease (viral load thresholds in tissue, combined clinical-virological criteria) require validation.</w:t>
      </w:r>
    </w:p>
    <w:p w14:paraId="7FEAEB1B" w14:textId="4D25CCFD" w:rsidR="0050272F" w:rsidRPr="00C461F5" w:rsidRDefault="00943B33" w:rsidP="00C461F5">
      <w:pPr>
        <w:shd w:val="clear" w:color="auto" w:fill="FFFFFF"/>
        <w:jc w:val="both"/>
        <w:rPr>
          <w:rFonts w:ascii="Arial" w:hAnsi="Arial" w:cs="Arial"/>
          <w:color w:val="222222"/>
        </w:rPr>
      </w:pPr>
      <w:r w:rsidRPr="00C461F5">
        <w:rPr>
          <w:rFonts w:ascii="Arial" w:hAnsi="Arial" w:cs="Arial"/>
          <w:bCs/>
          <w:color w:val="222222"/>
        </w:rPr>
        <w:t>And i</w:t>
      </w:r>
      <w:r w:rsidR="0050272F" w:rsidRPr="00C461F5">
        <w:rPr>
          <w:rFonts w:ascii="Arial" w:hAnsi="Arial" w:cs="Arial"/>
          <w:bCs/>
          <w:color w:val="222222"/>
        </w:rPr>
        <w:t>mpact on long-term outcomes</w:t>
      </w:r>
      <w:r w:rsidR="0050272F" w:rsidRPr="00C461F5">
        <w:rPr>
          <w:rFonts w:ascii="Arial" w:hAnsi="Arial" w:cs="Arial"/>
          <w:color w:val="222222"/>
        </w:rPr>
        <w:t> (scarring, functional recovery) of HSV-related graft complications and the benefit of prophylaxis on these outcomes are poorly defined.</w:t>
      </w:r>
    </w:p>
    <w:p w14:paraId="724A5F3F" w14:textId="77777777" w:rsidR="0050272F" w:rsidRPr="0050272F" w:rsidRDefault="0050272F" w:rsidP="00C461F5">
      <w:pPr>
        <w:shd w:val="clear" w:color="auto" w:fill="FFFFFF"/>
        <w:jc w:val="both"/>
        <w:rPr>
          <w:rFonts w:ascii="Arial" w:hAnsi="Arial" w:cs="Arial"/>
          <w:color w:val="222222"/>
        </w:rPr>
      </w:pPr>
      <w:r w:rsidRPr="00C461F5">
        <w:rPr>
          <w:rFonts w:ascii="Arial" w:hAnsi="Arial" w:cs="Arial"/>
          <w:color w:val="222222"/>
        </w:rPr>
        <w:t>Future research should prioritize randomized trials in stratified burn populations (e.g., facial burns, large TBSA, ventilated burns), pragmatic diagnostic criteria, and stewardship strategies that weigh benefits of prophylaxis against resistance risks</w:t>
      </w:r>
      <w:r w:rsidRPr="0050272F">
        <w:rPr>
          <w:rFonts w:ascii="Arial" w:hAnsi="Arial" w:cs="Arial"/>
          <w:color w:val="222222"/>
        </w:rPr>
        <w:t>.</w:t>
      </w:r>
    </w:p>
    <w:p w14:paraId="6868410D" w14:textId="71BB6E31" w:rsidR="0050272F" w:rsidRPr="0050272F" w:rsidRDefault="0050272F" w:rsidP="0050272F">
      <w:pPr>
        <w:rPr>
          <w:rFonts w:ascii="Times" w:eastAsia="Times New Roman" w:hAnsi="Times" w:cs="Times New Roman"/>
          <w:sz w:val="20"/>
          <w:szCs w:val="20"/>
        </w:rPr>
      </w:pPr>
    </w:p>
    <w:p w14:paraId="02948AD5" w14:textId="77777777" w:rsidR="0050272F" w:rsidRPr="0050272F" w:rsidRDefault="0050272F" w:rsidP="0050272F">
      <w:pPr>
        <w:shd w:val="clear" w:color="auto" w:fill="FFFFFF"/>
        <w:spacing w:before="100" w:beforeAutospacing="1" w:after="100" w:afterAutospacing="1"/>
        <w:outlineLvl w:val="1"/>
        <w:rPr>
          <w:rFonts w:ascii="Arial" w:eastAsia="Times New Roman" w:hAnsi="Arial" w:cs="Arial"/>
          <w:b/>
          <w:bCs/>
          <w:color w:val="222222"/>
          <w:sz w:val="36"/>
          <w:szCs w:val="36"/>
        </w:rPr>
      </w:pPr>
      <w:r w:rsidRPr="0050272F">
        <w:rPr>
          <w:rFonts w:ascii="Arial" w:eastAsia="Times New Roman" w:hAnsi="Arial" w:cs="Arial"/>
          <w:b/>
          <w:bCs/>
          <w:color w:val="222222"/>
          <w:sz w:val="36"/>
          <w:szCs w:val="36"/>
        </w:rPr>
        <w:t>Conclusion</w:t>
      </w:r>
    </w:p>
    <w:p w14:paraId="179ED191" w14:textId="0574113E" w:rsidR="0050272F" w:rsidRDefault="0050272F" w:rsidP="00943B33">
      <w:pPr>
        <w:shd w:val="clear" w:color="auto" w:fill="FFFFFF"/>
        <w:spacing w:before="100" w:beforeAutospacing="1" w:after="100" w:afterAutospacing="1"/>
        <w:jc w:val="both"/>
        <w:rPr>
          <w:rFonts w:ascii="Arial" w:hAnsi="Arial" w:cs="Arial"/>
          <w:color w:val="222222"/>
        </w:rPr>
      </w:pPr>
      <w:r w:rsidRPr="0050272F">
        <w:rPr>
          <w:rFonts w:ascii="Arial" w:hAnsi="Arial" w:cs="Arial"/>
          <w:color w:val="222222"/>
        </w:rPr>
        <w:t>HSV-1 is an important, though underappreciated, pathogen in the burn population. While universal prophylaxis for all burn patients is not supported by high-quality eviden</w:t>
      </w:r>
      <w:r w:rsidR="00943B33">
        <w:rPr>
          <w:rFonts w:ascii="Arial" w:hAnsi="Arial" w:cs="Arial"/>
          <w:color w:val="222222"/>
        </w:rPr>
        <w:t xml:space="preserve">ce, certain high-risk scenarios </w:t>
      </w:r>
      <w:r w:rsidRPr="0050272F">
        <w:rPr>
          <w:rFonts w:ascii="Arial" w:hAnsi="Arial" w:cs="Arial"/>
          <w:color w:val="222222"/>
        </w:rPr>
        <w:t>particularly facial burns undergoing grafting and patients with profound injury a</w:t>
      </w:r>
      <w:r w:rsidR="00943B33">
        <w:rPr>
          <w:rFonts w:ascii="Arial" w:hAnsi="Arial" w:cs="Arial"/>
          <w:color w:val="222222"/>
        </w:rPr>
        <w:t xml:space="preserve">nd prolonged ventilator support </w:t>
      </w:r>
      <w:r w:rsidRPr="0050272F">
        <w:rPr>
          <w:rFonts w:ascii="Arial" w:hAnsi="Arial" w:cs="Arial"/>
          <w:color w:val="222222"/>
        </w:rPr>
        <w:t>warrant a low threshold for prophylaxis and active surveillance. Early, targeted systemic therapy for confirmed or strongly suspected HSV wound involvement is effective in salvaging grafts and reducing morbidity. Our proposed pragmatic, risk-stratified approach aims to balance prevention and treatment, minimize harms from overtreatment, and preserve efficacy of antivirals. Large, multicenter randomized trials and standardized diagnostic criteria are needed to provide definitive guidance.</w:t>
      </w:r>
    </w:p>
    <w:p w14:paraId="5AA5B66E" w14:textId="77777777" w:rsidR="0039216C" w:rsidRDefault="0039216C" w:rsidP="00943B33">
      <w:pPr>
        <w:shd w:val="clear" w:color="auto" w:fill="FFFFFF"/>
        <w:spacing w:before="100" w:beforeAutospacing="1" w:after="100" w:afterAutospacing="1"/>
        <w:jc w:val="both"/>
        <w:rPr>
          <w:rFonts w:ascii="Arial" w:hAnsi="Arial" w:cs="Arial"/>
          <w:color w:val="222222"/>
        </w:rPr>
      </w:pPr>
    </w:p>
    <w:p w14:paraId="5DC66F8E" w14:textId="77777777" w:rsidR="00624BB3" w:rsidRPr="00740879" w:rsidRDefault="00624BB3" w:rsidP="00624BB3">
      <w:pPr>
        <w:rPr>
          <w:highlight w:val="yellow"/>
        </w:rPr>
      </w:pPr>
      <w:r w:rsidRPr="00740879">
        <w:rPr>
          <w:highlight w:val="yellow"/>
        </w:rPr>
        <w:t>Disclaimer (Artificial intelligence)</w:t>
      </w:r>
    </w:p>
    <w:p w14:paraId="79E142FD" w14:textId="77777777" w:rsidR="00624BB3" w:rsidRPr="00740879" w:rsidRDefault="00624BB3" w:rsidP="00624BB3">
      <w:pPr>
        <w:rPr>
          <w:highlight w:val="yellow"/>
        </w:rPr>
      </w:pPr>
      <w:r w:rsidRPr="00740879">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21971B59" w14:textId="77777777" w:rsidR="0039216C" w:rsidRPr="0050272F" w:rsidRDefault="0039216C" w:rsidP="00943B33">
      <w:pPr>
        <w:shd w:val="clear" w:color="auto" w:fill="FFFFFF"/>
        <w:spacing w:before="100" w:beforeAutospacing="1" w:after="100" w:afterAutospacing="1"/>
        <w:jc w:val="both"/>
        <w:rPr>
          <w:rFonts w:ascii="Arial" w:hAnsi="Arial" w:cs="Arial"/>
          <w:color w:val="222222"/>
        </w:rPr>
      </w:pPr>
    </w:p>
    <w:p w14:paraId="1F89344A" w14:textId="77777777" w:rsidR="00C461F5" w:rsidRDefault="00C461F5" w:rsidP="0050272F">
      <w:pPr>
        <w:shd w:val="clear" w:color="auto" w:fill="FFFFFF"/>
        <w:spacing w:before="100" w:beforeAutospacing="1" w:after="100" w:afterAutospacing="1"/>
        <w:outlineLvl w:val="1"/>
        <w:rPr>
          <w:rFonts w:ascii="Arial" w:eastAsia="Times New Roman" w:hAnsi="Arial" w:cs="Arial"/>
          <w:b/>
          <w:bCs/>
          <w:color w:val="222222"/>
          <w:sz w:val="36"/>
          <w:szCs w:val="36"/>
        </w:rPr>
      </w:pPr>
    </w:p>
    <w:p w14:paraId="4F96FC71" w14:textId="77777777" w:rsidR="0050272F" w:rsidRPr="0050272F" w:rsidRDefault="0050272F" w:rsidP="00433A33">
      <w:pPr>
        <w:shd w:val="clear" w:color="auto" w:fill="FFFFFF"/>
        <w:spacing w:before="100" w:beforeAutospacing="1" w:after="100" w:afterAutospacing="1"/>
        <w:jc w:val="both"/>
        <w:outlineLvl w:val="1"/>
        <w:rPr>
          <w:rFonts w:ascii="Arial" w:eastAsia="Times New Roman" w:hAnsi="Arial" w:cs="Arial"/>
          <w:b/>
          <w:bCs/>
          <w:color w:val="222222"/>
          <w:sz w:val="36"/>
          <w:szCs w:val="36"/>
        </w:rPr>
      </w:pPr>
      <w:r w:rsidRPr="0050272F">
        <w:rPr>
          <w:rFonts w:ascii="Arial" w:eastAsia="Times New Roman" w:hAnsi="Arial" w:cs="Arial"/>
          <w:b/>
          <w:bCs/>
          <w:color w:val="222222"/>
          <w:sz w:val="36"/>
          <w:szCs w:val="36"/>
        </w:rPr>
        <w:t>References</w:t>
      </w:r>
    </w:p>
    <w:p w14:paraId="0667CA37" w14:textId="31548986" w:rsidR="0050272F" w:rsidRPr="001506B5" w:rsidRDefault="000E0FE4" w:rsidP="00433A33">
      <w:pPr>
        <w:numPr>
          <w:ilvl w:val="0"/>
          <w:numId w:val="14"/>
        </w:numPr>
        <w:shd w:val="clear" w:color="auto" w:fill="FFFFFF"/>
        <w:spacing w:before="100" w:beforeAutospacing="1" w:after="100" w:afterAutospacing="1"/>
        <w:ind w:left="945"/>
        <w:jc w:val="both"/>
        <w:rPr>
          <w:rFonts w:ascii="Arial" w:hAnsi="Arial" w:cs="Arial"/>
          <w:b/>
          <w:color w:val="222222"/>
          <w:sz w:val="20"/>
          <w:szCs w:val="20"/>
        </w:rPr>
      </w:pPr>
      <w:r w:rsidRPr="001506B5">
        <w:rPr>
          <w:rFonts w:ascii="Arial" w:hAnsi="Arial" w:cs="Arial"/>
          <w:b/>
          <w:color w:val="222222"/>
          <w:sz w:val="20"/>
          <w:szCs w:val="20"/>
        </w:rPr>
        <w:t>Wurzer, Paul &amp; Guillory, Ashley &amp; Parvizi, Daryousch &amp; Clayton, Robert &amp; Branski, Ludwik &amp; Kamolz, Lars-P &amp; Finnerty, Celeste &amp; Herndon, David &amp; Lee, Jong. (2016). Human herpes viruses in burn patients: A systematic review. Burns. 43. 10.1016/j.burns.2016.02.003</w:t>
      </w:r>
      <w:r w:rsidR="0050272F" w:rsidRPr="001506B5">
        <w:rPr>
          <w:rFonts w:ascii="Arial" w:hAnsi="Arial" w:cs="Arial"/>
          <w:b/>
          <w:color w:val="222222"/>
          <w:sz w:val="20"/>
          <w:szCs w:val="20"/>
        </w:rPr>
        <w:t>Baj J, Korona-Głowniak I, Buszewicz G, et al. </w:t>
      </w:r>
      <w:r w:rsidR="0050272F" w:rsidRPr="001506B5">
        <w:rPr>
          <w:rFonts w:ascii="Arial" w:hAnsi="Arial" w:cs="Arial"/>
          <w:b/>
          <w:i/>
          <w:iCs/>
          <w:color w:val="222222"/>
          <w:sz w:val="20"/>
          <w:szCs w:val="20"/>
        </w:rPr>
        <w:t>Viral infections in burn patients: a state-of-the-art review.</w:t>
      </w:r>
      <w:r w:rsidR="0050272F" w:rsidRPr="001506B5">
        <w:rPr>
          <w:rFonts w:ascii="Arial" w:hAnsi="Arial" w:cs="Arial"/>
          <w:b/>
          <w:color w:val="222222"/>
          <w:sz w:val="20"/>
          <w:szCs w:val="20"/>
        </w:rPr>
        <w:t xml:space="preserve"> Viruses. </w:t>
      </w:r>
      <w:proofErr w:type="gramStart"/>
      <w:r w:rsidR="0050272F" w:rsidRPr="001506B5">
        <w:rPr>
          <w:rFonts w:ascii="Arial" w:hAnsi="Arial" w:cs="Arial"/>
          <w:b/>
          <w:color w:val="222222"/>
          <w:sz w:val="20"/>
          <w:szCs w:val="20"/>
        </w:rPr>
        <w:t>2020;</w:t>
      </w:r>
      <w:proofErr w:type="gramEnd"/>
      <w:r w:rsidR="0050272F" w:rsidRPr="001506B5">
        <w:rPr>
          <w:rFonts w:ascii="Arial" w:hAnsi="Arial" w:cs="Arial"/>
          <w:b/>
          <w:color w:val="222222"/>
          <w:sz w:val="20"/>
          <w:szCs w:val="20"/>
        </w:rPr>
        <w:t>12(11):1315. doi:10.3390/v12111315. </w:t>
      </w:r>
    </w:p>
    <w:p w14:paraId="464A6E7C" w14:textId="77777777" w:rsidR="00D50F15" w:rsidRPr="001506B5" w:rsidRDefault="00D50F15" w:rsidP="00433A33">
      <w:pPr>
        <w:numPr>
          <w:ilvl w:val="0"/>
          <w:numId w:val="14"/>
        </w:numPr>
        <w:shd w:val="clear" w:color="auto" w:fill="FFFFFF"/>
        <w:spacing w:before="100" w:beforeAutospacing="1" w:after="100" w:afterAutospacing="1"/>
        <w:ind w:left="945"/>
        <w:jc w:val="both"/>
        <w:rPr>
          <w:rFonts w:ascii="Arial" w:hAnsi="Arial" w:cs="Arial"/>
          <w:b/>
          <w:color w:val="222222"/>
          <w:sz w:val="20"/>
          <w:szCs w:val="20"/>
        </w:rPr>
      </w:pPr>
      <w:r w:rsidRPr="001506B5">
        <w:rPr>
          <w:rFonts w:ascii="Arial" w:hAnsi="Arial" w:cs="Arial"/>
          <w:b/>
          <w:color w:val="222222"/>
          <w:sz w:val="20"/>
          <w:szCs w:val="20"/>
        </w:rPr>
        <w:t xml:space="preserve">Kiley, J. L., Chung, K. K., &amp; Blyth, D. M. (2021). Viral Infections in Burns. Surgical Infections, 22(1), 88–94. </w:t>
      </w:r>
      <w:hyperlink r:id="rId14" w:history="1">
        <w:r w:rsidRPr="001506B5">
          <w:rPr>
            <w:rStyle w:val="Hyperlink"/>
            <w:rFonts w:ascii="Arial" w:hAnsi="Arial" w:cs="Arial"/>
            <w:b/>
            <w:sz w:val="20"/>
            <w:szCs w:val="20"/>
          </w:rPr>
          <w:t>https://doi.org/10.1089/sur.2020.130</w:t>
        </w:r>
      </w:hyperlink>
      <w:r w:rsidRPr="001506B5">
        <w:rPr>
          <w:rFonts w:ascii="Arial" w:hAnsi="Arial" w:cs="Arial"/>
          <w:b/>
          <w:color w:val="222222"/>
          <w:sz w:val="20"/>
          <w:szCs w:val="20"/>
        </w:rPr>
        <w:t xml:space="preserve"> </w:t>
      </w:r>
    </w:p>
    <w:p w14:paraId="4F91064C" w14:textId="1C18EDF6" w:rsidR="00D50F15" w:rsidRPr="001506B5" w:rsidRDefault="00D50F15" w:rsidP="00433A33">
      <w:pPr>
        <w:pStyle w:val="ListParagraph"/>
        <w:numPr>
          <w:ilvl w:val="0"/>
          <w:numId w:val="14"/>
        </w:numPr>
        <w:tabs>
          <w:tab w:val="clear" w:pos="720"/>
          <w:tab w:val="num" w:pos="851"/>
        </w:tabs>
        <w:ind w:left="993" w:hanging="426"/>
        <w:jc w:val="both"/>
        <w:rPr>
          <w:rFonts w:ascii="Arial" w:eastAsia="Times New Roman" w:hAnsi="Arial" w:cs="Arial"/>
          <w:b/>
          <w:sz w:val="20"/>
          <w:szCs w:val="20"/>
        </w:rPr>
      </w:pPr>
      <w:r w:rsidRPr="001506B5">
        <w:rPr>
          <w:rFonts w:ascii="Arial" w:hAnsi="Arial" w:cs="Arial"/>
          <w:b/>
          <w:color w:val="222222"/>
          <w:sz w:val="20"/>
          <w:szCs w:val="20"/>
        </w:rPr>
        <w:t xml:space="preserve">Haik, J., Weissman, O., Stavrou, D., Ben-noon, H. I., Liran, A., Tessone, A., Zmora, N., Zilinsky, I., Winkler, E., Gur, E., &amp; Stahl, S. (2011). Is prophylactic acyclovir treatment warranted for prevention of herpes simplex virus infections in facial burns? A review of the literature. *Journal of Burn Care &amp; Research*, *32*(3), 358–362. </w:t>
      </w:r>
      <w:hyperlink r:id="rId15" w:history="1">
        <w:r w:rsidRPr="001506B5">
          <w:rPr>
            <w:rStyle w:val="Hyperlink"/>
            <w:rFonts w:ascii="Arial" w:hAnsi="Arial" w:cs="Arial"/>
            <w:b/>
            <w:sz w:val="20"/>
            <w:szCs w:val="20"/>
          </w:rPr>
          <w:t>https://doi.org/10.1097/BCR.0b013e318217f6de</w:t>
        </w:r>
      </w:hyperlink>
    </w:p>
    <w:p w14:paraId="3DE49480" w14:textId="77777777" w:rsidR="00D50F15" w:rsidRPr="001506B5" w:rsidRDefault="00D50F15" w:rsidP="00433A33">
      <w:pPr>
        <w:pStyle w:val="ListParagraph"/>
        <w:numPr>
          <w:ilvl w:val="0"/>
          <w:numId w:val="14"/>
        </w:numPr>
        <w:ind w:hanging="11"/>
        <w:jc w:val="both"/>
        <w:rPr>
          <w:rFonts w:ascii="Arial" w:eastAsia="Times New Roman" w:hAnsi="Arial" w:cs="Arial"/>
          <w:b/>
          <w:sz w:val="20"/>
          <w:szCs w:val="20"/>
        </w:rPr>
      </w:pPr>
      <w:r w:rsidRPr="001506B5">
        <w:rPr>
          <w:rFonts w:ascii="Arial" w:eastAsia="Times New Roman" w:hAnsi="Arial" w:cs="Arial"/>
          <w:b/>
          <w:sz w:val="20"/>
          <w:szCs w:val="20"/>
          <w:shd w:val="clear" w:color="auto" w:fill="FFFFFF"/>
        </w:rPr>
        <w:t>Sobouti, B., Momeni, M., Masalegooyan, N., Ansari, I., &amp; Rahbar, H. (2018). Herpes simplex virus infection in minor burn injury: a case report. International Journal of Burns and Trauma, 8(6), 149-152</w:t>
      </w:r>
      <w:r w:rsidRPr="001506B5">
        <w:rPr>
          <w:rFonts w:ascii="Arial" w:eastAsia="Times New Roman" w:hAnsi="Arial" w:cs="Arial"/>
          <w:b/>
          <w:color w:val="2E414F"/>
          <w:sz w:val="20"/>
          <w:szCs w:val="20"/>
          <w:shd w:val="clear" w:color="auto" w:fill="FFFFFF"/>
        </w:rPr>
        <w:t xml:space="preserve">. </w:t>
      </w:r>
      <w:hyperlink r:id="rId16" w:history="1">
        <w:r w:rsidRPr="001506B5">
          <w:rPr>
            <w:rStyle w:val="Hyperlink"/>
            <w:rFonts w:ascii="Arial" w:eastAsia="Times New Roman" w:hAnsi="Arial" w:cs="Arial"/>
            <w:b/>
            <w:sz w:val="20"/>
            <w:szCs w:val="20"/>
            <w:shd w:val="clear" w:color="auto" w:fill="FFFFFF"/>
          </w:rPr>
          <w:t>https://www.ijbt.org/IJBT_Vol8No6_2018_PDF/IJBT-8-6-149.pdf</w:t>
        </w:r>
      </w:hyperlink>
      <w:r w:rsidRPr="001506B5">
        <w:rPr>
          <w:rFonts w:ascii="Arial" w:eastAsia="Times New Roman" w:hAnsi="Arial" w:cs="Arial"/>
          <w:b/>
          <w:color w:val="2E414F"/>
          <w:sz w:val="20"/>
          <w:szCs w:val="20"/>
          <w:shd w:val="clear" w:color="auto" w:fill="FFFFFF"/>
        </w:rPr>
        <w:t xml:space="preserve"> </w:t>
      </w:r>
    </w:p>
    <w:p w14:paraId="1C851C8D" w14:textId="12A77949" w:rsidR="000E50A3" w:rsidRPr="001506B5" w:rsidRDefault="000E50A3" w:rsidP="00433A33">
      <w:pPr>
        <w:pStyle w:val="ListParagraph"/>
        <w:numPr>
          <w:ilvl w:val="0"/>
          <w:numId w:val="14"/>
        </w:numPr>
        <w:ind w:hanging="11"/>
        <w:jc w:val="both"/>
        <w:rPr>
          <w:rFonts w:ascii="Arial" w:hAnsi="Arial" w:cs="Arial"/>
          <w:b/>
          <w:sz w:val="20"/>
          <w:szCs w:val="20"/>
        </w:rPr>
      </w:pPr>
      <w:r w:rsidRPr="001506B5">
        <w:rPr>
          <w:rFonts w:ascii="Arial" w:hAnsi="Arial" w:cs="Arial"/>
          <w:b/>
          <w:sz w:val="20"/>
          <w:szCs w:val="20"/>
        </w:rPr>
        <w:t>Chun-Chia Chen, Chung-Lin Chen, Ching-Hsiang Chiang, Shin-Chen Pan, Herpes Simplex Infection in a Minor Burn Wound: A Case Report, The Journal of Burn Care &amp; Rehabilitation, Volume 26, Issue 5, September-October 2005, Pages 453–455, </w:t>
      </w:r>
      <w:hyperlink r:id="rId17" w:history="1">
        <w:r w:rsidRPr="001506B5">
          <w:rPr>
            <w:rFonts w:ascii="Arial" w:hAnsi="Arial" w:cs="Arial"/>
            <w:b/>
            <w:sz w:val="20"/>
            <w:szCs w:val="20"/>
          </w:rPr>
          <w:t>https://doi.org/10.1097/01.bcr.0000176889.39355.41</w:t>
        </w:r>
      </w:hyperlink>
    </w:p>
    <w:p w14:paraId="1B3155BF" w14:textId="77777777" w:rsidR="00D50F15" w:rsidRPr="001506B5" w:rsidRDefault="00D50F15" w:rsidP="00D50F15">
      <w:pPr>
        <w:shd w:val="clear" w:color="auto" w:fill="FFFFFF"/>
        <w:spacing w:before="100" w:beforeAutospacing="1" w:after="100" w:afterAutospacing="1"/>
        <w:ind w:left="945"/>
        <w:jc w:val="both"/>
        <w:rPr>
          <w:rFonts w:ascii="Arial" w:hAnsi="Arial" w:cs="Arial"/>
          <w:b/>
          <w:color w:val="222222"/>
          <w:sz w:val="20"/>
          <w:szCs w:val="20"/>
        </w:rPr>
      </w:pPr>
    </w:p>
    <w:p w14:paraId="1AA62E6A" w14:textId="77777777" w:rsidR="00D50F15" w:rsidRPr="001506B5" w:rsidRDefault="00D50F15" w:rsidP="00433A33">
      <w:pPr>
        <w:pStyle w:val="ListParagraph"/>
        <w:numPr>
          <w:ilvl w:val="0"/>
          <w:numId w:val="14"/>
        </w:numPr>
        <w:tabs>
          <w:tab w:val="clear" w:pos="720"/>
          <w:tab w:val="num" w:pos="993"/>
        </w:tabs>
        <w:ind w:left="993" w:hanging="284"/>
        <w:jc w:val="both"/>
        <w:rPr>
          <w:rFonts w:ascii="Arial" w:eastAsia="Times New Roman" w:hAnsi="Arial" w:cs="Arial"/>
          <w:b/>
          <w:sz w:val="20"/>
          <w:szCs w:val="20"/>
        </w:rPr>
      </w:pPr>
      <w:r w:rsidRPr="001506B5">
        <w:rPr>
          <w:rFonts w:ascii="Arial" w:hAnsi="Arial" w:cs="Arial"/>
          <w:b/>
          <w:color w:val="222222"/>
          <w:sz w:val="20"/>
          <w:szCs w:val="20"/>
        </w:rPr>
        <w:t xml:space="preserve">AlTurki, A., AlKhalifah, A., AlBarrak, G., Eldin, I. N., Al Mahfud, S., &amp; AlHarbi, Y. (2021). Burn Wound Infections: A Review Article. World Family Medicine Journal/Middle East Journal of Family Medicine. </w:t>
      </w:r>
      <w:hyperlink r:id="rId18" w:history="1">
        <w:r w:rsidRPr="001506B5">
          <w:rPr>
            <w:rStyle w:val="Hyperlink"/>
            <w:rFonts w:ascii="Arial" w:hAnsi="Arial" w:cs="Arial"/>
            <w:b/>
            <w:sz w:val="20"/>
            <w:szCs w:val="20"/>
          </w:rPr>
          <w:t>https://doi.org/10.5742/MEWFM.2021.94057</w:t>
        </w:r>
      </w:hyperlink>
      <w:r w:rsidRPr="001506B5">
        <w:rPr>
          <w:rFonts w:ascii="Arial" w:hAnsi="Arial" w:cs="Arial"/>
          <w:b/>
          <w:color w:val="222222"/>
          <w:sz w:val="20"/>
          <w:szCs w:val="20"/>
        </w:rPr>
        <w:t xml:space="preserve"> </w:t>
      </w:r>
    </w:p>
    <w:p w14:paraId="744F61DC" w14:textId="77777777" w:rsidR="00D50F15" w:rsidRPr="001506B5" w:rsidRDefault="00D50F15" w:rsidP="00D50F15">
      <w:pPr>
        <w:pStyle w:val="ListParagraph"/>
        <w:rPr>
          <w:rFonts w:ascii="Arial" w:eastAsia="Times New Roman" w:hAnsi="Arial" w:cs="Arial"/>
          <w:b/>
          <w:color w:val="333333"/>
          <w:sz w:val="20"/>
          <w:szCs w:val="20"/>
          <w:shd w:val="clear" w:color="auto" w:fill="FFFFFF"/>
        </w:rPr>
      </w:pPr>
    </w:p>
    <w:p w14:paraId="4D7F3D36" w14:textId="77777777" w:rsidR="00D50F15" w:rsidRPr="001506B5" w:rsidRDefault="00D50F15" w:rsidP="00433A33">
      <w:pPr>
        <w:pStyle w:val="ListParagraph"/>
        <w:numPr>
          <w:ilvl w:val="0"/>
          <w:numId w:val="14"/>
        </w:numPr>
        <w:tabs>
          <w:tab w:val="clear" w:pos="720"/>
          <w:tab w:val="num" w:pos="993"/>
        </w:tabs>
        <w:ind w:left="993" w:hanging="284"/>
        <w:jc w:val="both"/>
        <w:rPr>
          <w:rFonts w:ascii="Arial" w:eastAsia="Times New Roman" w:hAnsi="Arial" w:cs="Arial"/>
          <w:b/>
          <w:sz w:val="20"/>
          <w:szCs w:val="20"/>
        </w:rPr>
      </w:pPr>
      <w:r w:rsidRPr="001506B5">
        <w:rPr>
          <w:rFonts w:ascii="Arial" w:eastAsia="Times New Roman" w:hAnsi="Arial" w:cs="Arial"/>
          <w:b/>
          <w:color w:val="333333"/>
          <w:sz w:val="20"/>
          <w:szCs w:val="20"/>
          <w:shd w:val="clear" w:color="auto" w:fill="FFFFFF"/>
        </w:rPr>
        <w:t xml:space="preserve">Luyt, C. E., Forel, J. M., Hajage, D., Jaber, S., Cayot-Constantin, S., Rimmelé, T., Coupez, E., Lu, Q., Diallo, M. H., Penot-Ragon, C., Clavel, M., Schwebel, C., Timsit, J. F., Bedos, J. P., Hauw-Berlemont, C., Bourenne, J., Mayaux, J., Lefrant, J. Y., Mira, J. P., Combes, A., Wolff, M., Chastre, J., &amp; Papazian, L. (2020). Acyclovir for mechanically ventilated patients with herpes simplex virus oropharyngeal reactivation: A randomized clinical trial. JAMA Internal Medicine, 180(2), 263–272. </w:t>
      </w:r>
      <w:hyperlink r:id="rId19" w:history="1">
        <w:r w:rsidRPr="001506B5">
          <w:rPr>
            <w:rStyle w:val="Hyperlink"/>
            <w:rFonts w:ascii="Arial" w:eastAsia="Times New Roman" w:hAnsi="Arial" w:cs="Arial"/>
            <w:b/>
            <w:sz w:val="20"/>
            <w:szCs w:val="20"/>
            <w:shd w:val="clear" w:color="auto" w:fill="FFFFFF"/>
          </w:rPr>
          <w:t>https://doi.org/10.1001/jamainternmed.2019.5713</w:t>
        </w:r>
      </w:hyperlink>
      <w:r w:rsidRPr="001506B5">
        <w:rPr>
          <w:rFonts w:ascii="Arial" w:eastAsia="Times New Roman" w:hAnsi="Arial" w:cs="Arial"/>
          <w:b/>
          <w:color w:val="333333"/>
          <w:sz w:val="20"/>
          <w:szCs w:val="20"/>
          <w:shd w:val="clear" w:color="auto" w:fill="FFFFFF"/>
        </w:rPr>
        <w:t xml:space="preserve"> </w:t>
      </w:r>
    </w:p>
    <w:p w14:paraId="255C1CEE" w14:textId="77777777" w:rsidR="00D50F15" w:rsidRPr="001506B5" w:rsidRDefault="00D50F15" w:rsidP="00D50F15">
      <w:pPr>
        <w:pStyle w:val="ListParagraph"/>
        <w:rPr>
          <w:rFonts w:ascii="Arial" w:eastAsia="Times New Roman" w:hAnsi="Arial" w:cs="Arial"/>
          <w:b/>
          <w:color w:val="333333"/>
          <w:sz w:val="20"/>
          <w:szCs w:val="20"/>
          <w:shd w:val="clear" w:color="auto" w:fill="FFFFFF"/>
        </w:rPr>
      </w:pPr>
    </w:p>
    <w:p w14:paraId="400407F9" w14:textId="77777777" w:rsidR="00D50F15" w:rsidRPr="001506B5" w:rsidRDefault="00D50F15" w:rsidP="00433A33">
      <w:pPr>
        <w:numPr>
          <w:ilvl w:val="0"/>
          <w:numId w:val="14"/>
        </w:numPr>
        <w:shd w:val="clear" w:color="auto" w:fill="FFFFFF"/>
        <w:spacing w:before="100" w:beforeAutospacing="1" w:after="100" w:afterAutospacing="1"/>
        <w:ind w:left="945"/>
        <w:jc w:val="both"/>
        <w:rPr>
          <w:rFonts w:ascii="Arial" w:hAnsi="Arial" w:cs="Arial"/>
          <w:b/>
          <w:color w:val="222222"/>
          <w:sz w:val="20"/>
          <w:szCs w:val="20"/>
        </w:rPr>
      </w:pPr>
      <w:r w:rsidRPr="001506B5">
        <w:rPr>
          <w:rFonts w:ascii="Arial" w:eastAsia="Times New Roman" w:hAnsi="Arial" w:cs="Arial"/>
          <w:b/>
          <w:color w:val="333333"/>
          <w:sz w:val="20"/>
          <w:szCs w:val="20"/>
          <w:shd w:val="clear" w:color="auto" w:fill="FFFFFF"/>
        </w:rPr>
        <w:t xml:space="preserve">Cowley, N. J., Owen, A., Shiels, S. C., et al. (2017). Safety and Efficacy of Antiviral Therapy for Prevention of Cytomegalovirus Reactivation in Immunocompetent Critically Ill Patients: A Randomized Clinical Trial. JAMA Intern Med. </w:t>
      </w:r>
      <w:hyperlink r:id="rId20" w:history="1">
        <w:r w:rsidRPr="001506B5">
          <w:rPr>
            <w:rStyle w:val="Hyperlink"/>
            <w:rFonts w:ascii="Arial" w:eastAsia="Times New Roman" w:hAnsi="Arial" w:cs="Arial"/>
            <w:b/>
            <w:sz w:val="20"/>
            <w:szCs w:val="20"/>
            <w:shd w:val="clear" w:color="auto" w:fill="FFFFFF"/>
          </w:rPr>
          <w:t>https://doi.org/10.1001/jamainternmed.2017.0895</w:t>
        </w:r>
      </w:hyperlink>
      <w:r w:rsidRPr="001506B5">
        <w:rPr>
          <w:rFonts w:ascii="Arial" w:eastAsia="Times New Roman" w:hAnsi="Arial" w:cs="Arial"/>
          <w:b/>
          <w:color w:val="333333"/>
          <w:sz w:val="20"/>
          <w:szCs w:val="20"/>
          <w:shd w:val="clear" w:color="auto" w:fill="FFFFFF"/>
        </w:rPr>
        <w:t xml:space="preserve"> </w:t>
      </w:r>
    </w:p>
    <w:p w14:paraId="75B2A8C8" w14:textId="77777777" w:rsidR="00D50F15" w:rsidRPr="001506B5" w:rsidRDefault="00D50F15" w:rsidP="00D50F15">
      <w:pPr>
        <w:pStyle w:val="ListParagraph"/>
        <w:rPr>
          <w:rFonts w:ascii="Arial" w:hAnsi="Arial" w:cs="Arial"/>
          <w:b/>
          <w:color w:val="222222"/>
          <w:sz w:val="20"/>
          <w:szCs w:val="20"/>
        </w:rPr>
      </w:pPr>
    </w:p>
    <w:p w14:paraId="3D06CC5F" w14:textId="77777777" w:rsidR="00D50F15" w:rsidRPr="001506B5" w:rsidRDefault="00D50F15" w:rsidP="00433A33">
      <w:pPr>
        <w:numPr>
          <w:ilvl w:val="0"/>
          <w:numId w:val="14"/>
        </w:numPr>
        <w:shd w:val="clear" w:color="auto" w:fill="FFFFFF"/>
        <w:spacing w:before="100" w:beforeAutospacing="1" w:after="100" w:afterAutospacing="1"/>
        <w:ind w:left="945"/>
        <w:jc w:val="both"/>
        <w:rPr>
          <w:rFonts w:ascii="Arial" w:hAnsi="Arial" w:cs="Arial"/>
          <w:b/>
          <w:color w:val="222222"/>
          <w:sz w:val="20"/>
          <w:szCs w:val="20"/>
        </w:rPr>
      </w:pPr>
      <w:r w:rsidRPr="001506B5">
        <w:rPr>
          <w:rFonts w:ascii="Arial" w:hAnsi="Arial" w:cs="Arial"/>
          <w:b/>
          <w:color w:val="222222"/>
          <w:sz w:val="20"/>
          <w:szCs w:val="20"/>
        </w:rPr>
        <w:lastRenderedPageBreak/>
        <w:t xml:space="preserve">Hraiech, S., Azoulay, E., &amp; Papazian, L. (2021). Herpesviruses in Critically Ill Patients With ARDS. Reference Module in Biomedical Sciences. </w:t>
      </w:r>
      <w:hyperlink r:id="rId21" w:history="1">
        <w:r w:rsidRPr="001506B5">
          <w:rPr>
            <w:rStyle w:val="Hyperlink"/>
            <w:rFonts w:ascii="Arial" w:hAnsi="Arial" w:cs="Arial"/>
            <w:b/>
            <w:sz w:val="20"/>
            <w:szCs w:val="20"/>
          </w:rPr>
          <w:t>https://doi.org/10.1016/B978-0-08-102723-3.00231-6</w:t>
        </w:r>
      </w:hyperlink>
      <w:r w:rsidRPr="001506B5">
        <w:rPr>
          <w:rFonts w:ascii="Arial" w:hAnsi="Arial" w:cs="Arial"/>
          <w:b/>
          <w:color w:val="222222"/>
          <w:sz w:val="20"/>
          <w:szCs w:val="20"/>
        </w:rPr>
        <w:t xml:space="preserve"> </w:t>
      </w:r>
    </w:p>
    <w:p w14:paraId="48DB37BF" w14:textId="77777777" w:rsidR="00D50F15" w:rsidRPr="001506B5" w:rsidRDefault="00D50F15" w:rsidP="00D50F15">
      <w:pPr>
        <w:pStyle w:val="ListParagraph"/>
        <w:rPr>
          <w:rFonts w:ascii="Arial" w:hAnsi="Arial" w:cs="Arial"/>
          <w:b/>
          <w:color w:val="222222"/>
          <w:sz w:val="20"/>
          <w:szCs w:val="20"/>
        </w:rPr>
      </w:pPr>
    </w:p>
    <w:p w14:paraId="60BC1E27" w14:textId="71B94AF8" w:rsidR="00D50F15" w:rsidRPr="001506B5" w:rsidRDefault="00D50F15" w:rsidP="00433A33">
      <w:pPr>
        <w:numPr>
          <w:ilvl w:val="0"/>
          <w:numId w:val="14"/>
        </w:numPr>
        <w:shd w:val="clear" w:color="auto" w:fill="FFFFFF"/>
        <w:spacing w:before="100" w:beforeAutospacing="1" w:after="100" w:afterAutospacing="1"/>
        <w:ind w:left="945"/>
        <w:jc w:val="both"/>
        <w:rPr>
          <w:rFonts w:ascii="Arial" w:hAnsi="Arial" w:cs="Arial"/>
          <w:b/>
          <w:color w:val="222222"/>
          <w:sz w:val="20"/>
          <w:szCs w:val="20"/>
        </w:rPr>
      </w:pPr>
      <w:r w:rsidRPr="001506B5">
        <w:rPr>
          <w:rFonts w:ascii="Arial" w:hAnsi="Arial" w:cs="Arial"/>
          <w:b/>
          <w:color w:val="222222"/>
          <w:sz w:val="20"/>
          <w:szCs w:val="20"/>
        </w:rPr>
        <w:t xml:space="preserve">Troger, A., Burrel, S., De Chambrun, M. P., Schmidt, M., Bréchot, N., Bomme, O., Hekimian, G., Combes, A., Boutolleau, D., &amp; Luyt, C.-E. (2022). Preemptive acyclovir to prevent herpes simplex virus bronchopneumonitis in mechanically ventilated patients with herpes simplex virus oropharyngeal reactivation: An ancillary study of the preemptive treatment for herpesviridae trial. *Antiviral Therapy, 27*(1), 135965352110726. </w:t>
      </w:r>
      <w:hyperlink r:id="rId22" w:history="1">
        <w:r w:rsidRPr="001506B5">
          <w:rPr>
            <w:rStyle w:val="Hyperlink"/>
            <w:rFonts w:ascii="Arial" w:hAnsi="Arial" w:cs="Arial"/>
            <w:b/>
            <w:sz w:val="20"/>
            <w:szCs w:val="20"/>
          </w:rPr>
          <w:t>https://doi.org/10.1177/13596535211072673</w:t>
        </w:r>
      </w:hyperlink>
    </w:p>
    <w:p w14:paraId="6C7DF0B8" w14:textId="77777777" w:rsidR="00D50F15" w:rsidRPr="001506B5" w:rsidRDefault="00D50F15" w:rsidP="00D50F15">
      <w:pPr>
        <w:pStyle w:val="ListParagraph"/>
        <w:rPr>
          <w:rFonts w:ascii="Arial" w:hAnsi="Arial" w:cs="Arial"/>
          <w:b/>
          <w:sz w:val="20"/>
          <w:szCs w:val="20"/>
        </w:rPr>
      </w:pPr>
    </w:p>
    <w:p w14:paraId="4C89F697" w14:textId="77777777" w:rsidR="00D50F15" w:rsidRPr="001506B5" w:rsidRDefault="00D50F15" w:rsidP="00433A33">
      <w:pPr>
        <w:numPr>
          <w:ilvl w:val="0"/>
          <w:numId w:val="14"/>
        </w:numPr>
        <w:shd w:val="clear" w:color="auto" w:fill="FFFFFF"/>
        <w:spacing w:before="100" w:beforeAutospacing="1" w:after="100" w:afterAutospacing="1"/>
        <w:ind w:left="945"/>
        <w:jc w:val="both"/>
        <w:rPr>
          <w:rFonts w:ascii="Arial" w:hAnsi="Arial" w:cs="Arial"/>
          <w:b/>
          <w:color w:val="222222"/>
          <w:sz w:val="20"/>
          <w:szCs w:val="20"/>
        </w:rPr>
      </w:pPr>
      <w:r w:rsidRPr="001506B5">
        <w:rPr>
          <w:rFonts w:ascii="Arial" w:hAnsi="Arial" w:cs="Arial"/>
          <w:b/>
          <w:sz w:val="20"/>
          <w:szCs w:val="20"/>
        </w:rPr>
        <w:t xml:space="preserve">Schuierer, L., Gebhard, M., Ruf, H. G., Jaschinski, U., Berghaus, T., Wittmann, M., Braun, G., Busch, D., &amp; Hoffmann, R. (2020). Impact of acyclovir use on survival of patients with ventilator-associated pneumonia and high load herpes simplex virus replication. Critical Care. </w:t>
      </w:r>
      <w:hyperlink r:id="rId23" w:history="1">
        <w:r w:rsidRPr="001506B5">
          <w:rPr>
            <w:rStyle w:val="Hyperlink"/>
            <w:rFonts w:ascii="Arial" w:hAnsi="Arial" w:cs="Arial"/>
            <w:b/>
            <w:sz w:val="20"/>
            <w:szCs w:val="20"/>
          </w:rPr>
          <w:t>https://doi.org/10.1186/s13054-019-2701-5</w:t>
        </w:r>
      </w:hyperlink>
      <w:r w:rsidRPr="001506B5">
        <w:rPr>
          <w:rFonts w:ascii="Arial" w:hAnsi="Arial" w:cs="Arial"/>
          <w:b/>
          <w:sz w:val="20"/>
          <w:szCs w:val="20"/>
        </w:rPr>
        <w:t xml:space="preserve"> </w:t>
      </w:r>
    </w:p>
    <w:p w14:paraId="63C5D6E5" w14:textId="77777777" w:rsidR="00D50F15" w:rsidRPr="001506B5" w:rsidRDefault="00D50F15" w:rsidP="00D50F15">
      <w:pPr>
        <w:pStyle w:val="ListParagraph"/>
        <w:rPr>
          <w:rFonts w:ascii="Arial" w:hAnsi="Arial" w:cs="Arial"/>
          <w:b/>
          <w:color w:val="222222"/>
          <w:sz w:val="20"/>
          <w:szCs w:val="20"/>
        </w:rPr>
      </w:pPr>
    </w:p>
    <w:p w14:paraId="1289764C" w14:textId="77777777" w:rsidR="00D50F15" w:rsidRPr="001506B5" w:rsidRDefault="00D50F15" w:rsidP="00433A33">
      <w:pPr>
        <w:pStyle w:val="ListParagraph"/>
        <w:numPr>
          <w:ilvl w:val="0"/>
          <w:numId w:val="14"/>
        </w:numPr>
        <w:tabs>
          <w:tab w:val="clear" w:pos="720"/>
          <w:tab w:val="num" w:pos="993"/>
        </w:tabs>
        <w:ind w:left="993" w:hanging="426"/>
        <w:jc w:val="both"/>
        <w:rPr>
          <w:rFonts w:ascii="Arial" w:eastAsia="Times New Roman" w:hAnsi="Arial" w:cs="Arial"/>
          <w:b/>
          <w:sz w:val="20"/>
          <w:szCs w:val="20"/>
        </w:rPr>
      </w:pPr>
      <w:r w:rsidRPr="001506B5">
        <w:rPr>
          <w:rFonts w:ascii="Arial" w:hAnsi="Arial" w:cs="Arial"/>
          <w:b/>
          <w:color w:val="222222"/>
          <w:sz w:val="20"/>
          <w:szCs w:val="20"/>
        </w:rPr>
        <w:t xml:space="preserve">Greenhalgh, D. G., &amp; Kiley, J. L. (2024). Diagnosis and Treatment of Infections in the Burn Patient. European Burn Journal, 5(3), 296-308. </w:t>
      </w:r>
      <w:hyperlink r:id="rId24" w:history="1">
        <w:r w:rsidRPr="001506B5">
          <w:rPr>
            <w:rStyle w:val="Hyperlink"/>
            <w:rFonts w:ascii="Arial" w:hAnsi="Arial" w:cs="Arial"/>
            <w:b/>
            <w:sz w:val="20"/>
            <w:szCs w:val="20"/>
          </w:rPr>
          <w:t>https://doi.org/10.3390/ebj5030028</w:t>
        </w:r>
      </w:hyperlink>
      <w:r w:rsidRPr="001506B5">
        <w:rPr>
          <w:rFonts w:ascii="Arial" w:hAnsi="Arial" w:cs="Arial"/>
          <w:b/>
          <w:color w:val="222222"/>
          <w:sz w:val="20"/>
          <w:szCs w:val="20"/>
        </w:rPr>
        <w:t xml:space="preserve"> </w:t>
      </w:r>
    </w:p>
    <w:p w14:paraId="3E8C0605" w14:textId="77777777" w:rsidR="00D50F15" w:rsidRPr="001506B5" w:rsidRDefault="00D50F15" w:rsidP="00D50F15">
      <w:pPr>
        <w:pStyle w:val="ListParagraph"/>
        <w:rPr>
          <w:rFonts w:ascii="Arial" w:eastAsia="Times New Roman" w:hAnsi="Arial" w:cs="Arial"/>
          <w:b/>
          <w:color w:val="2E414F"/>
          <w:sz w:val="20"/>
          <w:szCs w:val="20"/>
          <w:shd w:val="clear" w:color="auto" w:fill="FFFFFF"/>
        </w:rPr>
      </w:pPr>
    </w:p>
    <w:p w14:paraId="5402B9DB" w14:textId="77777777" w:rsidR="00D50F15" w:rsidRPr="001506B5" w:rsidRDefault="00D50F15" w:rsidP="00433A33">
      <w:pPr>
        <w:pStyle w:val="ListParagraph"/>
        <w:numPr>
          <w:ilvl w:val="0"/>
          <w:numId w:val="14"/>
        </w:numPr>
        <w:tabs>
          <w:tab w:val="clear" w:pos="720"/>
          <w:tab w:val="num" w:pos="851"/>
        </w:tabs>
        <w:ind w:left="993" w:hanging="426"/>
        <w:jc w:val="both"/>
        <w:rPr>
          <w:rFonts w:ascii="Arial" w:eastAsia="Times New Roman" w:hAnsi="Arial" w:cs="Arial"/>
          <w:b/>
          <w:sz w:val="20"/>
          <w:szCs w:val="20"/>
        </w:rPr>
      </w:pPr>
      <w:r w:rsidRPr="001506B5">
        <w:rPr>
          <w:rFonts w:ascii="Arial" w:eastAsia="Times New Roman" w:hAnsi="Arial" w:cs="Arial"/>
          <w:b/>
          <w:color w:val="2E414F"/>
          <w:sz w:val="20"/>
          <w:szCs w:val="20"/>
          <w:shd w:val="clear" w:color="auto" w:fill="FFFFFF"/>
        </w:rPr>
        <w:t xml:space="preserve">Piperi, E., Papadopoulou, E., Georgaki, M., Dovrat, S., Bar Illan, M., Nikitakis, N. G., &amp; Yarom, N. (2024). Management of oral herpes simplex virus infections: The problem of resistance. A narrative review. Oral Diseases, 30(3), 877–894. </w:t>
      </w:r>
      <w:hyperlink r:id="rId25" w:history="1">
        <w:r w:rsidRPr="001506B5">
          <w:rPr>
            <w:rStyle w:val="Hyperlink"/>
            <w:rFonts w:ascii="Arial" w:eastAsia="Times New Roman" w:hAnsi="Arial" w:cs="Arial"/>
            <w:b/>
            <w:sz w:val="20"/>
            <w:szCs w:val="20"/>
            <w:shd w:val="clear" w:color="auto" w:fill="FFFFFF"/>
          </w:rPr>
          <w:t>https://doi.org/10.1111/odi.14635</w:t>
        </w:r>
      </w:hyperlink>
      <w:r w:rsidRPr="001506B5">
        <w:rPr>
          <w:rFonts w:ascii="Arial" w:eastAsia="Times New Roman" w:hAnsi="Arial" w:cs="Arial"/>
          <w:b/>
          <w:color w:val="2E414F"/>
          <w:sz w:val="20"/>
          <w:szCs w:val="20"/>
          <w:shd w:val="clear" w:color="auto" w:fill="FFFFFF"/>
        </w:rPr>
        <w:t xml:space="preserve"> </w:t>
      </w:r>
    </w:p>
    <w:p w14:paraId="07A0E473" w14:textId="77777777" w:rsidR="00D50F15" w:rsidRPr="001506B5" w:rsidRDefault="00D50F15" w:rsidP="00D50F15">
      <w:pPr>
        <w:pStyle w:val="ListParagraph"/>
        <w:rPr>
          <w:rFonts w:ascii="Arial" w:eastAsia="Times New Roman" w:hAnsi="Arial" w:cs="Arial"/>
          <w:b/>
          <w:color w:val="333333"/>
          <w:sz w:val="20"/>
          <w:szCs w:val="20"/>
        </w:rPr>
      </w:pPr>
    </w:p>
    <w:p w14:paraId="086A013C" w14:textId="77777777" w:rsidR="00D50F15" w:rsidRPr="001506B5" w:rsidRDefault="00D50F15" w:rsidP="00433A33">
      <w:pPr>
        <w:pStyle w:val="ListParagraph"/>
        <w:numPr>
          <w:ilvl w:val="0"/>
          <w:numId w:val="14"/>
        </w:numPr>
        <w:tabs>
          <w:tab w:val="clear" w:pos="720"/>
          <w:tab w:val="num" w:pos="567"/>
        </w:tabs>
        <w:ind w:hanging="153"/>
        <w:jc w:val="both"/>
        <w:rPr>
          <w:rFonts w:ascii="Arial" w:eastAsia="Times New Roman" w:hAnsi="Arial" w:cs="Arial"/>
          <w:b/>
          <w:sz w:val="20"/>
          <w:szCs w:val="20"/>
        </w:rPr>
      </w:pPr>
      <w:r w:rsidRPr="001506B5">
        <w:rPr>
          <w:rFonts w:ascii="Arial" w:eastAsia="Times New Roman" w:hAnsi="Arial" w:cs="Arial"/>
          <w:b/>
          <w:color w:val="333333"/>
          <w:sz w:val="20"/>
          <w:szCs w:val="20"/>
        </w:rPr>
        <w:t xml:space="preserve">Burnase, N., Kumar, B., Kumar, P. S., Dharshini, R. S., Das, R., &amp; Barapatre, A. (2025). Advances in Antiviral Strategies for Oral Herpes Infections in Immunocompromised Patients. Oral Diseases. </w:t>
      </w:r>
      <w:hyperlink r:id="rId26" w:history="1">
        <w:r w:rsidRPr="001506B5">
          <w:rPr>
            <w:rStyle w:val="Hyperlink"/>
            <w:rFonts w:ascii="Arial" w:eastAsia="Times New Roman" w:hAnsi="Arial" w:cs="Arial"/>
            <w:b/>
            <w:sz w:val="20"/>
            <w:szCs w:val="20"/>
          </w:rPr>
          <w:t>https://doi.org/10.1111/odi.70090</w:t>
        </w:r>
      </w:hyperlink>
      <w:r w:rsidRPr="001506B5">
        <w:rPr>
          <w:rFonts w:ascii="Arial" w:eastAsia="Times New Roman" w:hAnsi="Arial" w:cs="Arial"/>
          <w:b/>
          <w:color w:val="333333"/>
          <w:sz w:val="20"/>
          <w:szCs w:val="20"/>
        </w:rPr>
        <w:t xml:space="preserve"> </w:t>
      </w:r>
    </w:p>
    <w:p w14:paraId="65BE1743" w14:textId="77777777" w:rsidR="00D50F15" w:rsidRPr="001506B5" w:rsidRDefault="00D50F15" w:rsidP="00D50F15">
      <w:pPr>
        <w:pStyle w:val="ListParagraph"/>
        <w:rPr>
          <w:rFonts w:ascii="Arial" w:eastAsia="Times New Roman" w:hAnsi="Arial" w:cs="Arial"/>
          <w:b/>
          <w:color w:val="333333"/>
          <w:sz w:val="20"/>
          <w:szCs w:val="20"/>
        </w:rPr>
      </w:pPr>
    </w:p>
    <w:p w14:paraId="1688B585" w14:textId="77777777" w:rsidR="00D50F15" w:rsidRPr="001506B5" w:rsidRDefault="00D50F15" w:rsidP="00433A33">
      <w:pPr>
        <w:pStyle w:val="ListParagraph"/>
        <w:numPr>
          <w:ilvl w:val="0"/>
          <w:numId w:val="14"/>
        </w:numPr>
        <w:ind w:hanging="153"/>
        <w:jc w:val="both"/>
        <w:rPr>
          <w:rFonts w:ascii="Arial" w:eastAsia="Times New Roman" w:hAnsi="Arial" w:cs="Arial"/>
          <w:b/>
          <w:sz w:val="20"/>
          <w:szCs w:val="20"/>
        </w:rPr>
      </w:pPr>
      <w:r w:rsidRPr="001506B5">
        <w:rPr>
          <w:rFonts w:ascii="Arial" w:eastAsia="Times New Roman" w:hAnsi="Arial" w:cs="Arial"/>
          <w:b/>
          <w:color w:val="333333"/>
          <w:sz w:val="20"/>
          <w:szCs w:val="20"/>
        </w:rPr>
        <w:t xml:space="preserve">Sutter, J., Hope, J. L., Wigdahl, B., Miller, V., &amp; Krebs, F. C. (2025). Immunological Control of Herpes Simplex Virus Type 1 Infection: A Non-Thermal Plasma-Based Approach. Viruses, 17(5), 600. </w:t>
      </w:r>
      <w:hyperlink r:id="rId27" w:history="1">
        <w:r w:rsidRPr="001506B5">
          <w:rPr>
            <w:rStyle w:val="Hyperlink"/>
            <w:rFonts w:ascii="Arial" w:eastAsia="Times New Roman" w:hAnsi="Arial" w:cs="Arial"/>
            <w:b/>
            <w:sz w:val="20"/>
            <w:szCs w:val="20"/>
          </w:rPr>
          <w:t>https://doi.org/10.3390/v17050600</w:t>
        </w:r>
      </w:hyperlink>
      <w:r w:rsidRPr="001506B5">
        <w:rPr>
          <w:rFonts w:ascii="Arial" w:eastAsia="Times New Roman" w:hAnsi="Arial" w:cs="Arial"/>
          <w:b/>
          <w:color w:val="333333"/>
          <w:sz w:val="20"/>
          <w:szCs w:val="20"/>
        </w:rPr>
        <w:t xml:space="preserve"> </w:t>
      </w:r>
    </w:p>
    <w:p w14:paraId="15A87767" w14:textId="77777777" w:rsidR="00D50F15" w:rsidRPr="001506B5" w:rsidRDefault="00D50F15" w:rsidP="00D50F15">
      <w:pPr>
        <w:pStyle w:val="ListParagraph"/>
        <w:rPr>
          <w:rFonts w:ascii="Arial" w:hAnsi="Arial" w:cs="Arial"/>
          <w:b/>
          <w:sz w:val="20"/>
          <w:szCs w:val="20"/>
        </w:rPr>
      </w:pPr>
    </w:p>
    <w:p w14:paraId="23C5AB3F" w14:textId="77777777" w:rsidR="00D50F15" w:rsidRPr="001506B5" w:rsidRDefault="00D50F15" w:rsidP="00433A33">
      <w:pPr>
        <w:pStyle w:val="ListParagraph"/>
        <w:numPr>
          <w:ilvl w:val="0"/>
          <w:numId w:val="14"/>
        </w:numPr>
        <w:tabs>
          <w:tab w:val="clear" w:pos="720"/>
          <w:tab w:val="num" w:pos="993"/>
        </w:tabs>
        <w:ind w:left="993" w:hanging="426"/>
        <w:jc w:val="both"/>
        <w:rPr>
          <w:rFonts w:ascii="Arial" w:eastAsia="Times New Roman" w:hAnsi="Arial" w:cs="Arial"/>
          <w:b/>
          <w:sz w:val="20"/>
          <w:szCs w:val="20"/>
        </w:rPr>
      </w:pPr>
      <w:r w:rsidRPr="001506B5">
        <w:rPr>
          <w:rFonts w:ascii="Arial" w:hAnsi="Arial" w:cs="Arial"/>
          <w:b/>
          <w:sz w:val="20"/>
          <w:szCs w:val="20"/>
        </w:rPr>
        <w:t xml:space="preserve">Roy, S., Mukherjee, P., Kundu, S., Majumder, D., Raychaudhuri, V., &amp; Choudhury, L. (2024). Microbial infections in burn patients. Acute and Critical Care. </w:t>
      </w:r>
      <w:hyperlink r:id="rId28" w:history="1">
        <w:r w:rsidRPr="001506B5">
          <w:rPr>
            <w:rStyle w:val="Hyperlink"/>
            <w:rFonts w:ascii="Arial" w:hAnsi="Arial" w:cs="Arial"/>
            <w:b/>
            <w:sz w:val="20"/>
            <w:szCs w:val="20"/>
          </w:rPr>
          <w:t>https://doi.org/10.4266/acc.2023.01571</w:t>
        </w:r>
      </w:hyperlink>
      <w:r w:rsidRPr="001506B5">
        <w:rPr>
          <w:rFonts w:ascii="Arial" w:hAnsi="Arial" w:cs="Arial"/>
          <w:b/>
          <w:sz w:val="20"/>
          <w:szCs w:val="20"/>
        </w:rPr>
        <w:t xml:space="preserve"> </w:t>
      </w:r>
    </w:p>
    <w:p w14:paraId="71476740" w14:textId="77777777" w:rsidR="00D50F15" w:rsidRPr="001506B5" w:rsidRDefault="00D50F15" w:rsidP="00D50F15">
      <w:pPr>
        <w:pStyle w:val="ListParagraph"/>
        <w:rPr>
          <w:rFonts w:ascii="Arial" w:eastAsia="Times New Roman" w:hAnsi="Arial" w:cs="Arial"/>
          <w:b/>
          <w:color w:val="222222"/>
          <w:sz w:val="20"/>
          <w:szCs w:val="20"/>
          <w:shd w:val="clear" w:color="auto" w:fill="FFFFFF"/>
        </w:rPr>
      </w:pPr>
    </w:p>
    <w:p w14:paraId="6231D001" w14:textId="77777777" w:rsidR="00D50F15" w:rsidRPr="001506B5" w:rsidRDefault="00D50F15" w:rsidP="00433A33">
      <w:pPr>
        <w:pStyle w:val="ListParagraph"/>
        <w:numPr>
          <w:ilvl w:val="0"/>
          <w:numId w:val="14"/>
        </w:numPr>
        <w:ind w:hanging="153"/>
        <w:jc w:val="both"/>
        <w:rPr>
          <w:rFonts w:ascii="Arial" w:eastAsia="Times New Roman" w:hAnsi="Arial" w:cs="Arial"/>
          <w:b/>
          <w:sz w:val="20"/>
          <w:szCs w:val="20"/>
        </w:rPr>
      </w:pPr>
      <w:r w:rsidRPr="001506B5">
        <w:rPr>
          <w:rFonts w:ascii="Arial" w:eastAsia="Times New Roman" w:hAnsi="Arial" w:cs="Arial"/>
          <w:b/>
          <w:color w:val="222222"/>
          <w:sz w:val="20"/>
          <w:szCs w:val="20"/>
          <w:shd w:val="clear" w:color="auto" w:fill="FFFFFF"/>
        </w:rPr>
        <w:t xml:space="preserve">Kananivand, M., Nouri, F., Yousefi, M. H., Pajouhi, A., Ghorbani, H., Afkhami, H., &amp; Razavi, Z. S. (2025). Mesenchymal stem cells and their exosomes: a novel approach to skin regeneration via signaling pathways activation. Journal of Molecular Histology, 56(2), 132. </w:t>
      </w:r>
      <w:hyperlink r:id="rId29" w:history="1">
        <w:r w:rsidRPr="001506B5">
          <w:rPr>
            <w:rStyle w:val="Hyperlink"/>
            <w:rFonts w:ascii="Arial" w:eastAsia="Times New Roman" w:hAnsi="Arial" w:cs="Arial"/>
            <w:b/>
            <w:sz w:val="20"/>
            <w:szCs w:val="20"/>
            <w:shd w:val="clear" w:color="auto" w:fill="FFFFFF"/>
          </w:rPr>
          <w:t>https://doi.org/10.1007/s10735-025-10394-7</w:t>
        </w:r>
      </w:hyperlink>
      <w:r w:rsidRPr="001506B5">
        <w:rPr>
          <w:rFonts w:ascii="Arial" w:eastAsia="Times New Roman" w:hAnsi="Arial" w:cs="Arial"/>
          <w:b/>
          <w:color w:val="222222"/>
          <w:sz w:val="20"/>
          <w:szCs w:val="20"/>
          <w:shd w:val="clear" w:color="auto" w:fill="FFFFFF"/>
        </w:rPr>
        <w:t xml:space="preserve"> </w:t>
      </w:r>
    </w:p>
    <w:p w14:paraId="2C05AA6E" w14:textId="77777777" w:rsidR="00D50F15" w:rsidRPr="001506B5" w:rsidRDefault="00D50F15" w:rsidP="00D50F15">
      <w:pPr>
        <w:pStyle w:val="ListParagraph"/>
        <w:rPr>
          <w:rFonts w:ascii="Arial" w:hAnsi="Arial" w:cs="Arial"/>
          <w:b/>
          <w:sz w:val="20"/>
          <w:szCs w:val="20"/>
        </w:rPr>
      </w:pPr>
    </w:p>
    <w:p w14:paraId="53A400A7" w14:textId="77777777" w:rsidR="00D50F15" w:rsidRPr="001506B5" w:rsidRDefault="00D50F15" w:rsidP="00433A33">
      <w:pPr>
        <w:numPr>
          <w:ilvl w:val="0"/>
          <w:numId w:val="14"/>
        </w:numPr>
        <w:shd w:val="clear" w:color="auto" w:fill="FFFFFF"/>
        <w:spacing w:before="100" w:beforeAutospacing="1" w:after="100" w:afterAutospacing="1"/>
        <w:ind w:left="945"/>
        <w:jc w:val="both"/>
        <w:rPr>
          <w:rFonts w:ascii="Arial" w:hAnsi="Arial" w:cs="Arial"/>
          <w:b/>
          <w:color w:val="222222"/>
          <w:sz w:val="20"/>
          <w:szCs w:val="20"/>
        </w:rPr>
      </w:pPr>
      <w:r w:rsidRPr="001506B5">
        <w:rPr>
          <w:rFonts w:ascii="Arial" w:hAnsi="Arial" w:cs="Arial"/>
          <w:b/>
          <w:sz w:val="20"/>
          <w:szCs w:val="20"/>
        </w:rPr>
        <w:t xml:space="preserve">Luyt, C. E., Hékimian, G., &amp; Bréchot, N. (2019). Réactivations à herpès virus (HSV, CMV) en réanimation : qui et quand </w:t>
      </w:r>
      <w:proofErr w:type="gramStart"/>
      <w:r w:rsidRPr="001506B5">
        <w:rPr>
          <w:rFonts w:ascii="Arial" w:hAnsi="Arial" w:cs="Arial"/>
          <w:b/>
          <w:sz w:val="20"/>
          <w:szCs w:val="20"/>
        </w:rPr>
        <w:t>traiter ?.</w:t>
      </w:r>
      <w:proofErr w:type="gramEnd"/>
      <w:r w:rsidRPr="001506B5">
        <w:rPr>
          <w:rFonts w:ascii="Arial" w:hAnsi="Arial" w:cs="Arial"/>
          <w:b/>
          <w:sz w:val="20"/>
          <w:szCs w:val="20"/>
        </w:rPr>
        <w:t xml:space="preserve"> Médecine Intensive Réanimation, 28, 232-238. </w:t>
      </w:r>
      <w:hyperlink r:id="rId30" w:history="1">
        <w:r w:rsidRPr="001506B5">
          <w:rPr>
            <w:rStyle w:val="Hyperlink"/>
            <w:rFonts w:ascii="Arial" w:hAnsi="Arial" w:cs="Arial"/>
            <w:b/>
            <w:sz w:val="20"/>
            <w:szCs w:val="20"/>
          </w:rPr>
          <w:t>https://doi.org/10.3166/rea-2019-0110</w:t>
        </w:r>
      </w:hyperlink>
      <w:r w:rsidRPr="001506B5">
        <w:rPr>
          <w:rFonts w:ascii="Arial" w:hAnsi="Arial" w:cs="Arial"/>
          <w:b/>
          <w:sz w:val="20"/>
          <w:szCs w:val="20"/>
        </w:rPr>
        <w:t xml:space="preserve"> </w:t>
      </w:r>
    </w:p>
    <w:p w14:paraId="55B9F20A" w14:textId="77777777" w:rsidR="00D50F15" w:rsidRPr="001506B5" w:rsidRDefault="00D50F15" w:rsidP="00D50F15">
      <w:pPr>
        <w:pStyle w:val="ListParagraph"/>
        <w:rPr>
          <w:rFonts w:ascii="Arial" w:hAnsi="Arial" w:cs="Arial"/>
          <w:b/>
          <w:color w:val="222222"/>
          <w:sz w:val="20"/>
          <w:szCs w:val="20"/>
        </w:rPr>
      </w:pPr>
    </w:p>
    <w:p w14:paraId="068D433A" w14:textId="77777777" w:rsidR="00D50F15" w:rsidRPr="001506B5" w:rsidRDefault="00D50F15" w:rsidP="00433A33">
      <w:pPr>
        <w:numPr>
          <w:ilvl w:val="0"/>
          <w:numId w:val="14"/>
        </w:numPr>
        <w:shd w:val="clear" w:color="auto" w:fill="FFFFFF"/>
        <w:spacing w:before="100" w:beforeAutospacing="1" w:after="100" w:afterAutospacing="1"/>
        <w:ind w:left="945"/>
        <w:jc w:val="both"/>
        <w:rPr>
          <w:rFonts w:ascii="Arial" w:hAnsi="Arial" w:cs="Arial"/>
          <w:b/>
          <w:color w:val="222222"/>
          <w:sz w:val="20"/>
          <w:szCs w:val="20"/>
        </w:rPr>
      </w:pPr>
      <w:r w:rsidRPr="001506B5">
        <w:rPr>
          <w:rFonts w:ascii="Arial" w:hAnsi="Arial" w:cs="Arial"/>
          <w:b/>
          <w:color w:val="222222"/>
          <w:sz w:val="20"/>
          <w:szCs w:val="20"/>
        </w:rPr>
        <w:t xml:space="preserve">Coisel, Y., Bousbia, S., Forel, J. M., Hraiech, S., Lascola, B., Roch, A., Zandotti, C., Million, M., Jaber, S., Raoult, D., &amp; Papazian, L. (2012). Cytomegalovirus and Herpes Simplex Virus Effect on the Prognosis of Mechanically Ventilated Patients Suspected to Have Ventilator-Associated Pneumonia. PLoS ONE, 7(12), e51340. </w:t>
      </w:r>
      <w:hyperlink r:id="rId31" w:history="1">
        <w:r w:rsidRPr="001506B5">
          <w:rPr>
            <w:rStyle w:val="Hyperlink"/>
            <w:rFonts w:ascii="Arial" w:hAnsi="Arial" w:cs="Arial"/>
            <w:b/>
            <w:sz w:val="20"/>
            <w:szCs w:val="20"/>
          </w:rPr>
          <w:t>https://doi.org/10.1371/journal.pone.0051340</w:t>
        </w:r>
      </w:hyperlink>
      <w:r w:rsidRPr="001506B5">
        <w:rPr>
          <w:rFonts w:ascii="Arial" w:hAnsi="Arial" w:cs="Arial"/>
          <w:b/>
          <w:color w:val="222222"/>
          <w:sz w:val="20"/>
          <w:szCs w:val="20"/>
        </w:rPr>
        <w:t xml:space="preserve"> </w:t>
      </w:r>
    </w:p>
    <w:p w14:paraId="7458C18A" w14:textId="77777777" w:rsidR="00D50F15" w:rsidRPr="001506B5" w:rsidRDefault="00D50F15" w:rsidP="00D50F15">
      <w:pPr>
        <w:pStyle w:val="ListParagraph"/>
        <w:rPr>
          <w:rFonts w:ascii="Arial" w:hAnsi="Arial" w:cs="Arial"/>
          <w:b/>
          <w:color w:val="222222"/>
          <w:sz w:val="20"/>
          <w:szCs w:val="20"/>
        </w:rPr>
      </w:pPr>
    </w:p>
    <w:p w14:paraId="47894A26" w14:textId="77777777" w:rsidR="00D50F15" w:rsidRPr="001506B5" w:rsidRDefault="00D50F15" w:rsidP="00433A33">
      <w:pPr>
        <w:numPr>
          <w:ilvl w:val="0"/>
          <w:numId w:val="14"/>
        </w:numPr>
        <w:shd w:val="clear" w:color="auto" w:fill="FFFFFF"/>
        <w:spacing w:before="100" w:beforeAutospacing="1" w:after="100" w:afterAutospacing="1"/>
        <w:ind w:left="945"/>
        <w:jc w:val="both"/>
        <w:rPr>
          <w:rFonts w:ascii="Arial" w:hAnsi="Arial" w:cs="Arial"/>
          <w:b/>
          <w:color w:val="222222"/>
          <w:sz w:val="20"/>
          <w:szCs w:val="20"/>
        </w:rPr>
      </w:pPr>
      <w:r w:rsidRPr="001506B5">
        <w:rPr>
          <w:rFonts w:ascii="Arial" w:hAnsi="Arial" w:cs="Arial"/>
          <w:b/>
          <w:color w:val="222222"/>
          <w:sz w:val="20"/>
          <w:szCs w:val="20"/>
        </w:rPr>
        <w:t xml:space="preserve">Hayden, F. G., Himel, H. N., &amp; Heggers, J. P. (1994). Herpesvirus infections in burn patients. Chest, 106(1 Suppl), 15S–21S. </w:t>
      </w:r>
      <w:hyperlink r:id="rId32" w:history="1">
        <w:r w:rsidRPr="001506B5">
          <w:rPr>
            <w:rStyle w:val="Hyperlink"/>
            <w:rFonts w:ascii="Arial" w:hAnsi="Arial" w:cs="Arial"/>
            <w:b/>
            <w:sz w:val="20"/>
            <w:szCs w:val="20"/>
          </w:rPr>
          <w:t>https://doi.org/10.1378/chest.106.1_supplement.15s</w:t>
        </w:r>
      </w:hyperlink>
      <w:r w:rsidRPr="001506B5">
        <w:rPr>
          <w:rFonts w:ascii="Arial" w:hAnsi="Arial" w:cs="Arial"/>
          <w:b/>
          <w:color w:val="222222"/>
          <w:sz w:val="20"/>
          <w:szCs w:val="20"/>
        </w:rPr>
        <w:t xml:space="preserve"> </w:t>
      </w:r>
    </w:p>
    <w:p w14:paraId="78EE6147" w14:textId="77777777" w:rsidR="00D50F15" w:rsidRPr="001506B5" w:rsidRDefault="00D50F15" w:rsidP="00D50F15">
      <w:pPr>
        <w:pStyle w:val="ListParagraph"/>
        <w:rPr>
          <w:rFonts w:ascii="Arial" w:hAnsi="Arial" w:cs="Arial"/>
          <w:b/>
          <w:color w:val="222222"/>
          <w:sz w:val="20"/>
          <w:szCs w:val="20"/>
        </w:rPr>
      </w:pPr>
    </w:p>
    <w:p w14:paraId="47D24DDC" w14:textId="77777777" w:rsidR="00D50F15" w:rsidRPr="001506B5" w:rsidRDefault="00D50F15" w:rsidP="00433A33">
      <w:pPr>
        <w:pStyle w:val="ListParagraph"/>
        <w:numPr>
          <w:ilvl w:val="0"/>
          <w:numId w:val="14"/>
        </w:numPr>
        <w:tabs>
          <w:tab w:val="clear" w:pos="720"/>
          <w:tab w:val="num" w:pos="851"/>
        </w:tabs>
        <w:ind w:left="851" w:hanging="284"/>
        <w:jc w:val="both"/>
        <w:rPr>
          <w:rFonts w:ascii="Arial" w:eastAsia="Times New Roman" w:hAnsi="Arial" w:cs="Arial"/>
          <w:b/>
          <w:sz w:val="20"/>
          <w:szCs w:val="20"/>
        </w:rPr>
      </w:pPr>
      <w:r w:rsidRPr="001506B5">
        <w:rPr>
          <w:rFonts w:ascii="Arial" w:hAnsi="Arial" w:cs="Arial"/>
          <w:b/>
          <w:color w:val="222222"/>
          <w:sz w:val="20"/>
          <w:szCs w:val="20"/>
        </w:rPr>
        <w:t xml:space="preserve">Msheik, L., Jaber, J., Taher, B., Ghauch, J., Anzieh, B., Zgheib, R., Al-Tawny, C., Amer, A. E., Qadeer, H. A., &amp; Hamdar, H. (2023). Infections in burn patients: Literature review. Open Journal of Clinical and Medical Images, 3(2), 1124. </w:t>
      </w:r>
      <w:hyperlink r:id="rId33" w:history="1">
        <w:r w:rsidRPr="001506B5">
          <w:rPr>
            <w:rStyle w:val="Hyperlink"/>
            <w:rFonts w:ascii="Arial" w:hAnsi="Arial" w:cs="Arial"/>
            <w:b/>
            <w:sz w:val="20"/>
            <w:szCs w:val="20"/>
          </w:rPr>
          <w:t>https://doi.org/10.52768/2833-2725/1124</w:t>
        </w:r>
      </w:hyperlink>
      <w:r w:rsidRPr="001506B5">
        <w:rPr>
          <w:rFonts w:ascii="Arial" w:hAnsi="Arial" w:cs="Arial"/>
          <w:b/>
          <w:color w:val="222222"/>
          <w:sz w:val="20"/>
          <w:szCs w:val="20"/>
        </w:rPr>
        <w:t xml:space="preserve"> </w:t>
      </w:r>
    </w:p>
    <w:p w14:paraId="6A01B900" w14:textId="77777777" w:rsidR="00D50F15" w:rsidRPr="001506B5" w:rsidRDefault="00D50F15" w:rsidP="00D50F15">
      <w:pPr>
        <w:pStyle w:val="ListParagraph"/>
        <w:rPr>
          <w:rFonts w:ascii="Arial" w:eastAsia="Times New Roman" w:hAnsi="Arial" w:cs="Arial"/>
          <w:b/>
          <w:color w:val="2E414F"/>
          <w:sz w:val="20"/>
          <w:szCs w:val="20"/>
          <w:shd w:val="clear" w:color="auto" w:fill="FFFFFF"/>
        </w:rPr>
      </w:pPr>
    </w:p>
    <w:p w14:paraId="3CB902E6" w14:textId="77777777" w:rsidR="00D50F15" w:rsidRPr="001506B5" w:rsidRDefault="00D50F15" w:rsidP="00433A33">
      <w:pPr>
        <w:numPr>
          <w:ilvl w:val="0"/>
          <w:numId w:val="14"/>
        </w:numPr>
        <w:shd w:val="clear" w:color="auto" w:fill="FFFFFF"/>
        <w:spacing w:before="100" w:beforeAutospacing="1" w:after="100" w:afterAutospacing="1"/>
        <w:ind w:left="945"/>
        <w:jc w:val="both"/>
        <w:rPr>
          <w:rFonts w:ascii="Arial" w:hAnsi="Arial" w:cs="Arial"/>
          <w:b/>
          <w:color w:val="222222"/>
          <w:sz w:val="20"/>
          <w:szCs w:val="20"/>
        </w:rPr>
      </w:pPr>
      <w:r w:rsidRPr="001506B5">
        <w:rPr>
          <w:rFonts w:ascii="Arial" w:eastAsia="Times New Roman" w:hAnsi="Arial" w:cs="Arial"/>
          <w:b/>
          <w:color w:val="2E414F"/>
          <w:sz w:val="20"/>
          <w:szCs w:val="20"/>
          <w:shd w:val="clear" w:color="auto" w:fill="FFFFFF"/>
        </w:rPr>
        <w:t xml:space="preserve">Wurzer, P., Cole, M. R., Clayton, R. P., Hundeshagen, G., Nunez Lopez, O., Cambiaso-Daniel, J., Winter, R., Branski, L. K., Hawkins, H. K., Finnerty, C. C., Herndon, D. N., &amp; Lee, J. O. (2017). Herpesviradae infections in severely burned children. *Burns : journal of the International Society for Burn Injuries*, *43*(5), 987-992. </w:t>
      </w:r>
      <w:hyperlink r:id="rId34" w:history="1">
        <w:r w:rsidRPr="001506B5">
          <w:rPr>
            <w:rStyle w:val="Hyperlink"/>
            <w:rFonts w:ascii="Arial" w:eastAsia="Times New Roman" w:hAnsi="Arial" w:cs="Arial"/>
            <w:b/>
            <w:sz w:val="20"/>
            <w:szCs w:val="20"/>
            <w:shd w:val="clear" w:color="auto" w:fill="FFFFFF"/>
          </w:rPr>
          <w:t>https://doi.org/10.1016/j.burns.2017.01.032</w:t>
        </w:r>
      </w:hyperlink>
      <w:r w:rsidRPr="001506B5">
        <w:rPr>
          <w:rFonts w:ascii="Arial" w:eastAsia="Times New Roman" w:hAnsi="Arial" w:cs="Arial"/>
          <w:b/>
          <w:color w:val="2E414F"/>
          <w:sz w:val="20"/>
          <w:szCs w:val="20"/>
          <w:shd w:val="clear" w:color="auto" w:fill="FFFFFF"/>
        </w:rPr>
        <w:t xml:space="preserve"> </w:t>
      </w:r>
    </w:p>
    <w:p w14:paraId="20B11762" w14:textId="77777777" w:rsidR="00D50F15" w:rsidRPr="001506B5" w:rsidRDefault="00D50F15" w:rsidP="00D50F15">
      <w:pPr>
        <w:pStyle w:val="ListParagraph"/>
        <w:rPr>
          <w:rFonts w:ascii="Arial" w:hAnsi="Arial" w:cs="Arial"/>
          <w:b/>
          <w:color w:val="222222"/>
          <w:sz w:val="20"/>
          <w:szCs w:val="20"/>
        </w:rPr>
      </w:pPr>
    </w:p>
    <w:p w14:paraId="620047A7" w14:textId="77777777" w:rsidR="00D50F15" w:rsidRPr="001506B5" w:rsidRDefault="00D50F15" w:rsidP="00433A33">
      <w:pPr>
        <w:numPr>
          <w:ilvl w:val="0"/>
          <w:numId w:val="14"/>
        </w:numPr>
        <w:shd w:val="clear" w:color="auto" w:fill="FFFFFF"/>
        <w:spacing w:before="100" w:beforeAutospacing="1" w:after="100" w:afterAutospacing="1"/>
        <w:ind w:left="945"/>
        <w:jc w:val="both"/>
        <w:rPr>
          <w:rFonts w:ascii="Arial" w:hAnsi="Arial" w:cs="Arial"/>
          <w:b/>
          <w:color w:val="222222"/>
          <w:sz w:val="20"/>
          <w:szCs w:val="20"/>
        </w:rPr>
      </w:pPr>
      <w:r w:rsidRPr="001506B5">
        <w:rPr>
          <w:rFonts w:ascii="Arial" w:hAnsi="Arial" w:cs="Arial"/>
          <w:b/>
          <w:color w:val="222222"/>
          <w:sz w:val="20"/>
          <w:szCs w:val="20"/>
        </w:rPr>
        <w:t xml:space="preserve">Benitez, J. P., Zuluaga, M., Trochez, J. P., Árias, Á. A., Penagos, D. F., Briceño, E., &amp; Zuluaga, S. (2025). Infecções em feridas em queimados: Revisão de 35 anos de avanços, desafios diagnósticos e estratégias baseadas em evidências Burn Wound Infections: A 35-year Review of Advances, Diagnostic Challenges, and Evidence-based Strategies. Revista Brasileira de Cirurgia Plástica (RBCP) – Brazilian Journal of Plastic Surgery. </w:t>
      </w:r>
      <w:hyperlink r:id="rId35" w:history="1">
        <w:r w:rsidRPr="001506B5">
          <w:rPr>
            <w:rStyle w:val="Hyperlink"/>
            <w:rFonts w:ascii="Arial" w:hAnsi="Arial" w:cs="Arial"/>
            <w:b/>
            <w:sz w:val="20"/>
            <w:szCs w:val="20"/>
          </w:rPr>
          <w:t>https://doi.org/10.1055/s-0045-1809394</w:t>
        </w:r>
      </w:hyperlink>
      <w:r w:rsidRPr="001506B5">
        <w:rPr>
          <w:rFonts w:ascii="Arial" w:hAnsi="Arial" w:cs="Arial"/>
          <w:b/>
          <w:color w:val="222222"/>
          <w:sz w:val="20"/>
          <w:szCs w:val="20"/>
        </w:rPr>
        <w:t xml:space="preserve"> </w:t>
      </w:r>
    </w:p>
    <w:p w14:paraId="3FC9AAE8" w14:textId="77777777" w:rsidR="00D50F15" w:rsidRPr="001506B5" w:rsidRDefault="00D50F15" w:rsidP="00D50F15">
      <w:pPr>
        <w:pStyle w:val="ListParagraph"/>
        <w:rPr>
          <w:rFonts w:ascii="Arial" w:hAnsi="Arial" w:cs="Arial"/>
          <w:b/>
          <w:color w:val="222222"/>
          <w:sz w:val="20"/>
          <w:szCs w:val="20"/>
        </w:rPr>
      </w:pPr>
    </w:p>
    <w:p w14:paraId="7D4CC82C" w14:textId="5297BD5C" w:rsidR="00D50F15" w:rsidRPr="001506B5" w:rsidRDefault="00D50F15" w:rsidP="00433A33">
      <w:pPr>
        <w:numPr>
          <w:ilvl w:val="0"/>
          <w:numId w:val="14"/>
        </w:numPr>
        <w:shd w:val="clear" w:color="auto" w:fill="FFFFFF"/>
        <w:spacing w:before="100" w:beforeAutospacing="1" w:after="100" w:afterAutospacing="1"/>
        <w:ind w:left="945"/>
        <w:jc w:val="both"/>
        <w:rPr>
          <w:rFonts w:ascii="Arial" w:hAnsi="Arial" w:cs="Arial"/>
          <w:b/>
          <w:sz w:val="20"/>
          <w:szCs w:val="20"/>
        </w:rPr>
      </w:pPr>
      <w:r w:rsidRPr="001506B5">
        <w:rPr>
          <w:rFonts w:ascii="Arial" w:hAnsi="Arial" w:cs="Arial"/>
          <w:b/>
          <w:color w:val="222222"/>
          <w:sz w:val="20"/>
          <w:szCs w:val="20"/>
        </w:rPr>
        <w:t>Ong, D. S. Y., Cremer, O. L., &amp; Bonten, M. J. M. (2020). Preemptive Treatment of Herpes Simplex Virus Reactivat</w:t>
      </w:r>
      <w:r w:rsidR="00BC4A47" w:rsidRPr="001506B5">
        <w:rPr>
          <w:rFonts w:ascii="Arial" w:hAnsi="Arial" w:cs="Arial"/>
          <w:b/>
          <w:color w:val="222222"/>
          <w:sz w:val="20"/>
          <w:szCs w:val="20"/>
        </w:rPr>
        <w:t xml:space="preserve">ion in Critically Ill Patients? </w:t>
      </w:r>
      <w:r w:rsidRPr="001506B5">
        <w:rPr>
          <w:rFonts w:ascii="Arial" w:hAnsi="Arial" w:cs="Arial"/>
          <w:b/>
          <w:color w:val="222222"/>
          <w:sz w:val="20"/>
          <w:szCs w:val="20"/>
        </w:rPr>
        <w:t xml:space="preserve">Not Based on Current Data. JAMA Internal Medicine, 180(2), 272–273. </w:t>
      </w:r>
      <w:hyperlink r:id="rId36" w:history="1">
        <w:r w:rsidRPr="001506B5">
          <w:rPr>
            <w:rStyle w:val="Hyperlink"/>
            <w:rFonts w:ascii="Arial" w:hAnsi="Arial" w:cs="Arial"/>
            <w:b/>
            <w:sz w:val="20"/>
            <w:szCs w:val="20"/>
          </w:rPr>
          <w:t>https://doi.org/10.1001/jamainternmed.2019.6423</w:t>
        </w:r>
      </w:hyperlink>
      <w:r w:rsidRPr="001506B5">
        <w:rPr>
          <w:rFonts w:ascii="Arial" w:hAnsi="Arial" w:cs="Arial"/>
          <w:b/>
          <w:color w:val="222222"/>
          <w:sz w:val="20"/>
          <w:szCs w:val="20"/>
        </w:rPr>
        <w:t xml:space="preserve"> </w:t>
      </w:r>
    </w:p>
    <w:p w14:paraId="05A83DA5" w14:textId="77777777" w:rsidR="00D50F15" w:rsidRPr="001506B5" w:rsidRDefault="00D50F15" w:rsidP="00D50F15">
      <w:pPr>
        <w:pStyle w:val="ListParagraph"/>
        <w:rPr>
          <w:rFonts w:ascii="Arial" w:hAnsi="Arial" w:cs="Arial"/>
          <w:b/>
          <w:sz w:val="20"/>
          <w:szCs w:val="20"/>
        </w:rPr>
      </w:pPr>
    </w:p>
    <w:p w14:paraId="030D9D63" w14:textId="77777777" w:rsidR="00D50F15" w:rsidRPr="001506B5" w:rsidRDefault="00D50F15" w:rsidP="00433A33">
      <w:pPr>
        <w:pStyle w:val="ListParagraph"/>
        <w:numPr>
          <w:ilvl w:val="0"/>
          <w:numId w:val="14"/>
        </w:numPr>
        <w:ind w:hanging="153"/>
        <w:jc w:val="both"/>
        <w:rPr>
          <w:rFonts w:ascii="Arial" w:eastAsia="Times New Roman" w:hAnsi="Arial" w:cs="Arial"/>
          <w:b/>
          <w:sz w:val="20"/>
          <w:szCs w:val="20"/>
        </w:rPr>
      </w:pPr>
      <w:r w:rsidRPr="001506B5">
        <w:rPr>
          <w:rFonts w:ascii="Arial" w:hAnsi="Arial" w:cs="Arial"/>
          <w:b/>
          <w:sz w:val="20"/>
          <w:szCs w:val="20"/>
        </w:rPr>
        <w:t xml:space="preserve">De Vos, N., Van Hoovels, L., Vankeerberghen, A., Van Vaerenbergh, K., Boel, A., Demeyer, I., Creemers, L., &amp; De Beenhouwer, H. (2009). Monitoring of herpes simplex virus in the lower respiratory tract of critically ill patients using real-time PCR: A prospective study. Clinical Microbiology and Infection: The Official Publication of the European Society of Clinical Microbiology and Infectious Diseases. </w:t>
      </w:r>
      <w:hyperlink r:id="rId37" w:history="1">
        <w:r w:rsidRPr="001506B5">
          <w:rPr>
            <w:rStyle w:val="Hyperlink"/>
            <w:rFonts w:ascii="Arial" w:hAnsi="Arial" w:cs="Arial"/>
            <w:b/>
            <w:sz w:val="20"/>
            <w:szCs w:val="20"/>
          </w:rPr>
          <w:t>https://doi.org/10.1111/j.1469-0691.2009.02704.x</w:t>
        </w:r>
      </w:hyperlink>
      <w:r w:rsidRPr="001506B5">
        <w:rPr>
          <w:rFonts w:ascii="Arial" w:hAnsi="Arial" w:cs="Arial"/>
          <w:b/>
          <w:sz w:val="20"/>
          <w:szCs w:val="20"/>
        </w:rPr>
        <w:t xml:space="preserve"> </w:t>
      </w:r>
    </w:p>
    <w:p w14:paraId="3C5BA074" w14:textId="77777777" w:rsidR="00D50F15" w:rsidRPr="001506B5" w:rsidRDefault="00D50F15" w:rsidP="00D50F15">
      <w:pPr>
        <w:pStyle w:val="ListParagraph"/>
        <w:rPr>
          <w:rFonts w:ascii="Arial" w:eastAsia="Times New Roman" w:hAnsi="Arial" w:cs="Arial"/>
          <w:b/>
          <w:color w:val="2A2A2A"/>
          <w:sz w:val="20"/>
          <w:szCs w:val="20"/>
          <w:shd w:val="clear" w:color="auto" w:fill="FFFFFF"/>
        </w:rPr>
      </w:pPr>
    </w:p>
    <w:p w14:paraId="370B4F67" w14:textId="77777777" w:rsidR="00D50F15" w:rsidRPr="001506B5" w:rsidRDefault="00D50F15" w:rsidP="00433A33">
      <w:pPr>
        <w:numPr>
          <w:ilvl w:val="0"/>
          <w:numId w:val="14"/>
        </w:numPr>
        <w:shd w:val="clear" w:color="auto" w:fill="FFFFFF"/>
        <w:spacing w:before="100" w:beforeAutospacing="1" w:after="100" w:afterAutospacing="1"/>
        <w:ind w:left="945"/>
        <w:jc w:val="both"/>
        <w:rPr>
          <w:rFonts w:ascii="Arial" w:hAnsi="Arial" w:cs="Arial"/>
          <w:b/>
          <w:sz w:val="20"/>
          <w:szCs w:val="20"/>
        </w:rPr>
      </w:pPr>
      <w:r w:rsidRPr="001506B5">
        <w:rPr>
          <w:rFonts w:ascii="Arial" w:eastAsia="Times New Roman" w:hAnsi="Arial" w:cs="Arial"/>
          <w:b/>
          <w:color w:val="2A2A2A"/>
          <w:sz w:val="20"/>
          <w:szCs w:val="20"/>
          <w:shd w:val="clear" w:color="auto" w:fill="FFFFFF"/>
        </w:rPr>
        <w:t xml:space="preserve">Roberts, J. J., Solanki, N. S., Kurmis, R., Lammerink, S., Wong, K. L., &amp; Greenwood, J. E. (2013). Prophylaxis Against Herpes Simplex Virus Reactivation in Patients With Facial Burns: A Potential Role for L-lysine. Journal of Burn Care &amp; Research, 34(6), e368–e369. </w:t>
      </w:r>
      <w:hyperlink r:id="rId38" w:history="1">
        <w:r w:rsidRPr="001506B5">
          <w:rPr>
            <w:rStyle w:val="Hyperlink"/>
            <w:rFonts w:ascii="Arial" w:eastAsia="Times New Roman" w:hAnsi="Arial" w:cs="Arial"/>
            <w:b/>
            <w:sz w:val="20"/>
            <w:szCs w:val="20"/>
            <w:shd w:val="clear" w:color="auto" w:fill="FFFFFF"/>
          </w:rPr>
          <w:t>https://doi.org/10.1097/BCR.0b013e3182685b59</w:t>
        </w:r>
      </w:hyperlink>
      <w:r w:rsidRPr="001506B5">
        <w:rPr>
          <w:rFonts w:ascii="Arial" w:eastAsia="Times New Roman" w:hAnsi="Arial" w:cs="Arial"/>
          <w:b/>
          <w:color w:val="2A2A2A"/>
          <w:sz w:val="20"/>
          <w:szCs w:val="20"/>
          <w:shd w:val="clear" w:color="auto" w:fill="FFFFFF"/>
        </w:rPr>
        <w:t xml:space="preserve"> </w:t>
      </w:r>
    </w:p>
    <w:p w14:paraId="47F1FE81" w14:textId="77777777" w:rsidR="00D50F15" w:rsidRPr="001506B5" w:rsidRDefault="00D50F15" w:rsidP="00D50F15">
      <w:pPr>
        <w:pStyle w:val="ListParagraph"/>
        <w:rPr>
          <w:rFonts w:ascii="Arial" w:hAnsi="Arial" w:cs="Arial"/>
          <w:b/>
          <w:sz w:val="20"/>
          <w:szCs w:val="20"/>
        </w:rPr>
      </w:pPr>
    </w:p>
    <w:p w14:paraId="607ACD4C" w14:textId="63871830" w:rsidR="00D50F15" w:rsidRPr="001506B5" w:rsidRDefault="00D50F15" w:rsidP="00433A33">
      <w:pPr>
        <w:numPr>
          <w:ilvl w:val="0"/>
          <w:numId w:val="14"/>
        </w:numPr>
        <w:shd w:val="clear" w:color="auto" w:fill="FFFFFF"/>
        <w:spacing w:before="100" w:beforeAutospacing="1" w:after="100" w:afterAutospacing="1"/>
        <w:ind w:left="945"/>
        <w:jc w:val="both"/>
        <w:rPr>
          <w:rFonts w:ascii="Arial" w:hAnsi="Arial" w:cs="Arial"/>
          <w:b/>
          <w:sz w:val="20"/>
          <w:szCs w:val="20"/>
        </w:rPr>
      </w:pPr>
      <w:r w:rsidRPr="001506B5">
        <w:rPr>
          <w:rFonts w:ascii="Arial" w:hAnsi="Arial" w:cs="Arial"/>
          <w:b/>
          <w:sz w:val="20"/>
          <w:szCs w:val="20"/>
        </w:rPr>
        <w:t xml:space="preserve">Zhong, J. J., Tsai, C. H., &amp; Lee, W. Y. (2024). Diagnostic Dilemma of Herpes Simplex Virus Type 1 Pneumonia or Colonization: A Case Report. Infection and Drug Resistance, 17, 4649-4653. </w:t>
      </w:r>
      <w:hyperlink r:id="rId39" w:history="1">
        <w:r w:rsidRPr="001506B5">
          <w:rPr>
            <w:rStyle w:val="Hyperlink"/>
            <w:rFonts w:ascii="Arial" w:hAnsi="Arial" w:cs="Arial"/>
            <w:b/>
            <w:sz w:val="20"/>
            <w:szCs w:val="20"/>
          </w:rPr>
          <w:t>https://doi.org/10.2147/IDR.S482829</w:t>
        </w:r>
      </w:hyperlink>
    </w:p>
    <w:p w14:paraId="6D61C329" w14:textId="77777777" w:rsidR="00D50F15" w:rsidRPr="001506B5" w:rsidRDefault="00D50F15" w:rsidP="00D50F15">
      <w:pPr>
        <w:pStyle w:val="ListParagraph"/>
        <w:rPr>
          <w:rFonts w:ascii="Arial" w:hAnsi="Arial" w:cs="Arial"/>
          <w:b/>
          <w:sz w:val="20"/>
          <w:szCs w:val="20"/>
        </w:rPr>
      </w:pPr>
    </w:p>
    <w:p w14:paraId="2CA254F6" w14:textId="77777777" w:rsidR="00D50F15" w:rsidRPr="001506B5" w:rsidRDefault="00D50F15" w:rsidP="00D50F15">
      <w:pPr>
        <w:numPr>
          <w:ilvl w:val="0"/>
          <w:numId w:val="14"/>
        </w:numPr>
        <w:shd w:val="clear" w:color="auto" w:fill="FFFFFF"/>
        <w:spacing w:before="100" w:beforeAutospacing="1" w:after="100" w:afterAutospacing="1"/>
        <w:ind w:left="945"/>
        <w:jc w:val="both"/>
        <w:rPr>
          <w:rFonts w:ascii="Arial" w:eastAsia="Times New Roman" w:hAnsi="Arial" w:cs="Arial"/>
          <w:b/>
          <w:bCs/>
          <w:color w:val="222222"/>
          <w:sz w:val="20"/>
          <w:szCs w:val="20"/>
        </w:rPr>
      </w:pPr>
      <w:r w:rsidRPr="001506B5">
        <w:rPr>
          <w:rFonts w:ascii="Arial" w:hAnsi="Arial" w:cs="Arial"/>
          <w:b/>
          <w:sz w:val="20"/>
          <w:szCs w:val="20"/>
        </w:rPr>
        <w:lastRenderedPageBreak/>
        <w:t xml:space="preserve">Strudwick, X., &amp; Cowin, A. (2018). The Role of the Inflammatory Response in Burn Injury. IntechOpen. </w:t>
      </w:r>
      <w:hyperlink r:id="rId40" w:history="1">
        <w:r w:rsidRPr="001506B5">
          <w:rPr>
            <w:rStyle w:val="Hyperlink"/>
            <w:rFonts w:ascii="Arial" w:hAnsi="Arial" w:cs="Arial"/>
            <w:b/>
            <w:sz w:val="20"/>
            <w:szCs w:val="20"/>
          </w:rPr>
          <w:t>https://doi.org/10.5772/intechopen.71330</w:t>
        </w:r>
      </w:hyperlink>
      <w:r w:rsidRPr="001506B5">
        <w:rPr>
          <w:rFonts w:ascii="Arial" w:hAnsi="Arial" w:cs="Arial"/>
          <w:b/>
          <w:sz w:val="20"/>
          <w:szCs w:val="20"/>
        </w:rPr>
        <w:t xml:space="preserve"> </w:t>
      </w:r>
    </w:p>
    <w:p w14:paraId="6AA22673" w14:textId="77777777" w:rsidR="00D50F15" w:rsidRPr="001506B5" w:rsidRDefault="00D50F15" w:rsidP="00D50F15">
      <w:pPr>
        <w:pStyle w:val="ListParagraph"/>
        <w:rPr>
          <w:rFonts w:ascii="Arial" w:hAnsi="Arial" w:cs="Arial"/>
          <w:b/>
          <w:sz w:val="20"/>
          <w:szCs w:val="20"/>
        </w:rPr>
      </w:pPr>
    </w:p>
    <w:p w14:paraId="76D525E2" w14:textId="0F117AD7" w:rsidR="00BD4601" w:rsidRPr="001506B5" w:rsidRDefault="00D50F15" w:rsidP="00D50F15">
      <w:pPr>
        <w:numPr>
          <w:ilvl w:val="0"/>
          <w:numId w:val="14"/>
        </w:numPr>
        <w:shd w:val="clear" w:color="auto" w:fill="FFFFFF"/>
        <w:spacing w:before="100" w:beforeAutospacing="1" w:after="100" w:afterAutospacing="1"/>
        <w:ind w:left="945"/>
        <w:jc w:val="both"/>
        <w:rPr>
          <w:rFonts w:ascii="Arial" w:eastAsia="Times New Roman" w:hAnsi="Arial" w:cs="Arial"/>
          <w:b/>
          <w:bCs/>
          <w:color w:val="222222"/>
          <w:sz w:val="20"/>
          <w:szCs w:val="20"/>
        </w:rPr>
      </w:pPr>
      <w:r w:rsidRPr="001506B5">
        <w:rPr>
          <w:rFonts w:ascii="Arial" w:hAnsi="Arial" w:cs="Arial"/>
          <w:b/>
          <w:sz w:val="20"/>
          <w:szCs w:val="20"/>
        </w:rPr>
        <w:t xml:space="preserve">Gmyrek, G. B., Filiberti, A., Montgomery, M., Chitrakar, A., Royer, D., &amp; Carr, D. J. (2020). HSV-1 0ΔNLS Live-Attenuated Vaccine Protects against Ocular HSV-1 Infection in the Absence of Neutralizing Antibody in HSV-1 gB T Cell Receptor-Specific Transgenic Mice. Journal of Virology. </w:t>
      </w:r>
      <w:hyperlink r:id="rId41" w:history="1">
        <w:r w:rsidRPr="001506B5">
          <w:rPr>
            <w:rStyle w:val="Hyperlink"/>
            <w:rFonts w:ascii="Arial" w:hAnsi="Arial" w:cs="Arial"/>
            <w:b/>
            <w:sz w:val="20"/>
            <w:szCs w:val="20"/>
          </w:rPr>
          <w:t>https://doi.org/10.1128/JVI.01000-20</w:t>
        </w:r>
      </w:hyperlink>
      <w:r w:rsidRPr="001506B5">
        <w:rPr>
          <w:rFonts w:ascii="Arial" w:hAnsi="Arial" w:cs="Arial"/>
          <w:b/>
          <w:sz w:val="20"/>
          <w:szCs w:val="20"/>
        </w:rPr>
        <w:t xml:space="preserve"> </w:t>
      </w:r>
    </w:p>
    <w:p w14:paraId="25895319" w14:textId="77777777" w:rsidR="00D50F15" w:rsidRPr="001506B5" w:rsidRDefault="00D50F15" w:rsidP="00BD4601">
      <w:pPr>
        <w:shd w:val="clear" w:color="auto" w:fill="FFFFFF"/>
        <w:spacing w:before="100" w:beforeAutospacing="1" w:after="100" w:afterAutospacing="1"/>
        <w:ind w:left="945"/>
        <w:rPr>
          <w:rFonts w:ascii="Arial" w:eastAsia="Times New Roman" w:hAnsi="Arial" w:cs="Arial"/>
          <w:b/>
          <w:bCs/>
          <w:color w:val="222222"/>
          <w:sz w:val="20"/>
          <w:szCs w:val="20"/>
        </w:rPr>
      </w:pPr>
    </w:p>
    <w:p w14:paraId="5112595C" w14:textId="0B76EB6B" w:rsidR="0050272F" w:rsidRPr="0050272F" w:rsidRDefault="0050272F" w:rsidP="00433A33">
      <w:pPr>
        <w:jc w:val="both"/>
        <w:rPr>
          <w:rFonts w:ascii="Times" w:eastAsia="Times New Roman" w:hAnsi="Times" w:cs="Times New Roman"/>
          <w:sz w:val="20"/>
          <w:szCs w:val="20"/>
        </w:rPr>
      </w:pPr>
    </w:p>
    <w:p w14:paraId="7CC30FE8" w14:textId="77777777" w:rsidR="00A44F2B" w:rsidRDefault="00A44F2B" w:rsidP="00433A33">
      <w:pPr>
        <w:jc w:val="both"/>
      </w:pPr>
    </w:p>
    <w:sectPr w:rsidR="00A44F2B" w:rsidSect="00C50032">
      <w:type w:val="continuous"/>
      <w:pgSz w:w="11900" w:h="16840"/>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D0D29" w14:textId="77777777" w:rsidR="00BB445B" w:rsidRDefault="00BB445B" w:rsidP="00E96E5B">
      <w:r>
        <w:separator/>
      </w:r>
    </w:p>
  </w:endnote>
  <w:endnote w:type="continuationSeparator" w:id="0">
    <w:p w14:paraId="5E5EFC7A" w14:textId="77777777" w:rsidR="00BB445B" w:rsidRDefault="00BB445B" w:rsidP="00E96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rinda">
    <w:altName w:val="Vrinda"/>
    <w:panose1 w:val="00000400000000000000"/>
    <w:charset w:val="00"/>
    <w:family w:val="swiss"/>
    <w:pitch w:val="variable"/>
    <w:sig w:usb0="0001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486DB" w14:textId="77777777" w:rsidR="001506B5" w:rsidRDefault="00150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F3F4E" w14:textId="77777777" w:rsidR="001506B5" w:rsidRDefault="001506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2F5AB" w14:textId="77777777" w:rsidR="001506B5" w:rsidRDefault="00150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71BA6" w14:textId="77777777" w:rsidR="00BB445B" w:rsidRDefault="00BB445B" w:rsidP="00E96E5B">
      <w:r>
        <w:separator/>
      </w:r>
    </w:p>
  </w:footnote>
  <w:footnote w:type="continuationSeparator" w:id="0">
    <w:p w14:paraId="0A4A2201" w14:textId="77777777" w:rsidR="00BB445B" w:rsidRDefault="00BB445B" w:rsidP="00E96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0A3C9" w14:textId="653768E8" w:rsidR="001506B5" w:rsidRDefault="00BB445B">
    <w:pPr>
      <w:pStyle w:val="Header"/>
    </w:pPr>
    <w:r>
      <w:rPr>
        <w:noProof/>
      </w:rPr>
      <w:pict w14:anchorId="16480D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318282" o:spid="_x0000_s2050" type="#_x0000_t136" style="position:absolute;margin-left:0;margin-top:0;width:566.9pt;height:72.1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74F8" w14:textId="27A2A6F6" w:rsidR="001506B5" w:rsidRDefault="00BB445B">
    <w:pPr>
      <w:pStyle w:val="Header"/>
    </w:pPr>
    <w:r>
      <w:rPr>
        <w:noProof/>
      </w:rPr>
      <w:pict w14:anchorId="060923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318283" o:spid="_x0000_s2051" type="#_x0000_t136" style="position:absolute;margin-left:0;margin-top:0;width:566.9pt;height:72.1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AACD9" w14:textId="6526748D" w:rsidR="001506B5" w:rsidRDefault="00BB445B">
    <w:pPr>
      <w:pStyle w:val="Header"/>
    </w:pPr>
    <w:r>
      <w:rPr>
        <w:noProof/>
      </w:rPr>
      <w:pict w14:anchorId="3D50F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318281" o:spid="_x0000_s2049" type="#_x0000_t136" style="position:absolute;margin-left:0;margin-top:0;width:566.9pt;height:72.1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83A9A"/>
    <w:multiLevelType w:val="multilevel"/>
    <w:tmpl w:val="51F8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32DE7"/>
    <w:multiLevelType w:val="multilevel"/>
    <w:tmpl w:val="A6B61E6C"/>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3F7D6D"/>
    <w:multiLevelType w:val="multilevel"/>
    <w:tmpl w:val="51F8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E77120"/>
    <w:multiLevelType w:val="multilevel"/>
    <w:tmpl w:val="3F3EB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702C59"/>
    <w:multiLevelType w:val="multilevel"/>
    <w:tmpl w:val="51F8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40729"/>
    <w:multiLevelType w:val="multilevel"/>
    <w:tmpl w:val="B20E5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C2133"/>
    <w:multiLevelType w:val="multilevel"/>
    <w:tmpl w:val="C8AC2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EB12F0"/>
    <w:multiLevelType w:val="multilevel"/>
    <w:tmpl w:val="8E96B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C15461"/>
    <w:multiLevelType w:val="multilevel"/>
    <w:tmpl w:val="51F8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ED26F2"/>
    <w:multiLevelType w:val="multilevel"/>
    <w:tmpl w:val="51F8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5A2B43"/>
    <w:multiLevelType w:val="multilevel"/>
    <w:tmpl w:val="51F8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B71E09"/>
    <w:multiLevelType w:val="multilevel"/>
    <w:tmpl w:val="51F8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994308"/>
    <w:multiLevelType w:val="multilevel"/>
    <w:tmpl w:val="5AC82C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7733986"/>
    <w:multiLevelType w:val="multilevel"/>
    <w:tmpl w:val="51F8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A4791F"/>
    <w:multiLevelType w:val="multilevel"/>
    <w:tmpl w:val="51F8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4"/>
  </w:num>
  <w:num w:numId="4">
    <w:abstractNumId w:val="14"/>
  </w:num>
  <w:num w:numId="5">
    <w:abstractNumId w:val="10"/>
  </w:num>
  <w:num w:numId="6">
    <w:abstractNumId w:val="13"/>
  </w:num>
  <w:num w:numId="7">
    <w:abstractNumId w:val="0"/>
  </w:num>
  <w:num w:numId="8">
    <w:abstractNumId w:val="11"/>
  </w:num>
  <w:num w:numId="9">
    <w:abstractNumId w:val="9"/>
  </w:num>
  <w:num w:numId="10">
    <w:abstractNumId w:val="5"/>
  </w:num>
  <w:num w:numId="11">
    <w:abstractNumId w:val="2"/>
  </w:num>
  <w:num w:numId="12">
    <w:abstractNumId w:val="3"/>
  </w:num>
  <w:num w:numId="13">
    <w:abstractNumId w:val="7"/>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72F"/>
    <w:rsid w:val="000025BF"/>
    <w:rsid w:val="000E0FE4"/>
    <w:rsid w:val="000E50A3"/>
    <w:rsid w:val="000E7293"/>
    <w:rsid w:val="000F4803"/>
    <w:rsid w:val="0012794E"/>
    <w:rsid w:val="001506B5"/>
    <w:rsid w:val="0015772F"/>
    <w:rsid w:val="00175D28"/>
    <w:rsid w:val="001A1D7D"/>
    <w:rsid w:val="001A2042"/>
    <w:rsid w:val="00207A15"/>
    <w:rsid w:val="00290FB6"/>
    <w:rsid w:val="002D1038"/>
    <w:rsid w:val="00346CF4"/>
    <w:rsid w:val="003619DE"/>
    <w:rsid w:val="0039216C"/>
    <w:rsid w:val="00396D71"/>
    <w:rsid w:val="003A423B"/>
    <w:rsid w:val="003F41FA"/>
    <w:rsid w:val="004034E0"/>
    <w:rsid w:val="00422639"/>
    <w:rsid w:val="00433A33"/>
    <w:rsid w:val="004475ED"/>
    <w:rsid w:val="004B7A1C"/>
    <w:rsid w:val="0050272F"/>
    <w:rsid w:val="0051755E"/>
    <w:rsid w:val="00544E52"/>
    <w:rsid w:val="005602AB"/>
    <w:rsid w:val="00604954"/>
    <w:rsid w:val="00624BB3"/>
    <w:rsid w:val="006300CE"/>
    <w:rsid w:val="00650D12"/>
    <w:rsid w:val="00675DD4"/>
    <w:rsid w:val="00691B89"/>
    <w:rsid w:val="006972BC"/>
    <w:rsid w:val="007D4D61"/>
    <w:rsid w:val="00820B18"/>
    <w:rsid w:val="00822DBC"/>
    <w:rsid w:val="00865E98"/>
    <w:rsid w:val="008F3895"/>
    <w:rsid w:val="00943B33"/>
    <w:rsid w:val="00961888"/>
    <w:rsid w:val="009A6FA3"/>
    <w:rsid w:val="00A26AEA"/>
    <w:rsid w:val="00A44F2B"/>
    <w:rsid w:val="00AD3270"/>
    <w:rsid w:val="00B53FEF"/>
    <w:rsid w:val="00BB445B"/>
    <w:rsid w:val="00BC4A47"/>
    <w:rsid w:val="00BD4601"/>
    <w:rsid w:val="00C06DDF"/>
    <w:rsid w:val="00C461F5"/>
    <w:rsid w:val="00C50032"/>
    <w:rsid w:val="00C964D8"/>
    <w:rsid w:val="00D43A85"/>
    <w:rsid w:val="00D50F15"/>
    <w:rsid w:val="00E64073"/>
    <w:rsid w:val="00E96E5B"/>
    <w:rsid w:val="00EB4149"/>
    <w:rsid w:val="00FD77F6"/>
  </w:rsids>
  <m:mathPr>
    <m:mathFont m:val="Cambria Math"/>
    <m:brkBin m:val="before"/>
    <m:brkBinSub m:val="--"/>
    <m:smallFrac m:val="0"/>
    <m:dispDef/>
    <m:lMargin m:val="0"/>
    <m:rMargin m:val="0"/>
    <m:defJc m:val="centerGroup"/>
    <m:wrapIndent m:val="1440"/>
    <m:intLim m:val="subSup"/>
    <m:naryLim m:val="undOvr"/>
  </m:mathPr>
  <w:themeFontLang w:val="fr-FR" w:eastAsia="ja-JP" w:bidi="as-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EDF6E72"/>
  <w14:defaultImageDpi w14:val="300"/>
  <w15:docId w15:val="{EBC92440-2619-44F8-86C3-1839367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0272F"/>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50272F"/>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50272F"/>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72F"/>
    <w:rPr>
      <w:rFonts w:ascii="Times" w:hAnsi="Times"/>
      <w:b/>
      <w:bCs/>
      <w:kern w:val="36"/>
      <w:sz w:val="48"/>
      <w:szCs w:val="48"/>
    </w:rPr>
  </w:style>
  <w:style w:type="character" w:customStyle="1" w:styleId="Heading2Char">
    <w:name w:val="Heading 2 Char"/>
    <w:basedOn w:val="DefaultParagraphFont"/>
    <w:link w:val="Heading2"/>
    <w:uiPriority w:val="9"/>
    <w:rsid w:val="0050272F"/>
    <w:rPr>
      <w:rFonts w:ascii="Times" w:hAnsi="Times"/>
      <w:b/>
      <w:bCs/>
      <w:sz w:val="36"/>
      <w:szCs w:val="36"/>
    </w:rPr>
  </w:style>
  <w:style w:type="character" w:customStyle="1" w:styleId="Heading3Char">
    <w:name w:val="Heading 3 Char"/>
    <w:basedOn w:val="DefaultParagraphFont"/>
    <w:link w:val="Heading3"/>
    <w:uiPriority w:val="9"/>
    <w:rsid w:val="0050272F"/>
    <w:rPr>
      <w:rFonts w:ascii="Times" w:hAnsi="Times"/>
      <w:b/>
      <w:bCs/>
      <w:sz w:val="27"/>
      <w:szCs w:val="27"/>
    </w:rPr>
  </w:style>
  <w:style w:type="paragraph" w:styleId="NormalWeb">
    <w:name w:val="Normal (Web)"/>
    <w:basedOn w:val="Normal"/>
    <w:uiPriority w:val="99"/>
    <w:semiHidden/>
    <w:unhideWhenUsed/>
    <w:rsid w:val="0050272F"/>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0272F"/>
    <w:rPr>
      <w:b/>
      <w:bCs/>
    </w:rPr>
  </w:style>
  <w:style w:type="character" w:styleId="Hyperlink">
    <w:name w:val="Hyperlink"/>
    <w:basedOn w:val="DefaultParagraphFont"/>
    <w:uiPriority w:val="99"/>
    <w:unhideWhenUsed/>
    <w:rsid w:val="0050272F"/>
    <w:rPr>
      <w:color w:val="0000FF"/>
      <w:u w:val="single"/>
    </w:rPr>
  </w:style>
  <w:style w:type="character" w:styleId="Emphasis">
    <w:name w:val="Emphasis"/>
    <w:basedOn w:val="DefaultParagraphFont"/>
    <w:uiPriority w:val="20"/>
    <w:qFormat/>
    <w:rsid w:val="0050272F"/>
    <w:rPr>
      <w:i/>
      <w:iCs/>
    </w:rPr>
  </w:style>
  <w:style w:type="character" w:customStyle="1" w:styleId="diff-highlight">
    <w:name w:val="diff-highlight"/>
    <w:basedOn w:val="DefaultParagraphFont"/>
    <w:rsid w:val="0050272F"/>
  </w:style>
  <w:style w:type="paragraph" w:customStyle="1" w:styleId="humanizemodelbtn">
    <w:name w:val="humanizemodelbtn"/>
    <w:basedOn w:val="Normal"/>
    <w:rsid w:val="0050272F"/>
    <w:pPr>
      <w:spacing w:before="100" w:beforeAutospacing="1" w:after="100" w:afterAutospacing="1"/>
    </w:pPr>
    <w:rPr>
      <w:rFonts w:ascii="Times" w:hAnsi="Times"/>
      <w:sz w:val="20"/>
      <w:szCs w:val="20"/>
    </w:rPr>
  </w:style>
  <w:style w:type="paragraph" w:customStyle="1" w:styleId="humanizecjbtn">
    <w:name w:val="humanizecjbtn"/>
    <w:basedOn w:val="Normal"/>
    <w:rsid w:val="0050272F"/>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C50032"/>
    <w:pPr>
      <w:ind w:left="720"/>
      <w:contextualSpacing/>
    </w:pPr>
  </w:style>
  <w:style w:type="character" w:customStyle="1" w:styleId="al-author-delim">
    <w:name w:val="al-author-delim"/>
    <w:basedOn w:val="DefaultParagraphFont"/>
    <w:rsid w:val="000E50A3"/>
  </w:style>
  <w:style w:type="character" w:customStyle="1" w:styleId="Subtitle1">
    <w:name w:val="Subtitle1"/>
    <w:basedOn w:val="DefaultParagraphFont"/>
    <w:rsid w:val="000E50A3"/>
  </w:style>
  <w:style w:type="character" w:customStyle="1" w:styleId="colon-for-citation-subtitle">
    <w:name w:val="colon-for-citation-subtitle"/>
    <w:basedOn w:val="DefaultParagraphFont"/>
    <w:rsid w:val="000E50A3"/>
  </w:style>
  <w:style w:type="table" w:styleId="TableGrid">
    <w:name w:val="Table Grid"/>
    <w:basedOn w:val="TableNormal"/>
    <w:uiPriority w:val="59"/>
    <w:rsid w:val="003619D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602AB"/>
    <w:rPr>
      <w:color w:val="605E5C"/>
      <w:shd w:val="clear" w:color="auto" w:fill="E1DFDD"/>
    </w:rPr>
  </w:style>
  <w:style w:type="paragraph" w:styleId="Header">
    <w:name w:val="header"/>
    <w:basedOn w:val="Normal"/>
    <w:link w:val="HeaderChar"/>
    <w:uiPriority w:val="99"/>
    <w:unhideWhenUsed/>
    <w:rsid w:val="00E96E5B"/>
    <w:pPr>
      <w:tabs>
        <w:tab w:val="center" w:pos="4680"/>
        <w:tab w:val="right" w:pos="9360"/>
      </w:tabs>
    </w:pPr>
  </w:style>
  <w:style w:type="character" w:customStyle="1" w:styleId="HeaderChar">
    <w:name w:val="Header Char"/>
    <w:basedOn w:val="DefaultParagraphFont"/>
    <w:link w:val="Header"/>
    <w:uiPriority w:val="99"/>
    <w:rsid w:val="00E96E5B"/>
  </w:style>
  <w:style w:type="paragraph" w:styleId="Footer">
    <w:name w:val="footer"/>
    <w:basedOn w:val="Normal"/>
    <w:link w:val="FooterChar"/>
    <w:uiPriority w:val="99"/>
    <w:unhideWhenUsed/>
    <w:rsid w:val="00E96E5B"/>
    <w:pPr>
      <w:tabs>
        <w:tab w:val="center" w:pos="4680"/>
        <w:tab w:val="right" w:pos="9360"/>
      </w:tabs>
    </w:pPr>
  </w:style>
  <w:style w:type="character" w:customStyle="1" w:styleId="FooterChar">
    <w:name w:val="Footer Char"/>
    <w:basedOn w:val="DefaultParagraphFont"/>
    <w:link w:val="Footer"/>
    <w:uiPriority w:val="99"/>
    <w:rsid w:val="00E96E5B"/>
  </w:style>
  <w:style w:type="paragraph" w:styleId="BalloonText">
    <w:name w:val="Balloon Text"/>
    <w:basedOn w:val="Normal"/>
    <w:link w:val="BalloonTextChar"/>
    <w:uiPriority w:val="99"/>
    <w:semiHidden/>
    <w:unhideWhenUsed/>
    <w:rsid w:val="00BC4A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4A47"/>
    <w:rPr>
      <w:rFonts w:ascii="Lucida Grande" w:hAnsi="Lucida Grande" w:cs="Lucida Grande"/>
      <w:sz w:val="18"/>
      <w:szCs w:val="18"/>
    </w:rPr>
  </w:style>
  <w:style w:type="character" w:styleId="FollowedHyperlink">
    <w:name w:val="FollowedHyperlink"/>
    <w:basedOn w:val="DefaultParagraphFont"/>
    <w:uiPriority w:val="99"/>
    <w:semiHidden/>
    <w:unhideWhenUsed/>
    <w:rsid w:val="009618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38843">
      <w:bodyDiv w:val="1"/>
      <w:marLeft w:val="0"/>
      <w:marRight w:val="0"/>
      <w:marTop w:val="0"/>
      <w:marBottom w:val="0"/>
      <w:divBdr>
        <w:top w:val="none" w:sz="0" w:space="0" w:color="auto"/>
        <w:left w:val="none" w:sz="0" w:space="0" w:color="auto"/>
        <w:bottom w:val="none" w:sz="0" w:space="0" w:color="auto"/>
        <w:right w:val="none" w:sz="0" w:space="0" w:color="auto"/>
      </w:divBdr>
    </w:div>
    <w:div w:id="195774612">
      <w:bodyDiv w:val="1"/>
      <w:marLeft w:val="0"/>
      <w:marRight w:val="0"/>
      <w:marTop w:val="0"/>
      <w:marBottom w:val="0"/>
      <w:divBdr>
        <w:top w:val="none" w:sz="0" w:space="0" w:color="auto"/>
        <w:left w:val="none" w:sz="0" w:space="0" w:color="auto"/>
        <w:bottom w:val="none" w:sz="0" w:space="0" w:color="auto"/>
        <w:right w:val="none" w:sz="0" w:space="0" w:color="auto"/>
      </w:divBdr>
    </w:div>
    <w:div w:id="210188573">
      <w:bodyDiv w:val="1"/>
      <w:marLeft w:val="0"/>
      <w:marRight w:val="0"/>
      <w:marTop w:val="0"/>
      <w:marBottom w:val="0"/>
      <w:divBdr>
        <w:top w:val="none" w:sz="0" w:space="0" w:color="auto"/>
        <w:left w:val="none" w:sz="0" w:space="0" w:color="auto"/>
        <w:bottom w:val="none" w:sz="0" w:space="0" w:color="auto"/>
        <w:right w:val="none" w:sz="0" w:space="0" w:color="auto"/>
      </w:divBdr>
    </w:div>
    <w:div w:id="223879998">
      <w:bodyDiv w:val="1"/>
      <w:marLeft w:val="0"/>
      <w:marRight w:val="0"/>
      <w:marTop w:val="0"/>
      <w:marBottom w:val="0"/>
      <w:divBdr>
        <w:top w:val="none" w:sz="0" w:space="0" w:color="auto"/>
        <w:left w:val="none" w:sz="0" w:space="0" w:color="auto"/>
        <w:bottom w:val="none" w:sz="0" w:space="0" w:color="auto"/>
        <w:right w:val="none" w:sz="0" w:space="0" w:color="auto"/>
      </w:divBdr>
    </w:div>
    <w:div w:id="416098929">
      <w:bodyDiv w:val="1"/>
      <w:marLeft w:val="0"/>
      <w:marRight w:val="0"/>
      <w:marTop w:val="0"/>
      <w:marBottom w:val="0"/>
      <w:divBdr>
        <w:top w:val="none" w:sz="0" w:space="0" w:color="auto"/>
        <w:left w:val="none" w:sz="0" w:space="0" w:color="auto"/>
        <w:bottom w:val="none" w:sz="0" w:space="0" w:color="auto"/>
        <w:right w:val="none" w:sz="0" w:space="0" w:color="auto"/>
      </w:divBdr>
    </w:div>
    <w:div w:id="587542485">
      <w:bodyDiv w:val="1"/>
      <w:marLeft w:val="0"/>
      <w:marRight w:val="0"/>
      <w:marTop w:val="0"/>
      <w:marBottom w:val="0"/>
      <w:divBdr>
        <w:top w:val="none" w:sz="0" w:space="0" w:color="auto"/>
        <w:left w:val="none" w:sz="0" w:space="0" w:color="auto"/>
        <w:bottom w:val="none" w:sz="0" w:space="0" w:color="auto"/>
        <w:right w:val="none" w:sz="0" w:space="0" w:color="auto"/>
      </w:divBdr>
    </w:div>
    <w:div w:id="643313383">
      <w:bodyDiv w:val="1"/>
      <w:marLeft w:val="0"/>
      <w:marRight w:val="0"/>
      <w:marTop w:val="0"/>
      <w:marBottom w:val="0"/>
      <w:divBdr>
        <w:top w:val="none" w:sz="0" w:space="0" w:color="auto"/>
        <w:left w:val="none" w:sz="0" w:space="0" w:color="auto"/>
        <w:bottom w:val="none" w:sz="0" w:space="0" w:color="auto"/>
        <w:right w:val="none" w:sz="0" w:space="0" w:color="auto"/>
      </w:divBdr>
    </w:div>
    <w:div w:id="897477080">
      <w:bodyDiv w:val="1"/>
      <w:marLeft w:val="0"/>
      <w:marRight w:val="0"/>
      <w:marTop w:val="0"/>
      <w:marBottom w:val="0"/>
      <w:divBdr>
        <w:top w:val="none" w:sz="0" w:space="0" w:color="auto"/>
        <w:left w:val="none" w:sz="0" w:space="0" w:color="auto"/>
        <w:bottom w:val="none" w:sz="0" w:space="0" w:color="auto"/>
        <w:right w:val="none" w:sz="0" w:space="0" w:color="auto"/>
      </w:divBdr>
    </w:div>
    <w:div w:id="984046072">
      <w:bodyDiv w:val="1"/>
      <w:marLeft w:val="0"/>
      <w:marRight w:val="0"/>
      <w:marTop w:val="0"/>
      <w:marBottom w:val="0"/>
      <w:divBdr>
        <w:top w:val="none" w:sz="0" w:space="0" w:color="auto"/>
        <w:left w:val="none" w:sz="0" w:space="0" w:color="auto"/>
        <w:bottom w:val="none" w:sz="0" w:space="0" w:color="auto"/>
        <w:right w:val="none" w:sz="0" w:space="0" w:color="auto"/>
      </w:divBdr>
    </w:div>
    <w:div w:id="1351948198">
      <w:bodyDiv w:val="1"/>
      <w:marLeft w:val="0"/>
      <w:marRight w:val="0"/>
      <w:marTop w:val="0"/>
      <w:marBottom w:val="0"/>
      <w:divBdr>
        <w:top w:val="none" w:sz="0" w:space="0" w:color="auto"/>
        <w:left w:val="none" w:sz="0" w:space="0" w:color="auto"/>
        <w:bottom w:val="none" w:sz="0" w:space="0" w:color="auto"/>
        <w:right w:val="none" w:sz="0" w:space="0" w:color="auto"/>
      </w:divBdr>
    </w:div>
    <w:div w:id="1466922291">
      <w:bodyDiv w:val="1"/>
      <w:marLeft w:val="0"/>
      <w:marRight w:val="0"/>
      <w:marTop w:val="0"/>
      <w:marBottom w:val="0"/>
      <w:divBdr>
        <w:top w:val="none" w:sz="0" w:space="0" w:color="auto"/>
        <w:left w:val="none" w:sz="0" w:space="0" w:color="auto"/>
        <w:bottom w:val="none" w:sz="0" w:space="0" w:color="auto"/>
        <w:right w:val="none" w:sz="0" w:space="0" w:color="auto"/>
      </w:divBdr>
    </w:div>
    <w:div w:id="1543711571">
      <w:bodyDiv w:val="1"/>
      <w:marLeft w:val="0"/>
      <w:marRight w:val="0"/>
      <w:marTop w:val="0"/>
      <w:marBottom w:val="0"/>
      <w:divBdr>
        <w:top w:val="none" w:sz="0" w:space="0" w:color="auto"/>
        <w:left w:val="none" w:sz="0" w:space="0" w:color="auto"/>
        <w:bottom w:val="none" w:sz="0" w:space="0" w:color="auto"/>
        <w:right w:val="none" w:sz="0" w:space="0" w:color="auto"/>
      </w:divBdr>
    </w:div>
    <w:div w:id="1623488723">
      <w:bodyDiv w:val="1"/>
      <w:marLeft w:val="0"/>
      <w:marRight w:val="0"/>
      <w:marTop w:val="0"/>
      <w:marBottom w:val="0"/>
      <w:divBdr>
        <w:top w:val="none" w:sz="0" w:space="0" w:color="auto"/>
        <w:left w:val="none" w:sz="0" w:space="0" w:color="auto"/>
        <w:bottom w:val="none" w:sz="0" w:space="0" w:color="auto"/>
        <w:right w:val="none" w:sz="0" w:space="0" w:color="auto"/>
      </w:divBdr>
    </w:div>
    <w:div w:id="1627929912">
      <w:bodyDiv w:val="1"/>
      <w:marLeft w:val="0"/>
      <w:marRight w:val="0"/>
      <w:marTop w:val="0"/>
      <w:marBottom w:val="0"/>
      <w:divBdr>
        <w:top w:val="none" w:sz="0" w:space="0" w:color="auto"/>
        <w:left w:val="none" w:sz="0" w:space="0" w:color="auto"/>
        <w:bottom w:val="none" w:sz="0" w:space="0" w:color="auto"/>
        <w:right w:val="none" w:sz="0" w:space="0" w:color="auto"/>
      </w:divBdr>
    </w:div>
    <w:div w:id="1658070826">
      <w:bodyDiv w:val="1"/>
      <w:marLeft w:val="0"/>
      <w:marRight w:val="0"/>
      <w:marTop w:val="0"/>
      <w:marBottom w:val="0"/>
      <w:divBdr>
        <w:top w:val="none" w:sz="0" w:space="0" w:color="auto"/>
        <w:left w:val="none" w:sz="0" w:space="0" w:color="auto"/>
        <w:bottom w:val="none" w:sz="0" w:space="0" w:color="auto"/>
        <w:right w:val="none" w:sz="0" w:space="0" w:color="auto"/>
      </w:divBdr>
    </w:div>
    <w:div w:id="1690791505">
      <w:bodyDiv w:val="1"/>
      <w:marLeft w:val="0"/>
      <w:marRight w:val="0"/>
      <w:marTop w:val="0"/>
      <w:marBottom w:val="0"/>
      <w:divBdr>
        <w:top w:val="none" w:sz="0" w:space="0" w:color="auto"/>
        <w:left w:val="none" w:sz="0" w:space="0" w:color="auto"/>
        <w:bottom w:val="none" w:sz="0" w:space="0" w:color="auto"/>
        <w:right w:val="none" w:sz="0" w:space="0" w:color="auto"/>
      </w:divBdr>
    </w:div>
    <w:div w:id="1809323654">
      <w:bodyDiv w:val="1"/>
      <w:marLeft w:val="0"/>
      <w:marRight w:val="0"/>
      <w:marTop w:val="0"/>
      <w:marBottom w:val="0"/>
      <w:divBdr>
        <w:top w:val="none" w:sz="0" w:space="0" w:color="auto"/>
        <w:left w:val="none" w:sz="0" w:space="0" w:color="auto"/>
        <w:bottom w:val="none" w:sz="0" w:space="0" w:color="auto"/>
        <w:right w:val="none" w:sz="0" w:space="0" w:color="auto"/>
      </w:divBdr>
    </w:div>
    <w:div w:id="1815021818">
      <w:bodyDiv w:val="1"/>
      <w:marLeft w:val="0"/>
      <w:marRight w:val="0"/>
      <w:marTop w:val="0"/>
      <w:marBottom w:val="0"/>
      <w:divBdr>
        <w:top w:val="none" w:sz="0" w:space="0" w:color="auto"/>
        <w:left w:val="none" w:sz="0" w:space="0" w:color="auto"/>
        <w:bottom w:val="none" w:sz="0" w:space="0" w:color="auto"/>
        <w:right w:val="none" w:sz="0" w:space="0" w:color="auto"/>
      </w:divBdr>
    </w:div>
    <w:div w:id="1858033237">
      <w:bodyDiv w:val="1"/>
      <w:marLeft w:val="0"/>
      <w:marRight w:val="0"/>
      <w:marTop w:val="0"/>
      <w:marBottom w:val="0"/>
      <w:divBdr>
        <w:top w:val="none" w:sz="0" w:space="0" w:color="auto"/>
        <w:left w:val="none" w:sz="0" w:space="0" w:color="auto"/>
        <w:bottom w:val="none" w:sz="0" w:space="0" w:color="auto"/>
        <w:right w:val="none" w:sz="0" w:space="0" w:color="auto"/>
      </w:divBdr>
    </w:div>
    <w:div w:id="1911694076">
      <w:bodyDiv w:val="1"/>
      <w:marLeft w:val="0"/>
      <w:marRight w:val="0"/>
      <w:marTop w:val="0"/>
      <w:marBottom w:val="0"/>
      <w:divBdr>
        <w:top w:val="none" w:sz="0" w:space="0" w:color="auto"/>
        <w:left w:val="none" w:sz="0" w:space="0" w:color="auto"/>
        <w:bottom w:val="none" w:sz="0" w:space="0" w:color="auto"/>
        <w:right w:val="none" w:sz="0" w:space="0" w:color="auto"/>
      </w:divBdr>
    </w:div>
    <w:div w:id="1942253986">
      <w:bodyDiv w:val="1"/>
      <w:marLeft w:val="0"/>
      <w:marRight w:val="0"/>
      <w:marTop w:val="0"/>
      <w:marBottom w:val="0"/>
      <w:divBdr>
        <w:top w:val="none" w:sz="0" w:space="0" w:color="auto"/>
        <w:left w:val="none" w:sz="0" w:space="0" w:color="auto"/>
        <w:bottom w:val="none" w:sz="0" w:space="0" w:color="auto"/>
        <w:right w:val="none" w:sz="0" w:space="0" w:color="auto"/>
      </w:divBdr>
      <w:divsChild>
        <w:div w:id="416245355">
          <w:marLeft w:val="0"/>
          <w:marRight w:val="0"/>
          <w:marTop w:val="180"/>
          <w:marBottom w:val="0"/>
          <w:divBdr>
            <w:top w:val="none" w:sz="0" w:space="0" w:color="auto"/>
            <w:left w:val="none" w:sz="0" w:space="0" w:color="auto"/>
            <w:bottom w:val="none" w:sz="0" w:space="0" w:color="auto"/>
            <w:right w:val="none" w:sz="0" w:space="0" w:color="auto"/>
          </w:divBdr>
          <w:divsChild>
            <w:div w:id="1815830789">
              <w:marLeft w:val="0"/>
              <w:marRight w:val="0"/>
              <w:marTop w:val="0"/>
              <w:marBottom w:val="0"/>
              <w:divBdr>
                <w:top w:val="none" w:sz="0" w:space="0" w:color="auto"/>
                <w:left w:val="none" w:sz="0" w:space="0" w:color="auto"/>
                <w:bottom w:val="none" w:sz="0" w:space="0" w:color="auto"/>
                <w:right w:val="none" w:sz="0" w:space="0" w:color="auto"/>
              </w:divBdr>
              <w:divsChild>
                <w:div w:id="908266449">
                  <w:marLeft w:val="0"/>
                  <w:marRight w:val="0"/>
                  <w:marTop w:val="0"/>
                  <w:marBottom w:val="0"/>
                  <w:divBdr>
                    <w:top w:val="none" w:sz="0" w:space="0" w:color="auto"/>
                    <w:left w:val="none" w:sz="0" w:space="0" w:color="auto"/>
                    <w:bottom w:val="none" w:sz="0" w:space="0" w:color="auto"/>
                    <w:right w:val="none" w:sz="0" w:space="0" w:color="auto"/>
                  </w:divBdr>
                  <w:divsChild>
                    <w:div w:id="799374993">
                      <w:marLeft w:val="0"/>
                      <w:marRight w:val="0"/>
                      <w:marTop w:val="0"/>
                      <w:marBottom w:val="0"/>
                      <w:divBdr>
                        <w:top w:val="single" w:sz="6" w:space="9" w:color="D0D0D0"/>
                        <w:left w:val="single" w:sz="6" w:space="9" w:color="D0D0D0"/>
                        <w:bottom w:val="single" w:sz="6" w:space="9" w:color="D0D0D0"/>
                        <w:right w:val="single" w:sz="6" w:space="9" w:color="D0D0D0"/>
                      </w:divBdr>
                    </w:div>
                  </w:divsChild>
                </w:div>
              </w:divsChild>
            </w:div>
          </w:divsChild>
        </w:div>
        <w:div w:id="394012374">
          <w:marLeft w:val="-225"/>
          <w:marRight w:val="-225"/>
          <w:marTop w:val="150"/>
          <w:marBottom w:val="0"/>
          <w:divBdr>
            <w:top w:val="none" w:sz="0" w:space="0" w:color="auto"/>
            <w:left w:val="none" w:sz="0" w:space="0" w:color="auto"/>
            <w:bottom w:val="none" w:sz="0" w:space="0" w:color="auto"/>
            <w:right w:val="none" w:sz="0" w:space="0" w:color="auto"/>
          </w:divBdr>
          <w:divsChild>
            <w:div w:id="1680808725">
              <w:marLeft w:val="240"/>
              <w:marRight w:val="240"/>
              <w:marTop w:val="240"/>
              <w:marBottom w:val="240"/>
              <w:divBdr>
                <w:top w:val="none" w:sz="0" w:space="0" w:color="auto"/>
                <w:left w:val="none" w:sz="0" w:space="0" w:color="auto"/>
                <w:bottom w:val="none" w:sz="0" w:space="0" w:color="auto"/>
                <w:right w:val="none" w:sz="0" w:space="0" w:color="auto"/>
              </w:divBdr>
              <w:divsChild>
                <w:div w:id="1166088880">
                  <w:marLeft w:val="0"/>
                  <w:marRight w:val="0"/>
                  <w:marTop w:val="0"/>
                  <w:marBottom w:val="0"/>
                  <w:divBdr>
                    <w:top w:val="none" w:sz="0" w:space="0" w:color="auto"/>
                    <w:left w:val="none" w:sz="0" w:space="0" w:color="auto"/>
                    <w:bottom w:val="none" w:sz="0" w:space="0" w:color="auto"/>
                    <w:right w:val="none" w:sz="0" w:space="0" w:color="auto"/>
                  </w:divBdr>
                </w:div>
                <w:div w:id="1370767040">
                  <w:marLeft w:val="0"/>
                  <w:marRight w:val="0"/>
                  <w:marTop w:val="0"/>
                  <w:marBottom w:val="0"/>
                  <w:divBdr>
                    <w:top w:val="none" w:sz="0" w:space="0" w:color="auto"/>
                    <w:left w:val="none" w:sz="0" w:space="0" w:color="auto"/>
                    <w:bottom w:val="none" w:sz="0" w:space="0" w:color="auto"/>
                    <w:right w:val="none" w:sz="0" w:space="0" w:color="auto"/>
                  </w:divBdr>
                </w:div>
              </w:divsChild>
            </w:div>
            <w:div w:id="195809554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doi.org/10.5742/MEWFM.2021.94057" TargetMode="External"/><Relationship Id="rId26" Type="http://schemas.openxmlformats.org/officeDocument/2006/relationships/hyperlink" Target="https://doi.org/10.1111/odi.70090" TargetMode="External"/><Relationship Id="rId39" Type="http://schemas.openxmlformats.org/officeDocument/2006/relationships/hyperlink" Target="https://doi.org/10.2147/IDR.S482829" TargetMode="External"/><Relationship Id="rId21" Type="http://schemas.openxmlformats.org/officeDocument/2006/relationships/hyperlink" Target="https://doi.org/10.1016/B978-0-08-102723-3.00231-6" TargetMode="External"/><Relationship Id="rId34" Type="http://schemas.openxmlformats.org/officeDocument/2006/relationships/hyperlink" Target="https://doi.org/10.1016/j.burns.2017.01.032" TargetMode="External"/><Relationship Id="rId42"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jbt.org/IJBT_Vol8No6_2018_PDF/IJBT-8-6-149.pdf" TargetMode="External"/><Relationship Id="rId20" Type="http://schemas.openxmlformats.org/officeDocument/2006/relationships/hyperlink" Target="https://doi.org/10.1001/jamainternmed.2017.0895" TargetMode="External"/><Relationship Id="rId29" Type="http://schemas.openxmlformats.org/officeDocument/2006/relationships/hyperlink" Target="https://doi.org/10.1007/s10735-025-10394-7" TargetMode="External"/><Relationship Id="rId41" Type="http://schemas.openxmlformats.org/officeDocument/2006/relationships/hyperlink" Target="https://doi.org/10.1128/JVI.01000-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3390/ebj5030028" TargetMode="External"/><Relationship Id="rId32" Type="http://schemas.openxmlformats.org/officeDocument/2006/relationships/hyperlink" Target="https://doi.org/10.1378/chest.106.1_supplement.15s" TargetMode="External"/><Relationship Id="rId37" Type="http://schemas.openxmlformats.org/officeDocument/2006/relationships/hyperlink" Target="https://doi.org/10.1111/j.1469-0691.2009.02704.x" TargetMode="External"/><Relationship Id="rId40" Type="http://schemas.openxmlformats.org/officeDocument/2006/relationships/hyperlink" Target="https://doi.org/10.5772/intechopen.71330" TargetMode="External"/><Relationship Id="rId5" Type="http://schemas.openxmlformats.org/officeDocument/2006/relationships/footnotes" Target="footnotes.xml"/><Relationship Id="rId15" Type="http://schemas.openxmlformats.org/officeDocument/2006/relationships/hyperlink" Target="https://doi.org/10.1097/BCR.0b013e318217f6de" TargetMode="External"/><Relationship Id="rId23" Type="http://schemas.openxmlformats.org/officeDocument/2006/relationships/hyperlink" Target="https://doi.org/10.1186/s13054-019-2701-5" TargetMode="External"/><Relationship Id="rId28" Type="http://schemas.openxmlformats.org/officeDocument/2006/relationships/hyperlink" Target="https://doi.org/10.4266/acc.2023.01571" TargetMode="External"/><Relationship Id="rId36" Type="http://schemas.openxmlformats.org/officeDocument/2006/relationships/hyperlink" Target="https://doi.org/10.1001/jamainternmed.2019.6423" TargetMode="External"/><Relationship Id="rId10" Type="http://schemas.openxmlformats.org/officeDocument/2006/relationships/footer" Target="footer2.xml"/><Relationship Id="rId19" Type="http://schemas.openxmlformats.org/officeDocument/2006/relationships/hyperlink" Target="https://doi.org/10.1001/jamainternmed.2019.5713" TargetMode="External"/><Relationship Id="rId31" Type="http://schemas.openxmlformats.org/officeDocument/2006/relationships/hyperlink" Target="https://doi.org/10.1371/journal.pone.005134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89/sur.2020.130" TargetMode="External"/><Relationship Id="rId22" Type="http://schemas.openxmlformats.org/officeDocument/2006/relationships/hyperlink" Target="https://doi.org/10.1177/13596535211072673" TargetMode="External"/><Relationship Id="rId27" Type="http://schemas.openxmlformats.org/officeDocument/2006/relationships/hyperlink" Target="https://doi.org/10.3390/v17050600" TargetMode="External"/><Relationship Id="rId30" Type="http://schemas.openxmlformats.org/officeDocument/2006/relationships/hyperlink" Target="https://doi.org/10.3166/rea-2019-0110" TargetMode="External"/><Relationship Id="rId35" Type="http://schemas.openxmlformats.org/officeDocument/2006/relationships/hyperlink" Target="https://doi.org/10.1055/s-0045-1809394" TargetMode="External"/><Relationship Id="rId4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oi.org/10.1097/01.bcr.0000176889.39355.41" TargetMode="External"/><Relationship Id="rId25" Type="http://schemas.openxmlformats.org/officeDocument/2006/relationships/hyperlink" Target="https://doi.org/10.1111/odi.14635" TargetMode="External"/><Relationship Id="rId33" Type="http://schemas.openxmlformats.org/officeDocument/2006/relationships/hyperlink" Target="https://doi.org/10.52768/2833-2725/1124" TargetMode="External"/><Relationship Id="rId38" Type="http://schemas.openxmlformats.org/officeDocument/2006/relationships/hyperlink" Target="https://doi.org/10.1097/BCR.0b013e3182685b59"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5239</Words>
  <Characters>29863</Characters>
  <Application>Microsoft Office Word</Application>
  <DocSecurity>0</DocSecurity>
  <Lines>248</Lines>
  <Paragraphs>70</Paragraphs>
  <ScaleCrop>false</ScaleCrop>
  <Company/>
  <LinksUpToDate>false</LinksUpToDate>
  <CharactersWithSpaces>35032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cp:keywords/>
  <dc:description/>
  <cp:lastModifiedBy>SDI 1186</cp:lastModifiedBy>
  <cp:revision>6</cp:revision>
  <dcterms:created xsi:type="dcterms:W3CDTF">2025-12-16T14:58:00Z</dcterms:created>
  <dcterms:modified xsi:type="dcterms:W3CDTF">2025-12-17T07:06:00Z</dcterms:modified>
</cp:coreProperties>
</file>