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F420" w14:textId="77777777" w:rsidR="00C64159" w:rsidRPr="00465A60" w:rsidRDefault="00C64159" w:rsidP="00C64159">
      <w:pPr>
        <w:spacing w:line="360" w:lineRule="auto"/>
        <w:jc w:val="center"/>
        <w:rPr>
          <w:rFonts w:ascii="Times New Roman" w:hAnsi="Times New Roman" w:cs="Times New Roman"/>
          <w:sz w:val="28"/>
          <w:szCs w:val="28"/>
          <w:lang w:val="en-US"/>
        </w:rPr>
      </w:pPr>
      <w:r w:rsidRPr="00465A60">
        <w:rPr>
          <w:rFonts w:ascii="Times New Roman" w:hAnsi="Times New Roman" w:cs="Times New Roman"/>
          <w:i/>
          <w:iCs/>
          <w:sz w:val="28"/>
          <w:szCs w:val="28"/>
          <w:lang w:val="en-US"/>
        </w:rPr>
        <w:t>Staphylococcus aureus</w:t>
      </w:r>
      <w:r w:rsidRPr="00465A60">
        <w:rPr>
          <w:rFonts w:ascii="Times New Roman" w:hAnsi="Times New Roman" w:cs="Times New Roman"/>
          <w:sz w:val="28"/>
          <w:szCs w:val="28"/>
          <w:lang w:val="en-US"/>
        </w:rPr>
        <w:t xml:space="preserve"> bacteremia: descriptive study at Bogodogo University Hospital Center</w:t>
      </w:r>
    </w:p>
    <w:p w14:paraId="457EE14B" w14:textId="77777777" w:rsidR="00C64159" w:rsidRPr="00465A60" w:rsidRDefault="00C64159" w:rsidP="00C61E31">
      <w:pPr>
        <w:spacing w:line="360" w:lineRule="auto"/>
        <w:jc w:val="both"/>
        <w:rPr>
          <w:rFonts w:ascii="Times New Roman" w:hAnsi="Times New Roman" w:cs="Times New Roman"/>
          <w:b/>
          <w:bCs/>
          <w:sz w:val="28"/>
          <w:szCs w:val="28"/>
          <w:lang w:val="en-US"/>
        </w:rPr>
      </w:pPr>
    </w:p>
    <w:p w14:paraId="7560B3F7"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Abstract:</w:t>
      </w:r>
    </w:p>
    <w:p w14:paraId="19E509D9"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Introduction:</w:t>
      </w:r>
    </w:p>
    <w:p w14:paraId="474606E5" w14:textId="77777777" w:rsidR="00A12A13" w:rsidRPr="00A12A13" w:rsidRDefault="00A12A13" w:rsidP="00A12A13">
      <w:pPr>
        <w:spacing w:line="360" w:lineRule="auto"/>
        <w:jc w:val="both"/>
        <w:rPr>
          <w:rFonts w:ascii="Times New Roman" w:hAnsi="Times New Roman" w:cs="Times New Roman"/>
          <w:sz w:val="28"/>
          <w:szCs w:val="28"/>
          <w:lang w:val="en-US"/>
        </w:rPr>
      </w:pPr>
      <w:r w:rsidRPr="00A12A13">
        <w:rPr>
          <w:rFonts w:ascii="Times New Roman" w:hAnsi="Times New Roman" w:cs="Times New Roman"/>
          <w:sz w:val="28"/>
          <w:szCs w:val="28"/>
          <w:lang w:val="en-US"/>
        </w:rPr>
        <w:t>Staphylococcus aureus bacteremia is a serious infection, often associated with severe complications. The objective of this study is to determine the resistance profile of S. aureus strains responsible for bacteremia at the Bogodogo University Hospital Center (Burkina Faso).</w:t>
      </w:r>
    </w:p>
    <w:p w14:paraId="5814E5EB" w14:textId="7CA318A9" w:rsidR="00C64159" w:rsidRPr="00465A60" w:rsidRDefault="00C64159" w:rsidP="004135CD">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Methodology:</w:t>
      </w:r>
    </w:p>
    <w:p w14:paraId="213A5134" w14:textId="77777777" w:rsidR="0060477A" w:rsidRDefault="0060477A" w:rsidP="00C64159">
      <w:pPr>
        <w:spacing w:line="360" w:lineRule="auto"/>
        <w:jc w:val="both"/>
        <w:rPr>
          <w:rFonts w:ascii="Times New Roman" w:hAnsi="Times New Roman" w:cs="Times New Roman"/>
          <w:sz w:val="28"/>
          <w:szCs w:val="28"/>
          <w:lang w:val="en-US"/>
        </w:rPr>
      </w:pPr>
      <w:r w:rsidRPr="0060477A">
        <w:rPr>
          <w:rFonts w:ascii="Times New Roman" w:hAnsi="Times New Roman" w:cs="Times New Roman"/>
          <w:sz w:val="28"/>
          <w:szCs w:val="28"/>
          <w:lang w:val="en-US"/>
        </w:rPr>
        <w:t>A prospective descriptive study was conducted from January to December 2024 at the bacteriology-virology laboratory of the University Hospital Center. Blood cultures positive for S. aureus were identified using phenotypic methods (morphology, catalase, coagulase, API Staph® gallery). Antibiotic sensitivity was assessed by agar diffusion according to the recommendations of the Antibiogram Committee of the French Society of Microbiology (2024).</w:t>
      </w:r>
    </w:p>
    <w:p w14:paraId="0DEEC147" w14:textId="0DE83B5F"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Results:</w:t>
      </w:r>
    </w:p>
    <w:p w14:paraId="5A32ADDB" w14:textId="77777777" w:rsidR="0060477A"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 xml:space="preserve">Of 258 positive blood culture isolates, S. aureus accounted for 38 cases (14.7%). The mean age of patients was 42 ± 24 years, with a predominance of females (61%). The infectious diseases department was the most affected (39.5%). Thirty-one strains (81.5%) were penicillinase-producing. The rate of resistance to cefoxitin was 63.1%. Five isolates (13.1%) </w:t>
      </w:r>
      <w:r w:rsidR="0060477A" w:rsidRPr="0060477A">
        <w:rPr>
          <w:rFonts w:ascii="Times New Roman" w:hAnsi="Times New Roman" w:cs="Times New Roman"/>
          <w:sz w:val="28"/>
          <w:szCs w:val="28"/>
          <w:lang w:val="en-US"/>
        </w:rPr>
        <w:t xml:space="preserve">expressed a Macrolide Lincosamide Streptogramin B phenotype. Four strains (10.5%) exhibited a Kanamycin Tobramycin phenotype and three (7.9%) exhibited a Kanamycin Tobramycin Gentamicin phenotype. </w:t>
      </w:r>
    </w:p>
    <w:p w14:paraId="50369EE2" w14:textId="03B1E1DE"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Conclusion:</w:t>
      </w:r>
    </w:p>
    <w:p w14:paraId="5A7A1134"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lastRenderedPageBreak/>
        <w:t>This study reveals a high prevalence of MRSA and a worrying level of multidrug resistance among S. aureus isolates at Bogodogo University Hospital. These results highlight the need to strengthen preventive measures, continuously monitor bacterial resistance, and rationally adapt treatment strategies.</w:t>
      </w:r>
    </w:p>
    <w:p w14:paraId="17F2CE36"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Keywords: Staphylococcus aureus, bacteremia, MRSA, resistance, antibiotics, Burkina Faso.</w:t>
      </w:r>
    </w:p>
    <w:p w14:paraId="4A6F7C52"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Introduction:</w:t>
      </w:r>
    </w:p>
    <w:p w14:paraId="58DECFDC" w14:textId="77777777"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Staphylococcus aureus bacteremia is a serious condition, often associated with formidable complications such as septic shock, infectious endocarditis, osteomyelitis, and soft tissue infections. It is the second most frequently isolated infectious agent in blood cultures in hospitals after Escherichia coli [1].</w:t>
      </w:r>
    </w:p>
    <w:p w14:paraId="76D91504" w14:textId="77777777"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Staphylococcus aureus bacteremia is a major public health problem worldwide due to its frequency, high morbidity, and significant mortality. Invasive S. aureus infection is one of the leading causes of death related to bacteremia, with an estimated annual mortality rate of several hundred thousand cases worldwide [2].</w:t>
      </w:r>
    </w:p>
    <w:p w14:paraId="01084274" w14:textId="77777777"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In addition, Staphylococcus aureus bacteremia can lead to serious complications, requiring rigorous management, including systematic investigation of the source of infection, adjustment of antibiotic therapy, and control of the source of infection [3].</w:t>
      </w:r>
    </w:p>
    <w:p w14:paraId="34EA0354" w14:textId="77777777"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The virulence of S. aureus is based on several mechanisms: toxin production, biofilm formation, modulation of host immunity, and a remarkable ability to acquire antibiotic resistance. These characteristics make S. aureus infections particularly dangerous, especially in hospitalized patients, immunocompromised patients, or patients with medical devices[4].</w:t>
      </w:r>
    </w:p>
    <w:p w14:paraId="40B92CFB" w14:textId="77777777"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Despite data from high-income countries, resource-limited countries, particularly in sub-Saharan Africa, remain largely underrepresented in the literature. A recent meta-analysis has shown that hospital mortality from Staphylococcus aureus </w:t>
      </w:r>
      <w:r w:rsidRPr="00465A60">
        <w:rPr>
          <w:rFonts w:ascii="Times New Roman" w:hAnsi="Times New Roman" w:cs="Times New Roman"/>
          <w:sz w:val="28"/>
          <w:szCs w:val="28"/>
        </w:rPr>
        <w:lastRenderedPageBreak/>
        <w:t>bacteremia in low- and middle-income countries is generally higher than in high-income countries[5].</w:t>
      </w:r>
    </w:p>
    <w:p w14:paraId="1AFF71C0" w14:textId="77777777"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In industrialized countries, the incidence of S. aureus bacteremia is often reported to be between 10 and 30 cases per 100,000 person-years[3].</w:t>
      </w:r>
    </w:p>
    <w:p w14:paraId="54BBA10D" w14:textId="5F0106E4"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A European multicenter study reported that in hospitals (HA BSI, hospital-associated bloodstream infections), approximately 18% of nosocomial BSIs were due to S. </w:t>
      </w:r>
      <w:r w:rsidR="00A12A13" w:rsidRPr="00465A60">
        <w:rPr>
          <w:rFonts w:ascii="Times New Roman" w:hAnsi="Times New Roman" w:cs="Times New Roman"/>
          <w:sz w:val="28"/>
          <w:szCs w:val="28"/>
        </w:rPr>
        <w:t>aureus [</w:t>
      </w:r>
      <w:r w:rsidRPr="00465A60">
        <w:rPr>
          <w:rFonts w:ascii="Times New Roman" w:hAnsi="Times New Roman" w:cs="Times New Roman"/>
          <w:sz w:val="28"/>
          <w:szCs w:val="28"/>
        </w:rPr>
        <w:t xml:space="preserve">6]. </w:t>
      </w:r>
    </w:p>
    <w:p w14:paraId="3D1E4272" w14:textId="11F0CEA4"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In a recent study conducted in Ethiopia (2022) on 1,200 patients suspected of having bacteremia, the overall rate of positive blood cultures was 35.3%, and among the isolates, the proportion of S. aureus BSI was 26.2% (111/424). In the same study, the proportion of methicillin-resistant </w:t>
      </w:r>
      <w:r w:rsidRPr="0060477A">
        <w:rPr>
          <w:rFonts w:ascii="Times New Roman" w:hAnsi="Times New Roman" w:cs="Times New Roman"/>
          <w:i/>
          <w:iCs/>
          <w:sz w:val="28"/>
          <w:szCs w:val="28"/>
        </w:rPr>
        <w:t>Staphylococcus aureus</w:t>
      </w:r>
      <w:r w:rsidRPr="00465A60">
        <w:rPr>
          <w:rFonts w:ascii="Times New Roman" w:hAnsi="Times New Roman" w:cs="Times New Roman"/>
          <w:sz w:val="28"/>
          <w:szCs w:val="28"/>
        </w:rPr>
        <w:t xml:space="preserve"> strains among these BSIs was 68.5%[7].</w:t>
      </w:r>
    </w:p>
    <w:p w14:paraId="06C68F69" w14:textId="5549F961"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Furthermore, in the national context, recent data show that methicillin resistance among S. aureus strains circulating in Burkina Faso, including Ouagadougou, is significant[8]. This local reality suggests that Staphylococcus aureus bacteremia could be a significant cause of morbidity and mortality, but there is a lack of recent descriptive data specific to hospitals in the country, particularly university hospitals.</w:t>
      </w:r>
    </w:p>
    <w:p w14:paraId="0A78634C" w14:textId="1ADDCA67"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Thus, the objective of this descriptive study is to determine the epidemiology (prevalence, demographic, clinical, and microbiological characteristics), antibiotic resistance, and short-term outcome of S. aureus bacteremia episodes at the Bogodogo University Hospital </w:t>
      </w:r>
      <w:r w:rsidR="00BD1C1D" w:rsidRPr="00465A60">
        <w:rPr>
          <w:rFonts w:ascii="Times New Roman" w:hAnsi="Times New Roman" w:cs="Times New Roman"/>
          <w:sz w:val="28"/>
          <w:szCs w:val="28"/>
        </w:rPr>
        <w:t>Center Bogodogo</w:t>
      </w:r>
      <w:r w:rsidRPr="00465A60">
        <w:rPr>
          <w:rFonts w:ascii="Times New Roman" w:hAnsi="Times New Roman" w:cs="Times New Roman"/>
          <w:sz w:val="28"/>
          <w:szCs w:val="28"/>
        </w:rPr>
        <w:t>. By documenting these aspects, this work aims to fill a local knowledge gap, contribute to a better assessment of the burden of S. aureus bacteremia in Burkina Faso, and provide useful data to improve the management, surveillance, and prevention of S. aureus bacteremia in this context.</w:t>
      </w:r>
    </w:p>
    <w:p w14:paraId="47861E45" w14:textId="77777777" w:rsidR="00325197" w:rsidRPr="00465A60" w:rsidRDefault="00325197" w:rsidP="00325197">
      <w:pPr>
        <w:spacing w:line="360" w:lineRule="auto"/>
        <w:jc w:val="both"/>
        <w:rPr>
          <w:rFonts w:ascii="Times New Roman" w:hAnsi="Times New Roman" w:cs="Times New Roman"/>
          <w:sz w:val="28"/>
          <w:szCs w:val="28"/>
        </w:rPr>
      </w:pPr>
    </w:p>
    <w:p w14:paraId="26A5D9AC" w14:textId="77777777" w:rsidR="00325197" w:rsidRPr="00465A60" w:rsidRDefault="00325197" w:rsidP="00325197">
      <w:pPr>
        <w:spacing w:line="360" w:lineRule="auto"/>
        <w:jc w:val="both"/>
        <w:rPr>
          <w:rFonts w:ascii="Times New Roman" w:hAnsi="Times New Roman" w:cs="Times New Roman"/>
          <w:sz w:val="28"/>
          <w:szCs w:val="28"/>
        </w:rPr>
      </w:pPr>
    </w:p>
    <w:p w14:paraId="4CE7D745" w14:textId="77777777" w:rsidR="00325197" w:rsidRPr="00465A60" w:rsidRDefault="00325197" w:rsidP="00325197">
      <w:pPr>
        <w:spacing w:line="360" w:lineRule="auto"/>
        <w:jc w:val="both"/>
        <w:rPr>
          <w:rFonts w:ascii="Times New Roman" w:hAnsi="Times New Roman" w:cs="Times New Roman"/>
          <w:sz w:val="28"/>
          <w:szCs w:val="28"/>
        </w:rPr>
      </w:pPr>
    </w:p>
    <w:p w14:paraId="436E9643" w14:textId="77777777" w:rsidR="00325197" w:rsidRPr="00465A60" w:rsidRDefault="00325197" w:rsidP="00325197">
      <w:pPr>
        <w:spacing w:line="360" w:lineRule="auto"/>
        <w:jc w:val="both"/>
        <w:rPr>
          <w:rFonts w:ascii="Times New Roman" w:hAnsi="Times New Roman" w:cs="Times New Roman"/>
          <w:sz w:val="28"/>
          <w:szCs w:val="28"/>
        </w:rPr>
      </w:pPr>
    </w:p>
    <w:p w14:paraId="108E8749" w14:textId="77777777" w:rsidR="00325197" w:rsidRPr="00465A60" w:rsidRDefault="00325197" w:rsidP="00325197">
      <w:pPr>
        <w:spacing w:line="360" w:lineRule="auto"/>
        <w:jc w:val="both"/>
        <w:rPr>
          <w:rFonts w:ascii="Times New Roman" w:hAnsi="Times New Roman" w:cs="Times New Roman"/>
          <w:sz w:val="28"/>
          <w:szCs w:val="28"/>
        </w:rPr>
      </w:pPr>
    </w:p>
    <w:p w14:paraId="2A06744A"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Methodology:</w:t>
      </w:r>
    </w:p>
    <w:p w14:paraId="54A802E3" w14:textId="1184B845" w:rsidR="00C64159" w:rsidRPr="00465A60" w:rsidRDefault="00C64159" w:rsidP="00FB68C4">
      <w:pPr>
        <w:pStyle w:val="Paragraphedeliste"/>
        <w:numPr>
          <w:ilvl w:val="0"/>
          <w:numId w:val="9"/>
        </w:num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Type and period of the study</w:t>
      </w:r>
    </w:p>
    <w:p w14:paraId="4C83ADA8"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This was a prospective descriptive study conducted at the Bacteriology-Virology Laboratory of the Bogodogo University Hospital. The study period ran from January 1 to December 31, 2024.</w:t>
      </w:r>
    </w:p>
    <w:p w14:paraId="72A9F526" w14:textId="4E77B3A4" w:rsidR="00C64159" w:rsidRPr="00465A60" w:rsidRDefault="00C64159" w:rsidP="00FB68C4">
      <w:pPr>
        <w:pStyle w:val="Paragraphedeliste"/>
        <w:numPr>
          <w:ilvl w:val="0"/>
          <w:numId w:val="9"/>
        </w:num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Study population</w:t>
      </w:r>
    </w:p>
    <w:p w14:paraId="7D2E9AF4" w14:textId="16B1129E"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 xml:space="preserve">The source population consisted of all patients hospitalized or followed up at the Bogodogo University Hospital who had a blood sample taken for blood culture during the study period. All patients at the </w:t>
      </w:r>
      <w:r w:rsidR="0060477A" w:rsidRPr="00465A60">
        <w:rPr>
          <w:rFonts w:ascii="Times New Roman" w:hAnsi="Times New Roman" w:cs="Times New Roman"/>
          <w:sz w:val="28"/>
          <w:szCs w:val="28"/>
          <w:lang w:val="en-US"/>
        </w:rPr>
        <w:t xml:space="preserve">Bogodogo University Hospital </w:t>
      </w:r>
      <w:r w:rsidRPr="00465A60">
        <w:rPr>
          <w:rFonts w:ascii="Times New Roman" w:hAnsi="Times New Roman" w:cs="Times New Roman"/>
          <w:sz w:val="28"/>
          <w:szCs w:val="28"/>
          <w:lang w:val="en-US"/>
        </w:rPr>
        <w:t xml:space="preserve">with S. aureus bacteremia were our target population. </w:t>
      </w:r>
    </w:p>
    <w:p w14:paraId="7FFB6F0F" w14:textId="1F6772E7" w:rsidR="00C64159" w:rsidRPr="00465A60" w:rsidRDefault="00C64159" w:rsidP="00FB68C4">
      <w:pPr>
        <w:pStyle w:val="Paragraphedeliste"/>
        <w:numPr>
          <w:ilvl w:val="0"/>
          <w:numId w:val="9"/>
        </w:num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Sampling and inclusion criteria</w:t>
      </w:r>
    </w:p>
    <w:p w14:paraId="6BE08C5B"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Exhaustive sampling was carried out. All cases of blood cultures positive for Staphylococcus aureus during the study period were included in the analysis. Only samples sent to and processed by the Bacteriology-Virology laboratory were considered.</w:t>
      </w:r>
    </w:p>
    <w:p w14:paraId="20756D48"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All patients, of any age and gender, whose blood cultures tested positive for Staphylococcus aureus between January 1 and December 31, 2024, were included.</w:t>
      </w:r>
    </w:p>
    <w:p w14:paraId="53EE1E20" w14:textId="44A25646" w:rsidR="00C64159" w:rsidRPr="00465A60" w:rsidRDefault="00C64159" w:rsidP="00FB68C4">
      <w:pPr>
        <w:pStyle w:val="Paragraphedeliste"/>
        <w:numPr>
          <w:ilvl w:val="0"/>
          <w:numId w:val="9"/>
        </w:num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Sample and data collection</w:t>
      </w:r>
    </w:p>
    <w:p w14:paraId="71068997" w14:textId="77777777" w:rsidR="00C64159" w:rsidRPr="00465A60" w:rsidRDefault="00C64159" w:rsidP="00C641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 xml:space="preserve">Blood samples were taken at the patient's bedside by nursing staff and accompanied by a sample collection form containing sociodemographic data, </w:t>
      </w:r>
      <w:r w:rsidRPr="00465A60">
        <w:rPr>
          <w:rFonts w:ascii="Times New Roman" w:hAnsi="Times New Roman" w:cs="Times New Roman"/>
          <w:sz w:val="28"/>
          <w:szCs w:val="28"/>
          <w:lang w:val="en-US"/>
        </w:rPr>
        <w:lastRenderedPageBreak/>
        <w:t>reasons for prescription, and current treatments. Sterile blood culture bottles were made available to clinical departments.</w:t>
      </w:r>
    </w:p>
    <w:p w14:paraId="4288BD7E" w14:textId="77777777"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The bottles were incubated in a BACTEC™ FX40 automated system (BD Diagnostics) for automated detection of bacterial growth. In the event of a positive signal, a direct examination of the fresh sample was performed, followed by Gram staining. Colonies were then isolated by inoculation onto appropriate culture media (blood agar, chocolate agar, mannitol-salt agar).</w:t>
      </w:r>
    </w:p>
    <w:p w14:paraId="12DA7434" w14:textId="720F9611"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The identification of S. aureus was based on morphological examination of the colonies, standard biochemical tests (catalase, coagulase), and the possible use of an API Staph® panel. Antibiotic sensitivity was determined using the Müller-Hinton agar diffusion method, with inhibition diameters read according to the recommendations of the Antibiogram Committee of the French Society of Microbiology 2024.</w:t>
      </w:r>
    </w:p>
    <w:p w14:paraId="61A8A8CF" w14:textId="77777777"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Variables studied</w:t>
      </w:r>
    </w:p>
    <w:p w14:paraId="1E60F6B3" w14:textId="77777777"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The variables collected in this study included:</w:t>
      </w:r>
    </w:p>
    <w:p w14:paraId="08E50147" w14:textId="284F3DB9"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 xml:space="preserve">• Quantitative </w:t>
      </w:r>
      <w:r w:rsidR="00BF4B39" w:rsidRPr="00465A60">
        <w:rPr>
          <w:rFonts w:ascii="Times New Roman" w:hAnsi="Times New Roman" w:cs="Times New Roman"/>
          <w:sz w:val="28"/>
          <w:szCs w:val="28"/>
          <w:lang w:val="en-US"/>
        </w:rPr>
        <w:t>variables:</w:t>
      </w:r>
      <w:r w:rsidRPr="00465A60">
        <w:rPr>
          <w:rFonts w:ascii="Times New Roman" w:hAnsi="Times New Roman" w:cs="Times New Roman"/>
          <w:sz w:val="28"/>
          <w:szCs w:val="28"/>
          <w:lang w:val="en-US"/>
        </w:rPr>
        <w:t xml:space="preserve"> age;</w:t>
      </w:r>
    </w:p>
    <w:p w14:paraId="546EC8E0" w14:textId="77777777" w:rsidR="00FB68C4"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 Qualitative variables: sex, isolated germ, antibiotic sensitivity profile, identified resistance phenotypes.</w:t>
      </w:r>
    </w:p>
    <w:p w14:paraId="156BA207" w14:textId="77777777" w:rsidR="00A12A13" w:rsidRPr="00A12A13" w:rsidRDefault="00A12A13" w:rsidP="00A12A13">
      <w:pPr>
        <w:spacing w:line="360" w:lineRule="auto"/>
        <w:jc w:val="both"/>
        <w:rPr>
          <w:rFonts w:ascii="Times New Roman" w:hAnsi="Times New Roman" w:cs="Times New Roman"/>
          <w:sz w:val="28"/>
          <w:szCs w:val="28"/>
          <w:lang w:val="en-US"/>
        </w:rPr>
      </w:pPr>
      <w:r w:rsidRPr="00A12A13">
        <w:rPr>
          <w:rFonts w:ascii="Times New Roman" w:hAnsi="Times New Roman" w:cs="Times New Roman"/>
          <w:sz w:val="28"/>
          <w:szCs w:val="28"/>
          <w:lang w:val="en-US"/>
        </w:rPr>
        <w:t>Ethical considerations</w:t>
      </w:r>
    </w:p>
    <w:p w14:paraId="7EC7AFF2" w14:textId="52A3B811" w:rsidR="00A12A13" w:rsidRPr="00465A60" w:rsidRDefault="00A12A13" w:rsidP="00A12A13">
      <w:pPr>
        <w:spacing w:line="360" w:lineRule="auto"/>
        <w:jc w:val="both"/>
        <w:rPr>
          <w:rFonts w:ascii="Times New Roman" w:hAnsi="Times New Roman" w:cs="Times New Roman"/>
          <w:sz w:val="28"/>
          <w:szCs w:val="28"/>
          <w:lang w:val="en-US"/>
        </w:rPr>
      </w:pPr>
      <w:r w:rsidRPr="00A12A13">
        <w:rPr>
          <w:rFonts w:ascii="Times New Roman" w:hAnsi="Times New Roman" w:cs="Times New Roman"/>
          <w:sz w:val="28"/>
          <w:szCs w:val="28"/>
          <w:lang w:val="en-US"/>
        </w:rPr>
        <w:t xml:space="preserve">This study was approved by the National Ethics Committee for Health </w:t>
      </w:r>
      <w:r w:rsidR="0060477A" w:rsidRPr="00A12A13">
        <w:rPr>
          <w:rFonts w:ascii="Times New Roman" w:hAnsi="Times New Roman" w:cs="Times New Roman"/>
          <w:sz w:val="28"/>
          <w:szCs w:val="28"/>
          <w:lang w:val="en-US"/>
        </w:rPr>
        <w:t>Research</w:t>
      </w:r>
      <w:r w:rsidR="0060477A">
        <w:rPr>
          <w:rFonts w:ascii="Times New Roman" w:hAnsi="Times New Roman" w:cs="Times New Roman"/>
          <w:sz w:val="28"/>
          <w:szCs w:val="28"/>
          <w:lang w:val="en-US"/>
        </w:rPr>
        <w:t>.</w:t>
      </w:r>
      <w:r w:rsidR="0060477A" w:rsidRPr="00A12A13">
        <w:rPr>
          <w:rFonts w:ascii="Times New Roman" w:hAnsi="Times New Roman" w:cs="Times New Roman"/>
          <w:sz w:val="28"/>
          <w:szCs w:val="28"/>
          <w:lang w:val="en-US"/>
        </w:rPr>
        <w:t xml:space="preserve"> It</w:t>
      </w:r>
      <w:r w:rsidRPr="00A12A13">
        <w:rPr>
          <w:rFonts w:ascii="Times New Roman" w:hAnsi="Times New Roman" w:cs="Times New Roman"/>
          <w:sz w:val="28"/>
          <w:szCs w:val="28"/>
          <w:lang w:val="en-US"/>
        </w:rPr>
        <w:t xml:space="preserve"> was also authorized by the hospital director and the head of the laboratory department.</w:t>
      </w:r>
    </w:p>
    <w:p w14:paraId="40E09B7B" w14:textId="77777777"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RESULTS</w:t>
      </w:r>
    </w:p>
    <w:p w14:paraId="55019530" w14:textId="77777777" w:rsidR="00BF4B39" w:rsidRPr="00465A60" w:rsidRDefault="00BF4B39" w:rsidP="00BF4B3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 xml:space="preserve">A total of 885 blood cultures were performed during the study period. Of these, 258 were positive, allowing microorganisms to be isolated. Staphylococcus </w:t>
      </w:r>
      <w:r w:rsidRPr="00465A60">
        <w:rPr>
          <w:rFonts w:ascii="Times New Roman" w:hAnsi="Times New Roman" w:cs="Times New Roman"/>
          <w:sz w:val="28"/>
          <w:szCs w:val="28"/>
          <w:lang w:val="en-US"/>
        </w:rPr>
        <w:lastRenderedPageBreak/>
        <w:t xml:space="preserve">aureus was identified in 38 cases, representing 14.72% of all agents isolated during episodes of bacteremia. </w:t>
      </w:r>
    </w:p>
    <w:p w14:paraId="022A7F07" w14:textId="40CEB4F9" w:rsidR="00FB68C4" w:rsidRPr="00465A60" w:rsidRDefault="00BF4B39" w:rsidP="00FB68C4">
      <w:pPr>
        <w:pStyle w:val="Paragraphedeliste"/>
        <w:numPr>
          <w:ilvl w:val="0"/>
          <w:numId w:val="9"/>
        </w:num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Patient</w:t>
      </w:r>
      <w:r w:rsidR="00FB68C4" w:rsidRPr="00465A60">
        <w:rPr>
          <w:rFonts w:ascii="Times New Roman" w:hAnsi="Times New Roman" w:cs="Times New Roman"/>
          <w:sz w:val="28"/>
          <w:szCs w:val="28"/>
          <w:lang w:val="en-US"/>
        </w:rPr>
        <w:t xml:space="preserve"> demographics:</w:t>
      </w:r>
    </w:p>
    <w:p w14:paraId="3357E51E" w14:textId="77777777"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The mean age of patients with S aureus bacteremia was 42 ± 24 years, ranging from 2 to 78 years. Females predominated, with 23 cases (61%), compared to 15 male cases (39%), giving a male-to-female ratio of 0.65 (Table I).</w:t>
      </w:r>
    </w:p>
    <w:p w14:paraId="4DFD84DE" w14:textId="15647EC7" w:rsidR="00FB68C4" w:rsidRPr="00465A60" w:rsidRDefault="00FB68C4" w:rsidP="00E32925">
      <w:pPr>
        <w:pStyle w:val="Paragraphedeliste"/>
        <w:numPr>
          <w:ilvl w:val="0"/>
          <w:numId w:val="9"/>
        </w:num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Distribution by hospital department</w:t>
      </w:r>
    </w:p>
    <w:p w14:paraId="11DF28BF" w14:textId="77777777"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The distribution of cases by hospital department showed a predominance in the infectious diseases department, with 15 patients (39.48%). The rheumatology and emergency departments ranked second with 4 cases each (10.52%). (Table II).</w:t>
      </w:r>
    </w:p>
    <w:p w14:paraId="392AD0AC" w14:textId="2DA1A757" w:rsidR="00FB68C4" w:rsidRPr="00465A60" w:rsidRDefault="00FB68C4" w:rsidP="00E32925">
      <w:pPr>
        <w:pStyle w:val="Paragraphedeliste"/>
        <w:numPr>
          <w:ilvl w:val="1"/>
          <w:numId w:val="9"/>
        </w:num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Antibiotic resistance profile</w:t>
      </w:r>
    </w:p>
    <w:p w14:paraId="6E9C8E56" w14:textId="007F3702"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 xml:space="preserve">Analysis of the resistance profile of Staphylococcus aureus strains revealed a rate of resistance to cefoxitin in 24 cases (63.1%), indicating the probable presence of methicillin-resistant S. aureus. Thirty-one strains (81.5%) were found to be resistant to penicillin G, indicating the production of penicillinases. </w:t>
      </w:r>
    </w:p>
    <w:p w14:paraId="1542BEC4" w14:textId="77777777" w:rsidR="00FB68C4" w:rsidRPr="00465A60" w:rsidRDefault="00FB68C4"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Resistance to erythromycin and gentamicin was observed in 6 cases (15.7%) and 10 cases (26.3%), respectively. Resistance to fusidic acid was detected in 5 strains (13.1%) (Table III).</w:t>
      </w:r>
    </w:p>
    <w:p w14:paraId="3C9D19E1" w14:textId="59B8805E" w:rsidR="00FB68C4" w:rsidRPr="00465A60" w:rsidRDefault="00FB68C4" w:rsidP="00E32925">
      <w:pPr>
        <w:pStyle w:val="Paragraphedeliste"/>
        <w:numPr>
          <w:ilvl w:val="1"/>
          <w:numId w:val="9"/>
        </w:num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Phenotypic resistance profile of strains</w:t>
      </w:r>
    </w:p>
    <w:p w14:paraId="1E86647C" w14:textId="77777777" w:rsidR="00BD1C1D" w:rsidRDefault="00BD1C1D" w:rsidP="00E32925">
      <w:pPr>
        <w:spacing w:line="360" w:lineRule="auto"/>
        <w:jc w:val="both"/>
        <w:rPr>
          <w:rFonts w:ascii="Times New Roman" w:hAnsi="Times New Roman" w:cs="Times New Roman"/>
          <w:sz w:val="28"/>
          <w:szCs w:val="28"/>
          <w:lang w:val="en-US"/>
        </w:rPr>
      </w:pPr>
      <w:r w:rsidRPr="00BD1C1D">
        <w:rPr>
          <w:rFonts w:ascii="Times New Roman" w:hAnsi="Times New Roman" w:cs="Times New Roman"/>
          <w:sz w:val="28"/>
          <w:szCs w:val="28"/>
          <w:lang w:val="en-US"/>
        </w:rPr>
        <w:t xml:space="preserve">Of the 38 S. aureus strains isolated, 24 (63.1%) were identified as methicillin-resistant strains. Seven strains (18.4%) produced penicillinase. Five isolates (13.1%) expressed an inducible Macrolide Lincosamide Streptogramin B phenotype, conferring cross-resistance to macrolides, lincosamides, and type B streptogramins. Four strains (10.5%) had a Kanamycin Tobramycin phenotype, characterized by joint resistance to kanamycin and tobramycin, and three strains </w:t>
      </w:r>
      <w:r w:rsidRPr="00BD1C1D">
        <w:rPr>
          <w:rFonts w:ascii="Times New Roman" w:hAnsi="Times New Roman" w:cs="Times New Roman"/>
          <w:sz w:val="28"/>
          <w:szCs w:val="28"/>
          <w:lang w:val="en-US"/>
        </w:rPr>
        <w:lastRenderedPageBreak/>
        <w:t>(7.9%) expressed a Kanamycin Tobramycin Gentamicin phenotype, combining resistance to kanamycin, tobramycin, and gentamicin (Figure 1).</w:t>
      </w:r>
    </w:p>
    <w:p w14:paraId="49789E5C" w14:textId="0ED1B7D7" w:rsidR="00E32925" w:rsidRPr="00465A60" w:rsidRDefault="00E32925" w:rsidP="00E32925">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DISCUSSION:</w:t>
      </w:r>
    </w:p>
    <w:p w14:paraId="6F6398CC" w14:textId="77777777"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In our study, 885 blood cultures were performed during the period under review, of which 258 were positive. Staphylococcus aureus was isolated in 38 cases, representing 14.7% of the agents responsible for bacteremia. This rate confirms that S. aureus remains a major pathogen in hospital bloodstream infections, consistent with the international literature.</w:t>
      </w:r>
    </w:p>
    <w:p w14:paraId="5AE9AE4A" w14:textId="43171BDB" w:rsidR="00325197" w:rsidRPr="00465A60" w:rsidRDefault="00BD1C1D" w:rsidP="00325197">
      <w:pPr>
        <w:spacing w:line="360" w:lineRule="auto"/>
        <w:jc w:val="both"/>
        <w:rPr>
          <w:rFonts w:ascii="Times New Roman" w:hAnsi="Times New Roman" w:cs="Times New Roman"/>
          <w:sz w:val="28"/>
          <w:szCs w:val="28"/>
        </w:rPr>
      </w:pPr>
      <w:r w:rsidRPr="00BD1C1D">
        <w:rPr>
          <w:rFonts w:ascii="Times New Roman" w:hAnsi="Times New Roman" w:cs="Times New Roman"/>
          <w:sz w:val="28"/>
          <w:szCs w:val="28"/>
        </w:rPr>
        <w:t>High prevalence of MRSA and multidrug resistance The fact that 24 out of 38 strains (63%) are resistant to methicillin is worrying, but unfortunately consistent with certain observations made in Africa. For example, a study conducted at the University Hospital of Bamako (Mali) reported a methicillin resistance rate of 66% among hospital-acquired S. aureus [9]</w:t>
      </w:r>
      <w:r w:rsidR="00325197" w:rsidRPr="00465A60">
        <w:rPr>
          <w:rFonts w:ascii="Times New Roman" w:hAnsi="Times New Roman" w:cs="Times New Roman"/>
          <w:sz w:val="28"/>
          <w:szCs w:val="28"/>
        </w:rPr>
        <w:t>. And a local study in Burkina Faso (LNSP national laboratory in Ouagadougou) found a rate of 32% of S. aureus resistant to methicillin [10]. This shows that your result (63%) is well above this previous finding, which could indicate either an evolution towards greater resistance or a selection bias (blood culture department, severity of cases, hospital population).</w:t>
      </w:r>
    </w:p>
    <w:p w14:paraId="573236AA" w14:textId="77777777" w:rsidR="00BD1C1D" w:rsidRPr="00BD1C1D" w:rsidRDefault="00BD1C1D" w:rsidP="00BD1C1D">
      <w:pPr>
        <w:spacing w:line="360" w:lineRule="auto"/>
        <w:jc w:val="both"/>
        <w:rPr>
          <w:rFonts w:ascii="Times New Roman" w:hAnsi="Times New Roman" w:cs="Times New Roman"/>
          <w:sz w:val="28"/>
          <w:szCs w:val="28"/>
        </w:rPr>
      </w:pPr>
      <w:r w:rsidRPr="00BD1C1D">
        <w:rPr>
          <w:rFonts w:ascii="Times New Roman" w:hAnsi="Times New Roman" w:cs="Times New Roman"/>
          <w:sz w:val="28"/>
          <w:szCs w:val="28"/>
        </w:rPr>
        <w:t>The high rate of MRSA among S. aureus bacteremias presents a high risk of morbidity/mortality, particularly if empirical antibiotic management does not take local resistance into account. This may require a review of empirical protocols in your institution (e.g., avoiding inappropriate β-lactams, favoring molecules that are active according to the antibiogram).</w:t>
      </w:r>
    </w:p>
    <w:p w14:paraId="4C0D11A8" w14:textId="15E6A222" w:rsidR="00325197" w:rsidRPr="00465A60" w:rsidRDefault="00BD1C1D" w:rsidP="00BD1C1D">
      <w:pPr>
        <w:spacing w:line="360" w:lineRule="auto"/>
        <w:jc w:val="both"/>
        <w:rPr>
          <w:rFonts w:ascii="Times New Roman" w:hAnsi="Times New Roman" w:cs="Times New Roman"/>
          <w:sz w:val="28"/>
          <w:szCs w:val="28"/>
        </w:rPr>
      </w:pPr>
      <w:r w:rsidRPr="00BD1C1D">
        <w:rPr>
          <w:rFonts w:ascii="Times New Roman" w:hAnsi="Times New Roman" w:cs="Times New Roman"/>
          <w:sz w:val="28"/>
          <w:szCs w:val="28"/>
        </w:rPr>
        <w:t xml:space="preserve">The high proportion of penicillin G resistance (31/38, 81.5%) is consistent with what is known about S. aureus, as penicillinase production remains very common[11]. </w:t>
      </w:r>
      <w:r w:rsidR="00325197" w:rsidRPr="00465A60">
        <w:rPr>
          <w:rFonts w:ascii="Times New Roman" w:hAnsi="Times New Roman" w:cs="Times New Roman"/>
          <w:sz w:val="28"/>
          <w:szCs w:val="28"/>
        </w:rPr>
        <w:t xml:space="preserve">Resistance to erythromycin (macrolides), gentamicin (aminoglycoside), fusidic acid, as well as resistant phenotypes (inducible </w:t>
      </w:r>
      <w:r w:rsidRPr="00BD1C1D">
        <w:rPr>
          <w:rFonts w:ascii="Times New Roman" w:hAnsi="Times New Roman" w:cs="Times New Roman"/>
          <w:sz w:val="28"/>
          <w:szCs w:val="28"/>
          <w:lang w:val="en-US"/>
        </w:rPr>
        <w:lastRenderedPageBreak/>
        <w:t>Macrolide Lincosamide Streptogramin B phenotype</w:t>
      </w:r>
      <w:r w:rsidRPr="00BD1C1D">
        <w:rPr>
          <w:rFonts w:ascii="Times New Roman" w:hAnsi="Times New Roman" w:cs="Times New Roman"/>
          <w:sz w:val="28"/>
          <w:szCs w:val="28"/>
          <w:lang w:val="en-US"/>
        </w:rPr>
        <w:t>;</w:t>
      </w:r>
      <w:r w:rsidR="00325197" w:rsidRPr="00BD1C1D">
        <w:rPr>
          <w:rFonts w:ascii="Times New Roman" w:hAnsi="Times New Roman" w:cs="Times New Roman"/>
          <w:sz w:val="28"/>
          <w:szCs w:val="28"/>
        </w:rPr>
        <w:t>K</w:t>
      </w:r>
      <w:r w:rsidRPr="00BD1C1D">
        <w:rPr>
          <w:rFonts w:ascii="Times New Roman" w:hAnsi="Times New Roman" w:cs="Times New Roman"/>
          <w:sz w:val="28"/>
          <w:szCs w:val="28"/>
        </w:rPr>
        <w:t xml:space="preserve">anamycine </w:t>
      </w:r>
      <w:r w:rsidR="00325197" w:rsidRPr="00BD1C1D">
        <w:rPr>
          <w:rFonts w:ascii="Times New Roman" w:hAnsi="Times New Roman" w:cs="Times New Roman"/>
          <w:sz w:val="28"/>
          <w:szCs w:val="28"/>
        </w:rPr>
        <w:t>T</w:t>
      </w:r>
      <w:r w:rsidRPr="00BD1C1D">
        <w:rPr>
          <w:rFonts w:ascii="Times New Roman" w:hAnsi="Times New Roman" w:cs="Times New Roman"/>
          <w:sz w:val="28"/>
          <w:szCs w:val="28"/>
        </w:rPr>
        <w:t xml:space="preserve">obramycine </w:t>
      </w:r>
      <w:r w:rsidR="00325197" w:rsidRPr="00BD1C1D">
        <w:rPr>
          <w:rFonts w:ascii="Times New Roman" w:hAnsi="Times New Roman" w:cs="Times New Roman"/>
          <w:sz w:val="28"/>
          <w:szCs w:val="28"/>
        </w:rPr>
        <w:t>G</w:t>
      </w:r>
      <w:r w:rsidRPr="00BD1C1D">
        <w:rPr>
          <w:rFonts w:ascii="Times New Roman" w:hAnsi="Times New Roman" w:cs="Times New Roman"/>
          <w:sz w:val="28"/>
          <w:szCs w:val="28"/>
        </w:rPr>
        <w:t>entamycine</w:t>
      </w:r>
      <w:r w:rsidR="00325197" w:rsidRPr="00BD1C1D">
        <w:rPr>
          <w:rFonts w:ascii="Times New Roman" w:hAnsi="Times New Roman" w:cs="Times New Roman"/>
          <w:sz w:val="28"/>
          <w:szCs w:val="28"/>
        </w:rPr>
        <w:t>, etc.) indicate the spread of worrying multi-resistance, reminding us that MRSA is often multi-resistant, not only to β-</w:t>
      </w:r>
      <w:r w:rsidR="00325197" w:rsidRPr="00465A60">
        <w:rPr>
          <w:rFonts w:ascii="Times New Roman" w:hAnsi="Times New Roman" w:cs="Times New Roman"/>
          <w:sz w:val="28"/>
          <w:szCs w:val="28"/>
        </w:rPr>
        <w:t>lactams</w:t>
      </w:r>
      <w:r w:rsidR="00E60BCF" w:rsidRPr="00465A60">
        <w:rPr>
          <w:rFonts w:ascii="Times New Roman" w:hAnsi="Times New Roman" w:cs="Times New Roman"/>
          <w:sz w:val="28"/>
          <w:szCs w:val="28"/>
        </w:rPr>
        <w:t>[12]</w:t>
      </w:r>
      <w:r w:rsidR="00325197" w:rsidRPr="00465A60">
        <w:rPr>
          <w:rFonts w:ascii="Times New Roman" w:hAnsi="Times New Roman" w:cs="Times New Roman"/>
          <w:sz w:val="28"/>
          <w:szCs w:val="28"/>
        </w:rPr>
        <w:t>.</w:t>
      </w:r>
    </w:p>
    <w:p w14:paraId="2C6B4AA6" w14:textId="2C180C30"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These results are comparable with other studies in the region, for example in a recent study in Ethiopia (2025), the proportion of </w:t>
      </w:r>
      <w:r w:rsidR="00BD1C1D" w:rsidRPr="00BD1C1D">
        <w:rPr>
          <w:rFonts w:ascii="Times New Roman" w:hAnsi="Times New Roman" w:cs="Times New Roman"/>
          <w:sz w:val="28"/>
          <w:szCs w:val="28"/>
        </w:rPr>
        <w:t>methicillin-resistant Staphylococcus aureus</w:t>
      </w:r>
      <w:r w:rsidR="00BD1C1D" w:rsidRPr="00BD1C1D">
        <w:rPr>
          <w:rFonts w:ascii="Times New Roman" w:hAnsi="Times New Roman" w:cs="Times New Roman"/>
          <w:sz w:val="28"/>
          <w:szCs w:val="28"/>
        </w:rPr>
        <w:t xml:space="preserve"> </w:t>
      </w:r>
      <w:r w:rsidRPr="00465A60">
        <w:rPr>
          <w:rFonts w:ascii="Times New Roman" w:hAnsi="Times New Roman" w:cs="Times New Roman"/>
          <w:sz w:val="28"/>
          <w:szCs w:val="28"/>
        </w:rPr>
        <w:t>in clinical isolates mainly from blood was 36.9%[13]. Our rate is much higher, which may reflect local differences (antibiotic therapy practices, infection control, population).</w:t>
      </w:r>
    </w:p>
    <w:p w14:paraId="2B1B9C5F" w14:textId="77777777" w:rsidR="00325197" w:rsidRPr="00465A60" w:rsidRDefault="00325197" w:rsidP="00325197">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Other studies in West African countries report varying rates, confirming heterogeneity depending on hospital structures, populations, and antibiotics used[14].</w:t>
      </w:r>
    </w:p>
    <w:p w14:paraId="198B5A1D" w14:textId="5FDADE13" w:rsidR="006A3171" w:rsidRPr="00465A60" w:rsidRDefault="006A3171" w:rsidP="006A3171">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The existence of multidrug-resistant strains with M</w:t>
      </w:r>
      <w:r w:rsidR="00BD1C1D">
        <w:rPr>
          <w:rFonts w:ascii="Times New Roman" w:hAnsi="Times New Roman" w:cs="Times New Roman"/>
          <w:sz w:val="28"/>
          <w:szCs w:val="28"/>
        </w:rPr>
        <w:t xml:space="preserve">acrolide </w:t>
      </w:r>
      <w:r w:rsidRPr="00465A60">
        <w:rPr>
          <w:rFonts w:ascii="Times New Roman" w:hAnsi="Times New Roman" w:cs="Times New Roman"/>
          <w:sz w:val="28"/>
          <w:szCs w:val="28"/>
        </w:rPr>
        <w:t>L</w:t>
      </w:r>
      <w:r w:rsidR="00BD1C1D">
        <w:rPr>
          <w:rFonts w:ascii="Times New Roman" w:hAnsi="Times New Roman" w:cs="Times New Roman"/>
          <w:sz w:val="28"/>
          <w:szCs w:val="28"/>
        </w:rPr>
        <w:t xml:space="preserve">incosamide </w:t>
      </w:r>
      <w:r w:rsidRPr="00465A60">
        <w:rPr>
          <w:rFonts w:ascii="Times New Roman" w:hAnsi="Times New Roman" w:cs="Times New Roman"/>
          <w:sz w:val="28"/>
          <w:szCs w:val="28"/>
        </w:rPr>
        <w:t>S</w:t>
      </w:r>
      <w:r w:rsidR="00BD1C1D">
        <w:rPr>
          <w:rFonts w:ascii="Times New Roman" w:hAnsi="Times New Roman" w:cs="Times New Roman"/>
          <w:sz w:val="28"/>
          <w:szCs w:val="28"/>
        </w:rPr>
        <w:t>treptogram</w:t>
      </w:r>
      <w:r w:rsidRPr="00465A60">
        <w:rPr>
          <w:rFonts w:ascii="Times New Roman" w:hAnsi="Times New Roman" w:cs="Times New Roman"/>
          <w:sz w:val="28"/>
          <w:szCs w:val="28"/>
        </w:rPr>
        <w:t xml:space="preserve"> phenotypes and resistance to aminoglycosides is already well documented in African literature, reinforcing the importance of continuous monitoring of antibiotic resistance, as well as stewardship and hygiene policies[9].</w:t>
      </w:r>
    </w:p>
    <w:p w14:paraId="120CBCD1" w14:textId="2A69DD30" w:rsidR="006A3171" w:rsidRPr="00465A60" w:rsidRDefault="006A3171" w:rsidP="006A3171">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The existence of multidrug-resistant strains (macrolides, aminoglycosides, fusidic acid, etc.) means that there are likely to be a limited number of treatment options, which highlights the importance of systematic antibiogram testing and, where necessary, the use of “last resort” antibiotics (glycopeptides, etc.), if available. </w:t>
      </w:r>
    </w:p>
    <w:p w14:paraId="20A2A5D5" w14:textId="77777777" w:rsidR="00B77859" w:rsidRPr="00465A60" w:rsidRDefault="00B77859" w:rsidP="00B77859">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Conclusion:</w:t>
      </w:r>
    </w:p>
    <w:p w14:paraId="465D816F" w14:textId="651F9ABB" w:rsidR="00E32925" w:rsidRPr="00465A60" w:rsidRDefault="00B77859" w:rsidP="00FB68C4">
      <w:pPr>
        <w:spacing w:line="360" w:lineRule="auto"/>
        <w:jc w:val="both"/>
        <w:rPr>
          <w:rFonts w:ascii="Times New Roman" w:hAnsi="Times New Roman" w:cs="Times New Roman"/>
          <w:sz w:val="28"/>
          <w:szCs w:val="28"/>
          <w:lang w:val="en-US"/>
        </w:rPr>
      </w:pPr>
      <w:r w:rsidRPr="00465A60">
        <w:rPr>
          <w:rFonts w:ascii="Times New Roman" w:hAnsi="Times New Roman" w:cs="Times New Roman"/>
          <w:i/>
          <w:iCs/>
          <w:sz w:val="28"/>
          <w:szCs w:val="28"/>
          <w:lang w:val="en-US"/>
        </w:rPr>
        <w:t>S. aureus</w:t>
      </w:r>
      <w:r w:rsidRPr="00465A60">
        <w:rPr>
          <w:rFonts w:ascii="Times New Roman" w:hAnsi="Times New Roman" w:cs="Times New Roman"/>
          <w:sz w:val="28"/>
          <w:szCs w:val="28"/>
          <w:lang w:val="en-US"/>
        </w:rPr>
        <w:t xml:space="preserve"> bacteremia is a serious condition with a high prevalence of MRSA and a worrying level of multidrug resistance among S. aureus isolates at Bogodogo University Hospital. These results highlight the need to strengthen preventive measures, continuously monitor bacterial resistance, and rationally adapt treatment strategies.</w:t>
      </w:r>
    </w:p>
    <w:p w14:paraId="42D896BA" w14:textId="77777777" w:rsidR="00BD1C1D" w:rsidRDefault="00BD1C1D" w:rsidP="00C61E31">
      <w:pPr>
        <w:spacing w:line="360" w:lineRule="auto"/>
        <w:jc w:val="both"/>
      </w:pPr>
    </w:p>
    <w:p w14:paraId="38759F30" w14:textId="6A867237" w:rsidR="00C61E31" w:rsidRPr="00465A60" w:rsidRDefault="00B77859" w:rsidP="00C61E31">
      <w:pPr>
        <w:spacing w:line="360" w:lineRule="auto"/>
        <w:jc w:val="both"/>
        <w:rPr>
          <w:rFonts w:ascii="Times New Roman" w:hAnsi="Times New Roman" w:cs="Times New Roman"/>
          <w:b/>
          <w:bCs/>
          <w:sz w:val="28"/>
          <w:szCs w:val="28"/>
          <w:lang w:val="en-US"/>
        </w:rPr>
      </w:pPr>
      <w:r w:rsidRPr="00465A60">
        <w:rPr>
          <w:rFonts w:ascii="Times New Roman" w:hAnsi="Times New Roman" w:cs="Times New Roman"/>
          <w:b/>
          <w:bCs/>
          <w:sz w:val="28"/>
          <w:szCs w:val="28"/>
          <w:lang w:val="en-US"/>
        </w:rPr>
        <w:lastRenderedPageBreak/>
        <w:t>Références:</w:t>
      </w:r>
    </w:p>
    <w:p w14:paraId="715A47EF" w14:textId="61EB443B" w:rsidR="006A3171" w:rsidRDefault="006A3171" w:rsidP="00696D29">
      <w:pPr>
        <w:pStyle w:val="Bibliographie"/>
        <w:spacing w:line="360" w:lineRule="auto"/>
        <w:jc w:val="both"/>
        <w:rPr>
          <w:rFonts w:ascii="Times New Roman" w:hAnsi="Times New Roman" w:cs="Times New Roman"/>
          <w:b/>
          <w:bCs/>
          <w:sz w:val="28"/>
          <w:szCs w:val="28"/>
        </w:rPr>
      </w:pPr>
      <w:r w:rsidRPr="00465A60">
        <w:rPr>
          <w:rFonts w:ascii="Times New Roman" w:hAnsi="Times New Roman" w:cs="Times New Roman"/>
          <w:sz w:val="28"/>
          <w:szCs w:val="28"/>
          <w:lang w:val="en-US"/>
        </w:rPr>
        <w:fldChar w:fldCharType="begin"/>
      </w:r>
      <w:r w:rsidRPr="00465A60">
        <w:rPr>
          <w:rFonts w:ascii="Times New Roman" w:hAnsi="Times New Roman" w:cs="Times New Roman"/>
          <w:sz w:val="28"/>
          <w:szCs w:val="28"/>
          <w:lang w:val="en-US"/>
        </w:rPr>
        <w:instrText xml:space="preserve"> ADDIN ZOTERO_BIBL {"uncited":[],"omitted":[],"custom":[]} CSL_BIBLIOGRAPHY </w:instrText>
      </w:r>
      <w:r w:rsidRPr="00465A60">
        <w:rPr>
          <w:rFonts w:ascii="Times New Roman" w:hAnsi="Times New Roman" w:cs="Times New Roman"/>
          <w:sz w:val="28"/>
          <w:szCs w:val="28"/>
          <w:lang w:val="en-US"/>
        </w:rPr>
        <w:fldChar w:fldCharType="separate"/>
      </w:r>
      <w:r w:rsidRPr="00465A60">
        <w:rPr>
          <w:rFonts w:ascii="Times New Roman" w:hAnsi="Times New Roman" w:cs="Times New Roman"/>
          <w:sz w:val="28"/>
          <w:szCs w:val="28"/>
        </w:rPr>
        <w:t xml:space="preserve">1. </w:t>
      </w:r>
      <w:r w:rsidRPr="00465A60">
        <w:rPr>
          <w:rFonts w:ascii="Times New Roman" w:hAnsi="Times New Roman" w:cs="Times New Roman"/>
          <w:sz w:val="28"/>
          <w:szCs w:val="28"/>
        </w:rPr>
        <w:tab/>
        <w:t xml:space="preserve">Frigui S, Bourbiaa Y, Mokline A, Naija H, Messadi AA, Thabet L. Bactériémies Nosocomiales : Épidémiologie Clinique Et Bactériologique Chez Les Brûlés. Ann Burns Fire Disasters. 31 mars 2021;34(1):10‑7. PMCID </w:t>
      </w:r>
      <w:r w:rsidRPr="00465A60">
        <w:rPr>
          <w:rFonts w:ascii="Times New Roman" w:hAnsi="Times New Roman" w:cs="Times New Roman"/>
          <w:b/>
          <w:bCs/>
          <w:sz w:val="28"/>
          <w:szCs w:val="28"/>
        </w:rPr>
        <w:t>: PMC8126372</w:t>
      </w:r>
    </w:p>
    <w:p w14:paraId="4E15EC40" w14:textId="77777777" w:rsidR="00BD1C1D" w:rsidRPr="00BD1C1D" w:rsidRDefault="00BD1C1D" w:rsidP="00BD1C1D"/>
    <w:p w14:paraId="2F869AFB" w14:textId="56AA91A1" w:rsidR="006A3171" w:rsidRPr="00465A60" w:rsidRDefault="006A3171" w:rsidP="006A3171">
      <w:pPr>
        <w:pStyle w:val="Bibliographie"/>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2. </w:t>
      </w:r>
      <w:r w:rsidRPr="00465A60">
        <w:rPr>
          <w:rFonts w:ascii="Times New Roman" w:hAnsi="Times New Roman" w:cs="Times New Roman"/>
          <w:sz w:val="28"/>
          <w:szCs w:val="28"/>
        </w:rPr>
        <w:tab/>
        <w:t xml:space="preserve">Krir  a., Dhraief S, Messadi AA, Thabet L. Profil bactériologique et résistance aux antibiotiques des bactéries isolées dans un service de réanimation des brûlés durant sept ans. Ann Burns Fire Disasters. 30 sept 2019;32(3):197‑202. PMCID : </w:t>
      </w:r>
      <w:r w:rsidRPr="00465A60">
        <w:rPr>
          <w:rFonts w:ascii="Times New Roman" w:hAnsi="Times New Roman" w:cs="Times New Roman"/>
          <w:b/>
          <w:bCs/>
          <w:sz w:val="28"/>
          <w:szCs w:val="28"/>
        </w:rPr>
        <w:t>PMC7155405</w:t>
      </w:r>
      <w:r w:rsidRPr="00465A60">
        <w:rPr>
          <w:rFonts w:ascii="Times New Roman" w:hAnsi="Times New Roman" w:cs="Times New Roman"/>
          <w:sz w:val="28"/>
          <w:szCs w:val="28"/>
        </w:rPr>
        <w:t>.</w:t>
      </w:r>
    </w:p>
    <w:p w14:paraId="59F44C19" w14:textId="77777777" w:rsidR="006A3171" w:rsidRPr="00465A60" w:rsidRDefault="006A3171" w:rsidP="006A3171">
      <w:pPr>
        <w:rPr>
          <w:sz w:val="28"/>
          <w:szCs w:val="28"/>
        </w:rPr>
      </w:pPr>
    </w:p>
    <w:p w14:paraId="0C184EC6" w14:textId="77777777" w:rsidR="006A3171" w:rsidRPr="00465A60" w:rsidRDefault="006A3171" w:rsidP="006A3171">
      <w:pPr>
        <w:pStyle w:val="Bibliographie"/>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3. </w:t>
      </w:r>
      <w:r w:rsidRPr="00465A60">
        <w:rPr>
          <w:rFonts w:ascii="Times New Roman" w:hAnsi="Times New Roman" w:cs="Times New Roman"/>
          <w:sz w:val="28"/>
          <w:szCs w:val="28"/>
        </w:rPr>
        <w:tab/>
        <w:t xml:space="preserve">Tong SYC, Fowler VG, Skalla L, Holland TL. Management of Staphylococcus aureus Bacteremia: A Review. JAMA. 2 sept 2025;334(9):798‑808. DOI </w:t>
      </w:r>
      <w:r w:rsidRPr="00465A60">
        <w:rPr>
          <w:rFonts w:ascii="Times New Roman" w:hAnsi="Times New Roman" w:cs="Times New Roman"/>
          <w:b/>
          <w:bCs/>
          <w:sz w:val="28"/>
          <w:szCs w:val="28"/>
        </w:rPr>
        <w:t>10.1001/jama.2025.4288</w:t>
      </w:r>
    </w:p>
    <w:p w14:paraId="1B92C6CB" w14:textId="77777777" w:rsidR="006A3171" w:rsidRPr="00465A60" w:rsidRDefault="006A3171" w:rsidP="006A3171">
      <w:pPr>
        <w:rPr>
          <w:sz w:val="28"/>
          <w:szCs w:val="28"/>
        </w:rPr>
      </w:pPr>
    </w:p>
    <w:p w14:paraId="68E10A73" w14:textId="14F587B9" w:rsidR="006A3171" w:rsidRPr="00465A60" w:rsidRDefault="006A3171" w:rsidP="006A3171">
      <w:pPr>
        <w:pStyle w:val="Bibliographie"/>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4. </w:t>
      </w:r>
      <w:r w:rsidRPr="00465A60">
        <w:rPr>
          <w:rFonts w:ascii="Times New Roman" w:hAnsi="Times New Roman" w:cs="Times New Roman"/>
          <w:sz w:val="28"/>
          <w:szCs w:val="28"/>
        </w:rPr>
        <w:tab/>
        <w:t xml:space="preserve">Lisowska-Łysiak K, Lauterbach R, Międzobrodzki J, Kosecka-Strojek M. Epidemiology and Pathogenesis of Staphylococcus Bloodstream Infections in Humans: a Review. Pol J Microbiol. mars 2021 ;70(1):13‑23. </w:t>
      </w:r>
    </w:p>
    <w:p w14:paraId="31702A03" w14:textId="77777777" w:rsidR="006A3171" w:rsidRPr="00465A60" w:rsidRDefault="006A3171" w:rsidP="006A3171">
      <w:pPr>
        <w:rPr>
          <w:sz w:val="28"/>
          <w:szCs w:val="28"/>
        </w:rPr>
      </w:pPr>
    </w:p>
    <w:p w14:paraId="1C5ABA2B" w14:textId="15B88C09" w:rsidR="006A3171" w:rsidRPr="00465A60" w:rsidRDefault="006A3171" w:rsidP="006A3171">
      <w:pPr>
        <w:pStyle w:val="Bibliographie"/>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5. </w:t>
      </w:r>
      <w:r w:rsidRPr="00465A60">
        <w:rPr>
          <w:rFonts w:ascii="Times New Roman" w:hAnsi="Times New Roman" w:cs="Times New Roman"/>
          <w:sz w:val="28"/>
          <w:szCs w:val="28"/>
        </w:rPr>
        <w:tab/>
        <w:t xml:space="preserve">Bai AD, Lo CK, Komorowski AS, Suresh M, Guo K, Garg A, et al. </w:t>
      </w:r>
      <w:r w:rsidRPr="00465A60">
        <w:rPr>
          <w:rFonts w:ascii="Times New Roman" w:hAnsi="Times New Roman" w:cs="Times New Roman"/>
          <w:i/>
          <w:iCs/>
          <w:sz w:val="28"/>
          <w:szCs w:val="28"/>
        </w:rPr>
        <w:t>Staphylococcus aureus</w:t>
      </w:r>
      <w:r w:rsidRPr="00465A60">
        <w:rPr>
          <w:rFonts w:ascii="Times New Roman" w:hAnsi="Times New Roman" w:cs="Times New Roman"/>
          <w:sz w:val="28"/>
          <w:szCs w:val="28"/>
        </w:rPr>
        <w:t xml:space="preserve"> bacteremia mortality across country income groups: A secondary analysis of a systematic review. International Journal of Infectious Diseases. 1 sept </w:t>
      </w:r>
      <w:r w:rsidR="00427BA4" w:rsidRPr="00465A60">
        <w:rPr>
          <w:rFonts w:ascii="Times New Roman" w:hAnsi="Times New Roman" w:cs="Times New Roman"/>
          <w:sz w:val="28"/>
          <w:szCs w:val="28"/>
        </w:rPr>
        <w:t>2022 ;</w:t>
      </w:r>
      <w:r w:rsidRPr="00465A60">
        <w:rPr>
          <w:rFonts w:ascii="Times New Roman" w:hAnsi="Times New Roman" w:cs="Times New Roman"/>
          <w:sz w:val="28"/>
          <w:szCs w:val="28"/>
        </w:rPr>
        <w:t xml:space="preserve">122:405‑11.  </w:t>
      </w:r>
      <w:r w:rsidRPr="00465A60">
        <w:rPr>
          <w:rFonts w:ascii="Times New Roman" w:hAnsi="Times New Roman" w:cs="Times New Roman"/>
          <w:b/>
          <w:bCs/>
          <w:sz w:val="28"/>
          <w:szCs w:val="28"/>
        </w:rPr>
        <w:t>DOI:</w:t>
      </w:r>
      <w:r w:rsidRPr="00465A60">
        <w:rPr>
          <w:rFonts w:ascii="Times New Roman" w:hAnsi="Times New Roman" w:cs="Times New Roman"/>
          <w:sz w:val="28"/>
          <w:szCs w:val="28"/>
        </w:rPr>
        <w:t xml:space="preserve"> 10.1016/j.ijid.2022.06.026    </w:t>
      </w:r>
    </w:p>
    <w:p w14:paraId="2598D60F" w14:textId="77777777" w:rsidR="006A3171" w:rsidRPr="00465A60" w:rsidRDefault="006A3171" w:rsidP="00E60BCF">
      <w:pPr>
        <w:rPr>
          <w:sz w:val="28"/>
          <w:szCs w:val="28"/>
        </w:rPr>
      </w:pPr>
    </w:p>
    <w:p w14:paraId="5FA4B5AC" w14:textId="7C12C2B4" w:rsidR="006A3171" w:rsidRPr="00465A60" w:rsidRDefault="006A3171" w:rsidP="006A3171">
      <w:pPr>
        <w:pStyle w:val="Bibliographie"/>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6. </w:t>
      </w:r>
      <w:r w:rsidRPr="00465A60">
        <w:rPr>
          <w:rFonts w:ascii="Times New Roman" w:hAnsi="Times New Roman" w:cs="Times New Roman"/>
          <w:sz w:val="28"/>
          <w:szCs w:val="28"/>
        </w:rPr>
        <w:tab/>
        <w:t xml:space="preserve">Bonnal C, Birgand G, Lolom I, Diamantis S, Dumortier C, L’Heriteau F, et al. </w:t>
      </w:r>
      <w:r w:rsidRPr="00465A60">
        <w:rPr>
          <w:rFonts w:ascii="Times New Roman" w:hAnsi="Times New Roman" w:cs="Times New Roman"/>
          <w:i/>
          <w:iCs/>
          <w:sz w:val="28"/>
          <w:szCs w:val="28"/>
        </w:rPr>
        <w:t>Staphylococcus aureus</w:t>
      </w:r>
      <w:r w:rsidRPr="00465A60">
        <w:rPr>
          <w:rFonts w:ascii="Times New Roman" w:hAnsi="Times New Roman" w:cs="Times New Roman"/>
          <w:sz w:val="28"/>
          <w:szCs w:val="28"/>
        </w:rPr>
        <w:t xml:space="preserve"> healthcare associated bacteraemia: An indicator of </w:t>
      </w:r>
      <w:r w:rsidRPr="00465A60">
        <w:rPr>
          <w:rFonts w:ascii="Times New Roman" w:hAnsi="Times New Roman" w:cs="Times New Roman"/>
          <w:sz w:val="28"/>
          <w:szCs w:val="28"/>
        </w:rPr>
        <w:lastRenderedPageBreak/>
        <w:t xml:space="preserve">catheter related infections. Médecine et Maladies Infectieuses. 1 mars 2015;45(3):84‑8 </w:t>
      </w:r>
      <w:r w:rsidRPr="00465A60">
        <w:rPr>
          <w:rFonts w:ascii="Times New Roman" w:hAnsi="Times New Roman" w:cs="Times New Roman"/>
          <w:b/>
          <w:bCs/>
          <w:sz w:val="28"/>
          <w:szCs w:val="28"/>
        </w:rPr>
        <w:t>DOI:</w:t>
      </w:r>
      <w:r w:rsidRPr="00465A60">
        <w:rPr>
          <w:rFonts w:ascii="Times New Roman" w:hAnsi="Times New Roman" w:cs="Times New Roman"/>
          <w:sz w:val="28"/>
          <w:szCs w:val="28"/>
        </w:rPr>
        <w:t xml:space="preserve"> 10.1016/j.medmal.2015.01.002</w:t>
      </w:r>
    </w:p>
    <w:p w14:paraId="142F5128" w14:textId="77777777" w:rsidR="006A3171" w:rsidRPr="00465A60" w:rsidRDefault="006A3171" w:rsidP="006A3171">
      <w:pPr>
        <w:rPr>
          <w:sz w:val="28"/>
          <w:szCs w:val="28"/>
        </w:rPr>
      </w:pPr>
    </w:p>
    <w:p w14:paraId="4CDA6E36" w14:textId="77777777" w:rsidR="006A3171" w:rsidRDefault="006A3171" w:rsidP="006A3171">
      <w:pPr>
        <w:pStyle w:val="Bibliographie"/>
        <w:spacing w:line="360" w:lineRule="auto"/>
        <w:jc w:val="both"/>
        <w:rPr>
          <w:rFonts w:ascii="Times New Roman" w:hAnsi="Times New Roman" w:cs="Times New Roman"/>
          <w:b/>
          <w:bCs/>
          <w:sz w:val="28"/>
          <w:szCs w:val="28"/>
        </w:rPr>
      </w:pPr>
      <w:r w:rsidRPr="00465A60">
        <w:rPr>
          <w:rFonts w:ascii="Times New Roman" w:hAnsi="Times New Roman" w:cs="Times New Roman"/>
          <w:sz w:val="28"/>
          <w:szCs w:val="28"/>
        </w:rPr>
        <w:t xml:space="preserve">7. </w:t>
      </w:r>
      <w:r w:rsidRPr="00465A60">
        <w:rPr>
          <w:rFonts w:ascii="Times New Roman" w:hAnsi="Times New Roman" w:cs="Times New Roman"/>
          <w:sz w:val="28"/>
          <w:szCs w:val="28"/>
        </w:rPr>
        <w:tab/>
        <w:t xml:space="preserve">Worku M, Belay S, Molla T, Amare A, Tigabie M, Almagharbeh WT, et al. Bloodstream infections with emphasis on Methicillin-resistant Staphylococcus aureus at the University of Gondar Comprehensive Specialized and Referral Hospital, Northwest Ethiopia. BMC Infect Dis. 6 mai 2025;25(1):663. </w:t>
      </w:r>
      <w:r w:rsidRPr="00465A60">
        <w:rPr>
          <w:rFonts w:ascii="Times New Roman" w:hAnsi="Times New Roman" w:cs="Times New Roman"/>
          <w:b/>
          <w:bCs/>
          <w:sz w:val="28"/>
          <w:szCs w:val="28"/>
        </w:rPr>
        <w:t>DOI 10.1186/s12879-025-11074-3</w:t>
      </w:r>
    </w:p>
    <w:p w14:paraId="5BDC8117" w14:textId="77777777" w:rsidR="00BD1C1D" w:rsidRPr="00BD1C1D" w:rsidRDefault="00BD1C1D" w:rsidP="00BD1C1D"/>
    <w:p w14:paraId="72C2E894" w14:textId="77777777" w:rsidR="006A3171" w:rsidRPr="00465A60" w:rsidRDefault="006A3171" w:rsidP="006A3171">
      <w:pPr>
        <w:pStyle w:val="Bibliographie"/>
        <w:spacing w:line="360" w:lineRule="auto"/>
        <w:jc w:val="both"/>
        <w:rPr>
          <w:rFonts w:ascii="Times New Roman" w:hAnsi="Times New Roman" w:cs="Times New Roman"/>
          <w:sz w:val="28"/>
          <w:szCs w:val="28"/>
          <w:u w:val="single"/>
        </w:rPr>
      </w:pPr>
      <w:r w:rsidRPr="00465A60">
        <w:rPr>
          <w:rFonts w:ascii="Times New Roman" w:hAnsi="Times New Roman" w:cs="Times New Roman"/>
          <w:sz w:val="28"/>
          <w:szCs w:val="28"/>
        </w:rPr>
        <w:t xml:space="preserve">8. </w:t>
      </w:r>
      <w:r w:rsidRPr="00465A60">
        <w:rPr>
          <w:rFonts w:ascii="Times New Roman" w:hAnsi="Times New Roman" w:cs="Times New Roman"/>
          <w:sz w:val="28"/>
          <w:szCs w:val="28"/>
        </w:rPr>
        <w:tab/>
        <w:t>Sore S, Sawadogo Y, Sanou S, Beogo S, Dakouo SNP, Djamalladine MD, et al. Portage nasal de Staphylococcus aureus résistant à la méticilline chez des volontaires sains et des malades hospitalisés à Ouagadougou, Burkina Faso. Revue Malienne d’Infectiologie et de Microbiologie s</w:t>
      </w:r>
      <w:r w:rsidRPr="00465A60">
        <w:rPr>
          <w:rFonts w:ascii="Times New Roman" w:hAnsi="Times New Roman" w:cs="Times New Roman"/>
          <w:sz w:val="28"/>
          <w:szCs w:val="28"/>
          <w:u w:val="single"/>
        </w:rPr>
        <w:t>ur: https://www.revues.ml/index.php/remim/article/view/1734</w:t>
      </w:r>
    </w:p>
    <w:p w14:paraId="5348C55F" w14:textId="77777777" w:rsidR="006A3171" w:rsidRPr="00465A60" w:rsidRDefault="006A3171" w:rsidP="00E60BCF">
      <w:pPr>
        <w:rPr>
          <w:sz w:val="28"/>
          <w:szCs w:val="28"/>
        </w:rPr>
      </w:pPr>
    </w:p>
    <w:p w14:paraId="3A61633D" w14:textId="77777777" w:rsidR="006A3171" w:rsidRDefault="006A3171" w:rsidP="006A3171">
      <w:pPr>
        <w:pStyle w:val="Bibliographie"/>
        <w:spacing w:line="360" w:lineRule="auto"/>
        <w:jc w:val="both"/>
        <w:rPr>
          <w:rFonts w:ascii="Times New Roman" w:hAnsi="Times New Roman" w:cs="Times New Roman"/>
          <w:b/>
          <w:bCs/>
          <w:sz w:val="28"/>
          <w:szCs w:val="28"/>
        </w:rPr>
      </w:pPr>
      <w:r w:rsidRPr="00465A60">
        <w:rPr>
          <w:rFonts w:ascii="Times New Roman" w:hAnsi="Times New Roman" w:cs="Times New Roman"/>
          <w:sz w:val="28"/>
          <w:szCs w:val="28"/>
        </w:rPr>
        <w:t xml:space="preserve">9. </w:t>
      </w:r>
      <w:r w:rsidRPr="00465A60">
        <w:rPr>
          <w:rFonts w:ascii="Times New Roman" w:hAnsi="Times New Roman" w:cs="Times New Roman"/>
          <w:sz w:val="28"/>
          <w:szCs w:val="28"/>
        </w:rPr>
        <w:tab/>
        <w:t xml:space="preserve">Maïga A, Dicko OA, Tchougoune LM, Fofana DB, Coulibaly DM, Maïga II. [High prevalence of methicillin-resistant Staphylococcus aureus strains in the Point G teaching hospital in Bamako, Mali Med. 2017 ;32(3):1‑8. </w:t>
      </w:r>
      <w:r w:rsidRPr="00465A60">
        <w:rPr>
          <w:rFonts w:ascii="Times New Roman" w:hAnsi="Times New Roman" w:cs="Times New Roman"/>
          <w:b/>
          <w:bCs/>
          <w:sz w:val="28"/>
          <w:szCs w:val="28"/>
        </w:rPr>
        <w:t>PMID: 30079686</w:t>
      </w:r>
    </w:p>
    <w:p w14:paraId="0A29C0DA" w14:textId="77777777" w:rsidR="00BD1C1D" w:rsidRPr="00BD1C1D" w:rsidRDefault="00BD1C1D" w:rsidP="00BD1C1D"/>
    <w:p w14:paraId="385EB1CF" w14:textId="16D6B8AB" w:rsidR="00CD615E" w:rsidRDefault="006A3171" w:rsidP="00CD615E">
      <w:pPr>
        <w:pStyle w:val="Bibliographie1"/>
        <w:spacing w:before="240"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10. </w:t>
      </w:r>
      <w:r w:rsidR="00CD615E" w:rsidRPr="00465A60">
        <w:rPr>
          <w:rFonts w:ascii="Times New Roman" w:hAnsi="Times New Roman" w:cs="Times New Roman"/>
          <w:sz w:val="28"/>
          <w:szCs w:val="28"/>
        </w:rPr>
        <w:t xml:space="preserve">Ba AK, Diendere A, Sanou M, Diallo I, Tamini LT, Benin A, et al. Résistance aux antibiotiques des souches de staphylococcus aureus et des enterobactéries isolés au LNSP de Ouagadougou (Burkina Faso). Science et Technique, Sciences de la Santé. 28 oct 2019;42(1):83‑94. </w:t>
      </w:r>
    </w:p>
    <w:p w14:paraId="42FE0B17" w14:textId="77777777" w:rsidR="00BD1C1D" w:rsidRPr="00BD1C1D" w:rsidRDefault="00BD1C1D" w:rsidP="00BD1C1D"/>
    <w:p w14:paraId="15A83744" w14:textId="77777777" w:rsidR="00696D29" w:rsidRPr="00465A60" w:rsidRDefault="006A3171" w:rsidP="00696D29">
      <w:pPr>
        <w:jc w:val="both"/>
      </w:pPr>
      <w:r w:rsidRPr="00465A60">
        <w:rPr>
          <w:rFonts w:ascii="Times New Roman" w:hAnsi="Times New Roman" w:cs="Times New Roman"/>
          <w:sz w:val="28"/>
          <w:szCs w:val="28"/>
        </w:rPr>
        <w:t xml:space="preserve">11. </w:t>
      </w:r>
      <w:r w:rsidRPr="00465A60">
        <w:rPr>
          <w:rFonts w:ascii="Times New Roman" w:hAnsi="Times New Roman" w:cs="Times New Roman"/>
          <w:sz w:val="28"/>
          <w:szCs w:val="28"/>
        </w:rPr>
        <w:tab/>
        <w:t xml:space="preserve">Dendi FZ, Allem R, Sebaihia M, Bensefia S, Cheurfa M, Alamir H, et al. Prevalence and molecular detection of Staphylococcus aureus resistance to </w:t>
      </w:r>
      <w:r w:rsidRPr="00465A60">
        <w:rPr>
          <w:rFonts w:ascii="Times New Roman" w:hAnsi="Times New Roman" w:cs="Times New Roman"/>
          <w:sz w:val="28"/>
          <w:szCs w:val="28"/>
        </w:rPr>
        <w:lastRenderedPageBreak/>
        <w:t xml:space="preserve">antibiotics. Medicine (Baltimore). 14 juin </w:t>
      </w:r>
      <w:r w:rsidR="00696D29" w:rsidRPr="00465A60">
        <w:rPr>
          <w:rFonts w:ascii="Times New Roman" w:hAnsi="Times New Roman" w:cs="Times New Roman"/>
          <w:sz w:val="28"/>
          <w:szCs w:val="28"/>
        </w:rPr>
        <w:t>2024 ;</w:t>
      </w:r>
      <w:r w:rsidRPr="00465A60">
        <w:rPr>
          <w:rFonts w:ascii="Times New Roman" w:hAnsi="Times New Roman" w:cs="Times New Roman"/>
          <w:sz w:val="28"/>
          <w:szCs w:val="28"/>
        </w:rPr>
        <w:t>103(24</w:t>
      </w:r>
      <w:r w:rsidR="00696D29" w:rsidRPr="00465A60">
        <w:rPr>
          <w:rFonts w:ascii="Times New Roman" w:hAnsi="Times New Roman" w:cs="Times New Roman"/>
          <w:sz w:val="28"/>
          <w:szCs w:val="28"/>
        </w:rPr>
        <w:t>): e</w:t>
      </w:r>
      <w:r w:rsidRPr="00465A60">
        <w:rPr>
          <w:rFonts w:ascii="Times New Roman" w:hAnsi="Times New Roman" w:cs="Times New Roman"/>
          <w:sz w:val="28"/>
          <w:szCs w:val="28"/>
        </w:rPr>
        <w:t>38562.</w:t>
      </w:r>
      <w:r w:rsidR="00696D29" w:rsidRPr="00465A60">
        <w:rPr>
          <w:rFonts w:ascii="Times New Roman" w:hAnsi="Times New Roman" w:cs="Times New Roman"/>
          <w:sz w:val="28"/>
          <w:szCs w:val="28"/>
        </w:rPr>
        <w:t xml:space="preserve"> DOI :</w:t>
      </w:r>
      <w:hyperlink r:id="rId7" w:tgtFrame="_blank" w:history="1">
        <w:r w:rsidR="00696D29" w:rsidRPr="00465A60">
          <w:rPr>
            <w:rStyle w:val="Lienhypertexte"/>
            <w:rFonts w:ascii="Times New Roman" w:hAnsi="Times New Roman" w:cs="Times New Roman"/>
            <w:sz w:val="28"/>
            <w:szCs w:val="28"/>
          </w:rPr>
          <w:t>10.1097/MD.000000000030562</w:t>
        </w:r>
      </w:hyperlink>
    </w:p>
    <w:p w14:paraId="3508AC7D" w14:textId="715CE685" w:rsidR="00696D29" w:rsidRPr="00465A60" w:rsidRDefault="00696D29" w:rsidP="00696D29">
      <w:pPr>
        <w:jc w:val="both"/>
        <w:rPr>
          <w:rFonts w:ascii="Times New Roman" w:hAnsi="Times New Roman" w:cs="Times New Roman"/>
          <w:sz w:val="28"/>
          <w:szCs w:val="28"/>
        </w:rPr>
      </w:pPr>
    </w:p>
    <w:p w14:paraId="13B33304" w14:textId="77777777" w:rsidR="00696D29" w:rsidRPr="00465A60" w:rsidRDefault="00696D29" w:rsidP="00696D29">
      <w:pPr>
        <w:jc w:val="both"/>
      </w:pPr>
    </w:p>
    <w:p w14:paraId="26A0CB96" w14:textId="731DE377" w:rsidR="00696D29" w:rsidRPr="00465A60" w:rsidRDefault="00696D29" w:rsidP="00696D29">
      <w:pPr>
        <w:jc w:val="both"/>
        <w:rPr>
          <w:sz w:val="28"/>
          <w:szCs w:val="28"/>
        </w:rPr>
      </w:pPr>
      <w:r w:rsidRPr="00465A60">
        <w:rPr>
          <w:sz w:val="28"/>
          <w:szCs w:val="28"/>
        </w:rPr>
        <w:t>12.</w:t>
      </w:r>
      <w:r w:rsidRPr="00465A60">
        <w:rPr>
          <w:rFonts w:ascii="Times New Roman" w:hAnsi="Times New Roman" w:cs="Times New Roman"/>
          <w:sz w:val="28"/>
          <w:szCs w:val="28"/>
        </w:rPr>
        <w:t xml:space="preserve"> </w:t>
      </w:r>
      <w:r w:rsidRPr="00465A60">
        <w:rPr>
          <w:rFonts w:ascii="Times New Roman" w:hAnsi="Times New Roman" w:cs="Times New Roman"/>
          <w:sz w:val="28"/>
          <w:szCs w:val="28"/>
        </w:rPr>
        <w:tab/>
        <w:t>Hajikhani B, Goudarzi M, Kakavandi S, Amini S, Zamani S, Van Belkum A, et al. The global prevalence of fusidic acid resistance in clinical isolates of Staphylococcus aureus: a systematic review and meta-analysis. Antimicrob Resist Infect Control. 1 mai 2021 ;10(1):75. doi: 10.1186/s13756-021-00943-6</w:t>
      </w:r>
    </w:p>
    <w:p w14:paraId="703600EA" w14:textId="31A1813D" w:rsidR="00E60BCF" w:rsidRPr="00465A60" w:rsidRDefault="00E60BCF" w:rsidP="00696D29">
      <w:pPr>
        <w:pStyle w:val="Bibliographie"/>
        <w:spacing w:line="360" w:lineRule="auto"/>
        <w:jc w:val="both"/>
        <w:rPr>
          <w:sz w:val="28"/>
          <w:szCs w:val="28"/>
        </w:rPr>
      </w:pPr>
    </w:p>
    <w:p w14:paraId="05966420" w14:textId="26FC4102" w:rsidR="006A3171" w:rsidRPr="00465A60" w:rsidRDefault="006A3171" w:rsidP="006A3171">
      <w:pPr>
        <w:pStyle w:val="Bibliographie"/>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13. </w:t>
      </w:r>
      <w:r w:rsidRPr="00465A60">
        <w:rPr>
          <w:rFonts w:ascii="Times New Roman" w:hAnsi="Times New Roman" w:cs="Times New Roman"/>
          <w:sz w:val="28"/>
          <w:szCs w:val="28"/>
        </w:rPr>
        <w:tab/>
        <w:t xml:space="preserve">Addis Z, Aschale Y, Fenta A, Teffera ZH, Melkamu A, Tigab A, et al. Methicillin and inducible clindamycin resistance in clinical Staphylococcus aureus isolates: a cross-sectional study from Northwest Ethiopia. Front Microbiol </w:t>
      </w:r>
      <w:r w:rsidR="00F62F36" w:rsidRPr="00465A60">
        <w:rPr>
          <w:rFonts w:ascii="Times New Roman" w:hAnsi="Times New Roman" w:cs="Times New Roman"/>
          <w:sz w:val="28"/>
          <w:szCs w:val="28"/>
        </w:rPr>
        <w:t>2025;</w:t>
      </w:r>
      <w:r w:rsidRPr="00465A60">
        <w:rPr>
          <w:rFonts w:ascii="Times New Roman" w:hAnsi="Times New Roman" w:cs="Times New Roman"/>
          <w:sz w:val="28"/>
          <w:szCs w:val="28"/>
        </w:rPr>
        <w:t>1https://www.frontiersin.org/journals/microbiology/articles/10.3389/fmicb.2025.1569242/full</w:t>
      </w:r>
    </w:p>
    <w:p w14:paraId="3FB41DB4" w14:textId="77777777" w:rsidR="006A3171" w:rsidRPr="00465A60" w:rsidRDefault="006A3171" w:rsidP="006A3171">
      <w:pPr>
        <w:rPr>
          <w:sz w:val="28"/>
          <w:szCs w:val="28"/>
        </w:rPr>
      </w:pPr>
    </w:p>
    <w:p w14:paraId="758BCC5B" w14:textId="0E9BBBB9" w:rsidR="006A3171" w:rsidRPr="00465A60" w:rsidRDefault="006A3171" w:rsidP="006A3171">
      <w:pPr>
        <w:pStyle w:val="Bibliographie"/>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 xml:space="preserve">14. </w:t>
      </w:r>
      <w:r w:rsidRPr="00465A60">
        <w:rPr>
          <w:rFonts w:ascii="Times New Roman" w:hAnsi="Times New Roman" w:cs="Times New Roman"/>
          <w:sz w:val="28"/>
          <w:szCs w:val="28"/>
        </w:rPr>
        <w:tab/>
        <w:t xml:space="preserve">Azzam A, Khaled H, Fayed HM, Mansour Y, Eldalil M, Elshennawy E, et al. Prevalence, antibiogram, and risk factors of methicillin-resistant Staphylococcus aureus (MRSA) asymptomatic carriage in Africa: a systematic review and meta-analysis. BMC Infect Dis. 11 avr 2025;25(1):505.  </w:t>
      </w:r>
      <w:r w:rsidR="00465A60" w:rsidRPr="00465A60">
        <w:rPr>
          <w:rFonts w:ascii="Times New Roman" w:hAnsi="Times New Roman" w:cs="Times New Roman"/>
          <w:sz w:val="28"/>
          <w:szCs w:val="28"/>
        </w:rPr>
        <w:t>DOI :</w:t>
      </w:r>
      <w:r w:rsidRPr="00465A60">
        <w:rPr>
          <w:rFonts w:ascii="Times New Roman" w:hAnsi="Times New Roman" w:cs="Times New Roman"/>
          <w:sz w:val="28"/>
          <w:szCs w:val="28"/>
        </w:rPr>
        <w:t xml:space="preserve"> 10.1186/s12879-025-10819-4</w:t>
      </w:r>
    </w:p>
    <w:p w14:paraId="4E7E2861" w14:textId="77777777" w:rsidR="00696D29" w:rsidRPr="00465A60" w:rsidRDefault="00696D29" w:rsidP="00696D29"/>
    <w:p w14:paraId="00A0DED0" w14:textId="77777777" w:rsidR="00696D29" w:rsidRPr="00465A60" w:rsidRDefault="00696D29" w:rsidP="00696D29"/>
    <w:p w14:paraId="3F30DB9F" w14:textId="3FDB83DA" w:rsidR="00696D29" w:rsidRPr="00465A60" w:rsidRDefault="00696D29" w:rsidP="00696D29">
      <w:pPr>
        <w:spacing w:line="360" w:lineRule="auto"/>
        <w:jc w:val="both"/>
        <w:rPr>
          <w:rFonts w:ascii="Times New Roman" w:hAnsi="Times New Roman" w:cs="Times New Roman"/>
          <w:sz w:val="28"/>
          <w:szCs w:val="28"/>
        </w:rPr>
      </w:pPr>
    </w:p>
    <w:p w14:paraId="506625D2" w14:textId="77777777" w:rsidR="00696D29" w:rsidRPr="00465A60" w:rsidRDefault="00696D29" w:rsidP="00696D29">
      <w:pPr>
        <w:spacing w:line="360" w:lineRule="auto"/>
        <w:jc w:val="both"/>
        <w:rPr>
          <w:rFonts w:ascii="Times New Roman" w:hAnsi="Times New Roman" w:cs="Times New Roman"/>
          <w:sz w:val="28"/>
          <w:szCs w:val="28"/>
        </w:rPr>
      </w:pPr>
    </w:p>
    <w:p w14:paraId="1B96308A" w14:textId="77777777" w:rsidR="00696D29" w:rsidRPr="00465A60" w:rsidRDefault="00696D29" w:rsidP="00696D29">
      <w:pPr>
        <w:spacing w:line="360" w:lineRule="auto"/>
        <w:jc w:val="both"/>
        <w:rPr>
          <w:rFonts w:ascii="Times New Roman" w:hAnsi="Times New Roman" w:cs="Times New Roman"/>
          <w:sz w:val="28"/>
          <w:szCs w:val="28"/>
        </w:rPr>
      </w:pPr>
    </w:p>
    <w:p w14:paraId="6C3CE1CD" w14:textId="1EA7FB53" w:rsidR="00130C50" w:rsidRPr="00465A60" w:rsidRDefault="006A3171" w:rsidP="00A1533F">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lang w:val="en-US"/>
        </w:rPr>
        <w:fldChar w:fldCharType="end"/>
      </w:r>
    </w:p>
    <w:tbl>
      <w:tblPr>
        <w:tblpPr w:leftFromText="141" w:rightFromText="141" w:vertAnchor="text" w:horzAnchor="margin" w:tblpY="562"/>
        <w:tblW w:w="0" w:type="auto"/>
        <w:tblBorders>
          <w:top w:val="single" w:sz="4" w:space="0" w:color="auto"/>
          <w:bottom w:val="single" w:sz="4" w:space="0" w:color="auto"/>
        </w:tblBorders>
        <w:tblLook w:val="0000" w:firstRow="0" w:lastRow="0" w:firstColumn="0" w:lastColumn="0" w:noHBand="0" w:noVBand="0"/>
      </w:tblPr>
      <w:tblGrid>
        <w:gridCol w:w="2263"/>
        <w:gridCol w:w="2835"/>
        <w:gridCol w:w="3544"/>
      </w:tblGrid>
      <w:tr w:rsidR="00B6454C" w:rsidRPr="00465A60" w14:paraId="08BE15FD" w14:textId="77777777" w:rsidTr="00791225">
        <w:tc>
          <w:tcPr>
            <w:tcW w:w="2263" w:type="dxa"/>
            <w:tcBorders>
              <w:top w:val="single" w:sz="4" w:space="0" w:color="auto"/>
              <w:bottom w:val="single" w:sz="4" w:space="0" w:color="auto"/>
            </w:tcBorders>
          </w:tcPr>
          <w:p w14:paraId="7D24E74C" w14:textId="4F092983" w:rsidR="00B6454C" w:rsidRPr="00465A60" w:rsidRDefault="00B6454C" w:rsidP="0055114F">
            <w:pPr>
              <w:spacing w:after="0" w:line="480" w:lineRule="auto"/>
              <w:rPr>
                <w:rFonts w:ascii="Times New Roman" w:hAnsi="Times New Roman" w:cs="Times New Roman"/>
                <w:sz w:val="28"/>
                <w:szCs w:val="28"/>
              </w:rPr>
            </w:pPr>
          </w:p>
        </w:tc>
        <w:tc>
          <w:tcPr>
            <w:tcW w:w="2835" w:type="dxa"/>
            <w:tcBorders>
              <w:top w:val="single" w:sz="4" w:space="0" w:color="auto"/>
              <w:bottom w:val="single" w:sz="4" w:space="0" w:color="auto"/>
            </w:tcBorders>
          </w:tcPr>
          <w:p w14:paraId="0BCA38F0" w14:textId="528899E1" w:rsidR="00B6454C" w:rsidRPr="00465A60" w:rsidRDefault="001B1067"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Numbers</w:t>
            </w:r>
          </w:p>
        </w:tc>
        <w:tc>
          <w:tcPr>
            <w:tcW w:w="3544" w:type="dxa"/>
            <w:tcBorders>
              <w:top w:val="single" w:sz="4" w:space="0" w:color="auto"/>
              <w:bottom w:val="single" w:sz="4" w:space="0" w:color="auto"/>
            </w:tcBorders>
          </w:tcPr>
          <w:p w14:paraId="67F6F912" w14:textId="0E41B687" w:rsidR="00B6454C" w:rsidRPr="00465A60" w:rsidRDefault="00791225"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Percentage</w:t>
            </w:r>
          </w:p>
        </w:tc>
      </w:tr>
      <w:tr w:rsidR="00E23C7F" w:rsidRPr="00465A60" w14:paraId="239C52A2" w14:textId="77777777" w:rsidTr="00791225">
        <w:tc>
          <w:tcPr>
            <w:tcW w:w="2263" w:type="dxa"/>
            <w:tcBorders>
              <w:top w:val="single" w:sz="4" w:space="0" w:color="auto"/>
              <w:bottom w:val="nil"/>
            </w:tcBorders>
          </w:tcPr>
          <w:p w14:paraId="7F184CBF" w14:textId="76948EE9" w:rsidR="00E23C7F" w:rsidRPr="00465A60" w:rsidRDefault="00C76557" w:rsidP="0055114F">
            <w:pPr>
              <w:spacing w:after="0" w:line="480" w:lineRule="auto"/>
              <w:rPr>
                <w:rFonts w:ascii="Times New Roman" w:hAnsi="Times New Roman" w:cs="Times New Roman"/>
                <w:sz w:val="28"/>
                <w:szCs w:val="28"/>
              </w:rPr>
            </w:pPr>
            <w:r w:rsidRPr="00465A60">
              <w:rPr>
                <w:rFonts w:ascii="Times New Roman" w:hAnsi="Times New Roman" w:cs="Times New Roman"/>
                <w:sz w:val="28"/>
                <w:szCs w:val="28"/>
              </w:rPr>
              <w:t>Age group</w:t>
            </w:r>
          </w:p>
        </w:tc>
        <w:tc>
          <w:tcPr>
            <w:tcW w:w="2835" w:type="dxa"/>
            <w:tcBorders>
              <w:top w:val="single" w:sz="4" w:space="0" w:color="auto"/>
              <w:bottom w:val="nil"/>
            </w:tcBorders>
          </w:tcPr>
          <w:p w14:paraId="6245312C" w14:textId="77777777" w:rsidR="00E23C7F" w:rsidRPr="00465A60" w:rsidRDefault="00E23C7F" w:rsidP="00B6454C">
            <w:pPr>
              <w:spacing w:after="0" w:line="480" w:lineRule="auto"/>
              <w:jc w:val="center"/>
              <w:rPr>
                <w:rFonts w:ascii="Times New Roman" w:hAnsi="Times New Roman" w:cs="Times New Roman"/>
                <w:sz w:val="28"/>
                <w:szCs w:val="28"/>
              </w:rPr>
            </w:pPr>
          </w:p>
        </w:tc>
        <w:tc>
          <w:tcPr>
            <w:tcW w:w="3544" w:type="dxa"/>
            <w:tcBorders>
              <w:top w:val="single" w:sz="4" w:space="0" w:color="auto"/>
              <w:bottom w:val="nil"/>
            </w:tcBorders>
          </w:tcPr>
          <w:p w14:paraId="137C5382" w14:textId="77777777" w:rsidR="00E23C7F" w:rsidRPr="00465A60" w:rsidRDefault="00E23C7F" w:rsidP="00B6454C">
            <w:pPr>
              <w:spacing w:after="0" w:line="480" w:lineRule="auto"/>
              <w:jc w:val="center"/>
              <w:rPr>
                <w:rFonts w:ascii="Times New Roman" w:hAnsi="Times New Roman" w:cs="Times New Roman"/>
                <w:sz w:val="28"/>
                <w:szCs w:val="28"/>
              </w:rPr>
            </w:pPr>
          </w:p>
        </w:tc>
      </w:tr>
      <w:tr w:rsidR="00B6454C" w:rsidRPr="00465A60" w14:paraId="4968D05D" w14:textId="77777777" w:rsidTr="00791225">
        <w:tc>
          <w:tcPr>
            <w:tcW w:w="2263" w:type="dxa"/>
            <w:tcBorders>
              <w:top w:val="nil"/>
            </w:tcBorders>
          </w:tcPr>
          <w:p w14:paraId="7F5E3458" w14:textId="77777777" w:rsidR="00B6454C" w:rsidRPr="00465A60" w:rsidRDefault="00B6454C" w:rsidP="0055114F">
            <w:pPr>
              <w:spacing w:after="0" w:line="480" w:lineRule="auto"/>
              <w:rPr>
                <w:rFonts w:ascii="Times New Roman" w:hAnsi="Times New Roman" w:cs="Times New Roman"/>
                <w:sz w:val="28"/>
                <w:szCs w:val="28"/>
              </w:rPr>
            </w:pPr>
            <w:r w:rsidRPr="00465A60">
              <w:rPr>
                <w:rFonts w:ascii="Times New Roman" w:hAnsi="Times New Roman" w:cs="Times New Roman"/>
                <w:sz w:val="28"/>
                <w:szCs w:val="28"/>
              </w:rPr>
              <w:t>0-20</w:t>
            </w:r>
          </w:p>
        </w:tc>
        <w:tc>
          <w:tcPr>
            <w:tcW w:w="2835" w:type="dxa"/>
            <w:tcBorders>
              <w:top w:val="nil"/>
            </w:tcBorders>
          </w:tcPr>
          <w:p w14:paraId="5C0AFEF7" w14:textId="77777777"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09</w:t>
            </w:r>
          </w:p>
        </w:tc>
        <w:tc>
          <w:tcPr>
            <w:tcW w:w="3544" w:type="dxa"/>
            <w:tcBorders>
              <w:top w:val="nil"/>
            </w:tcBorders>
          </w:tcPr>
          <w:p w14:paraId="2CE43242" w14:textId="11B5CDBB"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23</w:t>
            </w:r>
            <w:r w:rsidR="00C76557" w:rsidRPr="00465A60">
              <w:rPr>
                <w:rFonts w:ascii="Times New Roman" w:hAnsi="Times New Roman" w:cs="Times New Roman"/>
                <w:sz w:val="28"/>
                <w:szCs w:val="28"/>
              </w:rPr>
              <w:t>.</w:t>
            </w:r>
            <w:r w:rsidRPr="00465A60">
              <w:rPr>
                <w:rFonts w:ascii="Times New Roman" w:hAnsi="Times New Roman" w:cs="Times New Roman"/>
                <w:sz w:val="28"/>
                <w:szCs w:val="28"/>
              </w:rPr>
              <w:t>6</w:t>
            </w:r>
          </w:p>
        </w:tc>
      </w:tr>
      <w:tr w:rsidR="00B6454C" w:rsidRPr="00465A60" w14:paraId="243754D5" w14:textId="77777777" w:rsidTr="00204174">
        <w:tc>
          <w:tcPr>
            <w:tcW w:w="2263" w:type="dxa"/>
          </w:tcPr>
          <w:p w14:paraId="550E5713" w14:textId="77777777" w:rsidR="00B6454C" w:rsidRPr="00465A60" w:rsidRDefault="00B6454C" w:rsidP="0055114F">
            <w:pPr>
              <w:spacing w:after="0" w:line="480" w:lineRule="auto"/>
              <w:rPr>
                <w:rFonts w:ascii="Times New Roman" w:hAnsi="Times New Roman" w:cs="Times New Roman"/>
                <w:sz w:val="28"/>
                <w:szCs w:val="28"/>
              </w:rPr>
            </w:pPr>
            <w:r w:rsidRPr="00465A60">
              <w:rPr>
                <w:rFonts w:ascii="Times New Roman" w:hAnsi="Times New Roman" w:cs="Times New Roman"/>
                <w:sz w:val="28"/>
                <w:szCs w:val="28"/>
              </w:rPr>
              <w:t>21-40</w:t>
            </w:r>
          </w:p>
        </w:tc>
        <w:tc>
          <w:tcPr>
            <w:tcW w:w="2835" w:type="dxa"/>
          </w:tcPr>
          <w:p w14:paraId="222F6532" w14:textId="77777777"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08</w:t>
            </w:r>
          </w:p>
        </w:tc>
        <w:tc>
          <w:tcPr>
            <w:tcW w:w="3544" w:type="dxa"/>
          </w:tcPr>
          <w:p w14:paraId="0F49FB38" w14:textId="48B5A17F"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21</w:t>
            </w:r>
            <w:r w:rsidR="00C76557" w:rsidRPr="00465A60">
              <w:rPr>
                <w:rFonts w:ascii="Times New Roman" w:hAnsi="Times New Roman" w:cs="Times New Roman"/>
                <w:sz w:val="28"/>
                <w:szCs w:val="28"/>
              </w:rPr>
              <w:t>.</w:t>
            </w:r>
            <w:r w:rsidRPr="00465A60">
              <w:rPr>
                <w:rFonts w:ascii="Times New Roman" w:hAnsi="Times New Roman" w:cs="Times New Roman"/>
                <w:sz w:val="28"/>
                <w:szCs w:val="28"/>
              </w:rPr>
              <w:t>0</w:t>
            </w:r>
          </w:p>
        </w:tc>
      </w:tr>
      <w:tr w:rsidR="00B6454C" w:rsidRPr="00465A60" w14:paraId="39B0F025" w14:textId="77777777" w:rsidTr="00204174">
        <w:tc>
          <w:tcPr>
            <w:tcW w:w="2263" w:type="dxa"/>
          </w:tcPr>
          <w:p w14:paraId="79BE3FC6" w14:textId="77777777" w:rsidR="00B6454C" w:rsidRPr="00465A60" w:rsidRDefault="00B6454C" w:rsidP="0055114F">
            <w:pPr>
              <w:spacing w:after="0" w:line="480" w:lineRule="auto"/>
              <w:rPr>
                <w:rFonts w:ascii="Times New Roman" w:hAnsi="Times New Roman" w:cs="Times New Roman"/>
                <w:sz w:val="28"/>
                <w:szCs w:val="28"/>
              </w:rPr>
            </w:pPr>
            <w:r w:rsidRPr="00465A60">
              <w:rPr>
                <w:rFonts w:ascii="Times New Roman" w:hAnsi="Times New Roman" w:cs="Times New Roman"/>
                <w:sz w:val="28"/>
                <w:szCs w:val="28"/>
              </w:rPr>
              <w:t>41-60</w:t>
            </w:r>
          </w:p>
        </w:tc>
        <w:tc>
          <w:tcPr>
            <w:tcW w:w="2835" w:type="dxa"/>
          </w:tcPr>
          <w:p w14:paraId="12A18B50" w14:textId="77777777"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07</w:t>
            </w:r>
          </w:p>
        </w:tc>
        <w:tc>
          <w:tcPr>
            <w:tcW w:w="3544" w:type="dxa"/>
          </w:tcPr>
          <w:p w14:paraId="5A6A439E" w14:textId="3994163D"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18</w:t>
            </w:r>
            <w:r w:rsidR="00791225" w:rsidRPr="00465A60">
              <w:rPr>
                <w:rFonts w:ascii="Times New Roman" w:hAnsi="Times New Roman" w:cs="Times New Roman"/>
                <w:sz w:val="28"/>
                <w:szCs w:val="28"/>
              </w:rPr>
              <w:t>.</w:t>
            </w:r>
            <w:r w:rsidRPr="00465A60">
              <w:rPr>
                <w:rFonts w:ascii="Times New Roman" w:hAnsi="Times New Roman" w:cs="Times New Roman"/>
                <w:sz w:val="28"/>
                <w:szCs w:val="28"/>
              </w:rPr>
              <w:t>4</w:t>
            </w:r>
          </w:p>
        </w:tc>
      </w:tr>
      <w:tr w:rsidR="00B6454C" w:rsidRPr="00465A60" w14:paraId="316D5AB1" w14:textId="77777777" w:rsidTr="00204174">
        <w:tc>
          <w:tcPr>
            <w:tcW w:w="2263" w:type="dxa"/>
          </w:tcPr>
          <w:p w14:paraId="53F99CEC" w14:textId="77777777" w:rsidR="00B6454C" w:rsidRPr="00465A60" w:rsidRDefault="00B6454C" w:rsidP="0055114F">
            <w:pPr>
              <w:spacing w:after="0" w:line="480" w:lineRule="auto"/>
              <w:rPr>
                <w:rFonts w:ascii="Times New Roman" w:hAnsi="Times New Roman" w:cs="Times New Roman"/>
                <w:sz w:val="28"/>
                <w:szCs w:val="28"/>
              </w:rPr>
            </w:pPr>
            <w:r w:rsidRPr="00465A60">
              <w:rPr>
                <w:rFonts w:ascii="Times New Roman" w:hAnsi="Times New Roman" w:cs="Times New Roman"/>
                <w:sz w:val="28"/>
                <w:szCs w:val="28"/>
              </w:rPr>
              <w:t>61-80</w:t>
            </w:r>
          </w:p>
        </w:tc>
        <w:tc>
          <w:tcPr>
            <w:tcW w:w="2835" w:type="dxa"/>
          </w:tcPr>
          <w:p w14:paraId="2A05EFA3" w14:textId="77777777"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14</w:t>
            </w:r>
          </w:p>
        </w:tc>
        <w:tc>
          <w:tcPr>
            <w:tcW w:w="3544" w:type="dxa"/>
          </w:tcPr>
          <w:p w14:paraId="40C71B41" w14:textId="0E2DDD3B"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36</w:t>
            </w:r>
            <w:r w:rsidR="00791225" w:rsidRPr="00465A60">
              <w:rPr>
                <w:rFonts w:ascii="Times New Roman" w:hAnsi="Times New Roman" w:cs="Times New Roman"/>
                <w:sz w:val="28"/>
                <w:szCs w:val="28"/>
              </w:rPr>
              <w:t>.</w:t>
            </w:r>
            <w:r w:rsidRPr="00465A60">
              <w:rPr>
                <w:rFonts w:ascii="Times New Roman" w:hAnsi="Times New Roman" w:cs="Times New Roman"/>
                <w:sz w:val="28"/>
                <w:szCs w:val="28"/>
              </w:rPr>
              <w:t>8</w:t>
            </w:r>
          </w:p>
        </w:tc>
      </w:tr>
      <w:tr w:rsidR="00B6454C" w:rsidRPr="00465A60" w14:paraId="7CBAB11D" w14:textId="77777777" w:rsidTr="00204174">
        <w:tc>
          <w:tcPr>
            <w:tcW w:w="8642" w:type="dxa"/>
            <w:gridSpan w:val="3"/>
          </w:tcPr>
          <w:p w14:paraId="4B3CF61E" w14:textId="27E6D47F" w:rsidR="00B6454C" w:rsidRPr="00465A60" w:rsidRDefault="00B6454C" w:rsidP="0055114F">
            <w:pPr>
              <w:spacing w:after="0" w:line="480" w:lineRule="auto"/>
              <w:rPr>
                <w:rFonts w:ascii="Times New Roman" w:hAnsi="Times New Roman" w:cs="Times New Roman"/>
                <w:sz w:val="28"/>
                <w:szCs w:val="28"/>
              </w:rPr>
            </w:pPr>
            <w:r w:rsidRPr="00465A60">
              <w:rPr>
                <w:rFonts w:ascii="Times New Roman" w:hAnsi="Times New Roman" w:cs="Times New Roman"/>
                <w:sz w:val="28"/>
                <w:szCs w:val="28"/>
              </w:rPr>
              <w:t xml:space="preserve">       S</w:t>
            </w:r>
            <w:r w:rsidR="00E23C7F" w:rsidRPr="00465A60">
              <w:rPr>
                <w:rFonts w:ascii="Times New Roman" w:hAnsi="Times New Roman" w:cs="Times New Roman"/>
                <w:sz w:val="28"/>
                <w:szCs w:val="28"/>
              </w:rPr>
              <w:t>ex</w:t>
            </w:r>
          </w:p>
        </w:tc>
      </w:tr>
      <w:tr w:rsidR="00B6454C" w:rsidRPr="00465A60" w14:paraId="7F90DB36" w14:textId="77777777" w:rsidTr="00204174">
        <w:tc>
          <w:tcPr>
            <w:tcW w:w="2263" w:type="dxa"/>
          </w:tcPr>
          <w:p w14:paraId="2129AC09" w14:textId="0339C477" w:rsidR="00B6454C" w:rsidRPr="00465A60" w:rsidRDefault="007F1699" w:rsidP="0055114F">
            <w:pPr>
              <w:spacing w:after="0" w:line="480" w:lineRule="auto"/>
              <w:rPr>
                <w:rFonts w:ascii="Times New Roman" w:hAnsi="Times New Roman" w:cs="Times New Roman"/>
                <w:sz w:val="28"/>
                <w:szCs w:val="28"/>
              </w:rPr>
            </w:pPr>
            <w:r w:rsidRPr="00465A60">
              <w:rPr>
                <w:rFonts w:ascii="Times New Roman" w:hAnsi="Times New Roman" w:cs="Times New Roman"/>
                <w:sz w:val="28"/>
                <w:szCs w:val="28"/>
              </w:rPr>
              <w:t>Femelles</w:t>
            </w:r>
          </w:p>
        </w:tc>
        <w:tc>
          <w:tcPr>
            <w:tcW w:w="2835" w:type="dxa"/>
          </w:tcPr>
          <w:p w14:paraId="56B98A8B" w14:textId="77777777"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23</w:t>
            </w:r>
          </w:p>
        </w:tc>
        <w:tc>
          <w:tcPr>
            <w:tcW w:w="3544" w:type="dxa"/>
          </w:tcPr>
          <w:p w14:paraId="2704D5F5" w14:textId="2729EA89" w:rsidR="00B6454C" w:rsidRPr="00465A60" w:rsidRDefault="0055114F"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60.5</w:t>
            </w:r>
          </w:p>
        </w:tc>
      </w:tr>
      <w:tr w:rsidR="00B6454C" w:rsidRPr="00465A60" w14:paraId="2C3C767A" w14:textId="77777777" w:rsidTr="00204174">
        <w:tc>
          <w:tcPr>
            <w:tcW w:w="2263" w:type="dxa"/>
          </w:tcPr>
          <w:p w14:paraId="7336A432" w14:textId="30B39EB8" w:rsidR="00B6454C" w:rsidRPr="00465A60" w:rsidRDefault="007F1699" w:rsidP="0055114F">
            <w:pPr>
              <w:spacing w:after="0" w:line="480" w:lineRule="auto"/>
              <w:rPr>
                <w:rFonts w:ascii="Times New Roman" w:hAnsi="Times New Roman" w:cs="Times New Roman"/>
                <w:sz w:val="28"/>
                <w:szCs w:val="28"/>
              </w:rPr>
            </w:pPr>
            <w:r w:rsidRPr="00465A60">
              <w:rPr>
                <w:rFonts w:ascii="Times New Roman" w:hAnsi="Times New Roman" w:cs="Times New Roman"/>
                <w:sz w:val="28"/>
                <w:szCs w:val="28"/>
              </w:rPr>
              <w:t>Males</w:t>
            </w:r>
          </w:p>
        </w:tc>
        <w:tc>
          <w:tcPr>
            <w:tcW w:w="2835" w:type="dxa"/>
          </w:tcPr>
          <w:p w14:paraId="1245FC7E" w14:textId="77777777"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15</w:t>
            </w:r>
          </w:p>
        </w:tc>
        <w:tc>
          <w:tcPr>
            <w:tcW w:w="3544" w:type="dxa"/>
          </w:tcPr>
          <w:p w14:paraId="21F417A9" w14:textId="493A0ABC" w:rsidR="00B6454C" w:rsidRPr="00465A60" w:rsidRDefault="0055114F"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39.4</w:t>
            </w:r>
          </w:p>
        </w:tc>
      </w:tr>
      <w:tr w:rsidR="00B6454C" w:rsidRPr="00465A60" w14:paraId="3B28494E" w14:textId="77777777" w:rsidTr="00204174">
        <w:tc>
          <w:tcPr>
            <w:tcW w:w="2263" w:type="dxa"/>
          </w:tcPr>
          <w:p w14:paraId="2699F61F" w14:textId="0264BB84" w:rsidR="00B6454C" w:rsidRPr="00465A60" w:rsidRDefault="00B6454C" w:rsidP="0055114F">
            <w:pPr>
              <w:spacing w:after="0" w:line="480" w:lineRule="auto"/>
              <w:rPr>
                <w:rFonts w:ascii="Times New Roman" w:hAnsi="Times New Roman" w:cs="Times New Roman"/>
                <w:sz w:val="28"/>
                <w:szCs w:val="28"/>
              </w:rPr>
            </w:pPr>
            <w:r w:rsidRPr="00465A60">
              <w:rPr>
                <w:rFonts w:ascii="Times New Roman" w:hAnsi="Times New Roman" w:cs="Times New Roman"/>
                <w:sz w:val="28"/>
                <w:szCs w:val="28"/>
              </w:rPr>
              <w:t xml:space="preserve"> Total</w:t>
            </w:r>
          </w:p>
        </w:tc>
        <w:tc>
          <w:tcPr>
            <w:tcW w:w="2835" w:type="dxa"/>
          </w:tcPr>
          <w:p w14:paraId="7B83C7E5" w14:textId="3FA99B64"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38</w:t>
            </w:r>
          </w:p>
        </w:tc>
        <w:tc>
          <w:tcPr>
            <w:tcW w:w="3544" w:type="dxa"/>
          </w:tcPr>
          <w:p w14:paraId="099884B8" w14:textId="77777777" w:rsidR="00B6454C" w:rsidRPr="00465A60" w:rsidRDefault="00B6454C" w:rsidP="00B6454C">
            <w:pPr>
              <w:spacing w:after="0" w:line="480" w:lineRule="auto"/>
              <w:jc w:val="center"/>
              <w:rPr>
                <w:rFonts w:ascii="Times New Roman" w:hAnsi="Times New Roman" w:cs="Times New Roman"/>
                <w:sz w:val="28"/>
                <w:szCs w:val="28"/>
              </w:rPr>
            </w:pPr>
            <w:r w:rsidRPr="00465A60">
              <w:rPr>
                <w:rFonts w:ascii="Times New Roman" w:hAnsi="Times New Roman" w:cs="Times New Roman"/>
                <w:sz w:val="28"/>
                <w:szCs w:val="28"/>
              </w:rPr>
              <w:t>100</w:t>
            </w:r>
          </w:p>
        </w:tc>
      </w:tr>
    </w:tbl>
    <w:p w14:paraId="5C35DB48" w14:textId="4D69366C" w:rsidR="00B6454C" w:rsidRPr="00465A60" w:rsidRDefault="001B1067" w:rsidP="00A1533F">
      <w:pPr>
        <w:spacing w:line="360" w:lineRule="auto"/>
        <w:jc w:val="both"/>
        <w:rPr>
          <w:rFonts w:ascii="Times New Roman" w:hAnsi="Times New Roman" w:cs="Times New Roman"/>
          <w:sz w:val="28"/>
          <w:szCs w:val="28"/>
          <w:lang w:val="en-US"/>
        </w:rPr>
      </w:pPr>
      <w:r w:rsidRPr="00465A60">
        <w:rPr>
          <w:rFonts w:ascii="Times New Roman" w:hAnsi="Times New Roman" w:cs="Times New Roman"/>
          <w:sz w:val="28"/>
          <w:szCs w:val="28"/>
          <w:lang w:val="en-US"/>
        </w:rPr>
        <w:t>Table I: Demographic characteristics of patients</w:t>
      </w:r>
    </w:p>
    <w:p w14:paraId="31634068" w14:textId="5B7164D8" w:rsidR="00B6454C" w:rsidRPr="00465A60" w:rsidRDefault="007F1699" w:rsidP="00A1533F">
      <w:pPr>
        <w:spacing w:line="360" w:lineRule="auto"/>
        <w:jc w:val="both"/>
        <w:rPr>
          <w:rFonts w:ascii="Times New Roman" w:hAnsi="Times New Roman" w:cs="Times New Roman"/>
          <w:sz w:val="28"/>
          <w:szCs w:val="28"/>
        </w:rPr>
      </w:pPr>
      <w:r w:rsidRPr="00465A60">
        <w:rPr>
          <w:rFonts w:ascii="Times New Roman" w:hAnsi="Times New Roman" w:cs="Times New Roman"/>
          <w:sz w:val="28"/>
          <w:szCs w:val="28"/>
        </w:rPr>
        <w:t>Table II: Breakdown by clinical services</w:t>
      </w:r>
    </w:p>
    <w:tbl>
      <w:tblPr>
        <w:tblW w:w="9064" w:type="dxa"/>
        <w:tblBorders>
          <w:top w:val="single" w:sz="4" w:space="0" w:color="auto"/>
          <w:bottom w:val="single" w:sz="4" w:space="0" w:color="auto"/>
        </w:tblBorders>
        <w:tblCellMar>
          <w:top w:w="15" w:type="dxa"/>
          <w:left w:w="15" w:type="dxa"/>
          <w:bottom w:w="15" w:type="dxa"/>
          <w:right w:w="15" w:type="dxa"/>
        </w:tblCellMar>
        <w:tblLook w:val="0000" w:firstRow="0" w:lastRow="0" w:firstColumn="0" w:lastColumn="0" w:noHBand="0" w:noVBand="0"/>
      </w:tblPr>
      <w:tblGrid>
        <w:gridCol w:w="3961"/>
        <w:gridCol w:w="2268"/>
        <w:gridCol w:w="2835"/>
      </w:tblGrid>
      <w:tr w:rsidR="00204174" w:rsidRPr="00465A60" w14:paraId="5B5EB576" w14:textId="77777777" w:rsidTr="00204174">
        <w:tc>
          <w:tcPr>
            <w:tcW w:w="3961" w:type="dxa"/>
            <w:tcBorders>
              <w:top w:val="single" w:sz="4" w:space="0" w:color="auto"/>
              <w:bottom w:val="single" w:sz="4" w:space="0" w:color="auto"/>
            </w:tcBorders>
          </w:tcPr>
          <w:p w14:paraId="179FF124" w14:textId="77777777" w:rsidR="00204174" w:rsidRPr="00465A60" w:rsidRDefault="00204174" w:rsidP="00B32DE4">
            <w:pPr>
              <w:rPr>
                <w:rFonts w:ascii="Times New Roman" w:hAnsi="Times New Roman" w:cs="Times New Roman"/>
                <w:sz w:val="28"/>
                <w:szCs w:val="28"/>
              </w:rPr>
            </w:pPr>
            <w:bookmarkStart w:id="0" w:name="_Hlk206753252"/>
            <w:r w:rsidRPr="00465A60">
              <w:rPr>
                <w:rFonts w:ascii="Times New Roman" w:hAnsi="Times New Roman" w:cs="Times New Roman"/>
                <w:sz w:val="28"/>
                <w:szCs w:val="28"/>
              </w:rPr>
              <w:t xml:space="preserve">Services   </w:t>
            </w:r>
          </w:p>
        </w:tc>
        <w:tc>
          <w:tcPr>
            <w:tcW w:w="2268" w:type="dxa"/>
            <w:tcBorders>
              <w:top w:val="single" w:sz="4" w:space="0" w:color="auto"/>
              <w:bottom w:val="single" w:sz="4" w:space="0" w:color="auto"/>
            </w:tcBorders>
          </w:tcPr>
          <w:p w14:paraId="6DF2A999" w14:textId="47F29570" w:rsidR="00204174" w:rsidRPr="00465A60" w:rsidRDefault="00204174" w:rsidP="00204174">
            <w:pPr>
              <w:jc w:val="center"/>
              <w:rPr>
                <w:rFonts w:ascii="Times New Roman" w:hAnsi="Times New Roman" w:cs="Times New Roman"/>
                <w:sz w:val="28"/>
                <w:szCs w:val="28"/>
              </w:rPr>
            </w:pPr>
            <w:r w:rsidRPr="00465A60">
              <w:rPr>
                <w:rFonts w:ascii="Times New Roman" w:hAnsi="Times New Roman" w:cs="Times New Roman"/>
                <w:sz w:val="28"/>
                <w:szCs w:val="28"/>
              </w:rPr>
              <w:t>Nombres</w:t>
            </w:r>
          </w:p>
        </w:tc>
        <w:tc>
          <w:tcPr>
            <w:tcW w:w="2835" w:type="dxa"/>
            <w:tcBorders>
              <w:top w:val="single" w:sz="4" w:space="0" w:color="auto"/>
              <w:bottom w:val="single" w:sz="4" w:space="0" w:color="auto"/>
            </w:tcBorders>
          </w:tcPr>
          <w:p w14:paraId="11614347" w14:textId="1CD3136C" w:rsidR="00204174" w:rsidRPr="00465A60" w:rsidRDefault="00204174" w:rsidP="00204174">
            <w:pPr>
              <w:jc w:val="center"/>
              <w:rPr>
                <w:rFonts w:ascii="Times New Roman" w:hAnsi="Times New Roman" w:cs="Times New Roman"/>
                <w:sz w:val="28"/>
                <w:szCs w:val="28"/>
              </w:rPr>
            </w:pPr>
            <w:r w:rsidRPr="00465A60">
              <w:rPr>
                <w:rFonts w:ascii="Times New Roman" w:hAnsi="Times New Roman" w:cs="Times New Roman"/>
                <w:sz w:val="28"/>
                <w:szCs w:val="28"/>
              </w:rPr>
              <w:t>Pourcentage</w:t>
            </w:r>
          </w:p>
        </w:tc>
      </w:tr>
      <w:tr w:rsidR="007F1699" w:rsidRPr="00465A60" w14:paraId="302F1B74" w14:textId="77777777" w:rsidTr="00204174">
        <w:tc>
          <w:tcPr>
            <w:tcW w:w="3961" w:type="dxa"/>
            <w:tcBorders>
              <w:top w:val="single" w:sz="4" w:space="0" w:color="auto"/>
            </w:tcBorders>
          </w:tcPr>
          <w:p w14:paraId="5B645252" w14:textId="7341739E" w:rsidR="007F1699" w:rsidRPr="00465A60" w:rsidRDefault="007F1699" w:rsidP="007F1699">
            <w:pPr>
              <w:rPr>
                <w:rFonts w:ascii="Times New Roman" w:hAnsi="Times New Roman" w:cs="Times New Roman"/>
                <w:sz w:val="24"/>
                <w:szCs w:val="24"/>
              </w:rPr>
            </w:pPr>
            <w:r w:rsidRPr="00465A60">
              <w:rPr>
                <w:rFonts w:ascii="Times New Roman" w:hAnsi="Times New Roman" w:cs="Times New Roman"/>
                <w:sz w:val="24"/>
                <w:szCs w:val="24"/>
              </w:rPr>
              <w:t>Infectious Diseases</w:t>
            </w:r>
          </w:p>
        </w:tc>
        <w:tc>
          <w:tcPr>
            <w:tcW w:w="2268" w:type="dxa"/>
            <w:tcBorders>
              <w:top w:val="single" w:sz="4" w:space="0" w:color="auto"/>
            </w:tcBorders>
          </w:tcPr>
          <w:p w14:paraId="32B7078E" w14:textId="77777777"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15</w:t>
            </w:r>
          </w:p>
        </w:tc>
        <w:tc>
          <w:tcPr>
            <w:tcW w:w="2835" w:type="dxa"/>
            <w:tcBorders>
              <w:top w:val="single" w:sz="4" w:space="0" w:color="auto"/>
            </w:tcBorders>
          </w:tcPr>
          <w:p w14:paraId="32A99E6A" w14:textId="5574301E"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39.5</w:t>
            </w:r>
          </w:p>
        </w:tc>
      </w:tr>
      <w:tr w:rsidR="007F1699" w:rsidRPr="00465A60" w14:paraId="5B73C269" w14:textId="77777777" w:rsidTr="00204174">
        <w:tc>
          <w:tcPr>
            <w:tcW w:w="3961" w:type="dxa"/>
          </w:tcPr>
          <w:p w14:paraId="1A3D0DE8" w14:textId="595EEEBB" w:rsidR="007F1699" w:rsidRPr="00465A60" w:rsidRDefault="007F1699" w:rsidP="007F1699">
            <w:pPr>
              <w:rPr>
                <w:rFonts w:ascii="Times New Roman" w:hAnsi="Times New Roman" w:cs="Times New Roman"/>
                <w:sz w:val="24"/>
                <w:szCs w:val="24"/>
              </w:rPr>
            </w:pPr>
            <w:r w:rsidRPr="00465A60">
              <w:rPr>
                <w:rFonts w:ascii="Times New Roman" w:hAnsi="Times New Roman" w:cs="Times New Roman"/>
                <w:sz w:val="24"/>
                <w:szCs w:val="24"/>
              </w:rPr>
              <w:t>Rheumatology</w:t>
            </w:r>
          </w:p>
        </w:tc>
        <w:tc>
          <w:tcPr>
            <w:tcW w:w="2268" w:type="dxa"/>
          </w:tcPr>
          <w:p w14:paraId="334B2BD0" w14:textId="77777777"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04</w:t>
            </w:r>
          </w:p>
        </w:tc>
        <w:tc>
          <w:tcPr>
            <w:tcW w:w="2835" w:type="dxa"/>
          </w:tcPr>
          <w:p w14:paraId="65DC9CAF" w14:textId="0B84A4E0"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10</w:t>
            </w:r>
            <w:r w:rsidR="00145CBF" w:rsidRPr="00465A60">
              <w:rPr>
                <w:rFonts w:ascii="Times New Roman" w:hAnsi="Times New Roman" w:cs="Times New Roman"/>
                <w:sz w:val="28"/>
                <w:szCs w:val="28"/>
              </w:rPr>
              <w:t>.</w:t>
            </w:r>
            <w:r w:rsidRPr="00465A60">
              <w:rPr>
                <w:rFonts w:ascii="Times New Roman" w:hAnsi="Times New Roman" w:cs="Times New Roman"/>
                <w:sz w:val="28"/>
                <w:szCs w:val="28"/>
              </w:rPr>
              <w:t>5</w:t>
            </w:r>
          </w:p>
        </w:tc>
      </w:tr>
      <w:tr w:rsidR="007F1699" w:rsidRPr="00465A60" w14:paraId="7738F7FF" w14:textId="77777777" w:rsidTr="00204174">
        <w:tc>
          <w:tcPr>
            <w:tcW w:w="3961" w:type="dxa"/>
          </w:tcPr>
          <w:p w14:paraId="02F61203" w14:textId="29C0E905" w:rsidR="007F1699" w:rsidRPr="00465A60" w:rsidRDefault="007F1699" w:rsidP="007F1699">
            <w:pPr>
              <w:rPr>
                <w:rFonts w:ascii="Times New Roman" w:hAnsi="Times New Roman" w:cs="Times New Roman"/>
                <w:sz w:val="24"/>
                <w:szCs w:val="24"/>
              </w:rPr>
            </w:pPr>
            <w:r w:rsidRPr="00465A60">
              <w:rPr>
                <w:rFonts w:ascii="Times New Roman" w:hAnsi="Times New Roman" w:cs="Times New Roman"/>
                <w:sz w:val="24"/>
                <w:szCs w:val="24"/>
              </w:rPr>
              <w:t>Medical Emergencies</w:t>
            </w:r>
          </w:p>
        </w:tc>
        <w:tc>
          <w:tcPr>
            <w:tcW w:w="2268" w:type="dxa"/>
          </w:tcPr>
          <w:p w14:paraId="351DA4BA" w14:textId="77777777"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04</w:t>
            </w:r>
          </w:p>
        </w:tc>
        <w:tc>
          <w:tcPr>
            <w:tcW w:w="2835" w:type="dxa"/>
          </w:tcPr>
          <w:p w14:paraId="4D4550C8" w14:textId="1ADF2F1F"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10,5</w:t>
            </w:r>
          </w:p>
        </w:tc>
      </w:tr>
      <w:tr w:rsidR="007F1699" w:rsidRPr="00465A60" w14:paraId="2CDE2E2D" w14:textId="77777777" w:rsidTr="00204174">
        <w:tc>
          <w:tcPr>
            <w:tcW w:w="3961" w:type="dxa"/>
          </w:tcPr>
          <w:p w14:paraId="5F8EEEB1" w14:textId="3133BD1B" w:rsidR="007F1699" w:rsidRPr="00465A60" w:rsidRDefault="007F1699" w:rsidP="007F1699">
            <w:pPr>
              <w:rPr>
                <w:rFonts w:ascii="Times New Roman" w:hAnsi="Times New Roman" w:cs="Times New Roman"/>
                <w:sz w:val="24"/>
                <w:szCs w:val="24"/>
              </w:rPr>
            </w:pPr>
            <w:r w:rsidRPr="00465A60">
              <w:rPr>
                <w:rFonts w:ascii="Times New Roman" w:hAnsi="Times New Roman" w:cs="Times New Roman"/>
                <w:sz w:val="24"/>
                <w:szCs w:val="24"/>
              </w:rPr>
              <w:t>Nephrology</w:t>
            </w:r>
          </w:p>
        </w:tc>
        <w:tc>
          <w:tcPr>
            <w:tcW w:w="2268" w:type="dxa"/>
          </w:tcPr>
          <w:p w14:paraId="0967DC4A" w14:textId="77777777"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03</w:t>
            </w:r>
          </w:p>
        </w:tc>
        <w:tc>
          <w:tcPr>
            <w:tcW w:w="2835" w:type="dxa"/>
          </w:tcPr>
          <w:p w14:paraId="707AAA25" w14:textId="7F1F7F84"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7,8</w:t>
            </w:r>
          </w:p>
        </w:tc>
      </w:tr>
      <w:tr w:rsidR="007F1699" w:rsidRPr="00465A60" w14:paraId="559A0EB4" w14:textId="77777777" w:rsidTr="00204174">
        <w:tc>
          <w:tcPr>
            <w:tcW w:w="3961" w:type="dxa"/>
          </w:tcPr>
          <w:p w14:paraId="629E3B01" w14:textId="3EFDA153" w:rsidR="007F1699" w:rsidRPr="00465A60" w:rsidRDefault="007F1699" w:rsidP="007F1699">
            <w:pPr>
              <w:rPr>
                <w:rFonts w:ascii="Times New Roman" w:hAnsi="Times New Roman" w:cs="Times New Roman"/>
                <w:sz w:val="24"/>
                <w:szCs w:val="24"/>
              </w:rPr>
            </w:pPr>
            <w:r w:rsidRPr="00465A60">
              <w:rPr>
                <w:rFonts w:ascii="Times New Roman" w:hAnsi="Times New Roman" w:cs="Times New Roman"/>
                <w:sz w:val="24"/>
                <w:szCs w:val="24"/>
              </w:rPr>
              <w:t>Gynecology-Obstetrics</w:t>
            </w:r>
          </w:p>
        </w:tc>
        <w:tc>
          <w:tcPr>
            <w:tcW w:w="2268" w:type="dxa"/>
          </w:tcPr>
          <w:p w14:paraId="6B4A7A37" w14:textId="77777777"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03</w:t>
            </w:r>
          </w:p>
        </w:tc>
        <w:tc>
          <w:tcPr>
            <w:tcW w:w="2835" w:type="dxa"/>
          </w:tcPr>
          <w:p w14:paraId="233F7C8E" w14:textId="44D14637"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7</w:t>
            </w:r>
            <w:r w:rsidR="00145CBF" w:rsidRPr="00465A60">
              <w:rPr>
                <w:rFonts w:ascii="Times New Roman" w:hAnsi="Times New Roman" w:cs="Times New Roman"/>
                <w:sz w:val="28"/>
                <w:szCs w:val="28"/>
              </w:rPr>
              <w:t>.</w:t>
            </w:r>
            <w:r w:rsidRPr="00465A60">
              <w:rPr>
                <w:rFonts w:ascii="Times New Roman" w:hAnsi="Times New Roman" w:cs="Times New Roman"/>
                <w:sz w:val="28"/>
                <w:szCs w:val="28"/>
              </w:rPr>
              <w:t>8</w:t>
            </w:r>
          </w:p>
        </w:tc>
      </w:tr>
      <w:tr w:rsidR="007F1699" w:rsidRPr="00465A60" w14:paraId="0A015267" w14:textId="77777777" w:rsidTr="00204174">
        <w:tc>
          <w:tcPr>
            <w:tcW w:w="3961" w:type="dxa"/>
          </w:tcPr>
          <w:p w14:paraId="1232F54C" w14:textId="16918370" w:rsidR="007F1699" w:rsidRPr="00465A60" w:rsidRDefault="007F1699" w:rsidP="007F1699">
            <w:pPr>
              <w:rPr>
                <w:rFonts w:ascii="Times New Roman" w:hAnsi="Times New Roman" w:cs="Times New Roman"/>
                <w:sz w:val="24"/>
                <w:szCs w:val="24"/>
              </w:rPr>
            </w:pPr>
            <w:r w:rsidRPr="00465A60">
              <w:rPr>
                <w:rFonts w:ascii="Times New Roman" w:hAnsi="Times New Roman" w:cs="Times New Roman"/>
                <w:sz w:val="24"/>
                <w:szCs w:val="24"/>
              </w:rPr>
              <w:t>Intensive Care</w:t>
            </w:r>
          </w:p>
        </w:tc>
        <w:tc>
          <w:tcPr>
            <w:tcW w:w="2268" w:type="dxa"/>
          </w:tcPr>
          <w:p w14:paraId="47F91949" w14:textId="77777777"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03</w:t>
            </w:r>
          </w:p>
        </w:tc>
        <w:tc>
          <w:tcPr>
            <w:tcW w:w="2835" w:type="dxa"/>
          </w:tcPr>
          <w:p w14:paraId="3A4BD398" w14:textId="179CDD6E"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7</w:t>
            </w:r>
            <w:r w:rsidR="00145CBF" w:rsidRPr="00465A60">
              <w:rPr>
                <w:rFonts w:ascii="Times New Roman" w:hAnsi="Times New Roman" w:cs="Times New Roman"/>
                <w:sz w:val="28"/>
                <w:szCs w:val="28"/>
              </w:rPr>
              <w:t>.</w:t>
            </w:r>
            <w:r w:rsidRPr="00465A60">
              <w:rPr>
                <w:rFonts w:ascii="Times New Roman" w:hAnsi="Times New Roman" w:cs="Times New Roman"/>
                <w:sz w:val="28"/>
                <w:szCs w:val="28"/>
              </w:rPr>
              <w:t>8</w:t>
            </w:r>
          </w:p>
        </w:tc>
      </w:tr>
      <w:tr w:rsidR="007F1699" w:rsidRPr="00465A60" w14:paraId="537524BC" w14:textId="77777777" w:rsidTr="00204174">
        <w:tc>
          <w:tcPr>
            <w:tcW w:w="3961" w:type="dxa"/>
          </w:tcPr>
          <w:p w14:paraId="6FC2E746" w14:textId="02179366" w:rsidR="007F1699" w:rsidRPr="00465A60" w:rsidRDefault="007F1699" w:rsidP="007F1699">
            <w:pPr>
              <w:rPr>
                <w:rFonts w:ascii="Times New Roman" w:hAnsi="Times New Roman" w:cs="Times New Roman"/>
                <w:sz w:val="24"/>
                <w:szCs w:val="24"/>
              </w:rPr>
            </w:pPr>
            <w:r w:rsidRPr="00465A60">
              <w:rPr>
                <w:rFonts w:ascii="Times New Roman" w:hAnsi="Times New Roman" w:cs="Times New Roman"/>
                <w:sz w:val="24"/>
                <w:szCs w:val="24"/>
              </w:rPr>
              <w:t>Pediatric Emergencies</w:t>
            </w:r>
          </w:p>
        </w:tc>
        <w:tc>
          <w:tcPr>
            <w:tcW w:w="2268" w:type="dxa"/>
          </w:tcPr>
          <w:p w14:paraId="232F4891" w14:textId="77777777"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03</w:t>
            </w:r>
          </w:p>
        </w:tc>
        <w:tc>
          <w:tcPr>
            <w:tcW w:w="2835" w:type="dxa"/>
          </w:tcPr>
          <w:p w14:paraId="67FF97F3" w14:textId="04437879"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7</w:t>
            </w:r>
            <w:r w:rsidR="00145CBF" w:rsidRPr="00465A60">
              <w:rPr>
                <w:rFonts w:ascii="Times New Roman" w:hAnsi="Times New Roman" w:cs="Times New Roman"/>
                <w:sz w:val="28"/>
                <w:szCs w:val="28"/>
              </w:rPr>
              <w:t>.</w:t>
            </w:r>
            <w:r w:rsidRPr="00465A60">
              <w:rPr>
                <w:rFonts w:ascii="Times New Roman" w:hAnsi="Times New Roman" w:cs="Times New Roman"/>
                <w:sz w:val="28"/>
                <w:szCs w:val="28"/>
              </w:rPr>
              <w:t>8</w:t>
            </w:r>
          </w:p>
        </w:tc>
      </w:tr>
      <w:tr w:rsidR="007F1699" w:rsidRPr="00465A60" w14:paraId="1656E0F1" w14:textId="77777777" w:rsidTr="00204174">
        <w:tc>
          <w:tcPr>
            <w:tcW w:w="3961" w:type="dxa"/>
          </w:tcPr>
          <w:p w14:paraId="500F29DF" w14:textId="6E16CB98" w:rsidR="007F1699" w:rsidRPr="00465A60" w:rsidRDefault="007F1699" w:rsidP="007F1699">
            <w:pPr>
              <w:rPr>
                <w:rFonts w:ascii="Times New Roman" w:hAnsi="Times New Roman" w:cs="Times New Roman"/>
                <w:sz w:val="24"/>
                <w:szCs w:val="24"/>
              </w:rPr>
            </w:pPr>
            <w:r w:rsidRPr="00465A60">
              <w:rPr>
                <w:rFonts w:ascii="Times New Roman" w:hAnsi="Times New Roman" w:cs="Times New Roman"/>
                <w:sz w:val="24"/>
                <w:szCs w:val="24"/>
              </w:rPr>
              <w:t>ENT</w:t>
            </w:r>
          </w:p>
        </w:tc>
        <w:tc>
          <w:tcPr>
            <w:tcW w:w="2268" w:type="dxa"/>
          </w:tcPr>
          <w:p w14:paraId="70C6273A" w14:textId="77777777"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03</w:t>
            </w:r>
          </w:p>
        </w:tc>
        <w:tc>
          <w:tcPr>
            <w:tcW w:w="2835" w:type="dxa"/>
          </w:tcPr>
          <w:p w14:paraId="7CDBC664" w14:textId="4C3364B1" w:rsidR="007F1699" w:rsidRPr="00465A60" w:rsidRDefault="007F1699" w:rsidP="007F1699">
            <w:pPr>
              <w:jc w:val="center"/>
              <w:rPr>
                <w:rFonts w:ascii="Times New Roman" w:hAnsi="Times New Roman" w:cs="Times New Roman"/>
                <w:sz w:val="28"/>
                <w:szCs w:val="28"/>
              </w:rPr>
            </w:pPr>
            <w:r w:rsidRPr="00465A60">
              <w:rPr>
                <w:rFonts w:ascii="Times New Roman" w:hAnsi="Times New Roman" w:cs="Times New Roman"/>
                <w:sz w:val="28"/>
                <w:szCs w:val="28"/>
              </w:rPr>
              <w:t>7</w:t>
            </w:r>
            <w:r w:rsidR="00145CBF" w:rsidRPr="00465A60">
              <w:rPr>
                <w:rFonts w:ascii="Times New Roman" w:hAnsi="Times New Roman" w:cs="Times New Roman"/>
                <w:sz w:val="28"/>
                <w:szCs w:val="28"/>
              </w:rPr>
              <w:t>.</w:t>
            </w:r>
            <w:r w:rsidRPr="00465A60">
              <w:rPr>
                <w:rFonts w:ascii="Times New Roman" w:hAnsi="Times New Roman" w:cs="Times New Roman"/>
                <w:sz w:val="28"/>
                <w:szCs w:val="28"/>
              </w:rPr>
              <w:t>8</w:t>
            </w:r>
          </w:p>
        </w:tc>
      </w:tr>
      <w:tr w:rsidR="00204174" w:rsidRPr="00465A60" w14:paraId="5D8720B3" w14:textId="77777777" w:rsidTr="00204174">
        <w:tc>
          <w:tcPr>
            <w:tcW w:w="3961" w:type="dxa"/>
          </w:tcPr>
          <w:p w14:paraId="1E0045B6" w14:textId="77777777" w:rsidR="00204174" w:rsidRPr="00465A60" w:rsidRDefault="00204174" w:rsidP="00B32DE4">
            <w:pPr>
              <w:rPr>
                <w:rFonts w:ascii="Times New Roman" w:hAnsi="Times New Roman" w:cs="Times New Roman"/>
                <w:sz w:val="28"/>
                <w:szCs w:val="28"/>
              </w:rPr>
            </w:pPr>
            <w:r w:rsidRPr="00465A60">
              <w:rPr>
                <w:rFonts w:ascii="Times New Roman" w:hAnsi="Times New Roman" w:cs="Times New Roman"/>
                <w:sz w:val="28"/>
                <w:szCs w:val="28"/>
              </w:rPr>
              <w:t>Total</w:t>
            </w:r>
          </w:p>
        </w:tc>
        <w:tc>
          <w:tcPr>
            <w:tcW w:w="2268" w:type="dxa"/>
          </w:tcPr>
          <w:p w14:paraId="0B7F0786" w14:textId="405BCCF8" w:rsidR="00204174" w:rsidRPr="00465A60" w:rsidRDefault="00204174" w:rsidP="00204174">
            <w:pPr>
              <w:jc w:val="center"/>
              <w:rPr>
                <w:rFonts w:ascii="Times New Roman" w:hAnsi="Times New Roman" w:cs="Times New Roman"/>
                <w:sz w:val="28"/>
                <w:szCs w:val="28"/>
              </w:rPr>
            </w:pPr>
            <w:r w:rsidRPr="00465A60">
              <w:rPr>
                <w:rFonts w:ascii="Times New Roman" w:hAnsi="Times New Roman" w:cs="Times New Roman"/>
                <w:sz w:val="28"/>
                <w:szCs w:val="28"/>
              </w:rPr>
              <w:t>38</w:t>
            </w:r>
          </w:p>
        </w:tc>
        <w:tc>
          <w:tcPr>
            <w:tcW w:w="2835" w:type="dxa"/>
          </w:tcPr>
          <w:p w14:paraId="23506032" w14:textId="77777777" w:rsidR="00204174" w:rsidRPr="00465A60" w:rsidRDefault="00204174" w:rsidP="00204174">
            <w:pPr>
              <w:jc w:val="center"/>
              <w:rPr>
                <w:rFonts w:ascii="Times New Roman" w:hAnsi="Times New Roman" w:cs="Times New Roman"/>
                <w:sz w:val="28"/>
                <w:szCs w:val="28"/>
              </w:rPr>
            </w:pPr>
            <w:r w:rsidRPr="00465A60">
              <w:rPr>
                <w:rFonts w:ascii="Times New Roman" w:hAnsi="Times New Roman" w:cs="Times New Roman"/>
                <w:sz w:val="28"/>
                <w:szCs w:val="28"/>
              </w:rPr>
              <w:t>100</w:t>
            </w:r>
          </w:p>
        </w:tc>
      </w:tr>
      <w:bookmarkEnd w:id="0"/>
    </w:tbl>
    <w:p w14:paraId="6ECB917F" w14:textId="77777777" w:rsidR="00306A75" w:rsidRPr="00465A60" w:rsidRDefault="00306A75" w:rsidP="00306A75">
      <w:pPr>
        <w:spacing w:line="360" w:lineRule="auto"/>
        <w:jc w:val="both"/>
        <w:rPr>
          <w:rFonts w:ascii="Times New Roman" w:hAnsi="Times New Roman" w:cs="Times New Roman"/>
          <w:b/>
          <w:bCs/>
          <w:sz w:val="28"/>
          <w:szCs w:val="28"/>
        </w:rPr>
      </w:pPr>
    </w:p>
    <w:p w14:paraId="11C6360A" w14:textId="44CF6230" w:rsidR="00284F74" w:rsidRPr="00465A60" w:rsidRDefault="00145CBF" w:rsidP="00A1533F">
      <w:pPr>
        <w:spacing w:line="360" w:lineRule="auto"/>
        <w:jc w:val="both"/>
        <w:rPr>
          <w:rFonts w:ascii="Times New Roman" w:hAnsi="Times New Roman" w:cs="Times New Roman"/>
          <w:b/>
          <w:bCs/>
          <w:sz w:val="28"/>
          <w:szCs w:val="28"/>
        </w:rPr>
      </w:pPr>
      <w:r w:rsidRPr="00465A60">
        <w:rPr>
          <w:rFonts w:ascii="Times New Roman" w:hAnsi="Times New Roman" w:cs="Times New Roman"/>
          <w:b/>
          <w:bCs/>
          <w:sz w:val="28"/>
          <w:szCs w:val="28"/>
        </w:rPr>
        <w:lastRenderedPageBreak/>
        <w:t>Table III : Antibiotic resistance profile</w:t>
      </w:r>
    </w:p>
    <w:tbl>
      <w:tblPr>
        <w:tblW w:w="9067" w:type="dxa"/>
        <w:tblCellMar>
          <w:left w:w="70" w:type="dxa"/>
          <w:right w:w="70" w:type="dxa"/>
        </w:tblCellMar>
        <w:tblLook w:val="04A0" w:firstRow="1" w:lastRow="0" w:firstColumn="1" w:lastColumn="0" w:noHBand="0" w:noVBand="1"/>
      </w:tblPr>
      <w:tblGrid>
        <w:gridCol w:w="2672"/>
        <w:gridCol w:w="3135"/>
        <w:gridCol w:w="3260"/>
      </w:tblGrid>
      <w:tr w:rsidR="00AE28B8" w:rsidRPr="00465A60" w14:paraId="7E4AE698" w14:textId="2FC1EE9E" w:rsidTr="0055114F">
        <w:trPr>
          <w:trHeight w:val="645"/>
        </w:trPr>
        <w:tc>
          <w:tcPr>
            <w:tcW w:w="2672" w:type="dxa"/>
            <w:tcBorders>
              <w:top w:val="single" w:sz="4" w:space="0" w:color="auto"/>
              <w:bottom w:val="single" w:sz="4" w:space="0" w:color="auto"/>
            </w:tcBorders>
            <w:vAlign w:val="center"/>
            <w:hideMark/>
          </w:tcPr>
          <w:p w14:paraId="0D13C291" w14:textId="5C22FCF1" w:rsidR="00AE28B8" w:rsidRPr="00465A60" w:rsidRDefault="00AE28B8" w:rsidP="00391222">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 xml:space="preserve">Antibiotiques </w:t>
            </w:r>
          </w:p>
        </w:tc>
        <w:tc>
          <w:tcPr>
            <w:tcW w:w="3135" w:type="dxa"/>
            <w:tcBorders>
              <w:top w:val="single" w:sz="4" w:space="0" w:color="auto"/>
              <w:bottom w:val="single" w:sz="4" w:space="0" w:color="auto"/>
            </w:tcBorders>
            <w:vAlign w:val="center"/>
            <w:hideMark/>
          </w:tcPr>
          <w:p w14:paraId="2DB11A4E" w14:textId="75924EFF" w:rsidR="00AE28B8" w:rsidRPr="00465A60" w:rsidRDefault="00306A75" w:rsidP="00306A75">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Résistants</w:t>
            </w:r>
            <w:r w:rsidR="0055114F" w:rsidRPr="00465A60">
              <w:rPr>
                <w:rFonts w:ascii="Times New Roman" w:eastAsia="Times New Roman" w:hAnsi="Times New Roman" w:cs="Times New Roman"/>
                <w:color w:val="000000"/>
                <w:kern w:val="0"/>
                <w:sz w:val="28"/>
                <w:szCs w:val="28"/>
                <w:lang w:eastAsia="fr-FR"/>
                <w14:ligatures w14:val="none"/>
              </w:rPr>
              <w:t xml:space="preserve"> </w:t>
            </w:r>
          </w:p>
        </w:tc>
        <w:tc>
          <w:tcPr>
            <w:tcW w:w="3260" w:type="dxa"/>
            <w:tcBorders>
              <w:top w:val="single" w:sz="4" w:space="0" w:color="auto"/>
              <w:bottom w:val="single" w:sz="4" w:space="0" w:color="auto"/>
            </w:tcBorders>
          </w:tcPr>
          <w:p w14:paraId="5EB63554" w14:textId="77777777" w:rsidR="00AE28B8" w:rsidRPr="00465A60" w:rsidRDefault="00AE28B8" w:rsidP="00306A75">
            <w:pPr>
              <w:spacing w:after="0" w:line="276" w:lineRule="auto"/>
              <w:jc w:val="center"/>
              <w:rPr>
                <w:rFonts w:ascii="Times New Roman" w:eastAsia="Times New Roman" w:hAnsi="Times New Roman" w:cs="Times New Roman"/>
                <w:color w:val="000000"/>
                <w:kern w:val="0"/>
                <w:sz w:val="28"/>
                <w:szCs w:val="28"/>
                <w:lang w:eastAsia="fr-FR"/>
                <w14:ligatures w14:val="none"/>
              </w:rPr>
            </w:pPr>
          </w:p>
          <w:p w14:paraId="16AA07FE" w14:textId="0F28AE70" w:rsidR="00AE28B8" w:rsidRPr="00465A60" w:rsidRDefault="00AE28B8" w:rsidP="00306A75">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w:t>
            </w:r>
          </w:p>
        </w:tc>
      </w:tr>
      <w:tr w:rsidR="00145CBF" w:rsidRPr="00465A60" w14:paraId="22BCD3F3" w14:textId="20594A9A" w:rsidTr="00145CBF">
        <w:trPr>
          <w:trHeight w:val="330"/>
        </w:trPr>
        <w:tc>
          <w:tcPr>
            <w:tcW w:w="2672" w:type="dxa"/>
            <w:tcBorders>
              <w:top w:val="single" w:sz="4" w:space="0" w:color="auto"/>
            </w:tcBorders>
            <w:hideMark/>
          </w:tcPr>
          <w:p w14:paraId="1A7D4145" w14:textId="47539923"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Penicillin G</w:t>
            </w:r>
          </w:p>
        </w:tc>
        <w:tc>
          <w:tcPr>
            <w:tcW w:w="3135" w:type="dxa"/>
            <w:tcBorders>
              <w:top w:val="single" w:sz="4" w:space="0" w:color="auto"/>
            </w:tcBorders>
            <w:vAlign w:val="center"/>
            <w:hideMark/>
          </w:tcPr>
          <w:p w14:paraId="21E9D5D3"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31</w:t>
            </w:r>
          </w:p>
        </w:tc>
        <w:tc>
          <w:tcPr>
            <w:tcW w:w="3260" w:type="dxa"/>
            <w:tcBorders>
              <w:top w:val="single" w:sz="4" w:space="0" w:color="auto"/>
            </w:tcBorders>
          </w:tcPr>
          <w:p w14:paraId="13FA0D9C" w14:textId="05384088"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81.5</w:t>
            </w:r>
          </w:p>
        </w:tc>
      </w:tr>
      <w:tr w:rsidR="00145CBF" w:rsidRPr="00465A60" w14:paraId="4C454F42" w14:textId="52C75357" w:rsidTr="00145CBF">
        <w:trPr>
          <w:trHeight w:val="645"/>
        </w:trPr>
        <w:tc>
          <w:tcPr>
            <w:tcW w:w="2672" w:type="dxa"/>
            <w:hideMark/>
          </w:tcPr>
          <w:p w14:paraId="411BD204" w14:textId="68788E1D"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Cefoxitin</w:t>
            </w:r>
          </w:p>
        </w:tc>
        <w:tc>
          <w:tcPr>
            <w:tcW w:w="3135" w:type="dxa"/>
            <w:vAlign w:val="center"/>
            <w:hideMark/>
          </w:tcPr>
          <w:p w14:paraId="4492BC0E"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24</w:t>
            </w:r>
          </w:p>
        </w:tc>
        <w:tc>
          <w:tcPr>
            <w:tcW w:w="3260" w:type="dxa"/>
          </w:tcPr>
          <w:p w14:paraId="534ED73B" w14:textId="3DB416FC"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63.1</w:t>
            </w:r>
          </w:p>
        </w:tc>
      </w:tr>
      <w:tr w:rsidR="00145CBF" w:rsidRPr="00465A60" w14:paraId="72456FA0" w14:textId="5EEA69FD" w:rsidTr="00145CBF">
        <w:trPr>
          <w:trHeight w:val="645"/>
        </w:trPr>
        <w:tc>
          <w:tcPr>
            <w:tcW w:w="2672" w:type="dxa"/>
            <w:hideMark/>
          </w:tcPr>
          <w:p w14:paraId="19FE7F94" w14:textId="1D65A4DA"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Gentamicin</w:t>
            </w:r>
          </w:p>
        </w:tc>
        <w:tc>
          <w:tcPr>
            <w:tcW w:w="3135" w:type="dxa"/>
            <w:vAlign w:val="center"/>
            <w:hideMark/>
          </w:tcPr>
          <w:p w14:paraId="3503EA6F"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10</w:t>
            </w:r>
          </w:p>
        </w:tc>
        <w:tc>
          <w:tcPr>
            <w:tcW w:w="3260" w:type="dxa"/>
          </w:tcPr>
          <w:p w14:paraId="3130E77B" w14:textId="0829804D"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26.3</w:t>
            </w:r>
          </w:p>
        </w:tc>
      </w:tr>
      <w:tr w:rsidR="00145CBF" w:rsidRPr="00465A60" w14:paraId="2532DF46" w14:textId="765F4E68" w:rsidTr="00145CBF">
        <w:trPr>
          <w:trHeight w:val="645"/>
        </w:trPr>
        <w:tc>
          <w:tcPr>
            <w:tcW w:w="2672" w:type="dxa"/>
            <w:hideMark/>
          </w:tcPr>
          <w:p w14:paraId="6CD83C04" w14:textId="2C7112A0"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Kanamycin</w:t>
            </w:r>
          </w:p>
        </w:tc>
        <w:tc>
          <w:tcPr>
            <w:tcW w:w="3135" w:type="dxa"/>
            <w:vAlign w:val="center"/>
            <w:hideMark/>
          </w:tcPr>
          <w:p w14:paraId="50E2BB28"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8</w:t>
            </w:r>
          </w:p>
        </w:tc>
        <w:tc>
          <w:tcPr>
            <w:tcW w:w="3260" w:type="dxa"/>
          </w:tcPr>
          <w:p w14:paraId="2D01AEA5" w14:textId="1B7C259D"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21.0</w:t>
            </w:r>
          </w:p>
        </w:tc>
      </w:tr>
      <w:tr w:rsidR="00145CBF" w:rsidRPr="00465A60" w14:paraId="32CCAAF8" w14:textId="2DF28433" w:rsidTr="00145CBF">
        <w:trPr>
          <w:trHeight w:val="645"/>
        </w:trPr>
        <w:tc>
          <w:tcPr>
            <w:tcW w:w="2672" w:type="dxa"/>
            <w:hideMark/>
          </w:tcPr>
          <w:p w14:paraId="2BAC4FEE" w14:textId="173A32BC"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Tobramycin</w:t>
            </w:r>
          </w:p>
        </w:tc>
        <w:tc>
          <w:tcPr>
            <w:tcW w:w="3135" w:type="dxa"/>
            <w:vAlign w:val="center"/>
            <w:hideMark/>
          </w:tcPr>
          <w:p w14:paraId="1F524924"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6</w:t>
            </w:r>
          </w:p>
        </w:tc>
        <w:tc>
          <w:tcPr>
            <w:tcW w:w="3260" w:type="dxa"/>
          </w:tcPr>
          <w:p w14:paraId="71C6CB30" w14:textId="3F6FACE2"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15.7</w:t>
            </w:r>
          </w:p>
        </w:tc>
      </w:tr>
      <w:tr w:rsidR="00145CBF" w:rsidRPr="00465A60" w14:paraId="57FBA8AD" w14:textId="16357C4C" w:rsidTr="00145CBF">
        <w:trPr>
          <w:trHeight w:val="645"/>
        </w:trPr>
        <w:tc>
          <w:tcPr>
            <w:tcW w:w="2672" w:type="dxa"/>
            <w:hideMark/>
          </w:tcPr>
          <w:p w14:paraId="70C7AB1B" w14:textId="1F327B5D"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Erythromycin</w:t>
            </w:r>
          </w:p>
        </w:tc>
        <w:tc>
          <w:tcPr>
            <w:tcW w:w="3135" w:type="dxa"/>
            <w:vAlign w:val="center"/>
            <w:hideMark/>
          </w:tcPr>
          <w:p w14:paraId="01A953AC"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6</w:t>
            </w:r>
          </w:p>
        </w:tc>
        <w:tc>
          <w:tcPr>
            <w:tcW w:w="3260" w:type="dxa"/>
          </w:tcPr>
          <w:p w14:paraId="7C207311" w14:textId="34C9A3C1"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15.7</w:t>
            </w:r>
          </w:p>
        </w:tc>
      </w:tr>
      <w:tr w:rsidR="00145CBF" w:rsidRPr="00465A60" w14:paraId="6F1481C1" w14:textId="7ABB8702" w:rsidTr="00145CBF">
        <w:trPr>
          <w:trHeight w:val="645"/>
        </w:trPr>
        <w:tc>
          <w:tcPr>
            <w:tcW w:w="2672" w:type="dxa"/>
            <w:hideMark/>
          </w:tcPr>
          <w:p w14:paraId="6C82E1B8" w14:textId="1683FE17"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Clandamycin</w:t>
            </w:r>
          </w:p>
        </w:tc>
        <w:tc>
          <w:tcPr>
            <w:tcW w:w="3135" w:type="dxa"/>
            <w:vAlign w:val="center"/>
            <w:hideMark/>
          </w:tcPr>
          <w:p w14:paraId="2C05A194"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10</w:t>
            </w:r>
          </w:p>
        </w:tc>
        <w:tc>
          <w:tcPr>
            <w:tcW w:w="3260" w:type="dxa"/>
          </w:tcPr>
          <w:p w14:paraId="75384A00" w14:textId="44083E86"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26.3</w:t>
            </w:r>
          </w:p>
        </w:tc>
      </w:tr>
      <w:tr w:rsidR="00145CBF" w:rsidRPr="00465A60" w14:paraId="7E6F01AE" w14:textId="7199B2C1" w:rsidTr="00145CBF">
        <w:trPr>
          <w:trHeight w:val="729"/>
        </w:trPr>
        <w:tc>
          <w:tcPr>
            <w:tcW w:w="2672" w:type="dxa"/>
            <w:hideMark/>
          </w:tcPr>
          <w:p w14:paraId="00C2C4E6" w14:textId="24BFABE2"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Trimethoprim-sulfamethoxazole</w:t>
            </w:r>
          </w:p>
        </w:tc>
        <w:tc>
          <w:tcPr>
            <w:tcW w:w="3135" w:type="dxa"/>
            <w:vAlign w:val="center"/>
            <w:hideMark/>
          </w:tcPr>
          <w:p w14:paraId="1B9A02ED"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11</w:t>
            </w:r>
          </w:p>
        </w:tc>
        <w:tc>
          <w:tcPr>
            <w:tcW w:w="3260" w:type="dxa"/>
          </w:tcPr>
          <w:p w14:paraId="29A7A1D1" w14:textId="1B6A8415"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28.9</w:t>
            </w:r>
          </w:p>
        </w:tc>
      </w:tr>
      <w:tr w:rsidR="00145CBF" w:rsidRPr="00465A60" w14:paraId="3F54F6EF" w14:textId="2819AE47" w:rsidTr="00145CBF">
        <w:trPr>
          <w:trHeight w:val="645"/>
        </w:trPr>
        <w:tc>
          <w:tcPr>
            <w:tcW w:w="2672" w:type="dxa"/>
            <w:hideMark/>
          </w:tcPr>
          <w:p w14:paraId="03A06A46" w14:textId="794818D4"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Ciprofloxacin</w:t>
            </w:r>
          </w:p>
        </w:tc>
        <w:tc>
          <w:tcPr>
            <w:tcW w:w="3135" w:type="dxa"/>
            <w:vAlign w:val="center"/>
            <w:hideMark/>
          </w:tcPr>
          <w:p w14:paraId="405606F0"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15</w:t>
            </w:r>
          </w:p>
        </w:tc>
        <w:tc>
          <w:tcPr>
            <w:tcW w:w="3260" w:type="dxa"/>
          </w:tcPr>
          <w:p w14:paraId="1A3E04FA" w14:textId="78BAC9D8"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39.4</w:t>
            </w:r>
          </w:p>
        </w:tc>
      </w:tr>
      <w:tr w:rsidR="00145CBF" w:rsidRPr="00465A60" w14:paraId="47D97890" w14:textId="31B8CC96" w:rsidTr="00145CBF">
        <w:trPr>
          <w:trHeight w:val="645"/>
        </w:trPr>
        <w:tc>
          <w:tcPr>
            <w:tcW w:w="2672" w:type="dxa"/>
            <w:hideMark/>
          </w:tcPr>
          <w:p w14:paraId="39920F2F" w14:textId="4D614A8F"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Norfloxacin</w:t>
            </w:r>
          </w:p>
        </w:tc>
        <w:tc>
          <w:tcPr>
            <w:tcW w:w="3135" w:type="dxa"/>
            <w:vAlign w:val="center"/>
            <w:hideMark/>
          </w:tcPr>
          <w:p w14:paraId="1CA6D8D7"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10</w:t>
            </w:r>
          </w:p>
        </w:tc>
        <w:tc>
          <w:tcPr>
            <w:tcW w:w="3260" w:type="dxa"/>
          </w:tcPr>
          <w:p w14:paraId="51C1D249" w14:textId="734C594B"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26.3</w:t>
            </w:r>
          </w:p>
        </w:tc>
      </w:tr>
      <w:tr w:rsidR="00145CBF" w:rsidRPr="00465A60" w14:paraId="2196B782" w14:textId="595024A2" w:rsidTr="00145CBF">
        <w:trPr>
          <w:trHeight w:val="669"/>
        </w:trPr>
        <w:tc>
          <w:tcPr>
            <w:tcW w:w="2672" w:type="dxa"/>
            <w:hideMark/>
          </w:tcPr>
          <w:p w14:paraId="292429A4" w14:textId="65D19D85"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Chloramphenicol</w:t>
            </w:r>
          </w:p>
        </w:tc>
        <w:tc>
          <w:tcPr>
            <w:tcW w:w="3135" w:type="dxa"/>
            <w:vAlign w:val="center"/>
            <w:hideMark/>
          </w:tcPr>
          <w:p w14:paraId="1BC64D78" w14:textId="328AA099"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5</w:t>
            </w:r>
          </w:p>
        </w:tc>
        <w:tc>
          <w:tcPr>
            <w:tcW w:w="3260" w:type="dxa"/>
          </w:tcPr>
          <w:p w14:paraId="1B742AB5" w14:textId="6A8DB5E0"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13.1</w:t>
            </w:r>
          </w:p>
        </w:tc>
      </w:tr>
      <w:tr w:rsidR="00145CBF" w:rsidRPr="00465A60" w14:paraId="3AA0118F" w14:textId="21D5B11D" w:rsidTr="00145CBF">
        <w:trPr>
          <w:trHeight w:val="330"/>
        </w:trPr>
        <w:tc>
          <w:tcPr>
            <w:tcW w:w="2672" w:type="dxa"/>
            <w:hideMark/>
          </w:tcPr>
          <w:p w14:paraId="2E0AB192" w14:textId="3EADE442"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Fusidic acid</w:t>
            </w:r>
          </w:p>
        </w:tc>
        <w:tc>
          <w:tcPr>
            <w:tcW w:w="3135" w:type="dxa"/>
            <w:vAlign w:val="center"/>
            <w:hideMark/>
          </w:tcPr>
          <w:p w14:paraId="37AB1DB9"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5</w:t>
            </w:r>
          </w:p>
        </w:tc>
        <w:tc>
          <w:tcPr>
            <w:tcW w:w="3260" w:type="dxa"/>
          </w:tcPr>
          <w:p w14:paraId="0CE4BE44" w14:textId="529471ED"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13.1</w:t>
            </w:r>
          </w:p>
        </w:tc>
      </w:tr>
      <w:tr w:rsidR="00145CBF" w:rsidRPr="00465A60" w14:paraId="6FDE40D5" w14:textId="5B4D9BD4" w:rsidTr="00145CBF">
        <w:trPr>
          <w:trHeight w:val="330"/>
        </w:trPr>
        <w:tc>
          <w:tcPr>
            <w:tcW w:w="2672" w:type="dxa"/>
            <w:hideMark/>
          </w:tcPr>
          <w:p w14:paraId="29CE5C23" w14:textId="4CFACA74"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Fosfomycin</w:t>
            </w:r>
          </w:p>
        </w:tc>
        <w:tc>
          <w:tcPr>
            <w:tcW w:w="3135" w:type="dxa"/>
            <w:vAlign w:val="center"/>
            <w:hideMark/>
          </w:tcPr>
          <w:p w14:paraId="715F4B72"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4</w:t>
            </w:r>
          </w:p>
        </w:tc>
        <w:tc>
          <w:tcPr>
            <w:tcW w:w="3260" w:type="dxa"/>
          </w:tcPr>
          <w:p w14:paraId="1D65F27E" w14:textId="656E313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10.2</w:t>
            </w:r>
          </w:p>
        </w:tc>
      </w:tr>
      <w:tr w:rsidR="00145CBF" w:rsidRPr="00465A60" w14:paraId="3757965F" w14:textId="3E454D6A" w:rsidTr="00145CBF">
        <w:trPr>
          <w:trHeight w:val="330"/>
        </w:trPr>
        <w:tc>
          <w:tcPr>
            <w:tcW w:w="2672" w:type="dxa"/>
            <w:hideMark/>
          </w:tcPr>
          <w:p w14:paraId="3C6A254A" w14:textId="3EC05E40"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Linezolid</w:t>
            </w:r>
          </w:p>
        </w:tc>
        <w:tc>
          <w:tcPr>
            <w:tcW w:w="3135" w:type="dxa"/>
            <w:vAlign w:val="center"/>
            <w:hideMark/>
          </w:tcPr>
          <w:p w14:paraId="6570E6EA"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2</w:t>
            </w:r>
          </w:p>
        </w:tc>
        <w:tc>
          <w:tcPr>
            <w:tcW w:w="3260" w:type="dxa"/>
          </w:tcPr>
          <w:p w14:paraId="0F5689EA" w14:textId="3DB60146"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5.2</w:t>
            </w:r>
          </w:p>
        </w:tc>
      </w:tr>
      <w:tr w:rsidR="00145CBF" w:rsidRPr="00465A60" w14:paraId="1388BE65" w14:textId="3A4A6248" w:rsidTr="00145CBF">
        <w:trPr>
          <w:trHeight w:val="330"/>
        </w:trPr>
        <w:tc>
          <w:tcPr>
            <w:tcW w:w="2672" w:type="dxa"/>
            <w:tcBorders>
              <w:bottom w:val="single" w:sz="4" w:space="0" w:color="auto"/>
            </w:tcBorders>
            <w:hideMark/>
          </w:tcPr>
          <w:p w14:paraId="36307B8D" w14:textId="62090BC6" w:rsidR="00145CBF" w:rsidRPr="00465A60"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465A60">
              <w:rPr>
                <w:rFonts w:ascii="Times New Roman" w:hAnsi="Times New Roman" w:cs="Times New Roman"/>
              </w:rPr>
              <w:t>Tetracycline</w:t>
            </w:r>
          </w:p>
        </w:tc>
        <w:tc>
          <w:tcPr>
            <w:tcW w:w="3135" w:type="dxa"/>
            <w:tcBorders>
              <w:bottom w:val="single" w:sz="4" w:space="0" w:color="auto"/>
            </w:tcBorders>
            <w:vAlign w:val="center"/>
            <w:hideMark/>
          </w:tcPr>
          <w:p w14:paraId="1B9A8FBB" w14:textId="77777777"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4</w:t>
            </w:r>
          </w:p>
        </w:tc>
        <w:tc>
          <w:tcPr>
            <w:tcW w:w="3260" w:type="dxa"/>
            <w:tcBorders>
              <w:bottom w:val="single" w:sz="4" w:space="0" w:color="auto"/>
            </w:tcBorders>
          </w:tcPr>
          <w:p w14:paraId="3626FD0D" w14:textId="16CA8B0B" w:rsidR="00145CBF" w:rsidRPr="00465A60"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465A60">
              <w:rPr>
                <w:rFonts w:ascii="Times New Roman" w:eastAsia="Times New Roman" w:hAnsi="Times New Roman" w:cs="Times New Roman"/>
                <w:color w:val="000000"/>
                <w:kern w:val="0"/>
                <w:sz w:val="28"/>
                <w:szCs w:val="28"/>
                <w:lang w:eastAsia="fr-FR"/>
                <w14:ligatures w14:val="none"/>
              </w:rPr>
              <w:t>10.2</w:t>
            </w:r>
          </w:p>
        </w:tc>
      </w:tr>
    </w:tbl>
    <w:p w14:paraId="69DD2494" w14:textId="77777777" w:rsidR="00306A75" w:rsidRPr="00465A60" w:rsidRDefault="00306A75" w:rsidP="00A1533F">
      <w:pPr>
        <w:spacing w:line="360" w:lineRule="auto"/>
        <w:jc w:val="both"/>
        <w:rPr>
          <w:rFonts w:ascii="Times New Roman" w:hAnsi="Times New Roman" w:cs="Times New Roman"/>
          <w:b/>
          <w:bCs/>
          <w:sz w:val="28"/>
          <w:szCs w:val="28"/>
        </w:rPr>
      </w:pPr>
    </w:p>
    <w:p w14:paraId="6ACFD6DB" w14:textId="0A0665EC" w:rsidR="00284F74" w:rsidRPr="00465A60" w:rsidRDefault="00FB50B2" w:rsidP="00A1533F">
      <w:pPr>
        <w:spacing w:line="360" w:lineRule="auto"/>
        <w:jc w:val="both"/>
        <w:rPr>
          <w:rFonts w:ascii="Times New Roman" w:hAnsi="Times New Roman" w:cs="Times New Roman"/>
          <w:noProof/>
        </w:rPr>
      </w:pPr>
      <w:r w:rsidRPr="00465A60">
        <w:rPr>
          <w:rFonts w:ascii="Times New Roman" w:hAnsi="Times New Roman" w:cs="Times New Roman"/>
          <w:noProof/>
          <w:lang w:val="en-US"/>
        </w:rPr>
        <w:lastRenderedPageBreak/>
        <w:drawing>
          <wp:inline distT="0" distB="0" distL="0" distR="0" wp14:anchorId="79C82C5C" wp14:editId="6823EE54">
            <wp:extent cx="4572000" cy="2743200"/>
            <wp:effectExtent l="0" t="0" r="0" b="0"/>
            <wp:docPr id="1190015609" name="Graphique 1">
              <a:extLst xmlns:a="http://schemas.openxmlformats.org/drawingml/2006/main">
                <a:ext uri="{FF2B5EF4-FFF2-40B4-BE49-F238E27FC236}">
                  <a16:creationId xmlns:a16="http://schemas.microsoft.com/office/drawing/2014/main" id="{49EDF20E-AAFB-9E4A-1884-F50CA84C2A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C565E8" w14:textId="3799A464" w:rsidR="00C61E31" w:rsidRDefault="00BD1C1D" w:rsidP="00C61E31">
      <w:pPr>
        <w:rPr>
          <w:rFonts w:ascii="Times New Roman" w:hAnsi="Times New Roman" w:cs="Times New Roman"/>
          <w:sz w:val="28"/>
          <w:szCs w:val="28"/>
        </w:rPr>
      </w:pPr>
      <w:r>
        <w:rPr>
          <w:rFonts w:ascii="Times New Roman" w:hAnsi="Times New Roman" w:cs="Times New Roman"/>
          <w:sz w:val="28"/>
          <w:szCs w:val="28"/>
        </w:rPr>
        <w:t>SARM : M</w:t>
      </w:r>
      <w:r w:rsidRPr="00BD1C1D">
        <w:rPr>
          <w:rFonts w:ascii="Times New Roman" w:hAnsi="Times New Roman" w:cs="Times New Roman"/>
          <w:sz w:val="28"/>
          <w:szCs w:val="28"/>
        </w:rPr>
        <w:t>ethicillin-resistant Staphylococcus aureus</w:t>
      </w:r>
    </w:p>
    <w:p w14:paraId="2B63DCA2" w14:textId="6267CA82" w:rsidR="00BD1C1D" w:rsidRDefault="00BD1C1D" w:rsidP="00C61E31">
      <w:pPr>
        <w:rPr>
          <w:rFonts w:ascii="Times New Roman" w:hAnsi="Times New Roman" w:cs="Times New Roman"/>
          <w:sz w:val="28"/>
          <w:szCs w:val="28"/>
        </w:rPr>
      </w:pPr>
      <w:r>
        <w:rPr>
          <w:rFonts w:ascii="Times New Roman" w:hAnsi="Times New Roman" w:cs="Times New Roman"/>
          <w:sz w:val="28"/>
          <w:szCs w:val="28"/>
        </w:rPr>
        <w:t xml:space="preserve">MLSB : </w:t>
      </w:r>
      <w:r w:rsidRPr="00465A60">
        <w:rPr>
          <w:rFonts w:ascii="Times New Roman" w:hAnsi="Times New Roman" w:cs="Times New Roman"/>
          <w:sz w:val="28"/>
          <w:szCs w:val="28"/>
        </w:rPr>
        <w:t>M</w:t>
      </w:r>
      <w:r>
        <w:rPr>
          <w:rFonts w:ascii="Times New Roman" w:hAnsi="Times New Roman" w:cs="Times New Roman"/>
          <w:sz w:val="28"/>
          <w:szCs w:val="28"/>
        </w:rPr>
        <w:t xml:space="preserve">acrolide </w:t>
      </w:r>
      <w:r w:rsidRPr="00465A60">
        <w:rPr>
          <w:rFonts w:ascii="Times New Roman" w:hAnsi="Times New Roman" w:cs="Times New Roman"/>
          <w:sz w:val="28"/>
          <w:szCs w:val="28"/>
        </w:rPr>
        <w:t>L</w:t>
      </w:r>
      <w:r>
        <w:rPr>
          <w:rFonts w:ascii="Times New Roman" w:hAnsi="Times New Roman" w:cs="Times New Roman"/>
          <w:sz w:val="28"/>
          <w:szCs w:val="28"/>
        </w:rPr>
        <w:t xml:space="preserve">incosamide </w:t>
      </w:r>
      <w:r w:rsidRPr="00465A60">
        <w:rPr>
          <w:rFonts w:ascii="Times New Roman" w:hAnsi="Times New Roman" w:cs="Times New Roman"/>
          <w:sz w:val="28"/>
          <w:szCs w:val="28"/>
        </w:rPr>
        <w:t>S</w:t>
      </w:r>
      <w:r>
        <w:rPr>
          <w:rFonts w:ascii="Times New Roman" w:hAnsi="Times New Roman" w:cs="Times New Roman"/>
          <w:sz w:val="28"/>
          <w:szCs w:val="28"/>
        </w:rPr>
        <w:t>treptogram</w:t>
      </w:r>
      <w:r>
        <w:rPr>
          <w:rFonts w:ascii="Times New Roman" w:hAnsi="Times New Roman" w:cs="Times New Roman"/>
          <w:sz w:val="28"/>
          <w:szCs w:val="28"/>
        </w:rPr>
        <w:t xml:space="preserve"> B</w:t>
      </w:r>
    </w:p>
    <w:p w14:paraId="6CAF3106" w14:textId="38BB4B40" w:rsidR="0083735A" w:rsidRPr="00465A60" w:rsidRDefault="0083735A" w:rsidP="00C61E31">
      <w:pPr>
        <w:rPr>
          <w:rFonts w:ascii="Times New Roman" w:hAnsi="Times New Roman" w:cs="Times New Roman"/>
          <w:sz w:val="28"/>
          <w:szCs w:val="28"/>
        </w:rPr>
      </w:pPr>
      <w:r>
        <w:rPr>
          <w:rFonts w:ascii="Times New Roman" w:hAnsi="Times New Roman" w:cs="Times New Roman"/>
          <w:sz w:val="28"/>
          <w:szCs w:val="28"/>
        </w:rPr>
        <w:t>KTG :</w:t>
      </w:r>
      <w:r w:rsidRPr="0083735A">
        <w:t xml:space="preserve"> </w:t>
      </w:r>
      <w:r w:rsidRPr="0083735A">
        <w:rPr>
          <w:rFonts w:ascii="Times New Roman" w:hAnsi="Times New Roman" w:cs="Times New Roman"/>
          <w:sz w:val="28"/>
          <w:szCs w:val="28"/>
        </w:rPr>
        <w:t xml:space="preserve">Kanamycin tobramycin </w:t>
      </w:r>
      <w:r>
        <w:rPr>
          <w:rFonts w:ascii="Times New Roman" w:hAnsi="Times New Roman" w:cs="Times New Roman"/>
          <w:sz w:val="28"/>
          <w:szCs w:val="28"/>
        </w:rPr>
        <w:t>G</w:t>
      </w:r>
      <w:r w:rsidRPr="0083735A">
        <w:rPr>
          <w:rFonts w:ascii="Times New Roman" w:hAnsi="Times New Roman" w:cs="Times New Roman"/>
          <w:sz w:val="28"/>
          <w:szCs w:val="28"/>
        </w:rPr>
        <w:t>entamicin</w:t>
      </w:r>
    </w:p>
    <w:p w14:paraId="061C8123" w14:textId="5BB5029D" w:rsidR="00C61E31" w:rsidRPr="00465A60" w:rsidRDefault="00145CBF" w:rsidP="00C61E31">
      <w:pPr>
        <w:tabs>
          <w:tab w:val="left" w:pos="1950"/>
        </w:tabs>
        <w:rPr>
          <w:rFonts w:ascii="Times New Roman" w:hAnsi="Times New Roman" w:cs="Times New Roman"/>
          <w:sz w:val="28"/>
          <w:szCs w:val="28"/>
        </w:rPr>
      </w:pPr>
      <w:r w:rsidRPr="00465A60">
        <w:rPr>
          <w:rFonts w:ascii="Times New Roman" w:hAnsi="Times New Roman" w:cs="Times New Roman"/>
          <w:b/>
          <w:bCs/>
          <w:sz w:val="28"/>
          <w:szCs w:val="28"/>
        </w:rPr>
        <w:t xml:space="preserve">Figure </w:t>
      </w:r>
      <w:r w:rsidR="00F665FA" w:rsidRPr="00465A60">
        <w:rPr>
          <w:rFonts w:ascii="Times New Roman" w:hAnsi="Times New Roman" w:cs="Times New Roman"/>
          <w:b/>
          <w:bCs/>
          <w:sz w:val="28"/>
          <w:szCs w:val="28"/>
        </w:rPr>
        <w:t>1</w:t>
      </w:r>
      <w:r w:rsidRPr="00465A60">
        <w:rPr>
          <w:rFonts w:ascii="Times New Roman" w:hAnsi="Times New Roman" w:cs="Times New Roman"/>
          <w:b/>
          <w:bCs/>
          <w:sz w:val="28"/>
          <w:szCs w:val="28"/>
        </w:rPr>
        <w:t xml:space="preserve"> : </w:t>
      </w:r>
      <w:r w:rsidRPr="00465A60">
        <w:rPr>
          <w:rFonts w:ascii="Times New Roman" w:hAnsi="Times New Roman" w:cs="Times New Roman"/>
          <w:sz w:val="28"/>
          <w:szCs w:val="28"/>
        </w:rPr>
        <w:t>Identified resistance phenotypes</w:t>
      </w:r>
    </w:p>
    <w:sectPr w:rsidR="00C61E31" w:rsidRPr="00465A6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2DA6" w14:textId="77777777" w:rsidR="006A56CE" w:rsidRDefault="006A56CE" w:rsidP="0055114F">
      <w:pPr>
        <w:spacing w:after="0" w:line="240" w:lineRule="auto"/>
      </w:pPr>
      <w:r>
        <w:separator/>
      </w:r>
    </w:p>
  </w:endnote>
  <w:endnote w:type="continuationSeparator" w:id="0">
    <w:p w14:paraId="0D18E5CC" w14:textId="77777777" w:rsidR="006A56CE" w:rsidRDefault="006A56CE" w:rsidP="0055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9F90" w14:textId="77777777" w:rsidR="00403CCC" w:rsidRDefault="00403C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057221"/>
      <w:docPartObj>
        <w:docPartGallery w:val="Page Numbers (Bottom of Page)"/>
        <w:docPartUnique/>
      </w:docPartObj>
    </w:sdtPr>
    <w:sdtContent>
      <w:p w14:paraId="281C65F7" w14:textId="32B797C6" w:rsidR="0055114F" w:rsidRDefault="0055114F">
        <w:pPr>
          <w:pStyle w:val="Pieddepage"/>
          <w:jc w:val="center"/>
        </w:pPr>
        <w:r>
          <w:fldChar w:fldCharType="begin"/>
        </w:r>
        <w:r>
          <w:instrText>PAGE   \* MERGEFORMAT</w:instrText>
        </w:r>
        <w:r>
          <w:fldChar w:fldCharType="separate"/>
        </w:r>
        <w:r w:rsidR="00BA0F71">
          <w:rPr>
            <w:noProof/>
          </w:rPr>
          <w:t>2</w:t>
        </w:r>
        <w:r>
          <w:fldChar w:fldCharType="end"/>
        </w:r>
      </w:p>
    </w:sdtContent>
  </w:sdt>
  <w:p w14:paraId="7AF72145" w14:textId="77777777" w:rsidR="0055114F" w:rsidRDefault="005511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2153" w14:textId="77777777" w:rsidR="00403CCC" w:rsidRDefault="00403C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BBDA" w14:textId="77777777" w:rsidR="006A56CE" w:rsidRDefault="006A56CE" w:rsidP="0055114F">
      <w:pPr>
        <w:spacing w:after="0" w:line="240" w:lineRule="auto"/>
      </w:pPr>
      <w:r>
        <w:separator/>
      </w:r>
    </w:p>
  </w:footnote>
  <w:footnote w:type="continuationSeparator" w:id="0">
    <w:p w14:paraId="4A78FD2B" w14:textId="77777777" w:rsidR="006A56CE" w:rsidRDefault="006A56CE" w:rsidP="00551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623E" w14:textId="11D948A7" w:rsidR="00403CCC" w:rsidRDefault="00000000">
    <w:pPr>
      <w:pStyle w:val="En-tte"/>
    </w:pPr>
    <w:r>
      <w:rPr>
        <w:noProof/>
      </w:rPr>
      <w:pict w14:anchorId="4F97E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46360"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B1CA" w14:textId="1885D66C" w:rsidR="00403CCC" w:rsidRDefault="00000000">
    <w:pPr>
      <w:pStyle w:val="En-tte"/>
    </w:pPr>
    <w:r>
      <w:rPr>
        <w:noProof/>
      </w:rPr>
      <w:pict w14:anchorId="7F025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46361"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D326" w14:textId="56DF0E8D" w:rsidR="00403CCC" w:rsidRDefault="00000000">
    <w:pPr>
      <w:pStyle w:val="En-tte"/>
    </w:pPr>
    <w:r>
      <w:rPr>
        <w:noProof/>
      </w:rPr>
      <w:pict w14:anchorId="602A6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46359"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733E"/>
    <w:multiLevelType w:val="hybridMultilevel"/>
    <w:tmpl w:val="B7BA00C6"/>
    <w:lvl w:ilvl="0" w:tplc="CB667E4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4111ED"/>
    <w:multiLevelType w:val="multilevel"/>
    <w:tmpl w:val="C644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83DFD"/>
    <w:multiLevelType w:val="multilevel"/>
    <w:tmpl w:val="90C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10C97"/>
    <w:multiLevelType w:val="hybridMultilevel"/>
    <w:tmpl w:val="FA8C91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2D7D47"/>
    <w:multiLevelType w:val="multilevel"/>
    <w:tmpl w:val="CB2AA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305A1B"/>
    <w:multiLevelType w:val="multilevel"/>
    <w:tmpl w:val="0DB4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84DA3"/>
    <w:multiLevelType w:val="hybridMultilevel"/>
    <w:tmpl w:val="E102A164"/>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787192"/>
    <w:multiLevelType w:val="hybridMultilevel"/>
    <w:tmpl w:val="2C3ED2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07450F"/>
    <w:multiLevelType w:val="multilevel"/>
    <w:tmpl w:val="21FE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F3769"/>
    <w:multiLevelType w:val="multilevel"/>
    <w:tmpl w:val="D490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855507">
    <w:abstractNumId w:val="5"/>
  </w:num>
  <w:num w:numId="2" w16cid:durableId="1240209100">
    <w:abstractNumId w:val="1"/>
  </w:num>
  <w:num w:numId="3" w16cid:durableId="1883247685">
    <w:abstractNumId w:val="2"/>
  </w:num>
  <w:num w:numId="4" w16cid:durableId="1463496048">
    <w:abstractNumId w:val="9"/>
  </w:num>
  <w:num w:numId="5" w16cid:durableId="1890339088">
    <w:abstractNumId w:val="7"/>
  </w:num>
  <w:num w:numId="6" w16cid:durableId="1827549910">
    <w:abstractNumId w:val="3"/>
  </w:num>
  <w:num w:numId="7" w16cid:durableId="194008063">
    <w:abstractNumId w:val="8"/>
  </w:num>
  <w:num w:numId="8" w16cid:durableId="674725112">
    <w:abstractNumId w:val="4"/>
  </w:num>
  <w:num w:numId="9" w16cid:durableId="468858557">
    <w:abstractNumId w:val="6"/>
  </w:num>
  <w:num w:numId="10" w16cid:durableId="169777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109"/>
    <w:rsid w:val="000159C5"/>
    <w:rsid w:val="000257E7"/>
    <w:rsid w:val="0003456A"/>
    <w:rsid w:val="0003602D"/>
    <w:rsid w:val="00071D4B"/>
    <w:rsid w:val="000838B0"/>
    <w:rsid w:val="00091AE2"/>
    <w:rsid w:val="000E6AA0"/>
    <w:rsid w:val="00113720"/>
    <w:rsid w:val="00130C50"/>
    <w:rsid w:val="00145CBF"/>
    <w:rsid w:val="001B1067"/>
    <w:rsid w:val="00204174"/>
    <w:rsid w:val="00284F74"/>
    <w:rsid w:val="002A1FFF"/>
    <w:rsid w:val="002A3C59"/>
    <w:rsid w:val="003060D3"/>
    <w:rsid w:val="00306A75"/>
    <w:rsid w:val="0031017B"/>
    <w:rsid w:val="00325197"/>
    <w:rsid w:val="00380611"/>
    <w:rsid w:val="00391222"/>
    <w:rsid w:val="00403CCC"/>
    <w:rsid w:val="004135CD"/>
    <w:rsid w:val="00427BA4"/>
    <w:rsid w:val="004575A9"/>
    <w:rsid w:val="00465A60"/>
    <w:rsid w:val="0047199B"/>
    <w:rsid w:val="00475F96"/>
    <w:rsid w:val="00495CB3"/>
    <w:rsid w:val="004C632A"/>
    <w:rsid w:val="00511EC1"/>
    <w:rsid w:val="00550927"/>
    <w:rsid w:val="0055114F"/>
    <w:rsid w:val="00551FC2"/>
    <w:rsid w:val="00567326"/>
    <w:rsid w:val="005A6431"/>
    <w:rsid w:val="0060477A"/>
    <w:rsid w:val="00625920"/>
    <w:rsid w:val="00687238"/>
    <w:rsid w:val="00696D29"/>
    <w:rsid w:val="006A3171"/>
    <w:rsid w:val="006A56CE"/>
    <w:rsid w:val="006C0A71"/>
    <w:rsid w:val="00716336"/>
    <w:rsid w:val="00791225"/>
    <w:rsid w:val="007F0BB6"/>
    <w:rsid w:val="007F1699"/>
    <w:rsid w:val="007F7614"/>
    <w:rsid w:val="00811A79"/>
    <w:rsid w:val="0081206E"/>
    <w:rsid w:val="0083735A"/>
    <w:rsid w:val="0085406B"/>
    <w:rsid w:val="00856F3C"/>
    <w:rsid w:val="008724AB"/>
    <w:rsid w:val="008A33AB"/>
    <w:rsid w:val="009373B2"/>
    <w:rsid w:val="00967A8F"/>
    <w:rsid w:val="00975F48"/>
    <w:rsid w:val="0098295E"/>
    <w:rsid w:val="009C4D8F"/>
    <w:rsid w:val="009F78C3"/>
    <w:rsid w:val="00A1229D"/>
    <w:rsid w:val="00A1278E"/>
    <w:rsid w:val="00A12A13"/>
    <w:rsid w:val="00A1533F"/>
    <w:rsid w:val="00A16893"/>
    <w:rsid w:val="00A429E7"/>
    <w:rsid w:val="00A75DB3"/>
    <w:rsid w:val="00A95109"/>
    <w:rsid w:val="00A9633B"/>
    <w:rsid w:val="00AA0520"/>
    <w:rsid w:val="00AB5F62"/>
    <w:rsid w:val="00AE28B8"/>
    <w:rsid w:val="00AF1BB5"/>
    <w:rsid w:val="00B46A0F"/>
    <w:rsid w:val="00B6454C"/>
    <w:rsid w:val="00B77859"/>
    <w:rsid w:val="00B87580"/>
    <w:rsid w:val="00B87B3C"/>
    <w:rsid w:val="00BA0F71"/>
    <w:rsid w:val="00BC2DD2"/>
    <w:rsid w:val="00BD1C1D"/>
    <w:rsid w:val="00BF4B39"/>
    <w:rsid w:val="00C61E31"/>
    <w:rsid w:val="00C64159"/>
    <w:rsid w:val="00C76557"/>
    <w:rsid w:val="00C92C3C"/>
    <w:rsid w:val="00CB1B80"/>
    <w:rsid w:val="00CD4A69"/>
    <w:rsid w:val="00CD615E"/>
    <w:rsid w:val="00D76742"/>
    <w:rsid w:val="00D85B08"/>
    <w:rsid w:val="00DC2434"/>
    <w:rsid w:val="00DC5A57"/>
    <w:rsid w:val="00E11381"/>
    <w:rsid w:val="00E23C7F"/>
    <w:rsid w:val="00E32925"/>
    <w:rsid w:val="00E60BCF"/>
    <w:rsid w:val="00ED0E04"/>
    <w:rsid w:val="00F20CD4"/>
    <w:rsid w:val="00F62F36"/>
    <w:rsid w:val="00F665FA"/>
    <w:rsid w:val="00FA50EB"/>
    <w:rsid w:val="00FA6F7C"/>
    <w:rsid w:val="00FB50B2"/>
    <w:rsid w:val="00FB536D"/>
    <w:rsid w:val="00FB6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9FE7"/>
  <w15:chartTrackingRefBased/>
  <w15:docId w15:val="{E8C7C3CC-274D-4D9D-9808-06B9C270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5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95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A9510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9510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9510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951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51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51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51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510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9510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9510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9510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9510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951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51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51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5109"/>
    <w:rPr>
      <w:rFonts w:eastAsiaTheme="majorEastAsia" w:cstheme="majorBidi"/>
      <w:color w:val="272727" w:themeColor="text1" w:themeTint="D8"/>
    </w:rPr>
  </w:style>
  <w:style w:type="paragraph" w:styleId="Titre">
    <w:name w:val="Title"/>
    <w:basedOn w:val="Normal"/>
    <w:next w:val="Normal"/>
    <w:link w:val="TitreCar"/>
    <w:uiPriority w:val="10"/>
    <w:qFormat/>
    <w:rsid w:val="00A95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51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51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51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5109"/>
    <w:pPr>
      <w:spacing w:before="160"/>
      <w:jc w:val="center"/>
    </w:pPr>
    <w:rPr>
      <w:i/>
      <w:iCs/>
      <w:color w:val="404040" w:themeColor="text1" w:themeTint="BF"/>
    </w:rPr>
  </w:style>
  <w:style w:type="character" w:customStyle="1" w:styleId="CitationCar">
    <w:name w:val="Citation Car"/>
    <w:basedOn w:val="Policepardfaut"/>
    <w:link w:val="Citation"/>
    <w:uiPriority w:val="29"/>
    <w:rsid w:val="00A95109"/>
    <w:rPr>
      <w:i/>
      <w:iCs/>
      <w:color w:val="404040" w:themeColor="text1" w:themeTint="BF"/>
    </w:rPr>
  </w:style>
  <w:style w:type="paragraph" w:styleId="Paragraphedeliste">
    <w:name w:val="List Paragraph"/>
    <w:basedOn w:val="Normal"/>
    <w:uiPriority w:val="34"/>
    <w:qFormat/>
    <w:rsid w:val="00A95109"/>
    <w:pPr>
      <w:ind w:left="720"/>
      <w:contextualSpacing/>
    </w:pPr>
  </w:style>
  <w:style w:type="character" w:styleId="Accentuationintense">
    <w:name w:val="Intense Emphasis"/>
    <w:basedOn w:val="Policepardfaut"/>
    <w:uiPriority w:val="21"/>
    <w:qFormat/>
    <w:rsid w:val="00A95109"/>
    <w:rPr>
      <w:i/>
      <w:iCs/>
      <w:color w:val="2F5496" w:themeColor="accent1" w:themeShade="BF"/>
    </w:rPr>
  </w:style>
  <w:style w:type="paragraph" w:styleId="Citationintense">
    <w:name w:val="Intense Quote"/>
    <w:basedOn w:val="Normal"/>
    <w:next w:val="Normal"/>
    <w:link w:val="CitationintenseCar"/>
    <w:uiPriority w:val="30"/>
    <w:qFormat/>
    <w:rsid w:val="00A95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95109"/>
    <w:rPr>
      <w:i/>
      <w:iCs/>
      <w:color w:val="2F5496" w:themeColor="accent1" w:themeShade="BF"/>
    </w:rPr>
  </w:style>
  <w:style w:type="character" w:styleId="Rfrenceintense">
    <w:name w:val="Intense Reference"/>
    <w:basedOn w:val="Policepardfaut"/>
    <w:uiPriority w:val="32"/>
    <w:qFormat/>
    <w:rsid w:val="00A95109"/>
    <w:rPr>
      <w:b/>
      <w:bCs/>
      <w:smallCaps/>
      <w:color w:val="2F5496" w:themeColor="accent1" w:themeShade="BF"/>
      <w:spacing w:val="5"/>
    </w:rPr>
  </w:style>
  <w:style w:type="paragraph" w:styleId="Bibliographie">
    <w:name w:val="Bibliography"/>
    <w:basedOn w:val="Normal"/>
    <w:next w:val="Normal"/>
    <w:uiPriority w:val="37"/>
    <w:unhideWhenUsed/>
    <w:rsid w:val="00C61E31"/>
  </w:style>
  <w:style w:type="character" w:styleId="lev">
    <w:name w:val="Strong"/>
    <w:basedOn w:val="Policepardfaut"/>
    <w:uiPriority w:val="22"/>
    <w:qFormat/>
    <w:rsid w:val="00306A75"/>
    <w:rPr>
      <w:b/>
      <w:bCs/>
    </w:rPr>
  </w:style>
  <w:style w:type="paragraph" w:styleId="NormalWeb">
    <w:name w:val="Normal (Web)"/>
    <w:basedOn w:val="Normal"/>
    <w:uiPriority w:val="99"/>
    <w:semiHidden/>
    <w:unhideWhenUsed/>
    <w:rsid w:val="00306A7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306A75"/>
    <w:rPr>
      <w:i/>
      <w:iCs/>
    </w:rPr>
  </w:style>
  <w:style w:type="character" w:styleId="Lienhypertexte">
    <w:name w:val="Hyperlink"/>
    <w:basedOn w:val="Policepardfaut"/>
    <w:uiPriority w:val="99"/>
    <w:unhideWhenUsed/>
    <w:rsid w:val="00550927"/>
    <w:rPr>
      <w:color w:val="0563C1" w:themeColor="hyperlink"/>
      <w:u w:val="single"/>
    </w:rPr>
  </w:style>
  <w:style w:type="character" w:customStyle="1" w:styleId="UnresolvedMention1">
    <w:name w:val="Unresolved Mention1"/>
    <w:basedOn w:val="Policepardfaut"/>
    <w:uiPriority w:val="99"/>
    <w:semiHidden/>
    <w:unhideWhenUsed/>
    <w:rsid w:val="00550927"/>
    <w:rPr>
      <w:color w:val="605E5C"/>
      <w:shd w:val="clear" w:color="auto" w:fill="E1DFDD"/>
    </w:rPr>
  </w:style>
  <w:style w:type="paragraph" w:styleId="En-tte">
    <w:name w:val="header"/>
    <w:basedOn w:val="Normal"/>
    <w:link w:val="En-tteCar"/>
    <w:uiPriority w:val="99"/>
    <w:unhideWhenUsed/>
    <w:rsid w:val="0055114F"/>
    <w:pPr>
      <w:tabs>
        <w:tab w:val="center" w:pos="4536"/>
        <w:tab w:val="right" w:pos="9072"/>
      </w:tabs>
      <w:spacing w:after="0" w:line="240" w:lineRule="auto"/>
    </w:pPr>
  </w:style>
  <w:style w:type="character" w:customStyle="1" w:styleId="En-tteCar">
    <w:name w:val="En-tête Car"/>
    <w:basedOn w:val="Policepardfaut"/>
    <w:link w:val="En-tte"/>
    <w:uiPriority w:val="99"/>
    <w:rsid w:val="0055114F"/>
  </w:style>
  <w:style w:type="paragraph" w:styleId="Pieddepage">
    <w:name w:val="footer"/>
    <w:basedOn w:val="Normal"/>
    <w:link w:val="PieddepageCar"/>
    <w:uiPriority w:val="99"/>
    <w:unhideWhenUsed/>
    <w:rsid w:val="005511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14F"/>
  </w:style>
  <w:style w:type="character" w:styleId="Marquedecommentaire">
    <w:name w:val="annotation reference"/>
    <w:basedOn w:val="Policepardfaut"/>
    <w:uiPriority w:val="99"/>
    <w:semiHidden/>
    <w:unhideWhenUsed/>
    <w:rsid w:val="00ED0E04"/>
    <w:rPr>
      <w:sz w:val="16"/>
      <w:szCs w:val="16"/>
    </w:rPr>
  </w:style>
  <w:style w:type="paragraph" w:styleId="Commentaire">
    <w:name w:val="annotation text"/>
    <w:basedOn w:val="Normal"/>
    <w:link w:val="CommentaireCar"/>
    <w:uiPriority w:val="99"/>
    <w:semiHidden/>
    <w:unhideWhenUsed/>
    <w:rsid w:val="00ED0E04"/>
    <w:pPr>
      <w:spacing w:line="240" w:lineRule="auto"/>
    </w:pPr>
    <w:rPr>
      <w:sz w:val="20"/>
      <w:szCs w:val="20"/>
    </w:rPr>
  </w:style>
  <w:style w:type="character" w:customStyle="1" w:styleId="CommentaireCar">
    <w:name w:val="Commentaire Car"/>
    <w:basedOn w:val="Policepardfaut"/>
    <w:link w:val="Commentaire"/>
    <w:uiPriority w:val="99"/>
    <w:semiHidden/>
    <w:rsid w:val="00ED0E04"/>
    <w:rPr>
      <w:sz w:val="20"/>
      <w:szCs w:val="20"/>
    </w:rPr>
  </w:style>
  <w:style w:type="paragraph" w:styleId="Objetducommentaire">
    <w:name w:val="annotation subject"/>
    <w:basedOn w:val="Commentaire"/>
    <w:next w:val="Commentaire"/>
    <w:link w:val="ObjetducommentaireCar"/>
    <w:uiPriority w:val="99"/>
    <w:semiHidden/>
    <w:unhideWhenUsed/>
    <w:rsid w:val="00ED0E04"/>
    <w:rPr>
      <w:b/>
      <w:bCs/>
    </w:rPr>
  </w:style>
  <w:style w:type="character" w:customStyle="1" w:styleId="ObjetducommentaireCar">
    <w:name w:val="Objet du commentaire Car"/>
    <w:basedOn w:val="CommentaireCar"/>
    <w:link w:val="Objetducommentaire"/>
    <w:uiPriority w:val="99"/>
    <w:semiHidden/>
    <w:rsid w:val="00ED0E04"/>
    <w:rPr>
      <w:b/>
      <w:bCs/>
      <w:sz w:val="20"/>
      <w:szCs w:val="20"/>
    </w:rPr>
  </w:style>
  <w:style w:type="paragraph" w:styleId="Rvision">
    <w:name w:val="Revision"/>
    <w:hidden/>
    <w:uiPriority w:val="99"/>
    <w:semiHidden/>
    <w:rsid w:val="00ED0E04"/>
    <w:pPr>
      <w:spacing w:after="0" w:line="240" w:lineRule="auto"/>
    </w:pPr>
  </w:style>
  <w:style w:type="paragraph" w:customStyle="1" w:styleId="Bibliographie1">
    <w:name w:val="Bibliographie1"/>
    <w:basedOn w:val="Normal"/>
    <w:next w:val="Normal"/>
    <w:uiPriority w:val="37"/>
    <w:unhideWhenUsed/>
    <w:rsid w:val="00CD615E"/>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811">
      <w:bodyDiv w:val="1"/>
      <w:marLeft w:val="0"/>
      <w:marRight w:val="0"/>
      <w:marTop w:val="0"/>
      <w:marBottom w:val="0"/>
      <w:divBdr>
        <w:top w:val="none" w:sz="0" w:space="0" w:color="auto"/>
        <w:left w:val="none" w:sz="0" w:space="0" w:color="auto"/>
        <w:bottom w:val="none" w:sz="0" w:space="0" w:color="auto"/>
        <w:right w:val="none" w:sz="0" w:space="0" w:color="auto"/>
      </w:divBdr>
    </w:div>
    <w:div w:id="198905990">
      <w:bodyDiv w:val="1"/>
      <w:marLeft w:val="0"/>
      <w:marRight w:val="0"/>
      <w:marTop w:val="0"/>
      <w:marBottom w:val="0"/>
      <w:divBdr>
        <w:top w:val="none" w:sz="0" w:space="0" w:color="auto"/>
        <w:left w:val="none" w:sz="0" w:space="0" w:color="auto"/>
        <w:bottom w:val="none" w:sz="0" w:space="0" w:color="auto"/>
        <w:right w:val="none" w:sz="0" w:space="0" w:color="auto"/>
      </w:divBdr>
    </w:div>
    <w:div w:id="228536261">
      <w:bodyDiv w:val="1"/>
      <w:marLeft w:val="0"/>
      <w:marRight w:val="0"/>
      <w:marTop w:val="0"/>
      <w:marBottom w:val="0"/>
      <w:divBdr>
        <w:top w:val="none" w:sz="0" w:space="0" w:color="auto"/>
        <w:left w:val="none" w:sz="0" w:space="0" w:color="auto"/>
        <w:bottom w:val="none" w:sz="0" w:space="0" w:color="auto"/>
        <w:right w:val="none" w:sz="0" w:space="0" w:color="auto"/>
      </w:divBdr>
    </w:div>
    <w:div w:id="641153790">
      <w:bodyDiv w:val="1"/>
      <w:marLeft w:val="0"/>
      <w:marRight w:val="0"/>
      <w:marTop w:val="0"/>
      <w:marBottom w:val="0"/>
      <w:divBdr>
        <w:top w:val="none" w:sz="0" w:space="0" w:color="auto"/>
        <w:left w:val="none" w:sz="0" w:space="0" w:color="auto"/>
        <w:bottom w:val="none" w:sz="0" w:space="0" w:color="auto"/>
        <w:right w:val="none" w:sz="0" w:space="0" w:color="auto"/>
      </w:divBdr>
    </w:div>
    <w:div w:id="805588399">
      <w:bodyDiv w:val="1"/>
      <w:marLeft w:val="0"/>
      <w:marRight w:val="0"/>
      <w:marTop w:val="0"/>
      <w:marBottom w:val="0"/>
      <w:divBdr>
        <w:top w:val="none" w:sz="0" w:space="0" w:color="auto"/>
        <w:left w:val="none" w:sz="0" w:space="0" w:color="auto"/>
        <w:bottom w:val="none" w:sz="0" w:space="0" w:color="auto"/>
        <w:right w:val="none" w:sz="0" w:space="0" w:color="auto"/>
      </w:divBdr>
    </w:div>
    <w:div w:id="1137143861">
      <w:bodyDiv w:val="1"/>
      <w:marLeft w:val="0"/>
      <w:marRight w:val="0"/>
      <w:marTop w:val="0"/>
      <w:marBottom w:val="0"/>
      <w:divBdr>
        <w:top w:val="none" w:sz="0" w:space="0" w:color="auto"/>
        <w:left w:val="none" w:sz="0" w:space="0" w:color="auto"/>
        <w:bottom w:val="none" w:sz="0" w:space="0" w:color="auto"/>
        <w:right w:val="none" w:sz="0" w:space="0" w:color="auto"/>
      </w:divBdr>
    </w:div>
    <w:div w:id="1636138672">
      <w:bodyDiv w:val="1"/>
      <w:marLeft w:val="0"/>
      <w:marRight w:val="0"/>
      <w:marTop w:val="0"/>
      <w:marBottom w:val="0"/>
      <w:divBdr>
        <w:top w:val="none" w:sz="0" w:space="0" w:color="auto"/>
        <w:left w:val="none" w:sz="0" w:space="0" w:color="auto"/>
        <w:bottom w:val="none" w:sz="0" w:space="0" w:color="auto"/>
        <w:right w:val="none" w:sz="0" w:space="0" w:color="auto"/>
      </w:divBdr>
    </w:div>
    <w:div w:id="20220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97/md.000000000003856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Biologie%20clinique\conde\Mes%20articles%20et%20assosci&#233;e\Bacteriemie%20a%20s%20aureus\Nouveau%20Feuille%20de%20calcul%20XLS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856-4814-8BA9-F04461EF63D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856-4814-8BA9-F04461EF63D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856-4814-8BA9-F04461EF63D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856-4814-8BA9-F04461EF63D8}"/>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856-4814-8BA9-F04461EF63D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Feuil2!$I$2:$I$6</c:f>
              <c:strCache>
                <c:ptCount val="5"/>
                <c:pt idx="0">
                  <c:v>PENICILLINASE </c:v>
                </c:pt>
                <c:pt idx="1">
                  <c:v>SARM</c:v>
                </c:pt>
                <c:pt idx="2">
                  <c:v>SOUCHE SAUVAGE</c:v>
                </c:pt>
                <c:pt idx="3">
                  <c:v>MLSB</c:v>
                </c:pt>
                <c:pt idx="4">
                  <c:v>KTG</c:v>
                </c:pt>
              </c:strCache>
            </c:strRef>
          </c:cat>
          <c:val>
            <c:numRef>
              <c:f>Feuil2!$J$2:$J$6</c:f>
              <c:numCache>
                <c:formatCode>General</c:formatCode>
                <c:ptCount val="5"/>
                <c:pt idx="0">
                  <c:v>7</c:v>
                </c:pt>
                <c:pt idx="1">
                  <c:v>24</c:v>
                </c:pt>
                <c:pt idx="2">
                  <c:v>7</c:v>
                </c:pt>
                <c:pt idx="3">
                  <c:v>5</c:v>
                </c:pt>
                <c:pt idx="4">
                  <c:v>3</c:v>
                </c:pt>
              </c:numCache>
            </c:numRef>
          </c:val>
          <c:extLst>
            <c:ext xmlns:c16="http://schemas.microsoft.com/office/drawing/2014/chart" uri="{C3380CC4-5D6E-409C-BE32-E72D297353CC}">
              <c16:uniqueId val="{0000000A-1856-4814-8BA9-F04461EF63D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Pages>
  <Words>2765</Words>
  <Characters>15211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dcterms:created xsi:type="dcterms:W3CDTF">2025-08-03T12:12:00Z</dcterms:created>
  <dcterms:modified xsi:type="dcterms:W3CDTF">2025-12-14T20:36:00Z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id="bWngBilg"/&gt;&lt;style id="http://www.zotero.org/styles/vancouver-brackets" locale="fr-FR" hasBibliography="1" bibliographyStyleHasBeenSet="1"/&gt;&lt;prefs&gt;&lt;pref name="fieldType" value="Field"/&gt;&lt;/prefs&gt;&lt;/d</vt:lpwstr>
  </property>
  <property fmtid="{D5CDD505-2E9C-101B-9397-08002B2CF9AE}" pid="3" name="ZOTERO_PREF_2">
    <vt:lpwstr>ata&gt;</vt:lpwstr>
  </property>
</Properties>
</file>