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3D6DD" w14:textId="77777777" w:rsidR="00A174E5" w:rsidRDefault="00A174E5">
      <w:pPr>
        <w:spacing w:after="280" w:line="240" w:lineRule="auto"/>
        <w:jc w:val="center"/>
        <w:rPr>
          <w:rFonts w:ascii="Arial" w:eastAsia="Arial" w:hAnsi="Arial" w:cs="Arial"/>
          <w:b/>
          <w:sz w:val="36"/>
          <w:szCs w:val="36"/>
        </w:rPr>
      </w:pPr>
    </w:p>
    <w:p w14:paraId="00000001" w14:textId="6A45A4E5" w:rsidR="00DF4018" w:rsidRDefault="000E1748">
      <w:pPr>
        <w:spacing w:after="280" w:line="240" w:lineRule="auto"/>
        <w:jc w:val="center"/>
        <w:rPr>
          <w:rFonts w:ascii="Arial" w:eastAsia="Arial" w:hAnsi="Arial" w:cs="Arial"/>
          <w:b/>
          <w:sz w:val="36"/>
          <w:szCs w:val="36"/>
        </w:rPr>
      </w:pPr>
      <w:r>
        <w:rPr>
          <w:rFonts w:ascii="Arial" w:eastAsia="Arial" w:hAnsi="Arial" w:cs="Arial"/>
          <w:b/>
          <w:sz w:val="36"/>
          <w:szCs w:val="36"/>
        </w:rPr>
        <w:t xml:space="preserve">Co-infection with </w:t>
      </w:r>
      <w:r>
        <w:rPr>
          <w:rFonts w:ascii="Arial" w:eastAsia="Arial" w:hAnsi="Arial" w:cs="Arial"/>
          <w:b/>
          <w:i/>
          <w:sz w:val="36"/>
          <w:szCs w:val="36"/>
        </w:rPr>
        <w:t xml:space="preserve">Salmonella </w:t>
      </w:r>
      <w:r w:rsidR="00FA4AD4">
        <w:rPr>
          <w:rFonts w:ascii="Arial" w:eastAsia="Arial" w:hAnsi="Arial" w:cs="Arial"/>
          <w:b/>
          <w:i/>
          <w:sz w:val="36"/>
          <w:szCs w:val="36"/>
        </w:rPr>
        <w:t>Typhi</w:t>
      </w:r>
      <w:r>
        <w:rPr>
          <w:rFonts w:ascii="Arial" w:eastAsia="Arial" w:hAnsi="Arial" w:cs="Arial"/>
          <w:b/>
          <w:sz w:val="36"/>
          <w:szCs w:val="36"/>
        </w:rPr>
        <w:t xml:space="preserve"> and </w:t>
      </w:r>
      <w:r>
        <w:rPr>
          <w:rFonts w:ascii="Arial" w:eastAsia="Arial" w:hAnsi="Arial" w:cs="Arial"/>
          <w:b/>
          <w:i/>
          <w:sz w:val="36"/>
          <w:szCs w:val="36"/>
        </w:rPr>
        <w:t xml:space="preserve">Salmonella </w:t>
      </w:r>
      <w:proofErr w:type="spellStart"/>
      <w:r w:rsidR="00FA4AD4">
        <w:rPr>
          <w:rFonts w:ascii="Arial" w:eastAsia="Arial" w:hAnsi="Arial" w:cs="Arial"/>
          <w:b/>
          <w:i/>
          <w:sz w:val="36"/>
          <w:szCs w:val="36"/>
        </w:rPr>
        <w:t>Paratyphi</w:t>
      </w:r>
      <w:proofErr w:type="spellEnd"/>
      <w:r>
        <w:rPr>
          <w:rFonts w:ascii="Arial" w:eastAsia="Arial" w:hAnsi="Arial" w:cs="Arial"/>
          <w:b/>
          <w:i/>
          <w:sz w:val="36"/>
          <w:szCs w:val="36"/>
        </w:rPr>
        <w:t xml:space="preserve"> A</w:t>
      </w:r>
      <w:r>
        <w:rPr>
          <w:rFonts w:ascii="Arial" w:eastAsia="Arial" w:hAnsi="Arial" w:cs="Arial"/>
          <w:b/>
          <w:sz w:val="36"/>
          <w:szCs w:val="36"/>
        </w:rPr>
        <w:t xml:space="preserve"> in a Young Female with Prolonged Febrile Illness</w:t>
      </w:r>
      <w:r w:rsidR="00CD418E">
        <w:rPr>
          <w:rFonts w:ascii="Arial" w:eastAsia="Arial" w:hAnsi="Arial" w:cs="Arial"/>
          <w:b/>
          <w:sz w:val="36"/>
          <w:szCs w:val="36"/>
        </w:rPr>
        <w:t xml:space="preserve">: A </w:t>
      </w:r>
      <w:r w:rsidR="00CD418E" w:rsidRPr="00CD418E">
        <w:rPr>
          <w:rFonts w:ascii="Arial" w:eastAsia="Arial" w:hAnsi="Arial" w:cs="Arial"/>
          <w:b/>
          <w:sz w:val="36"/>
          <w:szCs w:val="36"/>
        </w:rPr>
        <w:t>Case Report</w:t>
      </w:r>
    </w:p>
    <w:p w14:paraId="404D0C2E" w14:textId="77777777" w:rsidR="001528DB" w:rsidRDefault="001528DB">
      <w:pPr>
        <w:spacing w:before="280" w:after="280" w:line="240" w:lineRule="auto"/>
        <w:rPr>
          <w:rFonts w:ascii="Arial" w:eastAsia="Arial" w:hAnsi="Arial" w:cs="Arial"/>
          <w:b/>
        </w:rPr>
      </w:pPr>
    </w:p>
    <w:p w14:paraId="00000003" w14:textId="6AC91C3C" w:rsidR="00DF4018" w:rsidRDefault="000E1748">
      <w:pPr>
        <w:spacing w:before="280" w:after="280" w:line="240" w:lineRule="auto"/>
        <w:rPr>
          <w:rFonts w:ascii="Arial" w:eastAsia="Arial" w:hAnsi="Arial" w:cs="Arial"/>
          <w:b/>
        </w:rPr>
      </w:pPr>
      <w:r>
        <w:rPr>
          <w:rFonts w:ascii="Arial" w:eastAsia="Arial" w:hAnsi="Arial" w:cs="Arial"/>
          <w:b/>
        </w:rPr>
        <w:t>ABSTRACT</w:t>
      </w:r>
    </w:p>
    <w:p w14:paraId="00000004" w14:textId="5818CA1E"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Background</w:t>
      </w:r>
      <w:r>
        <w:rPr>
          <w:rFonts w:ascii="Arial" w:eastAsia="Arial" w:hAnsi="Arial" w:cs="Arial"/>
          <w:color w:val="000000"/>
          <w:sz w:val="20"/>
          <w:szCs w:val="20"/>
        </w:rPr>
        <w:t xml:space="preserve">: Co-infection with </w:t>
      </w:r>
      <w:r>
        <w:rPr>
          <w:rFonts w:ascii="Arial" w:eastAsia="Arial" w:hAnsi="Arial" w:cs="Arial"/>
          <w:i/>
          <w:color w:val="000000"/>
          <w:sz w:val="20"/>
          <w:szCs w:val="20"/>
        </w:rPr>
        <w:t>Salmonella enterica</w:t>
      </w:r>
      <w:r>
        <w:rPr>
          <w:rFonts w:ascii="Arial" w:eastAsia="Arial" w:hAnsi="Arial" w:cs="Arial"/>
          <w:color w:val="000000"/>
          <w:sz w:val="20"/>
          <w:szCs w:val="20"/>
        </w:rPr>
        <w:t xml:space="preserve"> serovars </w:t>
      </w:r>
      <w:r w:rsidR="00FA4AD4">
        <w:rPr>
          <w:rFonts w:ascii="Arial" w:eastAsia="Arial" w:hAnsi="Arial" w:cs="Arial"/>
          <w:color w:val="000000"/>
          <w:sz w:val="20"/>
          <w:szCs w:val="20"/>
        </w:rPr>
        <w:t>Typhi</w:t>
      </w:r>
      <w:r>
        <w:rPr>
          <w:rFonts w:ascii="Arial" w:eastAsia="Arial" w:hAnsi="Arial" w:cs="Arial"/>
          <w:color w:val="000000"/>
          <w:sz w:val="20"/>
          <w:szCs w:val="20"/>
        </w:rPr>
        <w:t xml:space="preserve"> and </w:t>
      </w:r>
      <w:proofErr w:type="spellStart"/>
      <w:r w:rsidR="00FA4AD4">
        <w:rPr>
          <w:rFonts w:ascii="Arial" w:eastAsia="Arial" w:hAnsi="Arial" w:cs="Arial"/>
          <w:color w:val="000000"/>
          <w:sz w:val="20"/>
          <w:szCs w:val="20"/>
        </w:rPr>
        <w:t>Paratyphi</w:t>
      </w:r>
      <w:proofErr w:type="spellEnd"/>
      <w:r w:rsidR="006A38EC">
        <w:rPr>
          <w:rFonts w:ascii="Arial" w:eastAsia="Arial" w:hAnsi="Arial" w:cs="Arial"/>
          <w:color w:val="000000"/>
          <w:sz w:val="20"/>
          <w:szCs w:val="20"/>
        </w:rPr>
        <w:t xml:space="preserve"> A has been reported very rarely</w:t>
      </w:r>
      <w:r>
        <w:rPr>
          <w:rFonts w:ascii="Arial" w:eastAsia="Arial" w:hAnsi="Arial" w:cs="Arial"/>
          <w:color w:val="000000"/>
          <w:sz w:val="20"/>
          <w:szCs w:val="20"/>
        </w:rPr>
        <w:t xml:space="preserve">. </w:t>
      </w:r>
      <w:r w:rsidR="009538C8">
        <w:rPr>
          <w:rFonts w:ascii="Arial" w:eastAsia="Arial" w:hAnsi="Arial" w:cs="Arial"/>
          <w:color w:val="000000"/>
          <w:sz w:val="20"/>
          <w:szCs w:val="20"/>
        </w:rPr>
        <w:t>The Overlapping clinical characteristics of t</w:t>
      </w:r>
      <w:r w:rsidR="006A38EC">
        <w:rPr>
          <w:rFonts w:ascii="Arial" w:eastAsia="Arial" w:hAnsi="Arial" w:cs="Arial"/>
          <w:color w:val="000000"/>
          <w:sz w:val="20"/>
          <w:szCs w:val="20"/>
        </w:rPr>
        <w:t>his co-infection</w:t>
      </w:r>
      <w:r w:rsidR="00476B1E" w:rsidRPr="00AF31FE">
        <w:rPr>
          <w:rFonts w:ascii="Arial" w:eastAsia="Arial" w:hAnsi="Arial" w:cs="Arial"/>
          <w:color w:val="000000"/>
          <w:sz w:val="20"/>
          <w:szCs w:val="20"/>
        </w:rPr>
        <w:t xml:space="preserve"> </w:t>
      </w:r>
      <w:r w:rsidR="009538C8">
        <w:rPr>
          <w:rFonts w:ascii="Arial" w:eastAsia="Arial" w:hAnsi="Arial" w:cs="Arial"/>
          <w:color w:val="000000"/>
          <w:sz w:val="20"/>
          <w:szCs w:val="20"/>
        </w:rPr>
        <w:t>pose</w:t>
      </w:r>
      <w:r w:rsidR="006A38EC">
        <w:rPr>
          <w:rFonts w:ascii="Arial" w:eastAsia="Arial" w:hAnsi="Arial" w:cs="Arial"/>
          <w:color w:val="000000"/>
          <w:sz w:val="20"/>
          <w:szCs w:val="20"/>
        </w:rPr>
        <w:t xml:space="preserve"> serious</w:t>
      </w:r>
      <w:r w:rsidR="00476B1E" w:rsidRPr="00AF31FE">
        <w:rPr>
          <w:rFonts w:ascii="Arial" w:eastAsia="Arial" w:hAnsi="Arial" w:cs="Arial"/>
          <w:color w:val="000000"/>
          <w:sz w:val="20"/>
          <w:szCs w:val="20"/>
        </w:rPr>
        <w:t xml:space="preserve"> challen</w:t>
      </w:r>
      <w:r w:rsidR="006C6040">
        <w:rPr>
          <w:rFonts w:ascii="Arial" w:eastAsia="Arial" w:hAnsi="Arial" w:cs="Arial"/>
          <w:color w:val="000000"/>
          <w:sz w:val="20"/>
          <w:szCs w:val="20"/>
        </w:rPr>
        <w:t>g</w:t>
      </w:r>
      <w:r w:rsidR="009538C8">
        <w:rPr>
          <w:rFonts w:ascii="Arial" w:eastAsia="Arial" w:hAnsi="Arial" w:cs="Arial"/>
          <w:color w:val="000000"/>
          <w:sz w:val="20"/>
          <w:szCs w:val="20"/>
        </w:rPr>
        <w:t>es for diagnosis and treatment.</w:t>
      </w:r>
      <w:r w:rsidR="00FD259C">
        <w:rPr>
          <w:rFonts w:ascii="Arial" w:eastAsia="Arial" w:hAnsi="Arial" w:cs="Arial"/>
          <w:color w:val="000000"/>
          <w:sz w:val="20"/>
          <w:szCs w:val="20"/>
        </w:rPr>
        <w:t xml:space="preserve"> </w:t>
      </w:r>
      <w:r w:rsidR="009538C8">
        <w:rPr>
          <w:rFonts w:ascii="Arial" w:eastAsia="Arial" w:hAnsi="Arial" w:cs="Arial"/>
          <w:color w:val="000000"/>
          <w:sz w:val="20"/>
          <w:szCs w:val="20"/>
        </w:rPr>
        <w:t>T</w:t>
      </w:r>
      <w:r w:rsidR="00FD259C">
        <w:rPr>
          <w:rFonts w:ascii="Arial" w:eastAsia="Arial" w:hAnsi="Arial" w:cs="Arial"/>
          <w:color w:val="000000"/>
          <w:sz w:val="20"/>
          <w:szCs w:val="20"/>
        </w:rPr>
        <w:t>he</w:t>
      </w:r>
      <w:r w:rsidR="009538C8">
        <w:rPr>
          <w:rFonts w:ascii="Arial" w:eastAsia="Arial" w:hAnsi="Arial" w:cs="Arial"/>
          <w:color w:val="000000"/>
          <w:sz w:val="20"/>
          <w:szCs w:val="20"/>
        </w:rPr>
        <w:t xml:space="preserve">re is </w:t>
      </w:r>
      <w:r w:rsidR="00FD259C">
        <w:rPr>
          <w:rFonts w:ascii="Arial" w:eastAsia="Arial" w:hAnsi="Arial" w:cs="Arial"/>
          <w:color w:val="000000"/>
          <w:sz w:val="20"/>
          <w:szCs w:val="20"/>
        </w:rPr>
        <w:t xml:space="preserve">possibility </w:t>
      </w:r>
      <w:r w:rsidR="00A555C4">
        <w:rPr>
          <w:rFonts w:ascii="Arial" w:eastAsia="Arial" w:hAnsi="Arial" w:cs="Arial"/>
          <w:color w:val="000000"/>
          <w:sz w:val="20"/>
          <w:szCs w:val="20"/>
        </w:rPr>
        <w:t>of misidentification</w:t>
      </w:r>
      <w:r w:rsidR="00AF31FE" w:rsidRPr="00AF31FE">
        <w:rPr>
          <w:rFonts w:ascii="Arial" w:eastAsia="Arial" w:hAnsi="Arial" w:cs="Arial"/>
          <w:color w:val="000000"/>
          <w:sz w:val="20"/>
          <w:szCs w:val="20"/>
        </w:rPr>
        <w:t xml:space="preserve"> and inconsistent antimicrobial susceptibi</w:t>
      </w:r>
      <w:r w:rsidR="006A38EC">
        <w:rPr>
          <w:rFonts w:ascii="Arial" w:eastAsia="Arial" w:hAnsi="Arial" w:cs="Arial"/>
          <w:color w:val="000000"/>
          <w:sz w:val="20"/>
          <w:szCs w:val="20"/>
        </w:rPr>
        <w:t xml:space="preserve">lity patterns.  </w:t>
      </w:r>
      <w:r w:rsidR="006C6040" w:rsidRPr="006C6040">
        <w:rPr>
          <w:rFonts w:ascii="Arial" w:eastAsia="Arial" w:hAnsi="Arial" w:cs="Arial"/>
          <w:color w:val="000000"/>
          <w:sz w:val="20"/>
          <w:szCs w:val="20"/>
        </w:rPr>
        <w:t xml:space="preserve">The </w:t>
      </w:r>
      <w:r w:rsidR="006A38EC">
        <w:rPr>
          <w:rFonts w:ascii="Arial" w:eastAsia="Arial" w:hAnsi="Arial" w:cs="Arial"/>
          <w:color w:val="000000"/>
          <w:sz w:val="20"/>
          <w:szCs w:val="20"/>
        </w:rPr>
        <w:t>increased</w:t>
      </w:r>
      <w:r w:rsidR="006C6040" w:rsidRPr="006C6040">
        <w:rPr>
          <w:rFonts w:ascii="Arial" w:eastAsia="Arial" w:hAnsi="Arial" w:cs="Arial"/>
          <w:color w:val="000000"/>
          <w:sz w:val="20"/>
          <w:szCs w:val="20"/>
        </w:rPr>
        <w:t xml:space="preserve"> incidence of antibiotic resistance exacerbates these problems in endemic areas.</w:t>
      </w:r>
    </w:p>
    <w:p w14:paraId="00000005" w14:textId="4E353CF7"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Case Presentation</w:t>
      </w:r>
      <w:r>
        <w:rPr>
          <w:rFonts w:ascii="Arial" w:eastAsia="Arial" w:hAnsi="Arial" w:cs="Arial"/>
          <w:color w:val="000000"/>
          <w:sz w:val="20"/>
          <w:szCs w:val="20"/>
        </w:rPr>
        <w:t>: A 29-year-old immunocompetent female presented with a prolon</w:t>
      </w:r>
      <w:r w:rsidR="00D00396">
        <w:rPr>
          <w:rFonts w:ascii="Arial" w:eastAsia="Arial" w:hAnsi="Arial" w:cs="Arial"/>
          <w:color w:val="000000"/>
          <w:sz w:val="20"/>
          <w:szCs w:val="20"/>
        </w:rPr>
        <w:t>ged febrile illness that did not respond</w:t>
      </w:r>
      <w:r>
        <w:rPr>
          <w:rFonts w:ascii="Arial" w:eastAsia="Arial" w:hAnsi="Arial" w:cs="Arial"/>
          <w:color w:val="000000"/>
          <w:sz w:val="20"/>
          <w:szCs w:val="20"/>
        </w:rPr>
        <w:t xml:space="preserve"> to initial empirical antib</w:t>
      </w:r>
      <w:r w:rsidR="00D00396">
        <w:rPr>
          <w:rFonts w:ascii="Arial" w:eastAsia="Arial" w:hAnsi="Arial" w:cs="Arial"/>
          <w:color w:val="000000"/>
          <w:sz w:val="20"/>
          <w:szCs w:val="20"/>
        </w:rPr>
        <w:t xml:space="preserve">iotics. Blood cultures showed </w:t>
      </w:r>
      <w:r>
        <w:rPr>
          <w:rFonts w:ascii="Arial" w:eastAsia="Arial" w:hAnsi="Arial" w:cs="Arial"/>
          <w:color w:val="000000"/>
          <w:sz w:val="20"/>
          <w:szCs w:val="20"/>
        </w:rPr>
        <w:t xml:space="preserve">mixed growth of </w:t>
      </w:r>
      <w:r>
        <w:rPr>
          <w:rFonts w:ascii="Arial" w:eastAsia="Arial" w:hAnsi="Arial" w:cs="Arial"/>
          <w:i/>
          <w:color w:val="000000"/>
          <w:sz w:val="20"/>
          <w:szCs w:val="20"/>
        </w:rPr>
        <w:t xml:space="preserve">S. </w:t>
      </w:r>
      <w:r w:rsidR="00FA4AD4">
        <w:rPr>
          <w:rFonts w:ascii="Arial" w:eastAsia="Arial" w:hAnsi="Arial" w:cs="Arial"/>
          <w:i/>
          <w:color w:val="000000"/>
          <w:sz w:val="20"/>
          <w:szCs w:val="20"/>
        </w:rPr>
        <w:t>Typhi</w:t>
      </w:r>
      <w:r>
        <w:rPr>
          <w:rFonts w:ascii="Arial" w:eastAsia="Arial" w:hAnsi="Arial" w:cs="Arial"/>
          <w:color w:val="000000"/>
          <w:sz w:val="20"/>
          <w:szCs w:val="20"/>
        </w:rPr>
        <w:t xml:space="preserve"> and </w:t>
      </w:r>
      <w:r>
        <w:rPr>
          <w:rFonts w:ascii="Arial" w:eastAsia="Arial" w:hAnsi="Arial" w:cs="Arial"/>
          <w:i/>
          <w:color w:val="000000"/>
          <w:sz w:val="20"/>
          <w:szCs w:val="20"/>
        </w:rPr>
        <w:t xml:space="preserve">S. </w:t>
      </w:r>
      <w:proofErr w:type="spellStart"/>
      <w:r w:rsidR="00FA4AD4">
        <w:rPr>
          <w:rFonts w:ascii="Arial" w:eastAsia="Arial" w:hAnsi="Arial" w:cs="Arial"/>
          <w:i/>
          <w:color w:val="000000"/>
          <w:sz w:val="20"/>
          <w:szCs w:val="20"/>
        </w:rPr>
        <w:t>Paratyphi</w:t>
      </w:r>
      <w:proofErr w:type="spellEnd"/>
      <w:r>
        <w:rPr>
          <w:rFonts w:ascii="Arial" w:eastAsia="Arial" w:hAnsi="Arial" w:cs="Arial"/>
          <w:color w:val="000000"/>
          <w:sz w:val="20"/>
          <w:szCs w:val="20"/>
        </w:rPr>
        <w:t xml:space="preserve"> A</w:t>
      </w:r>
      <w:r w:rsidR="001820E4">
        <w:rPr>
          <w:rFonts w:ascii="Arial" w:eastAsia="Arial" w:hAnsi="Arial" w:cs="Arial"/>
          <w:color w:val="000000"/>
          <w:sz w:val="20"/>
          <w:szCs w:val="20"/>
        </w:rPr>
        <w:t>,</w:t>
      </w:r>
      <w:r>
        <w:rPr>
          <w:rFonts w:ascii="Arial" w:eastAsia="Arial" w:hAnsi="Arial" w:cs="Arial"/>
          <w:color w:val="000000"/>
          <w:sz w:val="20"/>
          <w:szCs w:val="20"/>
        </w:rPr>
        <w:t xml:space="preserve"> </w:t>
      </w:r>
      <w:r w:rsidR="00E5662C">
        <w:rPr>
          <w:rFonts w:ascii="Arial" w:eastAsia="Arial" w:hAnsi="Arial" w:cs="Arial"/>
          <w:color w:val="000000"/>
          <w:sz w:val="20"/>
          <w:szCs w:val="20"/>
        </w:rPr>
        <w:t xml:space="preserve">and </w:t>
      </w:r>
      <w:r>
        <w:rPr>
          <w:rFonts w:ascii="Arial" w:eastAsia="Arial" w:hAnsi="Arial" w:cs="Arial"/>
          <w:color w:val="000000"/>
          <w:sz w:val="20"/>
          <w:szCs w:val="20"/>
        </w:rPr>
        <w:t>susceptibility profiles</w:t>
      </w:r>
      <w:r w:rsidR="00E5662C">
        <w:rPr>
          <w:rFonts w:ascii="Arial" w:eastAsia="Arial" w:hAnsi="Arial" w:cs="Arial"/>
          <w:color w:val="000000"/>
          <w:sz w:val="20"/>
          <w:szCs w:val="20"/>
        </w:rPr>
        <w:t xml:space="preserve"> were conflicting</w:t>
      </w:r>
      <w:r>
        <w:rPr>
          <w:rFonts w:ascii="Arial" w:eastAsia="Arial" w:hAnsi="Arial" w:cs="Arial"/>
          <w:color w:val="000000"/>
          <w:sz w:val="20"/>
          <w:szCs w:val="20"/>
        </w:rPr>
        <w:t xml:space="preserve">. </w:t>
      </w:r>
      <w:r w:rsidR="00D00396" w:rsidRPr="00D00396">
        <w:rPr>
          <w:rFonts w:ascii="Arial" w:eastAsia="Arial" w:hAnsi="Arial" w:cs="Arial"/>
          <w:color w:val="000000"/>
          <w:sz w:val="20"/>
          <w:szCs w:val="20"/>
        </w:rPr>
        <w:t xml:space="preserve"> </w:t>
      </w:r>
      <w:r w:rsidR="009538C8">
        <w:rPr>
          <w:rFonts w:ascii="Arial" w:eastAsia="Arial" w:hAnsi="Arial" w:cs="Arial"/>
          <w:color w:val="000000"/>
          <w:sz w:val="20"/>
          <w:szCs w:val="20"/>
        </w:rPr>
        <w:t>Coinfection was confirmed by m</w:t>
      </w:r>
      <w:r w:rsidR="00D00396" w:rsidRPr="00D00396">
        <w:rPr>
          <w:rFonts w:ascii="Arial" w:eastAsia="Arial" w:hAnsi="Arial" w:cs="Arial"/>
          <w:color w:val="000000"/>
          <w:sz w:val="20"/>
          <w:szCs w:val="20"/>
        </w:rPr>
        <w:t>olecular diagnostic testing and a thor</w:t>
      </w:r>
      <w:r w:rsidR="00D00396">
        <w:rPr>
          <w:rFonts w:ascii="Arial" w:eastAsia="Arial" w:hAnsi="Arial" w:cs="Arial"/>
          <w:color w:val="000000"/>
          <w:sz w:val="20"/>
          <w:szCs w:val="20"/>
        </w:rPr>
        <w:t>ough microbiological assessment</w:t>
      </w:r>
      <w:r w:rsidR="009538C8">
        <w:rPr>
          <w:rFonts w:ascii="Arial" w:eastAsia="Arial" w:hAnsi="Arial" w:cs="Arial"/>
          <w:color w:val="000000"/>
          <w:sz w:val="20"/>
          <w:szCs w:val="20"/>
        </w:rPr>
        <w:t>.</w:t>
      </w:r>
    </w:p>
    <w:p w14:paraId="00000006" w14:textId="0835EE72"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Discussion</w:t>
      </w:r>
      <w:r>
        <w:rPr>
          <w:rFonts w:ascii="Arial" w:eastAsia="Arial" w:hAnsi="Arial" w:cs="Arial"/>
          <w:color w:val="000000"/>
          <w:sz w:val="20"/>
          <w:szCs w:val="20"/>
        </w:rPr>
        <w:t xml:space="preserve">: This case </w:t>
      </w:r>
      <w:r w:rsidR="00E5662C">
        <w:rPr>
          <w:rFonts w:ascii="Arial" w:eastAsia="Arial" w:hAnsi="Arial" w:cs="Arial"/>
          <w:color w:val="000000"/>
          <w:sz w:val="20"/>
          <w:szCs w:val="20"/>
        </w:rPr>
        <w:t>highlights</w:t>
      </w:r>
      <w:r>
        <w:rPr>
          <w:rFonts w:ascii="Arial" w:eastAsia="Arial" w:hAnsi="Arial" w:cs="Arial"/>
          <w:color w:val="000000"/>
          <w:sz w:val="20"/>
          <w:szCs w:val="20"/>
        </w:rPr>
        <w:t xml:space="preserve"> the complexity of managing </w:t>
      </w:r>
      <w:r>
        <w:rPr>
          <w:rFonts w:ascii="Arial" w:eastAsia="Arial" w:hAnsi="Arial" w:cs="Arial"/>
          <w:i/>
          <w:color w:val="000000"/>
          <w:sz w:val="20"/>
          <w:szCs w:val="20"/>
        </w:rPr>
        <w:t>Salmonella</w:t>
      </w:r>
      <w:r>
        <w:rPr>
          <w:rFonts w:ascii="Arial" w:eastAsia="Arial" w:hAnsi="Arial" w:cs="Arial"/>
          <w:color w:val="000000"/>
          <w:sz w:val="20"/>
          <w:szCs w:val="20"/>
        </w:rPr>
        <w:t xml:space="preserve"> co-infections</w:t>
      </w:r>
      <w:r w:rsidR="00E16B53">
        <w:rPr>
          <w:rFonts w:ascii="Arial" w:eastAsia="Arial" w:hAnsi="Arial" w:cs="Arial"/>
          <w:color w:val="000000"/>
          <w:sz w:val="20"/>
          <w:szCs w:val="20"/>
        </w:rPr>
        <w:t>.</w:t>
      </w:r>
      <w:r>
        <w:rPr>
          <w:rFonts w:ascii="Arial" w:eastAsia="Arial" w:hAnsi="Arial" w:cs="Arial"/>
          <w:color w:val="000000"/>
          <w:sz w:val="20"/>
          <w:szCs w:val="20"/>
        </w:rPr>
        <w:t xml:space="preserve"> </w:t>
      </w:r>
      <w:r w:rsidR="009538C8">
        <w:rPr>
          <w:rFonts w:ascii="Arial" w:eastAsia="Arial" w:hAnsi="Arial" w:cs="Arial"/>
          <w:color w:val="000000"/>
          <w:sz w:val="20"/>
          <w:szCs w:val="20"/>
        </w:rPr>
        <w:t>Clinical improvements were delayed in patient due to t</w:t>
      </w:r>
      <w:r w:rsidR="00E5662C">
        <w:rPr>
          <w:rFonts w:ascii="Arial" w:eastAsia="Arial" w:hAnsi="Arial" w:cs="Arial"/>
          <w:color w:val="000000"/>
          <w:sz w:val="20"/>
          <w:szCs w:val="20"/>
        </w:rPr>
        <w:t>he difference i</w:t>
      </w:r>
      <w:r w:rsidR="00E63057">
        <w:rPr>
          <w:rFonts w:ascii="Arial" w:eastAsia="Arial" w:hAnsi="Arial" w:cs="Arial"/>
          <w:color w:val="000000"/>
          <w:sz w:val="20"/>
          <w:szCs w:val="20"/>
        </w:rPr>
        <w:t>n culture-based</w:t>
      </w:r>
      <w:r w:rsidR="00E5662C">
        <w:rPr>
          <w:rFonts w:ascii="Arial" w:eastAsia="Arial" w:hAnsi="Arial" w:cs="Arial"/>
          <w:color w:val="000000"/>
          <w:sz w:val="20"/>
          <w:szCs w:val="20"/>
        </w:rPr>
        <w:t xml:space="preserve"> susceptibility results</w:t>
      </w:r>
      <w:r w:rsidR="009538C8">
        <w:rPr>
          <w:rFonts w:ascii="Arial" w:eastAsia="Arial" w:hAnsi="Arial" w:cs="Arial"/>
          <w:color w:val="000000"/>
          <w:sz w:val="20"/>
          <w:szCs w:val="20"/>
        </w:rPr>
        <w:t xml:space="preserve"> for each isolate</w:t>
      </w:r>
      <w:r w:rsidR="00E16B53">
        <w:rPr>
          <w:rFonts w:ascii="Arial" w:eastAsia="Arial" w:hAnsi="Arial" w:cs="Arial"/>
          <w:color w:val="000000"/>
          <w:sz w:val="20"/>
          <w:szCs w:val="20"/>
        </w:rPr>
        <w:t xml:space="preserve">. This lead to </w:t>
      </w:r>
      <w:r>
        <w:rPr>
          <w:rFonts w:ascii="Arial" w:eastAsia="Arial" w:hAnsi="Arial" w:cs="Arial"/>
          <w:color w:val="000000"/>
          <w:sz w:val="20"/>
          <w:szCs w:val="20"/>
        </w:rPr>
        <w:t xml:space="preserve">a treatment strategy </w:t>
      </w:r>
      <w:r w:rsidR="00E16B53">
        <w:rPr>
          <w:rFonts w:ascii="Arial" w:eastAsia="Arial" w:hAnsi="Arial" w:cs="Arial"/>
          <w:color w:val="000000"/>
          <w:sz w:val="20"/>
          <w:szCs w:val="20"/>
        </w:rPr>
        <w:t>based on</w:t>
      </w:r>
      <w:r>
        <w:rPr>
          <w:rFonts w:ascii="Arial" w:eastAsia="Arial" w:hAnsi="Arial" w:cs="Arial"/>
          <w:color w:val="000000"/>
          <w:sz w:val="20"/>
          <w:szCs w:val="20"/>
        </w:rPr>
        <w:t xml:space="preserve"> molecular confirmation and close clinical mo</w:t>
      </w:r>
      <w:r w:rsidR="00E16B53">
        <w:rPr>
          <w:rFonts w:ascii="Arial" w:eastAsia="Arial" w:hAnsi="Arial" w:cs="Arial"/>
          <w:color w:val="000000"/>
          <w:sz w:val="20"/>
          <w:szCs w:val="20"/>
        </w:rPr>
        <w:t>nitoring. M</w:t>
      </w:r>
      <w:r>
        <w:rPr>
          <w:rFonts w:ascii="Arial" w:eastAsia="Arial" w:hAnsi="Arial" w:cs="Arial"/>
          <w:color w:val="000000"/>
          <w:sz w:val="20"/>
          <w:szCs w:val="20"/>
        </w:rPr>
        <w:t>issed or delayed identification of such co-infections can result in treatment failure and prolonged morbidity</w:t>
      </w:r>
      <w:r w:rsidR="00E16B53">
        <w:rPr>
          <w:rFonts w:ascii="Arial" w:eastAsia="Arial" w:hAnsi="Arial" w:cs="Arial"/>
          <w:color w:val="000000"/>
          <w:sz w:val="20"/>
          <w:szCs w:val="20"/>
        </w:rPr>
        <w:t xml:space="preserve"> in endemic situations</w:t>
      </w:r>
      <w:r>
        <w:rPr>
          <w:rFonts w:ascii="Arial" w:eastAsia="Arial" w:hAnsi="Arial" w:cs="Arial"/>
          <w:color w:val="000000"/>
          <w:sz w:val="20"/>
          <w:szCs w:val="20"/>
        </w:rPr>
        <w:t>.</w:t>
      </w:r>
    </w:p>
    <w:p w14:paraId="00000007" w14:textId="77777777" w:rsidR="00DF4018" w:rsidRDefault="000E1748">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color w:val="000000"/>
          <w:sz w:val="20"/>
          <w:szCs w:val="20"/>
        </w:rPr>
        <w:t>Conclusion</w:t>
      </w:r>
      <w:r>
        <w:rPr>
          <w:rFonts w:ascii="Arial" w:eastAsia="Arial" w:hAnsi="Arial" w:cs="Arial"/>
          <w:color w:val="000000"/>
          <w:sz w:val="20"/>
          <w:szCs w:val="20"/>
        </w:rPr>
        <w:br/>
        <w:t xml:space="preserve">Clinicians should maintain a high index of suspicion for </w:t>
      </w:r>
      <w:r>
        <w:rPr>
          <w:rFonts w:ascii="Arial" w:eastAsia="Arial" w:hAnsi="Arial" w:cs="Arial"/>
          <w:i/>
          <w:color w:val="000000"/>
          <w:sz w:val="20"/>
          <w:szCs w:val="20"/>
        </w:rPr>
        <w:t>Salmonella</w:t>
      </w:r>
      <w:r>
        <w:rPr>
          <w:rFonts w:ascii="Arial" w:eastAsia="Arial" w:hAnsi="Arial" w:cs="Arial"/>
          <w:color w:val="000000"/>
          <w:sz w:val="20"/>
          <w:szCs w:val="20"/>
        </w:rPr>
        <w:t xml:space="preserve"> co-infections in patients with persistent febrile illness in endemic regions. Incorporating molecular diagnostics alongside traditional culture methods can improve diagnostic accuracy and guide </w:t>
      </w:r>
      <w:bookmarkStart w:id="0" w:name="_GoBack"/>
      <w:bookmarkEnd w:id="0"/>
      <w:r>
        <w:rPr>
          <w:rFonts w:ascii="Arial" w:eastAsia="Arial" w:hAnsi="Arial" w:cs="Arial"/>
          <w:color w:val="000000"/>
          <w:sz w:val="20"/>
          <w:szCs w:val="20"/>
        </w:rPr>
        <w:t>effective treatment, especially in the face of emerging antimicrobial resistance.</w:t>
      </w:r>
    </w:p>
    <w:p w14:paraId="00000008" w14:textId="609E211D" w:rsidR="00DF4018" w:rsidRDefault="000E1748">
      <w:pPr>
        <w:pBdr>
          <w:top w:val="nil"/>
          <w:left w:val="nil"/>
          <w:bottom w:val="nil"/>
          <w:right w:val="nil"/>
          <w:between w:val="nil"/>
        </w:pBdr>
        <w:spacing w:line="240" w:lineRule="auto"/>
        <w:jc w:val="both"/>
        <w:rPr>
          <w:rFonts w:ascii="Arial" w:eastAsia="Arial" w:hAnsi="Arial" w:cs="Arial"/>
          <w:i/>
          <w:color w:val="000000"/>
          <w:sz w:val="20"/>
          <w:szCs w:val="20"/>
        </w:rPr>
      </w:pPr>
      <w:r>
        <w:rPr>
          <w:rFonts w:ascii="Arial" w:eastAsia="Arial" w:hAnsi="Arial" w:cs="Arial"/>
          <w:b/>
          <w:color w:val="000000"/>
          <w:sz w:val="24"/>
          <w:szCs w:val="24"/>
        </w:rPr>
        <w:t>Keywords:</w:t>
      </w:r>
      <w:r>
        <w:rPr>
          <w:rFonts w:ascii="Arial" w:eastAsia="Arial" w:hAnsi="Arial" w:cs="Arial"/>
          <w:color w:val="000000"/>
          <w:sz w:val="24"/>
          <w:szCs w:val="24"/>
        </w:rPr>
        <w:t xml:space="preserve"> </w:t>
      </w:r>
      <w:r>
        <w:rPr>
          <w:rFonts w:ascii="Arial" w:eastAsia="Arial" w:hAnsi="Arial" w:cs="Arial"/>
          <w:i/>
          <w:color w:val="000000"/>
          <w:sz w:val="20"/>
          <w:szCs w:val="20"/>
        </w:rPr>
        <w:t xml:space="preserve">Salmonella </w:t>
      </w:r>
      <w:r w:rsidR="00FA4AD4">
        <w:rPr>
          <w:rFonts w:ascii="Arial" w:eastAsia="Arial" w:hAnsi="Arial" w:cs="Arial"/>
          <w:i/>
          <w:color w:val="000000"/>
          <w:sz w:val="20"/>
          <w:szCs w:val="20"/>
        </w:rPr>
        <w:t>Typhi</w:t>
      </w:r>
      <w:r>
        <w:rPr>
          <w:rFonts w:ascii="Arial" w:eastAsia="Arial" w:hAnsi="Arial" w:cs="Arial"/>
          <w:i/>
          <w:color w:val="000000"/>
          <w:sz w:val="20"/>
          <w:szCs w:val="20"/>
        </w:rPr>
        <w:t xml:space="preserve">, Salmonella </w:t>
      </w:r>
      <w:proofErr w:type="spellStart"/>
      <w:r w:rsidR="00FA4AD4">
        <w:rPr>
          <w:rFonts w:ascii="Arial" w:eastAsia="Arial" w:hAnsi="Arial" w:cs="Arial"/>
          <w:i/>
          <w:color w:val="000000"/>
          <w:sz w:val="20"/>
          <w:szCs w:val="20"/>
        </w:rPr>
        <w:t>Paratyphi</w:t>
      </w:r>
      <w:proofErr w:type="spellEnd"/>
      <w:r>
        <w:rPr>
          <w:rFonts w:ascii="Arial" w:eastAsia="Arial" w:hAnsi="Arial" w:cs="Arial"/>
          <w:i/>
          <w:color w:val="000000"/>
          <w:sz w:val="20"/>
          <w:szCs w:val="20"/>
        </w:rPr>
        <w:t xml:space="preserve"> A, co-infection, enteric fever, antimicrobial resistance, molecular diagnostics</w:t>
      </w:r>
    </w:p>
    <w:p w14:paraId="00000009" w14:textId="77777777" w:rsidR="00DF4018" w:rsidRDefault="000E1748">
      <w:pPr>
        <w:spacing w:before="280" w:after="280" w:line="240" w:lineRule="auto"/>
        <w:rPr>
          <w:rFonts w:ascii="Arial" w:eastAsia="Arial" w:hAnsi="Arial" w:cs="Arial"/>
          <w:b/>
        </w:rPr>
      </w:pPr>
      <w:r>
        <w:rPr>
          <w:rFonts w:ascii="Arial" w:eastAsia="Arial" w:hAnsi="Arial" w:cs="Arial"/>
          <w:b/>
        </w:rPr>
        <w:t>Introduction</w:t>
      </w:r>
    </w:p>
    <w:p w14:paraId="0000000A" w14:textId="0F25F6BA"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Enteric fever is a systemic febrile illness caused by </w:t>
      </w:r>
      <w:r>
        <w:rPr>
          <w:rFonts w:ascii="Arial" w:eastAsia="Arial" w:hAnsi="Arial" w:cs="Arial"/>
          <w:i/>
          <w:sz w:val="20"/>
          <w:szCs w:val="20"/>
        </w:rPr>
        <w:t>Salmonella enterica</w:t>
      </w:r>
      <w:r>
        <w:rPr>
          <w:rFonts w:ascii="Arial" w:eastAsia="Arial" w:hAnsi="Arial" w:cs="Arial"/>
          <w:sz w:val="20"/>
          <w:szCs w:val="20"/>
        </w:rPr>
        <w:t xml:space="preserve"> serovars </w:t>
      </w:r>
      <w:r w:rsidR="00FA4AD4">
        <w:rPr>
          <w:rFonts w:ascii="Arial" w:eastAsia="Arial" w:hAnsi="Arial" w:cs="Arial"/>
          <w:i/>
          <w:sz w:val="20"/>
          <w:szCs w:val="20"/>
        </w:rPr>
        <w:t>Typhi</w:t>
      </w:r>
      <w:r>
        <w:rPr>
          <w:rFonts w:ascii="Arial" w:eastAsia="Arial" w:hAnsi="Arial" w:cs="Arial"/>
          <w:sz w:val="20"/>
          <w:szCs w:val="20"/>
        </w:rPr>
        <w:t xml:space="preserve"> and </w:t>
      </w:r>
      <w:proofErr w:type="spellStart"/>
      <w:r w:rsidR="00FA4AD4">
        <w:rPr>
          <w:rFonts w:ascii="Arial" w:eastAsia="Arial" w:hAnsi="Arial" w:cs="Arial"/>
          <w:i/>
          <w:sz w:val="20"/>
          <w:szCs w:val="20"/>
        </w:rPr>
        <w:t>Paratyphi</w:t>
      </w:r>
      <w:proofErr w:type="spellEnd"/>
      <w:r w:rsidR="00E63057">
        <w:rPr>
          <w:rFonts w:ascii="Arial" w:eastAsia="Arial" w:hAnsi="Arial" w:cs="Arial"/>
          <w:sz w:val="20"/>
          <w:szCs w:val="20"/>
        </w:rPr>
        <w:t xml:space="preserve"> (A, B, and C). It is</w:t>
      </w:r>
      <w:r>
        <w:rPr>
          <w:rFonts w:ascii="Arial" w:eastAsia="Arial" w:hAnsi="Arial" w:cs="Arial"/>
          <w:sz w:val="20"/>
          <w:szCs w:val="20"/>
        </w:rPr>
        <w:t xml:space="preserve"> transmitted through ingestion of contaminated food or water. </w:t>
      </w:r>
      <w:r w:rsidR="00413B1B">
        <w:rPr>
          <w:rFonts w:ascii="Arial" w:eastAsia="Arial" w:hAnsi="Arial" w:cs="Arial"/>
          <w:sz w:val="20"/>
          <w:szCs w:val="20"/>
        </w:rPr>
        <w:t xml:space="preserve">Even </w:t>
      </w:r>
      <w:proofErr w:type="gramStart"/>
      <w:r w:rsidR="00413B1B">
        <w:rPr>
          <w:rFonts w:ascii="Arial" w:eastAsia="Arial" w:hAnsi="Arial" w:cs="Arial"/>
          <w:sz w:val="20"/>
          <w:szCs w:val="20"/>
        </w:rPr>
        <w:t xml:space="preserve">though </w:t>
      </w:r>
      <w:r>
        <w:rPr>
          <w:rFonts w:ascii="Arial" w:eastAsia="Arial" w:hAnsi="Arial" w:cs="Arial"/>
          <w:sz w:val="20"/>
          <w:szCs w:val="20"/>
        </w:rPr>
        <w:t xml:space="preserve"> </w:t>
      </w:r>
      <w:r>
        <w:rPr>
          <w:rFonts w:ascii="Arial" w:eastAsia="Arial" w:hAnsi="Arial" w:cs="Arial"/>
          <w:i/>
          <w:sz w:val="20"/>
          <w:szCs w:val="20"/>
        </w:rPr>
        <w:t>S.</w:t>
      </w:r>
      <w:proofErr w:type="gramEnd"/>
      <w:r>
        <w:rPr>
          <w:rFonts w:ascii="Arial" w:eastAsia="Arial" w:hAnsi="Arial" w:cs="Arial"/>
          <w:i/>
          <w:sz w:val="20"/>
          <w:szCs w:val="20"/>
        </w:rPr>
        <w:t xml:space="preserve"> </w:t>
      </w:r>
      <w:r w:rsidR="00FA4AD4">
        <w:rPr>
          <w:rFonts w:ascii="Arial" w:eastAsia="Arial" w:hAnsi="Arial" w:cs="Arial"/>
          <w:i/>
          <w:sz w:val="20"/>
          <w:szCs w:val="20"/>
        </w:rPr>
        <w:t>Typhi</w:t>
      </w:r>
      <w:r>
        <w:rPr>
          <w:rFonts w:ascii="Arial" w:eastAsia="Arial" w:hAnsi="Arial" w:cs="Arial"/>
          <w:sz w:val="20"/>
          <w:szCs w:val="20"/>
        </w:rPr>
        <w:t xml:space="preserve"> </w:t>
      </w:r>
      <w:r w:rsidR="00413B1B">
        <w:rPr>
          <w:rFonts w:ascii="Arial" w:eastAsia="Arial" w:hAnsi="Arial" w:cs="Arial"/>
          <w:sz w:val="20"/>
          <w:szCs w:val="20"/>
        </w:rPr>
        <w:t>cause</w:t>
      </w:r>
      <w:r>
        <w:rPr>
          <w:rFonts w:ascii="Arial" w:eastAsia="Arial" w:hAnsi="Arial" w:cs="Arial"/>
          <w:sz w:val="20"/>
          <w:szCs w:val="20"/>
        </w:rPr>
        <w:t xml:space="preserve">s the majority of cases,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is increasingly r</w:t>
      </w:r>
      <w:r w:rsidR="00413B1B">
        <w:rPr>
          <w:rFonts w:ascii="Arial" w:eastAsia="Arial" w:hAnsi="Arial" w:cs="Arial"/>
          <w:sz w:val="20"/>
          <w:szCs w:val="20"/>
        </w:rPr>
        <w:t>eported</w:t>
      </w:r>
      <w:r>
        <w:rPr>
          <w:rFonts w:ascii="Arial" w:eastAsia="Arial" w:hAnsi="Arial" w:cs="Arial"/>
          <w:sz w:val="20"/>
          <w:szCs w:val="20"/>
        </w:rPr>
        <w:t xml:space="preserve">, particularly in South and Southeast Asia (Harris &amp; Brooks, 2013; Zhou et al., 2012). Co-infections involving both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and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sidR="00413B1B">
        <w:rPr>
          <w:rFonts w:ascii="Arial" w:eastAsia="Arial" w:hAnsi="Arial" w:cs="Arial"/>
          <w:sz w:val="20"/>
          <w:szCs w:val="20"/>
        </w:rPr>
        <w:t xml:space="preserve"> are not uncommon,</w:t>
      </w:r>
      <w:r>
        <w:rPr>
          <w:rFonts w:ascii="Arial" w:eastAsia="Arial" w:hAnsi="Arial" w:cs="Arial"/>
          <w:sz w:val="20"/>
          <w:szCs w:val="20"/>
        </w:rPr>
        <w:t xml:space="preserve"> but they may go unrecognized due to similarities in clinical presentation and limitations of conventional diagnostic methods (‘Enteric Fever in a Young Man with Bowel Wall Thickening and Hepatosplenomegaly’, 2024; Maskey et al., 2006; Pratap et al., 2014).</w:t>
      </w:r>
    </w:p>
    <w:p w14:paraId="0000000B" w14:textId="03D4F761" w:rsidR="00DF4018" w:rsidRDefault="00413B1B">
      <w:pPr>
        <w:spacing w:after="0" w:line="240" w:lineRule="auto"/>
        <w:jc w:val="both"/>
        <w:rPr>
          <w:rFonts w:ascii="Arial" w:eastAsia="Arial" w:hAnsi="Arial" w:cs="Arial"/>
          <w:sz w:val="20"/>
          <w:szCs w:val="20"/>
        </w:rPr>
      </w:pPr>
      <w:r>
        <w:rPr>
          <w:rFonts w:ascii="Arial" w:eastAsia="Arial" w:hAnsi="Arial" w:cs="Arial"/>
          <w:sz w:val="20"/>
          <w:szCs w:val="20"/>
        </w:rPr>
        <w:t>T</w:t>
      </w:r>
      <w:r w:rsidR="000E1748">
        <w:rPr>
          <w:rFonts w:ascii="Arial" w:eastAsia="Arial" w:hAnsi="Arial" w:cs="Arial"/>
          <w:sz w:val="20"/>
          <w:szCs w:val="20"/>
        </w:rPr>
        <w:t>he indiscriminate use of antibiotics</w:t>
      </w:r>
      <w:r>
        <w:rPr>
          <w:rFonts w:ascii="Arial" w:eastAsia="Arial" w:hAnsi="Arial" w:cs="Arial"/>
          <w:sz w:val="20"/>
          <w:szCs w:val="20"/>
        </w:rPr>
        <w:t xml:space="preserve"> has partly lead to the rise of drug-resistant </w:t>
      </w:r>
      <w:r>
        <w:rPr>
          <w:rFonts w:ascii="Arial" w:eastAsia="Arial" w:hAnsi="Arial" w:cs="Arial"/>
          <w:i/>
          <w:sz w:val="20"/>
          <w:szCs w:val="20"/>
        </w:rPr>
        <w:t>Salmonella</w:t>
      </w:r>
      <w:r>
        <w:rPr>
          <w:rFonts w:ascii="Arial" w:eastAsia="Arial" w:hAnsi="Arial" w:cs="Arial"/>
          <w:sz w:val="20"/>
          <w:szCs w:val="20"/>
        </w:rPr>
        <w:t>.  But</w:t>
      </w:r>
      <w:r w:rsidR="000E1748">
        <w:rPr>
          <w:rFonts w:ascii="Arial" w:eastAsia="Arial" w:hAnsi="Arial" w:cs="Arial"/>
          <w:sz w:val="20"/>
          <w:szCs w:val="20"/>
        </w:rPr>
        <w:t xml:space="preserve"> the spread of already resistant strains and the concurrent emergence of new resistance mechanisms </w:t>
      </w:r>
      <w:r>
        <w:rPr>
          <w:rFonts w:ascii="Arial" w:eastAsia="Arial" w:hAnsi="Arial" w:cs="Arial"/>
          <w:sz w:val="20"/>
          <w:szCs w:val="20"/>
        </w:rPr>
        <w:t xml:space="preserve">has also contributed significantly </w:t>
      </w:r>
      <w:r w:rsidR="000E1748">
        <w:rPr>
          <w:rFonts w:ascii="Arial" w:eastAsia="Arial" w:hAnsi="Arial" w:cs="Arial"/>
          <w:sz w:val="20"/>
          <w:szCs w:val="20"/>
        </w:rPr>
        <w:t xml:space="preserve">(Nair et al., 2015). The emergence of multidrug-resistant (MDR) and extensively drug-resistant (XDR) </w:t>
      </w:r>
      <w:r w:rsidR="000E1748">
        <w:rPr>
          <w:rFonts w:ascii="Arial" w:eastAsia="Arial" w:hAnsi="Arial" w:cs="Arial"/>
          <w:i/>
          <w:sz w:val="20"/>
          <w:szCs w:val="20"/>
        </w:rPr>
        <w:t>Salmonella</w:t>
      </w:r>
      <w:r w:rsidR="000E1748">
        <w:rPr>
          <w:rFonts w:ascii="Arial" w:eastAsia="Arial" w:hAnsi="Arial" w:cs="Arial"/>
          <w:sz w:val="20"/>
          <w:szCs w:val="20"/>
        </w:rPr>
        <w:t xml:space="preserve"> strains poses significant challenges to the management of enteric fever (</w:t>
      </w:r>
      <w:proofErr w:type="spellStart"/>
      <w:r w:rsidR="000E1748">
        <w:rPr>
          <w:rFonts w:ascii="Arial" w:eastAsia="Arial" w:hAnsi="Arial" w:cs="Arial"/>
          <w:sz w:val="20"/>
          <w:szCs w:val="20"/>
        </w:rPr>
        <w:t>Hamdulay</w:t>
      </w:r>
      <w:proofErr w:type="spellEnd"/>
      <w:r w:rsidR="000E1748">
        <w:rPr>
          <w:rFonts w:ascii="Arial" w:eastAsia="Arial" w:hAnsi="Arial" w:cs="Arial"/>
          <w:sz w:val="20"/>
          <w:szCs w:val="20"/>
        </w:rPr>
        <w:t xml:space="preserve"> et al., 2024). Accurate</w:t>
      </w:r>
      <w:r w:rsidR="00C976DD">
        <w:rPr>
          <w:rFonts w:ascii="Arial" w:eastAsia="Arial" w:hAnsi="Arial" w:cs="Arial"/>
          <w:sz w:val="20"/>
          <w:szCs w:val="20"/>
        </w:rPr>
        <w:t xml:space="preserve"> identification of pathogen</w:t>
      </w:r>
      <w:r w:rsidR="000E1748">
        <w:rPr>
          <w:rFonts w:ascii="Arial" w:eastAsia="Arial" w:hAnsi="Arial" w:cs="Arial"/>
          <w:sz w:val="20"/>
          <w:szCs w:val="20"/>
        </w:rPr>
        <w:t xml:space="preserve"> and antimicrobial susceptibility testing are crucial for efficient therapy (Xie et al., 2024). </w:t>
      </w:r>
      <w:r w:rsidR="00C976DD">
        <w:rPr>
          <w:rFonts w:ascii="Arial" w:eastAsia="Arial" w:hAnsi="Arial" w:cs="Arial"/>
          <w:sz w:val="20"/>
          <w:szCs w:val="20"/>
        </w:rPr>
        <w:t>In this study w</w:t>
      </w:r>
      <w:r w:rsidR="000E1748">
        <w:rPr>
          <w:rFonts w:ascii="Arial" w:eastAsia="Arial" w:hAnsi="Arial" w:cs="Arial"/>
          <w:sz w:val="20"/>
          <w:szCs w:val="20"/>
        </w:rPr>
        <w:t xml:space="preserve">e present </w:t>
      </w:r>
      <w:r w:rsidR="00D01EE7">
        <w:rPr>
          <w:rFonts w:ascii="Arial" w:eastAsia="Arial" w:hAnsi="Arial" w:cs="Arial"/>
          <w:sz w:val="20"/>
          <w:szCs w:val="20"/>
        </w:rPr>
        <w:t>the case of a young woman with</w:t>
      </w:r>
      <w:r w:rsidR="000E1748">
        <w:rPr>
          <w:rFonts w:ascii="Arial" w:eastAsia="Arial" w:hAnsi="Arial" w:cs="Arial"/>
          <w:sz w:val="20"/>
          <w:szCs w:val="20"/>
        </w:rPr>
        <w:t xml:space="preserve"> enteric fever co-infection, demonstrating the diagnostic ambiguities often encountered in clinical practice. This case highlights the importance of compre</w:t>
      </w:r>
      <w:r w:rsidR="00A12AD9">
        <w:rPr>
          <w:rFonts w:ascii="Arial" w:eastAsia="Arial" w:hAnsi="Arial" w:cs="Arial"/>
          <w:sz w:val="20"/>
          <w:szCs w:val="20"/>
        </w:rPr>
        <w:t xml:space="preserve">hensive laboratory diagnostics. This includes </w:t>
      </w:r>
      <w:r w:rsidR="000E1748">
        <w:rPr>
          <w:rFonts w:ascii="Arial" w:eastAsia="Arial" w:hAnsi="Arial" w:cs="Arial"/>
          <w:sz w:val="20"/>
          <w:szCs w:val="20"/>
        </w:rPr>
        <w:t xml:space="preserve">blood culture and molecular assays, for the differentiation of pathogens. It </w:t>
      </w:r>
      <w:r w:rsidR="000E1748">
        <w:rPr>
          <w:rFonts w:ascii="Arial" w:eastAsia="Arial" w:hAnsi="Arial" w:cs="Arial"/>
          <w:sz w:val="20"/>
          <w:szCs w:val="20"/>
        </w:rPr>
        <w:lastRenderedPageBreak/>
        <w:t>also indicates the need for individualized antimicrobial strategies</w:t>
      </w:r>
      <w:r w:rsidR="00F12250">
        <w:rPr>
          <w:rFonts w:ascii="Arial" w:eastAsia="Arial" w:hAnsi="Arial" w:cs="Arial"/>
          <w:sz w:val="20"/>
          <w:szCs w:val="20"/>
        </w:rPr>
        <w:t xml:space="preserve"> to handle the changing</w:t>
      </w:r>
      <w:r w:rsidR="000E1748">
        <w:rPr>
          <w:rFonts w:ascii="Arial" w:eastAsia="Arial" w:hAnsi="Arial" w:cs="Arial"/>
          <w:sz w:val="20"/>
          <w:szCs w:val="20"/>
        </w:rPr>
        <w:t xml:space="preserve"> resistance patterns.</w:t>
      </w:r>
    </w:p>
    <w:p w14:paraId="0000000C" w14:textId="77777777" w:rsidR="00DF4018" w:rsidRDefault="00DF4018">
      <w:pPr>
        <w:spacing w:before="280" w:after="280" w:line="240" w:lineRule="auto"/>
        <w:rPr>
          <w:rFonts w:ascii="Arial" w:eastAsia="Arial" w:hAnsi="Arial" w:cs="Arial"/>
          <w:b/>
        </w:rPr>
      </w:pPr>
    </w:p>
    <w:p w14:paraId="0000000D" w14:textId="77777777" w:rsidR="00DF4018" w:rsidRDefault="000E1748">
      <w:pPr>
        <w:spacing w:before="280" w:after="280" w:line="240" w:lineRule="auto"/>
        <w:rPr>
          <w:rFonts w:ascii="Arial" w:eastAsia="Arial" w:hAnsi="Arial" w:cs="Arial"/>
          <w:b/>
        </w:rPr>
      </w:pPr>
      <w:r>
        <w:rPr>
          <w:rFonts w:ascii="Arial" w:eastAsia="Arial" w:hAnsi="Arial" w:cs="Arial"/>
          <w:b/>
        </w:rPr>
        <w:t>Case Presentation</w:t>
      </w:r>
    </w:p>
    <w:p w14:paraId="0000000E"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Patient History and Initial Presentation</w:t>
      </w:r>
    </w:p>
    <w:p w14:paraId="0000000F" w14:textId="27C3C309"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A 29-year-old female with no significant past medical history presented with a 15-day history o</w:t>
      </w:r>
      <w:r w:rsidR="00F12250">
        <w:rPr>
          <w:rFonts w:ascii="Arial" w:eastAsia="Arial" w:hAnsi="Arial" w:cs="Arial"/>
          <w:sz w:val="20"/>
          <w:szCs w:val="20"/>
        </w:rPr>
        <w:t>f intermittent high-grade fever.  The</w:t>
      </w:r>
      <w:r>
        <w:rPr>
          <w:rFonts w:ascii="Arial" w:eastAsia="Arial" w:hAnsi="Arial" w:cs="Arial"/>
          <w:sz w:val="20"/>
          <w:szCs w:val="20"/>
        </w:rPr>
        <w:t xml:space="preserve"> temperatures </w:t>
      </w:r>
      <w:r w:rsidR="00F12250">
        <w:rPr>
          <w:rFonts w:ascii="Arial" w:eastAsia="Arial" w:hAnsi="Arial" w:cs="Arial"/>
          <w:sz w:val="20"/>
          <w:szCs w:val="20"/>
        </w:rPr>
        <w:t xml:space="preserve">were </w:t>
      </w:r>
      <w:r>
        <w:rPr>
          <w:rFonts w:ascii="Arial" w:eastAsia="Arial" w:hAnsi="Arial" w:cs="Arial"/>
          <w:sz w:val="20"/>
          <w:szCs w:val="20"/>
        </w:rPr>
        <w:t xml:space="preserve">up to 39.5°C. </w:t>
      </w:r>
      <w:r w:rsidR="00F12250">
        <w:rPr>
          <w:rFonts w:ascii="Arial" w:eastAsia="Arial" w:hAnsi="Arial" w:cs="Arial"/>
          <w:sz w:val="20"/>
          <w:szCs w:val="20"/>
        </w:rPr>
        <w:t>The patient also complained of</w:t>
      </w:r>
      <w:r>
        <w:rPr>
          <w:rFonts w:ascii="Arial" w:eastAsia="Arial" w:hAnsi="Arial" w:cs="Arial"/>
          <w:sz w:val="20"/>
          <w:szCs w:val="20"/>
        </w:rPr>
        <w:t xml:space="preserve"> generalized malaise, headache, and occasional episodes of non-bloody loose stools. </w:t>
      </w:r>
      <w:r w:rsidR="00F12250">
        <w:rPr>
          <w:rFonts w:ascii="Arial" w:eastAsia="Arial" w:hAnsi="Arial" w:cs="Arial"/>
          <w:sz w:val="20"/>
          <w:szCs w:val="20"/>
        </w:rPr>
        <w:t>O</w:t>
      </w:r>
      <w:r>
        <w:rPr>
          <w:rFonts w:ascii="Arial" w:eastAsia="Arial" w:hAnsi="Arial" w:cs="Arial"/>
          <w:sz w:val="20"/>
          <w:szCs w:val="20"/>
        </w:rPr>
        <w:t>r</w:t>
      </w:r>
      <w:r w:rsidR="00F12250">
        <w:rPr>
          <w:rFonts w:ascii="Arial" w:eastAsia="Arial" w:hAnsi="Arial" w:cs="Arial"/>
          <w:sz w:val="20"/>
          <w:szCs w:val="20"/>
        </w:rPr>
        <w:t>al Rifaximin and Cefixime</w:t>
      </w:r>
      <w:r>
        <w:rPr>
          <w:rFonts w:ascii="Arial" w:eastAsia="Arial" w:hAnsi="Arial" w:cs="Arial"/>
          <w:sz w:val="20"/>
          <w:szCs w:val="20"/>
        </w:rPr>
        <w:t xml:space="preserve"> </w:t>
      </w:r>
      <w:r w:rsidR="00DC5A8B">
        <w:rPr>
          <w:rFonts w:ascii="Arial" w:eastAsia="Arial" w:hAnsi="Arial" w:cs="Arial"/>
          <w:sz w:val="20"/>
          <w:szCs w:val="20"/>
        </w:rPr>
        <w:t>were</w:t>
      </w:r>
      <w:r>
        <w:rPr>
          <w:rFonts w:ascii="Arial" w:eastAsia="Arial" w:hAnsi="Arial" w:cs="Arial"/>
          <w:sz w:val="20"/>
          <w:szCs w:val="20"/>
        </w:rPr>
        <w:t xml:space="preserve"> prescribed at </w:t>
      </w:r>
      <w:r w:rsidR="00F12250">
        <w:rPr>
          <w:rFonts w:ascii="Arial" w:eastAsia="Arial" w:hAnsi="Arial" w:cs="Arial"/>
          <w:sz w:val="20"/>
          <w:szCs w:val="20"/>
        </w:rPr>
        <w:t>a tertiary care medical school. The patient reported a transient improvement after completing a 5-day course. F</w:t>
      </w:r>
      <w:r>
        <w:rPr>
          <w:rFonts w:ascii="Arial" w:eastAsia="Arial" w:hAnsi="Arial" w:cs="Arial"/>
          <w:sz w:val="20"/>
          <w:szCs w:val="20"/>
        </w:rPr>
        <w:t xml:space="preserve">ever recurred within 48 hours of discontinuing </w:t>
      </w:r>
      <w:r w:rsidR="00F12250">
        <w:rPr>
          <w:rFonts w:ascii="Arial" w:eastAsia="Arial" w:hAnsi="Arial" w:cs="Arial"/>
          <w:sz w:val="20"/>
          <w:szCs w:val="20"/>
        </w:rPr>
        <w:t xml:space="preserve">the </w:t>
      </w:r>
      <w:r>
        <w:rPr>
          <w:rFonts w:ascii="Arial" w:eastAsia="Arial" w:hAnsi="Arial" w:cs="Arial"/>
          <w:sz w:val="20"/>
          <w:szCs w:val="20"/>
        </w:rPr>
        <w:t>treatment. The patient denied recent travel, exposure to sick individuals, or consumptio</w:t>
      </w:r>
      <w:r w:rsidR="00F12250">
        <w:rPr>
          <w:rFonts w:ascii="Arial" w:eastAsia="Arial" w:hAnsi="Arial" w:cs="Arial"/>
          <w:sz w:val="20"/>
          <w:szCs w:val="20"/>
        </w:rPr>
        <w:t>n of high-risk foods and also did not have a</w:t>
      </w:r>
      <w:r>
        <w:rPr>
          <w:rFonts w:ascii="Arial" w:eastAsia="Arial" w:hAnsi="Arial" w:cs="Arial"/>
          <w:sz w:val="20"/>
          <w:szCs w:val="20"/>
        </w:rPr>
        <w:t xml:space="preserve"> known history of </w:t>
      </w:r>
      <w:r w:rsidR="00F12250">
        <w:rPr>
          <w:rFonts w:ascii="Arial" w:eastAsia="Arial" w:hAnsi="Arial" w:cs="Arial"/>
          <w:sz w:val="20"/>
          <w:szCs w:val="20"/>
        </w:rPr>
        <w:t>prior typhoid vaccine.</w:t>
      </w:r>
    </w:p>
    <w:p w14:paraId="00000010" w14:textId="77777777" w:rsidR="00DF4018" w:rsidRDefault="000E1748">
      <w:pPr>
        <w:spacing w:before="280" w:after="280" w:line="240" w:lineRule="auto"/>
        <w:jc w:val="both"/>
        <w:rPr>
          <w:rFonts w:ascii="Arial" w:eastAsia="Arial" w:hAnsi="Arial" w:cs="Arial"/>
          <w:sz w:val="20"/>
          <w:szCs w:val="20"/>
        </w:rPr>
      </w:pPr>
      <w:r>
        <w:rPr>
          <w:rFonts w:ascii="Arial" w:eastAsia="Arial" w:hAnsi="Arial" w:cs="Arial"/>
          <w:b/>
          <w:sz w:val="20"/>
          <w:szCs w:val="20"/>
        </w:rPr>
        <w:t>On Admission</w:t>
      </w:r>
    </w:p>
    <w:p w14:paraId="00000011" w14:textId="7935BA31" w:rsidR="00DF4018" w:rsidRDefault="00DC5A8B">
      <w:pPr>
        <w:spacing w:before="280" w:after="280" w:line="240" w:lineRule="auto"/>
        <w:jc w:val="both"/>
        <w:rPr>
          <w:rFonts w:ascii="Arial" w:eastAsia="Arial" w:hAnsi="Arial" w:cs="Arial"/>
          <w:sz w:val="20"/>
          <w:szCs w:val="20"/>
        </w:rPr>
      </w:pPr>
      <w:r>
        <w:rPr>
          <w:rFonts w:ascii="Arial" w:eastAsia="Arial" w:hAnsi="Arial" w:cs="Arial"/>
          <w:sz w:val="20"/>
          <w:szCs w:val="20"/>
        </w:rPr>
        <w:t>The</w:t>
      </w:r>
      <w:r w:rsidR="000E1748">
        <w:rPr>
          <w:rFonts w:ascii="Arial" w:eastAsia="Arial" w:hAnsi="Arial" w:cs="Arial"/>
          <w:sz w:val="20"/>
          <w:szCs w:val="20"/>
        </w:rPr>
        <w:t xml:space="preserve"> vital signs reported a temperature of 38.8°C, blood pressure of 110/70 mmHg, and heart rate of 96 bpm</w:t>
      </w:r>
      <w:r>
        <w:rPr>
          <w:rFonts w:ascii="Arial" w:eastAsia="Arial" w:hAnsi="Arial" w:cs="Arial"/>
          <w:sz w:val="20"/>
          <w:szCs w:val="20"/>
        </w:rPr>
        <w:t xml:space="preserve"> at the time of admission</w:t>
      </w:r>
      <w:r w:rsidR="000E1748">
        <w:rPr>
          <w:rFonts w:ascii="Arial" w:eastAsia="Arial" w:hAnsi="Arial" w:cs="Arial"/>
          <w:sz w:val="20"/>
          <w:szCs w:val="20"/>
        </w:rPr>
        <w:t xml:space="preserve">. </w:t>
      </w:r>
      <w:r>
        <w:rPr>
          <w:rFonts w:ascii="Arial" w:eastAsia="Arial" w:hAnsi="Arial" w:cs="Arial"/>
          <w:sz w:val="20"/>
          <w:szCs w:val="20"/>
        </w:rPr>
        <w:t>General examination revealed m</w:t>
      </w:r>
      <w:r w:rsidR="000E1748">
        <w:rPr>
          <w:rFonts w:ascii="Arial" w:eastAsia="Arial" w:hAnsi="Arial" w:cs="Arial"/>
          <w:sz w:val="20"/>
          <w:szCs w:val="20"/>
        </w:rPr>
        <w:t>ild pallor, witho</w:t>
      </w:r>
      <w:r>
        <w:rPr>
          <w:rFonts w:ascii="Arial" w:eastAsia="Arial" w:hAnsi="Arial" w:cs="Arial"/>
          <w:sz w:val="20"/>
          <w:szCs w:val="20"/>
        </w:rPr>
        <w:t>ut any rash or lymphadenopathy</w:t>
      </w:r>
      <w:r w:rsidR="000E1748">
        <w:rPr>
          <w:rFonts w:ascii="Arial" w:eastAsia="Arial" w:hAnsi="Arial" w:cs="Arial"/>
          <w:sz w:val="20"/>
          <w:szCs w:val="20"/>
        </w:rPr>
        <w:t xml:space="preserve">. </w:t>
      </w:r>
      <w:r>
        <w:rPr>
          <w:rFonts w:ascii="Arial" w:eastAsia="Arial" w:hAnsi="Arial" w:cs="Arial"/>
          <w:sz w:val="20"/>
          <w:szCs w:val="20"/>
        </w:rPr>
        <w:t>M</w:t>
      </w:r>
      <w:r w:rsidR="000E1748">
        <w:rPr>
          <w:rFonts w:ascii="Arial" w:eastAsia="Arial" w:hAnsi="Arial" w:cs="Arial"/>
          <w:sz w:val="20"/>
          <w:szCs w:val="20"/>
        </w:rPr>
        <w:t>ild hepatomegaly without guarding or rebound tenderness</w:t>
      </w:r>
      <w:r>
        <w:rPr>
          <w:rFonts w:ascii="Arial" w:eastAsia="Arial" w:hAnsi="Arial" w:cs="Arial"/>
          <w:sz w:val="20"/>
          <w:szCs w:val="20"/>
        </w:rPr>
        <w:t xml:space="preserve"> was shown in abdominal examination. The remaining systemic findings were normal</w:t>
      </w:r>
      <w:r w:rsidR="000E1748">
        <w:rPr>
          <w:rFonts w:ascii="Arial" w:eastAsia="Arial" w:hAnsi="Arial" w:cs="Arial"/>
          <w:sz w:val="20"/>
          <w:szCs w:val="20"/>
        </w:rPr>
        <w:t>.</w:t>
      </w:r>
    </w:p>
    <w:p w14:paraId="00000012"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Initial Investigations</w:t>
      </w:r>
    </w:p>
    <w:p w14:paraId="42B71A12" w14:textId="6645F21A" w:rsidR="009060E7" w:rsidRDefault="00DC5A8B" w:rsidP="009060E7">
      <w:pPr>
        <w:spacing w:before="280" w:after="280" w:line="240" w:lineRule="auto"/>
        <w:jc w:val="both"/>
        <w:rPr>
          <w:rFonts w:ascii="Arial" w:eastAsia="Arial" w:hAnsi="Arial" w:cs="Arial"/>
          <w:sz w:val="20"/>
          <w:szCs w:val="20"/>
        </w:rPr>
      </w:pPr>
      <w:r>
        <w:rPr>
          <w:rFonts w:ascii="Arial" w:eastAsia="Arial" w:hAnsi="Arial" w:cs="Arial"/>
          <w:sz w:val="20"/>
          <w:szCs w:val="20"/>
        </w:rPr>
        <w:t>L</w:t>
      </w:r>
      <w:r w:rsidR="009060E7" w:rsidRPr="009060E7">
        <w:rPr>
          <w:rFonts w:ascii="Arial" w:eastAsia="Arial" w:hAnsi="Arial" w:cs="Arial"/>
          <w:sz w:val="20"/>
          <w:szCs w:val="20"/>
        </w:rPr>
        <w:t xml:space="preserve">aboratory findings showed a </w:t>
      </w:r>
      <w:proofErr w:type="spellStart"/>
      <w:r w:rsidR="009060E7" w:rsidRPr="009060E7">
        <w:rPr>
          <w:rFonts w:ascii="Arial" w:eastAsia="Arial" w:hAnsi="Arial" w:cs="Arial"/>
          <w:sz w:val="20"/>
          <w:szCs w:val="20"/>
        </w:rPr>
        <w:t>hemoglobin</w:t>
      </w:r>
      <w:proofErr w:type="spellEnd"/>
      <w:r w:rsidR="009060E7" w:rsidRPr="009060E7">
        <w:rPr>
          <w:rFonts w:ascii="Arial" w:eastAsia="Arial" w:hAnsi="Arial" w:cs="Arial"/>
          <w:sz w:val="20"/>
          <w:szCs w:val="20"/>
        </w:rPr>
        <w:t xml:space="preserve"> level of 10.8 g/dL (reference range: 12–15 g/dL), a white blood cell count of 5,200/mm³ (reference range: 4,000–11,000/mm³) with 65% neutrophils (reference range: 40–70%), and a platelet count of 180,000/mm³ (reference range: 150,000–450,000/mm³). Inflammatory markers were elevated, with an ESR of 40 mm/hr (reference range: &lt;20 mm/hr) and CRP at 46 mg/L (reference range: &lt;5 mg/L). Liver function tests revealed mildly elevated transaminases (ALT/AST), with ALT mildly increased above the normal range of 7–56 U/L and AST above the normal range of 10–40 U/L. Renal function remained normal with a serum creatinine of 0.7 mg/dL (reference range: 0.6–1.1 mg/dL). An abdominal ultrasound showed hepatomegaly w</w:t>
      </w:r>
      <w:r>
        <w:rPr>
          <w:rFonts w:ascii="Arial" w:eastAsia="Arial" w:hAnsi="Arial" w:cs="Arial"/>
          <w:sz w:val="20"/>
          <w:szCs w:val="20"/>
        </w:rPr>
        <w:t>ith borderline splenomegaly. M</w:t>
      </w:r>
      <w:r w:rsidR="009060E7" w:rsidRPr="009060E7">
        <w:rPr>
          <w:rFonts w:ascii="Arial" w:eastAsia="Arial" w:hAnsi="Arial" w:cs="Arial"/>
          <w:sz w:val="20"/>
          <w:szCs w:val="20"/>
        </w:rPr>
        <w:t>alaria rapid diagnostic test and Salm</w:t>
      </w:r>
      <w:r w:rsidR="00790D5A">
        <w:rPr>
          <w:rFonts w:ascii="Arial" w:eastAsia="Arial" w:hAnsi="Arial" w:cs="Arial"/>
          <w:sz w:val="20"/>
          <w:szCs w:val="20"/>
        </w:rPr>
        <w:t>onella IgM (ICT) were negative.</w:t>
      </w:r>
      <w:r w:rsidR="009060E7" w:rsidRPr="009060E7">
        <w:rPr>
          <w:rFonts w:ascii="Arial" w:eastAsia="Arial" w:hAnsi="Arial" w:cs="Arial"/>
          <w:sz w:val="20"/>
          <w:szCs w:val="20"/>
        </w:rPr>
        <w:t xml:space="preserve"> Based on</w:t>
      </w:r>
      <w:r w:rsidR="00790D5A">
        <w:rPr>
          <w:rFonts w:ascii="Arial" w:eastAsia="Arial" w:hAnsi="Arial" w:cs="Arial"/>
          <w:sz w:val="20"/>
          <w:szCs w:val="20"/>
        </w:rPr>
        <w:t xml:space="preserve"> an</w:t>
      </w:r>
      <w:r w:rsidR="009060E7" w:rsidRPr="009060E7">
        <w:rPr>
          <w:rFonts w:ascii="Arial" w:eastAsia="Arial" w:hAnsi="Arial" w:cs="Arial"/>
          <w:sz w:val="20"/>
          <w:szCs w:val="20"/>
        </w:rPr>
        <w:t xml:space="preserve"> </w:t>
      </w:r>
      <w:r w:rsidR="00790D5A" w:rsidRPr="009060E7">
        <w:rPr>
          <w:rFonts w:ascii="Arial" w:eastAsia="Arial" w:hAnsi="Arial" w:cs="Arial"/>
          <w:sz w:val="20"/>
          <w:szCs w:val="20"/>
        </w:rPr>
        <w:t xml:space="preserve">external blood culture report </w:t>
      </w:r>
      <w:r w:rsidR="00790D5A">
        <w:rPr>
          <w:rFonts w:ascii="Arial" w:eastAsia="Arial" w:hAnsi="Arial" w:cs="Arial"/>
          <w:sz w:val="20"/>
          <w:szCs w:val="20"/>
        </w:rPr>
        <w:t xml:space="preserve">which </w:t>
      </w:r>
      <w:r w:rsidR="00790D5A" w:rsidRPr="009060E7">
        <w:rPr>
          <w:rFonts w:ascii="Arial" w:eastAsia="Arial" w:hAnsi="Arial" w:cs="Arial"/>
          <w:sz w:val="20"/>
          <w:szCs w:val="20"/>
        </w:rPr>
        <w:t>identified Salmonella Typhi, sensitive to cefixime and ceftriaxone</w:t>
      </w:r>
      <w:r w:rsidR="009060E7" w:rsidRPr="009060E7">
        <w:rPr>
          <w:rFonts w:ascii="Arial" w:eastAsia="Arial" w:hAnsi="Arial" w:cs="Arial"/>
          <w:sz w:val="20"/>
          <w:szCs w:val="20"/>
        </w:rPr>
        <w:t>, she was started on intravenous ceftriaxone 2 g once daily and oral azithromycin 1 g once daily.</w:t>
      </w:r>
    </w:p>
    <w:p w14:paraId="00000014" w14:textId="2E45B17F"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Clinical Course and Diagnostic Challenges</w:t>
      </w:r>
    </w:p>
    <w:p w14:paraId="7B6279F6" w14:textId="4EEA7BD4" w:rsidR="00790D5A" w:rsidRDefault="00790D5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Even after </w:t>
      </w:r>
      <w:r w:rsidR="000E1748">
        <w:rPr>
          <w:rFonts w:ascii="Arial" w:eastAsia="Arial" w:hAnsi="Arial" w:cs="Arial"/>
          <w:sz w:val="20"/>
          <w:szCs w:val="20"/>
        </w:rPr>
        <w:t>72 hours of appropriate antibiotic therapy, the patient remained febrile. Repeat blood cultures were sent for analysis, and antibiotics were continued. The in-house blood cultures (Day 3 of admission) showed growth in 4 out of 4 bottles within 24–48 hours. Gram-negative bacilli</w:t>
      </w:r>
      <w:r>
        <w:rPr>
          <w:rFonts w:ascii="Arial" w:eastAsia="Arial" w:hAnsi="Arial" w:cs="Arial"/>
          <w:sz w:val="20"/>
          <w:szCs w:val="20"/>
        </w:rPr>
        <w:t xml:space="preserve"> were revealed by Gram stain</w:t>
      </w:r>
      <w:r w:rsidR="000E1748">
        <w:rPr>
          <w:rFonts w:ascii="Arial" w:eastAsia="Arial" w:hAnsi="Arial" w:cs="Arial"/>
          <w:sz w:val="20"/>
          <w:szCs w:val="20"/>
        </w:rPr>
        <w:t xml:space="preserve">. VITEK identification confirmed </w:t>
      </w:r>
      <w:r w:rsidR="000E1748">
        <w:rPr>
          <w:rFonts w:ascii="Arial" w:eastAsia="Arial" w:hAnsi="Arial" w:cs="Arial"/>
          <w:i/>
          <w:sz w:val="20"/>
          <w:szCs w:val="20"/>
        </w:rPr>
        <w:t>Salmonella</w:t>
      </w:r>
      <w:r w:rsidR="000E1748">
        <w:rPr>
          <w:rFonts w:ascii="Arial" w:eastAsia="Arial" w:hAnsi="Arial" w:cs="Arial"/>
          <w:sz w:val="20"/>
          <w:szCs w:val="20"/>
        </w:rPr>
        <w:t xml:space="preserve"> </w:t>
      </w:r>
      <w:r w:rsidR="000E1748">
        <w:rPr>
          <w:rFonts w:ascii="Arial" w:eastAsia="Arial" w:hAnsi="Arial" w:cs="Arial"/>
          <w:i/>
          <w:sz w:val="20"/>
          <w:szCs w:val="20"/>
        </w:rPr>
        <w:t>species.</w:t>
      </w:r>
      <w:r w:rsidR="000E1748">
        <w:rPr>
          <w:rFonts w:ascii="Arial" w:eastAsia="Arial" w:hAnsi="Arial" w:cs="Arial"/>
          <w:sz w:val="20"/>
          <w:szCs w:val="20"/>
        </w:rPr>
        <w:t xml:space="preserve"> Antimi</w:t>
      </w:r>
      <w:r>
        <w:rPr>
          <w:rFonts w:ascii="Arial" w:eastAsia="Arial" w:hAnsi="Arial" w:cs="Arial"/>
          <w:sz w:val="20"/>
          <w:szCs w:val="20"/>
        </w:rPr>
        <w:t>crobial susceptibility testing showed</w:t>
      </w:r>
      <w:r w:rsidR="000E1748">
        <w:rPr>
          <w:rFonts w:ascii="Arial" w:eastAsia="Arial" w:hAnsi="Arial" w:cs="Arial"/>
          <w:sz w:val="20"/>
          <w:szCs w:val="20"/>
        </w:rPr>
        <w:t xml:space="preserve"> resistance to ceftriaxone and meropenem, but sensitivity to azithromycin and trimethoprim-sulfamethoxazole. </w:t>
      </w:r>
      <w:r>
        <w:rPr>
          <w:rFonts w:ascii="Arial" w:eastAsia="Arial" w:hAnsi="Arial" w:cs="Arial"/>
          <w:sz w:val="20"/>
          <w:szCs w:val="20"/>
        </w:rPr>
        <w:t>Therapy was escalated to ceftazidime-avibactam due to the</w:t>
      </w:r>
      <w:r w:rsidR="000E1748">
        <w:rPr>
          <w:rFonts w:ascii="Arial" w:eastAsia="Arial" w:hAnsi="Arial" w:cs="Arial"/>
          <w:sz w:val="20"/>
          <w:szCs w:val="20"/>
        </w:rPr>
        <w:t xml:space="preserve"> ceftriaxone r</w:t>
      </w:r>
      <w:r>
        <w:rPr>
          <w:rFonts w:ascii="Arial" w:eastAsia="Arial" w:hAnsi="Arial" w:cs="Arial"/>
          <w:sz w:val="20"/>
          <w:szCs w:val="20"/>
        </w:rPr>
        <w:t>esistance and persistent fever.</w:t>
      </w:r>
    </w:p>
    <w:p w14:paraId="00000016" w14:textId="33B32A17" w:rsidR="00DF4018" w:rsidRDefault="000E1748">
      <w:pPr>
        <w:spacing w:before="280" w:after="280" w:line="240" w:lineRule="auto"/>
        <w:jc w:val="both"/>
        <w:rPr>
          <w:rFonts w:ascii="Arial" w:eastAsia="Arial" w:hAnsi="Arial" w:cs="Arial"/>
          <w:sz w:val="20"/>
          <w:szCs w:val="20"/>
        </w:rPr>
      </w:pPr>
      <w:r>
        <w:rPr>
          <w:rFonts w:ascii="Arial" w:eastAsia="Arial" w:hAnsi="Arial" w:cs="Arial"/>
          <w:b/>
          <w:sz w:val="20"/>
          <w:szCs w:val="20"/>
        </w:rPr>
        <w:t>Microbiological Dilemma and Advanced Diagnostics</w:t>
      </w:r>
    </w:p>
    <w:p w14:paraId="00000017" w14:textId="581F7D27" w:rsidR="00DF4018" w:rsidRDefault="00790D5A">
      <w:pPr>
        <w:spacing w:before="280" w:after="280" w:line="240" w:lineRule="auto"/>
        <w:jc w:val="both"/>
        <w:rPr>
          <w:rFonts w:ascii="Arial" w:eastAsia="Arial" w:hAnsi="Arial" w:cs="Arial"/>
          <w:sz w:val="20"/>
          <w:szCs w:val="20"/>
        </w:rPr>
      </w:pPr>
      <w:bookmarkStart w:id="1" w:name="_myalszi8fv49" w:colFirst="0" w:colLast="0"/>
      <w:bookmarkEnd w:id="1"/>
      <w:r>
        <w:rPr>
          <w:rFonts w:ascii="Arial" w:eastAsia="Arial" w:hAnsi="Arial" w:cs="Arial"/>
          <w:sz w:val="20"/>
          <w:szCs w:val="20"/>
        </w:rPr>
        <w:t>T</w:t>
      </w:r>
      <w:r w:rsidR="000E1748">
        <w:rPr>
          <w:rFonts w:ascii="Arial" w:eastAsia="Arial" w:hAnsi="Arial" w:cs="Arial"/>
          <w:sz w:val="20"/>
          <w:szCs w:val="20"/>
        </w:rPr>
        <w:t xml:space="preserve">he conflicting susceptibility results and variable response to treatment, </w:t>
      </w:r>
      <w:r>
        <w:rPr>
          <w:rFonts w:ascii="Arial" w:eastAsia="Arial" w:hAnsi="Arial" w:cs="Arial"/>
          <w:sz w:val="20"/>
          <w:szCs w:val="20"/>
        </w:rPr>
        <w:t xml:space="preserve">led to </w:t>
      </w:r>
      <w:r w:rsidR="000E1748">
        <w:rPr>
          <w:rFonts w:ascii="Arial" w:eastAsia="Arial" w:hAnsi="Arial" w:cs="Arial"/>
          <w:sz w:val="20"/>
          <w:szCs w:val="20"/>
        </w:rPr>
        <w:t>f</w:t>
      </w:r>
      <w:r>
        <w:rPr>
          <w:rFonts w:ascii="Arial" w:eastAsia="Arial" w:hAnsi="Arial" w:cs="Arial"/>
          <w:sz w:val="20"/>
          <w:szCs w:val="20"/>
        </w:rPr>
        <w:t>urther microbiological analysis</w:t>
      </w:r>
      <w:r w:rsidR="000E1748">
        <w:rPr>
          <w:rFonts w:ascii="Arial" w:eastAsia="Arial" w:hAnsi="Arial" w:cs="Arial"/>
          <w:sz w:val="20"/>
          <w:szCs w:val="20"/>
        </w:rPr>
        <w:t xml:space="preserve">. Morphologically similar colonies from two separate blood culture bottles were </w:t>
      </w:r>
      <w:proofErr w:type="spellStart"/>
      <w:r w:rsidR="000E1748">
        <w:rPr>
          <w:rFonts w:ascii="Arial" w:eastAsia="Arial" w:hAnsi="Arial" w:cs="Arial"/>
          <w:sz w:val="20"/>
          <w:szCs w:val="20"/>
        </w:rPr>
        <w:t>subcultured</w:t>
      </w:r>
      <w:proofErr w:type="spellEnd"/>
      <w:r w:rsidR="000E1748">
        <w:rPr>
          <w:rFonts w:ascii="Arial" w:eastAsia="Arial" w:hAnsi="Arial" w:cs="Arial"/>
          <w:sz w:val="20"/>
          <w:szCs w:val="20"/>
        </w:rPr>
        <w:t xml:space="preserve"> individually. </w:t>
      </w:r>
      <w:r>
        <w:rPr>
          <w:rFonts w:ascii="Arial" w:eastAsia="Arial" w:hAnsi="Arial" w:cs="Arial"/>
          <w:sz w:val="20"/>
          <w:szCs w:val="20"/>
        </w:rPr>
        <w:t>VITEK identified Bottle A was</w:t>
      </w:r>
      <w:r w:rsidR="000E1748">
        <w:rPr>
          <w:rFonts w:ascii="Arial" w:eastAsia="Arial" w:hAnsi="Arial" w:cs="Arial"/>
          <w:sz w:val="20"/>
          <w:szCs w:val="20"/>
        </w:rPr>
        <w:t xml:space="preserve"> as an unspecified </w:t>
      </w:r>
      <w:r w:rsidR="000E1748">
        <w:rPr>
          <w:rFonts w:ascii="Arial" w:eastAsia="Arial" w:hAnsi="Arial" w:cs="Arial"/>
          <w:i/>
          <w:sz w:val="20"/>
          <w:szCs w:val="20"/>
        </w:rPr>
        <w:t>Salmonella species</w:t>
      </w:r>
      <w:r w:rsidR="000E1748">
        <w:rPr>
          <w:rFonts w:ascii="Arial" w:eastAsia="Arial" w:hAnsi="Arial" w:cs="Arial"/>
          <w:sz w:val="20"/>
          <w:szCs w:val="20"/>
        </w:rPr>
        <w:t xml:space="preserve">, while Bottle B was identified as </w:t>
      </w:r>
      <w:r w:rsidR="000E1748">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sz w:val="20"/>
          <w:szCs w:val="20"/>
        </w:rPr>
        <w:t xml:space="preserve"> with a 99% probability. The findings from the</w:t>
      </w:r>
      <w:r w:rsidR="000E1748">
        <w:rPr>
          <w:rFonts w:ascii="Arial" w:eastAsia="Arial" w:hAnsi="Arial" w:cs="Arial"/>
          <w:sz w:val="20"/>
          <w:szCs w:val="20"/>
        </w:rPr>
        <w:t xml:space="preserve"> initial VITEK reports provided important </w:t>
      </w:r>
      <w:r>
        <w:rPr>
          <w:rFonts w:ascii="Arial" w:eastAsia="Arial" w:hAnsi="Arial" w:cs="Arial"/>
          <w:sz w:val="20"/>
          <w:szCs w:val="20"/>
        </w:rPr>
        <w:t xml:space="preserve">information </w:t>
      </w:r>
      <w:r w:rsidR="000E1748">
        <w:rPr>
          <w:rFonts w:ascii="Arial" w:eastAsia="Arial" w:hAnsi="Arial" w:cs="Arial"/>
          <w:sz w:val="20"/>
          <w:szCs w:val="20"/>
        </w:rPr>
        <w:t xml:space="preserve">but </w:t>
      </w:r>
      <w:r>
        <w:rPr>
          <w:rFonts w:ascii="Arial" w:eastAsia="Arial" w:hAnsi="Arial" w:cs="Arial"/>
          <w:sz w:val="20"/>
          <w:szCs w:val="20"/>
        </w:rPr>
        <w:t>were incomplete. In order to</w:t>
      </w:r>
      <w:r w:rsidR="000E1748">
        <w:rPr>
          <w:rFonts w:ascii="Arial" w:eastAsia="Arial" w:hAnsi="Arial" w:cs="Arial"/>
          <w:sz w:val="20"/>
          <w:szCs w:val="20"/>
        </w:rPr>
        <w:t xml:space="preserve"> resolve the discrepancy and clarify the identity of the isolates, both were referred </w:t>
      </w:r>
      <w:r>
        <w:rPr>
          <w:rFonts w:ascii="Arial" w:eastAsia="Arial" w:hAnsi="Arial" w:cs="Arial"/>
          <w:sz w:val="20"/>
          <w:szCs w:val="20"/>
        </w:rPr>
        <w:t xml:space="preserve">for advanced phenotypic and molecular identification, </w:t>
      </w:r>
      <w:r w:rsidR="000E1748">
        <w:rPr>
          <w:rFonts w:ascii="Arial" w:eastAsia="Arial" w:hAnsi="Arial" w:cs="Arial"/>
          <w:sz w:val="20"/>
          <w:szCs w:val="20"/>
        </w:rPr>
        <w:t xml:space="preserve">to the Department of Microbiology at Christian </w:t>
      </w:r>
      <w:r>
        <w:rPr>
          <w:rFonts w:ascii="Arial" w:eastAsia="Arial" w:hAnsi="Arial" w:cs="Arial"/>
          <w:sz w:val="20"/>
          <w:szCs w:val="20"/>
        </w:rPr>
        <w:t>Medical College (CMC), Vellore</w:t>
      </w:r>
      <w:r w:rsidR="000E1748">
        <w:rPr>
          <w:rFonts w:ascii="Arial" w:eastAsia="Arial" w:hAnsi="Arial" w:cs="Arial"/>
          <w:sz w:val="20"/>
          <w:szCs w:val="20"/>
        </w:rPr>
        <w:t xml:space="preserve">. The CMC report confirmed </w:t>
      </w:r>
      <w:r w:rsidR="000E1748">
        <w:rPr>
          <w:rFonts w:ascii="Arial" w:eastAsia="Arial" w:hAnsi="Arial" w:cs="Arial"/>
          <w:sz w:val="20"/>
          <w:szCs w:val="20"/>
        </w:rPr>
        <w:lastRenderedPageBreak/>
        <w:t xml:space="preserve">that Bottle A contained a mixed culture of </w:t>
      </w:r>
      <w:r w:rsidR="000E1748">
        <w:rPr>
          <w:rFonts w:ascii="Arial" w:eastAsia="Arial" w:hAnsi="Arial" w:cs="Arial"/>
          <w:i/>
          <w:sz w:val="20"/>
          <w:szCs w:val="20"/>
        </w:rPr>
        <w:t xml:space="preserve">Salmonella </w:t>
      </w:r>
      <w:r w:rsidR="00FA4AD4">
        <w:rPr>
          <w:rFonts w:ascii="Arial" w:eastAsia="Arial" w:hAnsi="Arial" w:cs="Arial"/>
          <w:i/>
          <w:sz w:val="20"/>
          <w:szCs w:val="20"/>
        </w:rPr>
        <w:t>Typhi</w:t>
      </w:r>
      <w:r w:rsidR="000E1748">
        <w:rPr>
          <w:rFonts w:ascii="Arial" w:eastAsia="Arial" w:hAnsi="Arial" w:cs="Arial"/>
          <w:i/>
          <w:sz w:val="20"/>
          <w:szCs w:val="20"/>
        </w:rPr>
        <w:t xml:space="preserve"> </w:t>
      </w:r>
      <w:r w:rsidR="000E1748">
        <w:rPr>
          <w:rFonts w:ascii="Arial" w:eastAsia="Arial" w:hAnsi="Arial" w:cs="Arial"/>
          <w:sz w:val="20"/>
          <w:szCs w:val="20"/>
        </w:rPr>
        <w:t xml:space="preserve">and </w:t>
      </w:r>
      <w:r w:rsidR="000E1748">
        <w:rPr>
          <w:rFonts w:ascii="Arial" w:eastAsia="Arial" w:hAnsi="Arial" w:cs="Arial"/>
          <w:i/>
          <w:sz w:val="20"/>
          <w:szCs w:val="20"/>
        </w:rPr>
        <w:t xml:space="preserve">Salmonella </w:t>
      </w:r>
      <w:proofErr w:type="spellStart"/>
      <w:r w:rsidR="00FA4AD4">
        <w:rPr>
          <w:rFonts w:ascii="Arial" w:eastAsia="Arial" w:hAnsi="Arial" w:cs="Arial"/>
          <w:i/>
          <w:sz w:val="20"/>
          <w:szCs w:val="20"/>
        </w:rPr>
        <w:t>Paratyphi</w:t>
      </w:r>
      <w:proofErr w:type="spellEnd"/>
      <w:r w:rsidR="000E1748">
        <w:rPr>
          <w:rFonts w:ascii="Arial" w:eastAsia="Arial" w:hAnsi="Arial" w:cs="Arial"/>
          <w:i/>
          <w:sz w:val="20"/>
          <w:szCs w:val="20"/>
        </w:rPr>
        <w:t xml:space="preserve"> A</w:t>
      </w:r>
      <w:r w:rsidR="000E1748">
        <w:rPr>
          <w:rFonts w:ascii="Arial" w:eastAsia="Arial" w:hAnsi="Arial" w:cs="Arial"/>
          <w:sz w:val="20"/>
          <w:szCs w:val="20"/>
        </w:rPr>
        <w:t xml:space="preserve">, while Bottle B yielded a pure isolate of </w:t>
      </w:r>
      <w:r w:rsidR="000E1748">
        <w:rPr>
          <w:rFonts w:ascii="Arial" w:eastAsia="Arial" w:hAnsi="Arial" w:cs="Arial"/>
          <w:i/>
          <w:sz w:val="20"/>
          <w:szCs w:val="20"/>
        </w:rPr>
        <w:t xml:space="preserve">S. </w:t>
      </w:r>
      <w:r w:rsidR="00FA4AD4">
        <w:rPr>
          <w:rFonts w:ascii="Arial" w:eastAsia="Arial" w:hAnsi="Arial" w:cs="Arial"/>
          <w:i/>
          <w:sz w:val="20"/>
          <w:szCs w:val="20"/>
        </w:rPr>
        <w:t>Typhi</w:t>
      </w:r>
      <w:r w:rsidR="000E1748">
        <w:rPr>
          <w:rFonts w:ascii="Arial" w:eastAsia="Arial" w:hAnsi="Arial" w:cs="Arial"/>
          <w:sz w:val="20"/>
          <w:szCs w:val="20"/>
        </w:rPr>
        <w:t xml:space="preserve">. The </w:t>
      </w:r>
      <w:r w:rsidR="00236643">
        <w:rPr>
          <w:rFonts w:ascii="Arial" w:eastAsia="Arial" w:hAnsi="Arial" w:cs="Arial"/>
          <w:sz w:val="20"/>
          <w:szCs w:val="20"/>
        </w:rPr>
        <w:t>results from CMC</w:t>
      </w:r>
      <w:r w:rsidR="000E1748">
        <w:rPr>
          <w:rFonts w:ascii="Arial" w:eastAsia="Arial" w:hAnsi="Arial" w:cs="Arial"/>
          <w:sz w:val="20"/>
          <w:szCs w:val="20"/>
        </w:rPr>
        <w:t xml:space="preserve"> added greater resolution, confirming the co-infection and </w:t>
      </w:r>
      <w:r w:rsidR="00236643">
        <w:rPr>
          <w:rFonts w:ascii="Arial" w:eastAsia="Arial" w:hAnsi="Arial" w:cs="Arial"/>
          <w:sz w:val="20"/>
          <w:szCs w:val="20"/>
        </w:rPr>
        <w:t>explains</w:t>
      </w:r>
      <w:r w:rsidR="000E1748">
        <w:rPr>
          <w:rFonts w:ascii="Arial" w:eastAsia="Arial" w:hAnsi="Arial" w:cs="Arial"/>
          <w:sz w:val="20"/>
          <w:szCs w:val="20"/>
        </w:rPr>
        <w:t xml:space="preserve"> the variable antimicrobial resistance profiles. </w:t>
      </w:r>
      <w:r w:rsidR="00236643">
        <w:rPr>
          <w:rFonts w:ascii="Arial" w:eastAsia="Arial" w:hAnsi="Arial" w:cs="Arial"/>
          <w:sz w:val="20"/>
          <w:szCs w:val="20"/>
        </w:rPr>
        <w:t>The d</w:t>
      </w:r>
      <w:r w:rsidR="000E1748">
        <w:rPr>
          <w:rFonts w:ascii="Arial" w:eastAsia="Arial" w:hAnsi="Arial" w:cs="Arial"/>
          <w:sz w:val="20"/>
          <w:szCs w:val="20"/>
        </w:rPr>
        <w:t>istinct susceptibility patterns</w:t>
      </w:r>
      <w:r w:rsidR="00236643">
        <w:rPr>
          <w:rFonts w:ascii="Arial" w:eastAsia="Arial" w:hAnsi="Arial" w:cs="Arial"/>
          <w:sz w:val="20"/>
          <w:szCs w:val="20"/>
        </w:rPr>
        <w:t xml:space="preserve"> shown by each isolate</w:t>
      </w:r>
      <w:r w:rsidR="000E1748">
        <w:rPr>
          <w:rFonts w:ascii="Arial" w:eastAsia="Arial" w:hAnsi="Arial" w:cs="Arial"/>
          <w:sz w:val="20"/>
          <w:szCs w:val="20"/>
        </w:rPr>
        <w:t xml:space="preserve"> explained the inconsistencies in culture re</w:t>
      </w:r>
      <w:r w:rsidR="00236643">
        <w:rPr>
          <w:rFonts w:ascii="Arial" w:eastAsia="Arial" w:hAnsi="Arial" w:cs="Arial"/>
          <w:sz w:val="20"/>
          <w:szCs w:val="20"/>
        </w:rPr>
        <w:t xml:space="preserve">ports and therapeutic response. After </w:t>
      </w:r>
      <w:r w:rsidR="00236643" w:rsidRPr="00236643">
        <w:rPr>
          <w:rFonts w:ascii="Arial" w:hAnsi="Arial" w:cs="Arial"/>
          <w:sz w:val="20"/>
          <w:szCs w:val="20"/>
        </w:rPr>
        <w:t>the targeted therapy was started, the follow-up cultures showed no growth, indicating that the infection had cleared</w:t>
      </w:r>
      <w:r w:rsidR="00236643">
        <w:t>.</w:t>
      </w:r>
    </w:p>
    <w:p w14:paraId="00000018" w14:textId="77777777" w:rsidR="00DF4018" w:rsidRDefault="000E1748">
      <w:pPr>
        <w:spacing w:before="280" w:after="280" w:line="240" w:lineRule="auto"/>
        <w:rPr>
          <w:rFonts w:ascii="Arial" w:eastAsia="Arial" w:hAnsi="Arial" w:cs="Arial"/>
          <w:sz w:val="20"/>
          <w:szCs w:val="20"/>
        </w:rPr>
      </w:pPr>
      <w:r>
        <w:rPr>
          <w:rFonts w:ascii="Arial" w:eastAsia="Arial" w:hAnsi="Arial" w:cs="Arial"/>
          <w:b/>
          <w:sz w:val="20"/>
          <w:szCs w:val="20"/>
        </w:rPr>
        <w:t>Treatment and Outcome</w:t>
      </w:r>
    </w:p>
    <w:p w14:paraId="4909A762" w14:textId="22E91EB1" w:rsidR="00FC53F1" w:rsidRDefault="000E1748" w:rsidP="00FC53F1">
      <w:pPr>
        <w:spacing w:before="280" w:after="280" w:line="240" w:lineRule="auto"/>
        <w:jc w:val="both"/>
        <w:rPr>
          <w:rFonts w:ascii="Arial" w:eastAsia="Arial" w:hAnsi="Arial" w:cs="Arial"/>
          <w:sz w:val="20"/>
          <w:szCs w:val="20"/>
        </w:rPr>
      </w:pPr>
      <w:r>
        <w:rPr>
          <w:rFonts w:ascii="Arial" w:eastAsia="Arial" w:hAnsi="Arial" w:cs="Arial"/>
          <w:sz w:val="20"/>
          <w:szCs w:val="20"/>
        </w:rPr>
        <w:t>After confirmation of co-infection and updated susceptibility profiles</w:t>
      </w:r>
      <w:r w:rsidR="00FC53F1">
        <w:rPr>
          <w:rFonts w:ascii="Arial" w:eastAsia="Arial" w:hAnsi="Arial" w:cs="Arial"/>
          <w:sz w:val="20"/>
          <w:szCs w:val="20"/>
        </w:rPr>
        <w:t>, the treatment was also updated, A</w:t>
      </w:r>
      <w:r>
        <w:rPr>
          <w:rFonts w:ascii="Arial" w:eastAsia="Arial" w:hAnsi="Arial" w:cs="Arial"/>
          <w:sz w:val="20"/>
          <w:szCs w:val="20"/>
        </w:rPr>
        <w:t xml:space="preserve">zithromycin was continued, ceftriaxone was discontinued, and ceftazidime-avibactam was maintained based on resistance patterns and documented synergy. The patient became </w:t>
      </w:r>
      <w:r w:rsidR="00FC53F1">
        <w:rPr>
          <w:rFonts w:ascii="Arial" w:eastAsia="Arial" w:hAnsi="Arial" w:cs="Arial"/>
          <w:sz w:val="20"/>
          <w:szCs w:val="20"/>
        </w:rPr>
        <w:t>afebrile on the fifth day after</w:t>
      </w:r>
      <w:r w:rsidR="00FC53F1">
        <w:t xml:space="preserve"> the treatment was stepped up</w:t>
      </w:r>
      <w:r>
        <w:rPr>
          <w:rFonts w:ascii="Arial" w:eastAsia="Arial" w:hAnsi="Arial" w:cs="Arial"/>
          <w:sz w:val="20"/>
          <w:szCs w:val="20"/>
        </w:rPr>
        <w:t xml:space="preserve">. </w:t>
      </w:r>
      <w:r w:rsidR="00FC53F1">
        <w:rPr>
          <w:rFonts w:ascii="Arial" w:eastAsia="Arial" w:hAnsi="Arial" w:cs="Arial"/>
          <w:sz w:val="20"/>
          <w:szCs w:val="20"/>
        </w:rPr>
        <w:t>The remainder of her hospital stay was without any c</w:t>
      </w:r>
      <w:r>
        <w:rPr>
          <w:rFonts w:ascii="Arial" w:eastAsia="Arial" w:hAnsi="Arial" w:cs="Arial"/>
          <w:sz w:val="20"/>
          <w:szCs w:val="20"/>
        </w:rPr>
        <w:t xml:space="preserve">omplications. </w:t>
      </w:r>
      <w:r w:rsidR="00FC53F1" w:rsidRPr="00FC53F1">
        <w:rPr>
          <w:rFonts w:ascii="Arial" w:hAnsi="Arial" w:cs="Arial"/>
          <w:sz w:val="20"/>
          <w:szCs w:val="20"/>
        </w:rPr>
        <w:t>Follow-up cultures showed no bacterial growth, confirming that the treatment was working</w:t>
      </w:r>
      <w:r w:rsidR="00FC53F1">
        <w:t>.</w:t>
      </w:r>
      <w:r w:rsidR="00FC53F1">
        <w:rPr>
          <w:rFonts w:ascii="Arial" w:eastAsia="Arial" w:hAnsi="Arial" w:cs="Arial"/>
          <w:sz w:val="20"/>
          <w:szCs w:val="20"/>
        </w:rPr>
        <w:t xml:space="preserve"> The </w:t>
      </w:r>
      <w:r>
        <w:rPr>
          <w:rFonts w:ascii="Arial" w:eastAsia="Arial" w:hAnsi="Arial" w:cs="Arial"/>
          <w:sz w:val="20"/>
          <w:szCs w:val="20"/>
        </w:rPr>
        <w:t>14-day course of antibiotics</w:t>
      </w:r>
      <w:r w:rsidR="00FC53F1">
        <w:rPr>
          <w:rFonts w:ascii="Arial" w:eastAsia="Arial" w:hAnsi="Arial" w:cs="Arial"/>
          <w:sz w:val="20"/>
          <w:szCs w:val="20"/>
        </w:rPr>
        <w:t xml:space="preserve"> was completed</w:t>
      </w:r>
      <w:r>
        <w:rPr>
          <w:rFonts w:ascii="Arial" w:eastAsia="Arial" w:hAnsi="Arial" w:cs="Arial"/>
          <w:sz w:val="20"/>
          <w:szCs w:val="20"/>
        </w:rPr>
        <w:t xml:space="preserve"> with regular monitoring of hepatic and renal function. </w:t>
      </w:r>
      <w:r w:rsidR="00FC53F1">
        <w:rPr>
          <w:rFonts w:ascii="Arial" w:eastAsia="Arial" w:hAnsi="Arial" w:cs="Arial"/>
          <w:sz w:val="20"/>
          <w:szCs w:val="20"/>
        </w:rPr>
        <w:t>The patient</w:t>
      </w:r>
      <w:r>
        <w:rPr>
          <w:rFonts w:ascii="Arial" w:eastAsia="Arial" w:hAnsi="Arial" w:cs="Arial"/>
          <w:sz w:val="20"/>
          <w:szCs w:val="20"/>
        </w:rPr>
        <w:t xml:space="preserve"> was discharged in</w:t>
      </w:r>
      <w:r w:rsidR="00FC53F1">
        <w:rPr>
          <w:rFonts w:ascii="Arial" w:eastAsia="Arial" w:hAnsi="Arial" w:cs="Arial"/>
          <w:sz w:val="20"/>
          <w:szCs w:val="20"/>
        </w:rPr>
        <w:t xml:space="preserve"> stable condition and was without any symptoms</w:t>
      </w:r>
      <w:r>
        <w:rPr>
          <w:rFonts w:ascii="Arial" w:eastAsia="Arial" w:hAnsi="Arial" w:cs="Arial"/>
          <w:sz w:val="20"/>
          <w:szCs w:val="20"/>
        </w:rPr>
        <w:t xml:space="preserve"> at her </w:t>
      </w:r>
      <w:r w:rsidR="00FC53F1">
        <w:rPr>
          <w:rFonts w:ascii="Arial" w:eastAsia="Arial" w:hAnsi="Arial" w:cs="Arial"/>
          <w:sz w:val="20"/>
          <w:szCs w:val="20"/>
        </w:rPr>
        <w:t xml:space="preserve">review after 1 </w:t>
      </w:r>
      <w:r>
        <w:rPr>
          <w:rFonts w:ascii="Arial" w:eastAsia="Arial" w:hAnsi="Arial" w:cs="Arial"/>
          <w:sz w:val="20"/>
          <w:szCs w:val="20"/>
        </w:rPr>
        <w:t>month</w:t>
      </w:r>
      <w:r w:rsidR="00FC53F1">
        <w:rPr>
          <w:rFonts w:ascii="Arial" w:eastAsia="Arial" w:hAnsi="Arial" w:cs="Arial"/>
          <w:sz w:val="20"/>
          <w:szCs w:val="20"/>
        </w:rPr>
        <w:t>.</w:t>
      </w:r>
    </w:p>
    <w:p w14:paraId="440EAA72" w14:textId="16A8A2A3" w:rsidR="00411852" w:rsidRPr="00411852" w:rsidRDefault="00411852" w:rsidP="00411852">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5"/>
        <w:gridCol w:w="2203"/>
        <w:gridCol w:w="2670"/>
        <w:gridCol w:w="1692"/>
        <w:gridCol w:w="1596"/>
      </w:tblGrid>
      <w:tr w:rsidR="00411852" w:rsidRPr="00411852" w14:paraId="70EFC24F" w14:textId="77777777" w:rsidTr="00411852">
        <w:trPr>
          <w:tblHeader/>
          <w:tblCellSpacing w:w="15" w:type="dxa"/>
        </w:trPr>
        <w:tc>
          <w:tcPr>
            <w:tcW w:w="0" w:type="auto"/>
            <w:vAlign w:val="center"/>
            <w:hideMark/>
          </w:tcPr>
          <w:p w14:paraId="01ADA3B2" w14:textId="77777777" w:rsidR="00411852" w:rsidRPr="00411852" w:rsidRDefault="00411852" w:rsidP="00411852">
            <w:pPr>
              <w:spacing w:after="0" w:line="240" w:lineRule="auto"/>
              <w:jc w:val="center"/>
              <w:rPr>
                <w:rFonts w:ascii="Arial" w:eastAsia="Times New Roman" w:hAnsi="Arial" w:cs="Arial"/>
                <w:b/>
                <w:bCs/>
                <w:sz w:val="20"/>
                <w:szCs w:val="20"/>
              </w:rPr>
            </w:pPr>
            <w:r w:rsidRPr="00411852">
              <w:rPr>
                <w:rFonts w:ascii="Arial" w:eastAsia="Times New Roman" w:hAnsi="Arial" w:cs="Arial"/>
                <w:b/>
                <w:bCs/>
                <w:sz w:val="20"/>
                <w:szCs w:val="20"/>
              </w:rPr>
              <w:t>Time Point</w:t>
            </w:r>
          </w:p>
        </w:tc>
        <w:tc>
          <w:tcPr>
            <w:tcW w:w="0" w:type="auto"/>
            <w:vAlign w:val="center"/>
            <w:hideMark/>
          </w:tcPr>
          <w:p w14:paraId="7D6D93B1" w14:textId="77777777" w:rsidR="00411852" w:rsidRPr="00411852" w:rsidRDefault="00411852" w:rsidP="00411852">
            <w:pPr>
              <w:spacing w:after="0" w:line="240" w:lineRule="auto"/>
              <w:jc w:val="center"/>
              <w:rPr>
                <w:rFonts w:ascii="Arial" w:eastAsia="Times New Roman" w:hAnsi="Arial" w:cs="Arial"/>
                <w:b/>
                <w:bCs/>
                <w:sz w:val="20"/>
                <w:szCs w:val="20"/>
              </w:rPr>
            </w:pPr>
            <w:r w:rsidRPr="00411852">
              <w:rPr>
                <w:rFonts w:ascii="Arial" w:eastAsia="Times New Roman" w:hAnsi="Arial" w:cs="Arial"/>
                <w:b/>
                <w:bCs/>
                <w:sz w:val="20"/>
                <w:szCs w:val="20"/>
              </w:rPr>
              <w:t>Clinical Events</w:t>
            </w:r>
          </w:p>
        </w:tc>
        <w:tc>
          <w:tcPr>
            <w:tcW w:w="0" w:type="auto"/>
            <w:vAlign w:val="center"/>
            <w:hideMark/>
          </w:tcPr>
          <w:p w14:paraId="6FC7D7B3" w14:textId="77777777" w:rsidR="00411852" w:rsidRPr="00411852" w:rsidRDefault="00411852" w:rsidP="00411852">
            <w:pPr>
              <w:spacing w:after="0" w:line="240" w:lineRule="auto"/>
              <w:jc w:val="center"/>
              <w:rPr>
                <w:rFonts w:ascii="Arial" w:eastAsia="Times New Roman" w:hAnsi="Arial" w:cs="Arial"/>
                <w:b/>
                <w:bCs/>
                <w:sz w:val="20"/>
                <w:szCs w:val="20"/>
              </w:rPr>
            </w:pPr>
            <w:r w:rsidRPr="00411852">
              <w:rPr>
                <w:rFonts w:ascii="Arial" w:eastAsia="Times New Roman" w:hAnsi="Arial" w:cs="Arial"/>
                <w:b/>
                <w:bCs/>
                <w:sz w:val="20"/>
                <w:szCs w:val="20"/>
              </w:rPr>
              <w:t>Key Investigations</w:t>
            </w:r>
          </w:p>
        </w:tc>
        <w:tc>
          <w:tcPr>
            <w:tcW w:w="0" w:type="auto"/>
            <w:vAlign w:val="center"/>
            <w:hideMark/>
          </w:tcPr>
          <w:p w14:paraId="60AADC3F" w14:textId="77777777" w:rsidR="00411852" w:rsidRPr="00411852" w:rsidRDefault="00411852" w:rsidP="00411852">
            <w:pPr>
              <w:spacing w:after="0" w:line="240" w:lineRule="auto"/>
              <w:jc w:val="center"/>
              <w:rPr>
                <w:rFonts w:ascii="Arial" w:eastAsia="Times New Roman" w:hAnsi="Arial" w:cs="Arial"/>
                <w:b/>
                <w:bCs/>
                <w:sz w:val="20"/>
                <w:szCs w:val="20"/>
              </w:rPr>
            </w:pPr>
            <w:r w:rsidRPr="00411852">
              <w:rPr>
                <w:rFonts w:ascii="Arial" w:eastAsia="Times New Roman" w:hAnsi="Arial" w:cs="Arial"/>
                <w:b/>
                <w:bCs/>
                <w:sz w:val="20"/>
                <w:szCs w:val="20"/>
              </w:rPr>
              <w:t>Management</w:t>
            </w:r>
          </w:p>
        </w:tc>
        <w:tc>
          <w:tcPr>
            <w:tcW w:w="0" w:type="auto"/>
            <w:vAlign w:val="center"/>
            <w:hideMark/>
          </w:tcPr>
          <w:p w14:paraId="15D03E39" w14:textId="77777777" w:rsidR="00411852" w:rsidRPr="00411852" w:rsidRDefault="00411852" w:rsidP="00411852">
            <w:pPr>
              <w:spacing w:after="0" w:line="240" w:lineRule="auto"/>
              <w:jc w:val="center"/>
              <w:rPr>
                <w:rFonts w:ascii="Arial" w:eastAsia="Times New Roman" w:hAnsi="Arial" w:cs="Arial"/>
                <w:b/>
                <w:bCs/>
                <w:sz w:val="20"/>
                <w:szCs w:val="20"/>
              </w:rPr>
            </w:pPr>
            <w:r w:rsidRPr="00411852">
              <w:rPr>
                <w:rFonts w:ascii="Arial" w:eastAsia="Times New Roman" w:hAnsi="Arial" w:cs="Arial"/>
                <w:b/>
                <w:bCs/>
                <w:sz w:val="20"/>
                <w:szCs w:val="20"/>
              </w:rPr>
              <w:t>Outcome</w:t>
            </w:r>
          </w:p>
        </w:tc>
      </w:tr>
      <w:tr w:rsidR="00411852" w:rsidRPr="00411852" w14:paraId="64AB5436" w14:textId="77777777" w:rsidTr="00411852">
        <w:trPr>
          <w:tblCellSpacing w:w="15" w:type="dxa"/>
        </w:trPr>
        <w:tc>
          <w:tcPr>
            <w:tcW w:w="0" w:type="auto"/>
            <w:vAlign w:val="center"/>
            <w:hideMark/>
          </w:tcPr>
          <w:p w14:paraId="38FE33FB"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 0</w:t>
            </w:r>
          </w:p>
        </w:tc>
        <w:tc>
          <w:tcPr>
            <w:tcW w:w="0" w:type="auto"/>
            <w:vAlign w:val="center"/>
            <w:hideMark/>
          </w:tcPr>
          <w:p w14:paraId="0B1CF197"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Onset of intermittent high-grade fever (up to 39.5°C), malaise, headache, loose stools</w:t>
            </w:r>
          </w:p>
        </w:tc>
        <w:tc>
          <w:tcPr>
            <w:tcW w:w="0" w:type="auto"/>
            <w:vAlign w:val="center"/>
            <w:hideMark/>
          </w:tcPr>
          <w:p w14:paraId="706CD351"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w:t>
            </w:r>
          </w:p>
        </w:tc>
        <w:tc>
          <w:tcPr>
            <w:tcW w:w="0" w:type="auto"/>
            <w:vAlign w:val="center"/>
            <w:hideMark/>
          </w:tcPr>
          <w:p w14:paraId="19F3C3BD"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w:t>
            </w:r>
          </w:p>
        </w:tc>
        <w:tc>
          <w:tcPr>
            <w:tcW w:w="0" w:type="auto"/>
            <w:vAlign w:val="center"/>
            <w:hideMark/>
          </w:tcPr>
          <w:p w14:paraId="37A8E022"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Symptoms persist</w:t>
            </w:r>
          </w:p>
        </w:tc>
      </w:tr>
      <w:tr w:rsidR="00411852" w:rsidRPr="00411852" w14:paraId="6DFB2333" w14:textId="77777777" w:rsidTr="00411852">
        <w:trPr>
          <w:tblCellSpacing w:w="15" w:type="dxa"/>
        </w:trPr>
        <w:tc>
          <w:tcPr>
            <w:tcW w:w="0" w:type="auto"/>
            <w:vAlign w:val="center"/>
            <w:hideMark/>
          </w:tcPr>
          <w:p w14:paraId="1BCA8FFC"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Days 7–10</w:t>
            </w:r>
          </w:p>
        </w:tc>
        <w:tc>
          <w:tcPr>
            <w:tcW w:w="0" w:type="auto"/>
            <w:vAlign w:val="center"/>
            <w:hideMark/>
          </w:tcPr>
          <w:p w14:paraId="45026D65"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First medical evaluation; transient improvement with oral rifaximin and cefixime</w:t>
            </w:r>
          </w:p>
        </w:tc>
        <w:tc>
          <w:tcPr>
            <w:tcW w:w="0" w:type="auto"/>
            <w:vAlign w:val="center"/>
            <w:hideMark/>
          </w:tcPr>
          <w:p w14:paraId="092B9409"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Initial labs suggest infection</w:t>
            </w:r>
          </w:p>
        </w:tc>
        <w:tc>
          <w:tcPr>
            <w:tcW w:w="0" w:type="auto"/>
            <w:vAlign w:val="center"/>
            <w:hideMark/>
          </w:tcPr>
          <w:p w14:paraId="67DAD6AA"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Empirical antibiotics (rifaximin, cefixime)</w:t>
            </w:r>
          </w:p>
        </w:tc>
        <w:tc>
          <w:tcPr>
            <w:tcW w:w="0" w:type="auto"/>
            <w:vAlign w:val="center"/>
            <w:hideMark/>
          </w:tcPr>
          <w:p w14:paraId="516A16D7"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Fever recurs within 48 hr</w:t>
            </w:r>
          </w:p>
        </w:tc>
      </w:tr>
      <w:tr w:rsidR="00411852" w:rsidRPr="00411852" w14:paraId="1D7ED5D1" w14:textId="77777777" w:rsidTr="00411852">
        <w:trPr>
          <w:tblCellSpacing w:w="15" w:type="dxa"/>
        </w:trPr>
        <w:tc>
          <w:tcPr>
            <w:tcW w:w="0" w:type="auto"/>
            <w:vAlign w:val="center"/>
            <w:hideMark/>
          </w:tcPr>
          <w:p w14:paraId="56824759"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Days 10–12</w:t>
            </w:r>
          </w:p>
        </w:tc>
        <w:tc>
          <w:tcPr>
            <w:tcW w:w="0" w:type="auto"/>
            <w:vAlign w:val="center"/>
            <w:hideMark/>
          </w:tcPr>
          <w:p w14:paraId="5EF809DB"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Worsening fever; admitted to hospital</w:t>
            </w:r>
          </w:p>
        </w:tc>
        <w:tc>
          <w:tcPr>
            <w:tcW w:w="0" w:type="auto"/>
            <w:vAlign w:val="center"/>
            <w:hideMark/>
          </w:tcPr>
          <w:p w14:paraId="6C9EFF4E"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 xml:space="preserve">External blood culture: </w:t>
            </w:r>
            <w:r w:rsidRPr="00411852">
              <w:rPr>
                <w:rFonts w:ascii="Arial" w:eastAsia="Times New Roman" w:hAnsi="Arial" w:cs="Arial"/>
                <w:i/>
                <w:iCs/>
                <w:sz w:val="20"/>
                <w:szCs w:val="20"/>
              </w:rPr>
              <w:t>Salmonella Typhi</w:t>
            </w:r>
            <w:r w:rsidRPr="00411852">
              <w:rPr>
                <w:rFonts w:ascii="Arial" w:eastAsia="Times New Roman" w:hAnsi="Arial" w:cs="Arial"/>
                <w:sz w:val="20"/>
                <w:szCs w:val="20"/>
              </w:rPr>
              <w:t xml:space="preserve"> (sensitive to cefixime/ceftriaxone)</w:t>
            </w:r>
          </w:p>
        </w:tc>
        <w:tc>
          <w:tcPr>
            <w:tcW w:w="0" w:type="auto"/>
            <w:vAlign w:val="center"/>
            <w:hideMark/>
          </w:tcPr>
          <w:p w14:paraId="2AB550FE"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IV ceftriaxone + oral azithromycin started</w:t>
            </w:r>
          </w:p>
        </w:tc>
        <w:tc>
          <w:tcPr>
            <w:tcW w:w="0" w:type="auto"/>
            <w:vAlign w:val="center"/>
            <w:hideMark/>
          </w:tcPr>
          <w:p w14:paraId="08F0EB48"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Persistent fever</w:t>
            </w:r>
          </w:p>
        </w:tc>
      </w:tr>
      <w:tr w:rsidR="00411852" w:rsidRPr="00411852" w14:paraId="1843E617" w14:textId="77777777" w:rsidTr="00411852">
        <w:trPr>
          <w:tblCellSpacing w:w="15" w:type="dxa"/>
        </w:trPr>
        <w:tc>
          <w:tcPr>
            <w:tcW w:w="0" w:type="auto"/>
            <w:vAlign w:val="center"/>
            <w:hideMark/>
          </w:tcPr>
          <w:p w14:paraId="25DD704B"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 12–14</w:t>
            </w:r>
          </w:p>
        </w:tc>
        <w:tc>
          <w:tcPr>
            <w:tcW w:w="0" w:type="auto"/>
            <w:vAlign w:val="center"/>
            <w:hideMark/>
          </w:tcPr>
          <w:p w14:paraId="3B29BE05"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No improvement after 72 hr of therapy</w:t>
            </w:r>
          </w:p>
        </w:tc>
        <w:tc>
          <w:tcPr>
            <w:tcW w:w="0" w:type="auto"/>
            <w:vAlign w:val="center"/>
            <w:hideMark/>
          </w:tcPr>
          <w:p w14:paraId="4B6B9850"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Repeat cultures: Gram-negative bacilli; VITEK shows mixed ID patterns</w:t>
            </w:r>
          </w:p>
        </w:tc>
        <w:tc>
          <w:tcPr>
            <w:tcW w:w="0" w:type="auto"/>
            <w:vAlign w:val="center"/>
            <w:hideMark/>
          </w:tcPr>
          <w:p w14:paraId="79BF0E60"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Antibiotics continued</w:t>
            </w:r>
          </w:p>
        </w:tc>
        <w:tc>
          <w:tcPr>
            <w:tcW w:w="0" w:type="auto"/>
            <w:vAlign w:val="center"/>
            <w:hideMark/>
          </w:tcPr>
          <w:p w14:paraId="3197667F"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Diagnostic uncertainty</w:t>
            </w:r>
          </w:p>
        </w:tc>
      </w:tr>
      <w:tr w:rsidR="00411852" w:rsidRPr="00411852" w14:paraId="2EEBD37A" w14:textId="77777777" w:rsidTr="00411852">
        <w:trPr>
          <w:tblCellSpacing w:w="15" w:type="dxa"/>
        </w:trPr>
        <w:tc>
          <w:tcPr>
            <w:tcW w:w="0" w:type="auto"/>
            <w:vAlign w:val="center"/>
            <w:hideMark/>
          </w:tcPr>
          <w:p w14:paraId="7FDEAC8F"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 14</w:t>
            </w:r>
          </w:p>
        </w:tc>
        <w:tc>
          <w:tcPr>
            <w:tcW w:w="0" w:type="auto"/>
            <w:vAlign w:val="center"/>
            <w:hideMark/>
          </w:tcPr>
          <w:p w14:paraId="1C8EF099"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Persistent fever despite therapy</w:t>
            </w:r>
          </w:p>
        </w:tc>
        <w:tc>
          <w:tcPr>
            <w:tcW w:w="0" w:type="auto"/>
            <w:vAlign w:val="center"/>
            <w:hideMark/>
          </w:tcPr>
          <w:p w14:paraId="32B0E0CB"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In-house AST: ceftriaxone and meropenem resistant; azithromycin/TMP-SMX sensitive</w:t>
            </w:r>
          </w:p>
        </w:tc>
        <w:tc>
          <w:tcPr>
            <w:tcW w:w="0" w:type="auto"/>
            <w:vAlign w:val="center"/>
            <w:hideMark/>
          </w:tcPr>
          <w:p w14:paraId="46ACA2F6"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Escalated to ceftazidime–avibactam</w:t>
            </w:r>
          </w:p>
        </w:tc>
        <w:tc>
          <w:tcPr>
            <w:tcW w:w="0" w:type="auto"/>
            <w:vAlign w:val="center"/>
            <w:hideMark/>
          </w:tcPr>
          <w:p w14:paraId="67F4A1B0"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Fever begins to subside</w:t>
            </w:r>
          </w:p>
        </w:tc>
      </w:tr>
      <w:tr w:rsidR="00411852" w:rsidRPr="00411852" w14:paraId="610E76BA" w14:textId="77777777" w:rsidTr="00411852">
        <w:trPr>
          <w:tblCellSpacing w:w="15" w:type="dxa"/>
        </w:trPr>
        <w:tc>
          <w:tcPr>
            <w:tcW w:w="0" w:type="auto"/>
            <w:vAlign w:val="center"/>
            <w:hideMark/>
          </w:tcPr>
          <w:p w14:paraId="281CB06F"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Days 14–16</w:t>
            </w:r>
          </w:p>
        </w:tc>
        <w:tc>
          <w:tcPr>
            <w:tcW w:w="0" w:type="auto"/>
            <w:vAlign w:val="center"/>
            <w:hideMark/>
          </w:tcPr>
          <w:p w14:paraId="6FA9663E"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Conflicting culture reports clarified</w:t>
            </w:r>
          </w:p>
        </w:tc>
        <w:tc>
          <w:tcPr>
            <w:tcW w:w="0" w:type="auto"/>
            <w:vAlign w:val="center"/>
            <w:hideMark/>
          </w:tcPr>
          <w:p w14:paraId="50C44325"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 xml:space="preserve">CMC Vellore: </w:t>
            </w:r>
            <w:r w:rsidRPr="00411852">
              <w:rPr>
                <w:rFonts w:ascii="Arial" w:eastAsia="Times New Roman" w:hAnsi="Arial" w:cs="Arial"/>
                <w:b/>
                <w:bCs/>
                <w:sz w:val="20"/>
                <w:szCs w:val="20"/>
              </w:rPr>
              <w:t xml:space="preserve">co-infection with </w:t>
            </w:r>
            <w:r w:rsidRPr="00411852">
              <w:rPr>
                <w:rFonts w:ascii="Arial" w:eastAsia="Times New Roman" w:hAnsi="Arial" w:cs="Arial"/>
                <w:b/>
                <w:bCs/>
                <w:i/>
                <w:iCs/>
                <w:sz w:val="20"/>
                <w:szCs w:val="20"/>
              </w:rPr>
              <w:t>S. Typhi</w:t>
            </w:r>
            <w:r w:rsidRPr="00411852">
              <w:rPr>
                <w:rFonts w:ascii="Arial" w:eastAsia="Times New Roman" w:hAnsi="Arial" w:cs="Arial"/>
                <w:b/>
                <w:bCs/>
                <w:sz w:val="20"/>
                <w:szCs w:val="20"/>
              </w:rPr>
              <w:t xml:space="preserve"> and </w:t>
            </w:r>
            <w:r w:rsidRPr="00411852">
              <w:rPr>
                <w:rFonts w:ascii="Arial" w:eastAsia="Times New Roman" w:hAnsi="Arial" w:cs="Arial"/>
                <w:b/>
                <w:bCs/>
                <w:i/>
                <w:iCs/>
                <w:sz w:val="20"/>
                <w:szCs w:val="20"/>
              </w:rPr>
              <w:t xml:space="preserve">S. </w:t>
            </w:r>
            <w:proofErr w:type="spellStart"/>
            <w:r w:rsidRPr="00411852">
              <w:rPr>
                <w:rFonts w:ascii="Arial" w:eastAsia="Times New Roman" w:hAnsi="Arial" w:cs="Arial"/>
                <w:b/>
                <w:bCs/>
                <w:i/>
                <w:iCs/>
                <w:sz w:val="20"/>
                <w:szCs w:val="20"/>
              </w:rPr>
              <w:t>Paratyphi</w:t>
            </w:r>
            <w:proofErr w:type="spellEnd"/>
            <w:r w:rsidRPr="00411852">
              <w:rPr>
                <w:rFonts w:ascii="Arial" w:eastAsia="Times New Roman" w:hAnsi="Arial" w:cs="Arial"/>
                <w:b/>
                <w:bCs/>
                <w:i/>
                <w:iCs/>
                <w:sz w:val="20"/>
                <w:szCs w:val="20"/>
              </w:rPr>
              <w:t xml:space="preserve"> A</w:t>
            </w:r>
            <w:r w:rsidRPr="00411852">
              <w:rPr>
                <w:rFonts w:ascii="Arial" w:eastAsia="Times New Roman" w:hAnsi="Arial" w:cs="Arial"/>
                <w:sz w:val="20"/>
                <w:szCs w:val="20"/>
              </w:rPr>
              <w:t xml:space="preserve"> confirmed</w:t>
            </w:r>
          </w:p>
        </w:tc>
        <w:tc>
          <w:tcPr>
            <w:tcW w:w="0" w:type="auto"/>
            <w:vAlign w:val="center"/>
            <w:hideMark/>
          </w:tcPr>
          <w:p w14:paraId="1450CE91"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Targeted therapy continued; ceftriaxone stopped</w:t>
            </w:r>
          </w:p>
        </w:tc>
        <w:tc>
          <w:tcPr>
            <w:tcW w:w="0" w:type="auto"/>
            <w:vAlign w:val="center"/>
            <w:hideMark/>
          </w:tcPr>
          <w:p w14:paraId="7B114845"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Improved accuracy of diagnosis</w:t>
            </w:r>
          </w:p>
        </w:tc>
      </w:tr>
      <w:tr w:rsidR="00411852" w:rsidRPr="00411852" w14:paraId="401833B7" w14:textId="77777777" w:rsidTr="00411852">
        <w:trPr>
          <w:tblCellSpacing w:w="15" w:type="dxa"/>
        </w:trPr>
        <w:tc>
          <w:tcPr>
            <w:tcW w:w="0" w:type="auto"/>
            <w:vAlign w:val="center"/>
            <w:hideMark/>
          </w:tcPr>
          <w:p w14:paraId="02ED9A8F"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Days 18–20</w:t>
            </w:r>
          </w:p>
        </w:tc>
        <w:tc>
          <w:tcPr>
            <w:tcW w:w="0" w:type="auto"/>
            <w:vAlign w:val="center"/>
            <w:hideMark/>
          </w:tcPr>
          <w:p w14:paraId="704F2362"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Clinical stabilization</w:t>
            </w:r>
          </w:p>
        </w:tc>
        <w:tc>
          <w:tcPr>
            <w:tcW w:w="0" w:type="auto"/>
            <w:vAlign w:val="center"/>
            <w:hideMark/>
          </w:tcPr>
          <w:p w14:paraId="270D52BA"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LFT and RFT stable</w:t>
            </w:r>
          </w:p>
        </w:tc>
        <w:tc>
          <w:tcPr>
            <w:tcW w:w="0" w:type="auto"/>
            <w:vAlign w:val="center"/>
            <w:hideMark/>
          </w:tcPr>
          <w:p w14:paraId="452B782C"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Continued CZA + azithromycin</w:t>
            </w:r>
          </w:p>
        </w:tc>
        <w:tc>
          <w:tcPr>
            <w:tcW w:w="0" w:type="auto"/>
            <w:vAlign w:val="center"/>
            <w:hideMark/>
          </w:tcPr>
          <w:p w14:paraId="2FADF837"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No adverse effects</w:t>
            </w:r>
          </w:p>
        </w:tc>
      </w:tr>
      <w:tr w:rsidR="00411852" w:rsidRPr="00411852" w14:paraId="48A7ABFD" w14:textId="77777777" w:rsidTr="00411852">
        <w:trPr>
          <w:tblCellSpacing w:w="15" w:type="dxa"/>
        </w:trPr>
        <w:tc>
          <w:tcPr>
            <w:tcW w:w="0" w:type="auto"/>
            <w:vAlign w:val="center"/>
            <w:hideMark/>
          </w:tcPr>
          <w:p w14:paraId="7B84D63C"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Days 21–24</w:t>
            </w:r>
          </w:p>
        </w:tc>
        <w:tc>
          <w:tcPr>
            <w:tcW w:w="0" w:type="auto"/>
            <w:vAlign w:val="center"/>
            <w:hideMark/>
          </w:tcPr>
          <w:p w14:paraId="321BA513"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Afebrile and stable</w:t>
            </w:r>
          </w:p>
        </w:tc>
        <w:tc>
          <w:tcPr>
            <w:tcW w:w="0" w:type="auto"/>
            <w:vAlign w:val="center"/>
            <w:hideMark/>
          </w:tcPr>
          <w:p w14:paraId="69988551"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Follow-up blood cultures sterile</w:t>
            </w:r>
          </w:p>
        </w:tc>
        <w:tc>
          <w:tcPr>
            <w:tcW w:w="0" w:type="auto"/>
            <w:vAlign w:val="center"/>
            <w:hideMark/>
          </w:tcPr>
          <w:p w14:paraId="1B3F7634"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Continued therapy to complete course</w:t>
            </w:r>
          </w:p>
        </w:tc>
        <w:tc>
          <w:tcPr>
            <w:tcW w:w="0" w:type="auto"/>
            <w:vAlign w:val="center"/>
            <w:hideMark/>
          </w:tcPr>
          <w:p w14:paraId="6CA67371"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Microbiological clearance</w:t>
            </w:r>
          </w:p>
        </w:tc>
      </w:tr>
      <w:tr w:rsidR="00411852" w:rsidRPr="00411852" w14:paraId="2505BF23" w14:textId="77777777" w:rsidTr="00411852">
        <w:trPr>
          <w:tblCellSpacing w:w="15" w:type="dxa"/>
        </w:trPr>
        <w:tc>
          <w:tcPr>
            <w:tcW w:w="0" w:type="auto"/>
            <w:vAlign w:val="center"/>
            <w:hideMark/>
          </w:tcPr>
          <w:p w14:paraId="637DDF27"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Day 28</w:t>
            </w:r>
          </w:p>
        </w:tc>
        <w:tc>
          <w:tcPr>
            <w:tcW w:w="0" w:type="auto"/>
            <w:vAlign w:val="center"/>
            <w:hideMark/>
          </w:tcPr>
          <w:p w14:paraId="6EE6B7A0"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Completed 14-day treatment</w:t>
            </w:r>
          </w:p>
        </w:tc>
        <w:tc>
          <w:tcPr>
            <w:tcW w:w="0" w:type="auto"/>
            <w:vAlign w:val="center"/>
            <w:hideMark/>
          </w:tcPr>
          <w:p w14:paraId="241F7AE0"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w:t>
            </w:r>
          </w:p>
        </w:tc>
        <w:tc>
          <w:tcPr>
            <w:tcW w:w="0" w:type="auto"/>
            <w:vAlign w:val="center"/>
            <w:hideMark/>
          </w:tcPr>
          <w:p w14:paraId="66B99FB1"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Discharged in stable condition</w:t>
            </w:r>
          </w:p>
        </w:tc>
        <w:tc>
          <w:tcPr>
            <w:tcW w:w="0" w:type="auto"/>
            <w:vAlign w:val="center"/>
            <w:hideMark/>
          </w:tcPr>
          <w:p w14:paraId="7A302B9A"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Full recovery</w:t>
            </w:r>
          </w:p>
        </w:tc>
      </w:tr>
      <w:tr w:rsidR="00411852" w:rsidRPr="00411852" w14:paraId="69560C56" w14:textId="77777777" w:rsidTr="00411852">
        <w:trPr>
          <w:tblCellSpacing w:w="15" w:type="dxa"/>
        </w:trPr>
        <w:tc>
          <w:tcPr>
            <w:tcW w:w="0" w:type="auto"/>
            <w:vAlign w:val="center"/>
            <w:hideMark/>
          </w:tcPr>
          <w:p w14:paraId="688275DB"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b/>
                <w:bCs/>
                <w:sz w:val="20"/>
                <w:szCs w:val="20"/>
              </w:rPr>
              <w:t>1-month follow-up</w:t>
            </w:r>
          </w:p>
        </w:tc>
        <w:tc>
          <w:tcPr>
            <w:tcW w:w="0" w:type="auto"/>
            <w:vAlign w:val="center"/>
            <w:hideMark/>
          </w:tcPr>
          <w:p w14:paraId="6FF05215"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Asymptomatic; no relapse</w:t>
            </w:r>
          </w:p>
        </w:tc>
        <w:tc>
          <w:tcPr>
            <w:tcW w:w="0" w:type="auto"/>
            <w:vAlign w:val="center"/>
            <w:hideMark/>
          </w:tcPr>
          <w:p w14:paraId="7189F5AC"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w:t>
            </w:r>
          </w:p>
        </w:tc>
        <w:tc>
          <w:tcPr>
            <w:tcW w:w="0" w:type="auto"/>
            <w:vAlign w:val="center"/>
            <w:hideMark/>
          </w:tcPr>
          <w:p w14:paraId="54A2C60A"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w:t>
            </w:r>
          </w:p>
        </w:tc>
        <w:tc>
          <w:tcPr>
            <w:tcW w:w="0" w:type="auto"/>
            <w:vAlign w:val="center"/>
            <w:hideMark/>
          </w:tcPr>
          <w:p w14:paraId="03943F89" w14:textId="77777777" w:rsidR="00411852" w:rsidRPr="00411852" w:rsidRDefault="00411852" w:rsidP="00411852">
            <w:pPr>
              <w:spacing w:after="0" w:line="240" w:lineRule="auto"/>
              <w:rPr>
                <w:rFonts w:ascii="Arial" w:eastAsia="Times New Roman" w:hAnsi="Arial" w:cs="Arial"/>
                <w:sz w:val="20"/>
                <w:szCs w:val="20"/>
              </w:rPr>
            </w:pPr>
            <w:r w:rsidRPr="00411852">
              <w:rPr>
                <w:rFonts w:ascii="Arial" w:eastAsia="Times New Roman" w:hAnsi="Arial" w:cs="Arial"/>
                <w:sz w:val="20"/>
                <w:szCs w:val="20"/>
              </w:rPr>
              <w:t>Sustained clinical improvement</w:t>
            </w:r>
          </w:p>
        </w:tc>
      </w:tr>
    </w:tbl>
    <w:p w14:paraId="644B1F53" w14:textId="4F08BEE1" w:rsidR="00411852" w:rsidRPr="00411852" w:rsidRDefault="00411852" w:rsidP="00411852">
      <w:pPr>
        <w:spacing w:before="280" w:after="280" w:line="240" w:lineRule="auto"/>
        <w:rPr>
          <w:rFonts w:ascii="Arial" w:eastAsia="Arial" w:hAnsi="Arial" w:cs="Arial"/>
          <w:sz w:val="20"/>
          <w:szCs w:val="20"/>
        </w:rPr>
      </w:pPr>
      <w:r w:rsidRPr="00411852">
        <w:rPr>
          <w:rFonts w:ascii="Arial" w:eastAsia="Times New Roman" w:hAnsi="Arial" w:cs="Arial"/>
          <w:b/>
          <w:bCs/>
          <w:sz w:val="20"/>
          <w:szCs w:val="20"/>
        </w:rPr>
        <w:t>Table 1</w:t>
      </w:r>
      <w:r w:rsidR="00766AE5">
        <w:rPr>
          <w:rFonts w:ascii="Arial" w:eastAsia="Times New Roman" w:hAnsi="Arial" w:cs="Arial"/>
          <w:sz w:val="20"/>
          <w:szCs w:val="20"/>
        </w:rPr>
        <w:t xml:space="preserve">. </w:t>
      </w:r>
      <w:r w:rsidRPr="00411852">
        <w:rPr>
          <w:rFonts w:ascii="Arial" w:eastAsia="Times New Roman" w:hAnsi="Arial" w:cs="Arial"/>
          <w:iCs/>
          <w:sz w:val="20"/>
          <w:szCs w:val="20"/>
        </w:rPr>
        <w:t>Clinical timeline of illness, investigations and treatment course</w:t>
      </w:r>
    </w:p>
    <w:p w14:paraId="0000001A" w14:textId="7F6B0E1F" w:rsidR="00DF4018" w:rsidRDefault="000E1748" w:rsidP="00FC53F1">
      <w:pPr>
        <w:spacing w:before="280" w:after="280" w:line="240" w:lineRule="auto"/>
        <w:jc w:val="both"/>
        <w:rPr>
          <w:rFonts w:ascii="Arial" w:eastAsia="Arial" w:hAnsi="Arial" w:cs="Arial"/>
          <w:b/>
        </w:rPr>
      </w:pPr>
      <w:r>
        <w:rPr>
          <w:rFonts w:ascii="Arial" w:eastAsia="Arial" w:hAnsi="Arial" w:cs="Arial"/>
          <w:sz w:val="20"/>
          <w:szCs w:val="20"/>
        </w:rPr>
        <w:lastRenderedPageBreak/>
        <w:t xml:space="preserve"> </w:t>
      </w:r>
      <w:r>
        <w:rPr>
          <w:rFonts w:ascii="Arial" w:eastAsia="Arial" w:hAnsi="Arial" w:cs="Arial"/>
          <w:b/>
        </w:rPr>
        <w:t>Discussion</w:t>
      </w:r>
    </w:p>
    <w:p w14:paraId="0000001B" w14:textId="69046DEE"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case underscores the complexity in diagnosing </w:t>
      </w:r>
      <w:r>
        <w:rPr>
          <w:rFonts w:ascii="Arial" w:eastAsia="Arial" w:hAnsi="Arial" w:cs="Arial"/>
          <w:i/>
          <w:sz w:val="20"/>
          <w:szCs w:val="20"/>
        </w:rPr>
        <w:t>Salmonella</w:t>
      </w:r>
      <w:r w:rsidR="003360AA">
        <w:rPr>
          <w:rFonts w:ascii="Arial" w:eastAsia="Arial" w:hAnsi="Arial" w:cs="Arial"/>
          <w:sz w:val="20"/>
          <w:szCs w:val="20"/>
        </w:rPr>
        <w:t xml:space="preserve"> co-infections. It is</w:t>
      </w:r>
      <w:r>
        <w:rPr>
          <w:rFonts w:ascii="Arial" w:eastAsia="Arial" w:hAnsi="Arial" w:cs="Arial"/>
          <w:sz w:val="20"/>
          <w:szCs w:val="20"/>
        </w:rPr>
        <w:t xml:space="preserve"> particularly </w:t>
      </w:r>
      <w:r w:rsidR="003360AA">
        <w:rPr>
          <w:rFonts w:ascii="Arial" w:eastAsia="Arial" w:hAnsi="Arial" w:cs="Arial"/>
          <w:sz w:val="20"/>
          <w:szCs w:val="20"/>
        </w:rPr>
        <w:t xml:space="preserve">challenging in </w:t>
      </w:r>
      <w:r>
        <w:rPr>
          <w:rFonts w:ascii="Arial" w:eastAsia="Arial" w:hAnsi="Arial" w:cs="Arial"/>
          <w:sz w:val="20"/>
          <w:szCs w:val="20"/>
        </w:rPr>
        <w:t xml:space="preserve">co-infections with </w:t>
      </w:r>
      <w:r>
        <w:rPr>
          <w:rFonts w:ascii="Arial" w:eastAsia="Arial" w:hAnsi="Arial" w:cs="Arial"/>
          <w:i/>
          <w:sz w:val="20"/>
          <w:szCs w:val="20"/>
        </w:rPr>
        <w:t>Salmonella enterica</w:t>
      </w:r>
      <w:r>
        <w:rPr>
          <w:rFonts w:ascii="Arial" w:eastAsia="Arial" w:hAnsi="Arial" w:cs="Arial"/>
          <w:sz w:val="20"/>
          <w:szCs w:val="20"/>
        </w:rPr>
        <w:t xml:space="preserve"> serovars </w:t>
      </w:r>
      <w:r w:rsidR="00FA4AD4">
        <w:rPr>
          <w:rFonts w:ascii="Arial" w:eastAsia="Arial" w:hAnsi="Arial" w:cs="Arial"/>
          <w:i/>
          <w:sz w:val="20"/>
          <w:szCs w:val="20"/>
        </w:rPr>
        <w:t>Typhi</w:t>
      </w:r>
      <w:r>
        <w:rPr>
          <w:rFonts w:ascii="Arial" w:eastAsia="Arial" w:hAnsi="Arial" w:cs="Arial"/>
          <w:sz w:val="20"/>
          <w:szCs w:val="20"/>
        </w:rPr>
        <w:t xml:space="preserve"> and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w:t>
      </w:r>
      <w:r>
        <w:rPr>
          <w:rFonts w:ascii="Arial" w:eastAsia="Arial" w:hAnsi="Arial" w:cs="Arial"/>
          <w:sz w:val="20"/>
          <w:szCs w:val="20"/>
        </w:rPr>
        <w:t xml:space="preserve">. </w:t>
      </w:r>
      <w:r>
        <w:rPr>
          <w:rFonts w:ascii="Arial" w:eastAsia="Arial" w:hAnsi="Arial" w:cs="Arial"/>
          <w:color w:val="000000"/>
          <w:sz w:val="20"/>
          <w:szCs w:val="20"/>
          <w:highlight w:val="white"/>
        </w:rPr>
        <w:t>The clinical similarities between typhoid and paratyphoid fever</w:t>
      </w:r>
      <w:r w:rsidR="003360AA">
        <w:rPr>
          <w:rFonts w:ascii="Arial" w:eastAsia="Arial" w:hAnsi="Arial" w:cs="Arial"/>
          <w:color w:val="000000"/>
          <w:sz w:val="20"/>
          <w:szCs w:val="20"/>
          <w:highlight w:val="white"/>
        </w:rPr>
        <w:t xml:space="preserve"> often make diagnosis difficult.</w:t>
      </w:r>
      <w:r>
        <w:rPr>
          <w:rFonts w:ascii="Arial" w:eastAsia="Arial" w:hAnsi="Arial" w:cs="Arial"/>
          <w:color w:val="000000"/>
          <w:sz w:val="20"/>
          <w:szCs w:val="20"/>
          <w:highlight w:val="white"/>
        </w:rPr>
        <w:t xml:space="preserve"> </w:t>
      </w:r>
      <w:r w:rsidR="003360AA">
        <w:rPr>
          <w:rFonts w:ascii="Arial" w:eastAsia="Arial" w:hAnsi="Arial" w:cs="Arial"/>
          <w:color w:val="000000"/>
          <w:sz w:val="20"/>
          <w:szCs w:val="20"/>
          <w:highlight w:val="white"/>
        </w:rPr>
        <w:t>O</w:t>
      </w:r>
      <w:r>
        <w:rPr>
          <w:rFonts w:ascii="Arial" w:eastAsia="Arial" w:hAnsi="Arial" w:cs="Arial"/>
          <w:color w:val="000000"/>
          <w:sz w:val="20"/>
          <w:szCs w:val="20"/>
          <w:highlight w:val="white"/>
        </w:rPr>
        <w:t xml:space="preserve">verlapping symptoms and similar colony morphology, complicate accurate diagnosis. Both conditions are caused by </w:t>
      </w:r>
      <w:r>
        <w:rPr>
          <w:rFonts w:ascii="Arial" w:eastAsia="Arial" w:hAnsi="Arial" w:cs="Arial"/>
          <w:i/>
          <w:color w:val="000000"/>
          <w:sz w:val="20"/>
          <w:szCs w:val="20"/>
          <w:highlight w:val="white"/>
        </w:rPr>
        <w:t>Salmonella species</w:t>
      </w:r>
      <w:r>
        <w:rPr>
          <w:rFonts w:ascii="Arial" w:eastAsia="Arial" w:hAnsi="Arial" w:cs="Arial"/>
          <w:color w:val="000000"/>
          <w:sz w:val="20"/>
          <w:szCs w:val="20"/>
          <w:highlight w:val="white"/>
        </w:rPr>
        <w:t xml:space="preserve">, posing challenges in distinguishing between them, particularly in endemic regions </w:t>
      </w:r>
      <w:r>
        <w:rPr>
          <w:rFonts w:ascii="Arial" w:eastAsia="Arial" w:hAnsi="Arial" w:cs="Arial"/>
          <w:sz w:val="20"/>
          <w:szCs w:val="20"/>
        </w:rPr>
        <w:t xml:space="preserve">(Shi et al., 2015; </w:t>
      </w:r>
      <w:proofErr w:type="spellStart"/>
      <w:r>
        <w:rPr>
          <w:rFonts w:ascii="Arial" w:eastAsia="Arial" w:hAnsi="Arial" w:cs="Arial"/>
          <w:sz w:val="20"/>
          <w:szCs w:val="20"/>
        </w:rPr>
        <w:t>Wijedoru</w:t>
      </w:r>
      <w:proofErr w:type="spellEnd"/>
      <w:r>
        <w:rPr>
          <w:rFonts w:ascii="Arial" w:eastAsia="Arial" w:hAnsi="Arial" w:cs="Arial"/>
          <w:sz w:val="20"/>
          <w:szCs w:val="20"/>
        </w:rPr>
        <w:t xml:space="preserve"> et al., n.d.). Initial identification using an automated system (VIT</w:t>
      </w:r>
      <w:r w:rsidR="003360AA">
        <w:rPr>
          <w:rFonts w:ascii="Arial" w:eastAsia="Arial" w:hAnsi="Arial" w:cs="Arial"/>
          <w:sz w:val="20"/>
          <w:szCs w:val="20"/>
        </w:rPr>
        <w:t>EK) yielded conflicting results.  O</w:t>
      </w:r>
      <w:r>
        <w:rPr>
          <w:rFonts w:ascii="Arial" w:eastAsia="Arial" w:hAnsi="Arial" w:cs="Arial"/>
          <w:sz w:val="20"/>
          <w:szCs w:val="20"/>
        </w:rPr>
        <w:t xml:space="preserve">ne blood culture bottle (Bottle A) was reported as an unspecified </w:t>
      </w:r>
      <w:r>
        <w:rPr>
          <w:rFonts w:ascii="Arial" w:eastAsia="Arial" w:hAnsi="Arial" w:cs="Arial"/>
          <w:i/>
          <w:sz w:val="20"/>
          <w:szCs w:val="20"/>
        </w:rPr>
        <w:t>Salmonella</w:t>
      </w:r>
      <w:r>
        <w:rPr>
          <w:rFonts w:ascii="Arial" w:eastAsia="Arial" w:hAnsi="Arial" w:cs="Arial"/>
          <w:sz w:val="20"/>
          <w:szCs w:val="20"/>
        </w:rPr>
        <w:t xml:space="preserve"> </w:t>
      </w:r>
      <w:r>
        <w:rPr>
          <w:rFonts w:ascii="Arial" w:eastAsia="Arial" w:hAnsi="Arial" w:cs="Arial"/>
          <w:i/>
          <w:sz w:val="20"/>
          <w:szCs w:val="20"/>
        </w:rPr>
        <w:t>species</w:t>
      </w:r>
      <w:r>
        <w:rPr>
          <w:rFonts w:ascii="Arial" w:eastAsia="Arial" w:hAnsi="Arial" w:cs="Arial"/>
          <w:sz w:val="20"/>
          <w:szCs w:val="20"/>
        </w:rPr>
        <w:t xml:space="preserve">, while the other (Bottle B) was identified as </w:t>
      </w:r>
      <w:r>
        <w:rPr>
          <w:rFonts w:ascii="Arial" w:eastAsia="Arial" w:hAnsi="Arial" w:cs="Arial"/>
          <w:i/>
          <w:sz w:val="20"/>
          <w:szCs w:val="20"/>
        </w:rPr>
        <w:t xml:space="preserve">Salmonella </w:t>
      </w:r>
      <w:r w:rsidR="00FA4AD4">
        <w:rPr>
          <w:rFonts w:ascii="Arial" w:eastAsia="Arial" w:hAnsi="Arial" w:cs="Arial"/>
          <w:i/>
          <w:sz w:val="20"/>
          <w:szCs w:val="20"/>
        </w:rPr>
        <w:t>Typhi</w:t>
      </w:r>
      <w:r>
        <w:rPr>
          <w:rFonts w:ascii="Arial" w:eastAsia="Arial" w:hAnsi="Arial" w:cs="Arial"/>
          <w:sz w:val="20"/>
          <w:szCs w:val="20"/>
        </w:rPr>
        <w:t xml:space="preserve"> with high confidence. </w:t>
      </w:r>
      <w:r w:rsidR="00E02965">
        <w:rPr>
          <w:rFonts w:ascii="Arial" w:eastAsia="Arial" w:hAnsi="Arial" w:cs="Arial"/>
          <w:sz w:val="20"/>
          <w:szCs w:val="20"/>
        </w:rPr>
        <w:t>F</w:t>
      </w:r>
      <w:r>
        <w:rPr>
          <w:rFonts w:ascii="Arial" w:eastAsia="Arial" w:hAnsi="Arial" w:cs="Arial"/>
          <w:sz w:val="20"/>
          <w:szCs w:val="20"/>
        </w:rPr>
        <w:t>urther microbiological investigation was required</w:t>
      </w:r>
      <w:r w:rsidR="00E02965">
        <w:rPr>
          <w:rFonts w:ascii="Arial" w:eastAsia="Arial" w:hAnsi="Arial" w:cs="Arial"/>
          <w:sz w:val="20"/>
          <w:szCs w:val="20"/>
        </w:rPr>
        <w:t xml:space="preserve"> due to the indefinite findings and the patient’s suboptimal clinical response</w:t>
      </w:r>
      <w:r>
        <w:rPr>
          <w:rFonts w:ascii="Arial" w:eastAsia="Arial" w:hAnsi="Arial" w:cs="Arial"/>
          <w:sz w:val="20"/>
          <w:szCs w:val="20"/>
        </w:rPr>
        <w:t xml:space="preserve">. Routine laboratory methods, </w:t>
      </w:r>
      <w:r w:rsidR="006F6764">
        <w:rPr>
          <w:rFonts w:ascii="Arial" w:eastAsia="Arial" w:hAnsi="Arial" w:cs="Arial"/>
          <w:sz w:val="20"/>
          <w:szCs w:val="20"/>
        </w:rPr>
        <w:t>such as</w:t>
      </w:r>
      <w:r>
        <w:rPr>
          <w:rFonts w:ascii="Arial" w:eastAsia="Arial" w:hAnsi="Arial" w:cs="Arial"/>
          <w:sz w:val="20"/>
          <w:szCs w:val="20"/>
        </w:rPr>
        <w:t xml:space="preserve"> automated identification systems like VITEK and standard serotyping, may lack the resolution to detect multi</w:t>
      </w:r>
      <w:r w:rsidR="006F6764">
        <w:rPr>
          <w:rFonts w:ascii="Arial" w:eastAsia="Arial" w:hAnsi="Arial" w:cs="Arial"/>
          <w:sz w:val="20"/>
          <w:szCs w:val="20"/>
        </w:rPr>
        <w:t>ple serovars in a single sample.</w:t>
      </w:r>
      <w:r>
        <w:rPr>
          <w:rFonts w:ascii="Arial" w:eastAsia="Arial" w:hAnsi="Arial" w:cs="Arial"/>
          <w:sz w:val="20"/>
          <w:szCs w:val="20"/>
        </w:rPr>
        <w:t xml:space="preserve"> </w:t>
      </w:r>
      <w:r w:rsidR="006F6764">
        <w:rPr>
          <w:rFonts w:ascii="Arial" w:eastAsia="Arial" w:hAnsi="Arial" w:cs="Arial"/>
          <w:sz w:val="20"/>
          <w:szCs w:val="20"/>
        </w:rPr>
        <w:t xml:space="preserve">This </w:t>
      </w:r>
      <w:r>
        <w:rPr>
          <w:rFonts w:ascii="Arial" w:eastAsia="Arial" w:hAnsi="Arial" w:cs="Arial"/>
          <w:sz w:val="20"/>
          <w:szCs w:val="20"/>
        </w:rPr>
        <w:t xml:space="preserve">further </w:t>
      </w:r>
      <w:r w:rsidR="006F6764">
        <w:rPr>
          <w:rFonts w:ascii="Arial" w:eastAsia="Arial" w:hAnsi="Arial" w:cs="Arial"/>
          <w:sz w:val="20"/>
          <w:szCs w:val="20"/>
        </w:rPr>
        <w:t>complicates</w:t>
      </w:r>
      <w:r>
        <w:rPr>
          <w:rFonts w:ascii="Arial" w:eastAsia="Arial" w:hAnsi="Arial" w:cs="Arial"/>
          <w:sz w:val="20"/>
          <w:szCs w:val="20"/>
        </w:rPr>
        <w:t xml:space="preserve"> the diagnostic process (Saha et al., n.d.).</w:t>
      </w:r>
    </w:p>
    <w:p w14:paraId="5214C770" w14:textId="71D97C0B" w:rsidR="00872A53" w:rsidRDefault="006F6764">
      <w:pPr>
        <w:spacing w:before="280" w:after="280" w:line="240" w:lineRule="auto"/>
        <w:jc w:val="both"/>
        <w:rPr>
          <w:rFonts w:ascii="Arial" w:eastAsia="Arial" w:hAnsi="Arial" w:cs="Arial"/>
          <w:sz w:val="20"/>
          <w:szCs w:val="20"/>
        </w:rPr>
      </w:pPr>
      <w:r>
        <w:rPr>
          <w:rFonts w:ascii="Arial" w:eastAsia="Arial" w:hAnsi="Arial" w:cs="Arial"/>
          <w:sz w:val="20"/>
          <w:szCs w:val="20"/>
        </w:rPr>
        <w:t>S</w:t>
      </w:r>
      <w:r w:rsidR="000E1748">
        <w:rPr>
          <w:rFonts w:ascii="Arial" w:eastAsia="Arial" w:hAnsi="Arial" w:cs="Arial"/>
          <w:sz w:val="20"/>
          <w:szCs w:val="20"/>
        </w:rPr>
        <w:t>ubculturing and advanced analysis at the Department of Microbiology, Christian Medica</w:t>
      </w:r>
      <w:r>
        <w:rPr>
          <w:rFonts w:ascii="Arial" w:eastAsia="Arial" w:hAnsi="Arial" w:cs="Arial"/>
          <w:sz w:val="20"/>
          <w:szCs w:val="20"/>
        </w:rPr>
        <w:t>l College (CMC), Vellore,</w:t>
      </w:r>
      <w:r w:rsidR="000E1748">
        <w:rPr>
          <w:rFonts w:ascii="Arial" w:eastAsia="Arial" w:hAnsi="Arial" w:cs="Arial"/>
          <w:sz w:val="20"/>
          <w:szCs w:val="20"/>
        </w:rPr>
        <w:t xml:space="preserve"> revealed that Bottle A carried a co-infection with </w:t>
      </w:r>
      <w:r w:rsidR="000E1748">
        <w:rPr>
          <w:rFonts w:ascii="Arial" w:eastAsia="Arial" w:hAnsi="Arial" w:cs="Arial"/>
          <w:i/>
          <w:sz w:val="20"/>
          <w:szCs w:val="20"/>
        </w:rPr>
        <w:t xml:space="preserve">Salmonella </w:t>
      </w:r>
      <w:r w:rsidR="00FA4AD4">
        <w:rPr>
          <w:rFonts w:ascii="Arial" w:eastAsia="Arial" w:hAnsi="Arial" w:cs="Arial"/>
          <w:i/>
          <w:sz w:val="20"/>
          <w:szCs w:val="20"/>
        </w:rPr>
        <w:t>Typhi</w:t>
      </w:r>
      <w:r w:rsidR="000E1748">
        <w:rPr>
          <w:rFonts w:ascii="Arial" w:eastAsia="Arial" w:hAnsi="Arial" w:cs="Arial"/>
          <w:sz w:val="20"/>
          <w:szCs w:val="20"/>
        </w:rPr>
        <w:t xml:space="preserve"> and </w:t>
      </w:r>
      <w:r w:rsidR="000E1748">
        <w:rPr>
          <w:rFonts w:ascii="Arial" w:eastAsia="Arial" w:hAnsi="Arial" w:cs="Arial"/>
          <w:i/>
          <w:sz w:val="20"/>
          <w:szCs w:val="20"/>
        </w:rPr>
        <w:t xml:space="preserve">Salmonella </w:t>
      </w:r>
      <w:proofErr w:type="spellStart"/>
      <w:r w:rsidR="00FA4AD4">
        <w:rPr>
          <w:rFonts w:ascii="Arial" w:eastAsia="Arial" w:hAnsi="Arial" w:cs="Arial"/>
          <w:i/>
          <w:sz w:val="20"/>
          <w:szCs w:val="20"/>
        </w:rPr>
        <w:t>Paratyphi</w:t>
      </w:r>
      <w:proofErr w:type="spellEnd"/>
      <w:r w:rsidR="000E1748">
        <w:rPr>
          <w:rFonts w:ascii="Arial" w:eastAsia="Arial" w:hAnsi="Arial" w:cs="Arial"/>
          <w:i/>
          <w:sz w:val="20"/>
          <w:szCs w:val="20"/>
        </w:rPr>
        <w:t xml:space="preserve"> A</w:t>
      </w:r>
      <w:r w:rsidR="000E1748">
        <w:rPr>
          <w:rFonts w:ascii="Arial" w:eastAsia="Arial" w:hAnsi="Arial" w:cs="Arial"/>
          <w:sz w:val="20"/>
          <w:szCs w:val="20"/>
        </w:rPr>
        <w:t xml:space="preserve">, while Bottle B contained a pure culture of </w:t>
      </w:r>
      <w:r w:rsidR="000E1748">
        <w:rPr>
          <w:rFonts w:ascii="Arial" w:eastAsia="Arial" w:hAnsi="Arial" w:cs="Arial"/>
          <w:i/>
          <w:sz w:val="20"/>
          <w:szCs w:val="20"/>
        </w:rPr>
        <w:t xml:space="preserve">S. </w:t>
      </w:r>
      <w:r w:rsidR="00FA4AD4">
        <w:rPr>
          <w:rFonts w:ascii="Arial" w:eastAsia="Arial" w:hAnsi="Arial" w:cs="Arial"/>
          <w:i/>
          <w:sz w:val="20"/>
          <w:szCs w:val="20"/>
        </w:rPr>
        <w:t>Typhi</w:t>
      </w:r>
      <w:r w:rsidR="000E1748">
        <w:rPr>
          <w:rFonts w:ascii="Arial" w:eastAsia="Arial" w:hAnsi="Arial" w:cs="Arial"/>
          <w:sz w:val="20"/>
          <w:szCs w:val="20"/>
        </w:rPr>
        <w:t xml:space="preserve">. This explained </w:t>
      </w:r>
      <w:r>
        <w:rPr>
          <w:rFonts w:ascii="Arial" w:eastAsia="Arial" w:hAnsi="Arial" w:cs="Arial"/>
          <w:sz w:val="20"/>
          <w:szCs w:val="20"/>
        </w:rPr>
        <w:t xml:space="preserve">the </w:t>
      </w:r>
      <w:proofErr w:type="spellStart"/>
      <w:r>
        <w:rPr>
          <w:rFonts w:ascii="Arial" w:eastAsia="Arial" w:hAnsi="Arial" w:cs="Arial"/>
          <w:sz w:val="20"/>
          <w:szCs w:val="20"/>
        </w:rPr>
        <w:t>inconsistant</w:t>
      </w:r>
      <w:proofErr w:type="spellEnd"/>
      <w:r w:rsidR="000E1748">
        <w:rPr>
          <w:rFonts w:ascii="Arial" w:eastAsia="Arial" w:hAnsi="Arial" w:cs="Arial"/>
          <w:sz w:val="20"/>
          <w:szCs w:val="20"/>
        </w:rPr>
        <w:t xml:space="preserve"> labo</w:t>
      </w:r>
      <w:r>
        <w:rPr>
          <w:rFonts w:ascii="Arial" w:eastAsia="Arial" w:hAnsi="Arial" w:cs="Arial"/>
          <w:sz w:val="20"/>
          <w:szCs w:val="20"/>
        </w:rPr>
        <w:t>ratory findings and the differences</w:t>
      </w:r>
      <w:r w:rsidR="000E1748">
        <w:rPr>
          <w:rFonts w:ascii="Arial" w:eastAsia="Arial" w:hAnsi="Arial" w:cs="Arial"/>
          <w:sz w:val="20"/>
          <w:szCs w:val="20"/>
        </w:rPr>
        <w:t xml:space="preserve"> in antimicrobial suscept</w:t>
      </w:r>
      <w:r>
        <w:rPr>
          <w:rFonts w:ascii="Arial" w:eastAsia="Arial" w:hAnsi="Arial" w:cs="Arial"/>
          <w:sz w:val="20"/>
          <w:szCs w:val="20"/>
        </w:rPr>
        <w:t>ibility profiles, which</w:t>
      </w:r>
      <w:r w:rsidR="000E1748">
        <w:rPr>
          <w:rFonts w:ascii="Arial" w:eastAsia="Arial" w:hAnsi="Arial" w:cs="Arial"/>
          <w:sz w:val="20"/>
          <w:szCs w:val="20"/>
        </w:rPr>
        <w:t xml:space="preserve"> </w:t>
      </w:r>
      <w:r>
        <w:rPr>
          <w:rFonts w:ascii="Arial" w:eastAsia="Arial" w:hAnsi="Arial" w:cs="Arial"/>
          <w:sz w:val="20"/>
          <w:szCs w:val="20"/>
        </w:rPr>
        <w:t>impacted the</w:t>
      </w:r>
      <w:r w:rsidR="000E1748">
        <w:rPr>
          <w:rFonts w:ascii="Arial" w:eastAsia="Arial" w:hAnsi="Arial" w:cs="Arial"/>
          <w:sz w:val="20"/>
          <w:szCs w:val="20"/>
        </w:rPr>
        <w:t xml:space="preserve"> empirical therapy. </w:t>
      </w:r>
      <w:r w:rsidR="00872A53">
        <w:rPr>
          <w:rFonts w:ascii="Arial" w:eastAsia="Arial" w:hAnsi="Arial" w:cs="Arial"/>
          <w:sz w:val="20"/>
          <w:szCs w:val="20"/>
        </w:rPr>
        <w:t xml:space="preserve">Even with appropriate antimicrobial therapy </w:t>
      </w:r>
      <w:r w:rsidR="000E1748">
        <w:rPr>
          <w:rFonts w:ascii="Arial" w:eastAsia="Arial" w:hAnsi="Arial" w:cs="Arial"/>
          <w:i/>
          <w:sz w:val="20"/>
          <w:szCs w:val="20"/>
        </w:rPr>
        <w:t>Salmonella</w:t>
      </w:r>
      <w:r w:rsidR="000E1748">
        <w:rPr>
          <w:rFonts w:ascii="Arial" w:eastAsia="Arial" w:hAnsi="Arial" w:cs="Arial"/>
          <w:sz w:val="20"/>
          <w:szCs w:val="20"/>
        </w:rPr>
        <w:t xml:space="preserve"> co-infections can clinically manifest as biphasic or per</w:t>
      </w:r>
      <w:r w:rsidR="00872A53">
        <w:rPr>
          <w:rFonts w:ascii="Arial" w:eastAsia="Arial" w:hAnsi="Arial" w:cs="Arial"/>
          <w:sz w:val="20"/>
          <w:szCs w:val="20"/>
        </w:rPr>
        <w:t>sistent febrile episodes</w:t>
      </w:r>
      <w:r w:rsidR="000E1748">
        <w:rPr>
          <w:rFonts w:ascii="Arial" w:eastAsia="Arial" w:hAnsi="Arial" w:cs="Arial"/>
          <w:sz w:val="20"/>
          <w:szCs w:val="20"/>
        </w:rPr>
        <w:t xml:space="preserve"> </w:t>
      </w:r>
      <w:r w:rsidR="00872A53">
        <w:rPr>
          <w:rFonts w:ascii="Arial" w:eastAsia="Arial" w:hAnsi="Arial" w:cs="Arial"/>
          <w:sz w:val="20"/>
          <w:szCs w:val="20"/>
        </w:rPr>
        <w:t>(Perera et al., 2007). This</w:t>
      </w:r>
      <w:r w:rsidR="000E1748">
        <w:rPr>
          <w:rFonts w:ascii="Arial" w:eastAsia="Arial" w:hAnsi="Arial" w:cs="Arial"/>
          <w:sz w:val="20"/>
          <w:szCs w:val="20"/>
        </w:rPr>
        <w:t xml:space="preserve"> may be </w:t>
      </w:r>
      <w:r w:rsidR="00872A53">
        <w:rPr>
          <w:rFonts w:ascii="Arial" w:eastAsia="Arial" w:hAnsi="Arial" w:cs="Arial"/>
          <w:sz w:val="20"/>
          <w:szCs w:val="20"/>
        </w:rPr>
        <w:t>due</w:t>
      </w:r>
      <w:r w:rsidR="000E1748">
        <w:rPr>
          <w:rFonts w:ascii="Arial" w:eastAsia="Arial" w:hAnsi="Arial" w:cs="Arial"/>
          <w:sz w:val="20"/>
          <w:szCs w:val="20"/>
        </w:rPr>
        <w:t xml:space="preserve"> to </w:t>
      </w:r>
      <w:r w:rsidR="00872A53">
        <w:rPr>
          <w:rFonts w:ascii="Arial" w:eastAsia="Arial" w:hAnsi="Arial" w:cs="Arial"/>
          <w:sz w:val="20"/>
          <w:szCs w:val="20"/>
        </w:rPr>
        <w:t>the difference in</w:t>
      </w:r>
      <w:r w:rsidR="000E1748">
        <w:rPr>
          <w:rFonts w:ascii="Arial" w:eastAsia="Arial" w:hAnsi="Arial" w:cs="Arial"/>
          <w:sz w:val="20"/>
          <w:szCs w:val="20"/>
        </w:rPr>
        <w:t xml:space="preserve"> antimicrobial susceptibility patterns between </w:t>
      </w:r>
      <w:r w:rsidR="000E1748">
        <w:rPr>
          <w:rFonts w:ascii="Arial" w:eastAsia="Arial" w:hAnsi="Arial" w:cs="Arial"/>
          <w:i/>
          <w:sz w:val="20"/>
          <w:szCs w:val="20"/>
        </w:rPr>
        <w:t xml:space="preserve">S. </w:t>
      </w:r>
      <w:r w:rsidR="00FA4AD4">
        <w:rPr>
          <w:rFonts w:ascii="Arial" w:eastAsia="Arial" w:hAnsi="Arial" w:cs="Arial"/>
          <w:i/>
          <w:sz w:val="20"/>
          <w:szCs w:val="20"/>
        </w:rPr>
        <w:t>Typhi</w:t>
      </w:r>
      <w:r w:rsidR="000E1748">
        <w:rPr>
          <w:rFonts w:ascii="Arial" w:eastAsia="Arial" w:hAnsi="Arial" w:cs="Arial"/>
          <w:sz w:val="20"/>
          <w:szCs w:val="20"/>
        </w:rPr>
        <w:t xml:space="preserve"> and </w:t>
      </w:r>
      <w:r w:rsidR="000E1748">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sidR="000E1748">
        <w:rPr>
          <w:rFonts w:ascii="Arial" w:eastAsia="Arial" w:hAnsi="Arial" w:cs="Arial"/>
          <w:i/>
          <w:sz w:val="20"/>
          <w:szCs w:val="20"/>
        </w:rPr>
        <w:t xml:space="preserve"> A</w:t>
      </w:r>
      <w:r w:rsidR="00872A53">
        <w:rPr>
          <w:rFonts w:ascii="Arial" w:eastAsia="Arial" w:hAnsi="Arial" w:cs="Arial"/>
          <w:i/>
          <w:sz w:val="20"/>
          <w:szCs w:val="20"/>
        </w:rPr>
        <w:t xml:space="preserve"> an</w:t>
      </w:r>
      <w:r w:rsidR="00872A53">
        <w:rPr>
          <w:rFonts w:ascii="Arial" w:eastAsia="Arial" w:hAnsi="Arial" w:cs="Arial"/>
          <w:sz w:val="20"/>
          <w:szCs w:val="20"/>
        </w:rPr>
        <w:t xml:space="preserve">d a </w:t>
      </w:r>
      <w:r w:rsidR="000E1748">
        <w:rPr>
          <w:rFonts w:ascii="Arial" w:eastAsia="Arial" w:hAnsi="Arial" w:cs="Arial"/>
          <w:sz w:val="20"/>
          <w:szCs w:val="20"/>
        </w:rPr>
        <w:t>broader empirical approach</w:t>
      </w:r>
      <w:r w:rsidR="00872A53">
        <w:rPr>
          <w:rFonts w:ascii="Arial" w:eastAsia="Arial" w:hAnsi="Arial" w:cs="Arial"/>
          <w:sz w:val="20"/>
          <w:szCs w:val="20"/>
        </w:rPr>
        <w:t xml:space="preserve"> is necessary for the</w:t>
      </w:r>
      <w:r w:rsidR="000E1748">
        <w:rPr>
          <w:rFonts w:ascii="Arial" w:eastAsia="Arial" w:hAnsi="Arial" w:cs="Arial"/>
          <w:sz w:val="20"/>
          <w:szCs w:val="20"/>
        </w:rPr>
        <w:t xml:space="preserve"> treatment</w:t>
      </w:r>
      <w:r w:rsidR="00872A53">
        <w:rPr>
          <w:rFonts w:ascii="Arial" w:eastAsia="Arial" w:hAnsi="Arial" w:cs="Arial"/>
          <w:sz w:val="20"/>
          <w:szCs w:val="20"/>
        </w:rPr>
        <w:t>. Detection of co-infections can be improved by c</w:t>
      </w:r>
      <w:r w:rsidR="000E1748">
        <w:rPr>
          <w:rFonts w:ascii="Arial" w:eastAsia="Arial" w:hAnsi="Arial" w:cs="Arial"/>
          <w:sz w:val="20"/>
          <w:szCs w:val="20"/>
        </w:rPr>
        <w:t>ulturing multiple blood samples</w:t>
      </w:r>
      <w:r w:rsidR="00872A53">
        <w:rPr>
          <w:rFonts w:ascii="Arial" w:eastAsia="Arial" w:hAnsi="Arial" w:cs="Arial"/>
          <w:sz w:val="20"/>
          <w:szCs w:val="20"/>
        </w:rPr>
        <w:t>,</w:t>
      </w:r>
      <w:r w:rsidR="000E1748">
        <w:rPr>
          <w:rFonts w:ascii="Arial" w:eastAsia="Arial" w:hAnsi="Arial" w:cs="Arial"/>
          <w:sz w:val="20"/>
          <w:szCs w:val="20"/>
        </w:rPr>
        <w:t xml:space="preserve"> an</w:t>
      </w:r>
      <w:r w:rsidR="00872A53">
        <w:rPr>
          <w:rFonts w:ascii="Arial" w:eastAsia="Arial" w:hAnsi="Arial" w:cs="Arial"/>
          <w:sz w:val="20"/>
          <w:szCs w:val="20"/>
        </w:rPr>
        <w:t xml:space="preserve">d </w:t>
      </w:r>
      <w:proofErr w:type="spellStart"/>
      <w:r w:rsidR="00872A53">
        <w:rPr>
          <w:rFonts w:ascii="Arial" w:eastAsia="Arial" w:hAnsi="Arial" w:cs="Arial"/>
          <w:sz w:val="20"/>
          <w:szCs w:val="20"/>
        </w:rPr>
        <w:t>analyzing</w:t>
      </w:r>
      <w:proofErr w:type="spellEnd"/>
      <w:r w:rsidR="00872A53">
        <w:rPr>
          <w:rFonts w:ascii="Arial" w:eastAsia="Arial" w:hAnsi="Arial" w:cs="Arial"/>
          <w:sz w:val="20"/>
          <w:szCs w:val="20"/>
        </w:rPr>
        <w:t xml:space="preserve"> the isolates separately.</w:t>
      </w:r>
    </w:p>
    <w:p w14:paraId="0000001D" w14:textId="26B0BAC8"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Azithromycin </w:t>
      </w:r>
      <w:r w:rsidR="00872A53">
        <w:rPr>
          <w:rFonts w:ascii="Arial" w:eastAsia="Arial" w:hAnsi="Arial" w:cs="Arial"/>
          <w:sz w:val="20"/>
          <w:szCs w:val="20"/>
        </w:rPr>
        <w:t>is</w:t>
      </w:r>
      <w:r>
        <w:rPr>
          <w:rFonts w:ascii="Arial" w:eastAsia="Arial" w:hAnsi="Arial" w:cs="Arial"/>
          <w:sz w:val="20"/>
          <w:szCs w:val="20"/>
        </w:rPr>
        <w:t xml:space="preserve"> a reliable empirical option due to its intracellular activity and documented efficacy against both </w:t>
      </w:r>
      <w:r>
        <w:rPr>
          <w:rFonts w:ascii="Arial" w:eastAsia="Arial" w:hAnsi="Arial" w:cs="Arial"/>
          <w:i/>
          <w:sz w:val="20"/>
          <w:szCs w:val="20"/>
        </w:rPr>
        <w:t xml:space="preserve">S. </w:t>
      </w:r>
      <w:r w:rsidR="00FA4AD4">
        <w:rPr>
          <w:rFonts w:ascii="Arial" w:eastAsia="Arial" w:hAnsi="Arial" w:cs="Arial"/>
          <w:i/>
          <w:sz w:val="20"/>
          <w:szCs w:val="20"/>
        </w:rPr>
        <w:t>Typhi</w:t>
      </w:r>
      <w:r>
        <w:rPr>
          <w:rFonts w:ascii="Arial" w:eastAsia="Arial" w:hAnsi="Arial" w:cs="Arial"/>
          <w:sz w:val="20"/>
          <w:szCs w:val="20"/>
        </w:rPr>
        <w:t xml:space="preserve"> and </w:t>
      </w:r>
      <w:r>
        <w:rPr>
          <w:rFonts w:ascii="Arial" w:eastAsia="Arial" w:hAnsi="Arial" w:cs="Arial"/>
          <w:i/>
          <w:sz w:val="20"/>
          <w:szCs w:val="20"/>
        </w:rPr>
        <w:t xml:space="preserve">S. </w:t>
      </w:r>
      <w:proofErr w:type="spellStart"/>
      <w:r w:rsidR="00FA4AD4">
        <w:rPr>
          <w:rFonts w:ascii="Arial" w:eastAsia="Arial" w:hAnsi="Arial" w:cs="Arial"/>
          <w:i/>
          <w:sz w:val="20"/>
          <w:szCs w:val="20"/>
        </w:rPr>
        <w:t>Paratyphi</w:t>
      </w:r>
      <w:proofErr w:type="spellEnd"/>
      <w:r>
        <w:rPr>
          <w:rFonts w:ascii="Arial" w:eastAsia="Arial" w:hAnsi="Arial" w:cs="Arial"/>
          <w:i/>
          <w:sz w:val="20"/>
          <w:szCs w:val="20"/>
        </w:rPr>
        <w:t xml:space="preserve"> A </w:t>
      </w:r>
      <w:r>
        <w:rPr>
          <w:rFonts w:ascii="Arial" w:eastAsia="Arial" w:hAnsi="Arial" w:cs="Arial"/>
          <w:sz w:val="20"/>
          <w:szCs w:val="20"/>
        </w:rPr>
        <w:t xml:space="preserve">(Sharma et al., 2019). </w:t>
      </w:r>
      <w:r w:rsidR="000817FC">
        <w:rPr>
          <w:rFonts w:ascii="Arial" w:eastAsia="Arial" w:hAnsi="Arial" w:cs="Arial"/>
          <w:sz w:val="20"/>
          <w:szCs w:val="20"/>
        </w:rPr>
        <w:t>The</w:t>
      </w:r>
      <w:r>
        <w:rPr>
          <w:rFonts w:ascii="Arial" w:eastAsia="Arial" w:hAnsi="Arial" w:cs="Arial"/>
          <w:sz w:val="20"/>
          <w:szCs w:val="20"/>
        </w:rPr>
        <w:t xml:space="preserve"> rising resistance to third-generation cephalosporins in endemic areas </w:t>
      </w:r>
      <w:r w:rsidR="000817FC">
        <w:rPr>
          <w:rFonts w:ascii="Arial" w:eastAsia="Arial" w:hAnsi="Arial" w:cs="Arial"/>
          <w:sz w:val="20"/>
          <w:szCs w:val="20"/>
        </w:rPr>
        <w:t>highlights</w:t>
      </w:r>
      <w:r>
        <w:rPr>
          <w:rFonts w:ascii="Arial" w:eastAsia="Arial" w:hAnsi="Arial" w:cs="Arial"/>
          <w:sz w:val="20"/>
          <w:szCs w:val="20"/>
        </w:rPr>
        <w:t xml:space="preserve"> the need for continuous resistance surveillance and i</w:t>
      </w:r>
      <w:r w:rsidR="000817FC">
        <w:rPr>
          <w:rFonts w:ascii="Arial" w:eastAsia="Arial" w:hAnsi="Arial" w:cs="Arial"/>
          <w:sz w:val="20"/>
          <w:szCs w:val="20"/>
        </w:rPr>
        <w:t>ndividualized treatment plans</w:t>
      </w:r>
      <w:r>
        <w:rPr>
          <w:rFonts w:ascii="Arial" w:eastAsia="Arial" w:hAnsi="Arial" w:cs="Arial"/>
          <w:sz w:val="20"/>
          <w:szCs w:val="20"/>
        </w:rPr>
        <w:t xml:space="preserve"> (Chukwu et al., 2022)</w:t>
      </w:r>
      <w:r w:rsidR="000817FC">
        <w:rPr>
          <w:rFonts w:ascii="Arial" w:eastAsia="Arial" w:hAnsi="Arial" w:cs="Arial"/>
          <w:sz w:val="20"/>
          <w:szCs w:val="20"/>
        </w:rPr>
        <w:t xml:space="preserve">. </w:t>
      </w:r>
      <w:r w:rsidR="00A0469E" w:rsidRPr="00A0469E">
        <w:rPr>
          <w:rFonts w:ascii="Arial" w:hAnsi="Arial" w:cs="Arial"/>
          <w:sz w:val="20"/>
          <w:szCs w:val="20"/>
        </w:rPr>
        <w:t xml:space="preserve">Ceftazidime–avibactam provides enhanced coverage against Gram-negative pathogens that produce ESBLs and </w:t>
      </w:r>
      <w:proofErr w:type="spellStart"/>
      <w:r w:rsidR="00A0469E" w:rsidRPr="00A0469E">
        <w:rPr>
          <w:rFonts w:ascii="Arial" w:hAnsi="Arial" w:cs="Arial"/>
          <w:sz w:val="20"/>
          <w:szCs w:val="20"/>
        </w:rPr>
        <w:t>AmpC</w:t>
      </w:r>
      <w:proofErr w:type="spellEnd"/>
      <w:r w:rsidR="00A0469E" w:rsidRPr="00A0469E">
        <w:rPr>
          <w:rFonts w:ascii="Arial" w:hAnsi="Arial" w:cs="Arial"/>
          <w:sz w:val="20"/>
          <w:szCs w:val="20"/>
        </w:rPr>
        <w:t xml:space="preserve"> β-lactamases, which have been reported in </w:t>
      </w:r>
      <w:r w:rsidR="00D133AF" w:rsidRPr="00A0469E">
        <w:rPr>
          <w:rFonts w:ascii="Arial" w:hAnsi="Arial" w:cs="Arial"/>
          <w:sz w:val="20"/>
          <w:szCs w:val="20"/>
        </w:rPr>
        <w:t>resistant strains</w:t>
      </w:r>
      <w:r w:rsidR="00D133AF">
        <w:rPr>
          <w:rFonts w:ascii="Arial" w:hAnsi="Arial" w:cs="Arial"/>
          <w:sz w:val="20"/>
          <w:szCs w:val="20"/>
        </w:rPr>
        <w:t xml:space="preserve"> of Salmonella (Isler et al., 2020</w:t>
      </w:r>
      <w:r w:rsidR="00D133AF">
        <w:rPr>
          <w:rFonts w:ascii="Arial" w:eastAsia="Arial" w:hAnsi="Arial" w:cs="Arial"/>
          <w:sz w:val="20"/>
          <w:szCs w:val="20"/>
        </w:rPr>
        <w:t>)</w:t>
      </w:r>
      <w:r w:rsidR="00A0469E">
        <w:t xml:space="preserve">. </w:t>
      </w:r>
      <w:r w:rsidR="000817FC">
        <w:rPr>
          <w:rFonts w:ascii="Arial" w:eastAsia="Arial" w:hAnsi="Arial" w:cs="Arial"/>
          <w:sz w:val="20"/>
          <w:szCs w:val="20"/>
        </w:rPr>
        <w:t>The limited number of reports of</w:t>
      </w:r>
      <w:r>
        <w:rPr>
          <w:rFonts w:ascii="Arial" w:eastAsia="Arial" w:hAnsi="Arial" w:cs="Arial"/>
          <w:sz w:val="20"/>
          <w:szCs w:val="20"/>
        </w:rPr>
        <w:t xml:space="preserve"> co-infections in the literat</w:t>
      </w:r>
      <w:r w:rsidR="000817FC">
        <w:rPr>
          <w:rFonts w:ascii="Arial" w:eastAsia="Arial" w:hAnsi="Arial" w:cs="Arial"/>
          <w:sz w:val="20"/>
          <w:szCs w:val="20"/>
        </w:rPr>
        <w:t>ure may be mostly because of underdiagnosis</w:t>
      </w:r>
      <w:r>
        <w:rPr>
          <w:rFonts w:ascii="Arial" w:eastAsia="Arial" w:hAnsi="Arial" w:cs="Arial"/>
          <w:sz w:val="20"/>
          <w:szCs w:val="20"/>
        </w:rPr>
        <w:t xml:space="preserve"> tha</w:t>
      </w:r>
      <w:r w:rsidR="000817FC">
        <w:rPr>
          <w:rFonts w:ascii="Arial" w:eastAsia="Arial" w:hAnsi="Arial" w:cs="Arial"/>
          <w:sz w:val="20"/>
          <w:szCs w:val="20"/>
        </w:rPr>
        <w:t>n true rarity. In many cases</w:t>
      </w:r>
      <w:r>
        <w:rPr>
          <w:rFonts w:ascii="Arial" w:eastAsia="Arial" w:hAnsi="Arial" w:cs="Arial"/>
          <w:sz w:val="20"/>
          <w:szCs w:val="20"/>
        </w:rPr>
        <w:t>, one serovar, typically the more abundant or faster-grow</w:t>
      </w:r>
      <w:r w:rsidR="000817FC">
        <w:rPr>
          <w:rFonts w:ascii="Arial" w:eastAsia="Arial" w:hAnsi="Arial" w:cs="Arial"/>
          <w:sz w:val="20"/>
          <w:szCs w:val="20"/>
        </w:rPr>
        <w:t>ing one, dominates the culture. This potentially masks</w:t>
      </w:r>
      <w:r>
        <w:rPr>
          <w:rFonts w:ascii="Arial" w:eastAsia="Arial" w:hAnsi="Arial" w:cs="Arial"/>
          <w:sz w:val="20"/>
          <w:szCs w:val="20"/>
        </w:rPr>
        <w:t xml:space="preserve"> the presence of a co-infecting strain. This can lead to incomplete treatment, prolonged </w:t>
      </w:r>
      <w:proofErr w:type="spellStart"/>
      <w:r>
        <w:rPr>
          <w:rFonts w:ascii="Arial" w:eastAsia="Arial" w:hAnsi="Arial" w:cs="Arial"/>
          <w:sz w:val="20"/>
          <w:szCs w:val="20"/>
        </w:rPr>
        <w:t>bacteremia</w:t>
      </w:r>
      <w:proofErr w:type="spellEnd"/>
      <w:r>
        <w:rPr>
          <w:rFonts w:ascii="Arial" w:eastAsia="Arial" w:hAnsi="Arial" w:cs="Arial"/>
          <w:sz w:val="20"/>
          <w:szCs w:val="20"/>
        </w:rPr>
        <w:t xml:space="preserve">, and increased risk of complications. </w:t>
      </w:r>
    </w:p>
    <w:p w14:paraId="5B2ECF1C" w14:textId="77777777" w:rsidR="00A174E5" w:rsidRDefault="00A174E5">
      <w:pPr>
        <w:spacing w:before="280" w:after="280" w:line="240" w:lineRule="auto"/>
        <w:jc w:val="both"/>
        <w:rPr>
          <w:rFonts w:ascii="Arial" w:eastAsia="Arial" w:hAnsi="Arial" w:cs="Arial"/>
          <w:sz w:val="20"/>
          <w:szCs w:val="20"/>
        </w:rPr>
      </w:pPr>
    </w:p>
    <w:p w14:paraId="0000001E" w14:textId="77777777" w:rsidR="00DF4018" w:rsidRDefault="000E1748">
      <w:pPr>
        <w:spacing w:before="280" w:after="280" w:line="240" w:lineRule="auto"/>
        <w:jc w:val="both"/>
        <w:rPr>
          <w:rFonts w:ascii="Arial" w:eastAsia="Arial" w:hAnsi="Arial" w:cs="Arial"/>
          <w:b/>
        </w:rPr>
      </w:pPr>
      <w:r>
        <w:rPr>
          <w:rFonts w:ascii="Arial" w:eastAsia="Arial" w:hAnsi="Arial" w:cs="Arial"/>
          <w:b/>
        </w:rPr>
        <w:t>Conclusion</w:t>
      </w:r>
    </w:p>
    <w:p w14:paraId="0000001F" w14:textId="6526F9CF" w:rsidR="00DF4018" w:rsidRDefault="000E1748">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case highlights the importance of considering </w:t>
      </w:r>
      <w:r>
        <w:rPr>
          <w:rFonts w:ascii="Arial" w:eastAsia="Arial" w:hAnsi="Arial" w:cs="Arial"/>
          <w:i/>
          <w:sz w:val="20"/>
          <w:szCs w:val="20"/>
        </w:rPr>
        <w:t>Salmonella</w:t>
      </w:r>
      <w:r>
        <w:rPr>
          <w:rFonts w:ascii="Arial" w:eastAsia="Arial" w:hAnsi="Arial" w:cs="Arial"/>
          <w:sz w:val="20"/>
          <w:szCs w:val="20"/>
        </w:rPr>
        <w:t xml:space="preserve"> co-infections in patients with persistent febrile illness, especially in endemic settings. When laboratory results </w:t>
      </w:r>
      <w:r w:rsidR="000817FC">
        <w:rPr>
          <w:rFonts w:ascii="Arial" w:eastAsia="Arial" w:hAnsi="Arial" w:cs="Arial"/>
          <w:sz w:val="20"/>
          <w:szCs w:val="20"/>
        </w:rPr>
        <w:t xml:space="preserve">are inconsistent </w:t>
      </w:r>
      <w:r>
        <w:rPr>
          <w:rFonts w:ascii="Arial" w:eastAsia="Arial" w:hAnsi="Arial" w:cs="Arial"/>
          <w:sz w:val="20"/>
          <w:szCs w:val="20"/>
        </w:rPr>
        <w:t xml:space="preserve">or </w:t>
      </w:r>
      <w:r w:rsidR="007D5B70">
        <w:rPr>
          <w:rFonts w:ascii="Arial" w:eastAsia="Arial" w:hAnsi="Arial" w:cs="Arial"/>
          <w:sz w:val="20"/>
          <w:szCs w:val="20"/>
        </w:rPr>
        <w:t xml:space="preserve">indicate </w:t>
      </w:r>
      <w:r w:rsidR="000817FC">
        <w:rPr>
          <w:rFonts w:ascii="Arial" w:eastAsia="Arial" w:hAnsi="Arial" w:cs="Arial"/>
          <w:sz w:val="20"/>
          <w:szCs w:val="20"/>
        </w:rPr>
        <w:t xml:space="preserve">failed </w:t>
      </w:r>
      <w:r w:rsidR="007D5B70">
        <w:rPr>
          <w:rFonts w:ascii="Arial" w:eastAsia="Arial" w:hAnsi="Arial" w:cs="Arial"/>
          <w:sz w:val="20"/>
          <w:szCs w:val="20"/>
        </w:rPr>
        <w:t>treatment</w:t>
      </w:r>
      <w:r>
        <w:rPr>
          <w:rFonts w:ascii="Arial" w:eastAsia="Arial" w:hAnsi="Arial" w:cs="Arial"/>
          <w:sz w:val="20"/>
          <w:szCs w:val="20"/>
        </w:rPr>
        <w:t xml:space="preserve">, clinicians should pursue repeat cultures and advanced diagnostic testing. Collaboration with reference laboratories for phenotypic and molecular confirmation </w:t>
      </w:r>
      <w:r w:rsidR="007D5B70">
        <w:rPr>
          <w:rFonts w:ascii="Arial" w:eastAsia="Arial" w:hAnsi="Arial" w:cs="Arial"/>
          <w:sz w:val="20"/>
          <w:szCs w:val="20"/>
        </w:rPr>
        <w:t>is required</w:t>
      </w:r>
      <w:r>
        <w:rPr>
          <w:rFonts w:ascii="Arial" w:eastAsia="Arial" w:hAnsi="Arial" w:cs="Arial"/>
          <w:sz w:val="20"/>
          <w:szCs w:val="20"/>
        </w:rPr>
        <w:t xml:space="preserve"> </w:t>
      </w:r>
      <w:r w:rsidR="007D5B70">
        <w:rPr>
          <w:rFonts w:ascii="Arial" w:eastAsia="Arial" w:hAnsi="Arial" w:cs="Arial"/>
          <w:sz w:val="20"/>
          <w:szCs w:val="20"/>
        </w:rPr>
        <w:t>to provide</w:t>
      </w:r>
      <w:r>
        <w:rPr>
          <w:rFonts w:ascii="Arial" w:eastAsia="Arial" w:hAnsi="Arial" w:cs="Arial"/>
          <w:sz w:val="20"/>
          <w:szCs w:val="20"/>
        </w:rPr>
        <w:t xml:space="preserve"> effective </w:t>
      </w:r>
      <w:r w:rsidR="007D5B70">
        <w:rPr>
          <w:rFonts w:ascii="Arial" w:eastAsia="Arial" w:hAnsi="Arial" w:cs="Arial"/>
          <w:sz w:val="20"/>
          <w:szCs w:val="20"/>
        </w:rPr>
        <w:t>treatment</w:t>
      </w:r>
      <w:r>
        <w:rPr>
          <w:rFonts w:ascii="Arial" w:eastAsia="Arial" w:hAnsi="Arial" w:cs="Arial"/>
          <w:sz w:val="20"/>
          <w:szCs w:val="20"/>
        </w:rPr>
        <w:t xml:space="preserve"> in complex cases. This cas</w:t>
      </w:r>
      <w:r w:rsidR="007D5B70">
        <w:rPr>
          <w:rFonts w:ascii="Arial" w:eastAsia="Arial" w:hAnsi="Arial" w:cs="Arial"/>
          <w:sz w:val="20"/>
          <w:szCs w:val="20"/>
        </w:rPr>
        <w:t xml:space="preserve">e underscores the importance of increased </w:t>
      </w:r>
      <w:r>
        <w:rPr>
          <w:rFonts w:ascii="Arial" w:eastAsia="Arial" w:hAnsi="Arial" w:cs="Arial"/>
          <w:sz w:val="20"/>
          <w:szCs w:val="20"/>
        </w:rPr>
        <w:t xml:space="preserve">clinical awareness, comprehensive diagnostic strategies, and robust antimicrobial stewardship to manage </w:t>
      </w:r>
      <w:r>
        <w:rPr>
          <w:rFonts w:ascii="Arial" w:eastAsia="Arial" w:hAnsi="Arial" w:cs="Arial"/>
          <w:i/>
          <w:sz w:val="20"/>
          <w:szCs w:val="20"/>
        </w:rPr>
        <w:t>Salmonella</w:t>
      </w:r>
      <w:r>
        <w:rPr>
          <w:rFonts w:ascii="Arial" w:eastAsia="Arial" w:hAnsi="Arial" w:cs="Arial"/>
          <w:sz w:val="20"/>
          <w:szCs w:val="20"/>
        </w:rPr>
        <w:t xml:space="preserve"> co-infections effectively.</w:t>
      </w:r>
    </w:p>
    <w:p w14:paraId="671B3226" w14:textId="77777777" w:rsidR="00766AE5" w:rsidRPr="00766AE5" w:rsidRDefault="00766AE5" w:rsidP="00766AE5">
      <w:pPr>
        <w:rPr>
          <w:rFonts w:ascii="Arial" w:hAnsi="Arial" w:cs="Arial"/>
          <w:b/>
          <w:sz w:val="20"/>
          <w:szCs w:val="20"/>
        </w:rPr>
      </w:pPr>
      <w:r w:rsidRPr="00766AE5">
        <w:rPr>
          <w:rFonts w:ascii="Arial" w:hAnsi="Arial" w:cs="Arial"/>
          <w:b/>
          <w:sz w:val="20"/>
          <w:szCs w:val="20"/>
        </w:rPr>
        <w:t xml:space="preserve">Consent </w:t>
      </w:r>
    </w:p>
    <w:p w14:paraId="6C0D1242" w14:textId="195FBFE9" w:rsidR="00766AE5" w:rsidRPr="00766AE5" w:rsidRDefault="00766AE5" w:rsidP="00766AE5">
      <w:pPr>
        <w:rPr>
          <w:rFonts w:ascii="Arial" w:hAnsi="Arial" w:cs="Arial"/>
          <w:sz w:val="20"/>
          <w:szCs w:val="20"/>
          <w:highlight w:val="yellow"/>
        </w:rPr>
      </w:pPr>
      <w:r w:rsidRPr="00766AE5">
        <w:rPr>
          <w:rFonts w:ascii="Arial" w:hAnsi="Arial" w:cs="Arial"/>
          <w:sz w:val="20"/>
          <w:szCs w:val="20"/>
        </w:rPr>
        <w:t>As per international standards or university standards, patient(s) written consent has been collected and preserved by the author(s).</w:t>
      </w:r>
    </w:p>
    <w:p w14:paraId="41B5B8E0" w14:textId="77777777" w:rsidR="00766AE5" w:rsidRDefault="00766AE5" w:rsidP="00CD0D29">
      <w:pPr>
        <w:rPr>
          <w:rFonts w:ascii="Arial" w:hAnsi="Arial" w:cs="Arial"/>
          <w:b/>
          <w:sz w:val="20"/>
          <w:szCs w:val="20"/>
          <w:highlight w:val="yellow"/>
        </w:rPr>
      </w:pPr>
    </w:p>
    <w:p w14:paraId="645FA8EC" w14:textId="77777777" w:rsidR="00766AE5" w:rsidRDefault="00766AE5" w:rsidP="00CD0D29">
      <w:pPr>
        <w:rPr>
          <w:rFonts w:ascii="Arial" w:hAnsi="Arial" w:cs="Arial"/>
          <w:b/>
          <w:sz w:val="20"/>
          <w:szCs w:val="20"/>
          <w:highlight w:val="yellow"/>
        </w:rPr>
      </w:pPr>
    </w:p>
    <w:p w14:paraId="7F1ED961" w14:textId="73822F5B" w:rsidR="00CD0D29" w:rsidRPr="00766AE5" w:rsidRDefault="00CD0D29" w:rsidP="00CD0D29">
      <w:pPr>
        <w:rPr>
          <w:rFonts w:ascii="Arial" w:hAnsi="Arial" w:cs="Arial"/>
          <w:b/>
          <w:sz w:val="20"/>
          <w:szCs w:val="20"/>
          <w:highlight w:val="yellow"/>
        </w:rPr>
      </w:pPr>
      <w:r w:rsidRPr="00766AE5">
        <w:rPr>
          <w:rFonts w:ascii="Arial" w:hAnsi="Arial" w:cs="Arial"/>
          <w:b/>
          <w:sz w:val="20"/>
          <w:szCs w:val="20"/>
          <w:highlight w:val="yellow"/>
        </w:rPr>
        <w:t>Disclaimer (Artificial intelligence)</w:t>
      </w:r>
    </w:p>
    <w:p w14:paraId="2EF6C643" w14:textId="52ADED68" w:rsidR="001528DB" w:rsidRPr="007D5B70" w:rsidRDefault="007D5B70">
      <w:pPr>
        <w:spacing w:before="280" w:after="280" w:line="240" w:lineRule="auto"/>
        <w:jc w:val="both"/>
        <w:rPr>
          <w:rFonts w:ascii="Arial" w:eastAsia="Arial" w:hAnsi="Arial" w:cs="Arial"/>
          <w:b/>
          <w:sz w:val="20"/>
          <w:szCs w:val="20"/>
        </w:rPr>
      </w:pPr>
      <w:r w:rsidRPr="007D5B70">
        <w:rPr>
          <w:rFonts w:ascii="Arial" w:hAnsi="Arial" w:cs="Arial"/>
          <w:sz w:val="20"/>
          <w:szCs w:val="20"/>
        </w:rPr>
        <w:lastRenderedPageBreak/>
        <w:t>The authors acknowledge the use of generative artificial intelligence (AI) tools (ChatGPT by OpenAI) to assist in language refinement and to improve the clarity and readability of the manuscript. The AI tool was not used for data analysis, generation of scientific content, interpretation of results, or drawing conclusions. All scientific ideas, data, and interpretations presented in this article are entirely the authors’ own. The authors reviewed and verified all AI-assisted edits to ensure accuracy and integrity.</w:t>
      </w:r>
    </w:p>
    <w:p w14:paraId="00000024" w14:textId="66D90737" w:rsidR="00DF4018" w:rsidRDefault="000E1748">
      <w:pPr>
        <w:spacing w:before="280" w:after="280" w:line="240" w:lineRule="auto"/>
        <w:jc w:val="both"/>
        <w:rPr>
          <w:rFonts w:ascii="Arial" w:eastAsia="Arial" w:hAnsi="Arial" w:cs="Arial"/>
          <w:b/>
          <w:sz w:val="24"/>
          <w:szCs w:val="24"/>
        </w:rPr>
      </w:pPr>
      <w:r>
        <w:rPr>
          <w:rFonts w:ascii="Arial" w:eastAsia="Arial" w:hAnsi="Arial" w:cs="Arial"/>
          <w:b/>
          <w:sz w:val="24"/>
          <w:szCs w:val="24"/>
        </w:rPr>
        <w:t>References</w:t>
      </w:r>
    </w:p>
    <w:p w14:paraId="00000025"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Chukwu, E. E., </w:t>
      </w:r>
      <w:proofErr w:type="spellStart"/>
      <w:r w:rsidRPr="009E4636">
        <w:rPr>
          <w:rFonts w:ascii="Arial" w:eastAsia="Arial" w:hAnsi="Arial" w:cs="Arial"/>
          <w:color w:val="000000"/>
          <w:sz w:val="20"/>
          <w:szCs w:val="20"/>
        </w:rPr>
        <w:t>Awoderu</w:t>
      </w:r>
      <w:proofErr w:type="spellEnd"/>
      <w:r w:rsidRPr="009E4636">
        <w:rPr>
          <w:rFonts w:ascii="Arial" w:eastAsia="Arial" w:hAnsi="Arial" w:cs="Arial"/>
          <w:color w:val="000000"/>
          <w:sz w:val="20"/>
          <w:szCs w:val="20"/>
        </w:rPr>
        <w:t xml:space="preserve">, O. B., </w:t>
      </w:r>
      <w:proofErr w:type="spellStart"/>
      <w:r w:rsidRPr="009E4636">
        <w:rPr>
          <w:rFonts w:ascii="Arial" w:eastAsia="Arial" w:hAnsi="Arial" w:cs="Arial"/>
          <w:color w:val="000000"/>
          <w:sz w:val="20"/>
          <w:szCs w:val="20"/>
        </w:rPr>
        <w:t>Enwuru</w:t>
      </w:r>
      <w:proofErr w:type="spellEnd"/>
      <w:r w:rsidRPr="009E4636">
        <w:rPr>
          <w:rFonts w:ascii="Arial" w:eastAsia="Arial" w:hAnsi="Arial" w:cs="Arial"/>
          <w:color w:val="000000"/>
          <w:sz w:val="20"/>
          <w:szCs w:val="20"/>
        </w:rPr>
        <w:t xml:space="preserve">, C. A., </w:t>
      </w:r>
      <w:proofErr w:type="spellStart"/>
      <w:r w:rsidRPr="009E4636">
        <w:rPr>
          <w:rFonts w:ascii="Arial" w:eastAsia="Arial" w:hAnsi="Arial" w:cs="Arial"/>
          <w:color w:val="000000"/>
          <w:sz w:val="20"/>
          <w:szCs w:val="20"/>
        </w:rPr>
        <w:t>Afocha</w:t>
      </w:r>
      <w:proofErr w:type="spellEnd"/>
      <w:r w:rsidRPr="009E4636">
        <w:rPr>
          <w:rFonts w:ascii="Arial" w:eastAsia="Arial" w:hAnsi="Arial" w:cs="Arial"/>
          <w:color w:val="000000"/>
          <w:sz w:val="20"/>
          <w:szCs w:val="20"/>
        </w:rPr>
        <w:t xml:space="preserve">, E. E., Lawal, R. G., Ahmed, R. A., Olanrewaju, I., </w:t>
      </w:r>
      <w:proofErr w:type="spellStart"/>
      <w:r w:rsidRPr="009E4636">
        <w:rPr>
          <w:rFonts w:ascii="Arial" w:eastAsia="Arial" w:hAnsi="Arial" w:cs="Arial"/>
          <w:color w:val="000000"/>
          <w:sz w:val="20"/>
          <w:szCs w:val="20"/>
        </w:rPr>
        <w:t>Onwuamah</w:t>
      </w:r>
      <w:proofErr w:type="spellEnd"/>
      <w:r w:rsidRPr="009E4636">
        <w:rPr>
          <w:rFonts w:ascii="Arial" w:eastAsia="Arial" w:hAnsi="Arial" w:cs="Arial"/>
          <w:color w:val="000000"/>
          <w:sz w:val="20"/>
          <w:szCs w:val="20"/>
        </w:rPr>
        <w:t xml:space="preserve">, C. K., Audu, R. A., &amp; Ogunsola, F. T. (2022). High prevalence of resistance to third-generation cephalosporins detected among clinical isolates from sentinel healthcare facilities in Lagos, Nigeria. </w:t>
      </w:r>
      <w:r w:rsidRPr="009E4636">
        <w:rPr>
          <w:rFonts w:ascii="Arial" w:eastAsia="Arial" w:hAnsi="Arial" w:cs="Arial"/>
          <w:i/>
          <w:color w:val="000000"/>
          <w:sz w:val="20"/>
          <w:szCs w:val="20"/>
        </w:rPr>
        <w:t>Antimicrobial Resistance and Infection Control</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11</w:t>
      </w:r>
      <w:r w:rsidRPr="009E4636">
        <w:rPr>
          <w:rFonts w:ascii="Arial" w:eastAsia="Arial" w:hAnsi="Arial" w:cs="Arial"/>
          <w:color w:val="000000"/>
          <w:sz w:val="20"/>
          <w:szCs w:val="20"/>
        </w:rPr>
        <w:t>, 134. https://doi.org/10.1186/s13756-022-01171-2</w:t>
      </w:r>
    </w:p>
    <w:p w14:paraId="00000026"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Enteric fever in a young man with bowel wall thickening and hepatosplenomegaly. (2024). </w:t>
      </w:r>
      <w:proofErr w:type="spellStart"/>
      <w:r w:rsidRPr="009E4636">
        <w:rPr>
          <w:rFonts w:ascii="Arial" w:eastAsia="Arial" w:hAnsi="Arial" w:cs="Arial"/>
          <w:i/>
          <w:color w:val="000000"/>
          <w:sz w:val="20"/>
          <w:szCs w:val="20"/>
        </w:rPr>
        <w:t>Revista</w:t>
      </w:r>
      <w:proofErr w:type="spellEnd"/>
      <w:r w:rsidRPr="009E4636">
        <w:rPr>
          <w:rFonts w:ascii="Arial" w:eastAsia="Arial" w:hAnsi="Arial" w:cs="Arial"/>
          <w:i/>
          <w:color w:val="000000"/>
          <w:sz w:val="20"/>
          <w:szCs w:val="20"/>
        </w:rPr>
        <w:t xml:space="preserve"> de </w:t>
      </w:r>
      <w:proofErr w:type="spellStart"/>
      <w:r w:rsidRPr="009E4636">
        <w:rPr>
          <w:rFonts w:ascii="Arial" w:eastAsia="Arial" w:hAnsi="Arial" w:cs="Arial"/>
          <w:i/>
          <w:color w:val="000000"/>
          <w:sz w:val="20"/>
          <w:szCs w:val="20"/>
        </w:rPr>
        <w:t>Gastroenterologia</w:t>
      </w:r>
      <w:proofErr w:type="spellEnd"/>
      <w:r w:rsidRPr="009E4636">
        <w:rPr>
          <w:rFonts w:ascii="Arial" w:eastAsia="Arial" w:hAnsi="Arial" w:cs="Arial"/>
          <w:i/>
          <w:color w:val="000000"/>
          <w:sz w:val="20"/>
          <w:szCs w:val="20"/>
        </w:rPr>
        <w:t xml:space="preserve"> Del </w:t>
      </w:r>
      <w:proofErr w:type="gramStart"/>
      <w:r w:rsidRPr="009E4636">
        <w:rPr>
          <w:rFonts w:ascii="Arial" w:eastAsia="Arial" w:hAnsi="Arial" w:cs="Arial"/>
          <w:i/>
          <w:color w:val="000000"/>
          <w:sz w:val="20"/>
          <w:szCs w:val="20"/>
        </w:rPr>
        <w:t>Peru :</w:t>
      </w:r>
      <w:proofErr w:type="gramEnd"/>
      <w:r w:rsidRPr="009E4636">
        <w:rPr>
          <w:rFonts w:ascii="Arial" w:eastAsia="Arial" w:hAnsi="Arial" w:cs="Arial"/>
          <w:i/>
          <w:color w:val="000000"/>
          <w:sz w:val="20"/>
          <w:szCs w:val="20"/>
        </w:rPr>
        <w:t xml:space="preserve"> </w:t>
      </w:r>
      <w:proofErr w:type="spellStart"/>
      <w:r w:rsidRPr="009E4636">
        <w:rPr>
          <w:rFonts w:ascii="Arial" w:eastAsia="Arial" w:hAnsi="Arial" w:cs="Arial"/>
          <w:i/>
          <w:color w:val="000000"/>
          <w:sz w:val="20"/>
          <w:szCs w:val="20"/>
        </w:rPr>
        <w:t>Organo</w:t>
      </w:r>
      <w:proofErr w:type="spellEnd"/>
      <w:r w:rsidRPr="009E4636">
        <w:rPr>
          <w:rFonts w:ascii="Arial" w:eastAsia="Arial" w:hAnsi="Arial" w:cs="Arial"/>
          <w:i/>
          <w:color w:val="000000"/>
          <w:sz w:val="20"/>
          <w:szCs w:val="20"/>
        </w:rPr>
        <w:t xml:space="preserve"> </w:t>
      </w:r>
      <w:proofErr w:type="spellStart"/>
      <w:r w:rsidRPr="009E4636">
        <w:rPr>
          <w:rFonts w:ascii="Arial" w:eastAsia="Arial" w:hAnsi="Arial" w:cs="Arial"/>
          <w:i/>
          <w:color w:val="000000"/>
          <w:sz w:val="20"/>
          <w:szCs w:val="20"/>
        </w:rPr>
        <w:t>Oficial</w:t>
      </w:r>
      <w:proofErr w:type="spellEnd"/>
      <w:r w:rsidRPr="009E4636">
        <w:rPr>
          <w:rFonts w:ascii="Arial" w:eastAsia="Arial" w:hAnsi="Arial" w:cs="Arial"/>
          <w:i/>
          <w:color w:val="000000"/>
          <w:sz w:val="20"/>
          <w:szCs w:val="20"/>
        </w:rPr>
        <w:t xml:space="preserve"> de La Sociedad de </w:t>
      </w:r>
      <w:proofErr w:type="spellStart"/>
      <w:r w:rsidRPr="009E4636">
        <w:rPr>
          <w:rFonts w:ascii="Arial" w:eastAsia="Arial" w:hAnsi="Arial" w:cs="Arial"/>
          <w:i/>
          <w:color w:val="000000"/>
          <w:sz w:val="20"/>
          <w:szCs w:val="20"/>
        </w:rPr>
        <w:t>Gastroenterologia</w:t>
      </w:r>
      <w:proofErr w:type="spellEnd"/>
      <w:r w:rsidRPr="009E4636">
        <w:rPr>
          <w:rFonts w:ascii="Arial" w:eastAsia="Arial" w:hAnsi="Arial" w:cs="Arial"/>
          <w:i/>
          <w:color w:val="000000"/>
          <w:sz w:val="20"/>
          <w:szCs w:val="20"/>
        </w:rPr>
        <w:t xml:space="preserve"> Del Peru</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44</w:t>
      </w:r>
      <w:r w:rsidRPr="009E4636">
        <w:rPr>
          <w:rFonts w:ascii="Arial" w:eastAsia="Arial" w:hAnsi="Arial" w:cs="Arial"/>
          <w:color w:val="000000"/>
          <w:sz w:val="20"/>
          <w:szCs w:val="20"/>
        </w:rPr>
        <w:t>(3), 305–307. https://doi.org/10.47892/rgp.2024.443.1695</w:t>
      </w:r>
    </w:p>
    <w:p w14:paraId="00000027"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proofErr w:type="spellStart"/>
      <w:r w:rsidRPr="009E4636">
        <w:rPr>
          <w:rFonts w:ascii="Arial" w:eastAsia="Arial" w:hAnsi="Arial" w:cs="Arial"/>
          <w:color w:val="000000"/>
          <w:sz w:val="20"/>
          <w:szCs w:val="20"/>
        </w:rPr>
        <w:t>Hamdulay</w:t>
      </w:r>
      <w:proofErr w:type="spellEnd"/>
      <w:r w:rsidRPr="009E4636">
        <w:rPr>
          <w:rFonts w:ascii="Arial" w:eastAsia="Arial" w:hAnsi="Arial" w:cs="Arial"/>
          <w:color w:val="000000"/>
          <w:sz w:val="20"/>
          <w:szCs w:val="20"/>
        </w:rPr>
        <w:t xml:space="preserve">, K., </w:t>
      </w:r>
      <w:proofErr w:type="spellStart"/>
      <w:r w:rsidRPr="009E4636">
        <w:rPr>
          <w:rFonts w:ascii="Arial" w:eastAsia="Arial" w:hAnsi="Arial" w:cs="Arial"/>
          <w:color w:val="000000"/>
          <w:sz w:val="20"/>
          <w:szCs w:val="20"/>
        </w:rPr>
        <w:t>Rawekar</w:t>
      </w:r>
      <w:proofErr w:type="spellEnd"/>
      <w:r w:rsidRPr="009E4636">
        <w:rPr>
          <w:rFonts w:ascii="Arial" w:eastAsia="Arial" w:hAnsi="Arial" w:cs="Arial"/>
          <w:color w:val="000000"/>
          <w:sz w:val="20"/>
          <w:szCs w:val="20"/>
        </w:rPr>
        <w:t xml:space="preserve">, R., Tayade, A., Kumar, S., Acharya, S., Jr, D. K. F. H., </w:t>
      </w:r>
      <w:proofErr w:type="spellStart"/>
      <w:r w:rsidRPr="009E4636">
        <w:rPr>
          <w:rFonts w:ascii="Arial" w:eastAsia="Arial" w:hAnsi="Arial" w:cs="Arial"/>
          <w:color w:val="000000"/>
          <w:sz w:val="20"/>
          <w:szCs w:val="20"/>
        </w:rPr>
        <w:t>Rawekar</w:t>
      </w:r>
      <w:proofErr w:type="spellEnd"/>
      <w:r w:rsidRPr="009E4636">
        <w:rPr>
          <w:rFonts w:ascii="Arial" w:eastAsia="Arial" w:hAnsi="Arial" w:cs="Arial"/>
          <w:color w:val="000000"/>
          <w:sz w:val="20"/>
          <w:szCs w:val="20"/>
        </w:rPr>
        <w:t xml:space="preserve">, R., Tayade, A., Kumar, S., &amp; Acharya, S. (2024). Evolving Epidemiology and Antibiotic Resistance in Enteric Fever: A Comprehensive Review. </w:t>
      </w:r>
      <w:r w:rsidRPr="009E4636">
        <w:rPr>
          <w:rFonts w:ascii="Arial" w:eastAsia="Arial" w:hAnsi="Arial" w:cs="Arial"/>
          <w:i/>
          <w:color w:val="000000"/>
          <w:sz w:val="20"/>
          <w:szCs w:val="20"/>
        </w:rPr>
        <w:t>Cureus</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16</w:t>
      </w:r>
      <w:r w:rsidRPr="009E4636">
        <w:rPr>
          <w:rFonts w:ascii="Arial" w:eastAsia="Arial" w:hAnsi="Arial" w:cs="Arial"/>
          <w:color w:val="000000"/>
          <w:sz w:val="20"/>
          <w:szCs w:val="20"/>
        </w:rPr>
        <w:t>. https://doi.org/10.7759/cureus.63070</w:t>
      </w:r>
    </w:p>
    <w:p w14:paraId="00000028" w14:textId="4A83D5DF"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themeColor="text1"/>
          <w:sz w:val="20"/>
          <w:szCs w:val="20"/>
        </w:rPr>
      </w:pPr>
      <w:r w:rsidRPr="009E4636">
        <w:rPr>
          <w:rFonts w:ascii="Arial" w:eastAsia="Arial" w:hAnsi="Arial" w:cs="Arial"/>
          <w:color w:val="000000"/>
          <w:sz w:val="20"/>
          <w:szCs w:val="20"/>
        </w:rPr>
        <w:t xml:space="preserve">Harris, J. B., &amp; Brooks, W. A. (2013). 69—Typhoid and Paratyphoid (Enteric) Fever. In A. J. Magill, D. R. Hill, T. Solomon, &amp; E. T. Ryan (Eds), </w:t>
      </w:r>
      <w:r w:rsidRPr="009E4636">
        <w:rPr>
          <w:rFonts w:ascii="Arial" w:eastAsia="Arial" w:hAnsi="Arial" w:cs="Arial"/>
          <w:i/>
          <w:color w:val="000000"/>
          <w:sz w:val="20"/>
          <w:szCs w:val="20"/>
        </w:rPr>
        <w:t>Hunter’s Tropical Medicine and Emerging Infectious Disease (Ninth Edition)</w:t>
      </w:r>
      <w:r w:rsidRPr="009E4636">
        <w:rPr>
          <w:rFonts w:ascii="Arial" w:eastAsia="Arial" w:hAnsi="Arial" w:cs="Arial"/>
          <w:color w:val="000000"/>
          <w:sz w:val="20"/>
          <w:szCs w:val="20"/>
        </w:rPr>
        <w:t xml:space="preserve"> (pp. 568–576). W.B. Saunders. </w:t>
      </w:r>
      <w:hyperlink r:id="rId7" w:history="1">
        <w:r w:rsidR="00A0469E" w:rsidRPr="009E4636">
          <w:rPr>
            <w:rStyle w:val="Hyperlink"/>
            <w:rFonts w:ascii="Arial" w:eastAsia="Arial" w:hAnsi="Arial" w:cs="Arial"/>
            <w:color w:val="000000" w:themeColor="text1"/>
            <w:sz w:val="20"/>
            <w:szCs w:val="20"/>
            <w:u w:val="none"/>
          </w:rPr>
          <w:t>https://doi.org/10.1016/B978-1-4160-4390-4.00069-2</w:t>
        </w:r>
      </w:hyperlink>
    </w:p>
    <w:p w14:paraId="3AFA7059" w14:textId="652B54F9" w:rsidR="00A0469E" w:rsidRPr="009E4636" w:rsidRDefault="00A0469E" w:rsidP="009E4636">
      <w:pPr>
        <w:pStyle w:val="ListParagraph"/>
        <w:numPr>
          <w:ilvl w:val="0"/>
          <w:numId w:val="1"/>
        </w:numPr>
        <w:pBdr>
          <w:top w:val="nil"/>
          <w:left w:val="nil"/>
          <w:bottom w:val="nil"/>
          <w:right w:val="nil"/>
          <w:between w:val="nil"/>
        </w:pBdr>
        <w:spacing w:after="0" w:line="480" w:lineRule="auto"/>
        <w:jc w:val="both"/>
        <w:rPr>
          <w:rFonts w:ascii="Arial" w:eastAsia="Arial" w:hAnsi="Arial" w:cs="Arial"/>
          <w:color w:val="000000"/>
          <w:sz w:val="20"/>
          <w:szCs w:val="20"/>
        </w:rPr>
      </w:pPr>
      <w:r w:rsidRPr="009E4636">
        <w:rPr>
          <w:rFonts w:ascii="Arial" w:hAnsi="Arial" w:cs="Arial"/>
          <w:sz w:val="20"/>
          <w:szCs w:val="20"/>
        </w:rPr>
        <w:t xml:space="preserve">Isler, B., </w:t>
      </w:r>
      <w:proofErr w:type="spellStart"/>
      <w:r w:rsidRPr="009E4636">
        <w:rPr>
          <w:rFonts w:ascii="Arial" w:hAnsi="Arial" w:cs="Arial"/>
          <w:sz w:val="20"/>
          <w:szCs w:val="20"/>
        </w:rPr>
        <w:t>Ezure</w:t>
      </w:r>
      <w:proofErr w:type="spellEnd"/>
      <w:r w:rsidRPr="009E4636">
        <w:rPr>
          <w:rFonts w:ascii="Arial" w:hAnsi="Arial" w:cs="Arial"/>
          <w:sz w:val="20"/>
          <w:szCs w:val="20"/>
        </w:rPr>
        <w:t xml:space="preserve">, Y., Romero, J. L. G., Harris, P., Stewart, A. G., &amp; Paterson, D. L. (2020). Is ceftazidime/avibactam an option for serious infections due to extended-spectrum β-lactamase- and </w:t>
      </w:r>
      <w:proofErr w:type="spellStart"/>
      <w:r w:rsidRPr="009E4636">
        <w:rPr>
          <w:rFonts w:ascii="Arial" w:hAnsi="Arial" w:cs="Arial"/>
          <w:sz w:val="20"/>
          <w:szCs w:val="20"/>
        </w:rPr>
        <w:t>AmpC</w:t>
      </w:r>
      <w:proofErr w:type="spellEnd"/>
      <w:r w:rsidRPr="009E4636">
        <w:rPr>
          <w:rFonts w:ascii="Arial" w:hAnsi="Arial" w:cs="Arial"/>
          <w:sz w:val="20"/>
          <w:szCs w:val="20"/>
        </w:rPr>
        <w:t xml:space="preserve">-producing </w:t>
      </w:r>
      <w:proofErr w:type="spellStart"/>
      <w:r w:rsidRPr="009E4636">
        <w:rPr>
          <w:rFonts w:ascii="Arial" w:hAnsi="Arial" w:cs="Arial"/>
          <w:sz w:val="20"/>
          <w:szCs w:val="20"/>
        </w:rPr>
        <w:t>Enterobacterales</w:t>
      </w:r>
      <w:proofErr w:type="spellEnd"/>
      <w:r w:rsidRPr="009E4636">
        <w:rPr>
          <w:rFonts w:ascii="Arial" w:hAnsi="Arial" w:cs="Arial"/>
          <w:sz w:val="20"/>
          <w:szCs w:val="20"/>
        </w:rPr>
        <w:t xml:space="preserve">? A systematic review and meta-analysis. </w:t>
      </w:r>
      <w:r w:rsidRPr="009E4636">
        <w:rPr>
          <w:rStyle w:val="Emphasis"/>
          <w:rFonts w:ascii="Arial" w:hAnsi="Arial" w:cs="Arial"/>
          <w:sz w:val="20"/>
          <w:szCs w:val="20"/>
        </w:rPr>
        <w:t>Antimicrobial Agents and Chemotherapy</w:t>
      </w:r>
      <w:r w:rsidRPr="009E4636">
        <w:rPr>
          <w:rFonts w:ascii="Arial" w:hAnsi="Arial" w:cs="Arial"/>
          <w:sz w:val="20"/>
          <w:szCs w:val="20"/>
        </w:rPr>
        <w:t>, 65(1), e01052-20. https://doi.org/10.1128/AAC.01052-20</w:t>
      </w:r>
    </w:p>
    <w:p w14:paraId="00000029" w14:textId="571DA82B"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Maskey, A. P., Day, J. N., Tuan, P. Q., Thwaites, G. E., Campbell, J. I., Zimmerman, M., Farrar, J. J., &amp; Basnyat, B. (2006). Salmonella enterica Serovar </w:t>
      </w:r>
      <w:proofErr w:type="spellStart"/>
      <w:r w:rsidR="00FA4AD4" w:rsidRPr="009E4636">
        <w:rPr>
          <w:rFonts w:ascii="Arial" w:eastAsia="Arial" w:hAnsi="Arial" w:cs="Arial"/>
          <w:color w:val="000000"/>
          <w:sz w:val="20"/>
          <w:szCs w:val="20"/>
        </w:rPr>
        <w:t>Paratyphi</w:t>
      </w:r>
      <w:proofErr w:type="spellEnd"/>
      <w:r w:rsidRPr="009E4636">
        <w:rPr>
          <w:rFonts w:ascii="Arial" w:eastAsia="Arial" w:hAnsi="Arial" w:cs="Arial"/>
          <w:color w:val="000000"/>
          <w:sz w:val="20"/>
          <w:szCs w:val="20"/>
        </w:rPr>
        <w:t xml:space="preserve"> A and S. enterica Serovar </w:t>
      </w:r>
      <w:r w:rsidR="00FA4AD4" w:rsidRPr="009E4636">
        <w:rPr>
          <w:rFonts w:ascii="Arial" w:eastAsia="Arial" w:hAnsi="Arial" w:cs="Arial"/>
          <w:color w:val="000000"/>
          <w:sz w:val="20"/>
          <w:szCs w:val="20"/>
        </w:rPr>
        <w:t>Typhi</w:t>
      </w:r>
      <w:r w:rsidRPr="009E4636">
        <w:rPr>
          <w:rFonts w:ascii="Arial" w:eastAsia="Arial" w:hAnsi="Arial" w:cs="Arial"/>
          <w:color w:val="000000"/>
          <w:sz w:val="20"/>
          <w:szCs w:val="20"/>
        </w:rPr>
        <w:t xml:space="preserve"> Cause Indistinguishable Clinical Syndromes in Kathmandu, Nepal. </w:t>
      </w:r>
      <w:r w:rsidRPr="009E4636">
        <w:rPr>
          <w:rFonts w:ascii="Arial" w:eastAsia="Arial" w:hAnsi="Arial" w:cs="Arial"/>
          <w:i/>
          <w:color w:val="000000"/>
          <w:sz w:val="20"/>
          <w:szCs w:val="20"/>
        </w:rPr>
        <w:t>Clinical Infectious Diseases</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42</w:t>
      </w:r>
      <w:r w:rsidRPr="009E4636">
        <w:rPr>
          <w:rFonts w:ascii="Arial" w:eastAsia="Arial" w:hAnsi="Arial" w:cs="Arial"/>
          <w:color w:val="000000"/>
          <w:sz w:val="20"/>
          <w:szCs w:val="20"/>
        </w:rPr>
        <w:t>(9), 1247–1253. https://doi.org/10.1086/503033</w:t>
      </w:r>
    </w:p>
    <w:p w14:paraId="0000002A"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Nair, S., Kurian, S., Manjusree, S., &amp; Theodore, R. B. J. (2015). Enteric fever and changing trends in antimicrobial susceptibility pattern: Case series from a tertiary care hospital in </w:t>
      </w:r>
      <w:r w:rsidRPr="009E4636">
        <w:rPr>
          <w:rFonts w:ascii="Arial" w:eastAsia="Arial" w:hAnsi="Arial" w:cs="Arial"/>
          <w:color w:val="000000"/>
          <w:sz w:val="20"/>
          <w:szCs w:val="20"/>
        </w:rPr>
        <w:lastRenderedPageBreak/>
        <w:t xml:space="preserve">Kerala. </w:t>
      </w:r>
      <w:r w:rsidRPr="009E4636">
        <w:rPr>
          <w:rFonts w:ascii="Arial" w:eastAsia="Arial" w:hAnsi="Arial" w:cs="Arial"/>
          <w:i/>
          <w:color w:val="000000"/>
          <w:sz w:val="20"/>
          <w:szCs w:val="20"/>
        </w:rPr>
        <w:t>Journal of The Academy of Clinical Microbiologists</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17</w:t>
      </w:r>
      <w:r w:rsidRPr="009E4636">
        <w:rPr>
          <w:rFonts w:ascii="Arial" w:eastAsia="Arial" w:hAnsi="Arial" w:cs="Arial"/>
          <w:color w:val="000000"/>
          <w:sz w:val="20"/>
          <w:szCs w:val="20"/>
        </w:rPr>
        <w:t>(1), 39. https://doi.org/10.4103/0972-1282.158807</w:t>
      </w:r>
    </w:p>
    <w:p w14:paraId="0000002B"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Perera, N., Geary, C., </w:t>
      </w:r>
      <w:proofErr w:type="spellStart"/>
      <w:r w:rsidRPr="009E4636">
        <w:rPr>
          <w:rFonts w:ascii="Arial" w:eastAsia="Arial" w:hAnsi="Arial" w:cs="Arial"/>
          <w:color w:val="000000"/>
          <w:sz w:val="20"/>
          <w:szCs w:val="20"/>
        </w:rPr>
        <w:t>Wiselka</w:t>
      </w:r>
      <w:proofErr w:type="spellEnd"/>
      <w:r w:rsidRPr="009E4636">
        <w:rPr>
          <w:rFonts w:ascii="Arial" w:eastAsia="Arial" w:hAnsi="Arial" w:cs="Arial"/>
          <w:color w:val="000000"/>
          <w:sz w:val="20"/>
          <w:szCs w:val="20"/>
        </w:rPr>
        <w:t xml:space="preserve">, M., Rajakumar, K., &amp; Andrew Swann, R. (2007). Mixed Salmonella infection: Case report and review of the literature. </w:t>
      </w:r>
      <w:r w:rsidRPr="009E4636">
        <w:rPr>
          <w:rFonts w:ascii="Arial" w:eastAsia="Arial" w:hAnsi="Arial" w:cs="Arial"/>
          <w:i/>
          <w:color w:val="000000"/>
          <w:sz w:val="20"/>
          <w:szCs w:val="20"/>
        </w:rPr>
        <w:t>Journal of Travel Medicine</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14</w:t>
      </w:r>
      <w:r w:rsidRPr="009E4636">
        <w:rPr>
          <w:rFonts w:ascii="Arial" w:eastAsia="Arial" w:hAnsi="Arial" w:cs="Arial"/>
          <w:color w:val="000000"/>
          <w:sz w:val="20"/>
          <w:szCs w:val="20"/>
        </w:rPr>
        <w:t>(2), 134–135. https://doi.org/10.1111/j.1708-8305.2007.00111.x</w:t>
      </w:r>
    </w:p>
    <w:p w14:paraId="0000002C" w14:textId="75341DC4"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Pratap, C. B., Kumar, G., Patel, S. K., Shukla, V. K., Kumar, K., Singh, T. B., &amp; Nath, G. (2014). Mix-infection of S. </w:t>
      </w:r>
      <w:r w:rsidR="00FA4AD4" w:rsidRPr="009E4636">
        <w:rPr>
          <w:rFonts w:ascii="Arial" w:eastAsia="Arial" w:hAnsi="Arial" w:cs="Arial"/>
          <w:color w:val="000000"/>
          <w:sz w:val="20"/>
          <w:szCs w:val="20"/>
        </w:rPr>
        <w:t>Typhi</w:t>
      </w:r>
      <w:r w:rsidRPr="009E4636">
        <w:rPr>
          <w:rFonts w:ascii="Arial" w:eastAsia="Arial" w:hAnsi="Arial" w:cs="Arial"/>
          <w:color w:val="000000"/>
          <w:sz w:val="20"/>
          <w:szCs w:val="20"/>
        </w:rPr>
        <w:t xml:space="preserve"> and </w:t>
      </w:r>
      <w:proofErr w:type="spellStart"/>
      <w:r w:rsidR="00FA4AD4" w:rsidRPr="009E4636">
        <w:rPr>
          <w:rFonts w:ascii="Arial" w:eastAsia="Arial" w:hAnsi="Arial" w:cs="Arial"/>
          <w:color w:val="000000"/>
          <w:sz w:val="20"/>
          <w:szCs w:val="20"/>
        </w:rPr>
        <w:t>Paratyphi</w:t>
      </w:r>
      <w:proofErr w:type="spellEnd"/>
      <w:r w:rsidRPr="009E4636">
        <w:rPr>
          <w:rFonts w:ascii="Arial" w:eastAsia="Arial" w:hAnsi="Arial" w:cs="Arial"/>
          <w:color w:val="000000"/>
          <w:sz w:val="20"/>
          <w:szCs w:val="20"/>
        </w:rPr>
        <w:t xml:space="preserve"> A in Typhoid Fever and Chronic Typhoid Carriers: A Nested PCR Based Study in North India. </w:t>
      </w:r>
      <w:r w:rsidRPr="009E4636">
        <w:rPr>
          <w:rFonts w:ascii="Arial" w:eastAsia="Arial" w:hAnsi="Arial" w:cs="Arial"/>
          <w:i/>
          <w:color w:val="000000"/>
          <w:sz w:val="20"/>
          <w:szCs w:val="20"/>
        </w:rPr>
        <w:t xml:space="preserve">Journal of Clinical and Diagnostic </w:t>
      </w:r>
      <w:proofErr w:type="gramStart"/>
      <w:r w:rsidRPr="009E4636">
        <w:rPr>
          <w:rFonts w:ascii="Arial" w:eastAsia="Arial" w:hAnsi="Arial" w:cs="Arial"/>
          <w:i/>
          <w:color w:val="000000"/>
          <w:sz w:val="20"/>
          <w:szCs w:val="20"/>
        </w:rPr>
        <w:t>Research :</w:t>
      </w:r>
      <w:proofErr w:type="gramEnd"/>
      <w:r w:rsidRPr="009E4636">
        <w:rPr>
          <w:rFonts w:ascii="Arial" w:eastAsia="Arial" w:hAnsi="Arial" w:cs="Arial"/>
          <w:i/>
          <w:color w:val="000000"/>
          <w:sz w:val="20"/>
          <w:szCs w:val="20"/>
        </w:rPr>
        <w:t xml:space="preserve"> JCDR</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8</w:t>
      </w:r>
      <w:r w:rsidRPr="009E4636">
        <w:rPr>
          <w:rFonts w:ascii="Arial" w:eastAsia="Arial" w:hAnsi="Arial" w:cs="Arial"/>
          <w:color w:val="000000"/>
          <w:sz w:val="20"/>
          <w:szCs w:val="20"/>
        </w:rPr>
        <w:t>(11), DC09-DC14. https://doi.org/10.7860/JCDR/2014/9167.5107</w:t>
      </w:r>
    </w:p>
    <w:p w14:paraId="0000002D" w14:textId="2D9046FC"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Saha, T., </w:t>
      </w:r>
      <w:proofErr w:type="spellStart"/>
      <w:r w:rsidRPr="009E4636">
        <w:rPr>
          <w:rFonts w:ascii="Arial" w:eastAsia="Arial" w:hAnsi="Arial" w:cs="Arial"/>
          <w:color w:val="000000"/>
          <w:sz w:val="20"/>
          <w:szCs w:val="20"/>
        </w:rPr>
        <w:t>Arisoyin</w:t>
      </w:r>
      <w:proofErr w:type="spellEnd"/>
      <w:r w:rsidRPr="009E4636">
        <w:rPr>
          <w:rFonts w:ascii="Arial" w:eastAsia="Arial" w:hAnsi="Arial" w:cs="Arial"/>
          <w:color w:val="000000"/>
          <w:sz w:val="20"/>
          <w:szCs w:val="20"/>
        </w:rPr>
        <w:t xml:space="preserve">, A. E., Bollu, B., Ashok, T., Babu, A., </w:t>
      </w:r>
      <w:proofErr w:type="spellStart"/>
      <w:r w:rsidRPr="009E4636">
        <w:rPr>
          <w:rFonts w:ascii="Arial" w:eastAsia="Arial" w:hAnsi="Arial" w:cs="Arial"/>
          <w:color w:val="000000"/>
          <w:sz w:val="20"/>
          <w:szCs w:val="20"/>
        </w:rPr>
        <w:t>Issani</w:t>
      </w:r>
      <w:proofErr w:type="spellEnd"/>
      <w:r w:rsidRPr="009E4636">
        <w:rPr>
          <w:rFonts w:ascii="Arial" w:eastAsia="Arial" w:hAnsi="Arial" w:cs="Arial"/>
          <w:color w:val="000000"/>
          <w:sz w:val="20"/>
          <w:szCs w:val="20"/>
        </w:rPr>
        <w:t xml:space="preserve">, A., Jhaveri, S., &amp; Avanthika, </w:t>
      </w:r>
      <w:r w:rsidR="009060E7" w:rsidRPr="009E4636">
        <w:rPr>
          <w:rFonts w:ascii="Arial" w:eastAsia="Arial" w:hAnsi="Arial" w:cs="Arial"/>
          <w:color w:val="000000"/>
          <w:sz w:val="20"/>
          <w:szCs w:val="20"/>
        </w:rPr>
        <w:t>C. (2023</w:t>
      </w:r>
      <w:r w:rsidRPr="009E4636">
        <w:rPr>
          <w:rFonts w:ascii="Arial" w:eastAsia="Arial" w:hAnsi="Arial" w:cs="Arial"/>
          <w:color w:val="000000"/>
          <w:sz w:val="20"/>
          <w:szCs w:val="20"/>
        </w:rPr>
        <w:t xml:space="preserve">). Enteric Fever: Diagnostic Challenges and the Importance of Early Intervention. </w:t>
      </w:r>
      <w:r w:rsidRPr="009E4636">
        <w:rPr>
          <w:rFonts w:ascii="Arial" w:eastAsia="Arial" w:hAnsi="Arial" w:cs="Arial"/>
          <w:i/>
          <w:color w:val="000000"/>
          <w:sz w:val="20"/>
          <w:szCs w:val="20"/>
        </w:rPr>
        <w:t>Cureus</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15</w:t>
      </w:r>
      <w:r w:rsidRPr="009E4636">
        <w:rPr>
          <w:rFonts w:ascii="Arial" w:eastAsia="Arial" w:hAnsi="Arial" w:cs="Arial"/>
          <w:color w:val="000000"/>
          <w:sz w:val="20"/>
          <w:szCs w:val="20"/>
        </w:rPr>
        <w:t>(7), e41831. https://doi.org/10.7759/cureus.41831</w:t>
      </w:r>
    </w:p>
    <w:p w14:paraId="0000002E"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Sharma, P., Kumari, B., Dahiya, S., Kulsum, U., Kumar, S., </w:t>
      </w:r>
      <w:proofErr w:type="spellStart"/>
      <w:r w:rsidRPr="009E4636">
        <w:rPr>
          <w:rFonts w:ascii="Arial" w:eastAsia="Arial" w:hAnsi="Arial" w:cs="Arial"/>
          <w:color w:val="000000"/>
          <w:sz w:val="20"/>
          <w:szCs w:val="20"/>
        </w:rPr>
        <w:t>Manral</w:t>
      </w:r>
      <w:proofErr w:type="spellEnd"/>
      <w:r w:rsidRPr="009E4636">
        <w:rPr>
          <w:rFonts w:ascii="Arial" w:eastAsia="Arial" w:hAnsi="Arial" w:cs="Arial"/>
          <w:color w:val="000000"/>
          <w:sz w:val="20"/>
          <w:szCs w:val="20"/>
        </w:rPr>
        <w:t xml:space="preserve">, N., Pandey, S., Kaur, P., Sood, S., Das, B. K., &amp; Kapil, A. (2019). Azithromycin resistance mechanisms in typhoidal salmonellae in India: A 25 years analysis. </w:t>
      </w:r>
      <w:r w:rsidRPr="009E4636">
        <w:rPr>
          <w:rFonts w:ascii="Arial" w:eastAsia="Arial" w:hAnsi="Arial" w:cs="Arial"/>
          <w:i/>
          <w:color w:val="000000"/>
          <w:sz w:val="20"/>
          <w:szCs w:val="20"/>
        </w:rPr>
        <w:t>The Indian Journal of Medical Research</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149</w:t>
      </w:r>
      <w:r w:rsidRPr="009E4636">
        <w:rPr>
          <w:rFonts w:ascii="Arial" w:eastAsia="Arial" w:hAnsi="Arial" w:cs="Arial"/>
          <w:color w:val="000000"/>
          <w:sz w:val="20"/>
          <w:szCs w:val="20"/>
        </w:rPr>
        <w:t>(3), 404–411. https://doi.org/10.4103/ijmr.IJMR_1302_17</w:t>
      </w:r>
    </w:p>
    <w:p w14:paraId="0000002F"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Shi, D., Li, H., &amp; Cheng, A. (2015). Typhoid and Paratyphoid Fever. In H. Li (Ed.), </w:t>
      </w:r>
      <w:r w:rsidRPr="009E4636">
        <w:rPr>
          <w:rFonts w:ascii="Arial" w:eastAsia="Arial" w:hAnsi="Arial" w:cs="Arial"/>
          <w:i/>
          <w:color w:val="000000"/>
          <w:sz w:val="20"/>
          <w:szCs w:val="20"/>
        </w:rPr>
        <w:t>Radiology of Infectious Diseases: Volume 2</w:t>
      </w:r>
      <w:r w:rsidRPr="009E4636">
        <w:rPr>
          <w:rFonts w:ascii="Arial" w:eastAsia="Arial" w:hAnsi="Arial" w:cs="Arial"/>
          <w:color w:val="000000"/>
          <w:sz w:val="20"/>
          <w:szCs w:val="20"/>
        </w:rPr>
        <w:t xml:space="preserve"> (pp. 295–303). Springer Netherlands. https://doi.org/10.1007/978-94-017-9876-1_24</w:t>
      </w:r>
    </w:p>
    <w:p w14:paraId="00000030" w14:textId="66E4853F"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Wijedoru, L., M</w:t>
      </w:r>
      <w:r w:rsidR="009060E7" w:rsidRPr="009E4636">
        <w:rPr>
          <w:rFonts w:ascii="Arial" w:eastAsia="Arial" w:hAnsi="Arial" w:cs="Arial"/>
          <w:color w:val="000000"/>
          <w:sz w:val="20"/>
          <w:szCs w:val="20"/>
        </w:rPr>
        <w:t>allett, S., &amp; Parry, C. M. (2017</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Rapid diagnostic tests for typhoid and paratyphoid (enteric) fever—Wijedoru, L - 2017 | Cochrane Library</w:t>
      </w:r>
      <w:r w:rsidRPr="009E4636">
        <w:rPr>
          <w:rFonts w:ascii="Arial" w:eastAsia="Arial" w:hAnsi="Arial" w:cs="Arial"/>
          <w:color w:val="000000"/>
          <w:sz w:val="20"/>
          <w:szCs w:val="20"/>
        </w:rPr>
        <w:t>. Retrieved 17 April 2025, from https://www.cochranelibrary.com/cdsr/doi/10.1002/14651858.CD008892.pub2/full</w:t>
      </w:r>
    </w:p>
    <w:p w14:paraId="00000031" w14:textId="77777777" w:rsidR="00DF4018"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Xie, L., Yang, M., Liu, M., Li, Q., Luo, C., &amp; Luo, J. (2024). Integrating rapid pathogen identification and antimicrobial susceptibility testing through multiplex TaqMan qPCR assay. </w:t>
      </w:r>
      <w:r w:rsidRPr="009E4636">
        <w:rPr>
          <w:rFonts w:ascii="Arial" w:eastAsia="Arial" w:hAnsi="Arial" w:cs="Arial"/>
          <w:i/>
          <w:color w:val="000000"/>
          <w:sz w:val="20"/>
          <w:szCs w:val="20"/>
        </w:rPr>
        <w:t>Journal of Microbiological Methods</w:t>
      </w:r>
      <w:r w:rsidRPr="009E4636">
        <w:rPr>
          <w:rFonts w:ascii="Arial" w:eastAsia="Arial" w:hAnsi="Arial" w:cs="Arial"/>
          <w:color w:val="000000"/>
          <w:sz w:val="20"/>
          <w:szCs w:val="20"/>
        </w:rPr>
        <w:t xml:space="preserve">, </w:t>
      </w:r>
      <w:r w:rsidRPr="009E4636">
        <w:rPr>
          <w:rFonts w:ascii="Arial" w:eastAsia="Arial" w:hAnsi="Arial" w:cs="Arial"/>
          <w:i/>
          <w:color w:val="000000"/>
          <w:sz w:val="20"/>
          <w:szCs w:val="20"/>
        </w:rPr>
        <w:t>217–218</w:t>
      </w:r>
      <w:r w:rsidRPr="009E4636">
        <w:rPr>
          <w:rFonts w:ascii="Arial" w:eastAsia="Arial" w:hAnsi="Arial" w:cs="Arial"/>
          <w:color w:val="000000"/>
          <w:sz w:val="20"/>
          <w:szCs w:val="20"/>
        </w:rPr>
        <w:t>, 106888. https://doi.org/10.1016/j.mimet.2023.106888</w:t>
      </w:r>
    </w:p>
    <w:p w14:paraId="002A864C" w14:textId="276DC08D" w:rsidR="009060E7" w:rsidRPr="009E4636" w:rsidRDefault="000E1748"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r w:rsidRPr="009E4636">
        <w:rPr>
          <w:rFonts w:ascii="Arial" w:eastAsia="Arial" w:hAnsi="Arial" w:cs="Arial"/>
          <w:color w:val="000000"/>
          <w:sz w:val="20"/>
          <w:szCs w:val="20"/>
        </w:rPr>
        <w:t xml:space="preserve">Zhou, L., Darton, T., Waddington, C., Pollard, A. J., Zhou, L., Darton, T., Waddington, C., &amp; Pollard, A. J. (2012). Molecular Diagnosis of Enteric Fever: Progress and Perspectives. In </w:t>
      </w:r>
      <w:r w:rsidRPr="009E4636">
        <w:rPr>
          <w:rFonts w:ascii="Arial" w:eastAsia="Arial" w:hAnsi="Arial" w:cs="Arial"/>
          <w:i/>
          <w:color w:val="000000"/>
          <w:sz w:val="20"/>
          <w:szCs w:val="20"/>
        </w:rPr>
        <w:t>Salmonella—Distribution, Adaptation, Control Measures and Molecular Technologies</w:t>
      </w:r>
      <w:r w:rsidRPr="009E4636">
        <w:rPr>
          <w:rFonts w:ascii="Arial" w:eastAsia="Arial" w:hAnsi="Arial" w:cs="Arial"/>
          <w:color w:val="000000"/>
          <w:sz w:val="20"/>
          <w:szCs w:val="20"/>
        </w:rPr>
        <w:t xml:space="preserve">. </w:t>
      </w:r>
      <w:proofErr w:type="spellStart"/>
      <w:r w:rsidRPr="009E4636">
        <w:rPr>
          <w:rFonts w:ascii="Arial" w:eastAsia="Arial" w:hAnsi="Arial" w:cs="Arial"/>
          <w:color w:val="000000"/>
          <w:sz w:val="20"/>
          <w:szCs w:val="20"/>
        </w:rPr>
        <w:t>IntechOpen</w:t>
      </w:r>
      <w:proofErr w:type="spellEnd"/>
      <w:r w:rsidRPr="009E4636">
        <w:rPr>
          <w:rFonts w:ascii="Arial" w:eastAsia="Arial" w:hAnsi="Arial" w:cs="Arial"/>
          <w:color w:val="000000"/>
          <w:sz w:val="20"/>
          <w:szCs w:val="20"/>
        </w:rPr>
        <w:t>.</w:t>
      </w:r>
    </w:p>
    <w:p w14:paraId="47DDEA2E" w14:textId="77777777" w:rsidR="009060E7" w:rsidRPr="009E4636" w:rsidRDefault="009060E7"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proofErr w:type="spellStart"/>
      <w:r w:rsidRPr="009E4636">
        <w:rPr>
          <w:rFonts w:ascii="Arial" w:hAnsi="Arial" w:cs="Arial"/>
          <w:sz w:val="20"/>
          <w:szCs w:val="20"/>
          <w:lang w:val="en-GB"/>
        </w:rPr>
        <w:lastRenderedPageBreak/>
        <w:t>Eguale</w:t>
      </w:r>
      <w:proofErr w:type="spellEnd"/>
      <w:r w:rsidRPr="009E4636">
        <w:rPr>
          <w:rFonts w:ascii="Arial" w:hAnsi="Arial" w:cs="Arial"/>
          <w:sz w:val="20"/>
          <w:szCs w:val="20"/>
          <w:lang w:val="en-GB"/>
        </w:rPr>
        <w:t xml:space="preserve">, T., Gebreyes, W. A., Asrat, D., Alemayehu, H., Gunn, J. S., &amp; </w:t>
      </w:r>
      <w:proofErr w:type="spellStart"/>
      <w:r w:rsidRPr="009E4636">
        <w:rPr>
          <w:rFonts w:ascii="Arial" w:hAnsi="Arial" w:cs="Arial"/>
          <w:sz w:val="20"/>
          <w:szCs w:val="20"/>
          <w:lang w:val="en-GB"/>
        </w:rPr>
        <w:t>Engidawork</w:t>
      </w:r>
      <w:proofErr w:type="spellEnd"/>
      <w:r w:rsidRPr="009E4636">
        <w:rPr>
          <w:rFonts w:ascii="Arial" w:hAnsi="Arial" w:cs="Arial"/>
          <w:sz w:val="20"/>
          <w:szCs w:val="20"/>
          <w:lang w:val="en-GB"/>
        </w:rPr>
        <w:t xml:space="preserve">, E. (2015). Non-typhoidal Salmonella serotypes, antimicrobial resistance and co-infection with parasites among patients with </w:t>
      </w:r>
      <w:proofErr w:type="spellStart"/>
      <w:r w:rsidRPr="009E4636">
        <w:rPr>
          <w:rFonts w:ascii="Arial" w:hAnsi="Arial" w:cs="Arial"/>
          <w:sz w:val="20"/>
          <w:szCs w:val="20"/>
          <w:lang w:val="en-GB"/>
        </w:rPr>
        <w:t>diarrhea</w:t>
      </w:r>
      <w:proofErr w:type="spellEnd"/>
      <w:r w:rsidRPr="009E4636">
        <w:rPr>
          <w:rFonts w:ascii="Arial" w:hAnsi="Arial" w:cs="Arial"/>
          <w:sz w:val="20"/>
          <w:szCs w:val="20"/>
          <w:lang w:val="en-GB"/>
        </w:rPr>
        <w:t xml:space="preserve"> and other gastrointestinal complaints in Addis Ababa, Ethiopia. BMC infectious diseases, 15(1), 497.</w:t>
      </w:r>
    </w:p>
    <w:p w14:paraId="54A55137" w14:textId="6AC27B67" w:rsidR="009060E7" w:rsidRPr="009E4636" w:rsidRDefault="00766AE5" w:rsidP="009E4636">
      <w:pPr>
        <w:pStyle w:val="ListParagraph"/>
        <w:numPr>
          <w:ilvl w:val="0"/>
          <w:numId w:val="1"/>
        </w:numPr>
        <w:pBdr>
          <w:top w:val="nil"/>
          <w:left w:val="nil"/>
          <w:bottom w:val="nil"/>
          <w:right w:val="nil"/>
          <w:between w:val="nil"/>
        </w:pBdr>
        <w:spacing w:after="0" w:line="480" w:lineRule="auto"/>
        <w:rPr>
          <w:rFonts w:ascii="Arial" w:eastAsia="Arial" w:hAnsi="Arial" w:cs="Arial"/>
          <w:color w:val="000000"/>
          <w:sz w:val="20"/>
          <w:szCs w:val="20"/>
        </w:rPr>
      </w:pPr>
      <w:proofErr w:type="spellStart"/>
      <w:r w:rsidRPr="00766AE5">
        <w:rPr>
          <w:rFonts w:ascii="Arial" w:hAnsi="Arial" w:cs="Arial"/>
          <w:sz w:val="20"/>
          <w:szCs w:val="20"/>
          <w:lang w:val="en-GB"/>
        </w:rPr>
        <w:t>Ebini-Ako</w:t>
      </w:r>
      <w:proofErr w:type="spellEnd"/>
      <w:r w:rsidRPr="00766AE5">
        <w:rPr>
          <w:rFonts w:ascii="Arial" w:hAnsi="Arial" w:cs="Arial"/>
          <w:sz w:val="20"/>
          <w:szCs w:val="20"/>
          <w:lang w:val="en-GB"/>
        </w:rPr>
        <w:t xml:space="preserve">, T. A., </w:t>
      </w:r>
      <w:proofErr w:type="spellStart"/>
      <w:r w:rsidRPr="00766AE5">
        <w:rPr>
          <w:rFonts w:ascii="Arial" w:hAnsi="Arial" w:cs="Arial"/>
          <w:sz w:val="20"/>
          <w:szCs w:val="20"/>
          <w:lang w:val="en-GB"/>
        </w:rPr>
        <w:t>Tanih</w:t>
      </w:r>
      <w:proofErr w:type="spellEnd"/>
      <w:r w:rsidRPr="00766AE5">
        <w:rPr>
          <w:rFonts w:ascii="Arial" w:hAnsi="Arial" w:cs="Arial"/>
          <w:sz w:val="20"/>
          <w:szCs w:val="20"/>
          <w:lang w:val="en-GB"/>
        </w:rPr>
        <w:t xml:space="preserve">, N. F., &amp; </w:t>
      </w:r>
      <w:proofErr w:type="spellStart"/>
      <w:r w:rsidRPr="00766AE5">
        <w:rPr>
          <w:rFonts w:ascii="Arial" w:hAnsi="Arial" w:cs="Arial"/>
          <w:sz w:val="20"/>
          <w:szCs w:val="20"/>
          <w:lang w:val="en-GB"/>
        </w:rPr>
        <w:t>Djakissam</w:t>
      </w:r>
      <w:proofErr w:type="spellEnd"/>
      <w:r w:rsidRPr="00766AE5">
        <w:rPr>
          <w:rFonts w:ascii="Arial" w:hAnsi="Arial" w:cs="Arial"/>
          <w:sz w:val="20"/>
          <w:szCs w:val="20"/>
          <w:lang w:val="en-GB"/>
        </w:rPr>
        <w:t xml:space="preserve">, W. (2025). Malaria and salmonella typhi co-infection and antibiotic susceptibility in febrile patients at the </w:t>
      </w:r>
      <w:proofErr w:type="spellStart"/>
      <w:r w:rsidRPr="00766AE5">
        <w:rPr>
          <w:rFonts w:ascii="Arial" w:hAnsi="Arial" w:cs="Arial"/>
          <w:sz w:val="20"/>
          <w:szCs w:val="20"/>
          <w:lang w:val="en-GB"/>
        </w:rPr>
        <w:t>Buea</w:t>
      </w:r>
      <w:proofErr w:type="spellEnd"/>
      <w:r w:rsidRPr="00766AE5">
        <w:rPr>
          <w:rFonts w:ascii="Arial" w:hAnsi="Arial" w:cs="Arial"/>
          <w:sz w:val="20"/>
          <w:szCs w:val="20"/>
          <w:lang w:val="en-GB"/>
        </w:rPr>
        <w:t xml:space="preserve"> Regional Hospital. Diagnostic Microbiology and Infectious Disease.</w:t>
      </w:r>
      <w:r>
        <w:rPr>
          <w:rFonts w:ascii="Arial" w:hAnsi="Arial" w:cs="Arial"/>
          <w:sz w:val="20"/>
          <w:szCs w:val="20"/>
          <w:lang w:val="en-GB"/>
        </w:rPr>
        <w:t xml:space="preserve"> </w:t>
      </w:r>
      <w:r w:rsidRPr="00766AE5">
        <w:rPr>
          <w:rFonts w:ascii="Arial" w:hAnsi="Arial" w:cs="Arial"/>
          <w:sz w:val="20"/>
          <w:szCs w:val="20"/>
          <w:lang w:val="en-GB"/>
        </w:rPr>
        <w:t>https://doi.org/10.1016/j.diagmicrobio.2025.117135</w:t>
      </w:r>
      <w:r w:rsidR="009060E7" w:rsidRPr="009E4636">
        <w:rPr>
          <w:rFonts w:ascii="Arial" w:hAnsi="Arial" w:cs="Arial"/>
          <w:sz w:val="20"/>
          <w:szCs w:val="20"/>
          <w:lang w:val="en-GB"/>
        </w:rPr>
        <w:t>.</w:t>
      </w:r>
    </w:p>
    <w:p w14:paraId="03832D5B" w14:textId="77777777" w:rsidR="009060E7" w:rsidRDefault="009060E7" w:rsidP="009060E7">
      <w:pPr>
        <w:rPr>
          <w:sz w:val="20"/>
          <w:szCs w:val="20"/>
          <w:lang w:val="en-GB"/>
        </w:rPr>
      </w:pPr>
    </w:p>
    <w:p w14:paraId="00000033" w14:textId="77777777" w:rsidR="00DF4018" w:rsidRDefault="00DF4018">
      <w:pPr>
        <w:spacing w:before="280" w:line="240" w:lineRule="auto"/>
        <w:jc w:val="both"/>
        <w:rPr>
          <w:rFonts w:ascii="Arial" w:eastAsia="Arial" w:hAnsi="Arial" w:cs="Arial"/>
          <w:sz w:val="20"/>
          <w:szCs w:val="20"/>
        </w:rPr>
      </w:pPr>
    </w:p>
    <w:sectPr w:rsidR="00DF401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DE9D1" w14:textId="77777777" w:rsidR="00B720B0" w:rsidRDefault="00B720B0">
      <w:pPr>
        <w:spacing w:after="0" w:line="240" w:lineRule="auto"/>
      </w:pPr>
      <w:r>
        <w:separator/>
      </w:r>
    </w:p>
  </w:endnote>
  <w:endnote w:type="continuationSeparator" w:id="0">
    <w:p w14:paraId="6608D16D" w14:textId="77777777" w:rsidR="00B720B0" w:rsidRDefault="00B7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6B1DB14-79F5-465A-9F00-19B106869FFF}"/>
    <w:embedBold r:id="rId2" w:fontKey="{FF03F858-B4C9-408E-931C-A0A3EFAC0244}"/>
    <w:embedItalic r:id="rId3" w:fontKey="{8B9D66C2-A2CF-4D2D-A562-BBE6BC1A13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0AEECE2-E103-40A5-A0F3-D4ED386B2AA9}"/>
    <w:embedItalic r:id="rId5" w:fontKey="{E0BBBC72-4516-4BC4-BFFA-A6DAABEAD4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A7ED5FB-DD85-4FF3-B95E-FBAFE887E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7" w14:textId="77777777" w:rsidR="00DF4018" w:rsidRDefault="00DF401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A" w14:textId="77777777" w:rsidR="00DF4018" w:rsidRDefault="00DF401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B" w14:textId="77777777" w:rsidR="00DF4018" w:rsidRDefault="00DF401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E7FD2" w14:textId="77777777" w:rsidR="00B720B0" w:rsidRDefault="00B720B0">
      <w:pPr>
        <w:spacing w:after="0" w:line="240" w:lineRule="auto"/>
      </w:pPr>
      <w:r>
        <w:separator/>
      </w:r>
    </w:p>
  </w:footnote>
  <w:footnote w:type="continuationSeparator" w:id="0">
    <w:p w14:paraId="55B50561" w14:textId="77777777" w:rsidR="00B720B0" w:rsidRDefault="00B7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4" w14:textId="33080C95" w:rsidR="00DF4018" w:rsidRDefault="00B720B0">
    <w:pPr>
      <w:pBdr>
        <w:top w:val="nil"/>
        <w:left w:val="nil"/>
        <w:bottom w:val="nil"/>
        <w:right w:val="nil"/>
        <w:between w:val="nil"/>
      </w:pBdr>
      <w:tabs>
        <w:tab w:val="center" w:pos="4513"/>
        <w:tab w:val="right" w:pos="9026"/>
      </w:tabs>
      <w:spacing w:after="0" w:line="240" w:lineRule="auto"/>
      <w:rPr>
        <w:color w:val="000000"/>
      </w:rPr>
    </w:pPr>
    <w:r>
      <w:rPr>
        <w:noProof/>
      </w:rPr>
      <w:pict w14:anchorId="2FD90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6466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3E1C453B" w:rsidR="00DF4018" w:rsidRDefault="00B720B0">
    <w:pPr>
      <w:pBdr>
        <w:top w:val="nil"/>
        <w:left w:val="nil"/>
        <w:bottom w:val="nil"/>
        <w:right w:val="nil"/>
        <w:between w:val="nil"/>
      </w:pBdr>
      <w:tabs>
        <w:tab w:val="center" w:pos="4513"/>
        <w:tab w:val="right" w:pos="9026"/>
      </w:tabs>
      <w:spacing w:after="0" w:line="240" w:lineRule="auto"/>
      <w:rPr>
        <w:color w:val="000000"/>
      </w:rPr>
    </w:pPr>
    <w:r>
      <w:rPr>
        <w:noProof/>
      </w:rPr>
      <w:pict w14:anchorId="0E85C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6466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6" w14:textId="4FEC7BE2" w:rsidR="00DF4018" w:rsidRDefault="00B720B0">
    <w:pPr>
      <w:pBdr>
        <w:top w:val="nil"/>
        <w:left w:val="nil"/>
        <w:bottom w:val="nil"/>
        <w:right w:val="nil"/>
        <w:between w:val="nil"/>
      </w:pBdr>
      <w:tabs>
        <w:tab w:val="center" w:pos="4513"/>
        <w:tab w:val="right" w:pos="9026"/>
      </w:tabs>
      <w:spacing w:after="0" w:line="240" w:lineRule="auto"/>
      <w:rPr>
        <w:color w:val="000000"/>
      </w:rPr>
    </w:pPr>
    <w:r>
      <w:rPr>
        <w:noProof/>
      </w:rPr>
      <w:pict w14:anchorId="23F38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6466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35ACB"/>
    <w:multiLevelType w:val="hybridMultilevel"/>
    <w:tmpl w:val="AD226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18"/>
    <w:rsid w:val="00015924"/>
    <w:rsid w:val="000817FC"/>
    <w:rsid w:val="000E1748"/>
    <w:rsid w:val="001528DB"/>
    <w:rsid w:val="001820E4"/>
    <w:rsid w:val="00236643"/>
    <w:rsid w:val="003055EC"/>
    <w:rsid w:val="003360AA"/>
    <w:rsid w:val="003E1371"/>
    <w:rsid w:val="00411852"/>
    <w:rsid w:val="00413B1B"/>
    <w:rsid w:val="004226AF"/>
    <w:rsid w:val="00476B1E"/>
    <w:rsid w:val="00581B8C"/>
    <w:rsid w:val="006A38EC"/>
    <w:rsid w:val="006C6040"/>
    <w:rsid w:val="006F6764"/>
    <w:rsid w:val="00766AE5"/>
    <w:rsid w:val="00790D5A"/>
    <w:rsid w:val="007A3EB6"/>
    <w:rsid w:val="007B04AA"/>
    <w:rsid w:val="007D5B70"/>
    <w:rsid w:val="008574C0"/>
    <w:rsid w:val="00872A53"/>
    <w:rsid w:val="009060E7"/>
    <w:rsid w:val="009538C8"/>
    <w:rsid w:val="009D42AB"/>
    <w:rsid w:val="009E4636"/>
    <w:rsid w:val="00A0469E"/>
    <w:rsid w:val="00A12AD9"/>
    <w:rsid w:val="00A174E5"/>
    <w:rsid w:val="00A30015"/>
    <w:rsid w:val="00A555C4"/>
    <w:rsid w:val="00AD7D76"/>
    <w:rsid w:val="00AF31FE"/>
    <w:rsid w:val="00B720B0"/>
    <w:rsid w:val="00C976DD"/>
    <w:rsid w:val="00CA2E9D"/>
    <w:rsid w:val="00CD0D29"/>
    <w:rsid w:val="00CD1B7C"/>
    <w:rsid w:val="00CD418E"/>
    <w:rsid w:val="00D00396"/>
    <w:rsid w:val="00D01EE7"/>
    <w:rsid w:val="00D133AF"/>
    <w:rsid w:val="00D168CF"/>
    <w:rsid w:val="00D233D8"/>
    <w:rsid w:val="00D70808"/>
    <w:rsid w:val="00D96AA0"/>
    <w:rsid w:val="00DC5A8B"/>
    <w:rsid w:val="00DF4018"/>
    <w:rsid w:val="00E02965"/>
    <w:rsid w:val="00E16B53"/>
    <w:rsid w:val="00E32D7C"/>
    <w:rsid w:val="00E47401"/>
    <w:rsid w:val="00E5662C"/>
    <w:rsid w:val="00E6207A"/>
    <w:rsid w:val="00E63057"/>
    <w:rsid w:val="00EF2B47"/>
    <w:rsid w:val="00F12250"/>
    <w:rsid w:val="00FA4AD4"/>
    <w:rsid w:val="00FC53F1"/>
    <w:rsid w:val="00FD2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EEB4D7"/>
  <w15:docId w15:val="{4D381DA5-2931-41FD-9F4E-D53B502C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D418E"/>
    <w:rPr>
      <w:color w:val="0000FF" w:themeColor="hyperlink"/>
      <w:u w:val="single"/>
    </w:rPr>
  </w:style>
  <w:style w:type="character" w:customStyle="1" w:styleId="UnresolvedMention1">
    <w:name w:val="Unresolved Mention1"/>
    <w:basedOn w:val="DefaultParagraphFont"/>
    <w:uiPriority w:val="99"/>
    <w:semiHidden/>
    <w:unhideWhenUsed/>
    <w:rsid w:val="00CD418E"/>
    <w:rPr>
      <w:color w:val="605E5C"/>
      <w:shd w:val="clear" w:color="auto" w:fill="E1DFDD"/>
    </w:rPr>
  </w:style>
  <w:style w:type="character" w:styleId="Emphasis">
    <w:name w:val="Emphasis"/>
    <w:basedOn w:val="DefaultParagraphFont"/>
    <w:uiPriority w:val="20"/>
    <w:qFormat/>
    <w:rsid w:val="00A0469E"/>
    <w:rPr>
      <w:i/>
      <w:iCs/>
    </w:rPr>
  </w:style>
  <w:style w:type="paragraph" w:styleId="NormalWeb">
    <w:name w:val="Normal (Web)"/>
    <w:basedOn w:val="Normal"/>
    <w:uiPriority w:val="99"/>
    <w:semiHidden/>
    <w:unhideWhenUsed/>
    <w:rsid w:val="004118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1852"/>
    <w:rPr>
      <w:b/>
      <w:bCs/>
    </w:rPr>
  </w:style>
  <w:style w:type="paragraph" w:styleId="ListParagraph">
    <w:name w:val="List Paragraph"/>
    <w:basedOn w:val="Normal"/>
    <w:uiPriority w:val="34"/>
    <w:qFormat/>
    <w:rsid w:val="009E46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881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1016/B978-1-4160-4390-4.00069-2"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2902</Words>
  <Characters>16543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Ashalatha Nair</dc:creator>
  <cp:lastModifiedBy>Editor-1183</cp:lastModifiedBy>
  <cp:revision>4</cp:revision>
  <dcterms:created xsi:type="dcterms:W3CDTF">2025-12-01T04:56:00Z</dcterms:created>
  <dcterms:modified xsi:type="dcterms:W3CDTF">2025-12-03T12:24:00Z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6babd4ba-151d-4b3e-af45-c626468b6c0b</vt:lpwstr>
  </property>
</Properties>
</file>