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A1D2A0" w14:textId="7F515924" w:rsidR="00754C9A" w:rsidRPr="002F3B17" w:rsidRDefault="002F3B17" w:rsidP="002F3B17">
      <w:pPr>
        <w:pStyle w:val="Title"/>
        <w:spacing w:after="0" w:line="480" w:lineRule="auto"/>
        <w:jc w:val="left"/>
        <w:rPr>
          <w:rFonts w:ascii="Arial" w:hAnsi="Arial" w:cs="Arial"/>
          <w:sz w:val="28"/>
          <w:szCs w:val="16"/>
          <w:u w:val="single"/>
        </w:rPr>
      </w:pPr>
      <w:r w:rsidRPr="002F3B17">
        <w:rPr>
          <w:rFonts w:ascii="Arial" w:hAnsi="Arial" w:cs="Arial"/>
          <w:sz w:val="28"/>
          <w:szCs w:val="16"/>
          <w:u w:val="single"/>
        </w:rPr>
        <w:t>Original Research Article</w:t>
      </w:r>
    </w:p>
    <w:p w14:paraId="2D2D67B7" w14:textId="0E2F2AF4" w:rsidR="00A258C3" w:rsidRPr="003A41AF" w:rsidRDefault="003A41AF" w:rsidP="003A41AF">
      <w:pPr>
        <w:pStyle w:val="Author"/>
        <w:spacing w:line="480" w:lineRule="auto"/>
        <w:rPr>
          <w:rFonts w:ascii="Arial" w:hAnsi="Arial" w:cs="Arial"/>
          <w:bCs/>
          <w:iCs/>
          <w:kern w:val="28"/>
          <w:sz w:val="28"/>
          <w:szCs w:val="16"/>
        </w:rPr>
      </w:pPr>
      <w:proofErr w:type="spellStart"/>
      <w:r w:rsidRPr="003A41AF">
        <w:rPr>
          <w:rFonts w:ascii="Arial" w:hAnsi="Arial" w:cs="Arial"/>
          <w:bCs/>
          <w:iCs/>
          <w:kern w:val="28"/>
          <w:sz w:val="28"/>
          <w:szCs w:val="16"/>
        </w:rPr>
        <w:t>Genoprotective</w:t>
      </w:r>
      <w:proofErr w:type="spellEnd"/>
      <w:r w:rsidRPr="003A41AF">
        <w:rPr>
          <w:rFonts w:ascii="Arial" w:hAnsi="Arial" w:cs="Arial"/>
          <w:bCs/>
          <w:iCs/>
          <w:kern w:val="28"/>
          <w:sz w:val="28"/>
          <w:szCs w:val="16"/>
        </w:rPr>
        <w:t xml:space="preserve"> Efficacy of </w:t>
      </w:r>
      <w:proofErr w:type="spellStart"/>
      <w:r w:rsidRPr="0086073B">
        <w:rPr>
          <w:rFonts w:ascii="Arial" w:hAnsi="Arial" w:cs="Arial"/>
          <w:bCs/>
          <w:i/>
          <w:iCs/>
          <w:kern w:val="28"/>
          <w:sz w:val="28"/>
          <w:szCs w:val="16"/>
        </w:rPr>
        <w:t>Momordica</w:t>
      </w:r>
      <w:proofErr w:type="spellEnd"/>
      <w:r w:rsidRPr="0086073B">
        <w:rPr>
          <w:rFonts w:ascii="Arial" w:hAnsi="Arial" w:cs="Arial"/>
          <w:bCs/>
          <w:i/>
          <w:iCs/>
          <w:kern w:val="28"/>
          <w:sz w:val="28"/>
          <w:szCs w:val="16"/>
        </w:rPr>
        <w:t xml:space="preserve"> </w:t>
      </w:r>
      <w:proofErr w:type="spellStart"/>
      <w:r w:rsidRPr="0086073B">
        <w:rPr>
          <w:rFonts w:ascii="Arial" w:hAnsi="Arial" w:cs="Arial"/>
          <w:bCs/>
          <w:i/>
          <w:iCs/>
          <w:kern w:val="28"/>
          <w:sz w:val="28"/>
          <w:szCs w:val="16"/>
        </w:rPr>
        <w:t>dioica</w:t>
      </w:r>
      <w:proofErr w:type="spellEnd"/>
      <w:r w:rsidRPr="003A41AF">
        <w:rPr>
          <w:rFonts w:ascii="Arial" w:hAnsi="Arial" w:cs="Arial"/>
          <w:bCs/>
          <w:iCs/>
          <w:kern w:val="28"/>
          <w:sz w:val="28"/>
          <w:szCs w:val="16"/>
        </w:rPr>
        <w:t xml:space="preserve"> vs. </w:t>
      </w:r>
      <w:proofErr w:type="spellStart"/>
      <w:r w:rsidRPr="0086073B">
        <w:rPr>
          <w:rFonts w:ascii="Arial" w:hAnsi="Arial" w:cs="Arial"/>
          <w:bCs/>
          <w:i/>
          <w:iCs/>
          <w:kern w:val="28"/>
          <w:sz w:val="28"/>
          <w:szCs w:val="16"/>
        </w:rPr>
        <w:t>Momordica</w:t>
      </w:r>
      <w:proofErr w:type="spellEnd"/>
      <w:r w:rsidRPr="0086073B">
        <w:rPr>
          <w:rFonts w:ascii="Arial" w:hAnsi="Arial" w:cs="Arial"/>
          <w:bCs/>
          <w:i/>
          <w:iCs/>
          <w:kern w:val="28"/>
          <w:sz w:val="28"/>
          <w:szCs w:val="16"/>
        </w:rPr>
        <w:t xml:space="preserve"> </w:t>
      </w:r>
      <w:proofErr w:type="spellStart"/>
      <w:r w:rsidRPr="0086073B">
        <w:rPr>
          <w:rFonts w:ascii="Arial" w:hAnsi="Arial" w:cs="Arial"/>
          <w:bCs/>
          <w:i/>
          <w:iCs/>
          <w:kern w:val="28"/>
          <w:sz w:val="28"/>
          <w:szCs w:val="16"/>
        </w:rPr>
        <w:t>charantia</w:t>
      </w:r>
      <w:proofErr w:type="spellEnd"/>
      <w:r w:rsidRPr="003A41AF">
        <w:rPr>
          <w:rFonts w:ascii="Arial" w:hAnsi="Arial" w:cs="Arial"/>
          <w:bCs/>
          <w:iCs/>
          <w:kern w:val="28"/>
          <w:sz w:val="28"/>
          <w:szCs w:val="16"/>
        </w:rPr>
        <w:t xml:space="preserve">: Evidence for the Assessment of DNA Protective Potential in </w:t>
      </w:r>
      <w:bookmarkStart w:id="0" w:name="_GoBack"/>
      <w:proofErr w:type="spellStart"/>
      <w:r w:rsidRPr="002C59BE">
        <w:rPr>
          <w:rFonts w:ascii="Arial" w:hAnsi="Arial" w:cs="Arial"/>
          <w:bCs/>
          <w:i/>
          <w:iCs/>
          <w:kern w:val="28"/>
          <w:sz w:val="28"/>
          <w:szCs w:val="16"/>
        </w:rPr>
        <w:t>Momordica</w:t>
      </w:r>
      <w:bookmarkEnd w:id="0"/>
      <w:proofErr w:type="spellEnd"/>
      <w:r w:rsidRPr="003A41AF">
        <w:rPr>
          <w:rFonts w:ascii="Arial" w:hAnsi="Arial" w:cs="Arial"/>
          <w:bCs/>
          <w:iCs/>
          <w:kern w:val="28"/>
          <w:sz w:val="28"/>
          <w:szCs w:val="16"/>
        </w:rPr>
        <w:t xml:space="preserve"> Species</w:t>
      </w:r>
    </w:p>
    <w:p w14:paraId="5E7E6352" w14:textId="77777777" w:rsidR="00B01FCD" w:rsidRPr="00FB3A86" w:rsidRDefault="00932FBE" w:rsidP="00B43865">
      <w:pPr>
        <w:pStyle w:val="Copyright"/>
        <w:spacing w:after="0" w:line="480" w:lineRule="auto"/>
        <w:jc w:val="both"/>
        <w:rPr>
          <w:rFonts w:ascii="Arial" w:hAnsi="Arial" w:cs="Arial"/>
        </w:rPr>
        <w:sectPr w:rsidR="00B01FCD" w:rsidRPr="00FB3A86" w:rsidSect="0039619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7BEF5A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1B51C0E" w14:textId="77777777" w:rsidR="00B01FCD" w:rsidRDefault="00B01FCD" w:rsidP="00B43865">
      <w:pPr>
        <w:pStyle w:val="AbstHead"/>
        <w:spacing w:after="0" w:line="480" w:lineRule="auto"/>
        <w:jc w:val="both"/>
        <w:rPr>
          <w:rFonts w:ascii="Arial" w:hAnsi="Arial" w:cs="Arial"/>
        </w:rPr>
      </w:pPr>
      <w:r w:rsidRPr="00FB3A86">
        <w:rPr>
          <w:rFonts w:ascii="Arial" w:hAnsi="Arial" w:cs="Arial"/>
        </w:rPr>
        <w:lastRenderedPageBreak/>
        <w:t>ABSTRACT</w:t>
      </w:r>
    </w:p>
    <w:p w14:paraId="0C0201B5" w14:textId="77777777" w:rsidR="00790ADA" w:rsidRPr="00FB3A86" w:rsidRDefault="00790ADA" w:rsidP="00B43865">
      <w:pPr>
        <w:pStyle w:val="AbstHead"/>
        <w:spacing w:after="0" w:line="480"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B59FA45" w14:textId="77777777" w:rsidTr="001E44FE">
        <w:tc>
          <w:tcPr>
            <w:tcW w:w="9576" w:type="dxa"/>
            <w:shd w:val="clear" w:color="auto" w:fill="F2F2F2"/>
          </w:tcPr>
          <w:p w14:paraId="44082E35" w14:textId="77777777" w:rsidR="00E3114E" w:rsidRDefault="00E3114E" w:rsidP="00B43865">
            <w:pPr>
              <w:pStyle w:val="Body"/>
              <w:spacing w:after="0" w:line="480" w:lineRule="auto"/>
              <w:rPr>
                <w:rFonts w:ascii="Arial" w:eastAsia="Calibri" w:hAnsi="Arial" w:cs="Arial"/>
                <w:b/>
                <w:szCs w:val="22"/>
              </w:rPr>
            </w:pPr>
          </w:p>
          <w:p w14:paraId="08E17C9A" w14:textId="77777777" w:rsidR="00DB1F40" w:rsidRPr="00BA1B01" w:rsidRDefault="00BA1B01" w:rsidP="00B43865">
            <w:pPr>
              <w:pStyle w:val="Body"/>
              <w:spacing w:after="0" w:line="480" w:lineRule="auto"/>
              <w:rPr>
                <w:rFonts w:ascii="Arial" w:eastAsia="Calibri" w:hAnsi="Arial" w:cs="Arial"/>
                <w:szCs w:val="22"/>
              </w:rPr>
            </w:pPr>
            <w:r w:rsidRPr="00BA1B01">
              <w:rPr>
                <w:rFonts w:ascii="Arial" w:eastAsia="Calibri" w:hAnsi="Arial" w:cs="Arial"/>
                <w:b/>
                <w:szCs w:val="22"/>
              </w:rPr>
              <w:t xml:space="preserve">Aims: </w:t>
            </w:r>
            <w:r w:rsidR="00DB1F40" w:rsidRPr="00DB1F40">
              <w:rPr>
                <w:rFonts w:ascii="Arial" w:eastAsia="Calibri" w:hAnsi="Arial" w:cs="Arial"/>
                <w:szCs w:val="22"/>
              </w:rPr>
              <w:t xml:space="preserve">To conduct a head-to-head comparative analysis of the phytochemical profiles and functional bioactivities, specifically antioxidant and DNA protective potential, of methanolic extracts from </w:t>
            </w:r>
            <w:proofErr w:type="spellStart"/>
            <w:r w:rsidR="00DB1F40" w:rsidRPr="00AD2CD1">
              <w:rPr>
                <w:rFonts w:ascii="Arial" w:eastAsia="Calibri" w:hAnsi="Arial" w:cs="Arial"/>
                <w:i/>
                <w:szCs w:val="22"/>
              </w:rPr>
              <w:t>Momordica</w:t>
            </w:r>
            <w:proofErr w:type="spellEnd"/>
            <w:r w:rsidR="00DB1F40" w:rsidRPr="00AD2CD1">
              <w:rPr>
                <w:rFonts w:ascii="Arial" w:eastAsia="Calibri" w:hAnsi="Arial" w:cs="Arial"/>
                <w:i/>
                <w:szCs w:val="22"/>
              </w:rPr>
              <w:t xml:space="preserve"> </w:t>
            </w:r>
            <w:proofErr w:type="spellStart"/>
            <w:r w:rsidR="00DB1F40" w:rsidRPr="00AD2CD1">
              <w:rPr>
                <w:rFonts w:ascii="Arial" w:eastAsia="Calibri" w:hAnsi="Arial" w:cs="Arial"/>
                <w:i/>
                <w:szCs w:val="22"/>
              </w:rPr>
              <w:t>charantia</w:t>
            </w:r>
            <w:proofErr w:type="spellEnd"/>
            <w:r w:rsidR="00DB1F40" w:rsidRPr="00DB1F40">
              <w:rPr>
                <w:rFonts w:ascii="Arial" w:eastAsia="Calibri" w:hAnsi="Arial" w:cs="Arial"/>
                <w:szCs w:val="22"/>
              </w:rPr>
              <w:t xml:space="preserve"> (Karela) and the underutilized </w:t>
            </w:r>
            <w:r w:rsidR="00DB1F40" w:rsidRPr="00AD2CD1">
              <w:rPr>
                <w:rFonts w:ascii="Arial" w:eastAsia="Calibri" w:hAnsi="Arial" w:cs="Arial"/>
                <w:i/>
                <w:szCs w:val="22"/>
              </w:rPr>
              <w:t>Momordica dioica</w:t>
            </w:r>
            <w:r w:rsidR="00DB1F40" w:rsidRPr="00DB1F40">
              <w:rPr>
                <w:rFonts w:ascii="Arial" w:eastAsia="Calibri" w:hAnsi="Arial" w:cs="Arial"/>
                <w:szCs w:val="22"/>
              </w:rPr>
              <w:t xml:space="preserve"> (Kakora) to validate their use as natural chemopreventive agents.</w:t>
            </w:r>
          </w:p>
          <w:p w14:paraId="4D75CF26" w14:textId="77777777" w:rsidR="00BA1B01" w:rsidRPr="00BA1B01" w:rsidRDefault="00BA1B01" w:rsidP="00B43865">
            <w:pPr>
              <w:pStyle w:val="Body"/>
              <w:spacing w:after="0" w:line="480" w:lineRule="auto"/>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813C0F" w:rsidRPr="00813C0F">
              <w:rPr>
                <w:rFonts w:ascii="Arial" w:eastAsia="Calibri" w:hAnsi="Arial" w:cs="Arial"/>
                <w:szCs w:val="22"/>
              </w:rPr>
              <w:t xml:space="preserve">Comparative </w:t>
            </w:r>
            <w:r w:rsidR="00813C0F" w:rsidRPr="00813C0F">
              <w:rPr>
                <w:rFonts w:ascii="Arial" w:eastAsia="Calibri" w:hAnsi="Arial" w:cs="Arial"/>
                <w:i/>
                <w:szCs w:val="22"/>
              </w:rPr>
              <w:t>in vitro</w:t>
            </w:r>
            <w:r w:rsidR="00813C0F" w:rsidRPr="00813C0F">
              <w:rPr>
                <w:rFonts w:ascii="Arial" w:eastAsia="Calibri" w:hAnsi="Arial" w:cs="Arial"/>
                <w:szCs w:val="22"/>
              </w:rPr>
              <w:t xml:space="preserve"> phytochemical and bioactivity analysis.</w:t>
            </w:r>
          </w:p>
          <w:p w14:paraId="3B98CF47" w14:textId="77777777" w:rsidR="00BA1B01" w:rsidRPr="00BA1B01" w:rsidRDefault="00BA1B01" w:rsidP="00B43865">
            <w:pPr>
              <w:pStyle w:val="Body"/>
              <w:spacing w:after="0" w:line="480" w:lineRule="auto"/>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74561A" w:rsidRPr="0074561A">
              <w:rPr>
                <w:rFonts w:ascii="Arial" w:eastAsia="Calibri" w:hAnsi="Arial" w:cs="Arial"/>
                <w:szCs w:val="22"/>
              </w:rPr>
              <w:t>Institute of Innovative Learning and Research Academy, Indore, Madhya Pradesh, India, between October 2025 and November 2025.</w:t>
            </w:r>
          </w:p>
          <w:p w14:paraId="7054B4E6" w14:textId="77777777" w:rsidR="00BA1B01" w:rsidRPr="00BA1B01" w:rsidRDefault="00BA1B01" w:rsidP="00B43865">
            <w:pPr>
              <w:pStyle w:val="Body"/>
              <w:spacing w:after="0" w:line="480" w:lineRule="auto"/>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FA287C" w:rsidRPr="00FA287C">
              <w:rPr>
                <w:rFonts w:ascii="Arial" w:eastAsia="Calibri" w:hAnsi="Arial" w:cs="Arial"/>
                <w:szCs w:val="22"/>
              </w:rPr>
              <w:t xml:space="preserve">Methanolic extracts of </w:t>
            </w:r>
            <w:r w:rsidR="00FA287C" w:rsidRPr="00FA287C">
              <w:rPr>
                <w:rFonts w:ascii="Arial" w:eastAsia="Calibri" w:hAnsi="Arial" w:cs="Arial"/>
                <w:i/>
                <w:szCs w:val="22"/>
              </w:rPr>
              <w:t xml:space="preserve">M. </w:t>
            </w:r>
            <w:proofErr w:type="spellStart"/>
            <w:r w:rsidR="00FA287C" w:rsidRPr="00FA287C">
              <w:rPr>
                <w:rFonts w:ascii="Arial" w:eastAsia="Calibri" w:hAnsi="Arial" w:cs="Arial"/>
                <w:i/>
                <w:szCs w:val="22"/>
              </w:rPr>
              <w:t>charantia</w:t>
            </w:r>
            <w:proofErr w:type="spellEnd"/>
            <w:r w:rsidR="00FA287C" w:rsidRPr="00FA287C">
              <w:rPr>
                <w:rFonts w:ascii="Arial" w:eastAsia="Calibri" w:hAnsi="Arial" w:cs="Arial"/>
                <w:szCs w:val="22"/>
              </w:rPr>
              <w:t xml:space="preserve"> and </w:t>
            </w:r>
            <w:r w:rsidR="00FA287C" w:rsidRPr="00FA287C">
              <w:rPr>
                <w:rFonts w:ascii="Arial" w:eastAsia="Calibri" w:hAnsi="Arial" w:cs="Arial"/>
                <w:i/>
                <w:szCs w:val="22"/>
              </w:rPr>
              <w:t>M. dioica</w:t>
            </w:r>
            <w:r w:rsidR="00FA287C" w:rsidRPr="00FA287C">
              <w:rPr>
                <w:rFonts w:ascii="Arial" w:eastAsia="Calibri" w:hAnsi="Arial" w:cs="Arial"/>
                <w:szCs w:val="22"/>
              </w:rPr>
              <w:t xml:space="preserve"> were prepared. Qualitative screening was performed for major secondary metabolites (e.g., flavonoids, terpenoids). Quantitative analyses were conducted for Total Phenolic Content (TPC), Total Flavonoid Content (TFC), Total Alkaloid Content (TAC), T</w:t>
            </w:r>
            <w:r w:rsidR="00366336">
              <w:rPr>
                <w:rFonts w:ascii="Arial" w:eastAsia="Calibri" w:hAnsi="Arial" w:cs="Arial"/>
                <w:szCs w:val="22"/>
              </w:rPr>
              <w:t>otal Antioxidant Capacity (TAC</w:t>
            </w:r>
            <w:r w:rsidR="00FA287C" w:rsidRPr="00FA287C">
              <w:rPr>
                <w:rFonts w:ascii="Arial" w:eastAsia="Calibri" w:hAnsi="Arial" w:cs="Arial"/>
                <w:szCs w:val="22"/>
              </w:rPr>
              <w:t>), and Ferric Reducing Antioxidant Power (FRAP). Functional bioactivity was assessed using anti-hemolytic activity and a DNA protection assay against Fenton’s reagent-induced oxidative stress.</w:t>
            </w:r>
          </w:p>
          <w:p w14:paraId="7CACE126" w14:textId="77777777" w:rsidR="00625AE2" w:rsidRPr="007D3677" w:rsidRDefault="00BA1B01" w:rsidP="00B43865">
            <w:pPr>
              <w:pStyle w:val="Body"/>
              <w:spacing w:after="0" w:line="480" w:lineRule="auto"/>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625AE2" w:rsidRPr="00625AE2">
              <w:rPr>
                <w:rFonts w:ascii="Arial" w:eastAsia="Calibri" w:hAnsi="Arial" w:cs="Arial"/>
                <w:bCs/>
                <w:szCs w:val="22"/>
              </w:rPr>
              <w:t>Qualitative screening confirmed the presence of major secondary metabolites in both extracts. Quantitative analysis revealed distinct chemotypes: Karela extract showed a significantly h</w:t>
            </w:r>
            <w:r w:rsidR="00625AE2">
              <w:rPr>
                <w:rFonts w:ascii="Arial" w:eastAsia="Calibri" w:hAnsi="Arial" w:cs="Arial"/>
                <w:bCs/>
                <w:szCs w:val="22"/>
              </w:rPr>
              <w:t>igher Total Flavonoid Content (</w:t>
            </w:r>
            <w:r w:rsidR="00625AE2" w:rsidRPr="00625AE2">
              <w:rPr>
                <w:rFonts w:ascii="Arial" w:eastAsia="Calibri" w:hAnsi="Arial" w:cs="Arial"/>
                <w:bCs/>
                <w:szCs w:val="22"/>
              </w:rPr>
              <w:t xml:space="preserve">463.33 </w:t>
            </w:r>
            <w:r w:rsidR="00BA74B8">
              <w:rPr>
                <w:rFonts w:ascii="Arial" w:eastAsia="Calibri" w:hAnsi="Arial" w:cs="Arial"/>
                <w:i/>
                <w:szCs w:val="22"/>
              </w:rPr>
              <w:t>±</w:t>
            </w:r>
            <w:r w:rsidR="00625AE2">
              <w:rPr>
                <w:rFonts w:ascii="Arial" w:eastAsia="Calibri" w:hAnsi="Arial" w:cs="Arial"/>
                <w:i/>
                <w:szCs w:val="22"/>
              </w:rPr>
              <w:t xml:space="preserve"> </w:t>
            </w:r>
            <w:r w:rsidR="00625AE2">
              <w:rPr>
                <w:rFonts w:ascii="Arial" w:eastAsia="Calibri" w:hAnsi="Arial" w:cs="Arial"/>
                <w:bCs/>
                <w:szCs w:val="22"/>
              </w:rPr>
              <w:t>57.74</w:t>
            </w:r>
            <w:r w:rsidR="00625AE2" w:rsidRPr="00625AE2">
              <w:rPr>
                <w:rFonts w:ascii="Arial" w:eastAsia="Calibri" w:hAnsi="Arial" w:cs="Arial"/>
                <w:bCs/>
                <w:szCs w:val="22"/>
              </w:rPr>
              <w:t xml:space="preserve"> mg QE/g) and Ferr</w:t>
            </w:r>
            <w:r w:rsidR="00625AE2">
              <w:rPr>
                <w:rFonts w:ascii="Arial" w:eastAsia="Calibri" w:hAnsi="Arial" w:cs="Arial"/>
                <w:bCs/>
                <w:szCs w:val="22"/>
              </w:rPr>
              <w:t>ic Reducing Antioxidant Power (</w:t>
            </w:r>
            <w:r w:rsidR="00625AE2" w:rsidRPr="00625AE2">
              <w:rPr>
                <w:rFonts w:ascii="Arial" w:eastAsia="Calibri" w:hAnsi="Arial" w:cs="Arial"/>
                <w:bCs/>
                <w:szCs w:val="22"/>
              </w:rPr>
              <w:t xml:space="preserve">1196.0 </w:t>
            </w:r>
            <w:r w:rsidR="00BA74B8">
              <w:rPr>
                <w:rFonts w:ascii="Arial" w:eastAsia="Calibri" w:hAnsi="Arial" w:cs="Arial"/>
                <w:i/>
                <w:szCs w:val="22"/>
              </w:rPr>
              <w:t>±</w:t>
            </w:r>
            <w:r w:rsidR="00625AE2">
              <w:rPr>
                <w:rFonts w:ascii="Arial" w:eastAsia="Calibri" w:hAnsi="Arial" w:cs="Arial"/>
                <w:i/>
                <w:szCs w:val="22"/>
              </w:rPr>
              <w:t xml:space="preserve"> </w:t>
            </w:r>
            <w:r w:rsidR="00625AE2">
              <w:rPr>
                <w:rFonts w:ascii="Arial" w:eastAsia="Calibri" w:hAnsi="Arial" w:cs="Arial"/>
                <w:bCs/>
                <w:szCs w:val="22"/>
              </w:rPr>
              <w:t>17.2</w:t>
            </w:r>
            <w:r w:rsidR="00625AE2" w:rsidRPr="00625AE2">
              <w:rPr>
                <w:rFonts w:ascii="Arial" w:eastAsia="Calibri" w:hAnsi="Arial" w:cs="Arial"/>
                <w:bCs/>
                <w:szCs w:val="22"/>
              </w:rPr>
              <w:t xml:space="preserve"> mg AAE/g). Conversely, Kakora extract demonstrated significantly su</w:t>
            </w:r>
            <w:r w:rsidR="00625AE2">
              <w:rPr>
                <w:rFonts w:ascii="Arial" w:eastAsia="Calibri" w:hAnsi="Arial" w:cs="Arial"/>
                <w:bCs/>
                <w:szCs w:val="22"/>
              </w:rPr>
              <w:t>perior Total Phenolic Content (</w:t>
            </w:r>
            <w:r w:rsidR="00625AE2" w:rsidRPr="00625AE2">
              <w:rPr>
                <w:rFonts w:ascii="Arial" w:eastAsia="Calibri" w:hAnsi="Arial" w:cs="Arial"/>
                <w:bCs/>
                <w:szCs w:val="22"/>
              </w:rPr>
              <w:t xml:space="preserve">0.739 </w:t>
            </w:r>
            <w:r w:rsidR="00BA74B8">
              <w:rPr>
                <w:rFonts w:ascii="Arial" w:eastAsia="Calibri" w:hAnsi="Arial" w:cs="Arial"/>
                <w:i/>
                <w:szCs w:val="22"/>
              </w:rPr>
              <w:t>±</w:t>
            </w:r>
            <w:r w:rsidR="00625AE2">
              <w:rPr>
                <w:rFonts w:ascii="Arial" w:eastAsia="Calibri" w:hAnsi="Arial" w:cs="Arial"/>
                <w:bCs/>
                <w:szCs w:val="22"/>
              </w:rPr>
              <w:t xml:space="preserve"> </w:t>
            </w:r>
            <w:r w:rsidR="00625AE2">
              <w:rPr>
                <w:rFonts w:ascii="Arial" w:eastAsia="Calibri" w:hAnsi="Arial" w:cs="Arial"/>
                <w:bCs/>
                <w:szCs w:val="22"/>
              </w:rPr>
              <w:lastRenderedPageBreak/>
              <w:t>0.006</w:t>
            </w:r>
            <w:r w:rsidR="00625AE2" w:rsidRPr="00625AE2">
              <w:rPr>
                <w:rFonts w:ascii="Arial" w:eastAsia="Calibri" w:hAnsi="Arial" w:cs="Arial"/>
                <w:bCs/>
                <w:szCs w:val="22"/>
              </w:rPr>
              <w:t xml:space="preserve"> mg GAE/g), Total Alkaloid Content, and Total Antioxidant Capacity. Both extracts conferred cellular protection in the anti-hemolytic assay. Crucially, in the DNA protection assay, Kakora provided mild but detectable preservation of genomic integrity, while Karela offered negligible protection against Fenton’s reagent-induced damage.</w:t>
            </w:r>
          </w:p>
          <w:p w14:paraId="0F4669EA" w14:textId="77777777" w:rsidR="00505F06" w:rsidRPr="00BA1B01" w:rsidRDefault="00BA1B01" w:rsidP="00B43865">
            <w:pPr>
              <w:pStyle w:val="Body"/>
              <w:spacing w:after="0" w:line="480" w:lineRule="auto"/>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06331D" w:rsidRPr="0006331D">
              <w:rPr>
                <w:rFonts w:ascii="Arial" w:eastAsia="Calibri" w:hAnsi="Arial" w:cs="Arial"/>
                <w:szCs w:val="22"/>
              </w:rPr>
              <w:t xml:space="preserve">The superior DNA protective efficacy of </w:t>
            </w:r>
            <w:r w:rsidR="0006331D" w:rsidRPr="00534AF1">
              <w:rPr>
                <w:rFonts w:ascii="Arial" w:eastAsia="Calibri" w:hAnsi="Arial" w:cs="Arial"/>
                <w:i/>
                <w:szCs w:val="22"/>
              </w:rPr>
              <w:t>M. dioica</w:t>
            </w:r>
            <w:r w:rsidR="0006331D" w:rsidRPr="0006331D">
              <w:rPr>
                <w:rFonts w:ascii="Arial" w:eastAsia="Calibri" w:hAnsi="Arial" w:cs="Arial"/>
                <w:szCs w:val="22"/>
              </w:rPr>
              <w:t xml:space="preserve"> directly correlates with a higher potential for cancer chemoprevention due to its enhanced ability to scavenge reactive oxygen species and prevent DNA strand breaks. This finding validates </w:t>
            </w:r>
            <w:r w:rsidR="0006331D" w:rsidRPr="00534AF1">
              <w:rPr>
                <w:rFonts w:ascii="Arial" w:eastAsia="Calibri" w:hAnsi="Arial" w:cs="Arial"/>
                <w:i/>
                <w:szCs w:val="22"/>
              </w:rPr>
              <w:t>M. dioica</w:t>
            </w:r>
            <w:r w:rsidR="0006331D" w:rsidRPr="0006331D">
              <w:rPr>
                <w:rFonts w:ascii="Arial" w:eastAsia="Calibri" w:hAnsi="Arial" w:cs="Arial"/>
                <w:szCs w:val="22"/>
              </w:rPr>
              <w:t xml:space="preserve"> as a potent resource warranting urgent research into the isolation and structural elucidation of its specific active compounds.</w:t>
            </w:r>
          </w:p>
        </w:tc>
      </w:tr>
    </w:tbl>
    <w:p w14:paraId="65E2EEBF" w14:textId="77777777" w:rsidR="00636EB2" w:rsidRDefault="00636EB2" w:rsidP="00B43865">
      <w:pPr>
        <w:pStyle w:val="Body"/>
        <w:spacing w:after="0" w:line="480" w:lineRule="auto"/>
        <w:rPr>
          <w:rFonts w:ascii="Arial" w:hAnsi="Arial" w:cs="Arial"/>
          <w:i/>
        </w:rPr>
      </w:pPr>
    </w:p>
    <w:p w14:paraId="4DEE12BE" w14:textId="77777777" w:rsidR="00A24E7E" w:rsidRDefault="00A24E7E" w:rsidP="00B43865">
      <w:pPr>
        <w:pStyle w:val="Body"/>
        <w:spacing w:after="0" w:line="480" w:lineRule="auto"/>
        <w:rPr>
          <w:rFonts w:ascii="Arial" w:hAnsi="Arial" w:cs="Arial"/>
          <w:i/>
        </w:rPr>
      </w:pPr>
      <w:r>
        <w:rPr>
          <w:rFonts w:ascii="Arial" w:hAnsi="Arial" w:cs="Arial"/>
          <w:i/>
        </w:rPr>
        <w:t xml:space="preserve">Keywords: </w:t>
      </w:r>
      <w:r w:rsidR="00140248" w:rsidRPr="00140248">
        <w:rPr>
          <w:rFonts w:ascii="Arial" w:hAnsi="Arial" w:cs="Arial"/>
          <w:i/>
        </w:rPr>
        <w:t>Momordica dioica, DNA Protection, Chemoprevention, Phytochemicals.</w:t>
      </w:r>
    </w:p>
    <w:p w14:paraId="4151D871" w14:textId="77777777" w:rsidR="00D920B6" w:rsidRDefault="00D920B6" w:rsidP="00B43865">
      <w:pPr>
        <w:pStyle w:val="Body"/>
        <w:spacing w:after="0" w:line="480" w:lineRule="auto"/>
        <w:rPr>
          <w:rFonts w:ascii="Arial" w:hAnsi="Arial" w:cs="Arial"/>
          <w:i/>
        </w:rPr>
      </w:pPr>
    </w:p>
    <w:p w14:paraId="7BE94395" w14:textId="77777777" w:rsidR="0024282C" w:rsidRDefault="00D920B6" w:rsidP="00B43865">
      <w:pPr>
        <w:pStyle w:val="Body"/>
        <w:spacing w:after="0" w:line="480" w:lineRule="auto"/>
        <w:rPr>
          <w:rFonts w:ascii="Arial" w:hAnsi="Arial" w:cs="Arial"/>
          <w:b/>
        </w:rPr>
      </w:pPr>
      <w:r w:rsidRPr="00FB5454">
        <w:rPr>
          <w:rFonts w:ascii="Arial" w:hAnsi="Arial" w:cs="Arial"/>
          <w:b/>
        </w:rPr>
        <w:t>ABBREVIATIONS</w:t>
      </w:r>
    </w:p>
    <w:p w14:paraId="3ED2B7D8" w14:textId="77777777" w:rsidR="00847D17" w:rsidRPr="00847D17" w:rsidRDefault="00847D17" w:rsidP="00B43865">
      <w:pPr>
        <w:pStyle w:val="Body"/>
        <w:spacing w:line="480" w:lineRule="auto"/>
        <w:rPr>
          <w:rFonts w:ascii="Arial" w:hAnsi="Arial" w:cs="Arial"/>
        </w:rPr>
      </w:pPr>
      <w:r w:rsidRPr="00847D17">
        <w:rPr>
          <w:rFonts w:ascii="Arial" w:hAnsi="Arial" w:cs="Arial"/>
        </w:rPr>
        <w:t>TPC: Total Phenolic Content</w:t>
      </w:r>
    </w:p>
    <w:p w14:paraId="34E3B81B" w14:textId="77777777" w:rsidR="00847D17" w:rsidRPr="00847D17" w:rsidRDefault="00847D17" w:rsidP="00B43865">
      <w:pPr>
        <w:pStyle w:val="Body"/>
        <w:spacing w:line="480" w:lineRule="auto"/>
        <w:rPr>
          <w:rFonts w:ascii="Arial" w:hAnsi="Arial" w:cs="Arial"/>
        </w:rPr>
      </w:pPr>
      <w:r w:rsidRPr="00847D17">
        <w:rPr>
          <w:rFonts w:ascii="Arial" w:hAnsi="Arial" w:cs="Arial"/>
        </w:rPr>
        <w:t>TFC: Total Flavonoid Content</w:t>
      </w:r>
    </w:p>
    <w:p w14:paraId="1F1AA719" w14:textId="77777777" w:rsidR="00847D17" w:rsidRPr="00847D17" w:rsidRDefault="00847D17" w:rsidP="00B43865">
      <w:pPr>
        <w:pStyle w:val="Body"/>
        <w:spacing w:line="480" w:lineRule="auto"/>
        <w:rPr>
          <w:rFonts w:ascii="Arial" w:hAnsi="Arial" w:cs="Arial"/>
        </w:rPr>
      </w:pPr>
      <w:r w:rsidRPr="00847D17">
        <w:rPr>
          <w:rFonts w:ascii="Arial" w:hAnsi="Arial" w:cs="Arial"/>
        </w:rPr>
        <w:t xml:space="preserve">TAC: Total Antioxidant Capacity </w:t>
      </w:r>
    </w:p>
    <w:p w14:paraId="5C8921E7" w14:textId="77777777" w:rsidR="00847D17" w:rsidRPr="00847D17" w:rsidRDefault="00847D17" w:rsidP="00B43865">
      <w:pPr>
        <w:pStyle w:val="Body"/>
        <w:spacing w:line="480" w:lineRule="auto"/>
        <w:rPr>
          <w:rFonts w:ascii="Arial" w:hAnsi="Arial" w:cs="Arial"/>
        </w:rPr>
      </w:pPr>
      <w:r w:rsidRPr="00847D17">
        <w:rPr>
          <w:rFonts w:ascii="Arial" w:hAnsi="Arial" w:cs="Arial"/>
        </w:rPr>
        <w:t>FRAP: Ferric Reducing Antioxidant Power</w:t>
      </w:r>
    </w:p>
    <w:p w14:paraId="13E68120" w14:textId="77777777" w:rsidR="00847D17" w:rsidRPr="00847D17" w:rsidRDefault="00847D17" w:rsidP="00B43865">
      <w:pPr>
        <w:pStyle w:val="Body"/>
        <w:spacing w:line="480" w:lineRule="auto"/>
        <w:rPr>
          <w:rFonts w:ascii="Arial" w:hAnsi="Arial" w:cs="Arial"/>
        </w:rPr>
      </w:pPr>
      <w:r w:rsidRPr="00847D17">
        <w:rPr>
          <w:rFonts w:ascii="Arial" w:hAnsi="Arial" w:cs="Arial"/>
        </w:rPr>
        <w:t>QE: Quercetin Equivalent</w:t>
      </w:r>
    </w:p>
    <w:p w14:paraId="0CF452D0" w14:textId="77777777" w:rsidR="00847D17" w:rsidRPr="00847D17" w:rsidRDefault="00847D17" w:rsidP="00B43865">
      <w:pPr>
        <w:pStyle w:val="Body"/>
        <w:spacing w:line="480" w:lineRule="auto"/>
        <w:rPr>
          <w:rFonts w:ascii="Arial" w:hAnsi="Arial" w:cs="Arial"/>
        </w:rPr>
      </w:pPr>
      <w:r w:rsidRPr="00847D17">
        <w:rPr>
          <w:rFonts w:ascii="Arial" w:hAnsi="Arial" w:cs="Arial"/>
        </w:rPr>
        <w:t>GAE: Gallic Acid Equivalent</w:t>
      </w:r>
    </w:p>
    <w:p w14:paraId="1419B328" w14:textId="77777777" w:rsidR="00847D17" w:rsidRPr="00847D17" w:rsidRDefault="00847D17" w:rsidP="00B43865">
      <w:pPr>
        <w:pStyle w:val="Body"/>
        <w:spacing w:line="480" w:lineRule="auto"/>
        <w:rPr>
          <w:rFonts w:ascii="Arial" w:hAnsi="Arial" w:cs="Arial"/>
        </w:rPr>
      </w:pPr>
      <w:r w:rsidRPr="00847D17">
        <w:rPr>
          <w:rFonts w:ascii="Arial" w:hAnsi="Arial" w:cs="Arial"/>
        </w:rPr>
        <w:t>AE: Atropine Equivalent</w:t>
      </w:r>
    </w:p>
    <w:p w14:paraId="38FAC4D9" w14:textId="77777777" w:rsidR="00847D17" w:rsidRPr="00847D17" w:rsidRDefault="00847D17" w:rsidP="00B43865">
      <w:pPr>
        <w:pStyle w:val="Body"/>
        <w:spacing w:line="480" w:lineRule="auto"/>
        <w:rPr>
          <w:rFonts w:ascii="Arial" w:hAnsi="Arial" w:cs="Arial"/>
        </w:rPr>
      </w:pPr>
      <w:r w:rsidRPr="00847D17">
        <w:rPr>
          <w:rFonts w:ascii="Arial" w:hAnsi="Arial" w:cs="Arial"/>
        </w:rPr>
        <w:t>AAE: Ascorbic Acid Equivalent</w:t>
      </w:r>
    </w:p>
    <w:p w14:paraId="075E7EF8" w14:textId="77777777" w:rsidR="00847D17" w:rsidRPr="00847D17" w:rsidRDefault="00847D17" w:rsidP="00B43865">
      <w:pPr>
        <w:pStyle w:val="Body"/>
        <w:spacing w:line="480" w:lineRule="auto"/>
        <w:rPr>
          <w:rFonts w:ascii="Arial" w:hAnsi="Arial" w:cs="Arial"/>
        </w:rPr>
      </w:pPr>
      <w:r w:rsidRPr="00847D17">
        <w:rPr>
          <w:rFonts w:ascii="Arial" w:hAnsi="Arial" w:cs="Arial"/>
        </w:rPr>
        <w:t>ROS: Reactive Oxygen Species</w:t>
      </w:r>
    </w:p>
    <w:p w14:paraId="4F39A42B" w14:textId="77777777" w:rsidR="00847D17" w:rsidRPr="00847D17" w:rsidRDefault="00847D17" w:rsidP="00B43865">
      <w:pPr>
        <w:pStyle w:val="Body"/>
        <w:spacing w:line="480" w:lineRule="auto"/>
        <w:rPr>
          <w:rFonts w:ascii="Arial" w:hAnsi="Arial" w:cs="Arial"/>
        </w:rPr>
      </w:pPr>
      <w:r w:rsidRPr="00847D17">
        <w:rPr>
          <w:rFonts w:ascii="Arial" w:hAnsi="Arial" w:cs="Arial"/>
        </w:rPr>
        <w:t>TLC: Thin Layer Chromatography</w:t>
      </w:r>
    </w:p>
    <w:p w14:paraId="715BE8AC" w14:textId="77777777" w:rsidR="00847D17" w:rsidRPr="00847D17" w:rsidRDefault="00847D17" w:rsidP="00B43865">
      <w:pPr>
        <w:pStyle w:val="Body"/>
        <w:spacing w:line="480" w:lineRule="auto"/>
        <w:rPr>
          <w:rFonts w:ascii="Arial" w:hAnsi="Arial" w:cs="Arial"/>
        </w:rPr>
      </w:pPr>
      <w:r w:rsidRPr="00847D17">
        <w:rPr>
          <w:rFonts w:ascii="Arial" w:hAnsi="Arial" w:cs="Arial"/>
        </w:rPr>
        <w:t>UV: Ultraviolet</w:t>
      </w:r>
    </w:p>
    <w:p w14:paraId="6DFA13A1" w14:textId="77777777" w:rsidR="00847D17" w:rsidRPr="00847D17" w:rsidRDefault="00847D17" w:rsidP="00B43865">
      <w:pPr>
        <w:pStyle w:val="Body"/>
        <w:spacing w:line="480" w:lineRule="auto"/>
        <w:rPr>
          <w:rFonts w:ascii="Arial" w:hAnsi="Arial" w:cs="Arial"/>
        </w:rPr>
      </w:pPr>
      <w:r w:rsidRPr="00847D17">
        <w:rPr>
          <w:rFonts w:ascii="Arial" w:hAnsi="Arial" w:cs="Arial"/>
        </w:rPr>
        <w:t>Rf: Retardation factor</w:t>
      </w:r>
    </w:p>
    <w:p w14:paraId="2DCFFF26" w14:textId="77777777" w:rsidR="00847D17" w:rsidRPr="00847D17" w:rsidRDefault="00847D17" w:rsidP="00B43865">
      <w:pPr>
        <w:pStyle w:val="Body"/>
        <w:spacing w:line="480" w:lineRule="auto"/>
        <w:rPr>
          <w:rFonts w:ascii="Arial" w:hAnsi="Arial" w:cs="Arial"/>
        </w:rPr>
      </w:pPr>
      <w:r w:rsidRPr="00847D17">
        <w:rPr>
          <w:rFonts w:ascii="Arial" w:hAnsi="Arial" w:cs="Arial"/>
        </w:rPr>
        <w:lastRenderedPageBreak/>
        <w:t>FC: Folin-Ciocalteu</w:t>
      </w:r>
    </w:p>
    <w:p w14:paraId="1F7C31CB" w14:textId="77777777" w:rsidR="00847D17" w:rsidRPr="00847D17" w:rsidRDefault="00847D17" w:rsidP="00B43865">
      <w:pPr>
        <w:pStyle w:val="Body"/>
        <w:spacing w:line="480" w:lineRule="auto"/>
        <w:rPr>
          <w:rFonts w:ascii="Arial" w:hAnsi="Arial" w:cs="Arial"/>
        </w:rPr>
      </w:pPr>
      <w:r w:rsidRPr="00847D17">
        <w:rPr>
          <w:rFonts w:ascii="Arial" w:hAnsi="Arial" w:cs="Arial"/>
        </w:rPr>
        <w:t>AlCl</w:t>
      </w:r>
      <w:r w:rsidRPr="00AF1DC1">
        <w:rPr>
          <w:rFonts w:ascii="Arial" w:hAnsi="Arial" w:cs="Arial"/>
          <w:vertAlign w:val="subscript"/>
        </w:rPr>
        <w:t>3</w:t>
      </w:r>
      <w:r w:rsidRPr="00847D17">
        <w:rPr>
          <w:rFonts w:ascii="Arial" w:hAnsi="Arial" w:cs="Arial"/>
        </w:rPr>
        <w:t>: Aluminum chloride</w:t>
      </w:r>
    </w:p>
    <w:p w14:paraId="7A8EFC2E" w14:textId="77777777" w:rsidR="00847D17" w:rsidRPr="00847D17" w:rsidRDefault="00847D17" w:rsidP="00B43865">
      <w:pPr>
        <w:pStyle w:val="Body"/>
        <w:spacing w:line="480" w:lineRule="auto"/>
        <w:rPr>
          <w:rFonts w:ascii="Arial" w:hAnsi="Arial" w:cs="Arial"/>
        </w:rPr>
      </w:pPr>
      <w:r w:rsidRPr="00847D17">
        <w:rPr>
          <w:rFonts w:ascii="Arial" w:hAnsi="Arial" w:cs="Arial"/>
        </w:rPr>
        <w:t>BCG: Bromocresol Green</w:t>
      </w:r>
    </w:p>
    <w:p w14:paraId="5A6D5CD5" w14:textId="77777777" w:rsidR="00847D17" w:rsidRPr="00847D17" w:rsidRDefault="00847D17" w:rsidP="00B43865">
      <w:pPr>
        <w:pStyle w:val="Body"/>
        <w:spacing w:line="480" w:lineRule="auto"/>
        <w:rPr>
          <w:rFonts w:ascii="Arial" w:hAnsi="Arial" w:cs="Arial"/>
        </w:rPr>
      </w:pPr>
      <w:r w:rsidRPr="00847D17">
        <w:rPr>
          <w:rFonts w:ascii="Arial" w:hAnsi="Arial" w:cs="Arial"/>
        </w:rPr>
        <w:t>NaOH: Sodium hydroxide</w:t>
      </w:r>
    </w:p>
    <w:p w14:paraId="308F356A" w14:textId="77777777" w:rsidR="00847D17" w:rsidRPr="00847D17" w:rsidRDefault="00847D17" w:rsidP="00B43865">
      <w:pPr>
        <w:pStyle w:val="Body"/>
        <w:spacing w:before="240" w:line="480" w:lineRule="auto"/>
        <w:rPr>
          <w:rFonts w:ascii="Arial" w:hAnsi="Arial" w:cs="Arial"/>
        </w:rPr>
      </w:pPr>
      <w:r w:rsidRPr="00847D17">
        <w:rPr>
          <w:rFonts w:ascii="Arial" w:hAnsi="Arial" w:cs="Arial"/>
        </w:rPr>
        <w:t>Na</w:t>
      </w:r>
      <w:r w:rsidRPr="00375921">
        <w:rPr>
          <w:rFonts w:ascii="Arial" w:hAnsi="Arial" w:cs="Arial"/>
          <w:vertAlign w:val="subscript"/>
        </w:rPr>
        <w:t>2</w:t>
      </w:r>
      <w:r w:rsidRPr="00847D17">
        <w:rPr>
          <w:rFonts w:ascii="Arial" w:hAnsi="Arial" w:cs="Arial"/>
        </w:rPr>
        <w:t>HPO</w:t>
      </w:r>
      <w:r w:rsidRPr="00B70A7D">
        <w:rPr>
          <w:rFonts w:ascii="Arial" w:hAnsi="Arial" w:cs="Arial"/>
          <w:vertAlign w:val="subscript"/>
        </w:rPr>
        <w:t>4</w:t>
      </w:r>
      <w:r w:rsidRPr="00847D17">
        <w:rPr>
          <w:rFonts w:ascii="Arial" w:hAnsi="Arial" w:cs="Arial"/>
        </w:rPr>
        <w:t>: Disodium phosphate</w:t>
      </w:r>
    </w:p>
    <w:p w14:paraId="0100FBC7" w14:textId="77777777" w:rsidR="00847D17" w:rsidRPr="00847D17" w:rsidRDefault="00847D17" w:rsidP="00B43865">
      <w:pPr>
        <w:pStyle w:val="Body"/>
        <w:spacing w:line="480" w:lineRule="auto"/>
        <w:rPr>
          <w:rFonts w:ascii="Arial" w:hAnsi="Arial" w:cs="Arial"/>
        </w:rPr>
      </w:pPr>
      <w:r w:rsidRPr="00847D17">
        <w:rPr>
          <w:rFonts w:ascii="Arial" w:hAnsi="Arial" w:cs="Arial"/>
        </w:rPr>
        <w:t>RBCs: Red blood cells</w:t>
      </w:r>
    </w:p>
    <w:p w14:paraId="1DC7B3B9" w14:textId="77777777" w:rsidR="00847D17" w:rsidRPr="00847D17" w:rsidRDefault="00847D17" w:rsidP="00B43865">
      <w:pPr>
        <w:pStyle w:val="Body"/>
        <w:spacing w:line="480" w:lineRule="auto"/>
        <w:rPr>
          <w:rFonts w:ascii="Arial" w:hAnsi="Arial" w:cs="Arial"/>
        </w:rPr>
      </w:pPr>
      <w:r w:rsidRPr="00847D17">
        <w:rPr>
          <w:rFonts w:ascii="Arial" w:hAnsi="Arial" w:cs="Arial"/>
        </w:rPr>
        <w:t>PBS: Phosphate-Buffered Saline</w:t>
      </w:r>
    </w:p>
    <w:p w14:paraId="11467D0E" w14:textId="77777777" w:rsidR="00847D17" w:rsidRPr="00847D17" w:rsidRDefault="00847D17" w:rsidP="00B43865">
      <w:pPr>
        <w:pStyle w:val="Body"/>
        <w:spacing w:line="480" w:lineRule="auto"/>
        <w:rPr>
          <w:rFonts w:ascii="Arial" w:hAnsi="Arial" w:cs="Arial"/>
        </w:rPr>
      </w:pPr>
      <w:r w:rsidRPr="00847D17">
        <w:rPr>
          <w:rFonts w:ascii="Arial" w:hAnsi="Arial" w:cs="Arial"/>
        </w:rPr>
        <w:t>TCA: Trichloroacetic acid</w:t>
      </w:r>
    </w:p>
    <w:p w14:paraId="58382D95" w14:textId="77777777" w:rsidR="00847D17" w:rsidRPr="00847D17" w:rsidRDefault="00847D17" w:rsidP="00B43865">
      <w:pPr>
        <w:pStyle w:val="Body"/>
        <w:spacing w:line="480" w:lineRule="auto"/>
        <w:rPr>
          <w:rFonts w:ascii="Arial" w:hAnsi="Arial" w:cs="Arial"/>
        </w:rPr>
      </w:pPr>
      <w:r w:rsidRPr="00847D17">
        <w:rPr>
          <w:rFonts w:ascii="Arial" w:hAnsi="Arial" w:cs="Arial"/>
        </w:rPr>
        <w:t>TAE: Tris-Acetate-EDTA</w:t>
      </w:r>
    </w:p>
    <w:p w14:paraId="7E3984C1" w14:textId="77777777" w:rsidR="00847D17" w:rsidRPr="00847D17" w:rsidRDefault="00847D17" w:rsidP="00B43865">
      <w:pPr>
        <w:pStyle w:val="Body"/>
        <w:spacing w:line="480" w:lineRule="auto"/>
        <w:rPr>
          <w:rFonts w:ascii="Arial" w:hAnsi="Arial" w:cs="Arial"/>
        </w:rPr>
      </w:pPr>
      <w:r w:rsidRPr="00847D17">
        <w:rPr>
          <w:rFonts w:ascii="Arial" w:hAnsi="Arial" w:cs="Arial"/>
        </w:rPr>
        <w:t>SD: Standard Deviation</w:t>
      </w:r>
    </w:p>
    <w:p w14:paraId="7FA6DD8A" w14:textId="77777777" w:rsidR="00847D17" w:rsidRPr="00847D17" w:rsidRDefault="00847D17" w:rsidP="00B43865">
      <w:pPr>
        <w:pStyle w:val="Body"/>
        <w:spacing w:line="480" w:lineRule="auto"/>
        <w:rPr>
          <w:rFonts w:ascii="Arial" w:hAnsi="Arial" w:cs="Arial"/>
        </w:rPr>
      </w:pPr>
      <w:r w:rsidRPr="00847D17">
        <w:rPr>
          <w:rFonts w:ascii="Arial" w:hAnsi="Arial" w:cs="Arial"/>
        </w:rPr>
        <w:t>ANOVA: Analysis of Variance</w:t>
      </w:r>
    </w:p>
    <w:p w14:paraId="3F8DFA08" w14:textId="77777777" w:rsidR="00847D17" w:rsidRPr="00847D17" w:rsidRDefault="00847D17" w:rsidP="00B43865">
      <w:pPr>
        <w:pStyle w:val="Body"/>
        <w:spacing w:line="480" w:lineRule="auto"/>
        <w:rPr>
          <w:rFonts w:ascii="Arial" w:hAnsi="Arial" w:cs="Arial"/>
        </w:rPr>
      </w:pPr>
      <w:r w:rsidRPr="00847D17">
        <w:rPr>
          <w:rFonts w:ascii="Arial" w:hAnsi="Arial" w:cs="Arial"/>
        </w:rPr>
        <w:t xml:space="preserve">PLE: Pressurized Liquid Extraction </w:t>
      </w:r>
    </w:p>
    <w:p w14:paraId="44BDEB55" w14:textId="77777777" w:rsidR="00847D17" w:rsidRPr="00847D17" w:rsidRDefault="00847D17" w:rsidP="00B43865">
      <w:pPr>
        <w:pStyle w:val="Body"/>
        <w:spacing w:line="480" w:lineRule="auto"/>
        <w:rPr>
          <w:rFonts w:ascii="Arial" w:hAnsi="Arial" w:cs="Arial"/>
        </w:rPr>
      </w:pPr>
      <w:r w:rsidRPr="00847D17">
        <w:rPr>
          <w:rFonts w:ascii="Arial" w:hAnsi="Arial" w:cs="Arial"/>
        </w:rPr>
        <w:t xml:space="preserve">UAE: Ultrasound-Assisted Extraction </w:t>
      </w:r>
    </w:p>
    <w:p w14:paraId="44FA0155" w14:textId="77777777" w:rsidR="00847D17" w:rsidRPr="00847D17" w:rsidRDefault="00847D17" w:rsidP="00B43865">
      <w:pPr>
        <w:pStyle w:val="Body"/>
        <w:spacing w:line="480" w:lineRule="auto"/>
        <w:rPr>
          <w:rFonts w:ascii="Arial" w:hAnsi="Arial" w:cs="Arial"/>
        </w:rPr>
      </w:pPr>
      <w:r w:rsidRPr="00847D17">
        <w:rPr>
          <w:rFonts w:ascii="Arial" w:hAnsi="Arial" w:cs="Arial"/>
        </w:rPr>
        <w:t xml:space="preserve">DES: Deep Eutectic Solvent </w:t>
      </w:r>
    </w:p>
    <w:p w14:paraId="4611F178" w14:textId="77777777" w:rsidR="00D920B6" w:rsidRPr="00847D17" w:rsidRDefault="00847D17" w:rsidP="00B43865">
      <w:pPr>
        <w:pStyle w:val="Body"/>
        <w:spacing w:after="0" w:line="480" w:lineRule="auto"/>
        <w:rPr>
          <w:rFonts w:ascii="Arial" w:hAnsi="Arial" w:cs="Arial"/>
        </w:rPr>
      </w:pPr>
      <w:r w:rsidRPr="00847D17">
        <w:rPr>
          <w:rFonts w:ascii="Arial" w:hAnsi="Arial" w:cs="Arial"/>
        </w:rPr>
        <w:t>SET: Single-electron transfer</w:t>
      </w:r>
    </w:p>
    <w:p w14:paraId="39696F65" w14:textId="77777777" w:rsidR="00505F06" w:rsidRPr="00A24E7E" w:rsidRDefault="00505F06" w:rsidP="00B43865">
      <w:pPr>
        <w:pStyle w:val="Body"/>
        <w:spacing w:after="0" w:line="480" w:lineRule="auto"/>
        <w:rPr>
          <w:rFonts w:ascii="Arial" w:hAnsi="Arial" w:cs="Arial"/>
          <w:i/>
        </w:rPr>
      </w:pPr>
    </w:p>
    <w:p w14:paraId="1CE357A0" w14:textId="77777777" w:rsidR="007F7B32" w:rsidRDefault="00B01FCD" w:rsidP="00B43865">
      <w:pPr>
        <w:pStyle w:val="AbstHead"/>
        <w:numPr>
          <w:ilvl w:val="0"/>
          <w:numId w:val="37"/>
        </w:numPr>
        <w:spacing w:after="0" w:line="480" w:lineRule="auto"/>
        <w:ind w:left="360"/>
        <w:jc w:val="both"/>
        <w:rPr>
          <w:rFonts w:ascii="Arial" w:hAnsi="Arial" w:cs="Arial"/>
        </w:rPr>
      </w:pPr>
      <w:r w:rsidRPr="00FB3A86">
        <w:rPr>
          <w:rFonts w:ascii="Arial" w:hAnsi="Arial" w:cs="Arial"/>
        </w:rPr>
        <w:t>INTRODUCTION</w:t>
      </w:r>
      <w:r w:rsidR="007F7B32">
        <w:rPr>
          <w:rFonts w:ascii="Arial" w:hAnsi="Arial" w:cs="Arial"/>
        </w:rPr>
        <w:t xml:space="preserve"> </w:t>
      </w:r>
    </w:p>
    <w:p w14:paraId="58A5581C" w14:textId="77777777" w:rsidR="00B87044" w:rsidRDefault="00B87044" w:rsidP="00B43865">
      <w:pPr>
        <w:pStyle w:val="Body"/>
        <w:spacing w:after="0" w:line="480" w:lineRule="auto"/>
        <w:rPr>
          <w:rFonts w:ascii="Arial" w:hAnsi="Arial" w:cs="Arial"/>
        </w:rPr>
      </w:pPr>
    </w:p>
    <w:p w14:paraId="5A3212D8" w14:textId="77777777" w:rsidR="00B87044" w:rsidRPr="00B87044" w:rsidRDefault="00B87044" w:rsidP="00B43865">
      <w:pPr>
        <w:pStyle w:val="Body"/>
        <w:spacing w:line="480" w:lineRule="auto"/>
        <w:rPr>
          <w:rFonts w:ascii="Arial" w:hAnsi="Arial" w:cs="Arial"/>
        </w:rPr>
      </w:pPr>
      <w:r w:rsidRPr="00B87044">
        <w:rPr>
          <w:rFonts w:ascii="Arial" w:hAnsi="Arial" w:cs="Arial"/>
        </w:rPr>
        <w:t xml:space="preserve">Given the persistent global burden of chronic degenerative diseases and the urgent necessity for sustainable and accessible therapeutic interventions, pharmaceutical research is experiencing a renewed focus on natural products derived from established </w:t>
      </w:r>
      <w:r w:rsidR="009E3B17">
        <w:rPr>
          <w:rFonts w:ascii="Arial" w:hAnsi="Arial" w:cs="Arial"/>
        </w:rPr>
        <w:t>folk medicinal traditions (</w:t>
      </w:r>
      <w:proofErr w:type="spellStart"/>
      <w:r w:rsidR="009E3B17" w:rsidRPr="009E3B17">
        <w:rPr>
          <w:rFonts w:ascii="Arial" w:hAnsi="Arial" w:cs="Arial"/>
        </w:rPr>
        <w:t>Bharate</w:t>
      </w:r>
      <w:proofErr w:type="spellEnd"/>
      <w:r w:rsidR="009E3B17" w:rsidRPr="009E3B17">
        <w:rPr>
          <w:rFonts w:ascii="Arial" w:hAnsi="Arial" w:cs="Arial"/>
        </w:rPr>
        <w:t xml:space="preserve"> &amp; </w:t>
      </w:r>
      <w:proofErr w:type="spellStart"/>
      <w:r w:rsidR="009E3B17" w:rsidRPr="009E3B17">
        <w:rPr>
          <w:rFonts w:ascii="Arial" w:hAnsi="Arial" w:cs="Arial"/>
        </w:rPr>
        <w:t>Lindsley</w:t>
      </w:r>
      <w:proofErr w:type="spellEnd"/>
      <w:r w:rsidR="009E3B17" w:rsidRPr="009E3B17">
        <w:rPr>
          <w:rFonts w:ascii="Arial" w:hAnsi="Arial" w:cs="Arial"/>
        </w:rPr>
        <w:t>, 2024</w:t>
      </w:r>
      <w:r w:rsidR="009E3B17">
        <w:rPr>
          <w:rFonts w:ascii="Arial" w:hAnsi="Arial" w:cs="Arial"/>
        </w:rPr>
        <w:t>;</w:t>
      </w:r>
      <w:r w:rsidR="004F0486" w:rsidRPr="004F0486">
        <w:t xml:space="preserve"> </w:t>
      </w:r>
      <w:r w:rsidR="004F0486" w:rsidRPr="004F0486">
        <w:rPr>
          <w:rFonts w:ascii="Arial" w:hAnsi="Arial" w:cs="Arial"/>
        </w:rPr>
        <w:t>Hassan et al., 2022</w:t>
      </w:r>
      <w:r w:rsidR="009E3B17">
        <w:rPr>
          <w:rFonts w:ascii="Arial" w:hAnsi="Arial" w:cs="Arial"/>
        </w:rPr>
        <w:t>)</w:t>
      </w:r>
      <w:r w:rsidRPr="00B87044">
        <w:rPr>
          <w:rFonts w:ascii="Arial" w:hAnsi="Arial" w:cs="Arial"/>
        </w:rPr>
        <w:t xml:space="preserve">. A key strategic approach to disease intervention is cancer chemoprevention, which leverages the protective properties of plant-derived </w:t>
      </w:r>
      <w:r w:rsidRPr="00B87044">
        <w:rPr>
          <w:rFonts w:ascii="Arial" w:hAnsi="Arial" w:cs="Arial"/>
        </w:rPr>
        <w:lastRenderedPageBreak/>
        <w:t>phytochemicals to disrupt the cellular and biochemical processes under</w:t>
      </w:r>
      <w:r w:rsidR="000A1ADB">
        <w:rPr>
          <w:rFonts w:ascii="Arial" w:hAnsi="Arial" w:cs="Arial"/>
        </w:rPr>
        <w:t>lying disease progression (</w:t>
      </w:r>
      <w:r w:rsidR="00976594" w:rsidRPr="00976594">
        <w:rPr>
          <w:rFonts w:ascii="Arial" w:hAnsi="Arial" w:cs="Arial"/>
        </w:rPr>
        <w:t>G et al., 2022</w:t>
      </w:r>
      <w:r w:rsidR="00976594">
        <w:rPr>
          <w:rFonts w:ascii="Arial" w:hAnsi="Arial" w:cs="Arial"/>
        </w:rPr>
        <w:t xml:space="preserve">; </w:t>
      </w:r>
      <w:r w:rsidR="009528AE" w:rsidRPr="009528AE">
        <w:rPr>
          <w:rFonts w:ascii="Arial" w:hAnsi="Arial" w:cs="Arial"/>
        </w:rPr>
        <w:t>Ma et al., 2021</w:t>
      </w:r>
      <w:r w:rsidR="000A1ADB">
        <w:rPr>
          <w:rFonts w:ascii="Arial" w:hAnsi="Arial" w:cs="Arial"/>
        </w:rPr>
        <w:t>)</w:t>
      </w:r>
      <w:r w:rsidRPr="00B87044">
        <w:rPr>
          <w:rFonts w:ascii="Arial" w:hAnsi="Arial" w:cs="Arial"/>
        </w:rPr>
        <w:t xml:space="preserve">. </w:t>
      </w:r>
    </w:p>
    <w:p w14:paraId="4E09DF28" w14:textId="77777777" w:rsidR="00B87044" w:rsidRPr="00B87044" w:rsidRDefault="00B87044" w:rsidP="00B43865">
      <w:pPr>
        <w:pStyle w:val="Body"/>
        <w:spacing w:line="480" w:lineRule="auto"/>
        <w:rPr>
          <w:rFonts w:ascii="Arial" w:hAnsi="Arial" w:cs="Arial"/>
        </w:rPr>
      </w:pPr>
      <w:r w:rsidRPr="00B87044">
        <w:rPr>
          <w:rFonts w:ascii="Arial" w:hAnsi="Arial" w:cs="Arial"/>
        </w:rPr>
        <w:t xml:space="preserve">The genus </w:t>
      </w:r>
      <w:proofErr w:type="spellStart"/>
      <w:r w:rsidRPr="00425663">
        <w:rPr>
          <w:rFonts w:ascii="Arial" w:hAnsi="Arial" w:cs="Arial"/>
          <w:i/>
        </w:rPr>
        <w:t>Momordica</w:t>
      </w:r>
      <w:proofErr w:type="spellEnd"/>
      <w:r w:rsidRPr="00B87044">
        <w:rPr>
          <w:rFonts w:ascii="Arial" w:hAnsi="Arial" w:cs="Arial"/>
        </w:rPr>
        <w:t xml:space="preserve">, specifically </w:t>
      </w:r>
      <w:proofErr w:type="spellStart"/>
      <w:r w:rsidRPr="00425663">
        <w:rPr>
          <w:rFonts w:ascii="Arial" w:hAnsi="Arial" w:cs="Arial"/>
          <w:i/>
        </w:rPr>
        <w:t>Momordica</w:t>
      </w:r>
      <w:proofErr w:type="spellEnd"/>
      <w:r w:rsidRPr="00425663">
        <w:rPr>
          <w:rFonts w:ascii="Arial" w:hAnsi="Arial" w:cs="Arial"/>
          <w:i/>
        </w:rPr>
        <w:t xml:space="preserve"> </w:t>
      </w:r>
      <w:proofErr w:type="spellStart"/>
      <w:r w:rsidRPr="00425663">
        <w:rPr>
          <w:rFonts w:ascii="Arial" w:hAnsi="Arial" w:cs="Arial"/>
          <w:i/>
        </w:rPr>
        <w:t>charantia</w:t>
      </w:r>
      <w:proofErr w:type="spellEnd"/>
      <w:r w:rsidRPr="00B87044">
        <w:rPr>
          <w:rFonts w:ascii="Arial" w:hAnsi="Arial" w:cs="Arial"/>
        </w:rPr>
        <w:t xml:space="preserve"> (Karela/Bitter Gourd), is a critical source of these agents with diverse bioactivity. Extensive research reviews the plant's mechanism of action, predominantly focusing on its anti-diabetic mechanisms, alongside its documented anti-cancer and ant</w:t>
      </w:r>
      <w:r w:rsidR="002F601E">
        <w:rPr>
          <w:rFonts w:ascii="Arial" w:hAnsi="Arial" w:cs="Arial"/>
        </w:rPr>
        <w:t>i-inflammatory properties (</w:t>
      </w:r>
      <w:r w:rsidR="00EF4BAE" w:rsidRPr="00EF4BAE">
        <w:rPr>
          <w:rFonts w:ascii="Arial" w:hAnsi="Arial" w:cs="Arial"/>
        </w:rPr>
        <w:t>Rani, 2024</w:t>
      </w:r>
      <w:r w:rsidR="00A43A24">
        <w:rPr>
          <w:rFonts w:ascii="Arial" w:hAnsi="Arial" w:cs="Arial"/>
        </w:rPr>
        <w:t xml:space="preserve">; </w:t>
      </w:r>
      <w:proofErr w:type="spellStart"/>
      <w:r w:rsidR="00A43A24" w:rsidRPr="00A43A24">
        <w:rPr>
          <w:rFonts w:ascii="Arial" w:hAnsi="Arial" w:cs="Arial"/>
        </w:rPr>
        <w:t>Oyelere</w:t>
      </w:r>
      <w:proofErr w:type="spellEnd"/>
      <w:r w:rsidR="00A43A24" w:rsidRPr="00A43A24">
        <w:rPr>
          <w:rFonts w:ascii="Arial" w:hAnsi="Arial" w:cs="Arial"/>
        </w:rPr>
        <w:t xml:space="preserve"> et al., 2022</w:t>
      </w:r>
      <w:r w:rsidR="002F601E">
        <w:rPr>
          <w:rFonts w:ascii="Arial" w:hAnsi="Arial" w:cs="Arial"/>
        </w:rPr>
        <w:t>)</w:t>
      </w:r>
      <w:r w:rsidRPr="00B87044">
        <w:rPr>
          <w:rFonts w:ascii="Arial" w:hAnsi="Arial" w:cs="Arial"/>
        </w:rPr>
        <w:t xml:space="preserve">. The significant bioactivity of </w:t>
      </w:r>
      <w:r w:rsidRPr="001F44E8">
        <w:rPr>
          <w:rFonts w:ascii="Arial" w:hAnsi="Arial" w:cs="Arial"/>
          <w:i/>
        </w:rPr>
        <w:t xml:space="preserve">M. </w:t>
      </w:r>
      <w:proofErr w:type="spellStart"/>
      <w:r w:rsidRPr="001F44E8">
        <w:rPr>
          <w:rFonts w:ascii="Arial" w:hAnsi="Arial" w:cs="Arial"/>
          <w:i/>
        </w:rPr>
        <w:t>charantia</w:t>
      </w:r>
      <w:proofErr w:type="spellEnd"/>
      <w:r w:rsidRPr="00B87044">
        <w:rPr>
          <w:rFonts w:ascii="Arial" w:hAnsi="Arial" w:cs="Arial"/>
        </w:rPr>
        <w:t xml:space="preserve"> is attributed to its complex phytochemical profile, which includes key classes such as terpenoids (the broader class that includes </w:t>
      </w:r>
      <w:proofErr w:type="spellStart"/>
      <w:r w:rsidRPr="00B87044">
        <w:rPr>
          <w:rFonts w:ascii="Arial" w:hAnsi="Arial" w:cs="Arial"/>
        </w:rPr>
        <w:t>cucurbitacins</w:t>
      </w:r>
      <w:proofErr w:type="spellEnd"/>
      <w:r w:rsidRPr="00B87044">
        <w:rPr>
          <w:rFonts w:ascii="Arial" w:hAnsi="Arial" w:cs="Arial"/>
        </w:rPr>
        <w:t xml:space="preserve"> and </w:t>
      </w:r>
      <w:proofErr w:type="spellStart"/>
      <w:r w:rsidRPr="00B87044">
        <w:rPr>
          <w:rFonts w:ascii="Arial" w:hAnsi="Arial" w:cs="Arial"/>
        </w:rPr>
        <w:t>momordicines</w:t>
      </w:r>
      <w:proofErr w:type="spellEnd"/>
      <w:r w:rsidRPr="00B87044">
        <w:rPr>
          <w:rFonts w:ascii="Arial" w:hAnsi="Arial" w:cs="Arial"/>
        </w:rPr>
        <w:t xml:space="preserve">), phenolic </w:t>
      </w:r>
      <w:r w:rsidR="005124FF">
        <w:rPr>
          <w:rFonts w:ascii="Arial" w:hAnsi="Arial" w:cs="Arial"/>
        </w:rPr>
        <w:t>compounds, and flavonoids (</w:t>
      </w:r>
      <w:proofErr w:type="spellStart"/>
      <w:r w:rsidR="00A6500E" w:rsidRPr="00A6500E">
        <w:rPr>
          <w:rFonts w:ascii="Arial" w:hAnsi="Arial" w:cs="Arial"/>
        </w:rPr>
        <w:t>Matseke</w:t>
      </w:r>
      <w:proofErr w:type="spellEnd"/>
      <w:r w:rsidR="00A6500E" w:rsidRPr="00A6500E">
        <w:rPr>
          <w:rFonts w:ascii="Arial" w:hAnsi="Arial" w:cs="Arial"/>
        </w:rPr>
        <w:t xml:space="preserve"> et al., 2025</w:t>
      </w:r>
      <w:r w:rsidR="005124FF">
        <w:rPr>
          <w:rFonts w:ascii="Arial" w:hAnsi="Arial" w:cs="Arial"/>
        </w:rPr>
        <w:t>)</w:t>
      </w:r>
      <w:r w:rsidRPr="00B87044">
        <w:rPr>
          <w:rFonts w:ascii="Arial" w:hAnsi="Arial" w:cs="Arial"/>
        </w:rPr>
        <w:t xml:space="preserve">. </w:t>
      </w:r>
      <w:r w:rsidRPr="001F44E8">
        <w:rPr>
          <w:rFonts w:ascii="Arial" w:hAnsi="Arial" w:cs="Arial"/>
          <w:i/>
        </w:rPr>
        <w:t>Momordica dioica</w:t>
      </w:r>
      <w:r w:rsidRPr="00B87044">
        <w:rPr>
          <w:rFonts w:ascii="Arial" w:hAnsi="Arial" w:cs="Arial"/>
        </w:rPr>
        <w:t xml:space="preserve"> (commonly known as Spiny Gourd or Kakora) is an abundant, perennial climbing plant that remains an underutilized vegetable despite its high nutritional value. Beyond its use in the diet, it holds significant value in traditional systems of medicine (e.g., Ayurveda and folk medicine) for the treatment of conditions such as fever, inflamma</w:t>
      </w:r>
      <w:r w:rsidR="007D0CB7">
        <w:rPr>
          <w:rFonts w:ascii="Arial" w:hAnsi="Arial" w:cs="Arial"/>
        </w:rPr>
        <w:t>tion, and bleeding piles (</w:t>
      </w:r>
      <w:proofErr w:type="spellStart"/>
      <w:r w:rsidR="007D0CB7" w:rsidRPr="007D0CB7">
        <w:rPr>
          <w:rFonts w:ascii="Arial" w:hAnsi="Arial" w:cs="Arial"/>
        </w:rPr>
        <w:t>Sarwade</w:t>
      </w:r>
      <w:proofErr w:type="spellEnd"/>
      <w:r w:rsidR="007D0CB7" w:rsidRPr="007D0CB7">
        <w:rPr>
          <w:rFonts w:ascii="Arial" w:hAnsi="Arial" w:cs="Arial"/>
        </w:rPr>
        <w:t xml:space="preserve"> et al., 2025</w:t>
      </w:r>
      <w:r w:rsidR="007D0CB7">
        <w:rPr>
          <w:rFonts w:ascii="Arial" w:hAnsi="Arial" w:cs="Arial"/>
        </w:rPr>
        <w:t xml:space="preserve">; </w:t>
      </w:r>
      <w:proofErr w:type="spellStart"/>
      <w:r w:rsidR="00CF2076" w:rsidRPr="00CF2076">
        <w:rPr>
          <w:rFonts w:ascii="Arial" w:hAnsi="Arial" w:cs="Arial"/>
        </w:rPr>
        <w:t>Jatale</w:t>
      </w:r>
      <w:proofErr w:type="spellEnd"/>
      <w:r w:rsidR="00CF2076" w:rsidRPr="00CF2076">
        <w:rPr>
          <w:rFonts w:ascii="Arial" w:hAnsi="Arial" w:cs="Arial"/>
        </w:rPr>
        <w:t xml:space="preserve"> et al., 2024</w:t>
      </w:r>
      <w:r w:rsidR="007D0CB7">
        <w:rPr>
          <w:rFonts w:ascii="Arial" w:hAnsi="Arial" w:cs="Arial"/>
        </w:rPr>
        <w:t>)</w:t>
      </w:r>
      <w:r w:rsidRPr="00B87044">
        <w:rPr>
          <w:rFonts w:ascii="Arial" w:hAnsi="Arial" w:cs="Arial"/>
        </w:rPr>
        <w:t>. Despite the known therapeutic potential of Kakora (e.g., its use for metabolic-related disorders), its overall phytochemical load and molecular efficacy have not been sufficiently characterized. This necessitated a comparative study to evaluate its potential relative to the extensively researched and rec</w:t>
      </w:r>
      <w:r w:rsidR="00FC1389">
        <w:rPr>
          <w:rFonts w:ascii="Arial" w:hAnsi="Arial" w:cs="Arial"/>
        </w:rPr>
        <w:t>ognized species, Karela (</w:t>
      </w:r>
      <w:r w:rsidR="007D2F47" w:rsidRPr="007D2F47">
        <w:rPr>
          <w:rFonts w:ascii="Arial" w:hAnsi="Arial" w:cs="Arial"/>
        </w:rPr>
        <w:t>Singha et al., 2024</w:t>
      </w:r>
      <w:r w:rsidR="007D2F47">
        <w:rPr>
          <w:rFonts w:ascii="Arial" w:hAnsi="Arial" w:cs="Arial"/>
        </w:rPr>
        <w:t xml:space="preserve">; </w:t>
      </w:r>
      <w:proofErr w:type="spellStart"/>
      <w:r w:rsidR="00D47595" w:rsidRPr="00D47595">
        <w:rPr>
          <w:rFonts w:ascii="Arial" w:hAnsi="Arial" w:cs="Arial"/>
        </w:rPr>
        <w:t>Mohkami</w:t>
      </w:r>
      <w:proofErr w:type="spellEnd"/>
      <w:r w:rsidR="00D47595" w:rsidRPr="00D47595">
        <w:rPr>
          <w:rFonts w:ascii="Arial" w:hAnsi="Arial" w:cs="Arial"/>
        </w:rPr>
        <w:t xml:space="preserve"> et al., 2024</w:t>
      </w:r>
      <w:r w:rsidR="00FC1389">
        <w:rPr>
          <w:rFonts w:ascii="Arial" w:hAnsi="Arial" w:cs="Arial"/>
        </w:rPr>
        <w:t>)</w:t>
      </w:r>
      <w:r w:rsidRPr="00B87044">
        <w:rPr>
          <w:rFonts w:ascii="Arial" w:hAnsi="Arial" w:cs="Arial"/>
        </w:rPr>
        <w:t>.</w:t>
      </w:r>
    </w:p>
    <w:p w14:paraId="6BC2D094" w14:textId="77777777" w:rsidR="00B87044" w:rsidRDefault="00B87044" w:rsidP="00B43865">
      <w:pPr>
        <w:pStyle w:val="Body"/>
        <w:spacing w:after="0" w:line="480" w:lineRule="auto"/>
        <w:rPr>
          <w:rFonts w:ascii="Arial" w:hAnsi="Arial" w:cs="Arial"/>
        </w:rPr>
      </w:pPr>
      <w:r w:rsidRPr="00B87044">
        <w:rPr>
          <w:rFonts w:ascii="Arial" w:hAnsi="Arial" w:cs="Arial"/>
        </w:rPr>
        <w:t>The study's relevance is anchored in the molecular pathology of chronic disease: oxidative stress. An overproduction of Reactive Oxygen Species (ROS) is linked to a sequence of adverse molecular events. This oxida</w:t>
      </w:r>
      <w:r w:rsidR="00D832AD">
        <w:rPr>
          <w:rFonts w:ascii="Arial" w:hAnsi="Arial" w:cs="Arial"/>
        </w:rPr>
        <w:t xml:space="preserve">tive stress leads to DNA damage, </w:t>
      </w:r>
      <w:r w:rsidRPr="00B87044">
        <w:rPr>
          <w:rFonts w:ascii="Arial" w:hAnsi="Arial" w:cs="Arial"/>
        </w:rPr>
        <w:t>a critical factor</w:t>
      </w:r>
      <w:r w:rsidR="007959F5">
        <w:rPr>
          <w:rFonts w:ascii="Arial" w:hAnsi="Arial" w:cs="Arial"/>
        </w:rPr>
        <w:t xml:space="preserve"> in the onset of carcinogenesis, </w:t>
      </w:r>
      <w:r w:rsidRPr="00B87044">
        <w:rPr>
          <w:rFonts w:ascii="Arial" w:hAnsi="Arial" w:cs="Arial"/>
        </w:rPr>
        <w:t>while also driving inflammation and general cellular damage to structures suc</w:t>
      </w:r>
      <w:r w:rsidR="00A2631A">
        <w:rPr>
          <w:rFonts w:ascii="Arial" w:hAnsi="Arial" w:cs="Arial"/>
        </w:rPr>
        <w:t>h as membranes and proteins (</w:t>
      </w:r>
      <w:r w:rsidR="00A2631A" w:rsidRPr="00A2631A">
        <w:rPr>
          <w:rFonts w:ascii="Arial" w:hAnsi="Arial" w:cs="Arial"/>
        </w:rPr>
        <w:t>Valko et al., 2007</w:t>
      </w:r>
      <w:r w:rsidR="00A2631A">
        <w:rPr>
          <w:rFonts w:ascii="Arial" w:hAnsi="Arial" w:cs="Arial"/>
        </w:rPr>
        <w:t>)</w:t>
      </w:r>
      <w:r w:rsidRPr="00B87044">
        <w:rPr>
          <w:rFonts w:ascii="Arial" w:hAnsi="Arial" w:cs="Arial"/>
        </w:rPr>
        <w:t>. The ability of plant extracts to serve as powerful antioxidants and, more importantly, to demonstrate direct DNA protective efficacy against oxidative insult, is the strongest verifiable metric of thei</w:t>
      </w:r>
      <w:r w:rsidR="005553DE">
        <w:rPr>
          <w:rFonts w:ascii="Arial" w:hAnsi="Arial" w:cs="Arial"/>
        </w:rPr>
        <w:t>r chemopreventive potential (</w:t>
      </w:r>
      <w:proofErr w:type="spellStart"/>
      <w:r w:rsidR="00B967CB" w:rsidRPr="00B967CB">
        <w:rPr>
          <w:rFonts w:ascii="Arial" w:hAnsi="Arial" w:cs="Arial"/>
        </w:rPr>
        <w:t>Surh</w:t>
      </w:r>
      <w:proofErr w:type="spellEnd"/>
      <w:r w:rsidR="00B967CB" w:rsidRPr="00B967CB">
        <w:rPr>
          <w:rFonts w:ascii="Arial" w:hAnsi="Arial" w:cs="Arial"/>
        </w:rPr>
        <w:t>, 2003</w:t>
      </w:r>
      <w:r w:rsidR="005553DE">
        <w:rPr>
          <w:rFonts w:ascii="Arial" w:hAnsi="Arial" w:cs="Arial"/>
        </w:rPr>
        <w:t>)</w:t>
      </w:r>
      <w:r w:rsidRPr="00B87044">
        <w:rPr>
          <w:rFonts w:ascii="Arial" w:hAnsi="Arial" w:cs="Arial"/>
        </w:rPr>
        <w:t>. By focusing on these mechanisms, the study provides tangible evidence of the species' capacity to intercept the disease process, thereby establishing their therapeutic value independently of direct cytotoxic outcomes.</w:t>
      </w:r>
    </w:p>
    <w:p w14:paraId="2BC8AFCF" w14:textId="77777777" w:rsidR="00790ADA" w:rsidRPr="00FB3A86" w:rsidRDefault="00790ADA" w:rsidP="00B43865">
      <w:pPr>
        <w:pStyle w:val="Body"/>
        <w:spacing w:after="0" w:line="480" w:lineRule="auto"/>
        <w:rPr>
          <w:rFonts w:ascii="Arial" w:hAnsi="Arial" w:cs="Arial"/>
        </w:rPr>
      </w:pPr>
    </w:p>
    <w:p w14:paraId="4D0D5D5C" w14:textId="77777777" w:rsidR="007F7B32" w:rsidRDefault="006B57D0" w:rsidP="00B43865">
      <w:pPr>
        <w:pStyle w:val="AbstHead"/>
        <w:numPr>
          <w:ilvl w:val="0"/>
          <w:numId w:val="37"/>
        </w:numPr>
        <w:spacing w:after="0" w:line="480" w:lineRule="auto"/>
        <w:ind w:left="360"/>
        <w:jc w:val="both"/>
        <w:rPr>
          <w:rFonts w:ascii="Arial" w:hAnsi="Arial" w:cs="Arial"/>
        </w:rPr>
      </w:pPr>
      <w:r>
        <w:rPr>
          <w:rFonts w:ascii="Arial" w:hAnsi="Arial" w:cs="Arial"/>
        </w:rPr>
        <w:t>methodology</w:t>
      </w:r>
    </w:p>
    <w:p w14:paraId="14C35F00" w14:textId="77777777" w:rsidR="00790ADA" w:rsidRPr="00FB3A86" w:rsidRDefault="00790ADA" w:rsidP="00B43865">
      <w:pPr>
        <w:pStyle w:val="AbstHead"/>
        <w:spacing w:after="0" w:line="480" w:lineRule="auto"/>
        <w:jc w:val="both"/>
        <w:rPr>
          <w:rFonts w:ascii="Arial" w:hAnsi="Arial" w:cs="Arial"/>
        </w:rPr>
      </w:pPr>
    </w:p>
    <w:p w14:paraId="26204EE7" w14:textId="77777777" w:rsidR="00B75716" w:rsidRPr="00B75716" w:rsidRDefault="00B75716" w:rsidP="00B43865">
      <w:pPr>
        <w:pStyle w:val="Body"/>
        <w:numPr>
          <w:ilvl w:val="0"/>
          <w:numId w:val="31"/>
        </w:numPr>
        <w:spacing w:line="480" w:lineRule="auto"/>
        <w:ind w:left="360"/>
        <w:rPr>
          <w:rFonts w:ascii="Arial" w:hAnsi="Arial" w:cs="Arial"/>
          <w:b/>
          <w:sz w:val="22"/>
          <w:szCs w:val="22"/>
        </w:rPr>
      </w:pPr>
      <w:r w:rsidRPr="00B75716">
        <w:rPr>
          <w:rFonts w:ascii="Arial" w:hAnsi="Arial" w:cs="Arial"/>
          <w:b/>
          <w:sz w:val="22"/>
          <w:szCs w:val="22"/>
        </w:rPr>
        <w:t>Plant Material Collection and Identification</w:t>
      </w:r>
    </w:p>
    <w:p w14:paraId="407FCDD5" w14:textId="77777777" w:rsidR="00B75716" w:rsidRPr="00B75716" w:rsidRDefault="00B75716" w:rsidP="00B43865">
      <w:pPr>
        <w:pStyle w:val="Body"/>
        <w:spacing w:line="480" w:lineRule="auto"/>
        <w:rPr>
          <w:rFonts w:ascii="Arial" w:hAnsi="Arial" w:cs="Arial"/>
        </w:rPr>
      </w:pPr>
      <w:r w:rsidRPr="00B75716">
        <w:rPr>
          <w:rFonts w:ascii="Arial" w:hAnsi="Arial" w:cs="Arial"/>
        </w:rPr>
        <w:t xml:space="preserve">The plant materials, bitter gourd (Karela) and spiny gourd (Kakora), were procured from a local market in Indore, Madhya Pradesh, India. Species identification was rigorously confirmed through assessment of morphological characteristics and </w:t>
      </w:r>
      <w:r w:rsidRPr="00B75716">
        <w:rPr>
          <w:rFonts w:ascii="Arial" w:hAnsi="Arial" w:cs="Arial"/>
        </w:rPr>
        <w:lastRenderedPageBreak/>
        <w:t>subsequently officially authenticated by the expert faculty within the Botany Department at Holkar Science College, Indore, Madhya Pradesh, India.</w:t>
      </w:r>
    </w:p>
    <w:p w14:paraId="02083D06" w14:textId="77777777" w:rsidR="00B75716" w:rsidRPr="00B147A7" w:rsidRDefault="00B75716" w:rsidP="00B43865">
      <w:pPr>
        <w:pStyle w:val="Body"/>
        <w:numPr>
          <w:ilvl w:val="0"/>
          <w:numId w:val="31"/>
        </w:numPr>
        <w:spacing w:line="480" w:lineRule="auto"/>
        <w:ind w:left="360"/>
        <w:rPr>
          <w:rFonts w:ascii="Arial" w:hAnsi="Arial" w:cs="Arial"/>
          <w:b/>
          <w:sz w:val="22"/>
          <w:szCs w:val="22"/>
        </w:rPr>
      </w:pPr>
      <w:r w:rsidRPr="00B147A7">
        <w:rPr>
          <w:rFonts w:ascii="Arial" w:hAnsi="Arial" w:cs="Arial"/>
          <w:b/>
          <w:sz w:val="22"/>
          <w:szCs w:val="22"/>
        </w:rPr>
        <w:t>Preparation of Plant Extracts</w:t>
      </w:r>
    </w:p>
    <w:p w14:paraId="1119BE17" w14:textId="77777777" w:rsidR="00B75716" w:rsidRPr="00B75716" w:rsidRDefault="00B75716" w:rsidP="00B43865">
      <w:pPr>
        <w:pStyle w:val="Body"/>
        <w:spacing w:line="480" w:lineRule="auto"/>
        <w:rPr>
          <w:rFonts w:ascii="Arial" w:hAnsi="Arial" w:cs="Arial"/>
        </w:rPr>
      </w:pPr>
      <w:r w:rsidRPr="00B75716">
        <w:rPr>
          <w:rFonts w:ascii="Arial" w:hAnsi="Arial" w:cs="Arial"/>
        </w:rPr>
        <w:t>Prior to extraction, the collected Karela and Kakora samples were thoroughly washed under running tap water. For the extraction procedure, a precisely weighed 2 gm sample of each species was accurately weighed and separately homogenized in methanol. The resulting crude homogenates were subjected to a maceration period, being allowed to steep for 12 hours at ambient temperature to maximize the dissolution and release of phytochemical constituents into the solvent.  The resultant solutions were then filtered under gravity using Whatman filter paper to effectively eliminate insoluble particulate matter. The extraction yield for each species was subsequen</w:t>
      </w:r>
      <w:r w:rsidR="00202BF2">
        <w:rPr>
          <w:rFonts w:ascii="Arial" w:hAnsi="Arial" w:cs="Arial"/>
        </w:rPr>
        <w:t>tly determined and recorded (</w:t>
      </w:r>
      <w:r w:rsidR="00202BF2" w:rsidRPr="00202BF2">
        <w:rPr>
          <w:rFonts w:ascii="Arial" w:hAnsi="Arial" w:cs="Arial"/>
        </w:rPr>
        <w:t>Deepali J et al., 2024</w:t>
      </w:r>
      <w:r w:rsidR="00202BF2">
        <w:rPr>
          <w:rFonts w:ascii="Arial" w:hAnsi="Arial" w:cs="Arial"/>
        </w:rPr>
        <w:t>)</w:t>
      </w:r>
      <w:r w:rsidRPr="00B75716">
        <w:rPr>
          <w:rFonts w:ascii="Arial" w:hAnsi="Arial" w:cs="Arial"/>
        </w:rPr>
        <w:t>.</w:t>
      </w:r>
    </w:p>
    <w:p w14:paraId="239E2099" w14:textId="77777777" w:rsidR="00B75716" w:rsidRPr="00912319" w:rsidRDefault="00B75716" w:rsidP="00B43865">
      <w:pPr>
        <w:pStyle w:val="Body"/>
        <w:numPr>
          <w:ilvl w:val="0"/>
          <w:numId w:val="31"/>
        </w:numPr>
        <w:spacing w:line="480" w:lineRule="auto"/>
        <w:ind w:left="360"/>
        <w:rPr>
          <w:rFonts w:ascii="Arial" w:hAnsi="Arial" w:cs="Arial"/>
          <w:b/>
          <w:sz w:val="22"/>
          <w:szCs w:val="22"/>
        </w:rPr>
      </w:pPr>
      <w:r w:rsidRPr="00912319">
        <w:rPr>
          <w:rFonts w:ascii="Arial" w:hAnsi="Arial" w:cs="Arial"/>
          <w:b/>
          <w:sz w:val="22"/>
          <w:szCs w:val="22"/>
        </w:rPr>
        <w:t>Qualitative Phytochemical Screening</w:t>
      </w:r>
    </w:p>
    <w:p w14:paraId="04554675" w14:textId="77777777" w:rsidR="00BE174D" w:rsidRDefault="00B75716" w:rsidP="00B43865">
      <w:pPr>
        <w:pStyle w:val="Body"/>
        <w:spacing w:after="0" w:line="480" w:lineRule="auto"/>
        <w:rPr>
          <w:rFonts w:ascii="Arial" w:hAnsi="Arial" w:cs="Arial"/>
        </w:rPr>
      </w:pPr>
      <w:r w:rsidRPr="00B75716">
        <w:rPr>
          <w:rFonts w:ascii="Arial" w:hAnsi="Arial" w:cs="Arial"/>
        </w:rPr>
        <w:t>Qualitative assays (</w:t>
      </w:r>
      <w:r w:rsidR="005C57AE" w:rsidRPr="005C57AE">
        <w:rPr>
          <w:rFonts w:ascii="Arial" w:hAnsi="Arial" w:cs="Arial"/>
        </w:rPr>
        <w:fldChar w:fldCharType="begin"/>
      </w:r>
      <w:r w:rsidR="005C57AE" w:rsidRPr="005C57AE">
        <w:rPr>
          <w:rFonts w:ascii="Arial" w:hAnsi="Arial" w:cs="Arial"/>
        </w:rPr>
        <w:instrText xml:space="preserve"> REF _Ref216444886 \h  \* MERGEFORMAT </w:instrText>
      </w:r>
      <w:r w:rsidR="005C57AE" w:rsidRPr="005C57AE">
        <w:rPr>
          <w:rFonts w:ascii="Arial" w:hAnsi="Arial" w:cs="Arial"/>
        </w:rPr>
      </w:r>
      <w:r w:rsidR="005C57AE" w:rsidRPr="005C57AE">
        <w:rPr>
          <w:rFonts w:ascii="Arial" w:hAnsi="Arial" w:cs="Arial"/>
        </w:rPr>
        <w:fldChar w:fldCharType="separate"/>
      </w:r>
      <w:r w:rsidR="005C57AE" w:rsidRPr="005C57AE">
        <w:rPr>
          <w:rFonts w:ascii="Arial" w:hAnsi="Arial"/>
        </w:rPr>
        <w:t xml:space="preserve">Table </w:t>
      </w:r>
      <w:r w:rsidR="005C57AE" w:rsidRPr="005C57AE">
        <w:rPr>
          <w:rFonts w:ascii="Arial" w:hAnsi="Arial"/>
          <w:noProof/>
        </w:rPr>
        <w:t>1</w:t>
      </w:r>
      <w:r w:rsidR="005C57AE" w:rsidRPr="005C57AE">
        <w:rPr>
          <w:rFonts w:ascii="Arial" w:hAnsi="Arial" w:cs="Arial"/>
        </w:rPr>
        <w:fldChar w:fldCharType="end"/>
      </w:r>
      <w:r w:rsidRPr="00B75716">
        <w:rPr>
          <w:rFonts w:ascii="Arial" w:hAnsi="Arial" w:cs="Arial"/>
        </w:rPr>
        <w:t>) were systematically conducted on the methanolic extracts of Karela and Kakora to investigate the presen</w:t>
      </w:r>
      <w:r w:rsidR="001E1764">
        <w:rPr>
          <w:rFonts w:ascii="Arial" w:hAnsi="Arial" w:cs="Arial"/>
        </w:rPr>
        <w:t xml:space="preserve">ce of key phytoconstituents </w:t>
      </w:r>
      <w:r w:rsidR="001E1764" w:rsidRPr="001E1764">
        <w:rPr>
          <w:rFonts w:ascii="Arial" w:hAnsi="Arial" w:cs="Arial"/>
        </w:rPr>
        <w:t>(Patel et al., 2023)</w:t>
      </w:r>
      <w:r w:rsidRPr="00B75716">
        <w:rPr>
          <w:rFonts w:ascii="Arial" w:hAnsi="Arial" w:cs="Arial"/>
        </w:rPr>
        <w:t>.</w:t>
      </w:r>
    </w:p>
    <w:p w14:paraId="567CA4CF" w14:textId="77777777" w:rsidR="00D2157B" w:rsidRDefault="00D2157B" w:rsidP="00B43865">
      <w:pPr>
        <w:pStyle w:val="Body"/>
        <w:spacing w:after="0" w:line="480" w:lineRule="auto"/>
        <w:rPr>
          <w:rFonts w:ascii="Arial" w:hAnsi="Arial" w:cs="Arial"/>
        </w:rPr>
      </w:pPr>
    </w:p>
    <w:p w14:paraId="06CB7CC8" w14:textId="77777777" w:rsidR="00D2157B" w:rsidRDefault="00D2157B" w:rsidP="00B43865">
      <w:pPr>
        <w:tabs>
          <w:tab w:val="left" w:pos="1080"/>
        </w:tabs>
        <w:spacing w:line="480" w:lineRule="auto"/>
        <w:jc w:val="both"/>
        <w:rPr>
          <w:rFonts w:ascii="Arial" w:hAnsi="Arial"/>
          <w:b/>
        </w:rPr>
      </w:pPr>
      <w:bookmarkStart w:id="1" w:name="_Ref216444886"/>
      <w:r w:rsidRPr="00D2157B">
        <w:rPr>
          <w:rFonts w:ascii="Arial" w:hAnsi="Arial"/>
          <w:b/>
        </w:rPr>
        <w:t xml:space="preserve">Table </w:t>
      </w:r>
      <w:r w:rsidRPr="00D2157B">
        <w:rPr>
          <w:rFonts w:ascii="Arial" w:hAnsi="Arial"/>
          <w:b/>
        </w:rPr>
        <w:fldChar w:fldCharType="begin"/>
      </w:r>
      <w:r w:rsidRPr="00D2157B">
        <w:rPr>
          <w:rFonts w:ascii="Arial" w:hAnsi="Arial"/>
          <w:b/>
        </w:rPr>
        <w:instrText xml:space="preserve"> SEQ Table \* ARABIC </w:instrText>
      </w:r>
      <w:r w:rsidRPr="00D2157B">
        <w:rPr>
          <w:rFonts w:ascii="Arial" w:hAnsi="Arial"/>
          <w:b/>
        </w:rPr>
        <w:fldChar w:fldCharType="separate"/>
      </w:r>
      <w:r w:rsidR="0032372D">
        <w:rPr>
          <w:rFonts w:ascii="Arial" w:hAnsi="Arial"/>
          <w:b/>
          <w:noProof/>
        </w:rPr>
        <w:t>1</w:t>
      </w:r>
      <w:r w:rsidRPr="00D2157B">
        <w:rPr>
          <w:rFonts w:ascii="Arial" w:hAnsi="Arial"/>
          <w:b/>
        </w:rPr>
        <w:fldChar w:fldCharType="end"/>
      </w:r>
      <w:bookmarkEnd w:id="1"/>
      <w:r w:rsidRPr="00D2157B">
        <w:rPr>
          <w:rFonts w:ascii="Arial" w:hAnsi="Arial"/>
          <w:b/>
        </w:rPr>
        <w:t>.Qualitative Phytochemical Screening of Karela and Kakora Methanolic Extracts.</w:t>
      </w:r>
    </w:p>
    <w:p w14:paraId="477EC77E" w14:textId="77777777" w:rsidR="00473F8F" w:rsidRPr="00D2157B" w:rsidRDefault="00473F8F" w:rsidP="00B43865">
      <w:pPr>
        <w:tabs>
          <w:tab w:val="left" w:pos="1080"/>
        </w:tabs>
        <w:spacing w:line="480" w:lineRule="auto"/>
        <w:jc w:val="both"/>
        <w:rPr>
          <w:rFonts w:ascii="Arial" w:hAnsi="Arial"/>
          <w:b/>
        </w:rPr>
      </w:pP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006"/>
        <w:gridCol w:w="1680"/>
        <w:gridCol w:w="7330"/>
      </w:tblGrid>
      <w:tr w:rsidR="00527642" w14:paraId="0EEAC71A" w14:textId="77777777" w:rsidTr="00E00F75">
        <w:tc>
          <w:tcPr>
            <w:tcW w:w="0" w:type="auto"/>
          </w:tcPr>
          <w:p w14:paraId="65B80782" w14:textId="77777777" w:rsidR="00527642" w:rsidRPr="00527642" w:rsidRDefault="00527642" w:rsidP="00B43865">
            <w:pPr>
              <w:pStyle w:val="MAINTEXT"/>
              <w:spacing w:line="480" w:lineRule="auto"/>
              <w:ind w:left="0" w:firstLine="0"/>
              <w:jc w:val="center"/>
              <w:rPr>
                <w:rFonts w:ascii="Arial" w:hAnsi="Arial" w:cs="Arial"/>
                <w:b/>
                <w:iCs/>
                <w:sz w:val="20"/>
                <w:szCs w:val="20"/>
                <w:lang w:val="tr-TR"/>
              </w:rPr>
            </w:pPr>
            <w:r w:rsidRPr="00527642">
              <w:rPr>
                <w:rFonts w:ascii="Arial" w:hAnsi="Arial" w:cs="Arial"/>
                <w:b/>
                <w:sz w:val="20"/>
                <w:szCs w:val="20"/>
              </w:rPr>
              <w:t>Phytoconstituent</w:t>
            </w:r>
          </w:p>
        </w:tc>
        <w:tc>
          <w:tcPr>
            <w:tcW w:w="0" w:type="auto"/>
          </w:tcPr>
          <w:p w14:paraId="60050527" w14:textId="77777777" w:rsidR="00527642" w:rsidRPr="00527642" w:rsidRDefault="00527642" w:rsidP="00B43865">
            <w:pPr>
              <w:pStyle w:val="MAINTEXT"/>
              <w:spacing w:line="480" w:lineRule="auto"/>
              <w:ind w:left="0" w:firstLine="0"/>
              <w:jc w:val="center"/>
              <w:rPr>
                <w:rFonts w:ascii="Arial" w:hAnsi="Arial" w:cs="Arial"/>
                <w:b/>
                <w:iCs/>
                <w:sz w:val="20"/>
                <w:szCs w:val="20"/>
                <w:lang w:val="tr-TR"/>
              </w:rPr>
            </w:pPr>
            <w:r w:rsidRPr="00527642">
              <w:rPr>
                <w:rFonts w:ascii="Arial" w:hAnsi="Arial" w:cs="Arial"/>
                <w:b/>
                <w:sz w:val="20"/>
                <w:szCs w:val="20"/>
              </w:rPr>
              <w:t>Test Method</w:t>
            </w:r>
          </w:p>
        </w:tc>
        <w:tc>
          <w:tcPr>
            <w:tcW w:w="0" w:type="auto"/>
          </w:tcPr>
          <w:p w14:paraId="3BA39DD5" w14:textId="77777777" w:rsidR="00527642" w:rsidRPr="00527642" w:rsidRDefault="00527642" w:rsidP="00B43865">
            <w:pPr>
              <w:pStyle w:val="MAINTEXT"/>
              <w:spacing w:line="480" w:lineRule="auto"/>
              <w:ind w:left="0" w:firstLine="0"/>
              <w:jc w:val="center"/>
              <w:rPr>
                <w:rFonts w:ascii="Arial" w:hAnsi="Arial" w:cs="Arial"/>
                <w:b/>
                <w:iCs/>
                <w:sz w:val="20"/>
                <w:szCs w:val="20"/>
                <w:lang w:val="tr-TR"/>
              </w:rPr>
            </w:pPr>
            <w:r w:rsidRPr="00527642">
              <w:rPr>
                <w:rFonts w:ascii="Arial" w:hAnsi="Arial" w:cs="Arial"/>
                <w:b/>
                <w:sz w:val="20"/>
                <w:szCs w:val="20"/>
              </w:rPr>
              <w:t>Positive Result</w:t>
            </w:r>
          </w:p>
        </w:tc>
      </w:tr>
      <w:tr w:rsidR="00527642" w14:paraId="744F466F" w14:textId="77777777" w:rsidTr="00E00F75">
        <w:tc>
          <w:tcPr>
            <w:tcW w:w="0" w:type="auto"/>
          </w:tcPr>
          <w:p w14:paraId="5FE4F84D" w14:textId="77777777" w:rsidR="00527642" w:rsidRPr="00527642" w:rsidRDefault="00527642" w:rsidP="00B43865">
            <w:pPr>
              <w:pStyle w:val="MAINTEXT"/>
              <w:spacing w:line="480" w:lineRule="auto"/>
              <w:ind w:left="0" w:firstLine="0"/>
              <w:rPr>
                <w:rFonts w:ascii="Arial" w:hAnsi="Arial" w:cs="Arial"/>
                <w:iCs/>
                <w:sz w:val="20"/>
                <w:szCs w:val="20"/>
                <w:lang w:val="tr-TR"/>
              </w:rPr>
            </w:pPr>
            <w:r w:rsidRPr="00527642">
              <w:rPr>
                <w:rFonts w:ascii="Arial" w:hAnsi="Arial" w:cs="Arial"/>
                <w:sz w:val="20"/>
                <w:szCs w:val="20"/>
              </w:rPr>
              <w:t>Flavonoids</w:t>
            </w:r>
          </w:p>
        </w:tc>
        <w:tc>
          <w:tcPr>
            <w:tcW w:w="0" w:type="auto"/>
          </w:tcPr>
          <w:p w14:paraId="6E16833A" w14:textId="77777777" w:rsidR="00527642" w:rsidRPr="00527642" w:rsidRDefault="00527642" w:rsidP="00B43865">
            <w:pPr>
              <w:pStyle w:val="MAINTEXT"/>
              <w:spacing w:line="480" w:lineRule="auto"/>
              <w:ind w:left="0" w:firstLine="0"/>
              <w:jc w:val="center"/>
              <w:rPr>
                <w:rFonts w:ascii="Arial" w:hAnsi="Arial" w:cs="Arial"/>
                <w:iCs/>
                <w:sz w:val="20"/>
                <w:szCs w:val="20"/>
                <w:lang w:val="tr-TR"/>
              </w:rPr>
            </w:pPr>
            <w:r w:rsidRPr="00527642">
              <w:rPr>
                <w:rFonts w:ascii="Arial" w:hAnsi="Arial" w:cs="Arial"/>
                <w:sz w:val="20"/>
                <w:szCs w:val="20"/>
              </w:rPr>
              <w:t>Alkaline Reagent Test</w:t>
            </w:r>
          </w:p>
        </w:tc>
        <w:tc>
          <w:tcPr>
            <w:tcW w:w="0" w:type="auto"/>
          </w:tcPr>
          <w:p w14:paraId="70B53F6E" w14:textId="77777777" w:rsidR="00527642" w:rsidRPr="00527642" w:rsidRDefault="00527642" w:rsidP="00B43865">
            <w:pPr>
              <w:pStyle w:val="MAINTEXT"/>
              <w:spacing w:line="480" w:lineRule="auto"/>
              <w:ind w:left="0" w:firstLine="0"/>
              <w:rPr>
                <w:rFonts w:ascii="Arial" w:hAnsi="Arial" w:cs="Arial"/>
                <w:iCs/>
                <w:sz w:val="20"/>
                <w:szCs w:val="20"/>
                <w:lang w:val="tr-TR"/>
              </w:rPr>
            </w:pPr>
            <w:r w:rsidRPr="00527642">
              <w:rPr>
                <w:rFonts w:ascii="Arial" w:hAnsi="Arial" w:cs="Arial"/>
                <w:sz w:val="20"/>
                <w:szCs w:val="20"/>
              </w:rPr>
              <w:t>Yellow coloration upon addition of 40% sodium hydroxide.</w:t>
            </w:r>
          </w:p>
        </w:tc>
      </w:tr>
      <w:tr w:rsidR="00527642" w14:paraId="54E80050" w14:textId="77777777" w:rsidTr="00E00F75">
        <w:tc>
          <w:tcPr>
            <w:tcW w:w="0" w:type="auto"/>
          </w:tcPr>
          <w:p w14:paraId="204E0AAF" w14:textId="77777777" w:rsidR="00527642" w:rsidRPr="00527642" w:rsidRDefault="00527642" w:rsidP="00B43865">
            <w:pPr>
              <w:pStyle w:val="MAINTEXT"/>
              <w:spacing w:line="480" w:lineRule="auto"/>
              <w:ind w:left="0" w:firstLine="0"/>
              <w:rPr>
                <w:rFonts w:ascii="Arial" w:hAnsi="Arial" w:cs="Arial"/>
                <w:iCs/>
                <w:sz w:val="20"/>
                <w:szCs w:val="20"/>
                <w:lang w:val="tr-TR"/>
              </w:rPr>
            </w:pPr>
            <w:r w:rsidRPr="00527642">
              <w:rPr>
                <w:rFonts w:ascii="Arial" w:hAnsi="Arial" w:cs="Arial"/>
                <w:sz w:val="20"/>
                <w:szCs w:val="20"/>
              </w:rPr>
              <w:t>Terpenoids/Steroids</w:t>
            </w:r>
          </w:p>
        </w:tc>
        <w:tc>
          <w:tcPr>
            <w:tcW w:w="0" w:type="auto"/>
          </w:tcPr>
          <w:p w14:paraId="6CFCA6E0" w14:textId="77777777" w:rsidR="00527642" w:rsidRPr="00527642" w:rsidRDefault="00527642" w:rsidP="00B43865">
            <w:pPr>
              <w:pStyle w:val="MAINTEXT"/>
              <w:spacing w:line="480" w:lineRule="auto"/>
              <w:ind w:left="0" w:firstLine="0"/>
              <w:jc w:val="center"/>
              <w:rPr>
                <w:rFonts w:ascii="Arial" w:hAnsi="Arial" w:cs="Arial"/>
                <w:iCs/>
                <w:sz w:val="20"/>
                <w:szCs w:val="20"/>
                <w:lang w:val="tr-TR"/>
              </w:rPr>
            </w:pPr>
            <w:r w:rsidRPr="00527642">
              <w:rPr>
                <w:rFonts w:ascii="Arial" w:hAnsi="Arial" w:cs="Arial"/>
                <w:sz w:val="20"/>
                <w:szCs w:val="20"/>
              </w:rPr>
              <w:t>Salkowski Test</w:t>
            </w:r>
          </w:p>
        </w:tc>
        <w:tc>
          <w:tcPr>
            <w:tcW w:w="0" w:type="auto"/>
          </w:tcPr>
          <w:p w14:paraId="339ACE45" w14:textId="77777777" w:rsidR="00527642" w:rsidRPr="00527642" w:rsidRDefault="00527642" w:rsidP="00B43865">
            <w:pPr>
              <w:pStyle w:val="MAINTEXT"/>
              <w:spacing w:line="480" w:lineRule="auto"/>
              <w:ind w:left="0" w:firstLine="0"/>
              <w:rPr>
                <w:rFonts w:ascii="Arial" w:hAnsi="Arial" w:cs="Arial"/>
                <w:iCs/>
                <w:sz w:val="20"/>
                <w:szCs w:val="20"/>
                <w:lang w:val="tr-TR"/>
              </w:rPr>
            </w:pPr>
            <w:r w:rsidRPr="00527642">
              <w:rPr>
                <w:rFonts w:ascii="Arial" w:hAnsi="Arial" w:cs="Arial"/>
                <w:sz w:val="20"/>
                <w:szCs w:val="20"/>
              </w:rPr>
              <w:t>Reddish-brown ring formation at the interface after mixing with chloroform and concentrated sulfuric acid (due to compound dehydration).</w:t>
            </w:r>
          </w:p>
        </w:tc>
      </w:tr>
      <w:tr w:rsidR="00527642" w14:paraId="163F41A3" w14:textId="77777777" w:rsidTr="00E00F75">
        <w:tc>
          <w:tcPr>
            <w:tcW w:w="0" w:type="auto"/>
          </w:tcPr>
          <w:p w14:paraId="6360CF55" w14:textId="77777777" w:rsidR="00527642" w:rsidRPr="00527642" w:rsidRDefault="00527642" w:rsidP="00B43865">
            <w:pPr>
              <w:pStyle w:val="MAINTEXT"/>
              <w:spacing w:line="480" w:lineRule="auto"/>
              <w:ind w:left="0" w:firstLine="0"/>
              <w:rPr>
                <w:rFonts w:ascii="Arial" w:hAnsi="Arial" w:cs="Arial"/>
                <w:iCs/>
                <w:sz w:val="20"/>
                <w:szCs w:val="20"/>
                <w:lang w:val="tr-TR"/>
              </w:rPr>
            </w:pPr>
            <w:r w:rsidRPr="00527642">
              <w:rPr>
                <w:rFonts w:ascii="Arial" w:hAnsi="Arial" w:cs="Arial"/>
                <w:sz w:val="20"/>
                <w:szCs w:val="20"/>
              </w:rPr>
              <w:t>Saponins</w:t>
            </w:r>
          </w:p>
        </w:tc>
        <w:tc>
          <w:tcPr>
            <w:tcW w:w="0" w:type="auto"/>
          </w:tcPr>
          <w:p w14:paraId="13FEDAA8" w14:textId="77777777" w:rsidR="00527642" w:rsidRPr="00527642" w:rsidRDefault="00527642" w:rsidP="00B43865">
            <w:pPr>
              <w:pStyle w:val="MAINTEXT"/>
              <w:spacing w:line="480" w:lineRule="auto"/>
              <w:ind w:left="0" w:firstLine="0"/>
              <w:jc w:val="center"/>
              <w:rPr>
                <w:rFonts w:ascii="Arial" w:hAnsi="Arial" w:cs="Arial"/>
                <w:iCs/>
                <w:sz w:val="20"/>
                <w:szCs w:val="20"/>
                <w:lang w:val="tr-TR"/>
              </w:rPr>
            </w:pPr>
            <w:r w:rsidRPr="00527642">
              <w:rPr>
                <w:rFonts w:ascii="Arial" w:hAnsi="Arial" w:cs="Arial"/>
                <w:sz w:val="20"/>
                <w:szCs w:val="20"/>
              </w:rPr>
              <w:t>Foam Test</w:t>
            </w:r>
          </w:p>
        </w:tc>
        <w:tc>
          <w:tcPr>
            <w:tcW w:w="0" w:type="auto"/>
          </w:tcPr>
          <w:p w14:paraId="33170C4A" w14:textId="77777777" w:rsidR="00527642" w:rsidRPr="00527642" w:rsidRDefault="00527642" w:rsidP="00B43865">
            <w:pPr>
              <w:pStyle w:val="MAINTEXT"/>
              <w:spacing w:line="480" w:lineRule="auto"/>
              <w:ind w:left="0" w:firstLine="0"/>
              <w:rPr>
                <w:rFonts w:ascii="Arial" w:hAnsi="Arial" w:cs="Arial"/>
                <w:iCs/>
                <w:sz w:val="20"/>
                <w:szCs w:val="20"/>
                <w:lang w:val="tr-TR"/>
              </w:rPr>
            </w:pPr>
            <w:r w:rsidRPr="00527642">
              <w:rPr>
                <w:rFonts w:ascii="Arial" w:hAnsi="Arial" w:cs="Arial"/>
                <w:sz w:val="20"/>
                <w:szCs w:val="20"/>
              </w:rPr>
              <w:t>Formation of persistent foam for a minimum of 30 seconds after vigorous shaking with distilled water.</w:t>
            </w:r>
          </w:p>
        </w:tc>
      </w:tr>
      <w:tr w:rsidR="00527642" w14:paraId="3883DE1F" w14:textId="77777777" w:rsidTr="00E00F75">
        <w:tc>
          <w:tcPr>
            <w:tcW w:w="0" w:type="auto"/>
          </w:tcPr>
          <w:p w14:paraId="13C5BA06" w14:textId="77777777" w:rsidR="00527642" w:rsidRPr="00527642" w:rsidRDefault="00527642" w:rsidP="00B43865">
            <w:pPr>
              <w:pStyle w:val="MAINTEXT"/>
              <w:spacing w:line="480" w:lineRule="auto"/>
              <w:ind w:left="0" w:firstLine="0"/>
              <w:rPr>
                <w:rFonts w:ascii="Arial" w:hAnsi="Arial" w:cs="Arial"/>
                <w:iCs/>
                <w:sz w:val="20"/>
                <w:szCs w:val="20"/>
                <w:lang w:val="tr-TR"/>
              </w:rPr>
            </w:pPr>
            <w:r w:rsidRPr="00527642">
              <w:rPr>
                <w:rFonts w:ascii="Arial" w:hAnsi="Arial" w:cs="Arial"/>
                <w:sz w:val="20"/>
                <w:szCs w:val="20"/>
              </w:rPr>
              <w:t>Tannins</w:t>
            </w:r>
          </w:p>
        </w:tc>
        <w:tc>
          <w:tcPr>
            <w:tcW w:w="0" w:type="auto"/>
          </w:tcPr>
          <w:p w14:paraId="237E2750" w14:textId="77777777" w:rsidR="00527642" w:rsidRPr="00527642" w:rsidRDefault="00527642" w:rsidP="00B43865">
            <w:pPr>
              <w:pStyle w:val="MAINTEXT"/>
              <w:spacing w:line="480" w:lineRule="auto"/>
              <w:ind w:left="0" w:firstLine="0"/>
              <w:jc w:val="center"/>
              <w:rPr>
                <w:rFonts w:ascii="Arial" w:hAnsi="Arial" w:cs="Arial"/>
                <w:iCs/>
                <w:sz w:val="20"/>
                <w:szCs w:val="20"/>
                <w:lang w:val="tr-TR"/>
              </w:rPr>
            </w:pPr>
            <w:r w:rsidRPr="00527642">
              <w:rPr>
                <w:rFonts w:ascii="Arial" w:hAnsi="Arial" w:cs="Arial"/>
                <w:sz w:val="20"/>
                <w:szCs w:val="20"/>
              </w:rPr>
              <w:t>Braymer’s test</w:t>
            </w:r>
          </w:p>
        </w:tc>
        <w:tc>
          <w:tcPr>
            <w:tcW w:w="0" w:type="auto"/>
          </w:tcPr>
          <w:p w14:paraId="39B6E534" w14:textId="77777777" w:rsidR="00527642" w:rsidRPr="00527642" w:rsidRDefault="00527642" w:rsidP="00B43865">
            <w:pPr>
              <w:pStyle w:val="MAINTEXT"/>
              <w:spacing w:line="480" w:lineRule="auto"/>
              <w:ind w:left="0" w:firstLine="0"/>
              <w:rPr>
                <w:rFonts w:ascii="Arial" w:hAnsi="Arial" w:cs="Arial"/>
                <w:iCs/>
                <w:sz w:val="20"/>
                <w:szCs w:val="20"/>
                <w:lang w:val="tr-TR"/>
              </w:rPr>
            </w:pPr>
            <w:r w:rsidRPr="00527642">
              <w:rPr>
                <w:rFonts w:ascii="Arial" w:hAnsi="Arial" w:cs="Arial"/>
                <w:sz w:val="20"/>
                <w:szCs w:val="20"/>
              </w:rPr>
              <w:t>Development of a deep blue color following the addition of 10% FeCl</w:t>
            </w:r>
            <w:r w:rsidRPr="00527642">
              <w:rPr>
                <w:rFonts w:ascii="Arial" w:hAnsi="Arial" w:cs="Arial"/>
                <w:sz w:val="20"/>
                <w:szCs w:val="20"/>
                <w:vertAlign w:val="subscript"/>
              </w:rPr>
              <w:t>3</w:t>
            </w:r>
            <w:r w:rsidRPr="00527642">
              <w:rPr>
                <w:rFonts w:ascii="Arial" w:hAnsi="Arial" w:cs="Arial"/>
                <w:sz w:val="20"/>
                <w:szCs w:val="20"/>
              </w:rPr>
              <w:t>.</w:t>
            </w:r>
          </w:p>
        </w:tc>
      </w:tr>
      <w:tr w:rsidR="00527642" w14:paraId="523242B1" w14:textId="77777777" w:rsidTr="00E00F75">
        <w:tc>
          <w:tcPr>
            <w:tcW w:w="0" w:type="auto"/>
          </w:tcPr>
          <w:p w14:paraId="35ED2A1F" w14:textId="77777777" w:rsidR="00527642" w:rsidRPr="00527642" w:rsidRDefault="00527642" w:rsidP="00B43865">
            <w:pPr>
              <w:pStyle w:val="MAINTEXT"/>
              <w:spacing w:line="480" w:lineRule="auto"/>
              <w:ind w:left="0" w:firstLine="0"/>
              <w:rPr>
                <w:rFonts w:ascii="Arial" w:hAnsi="Arial" w:cs="Arial"/>
                <w:iCs/>
                <w:sz w:val="20"/>
                <w:szCs w:val="20"/>
                <w:lang w:val="tr-TR"/>
              </w:rPr>
            </w:pPr>
            <w:r w:rsidRPr="00527642">
              <w:rPr>
                <w:rFonts w:ascii="Arial" w:hAnsi="Arial" w:cs="Arial"/>
                <w:sz w:val="20"/>
                <w:szCs w:val="20"/>
              </w:rPr>
              <w:t>Polyphenols</w:t>
            </w:r>
          </w:p>
        </w:tc>
        <w:tc>
          <w:tcPr>
            <w:tcW w:w="0" w:type="auto"/>
          </w:tcPr>
          <w:p w14:paraId="6675BF73" w14:textId="77777777" w:rsidR="00527642" w:rsidRPr="00527642" w:rsidRDefault="00527642" w:rsidP="00B43865">
            <w:pPr>
              <w:pStyle w:val="MAINTEXT"/>
              <w:spacing w:line="480" w:lineRule="auto"/>
              <w:ind w:left="0" w:firstLine="0"/>
              <w:jc w:val="center"/>
              <w:rPr>
                <w:rFonts w:ascii="Arial" w:hAnsi="Arial" w:cs="Arial"/>
                <w:iCs/>
                <w:sz w:val="20"/>
                <w:szCs w:val="20"/>
                <w:lang w:val="tr-TR"/>
              </w:rPr>
            </w:pPr>
            <w:r w:rsidRPr="00527642">
              <w:rPr>
                <w:rFonts w:ascii="Arial" w:hAnsi="Arial" w:cs="Arial"/>
                <w:sz w:val="20"/>
                <w:szCs w:val="20"/>
              </w:rPr>
              <w:t>Ferric Chloride Test</w:t>
            </w:r>
          </w:p>
        </w:tc>
        <w:tc>
          <w:tcPr>
            <w:tcW w:w="0" w:type="auto"/>
          </w:tcPr>
          <w:p w14:paraId="4E3E96F6" w14:textId="77777777" w:rsidR="00527642" w:rsidRPr="00527642" w:rsidRDefault="00527642" w:rsidP="00B43865">
            <w:pPr>
              <w:pStyle w:val="MAINTEXT"/>
              <w:spacing w:line="480" w:lineRule="auto"/>
              <w:ind w:left="0" w:firstLine="0"/>
              <w:rPr>
                <w:rFonts w:ascii="Arial" w:hAnsi="Arial" w:cs="Arial"/>
                <w:iCs/>
                <w:sz w:val="20"/>
                <w:szCs w:val="20"/>
                <w:lang w:val="tr-TR"/>
              </w:rPr>
            </w:pPr>
            <w:r w:rsidRPr="00527642">
              <w:rPr>
                <w:rFonts w:ascii="Arial" w:hAnsi="Arial" w:cs="Arial"/>
                <w:sz w:val="20"/>
                <w:szCs w:val="20"/>
              </w:rPr>
              <w:t>Formation of a deep blue color upon heating the extract with 5% FeCl</w:t>
            </w:r>
            <w:r w:rsidRPr="00527642">
              <w:rPr>
                <w:rFonts w:ascii="Arial" w:hAnsi="Arial" w:cs="Arial"/>
                <w:sz w:val="20"/>
                <w:szCs w:val="20"/>
                <w:vertAlign w:val="subscript"/>
              </w:rPr>
              <w:t>3</w:t>
            </w:r>
            <w:r w:rsidRPr="00527642">
              <w:rPr>
                <w:rFonts w:ascii="Arial" w:hAnsi="Arial" w:cs="Arial"/>
                <w:sz w:val="20"/>
                <w:szCs w:val="20"/>
              </w:rPr>
              <w:t>.</w:t>
            </w:r>
          </w:p>
        </w:tc>
      </w:tr>
      <w:tr w:rsidR="00527642" w14:paraId="50F46042" w14:textId="77777777" w:rsidTr="00E00F75">
        <w:tc>
          <w:tcPr>
            <w:tcW w:w="0" w:type="auto"/>
          </w:tcPr>
          <w:p w14:paraId="6D356CA5" w14:textId="77777777" w:rsidR="00527642" w:rsidRPr="00527642" w:rsidRDefault="00527642" w:rsidP="00B43865">
            <w:pPr>
              <w:pStyle w:val="MAINTEXT"/>
              <w:spacing w:line="480" w:lineRule="auto"/>
              <w:ind w:left="0" w:firstLine="0"/>
              <w:rPr>
                <w:rFonts w:ascii="Arial" w:hAnsi="Arial" w:cs="Arial"/>
                <w:iCs/>
                <w:sz w:val="20"/>
                <w:szCs w:val="20"/>
                <w:lang w:val="tr-TR"/>
              </w:rPr>
            </w:pPr>
            <w:r w:rsidRPr="00527642">
              <w:rPr>
                <w:rFonts w:ascii="Arial" w:hAnsi="Arial" w:cs="Arial"/>
                <w:sz w:val="20"/>
                <w:szCs w:val="20"/>
              </w:rPr>
              <w:lastRenderedPageBreak/>
              <w:t>Glycosides</w:t>
            </w:r>
          </w:p>
        </w:tc>
        <w:tc>
          <w:tcPr>
            <w:tcW w:w="0" w:type="auto"/>
          </w:tcPr>
          <w:p w14:paraId="3595E8CF" w14:textId="77777777" w:rsidR="00527642" w:rsidRPr="00527642" w:rsidRDefault="00527642" w:rsidP="00B43865">
            <w:pPr>
              <w:pStyle w:val="MAINTEXT"/>
              <w:spacing w:line="480" w:lineRule="auto"/>
              <w:ind w:left="0" w:firstLine="0"/>
              <w:jc w:val="center"/>
              <w:rPr>
                <w:rFonts w:ascii="Arial" w:hAnsi="Arial" w:cs="Arial"/>
                <w:iCs/>
                <w:sz w:val="20"/>
                <w:szCs w:val="20"/>
                <w:lang w:val="tr-TR"/>
              </w:rPr>
            </w:pPr>
            <w:r w:rsidRPr="00527642">
              <w:rPr>
                <w:rFonts w:ascii="Arial" w:hAnsi="Arial" w:cs="Arial"/>
                <w:sz w:val="20"/>
                <w:szCs w:val="20"/>
              </w:rPr>
              <w:t>Keller-Kiliani Test</w:t>
            </w:r>
          </w:p>
        </w:tc>
        <w:tc>
          <w:tcPr>
            <w:tcW w:w="0" w:type="auto"/>
          </w:tcPr>
          <w:p w14:paraId="53111235" w14:textId="77777777" w:rsidR="00527642" w:rsidRPr="00527642" w:rsidRDefault="00527642" w:rsidP="00B43865">
            <w:pPr>
              <w:pStyle w:val="MAINTEXT"/>
              <w:spacing w:line="480" w:lineRule="auto"/>
              <w:ind w:left="0" w:firstLine="0"/>
              <w:rPr>
                <w:rFonts w:ascii="Arial" w:hAnsi="Arial" w:cs="Arial"/>
                <w:iCs/>
                <w:sz w:val="20"/>
                <w:szCs w:val="20"/>
                <w:lang w:val="tr-TR"/>
              </w:rPr>
            </w:pPr>
            <w:r w:rsidRPr="00527642">
              <w:rPr>
                <w:rFonts w:ascii="Arial" w:hAnsi="Arial" w:cs="Arial"/>
                <w:sz w:val="20"/>
                <w:szCs w:val="20"/>
              </w:rPr>
              <w:t>Formation of a reddish-brown ring at the interface after sequential treatment with glacial acetic acid, 5% FeCl</w:t>
            </w:r>
            <w:r w:rsidRPr="00527642">
              <w:rPr>
                <w:rFonts w:ascii="Arial" w:hAnsi="Arial" w:cs="Arial"/>
                <w:sz w:val="20"/>
                <w:szCs w:val="20"/>
                <w:vertAlign w:val="subscript"/>
              </w:rPr>
              <w:t>3</w:t>
            </w:r>
            <w:r w:rsidRPr="00527642">
              <w:rPr>
                <w:rFonts w:ascii="Arial" w:hAnsi="Arial" w:cs="Arial"/>
                <w:sz w:val="20"/>
                <w:szCs w:val="20"/>
              </w:rPr>
              <w:t>, and concentrated sulfuric acid.</w:t>
            </w:r>
          </w:p>
        </w:tc>
      </w:tr>
      <w:tr w:rsidR="00527642" w14:paraId="69EFF002" w14:textId="77777777" w:rsidTr="00E00F75">
        <w:tc>
          <w:tcPr>
            <w:tcW w:w="0" w:type="auto"/>
          </w:tcPr>
          <w:p w14:paraId="4A1D981F" w14:textId="77777777" w:rsidR="00527642" w:rsidRPr="00527642" w:rsidRDefault="00527642" w:rsidP="00B43865">
            <w:pPr>
              <w:pStyle w:val="MAINTEXT"/>
              <w:spacing w:line="480" w:lineRule="auto"/>
              <w:ind w:left="0" w:firstLine="0"/>
              <w:rPr>
                <w:rFonts w:ascii="Arial" w:hAnsi="Arial" w:cs="Arial"/>
                <w:iCs/>
                <w:sz w:val="20"/>
                <w:szCs w:val="20"/>
                <w:lang w:val="tr-TR"/>
              </w:rPr>
            </w:pPr>
            <w:r w:rsidRPr="00527642">
              <w:rPr>
                <w:rFonts w:ascii="Arial" w:hAnsi="Arial" w:cs="Arial"/>
                <w:sz w:val="20"/>
                <w:szCs w:val="20"/>
                <w:lang w:val="en-US"/>
              </w:rPr>
              <w:t>Alkaloids</w:t>
            </w:r>
          </w:p>
        </w:tc>
        <w:tc>
          <w:tcPr>
            <w:tcW w:w="0" w:type="auto"/>
          </w:tcPr>
          <w:p w14:paraId="6C61B66D" w14:textId="77777777" w:rsidR="00527642" w:rsidRPr="00527642" w:rsidRDefault="00527642" w:rsidP="00B43865">
            <w:pPr>
              <w:pStyle w:val="BodyText"/>
              <w:spacing w:before="91" w:line="480" w:lineRule="auto"/>
              <w:jc w:val="center"/>
              <w:rPr>
                <w:rFonts w:ascii="Arial" w:hAnsi="Arial" w:cs="Arial"/>
                <w:sz w:val="20"/>
                <w:szCs w:val="20"/>
              </w:rPr>
            </w:pPr>
            <w:r w:rsidRPr="00527642">
              <w:rPr>
                <w:rFonts w:ascii="Arial" w:hAnsi="Arial" w:cs="Arial"/>
                <w:sz w:val="20"/>
                <w:szCs w:val="20"/>
              </w:rPr>
              <w:t>Wagner's Reagent</w:t>
            </w:r>
          </w:p>
          <w:p w14:paraId="7BA05347" w14:textId="77777777" w:rsidR="00527642" w:rsidRPr="00527642" w:rsidRDefault="00527642" w:rsidP="00B43865">
            <w:pPr>
              <w:pStyle w:val="MAINTEXT"/>
              <w:spacing w:line="480" w:lineRule="auto"/>
              <w:ind w:left="0" w:firstLine="0"/>
              <w:jc w:val="center"/>
              <w:rPr>
                <w:rFonts w:ascii="Arial" w:hAnsi="Arial" w:cs="Arial"/>
                <w:iCs/>
                <w:sz w:val="20"/>
                <w:szCs w:val="20"/>
                <w:lang w:val="tr-TR"/>
              </w:rPr>
            </w:pPr>
            <w:r w:rsidRPr="00527642">
              <w:rPr>
                <w:rFonts w:ascii="Arial" w:hAnsi="Arial" w:cs="Arial"/>
                <w:sz w:val="20"/>
                <w:szCs w:val="20"/>
                <w:lang w:val="en-US"/>
              </w:rPr>
              <w:t>Mayer's Reagent</w:t>
            </w:r>
          </w:p>
        </w:tc>
        <w:tc>
          <w:tcPr>
            <w:tcW w:w="0" w:type="auto"/>
          </w:tcPr>
          <w:p w14:paraId="50A7C959" w14:textId="77777777" w:rsidR="00527642" w:rsidRPr="00527642" w:rsidRDefault="00527642" w:rsidP="00B43865">
            <w:pPr>
              <w:pStyle w:val="BodyText"/>
              <w:spacing w:before="91" w:line="480" w:lineRule="auto"/>
              <w:rPr>
                <w:rFonts w:ascii="Arial" w:hAnsi="Arial" w:cs="Arial"/>
                <w:sz w:val="20"/>
                <w:szCs w:val="20"/>
              </w:rPr>
            </w:pPr>
            <w:r w:rsidRPr="00527642">
              <w:rPr>
                <w:rFonts w:ascii="Arial" w:hAnsi="Arial" w:cs="Arial"/>
                <w:sz w:val="20"/>
                <w:szCs w:val="20"/>
              </w:rPr>
              <w:t>Formation of a brown precipitate.</w:t>
            </w:r>
          </w:p>
          <w:p w14:paraId="4FE42D3A" w14:textId="77777777" w:rsidR="00E00F75" w:rsidRDefault="00E00F75" w:rsidP="00B43865">
            <w:pPr>
              <w:pStyle w:val="MAINTEXT"/>
              <w:spacing w:line="480" w:lineRule="auto"/>
              <w:ind w:left="0" w:firstLine="0"/>
              <w:rPr>
                <w:rFonts w:ascii="Arial" w:hAnsi="Arial" w:cs="Arial"/>
                <w:sz w:val="20"/>
                <w:szCs w:val="20"/>
                <w:lang w:val="en-US"/>
              </w:rPr>
            </w:pPr>
          </w:p>
          <w:p w14:paraId="7FA7F85C" w14:textId="77777777" w:rsidR="00527642" w:rsidRPr="00527642" w:rsidRDefault="00527642" w:rsidP="00B43865">
            <w:pPr>
              <w:pStyle w:val="MAINTEXT"/>
              <w:spacing w:line="480" w:lineRule="auto"/>
              <w:ind w:left="0" w:firstLine="0"/>
              <w:rPr>
                <w:rFonts w:ascii="Arial" w:hAnsi="Arial" w:cs="Arial"/>
                <w:iCs/>
                <w:sz w:val="20"/>
                <w:szCs w:val="20"/>
                <w:lang w:val="tr-TR"/>
              </w:rPr>
            </w:pPr>
            <w:r w:rsidRPr="00527642">
              <w:rPr>
                <w:rFonts w:ascii="Arial" w:hAnsi="Arial" w:cs="Arial"/>
                <w:sz w:val="20"/>
                <w:szCs w:val="20"/>
                <w:lang w:val="en-US"/>
              </w:rPr>
              <w:t>Formation of a cream-colored precipitate.</w:t>
            </w:r>
          </w:p>
        </w:tc>
      </w:tr>
      <w:tr w:rsidR="00527642" w14:paraId="20E0B960" w14:textId="77777777" w:rsidTr="00E00F75">
        <w:tc>
          <w:tcPr>
            <w:tcW w:w="0" w:type="auto"/>
          </w:tcPr>
          <w:p w14:paraId="34D7700B" w14:textId="77777777" w:rsidR="00527642" w:rsidRPr="00527642" w:rsidRDefault="00527642" w:rsidP="00B43865">
            <w:pPr>
              <w:pStyle w:val="MAINTEXT"/>
              <w:spacing w:line="480" w:lineRule="auto"/>
              <w:ind w:left="0" w:firstLine="0"/>
              <w:rPr>
                <w:rFonts w:ascii="Arial" w:hAnsi="Arial" w:cs="Arial"/>
                <w:sz w:val="20"/>
                <w:szCs w:val="20"/>
              </w:rPr>
            </w:pPr>
            <w:r w:rsidRPr="00527642">
              <w:rPr>
                <w:rFonts w:ascii="Arial" w:hAnsi="Arial" w:cs="Arial"/>
                <w:sz w:val="20"/>
                <w:szCs w:val="20"/>
                <w:lang w:val="en-US"/>
              </w:rPr>
              <w:t>Protein</w:t>
            </w:r>
          </w:p>
        </w:tc>
        <w:tc>
          <w:tcPr>
            <w:tcW w:w="0" w:type="auto"/>
          </w:tcPr>
          <w:p w14:paraId="47F21E60" w14:textId="77777777" w:rsidR="00527642" w:rsidRPr="00527642" w:rsidRDefault="00527642" w:rsidP="00B43865">
            <w:pPr>
              <w:pStyle w:val="MAINTEXT"/>
              <w:spacing w:line="480" w:lineRule="auto"/>
              <w:ind w:left="0" w:firstLine="0"/>
              <w:jc w:val="center"/>
              <w:rPr>
                <w:rFonts w:ascii="Arial" w:hAnsi="Arial" w:cs="Arial"/>
                <w:sz w:val="20"/>
                <w:szCs w:val="20"/>
              </w:rPr>
            </w:pPr>
            <w:r w:rsidRPr="00527642">
              <w:rPr>
                <w:rFonts w:ascii="Arial" w:hAnsi="Arial" w:cs="Arial"/>
                <w:sz w:val="20"/>
                <w:szCs w:val="20"/>
                <w:lang w:val="en-US"/>
              </w:rPr>
              <w:t>Biuret Test</w:t>
            </w:r>
          </w:p>
        </w:tc>
        <w:tc>
          <w:tcPr>
            <w:tcW w:w="0" w:type="auto"/>
          </w:tcPr>
          <w:p w14:paraId="2E84348C" w14:textId="77777777" w:rsidR="00527642" w:rsidRPr="00527642" w:rsidRDefault="00527642" w:rsidP="00B43865">
            <w:pPr>
              <w:pStyle w:val="MAINTEXT"/>
              <w:spacing w:line="480" w:lineRule="auto"/>
              <w:ind w:left="0" w:firstLine="0"/>
              <w:rPr>
                <w:rFonts w:ascii="Arial" w:hAnsi="Arial" w:cs="Arial"/>
                <w:iCs/>
                <w:sz w:val="20"/>
                <w:szCs w:val="20"/>
                <w:lang w:val="tr-TR"/>
              </w:rPr>
            </w:pPr>
            <w:r w:rsidRPr="00527642">
              <w:rPr>
                <w:rFonts w:ascii="Arial" w:hAnsi="Arial" w:cs="Arial"/>
                <w:sz w:val="20"/>
                <w:szCs w:val="20"/>
                <w:lang w:val="en-US"/>
              </w:rPr>
              <w:t>Violet or purple color development upon adding Biuret reagent (indicating the presence of peptide bonds).</w:t>
            </w:r>
          </w:p>
        </w:tc>
      </w:tr>
      <w:tr w:rsidR="00527642" w14:paraId="55A2B028" w14:textId="77777777" w:rsidTr="00E00F75">
        <w:tc>
          <w:tcPr>
            <w:tcW w:w="0" w:type="auto"/>
          </w:tcPr>
          <w:p w14:paraId="68345B88" w14:textId="77777777" w:rsidR="00527642" w:rsidRPr="00527642" w:rsidRDefault="00527642" w:rsidP="00B43865">
            <w:pPr>
              <w:pStyle w:val="MAINTEXT"/>
              <w:spacing w:line="480" w:lineRule="auto"/>
              <w:ind w:left="0" w:firstLine="0"/>
              <w:rPr>
                <w:rFonts w:ascii="Arial" w:hAnsi="Arial" w:cs="Arial"/>
                <w:sz w:val="20"/>
                <w:szCs w:val="20"/>
              </w:rPr>
            </w:pPr>
            <w:r w:rsidRPr="00527642">
              <w:rPr>
                <w:rFonts w:ascii="Arial" w:hAnsi="Arial" w:cs="Arial"/>
                <w:sz w:val="20"/>
                <w:szCs w:val="20"/>
                <w:lang w:val="en-US"/>
              </w:rPr>
              <w:t>Reducing Sugar</w:t>
            </w:r>
          </w:p>
        </w:tc>
        <w:tc>
          <w:tcPr>
            <w:tcW w:w="0" w:type="auto"/>
          </w:tcPr>
          <w:p w14:paraId="3BA8716F" w14:textId="77777777" w:rsidR="00527642" w:rsidRPr="00527642" w:rsidRDefault="00527642" w:rsidP="00B43865">
            <w:pPr>
              <w:pStyle w:val="MAINTEXT"/>
              <w:spacing w:line="480" w:lineRule="auto"/>
              <w:ind w:left="0" w:firstLine="0"/>
              <w:jc w:val="center"/>
              <w:rPr>
                <w:rFonts w:ascii="Arial" w:hAnsi="Arial" w:cs="Arial"/>
                <w:sz w:val="20"/>
                <w:szCs w:val="20"/>
              </w:rPr>
            </w:pPr>
            <w:r w:rsidRPr="00527642">
              <w:rPr>
                <w:rFonts w:ascii="Arial" w:hAnsi="Arial" w:cs="Arial"/>
                <w:sz w:val="20"/>
                <w:szCs w:val="20"/>
                <w:lang w:val="en-US"/>
              </w:rPr>
              <w:t>Benedict’s Test</w:t>
            </w:r>
          </w:p>
        </w:tc>
        <w:tc>
          <w:tcPr>
            <w:tcW w:w="0" w:type="auto"/>
          </w:tcPr>
          <w:p w14:paraId="481480EC" w14:textId="77777777" w:rsidR="00527642" w:rsidRPr="00527642" w:rsidRDefault="00527642" w:rsidP="00B43865">
            <w:pPr>
              <w:pStyle w:val="MAINTEXT"/>
              <w:spacing w:line="480" w:lineRule="auto"/>
              <w:ind w:left="0" w:firstLine="0"/>
              <w:rPr>
                <w:rFonts w:ascii="Arial" w:hAnsi="Arial" w:cs="Arial"/>
                <w:iCs/>
                <w:sz w:val="20"/>
                <w:szCs w:val="20"/>
                <w:lang w:val="tr-TR"/>
              </w:rPr>
            </w:pPr>
            <w:r w:rsidRPr="00527642">
              <w:rPr>
                <w:rFonts w:ascii="Arial" w:hAnsi="Arial" w:cs="Arial"/>
                <w:sz w:val="20"/>
                <w:szCs w:val="20"/>
                <w:lang w:val="en-US"/>
              </w:rPr>
              <w:t>Color change from blue to green, yellow, orange, or brick-red precipitate upon heating with Benedict's reagent.</w:t>
            </w:r>
          </w:p>
        </w:tc>
      </w:tr>
    </w:tbl>
    <w:p w14:paraId="5D4CC0E0" w14:textId="77777777" w:rsidR="00407B88" w:rsidRDefault="00407B88" w:rsidP="00B43865">
      <w:pPr>
        <w:pStyle w:val="Body"/>
        <w:spacing w:after="0" w:line="480" w:lineRule="auto"/>
        <w:rPr>
          <w:rFonts w:ascii="Arial" w:hAnsi="Arial" w:cs="Arial"/>
        </w:rPr>
      </w:pPr>
    </w:p>
    <w:p w14:paraId="6490431D" w14:textId="77777777" w:rsidR="006B3E05" w:rsidRPr="00C42C42" w:rsidRDefault="006B3E05" w:rsidP="00B43865">
      <w:pPr>
        <w:pStyle w:val="Body"/>
        <w:numPr>
          <w:ilvl w:val="0"/>
          <w:numId w:val="31"/>
        </w:numPr>
        <w:spacing w:line="480" w:lineRule="auto"/>
        <w:ind w:left="360"/>
        <w:rPr>
          <w:rFonts w:ascii="Arial" w:hAnsi="Arial" w:cs="Arial"/>
          <w:b/>
          <w:sz w:val="22"/>
          <w:szCs w:val="22"/>
        </w:rPr>
      </w:pPr>
      <w:r w:rsidRPr="00C42C42">
        <w:rPr>
          <w:rFonts w:ascii="Arial" w:hAnsi="Arial" w:cs="Arial"/>
          <w:b/>
          <w:sz w:val="22"/>
          <w:szCs w:val="22"/>
        </w:rPr>
        <w:t>Thin Layer Chromatography (TLC) Analysis for Identification of Phytochemicals</w:t>
      </w:r>
    </w:p>
    <w:p w14:paraId="0D6BA567" w14:textId="77777777" w:rsidR="006B3E05" w:rsidRDefault="006B3E05" w:rsidP="00B43865">
      <w:pPr>
        <w:pStyle w:val="Body"/>
        <w:spacing w:line="480" w:lineRule="auto"/>
        <w:rPr>
          <w:rFonts w:ascii="Arial" w:hAnsi="Arial" w:cs="Arial"/>
        </w:rPr>
      </w:pPr>
      <w:r w:rsidRPr="006B3E05">
        <w:rPr>
          <w:rFonts w:ascii="Arial" w:hAnsi="Arial" w:cs="Arial"/>
        </w:rPr>
        <w:t xml:space="preserve">Thin Layer Chromatography (TLC) was employed for the preliminary separation and identification of phytochemicals present in the methanolic extracts.  The stationary phase consisted of a pre-prepared silica gel slurry applied to a suitable backing material. The chromatographic development was achieved using a mobile phase comprising chloroform and methanol in a precise 15:1 (v/v) ratio. Once the solvent front reached the optimal height, the plates were removed from the chamber, air-dried, and subsequently visualized under ultraviolet (UV) light to detect the separated phytochemical bands and record </w:t>
      </w:r>
      <w:r w:rsidR="00EE2B5D">
        <w:rPr>
          <w:rFonts w:ascii="Arial" w:hAnsi="Arial" w:cs="Arial"/>
        </w:rPr>
        <w:t xml:space="preserve">any associated fluorescence </w:t>
      </w:r>
      <w:r w:rsidR="00EE2B5D" w:rsidRPr="001E1764">
        <w:rPr>
          <w:rFonts w:ascii="Arial" w:hAnsi="Arial" w:cs="Arial"/>
        </w:rPr>
        <w:t>(Patel et al., 2023)</w:t>
      </w:r>
      <w:r w:rsidRPr="006B3E05">
        <w:rPr>
          <w:rFonts w:ascii="Arial" w:hAnsi="Arial" w:cs="Arial"/>
        </w:rPr>
        <w:t>.</w:t>
      </w:r>
    </w:p>
    <w:p w14:paraId="75B5092D" w14:textId="77777777" w:rsidR="006B3E05" w:rsidRPr="000257E1" w:rsidRDefault="000257E1" w:rsidP="00B43865">
      <w:pPr>
        <w:pStyle w:val="Body"/>
        <w:spacing w:line="480" w:lineRule="auto"/>
        <w:rPr>
          <w:rFonts w:ascii="Arial" w:hAnsi="Arial" w:cs="Arial"/>
          <w:i/>
        </w:rPr>
      </w:pPr>
      <m:oMathPara>
        <m:oMath>
          <m:r>
            <w:rPr>
              <w:rFonts w:ascii="Cambria Math" w:hAnsi="Cambria Math" w:cs="Arial"/>
            </w:rPr>
            <m:t xml:space="preserve">Rf </m:t>
          </m:r>
          <m:d>
            <m:dPr>
              <m:ctrlPr>
                <w:rPr>
                  <w:rFonts w:ascii="Cambria Math" w:hAnsi="Cambria Math" w:cs="Arial"/>
                  <w:i/>
                </w:rPr>
              </m:ctrlPr>
            </m:dPr>
            <m:e>
              <m:r>
                <w:rPr>
                  <w:rFonts w:ascii="Cambria Math" w:hAnsi="Cambria Math" w:cs="Arial"/>
                </w:rPr>
                <m:t>Retardation factor</m:t>
              </m:r>
            </m:e>
          </m:d>
          <m:r>
            <w:rPr>
              <w:rFonts w:ascii="Cambria Math" w:hAnsi="Cambria Math" w:cs="Arial"/>
            </w:rPr>
            <m:t xml:space="preserve">= </m:t>
          </m:r>
          <m:f>
            <m:fPr>
              <m:ctrlPr>
                <w:rPr>
                  <w:rFonts w:ascii="Cambria Math" w:hAnsi="Cambria Math" w:cs="Arial"/>
                  <w:i/>
                </w:rPr>
              </m:ctrlPr>
            </m:fPr>
            <m:num>
              <m:r>
                <w:rPr>
                  <w:rFonts w:ascii="Cambria Math" w:hAnsi="Cambria Math" w:cs="Arial"/>
                </w:rPr>
                <m:t>Distance covered by spot</m:t>
              </m:r>
            </m:num>
            <m:den>
              <m:r>
                <w:rPr>
                  <w:rFonts w:ascii="Cambria Math" w:hAnsi="Cambria Math" w:cs="Arial"/>
                </w:rPr>
                <m:t>Distance covered by mobile phase</m:t>
              </m:r>
            </m:den>
          </m:f>
        </m:oMath>
      </m:oMathPara>
    </w:p>
    <w:p w14:paraId="3D2DFC5B" w14:textId="77777777" w:rsidR="006B3E05" w:rsidRPr="00C42C42" w:rsidRDefault="006B3E05" w:rsidP="00B43865">
      <w:pPr>
        <w:pStyle w:val="Body"/>
        <w:numPr>
          <w:ilvl w:val="0"/>
          <w:numId w:val="31"/>
        </w:numPr>
        <w:spacing w:line="480" w:lineRule="auto"/>
        <w:ind w:left="360"/>
        <w:rPr>
          <w:rFonts w:ascii="Arial" w:hAnsi="Arial" w:cs="Arial"/>
          <w:b/>
          <w:sz w:val="22"/>
          <w:szCs w:val="22"/>
        </w:rPr>
      </w:pPr>
      <w:r w:rsidRPr="00C42C42">
        <w:rPr>
          <w:rFonts w:ascii="Arial" w:hAnsi="Arial" w:cs="Arial"/>
          <w:b/>
          <w:sz w:val="22"/>
          <w:szCs w:val="22"/>
        </w:rPr>
        <w:t>Quantitative Phytochemical Analysis</w:t>
      </w:r>
    </w:p>
    <w:p w14:paraId="28371663" w14:textId="77777777" w:rsidR="006B3E05" w:rsidRPr="00B438E0" w:rsidRDefault="006B3E05" w:rsidP="00B43865">
      <w:pPr>
        <w:pStyle w:val="Body"/>
        <w:numPr>
          <w:ilvl w:val="0"/>
          <w:numId w:val="32"/>
        </w:numPr>
        <w:spacing w:line="480" w:lineRule="auto"/>
        <w:ind w:left="360"/>
        <w:rPr>
          <w:rFonts w:ascii="Arial" w:hAnsi="Arial" w:cs="Arial"/>
          <w:b/>
          <w:u w:val="single"/>
        </w:rPr>
      </w:pPr>
      <w:r w:rsidRPr="00B438E0">
        <w:rPr>
          <w:rFonts w:ascii="Arial" w:hAnsi="Arial" w:cs="Arial"/>
          <w:b/>
          <w:u w:val="single"/>
        </w:rPr>
        <w:t>Polyphenol Estimation</w:t>
      </w:r>
    </w:p>
    <w:p w14:paraId="646299F2" w14:textId="77777777" w:rsidR="006B3E05" w:rsidRPr="006B3E05" w:rsidRDefault="006B3E05" w:rsidP="00B43865">
      <w:pPr>
        <w:pStyle w:val="Body"/>
        <w:spacing w:line="480" w:lineRule="auto"/>
        <w:rPr>
          <w:rFonts w:ascii="Arial" w:hAnsi="Arial" w:cs="Arial"/>
        </w:rPr>
      </w:pPr>
      <w:r w:rsidRPr="006B3E05">
        <w:rPr>
          <w:rFonts w:ascii="Arial" w:hAnsi="Arial" w:cs="Arial"/>
        </w:rPr>
        <w:t>The Total Polyphenol Content (TPC) was determined using a spectrophotometric method based on the reduction of the Folin-Ciocalteu (FC) reagent. The methanolic extract was combined with the FC reagent and sodium carbonate to establish basic conditions. After a suitable incubation period, the absorbance of the resulting blue solution was measured at 750 nm. Quantification was achieved by comparing the absorbance values to a standard calibration curve prepared using gallic acid as the refer</w:t>
      </w:r>
      <w:r w:rsidR="002F15BF">
        <w:rPr>
          <w:rFonts w:ascii="Arial" w:hAnsi="Arial" w:cs="Arial"/>
        </w:rPr>
        <w:t>ence standard (</w:t>
      </w:r>
      <w:r w:rsidR="002F15BF" w:rsidRPr="00202BF2">
        <w:rPr>
          <w:rFonts w:ascii="Arial" w:hAnsi="Arial" w:cs="Arial"/>
        </w:rPr>
        <w:t>Deepali J et al., 2024</w:t>
      </w:r>
      <w:r w:rsidR="002F15BF">
        <w:rPr>
          <w:rFonts w:ascii="Arial" w:hAnsi="Arial" w:cs="Arial"/>
        </w:rPr>
        <w:t>)</w:t>
      </w:r>
      <w:r w:rsidRPr="006B3E05">
        <w:rPr>
          <w:rFonts w:ascii="Arial" w:hAnsi="Arial" w:cs="Arial"/>
        </w:rPr>
        <w:t>.</w:t>
      </w:r>
    </w:p>
    <w:p w14:paraId="35B8CBC8" w14:textId="77777777" w:rsidR="006B3E05" w:rsidRPr="00FC718A" w:rsidRDefault="006B3E05" w:rsidP="00B43865">
      <w:pPr>
        <w:pStyle w:val="Body"/>
        <w:numPr>
          <w:ilvl w:val="0"/>
          <w:numId w:val="32"/>
        </w:numPr>
        <w:spacing w:line="480" w:lineRule="auto"/>
        <w:ind w:left="360"/>
        <w:rPr>
          <w:rFonts w:ascii="Arial" w:hAnsi="Arial" w:cs="Arial"/>
          <w:b/>
          <w:u w:val="single"/>
        </w:rPr>
      </w:pPr>
      <w:r w:rsidRPr="00FC718A">
        <w:rPr>
          <w:rFonts w:ascii="Arial" w:hAnsi="Arial" w:cs="Arial"/>
          <w:b/>
          <w:u w:val="single"/>
        </w:rPr>
        <w:lastRenderedPageBreak/>
        <w:t>Flavonoid Estimation</w:t>
      </w:r>
    </w:p>
    <w:p w14:paraId="0D6E7C98" w14:textId="77777777" w:rsidR="006B3E05" w:rsidRPr="006B3E05" w:rsidRDefault="006B3E05" w:rsidP="00B43865">
      <w:pPr>
        <w:pStyle w:val="Body"/>
        <w:spacing w:line="480" w:lineRule="auto"/>
        <w:rPr>
          <w:rFonts w:ascii="Arial" w:hAnsi="Arial" w:cs="Arial"/>
        </w:rPr>
      </w:pPr>
      <w:r w:rsidRPr="006B3E05">
        <w:rPr>
          <w:rFonts w:ascii="Arial" w:hAnsi="Arial" w:cs="Arial"/>
        </w:rPr>
        <w:t>The Total Flavonoid Content (TFC) was quantified spectrophotometrically utilizing the aluminum chloride (AlCl</w:t>
      </w:r>
      <w:r w:rsidRPr="005F641F">
        <w:rPr>
          <w:rFonts w:ascii="Arial" w:hAnsi="Arial" w:cs="Arial"/>
          <w:vertAlign w:val="subscript"/>
        </w:rPr>
        <w:t>3</w:t>
      </w:r>
      <w:r w:rsidRPr="006B3E05">
        <w:rPr>
          <w:rFonts w:ascii="Arial" w:hAnsi="Arial" w:cs="Arial"/>
        </w:rPr>
        <w:t>) colorimetric method. A standard calibration curve was constructed using quercetin. The assay mixture comprised the plant extract, potassium acetate, and 10% AlCl</w:t>
      </w:r>
      <w:r w:rsidRPr="005F641F">
        <w:rPr>
          <w:rFonts w:ascii="Arial" w:hAnsi="Arial" w:cs="Arial"/>
          <w:vertAlign w:val="subscript"/>
        </w:rPr>
        <w:t>3</w:t>
      </w:r>
      <w:r w:rsidRPr="006B3E05">
        <w:rPr>
          <w:rFonts w:ascii="Arial" w:hAnsi="Arial" w:cs="Arial"/>
        </w:rPr>
        <w:t xml:space="preserve"> solution. The mixture was incubated for 30 minutes at 37°C, and the final absorb</w:t>
      </w:r>
      <w:r w:rsidR="00283AE1">
        <w:rPr>
          <w:rFonts w:ascii="Arial" w:hAnsi="Arial" w:cs="Arial"/>
        </w:rPr>
        <w:t xml:space="preserve">ance was measured at 415 nm </w:t>
      </w:r>
      <w:r w:rsidR="00283AE1" w:rsidRPr="001E1764">
        <w:rPr>
          <w:rFonts w:ascii="Arial" w:hAnsi="Arial" w:cs="Arial"/>
        </w:rPr>
        <w:t>(Patel et al., 2023)</w:t>
      </w:r>
      <w:r w:rsidRPr="006B3E05">
        <w:rPr>
          <w:rFonts w:ascii="Arial" w:hAnsi="Arial" w:cs="Arial"/>
        </w:rPr>
        <w:t>.</w:t>
      </w:r>
    </w:p>
    <w:p w14:paraId="62AE8AE4" w14:textId="77777777" w:rsidR="006B3E05" w:rsidRPr="00FC718A" w:rsidRDefault="006B3E05" w:rsidP="00B43865">
      <w:pPr>
        <w:pStyle w:val="Body"/>
        <w:numPr>
          <w:ilvl w:val="0"/>
          <w:numId w:val="32"/>
        </w:numPr>
        <w:spacing w:line="480" w:lineRule="auto"/>
        <w:ind w:left="360"/>
        <w:rPr>
          <w:rFonts w:ascii="Arial" w:hAnsi="Arial" w:cs="Arial"/>
          <w:b/>
          <w:u w:val="single"/>
        </w:rPr>
      </w:pPr>
      <w:r w:rsidRPr="00FC718A">
        <w:rPr>
          <w:rFonts w:ascii="Arial" w:hAnsi="Arial" w:cs="Arial"/>
          <w:b/>
          <w:u w:val="single"/>
        </w:rPr>
        <w:t>Alkaloid Estimation</w:t>
      </w:r>
    </w:p>
    <w:p w14:paraId="5D132518" w14:textId="77777777" w:rsidR="006B3E05" w:rsidRPr="006B3E05" w:rsidRDefault="006B3E05" w:rsidP="00B43865">
      <w:pPr>
        <w:pStyle w:val="Body"/>
        <w:spacing w:line="480" w:lineRule="auto"/>
        <w:rPr>
          <w:rFonts w:ascii="Arial" w:hAnsi="Arial" w:cs="Arial"/>
        </w:rPr>
      </w:pPr>
      <w:r w:rsidRPr="006B3E05">
        <w:rPr>
          <w:rFonts w:ascii="Arial" w:hAnsi="Arial" w:cs="Arial"/>
        </w:rPr>
        <w:t>Total alkaloid content was quantified using a modified Bromocresol Green (BCG) spectrophotometric assay. The assay utilized a BCG solution (dissolved in 2 N NaOH) and a pH 4.7 phosphate buffer (prepared by adjusting Na</w:t>
      </w:r>
      <w:r w:rsidRPr="00525B4A">
        <w:rPr>
          <w:rFonts w:ascii="Arial" w:hAnsi="Arial" w:cs="Arial"/>
          <w:vertAlign w:val="subscript"/>
        </w:rPr>
        <w:t>2</w:t>
      </w:r>
      <w:r w:rsidRPr="006B3E05">
        <w:rPr>
          <w:rFonts w:ascii="Arial" w:hAnsi="Arial" w:cs="Arial"/>
        </w:rPr>
        <w:t>HPO</w:t>
      </w:r>
      <w:r w:rsidRPr="00525B4A">
        <w:rPr>
          <w:rFonts w:ascii="Arial" w:hAnsi="Arial" w:cs="Arial"/>
          <w:vertAlign w:val="subscript"/>
        </w:rPr>
        <w:t>4</w:t>
      </w:r>
      <w:r w:rsidRPr="006B3E05">
        <w:rPr>
          <w:rFonts w:ascii="Arial" w:hAnsi="Arial" w:cs="Arial"/>
        </w:rPr>
        <w:t xml:space="preserve"> with 0.2 M citric acid). The plant extract (neutralized to pH 7) was mixed with the BCG solution and the pH 4.7 phosphate buffer. The resulting yellow alkaloid-BCG complex was then extracted by vigorous shaking with successive additions of chloroform. The pooled chloroform layers were used to measure the absorbance at 470 nm against a chloroform blank using a UV-visible spectrophotometer. Quantification was performed relative to a standard calibration curve p</w:t>
      </w:r>
      <w:r w:rsidR="00DA31EF">
        <w:rPr>
          <w:rFonts w:ascii="Arial" w:hAnsi="Arial" w:cs="Arial"/>
        </w:rPr>
        <w:t xml:space="preserve">repared using pure atropine </w:t>
      </w:r>
      <w:r w:rsidR="00DA31EF" w:rsidRPr="00DA31EF">
        <w:rPr>
          <w:rFonts w:ascii="Arial" w:hAnsi="Arial" w:cs="Arial"/>
        </w:rPr>
        <w:t>(Patel et al., 2015)</w:t>
      </w:r>
      <w:r w:rsidR="00DA31EF">
        <w:rPr>
          <w:rFonts w:ascii="Arial" w:hAnsi="Arial" w:cs="Arial"/>
        </w:rPr>
        <w:t>.</w:t>
      </w:r>
    </w:p>
    <w:p w14:paraId="4282E282" w14:textId="77777777" w:rsidR="006B3E05" w:rsidRPr="00C42C42" w:rsidRDefault="006B3E05" w:rsidP="00B43865">
      <w:pPr>
        <w:pStyle w:val="Body"/>
        <w:numPr>
          <w:ilvl w:val="0"/>
          <w:numId w:val="31"/>
        </w:numPr>
        <w:spacing w:line="480" w:lineRule="auto"/>
        <w:ind w:left="360"/>
        <w:rPr>
          <w:rFonts w:ascii="Arial" w:hAnsi="Arial" w:cs="Arial"/>
          <w:b/>
          <w:sz w:val="22"/>
          <w:szCs w:val="22"/>
        </w:rPr>
      </w:pPr>
      <w:r w:rsidRPr="00C42C42">
        <w:rPr>
          <w:rFonts w:ascii="Arial" w:hAnsi="Arial" w:cs="Arial"/>
          <w:b/>
          <w:sz w:val="22"/>
          <w:szCs w:val="22"/>
        </w:rPr>
        <w:t>In Vitro Antioxidant Capacity Assays</w:t>
      </w:r>
    </w:p>
    <w:p w14:paraId="3238786F" w14:textId="77777777" w:rsidR="006B3E05" w:rsidRPr="00FC718A" w:rsidRDefault="006B3E05" w:rsidP="00B43865">
      <w:pPr>
        <w:pStyle w:val="Body"/>
        <w:numPr>
          <w:ilvl w:val="0"/>
          <w:numId w:val="33"/>
        </w:numPr>
        <w:spacing w:line="480" w:lineRule="auto"/>
        <w:ind w:hanging="720"/>
        <w:rPr>
          <w:rFonts w:ascii="Arial" w:hAnsi="Arial" w:cs="Arial"/>
          <w:b/>
          <w:u w:val="single"/>
        </w:rPr>
      </w:pPr>
      <w:r w:rsidRPr="00FC718A">
        <w:rPr>
          <w:rFonts w:ascii="Arial" w:hAnsi="Arial" w:cs="Arial"/>
          <w:b/>
          <w:u w:val="single"/>
        </w:rPr>
        <w:t>Total Antioxidant Capacity (TAC) Estimation</w:t>
      </w:r>
    </w:p>
    <w:p w14:paraId="3B7100AF" w14:textId="77777777" w:rsidR="006B3E05" w:rsidRPr="006B3E05" w:rsidRDefault="006B3E05" w:rsidP="00B43865">
      <w:pPr>
        <w:pStyle w:val="Body"/>
        <w:spacing w:line="480" w:lineRule="auto"/>
        <w:rPr>
          <w:rFonts w:ascii="Arial" w:hAnsi="Arial" w:cs="Arial"/>
        </w:rPr>
      </w:pPr>
      <w:r w:rsidRPr="006B3E05">
        <w:rPr>
          <w:rFonts w:ascii="Arial" w:hAnsi="Arial" w:cs="Arial"/>
        </w:rPr>
        <w:t>The Total Antioxidant Capacity (TAC) was determined via the phosphomolybdate assay, which is based on the formation of a stable green phosphomolybdenum complex; the intensity of the green color is directly proportional to the antioxidant content. The standard calibration curve was prepared using ascorbic acid. The plant extract sample, or the corresponding ascorbic acid standard, was mixed with the phosphomolybdate reagent. All mixtures were incubated in a water bath at 95°C for 15 minutes. The absorb</w:t>
      </w:r>
      <w:r w:rsidR="005B73D8">
        <w:rPr>
          <w:rFonts w:ascii="Arial" w:hAnsi="Arial" w:cs="Arial"/>
        </w:rPr>
        <w:t xml:space="preserve">ance was measured at 670 nm </w:t>
      </w:r>
      <w:r w:rsidR="005B73D8" w:rsidRPr="005B73D8">
        <w:rPr>
          <w:rFonts w:ascii="Arial" w:hAnsi="Arial" w:cs="Arial"/>
        </w:rPr>
        <w:t>(Patel et al., 2024)</w:t>
      </w:r>
      <w:r w:rsidRPr="006B3E05">
        <w:rPr>
          <w:rFonts w:ascii="Arial" w:hAnsi="Arial" w:cs="Arial"/>
        </w:rPr>
        <w:t>.</w:t>
      </w:r>
    </w:p>
    <w:p w14:paraId="7934028D" w14:textId="77777777" w:rsidR="006B3E05" w:rsidRPr="00FC718A" w:rsidRDefault="006B3E05" w:rsidP="00B43865">
      <w:pPr>
        <w:pStyle w:val="Body"/>
        <w:numPr>
          <w:ilvl w:val="0"/>
          <w:numId w:val="33"/>
        </w:numPr>
        <w:spacing w:line="480" w:lineRule="auto"/>
        <w:ind w:hanging="720"/>
        <w:rPr>
          <w:rFonts w:ascii="Arial" w:hAnsi="Arial" w:cs="Arial"/>
          <w:b/>
          <w:u w:val="single"/>
        </w:rPr>
      </w:pPr>
      <w:r w:rsidRPr="00FC718A">
        <w:rPr>
          <w:rFonts w:ascii="Arial" w:hAnsi="Arial" w:cs="Arial"/>
          <w:b/>
          <w:u w:val="single"/>
        </w:rPr>
        <w:t>Ferric Reducing Antioxidant Power (FRAP) Assay</w:t>
      </w:r>
    </w:p>
    <w:p w14:paraId="5B52D847" w14:textId="77777777" w:rsidR="006B3E05" w:rsidRPr="006B3E05" w:rsidRDefault="006B3E05" w:rsidP="00B43865">
      <w:pPr>
        <w:pStyle w:val="Body"/>
        <w:spacing w:line="480" w:lineRule="auto"/>
        <w:rPr>
          <w:rFonts w:ascii="Arial" w:hAnsi="Arial" w:cs="Arial"/>
        </w:rPr>
      </w:pPr>
      <w:r w:rsidRPr="006B3E05">
        <w:rPr>
          <w:rFonts w:ascii="Arial" w:hAnsi="Arial" w:cs="Arial"/>
        </w:rPr>
        <w:t xml:space="preserve">The Ferric Reducing Antioxidant Power (FRAP) assay was employed to measure the reducing potential of the plant extracts. This assay relies on the formation of the Prussian blue complex, whose spectrophotometrically measured intensity is directly proportional to the sample's reducing power. The experimental procedure involved mixing the sample or standard with 0.2 M sodium phosphate buffer (pH 6.6) and 1% potassium ferricyanide. Mixtures were incubated at 50°C for 20 minutes. The reaction was terminated by adding 10% trichloroacetic acid (TCA), followed by the addition of </w:t>
      </w:r>
      <w:r w:rsidRPr="006B3E05">
        <w:rPr>
          <w:rFonts w:ascii="Arial" w:hAnsi="Arial" w:cs="Arial"/>
        </w:rPr>
        <w:lastRenderedPageBreak/>
        <w:t>FeCl</w:t>
      </w:r>
      <w:r w:rsidRPr="007B302D">
        <w:rPr>
          <w:rFonts w:ascii="Arial" w:hAnsi="Arial" w:cs="Arial"/>
          <w:vertAlign w:val="subscript"/>
        </w:rPr>
        <w:t>3</w:t>
      </w:r>
      <w:r w:rsidRPr="006B3E05">
        <w:rPr>
          <w:rFonts w:ascii="Arial" w:hAnsi="Arial" w:cs="Arial"/>
        </w:rPr>
        <w:t xml:space="preserve"> to facilitate complex formation, which was allowed to stabilize for 10 minutes at ambient temperature. The final absorbance was measured</w:t>
      </w:r>
      <w:r w:rsidR="00D06DE7">
        <w:rPr>
          <w:rFonts w:ascii="Arial" w:hAnsi="Arial" w:cs="Arial"/>
        </w:rPr>
        <w:t xml:space="preserve"> at 700 nm </w:t>
      </w:r>
      <w:r w:rsidR="00D06DE7" w:rsidRPr="005B73D8">
        <w:rPr>
          <w:rFonts w:ascii="Arial" w:hAnsi="Arial" w:cs="Arial"/>
        </w:rPr>
        <w:t>(Patel et al., 2024)</w:t>
      </w:r>
      <w:r w:rsidRPr="006B3E05">
        <w:rPr>
          <w:rFonts w:ascii="Arial" w:hAnsi="Arial" w:cs="Arial"/>
        </w:rPr>
        <w:t>.</w:t>
      </w:r>
    </w:p>
    <w:p w14:paraId="143FFBC7" w14:textId="77777777" w:rsidR="006B3E05" w:rsidRPr="00C42C42" w:rsidRDefault="006B3E05" w:rsidP="00B43865">
      <w:pPr>
        <w:pStyle w:val="Body"/>
        <w:numPr>
          <w:ilvl w:val="0"/>
          <w:numId w:val="31"/>
        </w:numPr>
        <w:spacing w:line="480" w:lineRule="auto"/>
        <w:ind w:left="360"/>
        <w:rPr>
          <w:rFonts w:ascii="Arial" w:hAnsi="Arial" w:cs="Arial"/>
          <w:b/>
          <w:sz w:val="22"/>
          <w:szCs w:val="22"/>
        </w:rPr>
      </w:pPr>
      <w:r w:rsidRPr="00C42C42">
        <w:rPr>
          <w:rFonts w:ascii="Arial" w:hAnsi="Arial" w:cs="Arial"/>
          <w:b/>
          <w:sz w:val="22"/>
          <w:szCs w:val="22"/>
        </w:rPr>
        <w:t>Bioactivity Assays</w:t>
      </w:r>
    </w:p>
    <w:p w14:paraId="75AACEEA" w14:textId="77777777" w:rsidR="006B3E05" w:rsidRPr="00C462FC" w:rsidRDefault="006B3E05" w:rsidP="00B43865">
      <w:pPr>
        <w:pStyle w:val="Body"/>
        <w:numPr>
          <w:ilvl w:val="0"/>
          <w:numId w:val="34"/>
        </w:numPr>
        <w:spacing w:line="480" w:lineRule="auto"/>
        <w:ind w:hanging="720"/>
        <w:rPr>
          <w:rFonts w:ascii="Arial" w:hAnsi="Arial" w:cs="Arial"/>
          <w:b/>
          <w:u w:val="single"/>
        </w:rPr>
      </w:pPr>
      <w:r w:rsidRPr="00C462FC">
        <w:rPr>
          <w:rFonts w:ascii="Arial" w:hAnsi="Arial" w:cs="Arial"/>
          <w:b/>
          <w:u w:val="single"/>
        </w:rPr>
        <w:t>Estimation of Anti-inflammatory Activity Using Membrane Stabilization Method</w:t>
      </w:r>
    </w:p>
    <w:p w14:paraId="34D0EE1B" w14:textId="77777777" w:rsidR="006B3E05" w:rsidRDefault="006B3E05" w:rsidP="00B43865">
      <w:pPr>
        <w:pStyle w:val="Body"/>
        <w:spacing w:line="480" w:lineRule="auto"/>
        <w:rPr>
          <w:rFonts w:ascii="Arial" w:hAnsi="Arial" w:cs="Arial"/>
        </w:rPr>
      </w:pPr>
      <w:r w:rsidRPr="006B3E05">
        <w:rPr>
          <w:rFonts w:ascii="Arial" w:hAnsi="Arial" w:cs="Arial"/>
        </w:rPr>
        <w:t>The anti-inflammatory efficacy of the plant extracts was assessed in vitro via the membrane stabilization method, which measures the extract's ability to inhibit the heat-induced hemolysis of human red blood cells (RBCs). This assay models the stabilization of lysosomal membranes by assessing the protective effect against erythrocyte lysis under thermal stress. Freshly collected human blood was centrifuged, and the erythrocyte pellet was washed thrice with pH 7.4 Phosphate-Buffered Saline (PBS) to prepare a final 10% RBC suspension. The assay mixture combined the plant extract (or the standard drug Aspirin, 15 mg/mL), the RBC suspension, and PBS. Following an initial 10 minute incubation at 37°C, hemolysis was induced by heating the mixtures at 54°C for 20 minutes. The tubes were then centrifuged at 2500 rpm for 3 minutes.  The degree of membrane stabilization was quantified by measuring the absorbance of the supernatant (representing rel</w:t>
      </w:r>
      <w:r w:rsidR="00E861C6">
        <w:rPr>
          <w:rFonts w:ascii="Arial" w:hAnsi="Arial" w:cs="Arial"/>
        </w:rPr>
        <w:t xml:space="preserve">eased hemoglobin) at 540 nm </w:t>
      </w:r>
      <w:r w:rsidR="00E861C6" w:rsidRPr="005B73D8">
        <w:rPr>
          <w:rFonts w:ascii="Arial" w:hAnsi="Arial" w:cs="Arial"/>
        </w:rPr>
        <w:t>(Patel et al., 2024)</w:t>
      </w:r>
      <w:r w:rsidRPr="006B3E05">
        <w:rPr>
          <w:rFonts w:ascii="Arial" w:hAnsi="Arial" w:cs="Arial"/>
        </w:rPr>
        <w:t>. The protective anti-inflammatory effect, expressed as the percentage inhibition of hemolysis (% Inhibition), was calculated using the following formula:</w:t>
      </w:r>
    </w:p>
    <w:p w14:paraId="4E4B4877" w14:textId="77777777" w:rsidR="00907551" w:rsidRPr="00907551" w:rsidRDefault="00907551" w:rsidP="00B43865">
      <w:pPr>
        <w:pStyle w:val="Body"/>
        <w:spacing w:line="480" w:lineRule="auto"/>
        <w:rPr>
          <w:rFonts w:ascii="Arial" w:hAnsi="Arial" w:cs="Arial"/>
          <w:i/>
        </w:rPr>
      </w:pPr>
      <m:oMathPara>
        <m:oMath>
          <m:r>
            <w:rPr>
              <w:rFonts w:ascii="Cambria Math" w:hAnsi="Cambria Math" w:cs="Arial"/>
            </w:rPr>
            <m:t>Percentage inhibition=</m:t>
          </m:r>
          <m:r>
            <w:rPr>
              <w:rFonts w:ascii="Cambria Math" w:hAnsi="Arial" w:cs="Arial"/>
            </w:rPr>
            <m:t xml:space="preserve"> </m:t>
          </m:r>
          <m:f>
            <m:fPr>
              <m:ctrlPr>
                <w:rPr>
                  <w:rFonts w:ascii="Cambria Math" w:hAnsi="Arial" w:cs="Arial"/>
                  <w:i/>
                </w:rPr>
              </m:ctrlPr>
            </m:fPr>
            <m:num>
              <m:r>
                <w:rPr>
                  <w:rFonts w:ascii="Cambria Math" w:hAnsi="Cambria Math" w:cs="Arial"/>
                </w:rPr>
                <m:t>Absorbance of Control - Absorbance of Sample</m:t>
              </m:r>
            </m:num>
            <m:den>
              <m:r>
                <w:rPr>
                  <w:rFonts w:ascii="Cambria Math" w:hAnsi="Cambria Math" w:cs="Arial"/>
                </w:rPr>
                <m:t>Absorbance of Control)</m:t>
              </m:r>
            </m:den>
          </m:f>
          <m:r>
            <w:rPr>
              <w:rFonts w:ascii="Cambria Math" w:hAnsi="Arial" w:cs="Arial"/>
            </w:rPr>
            <m:t xml:space="preserve"> x 100</m:t>
          </m:r>
        </m:oMath>
      </m:oMathPara>
    </w:p>
    <w:p w14:paraId="3927E216" w14:textId="77777777" w:rsidR="006B3E05" w:rsidRPr="0006587A" w:rsidRDefault="006B3E05" w:rsidP="00B43865">
      <w:pPr>
        <w:pStyle w:val="Body"/>
        <w:numPr>
          <w:ilvl w:val="0"/>
          <w:numId w:val="34"/>
        </w:numPr>
        <w:spacing w:line="480" w:lineRule="auto"/>
        <w:ind w:hanging="720"/>
        <w:rPr>
          <w:rFonts w:ascii="Arial" w:hAnsi="Arial" w:cs="Arial"/>
          <w:b/>
          <w:u w:val="single"/>
        </w:rPr>
      </w:pPr>
      <w:r w:rsidRPr="0006587A">
        <w:rPr>
          <w:rFonts w:ascii="Arial" w:hAnsi="Arial" w:cs="Arial"/>
          <w:b/>
          <w:u w:val="single"/>
        </w:rPr>
        <w:t>DNA Damage Protection Assay using Gel Electrophoresis</w:t>
      </w:r>
    </w:p>
    <w:p w14:paraId="4A192C33" w14:textId="77777777" w:rsidR="006B3E05" w:rsidRPr="006B3E05" w:rsidRDefault="006B3E05" w:rsidP="00B43865">
      <w:pPr>
        <w:pStyle w:val="Body"/>
        <w:spacing w:line="480" w:lineRule="auto"/>
        <w:rPr>
          <w:rFonts w:ascii="Arial" w:hAnsi="Arial" w:cs="Arial"/>
        </w:rPr>
      </w:pPr>
      <w:r w:rsidRPr="006B3E05">
        <w:rPr>
          <w:rFonts w:ascii="Arial" w:hAnsi="Arial" w:cs="Arial"/>
        </w:rPr>
        <w:t>The protective efficacy of the plant extracts against oxidative DNA damage was assessed using Agarose gel electrophoresis. A 1% Agarose gel was prepared in 1X TAE (Tris-Acetate-EDTA) buffer and supplemented with ethidium bromide for visualization. The assay utilized several controls: a negative control (DNA only), a damage control (DNA + Fenton's reagent), and a positive control (DNA + Fenton's reagent + known antioxidant drug). Test tubes containing DNA, Fenton's reagent (to generate damaging reactive species), and the respective plant extracts were incubated at 37°C to allow interaction.  Samples, mixed with bromophenol blue loading dye, were loaded into the gel wells. Electrophoresis was conducted in 1X TAE buffer, causing the negatively charged DNA to migrate towards the anode. Post-run visualization under UV light was used to assess DNA integrity: distinct, sharp bands indicated successful protection against oxidative damage, while smearing or faint bands conf</w:t>
      </w:r>
      <w:r w:rsidR="00413D56">
        <w:rPr>
          <w:rFonts w:ascii="Arial" w:hAnsi="Arial" w:cs="Arial"/>
        </w:rPr>
        <w:t xml:space="preserve">irmed oxidative degradation </w:t>
      </w:r>
      <w:r w:rsidR="00413D56" w:rsidRPr="00413D56">
        <w:rPr>
          <w:rFonts w:ascii="Arial" w:hAnsi="Arial" w:cs="Arial"/>
        </w:rPr>
        <w:t>(Suruthi et al., 2016)</w:t>
      </w:r>
      <w:r w:rsidRPr="006B3E05">
        <w:rPr>
          <w:rFonts w:ascii="Arial" w:hAnsi="Arial" w:cs="Arial"/>
        </w:rPr>
        <w:t>.</w:t>
      </w:r>
    </w:p>
    <w:p w14:paraId="42C181EF" w14:textId="77777777" w:rsidR="006B3E05" w:rsidRPr="00C42C42" w:rsidRDefault="006B3E05" w:rsidP="00B43865">
      <w:pPr>
        <w:pStyle w:val="Body"/>
        <w:numPr>
          <w:ilvl w:val="0"/>
          <w:numId w:val="31"/>
        </w:numPr>
        <w:spacing w:line="480" w:lineRule="auto"/>
        <w:ind w:left="360"/>
        <w:rPr>
          <w:rFonts w:ascii="Arial" w:hAnsi="Arial" w:cs="Arial"/>
          <w:b/>
          <w:sz w:val="22"/>
          <w:szCs w:val="22"/>
        </w:rPr>
      </w:pPr>
      <w:r w:rsidRPr="00C42C42">
        <w:rPr>
          <w:rFonts w:ascii="Arial" w:hAnsi="Arial" w:cs="Arial"/>
          <w:b/>
          <w:sz w:val="22"/>
          <w:szCs w:val="22"/>
        </w:rPr>
        <w:t>Statistical Analysis</w:t>
      </w:r>
    </w:p>
    <w:p w14:paraId="14A28CC3" w14:textId="77777777" w:rsidR="00407B88" w:rsidRDefault="006B3E05" w:rsidP="00B43865">
      <w:pPr>
        <w:pStyle w:val="Body"/>
        <w:spacing w:after="0" w:line="480" w:lineRule="auto"/>
        <w:rPr>
          <w:rFonts w:ascii="Arial" w:hAnsi="Arial" w:cs="Arial"/>
        </w:rPr>
      </w:pPr>
      <w:r w:rsidRPr="006B3E05">
        <w:rPr>
          <w:rFonts w:ascii="Arial" w:hAnsi="Arial" w:cs="Arial"/>
        </w:rPr>
        <w:lastRenderedPageBreak/>
        <w:t xml:space="preserve">All experiments were conducted in triplicate (n=3). Results are expressed as Mean ± Standard Deviation (SD). A One-Way Analysis of Variance (ANOVA) was the primary method used to assess the statistical difference in the mean values (TPC, TFC, TAC, and FRAP) between the two plant extracts (Karela and Kakora). For the Total Alkaloid Content, the same comparative analysis was performed using the equivalent independent two-sample t-test. In all comparisons involving only two groups, the ANOVA and t-test yielded equivalent </w:t>
      </w:r>
      <w:r w:rsidRPr="00A2293A">
        <w:rPr>
          <w:rFonts w:ascii="Arial" w:hAnsi="Arial" w:cs="Arial"/>
          <w:i/>
        </w:rPr>
        <w:t>P</w:t>
      </w:r>
      <w:r w:rsidRPr="006B3E05">
        <w:rPr>
          <w:rFonts w:ascii="Arial" w:hAnsi="Arial" w:cs="Arial"/>
        </w:rPr>
        <w:t xml:space="preserve">-values. The level of significance was set at </w:t>
      </w:r>
      <w:r w:rsidRPr="00B539BD">
        <w:rPr>
          <w:rFonts w:ascii="Arial" w:hAnsi="Arial" w:cs="Arial"/>
          <w:i/>
        </w:rPr>
        <w:t>P</w:t>
      </w:r>
      <w:r w:rsidR="00A2293A">
        <w:rPr>
          <w:rFonts w:ascii="Arial" w:hAnsi="Arial" w:cs="Arial"/>
        </w:rPr>
        <w:t xml:space="preserve"> &lt; </w:t>
      </w:r>
      <w:r w:rsidRPr="006B3E05">
        <w:rPr>
          <w:rFonts w:ascii="Arial" w:hAnsi="Arial" w:cs="Arial"/>
        </w:rPr>
        <w:t>.05. All statistical calculations and data processing were performed using GraphPad Prism version 9.0.</w:t>
      </w:r>
    </w:p>
    <w:p w14:paraId="3AFECDA3" w14:textId="77777777" w:rsidR="00790ADA" w:rsidRPr="00FB3A86" w:rsidRDefault="00790ADA" w:rsidP="00B43865">
      <w:pPr>
        <w:pStyle w:val="Body"/>
        <w:spacing w:after="0" w:line="480" w:lineRule="auto"/>
        <w:rPr>
          <w:rFonts w:ascii="Arial" w:hAnsi="Arial" w:cs="Arial"/>
        </w:rPr>
      </w:pPr>
    </w:p>
    <w:p w14:paraId="5C23B3EA" w14:textId="77777777" w:rsidR="00902823" w:rsidRDefault="00000F8F" w:rsidP="00B43865">
      <w:pPr>
        <w:pStyle w:val="AbstHead"/>
        <w:numPr>
          <w:ilvl w:val="0"/>
          <w:numId w:val="37"/>
        </w:numPr>
        <w:spacing w:after="0" w:line="480" w:lineRule="auto"/>
        <w:ind w:left="360"/>
        <w:jc w:val="both"/>
        <w:rPr>
          <w:rFonts w:ascii="Arial" w:hAnsi="Arial" w:cs="Arial"/>
        </w:rPr>
      </w:pPr>
      <w:r>
        <w:rPr>
          <w:rFonts w:ascii="Arial" w:hAnsi="Arial" w:cs="Arial"/>
        </w:rPr>
        <w:t>results and discussion</w:t>
      </w:r>
    </w:p>
    <w:p w14:paraId="60B9FFB5" w14:textId="77777777" w:rsidR="00F56A56" w:rsidRDefault="00F56A56" w:rsidP="00B43865">
      <w:pPr>
        <w:pStyle w:val="Body"/>
        <w:spacing w:line="480" w:lineRule="auto"/>
        <w:rPr>
          <w:rFonts w:ascii="Arial" w:hAnsi="Arial" w:cs="Arial"/>
        </w:rPr>
      </w:pPr>
    </w:p>
    <w:p w14:paraId="5A93AB94" w14:textId="77777777" w:rsidR="00F56A56" w:rsidRPr="006C2E3F" w:rsidRDefault="00F56A56" w:rsidP="00B43865">
      <w:pPr>
        <w:pStyle w:val="Body"/>
        <w:numPr>
          <w:ilvl w:val="0"/>
          <w:numId w:val="35"/>
        </w:numPr>
        <w:tabs>
          <w:tab w:val="left" w:pos="90"/>
        </w:tabs>
        <w:spacing w:line="480" w:lineRule="auto"/>
        <w:ind w:left="450" w:hanging="450"/>
        <w:rPr>
          <w:rFonts w:ascii="Arial" w:hAnsi="Arial" w:cs="Arial"/>
          <w:b/>
          <w:sz w:val="22"/>
          <w:szCs w:val="22"/>
        </w:rPr>
      </w:pPr>
      <w:r w:rsidRPr="006C2E3F">
        <w:rPr>
          <w:rFonts w:ascii="Arial" w:hAnsi="Arial" w:cs="Arial"/>
          <w:b/>
          <w:sz w:val="22"/>
          <w:szCs w:val="22"/>
        </w:rPr>
        <w:t>Extraction Parameters and Observations</w:t>
      </w:r>
    </w:p>
    <w:p w14:paraId="6E2A2B06" w14:textId="77777777" w:rsidR="00790ADA" w:rsidRPr="00502516" w:rsidRDefault="00F56A56" w:rsidP="00B43865">
      <w:pPr>
        <w:pStyle w:val="Body"/>
        <w:spacing w:after="0" w:line="480" w:lineRule="auto"/>
        <w:rPr>
          <w:rFonts w:ascii="Arial" w:hAnsi="Arial" w:cs="Arial"/>
        </w:rPr>
      </w:pPr>
      <w:r w:rsidRPr="00F56A56">
        <w:rPr>
          <w:rFonts w:ascii="Arial" w:hAnsi="Arial" w:cs="Arial"/>
        </w:rPr>
        <w:t xml:space="preserve">The methanol extraction of Karela and Kakora yielded physically distinct products. The extraction parameters and resultant properties are detailed in </w:t>
      </w:r>
      <w:r w:rsidR="00693FBC" w:rsidRPr="00693FBC">
        <w:rPr>
          <w:rFonts w:ascii="Arial" w:hAnsi="Arial" w:cs="Arial"/>
        </w:rPr>
        <w:fldChar w:fldCharType="begin"/>
      </w:r>
      <w:r w:rsidR="00693FBC" w:rsidRPr="00693FBC">
        <w:rPr>
          <w:rFonts w:ascii="Arial" w:hAnsi="Arial" w:cs="Arial"/>
        </w:rPr>
        <w:instrText xml:space="preserve"> REF _Ref216444905 \h  \* MERGEFORMAT </w:instrText>
      </w:r>
      <w:r w:rsidR="00693FBC" w:rsidRPr="00693FBC">
        <w:rPr>
          <w:rFonts w:ascii="Arial" w:hAnsi="Arial" w:cs="Arial"/>
        </w:rPr>
      </w:r>
      <w:r w:rsidR="00693FBC" w:rsidRPr="00693FBC">
        <w:rPr>
          <w:rFonts w:ascii="Arial" w:hAnsi="Arial" w:cs="Arial"/>
        </w:rPr>
        <w:fldChar w:fldCharType="separate"/>
      </w:r>
      <w:r w:rsidR="00693FBC" w:rsidRPr="00693FBC">
        <w:rPr>
          <w:rFonts w:ascii="Arial" w:hAnsi="Arial"/>
        </w:rPr>
        <w:t>Table 2</w:t>
      </w:r>
      <w:r w:rsidR="00693FBC" w:rsidRPr="00693FBC">
        <w:rPr>
          <w:rFonts w:ascii="Arial" w:hAnsi="Arial" w:cs="Arial"/>
        </w:rPr>
        <w:fldChar w:fldCharType="end"/>
      </w:r>
      <w:r w:rsidRPr="00F56A56">
        <w:rPr>
          <w:rFonts w:ascii="Arial" w:hAnsi="Arial" w:cs="Arial"/>
        </w:rPr>
        <w:t>.</w:t>
      </w:r>
    </w:p>
    <w:p w14:paraId="62C17259" w14:textId="77777777" w:rsidR="00BD1CD7" w:rsidRPr="00BD1CD7" w:rsidRDefault="00BD1CD7" w:rsidP="00B43865">
      <w:pPr>
        <w:tabs>
          <w:tab w:val="left" w:pos="1080"/>
        </w:tabs>
        <w:spacing w:line="480" w:lineRule="auto"/>
        <w:jc w:val="both"/>
        <w:rPr>
          <w:rFonts w:ascii="Arial" w:hAnsi="Arial"/>
          <w:b/>
        </w:rPr>
      </w:pPr>
      <w:bookmarkStart w:id="2" w:name="_Ref216444905"/>
      <w:r w:rsidRPr="00BD1CD7">
        <w:rPr>
          <w:rFonts w:ascii="Arial" w:hAnsi="Arial"/>
          <w:b/>
        </w:rPr>
        <w:t xml:space="preserve">Table </w:t>
      </w:r>
      <w:r w:rsidRPr="00BD1CD7">
        <w:rPr>
          <w:rFonts w:ascii="Arial" w:hAnsi="Arial"/>
          <w:b/>
        </w:rPr>
        <w:fldChar w:fldCharType="begin"/>
      </w:r>
      <w:r w:rsidRPr="00BD1CD7">
        <w:rPr>
          <w:rFonts w:ascii="Arial" w:hAnsi="Arial"/>
          <w:b/>
        </w:rPr>
        <w:instrText xml:space="preserve"> SEQ Table \* ARABIC </w:instrText>
      </w:r>
      <w:r w:rsidRPr="00BD1CD7">
        <w:rPr>
          <w:rFonts w:ascii="Arial" w:hAnsi="Arial"/>
          <w:b/>
        </w:rPr>
        <w:fldChar w:fldCharType="separate"/>
      </w:r>
      <w:r w:rsidR="0032372D">
        <w:rPr>
          <w:rFonts w:ascii="Arial" w:hAnsi="Arial"/>
          <w:b/>
          <w:noProof/>
        </w:rPr>
        <w:t>2</w:t>
      </w:r>
      <w:r w:rsidRPr="00BD1CD7">
        <w:rPr>
          <w:rFonts w:ascii="Arial" w:hAnsi="Arial"/>
          <w:b/>
        </w:rPr>
        <w:fldChar w:fldCharType="end"/>
      </w:r>
      <w:bookmarkEnd w:id="2"/>
      <w:r w:rsidRPr="00BD1CD7">
        <w:rPr>
          <w:rFonts w:ascii="Arial" w:hAnsi="Arial"/>
          <w:b/>
        </w:rPr>
        <w:t>. Macroscopic Observations and Percent Yields of Karela and Kakora Methanol Extracts.</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928"/>
        <w:gridCol w:w="1295"/>
        <w:gridCol w:w="3462"/>
        <w:gridCol w:w="1106"/>
        <w:gridCol w:w="1484"/>
      </w:tblGrid>
      <w:tr w:rsidR="00AB0F69" w14:paraId="1AD24A7E" w14:textId="77777777" w:rsidTr="00AB0F69">
        <w:tc>
          <w:tcPr>
            <w:tcW w:w="0" w:type="auto"/>
          </w:tcPr>
          <w:p w14:paraId="324CB333" w14:textId="77777777" w:rsidR="00AB0F69" w:rsidRPr="00AB0F69" w:rsidRDefault="00AB0F69" w:rsidP="00B43865">
            <w:pPr>
              <w:spacing w:line="480" w:lineRule="auto"/>
              <w:jc w:val="center"/>
              <w:rPr>
                <w:rFonts w:ascii="Arial" w:hAnsi="Arial" w:cs="Arial"/>
                <w:b/>
                <w:sz w:val="20"/>
                <w:szCs w:val="20"/>
              </w:rPr>
            </w:pPr>
            <w:r w:rsidRPr="00AB0F69">
              <w:rPr>
                <w:rFonts w:ascii="Arial" w:hAnsi="Arial" w:cs="Arial"/>
                <w:b/>
                <w:sz w:val="20"/>
                <w:szCs w:val="20"/>
              </w:rPr>
              <w:t>Sample</w:t>
            </w:r>
          </w:p>
        </w:tc>
        <w:tc>
          <w:tcPr>
            <w:tcW w:w="0" w:type="auto"/>
          </w:tcPr>
          <w:p w14:paraId="43837076" w14:textId="77777777" w:rsidR="00AB0F69" w:rsidRPr="00AB0F69" w:rsidRDefault="00AB0F69" w:rsidP="00B43865">
            <w:pPr>
              <w:spacing w:line="480" w:lineRule="auto"/>
              <w:jc w:val="center"/>
              <w:rPr>
                <w:rFonts w:ascii="Arial" w:hAnsi="Arial" w:cs="Arial"/>
                <w:b/>
                <w:sz w:val="20"/>
                <w:szCs w:val="20"/>
              </w:rPr>
            </w:pPr>
            <w:r w:rsidRPr="00AB0F69">
              <w:rPr>
                <w:rFonts w:ascii="Arial" w:hAnsi="Arial" w:cs="Arial"/>
                <w:b/>
                <w:sz w:val="20"/>
                <w:szCs w:val="20"/>
              </w:rPr>
              <w:t>Initial Mass</w:t>
            </w:r>
          </w:p>
        </w:tc>
        <w:tc>
          <w:tcPr>
            <w:tcW w:w="0" w:type="auto"/>
          </w:tcPr>
          <w:p w14:paraId="247E3CE7" w14:textId="77777777" w:rsidR="00AB0F69" w:rsidRPr="00AB0F69" w:rsidRDefault="00AB0F69" w:rsidP="00B43865">
            <w:pPr>
              <w:spacing w:line="480" w:lineRule="auto"/>
              <w:jc w:val="center"/>
              <w:rPr>
                <w:rFonts w:ascii="Arial" w:hAnsi="Arial" w:cs="Arial"/>
                <w:b/>
                <w:sz w:val="20"/>
                <w:szCs w:val="20"/>
              </w:rPr>
            </w:pPr>
            <w:r w:rsidRPr="00AB0F69">
              <w:rPr>
                <w:rFonts w:ascii="Arial" w:hAnsi="Arial" w:cs="Arial"/>
                <w:b/>
                <w:sz w:val="20"/>
                <w:szCs w:val="20"/>
              </w:rPr>
              <w:t>Descriptive Yield Observation</w:t>
            </w:r>
          </w:p>
        </w:tc>
        <w:tc>
          <w:tcPr>
            <w:tcW w:w="0" w:type="auto"/>
          </w:tcPr>
          <w:p w14:paraId="19F34230" w14:textId="77777777" w:rsidR="00AB0F69" w:rsidRPr="00AB0F69" w:rsidRDefault="00AB0F69" w:rsidP="00B43865">
            <w:pPr>
              <w:spacing w:line="480" w:lineRule="auto"/>
              <w:jc w:val="center"/>
              <w:rPr>
                <w:rFonts w:ascii="Arial" w:hAnsi="Arial" w:cs="Arial"/>
                <w:b/>
                <w:sz w:val="20"/>
                <w:szCs w:val="20"/>
              </w:rPr>
            </w:pPr>
            <w:r w:rsidRPr="00AB0F69">
              <w:rPr>
                <w:rFonts w:ascii="Arial" w:hAnsi="Arial" w:cs="Arial"/>
                <w:b/>
                <w:sz w:val="20"/>
                <w:szCs w:val="20"/>
              </w:rPr>
              <w:t>Smell</w:t>
            </w:r>
          </w:p>
        </w:tc>
        <w:tc>
          <w:tcPr>
            <w:tcW w:w="0" w:type="auto"/>
          </w:tcPr>
          <w:p w14:paraId="243EDDDE" w14:textId="77777777" w:rsidR="00AB0F69" w:rsidRPr="00AB0F69" w:rsidRDefault="00AB0F69" w:rsidP="00B43865">
            <w:pPr>
              <w:spacing w:line="480" w:lineRule="auto"/>
              <w:jc w:val="center"/>
              <w:rPr>
                <w:rFonts w:ascii="Arial" w:hAnsi="Arial" w:cs="Arial"/>
                <w:b/>
                <w:sz w:val="20"/>
                <w:szCs w:val="20"/>
              </w:rPr>
            </w:pPr>
            <w:r w:rsidRPr="00AB0F69">
              <w:rPr>
                <w:rFonts w:ascii="Arial" w:hAnsi="Arial" w:cs="Arial"/>
                <w:b/>
                <w:sz w:val="20"/>
                <w:szCs w:val="20"/>
              </w:rPr>
              <w:t>Percent Yield</w:t>
            </w:r>
          </w:p>
        </w:tc>
      </w:tr>
      <w:tr w:rsidR="00AB0F69" w14:paraId="0E0737AE" w14:textId="77777777" w:rsidTr="00AB0F69">
        <w:tc>
          <w:tcPr>
            <w:tcW w:w="0" w:type="auto"/>
          </w:tcPr>
          <w:p w14:paraId="10808A22" w14:textId="77777777" w:rsidR="00AB0F69" w:rsidRPr="00AB0F69" w:rsidRDefault="00AB0F69" w:rsidP="00B43865">
            <w:pPr>
              <w:spacing w:line="480" w:lineRule="auto"/>
              <w:jc w:val="center"/>
              <w:rPr>
                <w:rFonts w:ascii="Arial" w:hAnsi="Arial" w:cs="Arial"/>
                <w:sz w:val="20"/>
                <w:szCs w:val="20"/>
              </w:rPr>
            </w:pPr>
            <w:r w:rsidRPr="00AB0F69">
              <w:rPr>
                <w:rFonts w:ascii="Arial" w:hAnsi="Arial" w:cs="Arial"/>
                <w:sz w:val="20"/>
                <w:szCs w:val="20"/>
              </w:rPr>
              <w:t>Karela</w:t>
            </w:r>
          </w:p>
        </w:tc>
        <w:tc>
          <w:tcPr>
            <w:tcW w:w="0" w:type="auto"/>
          </w:tcPr>
          <w:p w14:paraId="2E400355" w14:textId="77777777" w:rsidR="00AB0F69" w:rsidRPr="00AB0F69" w:rsidRDefault="00AB0F69" w:rsidP="00B43865">
            <w:pPr>
              <w:spacing w:line="480" w:lineRule="auto"/>
              <w:jc w:val="center"/>
              <w:rPr>
                <w:rFonts w:ascii="Arial" w:hAnsi="Arial" w:cs="Arial"/>
                <w:sz w:val="20"/>
                <w:szCs w:val="20"/>
              </w:rPr>
            </w:pPr>
            <w:r w:rsidRPr="00AB0F69">
              <w:rPr>
                <w:rFonts w:ascii="Arial" w:hAnsi="Arial" w:cs="Arial"/>
                <w:sz w:val="20"/>
                <w:szCs w:val="20"/>
              </w:rPr>
              <w:t>2.5 gm</w:t>
            </w:r>
          </w:p>
        </w:tc>
        <w:tc>
          <w:tcPr>
            <w:tcW w:w="0" w:type="auto"/>
          </w:tcPr>
          <w:p w14:paraId="68CCAA92" w14:textId="77777777" w:rsidR="00AB0F69" w:rsidRPr="00AB0F69" w:rsidRDefault="00AB0F69" w:rsidP="00B43865">
            <w:pPr>
              <w:spacing w:line="480" w:lineRule="auto"/>
              <w:jc w:val="center"/>
              <w:rPr>
                <w:rFonts w:ascii="Arial" w:hAnsi="Arial" w:cs="Arial"/>
                <w:sz w:val="20"/>
                <w:szCs w:val="20"/>
              </w:rPr>
            </w:pPr>
            <w:r w:rsidRPr="00AB0F69">
              <w:rPr>
                <w:rFonts w:ascii="Arial" w:hAnsi="Arial" w:cs="Arial"/>
                <w:sz w:val="20"/>
                <w:szCs w:val="20"/>
              </w:rPr>
              <w:t>Small, dark green, bitter solid/extract</w:t>
            </w:r>
          </w:p>
        </w:tc>
        <w:tc>
          <w:tcPr>
            <w:tcW w:w="0" w:type="auto"/>
          </w:tcPr>
          <w:p w14:paraId="0EB882F3" w14:textId="77777777" w:rsidR="00AB0F69" w:rsidRPr="00AB0F69" w:rsidRDefault="00AB0F69" w:rsidP="00B43865">
            <w:pPr>
              <w:spacing w:line="480" w:lineRule="auto"/>
              <w:jc w:val="center"/>
              <w:rPr>
                <w:rFonts w:ascii="Arial" w:hAnsi="Arial" w:cs="Arial"/>
                <w:sz w:val="20"/>
                <w:szCs w:val="20"/>
              </w:rPr>
            </w:pPr>
            <w:r w:rsidRPr="00AB0F69">
              <w:rPr>
                <w:rFonts w:ascii="Arial" w:hAnsi="Arial" w:cs="Arial"/>
                <w:sz w:val="20"/>
                <w:szCs w:val="20"/>
              </w:rPr>
              <w:t>Bitter</w:t>
            </w:r>
          </w:p>
        </w:tc>
        <w:tc>
          <w:tcPr>
            <w:tcW w:w="0" w:type="auto"/>
          </w:tcPr>
          <w:p w14:paraId="57846AEF" w14:textId="77777777" w:rsidR="00AB0F69" w:rsidRPr="00AB0F69" w:rsidRDefault="00AB0F69" w:rsidP="00B43865">
            <w:pPr>
              <w:spacing w:line="480" w:lineRule="auto"/>
              <w:jc w:val="center"/>
              <w:rPr>
                <w:rFonts w:ascii="Arial" w:hAnsi="Arial" w:cs="Arial"/>
                <w:sz w:val="20"/>
                <w:szCs w:val="20"/>
              </w:rPr>
            </w:pPr>
            <w:r w:rsidRPr="00AB0F69">
              <w:rPr>
                <w:rFonts w:ascii="Arial" w:hAnsi="Arial" w:cs="Arial"/>
                <w:sz w:val="20"/>
                <w:szCs w:val="20"/>
              </w:rPr>
              <w:t>72%</w:t>
            </w:r>
          </w:p>
        </w:tc>
      </w:tr>
      <w:tr w:rsidR="00AB0F69" w14:paraId="380CDB8E" w14:textId="77777777" w:rsidTr="00AB0F69">
        <w:tc>
          <w:tcPr>
            <w:tcW w:w="0" w:type="auto"/>
          </w:tcPr>
          <w:p w14:paraId="45EFD46B" w14:textId="77777777" w:rsidR="00AB0F69" w:rsidRPr="00AB0F69" w:rsidRDefault="00917727" w:rsidP="00B43865">
            <w:pPr>
              <w:spacing w:line="480" w:lineRule="auto"/>
              <w:jc w:val="center"/>
              <w:rPr>
                <w:rFonts w:ascii="Arial" w:hAnsi="Arial" w:cs="Arial"/>
                <w:sz w:val="20"/>
                <w:szCs w:val="20"/>
              </w:rPr>
            </w:pPr>
            <w:r>
              <w:rPr>
                <w:rFonts w:ascii="Arial" w:hAnsi="Arial" w:cs="Arial"/>
                <w:sz w:val="20"/>
                <w:szCs w:val="20"/>
              </w:rPr>
              <w:t>Kakor</w:t>
            </w:r>
            <w:r w:rsidR="00AB0F69" w:rsidRPr="00AB0F69">
              <w:rPr>
                <w:rFonts w:ascii="Arial" w:hAnsi="Arial" w:cs="Arial"/>
                <w:sz w:val="20"/>
                <w:szCs w:val="20"/>
              </w:rPr>
              <w:t>a</w:t>
            </w:r>
          </w:p>
        </w:tc>
        <w:tc>
          <w:tcPr>
            <w:tcW w:w="0" w:type="auto"/>
          </w:tcPr>
          <w:p w14:paraId="1CB4EE48" w14:textId="77777777" w:rsidR="00AB0F69" w:rsidRPr="00AB0F69" w:rsidRDefault="00AB0F69" w:rsidP="00B43865">
            <w:pPr>
              <w:spacing w:line="480" w:lineRule="auto"/>
              <w:jc w:val="center"/>
              <w:rPr>
                <w:rFonts w:ascii="Arial" w:hAnsi="Arial" w:cs="Arial"/>
                <w:sz w:val="20"/>
                <w:szCs w:val="20"/>
              </w:rPr>
            </w:pPr>
            <w:r w:rsidRPr="00AB0F69">
              <w:rPr>
                <w:rFonts w:ascii="Arial" w:hAnsi="Arial" w:cs="Arial"/>
                <w:sz w:val="20"/>
                <w:szCs w:val="20"/>
              </w:rPr>
              <w:t>2.5 gm</w:t>
            </w:r>
          </w:p>
        </w:tc>
        <w:tc>
          <w:tcPr>
            <w:tcW w:w="0" w:type="auto"/>
          </w:tcPr>
          <w:p w14:paraId="6425F8BA" w14:textId="77777777" w:rsidR="00AB0F69" w:rsidRPr="00AB0F69" w:rsidRDefault="00AB0F69" w:rsidP="00B43865">
            <w:pPr>
              <w:spacing w:line="480" w:lineRule="auto"/>
              <w:jc w:val="center"/>
              <w:rPr>
                <w:rFonts w:ascii="Arial" w:hAnsi="Arial" w:cs="Arial"/>
                <w:sz w:val="20"/>
                <w:szCs w:val="20"/>
              </w:rPr>
            </w:pPr>
            <w:r w:rsidRPr="00AB0F69">
              <w:rPr>
                <w:rFonts w:ascii="Arial" w:hAnsi="Arial" w:cs="Arial"/>
                <w:sz w:val="20"/>
                <w:szCs w:val="20"/>
              </w:rPr>
              <w:t>Light mild green, bitter solid/extract</w:t>
            </w:r>
          </w:p>
        </w:tc>
        <w:tc>
          <w:tcPr>
            <w:tcW w:w="0" w:type="auto"/>
          </w:tcPr>
          <w:p w14:paraId="1FC3D6BB" w14:textId="77777777" w:rsidR="00AB0F69" w:rsidRPr="00AB0F69" w:rsidRDefault="00AB0F69" w:rsidP="00B43865">
            <w:pPr>
              <w:spacing w:line="480" w:lineRule="auto"/>
              <w:jc w:val="center"/>
              <w:rPr>
                <w:rFonts w:ascii="Arial" w:hAnsi="Arial" w:cs="Arial"/>
                <w:sz w:val="20"/>
                <w:szCs w:val="20"/>
              </w:rPr>
            </w:pPr>
            <w:r w:rsidRPr="00AB0F69">
              <w:rPr>
                <w:rFonts w:ascii="Arial" w:hAnsi="Arial" w:cs="Arial"/>
                <w:sz w:val="20"/>
                <w:szCs w:val="20"/>
              </w:rPr>
              <w:t>Mild Bitter</w:t>
            </w:r>
          </w:p>
        </w:tc>
        <w:tc>
          <w:tcPr>
            <w:tcW w:w="0" w:type="auto"/>
          </w:tcPr>
          <w:p w14:paraId="371191A3" w14:textId="77777777" w:rsidR="00AB0F69" w:rsidRPr="00AB0F69" w:rsidRDefault="00AB0F69" w:rsidP="00B43865">
            <w:pPr>
              <w:spacing w:line="480" w:lineRule="auto"/>
              <w:jc w:val="center"/>
              <w:rPr>
                <w:rFonts w:ascii="Arial" w:hAnsi="Arial" w:cs="Arial"/>
                <w:sz w:val="20"/>
                <w:szCs w:val="20"/>
              </w:rPr>
            </w:pPr>
            <w:r w:rsidRPr="00AB0F69">
              <w:rPr>
                <w:rFonts w:ascii="Arial" w:hAnsi="Arial" w:cs="Arial"/>
                <w:sz w:val="20"/>
                <w:szCs w:val="20"/>
              </w:rPr>
              <w:t>65%</w:t>
            </w:r>
          </w:p>
        </w:tc>
      </w:tr>
    </w:tbl>
    <w:p w14:paraId="604F990C" w14:textId="77777777" w:rsidR="00833B87" w:rsidRDefault="00833B87" w:rsidP="00B43865">
      <w:pPr>
        <w:pStyle w:val="Body"/>
        <w:spacing w:after="0" w:line="480" w:lineRule="auto"/>
        <w:rPr>
          <w:rFonts w:ascii="Arial" w:hAnsi="Arial" w:cs="Arial"/>
        </w:rPr>
      </w:pPr>
    </w:p>
    <w:p w14:paraId="68AF3F9E" w14:textId="77777777" w:rsidR="0072176C" w:rsidRPr="00F26E53" w:rsidRDefault="0072176C" w:rsidP="00B43865">
      <w:pPr>
        <w:pStyle w:val="Body"/>
        <w:numPr>
          <w:ilvl w:val="0"/>
          <w:numId w:val="35"/>
        </w:numPr>
        <w:tabs>
          <w:tab w:val="left" w:pos="90"/>
        </w:tabs>
        <w:spacing w:line="480" w:lineRule="auto"/>
        <w:ind w:left="450" w:hanging="450"/>
        <w:rPr>
          <w:rFonts w:ascii="Arial" w:hAnsi="Arial" w:cs="Arial"/>
          <w:b/>
          <w:sz w:val="22"/>
          <w:szCs w:val="22"/>
        </w:rPr>
      </w:pPr>
      <w:r w:rsidRPr="00F26E53">
        <w:rPr>
          <w:rFonts w:ascii="Arial" w:hAnsi="Arial" w:cs="Arial"/>
          <w:b/>
          <w:sz w:val="22"/>
          <w:szCs w:val="22"/>
        </w:rPr>
        <w:t>Qualitative Phytochemical Analysis</w:t>
      </w:r>
    </w:p>
    <w:p w14:paraId="26287D92" w14:textId="77777777" w:rsidR="00833B87" w:rsidRDefault="0072176C" w:rsidP="00B43865">
      <w:pPr>
        <w:pStyle w:val="Body"/>
        <w:spacing w:after="0" w:line="480" w:lineRule="auto"/>
        <w:rPr>
          <w:rFonts w:ascii="Arial" w:hAnsi="Arial" w:cs="Arial"/>
        </w:rPr>
      </w:pPr>
      <w:r w:rsidRPr="0072176C">
        <w:rPr>
          <w:rFonts w:ascii="Arial" w:hAnsi="Arial" w:cs="Arial"/>
        </w:rPr>
        <w:t xml:space="preserve">Qualitative screening demonstrated complementary phytochemical profiles with varying concentrations of key metabolites, as shown in </w:t>
      </w:r>
      <w:r w:rsidR="008B4D8E" w:rsidRPr="008B4D8E">
        <w:rPr>
          <w:rFonts w:ascii="Arial" w:hAnsi="Arial" w:cs="Arial"/>
        </w:rPr>
        <w:fldChar w:fldCharType="begin"/>
      </w:r>
      <w:r w:rsidR="008B4D8E" w:rsidRPr="008B4D8E">
        <w:rPr>
          <w:rFonts w:ascii="Arial" w:hAnsi="Arial" w:cs="Arial"/>
        </w:rPr>
        <w:instrText xml:space="preserve"> REF _Ref216445143 \h  \* MERGEFORMAT </w:instrText>
      </w:r>
      <w:r w:rsidR="008B4D8E" w:rsidRPr="008B4D8E">
        <w:rPr>
          <w:rFonts w:ascii="Arial" w:hAnsi="Arial" w:cs="Arial"/>
        </w:rPr>
      </w:r>
      <w:r w:rsidR="008B4D8E" w:rsidRPr="008B4D8E">
        <w:rPr>
          <w:rFonts w:ascii="Arial" w:hAnsi="Arial" w:cs="Arial"/>
        </w:rPr>
        <w:fldChar w:fldCharType="separate"/>
      </w:r>
      <w:r w:rsidR="008B4D8E" w:rsidRPr="008B4D8E">
        <w:rPr>
          <w:rFonts w:ascii="Arial" w:hAnsi="Arial"/>
        </w:rPr>
        <w:t>Table 3</w:t>
      </w:r>
      <w:r w:rsidR="008B4D8E" w:rsidRPr="008B4D8E">
        <w:rPr>
          <w:rFonts w:ascii="Arial" w:hAnsi="Arial" w:cs="Arial"/>
        </w:rPr>
        <w:fldChar w:fldCharType="end"/>
      </w:r>
      <w:r w:rsidRPr="0072176C">
        <w:rPr>
          <w:rFonts w:ascii="Arial" w:hAnsi="Arial" w:cs="Arial"/>
        </w:rPr>
        <w:t>. Flavonoids were strongly present in both species. Karela showed a stronger presence of terpenoids, alkaloids, and steroids, protein and uniquely contained tannins. This profile aligns with its intense bitterness and potential for metabolic activity. Kakora, however, was richer in saponins, protein, glycosides, and reducing sugars, suggesting a higher content of hydrophilic and macromolecular compounds. Polyphenols were undetectable in both extracts using the specific assay employed.</w:t>
      </w:r>
    </w:p>
    <w:p w14:paraId="7A661676" w14:textId="77777777" w:rsidR="00176820" w:rsidRPr="00176820" w:rsidRDefault="00176820" w:rsidP="00B43865">
      <w:pPr>
        <w:tabs>
          <w:tab w:val="left" w:pos="1080"/>
        </w:tabs>
        <w:spacing w:line="480" w:lineRule="auto"/>
        <w:jc w:val="both"/>
        <w:rPr>
          <w:rFonts w:ascii="Arial" w:hAnsi="Arial"/>
          <w:b/>
        </w:rPr>
      </w:pPr>
      <w:bookmarkStart w:id="3" w:name="_Ref216445143"/>
      <w:r w:rsidRPr="00176820">
        <w:rPr>
          <w:rFonts w:ascii="Arial" w:hAnsi="Arial"/>
          <w:b/>
        </w:rPr>
        <w:t xml:space="preserve">Table </w:t>
      </w:r>
      <w:r w:rsidRPr="00176820">
        <w:rPr>
          <w:rFonts w:ascii="Arial" w:hAnsi="Arial"/>
          <w:b/>
        </w:rPr>
        <w:fldChar w:fldCharType="begin"/>
      </w:r>
      <w:r w:rsidRPr="00176820">
        <w:rPr>
          <w:rFonts w:ascii="Arial" w:hAnsi="Arial"/>
          <w:b/>
        </w:rPr>
        <w:instrText xml:space="preserve"> SEQ Table \* ARABIC </w:instrText>
      </w:r>
      <w:r w:rsidRPr="00176820">
        <w:rPr>
          <w:rFonts w:ascii="Arial" w:hAnsi="Arial"/>
          <w:b/>
        </w:rPr>
        <w:fldChar w:fldCharType="separate"/>
      </w:r>
      <w:r w:rsidR="0032372D">
        <w:rPr>
          <w:rFonts w:ascii="Arial" w:hAnsi="Arial"/>
          <w:b/>
          <w:noProof/>
        </w:rPr>
        <w:t>3</w:t>
      </w:r>
      <w:r w:rsidRPr="00176820">
        <w:rPr>
          <w:rFonts w:ascii="Arial" w:hAnsi="Arial"/>
          <w:b/>
        </w:rPr>
        <w:fldChar w:fldCharType="end"/>
      </w:r>
      <w:bookmarkEnd w:id="3"/>
      <w:r w:rsidRPr="00176820">
        <w:rPr>
          <w:rFonts w:ascii="Arial" w:hAnsi="Arial"/>
          <w:b/>
        </w:rPr>
        <w:t>. Qualitative Screening Results for Secondary Metabolites in Karela and Kakora Methanol Extracts.</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850"/>
        <w:gridCol w:w="2195"/>
        <w:gridCol w:w="2283"/>
      </w:tblGrid>
      <w:tr w:rsidR="00485F20" w14:paraId="7696F33A" w14:textId="77777777" w:rsidTr="00485F20">
        <w:trPr>
          <w:jc w:val="center"/>
        </w:trPr>
        <w:tc>
          <w:tcPr>
            <w:tcW w:w="0" w:type="auto"/>
          </w:tcPr>
          <w:p w14:paraId="3978B78F" w14:textId="77777777" w:rsidR="00485F20" w:rsidRPr="00485F20" w:rsidRDefault="00485F20" w:rsidP="00B43865">
            <w:pPr>
              <w:spacing w:line="480" w:lineRule="auto"/>
              <w:jc w:val="center"/>
              <w:rPr>
                <w:rFonts w:ascii="Arial" w:hAnsi="Arial" w:cs="Arial"/>
                <w:b/>
                <w:sz w:val="20"/>
                <w:szCs w:val="20"/>
              </w:rPr>
            </w:pPr>
            <w:r w:rsidRPr="00485F20">
              <w:rPr>
                <w:rFonts w:ascii="Arial" w:hAnsi="Arial" w:cs="Arial"/>
                <w:b/>
                <w:sz w:val="20"/>
                <w:szCs w:val="20"/>
              </w:rPr>
              <w:t>Phytoconstituent</w:t>
            </w:r>
          </w:p>
        </w:tc>
        <w:tc>
          <w:tcPr>
            <w:tcW w:w="0" w:type="auto"/>
          </w:tcPr>
          <w:p w14:paraId="6726CB2E" w14:textId="77777777" w:rsidR="00485F20" w:rsidRPr="00485F20" w:rsidRDefault="00485F20" w:rsidP="00B43865">
            <w:pPr>
              <w:spacing w:line="480" w:lineRule="auto"/>
              <w:jc w:val="center"/>
              <w:rPr>
                <w:rFonts w:ascii="Arial" w:hAnsi="Arial" w:cs="Arial"/>
                <w:b/>
                <w:sz w:val="20"/>
                <w:szCs w:val="20"/>
              </w:rPr>
            </w:pPr>
            <w:r w:rsidRPr="00485F20">
              <w:rPr>
                <w:rFonts w:ascii="Arial" w:hAnsi="Arial" w:cs="Arial"/>
                <w:b/>
                <w:sz w:val="20"/>
                <w:szCs w:val="20"/>
              </w:rPr>
              <w:t>Karela (Bitter Gourd)</w:t>
            </w:r>
          </w:p>
        </w:tc>
        <w:tc>
          <w:tcPr>
            <w:tcW w:w="0" w:type="auto"/>
          </w:tcPr>
          <w:p w14:paraId="564D8292" w14:textId="77777777" w:rsidR="00485F20" w:rsidRPr="00485F20" w:rsidRDefault="00485F20" w:rsidP="00B43865">
            <w:pPr>
              <w:spacing w:line="480" w:lineRule="auto"/>
              <w:jc w:val="center"/>
              <w:rPr>
                <w:rFonts w:ascii="Arial" w:hAnsi="Arial" w:cs="Arial"/>
                <w:b/>
                <w:sz w:val="20"/>
                <w:szCs w:val="20"/>
              </w:rPr>
            </w:pPr>
            <w:r w:rsidRPr="00485F20">
              <w:rPr>
                <w:rFonts w:ascii="Arial" w:hAnsi="Arial" w:cs="Arial"/>
                <w:b/>
                <w:sz w:val="20"/>
                <w:szCs w:val="20"/>
              </w:rPr>
              <w:t>Kakora (Spiny Gourd)</w:t>
            </w:r>
          </w:p>
        </w:tc>
      </w:tr>
      <w:tr w:rsidR="00485F20" w14:paraId="40E63F46" w14:textId="77777777" w:rsidTr="00485F20">
        <w:trPr>
          <w:jc w:val="center"/>
        </w:trPr>
        <w:tc>
          <w:tcPr>
            <w:tcW w:w="0" w:type="auto"/>
          </w:tcPr>
          <w:p w14:paraId="17FDF042"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Polyphenols</w:t>
            </w:r>
          </w:p>
        </w:tc>
        <w:tc>
          <w:tcPr>
            <w:tcW w:w="0" w:type="auto"/>
          </w:tcPr>
          <w:p w14:paraId="03F6D4F2"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w:t>
            </w:r>
          </w:p>
        </w:tc>
        <w:tc>
          <w:tcPr>
            <w:tcW w:w="0" w:type="auto"/>
          </w:tcPr>
          <w:p w14:paraId="2F53E789"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w:t>
            </w:r>
          </w:p>
        </w:tc>
      </w:tr>
      <w:tr w:rsidR="00485F20" w14:paraId="2AD5DE61" w14:textId="77777777" w:rsidTr="00485F20">
        <w:trPr>
          <w:jc w:val="center"/>
        </w:trPr>
        <w:tc>
          <w:tcPr>
            <w:tcW w:w="0" w:type="auto"/>
          </w:tcPr>
          <w:p w14:paraId="5C16255D"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Flavonoids</w:t>
            </w:r>
          </w:p>
        </w:tc>
        <w:tc>
          <w:tcPr>
            <w:tcW w:w="0" w:type="auto"/>
          </w:tcPr>
          <w:p w14:paraId="58A43ED2"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w:t>
            </w:r>
          </w:p>
        </w:tc>
        <w:tc>
          <w:tcPr>
            <w:tcW w:w="0" w:type="auto"/>
          </w:tcPr>
          <w:p w14:paraId="300AD68E"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w:t>
            </w:r>
          </w:p>
        </w:tc>
      </w:tr>
      <w:tr w:rsidR="00485F20" w14:paraId="2528CA86" w14:textId="77777777" w:rsidTr="00485F20">
        <w:trPr>
          <w:jc w:val="center"/>
        </w:trPr>
        <w:tc>
          <w:tcPr>
            <w:tcW w:w="0" w:type="auto"/>
          </w:tcPr>
          <w:p w14:paraId="69C0EC14"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lastRenderedPageBreak/>
              <w:t>Saponin</w:t>
            </w:r>
          </w:p>
        </w:tc>
        <w:tc>
          <w:tcPr>
            <w:tcW w:w="0" w:type="auto"/>
          </w:tcPr>
          <w:p w14:paraId="292DA7FD"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w:t>
            </w:r>
          </w:p>
        </w:tc>
        <w:tc>
          <w:tcPr>
            <w:tcW w:w="0" w:type="auto"/>
          </w:tcPr>
          <w:p w14:paraId="57925DE4"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w:t>
            </w:r>
          </w:p>
        </w:tc>
      </w:tr>
      <w:tr w:rsidR="00485F20" w14:paraId="5DE0AECE" w14:textId="77777777" w:rsidTr="00485F20">
        <w:trPr>
          <w:jc w:val="center"/>
        </w:trPr>
        <w:tc>
          <w:tcPr>
            <w:tcW w:w="0" w:type="auto"/>
          </w:tcPr>
          <w:p w14:paraId="28EE303A"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Glycoside</w:t>
            </w:r>
          </w:p>
        </w:tc>
        <w:tc>
          <w:tcPr>
            <w:tcW w:w="0" w:type="auto"/>
          </w:tcPr>
          <w:p w14:paraId="54BCE7BA"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w:t>
            </w:r>
          </w:p>
        </w:tc>
        <w:tc>
          <w:tcPr>
            <w:tcW w:w="0" w:type="auto"/>
          </w:tcPr>
          <w:p w14:paraId="6E12AF6C"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w:t>
            </w:r>
          </w:p>
        </w:tc>
      </w:tr>
      <w:tr w:rsidR="00485F20" w14:paraId="73BE01A9" w14:textId="77777777" w:rsidTr="00485F20">
        <w:trPr>
          <w:jc w:val="center"/>
        </w:trPr>
        <w:tc>
          <w:tcPr>
            <w:tcW w:w="0" w:type="auto"/>
          </w:tcPr>
          <w:p w14:paraId="0F9EF652"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Tannin</w:t>
            </w:r>
          </w:p>
        </w:tc>
        <w:tc>
          <w:tcPr>
            <w:tcW w:w="0" w:type="auto"/>
          </w:tcPr>
          <w:p w14:paraId="605C6754"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w:t>
            </w:r>
          </w:p>
        </w:tc>
        <w:tc>
          <w:tcPr>
            <w:tcW w:w="0" w:type="auto"/>
          </w:tcPr>
          <w:p w14:paraId="53F4DC8D"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w:t>
            </w:r>
          </w:p>
        </w:tc>
      </w:tr>
      <w:tr w:rsidR="00485F20" w14:paraId="0FA674A6" w14:textId="77777777" w:rsidTr="00485F20">
        <w:trPr>
          <w:jc w:val="center"/>
        </w:trPr>
        <w:tc>
          <w:tcPr>
            <w:tcW w:w="0" w:type="auto"/>
          </w:tcPr>
          <w:p w14:paraId="5B529493"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Terpenoid</w:t>
            </w:r>
          </w:p>
        </w:tc>
        <w:tc>
          <w:tcPr>
            <w:tcW w:w="0" w:type="auto"/>
          </w:tcPr>
          <w:p w14:paraId="0A1A9FB3"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w:t>
            </w:r>
          </w:p>
        </w:tc>
        <w:tc>
          <w:tcPr>
            <w:tcW w:w="0" w:type="auto"/>
          </w:tcPr>
          <w:p w14:paraId="3A6D56C4"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w:t>
            </w:r>
          </w:p>
        </w:tc>
      </w:tr>
      <w:tr w:rsidR="00485F20" w14:paraId="7BE8DFBD" w14:textId="77777777" w:rsidTr="00485F20">
        <w:trPr>
          <w:jc w:val="center"/>
        </w:trPr>
        <w:tc>
          <w:tcPr>
            <w:tcW w:w="0" w:type="auto"/>
          </w:tcPr>
          <w:p w14:paraId="7FD5B6CE"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Alkaloid</w:t>
            </w:r>
          </w:p>
        </w:tc>
        <w:tc>
          <w:tcPr>
            <w:tcW w:w="0" w:type="auto"/>
          </w:tcPr>
          <w:p w14:paraId="44D2E702"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w:t>
            </w:r>
          </w:p>
        </w:tc>
        <w:tc>
          <w:tcPr>
            <w:tcW w:w="0" w:type="auto"/>
          </w:tcPr>
          <w:p w14:paraId="69F52066"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w:t>
            </w:r>
          </w:p>
        </w:tc>
      </w:tr>
      <w:tr w:rsidR="00485F20" w14:paraId="1D0FDD9C" w14:textId="77777777" w:rsidTr="00485F20">
        <w:trPr>
          <w:jc w:val="center"/>
        </w:trPr>
        <w:tc>
          <w:tcPr>
            <w:tcW w:w="0" w:type="auto"/>
          </w:tcPr>
          <w:p w14:paraId="2FDC4B13"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Steroid</w:t>
            </w:r>
          </w:p>
        </w:tc>
        <w:tc>
          <w:tcPr>
            <w:tcW w:w="0" w:type="auto"/>
          </w:tcPr>
          <w:p w14:paraId="3138E3A8"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w:t>
            </w:r>
          </w:p>
        </w:tc>
        <w:tc>
          <w:tcPr>
            <w:tcW w:w="0" w:type="auto"/>
          </w:tcPr>
          <w:p w14:paraId="6E827002"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w:t>
            </w:r>
          </w:p>
        </w:tc>
      </w:tr>
      <w:tr w:rsidR="00485F20" w14:paraId="5E9236F7" w14:textId="77777777" w:rsidTr="00485F20">
        <w:trPr>
          <w:jc w:val="center"/>
        </w:trPr>
        <w:tc>
          <w:tcPr>
            <w:tcW w:w="0" w:type="auto"/>
          </w:tcPr>
          <w:p w14:paraId="04B57E45"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Reducing Sugar</w:t>
            </w:r>
          </w:p>
        </w:tc>
        <w:tc>
          <w:tcPr>
            <w:tcW w:w="0" w:type="auto"/>
          </w:tcPr>
          <w:p w14:paraId="41B9D351"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w:t>
            </w:r>
          </w:p>
        </w:tc>
        <w:tc>
          <w:tcPr>
            <w:tcW w:w="0" w:type="auto"/>
          </w:tcPr>
          <w:p w14:paraId="10EC9163"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w:t>
            </w:r>
          </w:p>
        </w:tc>
      </w:tr>
      <w:tr w:rsidR="00485F20" w14:paraId="76A01B88" w14:textId="77777777" w:rsidTr="00485F20">
        <w:trPr>
          <w:jc w:val="center"/>
        </w:trPr>
        <w:tc>
          <w:tcPr>
            <w:tcW w:w="0" w:type="auto"/>
          </w:tcPr>
          <w:p w14:paraId="2A537DD2"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Protein</w:t>
            </w:r>
          </w:p>
        </w:tc>
        <w:tc>
          <w:tcPr>
            <w:tcW w:w="0" w:type="auto"/>
          </w:tcPr>
          <w:p w14:paraId="600E9DD4"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w:t>
            </w:r>
          </w:p>
        </w:tc>
        <w:tc>
          <w:tcPr>
            <w:tcW w:w="0" w:type="auto"/>
          </w:tcPr>
          <w:p w14:paraId="2BC9C53A"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w:t>
            </w:r>
          </w:p>
        </w:tc>
      </w:tr>
    </w:tbl>
    <w:p w14:paraId="774D2BF6" w14:textId="77777777" w:rsidR="00833B87" w:rsidRDefault="00833B87" w:rsidP="00B43865">
      <w:pPr>
        <w:pStyle w:val="Body"/>
        <w:spacing w:after="0" w:line="480" w:lineRule="auto"/>
        <w:rPr>
          <w:rFonts w:ascii="Arial" w:hAnsi="Arial" w:cs="Arial"/>
        </w:rPr>
      </w:pPr>
    </w:p>
    <w:p w14:paraId="669C6A6F" w14:textId="77777777" w:rsidR="00A2374A" w:rsidRPr="00DC0ED6" w:rsidRDefault="00A2374A" w:rsidP="00B43865">
      <w:pPr>
        <w:pStyle w:val="Body"/>
        <w:numPr>
          <w:ilvl w:val="0"/>
          <w:numId w:val="35"/>
        </w:numPr>
        <w:tabs>
          <w:tab w:val="left" w:pos="90"/>
        </w:tabs>
        <w:spacing w:line="480" w:lineRule="auto"/>
        <w:ind w:left="450" w:hanging="450"/>
        <w:rPr>
          <w:rFonts w:ascii="Arial" w:hAnsi="Arial" w:cs="Arial"/>
          <w:b/>
          <w:sz w:val="22"/>
          <w:szCs w:val="22"/>
        </w:rPr>
      </w:pPr>
      <w:r w:rsidRPr="00DC0ED6">
        <w:rPr>
          <w:rFonts w:ascii="Arial" w:hAnsi="Arial" w:cs="Arial"/>
          <w:b/>
          <w:sz w:val="22"/>
          <w:szCs w:val="22"/>
        </w:rPr>
        <w:t>Thin-Layer Chromatography (TLC) Analysis</w:t>
      </w:r>
    </w:p>
    <w:p w14:paraId="19AC1E16" w14:textId="77777777" w:rsidR="00833B87" w:rsidRDefault="00A2374A" w:rsidP="00B43865">
      <w:pPr>
        <w:pStyle w:val="Body"/>
        <w:spacing w:after="0" w:line="480" w:lineRule="auto"/>
        <w:rPr>
          <w:rFonts w:ascii="Arial" w:hAnsi="Arial" w:cs="Arial"/>
        </w:rPr>
      </w:pPr>
      <w:r w:rsidRPr="00A2374A">
        <w:rPr>
          <w:rFonts w:ascii="Arial" w:hAnsi="Arial" w:cs="Arial"/>
        </w:rPr>
        <w:t xml:space="preserve">The phytochemical profiles of the Karela and Kakora extracts were successfully resolved using TLC with a </w:t>
      </w:r>
      <w:proofErr w:type="spellStart"/>
      <w:r w:rsidRPr="00A2374A">
        <w:rPr>
          <w:rFonts w:ascii="Arial" w:hAnsi="Arial" w:cs="Arial"/>
        </w:rPr>
        <w:t>chloroform</w:t>
      </w:r>
      <w:proofErr w:type="gramStart"/>
      <w:r w:rsidRPr="00A2374A">
        <w:rPr>
          <w:rFonts w:ascii="Arial" w:hAnsi="Arial" w:cs="Arial"/>
        </w:rPr>
        <w:t>:methanol</w:t>
      </w:r>
      <w:proofErr w:type="spellEnd"/>
      <w:proofErr w:type="gramEnd"/>
      <w:r w:rsidRPr="00A2374A">
        <w:rPr>
          <w:rFonts w:ascii="Arial" w:hAnsi="Arial" w:cs="Arial"/>
        </w:rPr>
        <w:t xml:space="preserve"> (15:1 v/v) mobile phase. Separation and visualization of the compounds are presented in </w:t>
      </w:r>
      <w:r w:rsidR="00A00A8D" w:rsidRPr="00A00A8D">
        <w:rPr>
          <w:rFonts w:ascii="Arial" w:hAnsi="Arial" w:cs="Arial"/>
        </w:rPr>
        <w:fldChar w:fldCharType="begin"/>
      </w:r>
      <w:r w:rsidR="00A00A8D" w:rsidRPr="00A00A8D">
        <w:rPr>
          <w:rFonts w:ascii="Arial" w:hAnsi="Arial" w:cs="Arial"/>
        </w:rPr>
        <w:instrText xml:space="preserve"> REF _Ref216445938 \h  \* MERGEFORMAT </w:instrText>
      </w:r>
      <w:r w:rsidR="00A00A8D" w:rsidRPr="00A00A8D">
        <w:rPr>
          <w:rFonts w:ascii="Arial" w:hAnsi="Arial" w:cs="Arial"/>
        </w:rPr>
      </w:r>
      <w:r w:rsidR="00A00A8D" w:rsidRPr="00A00A8D">
        <w:rPr>
          <w:rFonts w:ascii="Arial" w:hAnsi="Arial" w:cs="Arial"/>
        </w:rPr>
        <w:fldChar w:fldCharType="separate"/>
      </w:r>
      <w:r w:rsidR="00A00A8D" w:rsidRPr="00A00A8D">
        <w:rPr>
          <w:rFonts w:ascii="Arial" w:hAnsi="Arial" w:cs="Arial"/>
          <w:bCs/>
          <w:szCs w:val="22"/>
        </w:rPr>
        <w:t>Fig. 1</w:t>
      </w:r>
      <w:r w:rsidR="00A00A8D" w:rsidRPr="00A00A8D">
        <w:rPr>
          <w:rFonts w:ascii="Arial" w:hAnsi="Arial" w:cs="Arial"/>
        </w:rPr>
        <w:fldChar w:fldCharType="end"/>
      </w:r>
      <w:r w:rsidRPr="00A2374A">
        <w:rPr>
          <w:rFonts w:ascii="Arial" w:hAnsi="Arial" w:cs="Arial"/>
        </w:rPr>
        <w:t>, which displays the slides after separation and visualization under visible and UV light. Analysis revealed that both extracts contain a minimum of two distinct phytochemical components detectable under different lighting conditions. The calculated Retention factor (</w:t>
      </w:r>
      <w:proofErr w:type="gramStart"/>
      <w:r w:rsidRPr="00A2374A">
        <w:rPr>
          <w:rFonts w:ascii="Arial" w:hAnsi="Arial" w:cs="Arial"/>
        </w:rPr>
        <w:t>Rf</w:t>
      </w:r>
      <w:proofErr w:type="gramEnd"/>
      <w:r w:rsidRPr="00A2374A">
        <w:rPr>
          <w:rFonts w:ascii="Arial" w:hAnsi="Arial" w:cs="Arial"/>
        </w:rPr>
        <w:t xml:space="preserve">) values, spot color, and the number of spots for each extract are summarized in </w:t>
      </w:r>
      <w:r w:rsidR="00163C50" w:rsidRPr="00163C50">
        <w:rPr>
          <w:rFonts w:ascii="Arial" w:hAnsi="Arial" w:cs="Arial"/>
        </w:rPr>
        <w:fldChar w:fldCharType="begin"/>
      </w:r>
      <w:r w:rsidR="00163C50" w:rsidRPr="00163C50">
        <w:rPr>
          <w:rFonts w:ascii="Arial" w:hAnsi="Arial" w:cs="Arial"/>
        </w:rPr>
        <w:instrText xml:space="preserve"> REF _Ref216445730 \h  \* MERGEFORMAT </w:instrText>
      </w:r>
      <w:r w:rsidR="00163C50" w:rsidRPr="00163C50">
        <w:rPr>
          <w:rFonts w:ascii="Arial" w:hAnsi="Arial" w:cs="Arial"/>
        </w:rPr>
      </w:r>
      <w:r w:rsidR="00163C50" w:rsidRPr="00163C50">
        <w:rPr>
          <w:rFonts w:ascii="Arial" w:hAnsi="Arial" w:cs="Arial"/>
        </w:rPr>
        <w:fldChar w:fldCharType="separate"/>
      </w:r>
      <w:r w:rsidR="00163C50" w:rsidRPr="00163C50">
        <w:rPr>
          <w:rFonts w:ascii="Arial" w:hAnsi="Arial"/>
        </w:rPr>
        <w:t>Table 4</w:t>
      </w:r>
      <w:r w:rsidR="00163C50" w:rsidRPr="00163C50">
        <w:rPr>
          <w:rFonts w:ascii="Arial" w:hAnsi="Arial" w:cs="Arial"/>
        </w:rPr>
        <w:fldChar w:fldCharType="end"/>
      </w:r>
      <w:r w:rsidRPr="00A2374A">
        <w:rPr>
          <w:rFonts w:ascii="Arial" w:hAnsi="Arial" w:cs="Arial"/>
        </w:rPr>
        <w:t>. Notably, both extracts exhibited a highly nonpolar, UV-active spot with a nearly identical Rf value (0.957) and the same orange fluorescence, strongly suggesting the presence of a common or structurally very similar nonpolar constituent. Conversely, the visible light spots and the second UV-active spot in the Kakora extract (Rf = 0.745) showed significant differences in polarity compared to the other components in the Karela extract, indicating distinct secondary metabolite profiles between the two samples.</w:t>
      </w:r>
    </w:p>
    <w:p w14:paraId="7B0AEBD5" w14:textId="77777777" w:rsidR="003E7AD8" w:rsidRPr="003E7AD8" w:rsidRDefault="003E7AD8" w:rsidP="00B43865">
      <w:pPr>
        <w:tabs>
          <w:tab w:val="left" w:pos="1080"/>
        </w:tabs>
        <w:spacing w:line="480" w:lineRule="auto"/>
        <w:jc w:val="both"/>
        <w:rPr>
          <w:rFonts w:ascii="Arial" w:hAnsi="Arial"/>
          <w:b/>
        </w:rPr>
      </w:pPr>
      <w:bookmarkStart w:id="4" w:name="_Ref216445730"/>
      <w:r w:rsidRPr="003E7AD8">
        <w:rPr>
          <w:rFonts w:ascii="Arial" w:hAnsi="Arial"/>
          <w:b/>
        </w:rPr>
        <w:t xml:space="preserve">Table </w:t>
      </w:r>
      <w:r w:rsidRPr="003E7AD8">
        <w:rPr>
          <w:rFonts w:ascii="Arial" w:hAnsi="Arial"/>
          <w:b/>
        </w:rPr>
        <w:fldChar w:fldCharType="begin"/>
      </w:r>
      <w:r w:rsidRPr="003E7AD8">
        <w:rPr>
          <w:rFonts w:ascii="Arial" w:hAnsi="Arial"/>
          <w:b/>
        </w:rPr>
        <w:instrText xml:space="preserve"> SEQ Table \* ARABIC </w:instrText>
      </w:r>
      <w:r w:rsidRPr="003E7AD8">
        <w:rPr>
          <w:rFonts w:ascii="Arial" w:hAnsi="Arial"/>
          <w:b/>
        </w:rPr>
        <w:fldChar w:fldCharType="separate"/>
      </w:r>
      <w:r w:rsidR="0032372D">
        <w:rPr>
          <w:rFonts w:ascii="Arial" w:hAnsi="Arial"/>
          <w:b/>
          <w:noProof/>
        </w:rPr>
        <w:t>4</w:t>
      </w:r>
      <w:r w:rsidRPr="003E7AD8">
        <w:rPr>
          <w:rFonts w:ascii="Arial" w:hAnsi="Arial"/>
          <w:b/>
        </w:rPr>
        <w:fldChar w:fldCharType="end"/>
      </w:r>
      <w:bookmarkEnd w:id="4"/>
      <w:r w:rsidRPr="003E7AD8">
        <w:rPr>
          <w:rFonts w:ascii="Arial" w:hAnsi="Arial"/>
          <w:b/>
        </w:rPr>
        <w:t>. Retention Factor (Rf) Values and Spot Characteristics of Karela and Kakora Extracts.</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895"/>
        <w:gridCol w:w="1439"/>
        <w:gridCol w:w="1394"/>
        <w:gridCol w:w="1329"/>
        <w:gridCol w:w="1551"/>
      </w:tblGrid>
      <w:tr w:rsidR="00AA19AC" w:rsidRPr="00484A4C" w14:paraId="497DE5AA" w14:textId="77777777" w:rsidTr="00651615">
        <w:trPr>
          <w:jc w:val="center"/>
        </w:trPr>
        <w:tc>
          <w:tcPr>
            <w:tcW w:w="0" w:type="auto"/>
          </w:tcPr>
          <w:p w14:paraId="6D065345" w14:textId="77777777" w:rsidR="00AA19AC" w:rsidRPr="00484A4C" w:rsidRDefault="00AA19AC" w:rsidP="00B43865">
            <w:pPr>
              <w:spacing w:line="480" w:lineRule="auto"/>
              <w:jc w:val="center"/>
              <w:rPr>
                <w:rFonts w:ascii="Arial" w:hAnsi="Arial" w:cs="Arial"/>
                <w:b/>
                <w:sz w:val="20"/>
                <w:szCs w:val="20"/>
              </w:rPr>
            </w:pPr>
            <w:r w:rsidRPr="00484A4C">
              <w:rPr>
                <w:rFonts w:ascii="Arial" w:hAnsi="Arial" w:cs="Arial"/>
                <w:b/>
                <w:sz w:val="20"/>
                <w:szCs w:val="20"/>
              </w:rPr>
              <w:t>Extract</w:t>
            </w:r>
          </w:p>
        </w:tc>
        <w:tc>
          <w:tcPr>
            <w:tcW w:w="0" w:type="auto"/>
          </w:tcPr>
          <w:p w14:paraId="26B578E0" w14:textId="77777777" w:rsidR="00AA19AC" w:rsidRPr="00484A4C" w:rsidRDefault="00AA19AC" w:rsidP="00B43865">
            <w:pPr>
              <w:spacing w:line="480" w:lineRule="auto"/>
              <w:jc w:val="center"/>
              <w:rPr>
                <w:rFonts w:ascii="Arial" w:hAnsi="Arial" w:cs="Arial"/>
                <w:b/>
                <w:sz w:val="20"/>
                <w:szCs w:val="20"/>
              </w:rPr>
            </w:pPr>
            <w:r w:rsidRPr="00484A4C">
              <w:rPr>
                <w:rFonts w:ascii="Arial" w:hAnsi="Arial" w:cs="Arial"/>
                <w:b/>
                <w:sz w:val="20"/>
                <w:szCs w:val="20"/>
              </w:rPr>
              <w:t>Visualization</w:t>
            </w:r>
          </w:p>
        </w:tc>
        <w:tc>
          <w:tcPr>
            <w:tcW w:w="0" w:type="auto"/>
          </w:tcPr>
          <w:p w14:paraId="1AEAF821" w14:textId="77777777" w:rsidR="00AA19AC" w:rsidRPr="00484A4C" w:rsidRDefault="00AA19AC" w:rsidP="00B43865">
            <w:pPr>
              <w:spacing w:line="480" w:lineRule="auto"/>
              <w:jc w:val="center"/>
              <w:rPr>
                <w:rFonts w:ascii="Arial" w:hAnsi="Arial" w:cs="Arial"/>
                <w:b/>
                <w:sz w:val="20"/>
                <w:szCs w:val="20"/>
              </w:rPr>
            </w:pPr>
            <w:r w:rsidRPr="00484A4C">
              <w:rPr>
                <w:rFonts w:ascii="Arial" w:hAnsi="Arial" w:cs="Arial"/>
                <w:b/>
                <w:sz w:val="20"/>
                <w:szCs w:val="20"/>
              </w:rPr>
              <w:t>No. of Spots</w:t>
            </w:r>
          </w:p>
        </w:tc>
        <w:tc>
          <w:tcPr>
            <w:tcW w:w="0" w:type="auto"/>
          </w:tcPr>
          <w:p w14:paraId="433DB9CB" w14:textId="77777777" w:rsidR="00AA19AC" w:rsidRPr="00484A4C" w:rsidRDefault="00AA19AC" w:rsidP="00B43865">
            <w:pPr>
              <w:spacing w:line="480" w:lineRule="auto"/>
              <w:jc w:val="center"/>
              <w:rPr>
                <w:rFonts w:ascii="Arial" w:hAnsi="Arial" w:cs="Arial"/>
                <w:b/>
                <w:sz w:val="20"/>
                <w:szCs w:val="20"/>
              </w:rPr>
            </w:pPr>
            <w:r w:rsidRPr="00484A4C">
              <w:rPr>
                <w:rFonts w:ascii="Arial" w:hAnsi="Arial" w:cs="Arial"/>
                <w:b/>
                <w:sz w:val="20"/>
                <w:szCs w:val="20"/>
              </w:rPr>
              <w:t>Rf Value</w:t>
            </w:r>
          </w:p>
        </w:tc>
        <w:tc>
          <w:tcPr>
            <w:tcW w:w="0" w:type="auto"/>
          </w:tcPr>
          <w:p w14:paraId="320D763E" w14:textId="77777777" w:rsidR="00AA19AC" w:rsidRPr="00484A4C" w:rsidRDefault="00AA19AC" w:rsidP="00B43865">
            <w:pPr>
              <w:spacing w:line="480" w:lineRule="auto"/>
              <w:jc w:val="center"/>
              <w:rPr>
                <w:rFonts w:ascii="Arial" w:hAnsi="Arial" w:cs="Arial"/>
                <w:b/>
                <w:sz w:val="20"/>
                <w:szCs w:val="20"/>
              </w:rPr>
            </w:pPr>
            <w:r w:rsidRPr="00484A4C">
              <w:rPr>
                <w:rFonts w:ascii="Arial" w:hAnsi="Arial" w:cs="Arial"/>
                <w:b/>
                <w:sz w:val="20"/>
                <w:szCs w:val="20"/>
              </w:rPr>
              <w:t>Spot Color</w:t>
            </w:r>
          </w:p>
        </w:tc>
      </w:tr>
      <w:tr w:rsidR="00AA19AC" w:rsidRPr="00484A4C" w14:paraId="5E5C245D" w14:textId="77777777" w:rsidTr="00651615">
        <w:trPr>
          <w:jc w:val="center"/>
        </w:trPr>
        <w:tc>
          <w:tcPr>
            <w:tcW w:w="0" w:type="auto"/>
          </w:tcPr>
          <w:p w14:paraId="7DE08CFC" w14:textId="77777777" w:rsidR="00AA19AC" w:rsidRPr="00484A4C" w:rsidRDefault="00AA19AC" w:rsidP="00B43865">
            <w:pPr>
              <w:pStyle w:val="Body"/>
              <w:spacing w:after="0" w:line="480" w:lineRule="auto"/>
              <w:jc w:val="center"/>
              <w:rPr>
                <w:rFonts w:ascii="Arial" w:hAnsi="Arial" w:cs="Arial"/>
                <w:sz w:val="20"/>
                <w:szCs w:val="20"/>
              </w:rPr>
            </w:pPr>
            <w:r w:rsidRPr="00484A4C">
              <w:rPr>
                <w:rFonts w:ascii="Arial" w:hAnsi="Arial" w:cs="Arial"/>
                <w:sz w:val="20"/>
                <w:szCs w:val="20"/>
              </w:rPr>
              <w:t>Karela</w:t>
            </w:r>
          </w:p>
        </w:tc>
        <w:tc>
          <w:tcPr>
            <w:tcW w:w="0" w:type="auto"/>
          </w:tcPr>
          <w:p w14:paraId="2A8DA4C5" w14:textId="77777777" w:rsidR="00AA19AC" w:rsidRPr="00484A4C" w:rsidRDefault="00AA19AC" w:rsidP="00B43865">
            <w:pPr>
              <w:pStyle w:val="Body"/>
              <w:spacing w:after="0" w:line="480" w:lineRule="auto"/>
              <w:jc w:val="center"/>
              <w:rPr>
                <w:rFonts w:ascii="Arial" w:hAnsi="Arial" w:cs="Arial"/>
                <w:sz w:val="20"/>
                <w:szCs w:val="20"/>
              </w:rPr>
            </w:pPr>
            <w:r w:rsidRPr="00484A4C">
              <w:rPr>
                <w:rFonts w:ascii="Arial" w:hAnsi="Arial" w:cs="Arial"/>
                <w:sz w:val="20"/>
                <w:szCs w:val="20"/>
              </w:rPr>
              <w:t>Visible Light</w:t>
            </w:r>
          </w:p>
          <w:p w14:paraId="16F6F1E9" w14:textId="77777777" w:rsidR="00AA19AC" w:rsidRPr="00484A4C" w:rsidRDefault="00AA19AC" w:rsidP="00B43865">
            <w:pPr>
              <w:pStyle w:val="Body"/>
              <w:spacing w:after="0" w:line="480" w:lineRule="auto"/>
              <w:jc w:val="center"/>
              <w:rPr>
                <w:rFonts w:ascii="Arial" w:hAnsi="Arial" w:cs="Arial"/>
                <w:sz w:val="20"/>
                <w:szCs w:val="20"/>
              </w:rPr>
            </w:pPr>
            <w:r w:rsidRPr="00484A4C">
              <w:rPr>
                <w:rFonts w:ascii="Arial" w:hAnsi="Arial" w:cs="Arial"/>
                <w:sz w:val="20"/>
                <w:szCs w:val="20"/>
              </w:rPr>
              <w:t>UV – Light</w:t>
            </w:r>
          </w:p>
        </w:tc>
        <w:tc>
          <w:tcPr>
            <w:tcW w:w="0" w:type="auto"/>
          </w:tcPr>
          <w:p w14:paraId="1AAB310B" w14:textId="77777777" w:rsidR="00AA19AC" w:rsidRPr="00484A4C" w:rsidRDefault="004C20EA" w:rsidP="00B43865">
            <w:pPr>
              <w:pStyle w:val="Body"/>
              <w:spacing w:after="0" w:line="480" w:lineRule="auto"/>
              <w:jc w:val="center"/>
              <w:rPr>
                <w:rFonts w:ascii="Arial" w:hAnsi="Arial" w:cs="Arial"/>
                <w:sz w:val="20"/>
                <w:szCs w:val="20"/>
              </w:rPr>
            </w:pPr>
            <w:r w:rsidRPr="00484A4C">
              <w:rPr>
                <w:rFonts w:ascii="Arial" w:hAnsi="Arial" w:cs="Arial"/>
                <w:sz w:val="20"/>
                <w:szCs w:val="20"/>
              </w:rPr>
              <w:t>1</w:t>
            </w:r>
          </w:p>
          <w:p w14:paraId="34852BB8" w14:textId="77777777" w:rsidR="004C20EA" w:rsidRPr="00484A4C" w:rsidRDefault="004C20EA" w:rsidP="00B43865">
            <w:pPr>
              <w:pStyle w:val="Body"/>
              <w:spacing w:after="0" w:line="480" w:lineRule="auto"/>
              <w:jc w:val="center"/>
              <w:rPr>
                <w:rFonts w:ascii="Arial" w:hAnsi="Arial" w:cs="Arial"/>
                <w:sz w:val="20"/>
                <w:szCs w:val="20"/>
              </w:rPr>
            </w:pPr>
            <w:r w:rsidRPr="00484A4C">
              <w:rPr>
                <w:rFonts w:ascii="Arial" w:hAnsi="Arial" w:cs="Arial"/>
                <w:sz w:val="20"/>
                <w:szCs w:val="20"/>
              </w:rPr>
              <w:t>2</w:t>
            </w:r>
          </w:p>
        </w:tc>
        <w:tc>
          <w:tcPr>
            <w:tcW w:w="0" w:type="auto"/>
          </w:tcPr>
          <w:p w14:paraId="73EAF893" w14:textId="77777777" w:rsidR="00AA19AC" w:rsidRPr="00484A4C" w:rsidRDefault="004C20EA" w:rsidP="00B43865">
            <w:pPr>
              <w:pStyle w:val="Body"/>
              <w:spacing w:after="0" w:line="480" w:lineRule="auto"/>
              <w:jc w:val="center"/>
              <w:rPr>
                <w:rFonts w:ascii="Arial" w:hAnsi="Arial" w:cs="Arial"/>
                <w:sz w:val="20"/>
                <w:szCs w:val="20"/>
              </w:rPr>
            </w:pPr>
            <w:r w:rsidRPr="00484A4C">
              <w:rPr>
                <w:rFonts w:ascii="Arial" w:hAnsi="Arial" w:cs="Arial"/>
                <w:sz w:val="20"/>
                <w:szCs w:val="20"/>
              </w:rPr>
              <w:t>0.956</w:t>
            </w:r>
          </w:p>
          <w:p w14:paraId="184F0B3A" w14:textId="77777777" w:rsidR="004C20EA" w:rsidRPr="00484A4C" w:rsidRDefault="00707482" w:rsidP="00B43865">
            <w:pPr>
              <w:pStyle w:val="Body"/>
              <w:spacing w:line="480" w:lineRule="auto"/>
              <w:jc w:val="center"/>
              <w:rPr>
                <w:rFonts w:ascii="Arial" w:hAnsi="Arial" w:cs="Arial"/>
                <w:sz w:val="20"/>
                <w:szCs w:val="20"/>
              </w:rPr>
            </w:pPr>
            <w:r w:rsidRPr="00484A4C">
              <w:rPr>
                <w:rFonts w:ascii="Arial" w:hAnsi="Arial" w:cs="Arial"/>
                <w:sz w:val="20"/>
                <w:szCs w:val="20"/>
              </w:rPr>
              <w:t>0.915, 0.957</w:t>
            </w:r>
          </w:p>
        </w:tc>
        <w:tc>
          <w:tcPr>
            <w:tcW w:w="0" w:type="auto"/>
          </w:tcPr>
          <w:p w14:paraId="2B6E723C" w14:textId="77777777" w:rsidR="00AA19AC" w:rsidRPr="00484A4C" w:rsidRDefault="00303645" w:rsidP="00B43865">
            <w:pPr>
              <w:pStyle w:val="Body"/>
              <w:spacing w:after="0" w:line="480" w:lineRule="auto"/>
              <w:jc w:val="center"/>
              <w:rPr>
                <w:rFonts w:ascii="Arial" w:hAnsi="Arial" w:cs="Arial"/>
                <w:sz w:val="20"/>
                <w:szCs w:val="20"/>
              </w:rPr>
            </w:pPr>
            <w:r w:rsidRPr="00484A4C">
              <w:rPr>
                <w:rFonts w:ascii="Arial" w:hAnsi="Arial" w:cs="Arial"/>
                <w:sz w:val="20"/>
                <w:szCs w:val="20"/>
              </w:rPr>
              <w:t>Light green</w:t>
            </w:r>
          </w:p>
          <w:p w14:paraId="47212A2F" w14:textId="77777777" w:rsidR="00303645" w:rsidRPr="00484A4C" w:rsidRDefault="00303645" w:rsidP="00B43865">
            <w:pPr>
              <w:pStyle w:val="Body"/>
              <w:spacing w:line="480" w:lineRule="auto"/>
              <w:jc w:val="center"/>
              <w:rPr>
                <w:rFonts w:ascii="Arial" w:hAnsi="Arial" w:cs="Arial"/>
                <w:sz w:val="20"/>
                <w:szCs w:val="20"/>
              </w:rPr>
            </w:pPr>
            <w:r w:rsidRPr="00484A4C">
              <w:rPr>
                <w:rFonts w:ascii="Arial" w:hAnsi="Arial" w:cs="Arial"/>
                <w:sz w:val="20"/>
                <w:szCs w:val="20"/>
              </w:rPr>
              <w:t>Orange, Green</w:t>
            </w:r>
          </w:p>
        </w:tc>
      </w:tr>
      <w:tr w:rsidR="00AA19AC" w:rsidRPr="00484A4C" w14:paraId="35806C7A" w14:textId="77777777" w:rsidTr="00651615">
        <w:trPr>
          <w:jc w:val="center"/>
        </w:trPr>
        <w:tc>
          <w:tcPr>
            <w:tcW w:w="0" w:type="auto"/>
          </w:tcPr>
          <w:p w14:paraId="0FEBF514" w14:textId="77777777" w:rsidR="00AA19AC" w:rsidRPr="00484A4C" w:rsidRDefault="00AA19AC" w:rsidP="00B43865">
            <w:pPr>
              <w:pStyle w:val="Body"/>
              <w:spacing w:after="0" w:line="480" w:lineRule="auto"/>
              <w:jc w:val="center"/>
              <w:rPr>
                <w:rFonts w:ascii="Arial" w:hAnsi="Arial" w:cs="Arial"/>
                <w:sz w:val="20"/>
                <w:szCs w:val="20"/>
              </w:rPr>
            </w:pPr>
            <w:r w:rsidRPr="00484A4C">
              <w:rPr>
                <w:rFonts w:ascii="Arial" w:hAnsi="Arial" w:cs="Arial"/>
                <w:sz w:val="20"/>
                <w:szCs w:val="20"/>
              </w:rPr>
              <w:t>Kakora</w:t>
            </w:r>
          </w:p>
        </w:tc>
        <w:tc>
          <w:tcPr>
            <w:tcW w:w="0" w:type="auto"/>
          </w:tcPr>
          <w:p w14:paraId="6A25CC51" w14:textId="77777777" w:rsidR="00AA19AC" w:rsidRPr="00484A4C" w:rsidRDefault="00AA19AC" w:rsidP="00B43865">
            <w:pPr>
              <w:pStyle w:val="Body"/>
              <w:spacing w:after="0" w:line="480" w:lineRule="auto"/>
              <w:jc w:val="center"/>
              <w:rPr>
                <w:rFonts w:ascii="Arial" w:hAnsi="Arial" w:cs="Arial"/>
                <w:sz w:val="20"/>
                <w:szCs w:val="20"/>
              </w:rPr>
            </w:pPr>
            <w:r w:rsidRPr="00484A4C">
              <w:rPr>
                <w:rFonts w:ascii="Arial" w:hAnsi="Arial" w:cs="Arial"/>
                <w:sz w:val="20"/>
                <w:szCs w:val="20"/>
              </w:rPr>
              <w:t>Visible Light</w:t>
            </w:r>
          </w:p>
          <w:p w14:paraId="471C2747" w14:textId="77777777" w:rsidR="00AA19AC" w:rsidRPr="00484A4C" w:rsidRDefault="00AA19AC" w:rsidP="00B43865">
            <w:pPr>
              <w:pStyle w:val="Body"/>
              <w:spacing w:after="0" w:line="480" w:lineRule="auto"/>
              <w:jc w:val="center"/>
              <w:rPr>
                <w:rFonts w:ascii="Arial" w:hAnsi="Arial" w:cs="Arial"/>
                <w:sz w:val="20"/>
                <w:szCs w:val="20"/>
              </w:rPr>
            </w:pPr>
            <w:r w:rsidRPr="00484A4C">
              <w:rPr>
                <w:rFonts w:ascii="Arial" w:hAnsi="Arial" w:cs="Arial"/>
                <w:sz w:val="20"/>
                <w:szCs w:val="20"/>
              </w:rPr>
              <w:t>UV – Light</w:t>
            </w:r>
          </w:p>
        </w:tc>
        <w:tc>
          <w:tcPr>
            <w:tcW w:w="0" w:type="auto"/>
          </w:tcPr>
          <w:p w14:paraId="1E1B9F32" w14:textId="77777777" w:rsidR="00AA19AC" w:rsidRPr="00484A4C" w:rsidRDefault="004C20EA" w:rsidP="00B43865">
            <w:pPr>
              <w:pStyle w:val="Body"/>
              <w:spacing w:after="0" w:line="480" w:lineRule="auto"/>
              <w:jc w:val="center"/>
              <w:rPr>
                <w:rFonts w:ascii="Arial" w:hAnsi="Arial" w:cs="Arial"/>
                <w:sz w:val="20"/>
                <w:szCs w:val="20"/>
              </w:rPr>
            </w:pPr>
            <w:r w:rsidRPr="00484A4C">
              <w:rPr>
                <w:rFonts w:ascii="Arial" w:hAnsi="Arial" w:cs="Arial"/>
                <w:sz w:val="20"/>
                <w:szCs w:val="20"/>
              </w:rPr>
              <w:t>1</w:t>
            </w:r>
          </w:p>
          <w:p w14:paraId="24B6F0D2" w14:textId="77777777" w:rsidR="004C20EA" w:rsidRPr="00484A4C" w:rsidRDefault="004C20EA" w:rsidP="00B43865">
            <w:pPr>
              <w:pStyle w:val="Body"/>
              <w:spacing w:after="0" w:line="480" w:lineRule="auto"/>
              <w:jc w:val="center"/>
              <w:rPr>
                <w:rFonts w:ascii="Arial" w:hAnsi="Arial" w:cs="Arial"/>
                <w:sz w:val="20"/>
                <w:szCs w:val="20"/>
              </w:rPr>
            </w:pPr>
            <w:r w:rsidRPr="00484A4C">
              <w:rPr>
                <w:rFonts w:ascii="Arial" w:hAnsi="Arial" w:cs="Arial"/>
                <w:sz w:val="20"/>
                <w:szCs w:val="20"/>
              </w:rPr>
              <w:t>2</w:t>
            </w:r>
          </w:p>
        </w:tc>
        <w:tc>
          <w:tcPr>
            <w:tcW w:w="0" w:type="auto"/>
          </w:tcPr>
          <w:p w14:paraId="19416FD9" w14:textId="77777777" w:rsidR="00AA19AC" w:rsidRPr="00484A4C" w:rsidRDefault="00BF5412" w:rsidP="00B43865">
            <w:pPr>
              <w:pStyle w:val="Body"/>
              <w:spacing w:after="0" w:line="480" w:lineRule="auto"/>
              <w:jc w:val="center"/>
              <w:rPr>
                <w:rFonts w:ascii="Arial" w:hAnsi="Arial" w:cs="Arial"/>
                <w:sz w:val="20"/>
                <w:szCs w:val="20"/>
              </w:rPr>
            </w:pPr>
            <w:r w:rsidRPr="00484A4C">
              <w:rPr>
                <w:rFonts w:ascii="Arial" w:hAnsi="Arial" w:cs="Arial"/>
                <w:sz w:val="20"/>
                <w:szCs w:val="20"/>
              </w:rPr>
              <w:t>0.822</w:t>
            </w:r>
          </w:p>
          <w:p w14:paraId="7E6C9D36" w14:textId="77777777" w:rsidR="00BF5412" w:rsidRPr="00484A4C" w:rsidRDefault="00D01BA3" w:rsidP="00B43865">
            <w:pPr>
              <w:pStyle w:val="Body"/>
              <w:spacing w:line="480" w:lineRule="auto"/>
              <w:jc w:val="center"/>
              <w:rPr>
                <w:rFonts w:ascii="Arial" w:hAnsi="Arial" w:cs="Arial"/>
                <w:sz w:val="20"/>
                <w:szCs w:val="20"/>
              </w:rPr>
            </w:pPr>
            <w:r w:rsidRPr="00484A4C">
              <w:rPr>
                <w:rFonts w:ascii="Arial" w:hAnsi="Arial" w:cs="Arial"/>
                <w:sz w:val="20"/>
                <w:szCs w:val="20"/>
              </w:rPr>
              <w:t>0.745, 0.957</w:t>
            </w:r>
          </w:p>
        </w:tc>
        <w:tc>
          <w:tcPr>
            <w:tcW w:w="0" w:type="auto"/>
          </w:tcPr>
          <w:p w14:paraId="27D82877" w14:textId="77777777" w:rsidR="00F479E9" w:rsidRPr="00484A4C" w:rsidRDefault="00F479E9" w:rsidP="00B43865">
            <w:pPr>
              <w:pStyle w:val="Body"/>
              <w:spacing w:after="0" w:line="480" w:lineRule="auto"/>
              <w:jc w:val="center"/>
              <w:rPr>
                <w:rFonts w:ascii="Arial" w:hAnsi="Arial" w:cs="Arial"/>
                <w:sz w:val="20"/>
                <w:szCs w:val="20"/>
              </w:rPr>
            </w:pPr>
            <w:r w:rsidRPr="00484A4C">
              <w:rPr>
                <w:rFonts w:ascii="Arial" w:hAnsi="Arial" w:cs="Arial"/>
                <w:sz w:val="20"/>
                <w:szCs w:val="20"/>
              </w:rPr>
              <w:t>Light green</w:t>
            </w:r>
          </w:p>
          <w:p w14:paraId="2A951CD9" w14:textId="77777777" w:rsidR="00AA19AC" w:rsidRPr="00484A4C" w:rsidRDefault="00F479E9" w:rsidP="00B43865">
            <w:pPr>
              <w:pStyle w:val="Body"/>
              <w:spacing w:after="0" w:line="480" w:lineRule="auto"/>
              <w:jc w:val="center"/>
              <w:rPr>
                <w:rFonts w:ascii="Arial" w:hAnsi="Arial" w:cs="Arial"/>
                <w:sz w:val="20"/>
                <w:szCs w:val="20"/>
              </w:rPr>
            </w:pPr>
            <w:r w:rsidRPr="00484A4C">
              <w:rPr>
                <w:rFonts w:ascii="Arial" w:hAnsi="Arial" w:cs="Arial"/>
                <w:sz w:val="20"/>
                <w:szCs w:val="20"/>
              </w:rPr>
              <w:t>Orange, Green</w:t>
            </w:r>
          </w:p>
        </w:tc>
      </w:tr>
    </w:tbl>
    <w:p w14:paraId="1ACE4E47" w14:textId="77777777" w:rsidR="00A2374A" w:rsidRDefault="00A2374A" w:rsidP="00B43865">
      <w:pPr>
        <w:pStyle w:val="Body"/>
        <w:spacing w:after="0" w:line="480" w:lineRule="auto"/>
        <w:rPr>
          <w:rFonts w:ascii="Arial" w:hAnsi="Arial" w:cs="Arial"/>
        </w:rPr>
      </w:pPr>
    </w:p>
    <w:p w14:paraId="779DB7FB" w14:textId="77777777" w:rsidR="00A055B5" w:rsidRDefault="00C859F0" w:rsidP="00B43865">
      <w:pPr>
        <w:pStyle w:val="Body"/>
        <w:keepNext/>
        <w:spacing w:after="0" w:line="480" w:lineRule="auto"/>
        <w:jc w:val="center"/>
      </w:pPr>
      <w:r>
        <w:rPr>
          <w:rFonts w:ascii="Arial" w:hAnsi="Arial" w:cs="Arial"/>
          <w:noProof/>
        </w:rPr>
        <w:lastRenderedPageBreak/>
        <w:drawing>
          <wp:inline distT="0" distB="0" distL="0" distR="0" wp14:anchorId="53E2001F" wp14:editId="202B8EEA">
            <wp:extent cx="2061646" cy="2190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LC.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73490" cy="2203335"/>
                    </a:xfrm>
                    <a:prstGeom prst="rect">
                      <a:avLst/>
                    </a:prstGeom>
                  </pic:spPr>
                </pic:pic>
              </a:graphicData>
            </a:graphic>
          </wp:inline>
        </w:drawing>
      </w:r>
    </w:p>
    <w:p w14:paraId="78A80F3E" w14:textId="77777777" w:rsidR="00833B87" w:rsidRPr="00A055B5" w:rsidRDefault="00A055B5" w:rsidP="00B43865">
      <w:pPr>
        <w:autoSpaceDE w:val="0"/>
        <w:autoSpaceDN w:val="0"/>
        <w:adjustRightInd w:val="0"/>
        <w:spacing w:line="480" w:lineRule="auto"/>
        <w:jc w:val="both"/>
        <w:rPr>
          <w:rFonts w:ascii="Arial" w:hAnsi="Arial" w:cs="Arial"/>
          <w:b/>
          <w:bCs/>
          <w:szCs w:val="22"/>
        </w:rPr>
      </w:pPr>
      <w:bookmarkStart w:id="5" w:name="_Ref216445938"/>
      <w:r w:rsidRPr="00A055B5">
        <w:rPr>
          <w:rFonts w:ascii="Arial" w:hAnsi="Arial" w:cs="Arial"/>
          <w:b/>
          <w:bCs/>
          <w:szCs w:val="22"/>
        </w:rPr>
        <w:t xml:space="preserve">Fig. </w:t>
      </w:r>
      <w:r w:rsidRPr="00A055B5">
        <w:rPr>
          <w:rFonts w:ascii="Arial" w:hAnsi="Arial" w:cs="Arial"/>
          <w:b/>
          <w:bCs/>
          <w:szCs w:val="22"/>
        </w:rPr>
        <w:fldChar w:fldCharType="begin"/>
      </w:r>
      <w:r w:rsidRPr="00A055B5">
        <w:rPr>
          <w:rFonts w:ascii="Arial" w:hAnsi="Arial" w:cs="Arial"/>
          <w:b/>
          <w:bCs/>
          <w:szCs w:val="22"/>
        </w:rPr>
        <w:instrText xml:space="preserve"> SEQ Fig. \* ARABIC </w:instrText>
      </w:r>
      <w:r w:rsidRPr="00A055B5">
        <w:rPr>
          <w:rFonts w:ascii="Arial" w:hAnsi="Arial" w:cs="Arial"/>
          <w:b/>
          <w:bCs/>
          <w:szCs w:val="22"/>
        </w:rPr>
        <w:fldChar w:fldCharType="separate"/>
      </w:r>
      <w:r w:rsidR="00140AF9">
        <w:rPr>
          <w:rFonts w:ascii="Arial" w:hAnsi="Arial" w:cs="Arial"/>
          <w:b/>
          <w:bCs/>
          <w:noProof/>
          <w:szCs w:val="22"/>
        </w:rPr>
        <w:t>1</w:t>
      </w:r>
      <w:r w:rsidRPr="00A055B5">
        <w:rPr>
          <w:rFonts w:ascii="Arial" w:hAnsi="Arial" w:cs="Arial"/>
          <w:b/>
          <w:bCs/>
          <w:szCs w:val="22"/>
        </w:rPr>
        <w:fldChar w:fldCharType="end"/>
      </w:r>
      <w:bookmarkEnd w:id="5"/>
      <w:r w:rsidRPr="00A055B5">
        <w:rPr>
          <w:rFonts w:ascii="Arial" w:hAnsi="Arial" w:cs="Arial"/>
          <w:b/>
          <w:bCs/>
          <w:szCs w:val="22"/>
        </w:rPr>
        <w:t>. Thin-Layer Chromatography (TLC) visualization of Karela and Kakora extracts under visible and UV-light.</w:t>
      </w:r>
    </w:p>
    <w:p w14:paraId="625DAF7D" w14:textId="77777777" w:rsidR="00B551E6" w:rsidRPr="00B551E6" w:rsidRDefault="00B551E6" w:rsidP="00B43865">
      <w:pPr>
        <w:pStyle w:val="Body"/>
        <w:numPr>
          <w:ilvl w:val="0"/>
          <w:numId w:val="35"/>
        </w:numPr>
        <w:tabs>
          <w:tab w:val="left" w:pos="90"/>
        </w:tabs>
        <w:spacing w:line="480" w:lineRule="auto"/>
        <w:ind w:left="450" w:hanging="450"/>
        <w:rPr>
          <w:rFonts w:ascii="Arial" w:hAnsi="Arial" w:cs="Arial"/>
          <w:b/>
          <w:sz w:val="22"/>
          <w:szCs w:val="22"/>
        </w:rPr>
      </w:pPr>
      <w:r w:rsidRPr="00B551E6">
        <w:rPr>
          <w:rFonts w:ascii="Arial" w:hAnsi="Arial" w:cs="Arial"/>
          <w:b/>
          <w:sz w:val="22"/>
          <w:szCs w:val="22"/>
        </w:rPr>
        <w:t>Phytochemical Content and Antioxidant Capacity of Karela and Kakora Extracts</w:t>
      </w:r>
    </w:p>
    <w:p w14:paraId="3F2232E4" w14:textId="77777777" w:rsidR="00B551E6" w:rsidRPr="00B551E6" w:rsidRDefault="00B551E6" w:rsidP="00B43865">
      <w:pPr>
        <w:pStyle w:val="Body"/>
        <w:spacing w:line="480" w:lineRule="auto"/>
        <w:rPr>
          <w:rFonts w:ascii="Arial" w:hAnsi="Arial" w:cs="Arial"/>
        </w:rPr>
      </w:pPr>
      <w:r w:rsidRPr="00B551E6">
        <w:rPr>
          <w:rFonts w:ascii="Arial" w:hAnsi="Arial" w:cs="Arial"/>
        </w:rPr>
        <w:t xml:space="preserve">The methanolic extracts of Karela and Kakora were systematically analyzed for their major phytochemical constituents and antioxidant capacity. Quantification for all assays was performed using standard calibration curves, details of which are presented in </w:t>
      </w:r>
      <w:r w:rsidR="005F2A69" w:rsidRPr="005F2A69">
        <w:rPr>
          <w:rFonts w:ascii="Arial" w:hAnsi="Arial" w:cs="Arial"/>
        </w:rPr>
        <w:fldChar w:fldCharType="begin"/>
      </w:r>
      <w:r w:rsidR="005F2A69" w:rsidRPr="005F2A69">
        <w:rPr>
          <w:rFonts w:ascii="Arial" w:hAnsi="Arial" w:cs="Arial"/>
        </w:rPr>
        <w:instrText xml:space="preserve"> REF _Ref216446856 \h  \* MERGEFORMAT </w:instrText>
      </w:r>
      <w:r w:rsidR="005F2A69" w:rsidRPr="005F2A69">
        <w:rPr>
          <w:rFonts w:ascii="Arial" w:hAnsi="Arial" w:cs="Arial"/>
        </w:rPr>
      </w:r>
      <w:r w:rsidR="005F2A69" w:rsidRPr="005F2A69">
        <w:rPr>
          <w:rFonts w:ascii="Arial" w:hAnsi="Arial" w:cs="Arial"/>
        </w:rPr>
        <w:fldChar w:fldCharType="separate"/>
      </w:r>
      <w:r w:rsidR="005F2A69" w:rsidRPr="005F2A69">
        <w:rPr>
          <w:rFonts w:ascii="Arial" w:hAnsi="Arial" w:cs="Arial"/>
          <w:bCs/>
          <w:szCs w:val="22"/>
        </w:rPr>
        <w:t>Fig. 2</w:t>
      </w:r>
      <w:r w:rsidR="005F2A69" w:rsidRPr="005F2A69">
        <w:rPr>
          <w:rFonts w:ascii="Arial" w:hAnsi="Arial" w:cs="Arial"/>
        </w:rPr>
        <w:fldChar w:fldCharType="end"/>
      </w:r>
      <w:r w:rsidRPr="00B551E6">
        <w:rPr>
          <w:rFonts w:ascii="Arial" w:hAnsi="Arial" w:cs="Arial"/>
        </w:rPr>
        <w:t xml:space="preserve">. The calculated concentrations and their respective statistical outcomes are collectively presented in </w:t>
      </w:r>
      <w:r w:rsidR="005F2A69" w:rsidRPr="005F2A69">
        <w:rPr>
          <w:rFonts w:ascii="Arial" w:hAnsi="Arial" w:cs="Arial"/>
        </w:rPr>
        <w:fldChar w:fldCharType="begin"/>
      </w:r>
      <w:r w:rsidR="005F2A69" w:rsidRPr="005F2A69">
        <w:rPr>
          <w:rFonts w:ascii="Arial" w:hAnsi="Arial" w:cs="Arial"/>
        </w:rPr>
        <w:instrText xml:space="preserve"> REF _Ref216446883 \h  \* MERGEFORMAT </w:instrText>
      </w:r>
      <w:r w:rsidR="005F2A69" w:rsidRPr="005F2A69">
        <w:rPr>
          <w:rFonts w:ascii="Arial" w:hAnsi="Arial" w:cs="Arial"/>
        </w:rPr>
      </w:r>
      <w:r w:rsidR="005F2A69" w:rsidRPr="005F2A69">
        <w:rPr>
          <w:rFonts w:ascii="Arial" w:hAnsi="Arial" w:cs="Arial"/>
        </w:rPr>
        <w:fldChar w:fldCharType="separate"/>
      </w:r>
      <w:r w:rsidR="005F2A69" w:rsidRPr="005F2A69">
        <w:rPr>
          <w:rFonts w:ascii="Arial" w:hAnsi="Arial"/>
        </w:rPr>
        <w:t xml:space="preserve">Table </w:t>
      </w:r>
      <w:r w:rsidR="005F2A69" w:rsidRPr="005F2A69">
        <w:rPr>
          <w:rFonts w:ascii="Arial" w:hAnsi="Arial"/>
          <w:noProof/>
        </w:rPr>
        <w:t>5</w:t>
      </w:r>
      <w:r w:rsidR="005F2A69" w:rsidRPr="005F2A69">
        <w:rPr>
          <w:rFonts w:ascii="Arial" w:hAnsi="Arial" w:cs="Arial"/>
        </w:rPr>
        <w:fldChar w:fldCharType="end"/>
      </w:r>
      <w:r w:rsidR="005F2A69">
        <w:rPr>
          <w:rFonts w:ascii="Arial" w:hAnsi="Arial" w:cs="Arial"/>
        </w:rPr>
        <w:t xml:space="preserve"> </w:t>
      </w:r>
      <w:r w:rsidRPr="00B551E6">
        <w:rPr>
          <w:rFonts w:ascii="Arial" w:hAnsi="Arial" w:cs="Arial"/>
        </w:rPr>
        <w:t xml:space="preserve">and </w:t>
      </w:r>
      <w:r w:rsidR="005F2A69" w:rsidRPr="005F2A69">
        <w:rPr>
          <w:rFonts w:ascii="Arial" w:hAnsi="Arial" w:cs="Arial"/>
        </w:rPr>
        <w:fldChar w:fldCharType="begin"/>
      </w:r>
      <w:r w:rsidR="005F2A69" w:rsidRPr="005F2A69">
        <w:rPr>
          <w:rFonts w:ascii="Arial" w:hAnsi="Arial" w:cs="Arial"/>
        </w:rPr>
        <w:instrText xml:space="preserve"> REF _Ref216446905 \h  \* MERGEFORMAT </w:instrText>
      </w:r>
      <w:r w:rsidR="005F2A69" w:rsidRPr="005F2A69">
        <w:rPr>
          <w:rFonts w:ascii="Arial" w:hAnsi="Arial" w:cs="Arial"/>
        </w:rPr>
      </w:r>
      <w:r w:rsidR="005F2A69" w:rsidRPr="005F2A69">
        <w:rPr>
          <w:rFonts w:ascii="Arial" w:hAnsi="Arial" w:cs="Arial"/>
        </w:rPr>
        <w:fldChar w:fldCharType="separate"/>
      </w:r>
      <w:r w:rsidR="005F2A69" w:rsidRPr="005F2A69">
        <w:rPr>
          <w:rFonts w:ascii="Arial" w:hAnsi="Arial"/>
        </w:rPr>
        <w:t>Table 6</w:t>
      </w:r>
      <w:r w:rsidR="005F2A69" w:rsidRPr="005F2A69">
        <w:rPr>
          <w:rFonts w:ascii="Arial" w:hAnsi="Arial" w:cs="Arial"/>
        </w:rPr>
        <w:fldChar w:fldCharType="end"/>
      </w:r>
      <w:r w:rsidRPr="00B551E6">
        <w:rPr>
          <w:rFonts w:ascii="Arial" w:hAnsi="Arial" w:cs="Arial"/>
        </w:rPr>
        <w:t>.</w:t>
      </w:r>
    </w:p>
    <w:p w14:paraId="1E071E8F" w14:textId="77777777" w:rsidR="00B551E6" w:rsidRPr="00B551E6" w:rsidRDefault="00B551E6" w:rsidP="00B43865">
      <w:pPr>
        <w:pStyle w:val="Body"/>
        <w:numPr>
          <w:ilvl w:val="0"/>
          <w:numId w:val="36"/>
        </w:numPr>
        <w:spacing w:line="480" w:lineRule="auto"/>
        <w:ind w:left="540" w:hanging="540"/>
        <w:rPr>
          <w:rFonts w:ascii="Arial" w:hAnsi="Arial" w:cs="Arial"/>
          <w:b/>
          <w:u w:val="single"/>
        </w:rPr>
      </w:pPr>
      <w:r w:rsidRPr="00B551E6">
        <w:rPr>
          <w:rFonts w:ascii="Arial" w:hAnsi="Arial" w:cs="Arial"/>
          <w:b/>
          <w:u w:val="single"/>
        </w:rPr>
        <w:t>Total Phenolic Content (TPC)</w:t>
      </w:r>
    </w:p>
    <w:p w14:paraId="122C239A" w14:textId="77777777" w:rsidR="00B551E6" w:rsidRPr="00B551E6" w:rsidRDefault="00B551E6" w:rsidP="00B43865">
      <w:pPr>
        <w:pStyle w:val="Body"/>
        <w:spacing w:line="480" w:lineRule="auto"/>
        <w:rPr>
          <w:rFonts w:ascii="Arial" w:hAnsi="Arial" w:cs="Arial"/>
        </w:rPr>
      </w:pPr>
      <w:r w:rsidRPr="00B551E6">
        <w:rPr>
          <w:rFonts w:ascii="Arial" w:hAnsi="Arial" w:cs="Arial"/>
        </w:rPr>
        <w:t>The TPC of the extracts was determined using the Folin-Ciocalteu assay and expressed as milligrams of gallic acid equivalent per gram of extract (mg GAE/gm). Quantification utilized a Gallic Acid standard curve (</w:t>
      </w:r>
      <w:r w:rsidR="00AB6216" w:rsidRPr="005F2A69">
        <w:rPr>
          <w:rFonts w:ascii="Arial" w:hAnsi="Arial" w:cs="Arial"/>
        </w:rPr>
        <w:fldChar w:fldCharType="begin"/>
      </w:r>
      <w:r w:rsidR="00AB6216" w:rsidRPr="005F2A69">
        <w:rPr>
          <w:rFonts w:ascii="Arial" w:hAnsi="Arial" w:cs="Arial"/>
        </w:rPr>
        <w:instrText xml:space="preserve"> REF _Ref216446856 \h  \* MERGEFORMAT </w:instrText>
      </w:r>
      <w:r w:rsidR="00AB6216" w:rsidRPr="005F2A69">
        <w:rPr>
          <w:rFonts w:ascii="Arial" w:hAnsi="Arial" w:cs="Arial"/>
        </w:rPr>
      </w:r>
      <w:r w:rsidR="00AB6216" w:rsidRPr="005F2A69">
        <w:rPr>
          <w:rFonts w:ascii="Arial" w:hAnsi="Arial" w:cs="Arial"/>
        </w:rPr>
        <w:fldChar w:fldCharType="separate"/>
      </w:r>
      <w:r w:rsidR="00AB6216" w:rsidRPr="005F2A69">
        <w:rPr>
          <w:rFonts w:ascii="Arial" w:hAnsi="Arial" w:cs="Arial"/>
          <w:bCs/>
          <w:szCs w:val="22"/>
        </w:rPr>
        <w:t>Fig. 2</w:t>
      </w:r>
      <w:r w:rsidR="00AB6216" w:rsidRPr="005F2A69">
        <w:rPr>
          <w:rFonts w:ascii="Arial" w:hAnsi="Arial" w:cs="Arial"/>
        </w:rPr>
        <w:fldChar w:fldCharType="end"/>
      </w:r>
      <w:r w:rsidRPr="00B551E6">
        <w:rPr>
          <w:rFonts w:ascii="Arial" w:hAnsi="Arial" w:cs="Arial"/>
        </w:rPr>
        <w:t xml:space="preserve">A). Statistical analysis (One-Way ANOVA) indicated a highly significant difference in TPC between the two extracts (F (1, 4) = 1125.0, </w:t>
      </w:r>
      <w:r w:rsidRPr="0049008E">
        <w:rPr>
          <w:rFonts w:ascii="Arial" w:hAnsi="Arial" w:cs="Arial"/>
          <w:i/>
        </w:rPr>
        <w:t>P</w:t>
      </w:r>
      <w:r w:rsidR="0049008E">
        <w:rPr>
          <w:rFonts w:ascii="Arial" w:hAnsi="Arial" w:cs="Arial"/>
        </w:rPr>
        <w:t xml:space="preserve"> &lt; </w:t>
      </w:r>
      <w:r w:rsidRPr="00B551E6">
        <w:rPr>
          <w:rFonts w:ascii="Arial" w:hAnsi="Arial" w:cs="Arial"/>
        </w:rPr>
        <w:t>.001) (</w:t>
      </w:r>
      <w:r w:rsidR="0029226E" w:rsidRPr="005F2A69">
        <w:rPr>
          <w:rFonts w:ascii="Arial" w:hAnsi="Arial" w:cs="Arial"/>
        </w:rPr>
        <w:fldChar w:fldCharType="begin"/>
      </w:r>
      <w:r w:rsidR="0029226E" w:rsidRPr="005F2A69">
        <w:rPr>
          <w:rFonts w:ascii="Arial" w:hAnsi="Arial" w:cs="Arial"/>
        </w:rPr>
        <w:instrText xml:space="preserve"> REF _Ref216446905 \h  \* MERGEFORMAT </w:instrText>
      </w:r>
      <w:r w:rsidR="0029226E" w:rsidRPr="005F2A69">
        <w:rPr>
          <w:rFonts w:ascii="Arial" w:hAnsi="Arial" w:cs="Arial"/>
        </w:rPr>
      </w:r>
      <w:r w:rsidR="0029226E" w:rsidRPr="005F2A69">
        <w:rPr>
          <w:rFonts w:ascii="Arial" w:hAnsi="Arial" w:cs="Arial"/>
        </w:rPr>
        <w:fldChar w:fldCharType="separate"/>
      </w:r>
      <w:r w:rsidR="0029226E" w:rsidRPr="005F2A69">
        <w:rPr>
          <w:rFonts w:ascii="Arial" w:hAnsi="Arial"/>
        </w:rPr>
        <w:t>Table 6</w:t>
      </w:r>
      <w:r w:rsidR="0029226E" w:rsidRPr="005F2A69">
        <w:rPr>
          <w:rFonts w:ascii="Arial" w:hAnsi="Arial" w:cs="Arial"/>
        </w:rPr>
        <w:fldChar w:fldCharType="end"/>
      </w:r>
      <w:r w:rsidRPr="00B551E6">
        <w:rPr>
          <w:rFonts w:ascii="Arial" w:hAnsi="Arial" w:cs="Arial"/>
        </w:rPr>
        <w:t>). Specifically, the Kakora extract exhibited a significantly higher TPC than the Karela extract (</w:t>
      </w:r>
      <w:r w:rsidR="000506A7" w:rsidRPr="005F2A69">
        <w:rPr>
          <w:rFonts w:ascii="Arial" w:hAnsi="Arial" w:cs="Arial"/>
        </w:rPr>
        <w:fldChar w:fldCharType="begin"/>
      </w:r>
      <w:r w:rsidR="000506A7" w:rsidRPr="005F2A69">
        <w:rPr>
          <w:rFonts w:ascii="Arial" w:hAnsi="Arial" w:cs="Arial"/>
        </w:rPr>
        <w:instrText xml:space="preserve"> REF _Ref216446883 \h  \* MERGEFORMAT </w:instrText>
      </w:r>
      <w:r w:rsidR="000506A7" w:rsidRPr="005F2A69">
        <w:rPr>
          <w:rFonts w:ascii="Arial" w:hAnsi="Arial" w:cs="Arial"/>
        </w:rPr>
      </w:r>
      <w:r w:rsidR="000506A7" w:rsidRPr="005F2A69">
        <w:rPr>
          <w:rFonts w:ascii="Arial" w:hAnsi="Arial" w:cs="Arial"/>
        </w:rPr>
        <w:fldChar w:fldCharType="separate"/>
      </w:r>
      <w:r w:rsidR="000506A7" w:rsidRPr="005F2A69">
        <w:rPr>
          <w:rFonts w:ascii="Arial" w:hAnsi="Arial"/>
        </w:rPr>
        <w:t xml:space="preserve">Table </w:t>
      </w:r>
      <w:r w:rsidR="000506A7" w:rsidRPr="005F2A69">
        <w:rPr>
          <w:rFonts w:ascii="Arial" w:hAnsi="Arial"/>
          <w:noProof/>
        </w:rPr>
        <w:t>5</w:t>
      </w:r>
      <w:r w:rsidR="000506A7" w:rsidRPr="005F2A69">
        <w:rPr>
          <w:rFonts w:ascii="Arial" w:hAnsi="Arial" w:cs="Arial"/>
        </w:rPr>
        <w:fldChar w:fldCharType="end"/>
      </w:r>
      <w:r w:rsidRPr="00B551E6">
        <w:rPr>
          <w:rFonts w:ascii="Arial" w:hAnsi="Arial" w:cs="Arial"/>
        </w:rPr>
        <w:t>).</w:t>
      </w:r>
    </w:p>
    <w:p w14:paraId="425E81A5" w14:textId="77777777" w:rsidR="00B551E6" w:rsidRPr="00B551E6" w:rsidRDefault="00B551E6" w:rsidP="00B43865">
      <w:pPr>
        <w:pStyle w:val="Body"/>
        <w:numPr>
          <w:ilvl w:val="0"/>
          <w:numId w:val="36"/>
        </w:numPr>
        <w:spacing w:line="480" w:lineRule="auto"/>
        <w:ind w:left="540" w:hanging="540"/>
        <w:rPr>
          <w:rFonts w:ascii="Arial" w:hAnsi="Arial" w:cs="Arial"/>
          <w:b/>
          <w:u w:val="single"/>
        </w:rPr>
      </w:pPr>
      <w:r w:rsidRPr="00B551E6">
        <w:rPr>
          <w:rFonts w:ascii="Arial" w:hAnsi="Arial" w:cs="Arial"/>
          <w:b/>
          <w:u w:val="single"/>
        </w:rPr>
        <w:t>Total Flavonoid Content (TFC)</w:t>
      </w:r>
    </w:p>
    <w:p w14:paraId="3EA06158" w14:textId="77777777" w:rsidR="00B551E6" w:rsidRPr="00B551E6" w:rsidRDefault="00B551E6" w:rsidP="00B43865">
      <w:pPr>
        <w:pStyle w:val="Body"/>
        <w:spacing w:line="480" w:lineRule="auto"/>
        <w:rPr>
          <w:rFonts w:ascii="Arial" w:hAnsi="Arial" w:cs="Arial"/>
        </w:rPr>
      </w:pPr>
      <w:r w:rsidRPr="00B551E6">
        <w:rPr>
          <w:rFonts w:ascii="Arial" w:hAnsi="Arial" w:cs="Arial"/>
        </w:rPr>
        <w:t>The TFC was quantified using the aluminum chloride colorimetric method, with results expressed as milligram quercetin equivalent per gram of extract (mg QE/gm). The Quercetin calibration curve was used for estimation of flavonoid content (</w:t>
      </w:r>
      <w:r w:rsidR="00AB6216" w:rsidRPr="005F2A69">
        <w:rPr>
          <w:rFonts w:ascii="Arial" w:hAnsi="Arial" w:cs="Arial"/>
        </w:rPr>
        <w:fldChar w:fldCharType="begin"/>
      </w:r>
      <w:r w:rsidR="00AB6216" w:rsidRPr="005F2A69">
        <w:rPr>
          <w:rFonts w:ascii="Arial" w:hAnsi="Arial" w:cs="Arial"/>
        </w:rPr>
        <w:instrText xml:space="preserve"> REF _Ref216446856 \h  \* MERGEFORMAT </w:instrText>
      </w:r>
      <w:r w:rsidR="00AB6216" w:rsidRPr="005F2A69">
        <w:rPr>
          <w:rFonts w:ascii="Arial" w:hAnsi="Arial" w:cs="Arial"/>
        </w:rPr>
      </w:r>
      <w:r w:rsidR="00AB6216" w:rsidRPr="005F2A69">
        <w:rPr>
          <w:rFonts w:ascii="Arial" w:hAnsi="Arial" w:cs="Arial"/>
        </w:rPr>
        <w:fldChar w:fldCharType="separate"/>
      </w:r>
      <w:r w:rsidR="00AB6216" w:rsidRPr="005F2A69">
        <w:rPr>
          <w:rFonts w:ascii="Arial" w:hAnsi="Arial" w:cs="Arial"/>
          <w:bCs/>
          <w:szCs w:val="22"/>
        </w:rPr>
        <w:t>Fig. 2</w:t>
      </w:r>
      <w:r w:rsidR="00AB6216" w:rsidRPr="005F2A69">
        <w:rPr>
          <w:rFonts w:ascii="Arial" w:hAnsi="Arial" w:cs="Arial"/>
        </w:rPr>
        <w:fldChar w:fldCharType="end"/>
      </w:r>
      <w:r w:rsidRPr="00B551E6">
        <w:rPr>
          <w:rFonts w:ascii="Arial" w:hAnsi="Arial" w:cs="Arial"/>
        </w:rPr>
        <w:t xml:space="preserve">B). A One-Way ANOVA revealed a statistically significant difference in TFC between the extracts (F (1, 4) = 12.50, </w:t>
      </w:r>
      <w:r w:rsidRPr="00F259B1">
        <w:rPr>
          <w:rFonts w:ascii="Arial" w:hAnsi="Arial" w:cs="Arial"/>
          <w:i/>
        </w:rPr>
        <w:t>P</w:t>
      </w:r>
      <w:r w:rsidR="00314971">
        <w:rPr>
          <w:rFonts w:ascii="Arial" w:hAnsi="Arial" w:cs="Arial"/>
        </w:rPr>
        <w:t xml:space="preserve"> = </w:t>
      </w:r>
      <w:r w:rsidR="004378E0">
        <w:rPr>
          <w:rFonts w:ascii="Arial" w:hAnsi="Arial" w:cs="Arial"/>
        </w:rPr>
        <w:t>.02</w:t>
      </w:r>
      <w:r w:rsidRPr="00B551E6">
        <w:rPr>
          <w:rFonts w:ascii="Arial" w:hAnsi="Arial" w:cs="Arial"/>
        </w:rPr>
        <w:t>) (</w:t>
      </w:r>
      <w:r w:rsidR="0029226E" w:rsidRPr="005F2A69">
        <w:rPr>
          <w:rFonts w:ascii="Arial" w:hAnsi="Arial" w:cs="Arial"/>
        </w:rPr>
        <w:fldChar w:fldCharType="begin"/>
      </w:r>
      <w:r w:rsidR="0029226E" w:rsidRPr="005F2A69">
        <w:rPr>
          <w:rFonts w:ascii="Arial" w:hAnsi="Arial" w:cs="Arial"/>
        </w:rPr>
        <w:instrText xml:space="preserve"> REF _Ref216446905 \h  \* MERGEFORMAT </w:instrText>
      </w:r>
      <w:r w:rsidR="0029226E" w:rsidRPr="005F2A69">
        <w:rPr>
          <w:rFonts w:ascii="Arial" w:hAnsi="Arial" w:cs="Arial"/>
        </w:rPr>
      </w:r>
      <w:r w:rsidR="0029226E" w:rsidRPr="005F2A69">
        <w:rPr>
          <w:rFonts w:ascii="Arial" w:hAnsi="Arial" w:cs="Arial"/>
        </w:rPr>
        <w:fldChar w:fldCharType="separate"/>
      </w:r>
      <w:r w:rsidR="0029226E" w:rsidRPr="005F2A69">
        <w:rPr>
          <w:rFonts w:ascii="Arial" w:hAnsi="Arial"/>
        </w:rPr>
        <w:t>Table 6</w:t>
      </w:r>
      <w:r w:rsidR="0029226E" w:rsidRPr="005F2A69">
        <w:rPr>
          <w:rFonts w:ascii="Arial" w:hAnsi="Arial" w:cs="Arial"/>
        </w:rPr>
        <w:fldChar w:fldCharType="end"/>
      </w:r>
      <w:r w:rsidRPr="00B551E6">
        <w:rPr>
          <w:rFonts w:ascii="Arial" w:hAnsi="Arial" w:cs="Arial"/>
        </w:rPr>
        <w:t>). In contrast to TPC, the Karela extract contained a significantly higher TFC compared to the Kakora extract (</w:t>
      </w:r>
      <w:r w:rsidR="000506A7" w:rsidRPr="005F2A69">
        <w:rPr>
          <w:rFonts w:ascii="Arial" w:hAnsi="Arial" w:cs="Arial"/>
        </w:rPr>
        <w:fldChar w:fldCharType="begin"/>
      </w:r>
      <w:r w:rsidR="000506A7" w:rsidRPr="005F2A69">
        <w:rPr>
          <w:rFonts w:ascii="Arial" w:hAnsi="Arial" w:cs="Arial"/>
        </w:rPr>
        <w:instrText xml:space="preserve"> REF _Ref216446883 \h  \* MERGEFORMAT </w:instrText>
      </w:r>
      <w:r w:rsidR="000506A7" w:rsidRPr="005F2A69">
        <w:rPr>
          <w:rFonts w:ascii="Arial" w:hAnsi="Arial" w:cs="Arial"/>
        </w:rPr>
      </w:r>
      <w:r w:rsidR="000506A7" w:rsidRPr="005F2A69">
        <w:rPr>
          <w:rFonts w:ascii="Arial" w:hAnsi="Arial" w:cs="Arial"/>
        </w:rPr>
        <w:fldChar w:fldCharType="separate"/>
      </w:r>
      <w:r w:rsidR="000506A7" w:rsidRPr="005F2A69">
        <w:rPr>
          <w:rFonts w:ascii="Arial" w:hAnsi="Arial"/>
        </w:rPr>
        <w:t xml:space="preserve">Table </w:t>
      </w:r>
      <w:r w:rsidR="000506A7" w:rsidRPr="005F2A69">
        <w:rPr>
          <w:rFonts w:ascii="Arial" w:hAnsi="Arial"/>
          <w:noProof/>
        </w:rPr>
        <w:t>5</w:t>
      </w:r>
      <w:r w:rsidR="000506A7" w:rsidRPr="005F2A69">
        <w:rPr>
          <w:rFonts w:ascii="Arial" w:hAnsi="Arial" w:cs="Arial"/>
        </w:rPr>
        <w:fldChar w:fldCharType="end"/>
      </w:r>
      <w:r w:rsidRPr="00B551E6">
        <w:rPr>
          <w:rFonts w:ascii="Arial" w:hAnsi="Arial" w:cs="Arial"/>
        </w:rPr>
        <w:t>).</w:t>
      </w:r>
    </w:p>
    <w:p w14:paraId="29C354F9" w14:textId="77777777" w:rsidR="00B551E6" w:rsidRPr="00B551E6" w:rsidRDefault="00B551E6" w:rsidP="00B43865">
      <w:pPr>
        <w:pStyle w:val="Body"/>
        <w:numPr>
          <w:ilvl w:val="0"/>
          <w:numId w:val="36"/>
        </w:numPr>
        <w:spacing w:line="480" w:lineRule="auto"/>
        <w:ind w:left="540" w:hanging="540"/>
        <w:rPr>
          <w:rFonts w:ascii="Arial" w:hAnsi="Arial" w:cs="Arial"/>
          <w:b/>
          <w:u w:val="single"/>
        </w:rPr>
      </w:pPr>
      <w:r w:rsidRPr="00B551E6">
        <w:rPr>
          <w:rFonts w:ascii="Arial" w:hAnsi="Arial" w:cs="Arial"/>
          <w:b/>
          <w:u w:val="single"/>
        </w:rPr>
        <w:t>Total Alkaloid Content</w:t>
      </w:r>
    </w:p>
    <w:p w14:paraId="459F8C6E" w14:textId="77777777" w:rsidR="00B551E6" w:rsidRPr="00B551E6" w:rsidRDefault="00B551E6" w:rsidP="00B43865">
      <w:pPr>
        <w:pStyle w:val="Body"/>
        <w:spacing w:line="480" w:lineRule="auto"/>
        <w:rPr>
          <w:rFonts w:ascii="Arial" w:hAnsi="Arial" w:cs="Arial"/>
        </w:rPr>
      </w:pPr>
      <w:r w:rsidRPr="00B551E6">
        <w:rPr>
          <w:rFonts w:ascii="Arial" w:hAnsi="Arial" w:cs="Arial"/>
        </w:rPr>
        <w:lastRenderedPageBreak/>
        <w:t>The total alkaloid content was determined spectrophotometrically and expressed as milligrams Atropine Equivalent per gram of dry extract (mg AE/gm). The Atropine standard curve used for quantification (</w:t>
      </w:r>
      <w:r w:rsidR="00AB6216" w:rsidRPr="005F2A69">
        <w:rPr>
          <w:rFonts w:ascii="Arial" w:hAnsi="Arial" w:cs="Arial"/>
        </w:rPr>
        <w:fldChar w:fldCharType="begin"/>
      </w:r>
      <w:r w:rsidR="00AB6216" w:rsidRPr="005F2A69">
        <w:rPr>
          <w:rFonts w:ascii="Arial" w:hAnsi="Arial" w:cs="Arial"/>
        </w:rPr>
        <w:instrText xml:space="preserve"> REF _Ref216446856 \h  \* MERGEFORMAT </w:instrText>
      </w:r>
      <w:r w:rsidR="00AB6216" w:rsidRPr="005F2A69">
        <w:rPr>
          <w:rFonts w:ascii="Arial" w:hAnsi="Arial" w:cs="Arial"/>
        </w:rPr>
      </w:r>
      <w:r w:rsidR="00AB6216" w:rsidRPr="005F2A69">
        <w:rPr>
          <w:rFonts w:ascii="Arial" w:hAnsi="Arial" w:cs="Arial"/>
        </w:rPr>
        <w:fldChar w:fldCharType="separate"/>
      </w:r>
      <w:r w:rsidR="00AB6216" w:rsidRPr="005F2A69">
        <w:rPr>
          <w:rFonts w:ascii="Arial" w:hAnsi="Arial" w:cs="Arial"/>
          <w:bCs/>
          <w:szCs w:val="22"/>
        </w:rPr>
        <w:t>Fig. 2</w:t>
      </w:r>
      <w:r w:rsidR="00AB6216" w:rsidRPr="005F2A69">
        <w:rPr>
          <w:rFonts w:ascii="Arial" w:hAnsi="Arial" w:cs="Arial"/>
        </w:rPr>
        <w:fldChar w:fldCharType="end"/>
      </w:r>
      <w:r w:rsidRPr="00B551E6">
        <w:rPr>
          <w:rFonts w:ascii="Arial" w:hAnsi="Arial" w:cs="Arial"/>
        </w:rPr>
        <w:t>C). For the two-group comparison for Alkaloids, the independent t-test result is reported as P = 0.0078, which is equivalent to an F-statistic value (t</w:t>
      </w:r>
      <w:r w:rsidRPr="001A25B0">
        <w:rPr>
          <w:rFonts w:ascii="Arial" w:hAnsi="Arial" w:cs="Arial"/>
          <w:vertAlign w:val="superscript"/>
        </w:rPr>
        <w:t>2</w:t>
      </w:r>
      <w:r w:rsidRPr="00B551E6">
        <w:rPr>
          <w:rFonts w:ascii="Arial" w:hAnsi="Arial" w:cs="Arial"/>
        </w:rPr>
        <w:t xml:space="preserve">) of 25.0 in an ANOVA with </w:t>
      </w:r>
      <w:proofErr w:type="gramStart"/>
      <w:r w:rsidRPr="00B551E6">
        <w:rPr>
          <w:rFonts w:ascii="Arial" w:hAnsi="Arial" w:cs="Arial"/>
        </w:rPr>
        <w:t>df</w:t>
      </w:r>
      <w:proofErr w:type="gramEnd"/>
      <w:r w:rsidRPr="00B551E6">
        <w:rPr>
          <w:rFonts w:ascii="Arial" w:hAnsi="Arial" w:cs="Arial"/>
        </w:rPr>
        <w:t xml:space="preserve"> = (1, 4) (</w:t>
      </w:r>
      <w:r w:rsidR="0029226E" w:rsidRPr="005F2A69">
        <w:rPr>
          <w:rFonts w:ascii="Arial" w:hAnsi="Arial" w:cs="Arial"/>
        </w:rPr>
        <w:fldChar w:fldCharType="begin"/>
      </w:r>
      <w:r w:rsidR="0029226E" w:rsidRPr="005F2A69">
        <w:rPr>
          <w:rFonts w:ascii="Arial" w:hAnsi="Arial" w:cs="Arial"/>
        </w:rPr>
        <w:instrText xml:space="preserve"> REF _Ref216446905 \h  \* MERGEFORMAT </w:instrText>
      </w:r>
      <w:r w:rsidR="0029226E" w:rsidRPr="005F2A69">
        <w:rPr>
          <w:rFonts w:ascii="Arial" w:hAnsi="Arial" w:cs="Arial"/>
        </w:rPr>
      </w:r>
      <w:r w:rsidR="0029226E" w:rsidRPr="005F2A69">
        <w:rPr>
          <w:rFonts w:ascii="Arial" w:hAnsi="Arial" w:cs="Arial"/>
        </w:rPr>
        <w:fldChar w:fldCharType="separate"/>
      </w:r>
      <w:r w:rsidR="0029226E" w:rsidRPr="005F2A69">
        <w:rPr>
          <w:rFonts w:ascii="Arial" w:hAnsi="Arial"/>
        </w:rPr>
        <w:t>Table 6</w:t>
      </w:r>
      <w:r w:rsidR="0029226E" w:rsidRPr="005F2A69">
        <w:rPr>
          <w:rFonts w:ascii="Arial" w:hAnsi="Arial" w:cs="Arial"/>
        </w:rPr>
        <w:fldChar w:fldCharType="end"/>
      </w:r>
      <w:r w:rsidRPr="00B551E6">
        <w:rPr>
          <w:rFonts w:ascii="Arial" w:hAnsi="Arial" w:cs="Arial"/>
        </w:rPr>
        <w:t>). The Kakora extract displayed a significantly greater alkaloid content than the Karela extract (</w:t>
      </w:r>
      <w:r w:rsidR="00274379" w:rsidRPr="005F2A69">
        <w:rPr>
          <w:rFonts w:ascii="Arial" w:hAnsi="Arial" w:cs="Arial"/>
        </w:rPr>
        <w:fldChar w:fldCharType="begin"/>
      </w:r>
      <w:r w:rsidR="00274379" w:rsidRPr="005F2A69">
        <w:rPr>
          <w:rFonts w:ascii="Arial" w:hAnsi="Arial" w:cs="Arial"/>
        </w:rPr>
        <w:instrText xml:space="preserve"> REF _Ref216446883 \h  \* MERGEFORMAT </w:instrText>
      </w:r>
      <w:r w:rsidR="00274379" w:rsidRPr="005F2A69">
        <w:rPr>
          <w:rFonts w:ascii="Arial" w:hAnsi="Arial" w:cs="Arial"/>
        </w:rPr>
      </w:r>
      <w:r w:rsidR="00274379" w:rsidRPr="005F2A69">
        <w:rPr>
          <w:rFonts w:ascii="Arial" w:hAnsi="Arial" w:cs="Arial"/>
        </w:rPr>
        <w:fldChar w:fldCharType="separate"/>
      </w:r>
      <w:r w:rsidR="00274379" w:rsidRPr="005F2A69">
        <w:rPr>
          <w:rFonts w:ascii="Arial" w:hAnsi="Arial"/>
        </w:rPr>
        <w:t xml:space="preserve">Table </w:t>
      </w:r>
      <w:r w:rsidR="00274379" w:rsidRPr="005F2A69">
        <w:rPr>
          <w:rFonts w:ascii="Arial" w:hAnsi="Arial"/>
          <w:noProof/>
        </w:rPr>
        <w:t>5</w:t>
      </w:r>
      <w:r w:rsidR="00274379" w:rsidRPr="005F2A69">
        <w:rPr>
          <w:rFonts w:ascii="Arial" w:hAnsi="Arial" w:cs="Arial"/>
        </w:rPr>
        <w:fldChar w:fldCharType="end"/>
      </w:r>
      <w:r w:rsidRPr="00B551E6">
        <w:rPr>
          <w:rFonts w:ascii="Arial" w:hAnsi="Arial" w:cs="Arial"/>
        </w:rPr>
        <w:t xml:space="preserve">). </w:t>
      </w:r>
    </w:p>
    <w:p w14:paraId="14DB25BD" w14:textId="77777777" w:rsidR="00B551E6" w:rsidRPr="00B551E6" w:rsidRDefault="00B551E6" w:rsidP="00B43865">
      <w:pPr>
        <w:pStyle w:val="Body"/>
        <w:numPr>
          <w:ilvl w:val="0"/>
          <w:numId w:val="36"/>
        </w:numPr>
        <w:spacing w:line="480" w:lineRule="auto"/>
        <w:ind w:left="540" w:hanging="540"/>
        <w:rPr>
          <w:rFonts w:ascii="Arial" w:hAnsi="Arial" w:cs="Arial"/>
          <w:b/>
          <w:u w:val="single"/>
        </w:rPr>
      </w:pPr>
      <w:r w:rsidRPr="00B551E6">
        <w:rPr>
          <w:rFonts w:ascii="Arial" w:hAnsi="Arial" w:cs="Arial"/>
          <w:b/>
          <w:u w:val="single"/>
        </w:rPr>
        <w:t>Total Antioxidant Capacity (TAC)</w:t>
      </w:r>
    </w:p>
    <w:p w14:paraId="36438BF8" w14:textId="77777777" w:rsidR="00B551E6" w:rsidRPr="00B551E6" w:rsidRDefault="00B551E6" w:rsidP="00B43865">
      <w:pPr>
        <w:pStyle w:val="Body"/>
        <w:spacing w:line="480" w:lineRule="auto"/>
        <w:rPr>
          <w:rFonts w:ascii="Arial" w:hAnsi="Arial" w:cs="Arial"/>
        </w:rPr>
      </w:pPr>
      <w:r w:rsidRPr="00B551E6">
        <w:rPr>
          <w:rFonts w:ascii="Arial" w:hAnsi="Arial" w:cs="Arial"/>
        </w:rPr>
        <w:t>The TAC was determined using the phosphomolybdenum method, with results expressed as milligram ascorbic acid equivalent per gram of extract (mg AAE/gm). Quantification was based on the standard curve equation (</w:t>
      </w:r>
      <w:r w:rsidR="00AB6216" w:rsidRPr="005F2A69">
        <w:rPr>
          <w:rFonts w:ascii="Arial" w:hAnsi="Arial" w:cs="Arial"/>
        </w:rPr>
        <w:fldChar w:fldCharType="begin"/>
      </w:r>
      <w:r w:rsidR="00AB6216" w:rsidRPr="005F2A69">
        <w:rPr>
          <w:rFonts w:ascii="Arial" w:hAnsi="Arial" w:cs="Arial"/>
        </w:rPr>
        <w:instrText xml:space="preserve"> REF _Ref216446856 \h  \* MERGEFORMAT </w:instrText>
      </w:r>
      <w:r w:rsidR="00AB6216" w:rsidRPr="005F2A69">
        <w:rPr>
          <w:rFonts w:ascii="Arial" w:hAnsi="Arial" w:cs="Arial"/>
        </w:rPr>
      </w:r>
      <w:r w:rsidR="00AB6216" w:rsidRPr="005F2A69">
        <w:rPr>
          <w:rFonts w:ascii="Arial" w:hAnsi="Arial" w:cs="Arial"/>
        </w:rPr>
        <w:fldChar w:fldCharType="separate"/>
      </w:r>
      <w:r w:rsidR="00AB6216" w:rsidRPr="005F2A69">
        <w:rPr>
          <w:rFonts w:ascii="Arial" w:hAnsi="Arial" w:cs="Arial"/>
          <w:bCs/>
          <w:szCs w:val="22"/>
        </w:rPr>
        <w:t>Fig. 2</w:t>
      </w:r>
      <w:r w:rsidR="00AB6216" w:rsidRPr="005F2A69">
        <w:rPr>
          <w:rFonts w:ascii="Arial" w:hAnsi="Arial" w:cs="Arial"/>
        </w:rPr>
        <w:fldChar w:fldCharType="end"/>
      </w:r>
      <w:r w:rsidRPr="00B551E6">
        <w:rPr>
          <w:rFonts w:ascii="Arial" w:hAnsi="Arial" w:cs="Arial"/>
        </w:rPr>
        <w:t xml:space="preserve">D). A One-Way ANOVA confirmed a statistically significant difference in TAC between the plant extracts (F (1, 4) = 33.26, </w:t>
      </w:r>
      <w:r w:rsidRPr="003337E2">
        <w:rPr>
          <w:rFonts w:ascii="Arial" w:hAnsi="Arial" w:cs="Arial"/>
          <w:i/>
        </w:rPr>
        <w:t>P</w:t>
      </w:r>
      <w:r w:rsidR="003337E2">
        <w:rPr>
          <w:rFonts w:ascii="Arial" w:hAnsi="Arial" w:cs="Arial"/>
        </w:rPr>
        <w:t xml:space="preserve"> = </w:t>
      </w:r>
      <w:r w:rsidRPr="00B551E6">
        <w:rPr>
          <w:rFonts w:ascii="Arial" w:hAnsi="Arial" w:cs="Arial"/>
        </w:rPr>
        <w:t>.004) (</w:t>
      </w:r>
      <w:r w:rsidR="0029226E" w:rsidRPr="005F2A69">
        <w:rPr>
          <w:rFonts w:ascii="Arial" w:hAnsi="Arial" w:cs="Arial"/>
        </w:rPr>
        <w:fldChar w:fldCharType="begin"/>
      </w:r>
      <w:r w:rsidR="0029226E" w:rsidRPr="005F2A69">
        <w:rPr>
          <w:rFonts w:ascii="Arial" w:hAnsi="Arial" w:cs="Arial"/>
        </w:rPr>
        <w:instrText xml:space="preserve"> REF _Ref216446905 \h  \* MERGEFORMAT </w:instrText>
      </w:r>
      <w:r w:rsidR="0029226E" w:rsidRPr="005F2A69">
        <w:rPr>
          <w:rFonts w:ascii="Arial" w:hAnsi="Arial" w:cs="Arial"/>
        </w:rPr>
      </w:r>
      <w:r w:rsidR="0029226E" w:rsidRPr="005F2A69">
        <w:rPr>
          <w:rFonts w:ascii="Arial" w:hAnsi="Arial" w:cs="Arial"/>
        </w:rPr>
        <w:fldChar w:fldCharType="separate"/>
      </w:r>
      <w:r w:rsidR="0029226E" w:rsidRPr="005F2A69">
        <w:rPr>
          <w:rFonts w:ascii="Arial" w:hAnsi="Arial"/>
        </w:rPr>
        <w:t>Table 6</w:t>
      </w:r>
      <w:r w:rsidR="0029226E" w:rsidRPr="005F2A69">
        <w:rPr>
          <w:rFonts w:ascii="Arial" w:hAnsi="Arial" w:cs="Arial"/>
        </w:rPr>
        <w:fldChar w:fldCharType="end"/>
      </w:r>
      <w:r w:rsidRPr="00B551E6">
        <w:rPr>
          <w:rFonts w:ascii="Arial" w:hAnsi="Arial" w:cs="Arial"/>
        </w:rPr>
        <w:t>). The Kakora extract exhibited a significantly higher total antioxidant capacity compared to the Karela extract (</w:t>
      </w:r>
      <w:r w:rsidR="00274379" w:rsidRPr="005F2A69">
        <w:rPr>
          <w:rFonts w:ascii="Arial" w:hAnsi="Arial" w:cs="Arial"/>
        </w:rPr>
        <w:fldChar w:fldCharType="begin"/>
      </w:r>
      <w:r w:rsidR="00274379" w:rsidRPr="005F2A69">
        <w:rPr>
          <w:rFonts w:ascii="Arial" w:hAnsi="Arial" w:cs="Arial"/>
        </w:rPr>
        <w:instrText xml:space="preserve"> REF _Ref216446883 \h  \* MERGEFORMAT </w:instrText>
      </w:r>
      <w:r w:rsidR="00274379" w:rsidRPr="005F2A69">
        <w:rPr>
          <w:rFonts w:ascii="Arial" w:hAnsi="Arial" w:cs="Arial"/>
        </w:rPr>
      </w:r>
      <w:r w:rsidR="00274379" w:rsidRPr="005F2A69">
        <w:rPr>
          <w:rFonts w:ascii="Arial" w:hAnsi="Arial" w:cs="Arial"/>
        </w:rPr>
        <w:fldChar w:fldCharType="separate"/>
      </w:r>
      <w:r w:rsidR="00274379" w:rsidRPr="005F2A69">
        <w:rPr>
          <w:rFonts w:ascii="Arial" w:hAnsi="Arial"/>
        </w:rPr>
        <w:t xml:space="preserve">Table </w:t>
      </w:r>
      <w:r w:rsidR="00274379" w:rsidRPr="005F2A69">
        <w:rPr>
          <w:rFonts w:ascii="Arial" w:hAnsi="Arial"/>
          <w:noProof/>
        </w:rPr>
        <w:t>5</w:t>
      </w:r>
      <w:r w:rsidR="00274379" w:rsidRPr="005F2A69">
        <w:rPr>
          <w:rFonts w:ascii="Arial" w:hAnsi="Arial" w:cs="Arial"/>
        </w:rPr>
        <w:fldChar w:fldCharType="end"/>
      </w:r>
      <w:r w:rsidRPr="00B551E6">
        <w:rPr>
          <w:rFonts w:ascii="Arial" w:hAnsi="Arial" w:cs="Arial"/>
        </w:rPr>
        <w:t>).</w:t>
      </w:r>
    </w:p>
    <w:p w14:paraId="585D676F" w14:textId="77777777" w:rsidR="00B551E6" w:rsidRPr="00B551E6" w:rsidRDefault="00B551E6" w:rsidP="00B43865">
      <w:pPr>
        <w:pStyle w:val="Body"/>
        <w:numPr>
          <w:ilvl w:val="0"/>
          <w:numId w:val="36"/>
        </w:numPr>
        <w:spacing w:line="480" w:lineRule="auto"/>
        <w:ind w:left="540" w:hanging="540"/>
        <w:rPr>
          <w:rFonts w:ascii="Arial" w:hAnsi="Arial" w:cs="Arial"/>
          <w:b/>
          <w:u w:val="single"/>
        </w:rPr>
      </w:pPr>
      <w:r w:rsidRPr="00B551E6">
        <w:rPr>
          <w:rFonts w:ascii="Arial" w:hAnsi="Arial" w:cs="Arial"/>
          <w:b/>
          <w:u w:val="single"/>
        </w:rPr>
        <w:t>Ferric Reducing Antioxidant Power (FRAP)</w:t>
      </w:r>
    </w:p>
    <w:p w14:paraId="1255EBF6" w14:textId="77777777" w:rsidR="00833B87" w:rsidRDefault="00B551E6" w:rsidP="00B43865">
      <w:pPr>
        <w:pStyle w:val="Body"/>
        <w:spacing w:after="0" w:line="480" w:lineRule="auto"/>
        <w:rPr>
          <w:rFonts w:ascii="Arial" w:hAnsi="Arial" w:cs="Arial"/>
        </w:rPr>
      </w:pPr>
      <w:r w:rsidRPr="00B551E6">
        <w:rPr>
          <w:rFonts w:ascii="Arial" w:hAnsi="Arial" w:cs="Arial"/>
        </w:rPr>
        <w:t>The FRAP of the extracts was measured and expressed as milligram ascorbic acid equivalent per gram of extract (mg AAE/gm). Values were calculated using the standard curve equation (</w:t>
      </w:r>
      <w:r w:rsidR="00AB6216" w:rsidRPr="005F2A69">
        <w:rPr>
          <w:rFonts w:ascii="Arial" w:hAnsi="Arial" w:cs="Arial"/>
        </w:rPr>
        <w:fldChar w:fldCharType="begin"/>
      </w:r>
      <w:r w:rsidR="00AB6216" w:rsidRPr="005F2A69">
        <w:rPr>
          <w:rFonts w:ascii="Arial" w:hAnsi="Arial" w:cs="Arial"/>
        </w:rPr>
        <w:instrText xml:space="preserve"> REF _Ref216446856 \h  \* MERGEFORMAT </w:instrText>
      </w:r>
      <w:r w:rsidR="00AB6216" w:rsidRPr="005F2A69">
        <w:rPr>
          <w:rFonts w:ascii="Arial" w:hAnsi="Arial" w:cs="Arial"/>
        </w:rPr>
      </w:r>
      <w:r w:rsidR="00AB6216" w:rsidRPr="005F2A69">
        <w:rPr>
          <w:rFonts w:ascii="Arial" w:hAnsi="Arial" w:cs="Arial"/>
        </w:rPr>
        <w:fldChar w:fldCharType="separate"/>
      </w:r>
      <w:r w:rsidR="00AB6216" w:rsidRPr="005F2A69">
        <w:rPr>
          <w:rFonts w:ascii="Arial" w:hAnsi="Arial" w:cs="Arial"/>
          <w:bCs/>
          <w:szCs w:val="22"/>
        </w:rPr>
        <w:t>Fig. 2</w:t>
      </w:r>
      <w:r w:rsidR="00AB6216" w:rsidRPr="005F2A69">
        <w:rPr>
          <w:rFonts w:ascii="Arial" w:hAnsi="Arial" w:cs="Arial"/>
        </w:rPr>
        <w:fldChar w:fldCharType="end"/>
      </w:r>
      <w:r w:rsidRPr="00B551E6">
        <w:rPr>
          <w:rFonts w:ascii="Arial" w:hAnsi="Arial" w:cs="Arial"/>
        </w:rPr>
        <w:t xml:space="preserve">E). Statistical analysis (ANOVA) demonstrated a highly significant difference in reducing power between the two extracts (F (1, 4) = 180.37, </w:t>
      </w:r>
      <w:r w:rsidRPr="00163459">
        <w:rPr>
          <w:rFonts w:ascii="Arial" w:hAnsi="Arial" w:cs="Arial"/>
          <w:i/>
        </w:rPr>
        <w:t>P</w:t>
      </w:r>
      <w:r w:rsidRPr="00B551E6">
        <w:rPr>
          <w:rFonts w:ascii="Arial" w:hAnsi="Arial" w:cs="Arial"/>
        </w:rPr>
        <w:t xml:space="preserve"> &lt; .001) (</w:t>
      </w:r>
      <w:r w:rsidR="0029226E" w:rsidRPr="005F2A69">
        <w:rPr>
          <w:rFonts w:ascii="Arial" w:hAnsi="Arial" w:cs="Arial"/>
        </w:rPr>
        <w:fldChar w:fldCharType="begin"/>
      </w:r>
      <w:r w:rsidR="0029226E" w:rsidRPr="005F2A69">
        <w:rPr>
          <w:rFonts w:ascii="Arial" w:hAnsi="Arial" w:cs="Arial"/>
        </w:rPr>
        <w:instrText xml:space="preserve"> REF _Ref216446905 \h  \* MERGEFORMAT </w:instrText>
      </w:r>
      <w:r w:rsidR="0029226E" w:rsidRPr="005F2A69">
        <w:rPr>
          <w:rFonts w:ascii="Arial" w:hAnsi="Arial" w:cs="Arial"/>
        </w:rPr>
      </w:r>
      <w:r w:rsidR="0029226E" w:rsidRPr="005F2A69">
        <w:rPr>
          <w:rFonts w:ascii="Arial" w:hAnsi="Arial" w:cs="Arial"/>
        </w:rPr>
        <w:fldChar w:fldCharType="separate"/>
      </w:r>
      <w:r w:rsidR="0029226E" w:rsidRPr="005F2A69">
        <w:rPr>
          <w:rFonts w:ascii="Arial" w:hAnsi="Arial"/>
        </w:rPr>
        <w:t>Table 6</w:t>
      </w:r>
      <w:r w:rsidR="0029226E" w:rsidRPr="005F2A69">
        <w:rPr>
          <w:rFonts w:ascii="Arial" w:hAnsi="Arial" w:cs="Arial"/>
        </w:rPr>
        <w:fldChar w:fldCharType="end"/>
      </w:r>
      <w:r w:rsidRPr="00B551E6">
        <w:rPr>
          <w:rFonts w:ascii="Arial" w:hAnsi="Arial" w:cs="Arial"/>
        </w:rPr>
        <w:t>). The Karela extract was found to possess a significantly greater reducing capacity than the Kakora extract (</w:t>
      </w:r>
      <w:r w:rsidR="00274379" w:rsidRPr="005F2A69">
        <w:rPr>
          <w:rFonts w:ascii="Arial" w:hAnsi="Arial" w:cs="Arial"/>
        </w:rPr>
        <w:fldChar w:fldCharType="begin"/>
      </w:r>
      <w:r w:rsidR="00274379" w:rsidRPr="005F2A69">
        <w:rPr>
          <w:rFonts w:ascii="Arial" w:hAnsi="Arial" w:cs="Arial"/>
        </w:rPr>
        <w:instrText xml:space="preserve"> REF _Ref216446883 \h  \* MERGEFORMAT </w:instrText>
      </w:r>
      <w:r w:rsidR="00274379" w:rsidRPr="005F2A69">
        <w:rPr>
          <w:rFonts w:ascii="Arial" w:hAnsi="Arial" w:cs="Arial"/>
        </w:rPr>
      </w:r>
      <w:r w:rsidR="00274379" w:rsidRPr="005F2A69">
        <w:rPr>
          <w:rFonts w:ascii="Arial" w:hAnsi="Arial" w:cs="Arial"/>
        </w:rPr>
        <w:fldChar w:fldCharType="separate"/>
      </w:r>
      <w:r w:rsidR="00274379" w:rsidRPr="005F2A69">
        <w:rPr>
          <w:rFonts w:ascii="Arial" w:hAnsi="Arial"/>
        </w:rPr>
        <w:t xml:space="preserve">Table </w:t>
      </w:r>
      <w:r w:rsidR="00274379" w:rsidRPr="005F2A69">
        <w:rPr>
          <w:rFonts w:ascii="Arial" w:hAnsi="Arial"/>
          <w:noProof/>
        </w:rPr>
        <w:t>5</w:t>
      </w:r>
      <w:r w:rsidR="00274379" w:rsidRPr="005F2A69">
        <w:rPr>
          <w:rFonts w:ascii="Arial" w:hAnsi="Arial" w:cs="Arial"/>
        </w:rPr>
        <w:fldChar w:fldCharType="end"/>
      </w:r>
      <w:r w:rsidRPr="00B551E6">
        <w:rPr>
          <w:rFonts w:ascii="Arial" w:hAnsi="Arial" w:cs="Arial"/>
        </w:rPr>
        <w:t>).</w:t>
      </w:r>
    </w:p>
    <w:p w14:paraId="0549FFA8" w14:textId="77777777" w:rsidR="004E7F6D" w:rsidRPr="004E7F6D" w:rsidRDefault="004E7F6D" w:rsidP="00B43865">
      <w:pPr>
        <w:tabs>
          <w:tab w:val="left" w:pos="1080"/>
        </w:tabs>
        <w:spacing w:line="480" w:lineRule="auto"/>
        <w:jc w:val="both"/>
        <w:rPr>
          <w:rFonts w:ascii="Arial" w:hAnsi="Arial"/>
          <w:b/>
        </w:rPr>
      </w:pPr>
      <w:bookmarkStart w:id="6" w:name="_Ref216446883"/>
      <w:bookmarkStart w:id="7" w:name="_Ref216446870"/>
      <w:r w:rsidRPr="004E7F6D">
        <w:rPr>
          <w:rFonts w:ascii="Arial" w:hAnsi="Arial"/>
          <w:b/>
        </w:rPr>
        <w:t xml:space="preserve">Table </w:t>
      </w:r>
      <w:r w:rsidRPr="004E7F6D">
        <w:rPr>
          <w:rFonts w:ascii="Arial" w:hAnsi="Arial"/>
          <w:b/>
        </w:rPr>
        <w:fldChar w:fldCharType="begin"/>
      </w:r>
      <w:r w:rsidRPr="004E7F6D">
        <w:rPr>
          <w:rFonts w:ascii="Arial" w:hAnsi="Arial"/>
          <w:b/>
        </w:rPr>
        <w:instrText xml:space="preserve"> SEQ Table \* ARABIC </w:instrText>
      </w:r>
      <w:r w:rsidRPr="004E7F6D">
        <w:rPr>
          <w:rFonts w:ascii="Arial" w:hAnsi="Arial"/>
          <w:b/>
        </w:rPr>
        <w:fldChar w:fldCharType="separate"/>
      </w:r>
      <w:r w:rsidR="0032372D">
        <w:rPr>
          <w:rFonts w:ascii="Arial" w:hAnsi="Arial"/>
          <w:b/>
          <w:noProof/>
        </w:rPr>
        <w:t>5</w:t>
      </w:r>
      <w:r w:rsidRPr="004E7F6D">
        <w:rPr>
          <w:rFonts w:ascii="Arial" w:hAnsi="Arial"/>
          <w:b/>
        </w:rPr>
        <w:fldChar w:fldCharType="end"/>
      </w:r>
      <w:bookmarkEnd w:id="6"/>
      <w:r w:rsidRPr="004E7F6D">
        <w:rPr>
          <w:rFonts w:ascii="Arial" w:hAnsi="Arial"/>
          <w:b/>
        </w:rPr>
        <w:t>. Phytochemical Content and Antioxidant Capacity in Karela and Kakora Methanolic Extracts.</w:t>
      </w:r>
      <w:bookmarkEnd w:id="7"/>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160"/>
        <w:gridCol w:w="1733"/>
        <w:gridCol w:w="1733"/>
      </w:tblGrid>
      <w:tr w:rsidR="00EF0DE3" w:rsidRPr="00EF0DE3" w14:paraId="4EC29FE7" w14:textId="77777777" w:rsidTr="00EF0DE3">
        <w:trPr>
          <w:jc w:val="center"/>
        </w:trPr>
        <w:tc>
          <w:tcPr>
            <w:tcW w:w="0" w:type="auto"/>
          </w:tcPr>
          <w:p w14:paraId="02E187DB" w14:textId="77777777" w:rsidR="00EF0DE3" w:rsidRPr="00EF0DE3" w:rsidRDefault="00EF0DE3" w:rsidP="00B43865">
            <w:pPr>
              <w:spacing w:line="480" w:lineRule="auto"/>
              <w:jc w:val="center"/>
              <w:rPr>
                <w:rFonts w:ascii="Arial" w:hAnsi="Arial" w:cs="Arial"/>
                <w:b/>
                <w:sz w:val="20"/>
                <w:szCs w:val="20"/>
              </w:rPr>
            </w:pPr>
            <w:r w:rsidRPr="00EF0DE3">
              <w:rPr>
                <w:rFonts w:ascii="Arial" w:hAnsi="Arial" w:cs="Arial"/>
                <w:b/>
                <w:sz w:val="20"/>
                <w:szCs w:val="20"/>
              </w:rPr>
              <w:t>Plant Extract</w:t>
            </w:r>
          </w:p>
        </w:tc>
        <w:tc>
          <w:tcPr>
            <w:tcW w:w="0" w:type="auto"/>
          </w:tcPr>
          <w:p w14:paraId="21259C66" w14:textId="77777777" w:rsidR="00EF0DE3" w:rsidRPr="00EF0DE3" w:rsidRDefault="00EF0DE3" w:rsidP="00B43865">
            <w:pPr>
              <w:spacing w:line="480" w:lineRule="auto"/>
              <w:jc w:val="center"/>
              <w:rPr>
                <w:rFonts w:ascii="Arial" w:hAnsi="Arial" w:cs="Arial"/>
                <w:b/>
                <w:sz w:val="20"/>
                <w:szCs w:val="20"/>
              </w:rPr>
            </w:pPr>
            <w:r w:rsidRPr="00EF0DE3">
              <w:rPr>
                <w:rFonts w:ascii="Arial" w:hAnsi="Arial" w:cs="Arial"/>
                <w:b/>
                <w:sz w:val="20"/>
                <w:szCs w:val="20"/>
              </w:rPr>
              <w:t>Karela</w:t>
            </w:r>
          </w:p>
        </w:tc>
        <w:tc>
          <w:tcPr>
            <w:tcW w:w="0" w:type="auto"/>
          </w:tcPr>
          <w:p w14:paraId="3AEDC59B" w14:textId="77777777" w:rsidR="00EF0DE3" w:rsidRPr="00EF0DE3" w:rsidRDefault="00EF0DE3" w:rsidP="00B43865">
            <w:pPr>
              <w:spacing w:line="480" w:lineRule="auto"/>
              <w:jc w:val="center"/>
              <w:rPr>
                <w:rFonts w:ascii="Arial" w:hAnsi="Arial" w:cs="Arial"/>
                <w:b/>
                <w:sz w:val="20"/>
                <w:szCs w:val="20"/>
              </w:rPr>
            </w:pPr>
            <w:r w:rsidRPr="00EF0DE3">
              <w:rPr>
                <w:rFonts w:ascii="Arial" w:hAnsi="Arial" w:cs="Arial"/>
                <w:b/>
                <w:sz w:val="20"/>
                <w:szCs w:val="20"/>
              </w:rPr>
              <w:t>Kakora</w:t>
            </w:r>
          </w:p>
        </w:tc>
      </w:tr>
      <w:tr w:rsidR="00EF0DE3" w:rsidRPr="00EF0DE3" w14:paraId="357488E4" w14:textId="77777777" w:rsidTr="00EF0DE3">
        <w:trPr>
          <w:jc w:val="center"/>
        </w:trPr>
        <w:tc>
          <w:tcPr>
            <w:tcW w:w="0" w:type="auto"/>
          </w:tcPr>
          <w:p w14:paraId="1B7D3D88" w14:textId="77777777" w:rsidR="00EF0DE3" w:rsidRPr="00EF0DE3" w:rsidRDefault="00EF0DE3" w:rsidP="00B43865">
            <w:pPr>
              <w:spacing w:line="480" w:lineRule="auto"/>
              <w:jc w:val="center"/>
              <w:rPr>
                <w:rFonts w:ascii="Arial" w:hAnsi="Arial" w:cs="Arial"/>
                <w:sz w:val="20"/>
                <w:szCs w:val="20"/>
              </w:rPr>
            </w:pPr>
            <w:r w:rsidRPr="00EF0DE3">
              <w:rPr>
                <w:rFonts w:ascii="Arial" w:hAnsi="Arial" w:cs="Arial"/>
                <w:sz w:val="20"/>
                <w:szCs w:val="20"/>
              </w:rPr>
              <w:t>TPC (mg GAE/g) (Mean ± SD)</w:t>
            </w:r>
          </w:p>
        </w:tc>
        <w:tc>
          <w:tcPr>
            <w:tcW w:w="0" w:type="auto"/>
          </w:tcPr>
          <w:p w14:paraId="2EAE515D" w14:textId="77777777" w:rsidR="00EF0DE3" w:rsidRPr="00EF0DE3" w:rsidRDefault="00EF0DE3" w:rsidP="00B43865">
            <w:pPr>
              <w:spacing w:line="480" w:lineRule="auto"/>
              <w:jc w:val="center"/>
              <w:rPr>
                <w:rFonts w:ascii="Arial" w:hAnsi="Arial" w:cs="Arial"/>
                <w:sz w:val="20"/>
                <w:szCs w:val="20"/>
              </w:rPr>
            </w:pPr>
            <w:r w:rsidRPr="00EF0DE3">
              <w:rPr>
                <w:rFonts w:ascii="Arial" w:hAnsi="Arial" w:cs="Arial"/>
                <w:sz w:val="20"/>
                <w:szCs w:val="20"/>
              </w:rPr>
              <w:t>0.316±0.000</w:t>
            </w:r>
            <w:r w:rsidRPr="00C70182">
              <w:rPr>
                <w:rFonts w:ascii="Arial" w:hAnsi="Arial" w:cs="Arial"/>
                <w:sz w:val="20"/>
                <w:szCs w:val="20"/>
                <w:vertAlign w:val="superscript"/>
              </w:rPr>
              <w:t>b</w:t>
            </w:r>
          </w:p>
        </w:tc>
        <w:tc>
          <w:tcPr>
            <w:tcW w:w="0" w:type="auto"/>
          </w:tcPr>
          <w:p w14:paraId="70743725" w14:textId="77777777" w:rsidR="00EF0DE3" w:rsidRPr="00EF0DE3" w:rsidRDefault="00EF0DE3" w:rsidP="00B43865">
            <w:pPr>
              <w:spacing w:line="480" w:lineRule="auto"/>
              <w:jc w:val="center"/>
              <w:rPr>
                <w:rFonts w:ascii="Arial" w:hAnsi="Arial" w:cs="Arial"/>
                <w:sz w:val="20"/>
                <w:szCs w:val="20"/>
              </w:rPr>
            </w:pPr>
            <w:r w:rsidRPr="00EF0DE3">
              <w:rPr>
                <w:rFonts w:ascii="Arial" w:hAnsi="Arial" w:cs="Arial"/>
                <w:sz w:val="20"/>
                <w:szCs w:val="20"/>
              </w:rPr>
              <w:t>0.739±0.006</w:t>
            </w:r>
            <w:r w:rsidRPr="00C70182">
              <w:rPr>
                <w:rFonts w:ascii="Arial" w:hAnsi="Arial" w:cs="Arial"/>
                <w:sz w:val="20"/>
                <w:szCs w:val="20"/>
                <w:vertAlign w:val="superscript"/>
              </w:rPr>
              <w:t>a</w:t>
            </w:r>
          </w:p>
        </w:tc>
      </w:tr>
      <w:tr w:rsidR="00EF0DE3" w:rsidRPr="00EF0DE3" w14:paraId="0FE82BC1" w14:textId="77777777" w:rsidTr="00EF0DE3">
        <w:trPr>
          <w:jc w:val="center"/>
        </w:trPr>
        <w:tc>
          <w:tcPr>
            <w:tcW w:w="0" w:type="auto"/>
          </w:tcPr>
          <w:p w14:paraId="52B475CF" w14:textId="77777777" w:rsidR="00EF0DE3" w:rsidRPr="00EF0DE3" w:rsidRDefault="00EF0DE3" w:rsidP="00B43865">
            <w:pPr>
              <w:spacing w:line="480" w:lineRule="auto"/>
              <w:jc w:val="center"/>
              <w:rPr>
                <w:rFonts w:ascii="Arial" w:hAnsi="Arial" w:cs="Arial"/>
                <w:sz w:val="20"/>
                <w:szCs w:val="20"/>
              </w:rPr>
            </w:pPr>
            <w:r w:rsidRPr="00EF0DE3">
              <w:rPr>
                <w:rFonts w:ascii="Arial" w:hAnsi="Arial" w:cs="Arial"/>
                <w:sz w:val="20"/>
                <w:szCs w:val="20"/>
              </w:rPr>
              <w:t>TFC (mg QE/g) (Mean ± SD)</w:t>
            </w:r>
          </w:p>
        </w:tc>
        <w:tc>
          <w:tcPr>
            <w:tcW w:w="0" w:type="auto"/>
          </w:tcPr>
          <w:p w14:paraId="70185E03" w14:textId="77777777" w:rsidR="00EF0DE3" w:rsidRPr="00EF0DE3" w:rsidRDefault="00EF0DE3" w:rsidP="00B43865">
            <w:pPr>
              <w:spacing w:line="480" w:lineRule="auto"/>
              <w:jc w:val="center"/>
              <w:rPr>
                <w:rFonts w:ascii="Arial" w:hAnsi="Arial" w:cs="Arial"/>
                <w:sz w:val="20"/>
                <w:szCs w:val="20"/>
              </w:rPr>
            </w:pPr>
            <w:r w:rsidRPr="00EF0DE3">
              <w:rPr>
                <w:rFonts w:ascii="Arial" w:hAnsi="Arial" w:cs="Arial"/>
                <w:sz w:val="20"/>
                <w:szCs w:val="20"/>
              </w:rPr>
              <w:t>463.33±57.74</w:t>
            </w:r>
            <w:r w:rsidR="00C70182" w:rsidRPr="00C70182">
              <w:rPr>
                <w:rFonts w:ascii="Arial" w:hAnsi="Arial" w:cs="Arial"/>
                <w:sz w:val="20"/>
                <w:szCs w:val="20"/>
                <w:vertAlign w:val="superscript"/>
              </w:rPr>
              <w:t>a</w:t>
            </w:r>
          </w:p>
        </w:tc>
        <w:tc>
          <w:tcPr>
            <w:tcW w:w="0" w:type="auto"/>
          </w:tcPr>
          <w:p w14:paraId="71DB94CB" w14:textId="77777777" w:rsidR="00EF0DE3" w:rsidRPr="00EF0DE3" w:rsidRDefault="00EF0DE3" w:rsidP="00B43865">
            <w:pPr>
              <w:spacing w:line="480" w:lineRule="auto"/>
              <w:jc w:val="center"/>
              <w:rPr>
                <w:rFonts w:ascii="Arial" w:hAnsi="Arial" w:cs="Arial"/>
                <w:sz w:val="20"/>
                <w:szCs w:val="20"/>
              </w:rPr>
            </w:pPr>
            <w:r w:rsidRPr="00EF0DE3">
              <w:rPr>
                <w:rFonts w:ascii="Arial" w:hAnsi="Arial" w:cs="Arial"/>
                <w:sz w:val="20"/>
                <w:szCs w:val="20"/>
              </w:rPr>
              <w:t>296.67±57.74</w:t>
            </w:r>
            <w:r w:rsidR="00C70182" w:rsidRPr="00C70182">
              <w:rPr>
                <w:rFonts w:ascii="Arial" w:hAnsi="Arial" w:cs="Arial"/>
                <w:sz w:val="20"/>
                <w:szCs w:val="20"/>
                <w:vertAlign w:val="superscript"/>
              </w:rPr>
              <w:t>b</w:t>
            </w:r>
          </w:p>
        </w:tc>
      </w:tr>
      <w:tr w:rsidR="00EF0DE3" w:rsidRPr="00EF0DE3" w14:paraId="582B6C9F" w14:textId="77777777" w:rsidTr="00EF0DE3">
        <w:trPr>
          <w:jc w:val="center"/>
        </w:trPr>
        <w:tc>
          <w:tcPr>
            <w:tcW w:w="0" w:type="auto"/>
          </w:tcPr>
          <w:p w14:paraId="58E35644" w14:textId="77777777" w:rsidR="00EF0DE3" w:rsidRPr="00EF0DE3" w:rsidRDefault="00EF0DE3" w:rsidP="00B43865">
            <w:pPr>
              <w:spacing w:line="480" w:lineRule="auto"/>
              <w:jc w:val="center"/>
              <w:rPr>
                <w:rFonts w:ascii="Arial" w:hAnsi="Arial" w:cs="Arial"/>
                <w:sz w:val="20"/>
                <w:szCs w:val="20"/>
              </w:rPr>
            </w:pPr>
            <w:r w:rsidRPr="00EF0DE3">
              <w:rPr>
                <w:rFonts w:ascii="Arial" w:hAnsi="Arial" w:cs="Arial"/>
                <w:sz w:val="20"/>
                <w:szCs w:val="20"/>
              </w:rPr>
              <w:t>Alkaloids (mg AE/g) (Mean ± SD)</w:t>
            </w:r>
          </w:p>
        </w:tc>
        <w:tc>
          <w:tcPr>
            <w:tcW w:w="0" w:type="auto"/>
          </w:tcPr>
          <w:p w14:paraId="24714FAA" w14:textId="77777777" w:rsidR="00EF0DE3" w:rsidRPr="00EF0DE3" w:rsidRDefault="00EF0DE3" w:rsidP="00B43865">
            <w:pPr>
              <w:spacing w:line="480" w:lineRule="auto"/>
              <w:jc w:val="center"/>
              <w:rPr>
                <w:rFonts w:ascii="Arial" w:hAnsi="Arial" w:cs="Arial"/>
                <w:sz w:val="20"/>
                <w:szCs w:val="20"/>
              </w:rPr>
            </w:pPr>
            <w:r w:rsidRPr="00EF0DE3">
              <w:rPr>
                <w:rFonts w:ascii="Arial" w:hAnsi="Arial" w:cs="Arial"/>
                <w:sz w:val="20"/>
                <w:szCs w:val="20"/>
              </w:rPr>
              <w:t>5963.33±577.35</w:t>
            </w:r>
            <w:r w:rsidR="00C70182" w:rsidRPr="00C70182">
              <w:rPr>
                <w:rFonts w:ascii="Arial" w:hAnsi="Arial" w:cs="Arial"/>
                <w:sz w:val="20"/>
                <w:szCs w:val="20"/>
                <w:vertAlign w:val="superscript"/>
              </w:rPr>
              <w:t>b</w:t>
            </w:r>
          </w:p>
        </w:tc>
        <w:tc>
          <w:tcPr>
            <w:tcW w:w="0" w:type="auto"/>
          </w:tcPr>
          <w:p w14:paraId="2A09E1E2" w14:textId="77777777" w:rsidR="00EF0DE3" w:rsidRPr="00EF0DE3" w:rsidRDefault="00EF0DE3" w:rsidP="00B43865">
            <w:pPr>
              <w:spacing w:line="480" w:lineRule="auto"/>
              <w:jc w:val="center"/>
              <w:rPr>
                <w:rFonts w:ascii="Arial" w:hAnsi="Arial" w:cs="Arial"/>
                <w:sz w:val="20"/>
                <w:szCs w:val="20"/>
              </w:rPr>
            </w:pPr>
            <w:r w:rsidRPr="00EF0DE3">
              <w:rPr>
                <w:rFonts w:ascii="Arial" w:hAnsi="Arial" w:cs="Arial"/>
                <w:sz w:val="20"/>
                <w:szCs w:val="20"/>
              </w:rPr>
              <w:t>7963.33±577.35</w:t>
            </w:r>
            <w:r w:rsidR="00C70182" w:rsidRPr="00C70182">
              <w:rPr>
                <w:rFonts w:ascii="Arial" w:hAnsi="Arial" w:cs="Arial"/>
                <w:sz w:val="20"/>
                <w:szCs w:val="20"/>
                <w:vertAlign w:val="superscript"/>
              </w:rPr>
              <w:t>a</w:t>
            </w:r>
          </w:p>
        </w:tc>
      </w:tr>
      <w:tr w:rsidR="00EF0DE3" w:rsidRPr="00EF0DE3" w14:paraId="66BE5C7E" w14:textId="77777777" w:rsidTr="00EF0DE3">
        <w:trPr>
          <w:jc w:val="center"/>
        </w:trPr>
        <w:tc>
          <w:tcPr>
            <w:tcW w:w="0" w:type="auto"/>
          </w:tcPr>
          <w:p w14:paraId="14F30195" w14:textId="77777777" w:rsidR="00EF0DE3" w:rsidRPr="00EF0DE3" w:rsidRDefault="00EF0DE3" w:rsidP="00B43865">
            <w:pPr>
              <w:spacing w:line="480" w:lineRule="auto"/>
              <w:jc w:val="center"/>
              <w:rPr>
                <w:rFonts w:ascii="Arial" w:hAnsi="Arial" w:cs="Arial"/>
                <w:sz w:val="20"/>
                <w:szCs w:val="20"/>
              </w:rPr>
            </w:pPr>
            <w:r w:rsidRPr="00EF0DE3">
              <w:rPr>
                <w:rFonts w:ascii="Arial" w:hAnsi="Arial" w:cs="Arial"/>
                <w:sz w:val="20"/>
                <w:szCs w:val="20"/>
              </w:rPr>
              <w:t>TAC (mg AAE/g) (Mean ± SD)</w:t>
            </w:r>
          </w:p>
        </w:tc>
        <w:tc>
          <w:tcPr>
            <w:tcW w:w="0" w:type="auto"/>
          </w:tcPr>
          <w:p w14:paraId="4990613C" w14:textId="77777777" w:rsidR="00EF0DE3" w:rsidRPr="00EF0DE3" w:rsidRDefault="00EF0DE3" w:rsidP="00B43865">
            <w:pPr>
              <w:spacing w:line="480" w:lineRule="auto"/>
              <w:jc w:val="center"/>
              <w:rPr>
                <w:rFonts w:ascii="Arial" w:hAnsi="Arial" w:cs="Arial"/>
                <w:sz w:val="20"/>
                <w:szCs w:val="20"/>
              </w:rPr>
            </w:pPr>
            <w:r w:rsidRPr="00EF0DE3">
              <w:rPr>
                <w:rFonts w:ascii="Arial" w:hAnsi="Arial" w:cs="Arial"/>
                <w:sz w:val="20"/>
                <w:szCs w:val="20"/>
              </w:rPr>
              <w:t>355.5±14.1</w:t>
            </w:r>
            <w:r w:rsidR="00C70182" w:rsidRPr="00C70182">
              <w:rPr>
                <w:rFonts w:ascii="Arial" w:hAnsi="Arial" w:cs="Arial"/>
                <w:sz w:val="20"/>
                <w:szCs w:val="20"/>
                <w:vertAlign w:val="superscript"/>
              </w:rPr>
              <w:t>b</w:t>
            </w:r>
          </w:p>
        </w:tc>
        <w:tc>
          <w:tcPr>
            <w:tcW w:w="0" w:type="auto"/>
          </w:tcPr>
          <w:p w14:paraId="42EF05CD" w14:textId="77777777" w:rsidR="00EF0DE3" w:rsidRPr="00EF0DE3" w:rsidRDefault="00EF0DE3" w:rsidP="00B43865">
            <w:pPr>
              <w:spacing w:line="480" w:lineRule="auto"/>
              <w:jc w:val="center"/>
              <w:rPr>
                <w:rFonts w:ascii="Arial" w:hAnsi="Arial" w:cs="Arial"/>
                <w:sz w:val="20"/>
                <w:szCs w:val="20"/>
              </w:rPr>
            </w:pPr>
            <w:r w:rsidRPr="00EF0DE3">
              <w:rPr>
                <w:rFonts w:ascii="Arial" w:hAnsi="Arial" w:cs="Arial"/>
                <w:sz w:val="20"/>
                <w:szCs w:val="20"/>
              </w:rPr>
              <w:t>421.3±14.4</w:t>
            </w:r>
            <w:r w:rsidR="00010880" w:rsidRPr="00C70182">
              <w:rPr>
                <w:rFonts w:ascii="Arial" w:hAnsi="Arial" w:cs="Arial"/>
                <w:sz w:val="20"/>
                <w:szCs w:val="20"/>
                <w:vertAlign w:val="superscript"/>
              </w:rPr>
              <w:t>a</w:t>
            </w:r>
          </w:p>
        </w:tc>
      </w:tr>
      <w:tr w:rsidR="00EF0DE3" w:rsidRPr="00EF0DE3" w14:paraId="528C046E" w14:textId="77777777" w:rsidTr="00EF0DE3">
        <w:trPr>
          <w:jc w:val="center"/>
        </w:trPr>
        <w:tc>
          <w:tcPr>
            <w:tcW w:w="0" w:type="auto"/>
          </w:tcPr>
          <w:p w14:paraId="2FEF3181" w14:textId="77777777" w:rsidR="00EF0DE3" w:rsidRPr="00EF0DE3" w:rsidRDefault="00EF0DE3" w:rsidP="00B43865">
            <w:pPr>
              <w:spacing w:line="480" w:lineRule="auto"/>
              <w:jc w:val="center"/>
              <w:rPr>
                <w:rFonts w:ascii="Arial" w:hAnsi="Arial" w:cs="Arial"/>
                <w:sz w:val="20"/>
                <w:szCs w:val="20"/>
              </w:rPr>
            </w:pPr>
            <w:r w:rsidRPr="00EF0DE3">
              <w:rPr>
                <w:rFonts w:ascii="Arial" w:hAnsi="Arial" w:cs="Arial"/>
                <w:sz w:val="20"/>
                <w:szCs w:val="20"/>
              </w:rPr>
              <w:t>FRAP (mg AAE/g) (Mean ± SD)</w:t>
            </w:r>
          </w:p>
        </w:tc>
        <w:tc>
          <w:tcPr>
            <w:tcW w:w="0" w:type="auto"/>
          </w:tcPr>
          <w:p w14:paraId="064AF2A4" w14:textId="77777777" w:rsidR="00EF0DE3" w:rsidRPr="00EF0DE3" w:rsidRDefault="00EF0DE3" w:rsidP="00B43865">
            <w:pPr>
              <w:spacing w:line="480" w:lineRule="auto"/>
              <w:jc w:val="center"/>
              <w:rPr>
                <w:rFonts w:ascii="Arial" w:hAnsi="Arial" w:cs="Arial"/>
                <w:sz w:val="20"/>
                <w:szCs w:val="20"/>
              </w:rPr>
            </w:pPr>
            <w:r w:rsidRPr="00EF0DE3">
              <w:rPr>
                <w:rFonts w:ascii="Arial" w:hAnsi="Arial" w:cs="Arial"/>
                <w:sz w:val="20"/>
                <w:szCs w:val="20"/>
              </w:rPr>
              <w:t>1196.0±17.2</w:t>
            </w:r>
            <w:r w:rsidR="00010880" w:rsidRPr="00C70182">
              <w:rPr>
                <w:rFonts w:ascii="Arial" w:hAnsi="Arial" w:cs="Arial"/>
                <w:sz w:val="20"/>
                <w:szCs w:val="20"/>
                <w:vertAlign w:val="superscript"/>
              </w:rPr>
              <w:t>a</w:t>
            </w:r>
          </w:p>
        </w:tc>
        <w:tc>
          <w:tcPr>
            <w:tcW w:w="0" w:type="auto"/>
          </w:tcPr>
          <w:p w14:paraId="044B29B7" w14:textId="77777777" w:rsidR="00EF0DE3" w:rsidRPr="00EF0DE3" w:rsidRDefault="00EF0DE3" w:rsidP="00B43865">
            <w:pPr>
              <w:spacing w:line="480" w:lineRule="auto"/>
              <w:jc w:val="center"/>
              <w:rPr>
                <w:rFonts w:ascii="Arial" w:hAnsi="Arial" w:cs="Arial"/>
                <w:sz w:val="20"/>
                <w:szCs w:val="20"/>
              </w:rPr>
            </w:pPr>
            <w:r w:rsidRPr="00EF0DE3">
              <w:rPr>
                <w:rFonts w:ascii="Arial" w:hAnsi="Arial" w:cs="Arial"/>
                <w:sz w:val="20"/>
                <w:szCs w:val="20"/>
              </w:rPr>
              <w:t>1007.0±17.2</w:t>
            </w:r>
            <w:r w:rsidR="00C70182" w:rsidRPr="00C70182">
              <w:rPr>
                <w:rFonts w:ascii="Arial" w:hAnsi="Arial" w:cs="Arial"/>
                <w:sz w:val="20"/>
                <w:szCs w:val="20"/>
                <w:vertAlign w:val="superscript"/>
              </w:rPr>
              <w:t>b</w:t>
            </w:r>
          </w:p>
        </w:tc>
      </w:tr>
    </w:tbl>
    <w:p w14:paraId="6092DD94" w14:textId="77777777" w:rsidR="001A76E0" w:rsidRDefault="001A76E0" w:rsidP="00B43865">
      <w:pPr>
        <w:pStyle w:val="Body"/>
        <w:spacing w:after="0" w:line="480" w:lineRule="auto"/>
        <w:rPr>
          <w:rFonts w:ascii="Arial" w:hAnsi="Arial" w:cs="Arial"/>
        </w:rPr>
      </w:pPr>
    </w:p>
    <w:p w14:paraId="7D4B6D00" w14:textId="77777777" w:rsidR="0032372D" w:rsidRPr="0032372D" w:rsidRDefault="0032372D" w:rsidP="00B43865">
      <w:pPr>
        <w:tabs>
          <w:tab w:val="left" w:pos="1080"/>
        </w:tabs>
        <w:spacing w:line="480" w:lineRule="auto"/>
        <w:jc w:val="both"/>
        <w:rPr>
          <w:rFonts w:ascii="Arial" w:hAnsi="Arial"/>
          <w:b/>
        </w:rPr>
      </w:pPr>
      <w:bookmarkStart w:id="8" w:name="_Ref216446905"/>
      <w:r w:rsidRPr="0032372D">
        <w:rPr>
          <w:rFonts w:ascii="Arial" w:hAnsi="Arial"/>
          <w:b/>
        </w:rPr>
        <w:t xml:space="preserve">Table </w:t>
      </w:r>
      <w:r w:rsidRPr="0032372D">
        <w:rPr>
          <w:rFonts w:ascii="Arial" w:hAnsi="Arial"/>
          <w:b/>
        </w:rPr>
        <w:fldChar w:fldCharType="begin"/>
      </w:r>
      <w:r w:rsidRPr="0032372D">
        <w:rPr>
          <w:rFonts w:ascii="Arial" w:hAnsi="Arial"/>
          <w:b/>
        </w:rPr>
        <w:instrText xml:space="preserve"> SEQ Table \* ARABIC </w:instrText>
      </w:r>
      <w:r w:rsidRPr="0032372D">
        <w:rPr>
          <w:rFonts w:ascii="Arial" w:hAnsi="Arial"/>
          <w:b/>
        </w:rPr>
        <w:fldChar w:fldCharType="separate"/>
      </w:r>
      <w:r w:rsidRPr="0032372D">
        <w:rPr>
          <w:rFonts w:ascii="Arial" w:hAnsi="Arial"/>
          <w:b/>
        </w:rPr>
        <w:t>6</w:t>
      </w:r>
      <w:r w:rsidRPr="0032372D">
        <w:rPr>
          <w:rFonts w:ascii="Arial" w:hAnsi="Arial"/>
          <w:b/>
        </w:rPr>
        <w:fldChar w:fldCharType="end"/>
      </w:r>
      <w:bookmarkEnd w:id="8"/>
      <w:r w:rsidRPr="0032372D">
        <w:rPr>
          <w:rFonts w:ascii="Arial" w:hAnsi="Arial"/>
          <w:b/>
        </w:rPr>
        <w:t>. Statistical Analysis (ANOVA/t-test) Comparing Phytochemical Content and Antioxidant Capacity between Karela and Kakora Extracts.</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371"/>
        <w:gridCol w:w="2095"/>
        <w:gridCol w:w="1669"/>
        <w:gridCol w:w="811"/>
        <w:gridCol w:w="1699"/>
        <w:gridCol w:w="2371"/>
      </w:tblGrid>
      <w:tr w:rsidR="00F66013" w:rsidRPr="00F66013" w14:paraId="6818E3E2" w14:textId="77777777" w:rsidTr="00D45838">
        <w:trPr>
          <w:jc w:val="center"/>
        </w:trPr>
        <w:tc>
          <w:tcPr>
            <w:tcW w:w="0" w:type="auto"/>
          </w:tcPr>
          <w:p w14:paraId="51A18AF7" w14:textId="77777777" w:rsidR="00F66013" w:rsidRPr="007156AA" w:rsidRDefault="00F66013" w:rsidP="00B43865">
            <w:pPr>
              <w:spacing w:line="480" w:lineRule="auto"/>
              <w:jc w:val="center"/>
              <w:rPr>
                <w:rFonts w:ascii="Arial" w:hAnsi="Arial" w:cs="Arial"/>
                <w:b/>
                <w:sz w:val="20"/>
                <w:szCs w:val="20"/>
              </w:rPr>
            </w:pPr>
            <w:r w:rsidRPr="007156AA">
              <w:rPr>
                <w:rFonts w:ascii="Arial" w:hAnsi="Arial" w:cs="Arial"/>
                <w:b/>
                <w:sz w:val="20"/>
                <w:szCs w:val="20"/>
              </w:rPr>
              <w:t>Assay</w:t>
            </w:r>
          </w:p>
        </w:tc>
        <w:tc>
          <w:tcPr>
            <w:tcW w:w="0" w:type="auto"/>
          </w:tcPr>
          <w:p w14:paraId="3D5D0A36" w14:textId="77777777" w:rsidR="00F66013" w:rsidRPr="007156AA" w:rsidRDefault="00F66013" w:rsidP="00B43865">
            <w:pPr>
              <w:spacing w:line="480" w:lineRule="auto"/>
              <w:jc w:val="center"/>
              <w:rPr>
                <w:rFonts w:ascii="Arial" w:hAnsi="Arial" w:cs="Arial"/>
                <w:b/>
                <w:sz w:val="20"/>
                <w:szCs w:val="20"/>
              </w:rPr>
            </w:pPr>
            <w:r w:rsidRPr="007156AA">
              <w:rPr>
                <w:rFonts w:ascii="Arial" w:hAnsi="Arial" w:cs="Arial"/>
                <w:b/>
                <w:sz w:val="20"/>
                <w:szCs w:val="20"/>
              </w:rPr>
              <w:t>Effect (F-statistic or Equivalent)</w:t>
            </w:r>
          </w:p>
        </w:tc>
        <w:tc>
          <w:tcPr>
            <w:tcW w:w="0" w:type="auto"/>
          </w:tcPr>
          <w:p w14:paraId="355D8359" w14:textId="77777777" w:rsidR="00F66013" w:rsidRPr="007156AA" w:rsidRDefault="00F66013" w:rsidP="00B43865">
            <w:pPr>
              <w:spacing w:line="480" w:lineRule="auto"/>
              <w:jc w:val="center"/>
              <w:rPr>
                <w:rFonts w:ascii="Arial" w:hAnsi="Arial" w:cs="Arial"/>
                <w:b/>
                <w:sz w:val="20"/>
                <w:szCs w:val="20"/>
              </w:rPr>
            </w:pPr>
            <w:r w:rsidRPr="007156AA">
              <w:rPr>
                <w:rFonts w:ascii="Arial" w:hAnsi="Arial" w:cs="Arial"/>
                <w:b/>
                <w:sz w:val="20"/>
                <w:szCs w:val="20"/>
              </w:rPr>
              <w:t>Degrees of Freedom (df)</w:t>
            </w:r>
          </w:p>
        </w:tc>
        <w:tc>
          <w:tcPr>
            <w:tcW w:w="0" w:type="auto"/>
          </w:tcPr>
          <w:p w14:paraId="5F84BCFB" w14:textId="77777777" w:rsidR="00F66013" w:rsidRPr="007156AA" w:rsidRDefault="00F66013" w:rsidP="00B43865">
            <w:pPr>
              <w:spacing w:line="480" w:lineRule="auto"/>
              <w:jc w:val="center"/>
              <w:rPr>
                <w:rFonts w:ascii="Arial" w:hAnsi="Arial" w:cs="Arial"/>
                <w:b/>
                <w:sz w:val="20"/>
                <w:szCs w:val="20"/>
              </w:rPr>
            </w:pPr>
            <w:r w:rsidRPr="00A67F58">
              <w:rPr>
                <w:rFonts w:ascii="Arial" w:hAnsi="Arial" w:cs="Arial"/>
                <w:b/>
                <w:i/>
                <w:sz w:val="20"/>
                <w:szCs w:val="20"/>
              </w:rPr>
              <w:t>P</w:t>
            </w:r>
            <w:r w:rsidRPr="007156AA">
              <w:rPr>
                <w:rFonts w:ascii="Arial" w:hAnsi="Arial" w:cs="Arial"/>
                <w:b/>
                <w:sz w:val="20"/>
                <w:szCs w:val="20"/>
              </w:rPr>
              <w:t>-value</w:t>
            </w:r>
          </w:p>
        </w:tc>
        <w:tc>
          <w:tcPr>
            <w:tcW w:w="0" w:type="auto"/>
          </w:tcPr>
          <w:p w14:paraId="0252C640" w14:textId="77777777" w:rsidR="00F66013" w:rsidRPr="007156AA" w:rsidRDefault="00F66013" w:rsidP="00B43865">
            <w:pPr>
              <w:spacing w:line="480" w:lineRule="auto"/>
              <w:jc w:val="center"/>
              <w:rPr>
                <w:rFonts w:ascii="Arial" w:hAnsi="Arial" w:cs="Arial"/>
                <w:b/>
                <w:sz w:val="20"/>
                <w:szCs w:val="20"/>
              </w:rPr>
            </w:pPr>
            <w:r w:rsidRPr="007156AA">
              <w:rPr>
                <w:rFonts w:ascii="Arial" w:hAnsi="Arial" w:cs="Arial"/>
                <w:b/>
                <w:sz w:val="20"/>
                <w:szCs w:val="20"/>
              </w:rPr>
              <w:t>Overall Significance</w:t>
            </w:r>
          </w:p>
        </w:tc>
        <w:tc>
          <w:tcPr>
            <w:tcW w:w="0" w:type="auto"/>
          </w:tcPr>
          <w:p w14:paraId="3C8C294B" w14:textId="77777777" w:rsidR="00F66013" w:rsidRPr="007156AA" w:rsidRDefault="00F66013" w:rsidP="00B43865">
            <w:pPr>
              <w:spacing w:line="480" w:lineRule="auto"/>
              <w:jc w:val="center"/>
              <w:rPr>
                <w:rFonts w:ascii="Arial" w:hAnsi="Arial" w:cs="Arial"/>
                <w:b/>
                <w:sz w:val="20"/>
                <w:szCs w:val="20"/>
              </w:rPr>
            </w:pPr>
            <w:r w:rsidRPr="007156AA">
              <w:rPr>
                <w:rFonts w:ascii="Arial" w:hAnsi="Arial" w:cs="Arial"/>
                <w:b/>
                <w:sz w:val="20"/>
                <w:szCs w:val="20"/>
              </w:rPr>
              <w:t>Assay</w:t>
            </w:r>
          </w:p>
        </w:tc>
      </w:tr>
      <w:tr w:rsidR="00F66013" w:rsidRPr="00F66013" w14:paraId="0FE2E678" w14:textId="77777777" w:rsidTr="00D45838">
        <w:trPr>
          <w:jc w:val="center"/>
        </w:trPr>
        <w:tc>
          <w:tcPr>
            <w:tcW w:w="0" w:type="auto"/>
          </w:tcPr>
          <w:p w14:paraId="1DEB4A71"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lastRenderedPageBreak/>
              <w:t>Total Phenolic Content (TPC)</w:t>
            </w:r>
          </w:p>
        </w:tc>
        <w:tc>
          <w:tcPr>
            <w:tcW w:w="0" w:type="auto"/>
          </w:tcPr>
          <w:p w14:paraId="669395C2"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t>F=1125.0</w:t>
            </w:r>
          </w:p>
        </w:tc>
        <w:tc>
          <w:tcPr>
            <w:tcW w:w="0" w:type="auto"/>
          </w:tcPr>
          <w:p w14:paraId="46E522F8"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t>(1,4)</w:t>
            </w:r>
          </w:p>
        </w:tc>
        <w:tc>
          <w:tcPr>
            <w:tcW w:w="0" w:type="auto"/>
          </w:tcPr>
          <w:p w14:paraId="5F7B68B9" w14:textId="77777777" w:rsidR="00F66013" w:rsidRPr="00F66013" w:rsidRDefault="00694317" w:rsidP="00B43865">
            <w:pPr>
              <w:spacing w:line="480" w:lineRule="auto"/>
              <w:jc w:val="center"/>
              <w:rPr>
                <w:rFonts w:ascii="Arial" w:hAnsi="Arial" w:cs="Arial"/>
                <w:sz w:val="20"/>
                <w:szCs w:val="20"/>
              </w:rPr>
            </w:pPr>
            <w:r>
              <w:rPr>
                <w:rFonts w:ascii="Arial" w:hAnsi="Arial" w:cs="Arial"/>
                <w:sz w:val="20"/>
                <w:szCs w:val="20"/>
              </w:rPr>
              <w:t>&lt;</w:t>
            </w:r>
            <w:r w:rsidR="00F66013" w:rsidRPr="00F66013">
              <w:rPr>
                <w:rFonts w:ascii="Arial" w:hAnsi="Arial" w:cs="Arial"/>
                <w:sz w:val="20"/>
                <w:szCs w:val="20"/>
              </w:rPr>
              <w:t>.001</w:t>
            </w:r>
          </w:p>
        </w:tc>
        <w:tc>
          <w:tcPr>
            <w:tcW w:w="0" w:type="auto"/>
          </w:tcPr>
          <w:p w14:paraId="1C6D58E0"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t>Highly Significant</w:t>
            </w:r>
          </w:p>
        </w:tc>
        <w:tc>
          <w:tcPr>
            <w:tcW w:w="0" w:type="auto"/>
          </w:tcPr>
          <w:p w14:paraId="29F750C9"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t>Total Phenolic Content (TPC)</w:t>
            </w:r>
          </w:p>
        </w:tc>
      </w:tr>
      <w:tr w:rsidR="00F66013" w:rsidRPr="00F66013" w14:paraId="0538F1A9" w14:textId="77777777" w:rsidTr="00D45838">
        <w:trPr>
          <w:jc w:val="center"/>
        </w:trPr>
        <w:tc>
          <w:tcPr>
            <w:tcW w:w="0" w:type="auto"/>
          </w:tcPr>
          <w:p w14:paraId="0EB04CF5"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t>Total Flavonoid Content (TFC)</w:t>
            </w:r>
          </w:p>
        </w:tc>
        <w:tc>
          <w:tcPr>
            <w:tcW w:w="0" w:type="auto"/>
          </w:tcPr>
          <w:p w14:paraId="1C8511CC"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t>F=12.50</w:t>
            </w:r>
          </w:p>
        </w:tc>
        <w:tc>
          <w:tcPr>
            <w:tcW w:w="0" w:type="auto"/>
          </w:tcPr>
          <w:p w14:paraId="38087AD4"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t>(1,4)</w:t>
            </w:r>
          </w:p>
        </w:tc>
        <w:tc>
          <w:tcPr>
            <w:tcW w:w="0" w:type="auto"/>
          </w:tcPr>
          <w:p w14:paraId="385CE7F0" w14:textId="77777777" w:rsidR="004E7F6D" w:rsidRDefault="00F66013" w:rsidP="00B43865">
            <w:pPr>
              <w:spacing w:line="480" w:lineRule="auto"/>
              <w:jc w:val="center"/>
              <w:rPr>
                <w:rFonts w:ascii="Arial" w:hAnsi="Arial" w:cs="Arial"/>
                <w:sz w:val="20"/>
                <w:szCs w:val="20"/>
              </w:rPr>
            </w:pPr>
            <w:r w:rsidRPr="00F66013">
              <w:rPr>
                <w:rFonts w:ascii="Arial" w:hAnsi="Arial" w:cs="Arial"/>
                <w:sz w:val="20"/>
                <w:szCs w:val="20"/>
              </w:rPr>
              <w:t>.02</w:t>
            </w:r>
          </w:p>
          <w:p w14:paraId="5F3AC29E" w14:textId="77777777" w:rsidR="00F66013" w:rsidRPr="004E7F6D" w:rsidRDefault="00F66013" w:rsidP="00B43865">
            <w:pPr>
              <w:spacing w:line="480" w:lineRule="auto"/>
              <w:rPr>
                <w:rFonts w:ascii="Arial" w:hAnsi="Arial" w:cs="Arial"/>
                <w:sz w:val="20"/>
                <w:szCs w:val="20"/>
              </w:rPr>
            </w:pPr>
          </w:p>
        </w:tc>
        <w:tc>
          <w:tcPr>
            <w:tcW w:w="0" w:type="auto"/>
          </w:tcPr>
          <w:p w14:paraId="6C491ED5"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t>Significant</w:t>
            </w:r>
          </w:p>
        </w:tc>
        <w:tc>
          <w:tcPr>
            <w:tcW w:w="0" w:type="auto"/>
          </w:tcPr>
          <w:p w14:paraId="4C30BFBF"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t>Total Flavonoid Content (TFC)</w:t>
            </w:r>
          </w:p>
        </w:tc>
      </w:tr>
      <w:tr w:rsidR="00F66013" w:rsidRPr="00F66013" w14:paraId="1CB42B8B" w14:textId="77777777" w:rsidTr="00D45838">
        <w:trPr>
          <w:jc w:val="center"/>
        </w:trPr>
        <w:tc>
          <w:tcPr>
            <w:tcW w:w="0" w:type="auto"/>
          </w:tcPr>
          <w:p w14:paraId="749B89C1"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t>Total Alkaloid Content</w:t>
            </w:r>
          </w:p>
        </w:tc>
        <w:tc>
          <w:tcPr>
            <w:tcW w:w="0" w:type="auto"/>
          </w:tcPr>
          <w:p w14:paraId="0E009525"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t>t</w:t>
            </w:r>
            <w:r w:rsidRPr="00694317">
              <w:rPr>
                <w:rFonts w:ascii="Arial" w:hAnsi="Arial" w:cs="Arial"/>
                <w:sz w:val="20"/>
                <w:szCs w:val="20"/>
                <w:vertAlign w:val="superscript"/>
              </w:rPr>
              <w:t>2</w:t>
            </w:r>
            <w:r w:rsidRPr="00F66013">
              <w:rPr>
                <w:rFonts w:ascii="Arial" w:hAnsi="Arial" w:cs="Arial"/>
                <w:sz w:val="20"/>
                <w:szCs w:val="20"/>
              </w:rPr>
              <w:t>=25.0*</w:t>
            </w:r>
          </w:p>
        </w:tc>
        <w:tc>
          <w:tcPr>
            <w:tcW w:w="0" w:type="auto"/>
          </w:tcPr>
          <w:p w14:paraId="476672CD"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t>(1,4)</w:t>
            </w:r>
          </w:p>
        </w:tc>
        <w:tc>
          <w:tcPr>
            <w:tcW w:w="0" w:type="auto"/>
          </w:tcPr>
          <w:p w14:paraId="404EEB74"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t>.007</w:t>
            </w:r>
          </w:p>
        </w:tc>
        <w:tc>
          <w:tcPr>
            <w:tcW w:w="0" w:type="auto"/>
          </w:tcPr>
          <w:p w14:paraId="2EAB97D6"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t>Highly Significant</w:t>
            </w:r>
          </w:p>
        </w:tc>
        <w:tc>
          <w:tcPr>
            <w:tcW w:w="0" w:type="auto"/>
          </w:tcPr>
          <w:p w14:paraId="07ECA64A"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t>Total Alkaloid Content</w:t>
            </w:r>
          </w:p>
        </w:tc>
      </w:tr>
      <w:tr w:rsidR="00F66013" w:rsidRPr="00F66013" w14:paraId="41ED3D03" w14:textId="77777777" w:rsidTr="00D45838">
        <w:trPr>
          <w:jc w:val="center"/>
        </w:trPr>
        <w:tc>
          <w:tcPr>
            <w:tcW w:w="0" w:type="auto"/>
          </w:tcPr>
          <w:p w14:paraId="46F731FC"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t>Total Antioxidant Capacity (TAC)</w:t>
            </w:r>
          </w:p>
        </w:tc>
        <w:tc>
          <w:tcPr>
            <w:tcW w:w="0" w:type="auto"/>
          </w:tcPr>
          <w:p w14:paraId="14457D1F"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t>F=33.26</w:t>
            </w:r>
          </w:p>
        </w:tc>
        <w:tc>
          <w:tcPr>
            <w:tcW w:w="0" w:type="auto"/>
          </w:tcPr>
          <w:p w14:paraId="48DDC94E"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t>(1,4)</w:t>
            </w:r>
          </w:p>
        </w:tc>
        <w:tc>
          <w:tcPr>
            <w:tcW w:w="0" w:type="auto"/>
          </w:tcPr>
          <w:p w14:paraId="7F809444"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t>.004</w:t>
            </w:r>
          </w:p>
        </w:tc>
        <w:tc>
          <w:tcPr>
            <w:tcW w:w="0" w:type="auto"/>
          </w:tcPr>
          <w:p w14:paraId="02C4FA3B"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t>Highly Significant</w:t>
            </w:r>
          </w:p>
        </w:tc>
        <w:tc>
          <w:tcPr>
            <w:tcW w:w="0" w:type="auto"/>
          </w:tcPr>
          <w:p w14:paraId="59C050EB"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t>Total Antioxidant Capacity (TAC)</w:t>
            </w:r>
          </w:p>
        </w:tc>
      </w:tr>
      <w:tr w:rsidR="00F66013" w:rsidRPr="00F66013" w14:paraId="123D9ABA" w14:textId="77777777" w:rsidTr="00D45838">
        <w:trPr>
          <w:jc w:val="center"/>
        </w:trPr>
        <w:tc>
          <w:tcPr>
            <w:tcW w:w="0" w:type="auto"/>
          </w:tcPr>
          <w:p w14:paraId="454A6D50"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t>Ferric Reducing Antioxidant Power (FRAP)</w:t>
            </w:r>
          </w:p>
        </w:tc>
        <w:tc>
          <w:tcPr>
            <w:tcW w:w="0" w:type="auto"/>
          </w:tcPr>
          <w:p w14:paraId="53506C01"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t>F=180.37</w:t>
            </w:r>
          </w:p>
        </w:tc>
        <w:tc>
          <w:tcPr>
            <w:tcW w:w="0" w:type="auto"/>
          </w:tcPr>
          <w:p w14:paraId="4F4C4950"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t>(1,4)</w:t>
            </w:r>
          </w:p>
        </w:tc>
        <w:tc>
          <w:tcPr>
            <w:tcW w:w="0" w:type="auto"/>
          </w:tcPr>
          <w:p w14:paraId="3CA571EE" w14:textId="77777777" w:rsidR="00F66013" w:rsidRPr="00F66013" w:rsidRDefault="00694317" w:rsidP="00B43865">
            <w:pPr>
              <w:spacing w:line="480" w:lineRule="auto"/>
              <w:jc w:val="center"/>
              <w:rPr>
                <w:rFonts w:ascii="Arial" w:hAnsi="Arial" w:cs="Arial"/>
                <w:sz w:val="20"/>
                <w:szCs w:val="20"/>
              </w:rPr>
            </w:pPr>
            <w:r>
              <w:rPr>
                <w:rFonts w:ascii="Arial" w:hAnsi="Arial" w:cs="Arial"/>
                <w:sz w:val="20"/>
                <w:szCs w:val="20"/>
              </w:rPr>
              <w:t>&lt;</w:t>
            </w:r>
            <w:r w:rsidR="00F66013" w:rsidRPr="00F66013">
              <w:rPr>
                <w:rFonts w:ascii="Arial" w:hAnsi="Arial" w:cs="Arial"/>
                <w:sz w:val="20"/>
                <w:szCs w:val="20"/>
              </w:rPr>
              <w:t>.001</w:t>
            </w:r>
          </w:p>
        </w:tc>
        <w:tc>
          <w:tcPr>
            <w:tcW w:w="0" w:type="auto"/>
          </w:tcPr>
          <w:p w14:paraId="32109892"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t>Highly Significant</w:t>
            </w:r>
          </w:p>
        </w:tc>
        <w:tc>
          <w:tcPr>
            <w:tcW w:w="0" w:type="auto"/>
          </w:tcPr>
          <w:p w14:paraId="41B9DC1A"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t>Ferric Reducing Antioxidant Power (FRAP)</w:t>
            </w:r>
          </w:p>
        </w:tc>
      </w:tr>
    </w:tbl>
    <w:p w14:paraId="60659DC5" w14:textId="77777777" w:rsidR="00F66013" w:rsidRDefault="00F66013" w:rsidP="00B43865">
      <w:pPr>
        <w:pStyle w:val="Body"/>
        <w:spacing w:after="0" w:line="480" w:lineRule="auto"/>
        <w:rPr>
          <w:rFonts w:ascii="Arial" w:hAnsi="Arial" w:cs="Arial"/>
        </w:rPr>
      </w:pPr>
    </w:p>
    <w:p w14:paraId="3562845B" w14:textId="77777777" w:rsidR="00845CFC" w:rsidRDefault="00F13229" w:rsidP="00B43865">
      <w:pPr>
        <w:pStyle w:val="Body"/>
        <w:keepNext/>
        <w:spacing w:after="0" w:line="480" w:lineRule="auto"/>
        <w:jc w:val="center"/>
      </w:pPr>
      <w:r>
        <w:rPr>
          <w:rFonts w:ascii="Arial" w:hAnsi="Arial" w:cs="Arial"/>
          <w:noProof/>
        </w:rPr>
        <w:drawing>
          <wp:inline distT="0" distB="0" distL="0" distR="0" wp14:anchorId="42165ED4" wp14:editId="6F40D137">
            <wp:extent cx="5212080" cy="29070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ndard graphs.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12080" cy="2907030"/>
                    </a:xfrm>
                    <a:prstGeom prst="rect">
                      <a:avLst/>
                    </a:prstGeom>
                  </pic:spPr>
                </pic:pic>
              </a:graphicData>
            </a:graphic>
          </wp:inline>
        </w:drawing>
      </w:r>
    </w:p>
    <w:p w14:paraId="1F7C5F38" w14:textId="77777777" w:rsidR="00833B87" w:rsidRPr="00845CFC" w:rsidRDefault="00845CFC" w:rsidP="00B43865">
      <w:pPr>
        <w:autoSpaceDE w:val="0"/>
        <w:autoSpaceDN w:val="0"/>
        <w:adjustRightInd w:val="0"/>
        <w:spacing w:line="480" w:lineRule="auto"/>
        <w:jc w:val="both"/>
        <w:rPr>
          <w:rFonts w:ascii="Arial" w:hAnsi="Arial" w:cs="Arial"/>
          <w:b/>
          <w:bCs/>
          <w:szCs w:val="22"/>
        </w:rPr>
      </w:pPr>
      <w:bookmarkStart w:id="9" w:name="_Ref216446856"/>
      <w:r w:rsidRPr="00845CFC">
        <w:rPr>
          <w:rFonts w:ascii="Arial" w:hAnsi="Arial" w:cs="Arial"/>
          <w:b/>
          <w:bCs/>
          <w:szCs w:val="22"/>
        </w:rPr>
        <w:t xml:space="preserve">Fig. </w:t>
      </w:r>
      <w:r w:rsidRPr="00845CFC">
        <w:rPr>
          <w:rFonts w:ascii="Arial" w:hAnsi="Arial" w:cs="Arial"/>
          <w:b/>
          <w:bCs/>
          <w:szCs w:val="22"/>
        </w:rPr>
        <w:fldChar w:fldCharType="begin"/>
      </w:r>
      <w:r w:rsidRPr="00845CFC">
        <w:rPr>
          <w:rFonts w:ascii="Arial" w:hAnsi="Arial" w:cs="Arial"/>
          <w:b/>
          <w:bCs/>
          <w:szCs w:val="22"/>
        </w:rPr>
        <w:instrText xml:space="preserve"> SEQ Fig. \* ARABIC </w:instrText>
      </w:r>
      <w:r w:rsidRPr="00845CFC">
        <w:rPr>
          <w:rFonts w:ascii="Arial" w:hAnsi="Arial" w:cs="Arial"/>
          <w:b/>
          <w:bCs/>
          <w:szCs w:val="22"/>
        </w:rPr>
        <w:fldChar w:fldCharType="separate"/>
      </w:r>
      <w:r w:rsidR="00140AF9">
        <w:rPr>
          <w:rFonts w:ascii="Arial" w:hAnsi="Arial" w:cs="Arial"/>
          <w:b/>
          <w:bCs/>
          <w:noProof/>
          <w:szCs w:val="22"/>
        </w:rPr>
        <w:t>2</w:t>
      </w:r>
      <w:r w:rsidRPr="00845CFC">
        <w:rPr>
          <w:rFonts w:ascii="Arial" w:hAnsi="Arial" w:cs="Arial"/>
          <w:b/>
          <w:bCs/>
          <w:szCs w:val="22"/>
        </w:rPr>
        <w:fldChar w:fldCharType="end"/>
      </w:r>
      <w:bookmarkEnd w:id="9"/>
      <w:r w:rsidRPr="00845CFC">
        <w:rPr>
          <w:rFonts w:ascii="Arial" w:hAnsi="Arial" w:cs="Arial"/>
          <w:b/>
          <w:bCs/>
          <w:szCs w:val="22"/>
        </w:rPr>
        <w:t>. Standard Calibration Curves Utilized for the Quantification of Phytochemical Constituents and Antioxidant Capacity.</w:t>
      </w:r>
    </w:p>
    <w:p w14:paraId="015D97C0" w14:textId="77777777" w:rsidR="00F46F4D" w:rsidRPr="00950F4D" w:rsidRDefault="00F46F4D" w:rsidP="00B43865">
      <w:pPr>
        <w:pStyle w:val="Body"/>
        <w:numPr>
          <w:ilvl w:val="0"/>
          <w:numId w:val="35"/>
        </w:numPr>
        <w:tabs>
          <w:tab w:val="left" w:pos="90"/>
        </w:tabs>
        <w:spacing w:line="480" w:lineRule="auto"/>
        <w:ind w:left="450" w:hanging="450"/>
        <w:rPr>
          <w:rFonts w:ascii="Arial" w:hAnsi="Arial" w:cs="Arial"/>
          <w:b/>
          <w:sz w:val="22"/>
          <w:szCs w:val="22"/>
        </w:rPr>
      </w:pPr>
      <w:r w:rsidRPr="00950F4D">
        <w:rPr>
          <w:rFonts w:ascii="Arial" w:hAnsi="Arial" w:cs="Arial"/>
          <w:b/>
          <w:sz w:val="22"/>
          <w:szCs w:val="22"/>
        </w:rPr>
        <w:t>Anti-Hemolytic Activity Assay</w:t>
      </w:r>
    </w:p>
    <w:p w14:paraId="7E936143" w14:textId="77777777" w:rsidR="00F46F4D" w:rsidRPr="00F46F4D" w:rsidRDefault="00F46F4D" w:rsidP="00B43865">
      <w:pPr>
        <w:pStyle w:val="Body"/>
        <w:spacing w:line="480" w:lineRule="auto"/>
        <w:rPr>
          <w:rFonts w:ascii="Arial" w:hAnsi="Arial" w:cs="Arial"/>
        </w:rPr>
      </w:pPr>
      <w:r w:rsidRPr="00F46F4D">
        <w:rPr>
          <w:rFonts w:ascii="Arial" w:hAnsi="Arial" w:cs="Arial"/>
        </w:rPr>
        <w:t xml:space="preserve">The anti-hemolytic activity assay was established using a 100% hemolysis control as the reference for complete cell rupture, while the Negative Control defined the baseline for the induced hemolysis condition. A notable technical caveat was identified, where compound-hemoglobin interactions or enhanced cell lysis could potentially result in an absorbance value exceeding the negative control, a critical factor considered for evaluating any pro-hemolytic effects. All tested </w:t>
      </w:r>
      <w:r w:rsidRPr="00F46F4D">
        <w:rPr>
          <w:rFonts w:ascii="Arial" w:hAnsi="Arial" w:cs="Arial"/>
        </w:rPr>
        <w:lastRenderedPageBreak/>
        <w:t>agents demonstrated protective activity, with the Drug (Aspirin) exhibiting the maximum inhibition (54.29%). Among the plant extracts, Karela showed conventional dose-dependent protection (48.57% for the higher dose vs. 34.29% for the lower dose), whereas the Kakora extract displayed an inverse relationship, with the diluted sample yielding superior anti-hemolytic protection (45.71%) compared to the undiluted sample (40.00% inhibition), suggesting the presence of inhibitory or interfering agents at higher concentrations.</w:t>
      </w:r>
    </w:p>
    <w:p w14:paraId="7707303D" w14:textId="77777777" w:rsidR="00F46F4D" w:rsidRPr="00950F4D" w:rsidRDefault="00F46F4D" w:rsidP="00B43865">
      <w:pPr>
        <w:pStyle w:val="Body"/>
        <w:numPr>
          <w:ilvl w:val="0"/>
          <w:numId w:val="35"/>
        </w:numPr>
        <w:tabs>
          <w:tab w:val="left" w:pos="90"/>
        </w:tabs>
        <w:spacing w:line="480" w:lineRule="auto"/>
        <w:ind w:left="450" w:hanging="450"/>
        <w:rPr>
          <w:rFonts w:ascii="Arial" w:hAnsi="Arial" w:cs="Arial"/>
          <w:b/>
          <w:sz w:val="22"/>
          <w:szCs w:val="22"/>
        </w:rPr>
      </w:pPr>
      <w:r w:rsidRPr="00950F4D">
        <w:rPr>
          <w:rFonts w:ascii="Arial" w:hAnsi="Arial" w:cs="Arial"/>
          <w:b/>
          <w:sz w:val="22"/>
          <w:szCs w:val="22"/>
        </w:rPr>
        <w:t>DNA Protection Assay</w:t>
      </w:r>
    </w:p>
    <w:p w14:paraId="69D284ED" w14:textId="77777777" w:rsidR="00833B87" w:rsidRDefault="00F46F4D" w:rsidP="00B43865">
      <w:pPr>
        <w:pStyle w:val="Body"/>
        <w:spacing w:after="0" w:line="480" w:lineRule="auto"/>
        <w:rPr>
          <w:rFonts w:ascii="Arial" w:hAnsi="Arial" w:cs="Arial"/>
        </w:rPr>
      </w:pPr>
      <w:r w:rsidRPr="00F46F4D">
        <w:rPr>
          <w:rFonts w:ascii="Arial" w:hAnsi="Arial" w:cs="Arial"/>
        </w:rPr>
        <w:t>Agarose gel electrophoresis was used to assess the DNA protective and antioxidant capacity of Kakora (Spiny Gourd) and Karela (Bitter Gourd) extracts against oxidative stress induced by Fenton's reagent. Intact, high-molecular-weight DNA, visible as a bright band near the well in the Control (Lane 1), was largely absent in the Damaged DNA (Lane 2), confirming successful DNA fragmentation by the reagent. Both the positive control Drug (Aspirin) (Lane 5) and the Control displayed strong DNA integrity, showing clear, high-molecular-weight bands, thereby validating the assay. The Kakora extract (Lane 3) provided mild protection, indicated by the presence of a faint high-molecular-weight band, suggesting a partial scavenging effect against the reactive oxygen species. Conversely, the Karela extract (Lane 4) offered negligible protection, as its migration pattern closely mirrored that of the damaged DNA (Lane 2), indicating a lack of significant antioxidant activity under the experimental conditions (</w:t>
      </w:r>
      <w:r w:rsidR="00184D7B" w:rsidRPr="00184D7B">
        <w:rPr>
          <w:rFonts w:ascii="Arial" w:hAnsi="Arial" w:cs="Arial"/>
        </w:rPr>
        <w:fldChar w:fldCharType="begin"/>
      </w:r>
      <w:r w:rsidR="00184D7B" w:rsidRPr="00184D7B">
        <w:rPr>
          <w:rFonts w:ascii="Arial" w:hAnsi="Arial" w:cs="Arial"/>
        </w:rPr>
        <w:instrText xml:space="preserve"> REF _Ref216447229 \h  \* MERGEFORMAT </w:instrText>
      </w:r>
      <w:r w:rsidR="00184D7B" w:rsidRPr="00184D7B">
        <w:rPr>
          <w:rFonts w:ascii="Arial" w:hAnsi="Arial" w:cs="Arial"/>
        </w:rPr>
      </w:r>
      <w:r w:rsidR="00184D7B" w:rsidRPr="00184D7B">
        <w:rPr>
          <w:rFonts w:ascii="Arial" w:hAnsi="Arial" w:cs="Arial"/>
        </w:rPr>
        <w:fldChar w:fldCharType="separate"/>
      </w:r>
      <w:r w:rsidR="00184D7B" w:rsidRPr="00184D7B">
        <w:rPr>
          <w:rFonts w:ascii="Arial" w:hAnsi="Arial" w:cs="Arial"/>
          <w:bCs/>
          <w:szCs w:val="22"/>
        </w:rPr>
        <w:t>Fig. 3</w:t>
      </w:r>
      <w:r w:rsidR="00184D7B" w:rsidRPr="00184D7B">
        <w:rPr>
          <w:rFonts w:ascii="Arial" w:hAnsi="Arial" w:cs="Arial"/>
        </w:rPr>
        <w:fldChar w:fldCharType="end"/>
      </w:r>
      <w:r w:rsidRPr="00F46F4D">
        <w:rPr>
          <w:rFonts w:ascii="Arial" w:hAnsi="Arial" w:cs="Arial"/>
        </w:rPr>
        <w:t>).</w:t>
      </w:r>
    </w:p>
    <w:p w14:paraId="4C42602C" w14:textId="77777777" w:rsidR="00140AF9" w:rsidRDefault="00BB321D" w:rsidP="00B43865">
      <w:pPr>
        <w:pStyle w:val="Body"/>
        <w:keepNext/>
        <w:spacing w:after="0" w:line="480" w:lineRule="auto"/>
        <w:jc w:val="center"/>
      </w:pPr>
      <w:r>
        <w:rPr>
          <w:rFonts w:ascii="Arial" w:hAnsi="Arial" w:cs="Arial"/>
          <w:noProof/>
        </w:rPr>
        <w:drawing>
          <wp:inline distT="0" distB="0" distL="0" distR="0" wp14:anchorId="24A721E5" wp14:editId="3ACC0BDC">
            <wp:extent cx="1990725" cy="2818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lectrophoresis.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97407" cy="2828352"/>
                    </a:xfrm>
                    <a:prstGeom prst="rect">
                      <a:avLst/>
                    </a:prstGeom>
                  </pic:spPr>
                </pic:pic>
              </a:graphicData>
            </a:graphic>
          </wp:inline>
        </w:drawing>
      </w:r>
    </w:p>
    <w:p w14:paraId="29705D4A" w14:textId="77777777" w:rsidR="0065467A" w:rsidRPr="00140AF9" w:rsidRDefault="00140AF9" w:rsidP="00B43865">
      <w:pPr>
        <w:autoSpaceDE w:val="0"/>
        <w:autoSpaceDN w:val="0"/>
        <w:adjustRightInd w:val="0"/>
        <w:spacing w:line="480" w:lineRule="auto"/>
        <w:jc w:val="both"/>
        <w:rPr>
          <w:rFonts w:ascii="Arial" w:hAnsi="Arial" w:cs="Arial"/>
          <w:b/>
          <w:bCs/>
          <w:szCs w:val="22"/>
        </w:rPr>
      </w:pPr>
      <w:bookmarkStart w:id="10" w:name="_Ref216447229"/>
      <w:r w:rsidRPr="00140AF9">
        <w:rPr>
          <w:rFonts w:ascii="Arial" w:hAnsi="Arial" w:cs="Arial"/>
          <w:b/>
          <w:bCs/>
          <w:szCs w:val="22"/>
        </w:rPr>
        <w:t xml:space="preserve">Fig. </w:t>
      </w:r>
      <w:r w:rsidRPr="00140AF9">
        <w:rPr>
          <w:rFonts w:ascii="Arial" w:hAnsi="Arial" w:cs="Arial"/>
          <w:b/>
          <w:bCs/>
          <w:szCs w:val="22"/>
        </w:rPr>
        <w:fldChar w:fldCharType="begin"/>
      </w:r>
      <w:r w:rsidRPr="00140AF9">
        <w:rPr>
          <w:rFonts w:ascii="Arial" w:hAnsi="Arial" w:cs="Arial"/>
          <w:b/>
          <w:bCs/>
          <w:szCs w:val="22"/>
        </w:rPr>
        <w:instrText xml:space="preserve"> SEQ Fig. \* ARABIC </w:instrText>
      </w:r>
      <w:r w:rsidRPr="00140AF9">
        <w:rPr>
          <w:rFonts w:ascii="Arial" w:hAnsi="Arial" w:cs="Arial"/>
          <w:b/>
          <w:bCs/>
          <w:szCs w:val="22"/>
        </w:rPr>
        <w:fldChar w:fldCharType="separate"/>
      </w:r>
      <w:r w:rsidRPr="00140AF9">
        <w:rPr>
          <w:rFonts w:ascii="Arial" w:hAnsi="Arial" w:cs="Arial"/>
          <w:b/>
          <w:bCs/>
          <w:szCs w:val="22"/>
        </w:rPr>
        <w:t>3</w:t>
      </w:r>
      <w:r w:rsidRPr="00140AF9">
        <w:rPr>
          <w:rFonts w:ascii="Arial" w:hAnsi="Arial" w:cs="Arial"/>
          <w:b/>
          <w:bCs/>
          <w:szCs w:val="22"/>
        </w:rPr>
        <w:fldChar w:fldCharType="end"/>
      </w:r>
      <w:bookmarkEnd w:id="10"/>
      <w:r w:rsidRPr="00140AF9">
        <w:rPr>
          <w:rFonts w:ascii="Arial" w:hAnsi="Arial" w:cs="Arial"/>
          <w:b/>
          <w:bCs/>
          <w:szCs w:val="22"/>
        </w:rPr>
        <w:t>. Agarose Gel Electrophoresis Analysis of DNA Protection by Plant Extracts.</w:t>
      </w:r>
    </w:p>
    <w:p w14:paraId="56B7A989" w14:textId="77777777" w:rsidR="00790ADA" w:rsidRPr="00FB3A86" w:rsidRDefault="00790ADA" w:rsidP="00B43865">
      <w:pPr>
        <w:pStyle w:val="Body"/>
        <w:spacing w:after="0" w:line="480" w:lineRule="auto"/>
        <w:rPr>
          <w:rFonts w:ascii="Arial" w:hAnsi="Arial" w:cs="Arial"/>
        </w:rPr>
      </w:pPr>
    </w:p>
    <w:p w14:paraId="5EEFDBD0" w14:textId="77777777" w:rsidR="008F7BC8" w:rsidRDefault="004824F8" w:rsidP="00B43865">
      <w:pPr>
        <w:pStyle w:val="AbstHead"/>
        <w:numPr>
          <w:ilvl w:val="0"/>
          <w:numId w:val="37"/>
        </w:numPr>
        <w:spacing w:after="0" w:line="480" w:lineRule="auto"/>
        <w:ind w:left="360"/>
        <w:jc w:val="both"/>
        <w:rPr>
          <w:rFonts w:ascii="Arial" w:hAnsi="Arial" w:cs="Arial"/>
        </w:rPr>
      </w:pPr>
      <w:r>
        <w:rPr>
          <w:rFonts w:ascii="Arial" w:hAnsi="Arial" w:cs="Arial"/>
        </w:rPr>
        <w:lastRenderedPageBreak/>
        <w:t>DISCUSSION</w:t>
      </w:r>
    </w:p>
    <w:p w14:paraId="32D09BBF" w14:textId="77777777" w:rsidR="0016642A" w:rsidRDefault="0016642A" w:rsidP="00B43865">
      <w:pPr>
        <w:pStyle w:val="Body"/>
        <w:spacing w:after="0" w:line="480" w:lineRule="auto"/>
        <w:rPr>
          <w:rFonts w:ascii="Arial" w:hAnsi="Arial" w:cs="Arial"/>
        </w:rPr>
      </w:pPr>
      <w:r w:rsidRPr="00502516">
        <w:rPr>
          <w:rFonts w:ascii="Arial" w:hAnsi="Arial" w:cs="Arial"/>
        </w:rPr>
        <w:t>A brief acknowledgement section may be given after the conclusion section just before the references. The acknowledgments of people who provided assistance in manuscript preparation, funding for research, etc. should be listed in this section.</w:t>
      </w:r>
      <w:r>
        <w:rPr>
          <w:rFonts w:ascii="Arial" w:hAnsi="Arial" w:cs="Arial"/>
        </w:rPr>
        <w:t xml:space="preserve"> </w:t>
      </w:r>
      <w:r w:rsidRPr="001A29D8">
        <w:rPr>
          <w:rFonts w:ascii="Arial" w:hAnsi="Arial" w:cs="Arial"/>
        </w:rPr>
        <w:t>All sources of funding should be declared as an acknowledgement</w:t>
      </w:r>
      <w:r>
        <w:rPr>
          <w:rFonts w:ascii="Arial" w:hAnsi="Arial" w:cs="Arial"/>
        </w:rPr>
        <w:t xml:space="preserve">. </w:t>
      </w:r>
      <w:r w:rsidRPr="001A29D8">
        <w:rPr>
          <w:rFonts w:ascii="Arial" w:hAnsi="Arial" w:cs="Arial"/>
        </w:rPr>
        <w:t xml:space="preserve">Authors should declare the role of </w:t>
      </w:r>
      <w:r>
        <w:rPr>
          <w:rFonts w:ascii="Arial" w:hAnsi="Arial" w:cs="Arial"/>
        </w:rPr>
        <w:t>funding agency</w:t>
      </w:r>
      <w:r w:rsidRPr="001A29D8">
        <w:rPr>
          <w:rFonts w:ascii="Arial" w:hAnsi="Arial" w:cs="Arial"/>
        </w:rPr>
        <w:t xml:space="preserve">, if any, in the </w:t>
      </w:r>
      <w:r>
        <w:rPr>
          <w:rFonts w:ascii="Arial" w:hAnsi="Arial" w:cs="Arial"/>
        </w:rPr>
        <w:t xml:space="preserve">study design, </w:t>
      </w:r>
      <w:r w:rsidRPr="001A29D8">
        <w:rPr>
          <w:rFonts w:ascii="Arial" w:hAnsi="Arial" w:cs="Arial"/>
        </w:rPr>
        <w:t>collection, analysis and interpretation of data; i</w:t>
      </w:r>
      <w:r>
        <w:rPr>
          <w:rFonts w:ascii="Arial" w:hAnsi="Arial" w:cs="Arial"/>
        </w:rPr>
        <w:t>n the writing of the manuscript</w:t>
      </w:r>
      <w:r w:rsidRPr="001A29D8">
        <w:rPr>
          <w:rFonts w:ascii="Arial" w:hAnsi="Arial" w:cs="Arial"/>
        </w:rPr>
        <w:t>. If the study sponsors had no such involvement, the authors should so state.</w:t>
      </w:r>
    </w:p>
    <w:p w14:paraId="07F3B86B" w14:textId="77777777" w:rsidR="0016642A" w:rsidRPr="0016642A" w:rsidRDefault="0016642A" w:rsidP="00B43865">
      <w:pPr>
        <w:pStyle w:val="Body"/>
        <w:spacing w:line="480" w:lineRule="auto"/>
        <w:rPr>
          <w:rFonts w:ascii="Arial" w:hAnsi="Arial" w:cs="Arial"/>
        </w:rPr>
      </w:pPr>
      <w:r w:rsidRPr="0016642A">
        <w:rPr>
          <w:rFonts w:ascii="Arial" w:hAnsi="Arial" w:cs="Arial"/>
        </w:rPr>
        <w:t>The global health burden imposed by chronic degenerative diseases necessitates a strategic pivot towards leveraging accessible, nature-derived therapeutic agents, particularly within the field of cance</w:t>
      </w:r>
      <w:r w:rsidR="00456B0C">
        <w:rPr>
          <w:rFonts w:ascii="Arial" w:hAnsi="Arial" w:cs="Arial"/>
        </w:rPr>
        <w:t xml:space="preserve">r chemoprevention </w:t>
      </w:r>
      <w:r w:rsidR="00456B0C" w:rsidRPr="00456B0C">
        <w:rPr>
          <w:rFonts w:ascii="Arial" w:hAnsi="Arial" w:cs="Arial"/>
        </w:rPr>
        <w:t>(G et al., 2022</w:t>
      </w:r>
      <w:r w:rsidR="00456B0C">
        <w:rPr>
          <w:rFonts w:ascii="Arial" w:hAnsi="Arial" w:cs="Arial"/>
        </w:rPr>
        <w:t xml:space="preserve">; </w:t>
      </w:r>
      <w:r w:rsidR="00212EE6" w:rsidRPr="00212EE6">
        <w:rPr>
          <w:rFonts w:ascii="Arial" w:hAnsi="Arial" w:cs="Arial"/>
        </w:rPr>
        <w:t>Ma et al., 2021</w:t>
      </w:r>
      <w:r w:rsidR="00456B0C" w:rsidRPr="00456B0C">
        <w:rPr>
          <w:rFonts w:ascii="Arial" w:hAnsi="Arial" w:cs="Arial"/>
        </w:rPr>
        <w:t>)</w:t>
      </w:r>
      <w:r w:rsidR="00456B0C">
        <w:rPr>
          <w:rFonts w:ascii="Arial" w:hAnsi="Arial" w:cs="Arial"/>
        </w:rPr>
        <w:t xml:space="preserve">. </w:t>
      </w:r>
      <w:r w:rsidRPr="0016642A">
        <w:rPr>
          <w:rFonts w:ascii="Arial" w:hAnsi="Arial" w:cs="Arial"/>
        </w:rPr>
        <w:t xml:space="preserve">While </w:t>
      </w:r>
      <w:proofErr w:type="spellStart"/>
      <w:r w:rsidRPr="005142B4">
        <w:rPr>
          <w:rFonts w:ascii="Arial" w:hAnsi="Arial" w:cs="Arial"/>
          <w:i/>
        </w:rPr>
        <w:t>Momordica</w:t>
      </w:r>
      <w:proofErr w:type="spellEnd"/>
      <w:r w:rsidRPr="005142B4">
        <w:rPr>
          <w:rFonts w:ascii="Arial" w:hAnsi="Arial" w:cs="Arial"/>
          <w:i/>
        </w:rPr>
        <w:t xml:space="preserve"> </w:t>
      </w:r>
      <w:proofErr w:type="spellStart"/>
      <w:r w:rsidRPr="005142B4">
        <w:rPr>
          <w:rFonts w:ascii="Arial" w:hAnsi="Arial" w:cs="Arial"/>
          <w:i/>
        </w:rPr>
        <w:t>charantia</w:t>
      </w:r>
      <w:proofErr w:type="spellEnd"/>
      <w:r w:rsidRPr="0016642A">
        <w:rPr>
          <w:rFonts w:ascii="Arial" w:hAnsi="Arial" w:cs="Arial"/>
        </w:rPr>
        <w:t xml:space="preserve"> (Karela) is extensively documented for its diverse bioactivity, the closely related perennial species, </w:t>
      </w:r>
      <w:r w:rsidRPr="005142B4">
        <w:rPr>
          <w:rFonts w:ascii="Arial" w:hAnsi="Arial" w:cs="Arial"/>
          <w:i/>
        </w:rPr>
        <w:t>Momordica dioica</w:t>
      </w:r>
      <w:r w:rsidRPr="0016642A">
        <w:rPr>
          <w:rFonts w:ascii="Arial" w:hAnsi="Arial" w:cs="Arial"/>
        </w:rPr>
        <w:t xml:space="preserve"> (Kakora), remains significantly underutilized despite its traditional medicinal valu</w:t>
      </w:r>
      <w:r w:rsidR="009E12F7">
        <w:rPr>
          <w:rFonts w:ascii="Arial" w:hAnsi="Arial" w:cs="Arial"/>
        </w:rPr>
        <w:t>e and nutritional density</w:t>
      </w:r>
      <w:r w:rsidRPr="0016642A">
        <w:rPr>
          <w:rFonts w:ascii="Arial" w:hAnsi="Arial" w:cs="Arial"/>
        </w:rPr>
        <w:t xml:space="preserve">. This study addresses a critical gap by providing a head-to-head comparative analysis of the phytochemical profiles and corresponding bioactivities of crude fruit extracts from these two prominent </w:t>
      </w:r>
      <w:r w:rsidRPr="005142B4">
        <w:rPr>
          <w:rFonts w:ascii="Arial" w:hAnsi="Arial" w:cs="Arial"/>
          <w:i/>
        </w:rPr>
        <w:t>Momordica</w:t>
      </w:r>
      <w:r w:rsidRPr="0016642A">
        <w:rPr>
          <w:rFonts w:ascii="Arial" w:hAnsi="Arial" w:cs="Arial"/>
        </w:rPr>
        <w:t xml:space="preserve"> species, establishing a foundation for the therapeutic validation of </w:t>
      </w:r>
      <w:r w:rsidRPr="005142B4">
        <w:rPr>
          <w:rFonts w:ascii="Arial" w:hAnsi="Arial" w:cs="Arial"/>
          <w:i/>
        </w:rPr>
        <w:t>M. dioica</w:t>
      </w:r>
      <w:r w:rsidRPr="0016642A">
        <w:rPr>
          <w:rFonts w:ascii="Arial" w:hAnsi="Arial" w:cs="Arial"/>
        </w:rPr>
        <w:t xml:space="preserve"> (Kakora). </w:t>
      </w:r>
    </w:p>
    <w:p w14:paraId="2BF6A608" w14:textId="1B3E5F8D" w:rsidR="0016642A" w:rsidRPr="00985C27" w:rsidRDefault="0016642A" w:rsidP="00B43865">
      <w:pPr>
        <w:pStyle w:val="Body"/>
        <w:spacing w:line="480" w:lineRule="auto"/>
        <w:rPr>
          <w:rFonts w:ascii="Arial" w:hAnsi="Arial" w:cs="Arial"/>
        </w:rPr>
      </w:pPr>
      <w:r w:rsidRPr="00985C27">
        <w:rPr>
          <w:rFonts w:ascii="Arial" w:hAnsi="Arial" w:cs="Arial"/>
        </w:rPr>
        <w:t xml:space="preserve">Our findings reveal distinct phytochemical signatures between the species, challenging the assumption that closely related plants necessarily possess similar chemotypes. </w:t>
      </w:r>
      <w:r w:rsidRPr="00985C27">
        <w:rPr>
          <w:rFonts w:ascii="Arial" w:hAnsi="Arial" w:cs="Arial"/>
          <w:i/>
        </w:rPr>
        <w:t>M. dioica</w:t>
      </w:r>
      <w:r w:rsidRPr="00985C27">
        <w:rPr>
          <w:rFonts w:ascii="Arial" w:hAnsi="Arial" w:cs="Arial"/>
        </w:rPr>
        <w:t xml:space="preserve"> exhibited significantly higher total phenolic content (TPC) and total alkaloid content compared to </w:t>
      </w:r>
      <w:r w:rsidRPr="00985C27">
        <w:rPr>
          <w:rFonts w:ascii="Arial" w:hAnsi="Arial" w:cs="Arial"/>
          <w:i/>
        </w:rPr>
        <w:t xml:space="preserve">M. </w:t>
      </w:r>
      <w:proofErr w:type="spellStart"/>
      <w:r w:rsidRPr="00985C27">
        <w:rPr>
          <w:rFonts w:ascii="Arial" w:hAnsi="Arial" w:cs="Arial"/>
          <w:i/>
        </w:rPr>
        <w:t>charantia</w:t>
      </w:r>
      <w:proofErr w:type="spellEnd"/>
      <w:r w:rsidRPr="00985C27">
        <w:rPr>
          <w:rFonts w:ascii="Arial" w:hAnsi="Arial" w:cs="Arial"/>
        </w:rPr>
        <w:t xml:space="preserve">. This high TPC is in agreement with existing literature that often reports Kakora as a rich source of non-flavonoid phenolics, such as cinnamic acid derivatives </w:t>
      </w:r>
      <w:r w:rsidR="000700EC" w:rsidRPr="00985C27">
        <w:rPr>
          <w:rFonts w:ascii="Arial" w:hAnsi="Arial" w:cs="Arial"/>
        </w:rPr>
        <w:t>(</w:t>
      </w:r>
      <w:proofErr w:type="spellStart"/>
      <w:r w:rsidR="000700EC" w:rsidRPr="00985C27">
        <w:rPr>
          <w:rFonts w:ascii="Arial" w:hAnsi="Arial" w:cs="Arial"/>
        </w:rPr>
        <w:t>Sarwade</w:t>
      </w:r>
      <w:proofErr w:type="spellEnd"/>
      <w:r w:rsidR="000700EC" w:rsidRPr="00985C27">
        <w:rPr>
          <w:rFonts w:ascii="Arial" w:hAnsi="Arial" w:cs="Arial"/>
        </w:rPr>
        <w:t xml:space="preserve"> et al., 2025)</w:t>
      </w:r>
      <w:r w:rsidRPr="00985C27">
        <w:rPr>
          <w:rFonts w:ascii="Arial" w:hAnsi="Arial" w:cs="Arial"/>
        </w:rPr>
        <w:t>.</w:t>
      </w:r>
      <w:r w:rsidR="00B46C24" w:rsidRPr="00985C27">
        <w:t xml:space="preserve"> </w:t>
      </w:r>
      <w:r w:rsidR="00B46C24" w:rsidRPr="00985C27">
        <w:rPr>
          <w:rFonts w:ascii="Arial" w:hAnsi="Arial" w:cs="Arial"/>
        </w:rPr>
        <w:t>While qualitative screening using the Ferric Chloride Test (</w:t>
      </w:r>
      <w:r w:rsidR="00985C27" w:rsidRPr="00985C27">
        <w:rPr>
          <w:rFonts w:ascii="Arial" w:hAnsi="Arial" w:cs="Arial"/>
        </w:rPr>
        <w:fldChar w:fldCharType="begin"/>
      </w:r>
      <w:r w:rsidR="00985C27" w:rsidRPr="00985C27">
        <w:rPr>
          <w:rFonts w:ascii="Arial" w:hAnsi="Arial" w:cs="Arial"/>
        </w:rPr>
        <w:instrText xml:space="preserve"> REF _Ref216445143 \h </w:instrText>
      </w:r>
      <w:r w:rsidR="00985C27" w:rsidRPr="00985C27">
        <w:rPr>
          <w:rFonts w:ascii="Arial" w:hAnsi="Arial" w:cs="Arial"/>
        </w:rPr>
      </w:r>
      <w:r w:rsidR="00985C27" w:rsidRPr="00985C27">
        <w:rPr>
          <w:rFonts w:ascii="Arial" w:hAnsi="Arial" w:cs="Arial"/>
        </w:rPr>
        <w:instrText xml:space="preserve"> \* MERGEFORMAT </w:instrText>
      </w:r>
      <w:r w:rsidR="00985C27" w:rsidRPr="00985C27">
        <w:rPr>
          <w:rFonts w:ascii="Arial" w:hAnsi="Arial" w:cs="Arial"/>
        </w:rPr>
        <w:fldChar w:fldCharType="separate"/>
      </w:r>
      <w:r w:rsidR="00985C27" w:rsidRPr="00985C27">
        <w:rPr>
          <w:rFonts w:ascii="Arial" w:hAnsi="Arial"/>
        </w:rPr>
        <w:t xml:space="preserve">Table </w:t>
      </w:r>
      <w:r w:rsidR="00985C27" w:rsidRPr="00985C27">
        <w:rPr>
          <w:rFonts w:ascii="Arial" w:hAnsi="Arial"/>
          <w:noProof/>
        </w:rPr>
        <w:t>3</w:t>
      </w:r>
      <w:r w:rsidR="00985C27" w:rsidRPr="00985C27">
        <w:rPr>
          <w:rFonts w:ascii="Arial" w:hAnsi="Arial" w:cs="Arial"/>
        </w:rPr>
        <w:fldChar w:fldCharType="end"/>
      </w:r>
      <w:r w:rsidR="00B46C24" w:rsidRPr="00985C27">
        <w:rPr>
          <w:rFonts w:ascii="Arial" w:hAnsi="Arial" w:cs="Arial"/>
        </w:rPr>
        <w:t xml:space="preserve">) did not yield a detectable color change for polyphenols in either extract, subsequent quantitative analysis via the Folin-Ciocalteu (FC) assay confirmed the presence of phenolic compounds in both species. This apparent discrepancy is attributed to the inherent sensitivity limits of the qualitative Ferric Chloride method, which may fail to detect polyphenols at lower concentrations or specific structural orientations present in crude methanolic extracts. In contrast, the spectrophotometric FC assay, which measures the total reducing </w:t>
      </w:r>
      <w:r w:rsidR="00B46C24" w:rsidRPr="00DB6BF4">
        <w:rPr>
          <w:rFonts w:ascii="Arial" w:hAnsi="Arial" w:cs="Arial"/>
        </w:rPr>
        <w:t xml:space="preserve">capacity relative to a gallic acid standard, provided a high-precision quantification of the </w:t>
      </w:r>
      <w:r w:rsidR="00FB44BA">
        <w:rPr>
          <w:rFonts w:ascii="Arial" w:hAnsi="Arial" w:cs="Arial"/>
        </w:rPr>
        <w:t>TPC</w:t>
      </w:r>
      <w:r w:rsidR="00B85EFB" w:rsidRPr="00DB6BF4">
        <w:rPr>
          <w:rFonts w:ascii="Arial" w:hAnsi="Arial" w:cs="Arial"/>
        </w:rPr>
        <w:t xml:space="preserve"> (</w:t>
      </w:r>
      <w:r w:rsidR="003759D3" w:rsidRPr="00DB6BF4">
        <w:rPr>
          <w:rFonts w:ascii="Arial" w:hAnsi="Arial" w:cs="Arial"/>
        </w:rPr>
        <w:fldChar w:fldCharType="begin"/>
      </w:r>
      <w:r w:rsidR="003759D3" w:rsidRPr="00DB6BF4">
        <w:rPr>
          <w:rFonts w:ascii="Arial" w:hAnsi="Arial" w:cs="Arial"/>
        </w:rPr>
        <w:instrText xml:space="preserve"> REF _Ref216446883 \h </w:instrText>
      </w:r>
      <w:r w:rsidR="003759D3" w:rsidRPr="00DB6BF4">
        <w:rPr>
          <w:rFonts w:ascii="Arial" w:hAnsi="Arial" w:cs="Arial"/>
        </w:rPr>
      </w:r>
      <w:r w:rsidR="00DB6BF4" w:rsidRPr="00DB6BF4">
        <w:rPr>
          <w:rFonts w:ascii="Arial" w:hAnsi="Arial" w:cs="Arial"/>
        </w:rPr>
        <w:instrText xml:space="preserve"> \* MERGEFORMAT </w:instrText>
      </w:r>
      <w:r w:rsidR="003759D3" w:rsidRPr="00DB6BF4">
        <w:rPr>
          <w:rFonts w:ascii="Arial" w:hAnsi="Arial" w:cs="Arial"/>
        </w:rPr>
        <w:fldChar w:fldCharType="separate"/>
      </w:r>
      <w:r w:rsidR="003759D3" w:rsidRPr="00DB6BF4">
        <w:rPr>
          <w:rFonts w:ascii="Arial" w:hAnsi="Arial"/>
        </w:rPr>
        <w:t xml:space="preserve">Table </w:t>
      </w:r>
      <w:r w:rsidR="003759D3" w:rsidRPr="00DB6BF4">
        <w:rPr>
          <w:rFonts w:ascii="Arial" w:hAnsi="Arial"/>
          <w:noProof/>
        </w:rPr>
        <w:t>5</w:t>
      </w:r>
      <w:r w:rsidR="003759D3" w:rsidRPr="00DB6BF4">
        <w:rPr>
          <w:rFonts w:ascii="Arial" w:hAnsi="Arial" w:cs="Arial"/>
        </w:rPr>
        <w:fldChar w:fldCharType="end"/>
      </w:r>
      <w:r w:rsidR="00B85EFB" w:rsidRPr="00DB6BF4">
        <w:rPr>
          <w:rFonts w:ascii="Arial" w:hAnsi="Arial" w:cs="Arial"/>
        </w:rPr>
        <w:t>)</w:t>
      </w:r>
      <w:r w:rsidR="00F17EBC" w:rsidRPr="00DB6BF4">
        <w:rPr>
          <w:rFonts w:ascii="Arial" w:hAnsi="Arial" w:cs="Arial"/>
        </w:rPr>
        <w:t>.</w:t>
      </w:r>
      <w:r w:rsidR="00B46C24" w:rsidRPr="00985C27">
        <w:rPr>
          <w:rFonts w:ascii="Arial" w:hAnsi="Arial" w:cs="Arial"/>
        </w:rPr>
        <w:t xml:space="preserve"> These quantitative results validate the presence of phenolics and align with the observed antioxidant bioactivities of the extracts. </w:t>
      </w:r>
      <w:r w:rsidRPr="00985C27">
        <w:rPr>
          <w:rFonts w:ascii="Arial" w:hAnsi="Arial" w:cs="Arial"/>
        </w:rPr>
        <w:t xml:space="preserve"> Conversely, Karela demonstrated a significantly higher total flavonoid content (TFC) than Kakora. Flavonoids are well-known chelating agents and radical scavengers, often correlating strongly with specific antioxidant mechanisms </w:t>
      </w:r>
      <w:r w:rsidR="004F0541" w:rsidRPr="00985C27">
        <w:rPr>
          <w:rFonts w:ascii="Arial" w:hAnsi="Arial" w:cs="Arial"/>
        </w:rPr>
        <w:t>(Rani, 2024)</w:t>
      </w:r>
      <w:r w:rsidRPr="00985C27">
        <w:rPr>
          <w:rFonts w:ascii="Arial" w:hAnsi="Arial" w:cs="Arial"/>
        </w:rPr>
        <w:t xml:space="preserve">. The elevated alkaloid content in Kakora, while contributing to the overall chemical richness, prompts further isolation and purification efforts to identify the specific alkaloid class responsible, as these compounds are powerful pharmacological agents </w:t>
      </w:r>
      <w:r w:rsidR="00A761D4" w:rsidRPr="00985C27">
        <w:rPr>
          <w:rFonts w:ascii="Arial" w:hAnsi="Arial" w:cs="Arial"/>
        </w:rPr>
        <w:t xml:space="preserve">(K. </w:t>
      </w:r>
      <w:proofErr w:type="spellStart"/>
      <w:r w:rsidR="00A761D4" w:rsidRPr="00985C27">
        <w:rPr>
          <w:rFonts w:ascii="Arial" w:hAnsi="Arial" w:cs="Arial"/>
        </w:rPr>
        <w:t>Dakhure</w:t>
      </w:r>
      <w:proofErr w:type="spellEnd"/>
      <w:r w:rsidR="00A761D4" w:rsidRPr="00985C27">
        <w:rPr>
          <w:rFonts w:ascii="Arial" w:hAnsi="Arial" w:cs="Arial"/>
        </w:rPr>
        <w:t xml:space="preserve"> &amp; D. </w:t>
      </w:r>
      <w:proofErr w:type="spellStart"/>
      <w:r w:rsidR="00A761D4" w:rsidRPr="00985C27">
        <w:rPr>
          <w:rFonts w:ascii="Arial" w:hAnsi="Arial" w:cs="Arial"/>
        </w:rPr>
        <w:t>Gachande</w:t>
      </w:r>
      <w:proofErr w:type="spellEnd"/>
      <w:r w:rsidR="00A761D4" w:rsidRPr="00985C27">
        <w:rPr>
          <w:rFonts w:ascii="Arial" w:hAnsi="Arial" w:cs="Arial"/>
        </w:rPr>
        <w:t>, 2021</w:t>
      </w:r>
      <w:r w:rsidR="00953B92">
        <w:rPr>
          <w:rFonts w:ascii="Arial" w:hAnsi="Arial" w:cs="Arial"/>
        </w:rPr>
        <w:t xml:space="preserve">, </w:t>
      </w:r>
      <w:proofErr w:type="spellStart"/>
      <w:r w:rsidR="00754068">
        <w:rPr>
          <w:rFonts w:ascii="Arial" w:hAnsi="Arial" w:cs="Arial"/>
        </w:rPr>
        <w:t>Zahan</w:t>
      </w:r>
      <w:proofErr w:type="spellEnd"/>
      <w:r w:rsidR="002D4AE1">
        <w:rPr>
          <w:rFonts w:ascii="Arial" w:hAnsi="Arial" w:cs="Arial"/>
        </w:rPr>
        <w:t xml:space="preserve"> et al., 2020</w:t>
      </w:r>
      <w:r w:rsidR="00A761D4" w:rsidRPr="00985C27">
        <w:rPr>
          <w:rFonts w:ascii="Arial" w:hAnsi="Arial" w:cs="Arial"/>
        </w:rPr>
        <w:t>)</w:t>
      </w:r>
      <w:r w:rsidRPr="00985C27">
        <w:rPr>
          <w:rFonts w:ascii="Arial" w:hAnsi="Arial" w:cs="Arial"/>
        </w:rPr>
        <w:t xml:space="preserve">. </w:t>
      </w:r>
      <w:r w:rsidR="00933926" w:rsidRPr="00933926">
        <w:rPr>
          <w:rFonts w:ascii="Arial" w:hAnsi="Arial" w:cs="Arial"/>
        </w:rPr>
        <w:t xml:space="preserve">The phytochemical profile of </w:t>
      </w:r>
      <w:proofErr w:type="spellStart"/>
      <w:r w:rsidR="00933926" w:rsidRPr="00933926">
        <w:rPr>
          <w:rFonts w:ascii="Arial" w:hAnsi="Arial" w:cs="Arial"/>
        </w:rPr>
        <w:t>Momordica</w:t>
      </w:r>
      <w:proofErr w:type="spellEnd"/>
      <w:r w:rsidR="00933926" w:rsidRPr="00933926">
        <w:rPr>
          <w:rFonts w:ascii="Arial" w:hAnsi="Arial" w:cs="Arial"/>
        </w:rPr>
        <w:t xml:space="preserve"> species is known to vary significantly across different plant parts. Our findings on the fruit extracts align with and </w:t>
      </w:r>
      <w:r w:rsidR="00933926" w:rsidRPr="00933926">
        <w:rPr>
          <w:rFonts w:ascii="Arial" w:hAnsi="Arial" w:cs="Arial"/>
        </w:rPr>
        <w:lastRenderedPageBreak/>
        <w:t xml:space="preserve">complement recent studies on other vegetative tissues; for instance, </w:t>
      </w:r>
      <w:proofErr w:type="spellStart"/>
      <w:r w:rsidR="00933926" w:rsidRPr="00933926">
        <w:rPr>
          <w:rFonts w:ascii="Arial" w:hAnsi="Arial" w:cs="Arial"/>
        </w:rPr>
        <w:t>Oloruntola</w:t>
      </w:r>
      <w:proofErr w:type="spellEnd"/>
      <w:r w:rsidR="00933926" w:rsidRPr="00933926">
        <w:rPr>
          <w:rFonts w:ascii="Arial" w:hAnsi="Arial" w:cs="Arial"/>
        </w:rPr>
        <w:t xml:space="preserve"> et al. (2021) reported substantial levels of phenols (21.04 mg/g) and flavonoids (225.64 mg/g) in </w:t>
      </w:r>
      <w:r w:rsidR="00933926" w:rsidRPr="00240C89">
        <w:rPr>
          <w:rFonts w:ascii="Arial" w:hAnsi="Arial" w:cs="Arial"/>
          <w:i/>
        </w:rPr>
        <w:t xml:space="preserve">M. </w:t>
      </w:r>
      <w:proofErr w:type="spellStart"/>
      <w:r w:rsidR="00933926" w:rsidRPr="00240C89">
        <w:rPr>
          <w:rFonts w:ascii="Arial" w:hAnsi="Arial" w:cs="Arial"/>
          <w:i/>
        </w:rPr>
        <w:t>charantia</w:t>
      </w:r>
      <w:proofErr w:type="spellEnd"/>
      <w:r w:rsidR="00933926" w:rsidRPr="00933926">
        <w:rPr>
          <w:rFonts w:ascii="Arial" w:hAnsi="Arial" w:cs="Arial"/>
        </w:rPr>
        <w:t xml:space="preserve"> leaf powder, alongside significant antioxidant activity. Interestingly, while our study observed a lower range of total phenolics in the methanolic fruit extracts, the flavonoid concentration in </w:t>
      </w:r>
      <w:r w:rsidR="00933926" w:rsidRPr="00CA4591">
        <w:rPr>
          <w:rFonts w:ascii="Arial" w:hAnsi="Arial" w:cs="Arial"/>
          <w:i/>
        </w:rPr>
        <w:t xml:space="preserve">M. </w:t>
      </w:r>
      <w:proofErr w:type="spellStart"/>
      <w:r w:rsidR="00933926" w:rsidRPr="00CA4591">
        <w:rPr>
          <w:rFonts w:ascii="Arial" w:hAnsi="Arial" w:cs="Arial"/>
          <w:i/>
        </w:rPr>
        <w:t>charantia</w:t>
      </w:r>
      <w:proofErr w:type="spellEnd"/>
      <w:r w:rsidR="00933926" w:rsidRPr="00933926">
        <w:rPr>
          <w:rFonts w:ascii="Arial" w:hAnsi="Arial" w:cs="Arial"/>
        </w:rPr>
        <w:t xml:space="preserve"> fruit was notably higher than that reported for the leaves. This comparison suggests that while the leaves are potent sources of ph</w:t>
      </w:r>
      <w:r w:rsidR="00CA4591">
        <w:rPr>
          <w:rFonts w:ascii="Arial" w:hAnsi="Arial" w:cs="Arial"/>
        </w:rPr>
        <w:t xml:space="preserve">enolic antioxidants, the fruits, </w:t>
      </w:r>
      <w:r w:rsidR="00933926" w:rsidRPr="00933926">
        <w:rPr>
          <w:rFonts w:ascii="Arial" w:hAnsi="Arial" w:cs="Arial"/>
        </w:rPr>
        <w:t xml:space="preserve">particularly those of </w:t>
      </w:r>
      <w:r w:rsidR="00933926" w:rsidRPr="00CA4591">
        <w:rPr>
          <w:rFonts w:ascii="Arial" w:hAnsi="Arial" w:cs="Arial"/>
          <w:i/>
        </w:rPr>
        <w:t xml:space="preserve">M. </w:t>
      </w:r>
      <w:proofErr w:type="spellStart"/>
      <w:r w:rsidR="00933926" w:rsidRPr="00CA4591">
        <w:rPr>
          <w:rFonts w:ascii="Arial" w:hAnsi="Arial" w:cs="Arial"/>
          <w:i/>
        </w:rPr>
        <w:t>dioica</w:t>
      </w:r>
      <w:proofErr w:type="spellEnd"/>
      <w:r w:rsidR="00B25268">
        <w:rPr>
          <w:rFonts w:ascii="Arial" w:hAnsi="Arial" w:cs="Arial"/>
        </w:rPr>
        <w:t xml:space="preserve"> as demonstrated in this study, </w:t>
      </w:r>
      <w:r w:rsidR="00933926" w:rsidRPr="00933926">
        <w:rPr>
          <w:rFonts w:ascii="Arial" w:hAnsi="Arial" w:cs="Arial"/>
        </w:rPr>
        <w:t xml:space="preserve">possess specialized phytochemical compositions that contribute to their superior functional bioactivities, such as DNA protection. Incorporating these cross-tissue perspectives underscores the holistic therapeutic potential of the </w:t>
      </w:r>
      <w:proofErr w:type="spellStart"/>
      <w:r w:rsidR="00933926" w:rsidRPr="005C4CCD">
        <w:rPr>
          <w:rFonts w:ascii="Arial" w:hAnsi="Arial" w:cs="Arial"/>
          <w:i/>
        </w:rPr>
        <w:t>Momordica</w:t>
      </w:r>
      <w:proofErr w:type="spellEnd"/>
      <w:r w:rsidR="00933926" w:rsidRPr="005C4CCD">
        <w:rPr>
          <w:rFonts w:ascii="Arial" w:hAnsi="Arial" w:cs="Arial"/>
          <w:i/>
        </w:rPr>
        <w:t xml:space="preserve"> </w:t>
      </w:r>
      <w:r w:rsidR="00933926" w:rsidRPr="00933926">
        <w:rPr>
          <w:rFonts w:ascii="Arial" w:hAnsi="Arial" w:cs="Arial"/>
        </w:rPr>
        <w:t>genus.</w:t>
      </w:r>
      <w:r w:rsidR="00A5184E">
        <w:rPr>
          <w:rFonts w:ascii="Arial" w:hAnsi="Arial" w:cs="Arial"/>
        </w:rPr>
        <w:t xml:space="preserve"> </w:t>
      </w:r>
      <w:r w:rsidRPr="00985C27">
        <w:rPr>
          <w:rFonts w:ascii="Arial" w:hAnsi="Arial" w:cs="Arial"/>
        </w:rPr>
        <w:t>The comparative analysis of antioxidant activity yielded divergent results depending on the assay utilized, underscoring the necessity of employing multiple mechanistic methods. Kakora displayed a significantly higher Total A</w:t>
      </w:r>
      <w:r w:rsidR="00176BEF" w:rsidRPr="00985C27">
        <w:rPr>
          <w:rFonts w:ascii="Arial" w:hAnsi="Arial" w:cs="Arial"/>
        </w:rPr>
        <w:t>ntioxidant Capacity (TAC)</w:t>
      </w:r>
      <w:r w:rsidRPr="00985C27">
        <w:rPr>
          <w:rFonts w:ascii="Arial" w:hAnsi="Arial" w:cs="Arial"/>
        </w:rPr>
        <w:t xml:space="preserve">, suggesting a superior ability to reduce oxidants, which is often characteristic of compounds rich in total phenolics (high TPC). Conversely, Karela demonstrated significantly higher activity in the Ferric Reducing Antioxidant Power (FRAP) assay. This discrepancy can be attributed to the different chemical reactions measured: TAC assesses the total reducing power via a single-electron transfer (SET) mechanism, while FRAP primarily measures the capacity to reduce ferric ions, a reaction often driven effectively by specific structural features found abundantly in flavonoids (high TFC). The findings align with established principles where TPC often correlates highly with SET-based assays (like TAC), and TFC often drives mechanisms requiring specific molecular orientation, such as the FRAP assay. The observation that both species possess substantial, albeit mechanistically distinct, antioxidant potential supports the view of dietary phytochemicals as primary tools in mitigating oxidative stress and chronic disease initiation </w:t>
      </w:r>
      <w:r w:rsidR="00F06F40" w:rsidRPr="00985C27">
        <w:rPr>
          <w:rFonts w:ascii="Arial" w:hAnsi="Arial" w:cs="Arial"/>
        </w:rPr>
        <w:t xml:space="preserve">(Hassan et al., 2022; </w:t>
      </w:r>
      <w:r w:rsidR="00545949" w:rsidRPr="00985C27">
        <w:rPr>
          <w:rFonts w:ascii="Arial" w:hAnsi="Arial" w:cs="Arial"/>
        </w:rPr>
        <w:t>G et al., 2022</w:t>
      </w:r>
      <w:r w:rsidR="00F06F40" w:rsidRPr="00985C27">
        <w:rPr>
          <w:rFonts w:ascii="Arial" w:hAnsi="Arial" w:cs="Arial"/>
        </w:rPr>
        <w:t>)</w:t>
      </w:r>
      <w:r w:rsidRPr="00985C27">
        <w:rPr>
          <w:rFonts w:ascii="Arial" w:hAnsi="Arial" w:cs="Arial"/>
        </w:rPr>
        <w:t xml:space="preserve">. The anti-hemolytic activity of both extracts indicates their capacity to stabilize red blood cell membranes against oxidative damage, a proxy for in vivo cellular protection. Karela exhibited a conventional dose-dependent protection, with higher concentrations providing greater stability. However, the Kakora extract displayed an unusual inverse relationship, where the diluted sample performed superiorly to the undiluted sample. This phenomenon is not uncommon in complex crude extracts and suggests that higher concentrations of the extract may contain compounds that become inhibitory, pro-oxidant, or interfere with membrane stability when saturated, thus suppressing the beneficial effects of the protective compounds </w:t>
      </w:r>
      <w:r w:rsidR="00694555" w:rsidRPr="00985C27">
        <w:rPr>
          <w:rFonts w:ascii="Arial" w:hAnsi="Arial" w:cs="Arial"/>
        </w:rPr>
        <w:t>(</w:t>
      </w:r>
      <w:proofErr w:type="spellStart"/>
      <w:r w:rsidR="00694555" w:rsidRPr="00985C27">
        <w:rPr>
          <w:rFonts w:ascii="Arial" w:hAnsi="Arial" w:cs="Arial"/>
        </w:rPr>
        <w:t>Rafieian-Kopaei</w:t>
      </w:r>
      <w:proofErr w:type="spellEnd"/>
      <w:r w:rsidR="00694555" w:rsidRPr="00985C27">
        <w:rPr>
          <w:rFonts w:ascii="Arial" w:hAnsi="Arial" w:cs="Arial"/>
        </w:rPr>
        <w:t xml:space="preserve"> et al., 2013)</w:t>
      </w:r>
      <w:r w:rsidRPr="00985C27">
        <w:rPr>
          <w:rFonts w:ascii="Arial" w:hAnsi="Arial" w:cs="Arial"/>
        </w:rPr>
        <w:t xml:space="preserve">. This complexity highlights the limitations of using crude extracts and emphasizes the urgent need for fractionation to isolate the specific compounds responsible for the protective effect. Crucially, the DNA protection assay demonstrated a significant advantage for the Kakora extract. While Karela offered negligible protection against the Fenton's reagent-induced oxidative stress, Kakora provided mild but detectable DNA integrity protection. This superior ability to scavenge reactive oxygen species and prevent DNA strand breaks directly correlates with a higher potential for cancer chemoprevention </w:t>
      </w:r>
      <w:r w:rsidR="000B6C83" w:rsidRPr="00985C27">
        <w:rPr>
          <w:rFonts w:ascii="Arial" w:hAnsi="Arial" w:cs="Arial"/>
        </w:rPr>
        <w:t xml:space="preserve">(G et al., 2022; Ma et </w:t>
      </w:r>
      <w:r w:rsidR="000B6C83" w:rsidRPr="00985C27">
        <w:rPr>
          <w:rFonts w:ascii="Arial" w:hAnsi="Arial" w:cs="Arial"/>
        </w:rPr>
        <w:lastRenderedPageBreak/>
        <w:t>al., 2021)</w:t>
      </w:r>
      <w:r w:rsidRPr="00985C27">
        <w:rPr>
          <w:rFonts w:ascii="Arial" w:hAnsi="Arial" w:cs="Arial"/>
        </w:rPr>
        <w:t xml:space="preserve">. Preserving genomic integrity is a fundamental mechanism for disrupting the initiation phase of carcinogenesis </w:t>
      </w:r>
      <w:r w:rsidR="001A7DF4" w:rsidRPr="00985C27">
        <w:rPr>
          <w:rFonts w:ascii="Arial" w:hAnsi="Arial" w:cs="Arial"/>
        </w:rPr>
        <w:t>(</w:t>
      </w:r>
      <w:proofErr w:type="spellStart"/>
      <w:r w:rsidR="001A7DF4" w:rsidRPr="00985C27">
        <w:rPr>
          <w:rFonts w:ascii="Arial" w:hAnsi="Arial" w:cs="Arial"/>
        </w:rPr>
        <w:t>Koorstra</w:t>
      </w:r>
      <w:proofErr w:type="spellEnd"/>
      <w:r w:rsidR="001A7DF4" w:rsidRPr="00985C27">
        <w:rPr>
          <w:rFonts w:ascii="Arial" w:hAnsi="Arial" w:cs="Arial"/>
        </w:rPr>
        <w:t xml:space="preserve"> et al., 2008)</w:t>
      </w:r>
      <w:r w:rsidRPr="00985C27">
        <w:rPr>
          <w:rFonts w:ascii="Arial" w:hAnsi="Arial" w:cs="Arial"/>
        </w:rPr>
        <w:t xml:space="preserve">. The fact that Kakora showed superior activity in this functional endpoint, despite having lower TFC and FRAP values, suggests that its specific complement of non-flavonoid phenolics and alkaloids are highly efficient radical scavengers in situ against the hydroxyl radical generated by the Fenton's reaction </w:t>
      </w:r>
      <w:r w:rsidR="00125513" w:rsidRPr="00985C27">
        <w:rPr>
          <w:rFonts w:ascii="Arial" w:hAnsi="Arial" w:cs="Arial"/>
        </w:rPr>
        <w:t>(</w:t>
      </w:r>
      <w:proofErr w:type="spellStart"/>
      <w:r w:rsidR="00125513" w:rsidRPr="00985C27">
        <w:rPr>
          <w:rFonts w:ascii="Arial" w:hAnsi="Arial" w:cs="Arial"/>
        </w:rPr>
        <w:t>Sarwade</w:t>
      </w:r>
      <w:proofErr w:type="spellEnd"/>
      <w:r w:rsidR="00125513" w:rsidRPr="00985C27">
        <w:rPr>
          <w:rFonts w:ascii="Arial" w:hAnsi="Arial" w:cs="Arial"/>
        </w:rPr>
        <w:t xml:space="preserve"> et al., 2025)</w:t>
      </w:r>
      <w:r w:rsidRPr="00985C27">
        <w:rPr>
          <w:rFonts w:ascii="Arial" w:hAnsi="Arial" w:cs="Arial"/>
        </w:rPr>
        <w:t>. This warrants further investigation into the structural characteristics of the Kakora components that confer this specific protection.</w:t>
      </w:r>
    </w:p>
    <w:p w14:paraId="304C4D7C" w14:textId="77777777" w:rsidR="0016642A" w:rsidRDefault="0016642A" w:rsidP="00B43865">
      <w:pPr>
        <w:pStyle w:val="Body"/>
        <w:spacing w:after="0" w:line="480" w:lineRule="auto"/>
        <w:rPr>
          <w:rFonts w:ascii="Arial" w:hAnsi="Arial" w:cs="Arial"/>
        </w:rPr>
      </w:pPr>
      <w:r w:rsidRPr="0016642A">
        <w:rPr>
          <w:rFonts w:ascii="Arial" w:hAnsi="Arial" w:cs="Arial"/>
        </w:rPr>
        <w:t xml:space="preserve">Finally, while the results successfully distinguish the potential of the two </w:t>
      </w:r>
      <w:r w:rsidRPr="00595E01">
        <w:rPr>
          <w:rFonts w:ascii="Arial" w:hAnsi="Arial" w:cs="Arial"/>
          <w:i/>
        </w:rPr>
        <w:t>Momordica</w:t>
      </w:r>
      <w:r w:rsidRPr="0016642A">
        <w:rPr>
          <w:rFonts w:ascii="Arial" w:hAnsi="Arial" w:cs="Arial"/>
        </w:rPr>
        <w:t xml:space="preserve"> species, the current work utilized basic solvent extraction methods. These protocols can lead to non-selective extraction, lower yields of key bioactive molecules, and co-extraction of interfering agents (as suggested by the inverse anti-hemolytic dose-response). Future research efforts should focus on incorporating better extraction protocols, such as Pressurized Liquid Extraction (PLE), Ultrasound-Assisted Extraction (UAE), or Deep Eutectic Solvent (DES) extraction, to optimize the purity and yield of the active compounds in Kakora. Such optimized protocols will be essential for subsequent structural elucidation and the development of pure therapeutic agents from this promising, underutilized natural resource.</w:t>
      </w:r>
    </w:p>
    <w:p w14:paraId="7A4559F2" w14:textId="77777777" w:rsidR="00790ADA" w:rsidRDefault="00790ADA" w:rsidP="00B43865">
      <w:pPr>
        <w:pStyle w:val="Body"/>
        <w:spacing w:after="0" w:line="480" w:lineRule="auto"/>
        <w:rPr>
          <w:rFonts w:ascii="Arial" w:hAnsi="Arial" w:cs="Arial"/>
        </w:rPr>
      </w:pPr>
    </w:p>
    <w:p w14:paraId="51989931" w14:textId="77777777" w:rsidR="000E5527" w:rsidRDefault="000E5527" w:rsidP="00B43865">
      <w:pPr>
        <w:pStyle w:val="AbstHead"/>
        <w:numPr>
          <w:ilvl w:val="0"/>
          <w:numId w:val="37"/>
        </w:numPr>
        <w:spacing w:after="0" w:line="480" w:lineRule="auto"/>
        <w:ind w:left="360"/>
        <w:jc w:val="both"/>
        <w:rPr>
          <w:rFonts w:ascii="Arial" w:hAnsi="Arial" w:cs="Arial"/>
        </w:rPr>
      </w:pPr>
      <w:r>
        <w:rPr>
          <w:rFonts w:ascii="Arial" w:hAnsi="Arial" w:cs="Arial"/>
        </w:rPr>
        <w:t>CONCLUSION</w:t>
      </w:r>
    </w:p>
    <w:p w14:paraId="6639C570" w14:textId="77777777" w:rsidR="007669E4" w:rsidRDefault="007669E4" w:rsidP="00B43865">
      <w:pPr>
        <w:pStyle w:val="Body"/>
        <w:spacing w:after="0" w:line="480" w:lineRule="auto"/>
        <w:rPr>
          <w:rFonts w:ascii="Arial" w:hAnsi="Arial" w:cs="Arial"/>
        </w:rPr>
      </w:pPr>
      <w:r w:rsidRPr="007669E4">
        <w:rPr>
          <w:rFonts w:ascii="Arial" w:hAnsi="Arial" w:cs="Arial"/>
        </w:rPr>
        <w:t xml:space="preserve">This comparative study successfully characterized the phytochemical profiles and functional bioactivities of </w:t>
      </w:r>
      <w:proofErr w:type="spellStart"/>
      <w:r w:rsidRPr="003B500E">
        <w:rPr>
          <w:rFonts w:ascii="Arial" w:hAnsi="Arial" w:cs="Arial"/>
          <w:i/>
        </w:rPr>
        <w:t>Momordica</w:t>
      </w:r>
      <w:proofErr w:type="spellEnd"/>
      <w:r w:rsidRPr="003B500E">
        <w:rPr>
          <w:rFonts w:ascii="Arial" w:hAnsi="Arial" w:cs="Arial"/>
          <w:i/>
        </w:rPr>
        <w:t xml:space="preserve"> </w:t>
      </w:r>
      <w:proofErr w:type="spellStart"/>
      <w:r w:rsidRPr="003B500E">
        <w:rPr>
          <w:rFonts w:ascii="Arial" w:hAnsi="Arial" w:cs="Arial"/>
          <w:i/>
        </w:rPr>
        <w:t>charantia</w:t>
      </w:r>
      <w:proofErr w:type="spellEnd"/>
      <w:r w:rsidRPr="007669E4">
        <w:rPr>
          <w:rFonts w:ascii="Arial" w:hAnsi="Arial" w:cs="Arial"/>
        </w:rPr>
        <w:t xml:space="preserve"> (Karela) and </w:t>
      </w:r>
      <w:proofErr w:type="spellStart"/>
      <w:r w:rsidRPr="003B500E">
        <w:rPr>
          <w:rFonts w:ascii="Arial" w:hAnsi="Arial" w:cs="Arial"/>
          <w:i/>
        </w:rPr>
        <w:t>Momordica</w:t>
      </w:r>
      <w:proofErr w:type="spellEnd"/>
      <w:r w:rsidRPr="003B500E">
        <w:rPr>
          <w:rFonts w:ascii="Arial" w:hAnsi="Arial" w:cs="Arial"/>
          <w:i/>
        </w:rPr>
        <w:t xml:space="preserve"> dioica</w:t>
      </w:r>
      <w:r w:rsidRPr="007669E4">
        <w:rPr>
          <w:rFonts w:ascii="Arial" w:hAnsi="Arial" w:cs="Arial"/>
        </w:rPr>
        <w:t xml:space="preserve"> (Kakora). The findings establish that these related species possess mechanistically distinct protective capacities. While Karela exhibited higher Total Flavonoid Content (TFC) and Ferric Reducing Antioxidant Power (FRAP), Kakora demonstrated significantly higher Total Phenolic Content (TPC), Total Antioxidant Capacity (TAC), and, critically, superior functional protection against oxidative DNA damage induced by Fenton's reagent. This direct correlation with reduced genomic insult strongly validates Kakora as a potent, underutilized source of chemopreventive agents. Future research must prioritize optimized extraction and fractionation to isolate and structurally elucidate the specific non-flavonoid phenolics and alkaloids in Kakora responsible for this superior DNA protective efficacy.</w:t>
      </w:r>
    </w:p>
    <w:p w14:paraId="51585552" w14:textId="77777777" w:rsidR="004D7003" w:rsidRDefault="004D7003" w:rsidP="00B43865">
      <w:pPr>
        <w:pStyle w:val="Body"/>
        <w:spacing w:after="0" w:line="480" w:lineRule="auto"/>
        <w:rPr>
          <w:rFonts w:ascii="Arial" w:hAnsi="Arial" w:cs="Arial"/>
        </w:rPr>
      </w:pPr>
    </w:p>
    <w:p w14:paraId="1A6A4FAF" w14:textId="77777777" w:rsidR="005C784C" w:rsidRDefault="005C784C" w:rsidP="00B43865">
      <w:pPr>
        <w:pStyle w:val="ReferHead"/>
        <w:spacing w:after="0" w:line="480" w:lineRule="auto"/>
        <w:jc w:val="both"/>
        <w:rPr>
          <w:rFonts w:ascii="Arial" w:hAnsi="Arial" w:cs="Arial"/>
          <w:bCs/>
        </w:rPr>
      </w:pPr>
      <w:r>
        <w:rPr>
          <w:rFonts w:ascii="Arial" w:hAnsi="Arial" w:cs="Arial"/>
          <w:bCs/>
        </w:rPr>
        <w:lastRenderedPageBreak/>
        <w:t>Ethical approval (where</w:t>
      </w:r>
      <w:r w:rsidR="007369E6">
        <w:rPr>
          <w:rFonts w:ascii="Arial" w:hAnsi="Arial" w:cs="Arial"/>
          <w:bCs/>
        </w:rPr>
        <w:t xml:space="preserve"> </w:t>
      </w:r>
      <w:r>
        <w:rPr>
          <w:rFonts w:ascii="Arial" w:hAnsi="Arial" w:cs="Arial"/>
          <w:bCs/>
        </w:rPr>
        <w:t>ever applicable)</w:t>
      </w:r>
    </w:p>
    <w:p w14:paraId="7B7FAD75" w14:textId="77777777" w:rsidR="006C1351" w:rsidRDefault="006C1351" w:rsidP="00B43865">
      <w:pPr>
        <w:pStyle w:val="ReferHead"/>
        <w:spacing w:after="0" w:line="480" w:lineRule="auto"/>
        <w:jc w:val="both"/>
        <w:rPr>
          <w:rFonts w:ascii="Arial" w:hAnsi="Arial" w:cs="Arial"/>
          <w:b w:val="0"/>
          <w:caps w:val="0"/>
          <w:sz w:val="20"/>
        </w:rPr>
      </w:pPr>
      <w:r w:rsidRPr="006C1351">
        <w:rPr>
          <w:rFonts w:ascii="Arial" w:hAnsi="Arial" w:cs="Arial"/>
          <w:b w:val="0"/>
          <w:caps w:val="0"/>
          <w:sz w:val="20"/>
        </w:rPr>
        <w:t>Approval to conduct hemolysis on human blood cells were approved by Institutional Ethical Committee of IILR (IEC No-19/07/21) Academy, Indore where work was done. The volunteer signed the informed consent for this study.</w:t>
      </w:r>
    </w:p>
    <w:p w14:paraId="6C2E6D3E" w14:textId="77777777" w:rsidR="00860000" w:rsidRDefault="00860000" w:rsidP="00B43865">
      <w:pPr>
        <w:pStyle w:val="ReferHead"/>
        <w:spacing w:after="0" w:line="480" w:lineRule="auto"/>
        <w:jc w:val="both"/>
        <w:rPr>
          <w:rFonts w:ascii="Arial" w:hAnsi="Arial" w:cs="Arial"/>
        </w:rPr>
      </w:pPr>
    </w:p>
    <w:p w14:paraId="218C351D" w14:textId="77777777" w:rsidR="00F72519" w:rsidRPr="00F72519" w:rsidRDefault="00F72519" w:rsidP="00F72519">
      <w:pPr>
        <w:spacing w:after="200" w:line="276" w:lineRule="auto"/>
        <w:jc w:val="both"/>
        <w:outlineLvl w:val="0"/>
        <w:rPr>
          <w:rFonts w:ascii="Arial" w:eastAsiaTheme="minorEastAsia" w:hAnsi="Arial" w:cs="Arial"/>
          <w:sz w:val="22"/>
          <w:szCs w:val="22"/>
          <w:lang w:val="en-GB" w:eastAsia="en-GB"/>
        </w:rPr>
      </w:pPr>
      <w:r w:rsidRPr="00F72519">
        <w:rPr>
          <w:rFonts w:ascii="Arial" w:eastAsiaTheme="minorEastAsia" w:hAnsi="Arial" w:cs="Arial"/>
          <w:b/>
          <w:bCs/>
          <w:sz w:val="22"/>
          <w:szCs w:val="22"/>
          <w:lang w:val="en-GB" w:eastAsia="en-GB"/>
        </w:rPr>
        <w:t>COMPETING INTERESTS DISCLAIMER:</w:t>
      </w:r>
    </w:p>
    <w:p w14:paraId="1ADE50C3" w14:textId="5B721515" w:rsidR="00F72519" w:rsidRPr="00F21DD8" w:rsidRDefault="00F72519" w:rsidP="00F21DD8">
      <w:pPr>
        <w:pStyle w:val="ReferHead"/>
        <w:spacing w:after="0" w:line="480" w:lineRule="auto"/>
        <w:jc w:val="both"/>
        <w:rPr>
          <w:rFonts w:ascii="Arial" w:hAnsi="Arial" w:cs="Arial"/>
          <w:b w:val="0"/>
          <w:caps w:val="0"/>
          <w:sz w:val="20"/>
        </w:rPr>
      </w:pPr>
      <w:r w:rsidRPr="00F21DD8">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429FB346" w14:textId="03AD6CCF" w:rsidR="00EE1647" w:rsidRDefault="00EE1647" w:rsidP="00F72519">
      <w:pPr>
        <w:spacing w:after="200" w:line="276" w:lineRule="auto"/>
        <w:rPr>
          <w:rFonts w:asciiTheme="minorHAnsi" w:eastAsiaTheme="minorEastAsia" w:hAnsiTheme="minorHAnsi" w:cstheme="minorBidi"/>
          <w:sz w:val="22"/>
          <w:szCs w:val="22"/>
          <w:lang w:val="en-GB" w:eastAsia="en-GB"/>
        </w:rPr>
      </w:pPr>
    </w:p>
    <w:p w14:paraId="2F33F5A6" w14:textId="7763C0D6" w:rsidR="00EE1647" w:rsidRDefault="00EE1647" w:rsidP="00F72519">
      <w:pPr>
        <w:spacing w:after="200" w:line="276" w:lineRule="auto"/>
        <w:rPr>
          <w:rFonts w:asciiTheme="minorHAnsi" w:eastAsiaTheme="minorEastAsia" w:hAnsiTheme="minorHAnsi" w:cstheme="minorBidi"/>
          <w:sz w:val="22"/>
          <w:szCs w:val="22"/>
          <w:lang w:val="en-GB" w:eastAsia="en-GB"/>
        </w:rPr>
      </w:pPr>
    </w:p>
    <w:p w14:paraId="4ACF3DC4" w14:textId="77777777" w:rsidR="00EE1647" w:rsidRPr="00F24221" w:rsidRDefault="00EE1647" w:rsidP="00F24221">
      <w:pPr>
        <w:spacing w:after="200" w:line="276" w:lineRule="auto"/>
        <w:jc w:val="both"/>
        <w:outlineLvl w:val="0"/>
        <w:rPr>
          <w:rFonts w:ascii="Arial" w:eastAsiaTheme="minorEastAsia" w:hAnsi="Arial" w:cs="Arial"/>
          <w:b/>
          <w:bCs/>
          <w:sz w:val="22"/>
          <w:szCs w:val="22"/>
          <w:lang w:val="en-GB" w:eastAsia="en-GB"/>
        </w:rPr>
      </w:pPr>
      <w:bookmarkStart w:id="11" w:name="_Hlk197682619"/>
      <w:bookmarkStart w:id="12" w:name="_Hlk180402183"/>
      <w:bookmarkStart w:id="13" w:name="_Hlk183680988"/>
      <w:bookmarkStart w:id="14" w:name="_Hlk197351200"/>
      <w:bookmarkStart w:id="15" w:name="_Hlk213410455"/>
      <w:r w:rsidRPr="00F24221">
        <w:rPr>
          <w:rFonts w:ascii="Arial" w:eastAsiaTheme="minorEastAsia" w:hAnsi="Arial" w:cs="Arial"/>
          <w:b/>
          <w:bCs/>
          <w:sz w:val="22"/>
          <w:szCs w:val="22"/>
          <w:lang w:val="en-GB" w:eastAsia="en-GB"/>
        </w:rPr>
        <w:t>Disclaimer (Artificial intelligence)</w:t>
      </w:r>
    </w:p>
    <w:p w14:paraId="27E1A3F5" w14:textId="2E3DF16F" w:rsidR="00F72519" w:rsidRDefault="00EE1647" w:rsidP="00B43865">
      <w:pPr>
        <w:pStyle w:val="ReferHead"/>
        <w:spacing w:after="0" w:line="480" w:lineRule="auto"/>
        <w:jc w:val="both"/>
        <w:rPr>
          <w:rFonts w:ascii="Arial" w:hAnsi="Arial" w:cs="Arial"/>
          <w:b w:val="0"/>
          <w:caps w:val="0"/>
          <w:sz w:val="20"/>
        </w:rPr>
      </w:pPr>
      <w:r w:rsidRPr="00F21DD8">
        <w:rPr>
          <w:rFonts w:ascii="Arial" w:hAnsi="Arial" w:cs="Arial"/>
          <w:b w:val="0"/>
          <w:caps w:val="0"/>
          <w:sz w:val="20"/>
        </w:rPr>
        <w:t>Author(s) hereby declare that NO generative AI technologies such as Large Language Models (</w:t>
      </w:r>
      <w:proofErr w:type="spellStart"/>
      <w:r w:rsidRPr="00F21DD8">
        <w:rPr>
          <w:rFonts w:ascii="Arial" w:hAnsi="Arial" w:cs="Arial"/>
          <w:b w:val="0"/>
          <w:caps w:val="0"/>
          <w:sz w:val="20"/>
        </w:rPr>
        <w:t>ChatGPT</w:t>
      </w:r>
      <w:proofErr w:type="spellEnd"/>
      <w:r w:rsidRPr="00F21DD8">
        <w:rPr>
          <w:rFonts w:ascii="Arial" w:hAnsi="Arial" w:cs="Arial"/>
          <w:b w:val="0"/>
          <w:caps w:val="0"/>
          <w:sz w:val="20"/>
        </w:rPr>
        <w:t xml:space="preserve">, COPILOT, etc.) and text-to-image generators have been used during the writing or editing of this manuscript. </w:t>
      </w:r>
      <w:bookmarkEnd w:id="11"/>
      <w:bookmarkEnd w:id="12"/>
      <w:bookmarkEnd w:id="13"/>
      <w:bookmarkEnd w:id="14"/>
      <w:bookmarkEnd w:id="15"/>
    </w:p>
    <w:p w14:paraId="7D86B210" w14:textId="77777777" w:rsidR="00A73902" w:rsidRPr="00A73902" w:rsidRDefault="00A73902" w:rsidP="00B43865">
      <w:pPr>
        <w:pStyle w:val="ReferHead"/>
        <w:spacing w:after="0" w:line="480" w:lineRule="auto"/>
        <w:jc w:val="both"/>
        <w:rPr>
          <w:rFonts w:ascii="Arial" w:hAnsi="Arial" w:cs="Arial"/>
          <w:b w:val="0"/>
          <w:caps w:val="0"/>
          <w:sz w:val="20"/>
        </w:rPr>
      </w:pPr>
    </w:p>
    <w:p w14:paraId="4C21DA96" w14:textId="77777777" w:rsidR="00B01FCD" w:rsidRDefault="00B01FCD" w:rsidP="00B43865">
      <w:pPr>
        <w:pStyle w:val="ReferHead"/>
        <w:spacing w:after="0" w:line="480" w:lineRule="auto"/>
        <w:jc w:val="both"/>
        <w:rPr>
          <w:rFonts w:ascii="Arial" w:hAnsi="Arial" w:cs="Arial"/>
        </w:rPr>
      </w:pPr>
      <w:r w:rsidRPr="00FB3A86">
        <w:rPr>
          <w:rFonts w:ascii="Arial" w:hAnsi="Arial" w:cs="Arial"/>
        </w:rPr>
        <w:t>References</w:t>
      </w:r>
    </w:p>
    <w:p w14:paraId="49CB7818" w14:textId="77777777" w:rsidR="00441B6F" w:rsidRDefault="00441B6F" w:rsidP="00B43865">
      <w:pPr>
        <w:pStyle w:val="Body"/>
        <w:spacing w:after="0" w:line="480" w:lineRule="auto"/>
        <w:jc w:val="left"/>
      </w:pPr>
    </w:p>
    <w:p w14:paraId="66B33302" w14:textId="77777777" w:rsidR="003853B2" w:rsidRDefault="003853B2" w:rsidP="00B43865">
      <w:pPr>
        <w:pStyle w:val="Konfliktinteresw"/>
        <w:numPr>
          <w:ilvl w:val="0"/>
          <w:numId w:val="38"/>
        </w:numPr>
        <w:tabs>
          <w:tab w:val="clear" w:pos="907"/>
          <w:tab w:val="left" w:pos="993"/>
        </w:tabs>
        <w:spacing w:before="91" w:line="480" w:lineRule="auto"/>
        <w:ind w:left="360"/>
        <w:jc w:val="both"/>
        <w:rPr>
          <w:rFonts w:ascii="Arial" w:hAnsi="Arial" w:cs="Arial"/>
          <w:b w:val="0"/>
          <w:sz w:val="20"/>
          <w:szCs w:val="20"/>
        </w:rPr>
      </w:pPr>
      <w:bookmarkStart w:id="16" w:name="_Ref216186783"/>
      <w:r w:rsidRPr="003853B2">
        <w:rPr>
          <w:rFonts w:ascii="Arial" w:hAnsi="Arial" w:cs="Arial"/>
          <w:b w:val="0"/>
          <w:sz w:val="20"/>
          <w:szCs w:val="20"/>
        </w:rPr>
        <w:t xml:space="preserve">Bharate, S. B., &amp; Lindsley, C. W. (2024). Natural products driven medicinal chemistry. Journal of Medicinal Chemistry, 67(23), 20723–20730. </w:t>
      </w:r>
      <w:hyperlink r:id="rId17" w:history="1">
        <w:r w:rsidRPr="00183E5E">
          <w:rPr>
            <w:rStyle w:val="Hyperlink"/>
            <w:rFonts w:ascii="Arial" w:hAnsi="Arial" w:cs="Arial"/>
            <w:b w:val="0"/>
            <w:sz w:val="20"/>
            <w:szCs w:val="20"/>
          </w:rPr>
          <w:t>https://doi.org/10.1021/acs.jmedchem.4c02736</w:t>
        </w:r>
      </w:hyperlink>
      <w:r>
        <w:rPr>
          <w:rFonts w:ascii="Arial" w:hAnsi="Arial" w:cs="Arial"/>
          <w:b w:val="0"/>
          <w:sz w:val="20"/>
          <w:szCs w:val="20"/>
        </w:rPr>
        <w:t xml:space="preserve"> </w:t>
      </w:r>
    </w:p>
    <w:p w14:paraId="53A9E615" w14:textId="77777777" w:rsidR="003853B2" w:rsidRDefault="003853B2" w:rsidP="00B43865">
      <w:pPr>
        <w:pStyle w:val="Konfliktinteresw"/>
        <w:numPr>
          <w:ilvl w:val="0"/>
          <w:numId w:val="38"/>
        </w:numPr>
        <w:tabs>
          <w:tab w:val="clear" w:pos="907"/>
          <w:tab w:val="left" w:pos="993"/>
        </w:tabs>
        <w:spacing w:before="91" w:line="480" w:lineRule="auto"/>
        <w:ind w:left="360"/>
        <w:jc w:val="both"/>
        <w:rPr>
          <w:rFonts w:ascii="Arial" w:hAnsi="Arial" w:cs="Arial"/>
          <w:b w:val="0"/>
          <w:sz w:val="20"/>
          <w:szCs w:val="20"/>
        </w:rPr>
      </w:pPr>
      <w:bookmarkStart w:id="17" w:name="_Ref216187015"/>
      <w:bookmarkEnd w:id="16"/>
      <w:r w:rsidRPr="003853B2">
        <w:rPr>
          <w:rFonts w:ascii="Arial" w:hAnsi="Arial" w:cs="Arial"/>
          <w:b w:val="0"/>
          <w:sz w:val="20"/>
          <w:szCs w:val="20"/>
        </w:rPr>
        <w:t xml:space="preserve">Hassan, S. S. u., Abdel-Daim, M. M., Behl, T., &amp; Bungau, S. (2022). Natural Products for Chronic Diseases: A Ray of Hope. Molecules, 27(17), 5573. </w:t>
      </w:r>
      <w:hyperlink r:id="rId18" w:history="1">
        <w:r w:rsidRPr="00183E5E">
          <w:rPr>
            <w:rStyle w:val="Hyperlink"/>
            <w:rFonts w:ascii="Arial" w:hAnsi="Arial" w:cs="Arial"/>
            <w:b w:val="0"/>
            <w:sz w:val="20"/>
            <w:szCs w:val="20"/>
          </w:rPr>
          <w:t>https://doi.org/10.3390/molecules27175573</w:t>
        </w:r>
      </w:hyperlink>
      <w:r>
        <w:rPr>
          <w:rFonts w:ascii="Arial" w:hAnsi="Arial" w:cs="Arial"/>
          <w:b w:val="0"/>
          <w:sz w:val="20"/>
          <w:szCs w:val="20"/>
        </w:rPr>
        <w:t xml:space="preserve"> </w:t>
      </w:r>
    </w:p>
    <w:p w14:paraId="54EF6CEF" w14:textId="77777777" w:rsidR="003853B2" w:rsidRDefault="003853B2" w:rsidP="00B43865">
      <w:pPr>
        <w:pStyle w:val="Konfliktinteresw"/>
        <w:numPr>
          <w:ilvl w:val="0"/>
          <w:numId w:val="38"/>
        </w:numPr>
        <w:tabs>
          <w:tab w:val="clear" w:pos="907"/>
          <w:tab w:val="left" w:pos="993"/>
        </w:tabs>
        <w:spacing w:before="91" w:line="480" w:lineRule="auto"/>
        <w:ind w:left="360"/>
        <w:jc w:val="both"/>
        <w:rPr>
          <w:rFonts w:ascii="Arial" w:hAnsi="Arial" w:cs="Arial"/>
          <w:b w:val="0"/>
          <w:sz w:val="20"/>
          <w:szCs w:val="20"/>
        </w:rPr>
      </w:pPr>
      <w:bookmarkStart w:id="18" w:name="_Ref216187020"/>
      <w:bookmarkEnd w:id="17"/>
      <w:r w:rsidRPr="003853B2">
        <w:rPr>
          <w:rFonts w:ascii="Arial" w:hAnsi="Arial" w:cs="Arial"/>
          <w:b w:val="0"/>
          <w:sz w:val="20"/>
          <w:szCs w:val="20"/>
        </w:rPr>
        <w:t xml:space="preserve">G, M. S., Swetha, M., Keerthana, C. K., Rayginia, T. P., &amp; Anto, R. J. (2022). Cancer Chemoprevention: A Strategic Approach Using Phytochemicals. Frontiers in Pharmacology, 12, 809308. </w:t>
      </w:r>
      <w:hyperlink r:id="rId19" w:history="1">
        <w:r w:rsidRPr="00183E5E">
          <w:rPr>
            <w:rStyle w:val="Hyperlink"/>
            <w:rFonts w:ascii="Arial" w:hAnsi="Arial" w:cs="Arial"/>
            <w:b w:val="0"/>
            <w:sz w:val="20"/>
            <w:szCs w:val="20"/>
          </w:rPr>
          <w:t>https://doi.org/10.3389/fphar.2021.809308</w:t>
        </w:r>
      </w:hyperlink>
      <w:r>
        <w:rPr>
          <w:rFonts w:ascii="Arial" w:hAnsi="Arial" w:cs="Arial"/>
          <w:b w:val="0"/>
          <w:sz w:val="20"/>
          <w:szCs w:val="20"/>
        </w:rPr>
        <w:t xml:space="preserve"> </w:t>
      </w:r>
    </w:p>
    <w:p w14:paraId="66036E18" w14:textId="77777777" w:rsidR="003853B2" w:rsidRDefault="003853B2" w:rsidP="00B43865">
      <w:pPr>
        <w:pStyle w:val="Konfliktinteresw"/>
        <w:numPr>
          <w:ilvl w:val="0"/>
          <w:numId w:val="38"/>
        </w:numPr>
        <w:tabs>
          <w:tab w:val="clear" w:pos="907"/>
          <w:tab w:val="left" w:pos="993"/>
        </w:tabs>
        <w:spacing w:before="91" w:line="480" w:lineRule="auto"/>
        <w:ind w:left="360"/>
        <w:jc w:val="both"/>
        <w:rPr>
          <w:rFonts w:ascii="Arial" w:hAnsi="Arial" w:cs="Arial"/>
          <w:b w:val="0"/>
          <w:sz w:val="20"/>
          <w:szCs w:val="20"/>
        </w:rPr>
      </w:pPr>
      <w:bookmarkStart w:id="19" w:name="_Ref216187028"/>
      <w:bookmarkEnd w:id="18"/>
      <w:r w:rsidRPr="003853B2">
        <w:rPr>
          <w:rFonts w:ascii="Arial" w:hAnsi="Arial" w:cs="Arial"/>
          <w:b w:val="0"/>
          <w:sz w:val="20"/>
          <w:szCs w:val="20"/>
        </w:rPr>
        <w:t xml:space="preserve">Ma, L., Zhang, M., Zhao, R., Wang, D., Ma, Y., &amp; Ai, L. (2021). Plant Natural Products: Promising Resources for Cancer Chemoprevention. Molecules, 26(4), 933. </w:t>
      </w:r>
      <w:hyperlink r:id="rId20" w:history="1">
        <w:r w:rsidRPr="00183E5E">
          <w:rPr>
            <w:rStyle w:val="Hyperlink"/>
            <w:rFonts w:ascii="Arial" w:hAnsi="Arial" w:cs="Arial"/>
            <w:b w:val="0"/>
            <w:sz w:val="20"/>
            <w:szCs w:val="20"/>
          </w:rPr>
          <w:t>https://doi.org/10.3390/molecules26040933</w:t>
        </w:r>
      </w:hyperlink>
      <w:r>
        <w:rPr>
          <w:rFonts w:ascii="Arial" w:hAnsi="Arial" w:cs="Arial"/>
          <w:b w:val="0"/>
          <w:sz w:val="20"/>
          <w:szCs w:val="20"/>
        </w:rPr>
        <w:t xml:space="preserve"> </w:t>
      </w:r>
    </w:p>
    <w:p w14:paraId="62537E83" w14:textId="77777777" w:rsidR="003853B2" w:rsidRDefault="003853B2" w:rsidP="00B43865">
      <w:pPr>
        <w:pStyle w:val="Konfliktinteresw"/>
        <w:numPr>
          <w:ilvl w:val="0"/>
          <w:numId w:val="38"/>
        </w:numPr>
        <w:tabs>
          <w:tab w:val="clear" w:pos="907"/>
          <w:tab w:val="left" w:pos="993"/>
        </w:tabs>
        <w:spacing w:before="91" w:line="480" w:lineRule="auto"/>
        <w:ind w:left="360"/>
        <w:jc w:val="both"/>
        <w:rPr>
          <w:rFonts w:ascii="Arial" w:hAnsi="Arial" w:cs="Arial"/>
          <w:b w:val="0"/>
          <w:sz w:val="20"/>
          <w:szCs w:val="20"/>
        </w:rPr>
      </w:pPr>
      <w:bookmarkStart w:id="20" w:name="_Ref216187035"/>
      <w:bookmarkEnd w:id="19"/>
      <w:r w:rsidRPr="003853B2">
        <w:rPr>
          <w:rFonts w:ascii="Arial" w:hAnsi="Arial" w:cs="Arial"/>
          <w:b w:val="0"/>
          <w:sz w:val="20"/>
          <w:szCs w:val="20"/>
        </w:rPr>
        <w:t xml:space="preserve">Rani, M. (2024). Anti-diabetic, Anti-cancer Potential and Anti HIV of Bitter Gourd (Momordica charantia) Extract: A Mini Review. Asian Plant Research Journal, 12(4), 66–77. </w:t>
      </w:r>
      <w:hyperlink r:id="rId21" w:history="1">
        <w:r w:rsidRPr="00183E5E">
          <w:rPr>
            <w:rStyle w:val="Hyperlink"/>
            <w:rFonts w:ascii="Arial" w:hAnsi="Arial" w:cs="Arial"/>
            <w:b w:val="0"/>
            <w:sz w:val="20"/>
            <w:szCs w:val="20"/>
          </w:rPr>
          <w:t>https://doi.org/10.9734/aprj/2024/v12i4263</w:t>
        </w:r>
      </w:hyperlink>
      <w:r>
        <w:rPr>
          <w:rFonts w:ascii="Arial" w:hAnsi="Arial" w:cs="Arial"/>
          <w:b w:val="0"/>
          <w:sz w:val="20"/>
          <w:szCs w:val="20"/>
        </w:rPr>
        <w:t xml:space="preserve"> .</w:t>
      </w:r>
    </w:p>
    <w:p w14:paraId="517A5611" w14:textId="77777777" w:rsidR="003853B2" w:rsidRDefault="003853B2" w:rsidP="00B43865">
      <w:pPr>
        <w:pStyle w:val="Konfliktinteresw"/>
        <w:numPr>
          <w:ilvl w:val="0"/>
          <w:numId w:val="38"/>
        </w:numPr>
        <w:tabs>
          <w:tab w:val="clear" w:pos="907"/>
          <w:tab w:val="left" w:pos="993"/>
        </w:tabs>
        <w:spacing w:before="91" w:line="480" w:lineRule="auto"/>
        <w:ind w:left="360"/>
        <w:jc w:val="both"/>
        <w:rPr>
          <w:rFonts w:ascii="Arial" w:hAnsi="Arial" w:cs="Arial"/>
          <w:b w:val="0"/>
          <w:sz w:val="20"/>
          <w:szCs w:val="20"/>
        </w:rPr>
      </w:pPr>
      <w:bookmarkStart w:id="21" w:name="_Ref216187052"/>
      <w:bookmarkEnd w:id="20"/>
      <w:r w:rsidRPr="003853B2">
        <w:rPr>
          <w:rFonts w:ascii="Arial" w:hAnsi="Arial" w:cs="Arial"/>
          <w:b w:val="0"/>
          <w:sz w:val="20"/>
          <w:szCs w:val="20"/>
        </w:rPr>
        <w:t xml:space="preserve">Oyelere, S. F., Ajayi, O. H., Ayoade, T. E., Pereira, G. B. S., Owoyemi, B. C. D., Ilesanmi, A. O., &amp; Akinyemi, O. A. (2022). A detailed review on the phytochemical profiles and anti-diabetic mechanisms of Momordica charantia. Heliyon, 8(4), e09253. </w:t>
      </w:r>
      <w:hyperlink r:id="rId22" w:history="1">
        <w:r w:rsidRPr="00183E5E">
          <w:rPr>
            <w:rStyle w:val="Hyperlink"/>
            <w:rFonts w:ascii="Arial" w:hAnsi="Arial" w:cs="Arial"/>
            <w:b w:val="0"/>
            <w:sz w:val="20"/>
            <w:szCs w:val="20"/>
          </w:rPr>
          <w:t>https://doi.org/10.1016/j.heliyon.2022.e09253</w:t>
        </w:r>
      </w:hyperlink>
      <w:r>
        <w:rPr>
          <w:rFonts w:ascii="Arial" w:hAnsi="Arial" w:cs="Arial"/>
          <w:b w:val="0"/>
          <w:sz w:val="20"/>
          <w:szCs w:val="20"/>
        </w:rPr>
        <w:t xml:space="preserve"> </w:t>
      </w:r>
    </w:p>
    <w:p w14:paraId="01276237" w14:textId="77777777" w:rsidR="003853B2" w:rsidRDefault="003853B2" w:rsidP="00B43865">
      <w:pPr>
        <w:pStyle w:val="Konfliktinteresw"/>
        <w:numPr>
          <w:ilvl w:val="0"/>
          <w:numId w:val="38"/>
        </w:numPr>
        <w:tabs>
          <w:tab w:val="clear" w:pos="907"/>
          <w:tab w:val="left" w:pos="993"/>
        </w:tabs>
        <w:spacing w:before="91" w:line="480" w:lineRule="auto"/>
        <w:ind w:left="360"/>
        <w:jc w:val="both"/>
        <w:rPr>
          <w:rFonts w:ascii="Arial" w:hAnsi="Arial" w:cs="Arial"/>
          <w:b w:val="0"/>
          <w:sz w:val="20"/>
          <w:szCs w:val="20"/>
        </w:rPr>
      </w:pPr>
      <w:bookmarkStart w:id="22" w:name="_Ref216187059"/>
      <w:bookmarkEnd w:id="21"/>
      <w:r w:rsidRPr="003853B2">
        <w:rPr>
          <w:rFonts w:ascii="Arial" w:hAnsi="Arial" w:cs="Arial"/>
          <w:b w:val="0"/>
          <w:sz w:val="20"/>
          <w:szCs w:val="20"/>
        </w:rPr>
        <w:lastRenderedPageBreak/>
        <w:t xml:space="preserve">Choudhury, P. P. N., &amp; Choudhury, S. (2022). GC-MS profiling and bioactivity prediction of compounds from Momordica charantia L. extract. Bioinformation. </w:t>
      </w:r>
      <w:hyperlink r:id="rId23" w:history="1">
        <w:r w:rsidRPr="00183E5E">
          <w:rPr>
            <w:rStyle w:val="Hyperlink"/>
            <w:rFonts w:ascii="Arial" w:hAnsi="Arial" w:cs="Arial"/>
            <w:b w:val="0"/>
            <w:sz w:val="20"/>
            <w:szCs w:val="20"/>
          </w:rPr>
          <w:t>https://doi.org/10.6026/973206300181009</w:t>
        </w:r>
      </w:hyperlink>
      <w:r>
        <w:rPr>
          <w:rFonts w:ascii="Arial" w:hAnsi="Arial" w:cs="Arial"/>
          <w:b w:val="0"/>
          <w:sz w:val="20"/>
          <w:szCs w:val="20"/>
        </w:rPr>
        <w:t xml:space="preserve"> </w:t>
      </w:r>
    </w:p>
    <w:p w14:paraId="229167AA" w14:textId="77777777" w:rsidR="003853B2" w:rsidRDefault="003853B2" w:rsidP="00B43865">
      <w:pPr>
        <w:pStyle w:val="Konfliktinteresw"/>
        <w:numPr>
          <w:ilvl w:val="0"/>
          <w:numId w:val="38"/>
        </w:numPr>
        <w:tabs>
          <w:tab w:val="clear" w:pos="907"/>
          <w:tab w:val="left" w:pos="993"/>
        </w:tabs>
        <w:spacing w:before="91" w:line="480" w:lineRule="auto"/>
        <w:ind w:left="360"/>
        <w:jc w:val="both"/>
        <w:rPr>
          <w:rFonts w:ascii="Arial" w:hAnsi="Arial" w:cs="Arial"/>
          <w:b w:val="0"/>
          <w:sz w:val="20"/>
          <w:szCs w:val="20"/>
        </w:rPr>
      </w:pPr>
      <w:bookmarkStart w:id="23" w:name="_Ref216187068"/>
      <w:bookmarkEnd w:id="22"/>
      <w:r w:rsidRPr="003853B2">
        <w:rPr>
          <w:rFonts w:ascii="Arial" w:hAnsi="Arial" w:cs="Arial"/>
          <w:b w:val="0"/>
          <w:sz w:val="20"/>
          <w:szCs w:val="20"/>
        </w:rPr>
        <w:t xml:space="preserve">Matseke, B., Mapfumari, S., &amp; Mothibe, M. (2024). Qualitative Phytochemical Profiling and In Vitro Antioxidant Potential Evaluation of South African Momordica Balsamina Linn Fruit Pulp. Life, 15(1), 4. </w:t>
      </w:r>
      <w:hyperlink r:id="rId24" w:history="1">
        <w:r w:rsidRPr="00183E5E">
          <w:rPr>
            <w:rStyle w:val="Hyperlink"/>
            <w:rFonts w:ascii="Arial" w:hAnsi="Arial" w:cs="Arial"/>
            <w:b w:val="0"/>
            <w:sz w:val="20"/>
            <w:szCs w:val="20"/>
          </w:rPr>
          <w:t>https://doi.org/10.3390/life15010004</w:t>
        </w:r>
      </w:hyperlink>
      <w:r>
        <w:rPr>
          <w:rFonts w:ascii="Arial" w:hAnsi="Arial" w:cs="Arial"/>
          <w:b w:val="0"/>
          <w:sz w:val="20"/>
          <w:szCs w:val="20"/>
        </w:rPr>
        <w:t xml:space="preserve"> </w:t>
      </w:r>
    </w:p>
    <w:p w14:paraId="492A17C4" w14:textId="77777777" w:rsidR="003853B2" w:rsidRDefault="003853B2" w:rsidP="00B43865">
      <w:pPr>
        <w:pStyle w:val="Konfliktinteresw"/>
        <w:numPr>
          <w:ilvl w:val="0"/>
          <w:numId w:val="38"/>
        </w:numPr>
        <w:tabs>
          <w:tab w:val="clear" w:pos="907"/>
          <w:tab w:val="left" w:pos="993"/>
        </w:tabs>
        <w:spacing w:before="91" w:line="480" w:lineRule="auto"/>
        <w:ind w:left="360"/>
        <w:jc w:val="both"/>
        <w:rPr>
          <w:rFonts w:ascii="Arial" w:hAnsi="Arial" w:cs="Arial"/>
          <w:b w:val="0"/>
          <w:sz w:val="20"/>
          <w:szCs w:val="20"/>
        </w:rPr>
      </w:pPr>
      <w:bookmarkStart w:id="24" w:name="_Ref216187077"/>
      <w:bookmarkEnd w:id="23"/>
      <w:r w:rsidRPr="003853B2">
        <w:rPr>
          <w:rFonts w:ascii="Arial" w:hAnsi="Arial" w:cs="Arial"/>
          <w:b w:val="0"/>
          <w:sz w:val="20"/>
          <w:szCs w:val="20"/>
        </w:rPr>
        <w:t xml:space="preserve">Sarwade, P. P., Kumar S.R., S., Sonwani, K., Geetha, M., Gajendhini, S., &amp; Shanmugapriya, S. (2025). Momordica dioica: Phytochemistry, Traditional Uses and It's Neuroprotective Activity. Stallion Journal for Multidisciplinary Associated Research Studies, 4(4), 28–39. </w:t>
      </w:r>
      <w:hyperlink r:id="rId25" w:history="1">
        <w:r w:rsidRPr="00183E5E">
          <w:rPr>
            <w:rStyle w:val="Hyperlink"/>
            <w:rFonts w:ascii="Arial" w:hAnsi="Arial" w:cs="Arial"/>
            <w:b w:val="0"/>
            <w:sz w:val="20"/>
            <w:szCs w:val="20"/>
          </w:rPr>
          <w:t>https://doi.org/10.55544/sjmars.4.4.4</w:t>
        </w:r>
      </w:hyperlink>
      <w:r>
        <w:rPr>
          <w:rFonts w:ascii="Arial" w:hAnsi="Arial" w:cs="Arial"/>
          <w:b w:val="0"/>
          <w:sz w:val="20"/>
          <w:szCs w:val="20"/>
        </w:rPr>
        <w:t xml:space="preserve"> </w:t>
      </w:r>
    </w:p>
    <w:p w14:paraId="5F5CBC12" w14:textId="77777777" w:rsidR="003853B2" w:rsidRDefault="003853B2" w:rsidP="00B43865">
      <w:pPr>
        <w:pStyle w:val="Konfliktinteresw"/>
        <w:numPr>
          <w:ilvl w:val="0"/>
          <w:numId w:val="38"/>
        </w:numPr>
        <w:tabs>
          <w:tab w:val="clear" w:pos="907"/>
          <w:tab w:val="left" w:pos="993"/>
        </w:tabs>
        <w:spacing w:before="91" w:line="480" w:lineRule="auto"/>
        <w:ind w:left="360"/>
        <w:jc w:val="both"/>
        <w:rPr>
          <w:rFonts w:ascii="Arial" w:hAnsi="Arial" w:cs="Arial"/>
          <w:b w:val="0"/>
          <w:sz w:val="20"/>
          <w:szCs w:val="20"/>
        </w:rPr>
      </w:pPr>
      <w:bookmarkStart w:id="25" w:name="_Ref216187085"/>
      <w:bookmarkEnd w:id="24"/>
      <w:r w:rsidRPr="003853B2">
        <w:rPr>
          <w:rFonts w:ascii="Arial" w:hAnsi="Arial" w:cs="Arial"/>
          <w:b w:val="0"/>
          <w:sz w:val="20"/>
          <w:szCs w:val="20"/>
        </w:rPr>
        <w:t xml:space="preserve">Jatale, A. P., Jaiswal, G. B., Kabra, P. G., Mahajan, C. V., &amp; Deshmukh, S. P. (2024). Momordica dioica: A medicinal plant, its benefits and pharmacological activity. GSC Biological and Pharmaceutical Sciences, 26(3), 014–018. </w:t>
      </w:r>
      <w:hyperlink r:id="rId26" w:history="1">
        <w:r w:rsidRPr="00183E5E">
          <w:rPr>
            <w:rStyle w:val="Hyperlink"/>
            <w:rFonts w:ascii="Arial" w:hAnsi="Arial" w:cs="Arial"/>
            <w:b w:val="0"/>
            <w:sz w:val="20"/>
            <w:szCs w:val="20"/>
          </w:rPr>
          <w:t>https://doi.org/10.30574/gscbps.2024.26.3.0079</w:t>
        </w:r>
      </w:hyperlink>
      <w:r>
        <w:rPr>
          <w:rFonts w:ascii="Arial" w:hAnsi="Arial" w:cs="Arial"/>
          <w:b w:val="0"/>
          <w:sz w:val="20"/>
          <w:szCs w:val="20"/>
        </w:rPr>
        <w:t xml:space="preserve"> </w:t>
      </w:r>
    </w:p>
    <w:p w14:paraId="1ADA9990" w14:textId="77777777" w:rsidR="003853B2" w:rsidRDefault="003853B2" w:rsidP="00B43865">
      <w:pPr>
        <w:pStyle w:val="Konfliktinteresw"/>
        <w:numPr>
          <w:ilvl w:val="0"/>
          <w:numId w:val="38"/>
        </w:numPr>
        <w:tabs>
          <w:tab w:val="clear" w:pos="907"/>
          <w:tab w:val="left" w:pos="993"/>
        </w:tabs>
        <w:spacing w:before="91" w:line="480" w:lineRule="auto"/>
        <w:ind w:left="360"/>
        <w:jc w:val="both"/>
        <w:rPr>
          <w:rFonts w:ascii="Arial" w:hAnsi="Arial" w:cs="Arial"/>
          <w:b w:val="0"/>
          <w:sz w:val="20"/>
          <w:szCs w:val="20"/>
        </w:rPr>
      </w:pPr>
      <w:bookmarkStart w:id="26" w:name="_Ref216187092"/>
      <w:bookmarkEnd w:id="25"/>
      <w:r w:rsidRPr="003853B2">
        <w:rPr>
          <w:rFonts w:ascii="Arial" w:hAnsi="Arial" w:cs="Arial"/>
          <w:b w:val="0"/>
          <w:sz w:val="20"/>
          <w:szCs w:val="20"/>
        </w:rPr>
        <w:t xml:space="preserve">Singha, S., Gupta, B. D., Sarkar, A., Jana, S., Bharadwaj, P. K., Sharma, N., Haldar, P. K., Mukherjee, P. K., &amp; Kar, A. (2024). Chemo-profiling and exploring therapeutic potential of Momordica dioica Roxb. ex Willd. for managing metabolic related disorders: In-vitro studies, and docking based approach. Journal of Ethnopharmacology, 331, 118351. </w:t>
      </w:r>
      <w:hyperlink r:id="rId27" w:history="1">
        <w:r w:rsidRPr="00183E5E">
          <w:rPr>
            <w:rStyle w:val="Hyperlink"/>
            <w:rFonts w:ascii="Arial" w:hAnsi="Arial" w:cs="Arial"/>
            <w:b w:val="0"/>
            <w:sz w:val="20"/>
            <w:szCs w:val="20"/>
          </w:rPr>
          <w:t>https://doi.org/10.1016/j.jep.2024.118351</w:t>
        </w:r>
      </w:hyperlink>
      <w:r>
        <w:rPr>
          <w:rFonts w:ascii="Arial" w:hAnsi="Arial" w:cs="Arial"/>
          <w:b w:val="0"/>
          <w:sz w:val="20"/>
          <w:szCs w:val="20"/>
        </w:rPr>
        <w:t xml:space="preserve"> </w:t>
      </w:r>
    </w:p>
    <w:p w14:paraId="6AE16A8E" w14:textId="77777777" w:rsidR="003853B2" w:rsidRDefault="003853B2" w:rsidP="00B43865">
      <w:pPr>
        <w:pStyle w:val="Konfliktinteresw"/>
        <w:numPr>
          <w:ilvl w:val="0"/>
          <w:numId w:val="38"/>
        </w:numPr>
        <w:tabs>
          <w:tab w:val="clear" w:pos="907"/>
          <w:tab w:val="left" w:pos="993"/>
        </w:tabs>
        <w:spacing w:before="91" w:line="480" w:lineRule="auto"/>
        <w:ind w:left="360"/>
        <w:jc w:val="both"/>
        <w:rPr>
          <w:rFonts w:ascii="Arial" w:hAnsi="Arial" w:cs="Arial"/>
          <w:b w:val="0"/>
          <w:sz w:val="20"/>
          <w:szCs w:val="20"/>
        </w:rPr>
      </w:pPr>
      <w:bookmarkStart w:id="27" w:name="_Ref216187106"/>
      <w:bookmarkEnd w:id="26"/>
      <w:r w:rsidRPr="003853B2">
        <w:rPr>
          <w:rFonts w:ascii="Arial" w:hAnsi="Arial" w:cs="Arial"/>
          <w:b w:val="0"/>
          <w:sz w:val="20"/>
          <w:szCs w:val="20"/>
        </w:rPr>
        <w:t xml:space="preserve">Mohkami, Z., Kheiry, A., Sanikhani, M., Ghorbanpour, M., &amp; Ghasemi, M. (2024). Enhancing the medicinal properties and phytochemical content of bitter melon (Momordica charantia L.) through elicitation with brassinosteroid, ethrel, and carrageenan. BMC Plant Biology. </w:t>
      </w:r>
      <w:hyperlink r:id="rId28" w:history="1">
        <w:r w:rsidRPr="00183E5E">
          <w:rPr>
            <w:rStyle w:val="Hyperlink"/>
            <w:rFonts w:ascii="Arial" w:hAnsi="Arial" w:cs="Arial"/>
            <w:b w:val="0"/>
            <w:sz w:val="20"/>
            <w:szCs w:val="20"/>
          </w:rPr>
          <w:t>https://doi.org/10.1186/s12870-024-05688-z</w:t>
        </w:r>
      </w:hyperlink>
      <w:r>
        <w:rPr>
          <w:rFonts w:ascii="Arial" w:hAnsi="Arial" w:cs="Arial"/>
          <w:b w:val="0"/>
          <w:sz w:val="20"/>
          <w:szCs w:val="20"/>
        </w:rPr>
        <w:t xml:space="preserve"> </w:t>
      </w:r>
    </w:p>
    <w:p w14:paraId="3C400E12" w14:textId="77777777" w:rsidR="003853B2" w:rsidRDefault="003853B2" w:rsidP="00B43865">
      <w:pPr>
        <w:pStyle w:val="Konfliktinteresw"/>
        <w:numPr>
          <w:ilvl w:val="0"/>
          <w:numId w:val="38"/>
        </w:numPr>
        <w:tabs>
          <w:tab w:val="clear" w:pos="907"/>
          <w:tab w:val="left" w:pos="993"/>
        </w:tabs>
        <w:spacing w:before="91" w:line="480" w:lineRule="auto"/>
        <w:ind w:left="360"/>
        <w:jc w:val="both"/>
        <w:rPr>
          <w:rFonts w:ascii="Arial" w:hAnsi="Arial" w:cs="Arial"/>
          <w:b w:val="0"/>
          <w:sz w:val="20"/>
          <w:szCs w:val="20"/>
        </w:rPr>
      </w:pPr>
      <w:bookmarkStart w:id="28" w:name="_Ref216187113"/>
      <w:bookmarkEnd w:id="27"/>
      <w:r w:rsidRPr="003853B2">
        <w:rPr>
          <w:rFonts w:ascii="Arial" w:hAnsi="Arial" w:cs="Arial"/>
          <w:b w:val="0"/>
          <w:sz w:val="20"/>
          <w:szCs w:val="20"/>
        </w:rPr>
        <w:t xml:space="preserve">Valko, M., Leibfritz, D., Moncol, J., Cronin, M. T., Mazur, M., &amp; Telser, J. (2007). Free radicals and antioxidants in normal physiological functions and human disease. The International Journal of Biochemistry &amp; Cell Biology, 39(1), 44-84. </w:t>
      </w:r>
      <w:hyperlink r:id="rId29" w:history="1">
        <w:r w:rsidRPr="00183E5E">
          <w:rPr>
            <w:rStyle w:val="Hyperlink"/>
            <w:rFonts w:ascii="Arial" w:hAnsi="Arial" w:cs="Arial"/>
            <w:b w:val="0"/>
            <w:sz w:val="20"/>
            <w:szCs w:val="20"/>
          </w:rPr>
          <w:t>https://doi.org/10.1016/j.biocel.2006.07.001</w:t>
        </w:r>
      </w:hyperlink>
      <w:r>
        <w:rPr>
          <w:rFonts w:ascii="Arial" w:hAnsi="Arial" w:cs="Arial"/>
          <w:b w:val="0"/>
          <w:sz w:val="20"/>
          <w:szCs w:val="20"/>
        </w:rPr>
        <w:t xml:space="preserve"> </w:t>
      </w:r>
    </w:p>
    <w:p w14:paraId="6BE8A809" w14:textId="77777777" w:rsidR="003853B2" w:rsidRDefault="003853B2" w:rsidP="00B43865">
      <w:pPr>
        <w:pStyle w:val="Konfliktinteresw"/>
        <w:numPr>
          <w:ilvl w:val="0"/>
          <w:numId w:val="38"/>
        </w:numPr>
        <w:tabs>
          <w:tab w:val="clear" w:pos="907"/>
          <w:tab w:val="left" w:pos="993"/>
        </w:tabs>
        <w:spacing w:before="91" w:line="480" w:lineRule="auto"/>
        <w:ind w:left="360"/>
        <w:jc w:val="both"/>
        <w:rPr>
          <w:rFonts w:ascii="Arial" w:hAnsi="Arial" w:cs="Arial"/>
          <w:b w:val="0"/>
          <w:sz w:val="20"/>
          <w:szCs w:val="20"/>
        </w:rPr>
      </w:pPr>
      <w:bookmarkStart w:id="29" w:name="_Ref216187128"/>
      <w:bookmarkEnd w:id="28"/>
      <w:r w:rsidRPr="003853B2">
        <w:rPr>
          <w:rFonts w:ascii="Arial" w:hAnsi="Arial" w:cs="Arial"/>
          <w:b w:val="0"/>
          <w:sz w:val="20"/>
          <w:szCs w:val="20"/>
        </w:rPr>
        <w:t xml:space="preserve">Surh, Y. J. (2003). Cancer chemoprevention with dietary phytochemicals. Nature Reviews Cancer, 3(10), 768–780. </w:t>
      </w:r>
      <w:hyperlink r:id="rId30" w:history="1">
        <w:r w:rsidRPr="00183E5E">
          <w:rPr>
            <w:rStyle w:val="Hyperlink"/>
            <w:rFonts w:ascii="Arial" w:hAnsi="Arial" w:cs="Arial"/>
            <w:b w:val="0"/>
            <w:sz w:val="20"/>
            <w:szCs w:val="20"/>
          </w:rPr>
          <w:t>https://doi.org/10.1038/nrc1189</w:t>
        </w:r>
      </w:hyperlink>
      <w:r>
        <w:rPr>
          <w:rFonts w:ascii="Arial" w:hAnsi="Arial" w:cs="Arial"/>
          <w:b w:val="0"/>
          <w:sz w:val="20"/>
          <w:szCs w:val="20"/>
        </w:rPr>
        <w:t xml:space="preserve"> </w:t>
      </w:r>
    </w:p>
    <w:p w14:paraId="7BBD9C32" w14:textId="77777777" w:rsidR="003853B2" w:rsidRDefault="003853B2" w:rsidP="00B43865">
      <w:pPr>
        <w:pStyle w:val="Konfliktinteresw"/>
        <w:numPr>
          <w:ilvl w:val="0"/>
          <w:numId w:val="38"/>
        </w:numPr>
        <w:tabs>
          <w:tab w:val="clear" w:pos="907"/>
          <w:tab w:val="left" w:pos="993"/>
        </w:tabs>
        <w:spacing w:before="91" w:line="480" w:lineRule="auto"/>
        <w:ind w:left="360"/>
        <w:jc w:val="both"/>
        <w:rPr>
          <w:rFonts w:ascii="Arial" w:hAnsi="Arial" w:cs="Arial"/>
          <w:b w:val="0"/>
          <w:sz w:val="20"/>
          <w:szCs w:val="20"/>
        </w:rPr>
      </w:pPr>
      <w:bookmarkStart w:id="30" w:name="_Ref216187137"/>
      <w:bookmarkEnd w:id="29"/>
      <w:r w:rsidRPr="003853B2">
        <w:rPr>
          <w:rFonts w:ascii="Arial" w:hAnsi="Arial" w:cs="Arial"/>
          <w:b w:val="0"/>
          <w:sz w:val="20"/>
          <w:szCs w:val="20"/>
        </w:rPr>
        <w:t xml:space="preserve">Jaithliya, D., Rajput, N., Bhawar, F., Prakash, B., &amp; Patel, S. (2024). Antiulcer Properties of Guava and Chameli Leaves: A Phytochemical Exploration for Oral Ulcer Management. International Journal of Research in Pharmaceutical Sciences, 15(3), 47-58. </w:t>
      </w:r>
      <w:hyperlink r:id="rId31" w:history="1">
        <w:r w:rsidRPr="00183E5E">
          <w:rPr>
            <w:rStyle w:val="Hyperlink"/>
            <w:rFonts w:ascii="Arial" w:hAnsi="Arial" w:cs="Arial"/>
            <w:b w:val="0"/>
            <w:sz w:val="20"/>
            <w:szCs w:val="20"/>
          </w:rPr>
          <w:t>https://doi.org/10.26452/ijrps.v15i3.4692</w:t>
        </w:r>
      </w:hyperlink>
      <w:r>
        <w:rPr>
          <w:rFonts w:ascii="Arial" w:hAnsi="Arial" w:cs="Arial"/>
          <w:b w:val="0"/>
          <w:sz w:val="20"/>
          <w:szCs w:val="20"/>
        </w:rPr>
        <w:t xml:space="preserve"> </w:t>
      </w:r>
    </w:p>
    <w:p w14:paraId="4353A54B" w14:textId="77777777" w:rsidR="003853B2" w:rsidRDefault="003853B2" w:rsidP="00B43865">
      <w:pPr>
        <w:pStyle w:val="Konfliktinteresw"/>
        <w:numPr>
          <w:ilvl w:val="0"/>
          <w:numId w:val="38"/>
        </w:numPr>
        <w:tabs>
          <w:tab w:val="clear" w:pos="907"/>
          <w:tab w:val="left" w:pos="993"/>
        </w:tabs>
        <w:spacing w:before="91" w:line="480" w:lineRule="auto"/>
        <w:ind w:left="360"/>
        <w:jc w:val="both"/>
        <w:rPr>
          <w:rFonts w:ascii="Arial" w:hAnsi="Arial" w:cs="Arial"/>
          <w:b w:val="0"/>
          <w:sz w:val="20"/>
          <w:szCs w:val="20"/>
        </w:rPr>
      </w:pPr>
      <w:bookmarkStart w:id="31" w:name="_Ref216187189"/>
      <w:bookmarkEnd w:id="30"/>
      <w:r w:rsidRPr="003853B2">
        <w:rPr>
          <w:rFonts w:ascii="Arial" w:hAnsi="Arial" w:cs="Arial"/>
          <w:b w:val="0"/>
          <w:sz w:val="20"/>
          <w:szCs w:val="20"/>
        </w:rPr>
        <w:t xml:space="preserve">Patel, S., Dey, R., Verma, K., Deshbhratar, R., Maru, K. K., Sharma, P., Limaye, R., &amp; Puri, P. (2023). Comparative analysis of antioxidant and anti-inflammatory activities of red, blue, and black tea for health benefits. Brazilian Journal of Science, 2(4), 76-89. </w:t>
      </w:r>
      <w:hyperlink r:id="rId32" w:history="1">
        <w:r w:rsidRPr="00183E5E">
          <w:rPr>
            <w:rStyle w:val="Hyperlink"/>
            <w:rFonts w:ascii="Arial" w:hAnsi="Arial" w:cs="Arial"/>
            <w:b w:val="0"/>
            <w:sz w:val="20"/>
            <w:szCs w:val="20"/>
          </w:rPr>
          <w:t>https://doi.org/10.14295/bjs.v2i4.299</w:t>
        </w:r>
      </w:hyperlink>
      <w:r>
        <w:rPr>
          <w:rFonts w:ascii="Arial" w:hAnsi="Arial" w:cs="Arial"/>
          <w:b w:val="0"/>
          <w:sz w:val="20"/>
          <w:szCs w:val="20"/>
        </w:rPr>
        <w:t xml:space="preserve"> </w:t>
      </w:r>
    </w:p>
    <w:p w14:paraId="08261EE6" w14:textId="77777777" w:rsidR="009F42CC" w:rsidRDefault="009F42CC" w:rsidP="00B43865">
      <w:pPr>
        <w:pStyle w:val="Konfliktinteresw"/>
        <w:numPr>
          <w:ilvl w:val="0"/>
          <w:numId w:val="38"/>
        </w:numPr>
        <w:tabs>
          <w:tab w:val="clear" w:pos="907"/>
          <w:tab w:val="left" w:pos="993"/>
        </w:tabs>
        <w:spacing w:before="91" w:line="480" w:lineRule="auto"/>
        <w:ind w:left="360"/>
        <w:jc w:val="both"/>
        <w:rPr>
          <w:rFonts w:ascii="Arial" w:hAnsi="Arial" w:cs="Arial"/>
          <w:b w:val="0"/>
          <w:sz w:val="20"/>
          <w:szCs w:val="20"/>
        </w:rPr>
      </w:pPr>
      <w:bookmarkStart w:id="32" w:name="_Ref216187206"/>
      <w:bookmarkEnd w:id="31"/>
      <w:r w:rsidRPr="009F42CC">
        <w:rPr>
          <w:rFonts w:ascii="Arial" w:hAnsi="Arial" w:cs="Arial"/>
          <w:b w:val="0"/>
          <w:sz w:val="20"/>
          <w:szCs w:val="20"/>
        </w:rPr>
        <w:lastRenderedPageBreak/>
        <w:t xml:space="preserve">Patel, R. K., Patel, J. B., &amp; Trivedi, P. D. (2015). Spectrophotometric method for the estimation of total alkaloids in the Tinospora cordifolia M. and its herbal formulations. International Journal of Pharmacy and Pharmaceutical Sciences, 7(10), 249–251. </w:t>
      </w:r>
      <w:hyperlink r:id="rId33" w:history="1">
        <w:r w:rsidRPr="00183E5E">
          <w:rPr>
            <w:rStyle w:val="Hyperlink"/>
            <w:rFonts w:ascii="Arial" w:hAnsi="Arial" w:cs="Arial"/>
            <w:b w:val="0"/>
            <w:sz w:val="20"/>
            <w:szCs w:val="20"/>
          </w:rPr>
          <w:t>https://doi.org/10.22159/ijpps.v7i10.6990</w:t>
        </w:r>
      </w:hyperlink>
      <w:r>
        <w:rPr>
          <w:rFonts w:ascii="Arial" w:hAnsi="Arial" w:cs="Arial"/>
          <w:b w:val="0"/>
          <w:sz w:val="20"/>
          <w:szCs w:val="20"/>
        </w:rPr>
        <w:t xml:space="preserve"> </w:t>
      </w:r>
    </w:p>
    <w:p w14:paraId="40822C1F" w14:textId="77777777" w:rsidR="009F42CC" w:rsidRDefault="009F42CC" w:rsidP="00B43865">
      <w:pPr>
        <w:pStyle w:val="Konfliktinteresw"/>
        <w:numPr>
          <w:ilvl w:val="0"/>
          <w:numId w:val="38"/>
        </w:numPr>
        <w:tabs>
          <w:tab w:val="clear" w:pos="907"/>
          <w:tab w:val="left" w:pos="993"/>
        </w:tabs>
        <w:spacing w:before="91" w:line="480" w:lineRule="auto"/>
        <w:ind w:left="360"/>
        <w:jc w:val="both"/>
        <w:rPr>
          <w:rFonts w:ascii="Arial" w:hAnsi="Arial" w:cs="Arial"/>
          <w:b w:val="0"/>
          <w:sz w:val="20"/>
          <w:szCs w:val="20"/>
        </w:rPr>
      </w:pPr>
      <w:bookmarkStart w:id="33" w:name="_Ref216187244"/>
      <w:bookmarkEnd w:id="32"/>
      <w:r w:rsidRPr="009F42CC">
        <w:rPr>
          <w:rFonts w:ascii="Arial" w:hAnsi="Arial" w:cs="Arial"/>
          <w:b w:val="0"/>
          <w:sz w:val="20"/>
          <w:szCs w:val="20"/>
        </w:rPr>
        <w:t xml:space="preserve">Patel, S., Sharma, P., Supat, M., Mali, S., Bafna, A., Rangwala, T., Limaye, R., &amp; Puri, P. (2024). Investigation of Antioxidant Potential of Black Beans Due to Phytochemical and Globulin Content for Nutraceutical Application. Defence Life Science Journal, 9(4), 326–334. </w:t>
      </w:r>
      <w:hyperlink r:id="rId34" w:history="1">
        <w:r w:rsidRPr="00183E5E">
          <w:rPr>
            <w:rStyle w:val="Hyperlink"/>
            <w:rFonts w:ascii="Arial" w:hAnsi="Arial" w:cs="Arial"/>
            <w:b w:val="0"/>
            <w:sz w:val="20"/>
            <w:szCs w:val="20"/>
          </w:rPr>
          <w:t>https://doi.org/10.14429/dlsj.9.19920</w:t>
        </w:r>
      </w:hyperlink>
      <w:r>
        <w:rPr>
          <w:rFonts w:ascii="Arial" w:hAnsi="Arial" w:cs="Arial"/>
          <w:b w:val="0"/>
          <w:sz w:val="20"/>
          <w:szCs w:val="20"/>
        </w:rPr>
        <w:t xml:space="preserve"> </w:t>
      </w:r>
    </w:p>
    <w:p w14:paraId="2F9A1116" w14:textId="77777777" w:rsidR="009F42CC" w:rsidRDefault="009F42CC" w:rsidP="00B43865">
      <w:pPr>
        <w:pStyle w:val="Konfliktinteresw"/>
        <w:numPr>
          <w:ilvl w:val="0"/>
          <w:numId w:val="38"/>
        </w:numPr>
        <w:tabs>
          <w:tab w:val="clear" w:pos="907"/>
          <w:tab w:val="left" w:pos="993"/>
        </w:tabs>
        <w:spacing w:before="91" w:line="480" w:lineRule="auto"/>
        <w:ind w:left="360"/>
        <w:jc w:val="both"/>
        <w:rPr>
          <w:rFonts w:ascii="Arial" w:hAnsi="Arial" w:cs="Arial"/>
          <w:b w:val="0"/>
          <w:sz w:val="20"/>
          <w:szCs w:val="20"/>
        </w:rPr>
      </w:pPr>
      <w:bookmarkStart w:id="34" w:name="_Ref216187306"/>
      <w:bookmarkEnd w:id="33"/>
      <w:r w:rsidRPr="009F42CC">
        <w:rPr>
          <w:rFonts w:ascii="Arial" w:hAnsi="Arial" w:cs="Arial"/>
          <w:b w:val="0"/>
          <w:sz w:val="20"/>
          <w:szCs w:val="20"/>
        </w:rPr>
        <w:t xml:space="preserve">Suruthi, M., Sivabalakrishnan, S., Yuvasri, G., Ragunathan, R., &amp; Johney, J. (2016). Antioxidant anticancer activity of Leucas aspera plant extract and its dna damage study on he-la cell lines. *Research Journal of Life Sciences, Bioinformatics, Pharmaceutical and Chemical Sciences*, *2*(2), 1-9. </w:t>
      </w:r>
      <w:hyperlink r:id="rId35" w:history="1">
        <w:r w:rsidRPr="00183E5E">
          <w:rPr>
            <w:rStyle w:val="Hyperlink"/>
            <w:rFonts w:ascii="Arial" w:hAnsi="Arial" w:cs="Arial"/>
            <w:b w:val="0"/>
            <w:sz w:val="20"/>
            <w:szCs w:val="20"/>
          </w:rPr>
          <w:t>https://doi.org/10.26479/2016.0202.01</w:t>
        </w:r>
      </w:hyperlink>
      <w:r>
        <w:rPr>
          <w:rFonts w:ascii="Arial" w:hAnsi="Arial" w:cs="Arial"/>
          <w:b w:val="0"/>
          <w:sz w:val="20"/>
          <w:szCs w:val="20"/>
        </w:rPr>
        <w:t xml:space="preserve"> </w:t>
      </w:r>
    </w:p>
    <w:p w14:paraId="69840ACE" w14:textId="77777777" w:rsidR="009F42CC" w:rsidRDefault="009F42CC" w:rsidP="00B43865">
      <w:pPr>
        <w:pStyle w:val="Konfliktinteresw"/>
        <w:numPr>
          <w:ilvl w:val="0"/>
          <w:numId w:val="38"/>
        </w:numPr>
        <w:tabs>
          <w:tab w:val="clear" w:pos="907"/>
          <w:tab w:val="left" w:pos="993"/>
        </w:tabs>
        <w:spacing w:before="91" w:line="480" w:lineRule="auto"/>
        <w:ind w:left="360"/>
        <w:jc w:val="both"/>
        <w:rPr>
          <w:rFonts w:ascii="Arial" w:hAnsi="Arial" w:cs="Arial"/>
          <w:b w:val="0"/>
          <w:sz w:val="20"/>
          <w:szCs w:val="20"/>
        </w:rPr>
      </w:pPr>
      <w:bookmarkStart w:id="35" w:name="_Ref216187346"/>
      <w:bookmarkEnd w:id="34"/>
      <w:r w:rsidRPr="009F42CC">
        <w:rPr>
          <w:rFonts w:ascii="Arial" w:hAnsi="Arial" w:cs="Arial"/>
          <w:b w:val="0"/>
          <w:sz w:val="20"/>
          <w:szCs w:val="20"/>
        </w:rPr>
        <w:t xml:space="preserve">Sarwade, P. P., Kumar S.R., S., Sonwani, K., Geetha, M., Gajendhini, S., &amp; Shanmugapriya, S. (2025). Momordica dioica: Phytochemistry, Traditional Uses and It’s Neuroprotective Activity. Stallion Journal for Multidisciplinary Associated Research Studies. </w:t>
      </w:r>
      <w:hyperlink r:id="rId36" w:history="1">
        <w:r w:rsidRPr="00183E5E">
          <w:rPr>
            <w:rStyle w:val="Hyperlink"/>
            <w:rFonts w:ascii="Arial" w:hAnsi="Arial" w:cs="Arial"/>
            <w:b w:val="0"/>
            <w:sz w:val="20"/>
            <w:szCs w:val="20"/>
          </w:rPr>
          <w:t>https://doi.org/10.55544/sjmars.4.4.4</w:t>
        </w:r>
      </w:hyperlink>
      <w:r>
        <w:rPr>
          <w:rFonts w:ascii="Arial" w:hAnsi="Arial" w:cs="Arial"/>
          <w:b w:val="0"/>
          <w:sz w:val="20"/>
          <w:szCs w:val="20"/>
        </w:rPr>
        <w:t xml:space="preserve"> </w:t>
      </w:r>
    </w:p>
    <w:p w14:paraId="520E7C17" w14:textId="77777777" w:rsidR="009F42CC" w:rsidRDefault="009F42CC" w:rsidP="00B43865">
      <w:pPr>
        <w:pStyle w:val="Konfliktinteresw"/>
        <w:numPr>
          <w:ilvl w:val="0"/>
          <w:numId w:val="38"/>
        </w:numPr>
        <w:tabs>
          <w:tab w:val="clear" w:pos="907"/>
          <w:tab w:val="left" w:pos="993"/>
        </w:tabs>
        <w:spacing w:before="91" w:line="480" w:lineRule="auto"/>
        <w:ind w:left="360"/>
        <w:jc w:val="both"/>
        <w:rPr>
          <w:rFonts w:ascii="Arial" w:hAnsi="Arial" w:cs="Arial"/>
          <w:b w:val="0"/>
          <w:sz w:val="20"/>
          <w:szCs w:val="20"/>
        </w:rPr>
      </w:pPr>
      <w:bookmarkStart w:id="36" w:name="_Ref216187397"/>
      <w:bookmarkEnd w:id="35"/>
      <w:r w:rsidRPr="009F42CC">
        <w:rPr>
          <w:rFonts w:ascii="Arial" w:hAnsi="Arial" w:cs="Arial"/>
          <w:b w:val="0"/>
          <w:sz w:val="20"/>
          <w:szCs w:val="20"/>
        </w:rPr>
        <w:t xml:space="preserve">Dakhure, V. K., &amp; Gachande, B. D. (2021). The Study of Phytochemicals, Traditional and pharmacological Uses of Momordica dioica Roxb. ex. Willd: A review. INTERNATIONAL JOURNAL FOR INNOVATIVE RESEARCH IN MULTIDISCIPLINARY FIELD. </w:t>
      </w:r>
      <w:hyperlink r:id="rId37" w:history="1">
        <w:r w:rsidRPr="00183E5E">
          <w:rPr>
            <w:rStyle w:val="Hyperlink"/>
            <w:rFonts w:ascii="Arial" w:hAnsi="Arial" w:cs="Arial"/>
            <w:b w:val="0"/>
            <w:sz w:val="20"/>
            <w:szCs w:val="20"/>
          </w:rPr>
          <w:t>https://doi.org/10.2015/IJIRMF.2455.0620/202107013</w:t>
        </w:r>
      </w:hyperlink>
      <w:r>
        <w:rPr>
          <w:rFonts w:ascii="Arial" w:hAnsi="Arial" w:cs="Arial"/>
          <w:b w:val="0"/>
          <w:sz w:val="20"/>
          <w:szCs w:val="20"/>
        </w:rPr>
        <w:t xml:space="preserve"> </w:t>
      </w:r>
    </w:p>
    <w:p w14:paraId="013A357E" w14:textId="52F7D38D" w:rsidR="00C36F27" w:rsidRDefault="00D40A83" w:rsidP="00D40A83">
      <w:pPr>
        <w:pStyle w:val="Konfliktinteresw"/>
        <w:numPr>
          <w:ilvl w:val="0"/>
          <w:numId w:val="38"/>
        </w:numPr>
        <w:tabs>
          <w:tab w:val="clear" w:pos="907"/>
          <w:tab w:val="left" w:pos="993"/>
        </w:tabs>
        <w:spacing w:before="91" w:line="480" w:lineRule="auto"/>
        <w:ind w:left="360"/>
        <w:jc w:val="both"/>
        <w:rPr>
          <w:rFonts w:ascii="Arial" w:hAnsi="Arial" w:cs="Arial"/>
          <w:b w:val="0"/>
          <w:sz w:val="20"/>
          <w:szCs w:val="20"/>
        </w:rPr>
      </w:pPr>
      <w:r w:rsidRPr="00D40A83">
        <w:rPr>
          <w:rFonts w:ascii="Arial" w:hAnsi="Arial" w:cs="Arial"/>
          <w:b w:val="0"/>
          <w:sz w:val="20"/>
          <w:szCs w:val="20"/>
        </w:rPr>
        <w:t>Zahan S, Uddin SN, Hossain MK, Mannan AB, Rahman M, Chen U, Mazumder T, Uddin AM, Arefin S, Hussain MS.</w:t>
      </w:r>
      <w:r w:rsidR="005C4392">
        <w:rPr>
          <w:rFonts w:ascii="Arial" w:hAnsi="Arial" w:cs="Arial"/>
          <w:b w:val="0"/>
          <w:sz w:val="20"/>
          <w:szCs w:val="20"/>
        </w:rPr>
        <w:t xml:space="preserve"> (</w:t>
      </w:r>
      <w:r w:rsidR="005C4392" w:rsidRPr="00D40A83">
        <w:rPr>
          <w:rFonts w:ascii="Arial" w:hAnsi="Arial" w:cs="Arial"/>
          <w:b w:val="0"/>
          <w:sz w:val="20"/>
          <w:szCs w:val="20"/>
        </w:rPr>
        <w:t>2020</w:t>
      </w:r>
      <w:r w:rsidR="005C4392">
        <w:rPr>
          <w:rFonts w:ascii="Arial" w:hAnsi="Arial" w:cs="Arial"/>
          <w:b w:val="0"/>
          <w:sz w:val="20"/>
          <w:szCs w:val="20"/>
        </w:rPr>
        <w:t>).</w:t>
      </w:r>
      <w:r w:rsidRPr="00D40A83">
        <w:rPr>
          <w:rFonts w:ascii="Arial" w:hAnsi="Arial" w:cs="Arial"/>
          <w:b w:val="0"/>
          <w:sz w:val="20"/>
          <w:szCs w:val="20"/>
        </w:rPr>
        <w:t xml:space="preserve"> Evaluation of phytochemical and pharmacological properties of seeds of </w:t>
      </w:r>
      <w:r w:rsidRPr="000D0792">
        <w:rPr>
          <w:rFonts w:ascii="Arial" w:hAnsi="Arial" w:cs="Arial"/>
          <w:b w:val="0"/>
          <w:i/>
          <w:sz w:val="20"/>
          <w:szCs w:val="20"/>
        </w:rPr>
        <w:t>Momordica charantia</w:t>
      </w:r>
      <w:r w:rsidRPr="00D40A83">
        <w:rPr>
          <w:rFonts w:ascii="Arial" w:hAnsi="Arial" w:cs="Arial"/>
          <w:b w:val="0"/>
          <w:sz w:val="20"/>
          <w:szCs w:val="20"/>
        </w:rPr>
        <w:t>. Avicenna Jo</w:t>
      </w:r>
      <w:r w:rsidR="009A07BB">
        <w:rPr>
          <w:rFonts w:ascii="Arial" w:hAnsi="Arial" w:cs="Arial"/>
          <w:b w:val="0"/>
          <w:sz w:val="20"/>
          <w:szCs w:val="20"/>
        </w:rPr>
        <w:t xml:space="preserve">urnal of Phytomedicine. </w:t>
      </w:r>
      <w:r w:rsidR="00D75D09">
        <w:rPr>
          <w:rFonts w:ascii="Arial" w:hAnsi="Arial" w:cs="Arial"/>
          <w:b w:val="0"/>
          <w:sz w:val="20"/>
          <w:szCs w:val="20"/>
        </w:rPr>
        <w:t xml:space="preserve">10(5), </w:t>
      </w:r>
      <w:r w:rsidRPr="00D40A83">
        <w:rPr>
          <w:rFonts w:ascii="Arial" w:hAnsi="Arial" w:cs="Arial"/>
          <w:b w:val="0"/>
          <w:sz w:val="20"/>
          <w:szCs w:val="20"/>
        </w:rPr>
        <w:t>448.</w:t>
      </w:r>
    </w:p>
    <w:p w14:paraId="5F10F54B" w14:textId="186F3299" w:rsidR="00575EC4" w:rsidRPr="00575EC4" w:rsidRDefault="00575EC4" w:rsidP="00575EC4">
      <w:pPr>
        <w:pStyle w:val="Konfliktinteresw"/>
        <w:numPr>
          <w:ilvl w:val="0"/>
          <w:numId w:val="38"/>
        </w:numPr>
        <w:tabs>
          <w:tab w:val="clear" w:pos="907"/>
          <w:tab w:val="left" w:pos="993"/>
        </w:tabs>
        <w:spacing w:before="91" w:line="480" w:lineRule="auto"/>
        <w:ind w:left="360"/>
        <w:jc w:val="both"/>
        <w:rPr>
          <w:rFonts w:ascii="Arial" w:hAnsi="Arial" w:cs="Arial"/>
          <w:b w:val="0"/>
          <w:sz w:val="20"/>
          <w:szCs w:val="20"/>
        </w:rPr>
      </w:pPr>
      <w:r w:rsidRPr="00575EC4">
        <w:rPr>
          <w:rFonts w:ascii="Arial" w:hAnsi="Arial" w:cs="Arial"/>
          <w:b w:val="0"/>
          <w:sz w:val="20"/>
          <w:szCs w:val="20"/>
        </w:rPr>
        <w:t xml:space="preserve">Oloruntola, O. D., Ayodele, S. O., Olowu, O. P. A., Falowo, A. B., Adeyeye, S. A., Omoniyi, I. S., &amp; Osowe, C. O. (2021). The Proximate Analysis, Phytochemical Screening, Antioxidant Activity and Mineral Composition of Momordica Charantia and Ocimum Gratissimum Leaf Powder. Asian Journal of Research in Biochemistry, 8(4), 30–39. </w:t>
      </w:r>
      <w:r w:rsidRPr="00575EC4">
        <w:rPr>
          <w:rStyle w:val="Hyperlink"/>
          <w:rFonts w:ascii="Arial" w:hAnsi="Arial" w:cs="Arial"/>
          <w:sz w:val="20"/>
          <w:szCs w:val="20"/>
        </w:rPr>
        <w:t>https://doi.org/10.9734/ajrb/2021/v8i430188</w:t>
      </w:r>
    </w:p>
    <w:p w14:paraId="10571D83" w14:textId="77777777" w:rsidR="009F42CC" w:rsidRDefault="009F42CC" w:rsidP="00B43865">
      <w:pPr>
        <w:pStyle w:val="Konfliktinteresw"/>
        <w:numPr>
          <w:ilvl w:val="0"/>
          <w:numId w:val="38"/>
        </w:numPr>
        <w:tabs>
          <w:tab w:val="clear" w:pos="907"/>
          <w:tab w:val="left" w:pos="993"/>
        </w:tabs>
        <w:spacing w:before="91" w:line="480" w:lineRule="auto"/>
        <w:ind w:left="360"/>
        <w:jc w:val="both"/>
        <w:rPr>
          <w:rFonts w:ascii="Arial" w:hAnsi="Arial" w:cs="Arial"/>
          <w:b w:val="0"/>
          <w:sz w:val="20"/>
          <w:szCs w:val="20"/>
        </w:rPr>
      </w:pPr>
      <w:bookmarkStart w:id="37" w:name="_Ref216187430"/>
      <w:bookmarkEnd w:id="36"/>
      <w:r w:rsidRPr="009F42CC">
        <w:rPr>
          <w:rFonts w:ascii="Arial" w:hAnsi="Arial" w:cs="Arial"/>
          <w:b w:val="0"/>
          <w:sz w:val="20"/>
          <w:szCs w:val="20"/>
        </w:rPr>
        <w:t xml:space="preserve">Rafieian-Kopaei, M., Baradaran, A., &amp; Rafieian, M. (2013). Oxidative stress and the paradoxical effects of antioxidants. Journal of research in medical sciences: the official journal of Isfahan University of Medical Sciences, 18(7), 629. </w:t>
      </w:r>
      <w:hyperlink r:id="rId38" w:history="1">
        <w:r w:rsidRPr="00183E5E">
          <w:rPr>
            <w:rStyle w:val="Hyperlink"/>
            <w:rFonts w:ascii="Arial" w:hAnsi="Arial" w:cs="Arial"/>
            <w:b w:val="0"/>
            <w:sz w:val="20"/>
            <w:szCs w:val="20"/>
          </w:rPr>
          <w:t>https://pubmed.ncbi.nlm.nih.gov/24516501/</w:t>
        </w:r>
      </w:hyperlink>
      <w:r>
        <w:rPr>
          <w:rFonts w:ascii="Arial" w:hAnsi="Arial" w:cs="Arial"/>
          <w:b w:val="0"/>
          <w:sz w:val="20"/>
          <w:szCs w:val="20"/>
        </w:rPr>
        <w:t xml:space="preserve"> </w:t>
      </w:r>
      <w:bookmarkEnd w:id="37"/>
    </w:p>
    <w:p w14:paraId="08217360" w14:textId="49384FB8" w:rsidR="00B01FCD" w:rsidRPr="009F42CC" w:rsidRDefault="009F42CC" w:rsidP="00B43865">
      <w:pPr>
        <w:pStyle w:val="Konfliktinteresw"/>
        <w:numPr>
          <w:ilvl w:val="0"/>
          <w:numId w:val="38"/>
        </w:numPr>
        <w:tabs>
          <w:tab w:val="clear" w:pos="907"/>
          <w:tab w:val="left" w:pos="993"/>
        </w:tabs>
        <w:spacing w:before="91" w:line="480" w:lineRule="auto"/>
        <w:ind w:left="360"/>
        <w:jc w:val="both"/>
        <w:rPr>
          <w:rFonts w:ascii="Arial" w:hAnsi="Arial" w:cs="Arial"/>
          <w:b w:val="0"/>
          <w:sz w:val="20"/>
          <w:szCs w:val="20"/>
        </w:rPr>
      </w:pPr>
      <w:r w:rsidRPr="009F42CC">
        <w:rPr>
          <w:rFonts w:ascii="Arial" w:hAnsi="Arial" w:cs="Arial"/>
          <w:b w:val="0"/>
          <w:sz w:val="20"/>
        </w:rPr>
        <w:t xml:space="preserve">Koorstra, J. B. M., Feldmann, G., Habbe, N., &amp; Maitra, A. (2008). Morphogenesis of pancreatic cancer: role of pancreatic intraepithelial neoplasia (PanINs). Langenbeck's Archives of Surgery, 393(4), 561–570. </w:t>
      </w:r>
      <w:hyperlink r:id="rId39" w:history="1">
        <w:r w:rsidRPr="009F42CC">
          <w:rPr>
            <w:rStyle w:val="Hyperlink"/>
            <w:rFonts w:ascii="Arial" w:hAnsi="Arial" w:cs="Arial"/>
            <w:b w:val="0"/>
            <w:sz w:val="20"/>
          </w:rPr>
          <w:t>https://doi.org/10.1007/s00423-008-0282-x</w:t>
        </w:r>
      </w:hyperlink>
      <w:r w:rsidRPr="009F42CC">
        <w:rPr>
          <w:rFonts w:ascii="Arial" w:hAnsi="Arial" w:cs="Arial"/>
          <w:b w:val="0"/>
          <w:sz w:val="20"/>
        </w:rPr>
        <w:t xml:space="preserve"> </w:t>
      </w:r>
    </w:p>
    <w:p w14:paraId="4939B53B" w14:textId="77777777" w:rsidR="009F42CC" w:rsidRPr="00FB3A86" w:rsidRDefault="009F42CC" w:rsidP="00B43865">
      <w:pPr>
        <w:pStyle w:val="Appendix"/>
        <w:spacing w:after="0" w:line="480" w:lineRule="auto"/>
        <w:jc w:val="both"/>
        <w:rPr>
          <w:rFonts w:ascii="Arial" w:hAnsi="Arial" w:cs="Arial"/>
          <w:b w:val="0"/>
        </w:rPr>
      </w:pPr>
    </w:p>
    <w:sectPr w:rsidR="009F42CC" w:rsidRPr="00FB3A86" w:rsidSect="00396192">
      <w:headerReference w:type="even" r:id="rId40"/>
      <w:headerReference w:type="default" r:id="rId41"/>
      <w:footerReference w:type="default" r:id="rId42"/>
      <w:headerReference w:type="first" r:id="rId4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EBF95" w14:textId="77777777" w:rsidR="00932FBE" w:rsidRDefault="00932FBE" w:rsidP="00C37E61">
      <w:r>
        <w:separator/>
      </w:r>
    </w:p>
  </w:endnote>
  <w:endnote w:type="continuationSeparator" w:id="0">
    <w:p w14:paraId="421D2340" w14:textId="77777777" w:rsidR="00932FBE" w:rsidRDefault="00932FB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Vrinda">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B6128" w14:textId="77777777" w:rsidR="00396192" w:rsidRDefault="003961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2BA91" w14:textId="77777777" w:rsidR="00396192" w:rsidRDefault="003961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21353" w14:textId="77777777" w:rsidR="009E048A" w:rsidRDefault="009E048A">
    <w:pPr>
      <w:pStyle w:val="Footer"/>
      <w:rPr>
        <w:rFonts w:ascii="Arial" w:hAnsi="Arial" w:cs="Arial"/>
        <w:sz w:val="16"/>
      </w:rPr>
    </w:pPr>
  </w:p>
  <w:p w14:paraId="1CCC248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EA32769" w14:textId="77777777" w:rsidR="009E048A" w:rsidRDefault="009E048A">
    <w:pPr>
      <w:pStyle w:val="Footer"/>
      <w:rPr>
        <w:rFonts w:ascii="Arial" w:hAnsi="Arial" w:cs="Arial"/>
        <w:sz w:val="16"/>
      </w:rPr>
    </w:pPr>
  </w:p>
  <w:p w14:paraId="342BE07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2D8CF"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C18891" w14:textId="77777777" w:rsidR="00932FBE" w:rsidRDefault="00932FBE" w:rsidP="00C37E61">
      <w:r>
        <w:separator/>
      </w:r>
    </w:p>
  </w:footnote>
  <w:footnote w:type="continuationSeparator" w:id="0">
    <w:p w14:paraId="23C56B01" w14:textId="77777777" w:rsidR="00932FBE" w:rsidRDefault="00932FBE"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1AE48" w14:textId="3C73F157" w:rsidR="00396192" w:rsidRDefault="00932FBE">
    <w:pPr>
      <w:pStyle w:val="Header"/>
    </w:pPr>
    <w:r>
      <w:rPr>
        <w:noProof/>
      </w:rPr>
      <w:pict w14:anchorId="1E8A58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899610"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ABBFA" w14:textId="7689E606" w:rsidR="00396192" w:rsidRDefault="00932FBE">
    <w:pPr>
      <w:pStyle w:val="Header"/>
    </w:pPr>
    <w:r>
      <w:rPr>
        <w:noProof/>
      </w:rPr>
      <w:pict w14:anchorId="710F64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899611"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325A5" w14:textId="09EFB99A" w:rsidR="00296529" w:rsidRPr="00296529" w:rsidRDefault="00932FBE" w:rsidP="00296529">
    <w:pPr>
      <w:ind w:left="2160"/>
      <w:jc w:val="center"/>
      <w:rPr>
        <w:rFonts w:ascii="Times New Roman" w:eastAsia="Calibri" w:hAnsi="Times New Roman"/>
        <w:i/>
        <w:sz w:val="18"/>
        <w:szCs w:val="22"/>
      </w:rPr>
    </w:pPr>
    <w:r>
      <w:rPr>
        <w:noProof/>
      </w:rPr>
      <w:pict w14:anchorId="36FFAF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899609"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4080A0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375754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C20EA4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5C781B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1C791D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0318DAF"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AA6B4" w14:textId="751E1576" w:rsidR="00396192" w:rsidRDefault="00932FBE">
    <w:pPr>
      <w:pStyle w:val="Header"/>
    </w:pPr>
    <w:r>
      <w:rPr>
        <w:noProof/>
      </w:rPr>
      <w:pict w14:anchorId="4DC0B6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899613"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4EB49" w14:textId="32D63A45" w:rsidR="00396192" w:rsidRDefault="00932FBE">
    <w:pPr>
      <w:pStyle w:val="Header"/>
    </w:pPr>
    <w:r>
      <w:rPr>
        <w:noProof/>
      </w:rPr>
      <w:pict w14:anchorId="2F823F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899614"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0E492" w14:textId="1B5FC346" w:rsidR="00396192" w:rsidRDefault="00932FBE">
    <w:pPr>
      <w:pStyle w:val="Header"/>
    </w:pPr>
    <w:r>
      <w:rPr>
        <w:noProof/>
      </w:rPr>
      <w:pict w14:anchorId="11A8F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899612"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2103EE1"/>
    <w:multiLevelType w:val="hybridMultilevel"/>
    <w:tmpl w:val="F2F8DF4C"/>
    <w:lvl w:ilvl="0" w:tplc="BC3E118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4BA40972"/>
    <w:multiLevelType w:val="hybridMultilevel"/>
    <w:tmpl w:val="39783F66"/>
    <w:lvl w:ilvl="0" w:tplc="7A966B1C">
      <w:start w:val="1"/>
      <w:numFmt w:val="decimal"/>
      <w:lvlText w:val="2.7.%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5A5FEC"/>
    <w:multiLevelType w:val="hybridMultilevel"/>
    <w:tmpl w:val="5AF26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393FD2"/>
    <w:multiLevelType w:val="hybridMultilevel"/>
    <w:tmpl w:val="3474C414"/>
    <w:lvl w:ilvl="0" w:tplc="D768531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62D97B5D"/>
    <w:multiLevelType w:val="hybridMultilevel"/>
    <w:tmpl w:val="DDA0DA06"/>
    <w:lvl w:ilvl="0" w:tplc="94D2B138">
      <w:start w:val="1"/>
      <w:numFmt w:val="decimal"/>
      <w:lvlText w:val="2.5.%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6A8419DB"/>
    <w:multiLevelType w:val="hybridMultilevel"/>
    <w:tmpl w:val="17D45D66"/>
    <w:lvl w:ilvl="0" w:tplc="7A521D34">
      <w:start w:val="1"/>
      <w:numFmt w:val="decimal"/>
      <w:lvlText w:val="2.6.%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nsid w:val="722E2F0F"/>
    <w:multiLevelType w:val="hybridMultilevel"/>
    <w:tmpl w:val="3536D282"/>
    <w:lvl w:ilvl="0" w:tplc="5978C00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3F7642"/>
    <w:multiLevelType w:val="hybridMultilevel"/>
    <w:tmpl w:val="2376C7EA"/>
    <w:lvl w:ilvl="0" w:tplc="0F8CA920">
      <w:start w:val="1"/>
      <w:numFmt w:val="decimal"/>
      <w:lvlText w:val="3.4.%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32"/>
  </w:num>
  <w:num w:numId="10">
    <w:abstractNumId w:val="3"/>
  </w:num>
  <w:num w:numId="11">
    <w:abstractNumId w:val="23"/>
  </w:num>
  <w:num w:numId="12">
    <w:abstractNumId w:val="4"/>
  </w:num>
  <w:num w:numId="13">
    <w:abstractNumId w:val="21"/>
  </w:num>
  <w:num w:numId="14">
    <w:abstractNumId w:val="9"/>
  </w:num>
  <w:num w:numId="15">
    <w:abstractNumId w:val="28"/>
  </w:num>
  <w:num w:numId="16">
    <w:abstractNumId w:val="6"/>
  </w:num>
  <w:num w:numId="17">
    <w:abstractNumId w:val="29"/>
  </w:num>
  <w:num w:numId="18">
    <w:abstractNumId w:val="15"/>
  </w:num>
  <w:num w:numId="19">
    <w:abstractNumId w:val="36"/>
  </w:num>
  <w:num w:numId="20">
    <w:abstractNumId w:val="12"/>
  </w:num>
  <w:num w:numId="21">
    <w:abstractNumId w:val="10"/>
  </w:num>
  <w:num w:numId="22">
    <w:abstractNumId w:val="14"/>
  </w:num>
  <w:num w:numId="23">
    <w:abstractNumId w:val="25"/>
  </w:num>
  <w:num w:numId="24">
    <w:abstractNumId w:val="33"/>
  </w:num>
  <w:num w:numId="25">
    <w:abstractNumId w:val="5"/>
  </w:num>
  <w:num w:numId="26">
    <w:abstractNumId w:val="18"/>
  </w:num>
  <w:num w:numId="27">
    <w:abstractNumId w:val="27"/>
  </w:num>
  <w:num w:numId="28">
    <w:abstractNumId w:val="35"/>
  </w:num>
  <w:num w:numId="29">
    <w:abstractNumId w:val="31"/>
  </w:num>
  <w:num w:numId="30">
    <w:abstractNumId w:val="11"/>
  </w:num>
  <w:num w:numId="31">
    <w:abstractNumId w:val="1"/>
  </w:num>
  <w:num w:numId="32">
    <w:abstractNumId w:val="22"/>
  </w:num>
  <w:num w:numId="33">
    <w:abstractNumId w:val="24"/>
  </w:num>
  <w:num w:numId="34">
    <w:abstractNumId w:val="17"/>
  </w:num>
  <w:num w:numId="35">
    <w:abstractNumId w:val="20"/>
  </w:num>
  <w:num w:numId="36">
    <w:abstractNumId w:val="34"/>
  </w:num>
  <w:num w:numId="37">
    <w:abstractNumId w:val="19"/>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10880"/>
    <w:rsid w:val="000257E1"/>
    <w:rsid w:val="00026EDB"/>
    <w:rsid w:val="00030174"/>
    <w:rsid w:val="0004579C"/>
    <w:rsid w:val="0004629C"/>
    <w:rsid w:val="000506A7"/>
    <w:rsid w:val="0006331D"/>
    <w:rsid w:val="0006587A"/>
    <w:rsid w:val="000700EC"/>
    <w:rsid w:val="00092471"/>
    <w:rsid w:val="000A1ADB"/>
    <w:rsid w:val="000A47FA"/>
    <w:rsid w:val="000A65D3"/>
    <w:rsid w:val="000B1E33"/>
    <w:rsid w:val="000B6C83"/>
    <w:rsid w:val="000D0792"/>
    <w:rsid w:val="000D689F"/>
    <w:rsid w:val="000E5527"/>
    <w:rsid w:val="000E7B7B"/>
    <w:rsid w:val="000E7D62"/>
    <w:rsid w:val="00103357"/>
    <w:rsid w:val="00105142"/>
    <w:rsid w:val="00106E6D"/>
    <w:rsid w:val="00123C9F"/>
    <w:rsid w:val="00125513"/>
    <w:rsid w:val="00126190"/>
    <w:rsid w:val="00130F17"/>
    <w:rsid w:val="001320BF"/>
    <w:rsid w:val="00140248"/>
    <w:rsid w:val="00140AF9"/>
    <w:rsid w:val="00163459"/>
    <w:rsid w:val="00163BC4"/>
    <w:rsid w:val="00163C50"/>
    <w:rsid w:val="0016642A"/>
    <w:rsid w:val="00176820"/>
    <w:rsid w:val="00176BEF"/>
    <w:rsid w:val="00184D7B"/>
    <w:rsid w:val="00191062"/>
    <w:rsid w:val="00192B72"/>
    <w:rsid w:val="001932D8"/>
    <w:rsid w:val="001A25B0"/>
    <w:rsid w:val="001A29D8"/>
    <w:rsid w:val="001A5CAA"/>
    <w:rsid w:val="001A76E0"/>
    <w:rsid w:val="001A7DF4"/>
    <w:rsid w:val="001B0427"/>
    <w:rsid w:val="001B7DCB"/>
    <w:rsid w:val="001D3A51"/>
    <w:rsid w:val="001D6A11"/>
    <w:rsid w:val="001E10D2"/>
    <w:rsid w:val="001E1764"/>
    <w:rsid w:val="001E25B4"/>
    <w:rsid w:val="001E44FE"/>
    <w:rsid w:val="001F296C"/>
    <w:rsid w:val="001F44E8"/>
    <w:rsid w:val="00200595"/>
    <w:rsid w:val="00202BF2"/>
    <w:rsid w:val="00204835"/>
    <w:rsid w:val="00212EE6"/>
    <w:rsid w:val="00214581"/>
    <w:rsid w:val="00231920"/>
    <w:rsid w:val="0023195C"/>
    <w:rsid w:val="00240C89"/>
    <w:rsid w:val="0024282C"/>
    <w:rsid w:val="002460DC"/>
    <w:rsid w:val="00250985"/>
    <w:rsid w:val="002556F6"/>
    <w:rsid w:val="00257469"/>
    <w:rsid w:val="00271E05"/>
    <w:rsid w:val="00274379"/>
    <w:rsid w:val="00280332"/>
    <w:rsid w:val="0028200B"/>
    <w:rsid w:val="00283105"/>
    <w:rsid w:val="00283AE1"/>
    <w:rsid w:val="00284C4C"/>
    <w:rsid w:val="00287E68"/>
    <w:rsid w:val="0029226E"/>
    <w:rsid w:val="00296529"/>
    <w:rsid w:val="002A69F0"/>
    <w:rsid w:val="002B27FB"/>
    <w:rsid w:val="002B685A"/>
    <w:rsid w:val="002C2301"/>
    <w:rsid w:val="002C57D2"/>
    <w:rsid w:val="002C59BE"/>
    <w:rsid w:val="002D4AE1"/>
    <w:rsid w:val="002E0D56"/>
    <w:rsid w:val="002F15BF"/>
    <w:rsid w:val="002F3B17"/>
    <w:rsid w:val="002F601E"/>
    <w:rsid w:val="002F7FD3"/>
    <w:rsid w:val="00300CFB"/>
    <w:rsid w:val="00300FEF"/>
    <w:rsid w:val="00303645"/>
    <w:rsid w:val="00314971"/>
    <w:rsid w:val="00315186"/>
    <w:rsid w:val="0032372D"/>
    <w:rsid w:val="0033343E"/>
    <w:rsid w:val="003337E2"/>
    <w:rsid w:val="00337FD5"/>
    <w:rsid w:val="003512C2"/>
    <w:rsid w:val="00360E4E"/>
    <w:rsid w:val="00361B7E"/>
    <w:rsid w:val="00366336"/>
    <w:rsid w:val="00370711"/>
    <w:rsid w:val="00371FB6"/>
    <w:rsid w:val="00375921"/>
    <w:rsid w:val="003759D3"/>
    <w:rsid w:val="003763C1"/>
    <w:rsid w:val="00376BBE"/>
    <w:rsid w:val="003853B2"/>
    <w:rsid w:val="0039224F"/>
    <w:rsid w:val="003927C6"/>
    <w:rsid w:val="00396192"/>
    <w:rsid w:val="003A0C06"/>
    <w:rsid w:val="003A41AF"/>
    <w:rsid w:val="003A43A4"/>
    <w:rsid w:val="003A5B1C"/>
    <w:rsid w:val="003A7E18"/>
    <w:rsid w:val="003B500E"/>
    <w:rsid w:val="003C4C86"/>
    <w:rsid w:val="003C6258"/>
    <w:rsid w:val="003D1983"/>
    <w:rsid w:val="003E2904"/>
    <w:rsid w:val="003E7AD8"/>
    <w:rsid w:val="003F2CF6"/>
    <w:rsid w:val="00401927"/>
    <w:rsid w:val="00407B88"/>
    <w:rsid w:val="0041027F"/>
    <w:rsid w:val="00412475"/>
    <w:rsid w:val="00413D56"/>
    <w:rsid w:val="00423789"/>
    <w:rsid w:val="00425663"/>
    <w:rsid w:val="004378E0"/>
    <w:rsid w:val="00440F43"/>
    <w:rsid w:val="00441B6F"/>
    <w:rsid w:val="00446221"/>
    <w:rsid w:val="00450387"/>
    <w:rsid w:val="00450E62"/>
    <w:rsid w:val="00452C00"/>
    <w:rsid w:val="004539DB"/>
    <w:rsid w:val="00456B0C"/>
    <w:rsid w:val="00471A80"/>
    <w:rsid w:val="00473F8F"/>
    <w:rsid w:val="00480005"/>
    <w:rsid w:val="004824F8"/>
    <w:rsid w:val="00484A4C"/>
    <w:rsid w:val="00485F20"/>
    <w:rsid w:val="0049008E"/>
    <w:rsid w:val="00494A8C"/>
    <w:rsid w:val="004C062D"/>
    <w:rsid w:val="004C20EA"/>
    <w:rsid w:val="004D305E"/>
    <w:rsid w:val="004D4277"/>
    <w:rsid w:val="004D7003"/>
    <w:rsid w:val="004E0F76"/>
    <w:rsid w:val="004E302D"/>
    <w:rsid w:val="004E7F6D"/>
    <w:rsid w:val="004F0486"/>
    <w:rsid w:val="004F0541"/>
    <w:rsid w:val="00502516"/>
    <w:rsid w:val="00505F06"/>
    <w:rsid w:val="00506786"/>
    <w:rsid w:val="00506828"/>
    <w:rsid w:val="005124FF"/>
    <w:rsid w:val="005142B4"/>
    <w:rsid w:val="00525B4A"/>
    <w:rsid w:val="00527642"/>
    <w:rsid w:val="0053056E"/>
    <w:rsid w:val="00534AF1"/>
    <w:rsid w:val="005452F8"/>
    <w:rsid w:val="00545949"/>
    <w:rsid w:val="00554FDA"/>
    <w:rsid w:val="005553DE"/>
    <w:rsid w:val="00575EC4"/>
    <w:rsid w:val="00595E01"/>
    <w:rsid w:val="005B73D8"/>
    <w:rsid w:val="005C4392"/>
    <w:rsid w:val="005C4CCD"/>
    <w:rsid w:val="005C57AE"/>
    <w:rsid w:val="005C784C"/>
    <w:rsid w:val="005D17F6"/>
    <w:rsid w:val="005D6669"/>
    <w:rsid w:val="005E5539"/>
    <w:rsid w:val="005F2A69"/>
    <w:rsid w:val="005F2C9F"/>
    <w:rsid w:val="005F446B"/>
    <w:rsid w:val="005F641F"/>
    <w:rsid w:val="005F74E1"/>
    <w:rsid w:val="00602BF5"/>
    <w:rsid w:val="00617FDD"/>
    <w:rsid w:val="00625AE2"/>
    <w:rsid w:val="00633614"/>
    <w:rsid w:val="00633F68"/>
    <w:rsid w:val="00636EB2"/>
    <w:rsid w:val="006375B8"/>
    <w:rsid w:val="00651615"/>
    <w:rsid w:val="0065415C"/>
    <w:rsid w:val="0065467A"/>
    <w:rsid w:val="0066510A"/>
    <w:rsid w:val="00673F9F"/>
    <w:rsid w:val="00675A9C"/>
    <w:rsid w:val="00686953"/>
    <w:rsid w:val="00687DEA"/>
    <w:rsid w:val="00687E67"/>
    <w:rsid w:val="0069165F"/>
    <w:rsid w:val="00693FBC"/>
    <w:rsid w:val="00694317"/>
    <w:rsid w:val="00694555"/>
    <w:rsid w:val="00694D1D"/>
    <w:rsid w:val="006967F7"/>
    <w:rsid w:val="00697567"/>
    <w:rsid w:val="006A250C"/>
    <w:rsid w:val="006A3306"/>
    <w:rsid w:val="006B18B3"/>
    <w:rsid w:val="006B21D3"/>
    <w:rsid w:val="006B3E05"/>
    <w:rsid w:val="006B419E"/>
    <w:rsid w:val="006B57D0"/>
    <w:rsid w:val="006C1351"/>
    <w:rsid w:val="006C2E3F"/>
    <w:rsid w:val="006D30FF"/>
    <w:rsid w:val="006D6940"/>
    <w:rsid w:val="006E5C91"/>
    <w:rsid w:val="006F11EC"/>
    <w:rsid w:val="006F38F1"/>
    <w:rsid w:val="0070082C"/>
    <w:rsid w:val="007013EF"/>
    <w:rsid w:val="00707482"/>
    <w:rsid w:val="007156AA"/>
    <w:rsid w:val="0072176C"/>
    <w:rsid w:val="007369E6"/>
    <w:rsid w:val="0074561A"/>
    <w:rsid w:val="00746E59"/>
    <w:rsid w:val="0075050C"/>
    <w:rsid w:val="00754068"/>
    <w:rsid w:val="00754C9A"/>
    <w:rsid w:val="0075599A"/>
    <w:rsid w:val="00757251"/>
    <w:rsid w:val="00761D52"/>
    <w:rsid w:val="007669E4"/>
    <w:rsid w:val="0077749E"/>
    <w:rsid w:val="00790ADA"/>
    <w:rsid w:val="007959F5"/>
    <w:rsid w:val="007B302D"/>
    <w:rsid w:val="007B4E62"/>
    <w:rsid w:val="007C4417"/>
    <w:rsid w:val="007C4F56"/>
    <w:rsid w:val="007D0CB7"/>
    <w:rsid w:val="007D2288"/>
    <w:rsid w:val="007D2F47"/>
    <w:rsid w:val="007D3677"/>
    <w:rsid w:val="007E088F"/>
    <w:rsid w:val="007E1131"/>
    <w:rsid w:val="007F5C12"/>
    <w:rsid w:val="007F7B32"/>
    <w:rsid w:val="00804BC2"/>
    <w:rsid w:val="00813C0F"/>
    <w:rsid w:val="0081431A"/>
    <w:rsid w:val="0083216F"/>
    <w:rsid w:val="00833B87"/>
    <w:rsid w:val="00845CFC"/>
    <w:rsid w:val="00847D17"/>
    <w:rsid w:val="008527C4"/>
    <w:rsid w:val="00854877"/>
    <w:rsid w:val="00860000"/>
    <w:rsid w:val="0086073B"/>
    <w:rsid w:val="00863BD3"/>
    <w:rsid w:val="008641ED"/>
    <w:rsid w:val="00866D66"/>
    <w:rsid w:val="008671C6"/>
    <w:rsid w:val="00875803"/>
    <w:rsid w:val="00893722"/>
    <w:rsid w:val="008B3556"/>
    <w:rsid w:val="008B459E"/>
    <w:rsid w:val="008B4D8E"/>
    <w:rsid w:val="008C6538"/>
    <w:rsid w:val="008E13AE"/>
    <w:rsid w:val="008E1506"/>
    <w:rsid w:val="008E710C"/>
    <w:rsid w:val="008F69D6"/>
    <w:rsid w:val="008F7BC8"/>
    <w:rsid w:val="00902823"/>
    <w:rsid w:val="009067C0"/>
    <w:rsid w:val="00907551"/>
    <w:rsid w:val="00912319"/>
    <w:rsid w:val="00915CA6"/>
    <w:rsid w:val="00917727"/>
    <w:rsid w:val="00926F3F"/>
    <w:rsid w:val="00927834"/>
    <w:rsid w:val="00932FBE"/>
    <w:rsid w:val="00933926"/>
    <w:rsid w:val="009500A6"/>
    <w:rsid w:val="00950F4D"/>
    <w:rsid w:val="009528AE"/>
    <w:rsid w:val="00953B92"/>
    <w:rsid w:val="00957C18"/>
    <w:rsid w:val="009659BA"/>
    <w:rsid w:val="00965C7D"/>
    <w:rsid w:val="00976594"/>
    <w:rsid w:val="00983040"/>
    <w:rsid w:val="00985C27"/>
    <w:rsid w:val="009A07BB"/>
    <w:rsid w:val="009A5B61"/>
    <w:rsid w:val="009A7506"/>
    <w:rsid w:val="009B3FB9"/>
    <w:rsid w:val="009B4973"/>
    <w:rsid w:val="009B4AAF"/>
    <w:rsid w:val="009B762E"/>
    <w:rsid w:val="009C2465"/>
    <w:rsid w:val="009D35A0"/>
    <w:rsid w:val="009D47DF"/>
    <w:rsid w:val="009D7EB7"/>
    <w:rsid w:val="009E048A"/>
    <w:rsid w:val="009E08E9"/>
    <w:rsid w:val="009E12F7"/>
    <w:rsid w:val="009E3B17"/>
    <w:rsid w:val="009E3DB9"/>
    <w:rsid w:val="009E6E35"/>
    <w:rsid w:val="009E6FF6"/>
    <w:rsid w:val="009F0EDA"/>
    <w:rsid w:val="009F42CC"/>
    <w:rsid w:val="00A00A8D"/>
    <w:rsid w:val="00A03B96"/>
    <w:rsid w:val="00A055B5"/>
    <w:rsid w:val="00A05B19"/>
    <w:rsid w:val="00A1134E"/>
    <w:rsid w:val="00A2293A"/>
    <w:rsid w:val="00A23686"/>
    <w:rsid w:val="00A2374A"/>
    <w:rsid w:val="00A24E7E"/>
    <w:rsid w:val="00A258C3"/>
    <w:rsid w:val="00A2631A"/>
    <w:rsid w:val="00A347C0"/>
    <w:rsid w:val="00A418E6"/>
    <w:rsid w:val="00A43A24"/>
    <w:rsid w:val="00A51431"/>
    <w:rsid w:val="00A5184E"/>
    <w:rsid w:val="00A539AD"/>
    <w:rsid w:val="00A63859"/>
    <w:rsid w:val="00A6500E"/>
    <w:rsid w:val="00A67F58"/>
    <w:rsid w:val="00A738C5"/>
    <w:rsid w:val="00A73902"/>
    <w:rsid w:val="00A761D4"/>
    <w:rsid w:val="00A83F9B"/>
    <w:rsid w:val="00A94063"/>
    <w:rsid w:val="00A95A26"/>
    <w:rsid w:val="00AA19AC"/>
    <w:rsid w:val="00AA36D6"/>
    <w:rsid w:val="00AA6219"/>
    <w:rsid w:val="00AA74E0"/>
    <w:rsid w:val="00AB0F69"/>
    <w:rsid w:val="00AB6216"/>
    <w:rsid w:val="00AB703F"/>
    <w:rsid w:val="00AC6BB8"/>
    <w:rsid w:val="00AC789F"/>
    <w:rsid w:val="00AD1637"/>
    <w:rsid w:val="00AD2CD1"/>
    <w:rsid w:val="00AE008F"/>
    <w:rsid w:val="00AE5C3D"/>
    <w:rsid w:val="00AF1DC1"/>
    <w:rsid w:val="00AF4897"/>
    <w:rsid w:val="00AF542E"/>
    <w:rsid w:val="00AF7372"/>
    <w:rsid w:val="00B01FCD"/>
    <w:rsid w:val="00B147A7"/>
    <w:rsid w:val="00B1776C"/>
    <w:rsid w:val="00B25268"/>
    <w:rsid w:val="00B43865"/>
    <w:rsid w:val="00B438E0"/>
    <w:rsid w:val="00B46C24"/>
    <w:rsid w:val="00B52583"/>
    <w:rsid w:val="00B52896"/>
    <w:rsid w:val="00B539BD"/>
    <w:rsid w:val="00B551E6"/>
    <w:rsid w:val="00B6796C"/>
    <w:rsid w:val="00B70A7D"/>
    <w:rsid w:val="00B71F13"/>
    <w:rsid w:val="00B75716"/>
    <w:rsid w:val="00B85EFB"/>
    <w:rsid w:val="00B87044"/>
    <w:rsid w:val="00B95236"/>
    <w:rsid w:val="00B967CB"/>
    <w:rsid w:val="00B96BD9"/>
    <w:rsid w:val="00BA1B01"/>
    <w:rsid w:val="00BA2641"/>
    <w:rsid w:val="00BA5C21"/>
    <w:rsid w:val="00BA74B8"/>
    <w:rsid w:val="00BB321D"/>
    <w:rsid w:val="00BB37AA"/>
    <w:rsid w:val="00BC2A9B"/>
    <w:rsid w:val="00BC4CC4"/>
    <w:rsid w:val="00BC53A0"/>
    <w:rsid w:val="00BD1CD7"/>
    <w:rsid w:val="00BD553A"/>
    <w:rsid w:val="00BE174D"/>
    <w:rsid w:val="00BE3AF7"/>
    <w:rsid w:val="00BE62AD"/>
    <w:rsid w:val="00BF0B23"/>
    <w:rsid w:val="00BF121F"/>
    <w:rsid w:val="00BF1F80"/>
    <w:rsid w:val="00BF5412"/>
    <w:rsid w:val="00C07B18"/>
    <w:rsid w:val="00C166EF"/>
    <w:rsid w:val="00C17EB0"/>
    <w:rsid w:val="00C27F5F"/>
    <w:rsid w:val="00C30A0F"/>
    <w:rsid w:val="00C36F27"/>
    <w:rsid w:val="00C37E61"/>
    <w:rsid w:val="00C40C30"/>
    <w:rsid w:val="00C42C42"/>
    <w:rsid w:val="00C462FC"/>
    <w:rsid w:val="00C629C2"/>
    <w:rsid w:val="00C70182"/>
    <w:rsid w:val="00C70F1B"/>
    <w:rsid w:val="00C71A47"/>
    <w:rsid w:val="00C7464C"/>
    <w:rsid w:val="00C85588"/>
    <w:rsid w:val="00C859F0"/>
    <w:rsid w:val="00C91762"/>
    <w:rsid w:val="00CA4591"/>
    <w:rsid w:val="00CD04A1"/>
    <w:rsid w:val="00CD6755"/>
    <w:rsid w:val="00CD6856"/>
    <w:rsid w:val="00CD7E1C"/>
    <w:rsid w:val="00CE0089"/>
    <w:rsid w:val="00CE793C"/>
    <w:rsid w:val="00CF193C"/>
    <w:rsid w:val="00CF2076"/>
    <w:rsid w:val="00D01BA3"/>
    <w:rsid w:val="00D06DE7"/>
    <w:rsid w:val="00D173F1"/>
    <w:rsid w:val="00D2157B"/>
    <w:rsid w:val="00D26EC4"/>
    <w:rsid w:val="00D35898"/>
    <w:rsid w:val="00D37966"/>
    <w:rsid w:val="00D40A83"/>
    <w:rsid w:val="00D45838"/>
    <w:rsid w:val="00D47595"/>
    <w:rsid w:val="00D540DA"/>
    <w:rsid w:val="00D673B9"/>
    <w:rsid w:val="00D74CB0"/>
    <w:rsid w:val="00D758F6"/>
    <w:rsid w:val="00D75D09"/>
    <w:rsid w:val="00D8295D"/>
    <w:rsid w:val="00D832AD"/>
    <w:rsid w:val="00D920B6"/>
    <w:rsid w:val="00DA31EF"/>
    <w:rsid w:val="00DB1589"/>
    <w:rsid w:val="00DB15FE"/>
    <w:rsid w:val="00DB1F40"/>
    <w:rsid w:val="00DB6BF4"/>
    <w:rsid w:val="00DC0ED6"/>
    <w:rsid w:val="00DC12F7"/>
    <w:rsid w:val="00DC2139"/>
    <w:rsid w:val="00DC2A65"/>
    <w:rsid w:val="00DD14AA"/>
    <w:rsid w:val="00DE15F0"/>
    <w:rsid w:val="00DE5663"/>
    <w:rsid w:val="00DE76D3"/>
    <w:rsid w:val="00DE78AA"/>
    <w:rsid w:val="00E00F75"/>
    <w:rsid w:val="00E053D0"/>
    <w:rsid w:val="00E120BA"/>
    <w:rsid w:val="00E15994"/>
    <w:rsid w:val="00E24E93"/>
    <w:rsid w:val="00E3114E"/>
    <w:rsid w:val="00E31A70"/>
    <w:rsid w:val="00E35B02"/>
    <w:rsid w:val="00E37D84"/>
    <w:rsid w:val="00E51240"/>
    <w:rsid w:val="00E66496"/>
    <w:rsid w:val="00E66B35"/>
    <w:rsid w:val="00E66E10"/>
    <w:rsid w:val="00E73B58"/>
    <w:rsid w:val="00E74AED"/>
    <w:rsid w:val="00E769F6"/>
    <w:rsid w:val="00E8407C"/>
    <w:rsid w:val="00E84F3C"/>
    <w:rsid w:val="00E861C6"/>
    <w:rsid w:val="00EA012C"/>
    <w:rsid w:val="00EB51AE"/>
    <w:rsid w:val="00EC6A55"/>
    <w:rsid w:val="00ED0288"/>
    <w:rsid w:val="00ED5BCE"/>
    <w:rsid w:val="00EE1647"/>
    <w:rsid w:val="00EE2B5D"/>
    <w:rsid w:val="00EE52CB"/>
    <w:rsid w:val="00EF0DE3"/>
    <w:rsid w:val="00EF2CB7"/>
    <w:rsid w:val="00EF4BAE"/>
    <w:rsid w:val="00EF581D"/>
    <w:rsid w:val="00EF7FD8"/>
    <w:rsid w:val="00F06F40"/>
    <w:rsid w:val="00F06F59"/>
    <w:rsid w:val="00F11F0F"/>
    <w:rsid w:val="00F13229"/>
    <w:rsid w:val="00F141DC"/>
    <w:rsid w:val="00F17988"/>
    <w:rsid w:val="00F17EBC"/>
    <w:rsid w:val="00F21DD8"/>
    <w:rsid w:val="00F24221"/>
    <w:rsid w:val="00F259B1"/>
    <w:rsid w:val="00F26E53"/>
    <w:rsid w:val="00F31CED"/>
    <w:rsid w:val="00F4661E"/>
    <w:rsid w:val="00F469F0"/>
    <w:rsid w:val="00F46F4D"/>
    <w:rsid w:val="00F479E9"/>
    <w:rsid w:val="00F53273"/>
    <w:rsid w:val="00F56A56"/>
    <w:rsid w:val="00F630E0"/>
    <w:rsid w:val="00F66013"/>
    <w:rsid w:val="00F66D89"/>
    <w:rsid w:val="00F72519"/>
    <w:rsid w:val="00F755E4"/>
    <w:rsid w:val="00F76FDC"/>
    <w:rsid w:val="00F77D02"/>
    <w:rsid w:val="00FA287C"/>
    <w:rsid w:val="00FA3888"/>
    <w:rsid w:val="00FB3A86"/>
    <w:rsid w:val="00FB44BA"/>
    <w:rsid w:val="00FB5454"/>
    <w:rsid w:val="00FC1389"/>
    <w:rsid w:val="00FC718A"/>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1DCE1E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MAINTEXT">
    <w:name w:val="MAIN TEXT"/>
    <w:basedOn w:val="BodyText"/>
    <w:autoRedefine/>
    <w:qFormat/>
    <w:rsid w:val="00527642"/>
    <w:pPr>
      <w:widowControl w:val="0"/>
      <w:autoSpaceDE w:val="0"/>
      <w:autoSpaceDN w:val="0"/>
      <w:spacing w:before="120" w:after="0" w:line="276" w:lineRule="auto"/>
      <w:ind w:left="692" w:firstLine="284"/>
      <w:jc w:val="both"/>
    </w:pPr>
    <w:rPr>
      <w:rFonts w:ascii="Trebuchet MS" w:eastAsia="Trebuchet MS" w:hAnsi="Trebuchet MS" w:cs="Trebuchet MS"/>
      <w:sz w:val="17"/>
      <w:szCs w:val="17"/>
      <w:lang w:val="pl-PL"/>
    </w:rPr>
  </w:style>
  <w:style w:type="paragraph" w:styleId="BodyText">
    <w:name w:val="Body Text"/>
    <w:basedOn w:val="Normal"/>
    <w:link w:val="BodyTextChar"/>
    <w:unhideWhenUsed/>
    <w:qFormat/>
    <w:rsid w:val="00527642"/>
    <w:pPr>
      <w:spacing w:after="120"/>
    </w:pPr>
  </w:style>
  <w:style w:type="character" w:customStyle="1" w:styleId="BodyTextChar">
    <w:name w:val="Body Text Char"/>
    <w:basedOn w:val="DefaultParagraphFont"/>
    <w:link w:val="BodyText"/>
    <w:rsid w:val="00527642"/>
    <w:rPr>
      <w:rFonts w:ascii="Helvetica" w:hAnsi="Helvetica"/>
    </w:rPr>
  </w:style>
  <w:style w:type="paragraph" w:styleId="Caption">
    <w:name w:val="caption"/>
    <w:basedOn w:val="Normal"/>
    <w:next w:val="Normal"/>
    <w:unhideWhenUsed/>
    <w:qFormat/>
    <w:rsid w:val="00D2157B"/>
    <w:pPr>
      <w:spacing w:after="200"/>
    </w:pPr>
    <w:rPr>
      <w:i/>
      <w:iCs/>
      <w:color w:val="1F497D" w:themeColor="text2"/>
      <w:sz w:val="18"/>
      <w:szCs w:val="18"/>
    </w:rPr>
  </w:style>
  <w:style w:type="character" w:styleId="PlaceholderText">
    <w:name w:val="Placeholder Text"/>
    <w:basedOn w:val="DefaultParagraphFont"/>
    <w:uiPriority w:val="99"/>
    <w:semiHidden/>
    <w:rsid w:val="00907551"/>
    <w:rPr>
      <w:color w:val="808080"/>
    </w:rPr>
  </w:style>
  <w:style w:type="paragraph" w:customStyle="1" w:styleId="Konfliktinteresw">
    <w:name w:val="Konflikt interesów"/>
    <w:basedOn w:val="Normal"/>
    <w:qFormat/>
    <w:rsid w:val="00337FD5"/>
    <w:pPr>
      <w:widowControl w:val="0"/>
      <w:tabs>
        <w:tab w:val="left" w:pos="907"/>
      </w:tabs>
      <w:autoSpaceDE w:val="0"/>
      <w:autoSpaceDN w:val="0"/>
      <w:spacing w:before="120"/>
      <w:ind w:left="691"/>
      <w:outlineLvl w:val="0"/>
    </w:pPr>
    <w:rPr>
      <w:rFonts w:ascii="Trebuchet MS" w:eastAsia="Trebuchet MS" w:hAnsi="Trebuchet MS" w:cs="Trebuchet MS"/>
      <w:b/>
      <w:bCs/>
      <w:spacing w:val="-2"/>
      <w:sz w:val="17"/>
      <w:szCs w:val="17"/>
      <w:lang w:val="pl-PL"/>
    </w:rPr>
  </w:style>
  <w:style w:type="character" w:customStyle="1" w:styleId="UnresolvedMention">
    <w:name w:val="Unresolved Mention"/>
    <w:basedOn w:val="DefaultParagraphFont"/>
    <w:uiPriority w:val="99"/>
    <w:semiHidden/>
    <w:unhideWhenUsed/>
    <w:rsid w:val="00B71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90/molecules27175573" TargetMode="External"/><Relationship Id="rId26" Type="http://schemas.openxmlformats.org/officeDocument/2006/relationships/hyperlink" Target="https://doi.org/10.30574/gscbps.2024.26.3.0079" TargetMode="External"/><Relationship Id="rId39" Type="http://schemas.openxmlformats.org/officeDocument/2006/relationships/hyperlink" Target="https://doi.org/10.1007/s00423-008-0282-x" TargetMode="External"/><Relationship Id="rId3" Type="http://schemas.openxmlformats.org/officeDocument/2006/relationships/styles" Target="styles.xml"/><Relationship Id="rId21" Type="http://schemas.openxmlformats.org/officeDocument/2006/relationships/hyperlink" Target="https://doi.org/10.9734/aprj/2024/v12i4263" TargetMode="External"/><Relationship Id="rId34" Type="http://schemas.openxmlformats.org/officeDocument/2006/relationships/hyperlink" Target="https://doi.org/10.14429/dlsj.9.19920" TargetMode="External"/><Relationship Id="rId42"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21/acs.jmedchem.4c02736" TargetMode="External"/><Relationship Id="rId25" Type="http://schemas.openxmlformats.org/officeDocument/2006/relationships/hyperlink" Target="https://doi.org/10.55544/sjmars.4.4.4" TargetMode="External"/><Relationship Id="rId33" Type="http://schemas.openxmlformats.org/officeDocument/2006/relationships/hyperlink" Target="https://doi.org/10.22159/ijpps.v7i10.6990" TargetMode="External"/><Relationship Id="rId38" Type="http://schemas.openxmlformats.org/officeDocument/2006/relationships/hyperlink" Target="https://pubmed.ncbi.nlm.nih.gov/24516501/"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doi.org/10.3390/molecules26040933" TargetMode="External"/><Relationship Id="rId29" Type="http://schemas.openxmlformats.org/officeDocument/2006/relationships/hyperlink" Target="https://doi.org/10.1016/j.biocel.2006.07.001"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life15010004" TargetMode="External"/><Relationship Id="rId32" Type="http://schemas.openxmlformats.org/officeDocument/2006/relationships/hyperlink" Target="https://doi.org/10.14295/bjs.v2i4.299" TargetMode="External"/><Relationship Id="rId37" Type="http://schemas.openxmlformats.org/officeDocument/2006/relationships/hyperlink" Target="https://doi.org/10.2015/IJIRMF.2455.0620/202107013" TargetMode="External"/><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6026/973206300181009" TargetMode="External"/><Relationship Id="rId28" Type="http://schemas.openxmlformats.org/officeDocument/2006/relationships/hyperlink" Target="https://doi.org/10.1186/s12870-024-05688-z" TargetMode="External"/><Relationship Id="rId36" Type="http://schemas.openxmlformats.org/officeDocument/2006/relationships/hyperlink" Target="https://doi.org/10.55544/sjmars.4.4.4" TargetMode="External"/><Relationship Id="rId10" Type="http://schemas.openxmlformats.org/officeDocument/2006/relationships/footer" Target="footer1.xml"/><Relationship Id="rId19" Type="http://schemas.openxmlformats.org/officeDocument/2006/relationships/hyperlink" Target="https://doi.org/10.3389/fphar.2021.809308" TargetMode="External"/><Relationship Id="rId31" Type="http://schemas.openxmlformats.org/officeDocument/2006/relationships/hyperlink" Target="https://doi.org/10.26452/ijrps.v15i3.4692"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016/j.heliyon.2022.e09253" TargetMode="External"/><Relationship Id="rId27" Type="http://schemas.openxmlformats.org/officeDocument/2006/relationships/hyperlink" Target="https://doi.org/10.1016/j.jep.2024.118351" TargetMode="External"/><Relationship Id="rId30" Type="http://schemas.openxmlformats.org/officeDocument/2006/relationships/hyperlink" Target="https://doi.org/10.1038/nrc1189" TargetMode="External"/><Relationship Id="rId35" Type="http://schemas.openxmlformats.org/officeDocument/2006/relationships/hyperlink" Target="https://doi.org/10.26479/2016.0202.01" TargetMode="External"/><Relationship Id="rId43"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C1020-1DC7-4D31-9398-A2D83FAFE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194</TotalTime>
  <Pages>20</Pages>
  <Words>6760</Words>
  <Characters>38532</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45202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Microsoft account</cp:lastModifiedBy>
  <cp:revision>321</cp:revision>
  <cp:lastPrinted>1999-07-06T11:00:00Z</cp:lastPrinted>
  <dcterms:created xsi:type="dcterms:W3CDTF">2014-10-25T14:34:00Z</dcterms:created>
  <dcterms:modified xsi:type="dcterms:W3CDTF">2025-12-18T13:34:00Z</dcterms:modified>
</cp:coreProperties>
</file>