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76FB" w14:textId="6F7A550A" w:rsidR="00316BAA" w:rsidRPr="004A6510" w:rsidRDefault="00A827D5" w:rsidP="00E85A72">
      <w:pPr>
        <w:spacing w:line="240" w:lineRule="auto"/>
        <w:rPr>
          <w:rFonts w:ascii="Arial" w:hAnsi="Arial" w:cs="Arial"/>
          <w:b/>
          <w:bCs/>
          <w:sz w:val="24"/>
          <w:szCs w:val="24"/>
        </w:rPr>
      </w:pPr>
      <w:r w:rsidRPr="004A6510">
        <w:rPr>
          <w:rFonts w:ascii="Arial" w:hAnsi="Arial" w:cs="Arial"/>
          <w:b/>
          <w:bCs/>
          <w:sz w:val="24"/>
          <w:szCs w:val="24"/>
        </w:rPr>
        <w:t xml:space="preserve">Cefixime induced cutaneous hypersensitivity vasculitis: </w:t>
      </w:r>
      <w:r w:rsidR="0039184C" w:rsidRPr="004A6510">
        <w:rPr>
          <w:rFonts w:ascii="Arial" w:hAnsi="Arial" w:cs="Arial"/>
          <w:b/>
          <w:bCs/>
          <w:sz w:val="24"/>
          <w:szCs w:val="24"/>
        </w:rPr>
        <w:t>A</w:t>
      </w:r>
      <w:r w:rsidRPr="004A6510">
        <w:rPr>
          <w:rFonts w:ascii="Arial" w:hAnsi="Arial" w:cs="Arial"/>
          <w:b/>
          <w:bCs/>
          <w:sz w:val="24"/>
          <w:szCs w:val="24"/>
        </w:rPr>
        <w:t xml:space="preserve"> </w:t>
      </w:r>
      <w:r w:rsidR="00AD0C46">
        <w:rPr>
          <w:rFonts w:ascii="Arial" w:hAnsi="Arial" w:cs="Arial"/>
          <w:b/>
          <w:bCs/>
          <w:sz w:val="24"/>
          <w:szCs w:val="24"/>
        </w:rPr>
        <w:t xml:space="preserve">rare </w:t>
      </w:r>
      <w:r w:rsidRPr="004A6510">
        <w:rPr>
          <w:rFonts w:ascii="Arial" w:hAnsi="Arial" w:cs="Arial"/>
          <w:b/>
          <w:bCs/>
          <w:sz w:val="24"/>
          <w:szCs w:val="24"/>
        </w:rPr>
        <w:t xml:space="preserve">case report </w:t>
      </w:r>
    </w:p>
    <w:p w14:paraId="71407625" w14:textId="77777777" w:rsidR="00F24C58" w:rsidRPr="004A6510" w:rsidRDefault="00F24C58" w:rsidP="00E85A72">
      <w:pPr>
        <w:spacing w:line="240" w:lineRule="auto"/>
        <w:rPr>
          <w:rFonts w:ascii="Arial" w:hAnsi="Arial" w:cs="Arial"/>
          <w:b/>
          <w:bCs/>
          <w:sz w:val="24"/>
          <w:szCs w:val="24"/>
        </w:rPr>
      </w:pPr>
    </w:p>
    <w:p w14:paraId="35EBF73F" w14:textId="3F112C41" w:rsidR="005F3F94" w:rsidRPr="004A6510" w:rsidRDefault="00497A45" w:rsidP="00E85A72">
      <w:pPr>
        <w:spacing w:line="240" w:lineRule="auto"/>
        <w:rPr>
          <w:rFonts w:ascii="Arial" w:hAnsi="Arial" w:cs="Arial"/>
          <w:b/>
          <w:bCs/>
          <w:sz w:val="24"/>
          <w:szCs w:val="24"/>
        </w:rPr>
      </w:pPr>
      <w:r w:rsidRPr="004A6510">
        <w:rPr>
          <w:rFonts w:ascii="Arial" w:hAnsi="Arial" w:cs="Arial"/>
          <w:b/>
          <w:bCs/>
          <w:sz w:val="24"/>
          <w:szCs w:val="24"/>
        </w:rPr>
        <w:t>A</w:t>
      </w:r>
      <w:r w:rsidR="00195533" w:rsidRPr="004A6510">
        <w:rPr>
          <w:rFonts w:ascii="Arial" w:hAnsi="Arial" w:cs="Arial"/>
          <w:b/>
          <w:bCs/>
          <w:sz w:val="24"/>
          <w:szCs w:val="24"/>
        </w:rPr>
        <w:t>BSTRACT</w:t>
      </w:r>
    </w:p>
    <w:p w14:paraId="374CDB44" w14:textId="1296913C" w:rsidR="00440084" w:rsidRPr="004A6510" w:rsidRDefault="00440084" w:rsidP="00440084">
      <w:pPr>
        <w:spacing w:line="240" w:lineRule="auto"/>
        <w:jc w:val="both"/>
        <w:rPr>
          <w:rFonts w:ascii="Arial" w:hAnsi="Arial" w:cs="Arial"/>
          <w:sz w:val="24"/>
          <w:szCs w:val="24"/>
        </w:rPr>
      </w:pPr>
      <w:r w:rsidRPr="004A6510">
        <w:rPr>
          <w:rFonts w:ascii="Arial" w:hAnsi="Arial" w:cs="Arial"/>
          <w:sz w:val="24"/>
          <w:szCs w:val="24"/>
        </w:rPr>
        <w:t>Cutaneous hypersensitivity vasculitis (CHV) is a small-vessel inflammatory condition often triggered by medications. Although antibiotics are common culprits, Cefixime, a third-generation cephalosporin, is rarely associated with CHV. This case</w:t>
      </w:r>
      <w:r w:rsidR="005D2139">
        <w:rPr>
          <w:rFonts w:ascii="Arial" w:hAnsi="Arial" w:cs="Arial"/>
          <w:sz w:val="24"/>
          <w:szCs w:val="24"/>
        </w:rPr>
        <w:t xml:space="preserve"> report is of a 46-year-old male who developed multiple, palpable, purpuric lesions over both lower extremities </w:t>
      </w:r>
      <w:r w:rsidRPr="004A6510">
        <w:rPr>
          <w:rFonts w:ascii="Arial" w:hAnsi="Arial" w:cs="Arial"/>
          <w:sz w:val="24"/>
          <w:szCs w:val="24"/>
        </w:rPr>
        <w:t>following a short course of Cefixime.</w:t>
      </w:r>
      <w:r w:rsidR="005D2139">
        <w:rPr>
          <w:rFonts w:ascii="Arial" w:hAnsi="Arial" w:cs="Arial"/>
          <w:sz w:val="24"/>
          <w:szCs w:val="24"/>
        </w:rPr>
        <w:t xml:space="preserve"> Clinical examination and laboratory results</w:t>
      </w:r>
      <w:r w:rsidR="009828A1">
        <w:rPr>
          <w:rFonts w:ascii="Arial" w:hAnsi="Arial" w:cs="Arial"/>
          <w:sz w:val="24"/>
          <w:szCs w:val="24"/>
        </w:rPr>
        <w:t xml:space="preserve"> with</w:t>
      </w:r>
      <w:r w:rsidR="009828A1" w:rsidRPr="009828A1">
        <w:rPr>
          <w:rFonts w:ascii="Arial" w:hAnsi="Arial" w:cs="Arial"/>
          <w:sz w:val="24"/>
          <w:szCs w:val="24"/>
        </w:rPr>
        <w:t xml:space="preserve"> inflammatory markers </w:t>
      </w:r>
      <w:r w:rsidR="009828A1">
        <w:rPr>
          <w:rFonts w:ascii="Arial" w:hAnsi="Arial" w:cs="Arial"/>
          <w:sz w:val="24"/>
          <w:szCs w:val="24"/>
        </w:rPr>
        <w:t>and</w:t>
      </w:r>
      <w:r w:rsidR="009828A1" w:rsidRPr="009828A1">
        <w:rPr>
          <w:rFonts w:ascii="Arial" w:hAnsi="Arial" w:cs="Arial"/>
          <w:sz w:val="24"/>
          <w:szCs w:val="24"/>
        </w:rPr>
        <w:t xml:space="preserve"> normal differential counts</w:t>
      </w:r>
      <w:r w:rsidR="005D2139">
        <w:rPr>
          <w:rFonts w:ascii="Arial" w:hAnsi="Arial" w:cs="Arial"/>
          <w:sz w:val="24"/>
          <w:szCs w:val="24"/>
        </w:rPr>
        <w:t xml:space="preserve"> were suggestive of cutaneous vasculitis. Hence</w:t>
      </w:r>
      <w:r w:rsidR="00330EF3">
        <w:rPr>
          <w:rFonts w:ascii="Arial" w:hAnsi="Arial" w:cs="Arial"/>
          <w:sz w:val="24"/>
          <w:szCs w:val="24"/>
        </w:rPr>
        <w:t>,</w:t>
      </w:r>
      <w:r w:rsidR="005D2139">
        <w:rPr>
          <w:rFonts w:ascii="Arial" w:hAnsi="Arial" w:cs="Arial"/>
          <w:sz w:val="24"/>
          <w:szCs w:val="24"/>
        </w:rPr>
        <w:t xml:space="preserve"> the patient was treated with systemic corticosteroids and supportive care. The lesions gradually resolved with the treatment</w:t>
      </w:r>
      <w:r w:rsidR="009B5A05">
        <w:rPr>
          <w:rFonts w:ascii="Arial" w:hAnsi="Arial" w:cs="Arial"/>
          <w:sz w:val="24"/>
          <w:szCs w:val="24"/>
        </w:rPr>
        <w:t>. Therefore, t</w:t>
      </w:r>
      <w:r w:rsidR="005D2139">
        <w:rPr>
          <w:rFonts w:ascii="Arial" w:hAnsi="Arial" w:cs="Arial"/>
          <w:sz w:val="24"/>
          <w:szCs w:val="24"/>
        </w:rPr>
        <w:t>his case</w:t>
      </w:r>
      <w:r w:rsidRPr="004A6510">
        <w:rPr>
          <w:rFonts w:ascii="Arial" w:hAnsi="Arial" w:cs="Arial"/>
          <w:sz w:val="24"/>
          <w:szCs w:val="24"/>
        </w:rPr>
        <w:t xml:space="preserve"> highlights the need for clinician awareness regarding rare but significant cutaneous adverse reactions to Cefixime and other cephalosporins</w:t>
      </w:r>
      <w:r w:rsidR="00AD0C46">
        <w:rPr>
          <w:rFonts w:ascii="Arial" w:hAnsi="Arial" w:cs="Arial"/>
          <w:sz w:val="24"/>
          <w:szCs w:val="24"/>
        </w:rPr>
        <w:t>, careful antibiotic selection</w:t>
      </w:r>
      <w:r w:rsidR="00330EF3">
        <w:rPr>
          <w:rFonts w:ascii="Arial" w:hAnsi="Arial" w:cs="Arial"/>
          <w:sz w:val="24"/>
          <w:szCs w:val="24"/>
        </w:rPr>
        <w:t>,</w:t>
      </w:r>
      <w:r w:rsidR="00AD0C46">
        <w:rPr>
          <w:rFonts w:ascii="Arial" w:hAnsi="Arial" w:cs="Arial"/>
          <w:sz w:val="24"/>
          <w:szCs w:val="24"/>
        </w:rPr>
        <w:t xml:space="preserve"> and timely management to ensure </w:t>
      </w:r>
      <w:r w:rsidR="009B5A05">
        <w:rPr>
          <w:rFonts w:ascii="Arial" w:hAnsi="Arial" w:cs="Arial"/>
          <w:sz w:val="24"/>
          <w:szCs w:val="24"/>
        </w:rPr>
        <w:t>desired improvement in patients</w:t>
      </w:r>
      <w:r w:rsidR="00330EF3">
        <w:rPr>
          <w:rFonts w:ascii="Arial" w:hAnsi="Arial" w:cs="Arial"/>
          <w:sz w:val="24"/>
          <w:szCs w:val="24"/>
        </w:rPr>
        <w:t>’</w:t>
      </w:r>
      <w:r w:rsidR="009B5A05">
        <w:rPr>
          <w:rFonts w:ascii="Arial" w:hAnsi="Arial" w:cs="Arial"/>
          <w:sz w:val="24"/>
          <w:szCs w:val="24"/>
        </w:rPr>
        <w:t xml:space="preserve"> condition</w:t>
      </w:r>
      <w:r w:rsidRPr="004A6510">
        <w:rPr>
          <w:rFonts w:ascii="Arial" w:hAnsi="Arial" w:cs="Arial"/>
          <w:sz w:val="24"/>
          <w:szCs w:val="24"/>
        </w:rPr>
        <w:t>.</w:t>
      </w:r>
      <w:r w:rsidR="009828A1">
        <w:rPr>
          <w:rFonts w:ascii="Arial" w:hAnsi="Arial" w:cs="Arial"/>
          <w:sz w:val="24"/>
          <w:szCs w:val="24"/>
        </w:rPr>
        <w:t xml:space="preserve"> It also represents</w:t>
      </w:r>
      <w:r w:rsidR="009828A1" w:rsidRPr="009828A1">
        <w:t xml:space="preserve"> </w:t>
      </w:r>
      <w:r w:rsidR="009828A1" w:rsidRPr="009828A1">
        <w:rPr>
          <w:rFonts w:ascii="Arial" w:hAnsi="Arial" w:cs="Arial"/>
          <w:sz w:val="24"/>
          <w:szCs w:val="24"/>
        </w:rPr>
        <w:t>the pharmacovigilance value of reporting unusual adverse drug reactions.</w:t>
      </w:r>
    </w:p>
    <w:p w14:paraId="34EBFDB3" w14:textId="4C94F9B0" w:rsidR="00E2465B" w:rsidRPr="004A6510" w:rsidRDefault="00E2465B" w:rsidP="00E85A72">
      <w:pPr>
        <w:spacing w:line="240" w:lineRule="auto"/>
        <w:jc w:val="both"/>
        <w:rPr>
          <w:rFonts w:ascii="Arial" w:hAnsi="Arial" w:cs="Arial"/>
          <w:b/>
          <w:bCs/>
          <w:sz w:val="24"/>
          <w:szCs w:val="24"/>
        </w:rPr>
      </w:pPr>
      <w:r w:rsidRPr="004A6510">
        <w:rPr>
          <w:rFonts w:ascii="Arial" w:hAnsi="Arial" w:cs="Arial"/>
          <w:b/>
          <w:bCs/>
          <w:sz w:val="24"/>
          <w:szCs w:val="24"/>
        </w:rPr>
        <w:t>K</w:t>
      </w:r>
      <w:r w:rsidR="00195533" w:rsidRPr="004A6510">
        <w:rPr>
          <w:rFonts w:ascii="Arial" w:hAnsi="Arial" w:cs="Arial"/>
          <w:b/>
          <w:bCs/>
          <w:sz w:val="24"/>
          <w:szCs w:val="24"/>
        </w:rPr>
        <w:t>EYWORDS</w:t>
      </w:r>
      <w:r w:rsidRPr="004A6510">
        <w:rPr>
          <w:rFonts w:ascii="Arial" w:hAnsi="Arial" w:cs="Arial"/>
          <w:b/>
          <w:bCs/>
          <w:sz w:val="24"/>
          <w:szCs w:val="24"/>
        </w:rPr>
        <w:t xml:space="preserve">: </w:t>
      </w:r>
      <w:r w:rsidRPr="004A6510">
        <w:rPr>
          <w:rFonts w:ascii="Arial" w:hAnsi="Arial" w:cs="Arial"/>
          <w:i/>
          <w:iCs/>
          <w:sz w:val="24"/>
          <w:szCs w:val="24"/>
        </w:rPr>
        <w:t>Cefixime, Cutaneous hypersensitivity vasculitis, Drug induced vasculitis, Cephalosporin adverse reaction</w:t>
      </w:r>
    </w:p>
    <w:p w14:paraId="2E4498BD" w14:textId="20839E62" w:rsidR="00A32B9B" w:rsidRPr="004A6510" w:rsidRDefault="00195533" w:rsidP="00E85A72">
      <w:pPr>
        <w:spacing w:line="240" w:lineRule="auto"/>
        <w:jc w:val="both"/>
        <w:rPr>
          <w:rFonts w:ascii="Arial" w:hAnsi="Arial" w:cs="Arial"/>
          <w:b/>
          <w:sz w:val="24"/>
          <w:szCs w:val="24"/>
        </w:rPr>
      </w:pPr>
      <w:r w:rsidRPr="004A6510">
        <w:rPr>
          <w:rFonts w:ascii="Arial" w:hAnsi="Arial" w:cs="Arial"/>
          <w:b/>
          <w:sz w:val="24"/>
          <w:szCs w:val="24"/>
        </w:rPr>
        <w:t>1.</w:t>
      </w:r>
      <w:r w:rsidR="00330EF3">
        <w:rPr>
          <w:rFonts w:ascii="Arial" w:hAnsi="Arial" w:cs="Arial"/>
          <w:b/>
          <w:sz w:val="24"/>
          <w:szCs w:val="24"/>
        </w:rPr>
        <w:t xml:space="preserve"> </w:t>
      </w:r>
      <w:r w:rsidR="00497A45" w:rsidRPr="004A6510">
        <w:rPr>
          <w:rFonts w:ascii="Arial" w:hAnsi="Arial" w:cs="Arial"/>
          <w:b/>
          <w:sz w:val="24"/>
          <w:szCs w:val="24"/>
        </w:rPr>
        <w:t>I</w:t>
      </w:r>
      <w:r w:rsidRPr="004A6510">
        <w:rPr>
          <w:rFonts w:ascii="Arial" w:hAnsi="Arial" w:cs="Arial"/>
          <w:b/>
          <w:sz w:val="24"/>
          <w:szCs w:val="24"/>
        </w:rPr>
        <w:t>NTRODUCTION</w:t>
      </w:r>
    </w:p>
    <w:p w14:paraId="7F7D6CE2" w14:textId="662D064F" w:rsidR="00440084" w:rsidRPr="004A6510" w:rsidRDefault="00440084" w:rsidP="004A6510">
      <w:pPr>
        <w:spacing w:line="240" w:lineRule="auto"/>
        <w:jc w:val="both"/>
        <w:rPr>
          <w:rFonts w:ascii="Arial" w:hAnsi="Arial" w:cs="Arial"/>
          <w:sz w:val="24"/>
          <w:szCs w:val="24"/>
        </w:rPr>
      </w:pPr>
      <w:r w:rsidRPr="004A6510">
        <w:rPr>
          <w:rFonts w:ascii="Arial" w:hAnsi="Arial" w:cs="Arial"/>
          <w:sz w:val="24"/>
          <w:szCs w:val="24"/>
        </w:rPr>
        <w:t>Cutaneous vasculitis, also termed hypersensitivity vasculitis, is a condition causing inflammation and damage to the blood vessels, especially within the skin. It presents with cutaneous symptoms such as clinically evident palpable purpura predominantly on the lower extremities in symmetrical fashion and may occasionally involve bullae, vesicles, and ulcerations (</w:t>
      </w:r>
      <w:proofErr w:type="spellStart"/>
      <w:r w:rsidRPr="004A6510">
        <w:rPr>
          <w:rFonts w:ascii="Arial" w:hAnsi="Arial" w:cs="Arial"/>
          <w:sz w:val="24"/>
          <w:szCs w:val="24"/>
        </w:rPr>
        <w:t>Alpsoy</w:t>
      </w:r>
      <w:proofErr w:type="spellEnd"/>
      <w:r w:rsidRPr="004A6510">
        <w:rPr>
          <w:rFonts w:ascii="Arial" w:hAnsi="Arial" w:cs="Arial"/>
          <w:sz w:val="24"/>
          <w:szCs w:val="24"/>
        </w:rPr>
        <w:t xml:space="preserve"> E., 2022; Tang W et al., 2022</w:t>
      </w:r>
      <w:r w:rsidR="00FF2142">
        <w:rPr>
          <w:rFonts w:ascii="Arial" w:hAnsi="Arial" w:cs="Arial"/>
          <w:sz w:val="24"/>
          <w:szCs w:val="24"/>
        </w:rPr>
        <w:t xml:space="preserve">; </w:t>
      </w:r>
      <w:r w:rsidR="00FF2142" w:rsidRPr="00FF2142">
        <w:rPr>
          <w:rFonts w:ascii="Arial" w:hAnsi="Arial" w:cs="Arial"/>
          <w:sz w:val="24"/>
          <w:szCs w:val="24"/>
        </w:rPr>
        <w:t xml:space="preserve">K. S. B. </w:t>
      </w:r>
      <w:proofErr w:type="spellStart"/>
      <w:r w:rsidR="00FF2142" w:rsidRPr="00FF2142">
        <w:rPr>
          <w:rFonts w:ascii="Arial" w:hAnsi="Arial" w:cs="Arial"/>
          <w:sz w:val="24"/>
          <w:szCs w:val="24"/>
        </w:rPr>
        <w:t>Ramanees</w:t>
      </w:r>
      <w:proofErr w:type="spellEnd"/>
      <w:r w:rsidR="00FF2142">
        <w:rPr>
          <w:rFonts w:ascii="Arial" w:hAnsi="Arial" w:cs="Arial"/>
          <w:sz w:val="24"/>
          <w:szCs w:val="24"/>
        </w:rPr>
        <w:t xml:space="preserve"> et al., 2025</w:t>
      </w:r>
      <w:r w:rsidRPr="004A6510">
        <w:rPr>
          <w:rFonts w:ascii="Arial" w:hAnsi="Arial" w:cs="Arial"/>
          <w:sz w:val="24"/>
          <w:szCs w:val="24"/>
        </w:rPr>
        <w:t>). It affects males and females equally and has an annual incidence rate of about 30 cases per million (</w:t>
      </w:r>
      <w:proofErr w:type="spellStart"/>
      <w:r w:rsidRPr="004A6510">
        <w:rPr>
          <w:rFonts w:ascii="Arial" w:hAnsi="Arial" w:cs="Arial"/>
          <w:sz w:val="24"/>
          <w:szCs w:val="24"/>
        </w:rPr>
        <w:t>Almasoudi</w:t>
      </w:r>
      <w:proofErr w:type="spellEnd"/>
      <w:r w:rsidRPr="004A6510">
        <w:rPr>
          <w:rFonts w:ascii="Arial" w:hAnsi="Arial" w:cs="Arial"/>
          <w:sz w:val="24"/>
          <w:szCs w:val="24"/>
        </w:rPr>
        <w:t xml:space="preserve"> AA et al., 2022). This condition occurs due to numerous </w:t>
      </w:r>
      <w:proofErr w:type="spellStart"/>
      <w:r w:rsidRPr="004A6510">
        <w:rPr>
          <w:rFonts w:ascii="Arial" w:hAnsi="Arial" w:cs="Arial"/>
          <w:sz w:val="24"/>
          <w:szCs w:val="24"/>
        </w:rPr>
        <w:t>etiologies</w:t>
      </w:r>
      <w:proofErr w:type="spellEnd"/>
      <w:r w:rsidRPr="004A6510">
        <w:rPr>
          <w:rFonts w:ascii="Arial" w:hAnsi="Arial" w:cs="Arial"/>
          <w:sz w:val="24"/>
          <w:szCs w:val="24"/>
        </w:rPr>
        <w:t xml:space="preserve">, including infections, carcinomas, autoimmune diseases, and drugs. Drug-induced cutaneous vasculitis reactions occur where antibiotics like </w:t>
      </w:r>
      <w:proofErr w:type="spellStart"/>
      <w:r w:rsidRPr="004A6510">
        <w:rPr>
          <w:rFonts w:ascii="Arial" w:hAnsi="Arial" w:cs="Arial"/>
          <w:sz w:val="24"/>
          <w:szCs w:val="24"/>
        </w:rPr>
        <w:t>penicillins</w:t>
      </w:r>
      <w:proofErr w:type="spellEnd"/>
      <w:r w:rsidRPr="004A6510">
        <w:rPr>
          <w:rFonts w:ascii="Arial" w:hAnsi="Arial" w:cs="Arial"/>
          <w:sz w:val="24"/>
          <w:szCs w:val="24"/>
        </w:rPr>
        <w:t>, trimethoprim-sulfamethoxazole and diuretics like hydrochlorothiazide play a major role, whereas the incidence of cephalosporin-induced adverse reactions is less frequently reported (Tang W et al., 2022, Kumar J et al., 2025).</w:t>
      </w:r>
      <w:r w:rsidR="00B124A6" w:rsidRPr="00B124A6">
        <w:t xml:space="preserve"> </w:t>
      </w:r>
      <w:r w:rsidR="00B124A6">
        <w:rPr>
          <w:rFonts w:ascii="Arial" w:hAnsi="Arial" w:cs="Arial"/>
          <w:sz w:val="24"/>
          <w:szCs w:val="24"/>
        </w:rPr>
        <w:t>Among the cephalosporins,</w:t>
      </w:r>
      <w:r w:rsidR="00B124A6" w:rsidRPr="00B124A6">
        <w:rPr>
          <w:rFonts w:ascii="Arial" w:hAnsi="Arial" w:cs="Arial"/>
          <w:sz w:val="24"/>
          <w:szCs w:val="24"/>
        </w:rPr>
        <w:t xml:space="preserve"> cefixime being widely prescribed for respiratory and urinary infections, reports of cefixime-induced cutaneous hypersensitivity vasculitis remain extremely </w:t>
      </w:r>
      <w:r w:rsidR="00B124A6">
        <w:rPr>
          <w:rFonts w:ascii="Arial" w:hAnsi="Arial" w:cs="Arial"/>
          <w:sz w:val="24"/>
          <w:szCs w:val="24"/>
        </w:rPr>
        <w:t>rare</w:t>
      </w:r>
      <w:r w:rsidR="00B124A6" w:rsidRPr="00B124A6">
        <w:rPr>
          <w:rFonts w:ascii="Arial" w:hAnsi="Arial" w:cs="Arial"/>
          <w:sz w:val="24"/>
          <w:szCs w:val="24"/>
        </w:rPr>
        <w:t xml:space="preserve"> in published literature</w:t>
      </w:r>
      <w:r w:rsidR="00663F44">
        <w:rPr>
          <w:rFonts w:ascii="Arial" w:hAnsi="Arial" w:cs="Arial"/>
          <w:sz w:val="24"/>
          <w:szCs w:val="24"/>
        </w:rPr>
        <w:t xml:space="preserve"> (</w:t>
      </w:r>
      <w:proofErr w:type="spellStart"/>
      <w:r w:rsidR="00663F44" w:rsidRPr="00B124A6">
        <w:rPr>
          <w:rFonts w:ascii="Arial" w:hAnsi="Arial" w:cs="Arial"/>
          <w:color w:val="1B1B1B"/>
          <w:sz w:val="24"/>
          <w:szCs w:val="24"/>
          <w:shd w:val="clear" w:color="auto" w:fill="FFFFFF"/>
        </w:rPr>
        <w:t>Dhali</w:t>
      </w:r>
      <w:proofErr w:type="spellEnd"/>
      <w:r w:rsidR="00663F44" w:rsidRPr="00B124A6">
        <w:rPr>
          <w:rFonts w:ascii="Arial" w:hAnsi="Arial" w:cs="Arial"/>
          <w:color w:val="1B1B1B"/>
          <w:sz w:val="24"/>
          <w:szCs w:val="24"/>
          <w:shd w:val="clear" w:color="auto" w:fill="FFFFFF"/>
        </w:rPr>
        <w:t xml:space="preserve"> D</w:t>
      </w:r>
      <w:r w:rsidR="00663F44">
        <w:rPr>
          <w:rFonts w:ascii="Arial" w:hAnsi="Arial" w:cs="Arial"/>
          <w:color w:val="1B1B1B"/>
          <w:sz w:val="24"/>
          <w:szCs w:val="24"/>
          <w:shd w:val="clear" w:color="auto" w:fill="FFFFFF"/>
        </w:rPr>
        <w:t xml:space="preserve"> et al., 2016</w:t>
      </w:r>
      <w:r w:rsidR="004717B9">
        <w:rPr>
          <w:rFonts w:ascii="Arial" w:hAnsi="Arial" w:cs="Arial"/>
          <w:color w:val="1B1B1B"/>
          <w:sz w:val="24"/>
          <w:szCs w:val="24"/>
          <w:shd w:val="clear" w:color="auto" w:fill="FFFFFF"/>
        </w:rPr>
        <w:t xml:space="preserve">, </w:t>
      </w:r>
      <w:r w:rsidR="004717B9" w:rsidRPr="004717B9">
        <w:rPr>
          <w:rFonts w:ascii="Arial" w:hAnsi="Arial" w:cs="Arial"/>
          <w:color w:val="1B1B1B"/>
          <w:sz w:val="24"/>
          <w:szCs w:val="24"/>
          <w:shd w:val="clear" w:color="auto" w:fill="FFFFFF"/>
        </w:rPr>
        <w:t>Shrestha AB</w:t>
      </w:r>
      <w:r w:rsidR="004717B9">
        <w:rPr>
          <w:rFonts w:ascii="Arial" w:hAnsi="Arial" w:cs="Arial"/>
          <w:color w:val="1B1B1B"/>
          <w:sz w:val="24"/>
          <w:szCs w:val="24"/>
          <w:shd w:val="clear" w:color="auto" w:fill="FFFFFF"/>
        </w:rPr>
        <w:t xml:space="preserve"> et al., 2022</w:t>
      </w:r>
      <w:r w:rsidR="00663F44">
        <w:rPr>
          <w:rFonts w:ascii="Arial" w:hAnsi="Arial" w:cs="Arial"/>
          <w:color w:val="1B1B1B"/>
          <w:sz w:val="24"/>
          <w:szCs w:val="24"/>
          <w:shd w:val="clear" w:color="auto" w:fill="FFFFFF"/>
        </w:rPr>
        <w:t>)</w:t>
      </w:r>
      <w:r w:rsidR="00B124A6" w:rsidRPr="00B124A6">
        <w:rPr>
          <w:rFonts w:ascii="Arial" w:hAnsi="Arial" w:cs="Arial"/>
          <w:sz w:val="24"/>
          <w:szCs w:val="24"/>
        </w:rPr>
        <w:t>.</w:t>
      </w:r>
      <w:r w:rsidR="00F6767E" w:rsidRPr="00F6767E">
        <w:rPr>
          <w:rFonts w:ascii="Arial" w:hAnsi="Arial" w:cs="Arial"/>
          <w:sz w:val="24"/>
          <w:szCs w:val="24"/>
        </w:rPr>
        <w:t xml:space="preserve"> Many cases</w:t>
      </w:r>
      <w:r w:rsidR="00D04B36">
        <w:rPr>
          <w:rFonts w:ascii="Arial" w:hAnsi="Arial" w:cs="Arial"/>
          <w:sz w:val="24"/>
          <w:szCs w:val="24"/>
        </w:rPr>
        <w:t xml:space="preserve"> of drug induced cutaneous</w:t>
      </w:r>
      <w:r w:rsidR="00F6767E" w:rsidRPr="00F6767E">
        <w:rPr>
          <w:rFonts w:ascii="Arial" w:hAnsi="Arial" w:cs="Arial"/>
          <w:sz w:val="24"/>
          <w:szCs w:val="24"/>
        </w:rPr>
        <w:t xml:space="preserve"> </w:t>
      </w:r>
      <w:r w:rsidR="00D04B36">
        <w:rPr>
          <w:rFonts w:ascii="Arial" w:hAnsi="Arial" w:cs="Arial"/>
          <w:sz w:val="24"/>
          <w:szCs w:val="24"/>
        </w:rPr>
        <w:t xml:space="preserve">manifestations </w:t>
      </w:r>
      <w:r w:rsidR="00F6767E" w:rsidRPr="00F6767E">
        <w:rPr>
          <w:rFonts w:ascii="Arial" w:hAnsi="Arial" w:cs="Arial"/>
          <w:sz w:val="24"/>
          <w:szCs w:val="24"/>
        </w:rPr>
        <w:t>may go unrecognized, particularly in rural areas where patients may not report or associate symptoms with drug intake</w:t>
      </w:r>
      <w:r w:rsidR="00D04B36">
        <w:rPr>
          <w:rFonts w:ascii="Arial" w:hAnsi="Arial" w:cs="Arial"/>
          <w:sz w:val="24"/>
          <w:szCs w:val="24"/>
        </w:rPr>
        <w:t xml:space="preserve"> (</w:t>
      </w:r>
      <w:r w:rsidR="00D04B36" w:rsidRPr="00F6767E">
        <w:rPr>
          <w:rFonts w:ascii="Arial" w:hAnsi="Arial" w:cs="Arial"/>
          <w:color w:val="1B1B1B"/>
          <w:sz w:val="24"/>
          <w:szCs w:val="24"/>
          <w:shd w:val="clear" w:color="auto" w:fill="FFFFFF"/>
        </w:rPr>
        <w:t>Shukla S</w:t>
      </w:r>
      <w:r w:rsidR="00D04B36">
        <w:rPr>
          <w:rFonts w:ascii="Arial" w:hAnsi="Arial" w:cs="Arial"/>
          <w:color w:val="1B1B1B"/>
          <w:sz w:val="24"/>
          <w:szCs w:val="24"/>
          <w:shd w:val="clear" w:color="auto" w:fill="FFFFFF"/>
        </w:rPr>
        <w:t xml:space="preserve"> et al., 2024, </w:t>
      </w:r>
      <w:proofErr w:type="spellStart"/>
      <w:r w:rsidR="00D04B36" w:rsidRPr="00D04B36">
        <w:rPr>
          <w:rFonts w:ascii="Arial" w:hAnsi="Arial" w:cs="Arial"/>
          <w:color w:val="1B1B1B"/>
          <w:sz w:val="24"/>
          <w:szCs w:val="24"/>
          <w:shd w:val="clear" w:color="auto" w:fill="FFFFFF"/>
        </w:rPr>
        <w:t>Badar</w:t>
      </w:r>
      <w:proofErr w:type="spellEnd"/>
      <w:r w:rsidR="00D04B36" w:rsidRPr="00D04B36">
        <w:rPr>
          <w:rFonts w:ascii="Arial" w:hAnsi="Arial" w:cs="Arial"/>
          <w:color w:val="1B1B1B"/>
          <w:sz w:val="24"/>
          <w:szCs w:val="24"/>
          <w:shd w:val="clear" w:color="auto" w:fill="FFFFFF"/>
        </w:rPr>
        <w:t xml:space="preserve"> V</w:t>
      </w:r>
      <w:r w:rsidR="00D04B36">
        <w:rPr>
          <w:rFonts w:ascii="Arial" w:hAnsi="Arial" w:cs="Arial"/>
          <w:color w:val="1B1B1B"/>
          <w:sz w:val="24"/>
          <w:szCs w:val="24"/>
          <w:shd w:val="clear" w:color="auto" w:fill="FFFFFF"/>
        </w:rPr>
        <w:t xml:space="preserve"> et al., 2018)</w:t>
      </w:r>
      <w:r w:rsidR="00F6767E">
        <w:rPr>
          <w:rFonts w:ascii="Arial" w:hAnsi="Arial" w:cs="Arial"/>
          <w:sz w:val="24"/>
          <w:szCs w:val="24"/>
        </w:rPr>
        <w:t>.</w:t>
      </w:r>
      <w:r w:rsidRPr="004A6510">
        <w:rPr>
          <w:rFonts w:ascii="Arial" w:hAnsi="Arial" w:cs="Arial"/>
          <w:sz w:val="24"/>
          <w:szCs w:val="24"/>
        </w:rPr>
        <w:t xml:space="preserve"> Here we report a case of cutaneous hypersensitivity vasculitis in a patient induced by cefixime, a third-generation cephalosporin, which is rarely associated with this condition as a trigger.</w:t>
      </w:r>
      <w:r w:rsidR="00F6767E">
        <w:rPr>
          <w:rFonts w:ascii="Arial" w:hAnsi="Arial" w:cs="Arial"/>
          <w:sz w:val="24"/>
          <w:szCs w:val="24"/>
        </w:rPr>
        <w:t xml:space="preserve"> </w:t>
      </w:r>
      <w:r w:rsidR="00663F44" w:rsidRPr="00663F44">
        <w:rPr>
          <w:rFonts w:ascii="Arial" w:hAnsi="Arial" w:cs="Arial"/>
          <w:sz w:val="24"/>
          <w:szCs w:val="24"/>
        </w:rPr>
        <w:t>Therefore, documenting rare presentations plays a crucial role in pharmacovigilance and helps prevent avoidable complications</w:t>
      </w:r>
      <w:r w:rsidR="00663F44">
        <w:rPr>
          <w:rFonts w:ascii="Arial" w:hAnsi="Arial" w:cs="Arial"/>
          <w:sz w:val="24"/>
          <w:szCs w:val="24"/>
        </w:rPr>
        <w:t xml:space="preserve"> (</w:t>
      </w:r>
      <w:r w:rsidR="00663F44" w:rsidRPr="00663F44">
        <w:rPr>
          <w:rFonts w:ascii="Arial" w:hAnsi="Arial" w:cs="Arial"/>
          <w:color w:val="1B1B1B"/>
          <w:sz w:val="24"/>
          <w:szCs w:val="24"/>
          <w:shd w:val="clear" w:color="auto" w:fill="FFFFFF"/>
        </w:rPr>
        <w:t>Zhou L</w:t>
      </w:r>
      <w:r w:rsidR="00663F44">
        <w:rPr>
          <w:rFonts w:ascii="Arial" w:hAnsi="Arial" w:cs="Arial"/>
          <w:color w:val="1B1B1B"/>
          <w:sz w:val="24"/>
          <w:szCs w:val="24"/>
          <w:shd w:val="clear" w:color="auto" w:fill="FFFFFF"/>
        </w:rPr>
        <w:t xml:space="preserve"> et al., 2023).</w:t>
      </w:r>
      <w:r w:rsidR="00663F44">
        <w:rPr>
          <w:rFonts w:ascii="Arial" w:hAnsi="Arial" w:cs="Arial"/>
          <w:sz w:val="24"/>
          <w:szCs w:val="24"/>
        </w:rPr>
        <w:t xml:space="preserve"> </w:t>
      </w:r>
    </w:p>
    <w:p w14:paraId="7600D08C" w14:textId="295E44D6" w:rsidR="00AF324F" w:rsidRPr="004A6510" w:rsidRDefault="00195533" w:rsidP="004A6510">
      <w:pPr>
        <w:spacing w:line="240" w:lineRule="auto"/>
        <w:jc w:val="both"/>
        <w:rPr>
          <w:rFonts w:ascii="Arial" w:eastAsia="Times New Roman" w:hAnsi="Arial" w:cs="Arial"/>
          <w:b/>
          <w:sz w:val="24"/>
          <w:szCs w:val="24"/>
          <w:lang w:eastAsia="en-IN"/>
        </w:rPr>
      </w:pPr>
      <w:r w:rsidRPr="004A6510">
        <w:rPr>
          <w:rFonts w:ascii="Arial" w:eastAsia="Times New Roman" w:hAnsi="Arial" w:cs="Arial"/>
          <w:b/>
          <w:sz w:val="24"/>
          <w:szCs w:val="24"/>
          <w:lang w:eastAsia="en-IN"/>
        </w:rPr>
        <w:t>2.</w:t>
      </w:r>
      <w:r w:rsidR="00330EF3">
        <w:rPr>
          <w:rFonts w:ascii="Arial" w:eastAsia="Times New Roman" w:hAnsi="Arial" w:cs="Arial"/>
          <w:b/>
          <w:sz w:val="24"/>
          <w:szCs w:val="24"/>
          <w:lang w:eastAsia="en-IN"/>
        </w:rPr>
        <w:t xml:space="preserve"> </w:t>
      </w:r>
      <w:r w:rsidR="00497A45" w:rsidRPr="004A6510">
        <w:rPr>
          <w:rFonts w:ascii="Arial" w:eastAsia="Times New Roman" w:hAnsi="Arial" w:cs="Arial"/>
          <w:b/>
          <w:sz w:val="24"/>
          <w:szCs w:val="24"/>
          <w:lang w:eastAsia="en-IN"/>
        </w:rPr>
        <w:t>C</w:t>
      </w:r>
      <w:r w:rsidRPr="004A6510">
        <w:rPr>
          <w:rFonts w:ascii="Arial" w:eastAsia="Times New Roman" w:hAnsi="Arial" w:cs="Arial"/>
          <w:b/>
          <w:sz w:val="24"/>
          <w:szCs w:val="24"/>
          <w:lang w:eastAsia="en-IN"/>
        </w:rPr>
        <w:t>ASE PRESENTATION</w:t>
      </w:r>
    </w:p>
    <w:p w14:paraId="660745AA" w14:textId="4022137A" w:rsidR="00E2151A" w:rsidRDefault="00E2151A"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A 46-year-old male reported to the department of dermatology with the complaints of multiple purpuric lesions, ulceration with pain</w:t>
      </w:r>
      <w:r w:rsidR="00330EF3">
        <w:rPr>
          <w:rFonts w:ascii="Arial" w:eastAsia="Times New Roman" w:hAnsi="Arial" w:cs="Arial"/>
          <w:sz w:val="24"/>
          <w:szCs w:val="24"/>
          <w:lang w:eastAsia="en-IN"/>
        </w:rPr>
        <w:t xml:space="preserve"> and</w:t>
      </w:r>
      <w:r w:rsidRPr="004A6510">
        <w:rPr>
          <w:rFonts w:ascii="Arial" w:eastAsia="Times New Roman" w:hAnsi="Arial" w:cs="Arial"/>
          <w:sz w:val="24"/>
          <w:szCs w:val="24"/>
          <w:lang w:eastAsia="en-IN"/>
        </w:rPr>
        <w:t xml:space="preserve"> mild itching and burning sensation</w:t>
      </w:r>
      <w:r w:rsidR="00330EF3">
        <w:rPr>
          <w:rFonts w:ascii="Arial" w:eastAsia="Times New Roman" w:hAnsi="Arial" w:cs="Arial"/>
          <w:sz w:val="24"/>
          <w:szCs w:val="24"/>
          <w:lang w:eastAsia="en-IN"/>
        </w:rPr>
        <w:t>s</w:t>
      </w:r>
      <w:r w:rsidRPr="004A6510">
        <w:rPr>
          <w:rFonts w:ascii="Arial" w:eastAsia="Times New Roman" w:hAnsi="Arial" w:cs="Arial"/>
          <w:sz w:val="24"/>
          <w:szCs w:val="24"/>
          <w:lang w:eastAsia="en-IN"/>
        </w:rPr>
        <w:t xml:space="preserve"> over both lower extremities from the past 15 days, as shown in figure 1. The patient </w:t>
      </w:r>
      <w:r w:rsidRPr="004A6510">
        <w:rPr>
          <w:rFonts w:ascii="Arial" w:eastAsia="Times New Roman" w:hAnsi="Arial" w:cs="Arial"/>
          <w:sz w:val="24"/>
          <w:szCs w:val="24"/>
          <w:lang w:eastAsia="en-IN"/>
        </w:rPr>
        <w:lastRenderedPageBreak/>
        <w:t xml:space="preserve">had no history of swelling, infections, discharge of pus or fluids from the skin lesions, fever, joint pains, systemic symptoms, or previous similar episodes. 5 days prior to the onset of symptoms, cefixime 200 mg twice daily was prescribed for a </w:t>
      </w:r>
      <w:r w:rsidR="008E1A5E">
        <w:rPr>
          <w:rFonts w:ascii="Arial" w:eastAsia="Times New Roman" w:hAnsi="Arial" w:cs="Arial"/>
          <w:sz w:val="24"/>
          <w:szCs w:val="24"/>
          <w:lang w:eastAsia="en-IN"/>
        </w:rPr>
        <w:t xml:space="preserve">mild </w:t>
      </w:r>
      <w:r w:rsidRPr="004A6510">
        <w:rPr>
          <w:rFonts w:ascii="Arial" w:eastAsia="Times New Roman" w:hAnsi="Arial" w:cs="Arial"/>
          <w:sz w:val="24"/>
          <w:szCs w:val="24"/>
          <w:lang w:eastAsia="en-IN"/>
        </w:rPr>
        <w:t>upper respiratory tract infection. Clinical examination showed multiple erythematous to violaceous palpable purpura and crusted ulcers over the bilateral lower limbs (pretibial region), and the laboratory data during admission is shown in Table 1.</w:t>
      </w:r>
      <w:r w:rsidR="006C4DE8">
        <w:rPr>
          <w:rFonts w:ascii="Arial" w:eastAsia="Times New Roman" w:hAnsi="Arial" w:cs="Arial"/>
          <w:sz w:val="24"/>
          <w:szCs w:val="24"/>
          <w:lang w:eastAsia="en-IN"/>
        </w:rPr>
        <w:t xml:space="preserve"> </w:t>
      </w:r>
      <w:r w:rsidR="006C4DE8" w:rsidRPr="006C4DE8">
        <w:rPr>
          <w:rFonts w:ascii="Arial" w:eastAsia="Times New Roman" w:hAnsi="Arial" w:cs="Arial"/>
          <w:sz w:val="24"/>
          <w:szCs w:val="24"/>
          <w:lang w:eastAsia="en-IN"/>
        </w:rPr>
        <w:t xml:space="preserve">Certain parameters such as serum </w:t>
      </w:r>
      <w:proofErr w:type="spellStart"/>
      <w:r w:rsidR="006C4DE8" w:rsidRPr="006C4DE8">
        <w:rPr>
          <w:rFonts w:ascii="Arial" w:eastAsia="Times New Roman" w:hAnsi="Arial" w:cs="Arial"/>
          <w:sz w:val="24"/>
          <w:szCs w:val="24"/>
          <w:lang w:eastAsia="en-IN"/>
        </w:rPr>
        <w:t>IgE</w:t>
      </w:r>
      <w:proofErr w:type="spellEnd"/>
      <w:r w:rsidR="006C4DE8" w:rsidRPr="006C4DE8">
        <w:rPr>
          <w:rFonts w:ascii="Arial" w:eastAsia="Times New Roman" w:hAnsi="Arial" w:cs="Arial"/>
          <w:sz w:val="24"/>
          <w:szCs w:val="24"/>
          <w:lang w:eastAsia="en-IN"/>
        </w:rPr>
        <w:t xml:space="preserve"> or extended autoimmune panel were not performed due to clinical stability and the absence of systemic involvement</w:t>
      </w:r>
      <w:r w:rsidR="006C4DE8">
        <w:rPr>
          <w:rFonts w:ascii="Arial" w:eastAsia="Times New Roman" w:hAnsi="Arial" w:cs="Arial"/>
          <w:sz w:val="24"/>
          <w:szCs w:val="24"/>
          <w:lang w:eastAsia="en-IN"/>
        </w:rPr>
        <w:t>.</w:t>
      </w:r>
      <w:r w:rsidR="006C4DE8" w:rsidRPr="006C4DE8">
        <w:t xml:space="preserve"> </w:t>
      </w:r>
      <w:r w:rsidR="006C4DE8" w:rsidRPr="006C4DE8">
        <w:rPr>
          <w:rFonts w:ascii="Arial" w:eastAsia="Times New Roman" w:hAnsi="Arial" w:cs="Arial"/>
          <w:sz w:val="24"/>
          <w:szCs w:val="24"/>
          <w:lang w:eastAsia="en-IN"/>
        </w:rPr>
        <w:t xml:space="preserve">Additional blood investigation including fasting blood sugar </w:t>
      </w:r>
      <w:r w:rsidR="006C4DE8">
        <w:rPr>
          <w:rFonts w:ascii="Arial" w:eastAsia="Times New Roman" w:hAnsi="Arial" w:cs="Arial"/>
          <w:sz w:val="24"/>
          <w:szCs w:val="24"/>
          <w:lang w:eastAsia="en-IN"/>
        </w:rPr>
        <w:t>was reviewed.</w:t>
      </w:r>
      <w:r w:rsidRPr="004A6510">
        <w:rPr>
          <w:rFonts w:ascii="Arial" w:eastAsia="Times New Roman" w:hAnsi="Arial" w:cs="Arial"/>
          <w:sz w:val="24"/>
          <w:szCs w:val="24"/>
          <w:lang w:eastAsia="en-IN"/>
        </w:rPr>
        <w:t xml:space="preserve"> The patient consumed cefixime 200 mg for 5 days (total dose of 2 g) and lactulose 15 ml once daily for constipation.</w:t>
      </w:r>
      <w:r w:rsidR="00C072C2">
        <w:rPr>
          <w:rFonts w:ascii="Arial" w:eastAsia="Times New Roman" w:hAnsi="Arial" w:cs="Arial"/>
          <w:sz w:val="24"/>
          <w:szCs w:val="24"/>
          <w:lang w:eastAsia="en-IN"/>
        </w:rPr>
        <w:t xml:space="preserve"> The patient had no previous history of allergy to the given drugs.</w:t>
      </w:r>
      <w:r w:rsidRPr="004A6510">
        <w:rPr>
          <w:rFonts w:ascii="Arial" w:eastAsia="Times New Roman" w:hAnsi="Arial" w:cs="Arial"/>
          <w:sz w:val="24"/>
          <w:szCs w:val="24"/>
          <w:lang w:eastAsia="en-IN"/>
        </w:rPr>
        <w:t xml:space="preserve"> No lymphadenopathy was observed. Vital signs were stable.</w:t>
      </w:r>
    </w:p>
    <w:p w14:paraId="29C7398C" w14:textId="77777777" w:rsidR="00683FC8" w:rsidRPr="004A6510" w:rsidRDefault="00683FC8" w:rsidP="00683FC8">
      <w:pPr>
        <w:spacing w:before="100" w:beforeAutospacing="1" w:after="100" w:afterAutospacing="1" w:line="240" w:lineRule="auto"/>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Table 1. Laboratory tests (on admission)</w:t>
      </w:r>
      <w:bookmarkStart w:id="0" w:name="_GoBack"/>
      <w:bookmarkEnd w:id="0"/>
    </w:p>
    <w:tbl>
      <w:tblPr>
        <w:tblStyle w:val="TableGrid"/>
        <w:tblpPr w:leftFromText="180" w:rightFromText="180" w:vertAnchor="text" w:horzAnchor="margin" w:tblpY="62"/>
        <w:tblW w:w="0" w:type="auto"/>
        <w:tblLook w:val="04A0" w:firstRow="1" w:lastRow="0" w:firstColumn="1" w:lastColumn="0" w:noHBand="0" w:noVBand="1"/>
      </w:tblPr>
      <w:tblGrid>
        <w:gridCol w:w="2479"/>
        <w:gridCol w:w="2531"/>
        <w:gridCol w:w="2243"/>
        <w:gridCol w:w="1763"/>
      </w:tblGrid>
      <w:tr w:rsidR="00A0285B" w:rsidRPr="004A6510" w14:paraId="645B733B" w14:textId="73A065B7" w:rsidTr="00A6191B">
        <w:tc>
          <w:tcPr>
            <w:tcW w:w="2479" w:type="dxa"/>
          </w:tcPr>
          <w:p w14:paraId="5AF773E5" w14:textId="77777777"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Lab Parameters</w:t>
            </w:r>
          </w:p>
        </w:tc>
        <w:tc>
          <w:tcPr>
            <w:tcW w:w="2531" w:type="dxa"/>
          </w:tcPr>
          <w:p w14:paraId="6225EF55" w14:textId="77777777"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Values</w:t>
            </w:r>
          </w:p>
        </w:tc>
        <w:tc>
          <w:tcPr>
            <w:tcW w:w="2243" w:type="dxa"/>
          </w:tcPr>
          <w:p w14:paraId="017CD53B" w14:textId="0FFBB83C"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Reference range</w:t>
            </w:r>
          </w:p>
        </w:tc>
        <w:tc>
          <w:tcPr>
            <w:tcW w:w="1763" w:type="dxa"/>
          </w:tcPr>
          <w:p w14:paraId="6B6B2613" w14:textId="63D9FD87" w:rsidR="00A0285B" w:rsidRPr="004A6510" w:rsidRDefault="00A0285B" w:rsidP="00A0285B">
            <w:pPr>
              <w:spacing w:line="480" w:lineRule="auto"/>
              <w:jc w:val="both"/>
              <w:rPr>
                <w:rFonts w:ascii="Arial" w:eastAsia="Times New Roman" w:hAnsi="Arial" w:cs="Arial"/>
                <w:b/>
                <w:bCs/>
                <w:sz w:val="24"/>
                <w:szCs w:val="24"/>
                <w:lang w:eastAsia="en-IN"/>
              </w:rPr>
            </w:pPr>
            <w:r w:rsidRPr="004A6510">
              <w:rPr>
                <w:rFonts w:ascii="Arial" w:eastAsia="Times New Roman" w:hAnsi="Arial" w:cs="Arial"/>
                <w:b/>
                <w:bCs/>
                <w:sz w:val="24"/>
                <w:szCs w:val="24"/>
                <w:lang w:eastAsia="en-IN"/>
              </w:rPr>
              <w:t xml:space="preserve">Interpretation </w:t>
            </w:r>
          </w:p>
        </w:tc>
      </w:tr>
      <w:tr w:rsidR="00A0285B" w:rsidRPr="004A6510" w14:paraId="1C11D5F3" w14:textId="08A085D7" w:rsidTr="00A6191B">
        <w:tc>
          <w:tcPr>
            <w:tcW w:w="2479" w:type="dxa"/>
          </w:tcPr>
          <w:p w14:paraId="23609918"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WBC</w:t>
            </w:r>
          </w:p>
        </w:tc>
        <w:tc>
          <w:tcPr>
            <w:tcW w:w="2531" w:type="dxa"/>
          </w:tcPr>
          <w:p w14:paraId="4BDDEE75" w14:textId="6CDB0EC5"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12.9 K/</w:t>
            </w:r>
            <w:proofErr w:type="spellStart"/>
            <w:r w:rsidRPr="004A6510">
              <w:rPr>
                <w:rFonts w:ascii="Arial" w:eastAsia="Times New Roman" w:hAnsi="Arial" w:cs="Arial"/>
                <w:sz w:val="24"/>
                <w:szCs w:val="24"/>
                <w:lang w:eastAsia="en-IN"/>
              </w:rPr>
              <w:t>Cumm</w:t>
            </w:r>
            <w:r w:rsidR="00723A8E" w:rsidRPr="004A6510">
              <w:rPr>
                <w:rFonts w:ascii="Arial" w:eastAsia="Times New Roman" w:hAnsi="Arial" w:cs="Arial"/>
                <w:sz w:val="24"/>
                <w:szCs w:val="24"/>
                <w:vertAlign w:val="superscript"/>
                <w:lang w:eastAsia="en-IN"/>
              </w:rPr>
              <w:t>a</w:t>
            </w:r>
            <w:proofErr w:type="spellEnd"/>
            <w:r w:rsidR="00723A8E" w:rsidRPr="004A6510">
              <w:rPr>
                <w:rFonts w:ascii="Arial" w:eastAsia="Times New Roman" w:hAnsi="Arial" w:cs="Arial"/>
                <w:sz w:val="24"/>
                <w:szCs w:val="24"/>
                <w:lang w:eastAsia="en-IN"/>
              </w:rPr>
              <w:t xml:space="preserve"> </w:t>
            </w:r>
            <w:r w:rsidRPr="004A6510">
              <w:rPr>
                <w:rFonts w:ascii="Arial" w:eastAsia="Times New Roman" w:hAnsi="Arial" w:cs="Arial"/>
                <w:sz w:val="24"/>
                <w:szCs w:val="24"/>
                <w:lang w:eastAsia="en-IN"/>
              </w:rPr>
              <w:t>(mild leucocytosis)</w:t>
            </w:r>
          </w:p>
        </w:tc>
        <w:tc>
          <w:tcPr>
            <w:tcW w:w="2243" w:type="dxa"/>
          </w:tcPr>
          <w:p w14:paraId="64167791" w14:textId="3CE00EBE"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4,000– 11,000/</w:t>
            </w:r>
            <w:proofErr w:type="spellStart"/>
            <w:r w:rsidRPr="004A6510">
              <w:rPr>
                <w:rFonts w:ascii="Arial" w:eastAsia="Times New Roman" w:hAnsi="Arial" w:cs="Arial"/>
                <w:sz w:val="24"/>
                <w:szCs w:val="24"/>
                <w:lang w:eastAsia="en-IN"/>
              </w:rPr>
              <w:t>Cumm</w:t>
            </w:r>
            <w:proofErr w:type="spellEnd"/>
          </w:p>
        </w:tc>
        <w:tc>
          <w:tcPr>
            <w:tcW w:w="1763" w:type="dxa"/>
          </w:tcPr>
          <w:p w14:paraId="113B41FB" w14:textId="3562702C"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Mild elevation</w:t>
            </w:r>
          </w:p>
        </w:tc>
      </w:tr>
      <w:tr w:rsidR="00A0285B" w:rsidRPr="004A6510" w14:paraId="5A892EE7" w14:textId="295EE87E" w:rsidTr="00A6191B">
        <w:tc>
          <w:tcPr>
            <w:tcW w:w="2479" w:type="dxa"/>
          </w:tcPr>
          <w:p w14:paraId="73497DC7"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Monocytes</w:t>
            </w:r>
          </w:p>
        </w:tc>
        <w:tc>
          <w:tcPr>
            <w:tcW w:w="2531" w:type="dxa"/>
          </w:tcPr>
          <w:p w14:paraId="656B2577"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10.6%</w:t>
            </w:r>
          </w:p>
        </w:tc>
        <w:tc>
          <w:tcPr>
            <w:tcW w:w="2243" w:type="dxa"/>
          </w:tcPr>
          <w:p w14:paraId="0E253125" w14:textId="70284461"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2–8%</w:t>
            </w:r>
          </w:p>
        </w:tc>
        <w:tc>
          <w:tcPr>
            <w:tcW w:w="1763" w:type="dxa"/>
          </w:tcPr>
          <w:p w14:paraId="3909E6FE" w14:textId="5A8A5F76"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0FC4F41A" w14:textId="4BEF611C" w:rsidTr="00A6191B">
        <w:tc>
          <w:tcPr>
            <w:tcW w:w="2479" w:type="dxa"/>
          </w:tcPr>
          <w:p w14:paraId="5BD94A9A"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Basophils</w:t>
            </w:r>
          </w:p>
        </w:tc>
        <w:tc>
          <w:tcPr>
            <w:tcW w:w="2531" w:type="dxa"/>
          </w:tcPr>
          <w:p w14:paraId="3A0FEB5C"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0.1%</w:t>
            </w:r>
          </w:p>
        </w:tc>
        <w:tc>
          <w:tcPr>
            <w:tcW w:w="2243" w:type="dxa"/>
          </w:tcPr>
          <w:p w14:paraId="47A3EE2D" w14:textId="5263CA01"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&lt;1%</w:t>
            </w:r>
          </w:p>
        </w:tc>
        <w:tc>
          <w:tcPr>
            <w:tcW w:w="1763" w:type="dxa"/>
          </w:tcPr>
          <w:p w14:paraId="396D49E9" w14:textId="557EE582"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normal</w:t>
            </w:r>
          </w:p>
        </w:tc>
      </w:tr>
      <w:tr w:rsidR="00A6191B" w:rsidRPr="004A6510" w14:paraId="081B5EE3" w14:textId="77777777" w:rsidTr="00A6191B">
        <w:tc>
          <w:tcPr>
            <w:tcW w:w="2479" w:type="dxa"/>
          </w:tcPr>
          <w:p w14:paraId="599B904B" w14:textId="1D2AEC9F" w:rsidR="00A6191B" w:rsidRPr="004A6510" w:rsidRDefault="00A6191B"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Neutrophils</w:t>
            </w:r>
          </w:p>
        </w:tc>
        <w:tc>
          <w:tcPr>
            <w:tcW w:w="2531" w:type="dxa"/>
          </w:tcPr>
          <w:p w14:paraId="3FFB78C5" w14:textId="5F6FC2C9" w:rsidR="00A6191B" w:rsidRPr="004A6510" w:rsidRDefault="00016E53"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63%</w:t>
            </w:r>
          </w:p>
        </w:tc>
        <w:tc>
          <w:tcPr>
            <w:tcW w:w="2243" w:type="dxa"/>
          </w:tcPr>
          <w:p w14:paraId="2D54EA25" w14:textId="0BDCE891" w:rsidR="00A6191B" w:rsidRPr="004A6510" w:rsidRDefault="00A6191B" w:rsidP="00CB43BD">
            <w:pPr>
              <w:spacing w:line="480" w:lineRule="auto"/>
              <w:jc w:val="both"/>
              <w:rPr>
                <w:rFonts w:ascii="Arial" w:eastAsia="Times New Roman" w:hAnsi="Arial" w:cs="Arial"/>
                <w:sz w:val="24"/>
                <w:szCs w:val="24"/>
                <w:lang w:eastAsia="en-IN"/>
              </w:rPr>
            </w:pPr>
            <w:r w:rsidRPr="00A6191B">
              <w:rPr>
                <w:rFonts w:ascii="Arial" w:eastAsia="Times New Roman" w:hAnsi="Arial" w:cs="Arial"/>
                <w:sz w:val="24"/>
                <w:szCs w:val="24"/>
                <w:lang w:eastAsia="en-IN"/>
              </w:rPr>
              <w:t>40–70%</w:t>
            </w:r>
          </w:p>
        </w:tc>
        <w:tc>
          <w:tcPr>
            <w:tcW w:w="1763" w:type="dxa"/>
          </w:tcPr>
          <w:p w14:paraId="2DA75958" w14:textId="162F13C6" w:rsidR="00A6191B" w:rsidRPr="004A6510" w:rsidRDefault="00016E53"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Normal</w:t>
            </w:r>
          </w:p>
        </w:tc>
      </w:tr>
      <w:tr w:rsidR="00A6191B" w:rsidRPr="004A6510" w14:paraId="5013A46D" w14:textId="77777777" w:rsidTr="00A6191B">
        <w:tc>
          <w:tcPr>
            <w:tcW w:w="2479" w:type="dxa"/>
          </w:tcPr>
          <w:p w14:paraId="406B018C" w14:textId="072BE5E9" w:rsidR="00A6191B" w:rsidRPr="004A6510" w:rsidRDefault="00A6191B"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Eosinophils</w:t>
            </w:r>
          </w:p>
        </w:tc>
        <w:tc>
          <w:tcPr>
            <w:tcW w:w="2531" w:type="dxa"/>
          </w:tcPr>
          <w:p w14:paraId="64273AB0" w14:textId="20A2A6E6" w:rsidR="00A6191B" w:rsidRPr="004A6510" w:rsidRDefault="00016E53"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6%</w:t>
            </w:r>
          </w:p>
        </w:tc>
        <w:tc>
          <w:tcPr>
            <w:tcW w:w="2243" w:type="dxa"/>
          </w:tcPr>
          <w:p w14:paraId="5003622E" w14:textId="657891DE" w:rsidR="00A6191B" w:rsidRPr="004A6510" w:rsidRDefault="00016E53" w:rsidP="00CB43BD">
            <w:pPr>
              <w:spacing w:line="480" w:lineRule="auto"/>
              <w:jc w:val="both"/>
              <w:rPr>
                <w:rFonts w:ascii="Arial" w:eastAsia="Times New Roman" w:hAnsi="Arial" w:cs="Arial"/>
                <w:sz w:val="24"/>
                <w:szCs w:val="24"/>
                <w:lang w:eastAsia="en-IN"/>
              </w:rPr>
            </w:pPr>
            <w:r w:rsidRPr="00016E53">
              <w:rPr>
                <w:rFonts w:ascii="Arial" w:eastAsia="Times New Roman" w:hAnsi="Arial" w:cs="Arial"/>
                <w:sz w:val="24"/>
                <w:szCs w:val="24"/>
                <w:lang w:eastAsia="en-IN"/>
              </w:rPr>
              <w:t>1–6%</w:t>
            </w:r>
          </w:p>
        </w:tc>
        <w:tc>
          <w:tcPr>
            <w:tcW w:w="1763" w:type="dxa"/>
          </w:tcPr>
          <w:p w14:paraId="2CDA5C4C" w14:textId="58893854" w:rsidR="00A6191B" w:rsidRPr="004A6510" w:rsidRDefault="00016E53"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Normal</w:t>
            </w:r>
          </w:p>
        </w:tc>
      </w:tr>
      <w:tr w:rsidR="00A6191B" w:rsidRPr="004A6510" w14:paraId="0B01B5ED" w14:textId="77777777" w:rsidTr="00A6191B">
        <w:tc>
          <w:tcPr>
            <w:tcW w:w="2479" w:type="dxa"/>
          </w:tcPr>
          <w:p w14:paraId="5C66C5BD" w14:textId="0B2DC775" w:rsidR="00A6191B" w:rsidRPr="004A6510" w:rsidRDefault="00A6191B"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Lymphocytes</w:t>
            </w:r>
          </w:p>
        </w:tc>
        <w:tc>
          <w:tcPr>
            <w:tcW w:w="2531" w:type="dxa"/>
          </w:tcPr>
          <w:p w14:paraId="6DBCBA20" w14:textId="2FED1D05" w:rsidR="00A6191B" w:rsidRPr="004A6510" w:rsidRDefault="00016E53"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22%</w:t>
            </w:r>
          </w:p>
        </w:tc>
        <w:tc>
          <w:tcPr>
            <w:tcW w:w="2243" w:type="dxa"/>
          </w:tcPr>
          <w:p w14:paraId="7C3D4EFD" w14:textId="04F35FA7" w:rsidR="00A6191B" w:rsidRPr="004A6510" w:rsidRDefault="00016E53" w:rsidP="00CB43BD">
            <w:pPr>
              <w:spacing w:line="480" w:lineRule="auto"/>
              <w:jc w:val="both"/>
              <w:rPr>
                <w:rFonts w:ascii="Arial" w:eastAsia="Times New Roman" w:hAnsi="Arial" w:cs="Arial"/>
                <w:sz w:val="24"/>
                <w:szCs w:val="24"/>
                <w:lang w:eastAsia="en-IN"/>
              </w:rPr>
            </w:pPr>
            <w:r w:rsidRPr="00016E53">
              <w:rPr>
                <w:rFonts w:ascii="Arial" w:eastAsia="Times New Roman" w:hAnsi="Arial" w:cs="Arial"/>
                <w:sz w:val="24"/>
                <w:szCs w:val="24"/>
                <w:lang w:eastAsia="en-IN"/>
              </w:rPr>
              <w:t>20–40%</w:t>
            </w:r>
          </w:p>
        </w:tc>
        <w:tc>
          <w:tcPr>
            <w:tcW w:w="1763" w:type="dxa"/>
          </w:tcPr>
          <w:p w14:paraId="570C395E" w14:textId="5185DF07" w:rsidR="00A6191B" w:rsidRPr="004A6510" w:rsidRDefault="00016E53" w:rsidP="00CB43BD">
            <w:pPr>
              <w:spacing w:line="480" w:lineRule="auto"/>
              <w:jc w:val="both"/>
              <w:rPr>
                <w:rFonts w:ascii="Arial" w:eastAsia="Times New Roman" w:hAnsi="Arial" w:cs="Arial"/>
                <w:sz w:val="24"/>
                <w:szCs w:val="24"/>
                <w:lang w:eastAsia="en-IN"/>
              </w:rPr>
            </w:pPr>
            <w:r>
              <w:rPr>
                <w:rFonts w:ascii="Arial" w:eastAsia="Times New Roman" w:hAnsi="Arial" w:cs="Arial"/>
                <w:sz w:val="24"/>
                <w:szCs w:val="24"/>
                <w:lang w:eastAsia="en-IN"/>
              </w:rPr>
              <w:t>Normal</w:t>
            </w:r>
          </w:p>
        </w:tc>
      </w:tr>
      <w:tr w:rsidR="00A0285B" w:rsidRPr="004A6510" w14:paraId="20AC6897" w14:textId="30B94836" w:rsidTr="00A6191B">
        <w:tc>
          <w:tcPr>
            <w:tcW w:w="2479" w:type="dxa"/>
          </w:tcPr>
          <w:p w14:paraId="11D54E75"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ESR</w:t>
            </w:r>
          </w:p>
        </w:tc>
        <w:tc>
          <w:tcPr>
            <w:tcW w:w="2531" w:type="dxa"/>
          </w:tcPr>
          <w:p w14:paraId="3F2F9D25" w14:textId="2AD2824B"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20 mm/</w:t>
            </w:r>
            <w:proofErr w:type="spellStart"/>
            <w:r w:rsidRPr="004A6510">
              <w:rPr>
                <w:rFonts w:ascii="Arial" w:eastAsia="Times New Roman" w:hAnsi="Arial" w:cs="Arial"/>
                <w:sz w:val="24"/>
                <w:szCs w:val="24"/>
                <w:lang w:eastAsia="en-IN"/>
              </w:rPr>
              <w:t>hr</w:t>
            </w:r>
            <w:r w:rsidR="00723A8E" w:rsidRPr="004A6510">
              <w:rPr>
                <w:rFonts w:ascii="Arial" w:eastAsia="Times New Roman" w:hAnsi="Arial" w:cs="Arial"/>
                <w:sz w:val="24"/>
                <w:szCs w:val="24"/>
                <w:vertAlign w:val="superscript"/>
                <w:lang w:eastAsia="en-IN"/>
              </w:rPr>
              <w:t>b</w:t>
            </w:r>
            <w:proofErr w:type="spellEnd"/>
          </w:p>
        </w:tc>
        <w:tc>
          <w:tcPr>
            <w:tcW w:w="2243" w:type="dxa"/>
          </w:tcPr>
          <w:p w14:paraId="3513B7BF" w14:textId="24BD7D2A"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0 – 15 mm/hr</w:t>
            </w:r>
          </w:p>
        </w:tc>
        <w:tc>
          <w:tcPr>
            <w:tcW w:w="1763" w:type="dxa"/>
          </w:tcPr>
          <w:p w14:paraId="4F140DEB" w14:textId="64D54F92"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7A63D398" w14:textId="4F66C317" w:rsidTr="00A6191B">
        <w:tc>
          <w:tcPr>
            <w:tcW w:w="2479" w:type="dxa"/>
          </w:tcPr>
          <w:p w14:paraId="11351BA9"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CRP</w:t>
            </w:r>
          </w:p>
        </w:tc>
        <w:tc>
          <w:tcPr>
            <w:tcW w:w="2531" w:type="dxa"/>
          </w:tcPr>
          <w:p w14:paraId="3D72DBB7" w14:textId="68DD5248"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18.1 mg/</w:t>
            </w:r>
            <w:proofErr w:type="spellStart"/>
            <w:r w:rsidRPr="004A6510">
              <w:rPr>
                <w:rFonts w:ascii="Arial" w:eastAsia="Times New Roman" w:hAnsi="Arial" w:cs="Arial"/>
                <w:sz w:val="24"/>
                <w:szCs w:val="24"/>
                <w:lang w:eastAsia="en-IN"/>
              </w:rPr>
              <w:t>L</w:t>
            </w:r>
            <w:r w:rsidR="00723A8E" w:rsidRPr="004A6510">
              <w:rPr>
                <w:rFonts w:ascii="Arial" w:eastAsia="Times New Roman" w:hAnsi="Arial" w:cs="Arial"/>
                <w:sz w:val="24"/>
                <w:szCs w:val="24"/>
                <w:vertAlign w:val="superscript"/>
                <w:lang w:eastAsia="en-IN"/>
              </w:rPr>
              <w:t>c</w:t>
            </w:r>
            <w:proofErr w:type="spellEnd"/>
          </w:p>
        </w:tc>
        <w:tc>
          <w:tcPr>
            <w:tcW w:w="2243" w:type="dxa"/>
          </w:tcPr>
          <w:p w14:paraId="6084D6DA" w14:textId="190EF729"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 5 mg/L</w:t>
            </w:r>
          </w:p>
        </w:tc>
        <w:tc>
          <w:tcPr>
            <w:tcW w:w="1763" w:type="dxa"/>
          </w:tcPr>
          <w:p w14:paraId="34573793" w14:textId="1BE41F9D"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17862169" w14:textId="10FBE3AA" w:rsidTr="00A6191B">
        <w:tc>
          <w:tcPr>
            <w:tcW w:w="2479" w:type="dxa"/>
          </w:tcPr>
          <w:p w14:paraId="62B95F6F"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TSH</w:t>
            </w:r>
          </w:p>
        </w:tc>
        <w:tc>
          <w:tcPr>
            <w:tcW w:w="2531" w:type="dxa"/>
          </w:tcPr>
          <w:p w14:paraId="7C8F10D8" w14:textId="0DAA8899"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9.15 µIU/</w:t>
            </w:r>
            <w:proofErr w:type="spellStart"/>
            <w:r w:rsidRPr="004A6510">
              <w:rPr>
                <w:rFonts w:ascii="Arial" w:eastAsia="Times New Roman" w:hAnsi="Arial" w:cs="Arial"/>
                <w:sz w:val="24"/>
                <w:szCs w:val="24"/>
                <w:lang w:eastAsia="en-IN"/>
              </w:rPr>
              <w:t>mL</w:t>
            </w:r>
            <w:r w:rsidR="00723A8E" w:rsidRPr="004A6510">
              <w:rPr>
                <w:rFonts w:ascii="Arial" w:eastAsia="Times New Roman" w:hAnsi="Arial" w:cs="Arial"/>
                <w:sz w:val="24"/>
                <w:szCs w:val="24"/>
                <w:vertAlign w:val="superscript"/>
                <w:lang w:eastAsia="en-IN"/>
              </w:rPr>
              <w:t>d</w:t>
            </w:r>
            <w:proofErr w:type="spellEnd"/>
          </w:p>
        </w:tc>
        <w:tc>
          <w:tcPr>
            <w:tcW w:w="2243" w:type="dxa"/>
          </w:tcPr>
          <w:p w14:paraId="4054C54E" w14:textId="122B93AC"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0.4 – 4.0 µIU/mL</w:t>
            </w:r>
          </w:p>
        </w:tc>
        <w:tc>
          <w:tcPr>
            <w:tcW w:w="1763" w:type="dxa"/>
          </w:tcPr>
          <w:p w14:paraId="2A599B65" w14:textId="28B47151"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r w:rsidR="00A0285B" w:rsidRPr="004A6510" w14:paraId="3CCFE4DA" w14:textId="4AAB32BB" w:rsidTr="00A6191B">
        <w:tc>
          <w:tcPr>
            <w:tcW w:w="2479" w:type="dxa"/>
          </w:tcPr>
          <w:p w14:paraId="0FBC8533"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HDL</w:t>
            </w:r>
          </w:p>
        </w:tc>
        <w:tc>
          <w:tcPr>
            <w:tcW w:w="2531" w:type="dxa"/>
          </w:tcPr>
          <w:p w14:paraId="4E4EB704" w14:textId="62471365"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30mg/</w:t>
            </w:r>
            <w:proofErr w:type="spellStart"/>
            <w:r w:rsidRPr="004A6510">
              <w:rPr>
                <w:rFonts w:ascii="Arial" w:eastAsia="Times New Roman" w:hAnsi="Arial" w:cs="Arial"/>
                <w:sz w:val="24"/>
                <w:szCs w:val="24"/>
                <w:lang w:eastAsia="en-IN"/>
              </w:rPr>
              <w:t>dL</w:t>
            </w:r>
            <w:r w:rsidR="00723A8E" w:rsidRPr="004A6510">
              <w:rPr>
                <w:rFonts w:ascii="Arial" w:eastAsia="Times New Roman" w:hAnsi="Arial" w:cs="Arial"/>
                <w:sz w:val="24"/>
                <w:szCs w:val="24"/>
                <w:vertAlign w:val="superscript"/>
                <w:lang w:eastAsia="en-IN"/>
              </w:rPr>
              <w:t>e</w:t>
            </w:r>
            <w:proofErr w:type="spellEnd"/>
          </w:p>
        </w:tc>
        <w:tc>
          <w:tcPr>
            <w:tcW w:w="2243" w:type="dxa"/>
          </w:tcPr>
          <w:p w14:paraId="29376D81" w14:textId="65F5AE49"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&gt; 40 mg/dL</w:t>
            </w:r>
          </w:p>
        </w:tc>
        <w:tc>
          <w:tcPr>
            <w:tcW w:w="1763" w:type="dxa"/>
          </w:tcPr>
          <w:p w14:paraId="24C5FCE3" w14:textId="53329C3B"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reduced</w:t>
            </w:r>
          </w:p>
        </w:tc>
      </w:tr>
      <w:tr w:rsidR="00A0285B" w:rsidRPr="004A6510" w14:paraId="44A90184" w14:textId="5A8358D8" w:rsidTr="00A6191B">
        <w:tc>
          <w:tcPr>
            <w:tcW w:w="2479" w:type="dxa"/>
          </w:tcPr>
          <w:p w14:paraId="0E8B5537"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 xml:space="preserve"> LDL</w:t>
            </w:r>
          </w:p>
        </w:tc>
        <w:tc>
          <w:tcPr>
            <w:tcW w:w="2531" w:type="dxa"/>
          </w:tcPr>
          <w:p w14:paraId="1250E68A" w14:textId="5BC00446"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104mg/</w:t>
            </w:r>
            <w:proofErr w:type="spellStart"/>
            <w:r w:rsidRPr="004A6510">
              <w:rPr>
                <w:rFonts w:ascii="Arial" w:eastAsia="Times New Roman" w:hAnsi="Arial" w:cs="Arial"/>
                <w:sz w:val="24"/>
                <w:szCs w:val="24"/>
                <w:lang w:eastAsia="en-IN"/>
              </w:rPr>
              <w:t>dL</w:t>
            </w:r>
            <w:r w:rsidR="00723A8E" w:rsidRPr="004A6510">
              <w:rPr>
                <w:rFonts w:ascii="Arial" w:eastAsia="Times New Roman" w:hAnsi="Arial" w:cs="Arial"/>
                <w:sz w:val="24"/>
                <w:szCs w:val="24"/>
                <w:vertAlign w:val="superscript"/>
                <w:lang w:eastAsia="en-IN"/>
              </w:rPr>
              <w:t>f</w:t>
            </w:r>
            <w:proofErr w:type="spellEnd"/>
          </w:p>
        </w:tc>
        <w:tc>
          <w:tcPr>
            <w:tcW w:w="2243" w:type="dxa"/>
          </w:tcPr>
          <w:p w14:paraId="57C6D4C5" w14:textId="05319A4D"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 100 mg/dL</w:t>
            </w:r>
          </w:p>
        </w:tc>
        <w:tc>
          <w:tcPr>
            <w:tcW w:w="1763" w:type="dxa"/>
          </w:tcPr>
          <w:p w14:paraId="7BF44223" w14:textId="5ADD914C"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Mild elevated</w:t>
            </w:r>
          </w:p>
        </w:tc>
      </w:tr>
      <w:tr w:rsidR="00A0285B" w:rsidRPr="004A6510" w14:paraId="0A7EAA1D" w14:textId="649A3997" w:rsidTr="00A6191B">
        <w:tc>
          <w:tcPr>
            <w:tcW w:w="2479" w:type="dxa"/>
          </w:tcPr>
          <w:p w14:paraId="22AC0670"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Total cholesterol / HDLC</w:t>
            </w:r>
          </w:p>
        </w:tc>
        <w:tc>
          <w:tcPr>
            <w:tcW w:w="2531" w:type="dxa"/>
          </w:tcPr>
          <w:p w14:paraId="3C7FB63A" w14:textId="77777777"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5.4</w:t>
            </w:r>
          </w:p>
        </w:tc>
        <w:tc>
          <w:tcPr>
            <w:tcW w:w="2243" w:type="dxa"/>
          </w:tcPr>
          <w:p w14:paraId="24BCE425" w14:textId="174F19FE"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&lt; 3.5</w:t>
            </w:r>
          </w:p>
        </w:tc>
        <w:tc>
          <w:tcPr>
            <w:tcW w:w="1763" w:type="dxa"/>
          </w:tcPr>
          <w:p w14:paraId="0BA03FE2" w14:textId="1A4F61FB" w:rsidR="00A0285B" w:rsidRPr="004A6510" w:rsidRDefault="00A0285B" w:rsidP="00CB43BD">
            <w:pPr>
              <w:spacing w:line="48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elevated</w:t>
            </w:r>
          </w:p>
        </w:tc>
      </w:tr>
    </w:tbl>
    <w:p w14:paraId="3850C23F" w14:textId="16BAA25E" w:rsidR="00683FC8" w:rsidRPr="004A6510" w:rsidRDefault="00723A8E" w:rsidP="00683FC8">
      <w:pPr>
        <w:spacing w:before="100" w:beforeAutospacing="1" w:after="100" w:afterAutospacing="1" w:line="240" w:lineRule="auto"/>
        <w:jc w:val="both"/>
        <w:rPr>
          <w:rFonts w:ascii="Arial" w:eastAsia="Times New Roman" w:hAnsi="Arial" w:cs="Arial"/>
          <w:sz w:val="24"/>
          <w:szCs w:val="24"/>
          <w:lang w:eastAsia="en-IN"/>
        </w:rPr>
      </w:pPr>
      <w:proofErr w:type="spellStart"/>
      <w:r w:rsidRPr="004A6510">
        <w:rPr>
          <w:rFonts w:ascii="Arial" w:eastAsia="Times New Roman" w:hAnsi="Arial" w:cs="Arial"/>
          <w:sz w:val="24"/>
          <w:szCs w:val="24"/>
          <w:vertAlign w:val="superscript"/>
          <w:lang w:eastAsia="en-IN"/>
        </w:rPr>
        <w:t>a</w:t>
      </w:r>
      <w:r w:rsidR="00683FC8" w:rsidRPr="004A6510">
        <w:rPr>
          <w:rFonts w:ascii="Arial" w:eastAsia="Times New Roman" w:hAnsi="Arial" w:cs="Arial"/>
          <w:sz w:val="24"/>
          <w:szCs w:val="24"/>
          <w:lang w:eastAsia="en-IN"/>
        </w:rPr>
        <w:t>WBC</w:t>
      </w:r>
      <w:proofErr w:type="spellEnd"/>
      <w:r w:rsidR="00683FC8" w:rsidRPr="004A6510">
        <w:rPr>
          <w:rFonts w:ascii="Arial" w:eastAsia="Times New Roman" w:hAnsi="Arial" w:cs="Arial"/>
          <w:sz w:val="24"/>
          <w:szCs w:val="24"/>
          <w:lang w:eastAsia="en-IN"/>
        </w:rPr>
        <w:t xml:space="preserve">- White blood cells, </w:t>
      </w:r>
      <w:proofErr w:type="spellStart"/>
      <w:r w:rsidRPr="004A6510">
        <w:rPr>
          <w:rFonts w:ascii="Arial" w:eastAsia="Times New Roman" w:hAnsi="Arial" w:cs="Arial"/>
          <w:sz w:val="24"/>
          <w:szCs w:val="24"/>
          <w:vertAlign w:val="superscript"/>
          <w:lang w:eastAsia="en-IN"/>
        </w:rPr>
        <w:t>b</w:t>
      </w:r>
      <w:r w:rsidR="00683FC8" w:rsidRPr="004A6510">
        <w:rPr>
          <w:rFonts w:ascii="Arial" w:eastAsia="Times New Roman" w:hAnsi="Arial" w:cs="Arial"/>
          <w:sz w:val="24"/>
          <w:szCs w:val="24"/>
          <w:lang w:eastAsia="en-IN"/>
        </w:rPr>
        <w:t>ESR</w:t>
      </w:r>
      <w:proofErr w:type="spellEnd"/>
      <w:r w:rsidR="00683FC8" w:rsidRPr="004A6510">
        <w:rPr>
          <w:rFonts w:ascii="Arial" w:eastAsia="Times New Roman" w:hAnsi="Arial" w:cs="Arial"/>
          <w:sz w:val="24"/>
          <w:szCs w:val="24"/>
          <w:lang w:eastAsia="en-IN"/>
        </w:rPr>
        <w:t xml:space="preserve">- Erythrocyte sedimentation rate, </w:t>
      </w:r>
      <w:proofErr w:type="spellStart"/>
      <w:r w:rsidRPr="004A6510">
        <w:rPr>
          <w:rFonts w:ascii="Arial" w:eastAsia="Times New Roman" w:hAnsi="Arial" w:cs="Arial"/>
          <w:sz w:val="24"/>
          <w:szCs w:val="24"/>
          <w:vertAlign w:val="superscript"/>
          <w:lang w:eastAsia="en-IN"/>
        </w:rPr>
        <w:t>c</w:t>
      </w:r>
      <w:r w:rsidR="00683FC8" w:rsidRPr="004A6510">
        <w:rPr>
          <w:rFonts w:ascii="Arial" w:eastAsia="Times New Roman" w:hAnsi="Arial" w:cs="Arial"/>
          <w:sz w:val="24"/>
          <w:szCs w:val="24"/>
          <w:lang w:eastAsia="en-IN"/>
        </w:rPr>
        <w:t>CRP</w:t>
      </w:r>
      <w:proofErr w:type="spellEnd"/>
      <w:r w:rsidR="00683FC8" w:rsidRPr="004A6510">
        <w:rPr>
          <w:rFonts w:ascii="Arial" w:eastAsia="Times New Roman" w:hAnsi="Arial" w:cs="Arial"/>
          <w:sz w:val="24"/>
          <w:szCs w:val="24"/>
          <w:lang w:eastAsia="en-IN"/>
        </w:rPr>
        <w:t xml:space="preserve">- C- reactive </w:t>
      </w:r>
      <w:proofErr w:type="gramStart"/>
      <w:r w:rsidR="00683FC8" w:rsidRPr="004A6510">
        <w:rPr>
          <w:rFonts w:ascii="Arial" w:eastAsia="Times New Roman" w:hAnsi="Arial" w:cs="Arial"/>
          <w:sz w:val="24"/>
          <w:szCs w:val="24"/>
          <w:lang w:eastAsia="en-IN"/>
        </w:rPr>
        <w:t xml:space="preserve">protein,   </w:t>
      </w:r>
      <w:proofErr w:type="gramEnd"/>
      <w:r w:rsidR="00683FC8" w:rsidRPr="004A6510">
        <w:rPr>
          <w:rFonts w:ascii="Arial" w:eastAsia="Times New Roman" w:hAnsi="Arial" w:cs="Arial"/>
          <w:sz w:val="24"/>
          <w:szCs w:val="24"/>
          <w:lang w:eastAsia="en-IN"/>
        </w:rPr>
        <w:t xml:space="preserve">     </w:t>
      </w:r>
      <w:proofErr w:type="spellStart"/>
      <w:r w:rsidRPr="004A6510">
        <w:rPr>
          <w:rFonts w:ascii="Arial" w:eastAsia="Times New Roman" w:hAnsi="Arial" w:cs="Arial"/>
          <w:sz w:val="24"/>
          <w:szCs w:val="24"/>
          <w:vertAlign w:val="superscript"/>
          <w:lang w:eastAsia="en-IN"/>
        </w:rPr>
        <w:t>d</w:t>
      </w:r>
      <w:r w:rsidR="00683FC8" w:rsidRPr="004A6510">
        <w:rPr>
          <w:rFonts w:ascii="Arial" w:eastAsia="Times New Roman" w:hAnsi="Arial" w:cs="Arial"/>
          <w:sz w:val="24"/>
          <w:szCs w:val="24"/>
          <w:lang w:eastAsia="en-IN"/>
        </w:rPr>
        <w:t>TSH</w:t>
      </w:r>
      <w:proofErr w:type="spellEnd"/>
      <w:r w:rsidR="00683FC8" w:rsidRPr="004A6510">
        <w:rPr>
          <w:rFonts w:ascii="Arial" w:eastAsia="Times New Roman" w:hAnsi="Arial" w:cs="Arial"/>
          <w:sz w:val="24"/>
          <w:szCs w:val="24"/>
          <w:lang w:eastAsia="en-IN"/>
        </w:rPr>
        <w:t xml:space="preserve">- Thyroid stimulating hormone, </w:t>
      </w:r>
      <w:proofErr w:type="spellStart"/>
      <w:r w:rsidRPr="004A6510">
        <w:rPr>
          <w:rFonts w:ascii="Arial" w:eastAsia="Times New Roman" w:hAnsi="Arial" w:cs="Arial"/>
          <w:sz w:val="24"/>
          <w:szCs w:val="24"/>
          <w:vertAlign w:val="superscript"/>
          <w:lang w:eastAsia="en-IN"/>
        </w:rPr>
        <w:t>e</w:t>
      </w:r>
      <w:r w:rsidR="00683FC8" w:rsidRPr="004A6510">
        <w:rPr>
          <w:rFonts w:ascii="Arial" w:eastAsia="Times New Roman" w:hAnsi="Arial" w:cs="Arial"/>
          <w:sz w:val="24"/>
          <w:szCs w:val="24"/>
          <w:lang w:eastAsia="en-IN"/>
        </w:rPr>
        <w:t>HDL</w:t>
      </w:r>
      <w:proofErr w:type="spellEnd"/>
      <w:r w:rsidR="00683FC8" w:rsidRPr="004A6510">
        <w:rPr>
          <w:rFonts w:ascii="Arial" w:eastAsia="Times New Roman" w:hAnsi="Arial" w:cs="Arial"/>
          <w:sz w:val="24"/>
          <w:szCs w:val="24"/>
          <w:lang w:eastAsia="en-IN"/>
        </w:rPr>
        <w:t xml:space="preserve">- High density lipoproteins, </w:t>
      </w:r>
      <w:proofErr w:type="spellStart"/>
      <w:r w:rsidRPr="004A6510">
        <w:rPr>
          <w:rFonts w:ascii="Arial" w:eastAsia="Times New Roman" w:hAnsi="Arial" w:cs="Arial"/>
          <w:sz w:val="24"/>
          <w:szCs w:val="24"/>
          <w:vertAlign w:val="superscript"/>
          <w:lang w:eastAsia="en-IN"/>
        </w:rPr>
        <w:t>f</w:t>
      </w:r>
      <w:r w:rsidR="00683FC8" w:rsidRPr="004A6510">
        <w:rPr>
          <w:rFonts w:ascii="Arial" w:eastAsia="Times New Roman" w:hAnsi="Arial" w:cs="Arial"/>
          <w:sz w:val="24"/>
          <w:szCs w:val="24"/>
          <w:lang w:eastAsia="en-IN"/>
        </w:rPr>
        <w:t>LDL</w:t>
      </w:r>
      <w:proofErr w:type="spellEnd"/>
      <w:r w:rsidR="00683FC8" w:rsidRPr="004A6510">
        <w:rPr>
          <w:rFonts w:ascii="Arial" w:eastAsia="Times New Roman" w:hAnsi="Arial" w:cs="Arial"/>
          <w:sz w:val="24"/>
          <w:szCs w:val="24"/>
          <w:lang w:eastAsia="en-IN"/>
        </w:rPr>
        <w:t>- Low density lipoproteins.</w:t>
      </w:r>
    </w:p>
    <w:p w14:paraId="3D6DB0E6" w14:textId="61CB3377" w:rsidR="00E24596" w:rsidRPr="004A6510" w:rsidRDefault="00E24596" w:rsidP="00683FC8">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lastRenderedPageBreak/>
        <w:t>Figure 1. Multiple purpuric lesions</w:t>
      </w:r>
      <w:r w:rsidRPr="004A6510">
        <w:rPr>
          <w:rFonts w:ascii="Arial" w:eastAsia="Times New Roman" w:hAnsi="Arial" w:cs="Arial"/>
          <w:noProof/>
          <w:sz w:val="24"/>
          <w:szCs w:val="24"/>
          <w:lang w:eastAsia="en-IN"/>
        </w:rPr>
        <w:t xml:space="preserve"> during first Visit.</w:t>
      </w:r>
    </w:p>
    <w:p w14:paraId="49FC2D4D" w14:textId="561D35BC" w:rsidR="008210BF" w:rsidRPr="004A6510" w:rsidRDefault="008210BF" w:rsidP="00683FC8">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hAnsi="Arial" w:cs="Arial"/>
          <w:noProof/>
        </w:rPr>
        <w:drawing>
          <wp:inline distT="0" distB="0" distL="0" distR="0" wp14:anchorId="15DA8603" wp14:editId="7605711F">
            <wp:extent cx="4411980" cy="3139440"/>
            <wp:effectExtent l="0" t="0" r="7620" b="3810"/>
            <wp:docPr id="45017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1980" cy="3139440"/>
                    </a:xfrm>
                    <a:prstGeom prst="rect">
                      <a:avLst/>
                    </a:prstGeom>
                    <a:noFill/>
                    <a:ln>
                      <a:noFill/>
                    </a:ln>
                  </pic:spPr>
                </pic:pic>
              </a:graphicData>
            </a:graphic>
          </wp:inline>
        </w:drawing>
      </w:r>
    </w:p>
    <w:p w14:paraId="604FB3A4" w14:textId="743CF498" w:rsidR="008210BF" w:rsidRPr="004A6510" w:rsidRDefault="00FF2142" w:rsidP="004A6510">
      <w:pPr>
        <w:spacing w:before="100" w:beforeAutospacing="1" w:after="100" w:afterAutospacing="1" w:line="240" w:lineRule="auto"/>
        <w:jc w:val="both"/>
        <w:rPr>
          <w:rFonts w:ascii="Arial" w:eastAsia="Times New Roman" w:hAnsi="Arial" w:cs="Arial"/>
          <w:sz w:val="24"/>
          <w:szCs w:val="24"/>
          <w:lang w:eastAsia="en-IN"/>
        </w:rPr>
      </w:pPr>
      <w:proofErr w:type="spellStart"/>
      <w:proofErr w:type="gramStart"/>
      <w:r>
        <w:rPr>
          <w:rFonts w:ascii="Arial" w:eastAsia="Times New Roman" w:hAnsi="Arial" w:cs="Arial"/>
          <w:sz w:val="24"/>
          <w:szCs w:val="24"/>
          <w:lang w:eastAsia="en-IN"/>
        </w:rPr>
        <w:t>Footnote:</w:t>
      </w:r>
      <w:r w:rsidR="00E24596" w:rsidRPr="004A6510">
        <w:rPr>
          <w:rFonts w:ascii="Arial" w:eastAsia="Times New Roman" w:hAnsi="Arial" w:cs="Arial"/>
          <w:sz w:val="24"/>
          <w:szCs w:val="24"/>
          <w:lang w:eastAsia="en-IN"/>
        </w:rPr>
        <w:t>Multiple</w:t>
      </w:r>
      <w:proofErr w:type="spellEnd"/>
      <w:proofErr w:type="gramEnd"/>
      <w:r w:rsidR="00E24596" w:rsidRPr="004A6510">
        <w:rPr>
          <w:rFonts w:ascii="Arial" w:eastAsia="Times New Roman" w:hAnsi="Arial" w:cs="Arial"/>
          <w:sz w:val="24"/>
          <w:szCs w:val="24"/>
          <w:lang w:eastAsia="en-IN"/>
        </w:rPr>
        <w:t xml:space="preserve"> palpable purpuric lesions were observed on the lower limbs, consistent with cutaneous vasculitis</w:t>
      </w:r>
    </w:p>
    <w:p w14:paraId="2339CD26" w14:textId="7D64636C" w:rsidR="00E2151A" w:rsidRPr="004A6510" w:rsidRDefault="00E2151A"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A diagnosis of cutaneous hypersensitivity vasculitis associated with cefixime was determined based on clinical features and a temporal correlation with cefixime intake, which was confirmed with the Causality Assessment: Naranjo scale.</w:t>
      </w:r>
      <w:r w:rsidR="00FE077A" w:rsidRPr="00FE077A">
        <w:t xml:space="preserve"> </w:t>
      </w:r>
      <w:r w:rsidR="00FE077A" w:rsidRPr="00FE077A">
        <w:rPr>
          <w:rFonts w:ascii="Arial" w:eastAsia="Times New Roman" w:hAnsi="Arial" w:cs="Arial"/>
          <w:sz w:val="24"/>
          <w:szCs w:val="24"/>
          <w:lang w:eastAsia="en-IN"/>
        </w:rPr>
        <w:t>The patient had no occupational exposure to chemicals or irritants known to trigger vasculitis</w:t>
      </w:r>
      <w:r w:rsidR="00FE077A">
        <w:rPr>
          <w:rFonts w:ascii="Arial" w:eastAsia="Times New Roman" w:hAnsi="Arial" w:cs="Arial"/>
          <w:sz w:val="24"/>
          <w:szCs w:val="24"/>
          <w:lang w:eastAsia="en-IN"/>
        </w:rPr>
        <w:t>.</w:t>
      </w:r>
    </w:p>
    <w:p w14:paraId="7B7FF641" w14:textId="77777777" w:rsidR="00E2151A" w:rsidRPr="004A6510" w:rsidRDefault="00E2151A" w:rsidP="004A6510">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 xml:space="preserve">The patient discontinued cefixime one day prior to the hospital visit. Upon hospital admission, the patient was managed with </w:t>
      </w:r>
      <w:proofErr w:type="spellStart"/>
      <w:r w:rsidRPr="004A6510">
        <w:rPr>
          <w:rFonts w:ascii="Arial" w:eastAsia="Times New Roman" w:hAnsi="Arial" w:cs="Arial"/>
          <w:sz w:val="24"/>
          <w:szCs w:val="24"/>
          <w:lang w:eastAsia="en-IN"/>
        </w:rPr>
        <w:t>Inj</w:t>
      </w:r>
      <w:proofErr w:type="spellEnd"/>
      <w:r w:rsidRPr="004A6510">
        <w:rPr>
          <w:rFonts w:ascii="Arial" w:eastAsia="Times New Roman" w:hAnsi="Arial" w:cs="Arial"/>
          <w:sz w:val="24"/>
          <w:szCs w:val="24"/>
          <w:lang w:eastAsia="en-IN"/>
        </w:rPr>
        <w:t xml:space="preserve"> Dexamethasone 8 mg and </w:t>
      </w:r>
      <w:proofErr w:type="spellStart"/>
      <w:r w:rsidRPr="004A6510">
        <w:rPr>
          <w:rFonts w:ascii="Arial" w:eastAsia="Times New Roman" w:hAnsi="Arial" w:cs="Arial"/>
          <w:sz w:val="24"/>
          <w:szCs w:val="24"/>
          <w:lang w:eastAsia="en-IN"/>
        </w:rPr>
        <w:t>Inj</w:t>
      </w:r>
      <w:proofErr w:type="spellEnd"/>
      <w:r w:rsidRPr="004A6510">
        <w:rPr>
          <w:rFonts w:ascii="Arial" w:eastAsia="Times New Roman" w:hAnsi="Arial" w:cs="Arial"/>
          <w:sz w:val="24"/>
          <w:szCs w:val="24"/>
          <w:lang w:eastAsia="en-IN"/>
        </w:rPr>
        <w:t xml:space="preserve"> Pheniramine Maleate 22.75 mg (2 ml), including local wound care. However, </w:t>
      </w:r>
      <w:proofErr w:type="spellStart"/>
      <w:r w:rsidRPr="004A6510">
        <w:rPr>
          <w:rFonts w:ascii="Arial" w:eastAsia="Times New Roman" w:hAnsi="Arial" w:cs="Arial"/>
          <w:sz w:val="24"/>
          <w:szCs w:val="24"/>
          <w:lang w:eastAsia="en-IN"/>
        </w:rPr>
        <w:t>rechallenge</w:t>
      </w:r>
      <w:proofErr w:type="spellEnd"/>
      <w:r w:rsidRPr="004A6510">
        <w:rPr>
          <w:rFonts w:ascii="Arial" w:eastAsia="Times New Roman" w:hAnsi="Arial" w:cs="Arial"/>
          <w:sz w:val="24"/>
          <w:szCs w:val="24"/>
          <w:lang w:eastAsia="en-IN"/>
        </w:rPr>
        <w:t xml:space="preserve"> was not performed. Over one week, the patient showed significant resolution of symptoms with no new lesions (Figure 2).</w:t>
      </w:r>
    </w:p>
    <w:p w14:paraId="31D688CE" w14:textId="704BBFE2" w:rsidR="00BB66FA" w:rsidRPr="004A6510" w:rsidRDefault="00BB66FA" w:rsidP="00BB66FA">
      <w:pPr>
        <w:spacing w:before="100" w:beforeAutospacing="1" w:after="100" w:afterAutospacing="1" w:line="240" w:lineRule="auto"/>
        <w:rPr>
          <w:rFonts w:ascii="Arial" w:eastAsia="Times New Roman" w:hAnsi="Arial" w:cs="Arial"/>
          <w:sz w:val="24"/>
          <w:szCs w:val="24"/>
          <w:lang w:eastAsia="en-IN"/>
        </w:rPr>
      </w:pPr>
      <w:r w:rsidRPr="004A6510">
        <w:rPr>
          <w:rFonts w:ascii="Arial" w:eastAsia="Times New Roman" w:hAnsi="Arial" w:cs="Arial"/>
          <w:sz w:val="24"/>
          <w:szCs w:val="24"/>
          <w:lang w:eastAsia="en-IN"/>
        </w:rPr>
        <w:t>Figure 2 - Multiple purpuric lesions improvement after treatment.</w:t>
      </w:r>
    </w:p>
    <w:p w14:paraId="39992219" w14:textId="441ED1E5" w:rsidR="0038740F" w:rsidRPr="004A6510" w:rsidRDefault="008210BF" w:rsidP="00E85A72">
      <w:pPr>
        <w:spacing w:before="100" w:beforeAutospacing="1" w:after="100" w:afterAutospacing="1" w:line="240" w:lineRule="auto"/>
        <w:jc w:val="both"/>
        <w:rPr>
          <w:rFonts w:ascii="Arial" w:eastAsia="Times New Roman" w:hAnsi="Arial" w:cs="Arial"/>
          <w:sz w:val="24"/>
          <w:szCs w:val="24"/>
          <w:lang w:eastAsia="en-IN"/>
        </w:rPr>
      </w:pPr>
      <w:r w:rsidRPr="004A6510">
        <w:rPr>
          <w:rFonts w:ascii="Arial" w:hAnsi="Arial" w:cs="Arial"/>
          <w:noProof/>
        </w:rPr>
        <w:lastRenderedPageBreak/>
        <w:drawing>
          <wp:inline distT="0" distB="0" distL="0" distR="0" wp14:anchorId="76297A82" wp14:editId="07B2EB9C">
            <wp:extent cx="4838700" cy="3589020"/>
            <wp:effectExtent l="0" t="0" r="0" b="0"/>
            <wp:docPr id="202615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8700" cy="3589020"/>
                    </a:xfrm>
                    <a:prstGeom prst="rect">
                      <a:avLst/>
                    </a:prstGeom>
                    <a:noFill/>
                    <a:ln>
                      <a:noFill/>
                    </a:ln>
                  </pic:spPr>
                </pic:pic>
              </a:graphicData>
            </a:graphic>
          </wp:inline>
        </w:drawing>
      </w:r>
    </w:p>
    <w:p w14:paraId="06DA32BE" w14:textId="22935E49" w:rsidR="00BB66FA" w:rsidRPr="004A6510" w:rsidRDefault="00FF2142" w:rsidP="00E85A72">
      <w:pPr>
        <w:spacing w:before="100" w:beforeAutospacing="1" w:after="100" w:afterAutospacing="1" w:line="240" w:lineRule="auto"/>
        <w:jc w:val="both"/>
        <w:rPr>
          <w:rFonts w:ascii="Arial" w:eastAsia="Times New Roman" w:hAnsi="Arial" w:cs="Arial"/>
          <w:sz w:val="24"/>
          <w:szCs w:val="24"/>
          <w:lang w:eastAsia="en-IN"/>
        </w:rPr>
      </w:pPr>
      <w:proofErr w:type="spellStart"/>
      <w:proofErr w:type="gramStart"/>
      <w:r>
        <w:rPr>
          <w:rFonts w:ascii="Arial" w:eastAsia="Times New Roman" w:hAnsi="Arial" w:cs="Arial"/>
          <w:sz w:val="24"/>
          <w:szCs w:val="24"/>
          <w:lang w:eastAsia="en-IN"/>
        </w:rPr>
        <w:t>Footnote:</w:t>
      </w:r>
      <w:r w:rsidR="00BB66FA" w:rsidRPr="004A6510">
        <w:rPr>
          <w:rFonts w:ascii="Arial" w:eastAsia="Times New Roman" w:hAnsi="Arial" w:cs="Arial"/>
          <w:sz w:val="24"/>
          <w:szCs w:val="24"/>
          <w:lang w:eastAsia="en-IN"/>
        </w:rPr>
        <w:t>Multiple</w:t>
      </w:r>
      <w:proofErr w:type="spellEnd"/>
      <w:proofErr w:type="gramEnd"/>
      <w:r w:rsidR="00BB66FA" w:rsidRPr="004A6510">
        <w:rPr>
          <w:rFonts w:ascii="Arial" w:eastAsia="Times New Roman" w:hAnsi="Arial" w:cs="Arial"/>
          <w:sz w:val="24"/>
          <w:szCs w:val="24"/>
          <w:lang w:eastAsia="en-IN"/>
        </w:rPr>
        <w:t xml:space="preserve"> palpable purpuric lesions over the lower extremities demonstrating significant resolution following treatment, consistent with clinical improvement in drug-induced vasculitis.</w:t>
      </w:r>
    </w:p>
    <w:p w14:paraId="6D288CC7" w14:textId="7AA50FDB" w:rsidR="003B2FB8" w:rsidRPr="004A6510" w:rsidRDefault="00195533" w:rsidP="00E85A72">
      <w:pPr>
        <w:spacing w:before="100" w:beforeAutospacing="1" w:after="100" w:afterAutospacing="1" w:line="240" w:lineRule="auto"/>
        <w:rPr>
          <w:rFonts w:ascii="Arial" w:eastAsia="Times New Roman" w:hAnsi="Arial" w:cs="Arial"/>
          <w:b/>
          <w:sz w:val="24"/>
          <w:szCs w:val="24"/>
          <w:lang w:eastAsia="en-IN"/>
        </w:rPr>
      </w:pPr>
      <w:r w:rsidRPr="004A6510">
        <w:rPr>
          <w:rFonts w:ascii="Arial" w:eastAsia="Times New Roman" w:hAnsi="Arial" w:cs="Arial"/>
          <w:b/>
          <w:sz w:val="24"/>
          <w:szCs w:val="24"/>
          <w:lang w:eastAsia="en-IN"/>
        </w:rPr>
        <w:t>3.</w:t>
      </w:r>
      <w:r w:rsidR="00330EF3">
        <w:rPr>
          <w:rFonts w:ascii="Arial" w:eastAsia="Times New Roman" w:hAnsi="Arial" w:cs="Arial"/>
          <w:b/>
          <w:sz w:val="24"/>
          <w:szCs w:val="24"/>
          <w:lang w:eastAsia="en-IN"/>
        </w:rPr>
        <w:t xml:space="preserve"> </w:t>
      </w:r>
      <w:r w:rsidRPr="004A6510">
        <w:rPr>
          <w:rFonts w:ascii="Arial" w:eastAsia="Times New Roman" w:hAnsi="Arial" w:cs="Arial"/>
          <w:b/>
          <w:sz w:val="24"/>
          <w:szCs w:val="24"/>
          <w:lang w:eastAsia="en-IN"/>
        </w:rPr>
        <w:t>DISCUSSION</w:t>
      </w:r>
    </w:p>
    <w:p w14:paraId="2F6A9AF1" w14:textId="74CC8872" w:rsidR="00E2151A" w:rsidRPr="004A6510" w:rsidRDefault="00E2151A" w:rsidP="00E2151A">
      <w:pPr>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Cutaneous hypersensitivity vasculitis (CHV) is a kind of small-vessel vasculitis predominantly involving the skin, which is commonly triggered by an illness or medication.</w:t>
      </w:r>
      <w:r w:rsidR="00A37D11">
        <w:rPr>
          <w:rFonts w:ascii="Arial" w:eastAsia="Times New Roman" w:hAnsi="Arial" w:cs="Arial"/>
          <w:sz w:val="24"/>
          <w:szCs w:val="24"/>
          <w:lang w:eastAsia="en-IN"/>
        </w:rPr>
        <w:t xml:space="preserve"> </w:t>
      </w:r>
      <w:r w:rsidR="00A37D11" w:rsidRPr="00A37D11">
        <w:rPr>
          <w:rFonts w:ascii="Arial" w:eastAsia="Times New Roman" w:hAnsi="Arial" w:cs="Arial"/>
          <w:sz w:val="24"/>
          <w:szCs w:val="24"/>
          <w:lang w:eastAsia="en-IN"/>
        </w:rPr>
        <w:t>This condition does not affect medium or large vessels or other organs (</w:t>
      </w:r>
      <w:proofErr w:type="spellStart"/>
      <w:r w:rsidR="00A37D11" w:rsidRPr="00A37D11">
        <w:rPr>
          <w:rFonts w:ascii="Arial" w:eastAsia="Times New Roman" w:hAnsi="Arial" w:cs="Arial"/>
          <w:sz w:val="24"/>
          <w:szCs w:val="24"/>
          <w:lang w:eastAsia="en-IN"/>
        </w:rPr>
        <w:t>eg</w:t>
      </w:r>
      <w:proofErr w:type="spellEnd"/>
      <w:r w:rsidR="00A37D11" w:rsidRPr="00A37D11">
        <w:rPr>
          <w:rFonts w:ascii="Arial" w:eastAsia="Times New Roman" w:hAnsi="Arial" w:cs="Arial"/>
          <w:sz w:val="24"/>
          <w:szCs w:val="24"/>
          <w:lang w:eastAsia="en-IN"/>
        </w:rPr>
        <w:t>, the glomeruli or pulmonary capillaries).</w:t>
      </w:r>
      <w:r w:rsidR="00A37D11">
        <w:rPr>
          <w:rFonts w:ascii="Arial" w:eastAsia="Times New Roman" w:hAnsi="Arial" w:cs="Arial"/>
          <w:sz w:val="24"/>
          <w:szCs w:val="24"/>
          <w:lang w:eastAsia="en-IN"/>
        </w:rPr>
        <w:t xml:space="preserve"> </w:t>
      </w:r>
      <w:r w:rsidRPr="004A6510">
        <w:rPr>
          <w:rFonts w:ascii="Arial" w:eastAsia="Times New Roman" w:hAnsi="Arial" w:cs="Arial"/>
          <w:sz w:val="24"/>
          <w:szCs w:val="24"/>
          <w:lang w:eastAsia="en-IN"/>
        </w:rPr>
        <w:t>An</w:t>
      </w:r>
      <w:r w:rsidR="00A37D11">
        <w:rPr>
          <w:rFonts w:ascii="Arial" w:eastAsia="Times New Roman" w:hAnsi="Arial" w:cs="Arial"/>
          <w:sz w:val="24"/>
          <w:szCs w:val="24"/>
          <w:lang w:eastAsia="en-IN"/>
        </w:rPr>
        <w:t xml:space="preserve"> </w:t>
      </w:r>
      <w:r w:rsidRPr="004A6510">
        <w:rPr>
          <w:rFonts w:ascii="Arial" w:eastAsia="Times New Roman" w:hAnsi="Arial" w:cs="Arial"/>
          <w:sz w:val="24"/>
          <w:szCs w:val="24"/>
          <w:lang w:eastAsia="en-IN"/>
        </w:rPr>
        <w:t>immune complex-mediated mechanism is thought to be responsible for the majority of the cases of hypersensitivity vasculitis (Type III hypersensitivity reaction)</w:t>
      </w:r>
      <w:r w:rsidR="00A37D11">
        <w:rPr>
          <w:rFonts w:ascii="Arial" w:eastAsia="Times New Roman" w:hAnsi="Arial" w:cs="Arial"/>
          <w:sz w:val="24"/>
          <w:szCs w:val="24"/>
          <w:lang w:eastAsia="en-IN"/>
        </w:rPr>
        <w:t xml:space="preserve">. </w:t>
      </w:r>
      <w:r w:rsidR="00A37D11" w:rsidRPr="00A37D11">
        <w:rPr>
          <w:rFonts w:ascii="Arial" w:eastAsia="Times New Roman" w:hAnsi="Arial" w:cs="Arial"/>
          <w:sz w:val="24"/>
          <w:szCs w:val="24"/>
          <w:lang w:eastAsia="en-IN"/>
        </w:rPr>
        <w:t>Here triggering agent forms antigen- antibody complex by binding to the circulating immunoglobulins, which then deposit within the walls of small blood vessels, initiating an inflammatory response that leads to vessel damage</w:t>
      </w:r>
      <w:r w:rsidRPr="004A6510">
        <w:rPr>
          <w:rFonts w:ascii="Arial" w:eastAsia="Times New Roman" w:hAnsi="Arial" w:cs="Arial"/>
          <w:sz w:val="24"/>
          <w:szCs w:val="24"/>
          <w:lang w:eastAsia="en-IN"/>
        </w:rPr>
        <w:t xml:space="preserve"> (MacLeod B et al., 2021; Imboden JB et al., 2013; Princess J. G. et al., 2024). Clinically, it manifests as palpable purpura, which is localized to the lower limbs.</w:t>
      </w:r>
    </w:p>
    <w:p w14:paraId="27C6D7DC" w14:textId="328050F6" w:rsidR="00E2151A" w:rsidRPr="004A6510" w:rsidRDefault="00E2151A" w:rsidP="00E2151A">
      <w:pPr>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 xml:space="preserve">However, drug-induced cutaneous hypersensitivity vasculitis contributes to a major portion of reported cases; reports of cephalosporin-induced hypersensitivity reactions remain infrequent and underreported (Kumar J et al., 2025). Cefixime inhibits bacterial cell wall synthesis, </w:t>
      </w:r>
      <w:r w:rsidR="00440CE3">
        <w:rPr>
          <w:rFonts w:ascii="Arial" w:eastAsia="Times New Roman" w:hAnsi="Arial" w:cs="Arial"/>
          <w:sz w:val="24"/>
          <w:szCs w:val="24"/>
          <w:lang w:eastAsia="en-IN"/>
        </w:rPr>
        <w:t>bacterial to bacterial</w:t>
      </w:r>
      <w:r w:rsidRPr="004A6510">
        <w:rPr>
          <w:rFonts w:ascii="Arial" w:eastAsia="Times New Roman" w:hAnsi="Arial" w:cs="Arial"/>
          <w:sz w:val="24"/>
          <w:szCs w:val="24"/>
          <w:lang w:eastAsia="en-IN"/>
        </w:rPr>
        <w:t xml:space="preserve"> cell death. It is usually well-tolerated, but </w:t>
      </w:r>
      <w:r w:rsidR="00440CE3" w:rsidRPr="00440CE3">
        <w:rPr>
          <w:rFonts w:ascii="Arial" w:eastAsia="Times New Roman" w:hAnsi="Arial" w:cs="Arial"/>
          <w:sz w:val="24"/>
          <w:szCs w:val="24"/>
          <w:lang w:eastAsia="en-IN"/>
        </w:rPr>
        <w:t xml:space="preserve">like other beta lactam antibiotics, in susceptible individuals, it has a potential to act as a </w:t>
      </w:r>
      <w:proofErr w:type="spellStart"/>
      <w:r w:rsidR="00440CE3" w:rsidRPr="00440CE3">
        <w:rPr>
          <w:rFonts w:ascii="Arial" w:eastAsia="Times New Roman" w:hAnsi="Arial" w:cs="Arial"/>
          <w:sz w:val="24"/>
          <w:szCs w:val="24"/>
          <w:lang w:eastAsia="en-IN"/>
        </w:rPr>
        <w:t>hapten</w:t>
      </w:r>
      <w:proofErr w:type="spellEnd"/>
      <w:r w:rsidR="00440CE3" w:rsidRPr="00440CE3">
        <w:rPr>
          <w:rFonts w:ascii="Arial" w:eastAsia="Times New Roman" w:hAnsi="Arial" w:cs="Arial"/>
          <w:sz w:val="24"/>
          <w:szCs w:val="24"/>
          <w:lang w:eastAsia="en-IN"/>
        </w:rPr>
        <w:t>, binding to proteins and forming antigenic complexes</w:t>
      </w:r>
      <w:r w:rsidRPr="004A6510">
        <w:rPr>
          <w:rFonts w:ascii="Arial" w:eastAsia="Times New Roman" w:hAnsi="Arial" w:cs="Arial"/>
          <w:sz w:val="24"/>
          <w:szCs w:val="24"/>
          <w:lang w:eastAsia="en-IN"/>
        </w:rPr>
        <w:t xml:space="preserve"> that settle in small blood vessels and cause an immune response that leads to inflammation and vasculitis (Pichler WJ et al., 2011). As of the current scenario, reports of cefixime-induced cutaneous hypersensitivity vasculitis are rare.</w:t>
      </w:r>
    </w:p>
    <w:p w14:paraId="7E5D179C" w14:textId="77777777"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lastRenderedPageBreak/>
        <w:t xml:space="preserve">Symptoms appearing days to weeks after cefixime align with our patient’s timeline. Mild </w:t>
      </w:r>
      <w:proofErr w:type="spellStart"/>
      <w:r w:rsidRPr="004A6510">
        <w:rPr>
          <w:rFonts w:ascii="Arial" w:hAnsi="Arial" w:cs="Arial"/>
          <w:sz w:val="24"/>
          <w:szCs w:val="24"/>
        </w:rPr>
        <w:t>leukocytosis</w:t>
      </w:r>
      <w:proofErr w:type="spellEnd"/>
      <w:r w:rsidRPr="004A6510">
        <w:rPr>
          <w:rFonts w:ascii="Arial" w:hAnsi="Arial" w:cs="Arial"/>
          <w:sz w:val="24"/>
          <w:szCs w:val="24"/>
        </w:rPr>
        <w:t xml:space="preserve"> and </w:t>
      </w:r>
      <w:proofErr w:type="spellStart"/>
      <w:r w:rsidRPr="004A6510">
        <w:rPr>
          <w:rFonts w:ascii="Arial" w:hAnsi="Arial" w:cs="Arial"/>
          <w:sz w:val="24"/>
          <w:szCs w:val="24"/>
        </w:rPr>
        <w:t>monocytosis</w:t>
      </w:r>
      <w:proofErr w:type="spellEnd"/>
      <w:r w:rsidRPr="004A6510">
        <w:rPr>
          <w:rFonts w:ascii="Arial" w:hAnsi="Arial" w:cs="Arial"/>
          <w:sz w:val="24"/>
          <w:szCs w:val="24"/>
        </w:rPr>
        <w:t xml:space="preserve"> suggest a nonspecific inflammatory response. Normal neutrophil levels do not rule out </w:t>
      </w:r>
      <w:proofErr w:type="spellStart"/>
      <w:r w:rsidRPr="004A6510">
        <w:rPr>
          <w:rFonts w:ascii="Arial" w:hAnsi="Arial" w:cs="Arial"/>
          <w:sz w:val="24"/>
          <w:szCs w:val="24"/>
        </w:rPr>
        <w:t>leukocytoclastic</w:t>
      </w:r>
      <w:proofErr w:type="spellEnd"/>
      <w:r w:rsidRPr="004A6510">
        <w:rPr>
          <w:rFonts w:ascii="Arial" w:hAnsi="Arial" w:cs="Arial"/>
          <w:sz w:val="24"/>
          <w:szCs w:val="24"/>
        </w:rPr>
        <w:t xml:space="preserve"> vasculitis, which primarily affects small skin vessels.</w:t>
      </w:r>
    </w:p>
    <w:p w14:paraId="545FC4F1" w14:textId="5EC15457" w:rsidR="00E2151A" w:rsidRPr="004A6510" w:rsidRDefault="00507D9E" w:rsidP="00507D9E">
      <w:pPr>
        <w:spacing w:line="240" w:lineRule="auto"/>
        <w:ind w:left="-5"/>
        <w:jc w:val="both"/>
        <w:rPr>
          <w:rFonts w:ascii="Arial" w:hAnsi="Arial" w:cs="Arial"/>
          <w:sz w:val="24"/>
          <w:szCs w:val="24"/>
        </w:rPr>
      </w:pPr>
      <w:r>
        <w:rPr>
          <w:rFonts w:ascii="Arial" w:eastAsia="Cambria" w:hAnsi="Arial" w:cs="Arial"/>
          <w:sz w:val="24"/>
          <w:szCs w:val="24"/>
        </w:rPr>
        <w:t>Although a skin biopsy</w:t>
      </w:r>
      <w:r w:rsidR="005665BE">
        <w:rPr>
          <w:rFonts w:ascii="Arial" w:eastAsia="Cambria" w:hAnsi="Arial" w:cs="Arial"/>
          <w:sz w:val="24"/>
          <w:szCs w:val="24"/>
        </w:rPr>
        <w:t xml:space="preserve"> with direct immunofluorescence</w:t>
      </w:r>
      <w:r>
        <w:rPr>
          <w:rFonts w:ascii="Arial" w:eastAsia="Cambria" w:hAnsi="Arial" w:cs="Arial"/>
          <w:sz w:val="24"/>
          <w:szCs w:val="24"/>
        </w:rPr>
        <w:t xml:space="preserve"> is the gold standard for confirmation</w:t>
      </w:r>
      <w:r w:rsidR="005665BE">
        <w:rPr>
          <w:rFonts w:ascii="Arial" w:eastAsia="Cambria" w:hAnsi="Arial" w:cs="Arial"/>
          <w:sz w:val="24"/>
          <w:szCs w:val="24"/>
        </w:rPr>
        <w:t xml:space="preserve"> (</w:t>
      </w:r>
      <w:proofErr w:type="spellStart"/>
      <w:r w:rsidR="005665BE" w:rsidRPr="005665BE">
        <w:rPr>
          <w:rFonts w:ascii="Arial" w:hAnsi="Arial" w:cs="Arial"/>
          <w:color w:val="212121"/>
          <w:sz w:val="24"/>
          <w:szCs w:val="24"/>
          <w:shd w:val="clear" w:color="auto" w:fill="FFFFFF"/>
        </w:rPr>
        <w:t>Chango</w:t>
      </w:r>
      <w:proofErr w:type="spellEnd"/>
      <w:r w:rsidR="005665BE" w:rsidRPr="005665BE">
        <w:rPr>
          <w:rFonts w:ascii="Arial" w:hAnsi="Arial" w:cs="Arial"/>
          <w:color w:val="212121"/>
          <w:sz w:val="24"/>
          <w:szCs w:val="24"/>
          <w:shd w:val="clear" w:color="auto" w:fill="FFFFFF"/>
        </w:rPr>
        <w:t xml:space="preserve"> </w:t>
      </w:r>
      <w:proofErr w:type="spellStart"/>
      <w:r w:rsidR="005665BE" w:rsidRPr="005665BE">
        <w:rPr>
          <w:rFonts w:ascii="Arial" w:hAnsi="Arial" w:cs="Arial"/>
          <w:color w:val="212121"/>
          <w:sz w:val="24"/>
          <w:szCs w:val="24"/>
          <w:shd w:val="clear" w:color="auto" w:fill="FFFFFF"/>
        </w:rPr>
        <w:t>Azanza</w:t>
      </w:r>
      <w:proofErr w:type="spellEnd"/>
      <w:r w:rsidR="005665BE">
        <w:rPr>
          <w:rFonts w:ascii="Arial" w:hAnsi="Arial" w:cs="Arial"/>
          <w:color w:val="212121"/>
          <w:sz w:val="24"/>
          <w:szCs w:val="24"/>
          <w:shd w:val="clear" w:color="auto" w:fill="FFFFFF"/>
        </w:rPr>
        <w:t xml:space="preserve"> et al.</w:t>
      </w:r>
      <w:r>
        <w:rPr>
          <w:rFonts w:ascii="Arial" w:eastAsia="Cambria" w:hAnsi="Arial" w:cs="Arial"/>
          <w:sz w:val="24"/>
          <w:szCs w:val="24"/>
        </w:rPr>
        <w:t>,</w:t>
      </w:r>
      <w:r w:rsidR="005665BE">
        <w:rPr>
          <w:rFonts w:ascii="Arial" w:eastAsia="Cambria" w:hAnsi="Arial" w:cs="Arial"/>
          <w:sz w:val="24"/>
          <w:szCs w:val="24"/>
        </w:rPr>
        <w:t xml:space="preserve"> 2020),</w:t>
      </w:r>
      <w:r>
        <w:rPr>
          <w:rFonts w:ascii="Arial" w:eastAsia="Cambria" w:hAnsi="Arial" w:cs="Arial"/>
          <w:sz w:val="24"/>
          <w:szCs w:val="24"/>
        </w:rPr>
        <w:t xml:space="preserve"> it could not be performed </w:t>
      </w:r>
      <w:r w:rsidR="00330EF3">
        <w:rPr>
          <w:rFonts w:ascii="Arial" w:eastAsia="Cambria" w:hAnsi="Arial" w:cs="Arial"/>
          <w:sz w:val="24"/>
          <w:szCs w:val="24"/>
        </w:rPr>
        <w:t>o</w:t>
      </w:r>
      <w:r>
        <w:rPr>
          <w:rFonts w:ascii="Arial" w:eastAsia="Cambria" w:hAnsi="Arial" w:cs="Arial"/>
          <w:sz w:val="24"/>
          <w:szCs w:val="24"/>
        </w:rPr>
        <w:t xml:space="preserve">n the patient due to practical constraints. This can present as </w:t>
      </w:r>
      <w:r w:rsidR="00330EF3">
        <w:rPr>
          <w:rFonts w:ascii="Arial" w:eastAsia="Cambria" w:hAnsi="Arial" w:cs="Arial"/>
          <w:sz w:val="24"/>
          <w:szCs w:val="24"/>
        </w:rPr>
        <w:t xml:space="preserve">a </w:t>
      </w:r>
      <w:r>
        <w:rPr>
          <w:rFonts w:ascii="Arial" w:eastAsia="Cambria" w:hAnsi="Arial" w:cs="Arial"/>
          <w:sz w:val="24"/>
          <w:szCs w:val="24"/>
        </w:rPr>
        <w:t xml:space="preserve">potential limitation of the present case. </w:t>
      </w:r>
      <w:r>
        <w:rPr>
          <w:rFonts w:ascii="Arial" w:hAnsi="Arial" w:cs="Arial"/>
          <w:sz w:val="24"/>
          <w:szCs w:val="24"/>
        </w:rPr>
        <w:t>However</w:t>
      </w:r>
      <w:r w:rsidR="008B66DB">
        <w:rPr>
          <w:rFonts w:ascii="Arial" w:hAnsi="Arial" w:cs="Arial"/>
          <w:sz w:val="24"/>
          <w:szCs w:val="24"/>
        </w:rPr>
        <w:t>,</w:t>
      </w:r>
      <w:r>
        <w:rPr>
          <w:rFonts w:ascii="Arial" w:hAnsi="Arial" w:cs="Arial"/>
          <w:sz w:val="24"/>
          <w:szCs w:val="24"/>
        </w:rPr>
        <w:t xml:space="preserve"> i</w:t>
      </w:r>
      <w:r w:rsidR="00E2151A" w:rsidRPr="004A6510">
        <w:rPr>
          <w:rFonts w:ascii="Arial" w:hAnsi="Arial" w:cs="Arial"/>
          <w:sz w:val="24"/>
          <w:szCs w:val="24"/>
        </w:rPr>
        <w:t>n clinical practice, a diagnosis of cutaneous vasculitis can be made in most cases based on clinical presentation, supportive laboratory evidence, and a time-dependent link with drug exposure.</w:t>
      </w:r>
    </w:p>
    <w:p w14:paraId="6B8DCFEF" w14:textId="77777777" w:rsidR="005665BE" w:rsidRDefault="00E2151A" w:rsidP="00E2151A">
      <w:pPr>
        <w:spacing w:line="240" w:lineRule="auto"/>
        <w:jc w:val="both"/>
        <w:rPr>
          <w:rFonts w:ascii="Arial" w:hAnsi="Arial" w:cs="Arial"/>
          <w:sz w:val="24"/>
          <w:szCs w:val="24"/>
        </w:rPr>
      </w:pPr>
      <w:r w:rsidRPr="004A6510">
        <w:rPr>
          <w:rFonts w:ascii="Arial" w:hAnsi="Arial" w:cs="Arial"/>
          <w:sz w:val="24"/>
          <w:szCs w:val="24"/>
        </w:rPr>
        <w:t>Cefixime has been identified as the causative agent in this case by the strong temporal correlation between cefixime consumption and symptom onset, the lack of other alternative causes, and a Naranjo adverse drug reactions probability scale score, which indicates a probable drug reaction (</w:t>
      </w:r>
      <w:r w:rsidR="000771F5">
        <w:rPr>
          <w:rFonts w:ascii="Arial" w:hAnsi="Arial" w:cs="Arial"/>
          <w:sz w:val="24"/>
          <w:szCs w:val="24"/>
        </w:rPr>
        <w:t>TABLE 2</w:t>
      </w:r>
      <w:r w:rsidRPr="004A6510">
        <w:rPr>
          <w:rFonts w:ascii="Arial" w:hAnsi="Arial" w:cs="Arial"/>
          <w:sz w:val="24"/>
          <w:szCs w:val="24"/>
        </w:rPr>
        <w:t xml:space="preserve">). </w:t>
      </w:r>
    </w:p>
    <w:p w14:paraId="79132265" w14:textId="0FBF878A" w:rsidR="00E2151A" w:rsidRDefault="005665BE" w:rsidP="00E2151A">
      <w:pPr>
        <w:spacing w:line="240" w:lineRule="auto"/>
        <w:jc w:val="both"/>
        <w:rPr>
          <w:rFonts w:ascii="Arial" w:hAnsi="Arial" w:cs="Arial"/>
          <w:sz w:val="24"/>
          <w:szCs w:val="24"/>
        </w:rPr>
      </w:pPr>
      <w:r>
        <w:rPr>
          <w:rFonts w:ascii="Arial" w:hAnsi="Arial" w:cs="Arial"/>
          <w:sz w:val="24"/>
          <w:szCs w:val="24"/>
        </w:rPr>
        <w:t>Alternative causes</w:t>
      </w:r>
      <w:r w:rsidR="0058755C">
        <w:rPr>
          <w:rFonts w:ascii="Arial" w:hAnsi="Arial" w:cs="Arial"/>
          <w:sz w:val="24"/>
          <w:szCs w:val="24"/>
        </w:rPr>
        <w:t xml:space="preserve"> or triggering factors</w:t>
      </w:r>
      <w:r>
        <w:rPr>
          <w:rFonts w:ascii="Arial" w:hAnsi="Arial" w:cs="Arial"/>
          <w:sz w:val="24"/>
          <w:szCs w:val="24"/>
        </w:rPr>
        <w:t xml:space="preserve"> for cutaneous vasculitis include </w:t>
      </w:r>
      <w:r w:rsidR="00026514">
        <w:rPr>
          <w:rFonts w:ascii="Arial" w:hAnsi="Arial" w:cs="Arial"/>
          <w:sz w:val="24"/>
          <w:szCs w:val="24"/>
        </w:rPr>
        <w:t>chemicals, systemic and neoplastic diseases, infections and drugs, vaccinations</w:t>
      </w:r>
      <w:r w:rsidR="00330EF3">
        <w:rPr>
          <w:rFonts w:ascii="Arial" w:hAnsi="Arial" w:cs="Arial"/>
          <w:sz w:val="24"/>
          <w:szCs w:val="24"/>
        </w:rPr>
        <w:t>,</w:t>
      </w:r>
      <w:r w:rsidR="00026514">
        <w:rPr>
          <w:rFonts w:ascii="Arial" w:hAnsi="Arial" w:cs="Arial"/>
          <w:sz w:val="24"/>
          <w:szCs w:val="24"/>
        </w:rPr>
        <w:t xml:space="preserve"> and inflammatory bowel diseases (</w:t>
      </w:r>
      <w:proofErr w:type="spellStart"/>
      <w:r w:rsidR="00026514" w:rsidRPr="00026514">
        <w:rPr>
          <w:rFonts w:ascii="Arial" w:hAnsi="Arial" w:cs="Arial"/>
          <w:color w:val="212121"/>
          <w:sz w:val="24"/>
          <w:szCs w:val="24"/>
          <w:shd w:val="clear" w:color="auto" w:fill="FFFFFF"/>
        </w:rPr>
        <w:t>Almasoudi</w:t>
      </w:r>
      <w:proofErr w:type="spellEnd"/>
      <w:r w:rsidR="00026514" w:rsidRPr="00026514">
        <w:rPr>
          <w:rFonts w:ascii="Arial" w:hAnsi="Arial" w:cs="Arial"/>
          <w:color w:val="212121"/>
          <w:sz w:val="24"/>
          <w:szCs w:val="24"/>
          <w:shd w:val="clear" w:color="auto" w:fill="FFFFFF"/>
        </w:rPr>
        <w:t xml:space="preserve"> AA</w:t>
      </w:r>
      <w:r w:rsidR="00026514">
        <w:rPr>
          <w:rFonts w:ascii="Arial" w:hAnsi="Arial" w:cs="Arial"/>
          <w:color w:val="212121"/>
          <w:sz w:val="24"/>
          <w:szCs w:val="24"/>
          <w:shd w:val="clear" w:color="auto" w:fill="FFFFFF"/>
        </w:rPr>
        <w:t xml:space="preserve"> et al., 2022). Here the patient did not have any of these exposures except</w:t>
      </w:r>
      <w:r w:rsidR="00330EF3">
        <w:rPr>
          <w:rFonts w:ascii="Arial" w:hAnsi="Arial" w:cs="Arial"/>
          <w:color w:val="212121"/>
          <w:sz w:val="24"/>
          <w:szCs w:val="24"/>
          <w:shd w:val="clear" w:color="auto" w:fill="FFFFFF"/>
        </w:rPr>
        <w:t xml:space="preserve"> a</w:t>
      </w:r>
      <w:r w:rsidR="00026514">
        <w:rPr>
          <w:rFonts w:ascii="Arial" w:hAnsi="Arial" w:cs="Arial"/>
          <w:color w:val="212121"/>
          <w:sz w:val="24"/>
          <w:szCs w:val="24"/>
          <w:shd w:val="clear" w:color="auto" w:fill="FFFFFF"/>
        </w:rPr>
        <w:t xml:space="preserve"> mild respiratory illness for which cefixime was used.</w:t>
      </w:r>
      <w:r w:rsidR="004717B9">
        <w:rPr>
          <w:rFonts w:ascii="Arial" w:hAnsi="Arial" w:cs="Arial"/>
          <w:color w:val="212121"/>
          <w:sz w:val="24"/>
          <w:szCs w:val="24"/>
          <w:shd w:val="clear" w:color="auto" w:fill="FFFFFF"/>
        </w:rPr>
        <w:t xml:space="preserve"> </w:t>
      </w:r>
      <w:r w:rsidR="00E2151A" w:rsidRPr="004A6510">
        <w:rPr>
          <w:rFonts w:ascii="Arial" w:hAnsi="Arial" w:cs="Arial"/>
          <w:sz w:val="24"/>
          <w:szCs w:val="24"/>
        </w:rPr>
        <w:t>This diagnosis is further strengthened by the patient's significant clinical improvement after withdrawal of cefixime and starting systemic corticosteroids.</w:t>
      </w:r>
    </w:p>
    <w:p w14:paraId="16C73D27" w14:textId="55F28D97" w:rsidR="00A01843" w:rsidRPr="004A6510" w:rsidRDefault="000771F5" w:rsidP="00E85A72">
      <w:pPr>
        <w:spacing w:line="240" w:lineRule="auto"/>
        <w:jc w:val="both"/>
        <w:rPr>
          <w:rFonts w:ascii="Arial" w:hAnsi="Arial" w:cs="Arial"/>
          <w:sz w:val="24"/>
          <w:szCs w:val="24"/>
        </w:rPr>
      </w:pPr>
      <w:r>
        <w:rPr>
          <w:rFonts w:ascii="Arial" w:hAnsi="Arial" w:cs="Arial"/>
          <w:sz w:val="24"/>
          <w:szCs w:val="24"/>
        </w:rPr>
        <w:t xml:space="preserve">TABLE </w:t>
      </w:r>
      <w:r w:rsidR="00A01843" w:rsidRPr="004A6510">
        <w:rPr>
          <w:rFonts w:ascii="Arial" w:hAnsi="Arial" w:cs="Arial"/>
          <w:sz w:val="24"/>
          <w:szCs w:val="24"/>
        </w:rPr>
        <w:t xml:space="preserve"> </w:t>
      </w:r>
      <w:r>
        <w:rPr>
          <w:rFonts w:ascii="Arial" w:hAnsi="Arial" w:cs="Arial"/>
          <w:sz w:val="24"/>
          <w:szCs w:val="24"/>
        </w:rPr>
        <w:t>2</w:t>
      </w:r>
      <w:r w:rsidR="00A01843" w:rsidRPr="004A6510">
        <w:rPr>
          <w:rFonts w:ascii="Arial" w:hAnsi="Arial" w:cs="Arial"/>
          <w:sz w:val="24"/>
          <w:szCs w:val="24"/>
        </w:rPr>
        <w:t>: Naranjo Adverse Drug Reaction Probability Scale</w:t>
      </w:r>
    </w:p>
    <w:tbl>
      <w:tblPr>
        <w:tblStyle w:val="TableGrid0"/>
        <w:tblW w:w="10435" w:type="dxa"/>
        <w:tblInd w:w="-426" w:type="dxa"/>
        <w:tblCellMar>
          <w:top w:w="44" w:type="dxa"/>
          <w:left w:w="108" w:type="dxa"/>
          <w:right w:w="80" w:type="dxa"/>
        </w:tblCellMar>
        <w:tblLook w:val="04A0" w:firstRow="1" w:lastRow="0" w:firstColumn="1" w:lastColumn="0" w:noHBand="0" w:noVBand="1"/>
      </w:tblPr>
      <w:tblGrid>
        <w:gridCol w:w="7427"/>
        <w:gridCol w:w="602"/>
        <w:gridCol w:w="622"/>
        <w:gridCol w:w="968"/>
        <w:gridCol w:w="816"/>
      </w:tblGrid>
      <w:tr w:rsidR="00A01843" w:rsidRPr="004A6510" w14:paraId="4716ED9E" w14:textId="77777777" w:rsidTr="00A01843">
        <w:trPr>
          <w:trHeight w:val="610"/>
        </w:trPr>
        <w:tc>
          <w:tcPr>
            <w:tcW w:w="9699" w:type="dxa"/>
            <w:gridSpan w:val="4"/>
            <w:tcBorders>
              <w:top w:val="nil"/>
              <w:left w:val="nil"/>
              <w:bottom w:val="nil"/>
              <w:right w:val="nil"/>
            </w:tcBorders>
            <w:shd w:val="clear" w:color="auto" w:fill="000000"/>
          </w:tcPr>
          <w:p w14:paraId="103A943A" w14:textId="77777777" w:rsidR="00A01843" w:rsidRPr="004A6510" w:rsidRDefault="00A01843" w:rsidP="003E61CE">
            <w:pPr>
              <w:spacing w:after="52"/>
              <w:ind w:left="72"/>
              <w:rPr>
                <w:rFonts w:ascii="Arial" w:hAnsi="Arial" w:cs="Arial"/>
                <w:sz w:val="24"/>
                <w:szCs w:val="24"/>
              </w:rPr>
            </w:pPr>
          </w:p>
          <w:p w14:paraId="32552553" w14:textId="77777777" w:rsidR="00A01843" w:rsidRPr="004A6510" w:rsidRDefault="00A01843" w:rsidP="003E61CE">
            <w:pPr>
              <w:ind w:left="1751"/>
              <w:rPr>
                <w:rFonts w:ascii="Arial" w:hAnsi="Arial" w:cs="Arial"/>
                <w:sz w:val="24"/>
                <w:szCs w:val="24"/>
              </w:rPr>
            </w:pPr>
            <w:r w:rsidRPr="004A6510">
              <w:rPr>
                <w:rFonts w:ascii="Arial" w:eastAsia="Calibri" w:hAnsi="Arial" w:cs="Arial"/>
                <w:b/>
                <w:color w:val="FFFFFF"/>
                <w:sz w:val="24"/>
                <w:szCs w:val="24"/>
              </w:rPr>
              <w:t xml:space="preserve">Naranjo Adverse Drug Reaction Probability Scale </w:t>
            </w:r>
          </w:p>
          <w:p w14:paraId="0785BA19" w14:textId="77777777" w:rsidR="00A01843" w:rsidRPr="004A6510" w:rsidRDefault="00A01843" w:rsidP="003E61CE">
            <w:pPr>
              <w:ind w:left="72"/>
              <w:rPr>
                <w:rFonts w:ascii="Arial" w:hAnsi="Arial" w:cs="Arial"/>
                <w:sz w:val="24"/>
                <w:szCs w:val="24"/>
              </w:rPr>
            </w:pPr>
            <w:r w:rsidRPr="004A6510">
              <w:rPr>
                <w:rFonts w:ascii="Arial" w:eastAsia="Calibri" w:hAnsi="Arial" w:cs="Arial"/>
                <w:b/>
                <w:color w:val="FFFFFF"/>
                <w:sz w:val="24"/>
                <w:szCs w:val="24"/>
              </w:rPr>
              <w:t xml:space="preserve"> </w:t>
            </w:r>
          </w:p>
        </w:tc>
        <w:tc>
          <w:tcPr>
            <w:tcW w:w="736" w:type="dxa"/>
            <w:tcBorders>
              <w:top w:val="nil"/>
              <w:left w:val="nil"/>
              <w:bottom w:val="nil"/>
              <w:right w:val="nil"/>
            </w:tcBorders>
            <w:shd w:val="clear" w:color="auto" w:fill="000000"/>
          </w:tcPr>
          <w:p w14:paraId="3040F580" w14:textId="77777777" w:rsidR="00A01843" w:rsidRPr="004A6510" w:rsidRDefault="00A01843" w:rsidP="003E61CE">
            <w:pPr>
              <w:spacing w:after="160"/>
              <w:rPr>
                <w:rFonts w:ascii="Arial" w:hAnsi="Arial" w:cs="Arial"/>
                <w:sz w:val="24"/>
                <w:szCs w:val="24"/>
              </w:rPr>
            </w:pPr>
          </w:p>
        </w:tc>
      </w:tr>
      <w:tr w:rsidR="00A01843" w:rsidRPr="004A6510" w14:paraId="7B6BBC5F" w14:textId="77777777" w:rsidTr="00A01843">
        <w:trPr>
          <w:trHeight w:val="539"/>
        </w:trPr>
        <w:tc>
          <w:tcPr>
            <w:tcW w:w="7540" w:type="dxa"/>
            <w:tcBorders>
              <w:top w:val="nil"/>
              <w:left w:val="single" w:sz="4" w:space="0" w:color="000000"/>
              <w:bottom w:val="single" w:sz="4" w:space="0" w:color="000000"/>
              <w:right w:val="single" w:sz="4" w:space="0" w:color="000000"/>
            </w:tcBorders>
          </w:tcPr>
          <w:p w14:paraId="55A69020" w14:textId="77777777" w:rsidR="00A01843" w:rsidRPr="004A6510" w:rsidRDefault="00A01843" w:rsidP="003E61CE">
            <w:pPr>
              <w:rPr>
                <w:rFonts w:ascii="Arial" w:hAnsi="Arial" w:cs="Arial"/>
                <w:sz w:val="24"/>
                <w:szCs w:val="24"/>
              </w:rPr>
            </w:pPr>
            <w:r w:rsidRPr="004A6510">
              <w:rPr>
                <w:rFonts w:ascii="Arial" w:eastAsia="Calibri" w:hAnsi="Arial" w:cs="Arial"/>
                <w:b/>
                <w:sz w:val="24"/>
                <w:szCs w:val="24"/>
              </w:rPr>
              <w:t xml:space="preserve">       Question</w:t>
            </w:r>
            <w:r w:rsidRPr="004A6510">
              <w:rPr>
                <w:rFonts w:ascii="Arial" w:eastAsia="Calibri" w:hAnsi="Arial" w:cs="Arial"/>
                <w:sz w:val="24"/>
                <w:szCs w:val="24"/>
              </w:rPr>
              <w:t xml:space="preserve"> </w:t>
            </w:r>
          </w:p>
        </w:tc>
        <w:tc>
          <w:tcPr>
            <w:tcW w:w="562" w:type="dxa"/>
            <w:tcBorders>
              <w:top w:val="nil"/>
              <w:left w:val="single" w:sz="4" w:space="0" w:color="000000"/>
              <w:bottom w:val="single" w:sz="4" w:space="0" w:color="000000"/>
              <w:right w:val="single" w:sz="4" w:space="0" w:color="000000"/>
            </w:tcBorders>
          </w:tcPr>
          <w:p w14:paraId="71F411A2"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 xml:space="preserve">Yes </w:t>
            </w:r>
          </w:p>
        </w:tc>
        <w:tc>
          <w:tcPr>
            <w:tcW w:w="625" w:type="dxa"/>
            <w:tcBorders>
              <w:top w:val="nil"/>
              <w:left w:val="single" w:sz="4" w:space="0" w:color="000000"/>
              <w:bottom w:val="single" w:sz="4" w:space="0" w:color="000000"/>
              <w:right w:val="single" w:sz="4" w:space="0" w:color="000000"/>
            </w:tcBorders>
          </w:tcPr>
          <w:p w14:paraId="3B557747"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 xml:space="preserve">No </w:t>
            </w:r>
          </w:p>
        </w:tc>
        <w:tc>
          <w:tcPr>
            <w:tcW w:w="972" w:type="dxa"/>
            <w:tcBorders>
              <w:top w:val="nil"/>
              <w:left w:val="single" w:sz="4" w:space="0" w:color="000000"/>
              <w:bottom w:val="single" w:sz="4" w:space="0" w:color="000000"/>
              <w:right w:val="single" w:sz="4" w:space="0" w:color="000000"/>
            </w:tcBorders>
          </w:tcPr>
          <w:p w14:paraId="58CDA958"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 xml:space="preserve">Do Not Know </w:t>
            </w:r>
          </w:p>
        </w:tc>
        <w:tc>
          <w:tcPr>
            <w:tcW w:w="736" w:type="dxa"/>
            <w:tcBorders>
              <w:top w:val="nil"/>
              <w:left w:val="single" w:sz="4" w:space="0" w:color="000000"/>
              <w:bottom w:val="single" w:sz="4" w:space="0" w:color="000000"/>
              <w:right w:val="single" w:sz="4" w:space="0" w:color="000000"/>
            </w:tcBorders>
          </w:tcPr>
          <w:p w14:paraId="64E68AE7" w14:textId="77777777" w:rsidR="00A01843" w:rsidRPr="004A6510" w:rsidRDefault="00A01843" w:rsidP="003E61CE">
            <w:pPr>
              <w:ind w:left="1"/>
              <w:rPr>
                <w:rFonts w:ascii="Arial" w:hAnsi="Arial" w:cs="Arial"/>
                <w:sz w:val="24"/>
                <w:szCs w:val="24"/>
              </w:rPr>
            </w:pPr>
            <w:r w:rsidRPr="004A6510">
              <w:rPr>
                <w:rFonts w:ascii="Arial" w:eastAsia="Calibri" w:hAnsi="Arial" w:cs="Arial"/>
                <w:sz w:val="24"/>
                <w:szCs w:val="24"/>
              </w:rPr>
              <w:t xml:space="preserve">Score </w:t>
            </w:r>
          </w:p>
        </w:tc>
      </w:tr>
      <w:tr w:rsidR="00A01843" w:rsidRPr="004A6510" w14:paraId="42CBC3D4"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6F267D66"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1.</w:t>
            </w:r>
            <w:r w:rsidRPr="004A6510">
              <w:rPr>
                <w:rFonts w:ascii="Arial" w:eastAsia="Arial" w:hAnsi="Arial" w:cs="Arial"/>
                <w:sz w:val="24"/>
                <w:szCs w:val="24"/>
              </w:rPr>
              <w:t xml:space="preserve"> </w:t>
            </w:r>
            <w:r w:rsidRPr="004A6510">
              <w:rPr>
                <w:rFonts w:ascii="Arial" w:eastAsia="Calibri" w:hAnsi="Arial" w:cs="Arial"/>
                <w:sz w:val="24"/>
                <w:szCs w:val="24"/>
              </w:rPr>
              <w:t xml:space="preserve">Are there previous conclusive reports on this reaction? </w:t>
            </w:r>
          </w:p>
        </w:tc>
        <w:tc>
          <w:tcPr>
            <w:tcW w:w="562" w:type="dxa"/>
            <w:tcBorders>
              <w:top w:val="single" w:sz="4" w:space="0" w:color="000000"/>
              <w:left w:val="single" w:sz="4" w:space="0" w:color="000000"/>
              <w:bottom w:val="single" w:sz="4" w:space="0" w:color="000000"/>
              <w:right w:val="single" w:sz="4" w:space="0" w:color="000000"/>
            </w:tcBorders>
            <w:vAlign w:val="center"/>
          </w:tcPr>
          <w:p w14:paraId="32A599AF"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vAlign w:val="center"/>
          </w:tcPr>
          <w:p w14:paraId="16058A25" w14:textId="77777777" w:rsidR="00A01843" w:rsidRPr="004A6510" w:rsidRDefault="00A01843" w:rsidP="003E61CE">
            <w:pPr>
              <w:ind w:right="28"/>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vAlign w:val="center"/>
          </w:tcPr>
          <w:p w14:paraId="6D91706D"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7F92EE45"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0BD13D53"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1E24721C"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2.</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adverse event appear after the suspected drug was administered? </w:t>
            </w:r>
          </w:p>
        </w:tc>
        <w:tc>
          <w:tcPr>
            <w:tcW w:w="562" w:type="dxa"/>
            <w:tcBorders>
              <w:top w:val="single" w:sz="4" w:space="0" w:color="000000"/>
              <w:left w:val="single" w:sz="4" w:space="0" w:color="000000"/>
              <w:bottom w:val="single" w:sz="4" w:space="0" w:color="000000"/>
              <w:right w:val="single" w:sz="4" w:space="0" w:color="000000"/>
            </w:tcBorders>
            <w:vAlign w:val="center"/>
          </w:tcPr>
          <w:p w14:paraId="773A6AB2"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+2 </w:t>
            </w:r>
          </w:p>
        </w:tc>
        <w:tc>
          <w:tcPr>
            <w:tcW w:w="625" w:type="dxa"/>
            <w:tcBorders>
              <w:top w:val="single" w:sz="4" w:space="0" w:color="000000"/>
              <w:left w:val="single" w:sz="4" w:space="0" w:color="000000"/>
              <w:bottom w:val="single" w:sz="4" w:space="0" w:color="000000"/>
              <w:right w:val="single" w:sz="4" w:space="0" w:color="000000"/>
            </w:tcBorders>
            <w:vAlign w:val="center"/>
          </w:tcPr>
          <w:p w14:paraId="171C164B" w14:textId="77777777" w:rsidR="00A01843" w:rsidRPr="004A6510" w:rsidRDefault="00A01843" w:rsidP="003E61CE">
            <w:pPr>
              <w:ind w:right="27"/>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14:paraId="2B8FF6D1"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4CFC72E9"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+2</w:t>
            </w:r>
          </w:p>
        </w:tc>
      </w:tr>
      <w:tr w:rsidR="00A01843" w:rsidRPr="004A6510" w14:paraId="6310AB07" w14:textId="77777777" w:rsidTr="00A01843">
        <w:trPr>
          <w:trHeight w:val="787"/>
        </w:trPr>
        <w:tc>
          <w:tcPr>
            <w:tcW w:w="7540" w:type="dxa"/>
            <w:tcBorders>
              <w:top w:val="single" w:sz="4" w:space="0" w:color="000000"/>
              <w:left w:val="single" w:sz="4" w:space="0" w:color="000000"/>
              <w:bottom w:val="single" w:sz="4" w:space="0" w:color="000000"/>
              <w:right w:val="single" w:sz="4" w:space="0" w:color="000000"/>
            </w:tcBorders>
            <w:vAlign w:val="center"/>
          </w:tcPr>
          <w:p w14:paraId="752A431C" w14:textId="77777777" w:rsidR="00A01843" w:rsidRPr="004A6510" w:rsidRDefault="00A01843" w:rsidP="003E61CE">
            <w:pPr>
              <w:ind w:left="361" w:hanging="361"/>
              <w:rPr>
                <w:rFonts w:ascii="Arial" w:hAnsi="Arial" w:cs="Arial"/>
                <w:sz w:val="24"/>
                <w:szCs w:val="24"/>
              </w:rPr>
            </w:pPr>
            <w:r w:rsidRPr="004A6510">
              <w:rPr>
                <w:rFonts w:ascii="Arial" w:eastAsia="Calibri" w:hAnsi="Arial" w:cs="Arial"/>
                <w:sz w:val="24"/>
                <w:szCs w:val="24"/>
              </w:rPr>
              <w:t>3.</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adverse reaction improve when the drug was discontinued or a specific antagonist was administered? </w:t>
            </w:r>
          </w:p>
        </w:tc>
        <w:tc>
          <w:tcPr>
            <w:tcW w:w="562" w:type="dxa"/>
            <w:tcBorders>
              <w:top w:val="single" w:sz="4" w:space="0" w:color="000000"/>
              <w:left w:val="single" w:sz="4" w:space="0" w:color="000000"/>
              <w:bottom w:val="single" w:sz="4" w:space="0" w:color="000000"/>
              <w:right w:val="single" w:sz="4" w:space="0" w:color="000000"/>
            </w:tcBorders>
          </w:tcPr>
          <w:p w14:paraId="715D7E95"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2ACE0C3F"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3DB898F0"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6DD01709"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+1</w:t>
            </w:r>
          </w:p>
        </w:tc>
      </w:tr>
      <w:tr w:rsidR="00A01843" w:rsidRPr="004A6510" w14:paraId="4E23A782"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117E2801"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4.</w:t>
            </w:r>
            <w:r w:rsidRPr="004A6510">
              <w:rPr>
                <w:rFonts w:ascii="Arial" w:eastAsia="Arial" w:hAnsi="Arial" w:cs="Arial"/>
                <w:sz w:val="24"/>
                <w:szCs w:val="24"/>
              </w:rPr>
              <w:t xml:space="preserve"> </w:t>
            </w:r>
            <w:r w:rsidRPr="004A6510">
              <w:rPr>
                <w:rFonts w:ascii="Arial" w:eastAsia="Calibri" w:hAnsi="Arial" w:cs="Arial"/>
                <w:sz w:val="24"/>
                <w:szCs w:val="24"/>
              </w:rPr>
              <w:t>Did the adverse event reappear when the drug was re</w:t>
            </w:r>
            <w:r w:rsidRPr="004A6510">
              <w:rPr>
                <w:rFonts w:ascii="Cambria Math" w:eastAsia="Calibri" w:hAnsi="Cambria Math" w:cs="Cambria Math"/>
                <w:sz w:val="24"/>
                <w:szCs w:val="24"/>
              </w:rPr>
              <w:t>‐</w:t>
            </w:r>
            <w:r w:rsidRPr="004A6510">
              <w:rPr>
                <w:rFonts w:ascii="Arial" w:eastAsia="Calibri" w:hAnsi="Arial" w:cs="Arial"/>
                <w:sz w:val="24"/>
                <w:szCs w:val="24"/>
              </w:rPr>
              <w:t xml:space="preserve">administered? </w:t>
            </w:r>
          </w:p>
        </w:tc>
        <w:tc>
          <w:tcPr>
            <w:tcW w:w="562" w:type="dxa"/>
            <w:tcBorders>
              <w:top w:val="single" w:sz="4" w:space="0" w:color="000000"/>
              <w:left w:val="single" w:sz="4" w:space="0" w:color="000000"/>
              <w:bottom w:val="single" w:sz="4" w:space="0" w:color="000000"/>
              <w:right w:val="single" w:sz="4" w:space="0" w:color="000000"/>
            </w:tcBorders>
            <w:vAlign w:val="center"/>
          </w:tcPr>
          <w:p w14:paraId="2FD15687"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+2 </w:t>
            </w:r>
          </w:p>
        </w:tc>
        <w:tc>
          <w:tcPr>
            <w:tcW w:w="625" w:type="dxa"/>
            <w:tcBorders>
              <w:top w:val="single" w:sz="4" w:space="0" w:color="000000"/>
              <w:left w:val="single" w:sz="4" w:space="0" w:color="000000"/>
              <w:bottom w:val="single" w:sz="4" w:space="0" w:color="000000"/>
              <w:right w:val="single" w:sz="4" w:space="0" w:color="000000"/>
            </w:tcBorders>
            <w:vAlign w:val="center"/>
          </w:tcPr>
          <w:p w14:paraId="0CF13A4F" w14:textId="77777777" w:rsidR="00A01843" w:rsidRPr="004A6510" w:rsidRDefault="00A01843" w:rsidP="003E61CE">
            <w:pPr>
              <w:ind w:right="27"/>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14:paraId="1D56A432"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1FE5CE2F"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62C20117" w14:textId="77777777" w:rsidTr="00A01843">
        <w:trPr>
          <w:trHeight w:val="560"/>
        </w:trPr>
        <w:tc>
          <w:tcPr>
            <w:tcW w:w="7540" w:type="dxa"/>
            <w:tcBorders>
              <w:top w:val="single" w:sz="4" w:space="0" w:color="000000"/>
              <w:left w:val="single" w:sz="4" w:space="0" w:color="000000"/>
              <w:bottom w:val="single" w:sz="4" w:space="0" w:color="000000"/>
              <w:right w:val="single" w:sz="4" w:space="0" w:color="000000"/>
            </w:tcBorders>
            <w:vAlign w:val="center"/>
          </w:tcPr>
          <w:p w14:paraId="48DDF62D"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5.</w:t>
            </w:r>
            <w:r w:rsidRPr="004A6510">
              <w:rPr>
                <w:rFonts w:ascii="Arial" w:eastAsia="Arial" w:hAnsi="Arial" w:cs="Arial"/>
                <w:sz w:val="24"/>
                <w:szCs w:val="24"/>
              </w:rPr>
              <w:t xml:space="preserve"> </w:t>
            </w:r>
            <w:r w:rsidRPr="004A6510">
              <w:rPr>
                <w:rFonts w:ascii="Arial" w:eastAsia="Calibri" w:hAnsi="Arial" w:cs="Arial"/>
                <w:sz w:val="24"/>
                <w:szCs w:val="24"/>
              </w:rPr>
              <w:t xml:space="preserve">Are there alternative causes (other than the drug) that could on their own have caused the reaction? </w:t>
            </w:r>
          </w:p>
        </w:tc>
        <w:tc>
          <w:tcPr>
            <w:tcW w:w="562" w:type="dxa"/>
            <w:tcBorders>
              <w:top w:val="single" w:sz="4" w:space="0" w:color="000000"/>
              <w:left w:val="single" w:sz="4" w:space="0" w:color="000000"/>
              <w:bottom w:val="single" w:sz="4" w:space="0" w:color="000000"/>
              <w:right w:val="single" w:sz="4" w:space="0" w:color="000000"/>
            </w:tcBorders>
          </w:tcPr>
          <w:p w14:paraId="0639EEEC" w14:textId="77777777" w:rsidR="00A01843" w:rsidRPr="004A6510" w:rsidRDefault="00A01843" w:rsidP="003E61CE">
            <w:pPr>
              <w:ind w:right="29"/>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778F8DA7" w14:textId="77777777" w:rsidR="00A01843" w:rsidRPr="004A6510" w:rsidRDefault="00A01843" w:rsidP="003E61CE">
            <w:pPr>
              <w:ind w:right="29"/>
              <w:jc w:val="center"/>
              <w:rPr>
                <w:rFonts w:ascii="Arial" w:hAnsi="Arial" w:cs="Arial"/>
                <w:sz w:val="24"/>
                <w:szCs w:val="24"/>
              </w:rPr>
            </w:pPr>
            <w:r w:rsidRPr="004A6510">
              <w:rPr>
                <w:rFonts w:ascii="Arial" w:eastAsia="Calibri" w:hAnsi="Arial" w:cs="Arial"/>
                <w:sz w:val="24"/>
                <w:szCs w:val="24"/>
              </w:rPr>
              <w:t xml:space="preserve">+2 </w:t>
            </w:r>
          </w:p>
        </w:tc>
        <w:tc>
          <w:tcPr>
            <w:tcW w:w="972" w:type="dxa"/>
            <w:tcBorders>
              <w:top w:val="single" w:sz="4" w:space="0" w:color="000000"/>
              <w:left w:val="single" w:sz="4" w:space="0" w:color="000000"/>
              <w:bottom w:val="single" w:sz="4" w:space="0" w:color="000000"/>
              <w:right w:val="single" w:sz="4" w:space="0" w:color="000000"/>
            </w:tcBorders>
          </w:tcPr>
          <w:p w14:paraId="593A292A"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274A26DF" w14:textId="77777777" w:rsidR="00A01843" w:rsidRPr="004A6510" w:rsidRDefault="00A01843" w:rsidP="003E61CE">
            <w:pPr>
              <w:ind w:left="22"/>
              <w:jc w:val="center"/>
              <w:rPr>
                <w:rFonts w:ascii="Arial" w:hAnsi="Arial" w:cs="Arial"/>
                <w:sz w:val="24"/>
                <w:szCs w:val="24"/>
              </w:rPr>
            </w:pPr>
            <w:r w:rsidRPr="004A6510">
              <w:rPr>
                <w:rFonts w:ascii="Arial" w:eastAsia="Calibri" w:hAnsi="Arial" w:cs="Arial"/>
                <w:i/>
                <w:sz w:val="24"/>
                <w:szCs w:val="24"/>
              </w:rPr>
              <w:t>+2</w:t>
            </w:r>
          </w:p>
        </w:tc>
      </w:tr>
      <w:tr w:rsidR="00A01843" w:rsidRPr="004A6510" w14:paraId="11241B02" w14:textId="77777777" w:rsidTr="00A01843">
        <w:trPr>
          <w:trHeight w:val="518"/>
        </w:trPr>
        <w:tc>
          <w:tcPr>
            <w:tcW w:w="7540" w:type="dxa"/>
            <w:tcBorders>
              <w:top w:val="single" w:sz="4" w:space="0" w:color="000000"/>
              <w:left w:val="single" w:sz="4" w:space="0" w:color="000000"/>
              <w:bottom w:val="single" w:sz="4" w:space="0" w:color="000000"/>
              <w:right w:val="single" w:sz="4" w:space="0" w:color="000000"/>
            </w:tcBorders>
            <w:vAlign w:val="center"/>
          </w:tcPr>
          <w:p w14:paraId="47B0C584"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6.</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reaction reappear when a placebo was given? </w:t>
            </w:r>
          </w:p>
        </w:tc>
        <w:tc>
          <w:tcPr>
            <w:tcW w:w="562" w:type="dxa"/>
            <w:tcBorders>
              <w:top w:val="single" w:sz="4" w:space="0" w:color="000000"/>
              <w:left w:val="single" w:sz="4" w:space="0" w:color="000000"/>
              <w:bottom w:val="single" w:sz="4" w:space="0" w:color="000000"/>
              <w:right w:val="single" w:sz="4" w:space="0" w:color="000000"/>
            </w:tcBorders>
            <w:vAlign w:val="center"/>
          </w:tcPr>
          <w:p w14:paraId="639643F3" w14:textId="77777777" w:rsidR="00A01843" w:rsidRPr="004A6510" w:rsidRDefault="00A01843" w:rsidP="003E61CE">
            <w:pPr>
              <w:ind w:right="29"/>
              <w:jc w:val="center"/>
              <w:rPr>
                <w:rFonts w:ascii="Arial" w:hAnsi="Arial" w:cs="Arial"/>
                <w:sz w:val="24"/>
                <w:szCs w:val="24"/>
              </w:rPr>
            </w:pPr>
            <w:r w:rsidRPr="004A6510">
              <w:rPr>
                <w:rFonts w:ascii="Cambria Math" w:eastAsia="Calibri" w:hAnsi="Cambria Math" w:cs="Cambria Math"/>
                <w:sz w:val="24"/>
                <w:szCs w:val="24"/>
              </w:rPr>
              <w:t>‐</w:t>
            </w: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vAlign w:val="center"/>
          </w:tcPr>
          <w:p w14:paraId="16B9A9CE" w14:textId="77777777" w:rsidR="00A01843" w:rsidRPr="004A6510" w:rsidRDefault="00A01843" w:rsidP="003E61CE">
            <w:pPr>
              <w:ind w:right="29"/>
              <w:jc w:val="center"/>
              <w:rPr>
                <w:rFonts w:ascii="Arial" w:hAnsi="Arial" w:cs="Arial"/>
                <w:sz w:val="24"/>
                <w:szCs w:val="24"/>
              </w:rPr>
            </w:pPr>
            <w:r w:rsidRPr="004A6510">
              <w:rPr>
                <w:rFonts w:ascii="Arial" w:eastAsia="Calibri" w:hAnsi="Arial" w:cs="Arial"/>
                <w:sz w:val="24"/>
                <w:szCs w:val="24"/>
              </w:rP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14:paraId="6BB40638"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745F8FFF"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61667290" w14:textId="77777777" w:rsidTr="00A01843">
        <w:trPr>
          <w:trHeight w:val="553"/>
        </w:trPr>
        <w:tc>
          <w:tcPr>
            <w:tcW w:w="7540" w:type="dxa"/>
            <w:tcBorders>
              <w:top w:val="single" w:sz="4" w:space="0" w:color="000000"/>
              <w:left w:val="single" w:sz="4" w:space="0" w:color="000000"/>
              <w:bottom w:val="single" w:sz="4" w:space="0" w:color="000000"/>
              <w:right w:val="single" w:sz="4" w:space="0" w:color="000000"/>
            </w:tcBorders>
            <w:vAlign w:val="center"/>
          </w:tcPr>
          <w:p w14:paraId="312CC876"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7.</w:t>
            </w:r>
            <w:r w:rsidRPr="004A6510">
              <w:rPr>
                <w:rFonts w:ascii="Arial" w:eastAsia="Arial" w:hAnsi="Arial" w:cs="Arial"/>
                <w:sz w:val="24"/>
                <w:szCs w:val="24"/>
              </w:rPr>
              <w:t xml:space="preserve"> </w:t>
            </w:r>
            <w:r w:rsidRPr="004A6510">
              <w:rPr>
                <w:rFonts w:ascii="Arial" w:eastAsia="Calibri" w:hAnsi="Arial" w:cs="Arial"/>
                <w:sz w:val="24"/>
                <w:szCs w:val="24"/>
              </w:rPr>
              <w:t xml:space="preserve">Was the drug detected in blood (or other fluids) in concentrations known to be toxic? </w:t>
            </w:r>
          </w:p>
        </w:tc>
        <w:tc>
          <w:tcPr>
            <w:tcW w:w="562" w:type="dxa"/>
            <w:tcBorders>
              <w:top w:val="single" w:sz="4" w:space="0" w:color="000000"/>
              <w:left w:val="single" w:sz="4" w:space="0" w:color="000000"/>
              <w:bottom w:val="single" w:sz="4" w:space="0" w:color="000000"/>
              <w:right w:val="single" w:sz="4" w:space="0" w:color="000000"/>
            </w:tcBorders>
          </w:tcPr>
          <w:p w14:paraId="1E131B34"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5E07668A"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5CF5B55E"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593BACF1"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45A54B50" w14:textId="77777777" w:rsidTr="00A01843">
        <w:trPr>
          <w:trHeight w:val="787"/>
        </w:trPr>
        <w:tc>
          <w:tcPr>
            <w:tcW w:w="7540" w:type="dxa"/>
            <w:tcBorders>
              <w:top w:val="single" w:sz="4" w:space="0" w:color="000000"/>
              <w:left w:val="single" w:sz="4" w:space="0" w:color="000000"/>
              <w:bottom w:val="single" w:sz="4" w:space="0" w:color="000000"/>
              <w:right w:val="single" w:sz="4" w:space="0" w:color="000000"/>
            </w:tcBorders>
            <w:vAlign w:val="center"/>
          </w:tcPr>
          <w:p w14:paraId="3245F66C"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t>8.</w:t>
            </w:r>
            <w:r w:rsidRPr="004A6510">
              <w:rPr>
                <w:rFonts w:ascii="Arial" w:eastAsia="Arial" w:hAnsi="Arial" w:cs="Arial"/>
                <w:sz w:val="24"/>
                <w:szCs w:val="24"/>
              </w:rPr>
              <w:t xml:space="preserve"> </w:t>
            </w:r>
            <w:r w:rsidRPr="004A6510">
              <w:rPr>
                <w:rFonts w:ascii="Arial" w:eastAsia="Calibri" w:hAnsi="Arial" w:cs="Arial"/>
                <w:sz w:val="24"/>
                <w:szCs w:val="24"/>
              </w:rPr>
              <w:t xml:space="preserve">Was the reaction more severe when the dose was increased or less severe when the dose was decreased? </w:t>
            </w:r>
          </w:p>
        </w:tc>
        <w:tc>
          <w:tcPr>
            <w:tcW w:w="562" w:type="dxa"/>
            <w:tcBorders>
              <w:top w:val="single" w:sz="4" w:space="0" w:color="000000"/>
              <w:left w:val="single" w:sz="4" w:space="0" w:color="000000"/>
              <w:bottom w:val="single" w:sz="4" w:space="0" w:color="000000"/>
              <w:right w:val="single" w:sz="4" w:space="0" w:color="000000"/>
            </w:tcBorders>
          </w:tcPr>
          <w:p w14:paraId="410B6D98"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6E782A52" w14:textId="77777777" w:rsidR="00A01843" w:rsidRPr="004A6510" w:rsidRDefault="00A01843" w:rsidP="003E61CE">
            <w:pPr>
              <w:ind w:right="28"/>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12FC7E48"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7B85589C"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0F480063" w14:textId="77777777" w:rsidTr="00A01843">
        <w:trPr>
          <w:trHeight w:val="279"/>
        </w:trPr>
        <w:tc>
          <w:tcPr>
            <w:tcW w:w="7540" w:type="dxa"/>
            <w:tcBorders>
              <w:top w:val="single" w:sz="4" w:space="0" w:color="000000"/>
              <w:left w:val="single" w:sz="4" w:space="0" w:color="000000"/>
              <w:bottom w:val="single" w:sz="4" w:space="0" w:color="000000"/>
              <w:right w:val="single" w:sz="4" w:space="0" w:color="000000"/>
            </w:tcBorders>
            <w:vAlign w:val="center"/>
          </w:tcPr>
          <w:p w14:paraId="7147129A" w14:textId="77777777" w:rsidR="00A01843" w:rsidRPr="004A6510" w:rsidRDefault="00A01843" w:rsidP="003E61CE">
            <w:pPr>
              <w:ind w:left="360" w:hanging="360"/>
              <w:rPr>
                <w:rFonts w:ascii="Arial" w:hAnsi="Arial" w:cs="Arial"/>
                <w:sz w:val="24"/>
                <w:szCs w:val="24"/>
              </w:rPr>
            </w:pPr>
            <w:r w:rsidRPr="004A6510">
              <w:rPr>
                <w:rFonts w:ascii="Arial" w:eastAsia="Calibri" w:hAnsi="Arial" w:cs="Arial"/>
                <w:sz w:val="24"/>
                <w:szCs w:val="24"/>
              </w:rPr>
              <w:lastRenderedPageBreak/>
              <w:t>9.</w:t>
            </w:r>
            <w:r w:rsidRPr="004A6510">
              <w:rPr>
                <w:rFonts w:ascii="Arial" w:eastAsia="Arial" w:hAnsi="Arial" w:cs="Arial"/>
                <w:sz w:val="24"/>
                <w:szCs w:val="24"/>
              </w:rPr>
              <w:t xml:space="preserve"> </w:t>
            </w:r>
            <w:r w:rsidRPr="004A6510">
              <w:rPr>
                <w:rFonts w:ascii="Arial" w:eastAsia="Calibri" w:hAnsi="Arial" w:cs="Arial"/>
                <w:sz w:val="24"/>
                <w:szCs w:val="24"/>
              </w:rPr>
              <w:t xml:space="preserve">Did the patient have a similar reaction to the same or similar drugs in any previous exposure? </w:t>
            </w:r>
          </w:p>
        </w:tc>
        <w:tc>
          <w:tcPr>
            <w:tcW w:w="562" w:type="dxa"/>
            <w:tcBorders>
              <w:top w:val="single" w:sz="4" w:space="0" w:color="000000"/>
              <w:left w:val="single" w:sz="4" w:space="0" w:color="000000"/>
              <w:bottom w:val="single" w:sz="4" w:space="0" w:color="000000"/>
              <w:right w:val="single" w:sz="4" w:space="0" w:color="000000"/>
            </w:tcBorders>
          </w:tcPr>
          <w:p w14:paraId="4EA19648"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tcPr>
          <w:p w14:paraId="280F1735"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tcPr>
          <w:p w14:paraId="65FA17EE"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tcPr>
          <w:p w14:paraId="4674F0D5"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0</w:t>
            </w:r>
          </w:p>
        </w:tc>
      </w:tr>
      <w:tr w:rsidR="00A01843" w:rsidRPr="004A6510" w14:paraId="4A4368BB" w14:textId="77777777" w:rsidTr="00A01843">
        <w:trPr>
          <w:trHeight w:val="520"/>
        </w:trPr>
        <w:tc>
          <w:tcPr>
            <w:tcW w:w="7540" w:type="dxa"/>
            <w:tcBorders>
              <w:top w:val="single" w:sz="4" w:space="0" w:color="000000"/>
              <w:left w:val="single" w:sz="4" w:space="0" w:color="000000"/>
              <w:bottom w:val="single" w:sz="4" w:space="0" w:color="000000"/>
              <w:right w:val="single" w:sz="4" w:space="0" w:color="000000"/>
            </w:tcBorders>
            <w:vAlign w:val="center"/>
          </w:tcPr>
          <w:p w14:paraId="584383BF" w14:textId="77777777" w:rsidR="00A01843" w:rsidRPr="004A6510" w:rsidRDefault="00A01843" w:rsidP="003E61CE">
            <w:pPr>
              <w:rPr>
                <w:rFonts w:ascii="Arial" w:hAnsi="Arial" w:cs="Arial"/>
                <w:sz w:val="24"/>
                <w:szCs w:val="24"/>
              </w:rPr>
            </w:pPr>
            <w:r w:rsidRPr="004A6510">
              <w:rPr>
                <w:rFonts w:ascii="Arial" w:eastAsia="Calibri" w:hAnsi="Arial" w:cs="Arial"/>
                <w:sz w:val="24"/>
                <w:szCs w:val="24"/>
              </w:rPr>
              <w:t>10.</w:t>
            </w:r>
            <w:r w:rsidRPr="004A6510">
              <w:rPr>
                <w:rFonts w:ascii="Arial" w:eastAsia="Arial" w:hAnsi="Arial" w:cs="Arial"/>
                <w:sz w:val="24"/>
                <w:szCs w:val="24"/>
              </w:rPr>
              <w:t xml:space="preserve"> </w:t>
            </w:r>
            <w:r w:rsidRPr="004A6510">
              <w:rPr>
                <w:rFonts w:ascii="Arial" w:eastAsia="Calibri" w:hAnsi="Arial" w:cs="Arial"/>
                <w:sz w:val="24"/>
                <w:szCs w:val="24"/>
              </w:rPr>
              <w:t xml:space="preserve">Was the adverse event confirmed by any objective evidence? </w:t>
            </w:r>
          </w:p>
        </w:tc>
        <w:tc>
          <w:tcPr>
            <w:tcW w:w="562" w:type="dxa"/>
            <w:tcBorders>
              <w:top w:val="single" w:sz="4" w:space="0" w:color="000000"/>
              <w:left w:val="single" w:sz="4" w:space="0" w:color="000000"/>
              <w:bottom w:val="single" w:sz="4" w:space="0" w:color="000000"/>
              <w:right w:val="single" w:sz="4" w:space="0" w:color="000000"/>
            </w:tcBorders>
            <w:vAlign w:val="center"/>
          </w:tcPr>
          <w:p w14:paraId="31220F8D" w14:textId="77777777" w:rsidR="00A01843" w:rsidRPr="004A6510" w:rsidRDefault="00A01843" w:rsidP="003E61CE">
            <w:pPr>
              <w:ind w:left="52"/>
              <w:rPr>
                <w:rFonts w:ascii="Arial" w:hAnsi="Arial" w:cs="Arial"/>
                <w:sz w:val="24"/>
                <w:szCs w:val="24"/>
              </w:rPr>
            </w:pPr>
            <w:r w:rsidRPr="004A6510">
              <w:rPr>
                <w:rFonts w:ascii="Arial" w:eastAsia="Calibri" w:hAnsi="Arial" w:cs="Arial"/>
                <w:sz w:val="24"/>
                <w:szCs w:val="24"/>
              </w:rPr>
              <w:t xml:space="preserve">+1 </w:t>
            </w:r>
          </w:p>
        </w:tc>
        <w:tc>
          <w:tcPr>
            <w:tcW w:w="625" w:type="dxa"/>
            <w:tcBorders>
              <w:top w:val="single" w:sz="4" w:space="0" w:color="000000"/>
              <w:left w:val="single" w:sz="4" w:space="0" w:color="000000"/>
              <w:bottom w:val="single" w:sz="4" w:space="0" w:color="000000"/>
              <w:right w:val="single" w:sz="4" w:space="0" w:color="000000"/>
            </w:tcBorders>
            <w:vAlign w:val="center"/>
          </w:tcPr>
          <w:p w14:paraId="02BB73E9" w14:textId="77777777" w:rsidR="00A01843" w:rsidRPr="004A6510" w:rsidRDefault="00A01843" w:rsidP="003E61CE">
            <w:pPr>
              <w:ind w:right="27"/>
              <w:jc w:val="center"/>
              <w:rPr>
                <w:rFonts w:ascii="Arial" w:hAnsi="Arial" w:cs="Arial"/>
                <w:sz w:val="24"/>
                <w:szCs w:val="24"/>
              </w:rPr>
            </w:pPr>
            <w:r w:rsidRPr="004A6510">
              <w:rPr>
                <w:rFonts w:ascii="Arial" w:eastAsia="Calibri" w:hAnsi="Arial" w:cs="Arial"/>
                <w:sz w:val="24"/>
                <w:szCs w:val="24"/>
              </w:rPr>
              <w:t xml:space="preserve">0 </w:t>
            </w:r>
          </w:p>
        </w:tc>
        <w:tc>
          <w:tcPr>
            <w:tcW w:w="972" w:type="dxa"/>
            <w:tcBorders>
              <w:top w:val="single" w:sz="4" w:space="0" w:color="000000"/>
              <w:left w:val="single" w:sz="4" w:space="0" w:color="000000"/>
              <w:bottom w:val="single" w:sz="4" w:space="0" w:color="000000"/>
              <w:right w:val="single" w:sz="4" w:space="0" w:color="000000"/>
            </w:tcBorders>
            <w:vAlign w:val="center"/>
          </w:tcPr>
          <w:p w14:paraId="6C5A6365" w14:textId="77777777" w:rsidR="00A01843" w:rsidRPr="004A6510" w:rsidRDefault="00A01843" w:rsidP="003E61CE">
            <w:pPr>
              <w:ind w:right="26"/>
              <w:jc w:val="center"/>
              <w:rPr>
                <w:rFonts w:ascii="Arial" w:hAnsi="Arial" w:cs="Arial"/>
                <w:sz w:val="24"/>
                <w:szCs w:val="24"/>
              </w:rPr>
            </w:pPr>
            <w:r w:rsidRPr="004A6510">
              <w:rPr>
                <w:rFonts w:ascii="Arial" w:eastAsia="Calibri" w:hAnsi="Arial" w:cs="Arial"/>
                <w:sz w:val="24"/>
                <w:szCs w:val="24"/>
              </w:rPr>
              <w:t xml:space="preserve">0 </w:t>
            </w:r>
          </w:p>
        </w:tc>
        <w:tc>
          <w:tcPr>
            <w:tcW w:w="736" w:type="dxa"/>
            <w:tcBorders>
              <w:top w:val="single" w:sz="4" w:space="0" w:color="000000"/>
              <w:left w:val="single" w:sz="4" w:space="0" w:color="000000"/>
              <w:bottom w:val="single" w:sz="4" w:space="0" w:color="000000"/>
              <w:right w:val="single" w:sz="4" w:space="0" w:color="000000"/>
            </w:tcBorders>
            <w:vAlign w:val="center"/>
          </w:tcPr>
          <w:p w14:paraId="62A40AE9" w14:textId="77777777" w:rsidR="00A01843" w:rsidRPr="004A6510" w:rsidRDefault="00A01843" w:rsidP="003E61CE">
            <w:pPr>
              <w:ind w:left="21"/>
              <w:jc w:val="center"/>
              <w:rPr>
                <w:rFonts w:ascii="Arial" w:hAnsi="Arial" w:cs="Arial"/>
                <w:sz w:val="24"/>
                <w:szCs w:val="24"/>
              </w:rPr>
            </w:pPr>
            <w:r w:rsidRPr="004A6510">
              <w:rPr>
                <w:rFonts w:ascii="Arial" w:eastAsia="Calibri" w:hAnsi="Arial" w:cs="Arial"/>
                <w:i/>
                <w:sz w:val="24"/>
                <w:szCs w:val="24"/>
              </w:rPr>
              <w:t>+1</w:t>
            </w:r>
          </w:p>
        </w:tc>
      </w:tr>
      <w:tr w:rsidR="00A01843" w:rsidRPr="004A6510" w14:paraId="3D48BCFF" w14:textId="77777777" w:rsidTr="00A01843">
        <w:trPr>
          <w:trHeight w:val="26"/>
        </w:trPr>
        <w:tc>
          <w:tcPr>
            <w:tcW w:w="9699" w:type="dxa"/>
            <w:gridSpan w:val="4"/>
            <w:tcBorders>
              <w:top w:val="single" w:sz="4" w:space="0" w:color="000000"/>
              <w:left w:val="single" w:sz="4" w:space="0" w:color="000000"/>
              <w:bottom w:val="single" w:sz="4" w:space="0" w:color="000000"/>
              <w:right w:val="single" w:sz="4" w:space="0" w:color="000000"/>
            </w:tcBorders>
            <w:shd w:val="clear" w:color="auto" w:fill="000000"/>
          </w:tcPr>
          <w:p w14:paraId="1715B0D7" w14:textId="77777777" w:rsidR="00A01843" w:rsidRPr="004A6510" w:rsidRDefault="00A01843" w:rsidP="003E61CE">
            <w:pPr>
              <w:spacing w:after="11"/>
              <w:rPr>
                <w:rFonts w:ascii="Arial" w:hAnsi="Arial" w:cs="Arial"/>
                <w:sz w:val="24"/>
                <w:szCs w:val="24"/>
              </w:rPr>
            </w:pPr>
            <w:r w:rsidRPr="004A6510">
              <w:rPr>
                <w:rFonts w:ascii="Arial" w:eastAsia="Calibri" w:hAnsi="Arial" w:cs="Arial"/>
                <w:b/>
                <w:color w:val="FFFFFF"/>
                <w:sz w:val="24"/>
                <w:szCs w:val="24"/>
              </w:rPr>
              <w:t xml:space="preserve">                                                                                                                                                        TOTAL SCORE:</w:t>
            </w:r>
          </w:p>
          <w:p w14:paraId="362DF8F4" w14:textId="77777777" w:rsidR="00A01843" w:rsidRPr="004A6510" w:rsidRDefault="00A01843" w:rsidP="003E61CE">
            <w:pPr>
              <w:rPr>
                <w:rFonts w:ascii="Arial" w:hAnsi="Arial" w:cs="Arial"/>
                <w:sz w:val="24"/>
                <w:szCs w:val="24"/>
              </w:rPr>
            </w:pPr>
            <w:r w:rsidRPr="004A6510">
              <w:rPr>
                <w:rFonts w:ascii="Arial" w:eastAsia="Calibri" w:hAnsi="Arial" w:cs="Arial"/>
                <w:b/>
                <w:color w:val="FFFFFF"/>
                <w:sz w:val="24"/>
                <w:szCs w:val="24"/>
              </w:rPr>
              <w:t xml:space="preserve">                                                                                                                                                </w:t>
            </w:r>
          </w:p>
        </w:tc>
        <w:tc>
          <w:tcPr>
            <w:tcW w:w="736" w:type="dxa"/>
            <w:tcBorders>
              <w:top w:val="single" w:sz="4" w:space="0" w:color="000000"/>
              <w:left w:val="single" w:sz="4" w:space="0" w:color="000000"/>
              <w:bottom w:val="single" w:sz="4" w:space="0" w:color="000000"/>
              <w:right w:val="single" w:sz="4" w:space="0" w:color="000000"/>
            </w:tcBorders>
          </w:tcPr>
          <w:p w14:paraId="1CB4821C" w14:textId="77777777" w:rsidR="00A01843" w:rsidRPr="004A6510" w:rsidRDefault="00A01843" w:rsidP="003E61CE">
            <w:pPr>
              <w:ind w:left="1"/>
              <w:jc w:val="center"/>
              <w:rPr>
                <w:rFonts w:ascii="Arial" w:eastAsia="Calibri" w:hAnsi="Arial" w:cs="Arial"/>
                <w:i/>
                <w:sz w:val="24"/>
                <w:szCs w:val="24"/>
              </w:rPr>
            </w:pPr>
            <w:r w:rsidRPr="004A6510">
              <w:rPr>
                <w:rFonts w:ascii="Arial" w:eastAsia="Calibri" w:hAnsi="Arial" w:cs="Arial"/>
                <w:i/>
                <w:sz w:val="24"/>
                <w:szCs w:val="24"/>
              </w:rPr>
              <w:t>6</w:t>
            </w:r>
          </w:p>
          <w:p w14:paraId="53F01B00" w14:textId="77777777" w:rsidR="00A01843" w:rsidRPr="004A6510" w:rsidRDefault="00A01843" w:rsidP="003E61CE">
            <w:pPr>
              <w:ind w:left="1"/>
              <w:jc w:val="center"/>
              <w:rPr>
                <w:rFonts w:ascii="Arial" w:hAnsi="Arial" w:cs="Arial"/>
                <w:sz w:val="24"/>
                <w:szCs w:val="24"/>
              </w:rPr>
            </w:pPr>
          </w:p>
        </w:tc>
      </w:tr>
    </w:tbl>
    <w:p w14:paraId="4661DAF0" w14:textId="3D02224F" w:rsidR="00A01843" w:rsidRDefault="00FF2142" w:rsidP="00A01843">
      <w:pPr>
        <w:spacing w:line="240" w:lineRule="auto"/>
        <w:ind w:left="-5"/>
        <w:jc w:val="both"/>
        <w:rPr>
          <w:rFonts w:ascii="Arial" w:eastAsia="Cambria" w:hAnsi="Arial" w:cs="Arial"/>
          <w:sz w:val="24"/>
          <w:szCs w:val="24"/>
        </w:rPr>
      </w:pPr>
      <w:r>
        <w:rPr>
          <w:rFonts w:ascii="Arial" w:hAnsi="Arial" w:cs="Arial"/>
          <w:sz w:val="24"/>
          <w:szCs w:val="24"/>
        </w:rPr>
        <w:t>Footnote</w:t>
      </w:r>
      <w:r w:rsidR="00A01843" w:rsidRPr="004A6510">
        <w:rPr>
          <w:rFonts w:ascii="Arial" w:hAnsi="Arial" w:cs="Arial"/>
          <w:sz w:val="24"/>
          <w:szCs w:val="24"/>
        </w:rPr>
        <w:t>: Score ≥9 = Definite drug reaction, 5–8 = Probable drug reaction, 1–4 = Possible drug reaction, and ≤0 = Doubtful drug reaction. Modified</w:t>
      </w:r>
      <w:r w:rsidR="00A01843" w:rsidRPr="004A6510">
        <w:rPr>
          <w:rFonts w:ascii="Arial" w:eastAsia="Cambria" w:hAnsi="Arial" w:cs="Arial"/>
          <w:sz w:val="24"/>
          <w:szCs w:val="24"/>
        </w:rPr>
        <w:t xml:space="preserve"> </w:t>
      </w:r>
      <w:r w:rsidR="00A01843" w:rsidRPr="004A6510">
        <w:rPr>
          <w:rFonts w:ascii="Arial" w:hAnsi="Arial" w:cs="Arial"/>
          <w:sz w:val="24"/>
          <w:szCs w:val="24"/>
        </w:rPr>
        <w:t>from:</w:t>
      </w:r>
      <w:r w:rsidR="00A01843" w:rsidRPr="004A6510">
        <w:rPr>
          <w:rFonts w:ascii="Arial" w:eastAsia="Cambria" w:hAnsi="Arial" w:cs="Arial"/>
          <w:sz w:val="24"/>
          <w:szCs w:val="24"/>
        </w:rPr>
        <w:t xml:space="preserve">   </w:t>
      </w:r>
      <w:r w:rsidR="00A01843" w:rsidRPr="004A6510">
        <w:rPr>
          <w:rFonts w:ascii="Arial" w:hAnsi="Arial" w:cs="Arial"/>
          <w:sz w:val="24"/>
          <w:szCs w:val="24"/>
        </w:rPr>
        <w:t>Naranjo</w:t>
      </w:r>
      <w:r w:rsidR="00A01843" w:rsidRPr="004A6510">
        <w:rPr>
          <w:rFonts w:ascii="Arial" w:eastAsia="Cambria" w:hAnsi="Arial" w:cs="Arial"/>
          <w:sz w:val="24"/>
          <w:szCs w:val="24"/>
        </w:rPr>
        <w:t xml:space="preserve"> </w:t>
      </w:r>
      <w:r w:rsidR="00A01843" w:rsidRPr="004A6510">
        <w:rPr>
          <w:rFonts w:ascii="Arial" w:hAnsi="Arial" w:cs="Arial"/>
          <w:sz w:val="24"/>
          <w:szCs w:val="24"/>
        </w:rPr>
        <w:t>CA</w:t>
      </w:r>
      <w:r w:rsidR="00A01843" w:rsidRPr="004A6510">
        <w:rPr>
          <w:rFonts w:ascii="Arial" w:eastAsia="Cambria" w:hAnsi="Arial" w:cs="Arial"/>
          <w:sz w:val="24"/>
          <w:szCs w:val="24"/>
        </w:rPr>
        <w:t xml:space="preserve"> </w:t>
      </w:r>
      <w:r w:rsidR="00A01843" w:rsidRPr="004A6510">
        <w:rPr>
          <w:rFonts w:ascii="Arial" w:hAnsi="Arial" w:cs="Arial"/>
          <w:sz w:val="24"/>
          <w:szCs w:val="24"/>
        </w:rPr>
        <w:t>et</w:t>
      </w:r>
      <w:r w:rsidR="00A01843" w:rsidRPr="004A6510">
        <w:rPr>
          <w:rFonts w:ascii="Arial" w:eastAsia="Cambria" w:hAnsi="Arial" w:cs="Arial"/>
          <w:sz w:val="24"/>
          <w:szCs w:val="24"/>
        </w:rPr>
        <w:t xml:space="preserve"> </w:t>
      </w:r>
      <w:r w:rsidR="00A01843" w:rsidRPr="004A6510">
        <w:rPr>
          <w:rFonts w:ascii="Arial" w:hAnsi="Arial" w:cs="Arial"/>
          <w:sz w:val="24"/>
          <w:szCs w:val="24"/>
        </w:rPr>
        <w:t>al.</w:t>
      </w:r>
      <w:r w:rsidR="00A01843" w:rsidRPr="004A6510">
        <w:rPr>
          <w:rFonts w:ascii="Arial" w:eastAsia="Cambria" w:hAnsi="Arial" w:cs="Arial"/>
          <w:sz w:val="24"/>
          <w:szCs w:val="24"/>
        </w:rPr>
        <w:t xml:space="preserve">  </w:t>
      </w:r>
      <w:r w:rsidR="00A01843" w:rsidRPr="004A6510">
        <w:rPr>
          <w:rFonts w:ascii="Arial" w:hAnsi="Arial" w:cs="Arial"/>
          <w:sz w:val="24"/>
          <w:szCs w:val="24"/>
        </w:rPr>
        <w:t>A</w:t>
      </w:r>
      <w:r w:rsidR="00A01843" w:rsidRPr="004A6510">
        <w:rPr>
          <w:rFonts w:ascii="Arial" w:eastAsia="Cambria" w:hAnsi="Arial" w:cs="Arial"/>
          <w:sz w:val="24"/>
          <w:szCs w:val="24"/>
        </w:rPr>
        <w:t xml:space="preserve"> </w:t>
      </w:r>
      <w:r w:rsidR="00A01843" w:rsidRPr="004A6510">
        <w:rPr>
          <w:rFonts w:ascii="Arial" w:hAnsi="Arial" w:cs="Arial"/>
          <w:sz w:val="24"/>
          <w:szCs w:val="24"/>
        </w:rPr>
        <w:t>method</w:t>
      </w:r>
      <w:r w:rsidR="00A01843" w:rsidRPr="004A6510">
        <w:rPr>
          <w:rFonts w:ascii="Arial" w:eastAsia="Cambria" w:hAnsi="Arial" w:cs="Arial"/>
          <w:sz w:val="24"/>
          <w:szCs w:val="24"/>
        </w:rPr>
        <w:t xml:space="preserve"> </w:t>
      </w:r>
      <w:r w:rsidR="00A01843" w:rsidRPr="004A6510">
        <w:rPr>
          <w:rFonts w:ascii="Arial" w:hAnsi="Arial" w:cs="Arial"/>
          <w:sz w:val="24"/>
          <w:szCs w:val="24"/>
        </w:rPr>
        <w:t>for</w:t>
      </w:r>
      <w:r w:rsidR="00A01843" w:rsidRPr="004A6510">
        <w:rPr>
          <w:rFonts w:ascii="Arial" w:eastAsia="Cambria" w:hAnsi="Arial" w:cs="Arial"/>
          <w:sz w:val="24"/>
          <w:szCs w:val="24"/>
        </w:rPr>
        <w:t xml:space="preserve"> </w:t>
      </w:r>
      <w:r w:rsidR="00A01843" w:rsidRPr="004A6510">
        <w:rPr>
          <w:rFonts w:ascii="Arial" w:hAnsi="Arial" w:cs="Arial"/>
          <w:sz w:val="24"/>
          <w:szCs w:val="24"/>
        </w:rPr>
        <w:t>estimating</w:t>
      </w:r>
      <w:r w:rsidR="00A01843" w:rsidRPr="004A6510">
        <w:rPr>
          <w:rFonts w:ascii="Arial" w:eastAsia="Cambria" w:hAnsi="Arial" w:cs="Arial"/>
          <w:sz w:val="24"/>
          <w:szCs w:val="24"/>
        </w:rPr>
        <w:t xml:space="preserve"> </w:t>
      </w:r>
      <w:r w:rsidR="00A01843" w:rsidRPr="004A6510">
        <w:rPr>
          <w:rFonts w:ascii="Arial" w:hAnsi="Arial" w:cs="Arial"/>
          <w:sz w:val="24"/>
          <w:szCs w:val="24"/>
        </w:rPr>
        <w:t>the</w:t>
      </w:r>
      <w:r w:rsidR="00A01843" w:rsidRPr="004A6510">
        <w:rPr>
          <w:rFonts w:ascii="Arial" w:eastAsia="Cambria" w:hAnsi="Arial" w:cs="Arial"/>
          <w:sz w:val="24"/>
          <w:szCs w:val="24"/>
        </w:rPr>
        <w:t xml:space="preserve"> </w:t>
      </w:r>
      <w:r w:rsidR="00A01843" w:rsidRPr="004A6510">
        <w:rPr>
          <w:rFonts w:ascii="Arial" w:hAnsi="Arial" w:cs="Arial"/>
          <w:sz w:val="24"/>
          <w:szCs w:val="24"/>
        </w:rPr>
        <w:t>probability</w:t>
      </w:r>
      <w:r w:rsidR="00A01843" w:rsidRPr="004A6510">
        <w:rPr>
          <w:rFonts w:ascii="Arial" w:eastAsia="Cambria" w:hAnsi="Arial" w:cs="Arial"/>
          <w:sz w:val="24"/>
          <w:szCs w:val="24"/>
        </w:rPr>
        <w:t xml:space="preserve"> </w:t>
      </w:r>
      <w:r w:rsidR="00A01843" w:rsidRPr="004A6510">
        <w:rPr>
          <w:rFonts w:ascii="Arial" w:hAnsi="Arial" w:cs="Arial"/>
          <w:sz w:val="24"/>
          <w:szCs w:val="24"/>
        </w:rPr>
        <w:t>of</w:t>
      </w:r>
      <w:r w:rsidR="00A01843" w:rsidRPr="004A6510">
        <w:rPr>
          <w:rFonts w:ascii="Arial" w:eastAsia="Cambria" w:hAnsi="Arial" w:cs="Arial"/>
          <w:sz w:val="24"/>
          <w:szCs w:val="24"/>
        </w:rPr>
        <w:t xml:space="preserve"> </w:t>
      </w:r>
      <w:r w:rsidR="00A01843" w:rsidRPr="004A6510">
        <w:rPr>
          <w:rFonts w:ascii="Arial" w:hAnsi="Arial" w:cs="Arial"/>
          <w:sz w:val="24"/>
          <w:szCs w:val="24"/>
        </w:rPr>
        <w:t>adverse</w:t>
      </w:r>
      <w:r w:rsidR="00A01843" w:rsidRPr="004A6510">
        <w:rPr>
          <w:rFonts w:ascii="Arial" w:eastAsia="Cambria" w:hAnsi="Arial" w:cs="Arial"/>
          <w:sz w:val="24"/>
          <w:szCs w:val="24"/>
        </w:rPr>
        <w:t xml:space="preserve"> </w:t>
      </w:r>
      <w:r w:rsidR="00A01843" w:rsidRPr="004A6510">
        <w:rPr>
          <w:rFonts w:ascii="Arial" w:hAnsi="Arial" w:cs="Arial"/>
          <w:sz w:val="24"/>
          <w:szCs w:val="24"/>
        </w:rPr>
        <w:t>drug</w:t>
      </w:r>
      <w:r w:rsidR="00A01843" w:rsidRPr="004A6510">
        <w:rPr>
          <w:rFonts w:ascii="Arial" w:eastAsia="Cambria" w:hAnsi="Arial" w:cs="Arial"/>
          <w:sz w:val="24"/>
          <w:szCs w:val="24"/>
        </w:rPr>
        <w:t xml:space="preserve"> </w:t>
      </w:r>
      <w:r w:rsidR="00A01843" w:rsidRPr="004A6510">
        <w:rPr>
          <w:rFonts w:ascii="Arial" w:hAnsi="Arial" w:cs="Arial"/>
          <w:sz w:val="24"/>
          <w:szCs w:val="24"/>
        </w:rPr>
        <w:t>reactions.</w:t>
      </w:r>
      <w:r w:rsidR="00A01843" w:rsidRPr="004A6510">
        <w:rPr>
          <w:rFonts w:ascii="Arial" w:eastAsia="Cambria" w:hAnsi="Arial" w:cs="Arial"/>
          <w:sz w:val="24"/>
          <w:szCs w:val="24"/>
        </w:rPr>
        <w:t xml:space="preserve">  </w:t>
      </w:r>
      <w:r w:rsidR="00A01843" w:rsidRPr="004A6510">
        <w:rPr>
          <w:rFonts w:ascii="Arial" w:hAnsi="Arial" w:cs="Arial"/>
          <w:sz w:val="24"/>
          <w:szCs w:val="24"/>
        </w:rPr>
        <w:t>Clin</w:t>
      </w:r>
      <w:r w:rsidR="00A01843" w:rsidRPr="004A6510">
        <w:rPr>
          <w:rFonts w:ascii="Arial" w:eastAsia="Cambria" w:hAnsi="Arial" w:cs="Arial"/>
          <w:sz w:val="24"/>
          <w:szCs w:val="24"/>
        </w:rPr>
        <w:t xml:space="preserve"> </w:t>
      </w:r>
      <w:proofErr w:type="spellStart"/>
      <w:r w:rsidR="00A01843" w:rsidRPr="004A6510">
        <w:rPr>
          <w:rFonts w:ascii="Arial" w:hAnsi="Arial" w:cs="Arial"/>
          <w:sz w:val="24"/>
          <w:szCs w:val="24"/>
        </w:rPr>
        <w:t>Pharmacol</w:t>
      </w:r>
      <w:proofErr w:type="spellEnd"/>
      <w:r w:rsidR="00A01843" w:rsidRPr="004A6510">
        <w:rPr>
          <w:rFonts w:ascii="Arial" w:eastAsia="Cambria" w:hAnsi="Arial" w:cs="Arial"/>
          <w:sz w:val="24"/>
          <w:szCs w:val="24"/>
        </w:rPr>
        <w:t xml:space="preserve"> </w:t>
      </w:r>
      <w:proofErr w:type="spellStart"/>
      <w:r w:rsidR="00A01843" w:rsidRPr="004A6510">
        <w:rPr>
          <w:rFonts w:ascii="Arial" w:hAnsi="Arial" w:cs="Arial"/>
          <w:sz w:val="24"/>
          <w:szCs w:val="24"/>
        </w:rPr>
        <w:t>Ther</w:t>
      </w:r>
      <w:proofErr w:type="spellEnd"/>
      <w:r w:rsidR="00A01843" w:rsidRPr="004A6510">
        <w:rPr>
          <w:rFonts w:ascii="Arial" w:eastAsia="Cambria" w:hAnsi="Arial" w:cs="Arial"/>
          <w:sz w:val="24"/>
          <w:szCs w:val="24"/>
        </w:rPr>
        <w:t xml:space="preserve"> </w:t>
      </w:r>
      <w:r w:rsidR="00A01843" w:rsidRPr="004A6510">
        <w:rPr>
          <w:rFonts w:ascii="Arial" w:hAnsi="Arial" w:cs="Arial"/>
          <w:sz w:val="24"/>
          <w:szCs w:val="24"/>
        </w:rPr>
        <w:t>1981;</w:t>
      </w:r>
      <w:r w:rsidR="00A01843" w:rsidRPr="004A6510">
        <w:rPr>
          <w:rFonts w:ascii="Arial" w:eastAsia="Cambria" w:hAnsi="Arial" w:cs="Arial"/>
          <w:sz w:val="24"/>
          <w:szCs w:val="24"/>
        </w:rPr>
        <w:t xml:space="preserve"> </w:t>
      </w:r>
      <w:r w:rsidR="00A01843" w:rsidRPr="004A6510">
        <w:rPr>
          <w:rFonts w:ascii="Arial" w:hAnsi="Arial" w:cs="Arial"/>
          <w:sz w:val="24"/>
          <w:szCs w:val="24"/>
        </w:rPr>
        <w:t>30:</w:t>
      </w:r>
      <w:r w:rsidR="00A01843" w:rsidRPr="004A6510">
        <w:rPr>
          <w:rFonts w:ascii="Arial" w:eastAsia="Cambria" w:hAnsi="Arial" w:cs="Arial"/>
          <w:sz w:val="24"/>
          <w:szCs w:val="24"/>
        </w:rPr>
        <w:t xml:space="preserve"> </w:t>
      </w:r>
      <w:r w:rsidR="00A01843" w:rsidRPr="004A6510">
        <w:rPr>
          <w:rFonts w:ascii="Arial" w:hAnsi="Arial" w:cs="Arial"/>
          <w:sz w:val="24"/>
          <w:szCs w:val="24"/>
        </w:rPr>
        <w:t>239</w:t>
      </w:r>
      <w:r w:rsidR="00A01843" w:rsidRPr="004A6510">
        <w:rPr>
          <w:rFonts w:ascii="Arial" w:eastAsia="Cambria" w:hAnsi="Arial" w:cs="Arial"/>
          <w:sz w:val="24"/>
          <w:szCs w:val="24"/>
        </w:rPr>
        <w:t>­</w:t>
      </w:r>
      <w:r w:rsidR="00A01843" w:rsidRPr="004A6510">
        <w:rPr>
          <w:rFonts w:ascii="Arial" w:hAnsi="Arial" w:cs="Arial"/>
          <w:sz w:val="24"/>
          <w:szCs w:val="24"/>
        </w:rPr>
        <w:t>245.</w:t>
      </w:r>
      <w:r w:rsidR="00A01843" w:rsidRPr="004A6510">
        <w:rPr>
          <w:rFonts w:ascii="Arial" w:eastAsia="Cambria" w:hAnsi="Arial" w:cs="Arial"/>
          <w:sz w:val="24"/>
          <w:szCs w:val="24"/>
        </w:rPr>
        <w:t xml:space="preserve"> </w:t>
      </w:r>
    </w:p>
    <w:p w14:paraId="51E25DF2" w14:textId="538D1D9A"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t>This case contributes to the limited but growing evidence showing cephalosporin-induced CHV, particularly caused by cefixime.</w:t>
      </w:r>
      <w:r w:rsidR="00C072C2">
        <w:rPr>
          <w:rFonts w:ascii="Arial" w:hAnsi="Arial" w:cs="Arial"/>
          <w:sz w:val="24"/>
          <w:szCs w:val="24"/>
        </w:rPr>
        <w:t xml:space="preserve"> It also</w:t>
      </w:r>
      <w:r w:rsidR="00C072C2" w:rsidRPr="00C072C2">
        <w:rPr>
          <w:rFonts w:ascii="Arial" w:hAnsi="Arial" w:cs="Arial"/>
          <w:sz w:val="24"/>
          <w:szCs w:val="24"/>
        </w:rPr>
        <w:t xml:space="preserve"> underscores that cefixime-induced CHV can occur even in patients without prior allergy history</w:t>
      </w:r>
      <w:r w:rsidR="00C072C2">
        <w:rPr>
          <w:rFonts w:ascii="Arial" w:hAnsi="Arial" w:cs="Arial"/>
          <w:sz w:val="24"/>
          <w:szCs w:val="24"/>
        </w:rPr>
        <w:t>. Therefore, obtaining detailed medical history,</w:t>
      </w:r>
      <w:r w:rsidR="00C072C2" w:rsidRPr="004A6510">
        <w:rPr>
          <w:rFonts w:ascii="Arial" w:hAnsi="Arial" w:cs="Arial"/>
          <w:sz w:val="24"/>
          <w:szCs w:val="24"/>
        </w:rPr>
        <w:t xml:space="preserve"> </w:t>
      </w:r>
      <w:r w:rsidR="00C072C2">
        <w:rPr>
          <w:rFonts w:ascii="Arial" w:hAnsi="Arial" w:cs="Arial"/>
          <w:sz w:val="24"/>
          <w:szCs w:val="24"/>
        </w:rPr>
        <w:t>e</w:t>
      </w:r>
      <w:r w:rsidRPr="004A6510">
        <w:rPr>
          <w:rFonts w:ascii="Arial" w:hAnsi="Arial" w:cs="Arial"/>
          <w:sz w:val="24"/>
          <w:szCs w:val="24"/>
        </w:rPr>
        <w:t>arly recognition and withdrawal of the offending drug</w:t>
      </w:r>
      <w:r w:rsidR="00C072C2">
        <w:rPr>
          <w:rFonts w:ascii="Arial" w:hAnsi="Arial" w:cs="Arial"/>
          <w:sz w:val="24"/>
          <w:szCs w:val="24"/>
        </w:rPr>
        <w:t xml:space="preserve">, </w:t>
      </w:r>
      <w:r w:rsidRPr="004A6510">
        <w:rPr>
          <w:rFonts w:ascii="Arial" w:hAnsi="Arial" w:cs="Arial"/>
          <w:sz w:val="24"/>
          <w:szCs w:val="24"/>
        </w:rPr>
        <w:t xml:space="preserve">are critical to prevent progression and complications. As demonstrated by this patient's </w:t>
      </w:r>
      <w:proofErr w:type="spellStart"/>
      <w:r w:rsidRPr="004A6510">
        <w:rPr>
          <w:rFonts w:ascii="Arial" w:hAnsi="Arial" w:cs="Arial"/>
          <w:sz w:val="24"/>
          <w:szCs w:val="24"/>
        </w:rPr>
        <w:t>favorable</w:t>
      </w:r>
      <w:proofErr w:type="spellEnd"/>
      <w:r w:rsidRPr="004A6510">
        <w:rPr>
          <w:rFonts w:ascii="Arial" w:hAnsi="Arial" w:cs="Arial"/>
          <w:sz w:val="24"/>
          <w:szCs w:val="24"/>
        </w:rPr>
        <w:t xml:space="preserve"> outcome, supportive treatment and corticosteroids are usually prescribed in these situations.</w:t>
      </w:r>
    </w:p>
    <w:p w14:paraId="743AF31D" w14:textId="18B88A79" w:rsidR="00E2151A" w:rsidRPr="004A6510" w:rsidRDefault="00195533" w:rsidP="00195533">
      <w:pPr>
        <w:spacing w:line="240" w:lineRule="auto"/>
        <w:jc w:val="both"/>
        <w:rPr>
          <w:rFonts w:ascii="Arial" w:hAnsi="Arial" w:cs="Arial"/>
          <w:b/>
          <w:bCs/>
          <w:sz w:val="24"/>
          <w:szCs w:val="24"/>
        </w:rPr>
      </w:pPr>
      <w:r w:rsidRPr="004A6510">
        <w:rPr>
          <w:rFonts w:ascii="Arial" w:hAnsi="Arial" w:cs="Arial"/>
          <w:b/>
          <w:bCs/>
          <w:sz w:val="24"/>
          <w:szCs w:val="24"/>
        </w:rPr>
        <w:t>4.</w:t>
      </w:r>
      <w:r w:rsidR="00330EF3">
        <w:rPr>
          <w:rFonts w:ascii="Arial" w:hAnsi="Arial" w:cs="Arial"/>
          <w:b/>
          <w:bCs/>
          <w:sz w:val="24"/>
          <w:szCs w:val="24"/>
        </w:rPr>
        <w:t xml:space="preserve"> </w:t>
      </w:r>
      <w:r w:rsidRPr="004A6510">
        <w:rPr>
          <w:rFonts w:ascii="Arial" w:hAnsi="Arial" w:cs="Arial"/>
          <w:b/>
          <w:bCs/>
          <w:sz w:val="24"/>
          <w:szCs w:val="24"/>
        </w:rPr>
        <w:t>CONCLUSION</w:t>
      </w:r>
    </w:p>
    <w:p w14:paraId="148D9673" w14:textId="7BF43B67" w:rsidR="00E2151A" w:rsidRPr="004A6510" w:rsidRDefault="00E2151A" w:rsidP="00E2151A">
      <w:pPr>
        <w:spacing w:line="240" w:lineRule="auto"/>
        <w:jc w:val="both"/>
        <w:rPr>
          <w:rFonts w:ascii="Arial" w:hAnsi="Arial" w:cs="Arial"/>
          <w:sz w:val="24"/>
          <w:szCs w:val="24"/>
        </w:rPr>
      </w:pPr>
      <w:r w:rsidRPr="004A6510">
        <w:rPr>
          <w:rFonts w:ascii="Arial" w:hAnsi="Arial" w:cs="Arial"/>
          <w:sz w:val="24"/>
          <w:szCs w:val="24"/>
        </w:rPr>
        <w:t>Cutaneous Hypersensitivity Vasculitis is a rare but important adverse reaction to cephalosporins like cefixime. Early recognition, withdrawal of the offending drug, and corticosteroid treatment can lead to rapid clinical improvement and prevent complications. Pharmacovigilance and clinical judgment are necessary in such situations. Awareness of such drug reactions is essential for early diagnosis and effective patient care.</w:t>
      </w:r>
      <w:r w:rsidR="007A4693">
        <w:rPr>
          <w:rFonts w:ascii="Arial" w:hAnsi="Arial" w:cs="Arial"/>
          <w:sz w:val="24"/>
          <w:szCs w:val="24"/>
        </w:rPr>
        <w:t xml:space="preserve"> Further case series and larger epidemiologic studies are needed for confirmation.</w:t>
      </w:r>
    </w:p>
    <w:p w14:paraId="12B4ED4D" w14:textId="77777777" w:rsidR="00FF2142" w:rsidRDefault="009845EA" w:rsidP="00D861A0">
      <w:pPr>
        <w:spacing w:line="240" w:lineRule="auto"/>
        <w:jc w:val="both"/>
        <w:rPr>
          <w:rFonts w:ascii="Arial" w:hAnsi="Arial" w:cs="Arial"/>
          <w:b/>
          <w:bCs/>
          <w:sz w:val="24"/>
          <w:szCs w:val="24"/>
        </w:rPr>
      </w:pPr>
      <w:r w:rsidRPr="004A6510">
        <w:rPr>
          <w:rFonts w:ascii="Arial" w:hAnsi="Arial" w:cs="Arial"/>
          <w:b/>
          <w:bCs/>
          <w:sz w:val="24"/>
          <w:szCs w:val="24"/>
        </w:rPr>
        <w:t>DISCLAIMER (ARTIFICIAL INTELLIGENCE)</w:t>
      </w:r>
      <w:r w:rsidR="001F5E1B" w:rsidRPr="004A6510">
        <w:rPr>
          <w:rFonts w:ascii="Arial" w:hAnsi="Arial" w:cs="Arial"/>
          <w:b/>
          <w:bCs/>
          <w:sz w:val="24"/>
          <w:szCs w:val="24"/>
        </w:rPr>
        <w:t xml:space="preserve">: </w:t>
      </w:r>
    </w:p>
    <w:p w14:paraId="5561252E" w14:textId="6180511F" w:rsidR="001F5E1B" w:rsidRPr="004A6510" w:rsidRDefault="001F5E1B" w:rsidP="00D861A0">
      <w:pPr>
        <w:spacing w:line="240" w:lineRule="auto"/>
        <w:jc w:val="both"/>
        <w:rPr>
          <w:rFonts w:ascii="Arial" w:hAnsi="Arial" w:cs="Arial"/>
          <w:sz w:val="24"/>
          <w:szCs w:val="24"/>
        </w:rPr>
      </w:pPr>
      <w:r w:rsidRPr="004A6510">
        <w:rPr>
          <w:rFonts w:ascii="Arial" w:hAnsi="Arial" w:cs="Arial"/>
          <w:sz w:val="24"/>
          <w:szCs w:val="24"/>
        </w:rPr>
        <w:t>Authors hereby declare that any use of AI assistance was limited to language editing and authors retain full responsibility for the accuracy and integrity of the manuscript.</w:t>
      </w:r>
    </w:p>
    <w:p w14:paraId="25FDBD8A" w14:textId="77777777" w:rsidR="00FF2142" w:rsidRDefault="009845EA" w:rsidP="00B82719">
      <w:pPr>
        <w:jc w:val="both"/>
        <w:rPr>
          <w:rFonts w:ascii="Arial" w:hAnsi="Arial" w:cs="Arial"/>
          <w:sz w:val="24"/>
          <w:szCs w:val="24"/>
        </w:rPr>
      </w:pPr>
      <w:r w:rsidRPr="004A6510">
        <w:rPr>
          <w:rFonts w:ascii="Arial" w:hAnsi="Arial" w:cs="Arial"/>
          <w:b/>
          <w:bCs/>
          <w:sz w:val="24"/>
          <w:szCs w:val="24"/>
        </w:rPr>
        <w:t>CONSENT:</w:t>
      </w:r>
      <w:r w:rsidR="00B82719" w:rsidRPr="004A6510">
        <w:rPr>
          <w:rFonts w:ascii="Arial" w:hAnsi="Arial" w:cs="Arial"/>
          <w:sz w:val="24"/>
          <w:szCs w:val="24"/>
        </w:rPr>
        <w:t xml:space="preserve"> </w:t>
      </w:r>
    </w:p>
    <w:p w14:paraId="50ED206B" w14:textId="4200710C" w:rsidR="00B82719" w:rsidRPr="004A6510" w:rsidRDefault="00075667" w:rsidP="00B82719">
      <w:pPr>
        <w:jc w:val="both"/>
        <w:rPr>
          <w:rFonts w:ascii="Arial" w:hAnsi="Arial" w:cs="Arial"/>
          <w:sz w:val="24"/>
          <w:szCs w:val="24"/>
        </w:rPr>
      </w:pPr>
      <w:r w:rsidRPr="004A6510">
        <w:rPr>
          <w:rFonts w:ascii="Arial" w:hAnsi="Arial" w:cs="Arial"/>
          <w:sz w:val="24"/>
          <w:szCs w:val="24"/>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14:paraId="613F18BB" w14:textId="4CA49BF8" w:rsidR="00630194" w:rsidRDefault="00630194" w:rsidP="00B82719">
      <w:pPr>
        <w:jc w:val="both"/>
        <w:rPr>
          <w:rFonts w:ascii="Arial" w:hAnsi="Arial" w:cs="Arial"/>
          <w:sz w:val="24"/>
          <w:szCs w:val="24"/>
        </w:rPr>
      </w:pPr>
    </w:p>
    <w:p w14:paraId="6200515C" w14:textId="77777777" w:rsidR="00630194" w:rsidRPr="004A6510" w:rsidRDefault="00630194" w:rsidP="00B82719">
      <w:pPr>
        <w:jc w:val="both"/>
        <w:rPr>
          <w:rFonts w:ascii="Arial" w:hAnsi="Arial" w:cs="Arial"/>
          <w:sz w:val="24"/>
          <w:szCs w:val="24"/>
        </w:rPr>
      </w:pPr>
    </w:p>
    <w:p w14:paraId="6B9843B9" w14:textId="2A20365E" w:rsidR="00A32B9B" w:rsidRPr="004A6510" w:rsidRDefault="009845EA" w:rsidP="00E85A72">
      <w:pPr>
        <w:spacing w:line="240" w:lineRule="auto"/>
        <w:rPr>
          <w:rFonts w:ascii="Arial" w:hAnsi="Arial" w:cs="Arial"/>
          <w:b/>
          <w:sz w:val="24"/>
          <w:szCs w:val="24"/>
        </w:rPr>
      </w:pPr>
      <w:r w:rsidRPr="004A6510">
        <w:rPr>
          <w:rFonts w:ascii="Arial" w:hAnsi="Arial" w:cs="Arial"/>
          <w:b/>
          <w:sz w:val="24"/>
          <w:szCs w:val="24"/>
        </w:rPr>
        <w:t xml:space="preserve">REFERENCES </w:t>
      </w:r>
    </w:p>
    <w:p w14:paraId="0711FBD8" w14:textId="57F74DAE" w:rsidR="008B66DB" w:rsidRDefault="008B66DB" w:rsidP="00E85A72">
      <w:pPr>
        <w:pStyle w:val="ListParagraph"/>
        <w:numPr>
          <w:ilvl w:val="0"/>
          <w:numId w:val="2"/>
        </w:numPr>
        <w:spacing w:line="240" w:lineRule="auto"/>
        <w:jc w:val="both"/>
        <w:rPr>
          <w:rFonts w:ascii="Arial" w:hAnsi="Arial" w:cs="Arial"/>
          <w:color w:val="1B1B1B"/>
          <w:sz w:val="24"/>
          <w:szCs w:val="24"/>
          <w:shd w:val="clear" w:color="auto" w:fill="FFFFFF"/>
        </w:rPr>
      </w:pPr>
      <w:proofErr w:type="spellStart"/>
      <w:r w:rsidRPr="008B66DB">
        <w:rPr>
          <w:rFonts w:ascii="Arial" w:hAnsi="Arial" w:cs="Arial"/>
          <w:color w:val="1B1B1B"/>
          <w:sz w:val="24"/>
          <w:szCs w:val="24"/>
          <w:shd w:val="clear" w:color="auto" w:fill="FFFFFF"/>
        </w:rPr>
        <w:t>Alpsoy</w:t>
      </w:r>
      <w:proofErr w:type="spellEnd"/>
      <w:r w:rsidRPr="008B66DB">
        <w:rPr>
          <w:rFonts w:ascii="Arial" w:hAnsi="Arial" w:cs="Arial"/>
          <w:color w:val="1B1B1B"/>
          <w:sz w:val="24"/>
          <w:szCs w:val="24"/>
          <w:shd w:val="clear" w:color="auto" w:fill="FFFFFF"/>
        </w:rPr>
        <w:t xml:space="preserve"> E. Cutaneous vasculitis: an algorithmic approach to diagnosis. Front Med (Lausanne). 2022;</w:t>
      </w:r>
      <w:r>
        <w:rPr>
          <w:rFonts w:ascii="Arial" w:hAnsi="Arial" w:cs="Arial"/>
          <w:color w:val="1B1B1B"/>
          <w:sz w:val="24"/>
          <w:szCs w:val="24"/>
          <w:shd w:val="clear" w:color="auto" w:fill="FFFFFF"/>
        </w:rPr>
        <w:t xml:space="preserve"> </w:t>
      </w:r>
      <w:r w:rsidRPr="008B66DB">
        <w:rPr>
          <w:rFonts w:ascii="Arial" w:hAnsi="Arial" w:cs="Arial"/>
          <w:color w:val="1B1B1B"/>
          <w:sz w:val="24"/>
          <w:szCs w:val="24"/>
          <w:shd w:val="clear" w:color="auto" w:fill="FFFFFF"/>
        </w:rPr>
        <w:t>9:1012554. doi:10.3389/fmed.2022.1012554.</w:t>
      </w:r>
    </w:p>
    <w:p w14:paraId="3A3DBEC0" w14:textId="77777777" w:rsidR="008B66DB" w:rsidRPr="008B66DB" w:rsidRDefault="008B66DB" w:rsidP="008B66DB">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r w:rsidRPr="008B66DB">
        <w:rPr>
          <w:rFonts w:ascii="Arial" w:hAnsi="Arial" w:cs="Arial"/>
          <w:color w:val="1B1B1B"/>
          <w:sz w:val="24"/>
          <w:szCs w:val="24"/>
          <w:shd w:val="clear" w:color="auto" w:fill="FFFFFF"/>
        </w:rPr>
        <w:t xml:space="preserve">Tang W, Tan J. Cephalexin-induced </w:t>
      </w:r>
      <w:proofErr w:type="spellStart"/>
      <w:r w:rsidRPr="008B66DB">
        <w:rPr>
          <w:rFonts w:ascii="Arial" w:hAnsi="Arial" w:cs="Arial"/>
          <w:color w:val="1B1B1B"/>
          <w:sz w:val="24"/>
          <w:szCs w:val="24"/>
          <w:shd w:val="clear" w:color="auto" w:fill="FFFFFF"/>
        </w:rPr>
        <w:t>leukocytoclastic</w:t>
      </w:r>
      <w:proofErr w:type="spellEnd"/>
      <w:r w:rsidRPr="008B66DB">
        <w:rPr>
          <w:rFonts w:ascii="Arial" w:hAnsi="Arial" w:cs="Arial"/>
          <w:color w:val="1B1B1B"/>
          <w:sz w:val="24"/>
          <w:szCs w:val="24"/>
          <w:shd w:val="clear" w:color="auto" w:fill="FFFFFF"/>
        </w:rPr>
        <w:t xml:space="preserve"> vasculitis. </w:t>
      </w:r>
      <w:proofErr w:type="spellStart"/>
      <w:r w:rsidRPr="008B66DB">
        <w:rPr>
          <w:rFonts w:ascii="Arial" w:hAnsi="Arial" w:cs="Arial"/>
          <w:color w:val="1B1B1B"/>
          <w:sz w:val="24"/>
          <w:szCs w:val="24"/>
          <w:shd w:val="clear" w:color="auto" w:fill="FFFFFF"/>
        </w:rPr>
        <w:t>Cureus</w:t>
      </w:r>
      <w:proofErr w:type="spellEnd"/>
      <w:r w:rsidRPr="008B66DB">
        <w:rPr>
          <w:rFonts w:ascii="Arial" w:hAnsi="Arial" w:cs="Arial"/>
          <w:color w:val="1B1B1B"/>
          <w:sz w:val="24"/>
          <w:szCs w:val="24"/>
          <w:shd w:val="clear" w:color="auto" w:fill="FFFFFF"/>
        </w:rPr>
        <w:t>. 2022;14(7</w:t>
      </w:r>
      <w:proofErr w:type="gramStart"/>
      <w:r w:rsidRPr="008B66DB">
        <w:rPr>
          <w:rFonts w:ascii="Arial" w:hAnsi="Arial" w:cs="Arial"/>
          <w:color w:val="1B1B1B"/>
          <w:sz w:val="24"/>
          <w:szCs w:val="24"/>
          <w:shd w:val="clear" w:color="auto" w:fill="FFFFFF"/>
        </w:rPr>
        <w:t>):e</w:t>
      </w:r>
      <w:proofErr w:type="gramEnd"/>
      <w:r w:rsidRPr="008B66DB">
        <w:rPr>
          <w:rFonts w:ascii="Arial" w:hAnsi="Arial" w:cs="Arial"/>
          <w:color w:val="1B1B1B"/>
          <w:sz w:val="24"/>
          <w:szCs w:val="24"/>
          <w:shd w:val="clear" w:color="auto" w:fill="FFFFFF"/>
        </w:rPr>
        <w:t>26545. doi:10.7759/cureus.26545.</w:t>
      </w:r>
    </w:p>
    <w:p w14:paraId="641CFA14" w14:textId="54DDBEC4" w:rsidR="008B66DB" w:rsidRPr="00C03120" w:rsidRDefault="008B66DB" w:rsidP="008B66DB">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proofErr w:type="spellStart"/>
      <w:r w:rsidRPr="00026514">
        <w:rPr>
          <w:rFonts w:ascii="Arial" w:hAnsi="Arial" w:cs="Arial"/>
          <w:color w:val="212121"/>
          <w:sz w:val="24"/>
          <w:szCs w:val="24"/>
          <w:shd w:val="clear" w:color="auto" w:fill="FFFFFF"/>
        </w:rPr>
        <w:t>Almasoudi</w:t>
      </w:r>
      <w:proofErr w:type="spellEnd"/>
      <w:r w:rsidRPr="00026514">
        <w:rPr>
          <w:rFonts w:ascii="Arial" w:hAnsi="Arial" w:cs="Arial"/>
          <w:color w:val="212121"/>
          <w:sz w:val="24"/>
          <w:szCs w:val="24"/>
          <w:shd w:val="clear" w:color="auto" w:fill="FFFFFF"/>
        </w:rPr>
        <w:t xml:space="preserve"> AA, </w:t>
      </w:r>
      <w:proofErr w:type="spellStart"/>
      <w:r w:rsidRPr="00026514">
        <w:rPr>
          <w:rFonts w:ascii="Arial" w:hAnsi="Arial" w:cs="Arial"/>
          <w:color w:val="212121"/>
          <w:sz w:val="24"/>
          <w:szCs w:val="24"/>
          <w:shd w:val="clear" w:color="auto" w:fill="FFFFFF"/>
        </w:rPr>
        <w:t>Bablghaith</w:t>
      </w:r>
      <w:proofErr w:type="spellEnd"/>
      <w:r w:rsidRPr="00026514">
        <w:rPr>
          <w:rFonts w:ascii="Arial" w:hAnsi="Arial" w:cs="Arial"/>
          <w:color w:val="212121"/>
          <w:sz w:val="24"/>
          <w:szCs w:val="24"/>
          <w:shd w:val="clear" w:color="auto" w:fill="FFFFFF"/>
        </w:rPr>
        <w:t xml:space="preserve"> ES, </w:t>
      </w:r>
      <w:proofErr w:type="spellStart"/>
      <w:r w:rsidRPr="00026514">
        <w:rPr>
          <w:rFonts w:ascii="Arial" w:hAnsi="Arial" w:cs="Arial"/>
          <w:color w:val="212121"/>
          <w:sz w:val="24"/>
          <w:szCs w:val="24"/>
          <w:shd w:val="clear" w:color="auto" w:fill="FFFFFF"/>
        </w:rPr>
        <w:t>Alaauldeen</w:t>
      </w:r>
      <w:proofErr w:type="spellEnd"/>
      <w:r w:rsidRPr="00026514">
        <w:rPr>
          <w:rFonts w:ascii="Arial" w:hAnsi="Arial" w:cs="Arial"/>
          <w:color w:val="212121"/>
          <w:sz w:val="24"/>
          <w:szCs w:val="24"/>
          <w:shd w:val="clear" w:color="auto" w:fill="FFFFFF"/>
        </w:rPr>
        <w:t xml:space="preserve"> SI, </w:t>
      </w:r>
      <w:proofErr w:type="spellStart"/>
      <w:r w:rsidRPr="00026514">
        <w:rPr>
          <w:rFonts w:ascii="Arial" w:hAnsi="Arial" w:cs="Arial"/>
          <w:color w:val="212121"/>
          <w:sz w:val="24"/>
          <w:szCs w:val="24"/>
          <w:shd w:val="clear" w:color="auto" w:fill="FFFFFF"/>
        </w:rPr>
        <w:t>Falemban</w:t>
      </w:r>
      <w:proofErr w:type="spellEnd"/>
      <w:r w:rsidRPr="00026514">
        <w:rPr>
          <w:rFonts w:ascii="Arial" w:hAnsi="Arial" w:cs="Arial"/>
          <w:color w:val="212121"/>
          <w:sz w:val="24"/>
          <w:szCs w:val="24"/>
          <w:shd w:val="clear" w:color="auto" w:fill="FFFFFF"/>
        </w:rPr>
        <w:t xml:space="preserve"> AM, </w:t>
      </w:r>
      <w:proofErr w:type="spellStart"/>
      <w:r w:rsidRPr="00026514">
        <w:rPr>
          <w:rFonts w:ascii="Arial" w:hAnsi="Arial" w:cs="Arial"/>
          <w:color w:val="212121"/>
          <w:sz w:val="24"/>
          <w:szCs w:val="24"/>
          <w:shd w:val="clear" w:color="auto" w:fill="FFFFFF"/>
        </w:rPr>
        <w:t>Sherbeeni</w:t>
      </w:r>
      <w:proofErr w:type="spellEnd"/>
      <w:r w:rsidRPr="00026514">
        <w:rPr>
          <w:rFonts w:ascii="Arial" w:hAnsi="Arial" w:cs="Arial"/>
          <w:color w:val="212121"/>
          <w:sz w:val="24"/>
          <w:szCs w:val="24"/>
          <w:shd w:val="clear" w:color="auto" w:fill="FFFFFF"/>
        </w:rPr>
        <w:t xml:space="preserve"> AA, </w:t>
      </w:r>
      <w:proofErr w:type="spellStart"/>
      <w:r w:rsidRPr="00026514">
        <w:rPr>
          <w:rFonts w:ascii="Arial" w:hAnsi="Arial" w:cs="Arial"/>
          <w:color w:val="212121"/>
          <w:sz w:val="24"/>
          <w:szCs w:val="24"/>
          <w:shd w:val="clear" w:color="auto" w:fill="FFFFFF"/>
        </w:rPr>
        <w:t>Bulkhi</w:t>
      </w:r>
      <w:proofErr w:type="spellEnd"/>
      <w:r w:rsidRPr="00026514">
        <w:rPr>
          <w:rFonts w:ascii="Arial" w:hAnsi="Arial" w:cs="Arial"/>
          <w:color w:val="212121"/>
          <w:sz w:val="24"/>
          <w:szCs w:val="24"/>
          <w:shd w:val="clear" w:color="auto" w:fill="FFFFFF"/>
        </w:rPr>
        <w:t xml:space="preserve"> AA. Ceftriaxone-induced </w:t>
      </w:r>
      <w:proofErr w:type="spellStart"/>
      <w:r w:rsidRPr="00026514">
        <w:rPr>
          <w:rFonts w:ascii="Arial" w:hAnsi="Arial" w:cs="Arial"/>
          <w:color w:val="212121"/>
          <w:sz w:val="24"/>
          <w:szCs w:val="24"/>
          <w:shd w:val="clear" w:color="auto" w:fill="FFFFFF"/>
        </w:rPr>
        <w:t>leukocytoclastic</w:t>
      </w:r>
      <w:proofErr w:type="spellEnd"/>
      <w:r w:rsidRPr="00026514">
        <w:rPr>
          <w:rFonts w:ascii="Arial" w:hAnsi="Arial" w:cs="Arial"/>
          <w:color w:val="212121"/>
          <w:sz w:val="24"/>
          <w:szCs w:val="24"/>
          <w:shd w:val="clear" w:color="auto" w:fill="FFFFFF"/>
        </w:rPr>
        <w:t xml:space="preserve"> vasculitis: a case report and </w:t>
      </w:r>
      <w:r w:rsidRPr="00026514">
        <w:rPr>
          <w:rFonts w:ascii="Arial" w:hAnsi="Arial" w:cs="Arial"/>
          <w:color w:val="212121"/>
          <w:sz w:val="24"/>
          <w:szCs w:val="24"/>
          <w:shd w:val="clear" w:color="auto" w:fill="FFFFFF"/>
        </w:rPr>
        <w:lastRenderedPageBreak/>
        <w:t xml:space="preserve">literature review of antibiotic-induced </w:t>
      </w:r>
      <w:proofErr w:type="spellStart"/>
      <w:r w:rsidRPr="00026514">
        <w:rPr>
          <w:rFonts w:ascii="Arial" w:hAnsi="Arial" w:cs="Arial"/>
          <w:color w:val="212121"/>
          <w:sz w:val="24"/>
          <w:szCs w:val="24"/>
          <w:shd w:val="clear" w:color="auto" w:fill="FFFFFF"/>
        </w:rPr>
        <w:t>leukocytoclastic</w:t>
      </w:r>
      <w:proofErr w:type="spellEnd"/>
      <w:r w:rsidRPr="00026514">
        <w:rPr>
          <w:rFonts w:ascii="Arial" w:hAnsi="Arial" w:cs="Arial"/>
          <w:color w:val="212121"/>
          <w:sz w:val="24"/>
          <w:szCs w:val="24"/>
          <w:shd w:val="clear" w:color="auto" w:fill="FFFFFF"/>
        </w:rPr>
        <w:t xml:space="preserve"> vasculitis. </w:t>
      </w:r>
      <w:r w:rsidRPr="00026514">
        <w:rPr>
          <w:rFonts w:ascii="Arial" w:hAnsi="Arial" w:cs="Arial"/>
          <w:i/>
          <w:iCs/>
          <w:color w:val="212121"/>
          <w:sz w:val="24"/>
          <w:szCs w:val="24"/>
          <w:shd w:val="clear" w:color="auto" w:fill="FFFFFF"/>
        </w:rPr>
        <w:t>J Int Med Res.</w:t>
      </w:r>
      <w:r w:rsidRPr="00026514">
        <w:rPr>
          <w:rFonts w:ascii="Arial" w:hAnsi="Arial" w:cs="Arial"/>
          <w:color w:val="212121"/>
          <w:sz w:val="24"/>
          <w:szCs w:val="24"/>
          <w:shd w:val="clear" w:color="auto" w:fill="FFFFFF"/>
        </w:rPr>
        <w:t xml:space="preserve"> 2022;50(5):3000605221097768. </w:t>
      </w:r>
      <w:proofErr w:type="spellStart"/>
      <w:r w:rsidR="00906CEA">
        <w:rPr>
          <w:rFonts w:ascii="Arial" w:hAnsi="Arial" w:cs="Arial"/>
          <w:color w:val="212121"/>
          <w:sz w:val="24"/>
          <w:szCs w:val="24"/>
          <w:shd w:val="clear" w:color="auto" w:fill="FFFFFF"/>
        </w:rPr>
        <w:t>doi</w:t>
      </w:r>
      <w:proofErr w:type="spellEnd"/>
      <w:r w:rsidR="00906CEA">
        <w:rPr>
          <w:rFonts w:ascii="Arial" w:hAnsi="Arial" w:cs="Arial"/>
          <w:color w:val="212121"/>
          <w:sz w:val="24"/>
          <w:szCs w:val="24"/>
          <w:shd w:val="clear" w:color="auto" w:fill="FFFFFF"/>
        </w:rPr>
        <w:t xml:space="preserve">: </w:t>
      </w:r>
      <w:r w:rsidRPr="00026514">
        <w:rPr>
          <w:rFonts w:ascii="Arial" w:hAnsi="Arial" w:cs="Arial"/>
          <w:color w:val="212121"/>
          <w:sz w:val="24"/>
          <w:szCs w:val="24"/>
          <w:shd w:val="clear" w:color="auto" w:fill="FFFFFF"/>
        </w:rPr>
        <w:t>10.1177/03000605221097768</w:t>
      </w:r>
    </w:p>
    <w:p w14:paraId="54A866B2" w14:textId="77777777" w:rsidR="00906CEA" w:rsidRPr="00B124A6" w:rsidRDefault="00906CEA"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906CEA">
        <w:rPr>
          <w:rFonts w:ascii="Arial" w:hAnsi="Arial" w:cs="Arial"/>
          <w:sz w:val="24"/>
          <w:szCs w:val="24"/>
          <w:shd w:val="clear" w:color="auto" w:fill="FFFFFF"/>
        </w:rPr>
        <w:t xml:space="preserve">Kumar J, Prakash M. Hydrochlorothiazide-induced cutaneous vasculitis: a case report. </w:t>
      </w:r>
      <w:r w:rsidRPr="00906CEA">
        <w:rPr>
          <w:rFonts w:ascii="Arial" w:hAnsi="Arial" w:cs="Arial"/>
          <w:i/>
          <w:iCs/>
          <w:sz w:val="24"/>
          <w:szCs w:val="24"/>
          <w:shd w:val="clear" w:color="auto" w:fill="FFFFFF"/>
        </w:rPr>
        <w:t>South East Eur J Public Health.</w:t>
      </w:r>
      <w:r w:rsidRPr="00906CEA">
        <w:rPr>
          <w:rFonts w:ascii="Arial" w:hAnsi="Arial" w:cs="Arial"/>
          <w:sz w:val="24"/>
          <w:szCs w:val="24"/>
          <w:shd w:val="clear" w:color="auto" w:fill="FFFFFF"/>
        </w:rPr>
        <w:t xml:space="preserve"> 2025:2077–2079. doi:10.70135/seejph.vi.5426.</w:t>
      </w:r>
    </w:p>
    <w:p w14:paraId="399B82EC" w14:textId="4E73AE27" w:rsidR="00B124A6" w:rsidRDefault="00B124A6" w:rsidP="00E85A72">
      <w:pPr>
        <w:pStyle w:val="ListParagraph"/>
        <w:numPr>
          <w:ilvl w:val="0"/>
          <w:numId w:val="2"/>
        </w:numPr>
        <w:spacing w:line="240" w:lineRule="auto"/>
        <w:jc w:val="both"/>
        <w:rPr>
          <w:rFonts w:ascii="Arial" w:hAnsi="Arial" w:cs="Arial"/>
          <w:color w:val="1B1B1B"/>
          <w:sz w:val="24"/>
          <w:szCs w:val="24"/>
          <w:shd w:val="clear" w:color="auto" w:fill="FFFFFF"/>
        </w:rPr>
      </w:pPr>
      <w:proofErr w:type="spellStart"/>
      <w:r w:rsidRPr="00B124A6">
        <w:rPr>
          <w:rFonts w:ascii="Arial" w:hAnsi="Arial" w:cs="Arial"/>
          <w:color w:val="1B1B1B"/>
          <w:sz w:val="24"/>
          <w:szCs w:val="24"/>
          <w:shd w:val="clear" w:color="auto" w:fill="FFFFFF"/>
        </w:rPr>
        <w:t>Dhali</w:t>
      </w:r>
      <w:proofErr w:type="spellEnd"/>
      <w:r w:rsidRPr="00B124A6">
        <w:rPr>
          <w:rFonts w:ascii="Arial" w:hAnsi="Arial" w:cs="Arial"/>
          <w:color w:val="1B1B1B"/>
          <w:sz w:val="24"/>
          <w:szCs w:val="24"/>
          <w:shd w:val="clear" w:color="auto" w:fill="FFFFFF"/>
        </w:rPr>
        <w:t xml:space="preserve"> D, Halder U, </w:t>
      </w:r>
      <w:proofErr w:type="spellStart"/>
      <w:r w:rsidRPr="00B124A6">
        <w:rPr>
          <w:rFonts w:ascii="Arial" w:hAnsi="Arial" w:cs="Arial"/>
          <w:color w:val="1B1B1B"/>
          <w:sz w:val="24"/>
          <w:szCs w:val="24"/>
          <w:shd w:val="clear" w:color="auto" w:fill="FFFFFF"/>
        </w:rPr>
        <w:t>Santra</w:t>
      </w:r>
      <w:proofErr w:type="spellEnd"/>
      <w:r w:rsidRPr="00B124A6">
        <w:rPr>
          <w:rFonts w:ascii="Arial" w:hAnsi="Arial" w:cs="Arial"/>
          <w:color w:val="1B1B1B"/>
          <w:sz w:val="24"/>
          <w:szCs w:val="24"/>
          <w:shd w:val="clear" w:color="auto" w:fill="FFFFFF"/>
        </w:rPr>
        <w:t xml:space="preserve"> R, Biswas MC. Cefixime-induced Stevens-Johnson syndrome: a case report and review of literature. Int J </w:t>
      </w:r>
      <w:proofErr w:type="spellStart"/>
      <w:r w:rsidRPr="00B124A6">
        <w:rPr>
          <w:rFonts w:ascii="Arial" w:hAnsi="Arial" w:cs="Arial"/>
          <w:color w:val="1B1B1B"/>
          <w:sz w:val="24"/>
          <w:szCs w:val="24"/>
          <w:shd w:val="clear" w:color="auto" w:fill="FFFFFF"/>
        </w:rPr>
        <w:t>Contemp</w:t>
      </w:r>
      <w:proofErr w:type="spellEnd"/>
      <w:r w:rsidRPr="00B124A6">
        <w:rPr>
          <w:rFonts w:ascii="Arial" w:hAnsi="Arial" w:cs="Arial"/>
          <w:color w:val="1B1B1B"/>
          <w:sz w:val="24"/>
          <w:szCs w:val="24"/>
          <w:shd w:val="clear" w:color="auto" w:fill="FFFFFF"/>
        </w:rPr>
        <w:t xml:space="preserve"> Med Res. 2016;3(5):1426-1427.</w:t>
      </w:r>
      <w:r>
        <w:rPr>
          <w:rFonts w:ascii="Arial" w:hAnsi="Arial" w:cs="Arial"/>
          <w:color w:val="1B1B1B"/>
          <w:sz w:val="24"/>
          <w:szCs w:val="24"/>
          <w:shd w:val="clear" w:color="auto" w:fill="FFFFFF"/>
        </w:rPr>
        <w:t xml:space="preserve"> </w:t>
      </w:r>
    </w:p>
    <w:p w14:paraId="3B8831DB" w14:textId="4D903435" w:rsidR="004717B9" w:rsidRPr="00F6767E" w:rsidRDefault="004717B9"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4717B9">
        <w:rPr>
          <w:rFonts w:ascii="Arial" w:hAnsi="Arial" w:cs="Arial"/>
          <w:color w:val="1B1B1B"/>
          <w:sz w:val="24"/>
          <w:szCs w:val="24"/>
          <w:shd w:val="clear" w:color="auto" w:fill="FFFFFF"/>
        </w:rPr>
        <w:t xml:space="preserve">Shrestha AB, Shrestha S, Yadav PK, Adhikari L, Yadav A. Cefixime induced Steven Johnson syndrome: A case report from Bangladesh. </w:t>
      </w:r>
      <w:r w:rsidRPr="004717B9">
        <w:rPr>
          <w:rFonts w:ascii="Arial" w:hAnsi="Arial" w:cs="Arial"/>
          <w:i/>
          <w:iCs/>
          <w:color w:val="1B1B1B"/>
          <w:sz w:val="24"/>
          <w:szCs w:val="24"/>
          <w:shd w:val="clear" w:color="auto" w:fill="FFFFFF"/>
        </w:rPr>
        <w:t xml:space="preserve">Ann Med </w:t>
      </w:r>
      <w:proofErr w:type="spellStart"/>
      <w:r w:rsidRPr="004717B9">
        <w:rPr>
          <w:rFonts w:ascii="Arial" w:hAnsi="Arial" w:cs="Arial"/>
          <w:i/>
          <w:iCs/>
          <w:color w:val="1B1B1B"/>
          <w:sz w:val="24"/>
          <w:szCs w:val="24"/>
          <w:shd w:val="clear" w:color="auto" w:fill="FFFFFF"/>
        </w:rPr>
        <w:t>Surg</w:t>
      </w:r>
      <w:proofErr w:type="spellEnd"/>
      <w:r w:rsidRPr="004717B9">
        <w:rPr>
          <w:rFonts w:ascii="Arial" w:hAnsi="Arial" w:cs="Arial"/>
          <w:i/>
          <w:iCs/>
          <w:color w:val="1B1B1B"/>
          <w:sz w:val="24"/>
          <w:szCs w:val="24"/>
          <w:shd w:val="clear" w:color="auto" w:fill="FFFFFF"/>
        </w:rPr>
        <w:t xml:space="preserve"> (</w:t>
      </w:r>
      <w:proofErr w:type="spellStart"/>
      <w:r w:rsidRPr="004717B9">
        <w:rPr>
          <w:rFonts w:ascii="Arial" w:hAnsi="Arial" w:cs="Arial"/>
          <w:i/>
          <w:iCs/>
          <w:color w:val="1B1B1B"/>
          <w:sz w:val="24"/>
          <w:szCs w:val="24"/>
          <w:shd w:val="clear" w:color="auto" w:fill="FFFFFF"/>
        </w:rPr>
        <w:t>Lond</w:t>
      </w:r>
      <w:proofErr w:type="spellEnd"/>
      <w:r w:rsidRPr="004717B9">
        <w:rPr>
          <w:rFonts w:ascii="Arial" w:hAnsi="Arial" w:cs="Arial"/>
          <w:i/>
          <w:iCs/>
          <w:color w:val="1B1B1B"/>
          <w:sz w:val="24"/>
          <w:szCs w:val="24"/>
          <w:shd w:val="clear" w:color="auto" w:fill="FFFFFF"/>
        </w:rPr>
        <w:t>)</w:t>
      </w:r>
      <w:r w:rsidRPr="004717B9">
        <w:rPr>
          <w:rFonts w:ascii="Arial" w:hAnsi="Arial" w:cs="Arial"/>
          <w:color w:val="1B1B1B"/>
          <w:sz w:val="24"/>
          <w:szCs w:val="24"/>
          <w:shd w:val="clear" w:color="auto" w:fill="FFFFFF"/>
        </w:rPr>
        <w:t>. 2022;</w:t>
      </w:r>
      <w:r>
        <w:rPr>
          <w:rFonts w:ascii="Arial" w:hAnsi="Arial" w:cs="Arial"/>
          <w:color w:val="1B1B1B"/>
          <w:sz w:val="24"/>
          <w:szCs w:val="24"/>
          <w:shd w:val="clear" w:color="auto" w:fill="FFFFFF"/>
        </w:rPr>
        <w:t xml:space="preserve"> </w:t>
      </w:r>
      <w:r w:rsidRPr="004717B9">
        <w:rPr>
          <w:rFonts w:ascii="Arial" w:hAnsi="Arial" w:cs="Arial"/>
          <w:color w:val="1B1B1B"/>
          <w:sz w:val="24"/>
          <w:szCs w:val="24"/>
          <w:shd w:val="clear" w:color="auto" w:fill="FFFFFF"/>
        </w:rPr>
        <w:t xml:space="preserve">79:104089. </w:t>
      </w:r>
      <w:proofErr w:type="spellStart"/>
      <w:r w:rsidRPr="004717B9">
        <w:rPr>
          <w:rFonts w:ascii="Arial" w:hAnsi="Arial" w:cs="Arial"/>
          <w:color w:val="1B1B1B"/>
          <w:sz w:val="24"/>
          <w:szCs w:val="24"/>
          <w:shd w:val="clear" w:color="auto" w:fill="FFFFFF"/>
        </w:rPr>
        <w:t>doi</w:t>
      </w:r>
      <w:proofErr w:type="spellEnd"/>
      <w:r w:rsidRPr="004717B9">
        <w:rPr>
          <w:rFonts w:ascii="Arial" w:hAnsi="Arial" w:cs="Arial"/>
          <w:color w:val="1B1B1B"/>
          <w:sz w:val="24"/>
          <w:szCs w:val="24"/>
          <w:shd w:val="clear" w:color="auto" w:fill="FFFFFF"/>
        </w:rPr>
        <w:t>:</w:t>
      </w:r>
      <w:r>
        <w:rPr>
          <w:rFonts w:ascii="Arial" w:hAnsi="Arial" w:cs="Arial"/>
          <w:color w:val="1B1B1B"/>
          <w:sz w:val="24"/>
          <w:szCs w:val="24"/>
          <w:shd w:val="clear" w:color="auto" w:fill="FFFFFF"/>
        </w:rPr>
        <w:t xml:space="preserve"> </w:t>
      </w:r>
      <w:r w:rsidRPr="004717B9">
        <w:rPr>
          <w:rFonts w:ascii="Arial" w:hAnsi="Arial" w:cs="Arial"/>
          <w:color w:val="1B1B1B"/>
          <w:sz w:val="24"/>
          <w:szCs w:val="24"/>
          <w:shd w:val="clear" w:color="auto" w:fill="FFFFFF"/>
        </w:rPr>
        <w:t>10.1016/j.amsu.2022.104089.</w:t>
      </w:r>
    </w:p>
    <w:p w14:paraId="1E7C3AC0" w14:textId="529047C6" w:rsidR="00F6767E" w:rsidRDefault="00F6767E"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F6767E">
        <w:rPr>
          <w:rFonts w:ascii="Arial" w:hAnsi="Arial" w:cs="Arial"/>
          <w:color w:val="1B1B1B"/>
          <w:sz w:val="24"/>
          <w:szCs w:val="24"/>
          <w:shd w:val="clear" w:color="auto" w:fill="FFFFFF"/>
        </w:rPr>
        <w:t xml:space="preserve">Shukla S, Sharma P, Gupta P, Pandey S, Agrawal R, </w:t>
      </w:r>
      <w:proofErr w:type="spellStart"/>
      <w:r w:rsidRPr="00F6767E">
        <w:rPr>
          <w:rFonts w:ascii="Arial" w:hAnsi="Arial" w:cs="Arial"/>
          <w:color w:val="1B1B1B"/>
          <w:sz w:val="24"/>
          <w:szCs w:val="24"/>
          <w:shd w:val="clear" w:color="auto" w:fill="FFFFFF"/>
        </w:rPr>
        <w:t>Rathour</w:t>
      </w:r>
      <w:proofErr w:type="spellEnd"/>
      <w:r w:rsidRPr="00F6767E">
        <w:rPr>
          <w:rFonts w:ascii="Arial" w:hAnsi="Arial" w:cs="Arial"/>
          <w:color w:val="1B1B1B"/>
          <w:sz w:val="24"/>
          <w:szCs w:val="24"/>
          <w:shd w:val="clear" w:color="auto" w:fill="FFFFFF"/>
        </w:rPr>
        <w:t xml:space="preserve"> D, et al. Current scenario and future prospects of adverse drug reactions (ADRs) monitoring and reporting mechanisms in the rural areas of India. </w:t>
      </w:r>
      <w:proofErr w:type="spellStart"/>
      <w:r w:rsidRPr="00F6767E">
        <w:rPr>
          <w:rFonts w:ascii="Arial" w:hAnsi="Arial" w:cs="Arial"/>
          <w:i/>
          <w:iCs/>
          <w:color w:val="1B1B1B"/>
          <w:sz w:val="24"/>
          <w:szCs w:val="24"/>
          <w:shd w:val="clear" w:color="auto" w:fill="FFFFFF"/>
        </w:rPr>
        <w:t>Curr</w:t>
      </w:r>
      <w:proofErr w:type="spellEnd"/>
      <w:r w:rsidRPr="00F6767E">
        <w:rPr>
          <w:rFonts w:ascii="Arial" w:hAnsi="Arial" w:cs="Arial"/>
          <w:i/>
          <w:iCs/>
          <w:color w:val="1B1B1B"/>
          <w:sz w:val="24"/>
          <w:szCs w:val="24"/>
          <w:shd w:val="clear" w:color="auto" w:fill="FFFFFF"/>
        </w:rPr>
        <w:t xml:space="preserve"> Drug </w:t>
      </w:r>
      <w:proofErr w:type="spellStart"/>
      <w:r w:rsidRPr="00F6767E">
        <w:rPr>
          <w:rFonts w:ascii="Arial" w:hAnsi="Arial" w:cs="Arial"/>
          <w:i/>
          <w:iCs/>
          <w:color w:val="1B1B1B"/>
          <w:sz w:val="24"/>
          <w:szCs w:val="24"/>
          <w:shd w:val="clear" w:color="auto" w:fill="FFFFFF"/>
        </w:rPr>
        <w:t>Saf</w:t>
      </w:r>
      <w:proofErr w:type="spellEnd"/>
      <w:r w:rsidRPr="00F6767E">
        <w:rPr>
          <w:rFonts w:ascii="Arial" w:hAnsi="Arial" w:cs="Arial"/>
          <w:i/>
          <w:iCs/>
          <w:color w:val="1B1B1B"/>
          <w:sz w:val="24"/>
          <w:szCs w:val="24"/>
          <w:shd w:val="clear" w:color="auto" w:fill="FFFFFF"/>
        </w:rPr>
        <w:t>.</w:t>
      </w:r>
      <w:r w:rsidRPr="00F6767E">
        <w:rPr>
          <w:rFonts w:ascii="Arial" w:hAnsi="Arial" w:cs="Arial"/>
          <w:color w:val="1B1B1B"/>
          <w:sz w:val="24"/>
          <w:szCs w:val="24"/>
          <w:shd w:val="clear" w:color="auto" w:fill="FFFFFF"/>
        </w:rPr>
        <w:t xml:space="preserve"> 2024;19(2):172–90. doi:10.2174/1574886318666230428144120</w:t>
      </w:r>
    </w:p>
    <w:p w14:paraId="19C9B212" w14:textId="2826F4A6" w:rsidR="00D04B36" w:rsidRDefault="00D04B36" w:rsidP="00E85A72">
      <w:pPr>
        <w:pStyle w:val="ListParagraph"/>
        <w:numPr>
          <w:ilvl w:val="0"/>
          <w:numId w:val="2"/>
        </w:numPr>
        <w:spacing w:line="240" w:lineRule="auto"/>
        <w:jc w:val="both"/>
        <w:rPr>
          <w:rFonts w:ascii="Arial" w:hAnsi="Arial" w:cs="Arial"/>
          <w:color w:val="1B1B1B"/>
          <w:sz w:val="24"/>
          <w:szCs w:val="24"/>
          <w:shd w:val="clear" w:color="auto" w:fill="FFFFFF"/>
        </w:rPr>
      </w:pPr>
      <w:proofErr w:type="spellStart"/>
      <w:r w:rsidRPr="00D04B36">
        <w:rPr>
          <w:rFonts w:ascii="Arial" w:hAnsi="Arial" w:cs="Arial"/>
          <w:color w:val="1B1B1B"/>
          <w:sz w:val="24"/>
          <w:szCs w:val="24"/>
          <w:shd w:val="clear" w:color="auto" w:fill="FFFFFF"/>
        </w:rPr>
        <w:t>Badar</w:t>
      </w:r>
      <w:proofErr w:type="spellEnd"/>
      <w:r w:rsidRPr="00D04B36">
        <w:rPr>
          <w:rFonts w:ascii="Arial" w:hAnsi="Arial" w:cs="Arial"/>
          <w:color w:val="1B1B1B"/>
          <w:sz w:val="24"/>
          <w:szCs w:val="24"/>
          <w:shd w:val="clear" w:color="auto" w:fill="FFFFFF"/>
        </w:rPr>
        <w:t xml:space="preserve"> V, </w:t>
      </w:r>
      <w:proofErr w:type="spellStart"/>
      <w:r w:rsidRPr="00D04B36">
        <w:rPr>
          <w:rFonts w:ascii="Arial" w:hAnsi="Arial" w:cs="Arial"/>
          <w:color w:val="1B1B1B"/>
          <w:sz w:val="24"/>
          <w:szCs w:val="24"/>
          <w:shd w:val="clear" w:color="auto" w:fill="FFFFFF"/>
        </w:rPr>
        <w:t>Parulekar</w:t>
      </w:r>
      <w:proofErr w:type="spellEnd"/>
      <w:r w:rsidRPr="00D04B36">
        <w:rPr>
          <w:rFonts w:ascii="Arial" w:hAnsi="Arial" w:cs="Arial"/>
          <w:color w:val="1B1B1B"/>
          <w:sz w:val="24"/>
          <w:szCs w:val="24"/>
          <w:shd w:val="clear" w:color="auto" w:fill="FFFFFF"/>
        </w:rPr>
        <w:t xml:space="preserve"> VV, </w:t>
      </w:r>
      <w:proofErr w:type="spellStart"/>
      <w:r w:rsidRPr="00D04B36">
        <w:rPr>
          <w:rFonts w:ascii="Arial" w:hAnsi="Arial" w:cs="Arial"/>
          <w:color w:val="1B1B1B"/>
          <w:sz w:val="24"/>
          <w:szCs w:val="24"/>
          <w:shd w:val="clear" w:color="auto" w:fill="FFFFFF"/>
        </w:rPr>
        <w:t>Garate</w:t>
      </w:r>
      <w:proofErr w:type="spellEnd"/>
      <w:r w:rsidRPr="00D04B36">
        <w:rPr>
          <w:rFonts w:ascii="Arial" w:hAnsi="Arial" w:cs="Arial"/>
          <w:color w:val="1B1B1B"/>
          <w:sz w:val="24"/>
          <w:szCs w:val="24"/>
          <w:shd w:val="clear" w:color="auto" w:fill="FFFFFF"/>
        </w:rPr>
        <w:t xml:space="preserve"> P. A surveillance study of cutaneous adverse drug reactions in a tertiary care teaching hospital in India. </w:t>
      </w:r>
      <w:r w:rsidRPr="00D04B36">
        <w:rPr>
          <w:rFonts w:ascii="Arial" w:hAnsi="Arial" w:cs="Arial"/>
          <w:i/>
          <w:iCs/>
          <w:color w:val="1B1B1B"/>
          <w:sz w:val="24"/>
          <w:szCs w:val="24"/>
          <w:shd w:val="clear" w:color="auto" w:fill="FFFFFF"/>
        </w:rPr>
        <w:t xml:space="preserve">Int J Basic Clin </w:t>
      </w:r>
      <w:proofErr w:type="spellStart"/>
      <w:r w:rsidRPr="00D04B36">
        <w:rPr>
          <w:rFonts w:ascii="Arial" w:hAnsi="Arial" w:cs="Arial"/>
          <w:i/>
          <w:iCs/>
          <w:color w:val="1B1B1B"/>
          <w:sz w:val="24"/>
          <w:szCs w:val="24"/>
          <w:shd w:val="clear" w:color="auto" w:fill="FFFFFF"/>
        </w:rPr>
        <w:t>Pharmacol</w:t>
      </w:r>
      <w:proofErr w:type="spellEnd"/>
      <w:r w:rsidRPr="00D04B36">
        <w:rPr>
          <w:rFonts w:ascii="Arial" w:hAnsi="Arial" w:cs="Arial"/>
          <w:i/>
          <w:iCs/>
          <w:color w:val="1B1B1B"/>
          <w:sz w:val="24"/>
          <w:szCs w:val="24"/>
          <w:shd w:val="clear" w:color="auto" w:fill="FFFFFF"/>
        </w:rPr>
        <w:t>.</w:t>
      </w:r>
      <w:r w:rsidRPr="00D04B36">
        <w:rPr>
          <w:rFonts w:ascii="Arial" w:hAnsi="Arial" w:cs="Arial"/>
          <w:color w:val="1B1B1B"/>
          <w:sz w:val="24"/>
          <w:szCs w:val="24"/>
          <w:shd w:val="clear" w:color="auto" w:fill="FFFFFF"/>
        </w:rPr>
        <w:t xml:space="preserve"> 2018;7(12):2439–46. doi:10.18203/2319-2003.ijbcp20184862</w:t>
      </w:r>
    </w:p>
    <w:p w14:paraId="774E23BD" w14:textId="6ECCF444" w:rsidR="00663F44" w:rsidRPr="00F6767E" w:rsidRDefault="00663F44" w:rsidP="00E85A72">
      <w:pPr>
        <w:pStyle w:val="ListParagraph"/>
        <w:numPr>
          <w:ilvl w:val="0"/>
          <w:numId w:val="2"/>
        </w:numPr>
        <w:spacing w:line="240" w:lineRule="auto"/>
        <w:jc w:val="both"/>
        <w:rPr>
          <w:rFonts w:ascii="Arial" w:hAnsi="Arial" w:cs="Arial"/>
          <w:color w:val="1B1B1B"/>
          <w:sz w:val="24"/>
          <w:szCs w:val="24"/>
          <w:shd w:val="clear" w:color="auto" w:fill="FFFFFF"/>
        </w:rPr>
      </w:pPr>
      <w:r w:rsidRPr="00663F44">
        <w:rPr>
          <w:rFonts w:ascii="Arial" w:hAnsi="Arial" w:cs="Arial"/>
          <w:color w:val="1B1B1B"/>
          <w:sz w:val="24"/>
          <w:szCs w:val="24"/>
          <w:shd w:val="clear" w:color="auto" w:fill="FFFFFF"/>
        </w:rPr>
        <w:t xml:space="preserve">Zhou L, Yang J, Xiao M, Shan H, Liu M, Lu Y, Zou Y, Wu B. Severe cutaneous adverse reactions due to antibiotic therapy: a pharmacovigilance analysis of FDA adverse event reporting system events. Expert </w:t>
      </w:r>
      <w:proofErr w:type="spellStart"/>
      <w:r w:rsidRPr="00663F44">
        <w:rPr>
          <w:rFonts w:ascii="Arial" w:hAnsi="Arial" w:cs="Arial"/>
          <w:color w:val="1B1B1B"/>
          <w:sz w:val="24"/>
          <w:szCs w:val="24"/>
          <w:shd w:val="clear" w:color="auto" w:fill="FFFFFF"/>
        </w:rPr>
        <w:t>Opin</w:t>
      </w:r>
      <w:proofErr w:type="spellEnd"/>
      <w:r w:rsidRPr="00663F44">
        <w:rPr>
          <w:rFonts w:ascii="Arial" w:hAnsi="Arial" w:cs="Arial"/>
          <w:color w:val="1B1B1B"/>
          <w:sz w:val="24"/>
          <w:szCs w:val="24"/>
          <w:shd w:val="clear" w:color="auto" w:fill="FFFFFF"/>
        </w:rPr>
        <w:t xml:space="preserve"> Drug </w:t>
      </w:r>
      <w:proofErr w:type="spellStart"/>
      <w:r w:rsidRPr="00663F44">
        <w:rPr>
          <w:rFonts w:ascii="Arial" w:hAnsi="Arial" w:cs="Arial"/>
          <w:color w:val="1B1B1B"/>
          <w:sz w:val="24"/>
          <w:szCs w:val="24"/>
          <w:shd w:val="clear" w:color="auto" w:fill="FFFFFF"/>
        </w:rPr>
        <w:t>Saf</w:t>
      </w:r>
      <w:proofErr w:type="spellEnd"/>
      <w:r w:rsidRPr="00663F44">
        <w:rPr>
          <w:rFonts w:ascii="Arial" w:hAnsi="Arial" w:cs="Arial"/>
          <w:color w:val="1B1B1B"/>
          <w:sz w:val="24"/>
          <w:szCs w:val="24"/>
          <w:shd w:val="clear" w:color="auto" w:fill="FFFFFF"/>
        </w:rPr>
        <w:t>. 2023;1–8. doi:10.1080/14740338.2023.2278685.</w:t>
      </w:r>
    </w:p>
    <w:p w14:paraId="302623A3" w14:textId="77777777" w:rsidR="00906CEA" w:rsidRDefault="00906CEA" w:rsidP="00FB6060">
      <w:pPr>
        <w:pStyle w:val="ListParagraph"/>
        <w:numPr>
          <w:ilvl w:val="0"/>
          <w:numId w:val="2"/>
        </w:numPr>
        <w:spacing w:line="240" w:lineRule="auto"/>
        <w:jc w:val="both"/>
        <w:rPr>
          <w:rFonts w:ascii="Arial" w:hAnsi="Arial" w:cs="Arial"/>
          <w:color w:val="1B1B1B"/>
          <w:sz w:val="24"/>
          <w:szCs w:val="24"/>
          <w:shd w:val="clear" w:color="auto" w:fill="FFFFFF"/>
        </w:rPr>
      </w:pPr>
      <w:r w:rsidRPr="00906CEA">
        <w:rPr>
          <w:rFonts w:ascii="Arial" w:hAnsi="Arial" w:cs="Arial"/>
          <w:color w:val="1B1B1B"/>
          <w:sz w:val="24"/>
          <w:szCs w:val="24"/>
          <w:shd w:val="clear" w:color="auto" w:fill="FFFFFF"/>
        </w:rPr>
        <w:t xml:space="preserve">MacLeod B, </w:t>
      </w:r>
      <w:proofErr w:type="spellStart"/>
      <w:r w:rsidRPr="00906CEA">
        <w:rPr>
          <w:rFonts w:ascii="Arial" w:hAnsi="Arial" w:cs="Arial"/>
          <w:color w:val="1B1B1B"/>
          <w:sz w:val="24"/>
          <w:szCs w:val="24"/>
          <w:shd w:val="clear" w:color="auto" w:fill="FFFFFF"/>
        </w:rPr>
        <w:t>Koponen</w:t>
      </w:r>
      <w:proofErr w:type="spellEnd"/>
      <w:r w:rsidRPr="00906CEA">
        <w:rPr>
          <w:rFonts w:ascii="Arial" w:hAnsi="Arial" w:cs="Arial"/>
          <w:color w:val="1B1B1B"/>
          <w:sz w:val="24"/>
          <w:szCs w:val="24"/>
          <w:shd w:val="clear" w:color="auto" w:fill="FFFFFF"/>
        </w:rPr>
        <w:t xml:space="preserve"> M. Educational case: hypersensitivity vasculitis. </w:t>
      </w:r>
      <w:proofErr w:type="spellStart"/>
      <w:r w:rsidRPr="00906CEA">
        <w:rPr>
          <w:rFonts w:ascii="Arial" w:hAnsi="Arial" w:cs="Arial"/>
          <w:i/>
          <w:iCs/>
          <w:color w:val="1B1B1B"/>
          <w:sz w:val="24"/>
          <w:szCs w:val="24"/>
          <w:shd w:val="clear" w:color="auto" w:fill="FFFFFF"/>
        </w:rPr>
        <w:t>Acad</w:t>
      </w:r>
      <w:proofErr w:type="spellEnd"/>
      <w:r w:rsidRPr="00906CEA">
        <w:rPr>
          <w:rFonts w:ascii="Arial" w:hAnsi="Arial" w:cs="Arial"/>
          <w:i/>
          <w:iCs/>
          <w:color w:val="1B1B1B"/>
          <w:sz w:val="24"/>
          <w:szCs w:val="24"/>
          <w:shd w:val="clear" w:color="auto" w:fill="FFFFFF"/>
        </w:rPr>
        <w:t xml:space="preserve"> </w:t>
      </w:r>
      <w:proofErr w:type="spellStart"/>
      <w:r w:rsidRPr="00906CEA">
        <w:rPr>
          <w:rFonts w:ascii="Arial" w:hAnsi="Arial" w:cs="Arial"/>
          <w:i/>
          <w:iCs/>
          <w:color w:val="1B1B1B"/>
          <w:sz w:val="24"/>
          <w:szCs w:val="24"/>
          <w:shd w:val="clear" w:color="auto" w:fill="FFFFFF"/>
        </w:rPr>
        <w:t>Pathol</w:t>
      </w:r>
      <w:proofErr w:type="spellEnd"/>
      <w:r w:rsidRPr="00906CEA">
        <w:rPr>
          <w:rFonts w:ascii="Arial" w:hAnsi="Arial" w:cs="Arial"/>
          <w:i/>
          <w:iCs/>
          <w:color w:val="1B1B1B"/>
          <w:sz w:val="24"/>
          <w:szCs w:val="24"/>
          <w:shd w:val="clear" w:color="auto" w:fill="FFFFFF"/>
        </w:rPr>
        <w:t>.</w:t>
      </w:r>
      <w:r w:rsidRPr="00906CEA">
        <w:rPr>
          <w:rFonts w:ascii="Arial" w:hAnsi="Arial" w:cs="Arial"/>
          <w:color w:val="1B1B1B"/>
          <w:sz w:val="24"/>
          <w:szCs w:val="24"/>
          <w:shd w:val="clear" w:color="auto" w:fill="FFFFFF"/>
        </w:rPr>
        <w:t xml:space="preserve"> </w:t>
      </w:r>
      <w:proofErr w:type="gramStart"/>
      <w:r w:rsidRPr="00906CEA">
        <w:rPr>
          <w:rFonts w:ascii="Arial" w:hAnsi="Arial" w:cs="Arial"/>
          <w:color w:val="1B1B1B"/>
          <w:sz w:val="24"/>
          <w:szCs w:val="24"/>
          <w:shd w:val="clear" w:color="auto" w:fill="FFFFFF"/>
        </w:rPr>
        <w:t>2021;8:1</w:t>
      </w:r>
      <w:proofErr w:type="gramEnd"/>
      <w:r w:rsidRPr="00906CEA">
        <w:rPr>
          <w:rFonts w:ascii="Arial" w:hAnsi="Arial" w:cs="Arial"/>
          <w:color w:val="1B1B1B"/>
          <w:sz w:val="24"/>
          <w:szCs w:val="24"/>
          <w:shd w:val="clear" w:color="auto" w:fill="FFFFFF"/>
        </w:rPr>
        <w:t>–5. doi:10.1177/23742895211030650.</w:t>
      </w:r>
    </w:p>
    <w:p w14:paraId="3180291C" w14:textId="2399DA68" w:rsidR="00C03120" w:rsidRPr="00C03120" w:rsidRDefault="00906CEA" w:rsidP="00FB6060">
      <w:pPr>
        <w:pStyle w:val="ListParagraph"/>
        <w:numPr>
          <w:ilvl w:val="0"/>
          <w:numId w:val="2"/>
        </w:numPr>
        <w:spacing w:line="240" w:lineRule="auto"/>
        <w:jc w:val="both"/>
        <w:rPr>
          <w:rFonts w:ascii="Arial" w:hAnsi="Arial" w:cs="Arial"/>
          <w:color w:val="1B1B1B"/>
          <w:sz w:val="24"/>
          <w:szCs w:val="24"/>
          <w:shd w:val="clear" w:color="auto" w:fill="FFFFFF"/>
        </w:rPr>
      </w:pPr>
      <w:r w:rsidRPr="00906CEA">
        <w:rPr>
          <w:rFonts w:ascii="Arial" w:hAnsi="Arial" w:cs="Arial"/>
          <w:color w:val="444444"/>
          <w:sz w:val="24"/>
          <w:szCs w:val="24"/>
          <w:shd w:val="clear" w:color="auto" w:fill="F9F9F9"/>
        </w:rPr>
        <w:t xml:space="preserve">Stone JH. Hypersensitivity vasculitis. In: Imboden JB, Hellmann DB, Stone JH, editors. </w:t>
      </w:r>
      <w:r w:rsidRPr="00906CEA">
        <w:rPr>
          <w:rFonts w:ascii="Arial" w:hAnsi="Arial" w:cs="Arial"/>
          <w:i/>
          <w:iCs/>
          <w:color w:val="444444"/>
          <w:sz w:val="24"/>
          <w:szCs w:val="24"/>
          <w:shd w:val="clear" w:color="auto" w:fill="F9F9F9"/>
        </w:rPr>
        <w:t>Current Diagnosis &amp; Treatment: Rheumatology.</w:t>
      </w:r>
      <w:r w:rsidRPr="00906CEA">
        <w:rPr>
          <w:rFonts w:ascii="Arial" w:hAnsi="Arial" w:cs="Arial"/>
          <w:color w:val="444444"/>
          <w:sz w:val="24"/>
          <w:szCs w:val="24"/>
          <w:shd w:val="clear" w:color="auto" w:fill="F9F9F9"/>
        </w:rPr>
        <w:t xml:space="preserve"> 3rd ed. New York: McGraw-Hill; 2013. Chapter 37.</w:t>
      </w:r>
      <w:hyperlink r:id="rId9" w:history="1">
        <w:r w:rsidR="00C03120" w:rsidRPr="00B67EC7">
          <w:rPr>
            <w:rStyle w:val="Hyperlink"/>
            <w:rFonts w:ascii="Arial" w:hAnsi="Arial" w:cs="Arial"/>
            <w:sz w:val="24"/>
            <w:szCs w:val="24"/>
            <w:shd w:val="clear" w:color="auto" w:fill="F9F9F9"/>
          </w:rPr>
          <w:t>https://accessmedicine.mhmedical.com/content.aspx?bookid=506&amp;sectionid=42584923</w:t>
        </w:r>
      </w:hyperlink>
    </w:p>
    <w:p w14:paraId="40121787" w14:textId="77777777" w:rsidR="00906CEA" w:rsidRPr="00906CEA" w:rsidRDefault="00906CEA" w:rsidP="00C03120">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r w:rsidRPr="00906CEA">
        <w:rPr>
          <w:rFonts w:ascii="Arial" w:hAnsi="Arial" w:cs="Arial"/>
          <w:sz w:val="24"/>
          <w:szCs w:val="24"/>
        </w:rPr>
        <w:t xml:space="preserve">Princess JG, Bhushan A, </w:t>
      </w:r>
      <w:proofErr w:type="spellStart"/>
      <w:r w:rsidRPr="00906CEA">
        <w:rPr>
          <w:rFonts w:ascii="Arial" w:hAnsi="Arial" w:cs="Arial"/>
          <w:sz w:val="24"/>
          <w:szCs w:val="24"/>
        </w:rPr>
        <w:t>Naikwad</w:t>
      </w:r>
      <w:proofErr w:type="spellEnd"/>
      <w:r w:rsidRPr="00906CEA">
        <w:rPr>
          <w:rFonts w:ascii="Arial" w:hAnsi="Arial" w:cs="Arial"/>
          <w:sz w:val="24"/>
          <w:szCs w:val="24"/>
        </w:rPr>
        <w:t xml:space="preserve"> HM. Amikacin-induced cutaneous small vessel vasculitis. </w:t>
      </w:r>
      <w:r w:rsidRPr="00906CEA">
        <w:rPr>
          <w:rFonts w:ascii="Arial" w:hAnsi="Arial" w:cs="Arial"/>
          <w:i/>
          <w:iCs/>
          <w:sz w:val="24"/>
          <w:szCs w:val="24"/>
        </w:rPr>
        <w:t>World J Pharm Res.</w:t>
      </w:r>
      <w:r w:rsidRPr="00906CEA">
        <w:rPr>
          <w:rFonts w:ascii="Arial" w:hAnsi="Arial" w:cs="Arial"/>
          <w:sz w:val="24"/>
          <w:szCs w:val="24"/>
        </w:rPr>
        <w:t xml:space="preserve"> 2024;13(12). doi:10.20959/wjpr202412-33122</w:t>
      </w:r>
    </w:p>
    <w:p w14:paraId="179887A7" w14:textId="77777777" w:rsidR="00906CEA" w:rsidRDefault="00906CEA" w:rsidP="007E3575">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r w:rsidRPr="00906CEA">
        <w:rPr>
          <w:rFonts w:ascii="Arial" w:hAnsi="Arial" w:cs="Arial"/>
          <w:color w:val="212121"/>
          <w:sz w:val="24"/>
          <w:szCs w:val="24"/>
          <w:shd w:val="clear" w:color="auto" w:fill="FFFFFF"/>
        </w:rPr>
        <w:t xml:space="preserve">Pichler WJ, </w:t>
      </w:r>
      <w:proofErr w:type="spellStart"/>
      <w:r w:rsidRPr="00906CEA">
        <w:rPr>
          <w:rFonts w:ascii="Arial" w:hAnsi="Arial" w:cs="Arial"/>
          <w:color w:val="212121"/>
          <w:sz w:val="24"/>
          <w:szCs w:val="24"/>
          <w:shd w:val="clear" w:color="auto" w:fill="FFFFFF"/>
        </w:rPr>
        <w:t>Naisbitt</w:t>
      </w:r>
      <w:proofErr w:type="spellEnd"/>
      <w:r w:rsidRPr="00906CEA">
        <w:rPr>
          <w:rFonts w:ascii="Arial" w:hAnsi="Arial" w:cs="Arial"/>
          <w:color w:val="212121"/>
          <w:sz w:val="24"/>
          <w:szCs w:val="24"/>
          <w:shd w:val="clear" w:color="auto" w:fill="FFFFFF"/>
        </w:rPr>
        <w:t xml:space="preserve"> DJ, Park BK. Immune </w:t>
      </w:r>
      <w:proofErr w:type="spellStart"/>
      <w:r w:rsidRPr="00906CEA">
        <w:rPr>
          <w:rFonts w:ascii="Arial" w:hAnsi="Arial" w:cs="Arial"/>
          <w:color w:val="212121"/>
          <w:sz w:val="24"/>
          <w:szCs w:val="24"/>
          <w:shd w:val="clear" w:color="auto" w:fill="FFFFFF"/>
        </w:rPr>
        <w:t>pathomechanism</w:t>
      </w:r>
      <w:proofErr w:type="spellEnd"/>
      <w:r w:rsidRPr="00906CEA">
        <w:rPr>
          <w:rFonts w:ascii="Arial" w:hAnsi="Arial" w:cs="Arial"/>
          <w:color w:val="212121"/>
          <w:sz w:val="24"/>
          <w:szCs w:val="24"/>
          <w:shd w:val="clear" w:color="auto" w:fill="FFFFFF"/>
        </w:rPr>
        <w:t xml:space="preserve"> of drug hypersensitivity reactions. </w:t>
      </w:r>
      <w:r w:rsidRPr="00906CEA">
        <w:rPr>
          <w:rFonts w:ascii="Arial" w:hAnsi="Arial" w:cs="Arial"/>
          <w:i/>
          <w:iCs/>
          <w:color w:val="212121"/>
          <w:sz w:val="24"/>
          <w:szCs w:val="24"/>
          <w:shd w:val="clear" w:color="auto" w:fill="FFFFFF"/>
        </w:rPr>
        <w:t>J Allergy Clin Immunol.</w:t>
      </w:r>
      <w:r w:rsidRPr="00906CEA">
        <w:rPr>
          <w:rFonts w:ascii="Arial" w:hAnsi="Arial" w:cs="Arial"/>
          <w:color w:val="212121"/>
          <w:sz w:val="24"/>
          <w:szCs w:val="24"/>
          <w:shd w:val="clear" w:color="auto" w:fill="FFFFFF"/>
        </w:rPr>
        <w:t xml:space="preserve"> 2011;127(3 </w:t>
      </w:r>
      <w:proofErr w:type="spellStart"/>
      <w:r w:rsidRPr="00906CEA">
        <w:rPr>
          <w:rFonts w:ascii="Arial" w:hAnsi="Arial" w:cs="Arial"/>
          <w:color w:val="212121"/>
          <w:sz w:val="24"/>
          <w:szCs w:val="24"/>
          <w:shd w:val="clear" w:color="auto" w:fill="FFFFFF"/>
        </w:rPr>
        <w:t>Suppl</w:t>
      </w:r>
      <w:proofErr w:type="spellEnd"/>
      <w:proofErr w:type="gramStart"/>
      <w:r w:rsidRPr="00906CEA">
        <w:rPr>
          <w:rFonts w:ascii="Arial" w:hAnsi="Arial" w:cs="Arial"/>
          <w:color w:val="212121"/>
          <w:sz w:val="24"/>
          <w:szCs w:val="24"/>
          <w:shd w:val="clear" w:color="auto" w:fill="FFFFFF"/>
        </w:rPr>
        <w:t>):S</w:t>
      </w:r>
      <w:proofErr w:type="gramEnd"/>
      <w:r w:rsidRPr="00906CEA">
        <w:rPr>
          <w:rFonts w:ascii="Arial" w:hAnsi="Arial" w:cs="Arial"/>
          <w:color w:val="212121"/>
          <w:sz w:val="24"/>
          <w:szCs w:val="24"/>
          <w:shd w:val="clear" w:color="auto" w:fill="FFFFFF"/>
        </w:rPr>
        <w:t xml:space="preserve">74–81. </w:t>
      </w:r>
      <w:proofErr w:type="gramStart"/>
      <w:r w:rsidRPr="00906CEA">
        <w:rPr>
          <w:rFonts w:ascii="Arial" w:hAnsi="Arial" w:cs="Arial"/>
          <w:color w:val="212121"/>
          <w:sz w:val="24"/>
          <w:szCs w:val="24"/>
          <w:shd w:val="clear" w:color="auto" w:fill="FFFFFF"/>
        </w:rPr>
        <w:t>doi:10.1016/j.jaci</w:t>
      </w:r>
      <w:proofErr w:type="gramEnd"/>
      <w:r w:rsidRPr="00906CEA">
        <w:rPr>
          <w:rFonts w:ascii="Arial" w:hAnsi="Arial" w:cs="Arial"/>
          <w:color w:val="212121"/>
          <w:sz w:val="24"/>
          <w:szCs w:val="24"/>
          <w:shd w:val="clear" w:color="auto" w:fill="FFFFFF"/>
        </w:rPr>
        <w:t>.2010.11.048</w:t>
      </w:r>
    </w:p>
    <w:p w14:paraId="621E742F" w14:textId="6857DF23" w:rsidR="00906CEA" w:rsidRDefault="00906CEA" w:rsidP="007E3575">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proofErr w:type="spellStart"/>
      <w:r w:rsidRPr="00906CEA">
        <w:rPr>
          <w:rFonts w:ascii="Arial" w:hAnsi="Arial" w:cs="Arial"/>
          <w:color w:val="212121"/>
          <w:sz w:val="24"/>
          <w:szCs w:val="24"/>
          <w:shd w:val="clear" w:color="auto" w:fill="FFFFFF"/>
        </w:rPr>
        <w:t>Chango</w:t>
      </w:r>
      <w:proofErr w:type="spellEnd"/>
      <w:r w:rsidRPr="00906CEA">
        <w:rPr>
          <w:rFonts w:ascii="Arial" w:hAnsi="Arial" w:cs="Arial"/>
          <w:color w:val="212121"/>
          <w:sz w:val="24"/>
          <w:szCs w:val="24"/>
          <w:shd w:val="clear" w:color="auto" w:fill="FFFFFF"/>
        </w:rPr>
        <w:t xml:space="preserve"> </w:t>
      </w:r>
      <w:proofErr w:type="spellStart"/>
      <w:r w:rsidRPr="00906CEA">
        <w:rPr>
          <w:rFonts w:ascii="Arial" w:hAnsi="Arial" w:cs="Arial"/>
          <w:color w:val="212121"/>
          <w:sz w:val="24"/>
          <w:szCs w:val="24"/>
          <w:shd w:val="clear" w:color="auto" w:fill="FFFFFF"/>
        </w:rPr>
        <w:t>Azanza</w:t>
      </w:r>
      <w:proofErr w:type="spellEnd"/>
      <w:r w:rsidRPr="00906CEA">
        <w:rPr>
          <w:rFonts w:ascii="Arial" w:hAnsi="Arial" w:cs="Arial"/>
          <w:color w:val="212121"/>
          <w:sz w:val="24"/>
          <w:szCs w:val="24"/>
          <w:shd w:val="clear" w:color="auto" w:fill="FFFFFF"/>
        </w:rPr>
        <w:t xml:space="preserve"> JJ, Calle Sarmiento PM, </w:t>
      </w:r>
      <w:proofErr w:type="spellStart"/>
      <w:r w:rsidRPr="00906CEA">
        <w:rPr>
          <w:rFonts w:ascii="Arial" w:hAnsi="Arial" w:cs="Arial"/>
          <w:color w:val="212121"/>
          <w:sz w:val="24"/>
          <w:szCs w:val="24"/>
          <w:shd w:val="clear" w:color="auto" w:fill="FFFFFF"/>
        </w:rPr>
        <w:t>Lopetegui</w:t>
      </w:r>
      <w:proofErr w:type="spellEnd"/>
      <w:r w:rsidRPr="00906CEA">
        <w:rPr>
          <w:rFonts w:ascii="Arial" w:hAnsi="Arial" w:cs="Arial"/>
          <w:color w:val="212121"/>
          <w:sz w:val="24"/>
          <w:szCs w:val="24"/>
          <w:shd w:val="clear" w:color="auto" w:fill="FFFFFF"/>
        </w:rPr>
        <w:t xml:space="preserve"> Lia N, Alexander SA, Modi V. </w:t>
      </w:r>
      <w:proofErr w:type="spellStart"/>
      <w:r w:rsidRPr="00906CEA">
        <w:rPr>
          <w:rFonts w:ascii="Arial" w:hAnsi="Arial" w:cs="Arial"/>
          <w:color w:val="212121"/>
          <w:sz w:val="24"/>
          <w:szCs w:val="24"/>
          <w:shd w:val="clear" w:color="auto" w:fill="FFFFFF"/>
        </w:rPr>
        <w:t>Leukocytoclastic</w:t>
      </w:r>
      <w:proofErr w:type="spellEnd"/>
      <w:r w:rsidRPr="00906CEA">
        <w:rPr>
          <w:rFonts w:ascii="Arial" w:hAnsi="Arial" w:cs="Arial"/>
          <w:color w:val="212121"/>
          <w:sz w:val="24"/>
          <w:szCs w:val="24"/>
          <w:shd w:val="clear" w:color="auto" w:fill="FFFFFF"/>
        </w:rPr>
        <w:t xml:space="preserve"> vasculitis: An early skin biopsy makes a difference. </w:t>
      </w:r>
      <w:proofErr w:type="spellStart"/>
      <w:r w:rsidRPr="00906CEA">
        <w:rPr>
          <w:rFonts w:ascii="Arial" w:hAnsi="Arial" w:cs="Arial"/>
          <w:i/>
          <w:iCs/>
          <w:color w:val="212121"/>
          <w:sz w:val="24"/>
          <w:szCs w:val="24"/>
          <w:shd w:val="clear" w:color="auto" w:fill="FFFFFF"/>
        </w:rPr>
        <w:t>Cureus</w:t>
      </w:r>
      <w:proofErr w:type="spellEnd"/>
      <w:r w:rsidRPr="00906CEA">
        <w:rPr>
          <w:rFonts w:ascii="Arial" w:hAnsi="Arial" w:cs="Arial"/>
          <w:i/>
          <w:iCs/>
          <w:color w:val="212121"/>
          <w:sz w:val="24"/>
          <w:szCs w:val="24"/>
          <w:shd w:val="clear" w:color="auto" w:fill="FFFFFF"/>
        </w:rPr>
        <w:t>.</w:t>
      </w:r>
      <w:r w:rsidRPr="00906CEA">
        <w:rPr>
          <w:rFonts w:ascii="Arial" w:hAnsi="Arial" w:cs="Arial"/>
          <w:color w:val="212121"/>
          <w:sz w:val="24"/>
          <w:szCs w:val="24"/>
          <w:shd w:val="clear" w:color="auto" w:fill="FFFFFF"/>
        </w:rPr>
        <w:t xml:space="preserve"> 2020;12(5</w:t>
      </w:r>
      <w:proofErr w:type="gramStart"/>
      <w:r w:rsidRPr="00906CEA">
        <w:rPr>
          <w:rFonts w:ascii="Arial" w:hAnsi="Arial" w:cs="Arial"/>
          <w:color w:val="212121"/>
          <w:sz w:val="24"/>
          <w:szCs w:val="24"/>
          <w:shd w:val="clear" w:color="auto" w:fill="FFFFFF"/>
        </w:rPr>
        <w:t>):e</w:t>
      </w:r>
      <w:proofErr w:type="gramEnd"/>
      <w:r w:rsidRPr="00906CEA">
        <w:rPr>
          <w:rFonts w:ascii="Arial" w:hAnsi="Arial" w:cs="Arial"/>
          <w:color w:val="212121"/>
          <w:sz w:val="24"/>
          <w:szCs w:val="24"/>
          <w:shd w:val="clear" w:color="auto" w:fill="FFFFFF"/>
        </w:rPr>
        <w:t>7912. doi:10.7759/cureus.7912</w:t>
      </w:r>
    </w:p>
    <w:p w14:paraId="0E1824C6" w14:textId="3D2674E2" w:rsidR="00FF2142" w:rsidRPr="00906CEA" w:rsidRDefault="00FF2142" w:rsidP="007E3575">
      <w:pPr>
        <w:pStyle w:val="ListParagraph"/>
        <w:numPr>
          <w:ilvl w:val="0"/>
          <w:numId w:val="2"/>
        </w:numPr>
        <w:tabs>
          <w:tab w:val="left" w:pos="2544"/>
        </w:tabs>
        <w:spacing w:line="240" w:lineRule="auto"/>
        <w:jc w:val="both"/>
        <w:rPr>
          <w:rFonts w:ascii="Arial" w:hAnsi="Arial" w:cs="Arial"/>
          <w:color w:val="212121"/>
          <w:sz w:val="24"/>
          <w:szCs w:val="24"/>
          <w:shd w:val="clear" w:color="auto" w:fill="FFFFFF"/>
        </w:rPr>
      </w:pPr>
      <w:r w:rsidRPr="00FF2142">
        <w:rPr>
          <w:rFonts w:ascii="Arial" w:hAnsi="Arial" w:cs="Arial"/>
          <w:color w:val="212121"/>
          <w:sz w:val="24"/>
          <w:szCs w:val="24"/>
          <w:shd w:val="clear" w:color="auto" w:fill="FFFFFF"/>
        </w:rPr>
        <w:t xml:space="preserve">K. S. B. </w:t>
      </w:r>
      <w:proofErr w:type="spellStart"/>
      <w:r w:rsidRPr="00FF2142">
        <w:rPr>
          <w:rFonts w:ascii="Arial" w:hAnsi="Arial" w:cs="Arial"/>
          <w:color w:val="212121"/>
          <w:sz w:val="24"/>
          <w:szCs w:val="24"/>
          <w:shd w:val="clear" w:color="auto" w:fill="FFFFFF"/>
        </w:rPr>
        <w:t>Ramanees</w:t>
      </w:r>
      <w:proofErr w:type="spellEnd"/>
      <w:r w:rsidRPr="00FF2142">
        <w:rPr>
          <w:rFonts w:ascii="Arial" w:hAnsi="Arial" w:cs="Arial"/>
          <w:color w:val="212121"/>
          <w:sz w:val="24"/>
          <w:szCs w:val="24"/>
          <w:shd w:val="clear" w:color="auto" w:fill="FFFFFF"/>
        </w:rPr>
        <w:t xml:space="preserve">, K. </w:t>
      </w:r>
      <w:proofErr w:type="spellStart"/>
      <w:r w:rsidRPr="00FF2142">
        <w:rPr>
          <w:rFonts w:ascii="Arial" w:hAnsi="Arial" w:cs="Arial"/>
          <w:color w:val="212121"/>
          <w:sz w:val="24"/>
          <w:szCs w:val="24"/>
          <w:shd w:val="clear" w:color="auto" w:fill="FFFFFF"/>
        </w:rPr>
        <w:t>Sathiya</w:t>
      </w:r>
      <w:proofErr w:type="spellEnd"/>
      <w:r w:rsidRPr="00FF2142">
        <w:rPr>
          <w:rFonts w:ascii="Arial" w:hAnsi="Arial" w:cs="Arial"/>
          <w:color w:val="212121"/>
          <w:sz w:val="24"/>
          <w:szCs w:val="24"/>
          <w:shd w:val="clear" w:color="auto" w:fill="FFFFFF"/>
        </w:rPr>
        <w:t xml:space="preserve"> Murthy, </w:t>
      </w:r>
      <w:proofErr w:type="spellStart"/>
      <w:r w:rsidRPr="00FF2142">
        <w:rPr>
          <w:rFonts w:ascii="Arial" w:hAnsi="Arial" w:cs="Arial"/>
          <w:color w:val="212121"/>
          <w:sz w:val="24"/>
          <w:szCs w:val="24"/>
          <w:shd w:val="clear" w:color="auto" w:fill="FFFFFF"/>
        </w:rPr>
        <w:t>Thamilselvi</w:t>
      </w:r>
      <w:proofErr w:type="spellEnd"/>
      <w:r w:rsidRPr="00FF2142">
        <w:rPr>
          <w:rFonts w:ascii="Arial" w:hAnsi="Arial" w:cs="Arial"/>
          <w:color w:val="212121"/>
          <w:sz w:val="24"/>
          <w:szCs w:val="24"/>
          <w:shd w:val="clear" w:color="auto" w:fill="FFFFFF"/>
        </w:rPr>
        <w:t xml:space="preserve"> Ramachandran &amp; Gowri Sankar R. (2025). Direct Immunofluorescence in Vasculitis: A Critical Tool in Diagnostic Dermatopathology. Journal of Pharmaceutical Research International, 37(8), 26–34. https://doi.org/10.9734/jpri/2025/v37i87732</w:t>
      </w:r>
    </w:p>
    <w:p w14:paraId="596A7326" w14:textId="6EEBAB7B" w:rsidR="007E3575" w:rsidRPr="004A6510" w:rsidRDefault="007E3575" w:rsidP="007E3575">
      <w:pPr>
        <w:tabs>
          <w:tab w:val="left" w:pos="2544"/>
        </w:tabs>
        <w:spacing w:line="240" w:lineRule="auto"/>
        <w:jc w:val="both"/>
        <w:rPr>
          <w:rFonts w:ascii="Arial" w:hAnsi="Arial" w:cs="Arial"/>
          <w:b/>
          <w:bCs/>
          <w:color w:val="1B1B1B"/>
          <w:sz w:val="24"/>
          <w:szCs w:val="24"/>
          <w:shd w:val="clear" w:color="auto" w:fill="FFFFFF"/>
        </w:rPr>
      </w:pPr>
      <w:r w:rsidRPr="004A6510">
        <w:rPr>
          <w:rFonts w:ascii="Arial" w:hAnsi="Arial" w:cs="Arial"/>
          <w:b/>
          <w:bCs/>
          <w:color w:val="1B1B1B"/>
          <w:sz w:val="24"/>
          <w:szCs w:val="24"/>
          <w:shd w:val="clear" w:color="auto" w:fill="FFFFFF"/>
        </w:rPr>
        <w:t>ABBREVIATIONS:</w:t>
      </w:r>
      <w:r w:rsidRPr="004A6510">
        <w:rPr>
          <w:rFonts w:ascii="Arial" w:hAnsi="Arial" w:cs="Arial"/>
          <w:b/>
          <w:bCs/>
          <w:color w:val="1B1B1B"/>
          <w:sz w:val="24"/>
          <w:szCs w:val="24"/>
          <w:shd w:val="clear" w:color="auto" w:fill="FFFFFF"/>
        </w:rPr>
        <w:tab/>
      </w:r>
    </w:p>
    <w:p w14:paraId="013C2683" w14:textId="0D58F0D8" w:rsidR="007E3575" w:rsidRPr="004A6510" w:rsidRDefault="007E3575" w:rsidP="00FB6060">
      <w:pPr>
        <w:tabs>
          <w:tab w:val="left" w:pos="2544"/>
        </w:tabs>
        <w:spacing w:line="240" w:lineRule="auto"/>
        <w:jc w:val="both"/>
        <w:rPr>
          <w:rFonts w:ascii="Arial" w:hAnsi="Arial" w:cs="Arial"/>
          <w:sz w:val="24"/>
          <w:szCs w:val="24"/>
        </w:rPr>
      </w:pPr>
      <w:r w:rsidRPr="004A6510">
        <w:rPr>
          <w:rFonts w:ascii="Arial" w:hAnsi="Arial" w:cs="Arial"/>
          <w:sz w:val="24"/>
          <w:szCs w:val="24"/>
        </w:rPr>
        <w:t xml:space="preserve">CHV - Cutaneous hypersensitivity vasculitis </w:t>
      </w:r>
    </w:p>
    <w:p w14:paraId="3BB62A6A" w14:textId="6DF9E850"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WBC- White blood cells</w:t>
      </w:r>
    </w:p>
    <w:p w14:paraId="3789B32D" w14:textId="273E11B2"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ESR- Erythrocyte sedimentation rate</w:t>
      </w:r>
    </w:p>
    <w:p w14:paraId="712780F8" w14:textId="6E816941"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CRP- C- reactive protein</w:t>
      </w:r>
    </w:p>
    <w:p w14:paraId="1F69CD19" w14:textId="1D441E2A"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lastRenderedPageBreak/>
        <w:t>TSH- Thyroid stimulating hormone</w:t>
      </w:r>
    </w:p>
    <w:p w14:paraId="3111A5E9" w14:textId="38070CB5" w:rsidR="007E3575" w:rsidRPr="004A6510" w:rsidRDefault="007E3575" w:rsidP="00FB6060">
      <w:pPr>
        <w:tabs>
          <w:tab w:val="left" w:pos="2544"/>
        </w:tabs>
        <w:spacing w:line="240" w:lineRule="auto"/>
        <w:jc w:val="both"/>
        <w:rPr>
          <w:rFonts w:ascii="Arial" w:eastAsia="Times New Roman" w:hAnsi="Arial" w:cs="Arial"/>
          <w:sz w:val="24"/>
          <w:szCs w:val="24"/>
          <w:lang w:eastAsia="en-IN"/>
        </w:rPr>
      </w:pPr>
      <w:r w:rsidRPr="004A6510">
        <w:rPr>
          <w:rFonts w:ascii="Arial" w:eastAsia="Times New Roman" w:hAnsi="Arial" w:cs="Arial"/>
          <w:sz w:val="24"/>
          <w:szCs w:val="24"/>
          <w:lang w:eastAsia="en-IN"/>
        </w:rPr>
        <w:t>HDL- High density lipoproteins</w:t>
      </w:r>
    </w:p>
    <w:p w14:paraId="7D261E2E" w14:textId="74C7E247" w:rsidR="00A32B9B" w:rsidRPr="00C031CB" w:rsidRDefault="00FB6060" w:rsidP="00C031CB">
      <w:pPr>
        <w:tabs>
          <w:tab w:val="left" w:pos="2544"/>
        </w:tabs>
        <w:spacing w:line="240" w:lineRule="auto"/>
        <w:rPr>
          <w:rFonts w:ascii="Arial" w:hAnsi="Arial" w:cs="Arial"/>
          <w:b/>
          <w:bCs/>
          <w:sz w:val="24"/>
          <w:szCs w:val="24"/>
        </w:rPr>
      </w:pPr>
      <w:r w:rsidRPr="004A6510">
        <w:rPr>
          <w:rFonts w:ascii="Arial" w:eastAsia="Times New Roman" w:hAnsi="Arial" w:cs="Arial"/>
          <w:sz w:val="24"/>
          <w:szCs w:val="24"/>
          <w:lang w:eastAsia="en-IN"/>
        </w:rPr>
        <w:t>L</w:t>
      </w:r>
      <w:r w:rsidR="007E3575" w:rsidRPr="004A6510">
        <w:rPr>
          <w:rFonts w:ascii="Arial" w:eastAsia="Times New Roman" w:hAnsi="Arial" w:cs="Arial"/>
          <w:sz w:val="24"/>
          <w:szCs w:val="24"/>
          <w:lang w:eastAsia="en-IN"/>
        </w:rPr>
        <w:t xml:space="preserve">DL- </w:t>
      </w:r>
      <w:r w:rsidRPr="004A6510">
        <w:rPr>
          <w:rFonts w:ascii="Arial" w:eastAsia="Times New Roman" w:hAnsi="Arial" w:cs="Arial"/>
          <w:sz w:val="24"/>
          <w:szCs w:val="24"/>
          <w:lang w:eastAsia="en-IN"/>
        </w:rPr>
        <w:t>Low</w:t>
      </w:r>
      <w:r w:rsidR="007E3575" w:rsidRPr="004A6510">
        <w:rPr>
          <w:rFonts w:ascii="Arial" w:eastAsia="Times New Roman" w:hAnsi="Arial" w:cs="Arial"/>
          <w:sz w:val="24"/>
          <w:szCs w:val="24"/>
          <w:lang w:eastAsia="en-IN"/>
        </w:rPr>
        <w:t xml:space="preserve"> density lipoproteins</w:t>
      </w:r>
      <w:r w:rsidR="00DB2DA2" w:rsidRPr="004A6510">
        <w:rPr>
          <w:rFonts w:ascii="Arial" w:hAnsi="Arial" w:cs="Arial"/>
          <w:b/>
          <w:bCs/>
          <w:sz w:val="24"/>
          <w:szCs w:val="24"/>
        </w:rPr>
        <w:t xml:space="preserve"> </w:t>
      </w:r>
    </w:p>
    <w:p w14:paraId="3A60CD29" w14:textId="77777777" w:rsidR="00592AEC" w:rsidRPr="00683FC8" w:rsidRDefault="00592AEC" w:rsidP="00E85A72">
      <w:pPr>
        <w:spacing w:line="240" w:lineRule="auto"/>
        <w:rPr>
          <w:rFonts w:ascii="Times New Roman" w:hAnsi="Times New Roman" w:cs="Times New Roman"/>
          <w:sz w:val="24"/>
          <w:szCs w:val="24"/>
        </w:rPr>
      </w:pPr>
    </w:p>
    <w:p w14:paraId="4A9363C0" w14:textId="77777777" w:rsidR="005F3F94" w:rsidRPr="00683FC8" w:rsidRDefault="005F3F94" w:rsidP="00E85A72">
      <w:pPr>
        <w:spacing w:line="240" w:lineRule="auto"/>
        <w:rPr>
          <w:rFonts w:ascii="Times New Roman" w:hAnsi="Times New Roman" w:cs="Times New Roman"/>
          <w:sz w:val="24"/>
          <w:szCs w:val="24"/>
        </w:rPr>
      </w:pPr>
    </w:p>
    <w:p w14:paraId="603EE0F3" w14:textId="77777777" w:rsidR="005F3F94" w:rsidRPr="00683FC8" w:rsidRDefault="005F3F94" w:rsidP="00E85A72">
      <w:pPr>
        <w:spacing w:line="240" w:lineRule="auto"/>
        <w:rPr>
          <w:rFonts w:ascii="Times New Roman" w:hAnsi="Times New Roman" w:cs="Times New Roman"/>
          <w:sz w:val="24"/>
          <w:szCs w:val="24"/>
        </w:rPr>
      </w:pPr>
    </w:p>
    <w:p w14:paraId="566D1717" w14:textId="77777777" w:rsidR="00EC18F7" w:rsidRPr="00683FC8" w:rsidRDefault="00EC18F7" w:rsidP="00E85A72">
      <w:pPr>
        <w:spacing w:line="240" w:lineRule="auto"/>
        <w:rPr>
          <w:rFonts w:ascii="Times New Roman" w:hAnsi="Times New Roman" w:cs="Times New Roman"/>
          <w:sz w:val="24"/>
          <w:szCs w:val="24"/>
        </w:rPr>
      </w:pPr>
    </w:p>
    <w:sectPr w:rsidR="00EC18F7" w:rsidRPr="00683FC8" w:rsidSect="000741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2A577" w14:textId="77777777" w:rsidR="00E30F11" w:rsidRDefault="00E30F11" w:rsidP="00E421D9">
      <w:pPr>
        <w:spacing w:after="0" w:line="240" w:lineRule="auto"/>
      </w:pPr>
      <w:r>
        <w:separator/>
      </w:r>
    </w:p>
  </w:endnote>
  <w:endnote w:type="continuationSeparator" w:id="0">
    <w:p w14:paraId="1B2A1C66" w14:textId="77777777" w:rsidR="00E30F11" w:rsidRDefault="00E30F11" w:rsidP="00E4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B91D" w14:textId="77777777" w:rsidR="00EA07E7" w:rsidRDefault="00EA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35723"/>
      <w:docPartObj>
        <w:docPartGallery w:val="Page Numbers (Bottom of Page)"/>
        <w:docPartUnique/>
      </w:docPartObj>
    </w:sdtPr>
    <w:sdtEndPr>
      <w:rPr>
        <w:noProof/>
      </w:rPr>
    </w:sdtEndPr>
    <w:sdtContent>
      <w:p w14:paraId="7259E944" w14:textId="4F1A08B8" w:rsidR="002C7D34" w:rsidRDefault="002C7D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C39BA" w14:textId="77777777" w:rsidR="002C7D34" w:rsidRDefault="002C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2409" w14:textId="77777777" w:rsidR="00EA07E7" w:rsidRDefault="00EA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D9C33" w14:textId="77777777" w:rsidR="00E30F11" w:rsidRDefault="00E30F11" w:rsidP="00E421D9">
      <w:pPr>
        <w:spacing w:after="0" w:line="240" w:lineRule="auto"/>
      </w:pPr>
      <w:r>
        <w:separator/>
      </w:r>
    </w:p>
  </w:footnote>
  <w:footnote w:type="continuationSeparator" w:id="0">
    <w:p w14:paraId="34892497" w14:textId="77777777" w:rsidR="00E30F11" w:rsidRDefault="00E30F11" w:rsidP="00E42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784C" w14:textId="4C2D24B9" w:rsidR="00EA07E7" w:rsidRDefault="00E30F11">
    <w:pPr>
      <w:pStyle w:val="Header"/>
    </w:pPr>
    <w:r>
      <w:rPr>
        <w:noProof/>
      </w:rPr>
      <w:pict w14:anchorId="07EDE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2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CD47" w14:textId="2DD58DA5" w:rsidR="00D0704A" w:rsidRDefault="00E30F11">
    <w:pPr>
      <w:pStyle w:val="Header"/>
      <w:jc w:val="right"/>
    </w:pPr>
    <w:r>
      <w:rPr>
        <w:noProof/>
      </w:rPr>
      <w:pict w14:anchorId="41F9F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2361"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6A53C73" w14:textId="77777777" w:rsidR="00D0704A" w:rsidRDefault="00D07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F04D" w14:textId="212333D2" w:rsidR="00EA07E7" w:rsidRDefault="00E30F11">
    <w:pPr>
      <w:pStyle w:val="Header"/>
    </w:pPr>
    <w:r>
      <w:rPr>
        <w:noProof/>
      </w:rPr>
      <w:pict w14:anchorId="3EA02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02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1DD"/>
    <w:multiLevelType w:val="multilevel"/>
    <w:tmpl w:val="877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12C5D"/>
    <w:multiLevelType w:val="hybridMultilevel"/>
    <w:tmpl w:val="5B22C400"/>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D1525E"/>
    <w:multiLevelType w:val="hybridMultilevel"/>
    <w:tmpl w:val="2654B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1D6138"/>
    <w:multiLevelType w:val="hybridMultilevel"/>
    <w:tmpl w:val="F626A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3640DA"/>
    <w:multiLevelType w:val="hybridMultilevel"/>
    <w:tmpl w:val="1134745C"/>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AF3F78"/>
    <w:multiLevelType w:val="hybridMultilevel"/>
    <w:tmpl w:val="34F874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9"/>
    <w:rsid w:val="000165A0"/>
    <w:rsid w:val="00016E53"/>
    <w:rsid w:val="00026514"/>
    <w:rsid w:val="00043FA4"/>
    <w:rsid w:val="0004665A"/>
    <w:rsid w:val="00071973"/>
    <w:rsid w:val="0007419F"/>
    <w:rsid w:val="00075667"/>
    <w:rsid w:val="000771F5"/>
    <w:rsid w:val="000865FD"/>
    <w:rsid w:val="00095837"/>
    <w:rsid w:val="000C154D"/>
    <w:rsid w:val="000C491E"/>
    <w:rsid w:val="000E2045"/>
    <w:rsid w:val="000F6895"/>
    <w:rsid w:val="001353C4"/>
    <w:rsid w:val="00143652"/>
    <w:rsid w:val="00174E59"/>
    <w:rsid w:val="00184E32"/>
    <w:rsid w:val="00195533"/>
    <w:rsid w:val="001C23B0"/>
    <w:rsid w:val="001D1F86"/>
    <w:rsid w:val="001D30DD"/>
    <w:rsid w:val="001E7ECC"/>
    <w:rsid w:val="001F14D8"/>
    <w:rsid w:val="001F48E1"/>
    <w:rsid w:val="001F5E1B"/>
    <w:rsid w:val="00203E85"/>
    <w:rsid w:val="00225A1D"/>
    <w:rsid w:val="00247FA9"/>
    <w:rsid w:val="0029029D"/>
    <w:rsid w:val="002B10A5"/>
    <w:rsid w:val="002B5E12"/>
    <w:rsid w:val="002C341D"/>
    <w:rsid w:val="002C7D34"/>
    <w:rsid w:val="002E2EC2"/>
    <w:rsid w:val="00316BAA"/>
    <w:rsid w:val="00330EF3"/>
    <w:rsid w:val="00385DC3"/>
    <w:rsid w:val="0038740F"/>
    <w:rsid w:val="0039184C"/>
    <w:rsid w:val="003A5EEC"/>
    <w:rsid w:val="003B2FB8"/>
    <w:rsid w:val="003B2FC2"/>
    <w:rsid w:val="003F7088"/>
    <w:rsid w:val="00412639"/>
    <w:rsid w:val="00427DD6"/>
    <w:rsid w:val="00433599"/>
    <w:rsid w:val="00440084"/>
    <w:rsid w:val="00440CE3"/>
    <w:rsid w:val="00470F31"/>
    <w:rsid w:val="004717B9"/>
    <w:rsid w:val="00497703"/>
    <w:rsid w:val="00497A45"/>
    <w:rsid w:val="004A038C"/>
    <w:rsid w:val="004A6510"/>
    <w:rsid w:val="004B2804"/>
    <w:rsid w:val="004F045E"/>
    <w:rsid w:val="00507D9E"/>
    <w:rsid w:val="005103D7"/>
    <w:rsid w:val="005142CC"/>
    <w:rsid w:val="0053237B"/>
    <w:rsid w:val="005324A8"/>
    <w:rsid w:val="00541180"/>
    <w:rsid w:val="005616B5"/>
    <w:rsid w:val="00562880"/>
    <w:rsid w:val="005665BE"/>
    <w:rsid w:val="005762B3"/>
    <w:rsid w:val="00576D4A"/>
    <w:rsid w:val="0058755C"/>
    <w:rsid w:val="00592AEC"/>
    <w:rsid w:val="00593D32"/>
    <w:rsid w:val="005951E6"/>
    <w:rsid w:val="00596610"/>
    <w:rsid w:val="005B63DB"/>
    <w:rsid w:val="005D2139"/>
    <w:rsid w:val="005E5709"/>
    <w:rsid w:val="005F2466"/>
    <w:rsid w:val="005F3F94"/>
    <w:rsid w:val="00630194"/>
    <w:rsid w:val="006328B7"/>
    <w:rsid w:val="00633D59"/>
    <w:rsid w:val="00635E42"/>
    <w:rsid w:val="00647EDF"/>
    <w:rsid w:val="00652037"/>
    <w:rsid w:val="006520F7"/>
    <w:rsid w:val="00663F44"/>
    <w:rsid w:val="00683FC8"/>
    <w:rsid w:val="006B18CB"/>
    <w:rsid w:val="006B5B55"/>
    <w:rsid w:val="006B7E87"/>
    <w:rsid w:val="006C4592"/>
    <w:rsid w:val="006C4DE8"/>
    <w:rsid w:val="006D757B"/>
    <w:rsid w:val="006E4A8B"/>
    <w:rsid w:val="00723A8E"/>
    <w:rsid w:val="00745135"/>
    <w:rsid w:val="007A162F"/>
    <w:rsid w:val="007A241C"/>
    <w:rsid w:val="007A2593"/>
    <w:rsid w:val="007A4693"/>
    <w:rsid w:val="007B2F6B"/>
    <w:rsid w:val="007C7327"/>
    <w:rsid w:val="007E3575"/>
    <w:rsid w:val="007E684E"/>
    <w:rsid w:val="007F5BDC"/>
    <w:rsid w:val="007F5D6D"/>
    <w:rsid w:val="0080390E"/>
    <w:rsid w:val="00805595"/>
    <w:rsid w:val="008210BF"/>
    <w:rsid w:val="00821BFE"/>
    <w:rsid w:val="0082795C"/>
    <w:rsid w:val="0086784C"/>
    <w:rsid w:val="008A3BF2"/>
    <w:rsid w:val="008B243C"/>
    <w:rsid w:val="008B66DB"/>
    <w:rsid w:val="008D2E44"/>
    <w:rsid w:val="008E1A5E"/>
    <w:rsid w:val="008E452C"/>
    <w:rsid w:val="00906CEA"/>
    <w:rsid w:val="00922E9D"/>
    <w:rsid w:val="00927BB0"/>
    <w:rsid w:val="00936A30"/>
    <w:rsid w:val="009519BD"/>
    <w:rsid w:val="00952534"/>
    <w:rsid w:val="00954987"/>
    <w:rsid w:val="00960DCD"/>
    <w:rsid w:val="009828A1"/>
    <w:rsid w:val="009845EA"/>
    <w:rsid w:val="00992576"/>
    <w:rsid w:val="009A55FE"/>
    <w:rsid w:val="009B5A05"/>
    <w:rsid w:val="009B5C95"/>
    <w:rsid w:val="009D30BF"/>
    <w:rsid w:val="00A01843"/>
    <w:rsid w:val="00A0285B"/>
    <w:rsid w:val="00A05A5C"/>
    <w:rsid w:val="00A1160E"/>
    <w:rsid w:val="00A169A6"/>
    <w:rsid w:val="00A26BC5"/>
    <w:rsid w:val="00A279AD"/>
    <w:rsid w:val="00A32B9B"/>
    <w:rsid w:val="00A339C1"/>
    <w:rsid w:val="00A37D11"/>
    <w:rsid w:val="00A6191B"/>
    <w:rsid w:val="00A827D5"/>
    <w:rsid w:val="00AA4518"/>
    <w:rsid w:val="00AD0B7E"/>
    <w:rsid w:val="00AD0C46"/>
    <w:rsid w:val="00AF324F"/>
    <w:rsid w:val="00B0162D"/>
    <w:rsid w:val="00B124A6"/>
    <w:rsid w:val="00B20965"/>
    <w:rsid w:val="00B314DB"/>
    <w:rsid w:val="00B40E2F"/>
    <w:rsid w:val="00B42DED"/>
    <w:rsid w:val="00B713D6"/>
    <w:rsid w:val="00B82719"/>
    <w:rsid w:val="00B86630"/>
    <w:rsid w:val="00B96DAE"/>
    <w:rsid w:val="00B97B5D"/>
    <w:rsid w:val="00BB66FA"/>
    <w:rsid w:val="00BE4E39"/>
    <w:rsid w:val="00BF28AA"/>
    <w:rsid w:val="00BF59F3"/>
    <w:rsid w:val="00BF7B9B"/>
    <w:rsid w:val="00C020BA"/>
    <w:rsid w:val="00C03120"/>
    <w:rsid w:val="00C031CB"/>
    <w:rsid w:val="00C072C2"/>
    <w:rsid w:val="00C50A84"/>
    <w:rsid w:val="00C52FF0"/>
    <w:rsid w:val="00C629B0"/>
    <w:rsid w:val="00C6377C"/>
    <w:rsid w:val="00C90019"/>
    <w:rsid w:val="00CA03AE"/>
    <w:rsid w:val="00CB43BD"/>
    <w:rsid w:val="00CC00BB"/>
    <w:rsid w:val="00CD0A1A"/>
    <w:rsid w:val="00CE158C"/>
    <w:rsid w:val="00CE386B"/>
    <w:rsid w:val="00CE6DE1"/>
    <w:rsid w:val="00CF036D"/>
    <w:rsid w:val="00D04B36"/>
    <w:rsid w:val="00D0704A"/>
    <w:rsid w:val="00D12427"/>
    <w:rsid w:val="00D17403"/>
    <w:rsid w:val="00D17D10"/>
    <w:rsid w:val="00D25686"/>
    <w:rsid w:val="00D353F9"/>
    <w:rsid w:val="00D469B8"/>
    <w:rsid w:val="00D6069B"/>
    <w:rsid w:val="00D61EEE"/>
    <w:rsid w:val="00D644F2"/>
    <w:rsid w:val="00D80666"/>
    <w:rsid w:val="00D861A0"/>
    <w:rsid w:val="00DA7A5F"/>
    <w:rsid w:val="00DB2DA2"/>
    <w:rsid w:val="00DB2DDC"/>
    <w:rsid w:val="00DD085A"/>
    <w:rsid w:val="00DD727C"/>
    <w:rsid w:val="00E06668"/>
    <w:rsid w:val="00E11D17"/>
    <w:rsid w:val="00E2151A"/>
    <w:rsid w:val="00E24596"/>
    <w:rsid w:val="00E2465B"/>
    <w:rsid w:val="00E30F11"/>
    <w:rsid w:val="00E421D9"/>
    <w:rsid w:val="00E446F5"/>
    <w:rsid w:val="00E76174"/>
    <w:rsid w:val="00E76EE0"/>
    <w:rsid w:val="00E851AD"/>
    <w:rsid w:val="00E85A72"/>
    <w:rsid w:val="00EA07E7"/>
    <w:rsid w:val="00EA4623"/>
    <w:rsid w:val="00EC18F7"/>
    <w:rsid w:val="00ED3D6C"/>
    <w:rsid w:val="00ED7773"/>
    <w:rsid w:val="00EE205A"/>
    <w:rsid w:val="00EE572C"/>
    <w:rsid w:val="00EF1BCF"/>
    <w:rsid w:val="00EF4FF5"/>
    <w:rsid w:val="00EF602B"/>
    <w:rsid w:val="00F1277C"/>
    <w:rsid w:val="00F24C58"/>
    <w:rsid w:val="00F30B98"/>
    <w:rsid w:val="00F474D5"/>
    <w:rsid w:val="00F6767E"/>
    <w:rsid w:val="00F74211"/>
    <w:rsid w:val="00F819B2"/>
    <w:rsid w:val="00F85E35"/>
    <w:rsid w:val="00FA5221"/>
    <w:rsid w:val="00FB6060"/>
    <w:rsid w:val="00FD2826"/>
    <w:rsid w:val="00FD67B5"/>
    <w:rsid w:val="00FD6B0C"/>
    <w:rsid w:val="00FE077A"/>
    <w:rsid w:val="00FE649E"/>
    <w:rsid w:val="00FF2142"/>
    <w:rsid w:val="00FF66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983927"/>
  <w15:chartTrackingRefBased/>
  <w15:docId w15:val="{F9F5C6E4-C4FE-4249-876B-08BAE7F3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9B"/>
    <w:rPr>
      <w:color w:val="0000FF"/>
      <w:u w:val="single"/>
    </w:rPr>
  </w:style>
  <w:style w:type="table" w:styleId="TableGrid">
    <w:name w:val="Table Grid"/>
    <w:basedOn w:val="TableNormal"/>
    <w:uiPriority w:val="39"/>
    <w:rsid w:val="0029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62F"/>
    <w:pPr>
      <w:ind w:left="720"/>
      <w:contextualSpacing/>
    </w:pPr>
  </w:style>
  <w:style w:type="character" w:customStyle="1" w:styleId="amacitation">
    <w:name w:val="amacitation"/>
    <w:basedOn w:val="DefaultParagraphFont"/>
    <w:rsid w:val="007A162F"/>
  </w:style>
  <w:style w:type="character" w:customStyle="1" w:styleId="editor">
    <w:name w:val="editor"/>
    <w:basedOn w:val="DefaultParagraphFont"/>
    <w:rsid w:val="007A162F"/>
  </w:style>
  <w:style w:type="character" w:styleId="Emphasis">
    <w:name w:val="Emphasis"/>
    <w:basedOn w:val="DefaultParagraphFont"/>
    <w:uiPriority w:val="20"/>
    <w:qFormat/>
    <w:rsid w:val="007A162F"/>
    <w:rPr>
      <w:i/>
      <w:iCs/>
    </w:rPr>
  </w:style>
  <w:style w:type="character" w:customStyle="1" w:styleId="urllink">
    <w:name w:val="urllink"/>
    <w:basedOn w:val="DefaultParagraphFont"/>
    <w:rsid w:val="007A162F"/>
  </w:style>
  <w:style w:type="table" w:customStyle="1" w:styleId="TableGrid0">
    <w:name w:val="TableGrid"/>
    <w:rsid w:val="00F819B2"/>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E42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1D9"/>
  </w:style>
  <w:style w:type="paragraph" w:styleId="Footer">
    <w:name w:val="footer"/>
    <w:basedOn w:val="Normal"/>
    <w:link w:val="FooterChar"/>
    <w:uiPriority w:val="99"/>
    <w:unhideWhenUsed/>
    <w:rsid w:val="00E42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1D9"/>
  </w:style>
  <w:style w:type="character" w:styleId="LineNumber">
    <w:name w:val="line number"/>
    <w:basedOn w:val="DefaultParagraphFont"/>
    <w:uiPriority w:val="99"/>
    <w:semiHidden/>
    <w:unhideWhenUsed/>
    <w:rsid w:val="00EE572C"/>
  </w:style>
  <w:style w:type="paragraph" w:styleId="NormalWeb">
    <w:name w:val="Normal (Web)"/>
    <w:basedOn w:val="Normal"/>
    <w:uiPriority w:val="99"/>
    <w:semiHidden/>
    <w:unhideWhenUsed/>
    <w:rsid w:val="00B8271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B6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311">
      <w:bodyDiv w:val="1"/>
      <w:marLeft w:val="0"/>
      <w:marRight w:val="0"/>
      <w:marTop w:val="0"/>
      <w:marBottom w:val="0"/>
      <w:divBdr>
        <w:top w:val="none" w:sz="0" w:space="0" w:color="auto"/>
        <w:left w:val="none" w:sz="0" w:space="0" w:color="auto"/>
        <w:bottom w:val="none" w:sz="0" w:space="0" w:color="auto"/>
        <w:right w:val="none" w:sz="0" w:space="0" w:color="auto"/>
      </w:divBdr>
    </w:div>
    <w:div w:id="248275238">
      <w:bodyDiv w:val="1"/>
      <w:marLeft w:val="0"/>
      <w:marRight w:val="0"/>
      <w:marTop w:val="0"/>
      <w:marBottom w:val="0"/>
      <w:divBdr>
        <w:top w:val="none" w:sz="0" w:space="0" w:color="auto"/>
        <w:left w:val="none" w:sz="0" w:space="0" w:color="auto"/>
        <w:bottom w:val="none" w:sz="0" w:space="0" w:color="auto"/>
        <w:right w:val="none" w:sz="0" w:space="0" w:color="auto"/>
      </w:divBdr>
    </w:div>
    <w:div w:id="324741983">
      <w:bodyDiv w:val="1"/>
      <w:marLeft w:val="0"/>
      <w:marRight w:val="0"/>
      <w:marTop w:val="0"/>
      <w:marBottom w:val="0"/>
      <w:divBdr>
        <w:top w:val="none" w:sz="0" w:space="0" w:color="auto"/>
        <w:left w:val="none" w:sz="0" w:space="0" w:color="auto"/>
        <w:bottom w:val="none" w:sz="0" w:space="0" w:color="auto"/>
        <w:right w:val="none" w:sz="0" w:space="0" w:color="auto"/>
      </w:divBdr>
    </w:div>
    <w:div w:id="346374129">
      <w:bodyDiv w:val="1"/>
      <w:marLeft w:val="0"/>
      <w:marRight w:val="0"/>
      <w:marTop w:val="0"/>
      <w:marBottom w:val="0"/>
      <w:divBdr>
        <w:top w:val="none" w:sz="0" w:space="0" w:color="auto"/>
        <w:left w:val="none" w:sz="0" w:space="0" w:color="auto"/>
        <w:bottom w:val="none" w:sz="0" w:space="0" w:color="auto"/>
        <w:right w:val="none" w:sz="0" w:space="0" w:color="auto"/>
      </w:divBdr>
    </w:div>
    <w:div w:id="746154648">
      <w:bodyDiv w:val="1"/>
      <w:marLeft w:val="0"/>
      <w:marRight w:val="0"/>
      <w:marTop w:val="0"/>
      <w:marBottom w:val="0"/>
      <w:divBdr>
        <w:top w:val="none" w:sz="0" w:space="0" w:color="auto"/>
        <w:left w:val="none" w:sz="0" w:space="0" w:color="auto"/>
        <w:bottom w:val="none" w:sz="0" w:space="0" w:color="auto"/>
        <w:right w:val="none" w:sz="0" w:space="0" w:color="auto"/>
      </w:divBdr>
      <w:divsChild>
        <w:div w:id="309672618">
          <w:marLeft w:val="0"/>
          <w:marRight w:val="0"/>
          <w:marTop w:val="0"/>
          <w:marBottom w:val="0"/>
          <w:divBdr>
            <w:top w:val="none" w:sz="0" w:space="0" w:color="auto"/>
            <w:left w:val="none" w:sz="0" w:space="0" w:color="auto"/>
            <w:bottom w:val="none" w:sz="0" w:space="0" w:color="auto"/>
            <w:right w:val="none" w:sz="0" w:space="0" w:color="auto"/>
          </w:divBdr>
          <w:divsChild>
            <w:div w:id="133373301">
              <w:marLeft w:val="0"/>
              <w:marRight w:val="0"/>
              <w:marTop w:val="0"/>
              <w:marBottom w:val="0"/>
              <w:divBdr>
                <w:top w:val="none" w:sz="0" w:space="0" w:color="auto"/>
                <w:left w:val="none" w:sz="0" w:space="0" w:color="auto"/>
                <w:bottom w:val="none" w:sz="0" w:space="0" w:color="auto"/>
                <w:right w:val="none" w:sz="0" w:space="0" w:color="auto"/>
              </w:divBdr>
              <w:divsChild>
                <w:div w:id="797916751">
                  <w:marLeft w:val="0"/>
                  <w:marRight w:val="0"/>
                  <w:marTop w:val="0"/>
                  <w:marBottom w:val="0"/>
                  <w:divBdr>
                    <w:top w:val="none" w:sz="0" w:space="0" w:color="auto"/>
                    <w:left w:val="none" w:sz="0" w:space="0" w:color="auto"/>
                    <w:bottom w:val="none" w:sz="0" w:space="0" w:color="auto"/>
                    <w:right w:val="none" w:sz="0" w:space="0" w:color="auto"/>
                  </w:divBdr>
                  <w:divsChild>
                    <w:div w:id="17091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9817">
      <w:bodyDiv w:val="1"/>
      <w:marLeft w:val="0"/>
      <w:marRight w:val="0"/>
      <w:marTop w:val="0"/>
      <w:marBottom w:val="0"/>
      <w:divBdr>
        <w:top w:val="none" w:sz="0" w:space="0" w:color="auto"/>
        <w:left w:val="none" w:sz="0" w:space="0" w:color="auto"/>
        <w:bottom w:val="none" w:sz="0" w:space="0" w:color="auto"/>
        <w:right w:val="none" w:sz="0" w:space="0" w:color="auto"/>
      </w:divBdr>
    </w:div>
    <w:div w:id="1465351336">
      <w:bodyDiv w:val="1"/>
      <w:marLeft w:val="0"/>
      <w:marRight w:val="0"/>
      <w:marTop w:val="0"/>
      <w:marBottom w:val="0"/>
      <w:divBdr>
        <w:top w:val="none" w:sz="0" w:space="0" w:color="auto"/>
        <w:left w:val="none" w:sz="0" w:space="0" w:color="auto"/>
        <w:bottom w:val="none" w:sz="0" w:space="0" w:color="auto"/>
        <w:right w:val="none" w:sz="0" w:space="0" w:color="auto"/>
      </w:divBdr>
      <w:divsChild>
        <w:div w:id="1351418699">
          <w:marLeft w:val="0"/>
          <w:marRight w:val="0"/>
          <w:marTop w:val="0"/>
          <w:marBottom w:val="0"/>
          <w:divBdr>
            <w:top w:val="none" w:sz="0" w:space="0" w:color="auto"/>
            <w:left w:val="none" w:sz="0" w:space="0" w:color="auto"/>
            <w:bottom w:val="none" w:sz="0" w:space="0" w:color="auto"/>
            <w:right w:val="none" w:sz="0" w:space="0" w:color="auto"/>
          </w:divBdr>
        </w:div>
        <w:div w:id="1786342526">
          <w:marLeft w:val="0"/>
          <w:marRight w:val="0"/>
          <w:marTop w:val="0"/>
          <w:marBottom w:val="0"/>
          <w:divBdr>
            <w:top w:val="none" w:sz="0" w:space="0" w:color="auto"/>
            <w:left w:val="none" w:sz="0" w:space="0" w:color="auto"/>
            <w:bottom w:val="none" w:sz="0" w:space="0" w:color="auto"/>
            <w:right w:val="none" w:sz="0" w:space="0" w:color="auto"/>
          </w:divBdr>
        </w:div>
      </w:divsChild>
    </w:div>
    <w:div w:id="1606839293">
      <w:bodyDiv w:val="1"/>
      <w:marLeft w:val="0"/>
      <w:marRight w:val="0"/>
      <w:marTop w:val="0"/>
      <w:marBottom w:val="0"/>
      <w:divBdr>
        <w:top w:val="none" w:sz="0" w:space="0" w:color="auto"/>
        <w:left w:val="none" w:sz="0" w:space="0" w:color="auto"/>
        <w:bottom w:val="none" w:sz="0" w:space="0" w:color="auto"/>
        <w:right w:val="none" w:sz="0" w:space="0" w:color="auto"/>
      </w:divBdr>
    </w:div>
    <w:div w:id="1820002589">
      <w:bodyDiv w:val="1"/>
      <w:marLeft w:val="0"/>
      <w:marRight w:val="0"/>
      <w:marTop w:val="0"/>
      <w:marBottom w:val="0"/>
      <w:divBdr>
        <w:top w:val="none" w:sz="0" w:space="0" w:color="auto"/>
        <w:left w:val="none" w:sz="0" w:space="0" w:color="auto"/>
        <w:bottom w:val="none" w:sz="0" w:space="0" w:color="auto"/>
        <w:right w:val="none" w:sz="0" w:space="0" w:color="auto"/>
      </w:divBdr>
    </w:div>
    <w:div w:id="2083794560">
      <w:bodyDiv w:val="1"/>
      <w:marLeft w:val="0"/>
      <w:marRight w:val="0"/>
      <w:marTop w:val="0"/>
      <w:marBottom w:val="0"/>
      <w:divBdr>
        <w:top w:val="none" w:sz="0" w:space="0" w:color="auto"/>
        <w:left w:val="none" w:sz="0" w:space="0" w:color="auto"/>
        <w:bottom w:val="none" w:sz="0" w:space="0" w:color="auto"/>
        <w:right w:val="none" w:sz="0" w:space="0" w:color="auto"/>
      </w:divBdr>
    </w:div>
    <w:div w:id="20999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essmedicine.mhmedical.com/content.aspx?bookid=506&amp;sectionid=425849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2485</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dc:creator>
  <cp:keywords/>
  <dc:description/>
  <cp:lastModifiedBy>Editor-1183</cp:lastModifiedBy>
  <cp:revision>119</cp:revision>
  <dcterms:created xsi:type="dcterms:W3CDTF">2025-10-06T05:38:00Z</dcterms:created>
  <dcterms:modified xsi:type="dcterms:W3CDTF">2025-12-13T11:32:00Z</dcterms:modified>
</cp:coreProperties>
</file>