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CFDE8" w14:textId="77777777" w:rsidR="00BB61B4" w:rsidRPr="00BB61B4" w:rsidRDefault="00BB61B4" w:rsidP="00BB61B4">
      <w:pPr>
        <w:pStyle w:val="Author"/>
        <w:rPr>
          <w:rFonts w:ascii="Arial" w:hAnsi="Arial" w:cs="Arial"/>
          <w:bCs/>
          <w:i/>
          <w:iCs/>
          <w:kern w:val="28"/>
          <w:sz w:val="18"/>
          <w:szCs w:val="18"/>
          <w:u w:val="single"/>
        </w:rPr>
      </w:pPr>
      <w:r w:rsidRPr="00BB61B4">
        <w:rPr>
          <w:rFonts w:ascii="Arial" w:hAnsi="Arial" w:cs="Arial"/>
          <w:bCs/>
          <w:i/>
          <w:iCs/>
          <w:kern w:val="28"/>
          <w:sz w:val="18"/>
          <w:szCs w:val="18"/>
          <w:u w:val="single"/>
        </w:rPr>
        <w:t>Original Research Article</w:t>
      </w:r>
    </w:p>
    <w:p w14:paraId="16200B49" w14:textId="39548EAB" w:rsidR="00163BC4" w:rsidRPr="00163BC4" w:rsidRDefault="00A25747" w:rsidP="00441B6F">
      <w:pPr>
        <w:pStyle w:val="Author"/>
        <w:spacing w:line="240" w:lineRule="auto"/>
        <w:rPr>
          <w:rFonts w:ascii="Arial" w:hAnsi="Arial" w:cs="Arial"/>
          <w:bCs/>
          <w:iCs/>
          <w:kern w:val="28"/>
          <w:sz w:val="36"/>
        </w:rPr>
      </w:pPr>
      <w:r w:rsidRPr="00A25747">
        <w:rPr>
          <w:rFonts w:ascii="Arial" w:hAnsi="Arial" w:cs="Arial"/>
          <w:bCs/>
          <w:iCs/>
          <w:kern w:val="28"/>
          <w:sz w:val="36"/>
        </w:rPr>
        <w:t>Clinician Perspectives and Treatment Preferences for Calamine-Based Combination Formulations in Dermatological Practice</w:t>
      </w:r>
      <w:r w:rsidR="00231920">
        <w:rPr>
          <w:rFonts w:ascii="Arial" w:hAnsi="Arial" w:cs="Arial"/>
          <w:bCs/>
          <w:iCs/>
          <w:kern w:val="28"/>
          <w:sz w:val="36"/>
        </w:rPr>
        <w:t xml:space="preserve"> </w:t>
      </w:r>
    </w:p>
    <w:p w14:paraId="665DC011" w14:textId="77777777" w:rsidR="00A258C3" w:rsidRPr="00790ADA" w:rsidRDefault="00A258C3" w:rsidP="00441B6F">
      <w:pPr>
        <w:pStyle w:val="Author"/>
        <w:spacing w:line="240" w:lineRule="auto"/>
        <w:jc w:val="both"/>
        <w:rPr>
          <w:rFonts w:ascii="Arial" w:hAnsi="Arial" w:cs="Arial"/>
          <w:sz w:val="36"/>
        </w:rPr>
      </w:pPr>
    </w:p>
    <w:p w14:paraId="3597A70F" w14:textId="77777777" w:rsidR="009D739A" w:rsidRDefault="009D739A" w:rsidP="006A00B8">
      <w:pPr>
        <w:pStyle w:val="Affiliation"/>
        <w:spacing w:after="0" w:line="240" w:lineRule="auto"/>
        <w:rPr>
          <w:rFonts w:ascii="Arial" w:hAnsi="Arial" w:cs="Arial"/>
          <w:i/>
        </w:rPr>
      </w:pPr>
    </w:p>
    <w:p w14:paraId="290E86C8" w14:textId="77777777" w:rsidR="006A00B8" w:rsidRDefault="006A00B8" w:rsidP="006A00B8">
      <w:pPr>
        <w:pStyle w:val="Affiliation"/>
        <w:spacing w:after="0" w:line="240" w:lineRule="auto"/>
        <w:jc w:val="both"/>
        <w:rPr>
          <w:rFonts w:ascii="Arial" w:hAnsi="Arial" w:cs="Arial"/>
        </w:rPr>
      </w:pPr>
    </w:p>
    <w:p w14:paraId="3F2D537D" w14:textId="77777777" w:rsidR="00B01FCD" w:rsidRPr="00FB3A86" w:rsidRDefault="00077013" w:rsidP="00441B6F">
      <w:pPr>
        <w:pStyle w:val="Copyright"/>
        <w:spacing w:after="0" w:line="240" w:lineRule="auto"/>
        <w:jc w:val="both"/>
        <w:rPr>
          <w:rFonts w:ascii="Arial" w:hAnsi="Arial" w:cs="Arial"/>
        </w:rPr>
        <w:sectPr w:rsidR="00B01FCD" w:rsidRPr="00FB3A86" w:rsidSect="000E049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299500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8E8B85A"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22F53BA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08A6277" w14:textId="77777777" w:rsidTr="001E44FE">
        <w:tc>
          <w:tcPr>
            <w:tcW w:w="9576" w:type="dxa"/>
            <w:shd w:val="clear" w:color="auto" w:fill="F2F2F2"/>
          </w:tcPr>
          <w:p w14:paraId="0438B6A3" w14:textId="49042570" w:rsidR="00A25747" w:rsidRDefault="00A25747" w:rsidP="00A25747">
            <w:pPr>
              <w:spacing w:before="240" w:after="240"/>
              <w:jc w:val="both"/>
              <w:rPr>
                <w:rFonts w:ascii="Arial" w:eastAsia="Calibri" w:hAnsi="Arial" w:cs="Arial"/>
              </w:rPr>
            </w:pPr>
            <w:r w:rsidRPr="00A25747">
              <w:rPr>
                <w:rFonts w:ascii="Arial" w:eastAsia="Calibri" w:hAnsi="Arial" w:cs="Arial"/>
                <w:b/>
                <w:bCs/>
              </w:rPr>
              <w:t>Objective:</w:t>
            </w:r>
            <w:r w:rsidRPr="00A25747">
              <w:rPr>
                <w:rFonts w:ascii="Arial" w:eastAsia="Calibri" w:hAnsi="Arial" w:cs="Arial"/>
              </w:rPr>
              <w:t xml:space="preserve"> </w:t>
            </w:r>
            <w:r w:rsidR="00077013">
              <w:rPr>
                <w:rFonts w:ascii="Arial" w:eastAsia="Calibri" w:hAnsi="Arial" w:cs="Arial"/>
              </w:rPr>
              <w:t>The present study</w:t>
            </w:r>
            <w:r w:rsidRPr="00A25747">
              <w:rPr>
                <w:rFonts w:ascii="Arial" w:eastAsia="Calibri" w:hAnsi="Arial" w:cs="Arial"/>
              </w:rPr>
              <w:t xml:space="preserve"> evaluate</w:t>
            </w:r>
            <w:r w:rsidR="00077013">
              <w:rPr>
                <w:rFonts w:ascii="Arial" w:eastAsia="Calibri" w:hAnsi="Arial" w:cs="Arial"/>
              </w:rPr>
              <w:t>s</w:t>
            </w:r>
            <w:r w:rsidRPr="00A25747">
              <w:rPr>
                <w:rFonts w:ascii="Arial" w:eastAsia="Calibri" w:hAnsi="Arial" w:cs="Arial"/>
              </w:rPr>
              <w:t xml:space="preserve"> dermatologists’ perspectives and treatment preferences on the use of calamine lotion and its combination in the management of various dermatological conditions commonly encountered in clinical practice in India.</w:t>
            </w:r>
          </w:p>
          <w:p w14:paraId="2F269228" w14:textId="6276D791" w:rsidR="00A25747" w:rsidRPr="00A25747" w:rsidRDefault="00A25747" w:rsidP="00A25747">
            <w:pPr>
              <w:spacing w:before="240" w:after="240"/>
              <w:jc w:val="both"/>
              <w:rPr>
                <w:rFonts w:ascii="Arial" w:hAnsi="Arial" w:cs="Arial"/>
              </w:rPr>
            </w:pPr>
            <w:r w:rsidRPr="00A25747">
              <w:rPr>
                <w:rFonts w:ascii="Arial" w:eastAsia="Calibri" w:hAnsi="Arial" w:cs="Arial"/>
                <w:b/>
                <w:bCs/>
              </w:rPr>
              <w:t>Methodology:</w:t>
            </w:r>
            <w:r w:rsidRPr="00A25747">
              <w:rPr>
                <w:rFonts w:ascii="Arial" w:eastAsia="Calibri" w:hAnsi="Arial" w:cs="Arial"/>
              </w:rPr>
              <w:t xml:space="preserve"> The cross-sectional study was conducted among 513 dermatology experts practicing in India, and a 23-item multiple-response questionnaire was used to capture expert insights and clinical experiences regarding the use of calamine lotion and its combinations with aloe vera and liquid paraffin across different dermatological conditions, including urticaria, eczema, and other pruritic disorders. Data visualization, including pie and bar charts, was performed using Microsoft Excel 2013.</w:t>
            </w:r>
          </w:p>
          <w:p w14:paraId="75C1CB84" w14:textId="77370964" w:rsidR="00A25747" w:rsidRPr="00A25747" w:rsidRDefault="00A25747" w:rsidP="00A25747">
            <w:pPr>
              <w:spacing w:before="240" w:after="240"/>
              <w:jc w:val="both"/>
              <w:rPr>
                <w:rFonts w:ascii="Arial" w:eastAsia="Calibri" w:hAnsi="Arial" w:cs="Arial"/>
              </w:rPr>
            </w:pPr>
            <w:r w:rsidRPr="00A25747">
              <w:rPr>
                <w:rFonts w:ascii="Arial" w:eastAsia="Calibri" w:hAnsi="Arial" w:cs="Arial"/>
                <w:b/>
                <w:bCs/>
              </w:rPr>
              <w:t>Results:</w:t>
            </w:r>
            <w:r w:rsidRPr="00A25747">
              <w:rPr>
                <w:rFonts w:ascii="Arial" w:eastAsia="Calibri" w:hAnsi="Arial" w:cs="Arial"/>
              </w:rPr>
              <w:t xml:space="preserve"> Majority of clinicians (90.06%) preferred calamine as the topical agent of choice for urticaria, while 75% rarely used it as monotherapy for itchy skin. More than half of the respondents (51.46%) preferred aloe vera as a combination ingredient, and about 38% favored light liquid paraffin. Around 35% used the aloe vera-calamine combination in 26 to 50% of patients with pruritus, with almost 57% reporting extreme satisfaction with the aloe vera-calamine-liquid paraffin formulation. The combination was used by approximately 33% of clinicians in 31</w:t>
            </w:r>
            <w:r w:rsidR="003D4F7D">
              <w:rPr>
                <w:rFonts w:ascii="Arial" w:eastAsia="Calibri" w:hAnsi="Arial" w:cs="Arial"/>
              </w:rPr>
              <w:t>-</w:t>
            </w:r>
            <w:r w:rsidRPr="00A25747">
              <w:rPr>
                <w:rFonts w:ascii="Arial" w:eastAsia="Calibri" w:hAnsi="Arial" w:cs="Arial"/>
              </w:rPr>
              <w:t>40% of patients with miliaria and by 69% in fewer than 10% of patients with post-acne hyperpigmentation. Nearly 34% found it effective in 11–25% of diaper dermatitis cases, while 42% reported using it in fewer than 10% of patients with hand-foot-mouth disease.</w:t>
            </w:r>
          </w:p>
          <w:p w14:paraId="45CBA51F" w14:textId="0B2429FB" w:rsidR="00505F06" w:rsidRPr="006A00B8" w:rsidRDefault="00A25747" w:rsidP="00A25747">
            <w:pPr>
              <w:pStyle w:val="Body"/>
              <w:spacing w:after="0"/>
              <w:rPr>
                <w:rFonts w:ascii="Arial" w:eastAsia="Calibri" w:hAnsi="Arial" w:cs="Arial"/>
                <w:szCs w:val="22"/>
                <w:lang w:val="en-IN"/>
              </w:rPr>
            </w:pPr>
            <w:r w:rsidRPr="00A25747">
              <w:rPr>
                <w:rFonts w:ascii="Arial" w:eastAsia="Calibri" w:hAnsi="Arial" w:cs="Arial"/>
                <w:b/>
                <w:bCs/>
              </w:rPr>
              <w:t>Conclusion:</w:t>
            </w:r>
            <w:r w:rsidRPr="00A25747">
              <w:rPr>
                <w:rFonts w:ascii="Arial" w:eastAsia="Calibri" w:hAnsi="Arial" w:cs="Arial"/>
              </w:rPr>
              <w:t xml:space="preserve"> The survey highlights that calamine remains the preferred topical agent for urticaria among Indian dermatologists, although some studies favor its use in combination rather than as monotherapy. The aloe vera-calamine-liquid paraffin combination demonstrated better perceived efficacy, condition-specific use, being more common in inflammatory conditions such as miliaria and less frequent in disorders requiring targeted therapy, such as post-acne hyperpigmentation</w:t>
            </w:r>
            <w:r w:rsidR="00C72046" w:rsidRPr="00A25747">
              <w:rPr>
                <w:rFonts w:ascii="Arial" w:eastAsia="Calibri" w:hAnsi="Arial" w:cs="Arial"/>
                <w:bCs/>
                <w:szCs w:val="22"/>
                <w:lang w:val="en-IN"/>
              </w:rPr>
              <w:t>.</w:t>
            </w:r>
          </w:p>
        </w:tc>
      </w:tr>
    </w:tbl>
    <w:p w14:paraId="47F03EA8" w14:textId="77777777" w:rsidR="00636EB2" w:rsidRDefault="00636EB2" w:rsidP="00441B6F">
      <w:pPr>
        <w:pStyle w:val="Body"/>
        <w:spacing w:after="0"/>
        <w:rPr>
          <w:rFonts w:ascii="Arial" w:hAnsi="Arial" w:cs="Arial"/>
          <w:i/>
        </w:rPr>
      </w:pPr>
    </w:p>
    <w:p w14:paraId="66A07B2F" w14:textId="58FFEE19" w:rsidR="00A24E7E" w:rsidRDefault="00A24E7E" w:rsidP="00441B6F">
      <w:pPr>
        <w:pStyle w:val="Body"/>
        <w:spacing w:after="0"/>
        <w:rPr>
          <w:rFonts w:ascii="Arial" w:hAnsi="Arial" w:cs="Arial"/>
          <w:i/>
        </w:rPr>
      </w:pPr>
      <w:r w:rsidRPr="00157EFD">
        <w:rPr>
          <w:rFonts w:ascii="Arial" w:hAnsi="Arial" w:cs="Arial"/>
          <w:b/>
          <w:bCs/>
          <w:i/>
        </w:rPr>
        <w:t>Keywords</w:t>
      </w:r>
      <w:r>
        <w:rPr>
          <w:rFonts w:ascii="Arial" w:hAnsi="Arial" w:cs="Arial"/>
          <w:i/>
        </w:rPr>
        <w:t xml:space="preserve">: </w:t>
      </w:r>
      <w:r w:rsidR="00A25747" w:rsidRPr="00A25747">
        <w:rPr>
          <w:rFonts w:ascii="Arial" w:hAnsi="Arial" w:cs="Arial"/>
          <w:i/>
        </w:rPr>
        <w:t>Calamine, Aloe vera, liquid paraffin, Dermatology, Pruritus</w:t>
      </w:r>
    </w:p>
    <w:p w14:paraId="35A2B735" w14:textId="77777777" w:rsidR="00505F06" w:rsidRPr="00A24E7E" w:rsidRDefault="00505F06" w:rsidP="00441B6F">
      <w:pPr>
        <w:pStyle w:val="Body"/>
        <w:spacing w:after="0"/>
        <w:rPr>
          <w:rFonts w:ascii="Arial" w:hAnsi="Arial" w:cs="Arial"/>
          <w:i/>
        </w:rPr>
      </w:pPr>
    </w:p>
    <w:p w14:paraId="3E5B2CC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AD1441A" w14:textId="77777777" w:rsidR="00790ADA" w:rsidRPr="00FB3A86" w:rsidRDefault="00790ADA" w:rsidP="00441B6F">
      <w:pPr>
        <w:pStyle w:val="AbstHead"/>
        <w:spacing w:after="0"/>
        <w:jc w:val="both"/>
        <w:rPr>
          <w:rFonts w:ascii="Arial" w:hAnsi="Arial" w:cs="Arial"/>
        </w:rPr>
      </w:pPr>
    </w:p>
    <w:p w14:paraId="6017ED31" w14:textId="77777777" w:rsidR="00A25747" w:rsidRPr="00A25747" w:rsidRDefault="00A25747" w:rsidP="00A25747">
      <w:pPr>
        <w:jc w:val="both"/>
        <w:rPr>
          <w:rFonts w:ascii="Arial" w:hAnsi="Arial" w:cs="Arial"/>
        </w:rPr>
      </w:pPr>
      <w:r w:rsidRPr="00A25747">
        <w:rPr>
          <w:rFonts w:ascii="Arial" w:hAnsi="Arial" w:cs="Arial"/>
        </w:rPr>
        <w:t>Skin and subcutaneous diseases contribute substantially to global morbidity, affecting an estimated 1.8 billion individuals at any given time.</w:t>
      </w:r>
      <w:r w:rsidRPr="00A25747">
        <w:rPr>
          <w:rFonts w:ascii="Arial" w:hAnsi="Arial" w:cs="Arial"/>
          <w:vertAlign w:val="superscript"/>
        </w:rPr>
        <w:t>1,2</w:t>
      </w:r>
      <w:r w:rsidRPr="00A25747">
        <w:rPr>
          <w:rFonts w:ascii="Arial" w:hAnsi="Arial" w:cs="Arial"/>
        </w:rPr>
        <w:t xml:space="preserve"> </w:t>
      </w:r>
      <w:r w:rsidRPr="00A25747">
        <w:rPr>
          <w:rFonts w:ascii="Arial" w:eastAsia="Calibri" w:hAnsi="Arial" w:cs="Arial"/>
        </w:rPr>
        <w:t>Globally, urticaria affects up to 20% of individuals at least once in their lifetime. Females and younger individuals are disproportionately affected, and current projections suggest that its prevalence will continue to rise through 2046</w:t>
      </w:r>
      <w:r w:rsidRPr="00A25747">
        <w:rPr>
          <w:rFonts w:ascii="Arial" w:hAnsi="Arial" w:cs="Arial"/>
          <w:lang w:val="en-IN"/>
        </w:rPr>
        <w:t>.</w:t>
      </w:r>
      <w:r w:rsidRPr="00A25747">
        <w:rPr>
          <w:rFonts w:ascii="Arial" w:hAnsi="Arial" w:cs="Arial"/>
          <w:vertAlign w:val="superscript"/>
        </w:rPr>
        <w:t>3</w:t>
      </w:r>
      <w:r w:rsidRPr="00A25747">
        <w:rPr>
          <w:rFonts w:ascii="Arial" w:hAnsi="Arial" w:cs="Arial"/>
        </w:rPr>
        <w:t xml:space="preserve"> </w:t>
      </w:r>
      <w:r w:rsidRPr="00A25747">
        <w:rPr>
          <w:rFonts w:ascii="Arial" w:eastAsia="Calibri" w:hAnsi="Arial" w:cs="Arial"/>
        </w:rPr>
        <w:t xml:space="preserve">Acne remains one of the most prevalent dermatological disorders, </w:t>
      </w:r>
      <w:r w:rsidRPr="00A25747">
        <w:rPr>
          <w:rFonts w:ascii="Arial" w:eastAsia="Calibri" w:hAnsi="Arial" w:cs="Arial"/>
        </w:rPr>
        <w:lastRenderedPageBreak/>
        <w:t>affecting nearly 9.4% of the global population.</w:t>
      </w:r>
      <w:r w:rsidRPr="00A25747">
        <w:rPr>
          <w:rFonts w:ascii="Arial" w:hAnsi="Arial" w:cs="Arial"/>
          <w:vertAlign w:val="superscript"/>
        </w:rPr>
        <w:t>4,5</w:t>
      </w:r>
      <w:r w:rsidRPr="00A25747">
        <w:rPr>
          <w:rFonts w:ascii="Arial" w:hAnsi="Arial" w:cs="Arial"/>
        </w:rPr>
        <w:t xml:space="preserve"> </w:t>
      </w:r>
      <w:r w:rsidRPr="00A25747">
        <w:rPr>
          <w:rFonts w:ascii="Arial" w:eastAsia="Calibri" w:hAnsi="Arial" w:cs="Arial"/>
        </w:rPr>
        <w:t>These conditions can profoundly impact patients’ overall well-being, mental health, daily functioning, and social interactions</w:t>
      </w:r>
      <w:r w:rsidRPr="00A25747">
        <w:rPr>
          <w:rFonts w:ascii="Arial" w:hAnsi="Arial" w:cs="Arial"/>
        </w:rPr>
        <w:t>.</w:t>
      </w:r>
      <w:r w:rsidRPr="00A25747">
        <w:rPr>
          <w:rFonts w:ascii="Arial" w:hAnsi="Arial" w:cs="Arial"/>
          <w:vertAlign w:val="superscript"/>
        </w:rPr>
        <w:t>6</w:t>
      </w:r>
    </w:p>
    <w:p w14:paraId="10F35DD3" w14:textId="77777777" w:rsidR="00A25747" w:rsidRPr="00A25747" w:rsidRDefault="00A25747" w:rsidP="00A25747">
      <w:pPr>
        <w:spacing w:before="240" w:after="240"/>
        <w:jc w:val="both"/>
        <w:rPr>
          <w:rFonts w:ascii="Arial" w:hAnsi="Arial" w:cs="Arial"/>
        </w:rPr>
      </w:pPr>
      <w:r w:rsidRPr="00A25747">
        <w:rPr>
          <w:rFonts w:ascii="Arial" w:eastAsia="Calibri" w:hAnsi="Arial" w:cs="Arial"/>
        </w:rPr>
        <w:t>In India, the prevalence of skin diseases such as psoriasis, urticaria, scabies, and fungal or viral infections is increasing. The rising burden of skin and subcutaneous diseases, with minimal improvement in age-standardized disability rates, is concerning, especially as many are preventable and treatable. Dermatitis and urticaria remain major contributors to this burden.</w:t>
      </w:r>
      <w:r w:rsidRPr="00A25747">
        <w:rPr>
          <w:rFonts w:ascii="Arial" w:hAnsi="Arial" w:cs="Arial"/>
        </w:rPr>
        <w:t xml:space="preserve"> </w:t>
      </w:r>
      <w:r w:rsidRPr="00A25747">
        <w:rPr>
          <w:rFonts w:ascii="Arial" w:eastAsia="Calibri" w:hAnsi="Arial" w:cs="Arial"/>
        </w:rPr>
        <w:t>According to the Global Burden of Disease (GBD) Study, skin and subcutaneous diseases accounted for 4.02% of the total years lived with disability (YLDs) in 2017. Between 1990 and 2017, there was a 53.7% increase in age-standardized YLDs attributed to these conditions, underscoring their growing public health impact in India</w:t>
      </w:r>
      <w:r w:rsidRPr="00A25747">
        <w:rPr>
          <w:rFonts w:ascii="Arial" w:hAnsi="Arial" w:cs="Arial"/>
        </w:rPr>
        <w:t>.</w:t>
      </w:r>
      <w:r w:rsidRPr="00A25747">
        <w:rPr>
          <w:rFonts w:ascii="Arial" w:eastAsia="Calibri" w:hAnsi="Arial" w:cs="Arial"/>
          <w:vertAlign w:val="superscript"/>
        </w:rPr>
        <w:t>1</w:t>
      </w:r>
      <w:r w:rsidRPr="00A25747">
        <w:rPr>
          <w:rFonts w:ascii="Arial" w:hAnsi="Arial" w:cs="Arial"/>
        </w:rPr>
        <w:t xml:space="preserve"> </w:t>
      </w:r>
    </w:p>
    <w:p w14:paraId="50ED6F8C" w14:textId="77777777" w:rsidR="00A25747" w:rsidRPr="00A25747" w:rsidRDefault="00A25747" w:rsidP="00A25747">
      <w:pPr>
        <w:jc w:val="both"/>
        <w:rPr>
          <w:rFonts w:ascii="Arial" w:hAnsi="Arial" w:cs="Arial"/>
          <w:vertAlign w:val="superscript"/>
        </w:rPr>
      </w:pPr>
      <w:r w:rsidRPr="00A25747">
        <w:rPr>
          <w:rFonts w:ascii="Arial" w:eastAsia="Calibri" w:hAnsi="Arial" w:cs="Arial"/>
        </w:rPr>
        <w:t>Calamine lotion is a topical skin lotion commonly used in primary care and household settings. It typically contains calamine (a mixture of zinc oxide or carbonate and ferric oxide), zinc oxide, bentonite, glycerin, sodium citrate, and liquefied phenol. It is widely used in dermatology for its soothing properties and is a preferred topical preparation for children, including infants. Calamine lotion is also considered well-tolerated for use during pregnancy and lactation.</w:t>
      </w:r>
      <w:r w:rsidRPr="00A25747">
        <w:rPr>
          <w:rFonts w:ascii="Arial" w:hAnsi="Arial" w:cs="Arial"/>
          <w:vertAlign w:val="superscript"/>
        </w:rPr>
        <w:t xml:space="preserve">7 </w:t>
      </w:r>
      <w:r w:rsidRPr="00A25747">
        <w:rPr>
          <w:rFonts w:ascii="Arial" w:hAnsi="Arial" w:cs="Arial"/>
        </w:rPr>
        <w:t>However, contemporary dermatological practice has evolved toward combination formulations that leverage synergistic mechanisms to address the multifactorial pathophysiology of pruritus, including inflammation, barrier dysfunction, and xerosis. The incorporation of adjunctive ingredients such as aloe vera, known for its anti-inflammatory and wound-healing properties, and liquid paraffin, an effective occlusive emollient, enhances therapeutic efficacy and patient comfort.</w:t>
      </w:r>
      <w:r w:rsidRPr="00A25747">
        <w:rPr>
          <w:rFonts w:ascii="Arial" w:hAnsi="Arial" w:cs="Arial"/>
          <w:vertAlign w:val="superscript"/>
        </w:rPr>
        <w:t>8-13</w:t>
      </w:r>
    </w:p>
    <w:p w14:paraId="4AE9D1D6" w14:textId="77777777" w:rsidR="00A25747" w:rsidRPr="00A25747" w:rsidRDefault="00A25747" w:rsidP="00A25747">
      <w:pPr>
        <w:jc w:val="both"/>
        <w:rPr>
          <w:rFonts w:ascii="Arial" w:hAnsi="Arial" w:cs="Arial"/>
          <w:vertAlign w:val="superscript"/>
        </w:rPr>
      </w:pPr>
    </w:p>
    <w:p w14:paraId="44A122D9" w14:textId="1CBAF230" w:rsidR="00B01FCD" w:rsidRPr="00A25747" w:rsidRDefault="00A25747" w:rsidP="00A25747">
      <w:pPr>
        <w:jc w:val="both"/>
        <w:rPr>
          <w:rFonts w:ascii="Arial" w:hAnsi="Arial" w:cs="Arial"/>
          <w:lang w:val="en-IN"/>
        </w:rPr>
      </w:pPr>
      <w:r w:rsidRPr="00A25747">
        <w:rPr>
          <w:rFonts w:ascii="Arial" w:hAnsi="Arial" w:cs="Arial"/>
        </w:rPr>
        <w:t>Despite the widespread use of these combination formulations in clinical practice, systematic data on clinician perspectives and treatment preferences with such preparations remain limited. This study aimed to assess dermatologists' preferences and perspectives regarding the use of calamine lotion and its combination, particularly with aloe vera and liquid paraffin, across various dermatological conditions in clinical practice in Indian settings</w:t>
      </w:r>
      <w:r w:rsidR="00C72046" w:rsidRPr="00A25747">
        <w:rPr>
          <w:rFonts w:ascii="Arial" w:eastAsia="Calibri" w:hAnsi="Arial" w:cs="Arial"/>
        </w:rPr>
        <w:t>.</w:t>
      </w:r>
    </w:p>
    <w:p w14:paraId="48211113" w14:textId="77777777" w:rsidR="00157EFD" w:rsidRPr="00157EFD" w:rsidRDefault="00157EFD" w:rsidP="00157EFD">
      <w:pPr>
        <w:jc w:val="both"/>
        <w:rPr>
          <w:rFonts w:ascii="Arial" w:hAnsi="Arial" w:cs="Arial"/>
          <w:lang w:val="en-IN"/>
        </w:rPr>
      </w:pPr>
    </w:p>
    <w:p w14:paraId="74C2AC61" w14:textId="77777777" w:rsidR="007F7B32" w:rsidRDefault="00902823" w:rsidP="00441B6F">
      <w:pPr>
        <w:pStyle w:val="AbstHead"/>
        <w:spacing w:after="0"/>
        <w:jc w:val="both"/>
        <w:rPr>
          <w:rFonts w:ascii="Arial" w:hAnsi="Arial" w:cs="Arial"/>
        </w:rPr>
      </w:pPr>
      <w:r>
        <w:rPr>
          <w:rFonts w:ascii="Arial" w:hAnsi="Arial" w:cs="Arial"/>
        </w:rPr>
        <w:t>2. material</w:t>
      </w:r>
      <w:r w:rsidR="00192216">
        <w:rPr>
          <w:rFonts w:ascii="Arial" w:hAnsi="Arial" w:cs="Arial"/>
        </w:rPr>
        <w:t>S</w:t>
      </w:r>
      <w:r>
        <w:rPr>
          <w:rFonts w:ascii="Arial" w:hAnsi="Arial" w:cs="Arial"/>
        </w:rPr>
        <w:t xml:space="preserve"> and method</w:t>
      </w:r>
      <w:r w:rsidR="00000F8F">
        <w:rPr>
          <w:rFonts w:ascii="Arial" w:hAnsi="Arial" w:cs="Arial"/>
        </w:rPr>
        <w:t xml:space="preserve">s </w:t>
      </w:r>
    </w:p>
    <w:p w14:paraId="6B5C055D" w14:textId="77777777" w:rsidR="00790ADA" w:rsidRPr="00A25747" w:rsidRDefault="00790ADA" w:rsidP="00A25747">
      <w:pPr>
        <w:pStyle w:val="AbstHead"/>
        <w:spacing w:after="0"/>
        <w:jc w:val="both"/>
        <w:rPr>
          <w:rFonts w:ascii="Arial" w:hAnsi="Arial" w:cs="Arial"/>
        </w:rPr>
      </w:pPr>
    </w:p>
    <w:p w14:paraId="14D9A877" w14:textId="77777777" w:rsidR="00A25747" w:rsidRDefault="00A25747" w:rsidP="00A25747">
      <w:pPr>
        <w:jc w:val="both"/>
        <w:rPr>
          <w:rFonts w:ascii="Arial" w:eastAsia="Calibri" w:hAnsi="Arial" w:cs="Arial"/>
          <w:b/>
          <w:bCs/>
          <w:color w:val="000000" w:themeColor="text1"/>
        </w:rPr>
      </w:pPr>
      <w:r w:rsidRPr="00A25747">
        <w:rPr>
          <w:rFonts w:ascii="Arial" w:eastAsia="Calibri" w:hAnsi="Arial" w:cs="Arial"/>
          <w:b/>
          <w:bCs/>
          <w:color w:val="000000" w:themeColor="text1"/>
        </w:rPr>
        <w:t>Study Settings</w:t>
      </w:r>
    </w:p>
    <w:p w14:paraId="4F9FD7C5" w14:textId="77777777" w:rsidR="00364D5F" w:rsidRPr="00A25747" w:rsidRDefault="00364D5F" w:rsidP="00A25747">
      <w:pPr>
        <w:jc w:val="both"/>
        <w:rPr>
          <w:rFonts w:ascii="Arial" w:eastAsia="Calibri" w:hAnsi="Arial" w:cs="Arial"/>
          <w:b/>
          <w:bCs/>
          <w:color w:val="000000" w:themeColor="text1"/>
        </w:rPr>
      </w:pPr>
    </w:p>
    <w:p w14:paraId="7D209247" w14:textId="77777777" w:rsidR="00A25747" w:rsidRDefault="00A25747" w:rsidP="00A25747">
      <w:pPr>
        <w:jc w:val="both"/>
        <w:rPr>
          <w:rFonts w:ascii="Arial" w:eastAsia="Calibri" w:hAnsi="Arial" w:cs="Arial"/>
          <w:color w:val="000000" w:themeColor="text1"/>
        </w:rPr>
      </w:pPr>
      <w:r w:rsidRPr="00A25747">
        <w:rPr>
          <w:rFonts w:ascii="Arial" w:eastAsia="Calibri" w:hAnsi="Arial" w:cs="Arial"/>
          <w:color w:val="000000" w:themeColor="text1"/>
        </w:rPr>
        <w:t xml:space="preserve">A cross-sectional study was carried out among dermatologists involved in the management of a wide range of </w:t>
      </w:r>
      <w:r w:rsidRPr="00A25747">
        <w:rPr>
          <w:rFonts w:ascii="Arial" w:eastAsia="Calibri" w:hAnsi="Arial" w:cs="Arial"/>
        </w:rPr>
        <w:t xml:space="preserve">dermatological conditions </w:t>
      </w:r>
      <w:r w:rsidRPr="00A25747">
        <w:rPr>
          <w:rFonts w:ascii="Arial" w:eastAsia="Calibri" w:hAnsi="Arial" w:cs="Arial"/>
          <w:color w:val="000000" w:themeColor="text1"/>
        </w:rPr>
        <w:t>in the major Indian cities from June 2024 to December 2024. The study was conducted after getting approval from Bangalore Ethics, an Independent Ethics Committee, which was recognized by the Indian Regulatory Authority, the Drug Controller General of India.</w:t>
      </w:r>
    </w:p>
    <w:p w14:paraId="0D2364FF" w14:textId="77777777" w:rsidR="00364D5F" w:rsidRPr="00A25747" w:rsidRDefault="00364D5F" w:rsidP="00A25747">
      <w:pPr>
        <w:jc w:val="both"/>
        <w:rPr>
          <w:rFonts w:ascii="Arial" w:eastAsia="Calibri" w:hAnsi="Arial" w:cs="Arial"/>
          <w:color w:val="000000" w:themeColor="text1"/>
        </w:rPr>
      </w:pPr>
    </w:p>
    <w:p w14:paraId="65989EB5" w14:textId="77777777" w:rsidR="00A25747" w:rsidRDefault="00A25747" w:rsidP="00A25747">
      <w:pPr>
        <w:jc w:val="both"/>
        <w:rPr>
          <w:rFonts w:ascii="Arial" w:eastAsia="Calibri" w:hAnsi="Arial" w:cs="Arial"/>
          <w:b/>
          <w:bCs/>
          <w:color w:val="000000" w:themeColor="text1"/>
        </w:rPr>
      </w:pPr>
      <w:r w:rsidRPr="00A25747">
        <w:rPr>
          <w:rFonts w:ascii="Arial" w:eastAsia="Calibri" w:hAnsi="Arial" w:cs="Arial"/>
          <w:b/>
          <w:bCs/>
          <w:color w:val="000000" w:themeColor="text1"/>
        </w:rPr>
        <w:t>Study Participants</w:t>
      </w:r>
    </w:p>
    <w:p w14:paraId="3428EA32" w14:textId="77777777" w:rsidR="00364D5F" w:rsidRPr="00A25747" w:rsidRDefault="00364D5F" w:rsidP="00A25747">
      <w:pPr>
        <w:jc w:val="both"/>
        <w:rPr>
          <w:rFonts w:ascii="Arial" w:eastAsia="Calibri" w:hAnsi="Arial" w:cs="Arial"/>
          <w:b/>
          <w:bCs/>
          <w:color w:val="000000" w:themeColor="text1"/>
        </w:rPr>
      </w:pPr>
    </w:p>
    <w:p w14:paraId="2B0D7BC4" w14:textId="164F8E4C" w:rsidR="00A25747" w:rsidRDefault="00EC245F" w:rsidP="00A25747">
      <w:pPr>
        <w:jc w:val="both"/>
        <w:rPr>
          <w:rFonts w:ascii="Arial" w:eastAsia="Calibri" w:hAnsi="Arial" w:cs="Arial"/>
          <w:color w:val="000000" w:themeColor="text1"/>
        </w:rPr>
      </w:pPr>
      <w:r w:rsidRPr="00EC245F">
        <w:rPr>
          <w:rFonts w:ascii="Arial" w:eastAsia="Calibri" w:hAnsi="Arial" w:cs="Arial"/>
          <w:color w:val="000000" w:themeColor="text1"/>
          <w:highlight w:val="yellow"/>
        </w:rPr>
        <w:t>A convenient sampling technique was used,</w:t>
      </w:r>
      <w:r w:rsidRPr="00EC245F">
        <w:rPr>
          <w:rFonts w:ascii="Arial" w:eastAsia="Calibri" w:hAnsi="Arial" w:cs="Arial"/>
          <w:color w:val="000000" w:themeColor="text1"/>
        </w:rPr>
        <w:t xml:space="preserve"> and </w:t>
      </w:r>
      <w:r>
        <w:rPr>
          <w:rFonts w:ascii="Arial" w:eastAsia="Calibri" w:hAnsi="Arial" w:cs="Arial"/>
          <w:color w:val="000000" w:themeColor="text1"/>
        </w:rPr>
        <w:t>a</w:t>
      </w:r>
      <w:r w:rsidR="00A25747" w:rsidRPr="00A25747">
        <w:rPr>
          <w:rFonts w:ascii="Arial" w:eastAsia="Calibri" w:hAnsi="Arial" w:cs="Arial"/>
          <w:color w:val="000000" w:themeColor="text1"/>
        </w:rPr>
        <w:t xml:space="preserve">n invitation was sent to leading dermatologists in managing a wide range of </w:t>
      </w:r>
      <w:r w:rsidR="00A25747" w:rsidRPr="00A25747">
        <w:rPr>
          <w:rFonts w:ascii="Arial" w:eastAsia="Calibri" w:hAnsi="Arial" w:cs="Arial"/>
        </w:rPr>
        <w:t>dermatological conditions</w:t>
      </w:r>
      <w:r w:rsidR="00A25747" w:rsidRPr="00A25747">
        <w:rPr>
          <w:rFonts w:ascii="Arial" w:eastAsia="Calibri" w:hAnsi="Arial" w:cs="Arial"/>
          <w:color w:val="000000" w:themeColor="text1"/>
        </w:rPr>
        <w:t xml:space="preserve"> in the month of March 2024 for participation in this Indian survey. About </w:t>
      </w:r>
      <w:r w:rsidR="00A25747" w:rsidRPr="00A25747">
        <w:rPr>
          <w:rFonts w:ascii="Arial" w:hAnsi="Arial" w:cs="Arial"/>
        </w:rPr>
        <w:t xml:space="preserve">513 </w:t>
      </w:r>
      <w:r w:rsidR="00A25747" w:rsidRPr="00A25747">
        <w:rPr>
          <w:rFonts w:ascii="Arial" w:eastAsia="Calibri" w:hAnsi="Arial" w:cs="Arial"/>
          <w:color w:val="000000" w:themeColor="text1"/>
        </w:rPr>
        <w:t xml:space="preserve">clinicians from major cities of all Indian states, representing the geographical distribution, shared their willingness to participate and provide necessary data. </w:t>
      </w:r>
    </w:p>
    <w:p w14:paraId="1A8D5D54" w14:textId="77777777" w:rsidR="00364D5F" w:rsidRPr="00A25747" w:rsidRDefault="00364D5F" w:rsidP="00A25747">
      <w:pPr>
        <w:jc w:val="both"/>
        <w:rPr>
          <w:rFonts w:ascii="Arial" w:eastAsia="Calibri" w:hAnsi="Arial" w:cs="Arial"/>
          <w:color w:val="000000" w:themeColor="text1"/>
        </w:rPr>
      </w:pPr>
    </w:p>
    <w:p w14:paraId="3F51EB44" w14:textId="77777777" w:rsidR="00A25747" w:rsidRDefault="00A25747" w:rsidP="00A25747">
      <w:pPr>
        <w:jc w:val="both"/>
        <w:rPr>
          <w:rFonts w:ascii="Arial" w:eastAsia="Calibri" w:hAnsi="Arial" w:cs="Arial"/>
          <w:b/>
          <w:bCs/>
          <w:color w:val="000000" w:themeColor="text1"/>
        </w:rPr>
      </w:pPr>
      <w:r w:rsidRPr="00A25747">
        <w:rPr>
          <w:rFonts w:ascii="Arial" w:eastAsia="Calibri" w:hAnsi="Arial" w:cs="Arial"/>
          <w:b/>
          <w:bCs/>
          <w:color w:val="000000" w:themeColor="text1"/>
        </w:rPr>
        <w:t>Study Procedure</w:t>
      </w:r>
    </w:p>
    <w:p w14:paraId="316ED78F" w14:textId="77777777" w:rsidR="00364D5F" w:rsidRPr="00A25747" w:rsidRDefault="00364D5F" w:rsidP="00A25747">
      <w:pPr>
        <w:jc w:val="both"/>
        <w:rPr>
          <w:rFonts w:ascii="Arial" w:eastAsia="Calibri" w:hAnsi="Arial" w:cs="Arial"/>
          <w:b/>
          <w:bCs/>
          <w:color w:val="000000" w:themeColor="text1"/>
        </w:rPr>
      </w:pPr>
    </w:p>
    <w:p w14:paraId="31F27A65" w14:textId="305B3058" w:rsidR="00364D5F" w:rsidRDefault="00A25747" w:rsidP="00A25747">
      <w:pPr>
        <w:jc w:val="both"/>
        <w:rPr>
          <w:rFonts w:ascii="Arial" w:eastAsia="Calibri" w:hAnsi="Arial" w:cs="Arial"/>
        </w:rPr>
      </w:pPr>
      <w:r w:rsidRPr="00A25747">
        <w:rPr>
          <w:rFonts w:ascii="Arial" w:eastAsia="Calibri" w:hAnsi="Arial" w:cs="Arial"/>
          <w:color w:val="000000" w:themeColor="text1"/>
        </w:rPr>
        <w:t xml:space="preserve">The questionnaire booklet titled ELITE study was sent to the clinicians who were interested in participating in the survey. The study questionnaire comprised 23 questions that </w:t>
      </w:r>
      <w:r w:rsidRPr="00A25747">
        <w:rPr>
          <w:rFonts w:ascii="Arial" w:hAnsi="Arial" w:cs="Arial"/>
        </w:rPr>
        <w:t xml:space="preserve">gathered expert perspectives, clinical experiences related to the use of calamine lotion and aloe vera </w:t>
      </w:r>
      <w:r w:rsidRPr="00A25747">
        <w:rPr>
          <w:rFonts w:ascii="Arial" w:hAnsi="Arial" w:cs="Arial"/>
        </w:rPr>
        <w:lastRenderedPageBreak/>
        <w:t>combinations in dermatology practice, with particular focus on pediatric dermatological conditions, including urticaria, eczema, and other pruritic disorders</w:t>
      </w:r>
      <w:r w:rsidRPr="00A25747">
        <w:rPr>
          <w:rFonts w:ascii="Arial" w:eastAsia="Calibri" w:hAnsi="Arial" w:cs="Arial"/>
        </w:rPr>
        <w:t xml:space="preserve">. </w:t>
      </w:r>
    </w:p>
    <w:p w14:paraId="5AD1A3FA" w14:textId="77777777" w:rsidR="00364D5F" w:rsidRDefault="00364D5F" w:rsidP="00A25747">
      <w:pPr>
        <w:jc w:val="both"/>
        <w:rPr>
          <w:rFonts w:ascii="Arial" w:eastAsia="Calibri" w:hAnsi="Arial" w:cs="Arial"/>
        </w:rPr>
      </w:pPr>
    </w:p>
    <w:p w14:paraId="44BB5A1B" w14:textId="3E4E3EF2" w:rsidR="00A25747" w:rsidRDefault="00A25747" w:rsidP="00A25747">
      <w:pPr>
        <w:jc w:val="both"/>
        <w:rPr>
          <w:rFonts w:ascii="Arial" w:eastAsia="Calibri" w:hAnsi="Arial" w:cs="Arial"/>
          <w:color w:val="000000" w:themeColor="text1"/>
        </w:rPr>
      </w:pPr>
      <w:r w:rsidRPr="00EC245F">
        <w:rPr>
          <w:rFonts w:ascii="Arial" w:eastAsia="Calibri" w:hAnsi="Arial" w:cs="Arial"/>
          <w:color w:val="000000" w:themeColor="text1"/>
          <w:highlight w:val="yellow"/>
        </w:rPr>
        <w:t>Reliability, as determined by a split-half test (coefficient alpha), was adequate but should be improved in future versions of the questionnaire. A study of criterion validity was undertaken to test the questionnaire and to develop methods of testing the validity of measures of Physicians' Perspectives. However, the extraneous variables in this include the clinician's experience, usage of the newer drugs, etc. The two criteria used were the doctors' perspectives from the clinical practice and the assessment of an external assessor and statistician. Clinicians had the option to skip questions as desired and were instructed to complete the survey independently, without peer consultation. Before participating in the survey, all respondents provided written informed consent.</w:t>
      </w:r>
    </w:p>
    <w:p w14:paraId="22E02C60" w14:textId="77777777" w:rsidR="00364D5F" w:rsidRPr="00A25747" w:rsidRDefault="00364D5F" w:rsidP="00A25747">
      <w:pPr>
        <w:jc w:val="both"/>
        <w:rPr>
          <w:rFonts w:ascii="Arial" w:hAnsi="Arial" w:cs="Arial"/>
        </w:rPr>
      </w:pPr>
    </w:p>
    <w:p w14:paraId="2725DA15" w14:textId="2D3594BD" w:rsidR="00364D5F" w:rsidRDefault="00A25747" w:rsidP="00A25747">
      <w:pPr>
        <w:jc w:val="both"/>
        <w:rPr>
          <w:rFonts w:ascii="Arial" w:hAnsi="Arial" w:cs="Arial"/>
          <w:b/>
          <w:bCs/>
        </w:rPr>
      </w:pPr>
      <w:r w:rsidRPr="00A25747">
        <w:rPr>
          <w:rFonts w:ascii="Arial" w:hAnsi="Arial" w:cs="Arial"/>
          <w:b/>
          <w:bCs/>
        </w:rPr>
        <w:t>Statistical analysis</w:t>
      </w:r>
    </w:p>
    <w:p w14:paraId="19C57E40" w14:textId="77777777" w:rsidR="00364D5F" w:rsidRPr="00A25747" w:rsidRDefault="00364D5F" w:rsidP="00A25747">
      <w:pPr>
        <w:jc w:val="both"/>
        <w:rPr>
          <w:rFonts w:ascii="Arial" w:hAnsi="Arial" w:cs="Arial"/>
          <w:b/>
          <w:bCs/>
        </w:rPr>
      </w:pPr>
    </w:p>
    <w:p w14:paraId="2DF73FDC" w14:textId="3E73DE27" w:rsidR="003F71EF" w:rsidRPr="00A25747" w:rsidRDefault="00A25747" w:rsidP="00A25747">
      <w:pPr>
        <w:jc w:val="both"/>
        <w:rPr>
          <w:rFonts w:ascii="Arial" w:hAnsi="Arial" w:cs="Arial"/>
        </w:rPr>
      </w:pPr>
      <w:r w:rsidRPr="00EC245F">
        <w:rPr>
          <w:rFonts w:ascii="Arial" w:hAnsi="Arial" w:cs="Arial"/>
          <w:highlight w:val="yellow"/>
        </w:rPr>
        <w:t>The data were analyzed using descriptive statistics. Categorical variables were presented as percentages to provide a clear understanding of their distribution. The frequency of occurrence and the corresponding percentage were used to represent the distribution of each variable. To visualize the distribution of the categorical variables, pie and bar charts were created using Microsoft Excel 2013 (version 2409, build 16.0.18025.20030)</w:t>
      </w:r>
      <w:r w:rsidR="00157EFD" w:rsidRPr="00EC245F">
        <w:rPr>
          <w:rFonts w:ascii="Arial" w:hAnsi="Arial" w:cs="Arial"/>
          <w:color w:val="000000" w:themeColor="text1"/>
          <w:highlight w:val="yellow"/>
          <w:lang w:val="en-IN"/>
        </w:rPr>
        <w:t>.</w:t>
      </w:r>
    </w:p>
    <w:p w14:paraId="0159AB66" w14:textId="77777777" w:rsidR="003F71EF" w:rsidRPr="00FB3A86" w:rsidRDefault="003F71EF" w:rsidP="003F71EF">
      <w:pPr>
        <w:pStyle w:val="Body"/>
        <w:spacing w:after="0"/>
        <w:rPr>
          <w:rFonts w:ascii="Arial" w:hAnsi="Arial" w:cs="Arial"/>
        </w:rPr>
      </w:pPr>
    </w:p>
    <w:p w14:paraId="68111EAD" w14:textId="77777777" w:rsidR="003F71EF" w:rsidRDefault="003F71EF" w:rsidP="003F71EF">
      <w:pPr>
        <w:pStyle w:val="Head1"/>
        <w:spacing w:after="0"/>
        <w:jc w:val="both"/>
        <w:rPr>
          <w:rFonts w:ascii="Arial" w:hAnsi="Arial" w:cs="Arial"/>
        </w:rPr>
      </w:pPr>
      <w:r>
        <w:rPr>
          <w:rFonts w:ascii="Arial" w:hAnsi="Arial" w:cs="Arial"/>
        </w:rPr>
        <w:t>3. results</w:t>
      </w:r>
    </w:p>
    <w:p w14:paraId="73D2BCA5" w14:textId="77777777" w:rsidR="003F71EF" w:rsidRPr="00FB3A86" w:rsidRDefault="003F71EF" w:rsidP="003F71EF">
      <w:pPr>
        <w:pStyle w:val="Head1"/>
        <w:spacing w:after="0"/>
        <w:jc w:val="both"/>
        <w:rPr>
          <w:rFonts w:ascii="Arial" w:hAnsi="Arial" w:cs="Arial"/>
        </w:rPr>
      </w:pPr>
    </w:p>
    <w:p w14:paraId="6076E7A1" w14:textId="344EAAF8" w:rsidR="004F4227" w:rsidRDefault="00A25747" w:rsidP="004F4227">
      <w:pPr>
        <w:pStyle w:val="Body"/>
        <w:rPr>
          <w:rFonts w:ascii="Arial" w:hAnsi="Arial" w:cs="Arial"/>
        </w:rPr>
      </w:pPr>
      <w:r w:rsidRPr="00A25747">
        <w:rPr>
          <w:rFonts w:ascii="Arial" w:eastAsia="Calibri" w:hAnsi="Arial" w:cs="Arial"/>
        </w:rPr>
        <w:t>The survey included 513 participants. Most clinicians managed 6–10 pediatric urticaria cases per month in their clinical practice. Approximately 44% of respondents most frequently diagnosed both acute and chronic urticaria in children. A large proportion (90.06%) preferred calamine as the topical agent for urticaria (Table 1). Around 82% commonly used calamine lotion for urticaria, and about 62% specifically used it for pediatric urticaria. Nearly 75% reported rarely using calamine lotion as monotherapy for itchy skin (Fig. 1)</w:t>
      </w:r>
      <w:r w:rsidR="004F4227" w:rsidRPr="00A25747">
        <w:rPr>
          <w:rFonts w:ascii="Arial" w:hAnsi="Arial" w:cs="Arial"/>
        </w:rPr>
        <w:t>.</w:t>
      </w:r>
    </w:p>
    <w:p w14:paraId="38C30E7A" w14:textId="77777777" w:rsidR="00A25747" w:rsidRDefault="00A25747" w:rsidP="00A25747">
      <w:pPr>
        <w:jc w:val="both"/>
        <w:rPr>
          <w:rFonts w:ascii="Arial" w:hAnsi="Arial" w:cs="Arial"/>
          <w:b/>
          <w:bCs/>
        </w:rPr>
      </w:pPr>
      <w:r w:rsidRPr="00A25747">
        <w:rPr>
          <w:rFonts w:ascii="Arial" w:hAnsi="Arial" w:cs="Arial"/>
          <w:b/>
          <w:bCs/>
        </w:rPr>
        <w:t>Table 1: Distribution of responses to preferred topical agents for urticaria in clinical practice</w:t>
      </w:r>
    </w:p>
    <w:p w14:paraId="493E29B0" w14:textId="77777777" w:rsidR="00A25747" w:rsidRPr="00A25747" w:rsidRDefault="00A25747" w:rsidP="00A25747">
      <w:pPr>
        <w:jc w:val="both"/>
        <w:rPr>
          <w:rFonts w:ascii="Arial" w:hAnsi="Arial" w:cs="Arial"/>
          <w:b/>
          <w:bCs/>
        </w:rPr>
      </w:pPr>
    </w:p>
    <w:tbl>
      <w:tblPr>
        <w:tblW w:w="7563" w:type="dxa"/>
        <w:jc w:val="center"/>
        <w:tblCellMar>
          <w:left w:w="0" w:type="dxa"/>
          <w:right w:w="0" w:type="dxa"/>
        </w:tblCellMar>
        <w:tblLook w:val="04A0" w:firstRow="1" w:lastRow="0" w:firstColumn="1" w:lastColumn="0" w:noHBand="0" w:noVBand="1"/>
      </w:tblPr>
      <w:tblGrid>
        <w:gridCol w:w="4812"/>
        <w:gridCol w:w="2751"/>
      </w:tblGrid>
      <w:tr w:rsidR="00A25747" w:rsidRPr="00A25747" w14:paraId="34F37B8C" w14:textId="77777777" w:rsidTr="00AB59F7">
        <w:trPr>
          <w:trHeight w:val="305"/>
          <w:jc w:val="center"/>
        </w:trPr>
        <w:tc>
          <w:tcPr>
            <w:tcW w:w="48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7B7B7"/>
            <w:tcMar>
              <w:top w:w="0" w:type="dxa"/>
              <w:left w:w="45" w:type="dxa"/>
              <w:bottom w:w="0" w:type="dxa"/>
              <w:right w:w="45" w:type="dxa"/>
            </w:tcMar>
            <w:vAlign w:val="center"/>
            <w:hideMark/>
          </w:tcPr>
          <w:p w14:paraId="2E0F304B" w14:textId="77777777" w:rsidR="00A25747" w:rsidRPr="00A25747" w:rsidRDefault="00A25747" w:rsidP="00AB59F7">
            <w:pPr>
              <w:jc w:val="center"/>
              <w:rPr>
                <w:rFonts w:ascii="Arial" w:hAnsi="Arial" w:cs="Arial"/>
                <w:b/>
                <w:bCs/>
              </w:rPr>
            </w:pPr>
            <w:r w:rsidRPr="00A25747">
              <w:rPr>
                <w:rFonts w:ascii="Arial" w:hAnsi="Arial" w:cs="Arial"/>
                <w:b/>
                <w:bCs/>
              </w:rPr>
              <w:t>Topical agent</w:t>
            </w:r>
          </w:p>
        </w:tc>
        <w:tc>
          <w:tcPr>
            <w:tcW w:w="2751" w:type="dxa"/>
            <w:tcBorders>
              <w:top w:val="single" w:sz="6" w:space="0" w:color="000000" w:themeColor="text1"/>
              <w:left w:val="single" w:sz="6" w:space="0" w:color="CCCCCC"/>
              <w:bottom w:val="single" w:sz="6" w:space="0" w:color="000000" w:themeColor="text1"/>
              <w:right w:val="single" w:sz="6" w:space="0" w:color="000000" w:themeColor="text1"/>
            </w:tcBorders>
            <w:shd w:val="clear" w:color="auto" w:fill="B7B7B7"/>
            <w:tcMar>
              <w:top w:w="0" w:type="dxa"/>
              <w:left w:w="45" w:type="dxa"/>
              <w:bottom w:w="0" w:type="dxa"/>
              <w:right w:w="45" w:type="dxa"/>
            </w:tcMar>
            <w:vAlign w:val="center"/>
            <w:hideMark/>
          </w:tcPr>
          <w:p w14:paraId="17BC7C26" w14:textId="77777777" w:rsidR="00A25747" w:rsidRPr="00A25747" w:rsidRDefault="00A25747" w:rsidP="00AB59F7">
            <w:pPr>
              <w:jc w:val="center"/>
              <w:rPr>
                <w:rFonts w:ascii="Arial" w:hAnsi="Arial" w:cs="Arial"/>
                <w:b/>
                <w:bCs/>
              </w:rPr>
            </w:pPr>
            <w:r w:rsidRPr="00A25747">
              <w:rPr>
                <w:rFonts w:ascii="Arial" w:hAnsi="Arial" w:cs="Arial"/>
                <w:b/>
                <w:bCs/>
              </w:rPr>
              <w:t xml:space="preserve"> Response rate (n = 513)</w:t>
            </w:r>
          </w:p>
        </w:tc>
      </w:tr>
      <w:tr w:rsidR="00A25747" w:rsidRPr="00A25747" w14:paraId="119D9DF0" w14:textId="77777777" w:rsidTr="00AB59F7">
        <w:trPr>
          <w:trHeight w:val="305"/>
          <w:jc w:val="center"/>
        </w:trPr>
        <w:tc>
          <w:tcPr>
            <w:tcW w:w="4812"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7BD7771B" w14:textId="77777777" w:rsidR="00A25747" w:rsidRPr="00A25747" w:rsidRDefault="00A25747" w:rsidP="00AB59F7">
            <w:pPr>
              <w:jc w:val="center"/>
              <w:rPr>
                <w:rFonts w:ascii="Arial" w:hAnsi="Arial" w:cs="Arial"/>
                <w:b/>
                <w:bCs/>
              </w:rPr>
            </w:pPr>
            <w:r w:rsidRPr="00A25747">
              <w:rPr>
                <w:rFonts w:ascii="Arial" w:hAnsi="Arial" w:cs="Arial"/>
                <w:b/>
                <w:bCs/>
              </w:rPr>
              <w:t>Calamine</w:t>
            </w:r>
          </w:p>
        </w:tc>
        <w:tc>
          <w:tcPr>
            <w:tcW w:w="2751"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1401516E" w14:textId="77777777" w:rsidR="00A25747" w:rsidRPr="00A25747" w:rsidRDefault="00A25747" w:rsidP="00AB59F7">
            <w:pPr>
              <w:jc w:val="center"/>
              <w:rPr>
                <w:rFonts w:ascii="Arial" w:hAnsi="Arial" w:cs="Arial"/>
              </w:rPr>
            </w:pPr>
            <w:r w:rsidRPr="00A25747">
              <w:rPr>
                <w:rFonts w:ascii="Arial" w:hAnsi="Arial" w:cs="Arial"/>
              </w:rPr>
              <w:t>462 (90.06%)</w:t>
            </w:r>
          </w:p>
        </w:tc>
      </w:tr>
      <w:tr w:rsidR="00A25747" w:rsidRPr="00A25747" w14:paraId="42BF0DD8" w14:textId="77777777" w:rsidTr="00AB59F7">
        <w:trPr>
          <w:trHeight w:val="305"/>
          <w:jc w:val="center"/>
        </w:trPr>
        <w:tc>
          <w:tcPr>
            <w:tcW w:w="4812"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66C0C3C5" w14:textId="77777777" w:rsidR="00A25747" w:rsidRPr="00A25747" w:rsidRDefault="00A25747" w:rsidP="00AB59F7">
            <w:pPr>
              <w:jc w:val="center"/>
              <w:rPr>
                <w:rFonts w:ascii="Arial" w:hAnsi="Arial" w:cs="Arial"/>
                <w:b/>
                <w:bCs/>
              </w:rPr>
            </w:pPr>
            <w:r w:rsidRPr="00A25747">
              <w:rPr>
                <w:rFonts w:ascii="Arial" w:hAnsi="Arial" w:cs="Arial"/>
                <w:b/>
                <w:bCs/>
              </w:rPr>
              <w:t>Crotamiton lotion</w:t>
            </w:r>
          </w:p>
        </w:tc>
        <w:tc>
          <w:tcPr>
            <w:tcW w:w="2751"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0C2356A1" w14:textId="77777777" w:rsidR="00A25747" w:rsidRPr="00A25747" w:rsidRDefault="00A25747" w:rsidP="00AB59F7">
            <w:pPr>
              <w:jc w:val="center"/>
              <w:rPr>
                <w:rFonts w:ascii="Arial" w:hAnsi="Arial" w:cs="Arial"/>
              </w:rPr>
            </w:pPr>
            <w:r w:rsidRPr="00A25747">
              <w:rPr>
                <w:rFonts w:ascii="Arial" w:hAnsi="Arial" w:cs="Arial"/>
              </w:rPr>
              <w:t>12 (2.34%)</w:t>
            </w:r>
          </w:p>
        </w:tc>
      </w:tr>
      <w:tr w:rsidR="00A25747" w:rsidRPr="00A25747" w14:paraId="17215246" w14:textId="77777777" w:rsidTr="00AB59F7">
        <w:trPr>
          <w:trHeight w:val="305"/>
          <w:jc w:val="center"/>
        </w:trPr>
        <w:tc>
          <w:tcPr>
            <w:tcW w:w="4812"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3682E984" w14:textId="77777777" w:rsidR="00A25747" w:rsidRPr="00A25747" w:rsidRDefault="00A25747" w:rsidP="00AB59F7">
            <w:pPr>
              <w:jc w:val="center"/>
              <w:rPr>
                <w:rFonts w:ascii="Arial" w:hAnsi="Arial" w:cs="Arial"/>
                <w:b/>
                <w:bCs/>
              </w:rPr>
            </w:pPr>
            <w:r w:rsidRPr="00A25747">
              <w:rPr>
                <w:rFonts w:ascii="Arial" w:hAnsi="Arial" w:cs="Arial"/>
                <w:b/>
                <w:bCs/>
              </w:rPr>
              <w:t>Menthol with aqueous cream</w:t>
            </w:r>
          </w:p>
        </w:tc>
        <w:tc>
          <w:tcPr>
            <w:tcW w:w="2751"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574542D2" w14:textId="77777777" w:rsidR="00A25747" w:rsidRPr="00A25747" w:rsidRDefault="00A25747" w:rsidP="00AB59F7">
            <w:pPr>
              <w:jc w:val="center"/>
              <w:rPr>
                <w:rFonts w:ascii="Arial" w:hAnsi="Arial" w:cs="Arial"/>
              </w:rPr>
            </w:pPr>
            <w:r w:rsidRPr="00A25747">
              <w:rPr>
                <w:rFonts w:ascii="Arial" w:hAnsi="Arial" w:cs="Arial"/>
              </w:rPr>
              <w:t>32 (6.24%)</w:t>
            </w:r>
          </w:p>
        </w:tc>
      </w:tr>
      <w:tr w:rsidR="00A25747" w:rsidRPr="00A25747" w14:paraId="26F230F3" w14:textId="77777777" w:rsidTr="00AB59F7">
        <w:trPr>
          <w:trHeight w:val="305"/>
          <w:jc w:val="center"/>
        </w:trPr>
        <w:tc>
          <w:tcPr>
            <w:tcW w:w="4812"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745E150D" w14:textId="77777777" w:rsidR="00A25747" w:rsidRPr="00A25747" w:rsidRDefault="00A25747" w:rsidP="00AB59F7">
            <w:pPr>
              <w:jc w:val="center"/>
              <w:rPr>
                <w:rFonts w:ascii="Arial" w:hAnsi="Arial" w:cs="Arial"/>
                <w:b/>
                <w:bCs/>
              </w:rPr>
            </w:pPr>
            <w:proofErr w:type="spellStart"/>
            <w:r w:rsidRPr="00A25747">
              <w:rPr>
                <w:rFonts w:ascii="Arial" w:hAnsi="Arial" w:cs="Arial"/>
                <w:b/>
                <w:bCs/>
              </w:rPr>
              <w:t>Pramoxine</w:t>
            </w:r>
            <w:proofErr w:type="spellEnd"/>
          </w:p>
        </w:tc>
        <w:tc>
          <w:tcPr>
            <w:tcW w:w="2751"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585A9AD1" w14:textId="77777777" w:rsidR="00A25747" w:rsidRPr="00A25747" w:rsidRDefault="00A25747" w:rsidP="00AB59F7">
            <w:pPr>
              <w:jc w:val="center"/>
              <w:rPr>
                <w:rFonts w:ascii="Arial" w:hAnsi="Arial" w:cs="Arial"/>
              </w:rPr>
            </w:pPr>
            <w:r w:rsidRPr="00A25747">
              <w:rPr>
                <w:rFonts w:ascii="Arial" w:hAnsi="Arial" w:cs="Arial"/>
              </w:rPr>
              <w:t>4 (0.78%)</w:t>
            </w:r>
          </w:p>
        </w:tc>
      </w:tr>
      <w:tr w:rsidR="00A25747" w:rsidRPr="00A25747" w14:paraId="45052456" w14:textId="77777777" w:rsidTr="00AB59F7">
        <w:trPr>
          <w:trHeight w:val="305"/>
          <w:jc w:val="center"/>
        </w:trPr>
        <w:tc>
          <w:tcPr>
            <w:tcW w:w="4812"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344C98C5" w14:textId="77777777" w:rsidR="00A25747" w:rsidRPr="00A25747" w:rsidRDefault="00A25747" w:rsidP="00AB59F7">
            <w:pPr>
              <w:jc w:val="center"/>
              <w:rPr>
                <w:rFonts w:ascii="Arial" w:hAnsi="Arial" w:cs="Arial"/>
                <w:b/>
                <w:bCs/>
              </w:rPr>
            </w:pPr>
            <w:r w:rsidRPr="00A25747">
              <w:rPr>
                <w:rFonts w:ascii="Arial" w:eastAsia="Calibri" w:hAnsi="Arial" w:cs="Arial"/>
                <w:b/>
                <w:bCs/>
              </w:rPr>
              <w:t>Calamine and zinc oxide lotion</w:t>
            </w:r>
            <w:r w:rsidRPr="00A25747">
              <w:rPr>
                <w:rFonts w:ascii="Arial" w:hAnsi="Arial" w:cs="Arial"/>
                <w:b/>
                <w:bCs/>
              </w:rPr>
              <w:t>/ coconut oil</w:t>
            </w:r>
          </w:p>
        </w:tc>
        <w:tc>
          <w:tcPr>
            <w:tcW w:w="2751"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798D83C5" w14:textId="77777777" w:rsidR="00A25747" w:rsidRPr="00A25747" w:rsidRDefault="00A25747" w:rsidP="00AB59F7">
            <w:pPr>
              <w:jc w:val="center"/>
              <w:rPr>
                <w:rFonts w:ascii="Arial" w:hAnsi="Arial" w:cs="Arial"/>
              </w:rPr>
            </w:pPr>
            <w:r w:rsidRPr="00A25747">
              <w:rPr>
                <w:rFonts w:ascii="Arial" w:hAnsi="Arial" w:cs="Arial"/>
              </w:rPr>
              <w:t>1 (0.19%)</w:t>
            </w:r>
          </w:p>
        </w:tc>
      </w:tr>
      <w:tr w:rsidR="00A25747" w:rsidRPr="00A25747" w14:paraId="6D3B5813" w14:textId="77777777" w:rsidTr="00AB59F7">
        <w:trPr>
          <w:trHeight w:val="305"/>
          <w:jc w:val="center"/>
        </w:trPr>
        <w:tc>
          <w:tcPr>
            <w:tcW w:w="4812"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714FD62C" w14:textId="77777777" w:rsidR="00A25747" w:rsidRPr="00A25747" w:rsidRDefault="00A25747" w:rsidP="00AB59F7">
            <w:pPr>
              <w:jc w:val="center"/>
              <w:rPr>
                <w:rFonts w:ascii="Arial" w:hAnsi="Arial" w:cs="Arial"/>
                <w:b/>
                <w:bCs/>
              </w:rPr>
            </w:pPr>
            <w:r w:rsidRPr="00A25747">
              <w:rPr>
                <w:rFonts w:ascii="Arial" w:hAnsi="Arial" w:cs="Arial"/>
                <w:b/>
                <w:bCs/>
              </w:rPr>
              <w:t>Ceramide-based moisturizer creams</w:t>
            </w:r>
          </w:p>
        </w:tc>
        <w:tc>
          <w:tcPr>
            <w:tcW w:w="2751"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1ED85B82" w14:textId="77777777" w:rsidR="00A25747" w:rsidRPr="00A25747" w:rsidRDefault="00A25747" w:rsidP="00AB59F7">
            <w:pPr>
              <w:jc w:val="center"/>
              <w:rPr>
                <w:rFonts w:ascii="Arial" w:hAnsi="Arial" w:cs="Arial"/>
              </w:rPr>
            </w:pPr>
            <w:r w:rsidRPr="00A25747">
              <w:rPr>
                <w:rFonts w:ascii="Arial" w:hAnsi="Arial" w:cs="Arial"/>
              </w:rPr>
              <w:t>1 (0.19%)</w:t>
            </w:r>
          </w:p>
        </w:tc>
      </w:tr>
      <w:tr w:rsidR="00A25747" w:rsidRPr="00A25747" w14:paraId="14DA173C" w14:textId="77777777" w:rsidTr="00AB59F7">
        <w:trPr>
          <w:trHeight w:val="305"/>
          <w:jc w:val="center"/>
        </w:trPr>
        <w:tc>
          <w:tcPr>
            <w:tcW w:w="4812"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18AEC68B" w14:textId="77777777" w:rsidR="00A25747" w:rsidRPr="00A25747" w:rsidRDefault="00A25747" w:rsidP="00AB59F7">
            <w:pPr>
              <w:jc w:val="center"/>
              <w:rPr>
                <w:rFonts w:ascii="Arial" w:eastAsia="Calibri" w:hAnsi="Arial" w:cs="Arial"/>
                <w:b/>
                <w:bCs/>
              </w:rPr>
            </w:pPr>
            <w:r w:rsidRPr="00A25747">
              <w:rPr>
                <w:rFonts w:ascii="Arial" w:eastAsia="Calibri" w:hAnsi="Arial" w:cs="Arial"/>
                <w:b/>
                <w:bCs/>
              </w:rPr>
              <w:t>Aloe vera-calamine-liquid paraffin formulation</w:t>
            </w:r>
          </w:p>
        </w:tc>
        <w:tc>
          <w:tcPr>
            <w:tcW w:w="2751"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04037CDF" w14:textId="77777777" w:rsidR="00A25747" w:rsidRPr="00A25747" w:rsidRDefault="00A25747" w:rsidP="00AB59F7">
            <w:pPr>
              <w:jc w:val="center"/>
              <w:rPr>
                <w:rFonts w:ascii="Arial" w:hAnsi="Arial" w:cs="Arial"/>
              </w:rPr>
            </w:pPr>
            <w:r w:rsidRPr="00A25747">
              <w:rPr>
                <w:rFonts w:ascii="Arial" w:hAnsi="Arial" w:cs="Arial"/>
              </w:rPr>
              <w:t>1 (0.19%)</w:t>
            </w:r>
          </w:p>
        </w:tc>
      </w:tr>
    </w:tbl>
    <w:p w14:paraId="0DBA1052" w14:textId="77777777" w:rsidR="00A25747" w:rsidRPr="00A25747" w:rsidRDefault="00A25747" w:rsidP="00A25747">
      <w:pPr>
        <w:jc w:val="both"/>
        <w:rPr>
          <w:rFonts w:ascii="Arial" w:hAnsi="Arial" w:cs="Arial"/>
        </w:rPr>
      </w:pPr>
    </w:p>
    <w:p w14:paraId="3610E41E" w14:textId="77777777" w:rsidR="00A25747" w:rsidRPr="00A25747" w:rsidRDefault="00A25747" w:rsidP="00A25747">
      <w:pPr>
        <w:jc w:val="both"/>
        <w:rPr>
          <w:rFonts w:ascii="Arial" w:hAnsi="Arial" w:cs="Arial"/>
          <w:b/>
          <w:bCs/>
        </w:rPr>
      </w:pPr>
      <w:r w:rsidRPr="00A25747">
        <w:rPr>
          <w:rFonts w:ascii="Arial" w:hAnsi="Arial" w:cs="Arial"/>
          <w:b/>
          <w:bCs/>
        </w:rPr>
        <w:t>Fig. 1: Distribution of response to the use of calamine lotion as monotherapy for itchy skin in clinical practice</w:t>
      </w:r>
    </w:p>
    <w:p w14:paraId="410C33EE" w14:textId="77777777" w:rsidR="00A25747" w:rsidRPr="00A25747" w:rsidRDefault="00A25747" w:rsidP="00A25747">
      <w:pPr>
        <w:jc w:val="center"/>
        <w:rPr>
          <w:rFonts w:ascii="Arial" w:hAnsi="Arial" w:cs="Arial"/>
        </w:rPr>
      </w:pPr>
      <w:r w:rsidRPr="00A25747">
        <w:rPr>
          <w:rFonts w:ascii="Arial" w:hAnsi="Arial" w:cs="Arial"/>
          <w:noProof/>
        </w:rPr>
        <w:lastRenderedPageBreak/>
        <w:drawing>
          <wp:inline distT="0" distB="0" distL="0" distR="0" wp14:anchorId="5ABD426D" wp14:editId="77AABC6C">
            <wp:extent cx="4584589" cy="2755631"/>
            <wp:effectExtent l="0" t="0" r="0" b="0"/>
            <wp:docPr id="195159087" name="drawing" descr="A pie chart with a number of percent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59087" name="drawing" descr="A pie chart with a number of percentage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4584589" cy="2755631"/>
                    </a:xfrm>
                    <a:prstGeom prst="rect">
                      <a:avLst/>
                    </a:prstGeom>
                  </pic:spPr>
                </pic:pic>
              </a:graphicData>
            </a:graphic>
          </wp:inline>
        </w:drawing>
      </w:r>
    </w:p>
    <w:p w14:paraId="5A275455" w14:textId="77777777" w:rsidR="00A25747" w:rsidRDefault="00A25747" w:rsidP="00A25747">
      <w:pPr>
        <w:jc w:val="both"/>
        <w:rPr>
          <w:rFonts w:ascii="Arial" w:eastAsia="Calibri" w:hAnsi="Arial" w:cs="Arial"/>
        </w:rPr>
      </w:pPr>
    </w:p>
    <w:p w14:paraId="0C3113EC" w14:textId="0EAB3BF1" w:rsidR="00A25747" w:rsidRPr="00A25747" w:rsidRDefault="00A25747" w:rsidP="00A25747">
      <w:pPr>
        <w:jc w:val="both"/>
        <w:rPr>
          <w:rFonts w:ascii="Arial" w:eastAsia="Calibri" w:hAnsi="Arial" w:cs="Arial"/>
        </w:rPr>
      </w:pPr>
      <w:r w:rsidRPr="00A25747">
        <w:rPr>
          <w:rFonts w:ascii="Arial" w:eastAsia="Calibri" w:hAnsi="Arial" w:cs="Arial"/>
        </w:rPr>
        <w:t>Nearly half of the clinicians (51.46%) preferred aloe vera as the combination ingredient in calamine lotion, whereas around 38% preferred light liquid paraffin in their clinical practice (Fig. 2). The majority (70.57%) occasionally used calamine lotion as an adjunctive therapy with topical steroids for infantile eczema. Approximately 40% of experts preferred topical antibiotics for the management of infantile acne. About 46% recommended calamine lotion for 21–30% of pediatric patients with urticaria. Nearly 50% preferred oral antihistamines for 10–14 days in cases of acute urticaria.</w:t>
      </w:r>
    </w:p>
    <w:p w14:paraId="51D5EBC5" w14:textId="77777777" w:rsidR="00A25747" w:rsidRPr="00A25747" w:rsidRDefault="00A25747" w:rsidP="00A25747">
      <w:pPr>
        <w:jc w:val="both"/>
        <w:rPr>
          <w:rFonts w:ascii="Arial" w:hAnsi="Arial" w:cs="Arial"/>
          <w:b/>
          <w:bCs/>
        </w:rPr>
      </w:pPr>
    </w:p>
    <w:p w14:paraId="16C2D6C3" w14:textId="77777777" w:rsidR="00A25747" w:rsidRPr="00A25747" w:rsidRDefault="00A25747" w:rsidP="00A25747">
      <w:pPr>
        <w:jc w:val="both"/>
        <w:rPr>
          <w:rFonts w:ascii="Arial" w:hAnsi="Arial" w:cs="Arial"/>
          <w:b/>
          <w:bCs/>
        </w:rPr>
      </w:pPr>
    </w:p>
    <w:p w14:paraId="4BB5A36C" w14:textId="77777777" w:rsidR="00A25747" w:rsidRDefault="00A25747" w:rsidP="00A25747">
      <w:pPr>
        <w:jc w:val="both"/>
        <w:rPr>
          <w:rFonts w:ascii="Arial" w:hAnsi="Arial" w:cs="Arial"/>
          <w:b/>
          <w:bCs/>
        </w:rPr>
      </w:pPr>
      <w:r w:rsidRPr="00A25747">
        <w:rPr>
          <w:rFonts w:ascii="Arial" w:hAnsi="Arial" w:cs="Arial"/>
          <w:b/>
          <w:bCs/>
        </w:rPr>
        <w:t>Fig. 2: Distribution of response to preferred ingredients in combination with calamine lotion in clinical practice</w:t>
      </w:r>
    </w:p>
    <w:p w14:paraId="4D6878D4" w14:textId="77777777" w:rsidR="00A25747" w:rsidRPr="00A25747" w:rsidRDefault="00A25747" w:rsidP="00A25747">
      <w:pPr>
        <w:jc w:val="both"/>
        <w:rPr>
          <w:rFonts w:ascii="Arial" w:hAnsi="Arial" w:cs="Arial"/>
          <w:b/>
          <w:bCs/>
        </w:rPr>
      </w:pPr>
    </w:p>
    <w:p w14:paraId="124B4300" w14:textId="77777777" w:rsidR="00A25747" w:rsidRPr="00A25747" w:rsidRDefault="00A25747" w:rsidP="00A25747">
      <w:pPr>
        <w:jc w:val="center"/>
        <w:rPr>
          <w:rFonts w:ascii="Arial" w:hAnsi="Arial" w:cs="Arial"/>
        </w:rPr>
      </w:pPr>
      <w:r w:rsidRPr="00A25747">
        <w:rPr>
          <w:rFonts w:ascii="Arial" w:hAnsi="Arial" w:cs="Arial"/>
          <w:noProof/>
        </w:rPr>
        <w:drawing>
          <wp:inline distT="0" distB="0" distL="0" distR="0" wp14:anchorId="006BFAB5" wp14:editId="718F54E1">
            <wp:extent cx="5724525" cy="2724150"/>
            <wp:effectExtent l="0" t="0" r="0" b="0"/>
            <wp:docPr id="337527143" name="drawing" descr="A graph with blue rectangular bars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527143" name="drawing" descr="A graph with blue rectangular bars and black text&#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5724525" cy="2724150"/>
                    </a:xfrm>
                    <a:prstGeom prst="rect">
                      <a:avLst/>
                    </a:prstGeom>
                  </pic:spPr>
                </pic:pic>
              </a:graphicData>
            </a:graphic>
          </wp:inline>
        </w:drawing>
      </w:r>
    </w:p>
    <w:p w14:paraId="67351E09" w14:textId="77777777" w:rsidR="00A25747" w:rsidRDefault="00A25747" w:rsidP="00A25747">
      <w:pPr>
        <w:jc w:val="both"/>
        <w:rPr>
          <w:rFonts w:ascii="Arial" w:eastAsia="Calibri" w:hAnsi="Arial" w:cs="Arial"/>
        </w:rPr>
      </w:pPr>
    </w:p>
    <w:p w14:paraId="6C560587" w14:textId="4B145CB3" w:rsidR="00A25747" w:rsidRPr="00A25747" w:rsidRDefault="00A25747" w:rsidP="00A25747">
      <w:pPr>
        <w:jc w:val="both"/>
        <w:rPr>
          <w:rFonts w:ascii="Arial" w:eastAsia="Calibri" w:hAnsi="Arial" w:cs="Arial"/>
        </w:rPr>
      </w:pPr>
      <w:r w:rsidRPr="00A25747">
        <w:rPr>
          <w:rFonts w:ascii="Arial" w:eastAsia="Calibri" w:hAnsi="Arial" w:cs="Arial"/>
        </w:rPr>
        <w:t xml:space="preserve">According to 47% of survey participants, levocetirizine, along with topical calamine, was preferred for the treatment of acute urticaria in their clinical practice. Around 35% of </w:t>
      </w:r>
      <w:r w:rsidRPr="00A25747">
        <w:rPr>
          <w:rFonts w:ascii="Arial" w:eastAsia="Calibri" w:hAnsi="Arial" w:cs="Arial"/>
        </w:rPr>
        <w:lastRenderedPageBreak/>
        <w:t>clinicians used calamine in combination with ceramides only occasionally in the management of atopic eczema. Approximately 39% preferred using calamine lotion on a need-based approach as adjunct therapy in herpes zoster. The majority of clinicians (86.55%) observed dryness as the most common side effect associated with calamine lotion. Nearly 42% of experts preferred calamine lotion as monotherapy in less than 10% of patients with insect bites, while 31% used it for post-</w:t>
      </w:r>
      <w:proofErr w:type="spellStart"/>
      <w:r w:rsidRPr="00A25747">
        <w:rPr>
          <w:rFonts w:ascii="Arial" w:eastAsia="Calibri" w:hAnsi="Arial" w:cs="Arial"/>
        </w:rPr>
        <w:t>scabetic</w:t>
      </w:r>
      <w:proofErr w:type="spellEnd"/>
      <w:r w:rsidRPr="00A25747">
        <w:rPr>
          <w:rFonts w:ascii="Arial" w:eastAsia="Calibri" w:hAnsi="Arial" w:cs="Arial"/>
        </w:rPr>
        <w:t xml:space="preserve"> itch in less than 10% of patients.</w:t>
      </w:r>
    </w:p>
    <w:p w14:paraId="3B1F0487" w14:textId="77777777" w:rsidR="00A25747" w:rsidRPr="00A25747" w:rsidRDefault="00A25747" w:rsidP="00A25747">
      <w:pPr>
        <w:spacing w:before="240" w:after="240"/>
        <w:jc w:val="both"/>
        <w:rPr>
          <w:rFonts w:ascii="Arial" w:eastAsia="Calibri" w:hAnsi="Arial" w:cs="Arial"/>
        </w:rPr>
      </w:pPr>
      <w:r w:rsidRPr="00A25747">
        <w:rPr>
          <w:rFonts w:ascii="Arial" w:eastAsia="Calibri" w:hAnsi="Arial" w:cs="Arial"/>
        </w:rPr>
        <w:t>Around 35% of clinicians preferred the combination of aloe vera and calamine in 26–50% of patients with pruritus (Fig. 3). More than half (54.97%) were extremely satisfied with the use of aloe vera, calamine, and liquid paraffin lotion in managing pruritus (Table 2). Approximately 33% used the aloe vera–calamine–liquid paraffin combination in 31–40% of patients with miliaria, whereas the majority (68.42%) used it in less than 10% of patients with post-acne hyperpigmentation (Table 3). Nearly 34% of participants reported this combination lotion to be effective in 11–25% of patients with diaper dermatitis, while around 42% used it in less than 10% of patients with hand, foot, and mouth disease (HFMD) (Table 4).</w:t>
      </w:r>
    </w:p>
    <w:p w14:paraId="2FFD8BE1" w14:textId="77777777" w:rsidR="00A25747" w:rsidRPr="00A25747" w:rsidRDefault="00A25747" w:rsidP="00A25747">
      <w:pPr>
        <w:jc w:val="both"/>
        <w:rPr>
          <w:rFonts w:ascii="Arial" w:eastAsia="Calibri" w:hAnsi="Arial" w:cs="Arial"/>
          <w:b/>
          <w:bCs/>
        </w:rPr>
      </w:pPr>
      <w:r w:rsidRPr="00A25747">
        <w:rPr>
          <w:rFonts w:ascii="Arial" w:hAnsi="Arial" w:cs="Arial"/>
          <w:b/>
          <w:bCs/>
        </w:rPr>
        <w:t xml:space="preserve">Fig. 3: Distribution of response to </w:t>
      </w:r>
      <w:r w:rsidRPr="00A25747">
        <w:rPr>
          <w:rFonts w:ascii="Arial" w:eastAsia="Calibri" w:hAnsi="Arial" w:cs="Arial"/>
          <w:b/>
          <w:bCs/>
        </w:rPr>
        <w:t>proportion of patients for whom a combination of aloe vera and calamine was preferred in the management of pruritus</w:t>
      </w:r>
    </w:p>
    <w:p w14:paraId="2CEC129A" w14:textId="77777777" w:rsidR="00A25747" w:rsidRPr="00A25747" w:rsidRDefault="00A25747" w:rsidP="00A25747">
      <w:pPr>
        <w:jc w:val="center"/>
        <w:rPr>
          <w:rFonts w:ascii="Arial" w:hAnsi="Arial" w:cs="Arial"/>
        </w:rPr>
      </w:pPr>
      <w:r w:rsidRPr="00A25747">
        <w:rPr>
          <w:rFonts w:ascii="Arial" w:hAnsi="Arial" w:cs="Arial"/>
          <w:noProof/>
        </w:rPr>
        <w:drawing>
          <wp:inline distT="0" distB="0" distL="0" distR="0" wp14:anchorId="74EAD216" wp14:editId="22B822FE">
            <wp:extent cx="4584589" cy="2755631"/>
            <wp:effectExtent l="0" t="0" r="0" b="0"/>
            <wp:docPr id="1054146750" name="drawing" descr="A graph with numbers and a b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146750" name="drawing" descr="A graph with numbers and a bar&#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4584589" cy="2755631"/>
                    </a:xfrm>
                    <a:prstGeom prst="rect">
                      <a:avLst/>
                    </a:prstGeom>
                  </pic:spPr>
                </pic:pic>
              </a:graphicData>
            </a:graphic>
          </wp:inline>
        </w:drawing>
      </w:r>
    </w:p>
    <w:p w14:paraId="72D93664" w14:textId="77777777" w:rsidR="00A25747" w:rsidRDefault="00A25747" w:rsidP="00A25747">
      <w:pPr>
        <w:jc w:val="both"/>
        <w:rPr>
          <w:rFonts w:ascii="Arial" w:hAnsi="Arial" w:cs="Arial"/>
          <w:b/>
          <w:bCs/>
        </w:rPr>
      </w:pPr>
    </w:p>
    <w:p w14:paraId="77926BF1" w14:textId="6A41A163" w:rsidR="00A25747" w:rsidRDefault="00A25747" w:rsidP="00A25747">
      <w:pPr>
        <w:jc w:val="both"/>
        <w:rPr>
          <w:rFonts w:ascii="Arial" w:hAnsi="Arial" w:cs="Arial"/>
          <w:b/>
          <w:bCs/>
        </w:rPr>
      </w:pPr>
      <w:r w:rsidRPr="00A25747">
        <w:rPr>
          <w:rFonts w:ascii="Arial" w:hAnsi="Arial" w:cs="Arial"/>
          <w:b/>
          <w:bCs/>
        </w:rPr>
        <w:t>Table 2: Distribution of responses to clinicians’ opinions on the use of aloe vera, calamine, and liquid paraffin lotion in pruritus</w:t>
      </w:r>
    </w:p>
    <w:p w14:paraId="42D2A733" w14:textId="77777777" w:rsidR="00A25747" w:rsidRPr="00A25747" w:rsidRDefault="00A25747" w:rsidP="00A25747">
      <w:pPr>
        <w:jc w:val="both"/>
        <w:rPr>
          <w:rFonts w:ascii="Arial" w:hAnsi="Arial" w:cs="Arial"/>
          <w:b/>
          <w:bCs/>
        </w:rPr>
      </w:pPr>
    </w:p>
    <w:tbl>
      <w:tblPr>
        <w:tblW w:w="7789" w:type="dxa"/>
        <w:jc w:val="center"/>
        <w:tblCellMar>
          <w:left w:w="0" w:type="dxa"/>
          <w:right w:w="0" w:type="dxa"/>
        </w:tblCellMar>
        <w:tblLook w:val="04A0" w:firstRow="1" w:lastRow="0" w:firstColumn="1" w:lastColumn="0" w:noHBand="0" w:noVBand="1"/>
      </w:tblPr>
      <w:tblGrid>
        <w:gridCol w:w="4820"/>
        <w:gridCol w:w="2969"/>
      </w:tblGrid>
      <w:tr w:rsidR="00A25747" w:rsidRPr="00A25747" w14:paraId="37301A7D" w14:textId="77777777" w:rsidTr="00AB59F7">
        <w:trPr>
          <w:trHeight w:val="300"/>
          <w:jc w:val="center"/>
        </w:trPr>
        <w:tc>
          <w:tcPr>
            <w:tcW w:w="48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7B7B7"/>
            <w:tcMar>
              <w:top w:w="0" w:type="dxa"/>
              <w:left w:w="45" w:type="dxa"/>
              <w:bottom w:w="0" w:type="dxa"/>
              <w:right w:w="45" w:type="dxa"/>
            </w:tcMar>
            <w:vAlign w:val="center"/>
            <w:hideMark/>
          </w:tcPr>
          <w:p w14:paraId="47440020" w14:textId="77777777" w:rsidR="00A25747" w:rsidRPr="00A25747" w:rsidRDefault="00A25747" w:rsidP="00AB59F7">
            <w:pPr>
              <w:jc w:val="center"/>
              <w:rPr>
                <w:rFonts w:ascii="Arial" w:hAnsi="Arial" w:cs="Arial"/>
                <w:b/>
                <w:bCs/>
              </w:rPr>
            </w:pPr>
            <w:r w:rsidRPr="00A25747">
              <w:rPr>
                <w:rFonts w:ascii="Arial" w:hAnsi="Arial" w:cs="Arial"/>
                <w:b/>
                <w:bCs/>
              </w:rPr>
              <w:t>Opinion</w:t>
            </w:r>
          </w:p>
        </w:tc>
        <w:tc>
          <w:tcPr>
            <w:tcW w:w="2969" w:type="dxa"/>
            <w:tcBorders>
              <w:top w:val="single" w:sz="6" w:space="0" w:color="000000" w:themeColor="text1"/>
              <w:left w:val="single" w:sz="6" w:space="0" w:color="CCCCCC"/>
              <w:bottom w:val="single" w:sz="6" w:space="0" w:color="000000" w:themeColor="text1"/>
              <w:right w:val="single" w:sz="6" w:space="0" w:color="000000" w:themeColor="text1"/>
            </w:tcBorders>
            <w:shd w:val="clear" w:color="auto" w:fill="B7B7B7"/>
            <w:tcMar>
              <w:top w:w="0" w:type="dxa"/>
              <w:left w:w="45" w:type="dxa"/>
              <w:bottom w:w="0" w:type="dxa"/>
              <w:right w:w="45" w:type="dxa"/>
            </w:tcMar>
            <w:vAlign w:val="center"/>
            <w:hideMark/>
          </w:tcPr>
          <w:p w14:paraId="16C5A3F8" w14:textId="77777777" w:rsidR="00A25747" w:rsidRPr="00A25747" w:rsidRDefault="00A25747" w:rsidP="00AB59F7">
            <w:pPr>
              <w:jc w:val="center"/>
              <w:rPr>
                <w:rFonts w:ascii="Arial" w:hAnsi="Arial" w:cs="Arial"/>
                <w:b/>
                <w:bCs/>
              </w:rPr>
            </w:pPr>
            <w:r w:rsidRPr="00A25747">
              <w:rPr>
                <w:rFonts w:ascii="Arial" w:hAnsi="Arial" w:cs="Arial"/>
                <w:b/>
                <w:bCs/>
              </w:rPr>
              <w:t>Response rate (n = 513)</w:t>
            </w:r>
          </w:p>
        </w:tc>
      </w:tr>
      <w:tr w:rsidR="00A25747" w:rsidRPr="00A25747" w14:paraId="4B127278" w14:textId="77777777" w:rsidTr="00AB59F7">
        <w:trPr>
          <w:trHeight w:val="300"/>
          <w:jc w:val="center"/>
        </w:trPr>
        <w:tc>
          <w:tcPr>
            <w:tcW w:w="4820"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4B750C7E" w14:textId="77777777" w:rsidR="00A25747" w:rsidRPr="00A25747" w:rsidRDefault="00A25747" w:rsidP="00AB59F7">
            <w:pPr>
              <w:jc w:val="center"/>
              <w:rPr>
                <w:rFonts w:ascii="Arial" w:hAnsi="Arial" w:cs="Arial"/>
                <w:b/>
                <w:bCs/>
              </w:rPr>
            </w:pPr>
            <w:r w:rsidRPr="00A25747">
              <w:rPr>
                <w:rFonts w:ascii="Arial" w:hAnsi="Arial" w:cs="Arial"/>
                <w:b/>
                <w:bCs/>
              </w:rPr>
              <w:t>Extremely satisfied</w:t>
            </w:r>
          </w:p>
        </w:tc>
        <w:tc>
          <w:tcPr>
            <w:tcW w:w="2969"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646D2ADE" w14:textId="77777777" w:rsidR="00A25747" w:rsidRPr="00A25747" w:rsidRDefault="00A25747" w:rsidP="00AB59F7">
            <w:pPr>
              <w:jc w:val="center"/>
              <w:rPr>
                <w:rFonts w:ascii="Arial" w:hAnsi="Arial" w:cs="Arial"/>
              </w:rPr>
            </w:pPr>
            <w:r w:rsidRPr="00A25747">
              <w:rPr>
                <w:rFonts w:ascii="Arial" w:hAnsi="Arial" w:cs="Arial"/>
              </w:rPr>
              <w:t>282 (54.97%)</w:t>
            </w:r>
          </w:p>
        </w:tc>
      </w:tr>
      <w:tr w:rsidR="00A25747" w:rsidRPr="00A25747" w14:paraId="237CF6B5" w14:textId="77777777" w:rsidTr="00AB59F7">
        <w:trPr>
          <w:trHeight w:val="300"/>
          <w:jc w:val="center"/>
        </w:trPr>
        <w:tc>
          <w:tcPr>
            <w:tcW w:w="4820"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1DBE4E0C" w14:textId="77777777" w:rsidR="00A25747" w:rsidRPr="00A25747" w:rsidRDefault="00A25747" w:rsidP="00AB59F7">
            <w:pPr>
              <w:jc w:val="center"/>
              <w:rPr>
                <w:rFonts w:ascii="Arial" w:hAnsi="Arial" w:cs="Arial"/>
                <w:b/>
                <w:bCs/>
              </w:rPr>
            </w:pPr>
            <w:r w:rsidRPr="00A25747">
              <w:rPr>
                <w:rFonts w:ascii="Arial" w:hAnsi="Arial" w:cs="Arial"/>
                <w:b/>
                <w:bCs/>
              </w:rPr>
              <w:t>Moderately satisfied</w:t>
            </w:r>
          </w:p>
        </w:tc>
        <w:tc>
          <w:tcPr>
            <w:tcW w:w="2969"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28C4DDC7" w14:textId="77777777" w:rsidR="00A25747" w:rsidRPr="00A25747" w:rsidRDefault="00A25747" w:rsidP="00AB59F7">
            <w:pPr>
              <w:jc w:val="center"/>
              <w:rPr>
                <w:rFonts w:ascii="Arial" w:hAnsi="Arial" w:cs="Arial"/>
              </w:rPr>
            </w:pPr>
            <w:r w:rsidRPr="00A25747">
              <w:rPr>
                <w:rFonts w:ascii="Arial" w:hAnsi="Arial" w:cs="Arial"/>
              </w:rPr>
              <w:t>170 (33.14%)</w:t>
            </w:r>
          </w:p>
        </w:tc>
      </w:tr>
      <w:tr w:rsidR="00A25747" w:rsidRPr="00A25747" w14:paraId="0F692987" w14:textId="77777777" w:rsidTr="00AB59F7">
        <w:trPr>
          <w:trHeight w:val="300"/>
          <w:jc w:val="center"/>
        </w:trPr>
        <w:tc>
          <w:tcPr>
            <w:tcW w:w="4820"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0C114850" w14:textId="77777777" w:rsidR="00A25747" w:rsidRPr="00A25747" w:rsidRDefault="00A25747" w:rsidP="00AB59F7">
            <w:pPr>
              <w:jc w:val="center"/>
              <w:rPr>
                <w:rFonts w:ascii="Arial" w:hAnsi="Arial" w:cs="Arial"/>
                <w:b/>
                <w:bCs/>
              </w:rPr>
            </w:pPr>
            <w:r w:rsidRPr="00A25747">
              <w:rPr>
                <w:rFonts w:ascii="Arial" w:hAnsi="Arial" w:cs="Arial"/>
                <w:b/>
                <w:bCs/>
              </w:rPr>
              <w:t>Slightly satisfied</w:t>
            </w:r>
          </w:p>
        </w:tc>
        <w:tc>
          <w:tcPr>
            <w:tcW w:w="2969"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0E0FCE47" w14:textId="77777777" w:rsidR="00A25747" w:rsidRPr="00A25747" w:rsidRDefault="00A25747" w:rsidP="00AB59F7">
            <w:pPr>
              <w:jc w:val="center"/>
              <w:rPr>
                <w:rFonts w:ascii="Arial" w:hAnsi="Arial" w:cs="Arial"/>
              </w:rPr>
            </w:pPr>
            <w:r w:rsidRPr="00A25747">
              <w:rPr>
                <w:rFonts w:ascii="Arial" w:hAnsi="Arial" w:cs="Arial"/>
              </w:rPr>
              <w:t>47 (9.16%)</w:t>
            </w:r>
          </w:p>
        </w:tc>
      </w:tr>
      <w:tr w:rsidR="00A25747" w:rsidRPr="00A25747" w14:paraId="35905BCF" w14:textId="77777777" w:rsidTr="00AB59F7">
        <w:trPr>
          <w:trHeight w:val="300"/>
          <w:jc w:val="center"/>
        </w:trPr>
        <w:tc>
          <w:tcPr>
            <w:tcW w:w="4820"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506AC834" w14:textId="77777777" w:rsidR="00A25747" w:rsidRPr="00A25747" w:rsidRDefault="00A25747" w:rsidP="00AB59F7">
            <w:pPr>
              <w:jc w:val="center"/>
              <w:rPr>
                <w:rFonts w:ascii="Arial" w:hAnsi="Arial" w:cs="Arial"/>
                <w:b/>
                <w:bCs/>
              </w:rPr>
            </w:pPr>
            <w:r w:rsidRPr="00A25747">
              <w:rPr>
                <w:rFonts w:ascii="Arial" w:hAnsi="Arial" w:cs="Arial"/>
                <w:b/>
                <w:bCs/>
              </w:rPr>
              <w:t>Neither satisfied nor dissatisfied</w:t>
            </w:r>
          </w:p>
        </w:tc>
        <w:tc>
          <w:tcPr>
            <w:tcW w:w="2969"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2B8F5A85" w14:textId="77777777" w:rsidR="00A25747" w:rsidRPr="00A25747" w:rsidRDefault="00A25747" w:rsidP="00AB59F7">
            <w:pPr>
              <w:jc w:val="center"/>
              <w:rPr>
                <w:rFonts w:ascii="Arial" w:hAnsi="Arial" w:cs="Arial"/>
              </w:rPr>
            </w:pPr>
            <w:r w:rsidRPr="00A25747">
              <w:rPr>
                <w:rFonts w:ascii="Arial" w:hAnsi="Arial" w:cs="Arial"/>
              </w:rPr>
              <w:t>5 (0.97%)</w:t>
            </w:r>
          </w:p>
        </w:tc>
      </w:tr>
      <w:tr w:rsidR="00A25747" w:rsidRPr="00A25747" w14:paraId="18ABFC44" w14:textId="77777777" w:rsidTr="00AB59F7">
        <w:trPr>
          <w:trHeight w:val="300"/>
          <w:jc w:val="center"/>
        </w:trPr>
        <w:tc>
          <w:tcPr>
            <w:tcW w:w="4820"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7E1EF694" w14:textId="77777777" w:rsidR="00A25747" w:rsidRPr="00A25747" w:rsidRDefault="00A25747" w:rsidP="00AB59F7">
            <w:pPr>
              <w:jc w:val="center"/>
              <w:rPr>
                <w:rFonts w:ascii="Arial" w:hAnsi="Arial" w:cs="Arial"/>
                <w:b/>
                <w:bCs/>
              </w:rPr>
            </w:pPr>
            <w:r w:rsidRPr="00A25747">
              <w:rPr>
                <w:rFonts w:ascii="Arial" w:hAnsi="Arial" w:cs="Arial"/>
                <w:b/>
                <w:bCs/>
              </w:rPr>
              <w:t>Slightly dissatisfied</w:t>
            </w:r>
          </w:p>
        </w:tc>
        <w:tc>
          <w:tcPr>
            <w:tcW w:w="2969"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04E67891" w14:textId="77777777" w:rsidR="00A25747" w:rsidRPr="00A25747" w:rsidRDefault="00A25747" w:rsidP="00AB59F7">
            <w:pPr>
              <w:jc w:val="center"/>
              <w:rPr>
                <w:rFonts w:ascii="Arial" w:hAnsi="Arial" w:cs="Arial"/>
              </w:rPr>
            </w:pPr>
            <w:r w:rsidRPr="00A25747">
              <w:rPr>
                <w:rFonts w:ascii="Arial" w:hAnsi="Arial" w:cs="Arial"/>
              </w:rPr>
              <w:t>1 (0.19%)</w:t>
            </w:r>
          </w:p>
        </w:tc>
      </w:tr>
      <w:tr w:rsidR="00A25747" w:rsidRPr="00A25747" w14:paraId="69237798" w14:textId="77777777" w:rsidTr="00AB59F7">
        <w:trPr>
          <w:trHeight w:val="300"/>
          <w:jc w:val="center"/>
        </w:trPr>
        <w:tc>
          <w:tcPr>
            <w:tcW w:w="4820"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18F968EA" w14:textId="77777777" w:rsidR="00A25747" w:rsidRPr="00A25747" w:rsidRDefault="00A25747" w:rsidP="00AB59F7">
            <w:pPr>
              <w:jc w:val="center"/>
              <w:rPr>
                <w:rFonts w:ascii="Arial" w:hAnsi="Arial" w:cs="Arial"/>
                <w:b/>
                <w:bCs/>
              </w:rPr>
            </w:pPr>
            <w:r w:rsidRPr="00A25747">
              <w:rPr>
                <w:rFonts w:ascii="Arial" w:hAnsi="Arial" w:cs="Arial"/>
                <w:b/>
                <w:bCs/>
              </w:rPr>
              <w:t>Moderately dissatisfied</w:t>
            </w:r>
          </w:p>
        </w:tc>
        <w:tc>
          <w:tcPr>
            <w:tcW w:w="2969"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333A92EE" w14:textId="77777777" w:rsidR="00A25747" w:rsidRPr="00A25747" w:rsidRDefault="00A25747" w:rsidP="00AB59F7">
            <w:pPr>
              <w:jc w:val="center"/>
              <w:rPr>
                <w:rFonts w:ascii="Arial" w:hAnsi="Arial" w:cs="Arial"/>
              </w:rPr>
            </w:pPr>
            <w:r w:rsidRPr="00A25747">
              <w:rPr>
                <w:rFonts w:ascii="Arial" w:hAnsi="Arial" w:cs="Arial"/>
              </w:rPr>
              <w:t>5 (0.97%)</w:t>
            </w:r>
          </w:p>
        </w:tc>
      </w:tr>
      <w:tr w:rsidR="00A25747" w:rsidRPr="00A25747" w14:paraId="292F3DAB" w14:textId="77777777" w:rsidTr="00AB59F7">
        <w:trPr>
          <w:trHeight w:val="300"/>
          <w:jc w:val="center"/>
        </w:trPr>
        <w:tc>
          <w:tcPr>
            <w:tcW w:w="4820"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10AFF8D5" w14:textId="77777777" w:rsidR="00A25747" w:rsidRPr="00A25747" w:rsidRDefault="00A25747" w:rsidP="00AB59F7">
            <w:pPr>
              <w:jc w:val="center"/>
              <w:rPr>
                <w:rFonts w:ascii="Arial" w:hAnsi="Arial" w:cs="Arial"/>
                <w:b/>
                <w:bCs/>
              </w:rPr>
            </w:pPr>
            <w:r w:rsidRPr="00A25747">
              <w:rPr>
                <w:rFonts w:ascii="Arial" w:hAnsi="Arial" w:cs="Arial"/>
                <w:b/>
                <w:bCs/>
              </w:rPr>
              <w:t>Extremely dissatisfied</w:t>
            </w:r>
          </w:p>
        </w:tc>
        <w:tc>
          <w:tcPr>
            <w:tcW w:w="2969"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49E9CB76" w14:textId="77777777" w:rsidR="00A25747" w:rsidRPr="00A25747" w:rsidRDefault="00A25747" w:rsidP="00AB59F7">
            <w:pPr>
              <w:jc w:val="center"/>
              <w:rPr>
                <w:rFonts w:ascii="Arial" w:hAnsi="Arial" w:cs="Arial"/>
              </w:rPr>
            </w:pPr>
            <w:r w:rsidRPr="00A25747">
              <w:rPr>
                <w:rFonts w:ascii="Arial" w:hAnsi="Arial" w:cs="Arial"/>
              </w:rPr>
              <w:t>1 (0.19%)</w:t>
            </w:r>
          </w:p>
        </w:tc>
      </w:tr>
      <w:tr w:rsidR="00A25747" w:rsidRPr="00A25747" w14:paraId="705C0EF6" w14:textId="77777777" w:rsidTr="00AB59F7">
        <w:trPr>
          <w:trHeight w:val="300"/>
          <w:jc w:val="center"/>
        </w:trPr>
        <w:tc>
          <w:tcPr>
            <w:tcW w:w="4820" w:type="dxa"/>
            <w:tcBorders>
              <w:top w:val="single" w:sz="6" w:space="0" w:color="CCCCCC"/>
              <w:left w:val="single" w:sz="6" w:space="0" w:color="000000" w:themeColor="text1"/>
              <w:bottom w:val="single" w:sz="6" w:space="0" w:color="000000" w:themeColor="text1"/>
              <w:right w:val="single" w:sz="6" w:space="0" w:color="000000" w:themeColor="text1"/>
            </w:tcBorders>
            <w:tcMar>
              <w:top w:w="0" w:type="dxa"/>
              <w:left w:w="45" w:type="dxa"/>
              <w:bottom w:w="0" w:type="dxa"/>
              <w:right w:w="45" w:type="dxa"/>
            </w:tcMar>
            <w:vAlign w:val="center"/>
            <w:hideMark/>
          </w:tcPr>
          <w:p w14:paraId="145D8DC2" w14:textId="77777777" w:rsidR="00A25747" w:rsidRPr="00A25747" w:rsidRDefault="00A25747" w:rsidP="00AB59F7">
            <w:pPr>
              <w:jc w:val="center"/>
              <w:rPr>
                <w:rFonts w:ascii="Arial" w:hAnsi="Arial" w:cs="Arial"/>
                <w:b/>
                <w:bCs/>
              </w:rPr>
            </w:pPr>
            <w:r w:rsidRPr="00A25747">
              <w:rPr>
                <w:rFonts w:ascii="Arial" w:hAnsi="Arial" w:cs="Arial"/>
                <w:b/>
                <w:bCs/>
              </w:rPr>
              <w:lastRenderedPageBreak/>
              <w:t>Do not use this combination</w:t>
            </w:r>
          </w:p>
        </w:tc>
        <w:tc>
          <w:tcPr>
            <w:tcW w:w="2969" w:type="dxa"/>
            <w:tcBorders>
              <w:top w:val="single" w:sz="6" w:space="0" w:color="CCCCCC"/>
              <w:left w:val="single" w:sz="6" w:space="0" w:color="CCCCCC"/>
              <w:bottom w:val="single" w:sz="6" w:space="0" w:color="000000" w:themeColor="text1"/>
              <w:right w:val="single" w:sz="6" w:space="0" w:color="000000" w:themeColor="text1"/>
            </w:tcBorders>
            <w:tcMar>
              <w:top w:w="0" w:type="dxa"/>
              <w:left w:w="45" w:type="dxa"/>
              <w:bottom w:w="0" w:type="dxa"/>
              <w:right w:w="45" w:type="dxa"/>
            </w:tcMar>
            <w:vAlign w:val="center"/>
            <w:hideMark/>
          </w:tcPr>
          <w:p w14:paraId="64140DA3" w14:textId="77777777" w:rsidR="00A25747" w:rsidRPr="00A25747" w:rsidRDefault="00A25747" w:rsidP="00AB59F7">
            <w:pPr>
              <w:jc w:val="center"/>
              <w:rPr>
                <w:rFonts w:ascii="Arial" w:hAnsi="Arial" w:cs="Arial"/>
              </w:rPr>
            </w:pPr>
            <w:r w:rsidRPr="00A25747">
              <w:rPr>
                <w:rFonts w:ascii="Arial" w:hAnsi="Arial" w:cs="Arial"/>
              </w:rPr>
              <w:t>2 (0.39%)</w:t>
            </w:r>
          </w:p>
        </w:tc>
      </w:tr>
    </w:tbl>
    <w:p w14:paraId="16B6F106" w14:textId="77777777" w:rsidR="00A25747" w:rsidRPr="00A25747" w:rsidRDefault="00A25747" w:rsidP="00A25747">
      <w:pPr>
        <w:jc w:val="both"/>
        <w:rPr>
          <w:rFonts w:ascii="Arial" w:hAnsi="Arial" w:cs="Arial"/>
        </w:rPr>
      </w:pPr>
    </w:p>
    <w:p w14:paraId="03493E30" w14:textId="77777777" w:rsidR="00A25747" w:rsidRDefault="00A25747" w:rsidP="00A25747">
      <w:pPr>
        <w:jc w:val="both"/>
        <w:rPr>
          <w:rFonts w:ascii="Arial" w:hAnsi="Arial" w:cs="Arial"/>
          <w:b/>
          <w:bCs/>
        </w:rPr>
      </w:pPr>
      <w:r w:rsidRPr="00A25747">
        <w:rPr>
          <w:rFonts w:ascii="Arial" w:hAnsi="Arial" w:cs="Arial"/>
          <w:b/>
          <w:bCs/>
        </w:rPr>
        <w:t>Table 3: Distribution of responses to proportion of patients for whom a combination of aloe vera, calamine, and liquid paraffin was used in miliaria and post-acne hyperpigmentation</w:t>
      </w:r>
    </w:p>
    <w:p w14:paraId="671FDD30" w14:textId="77777777" w:rsidR="00A25747" w:rsidRPr="00A25747" w:rsidRDefault="00A25747" w:rsidP="00A25747">
      <w:pPr>
        <w:jc w:val="both"/>
        <w:rPr>
          <w:rFonts w:ascii="Arial" w:hAnsi="Arial" w:cs="Arial"/>
          <w:b/>
          <w:bCs/>
        </w:rPr>
      </w:pPr>
    </w:p>
    <w:tbl>
      <w:tblPr>
        <w:tblW w:w="7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58"/>
        <w:gridCol w:w="2410"/>
        <w:gridCol w:w="2954"/>
        <w:gridCol w:w="20"/>
      </w:tblGrid>
      <w:tr w:rsidR="00A25747" w:rsidRPr="00A25747" w14:paraId="4B551804" w14:textId="77777777" w:rsidTr="00AB59F7">
        <w:trPr>
          <w:trHeight w:val="300"/>
          <w:jc w:val="center"/>
        </w:trPr>
        <w:tc>
          <w:tcPr>
            <w:tcW w:w="1858" w:type="dxa"/>
            <w:vMerge w:val="restart"/>
            <w:shd w:val="clear" w:color="auto" w:fill="B7B7B7"/>
            <w:tcMar>
              <w:top w:w="0" w:type="dxa"/>
              <w:left w:w="45" w:type="dxa"/>
              <w:bottom w:w="0" w:type="dxa"/>
              <w:right w:w="45" w:type="dxa"/>
            </w:tcMar>
            <w:vAlign w:val="center"/>
            <w:hideMark/>
          </w:tcPr>
          <w:p w14:paraId="2BE36419" w14:textId="77777777" w:rsidR="00A25747" w:rsidRPr="00A25747" w:rsidRDefault="00A25747" w:rsidP="00AB59F7">
            <w:pPr>
              <w:spacing w:line="259" w:lineRule="auto"/>
              <w:jc w:val="center"/>
              <w:rPr>
                <w:rFonts w:ascii="Arial" w:eastAsia="Calibri" w:hAnsi="Arial" w:cs="Arial"/>
                <w:b/>
                <w:bCs/>
                <w:lang w:val="en-IN"/>
              </w:rPr>
            </w:pPr>
            <w:r w:rsidRPr="00A25747">
              <w:rPr>
                <w:rFonts w:ascii="Arial" w:eastAsia="Calibri" w:hAnsi="Arial" w:cs="Arial"/>
                <w:b/>
                <w:bCs/>
                <w:lang w:val="en-IN"/>
              </w:rPr>
              <w:t>Proportion of patients</w:t>
            </w:r>
          </w:p>
        </w:tc>
        <w:tc>
          <w:tcPr>
            <w:tcW w:w="5364" w:type="dxa"/>
            <w:gridSpan w:val="2"/>
            <w:shd w:val="clear" w:color="auto" w:fill="B7B7B7"/>
            <w:tcMar>
              <w:top w:w="0" w:type="dxa"/>
              <w:left w:w="45" w:type="dxa"/>
              <w:bottom w:w="0" w:type="dxa"/>
              <w:right w:w="45" w:type="dxa"/>
            </w:tcMar>
            <w:vAlign w:val="center"/>
            <w:hideMark/>
          </w:tcPr>
          <w:p w14:paraId="4D83D073" w14:textId="77777777" w:rsidR="00A25747" w:rsidRPr="00A25747" w:rsidRDefault="00A25747" w:rsidP="00AB59F7">
            <w:pPr>
              <w:spacing w:line="259" w:lineRule="auto"/>
              <w:jc w:val="center"/>
              <w:rPr>
                <w:rFonts w:ascii="Arial" w:eastAsia="Calibri" w:hAnsi="Arial" w:cs="Arial"/>
                <w:b/>
                <w:bCs/>
                <w:lang w:val="en-IN"/>
              </w:rPr>
            </w:pPr>
            <w:r w:rsidRPr="00A25747">
              <w:rPr>
                <w:rFonts w:ascii="Arial" w:hAnsi="Arial" w:cs="Arial"/>
                <w:b/>
                <w:bCs/>
              </w:rPr>
              <w:t xml:space="preserve">Response rate </w:t>
            </w:r>
            <w:r w:rsidRPr="00A25747">
              <w:rPr>
                <w:rFonts w:ascii="Arial" w:eastAsia="Calibri" w:hAnsi="Arial" w:cs="Arial"/>
                <w:b/>
                <w:bCs/>
                <w:lang w:val="en-IN"/>
              </w:rPr>
              <w:t>(n = 513)</w:t>
            </w:r>
          </w:p>
        </w:tc>
        <w:tc>
          <w:tcPr>
            <w:tcW w:w="20" w:type="dxa"/>
          </w:tcPr>
          <w:p w14:paraId="54E0B38D" w14:textId="77777777" w:rsidR="00A25747" w:rsidRPr="00A25747" w:rsidRDefault="00A25747" w:rsidP="00AB59F7">
            <w:pPr>
              <w:spacing w:line="259" w:lineRule="auto"/>
              <w:jc w:val="both"/>
              <w:rPr>
                <w:rFonts w:ascii="Arial" w:eastAsia="Calibri" w:hAnsi="Arial" w:cs="Arial"/>
                <w:b/>
                <w:bCs/>
                <w:lang w:val="en-IN"/>
              </w:rPr>
            </w:pPr>
          </w:p>
        </w:tc>
      </w:tr>
      <w:tr w:rsidR="00A25747" w:rsidRPr="00A25747" w14:paraId="5C7D3167" w14:textId="77777777" w:rsidTr="00AB59F7">
        <w:trPr>
          <w:trHeight w:val="300"/>
          <w:jc w:val="center"/>
        </w:trPr>
        <w:tc>
          <w:tcPr>
            <w:tcW w:w="1858" w:type="dxa"/>
            <w:vMerge/>
            <w:tcMar>
              <w:top w:w="0" w:type="dxa"/>
              <w:left w:w="45" w:type="dxa"/>
              <w:bottom w:w="0" w:type="dxa"/>
              <w:right w:w="45" w:type="dxa"/>
            </w:tcMar>
            <w:vAlign w:val="center"/>
          </w:tcPr>
          <w:p w14:paraId="1A872B98" w14:textId="77777777" w:rsidR="00A25747" w:rsidRPr="00A25747" w:rsidRDefault="00A25747" w:rsidP="00AB59F7">
            <w:pPr>
              <w:spacing w:line="259" w:lineRule="auto"/>
              <w:jc w:val="center"/>
              <w:rPr>
                <w:rFonts w:ascii="Arial" w:eastAsia="Calibri" w:hAnsi="Arial" w:cs="Arial"/>
                <w:b/>
                <w:bCs/>
                <w:lang w:val="en-IN"/>
              </w:rPr>
            </w:pPr>
          </w:p>
        </w:tc>
        <w:tc>
          <w:tcPr>
            <w:tcW w:w="2410" w:type="dxa"/>
            <w:tcMar>
              <w:top w:w="0" w:type="dxa"/>
              <w:left w:w="45" w:type="dxa"/>
              <w:bottom w:w="0" w:type="dxa"/>
              <w:right w:w="45" w:type="dxa"/>
            </w:tcMar>
            <w:vAlign w:val="center"/>
          </w:tcPr>
          <w:p w14:paraId="4EA02D66" w14:textId="77777777" w:rsidR="00A25747" w:rsidRPr="00A25747" w:rsidRDefault="00A25747" w:rsidP="00AB59F7">
            <w:pPr>
              <w:spacing w:line="259" w:lineRule="auto"/>
              <w:jc w:val="center"/>
              <w:rPr>
                <w:rFonts w:ascii="Arial" w:eastAsia="Calibri" w:hAnsi="Arial" w:cs="Arial"/>
                <w:b/>
                <w:bCs/>
                <w:lang w:val="en-IN"/>
              </w:rPr>
            </w:pPr>
            <w:r w:rsidRPr="00A25747">
              <w:rPr>
                <w:rFonts w:ascii="Arial" w:eastAsia="Calibri" w:hAnsi="Arial" w:cs="Arial"/>
                <w:b/>
                <w:bCs/>
                <w:lang w:val="en-IN"/>
              </w:rPr>
              <w:t>Miliaria</w:t>
            </w:r>
          </w:p>
        </w:tc>
        <w:tc>
          <w:tcPr>
            <w:tcW w:w="2954" w:type="dxa"/>
          </w:tcPr>
          <w:p w14:paraId="71FA9152" w14:textId="77777777" w:rsidR="00A25747" w:rsidRPr="00A25747" w:rsidRDefault="00A25747" w:rsidP="00AB59F7">
            <w:pPr>
              <w:spacing w:line="259" w:lineRule="auto"/>
              <w:jc w:val="center"/>
              <w:rPr>
                <w:rFonts w:ascii="Arial" w:eastAsia="Calibri" w:hAnsi="Arial" w:cs="Arial"/>
                <w:b/>
                <w:bCs/>
                <w:lang w:val="en-IN"/>
              </w:rPr>
            </w:pPr>
            <w:r w:rsidRPr="00A25747">
              <w:rPr>
                <w:rFonts w:ascii="Arial" w:eastAsia="Calibri" w:hAnsi="Arial" w:cs="Arial"/>
                <w:b/>
                <w:bCs/>
                <w:lang w:val="en-IN"/>
              </w:rPr>
              <w:t>Post-acne hyperpigmentation</w:t>
            </w:r>
          </w:p>
        </w:tc>
        <w:tc>
          <w:tcPr>
            <w:tcW w:w="20" w:type="dxa"/>
          </w:tcPr>
          <w:p w14:paraId="34A5ECE1" w14:textId="77777777" w:rsidR="00A25747" w:rsidRPr="00A25747" w:rsidRDefault="00A25747" w:rsidP="00AB59F7">
            <w:pPr>
              <w:spacing w:line="259" w:lineRule="auto"/>
              <w:jc w:val="both"/>
              <w:rPr>
                <w:rFonts w:ascii="Arial" w:eastAsia="Calibri" w:hAnsi="Arial" w:cs="Arial"/>
                <w:b/>
                <w:bCs/>
                <w:lang w:val="en-IN"/>
              </w:rPr>
            </w:pPr>
          </w:p>
        </w:tc>
      </w:tr>
      <w:tr w:rsidR="00A25747" w:rsidRPr="00A25747" w14:paraId="7ABB3232" w14:textId="77777777" w:rsidTr="00AB59F7">
        <w:trPr>
          <w:trHeight w:val="300"/>
          <w:jc w:val="center"/>
        </w:trPr>
        <w:tc>
          <w:tcPr>
            <w:tcW w:w="1858" w:type="dxa"/>
            <w:tcMar>
              <w:top w:w="0" w:type="dxa"/>
              <w:left w:w="45" w:type="dxa"/>
              <w:bottom w:w="0" w:type="dxa"/>
              <w:right w:w="45" w:type="dxa"/>
            </w:tcMar>
            <w:vAlign w:val="center"/>
            <w:hideMark/>
          </w:tcPr>
          <w:p w14:paraId="49DD2910" w14:textId="77777777" w:rsidR="00A25747" w:rsidRPr="00A25747" w:rsidRDefault="00A25747" w:rsidP="00AB59F7">
            <w:pPr>
              <w:spacing w:line="259" w:lineRule="auto"/>
              <w:jc w:val="center"/>
              <w:rPr>
                <w:rFonts w:ascii="Arial" w:eastAsia="Calibri" w:hAnsi="Arial" w:cs="Arial"/>
                <w:b/>
                <w:bCs/>
                <w:lang w:val="en-IN"/>
              </w:rPr>
            </w:pPr>
            <w:r w:rsidRPr="00A25747">
              <w:rPr>
                <w:rFonts w:ascii="Arial" w:eastAsia="Calibri" w:hAnsi="Arial" w:cs="Arial"/>
                <w:b/>
                <w:bCs/>
                <w:lang w:val="en-IN"/>
              </w:rPr>
              <w:t>&lt;10%</w:t>
            </w:r>
          </w:p>
        </w:tc>
        <w:tc>
          <w:tcPr>
            <w:tcW w:w="2410" w:type="dxa"/>
            <w:tcMar>
              <w:top w:w="0" w:type="dxa"/>
              <w:left w:w="45" w:type="dxa"/>
              <w:bottom w:w="0" w:type="dxa"/>
              <w:right w:w="45" w:type="dxa"/>
            </w:tcMar>
            <w:vAlign w:val="center"/>
            <w:hideMark/>
          </w:tcPr>
          <w:p w14:paraId="447D3330" w14:textId="77777777" w:rsidR="00A25747" w:rsidRPr="00A25747" w:rsidRDefault="00A25747" w:rsidP="00AB59F7">
            <w:pPr>
              <w:spacing w:line="259" w:lineRule="auto"/>
              <w:jc w:val="center"/>
              <w:rPr>
                <w:rFonts w:ascii="Arial" w:eastAsia="Calibri" w:hAnsi="Arial" w:cs="Arial"/>
                <w:lang w:val="en-IN"/>
              </w:rPr>
            </w:pPr>
            <w:r w:rsidRPr="00A25747">
              <w:rPr>
                <w:rFonts w:ascii="Arial" w:eastAsia="Calibri" w:hAnsi="Arial" w:cs="Arial"/>
                <w:lang w:val="en-IN"/>
              </w:rPr>
              <w:t>75 (14.62%)</w:t>
            </w:r>
          </w:p>
        </w:tc>
        <w:tc>
          <w:tcPr>
            <w:tcW w:w="2954" w:type="dxa"/>
          </w:tcPr>
          <w:p w14:paraId="12219341" w14:textId="77777777" w:rsidR="00A25747" w:rsidRPr="00A25747" w:rsidRDefault="00A25747" w:rsidP="00AB59F7">
            <w:pPr>
              <w:spacing w:line="259" w:lineRule="auto"/>
              <w:jc w:val="center"/>
              <w:rPr>
                <w:rFonts w:ascii="Arial" w:eastAsia="Calibri" w:hAnsi="Arial" w:cs="Arial"/>
                <w:lang w:val="en-IN"/>
              </w:rPr>
            </w:pPr>
            <w:r w:rsidRPr="00A25747">
              <w:rPr>
                <w:rFonts w:ascii="Arial" w:hAnsi="Arial" w:cs="Arial"/>
              </w:rPr>
              <w:t>351 (68.42%)</w:t>
            </w:r>
          </w:p>
        </w:tc>
        <w:tc>
          <w:tcPr>
            <w:tcW w:w="20" w:type="dxa"/>
          </w:tcPr>
          <w:p w14:paraId="2D1ADDC9" w14:textId="77777777" w:rsidR="00A25747" w:rsidRPr="00A25747" w:rsidRDefault="00A25747" w:rsidP="00AB59F7">
            <w:pPr>
              <w:spacing w:line="259" w:lineRule="auto"/>
              <w:jc w:val="both"/>
              <w:rPr>
                <w:rFonts w:ascii="Arial" w:eastAsia="Calibri" w:hAnsi="Arial" w:cs="Arial"/>
                <w:lang w:val="en-IN"/>
              </w:rPr>
            </w:pPr>
          </w:p>
        </w:tc>
      </w:tr>
      <w:tr w:rsidR="00A25747" w:rsidRPr="00A25747" w14:paraId="76B39852" w14:textId="77777777" w:rsidTr="00AB59F7">
        <w:trPr>
          <w:trHeight w:val="300"/>
          <w:jc w:val="center"/>
        </w:trPr>
        <w:tc>
          <w:tcPr>
            <w:tcW w:w="1858" w:type="dxa"/>
            <w:tcMar>
              <w:top w:w="0" w:type="dxa"/>
              <w:left w:w="45" w:type="dxa"/>
              <w:bottom w:w="0" w:type="dxa"/>
              <w:right w:w="45" w:type="dxa"/>
            </w:tcMar>
            <w:vAlign w:val="center"/>
            <w:hideMark/>
          </w:tcPr>
          <w:p w14:paraId="7A81A19F" w14:textId="77777777" w:rsidR="00A25747" w:rsidRPr="00A25747" w:rsidRDefault="00A25747" w:rsidP="00AB59F7">
            <w:pPr>
              <w:spacing w:line="259" w:lineRule="auto"/>
              <w:jc w:val="center"/>
              <w:rPr>
                <w:rFonts w:ascii="Arial" w:eastAsia="Calibri" w:hAnsi="Arial" w:cs="Arial"/>
                <w:b/>
                <w:bCs/>
                <w:lang w:val="en-IN"/>
              </w:rPr>
            </w:pPr>
            <w:r w:rsidRPr="00A25747">
              <w:rPr>
                <w:rFonts w:ascii="Arial" w:eastAsia="Calibri" w:hAnsi="Arial" w:cs="Arial"/>
                <w:b/>
                <w:bCs/>
                <w:lang w:val="en-IN"/>
              </w:rPr>
              <w:t>11-20%</w:t>
            </w:r>
          </w:p>
        </w:tc>
        <w:tc>
          <w:tcPr>
            <w:tcW w:w="2410" w:type="dxa"/>
            <w:tcMar>
              <w:top w:w="0" w:type="dxa"/>
              <w:left w:w="45" w:type="dxa"/>
              <w:bottom w:w="0" w:type="dxa"/>
              <w:right w:w="45" w:type="dxa"/>
            </w:tcMar>
            <w:vAlign w:val="center"/>
            <w:hideMark/>
          </w:tcPr>
          <w:p w14:paraId="5A223B89" w14:textId="77777777" w:rsidR="00A25747" w:rsidRPr="00A25747" w:rsidRDefault="00A25747" w:rsidP="00AB59F7">
            <w:pPr>
              <w:spacing w:line="259" w:lineRule="auto"/>
              <w:jc w:val="center"/>
              <w:rPr>
                <w:rFonts w:ascii="Arial" w:eastAsia="Calibri" w:hAnsi="Arial" w:cs="Arial"/>
                <w:lang w:val="en-IN"/>
              </w:rPr>
            </w:pPr>
            <w:r w:rsidRPr="00A25747">
              <w:rPr>
                <w:rFonts w:ascii="Arial" w:eastAsia="Calibri" w:hAnsi="Arial" w:cs="Arial"/>
                <w:lang w:val="en-IN"/>
              </w:rPr>
              <w:t>122 (23.78%)</w:t>
            </w:r>
          </w:p>
        </w:tc>
        <w:tc>
          <w:tcPr>
            <w:tcW w:w="2954" w:type="dxa"/>
          </w:tcPr>
          <w:p w14:paraId="6E52CA76" w14:textId="77777777" w:rsidR="00A25747" w:rsidRPr="00A25747" w:rsidRDefault="00A25747" w:rsidP="00AB59F7">
            <w:pPr>
              <w:spacing w:line="259" w:lineRule="auto"/>
              <w:jc w:val="center"/>
              <w:rPr>
                <w:rFonts w:ascii="Arial" w:eastAsia="Calibri" w:hAnsi="Arial" w:cs="Arial"/>
                <w:lang w:val="en-IN"/>
              </w:rPr>
            </w:pPr>
            <w:r w:rsidRPr="00A25747">
              <w:rPr>
                <w:rFonts w:ascii="Arial" w:hAnsi="Arial" w:cs="Arial"/>
              </w:rPr>
              <w:t>97 (18.91%)</w:t>
            </w:r>
          </w:p>
        </w:tc>
        <w:tc>
          <w:tcPr>
            <w:tcW w:w="20" w:type="dxa"/>
          </w:tcPr>
          <w:p w14:paraId="792E0CF2" w14:textId="77777777" w:rsidR="00A25747" w:rsidRPr="00A25747" w:rsidRDefault="00A25747" w:rsidP="00AB59F7">
            <w:pPr>
              <w:spacing w:line="259" w:lineRule="auto"/>
              <w:jc w:val="both"/>
              <w:rPr>
                <w:rFonts w:ascii="Arial" w:eastAsia="Calibri" w:hAnsi="Arial" w:cs="Arial"/>
                <w:lang w:val="en-IN"/>
              </w:rPr>
            </w:pPr>
          </w:p>
        </w:tc>
      </w:tr>
      <w:tr w:rsidR="00A25747" w:rsidRPr="00A25747" w14:paraId="3E033228" w14:textId="77777777" w:rsidTr="00AB59F7">
        <w:trPr>
          <w:trHeight w:val="300"/>
          <w:jc w:val="center"/>
        </w:trPr>
        <w:tc>
          <w:tcPr>
            <w:tcW w:w="1858" w:type="dxa"/>
            <w:tcMar>
              <w:top w:w="0" w:type="dxa"/>
              <w:left w:w="45" w:type="dxa"/>
              <w:bottom w:w="0" w:type="dxa"/>
              <w:right w:w="45" w:type="dxa"/>
            </w:tcMar>
            <w:vAlign w:val="center"/>
            <w:hideMark/>
          </w:tcPr>
          <w:p w14:paraId="62E77E18" w14:textId="77777777" w:rsidR="00A25747" w:rsidRPr="00A25747" w:rsidRDefault="00A25747" w:rsidP="00AB59F7">
            <w:pPr>
              <w:spacing w:line="259" w:lineRule="auto"/>
              <w:jc w:val="center"/>
              <w:rPr>
                <w:rFonts w:ascii="Arial" w:eastAsia="Calibri" w:hAnsi="Arial" w:cs="Arial"/>
                <w:b/>
                <w:bCs/>
                <w:lang w:val="en-IN"/>
              </w:rPr>
            </w:pPr>
            <w:r w:rsidRPr="00A25747">
              <w:rPr>
                <w:rFonts w:ascii="Arial" w:eastAsia="Calibri" w:hAnsi="Arial" w:cs="Arial"/>
                <w:b/>
                <w:bCs/>
                <w:lang w:val="en-IN"/>
              </w:rPr>
              <w:t>21-30%</w:t>
            </w:r>
          </w:p>
        </w:tc>
        <w:tc>
          <w:tcPr>
            <w:tcW w:w="2410" w:type="dxa"/>
            <w:tcMar>
              <w:top w:w="0" w:type="dxa"/>
              <w:left w:w="45" w:type="dxa"/>
              <w:bottom w:w="0" w:type="dxa"/>
              <w:right w:w="45" w:type="dxa"/>
            </w:tcMar>
            <w:vAlign w:val="center"/>
            <w:hideMark/>
          </w:tcPr>
          <w:p w14:paraId="65DD45BE" w14:textId="77777777" w:rsidR="00A25747" w:rsidRPr="00A25747" w:rsidRDefault="00A25747" w:rsidP="00AB59F7">
            <w:pPr>
              <w:spacing w:line="259" w:lineRule="auto"/>
              <w:jc w:val="center"/>
              <w:rPr>
                <w:rFonts w:ascii="Arial" w:eastAsia="Calibri" w:hAnsi="Arial" w:cs="Arial"/>
                <w:lang w:val="en-IN"/>
              </w:rPr>
            </w:pPr>
            <w:r w:rsidRPr="00A25747">
              <w:rPr>
                <w:rFonts w:ascii="Arial" w:eastAsia="Calibri" w:hAnsi="Arial" w:cs="Arial"/>
                <w:lang w:val="en-IN"/>
              </w:rPr>
              <w:t>149 (29.04%)</w:t>
            </w:r>
          </w:p>
        </w:tc>
        <w:tc>
          <w:tcPr>
            <w:tcW w:w="2954" w:type="dxa"/>
          </w:tcPr>
          <w:p w14:paraId="74C980DB" w14:textId="77777777" w:rsidR="00A25747" w:rsidRPr="00A25747" w:rsidRDefault="00A25747" w:rsidP="00AB59F7">
            <w:pPr>
              <w:spacing w:line="259" w:lineRule="auto"/>
              <w:jc w:val="center"/>
              <w:rPr>
                <w:rFonts w:ascii="Arial" w:eastAsia="Calibri" w:hAnsi="Arial" w:cs="Arial"/>
                <w:lang w:val="en-IN"/>
              </w:rPr>
            </w:pPr>
            <w:r w:rsidRPr="00A25747">
              <w:rPr>
                <w:rFonts w:ascii="Arial" w:hAnsi="Arial" w:cs="Arial"/>
              </w:rPr>
              <w:t>47 (9.16%)</w:t>
            </w:r>
          </w:p>
        </w:tc>
        <w:tc>
          <w:tcPr>
            <w:tcW w:w="20" w:type="dxa"/>
          </w:tcPr>
          <w:p w14:paraId="716154E8" w14:textId="77777777" w:rsidR="00A25747" w:rsidRPr="00A25747" w:rsidRDefault="00A25747" w:rsidP="00AB59F7">
            <w:pPr>
              <w:spacing w:line="259" w:lineRule="auto"/>
              <w:jc w:val="both"/>
              <w:rPr>
                <w:rFonts w:ascii="Arial" w:eastAsia="Calibri" w:hAnsi="Arial" w:cs="Arial"/>
                <w:lang w:val="en-IN"/>
              </w:rPr>
            </w:pPr>
          </w:p>
        </w:tc>
      </w:tr>
      <w:tr w:rsidR="00A25747" w:rsidRPr="00A25747" w14:paraId="2F80150D" w14:textId="77777777" w:rsidTr="00AB59F7">
        <w:trPr>
          <w:trHeight w:val="300"/>
          <w:jc w:val="center"/>
        </w:trPr>
        <w:tc>
          <w:tcPr>
            <w:tcW w:w="1858" w:type="dxa"/>
            <w:tcMar>
              <w:top w:w="0" w:type="dxa"/>
              <w:left w:w="45" w:type="dxa"/>
              <w:bottom w:w="0" w:type="dxa"/>
              <w:right w:w="45" w:type="dxa"/>
            </w:tcMar>
            <w:vAlign w:val="center"/>
            <w:hideMark/>
          </w:tcPr>
          <w:p w14:paraId="1BA7F556" w14:textId="77777777" w:rsidR="00A25747" w:rsidRPr="00A25747" w:rsidRDefault="00A25747" w:rsidP="00AB59F7">
            <w:pPr>
              <w:spacing w:line="259" w:lineRule="auto"/>
              <w:jc w:val="center"/>
              <w:rPr>
                <w:rFonts w:ascii="Arial" w:eastAsia="Calibri" w:hAnsi="Arial" w:cs="Arial"/>
                <w:b/>
                <w:bCs/>
                <w:lang w:val="en-IN"/>
              </w:rPr>
            </w:pPr>
            <w:r w:rsidRPr="00A25747">
              <w:rPr>
                <w:rFonts w:ascii="Arial" w:eastAsia="Calibri" w:hAnsi="Arial" w:cs="Arial"/>
                <w:b/>
                <w:bCs/>
                <w:lang w:val="en-IN"/>
              </w:rPr>
              <w:t>31-40%</w:t>
            </w:r>
          </w:p>
        </w:tc>
        <w:tc>
          <w:tcPr>
            <w:tcW w:w="2410" w:type="dxa"/>
            <w:tcMar>
              <w:top w:w="0" w:type="dxa"/>
              <w:left w:w="45" w:type="dxa"/>
              <w:bottom w:w="0" w:type="dxa"/>
              <w:right w:w="45" w:type="dxa"/>
            </w:tcMar>
            <w:vAlign w:val="center"/>
            <w:hideMark/>
          </w:tcPr>
          <w:p w14:paraId="157B9EB0" w14:textId="77777777" w:rsidR="00A25747" w:rsidRPr="00A25747" w:rsidRDefault="00A25747" w:rsidP="00AB59F7">
            <w:pPr>
              <w:spacing w:line="259" w:lineRule="auto"/>
              <w:jc w:val="center"/>
              <w:rPr>
                <w:rFonts w:ascii="Arial" w:eastAsia="Calibri" w:hAnsi="Arial" w:cs="Arial"/>
                <w:lang w:val="en-IN"/>
              </w:rPr>
            </w:pPr>
            <w:r w:rsidRPr="00A25747">
              <w:rPr>
                <w:rFonts w:ascii="Arial" w:eastAsia="Calibri" w:hAnsi="Arial" w:cs="Arial"/>
                <w:lang w:val="en-IN"/>
              </w:rPr>
              <w:t>167 (32.55%)</w:t>
            </w:r>
          </w:p>
        </w:tc>
        <w:tc>
          <w:tcPr>
            <w:tcW w:w="2954" w:type="dxa"/>
          </w:tcPr>
          <w:p w14:paraId="4283937D" w14:textId="77777777" w:rsidR="00A25747" w:rsidRPr="00A25747" w:rsidRDefault="00A25747" w:rsidP="00AB59F7">
            <w:pPr>
              <w:spacing w:line="259" w:lineRule="auto"/>
              <w:jc w:val="center"/>
              <w:rPr>
                <w:rFonts w:ascii="Arial" w:eastAsia="Calibri" w:hAnsi="Arial" w:cs="Arial"/>
                <w:lang w:val="en-IN"/>
              </w:rPr>
            </w:pPr>
            <w:r w:rsidRPr="00A25747">
              <w:rPr>
                <w:rFonts w:ascii="Arial" w:hAnsi="Arial" w:cs="Arial"/>
              </w:rPr>
              <w:t>18 (3.51%)</w:t>
            </w:r>
          </w:p>
        </w:tc>
        <w:tc>
          <w:tcPr>
            <w:tcW w:w="20" w:type="dxa"/>
          </w:tcPr>
          <w:p w14:paraId="4CBDFC2C" w14:textId="77777777" w:rsidR="00A25747" w:rsidRPr="00A25747" w:rsidRDefault="00A25747" w:rsidP="00AB59F7">
            <w:pPr>
              <w:spacing w:line="259" w:lineRule="auto"/>
              <w:jc w:val="both"/>
              <w:rPr>
                <w:rFonts w:ascii="Arial" w:eastAsia="Calibri" w:hAnsi="Arial" w:cs="Arial"/>
                <w:lang w:val="en-IN"/>
              </w:rPr>
            </w:pPr>
          </w:p>
        </w:tc>
      </w:tr>
    </w:tbl>
    <w:p w14:paraId="5FB4713B" w14:textId="77777777" w:rsidR="00A25747" w:rsidRPr="00A25747" w:rsidRDefault="00A25747" w:rsidP="00A25747">
      <w:pPr>
        <w:jc w:val="both"/>
        <w:rPr>
          <w:rFonts w:ascii="Arial" w:hAnsi="Arial" w:cs="Arial"/>
        </w:rPr>
      </w:pPr>
    </w:p>
    <w:p w14:paraId="2868D8A6" w14:textId="77777777" w:rsidR="00A25747" w:rsidRDefault="00A25747" w:rsidP="00A25747">
      <w:pPr>
        <w:jc w:val="both"/>
        <w:rPr>
          <w:rFonts w:ascii="Arial" w:hAnsi="Arial" w:cs="Arial"/>
          <w:b/>
          <w:bCs/>
        </w:rPr>
      </w:pPr>
      <w:r w:rsidRPr="00A25747">
        <w:rPr>
          <w:rFonts w:ascii="Arial" w:hAnsi="Arial" w:cs="Arial"/>
          <w:b/>
          <w:bCs/>
        </w:rPr>
        <w:t>Table 4: Distribution of responses to proportion of patients for whom a combination of aloe vera, calamine, and liquid paraffin was used or found effective in diaper dermatitis and hand-foot mouth disease</w:t>
      </w:r>
    </w:p>
    <w:p w14:paraId="2A17B287" w14:textId="77777777" w:rsidR="00A25747" w:rsidRPr="00A25747" w:rsidRDefault="00A25747" w:rsidP="00A25747">
      <w:pPr>
        <w:jc w:val="both"/>
        <w:rPr>
          <w:rFonts w:ascii="Arial" w:hAnsi="Arial" w:cs="Arial"/>
          <w:b/>
          <w:bCs/>
        </w:rPr>
      </w:pPr>
    </w:p>
    <w:tbl>
      <w:tblPr>
        <w:tblW w:w="7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6"/>
        <w:gridCol w:w="2489"/>
        <w:gridCol w:w="2369"/>
      </w:tblGrid>
      <w:tr w:rsidR="00A25747" w:rsidRPr="00A25747" w14:paraId="197FEA58" w14:textId="77777777" w:rsidTr="00AB59F7">
        <w:trPr>
          <w:trHeight w:val="300"/>
          <w:jc w:val="center"/>
        </w:trPr>
        <w:tc>
          <w:tcPr>
            <w:tcW w:w="3026" w:type="dxa"/>
            <w:vMerge w:val="restart"/>
            <w:shd w:val="clear" w:color="auto" w:fill="B7B7B7"/>
            <w:tcMar>
              <w:top w:w="0" w:type="dxa"/>
              <w:left w:w="45" w:type="dxa"/>
              <w:bottom w:w="0" w:type="dxa"/>
              <w:right w:w="45" w:type="dxa"/>
            </w:tcMar>
            <w:vAlign w:val="center"/>
            <w:hideMark/>
          </w:tcPr>
          <w:p w14:paraId="594C2794" w14:textId="77777777" w:rsidR="00A25747" w:rsidRPr="00A25747" w:rsidRDefault="00A25747" w:rsidP="00AB59F7">
            <w:pPr>
              <w:jc w:val="center"/>
              <w:rPr>
                <w:rFonts w:ascii="Arial" w:hAnsi="Arial" w:cs="Arial"/>
                <w:b/>
                <w:bCs/>
              </w:rPr>
            </w:pPr>
            <w:r w:rsidRPr="00A25747">
              <w:rPr>
                <w:rFonts w:ascii="Arial" w:hAnsi="Arial" w:cs="Arial"/>
                <w:b/>
                <w:bCs/>
              </w:rPr>
              <w:t>Proportion of patients</w:t>
            </w:r>
          </w:p>
        </w:tc>
        <w:tc>
          <w:tcPr>
            <w:tcW w:w="4858" w:type="dxa"/>
            <w:gridSpan w:val="2"/>
            <w:shd w:val="clear" w:color="auto" w:fill="B7B7B7"/>
            <w:tcMar>
              <w:top w:w="0" w:type="dxa"/>
              <w:left w:w="45" w:type="dxa"/>
              <w:bottom w:w="0" w:type="dxa"/>
              <w:right w:w="45" w:type="dxa"/>
            </w:tcMar>
            <w:vAlign w:val="center"/>
            <w:hideMark/>
          </w:tcPr>
          <w:p w14:paraId="59973959" w14:textId="77777777" w:rsidR="00A25747" w:rsidRPr="00A25747" w:rsidRDefault="00A25747" w:rsidP="00AB59F7">
            <w:pPr>
              <w:jc w:val="center"/>
              <w:rPr>
                <w:rFonts w:ascii="Arial" w:hAnsi="Arial" w:cs="Arial"/>
                <w:b/>
                <w:bCs/>
              </w:rPr>
            </w:pPr>
            <w:r w:rsidRPr="00A25747">
              <w:rPr>
                <w:rFonts w:ascii="Arial" w:hAnsi="Arial" w:cs="Arial"/>
                <w:b/>
                <w:bCs/>
              </w:rPr>
              <w:t>Response rate (n = 513)</w:t>
            </w:r>
          </w:p>
        </w:tc>
      </w:tr>
      <w:tr w:rsidR="00A25747" w:rsidRPr="00A25747" w14:paraId="0BCD2815" w14:textId="77777777" w:rsidTr="00AB59F7">
        <w:trPr>
          <w:trHeight w:val="300"/>
          <w:jc w:val="center"/>
        </w:trPr>
        <w:tc>
          <w:tcPr>
            <w:tcW w:w="3026" w:type="dxa"/>
            <w:vMerge/>
            <w:tcMar>
              <w:top w:w="0" w:type="dxa"/>
              <w:left w:w="45" w:type="dxa"/>
              <w:bottom w:w="0" w:type="dxa"/>
              <w:right w:w="45" w:type="dxa"/>
            </w:tcMar>
            <w:vAlign w:val="center"/>
          </w:tcPr>
          <w:p w14:paraId="5B4DF1BB" w14:textId="77777777" w:rsidR="00A25747" w:rsidRPr="00A25747" w:rsidRDefault="00A25747" w:rsidP="00AB59F7">
            <w:pPr>
              <w:jc w:val="center"/>
              <w:rPr>
                <w:rFonts w:ascii="Arial" w:hAnsi="Arial" w:cs="Arial"/>
                <w:b/>
                <w:bCs/>
              </w:rPr>
            </w:pPr>
          </w:p>
        </w:tc>
        <w:tc>
          <w:tcPr>
            <w:tcW w:w="2489" w:type="dxa"/>
            <w:tcMar>
              <w:top w:w="0" w:type="dxa"/>
              <w:left w:w="45" w:type="dxa"/>
              <w:bottom w:w="0" w:type="dxa"/>
              <w:right w:w="45" w:type="dxa"/>
            </w:tcMar>
            <w:vAlign w:val="center"/>
          </w:tcPr>
          <w:p w14:paraId="583F82E0" w14:textId="77777777" w:rsidR="00A25747" w:rsidRPr="00A25747" w:rsidRDefault="00A25747" w:rsidP="00AB59F7">
            <w:pPr>
              <w:jc w:val="center"/>
              <w:rPr>
                <w:rFonts w:ascii="Arial" w:hAnsi="Arial" w:cs="Arial"/>
                <w:b/>
                <w:bCs/>
              </w:rPr>
            </w:pPr>
            <w:r w:rsidRPr="00A25747">
              <w:rPr>
                <w:rFonts w:ascii="Arial" w:hAnsi="Arial" w:cs="Arial"/>
                <w:b/>
                <w:bCs/>
              </w:rPr>
              <w:t>Diaper dermatitis</w:t>
            </w:r>
          </w:p>
        </w:tc>
        <w:tc>
          <w:tcPr>
            <w:tcW w:w="2369" w:type="dxa"/>
          </w:tcPr>
          <w:p w14:paraId="178CB374" w14:textId="77777777" w:rsidR="00A25747" w:rsidRPr="00A25747" w:rsidRDefault="00A25747" w:rsidP="00AB59F7">
            <w:pPr>
              <w:jc w:val="center"/>
              <w:rPr>
                <w:rFonts w:ascii="Arial" w:hAnsi="Arial" w:cs="Arial"/>
                <w:b/>
                <w:bCs/>
              </w:rPr>
            </w:pPr>
            <w:r w:rsidRPr="00A25747">
              <w:rPr>
                <w:rFonts w:ascii="Arial" w:hAnsi="Arial" w:cs="Arial"/>
                <w:b/>
                <w:bCs/>
              </w:rPr>
              <w:t>Hand-foot-mouth disease</w:t>
            </w:r>
          </w:p>
        </w:tc>
      </w:tr>
      <w:tr w:rsidR="00A25747" w:rsidRPr="00A25747" w14:paraId="722CF525" w14:textId="77777777" w:rsidTr="00AB59F7">
        <w:trPr>
          <w:trHeight w:val="300"/>
          <w:jc w:val="center"/>
        </w:trPr>
        <w:tc>
          <w:tcPr>
            <w:tcW w:w="3026" w:type="dxa"/>
            <w:tcMar>
              <w:top w:w="0" w:type="dxa"/>
              <w:left w:w="45" w:type="dxa"/>
              <w:bottom w:w="0" w:type="dxa"/>
              <w:right w:w="45" w:type="dxa"/>
            </w:tcMar>
            <w:vAlign w:val="center"/>
            <w:hideMark/>
          </w:tcPr>
          <w:p w14:paraId="58877748" w14:textId="77777777" w:rsidR="00A25747" w:rsidRPr="00A25747" w:rsidRDefault="00A25747" w:rsidP="00AB59F7">
            <w:pPr>
              <w:jc w:val="center"/>
              <w:rPr>
                <w:rFonts w:ascii="Arial" w:hAnsi="Arial" w:cs="Arial"/>
                <w:b/>
                <w:bCs/>
              </w:rPr>
            </w:pPr>
            <w:r w:rsidRPr="00A25747">
              <w:rPr>
                <w:rFonts w:ascii="Arial" w:hAnsi="Arial" w:cs="Arial"/>
                <w:b/>
                <w:bCs/>
              </w:rPr>
              <w:t>&lt;10%</w:t>
            </w:r>
          </w:p>
        </w:tc>
        <w:tc>
          <w:tcPr>
            <w:tcW w:w="2489" w:type="dxa"/>
            <w:tcMar>
              <w:top w:w="0" w:type="dxa"/>
              <w:left w:w="45" w:type="dxa"/>
              <w:bottom w:w="0" w:type="dxa"/>
              <w:right w:w="45" w:type="dxa"/>
            </w:tcMar>
            <w:vAlign w:val="center"/>
            <w:hideMark/>
          </w:tcPr>
          <w:p w14:paraId="5FF7F433" w14:textId="77777777" w:rsidR="00A25747" w:rsidRPr="00A25747" w:rsidRDefault="00A25747" w:rsidP="00AB59F7">
            <w:pPr>
              <w:jc w:val="center"/>
              <w:rPr>
                <w:rFonts w:ascii="Arial" w:hAnsi="Arial" w:cs="Arial"/>
              </w:rPr>
            </w:pPr>
            <w:r w:rsidRPr="00A25747">
              <w:rPr>
                <w:rFonts w:ascii="Arial" w:hAnsi="Arial" w:cs="Arial"/>
              </w:rPr>
              <w:t>171 (33.33%)</w:t>
            </w:r>
          </w:p>
        </w:tc>
        <w:tc>
          <w:tcPr>
            <w:tcW w:w="2369" w:type="dxa"/>
            <w:vAlign w:val="center"/>
          </w:tcPr>
          <w:p w14:paraId="466029B6" w14:textId="77777777" w:rsidR="00A25747" w:rsidRPr="00A25747" w:rsidRDefault="00A25747" w:rsidP="00AB59F7">
            <w:pPr>
              <w:jc w:val="center"/>
              <w:rPr>
                <w:rFonts w:ascii="Arial" w:hAnsi="Arial" w:cs="Arial"/>
              </w:rPr>
            </w:pPr>
            <w:r w:rsidRPr="00A25747">
              <w:rPr>
                <w:rFonts w:ascii="Arial" w:hAnsi="Arial" w:cs="Arial"/>
              </w:rPr>
              <w:t>214 (41.72%)</w:t>
            </w:r>
          </w:p>
        </w:tc>
      </w:tr>
      <w:tr w:rsidR="00A25747" w:rsidRPr="00A25747" w14:paraId="7CE8D4BF" w14:textId="77777777" w:rsidTr="00AB59F7">
        <w:trPr>
          <w:trHeight w:val="300"/>
          <w:jc w:val="center"/>
        </w:trPr>
        <w:tc>
          <w:tcPr>
            <w:tcW w:w="3026" w:type="dxa"/>
            <w:tcMar>
              <w:top w:w="0" w:type="dxa"/>
              <w:left w:w="45" w:type="dxa"/>
              <w:bottom w:w="0" w:type="dxa"/>
              <w:right w:w="45" w:type="dxa"/>
            </w:tcMar>
            <w:vAlign w:val="center"/>
            <w:hideMark/>
          </w:tcPr>
          <w:p w14:paraId="41C577F7" w14:textId="77777777" w:rsidR="00A25747" w:rsidRPr="00A25747" w:rsidRDefault="00A25747" w:rsidP="00AB59F7">
            <w:pPr>
              <w:jc w:val="center"/>
              <w:rPr>
                <w:rFonts w:ascii="Arial" w:hAnsi="Arial" w:cs="Arial"/>
                <w:b/>
                <w:bCs/>
              </w:rPr>
            </w:pPr>
            <w:r w:rsidRPr="00A25747">
              <w:rPr>
                <w:rFonts w:ascii="Arial" w:hAnsi="Arial" w:cs="Arial"/>
                <w:b/>
                <w:bCs/>
              </w:rPr>
              <w:t>11-25%</w:t>
            </w:r>
          </w:p>
        </w:tc>
        <w:tc>
          <w:tcPr>
            <w:tcW w:w="2489" w:type="dxa"/>
            <w:tcMar>
              <w:top w:w="0" w:type="dxa"/>
              <w:left w:w="45" w:type="dxa"/>
              <w:bottom w:w="0" w:type="dxa"/>
              <w:right w:w="45" w:type="dxa"/>
            </w:tcMar>
            <w:vAlign w:val="center"/>
            <w:hideMark/>
          </w:tcPr>
          <w:p w14:paraId="4F980B62" w14:textId="77777777" w:rsidR="00A25747" w:rsidRPr="00A25747" w:rsidRDefault="00A25747" w:rsidP="00AB59F7">
            <w:pPr>
              <w:jc w:val="center"/>
              <w:rPr>
                <w:rFonts w:ascii="Arial" w:hAnsi="Arial" w:cs="Arial"/>
              </w:rPr>
            </w:pPr>
            <w:r w:rsidRPr="00A25747">
              <w:rPr>
                <w:rFonts w:ascii="Arial" w:hAnsi="Arial" w:cs="Arial"/>
              </w:rPr>
              <w:t>173 (33.72%)</w:t>
            </w:r>
          </w:p>
        </w:tc>
        <w:tc>
          <w:tcPr>
            <w:tcW w:w="2369" w:type="dxa"/>
            <w:vAlign w:val="center"/>
          </w:tcPr>
          <w:p w14:paraId="16F9817A" w14:textId="77777777" w:rsidR="00A25747" w:rsidRPr="00A25747" w:rsidRDefault="00A25747" w:rsidP="00AB59F7">
            <w:pPr>
              <w:jc w:val="center"/>
              <w:rPr>
                <w:rFonts w:ascii="Arial" w:hAnsi="Arial" w:cs="Arial"/>
              </w:rPr>
            </w:pPr>
            <w:r w:rsidRPr="00A25747">
              <w:rPr>
                <w:rFonts w:ascii="Arial" w:hAnsi="Arial" w:cs="Arial"/>
              </w:rPr>
              <w:t>140 (27.29%)</w:t>
            </w:r>
          </w:p>
        </w:tc>
      </w:tr>
      <w:tr w:rsidR="00A25747" w:rsidRPr="00A25747" w14:paraId="0339F353" w14:textId="77777777" w:rsidTr="00AB59F7">
        <w:trPr>
          <w:trHeight w:val="300"/>
          <w:jc w:val="center"/>
        </w:trPr>
        <w:tc>
          <w:tcPr>
            <w:tcW w:w="3026" w:type="dxa"/>
            <w:tcMar>
              <w:top w:w="0" w:type="dxa"/>
              <w:left w:w="45" w:type="dxa"/>
              <w:bottom w:w="0" w:type="dxa"/>
              <w:right w:w="45" w:type="dxa"/>
            </w:tcMar>
            <w:vAlign w:val="center"/>
            <w:hideMark/>
          </w:tcPr>
          <w:p w14:paraId="0B36A2C5" w14:textId="77777777" w:rsidR="00A25747" w:rsidRPr="00A25747" w:rsidRDefault="00A25747" w:rsidP="00AB59F7">
            <w:pPr>
              <w:jc w:val="center"/>
              <w:rPr>
                <w:rFonts w:ascii="Arial" w:hAnsi="Arial" w:cs="Arial"/>
                <w:b/>
                <w:bCs/>
              </w:rPr>
            </w:pPr>
            <w:r w:rsidRPr="00A25747">
              <w:rPr>
                <w:rFonts w:ascii="Arial" w:hAnsi="Arial" w:cs="Arial"/>
                <w:b/>
                <w:bCs/>
              </w:rPr>
              <w:t>26-50%</w:t>
            </w:r>
          </w:p>
        </w:tc>
        <w:tc>
          <w:tcPr>
            <w:tcW w:w="2489" w:type="dxa"/>
            <w:tcMar>
              <w:top w:w="0" w:type="dxa"/>
              <w:left w:w="45" w:type="dxa"/>
              <w:bottom w:w="0" w:type="dxa"/>
              <w:right w:w="45" w:type="dxa"/>
            </w:tcMar>
            <w:vAlign w:val="center"/>
            <w:hideMark/>
          </w:tcPr>
          <w:p w14:paraId="4A0F0AF3" w14:textId="77777777" w:rsidR="00A25747" w:rsidRPr="00A25747" w:rsidRDefault="00A25747" w:rsidP="00AB59F7">
            <w:pPr>
              <w:jc w:val="center"/>
              <w:rPr>
                <w:rFonts w:ascii="Arial" w:hAnsi="Arial" w:cs="Arial"/>
              </w:rPr>
            </w:pPr>
            <w:r w:rsidRPr="00A25747">
              <w:rPr>
                <w:rFonts w:ascii="Arial" w:hAnsi="Arial" w:cs="Arial"/>
              </w:rPr>
              <w:t>135 (26.32%)</w:t>
            </w:r>
          </w:p>
        </w:tc>
        <w:tc>
          <w:tcPr>
            <w:tcW w:w="2369" w:type="dxa"/>
            <w:vAlign w:val="center"/>
          </w:tcPr>
          <w:p w14:paraId="3E23ECA3" w14:textId="77777777" w:rsidR="00A25747" w:rsidRPr="00A25747" w:rsidRDefault="00A25747" w:rsidP="00AB59F7">
            <w:pPr>
              <w:jc w:val="center"/>
              <w:rPr>
                <w:rFonts w:ascii="Arial" w:hAnsi="Arial" w:cs="Arial"/>
              </w:rPr>
            </w:pPr>
            <w:r w:rsidRPr="00A25747">
              <w:rPr>
                <w:rFonts w:ascii="Arial" w:hAnsi="Arial" w:cs="Arial"/>
              </w:rPr>
              <w:t>96 (18.71%)</w:t>
            </w:r>
          </w:p>
        </w:tc>
      </w:tr>
      <w:tr w:rsidR="00A25747" w:rsidRPr="00A25747" w14:paraId="662D3BEF" w14:textId="77777777" w:rsidTr="00AB59F7">
        <w:trPr>
          <w:trHeight w:val="300"/>
          <w:jc w:val="center"/>
        </w:trPr>
        <w:tc>
          <w:tcPr>
            <w:tcW w:w="3026" w:type="dxa"/>
            <w:tcMar>
              <w:top w:w="0" w:type="dxa"/>
              <w:left w:w="45" w:type="dxa"/>
              <w:bottom w:w="0" w:type="dxa"/>
              <w:right w:w="45" w:type="dxa"/>
            </w:tcMar>
            <w:vAlign w:val="center"/>
            <w:hideMark/>
          </w:tcPr>
          <w:p w14:paraId="61385CEA" w14:textId="77777777" w:rsidR="00A25747" w:rsidRPr="00A25747" w:rsidRDefault="00A25747" w:rsidP="00AB59F7">
            <w:pPr>
              <w:jc w:val="center"/>
              <w:rPr>
                <w:rFonts w:ascii="Arial" w:hAnsi="Arial" w:cs="Arial"/>
                <w:b/>
                <w:bCs/>
              </w:rPr>
            </w:pPr>
            <w:r w:rsidRPr="00A25747">
              <w:rPr>
                <w:rFonts w:ascii="Arial" w:hAnsi="Arial" w:cs="Arial"/>
                <w:b/>
                <w:bCs/>
              </w:rPr>
              <w:t>51-75%</w:t>
            </w:r>
          </w:p>
        </w:tc>
        <w:tc>
          <w:tcPr>
            <w:tcW w:w="2489" w:type="dxa"/>
            <w:tcMar>
              <w:top w:w="0" w:type="dxa"/>
              <w:left w:w="45" w:type="dxa"/>
              <w:bottom w:w="0" w:type="dxa"/>
              <w:right w:w="45" w:type="dxa"/>
            </w:tcMar>
            <w:vAlign w:val="center"/>
            <w:hideMark/>
          </w:tcPr>
          <w:p w14:paraId="4A516BD4" w14:textId="77777777" w:rsidR="00A25747" w:rsidRPr="00A25747" w:rsidRDefault="00A25747" w:rsidP="00AB59F7">
            <w:pPr>
              <w:jc w:val="center"/>
              <w:rPr>
                <w:rFonts w:ascii="Arial" w:hAnsi="Arial" w:cs="Arial"/>
              </w:rPr>
            </w:pPr>
            <w:r w:rsidRPr="00A25747">
              <w:rPr>
                <w:rFonts w:ascii="Arial" w:hAnsi="Arial" w:cs="Arial"/>
              </w:rPr>
              <w:t>34 (6.63%)</w:t>
            </w:r>
          </w:p>
        </w:tc>
        <w:tc>
          <w:tcPr>
            <w:tcW w:w="2369" w:type="dxa"/>
            <w:vAlign w:val="center"/>
          </w:tcPr>
          <w:p w14:paraId="30A2874C" w14:textId="77777777" w:rsidR="00A25747" w:rsidRPr="00A25747" w:rsidRDefault="00A25747" w:rsidP="00AB59F7">
            <w:pPr>
              <w:jc w:val="center"/>
              <w:rPr>
                <w:rFonts w:ascii="Arial" w:hAnsi="Arial" w:cs="Arial"/>
              </w:rPr>
            </w:pPr>
            <w:r w:rsidRPr="00A25747">
              <w:rPr>
                <w:rFonts w:ascii="Arial" w:hAnsi="Arial" w:cs="Arial"/>
              </w:rPr>
              <w:t>63 (12.28%)</w:t>
            </w:r>
          </w:p>
        </w:tc>
      </w:tr>
    </w:tbl>
    <w:p w14:paraId="70612B0B" w14:textId="77777777" w:rsidR="00A25747" w:rsidRPr="00A25747" w:rsidRDefault="00A25747" w:rsidP="00A25747">
      <w:pPr>
        <w:jc w:val="both"/>
        <w:rPr>
          <w:rFonts w:ascii="Arial" w:hAnsi="Arial" w:cs="Arial"/>
        </w:rPr>
      </w:pPr>
    </w:p>
    <w:p w14:paraId="39F6E958" w14:textId="77777777" w:rsidR="00902823" w:rsidRDefault="00C4190C"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discussion</w:t>
      </w:r>
    </w:p>
    <w:p w14:paraId="5062AFEE" w14:textId="77777777" w:rsidR="00790ADA" w:rsidRPr="00A25747" w:rsidRDefault="00790ADA" w:rsidP="00441B6F">
      <w:pPr>
        <w:pStyle w:val="Head1"/>
        <w:spacing w:after="0"/>
        <w:jc w:val="both"/>
        <w:rPr>
          <w:rFonts w:ascii="Arial" w:hAnsi="Arial" w:cs="Arial"/>
        </w:rPr>
      </w:pPr>
    </w:p>
    <w:p w14:paraId="41F2C503" w14:textId="77777777" w:rsidR="00A25747" w:rsidRDefault="00A25747" w:rsidP="00A25747">
      <w:pPr>
        <w:jc w:val="both"/>
        <w:rPr>
          <w:rFonts w:ascii="Arial" w:hAnsi="Arial" w:cs="Arial"/>
          <w:vertAlign w:val="superscript"/>
        </w:rPr>
      </w:pPr>
      <w:r w:rsidRPr="00A25747">
        <w:rPr>
          <w:rFonts w:ascii="Arial" w:eastAsia="Calibri" w:hAnsi="Arial" w:cs="Arial"/>
        </w:rPr>
        <w:t xml:space="preserve">This survey reveals several important insights into clinicians’ preferences regarding the use of calamine and its combinations in dermatology practice. The preference for calamine as the topical agent of choice for urticaria among the majority of survey participants (90.06%) underscores its enduring relevance in clinical management. </w:t>
      </w:r>
      <w:r w:rsidRPr="00A25747">
        <w:rPr>
          <w:rFonts w:ascii="Arial" w:hAnsi="Arial" w:cs="Arial"/>
        </w:rPr>
        <w:t>Topical lotions containing calamine serve as soothing agents and can help relieve discomfort in the management of chronic urticaria.</w:t>
      </w:r>
      <w:r w:rsidRPr="00A25747">
        <w:rPr>
          <w:rFonts w:ascii="Arial" w:hAnsi="Arial" w:cs="Arial"/>
          <w:vertAlign w:val="superscript"/>
        </w:rPr>
        <w:t>14</w:t>
      </w:r>
      <w:r w:rsidRPr="00A25747">
        <w:rPr>
          <w:rFonts w:ascii="Arial" w:hAnsi="Arial" w:cs="Arial"/>
        </w:rPr>
        <w:t xml:space="preserve"> </w:t>
      </w:r>
      <w:r w:rsidRPr="00A25747">
        <w:rPr>
          <w:rFonts w:ascii="Arial" w:eastAsia="Calibri" w:hAnsi="Arial" w:cs="Arial"/>
        </w:rPr>
        <w:t>In a prospective study by Kar and Chari involving patients with chronic idiopathic urticaria, calamine lotion was used as a topical adjunct to oral antihistamines, resulting in a gradual improvement in both pruritus and skin lesions. These findings collectively highlight calamine’s continued utility as a soothing and antipruritic agent, particularly when used in conjunction with systemic therapy</w:t>
      </w:r>
      <w:r w:rsidRPr="00A25747">
        <w:rPr>
          <w:rFonts w:ascii="Arial" w:hAnsi="Arial" w:cs="Arial"/>
        </w:rPr>
        <w:t>.</w:t>
      </w:r>
      <w:r w:rsidRPr="00A25747">
        <w:rPr>
          <w:rFonts w:ascii="Arial" w:hAnsi="Arial" w:cs="Arial"/>
          <w:vertAlign w:val="superscript"/>
        </w:rPr>
        <w:t xml:space="preserve">15 </w:t>
      </w:r>
    </w:p>
    <w:p w14:paraId="2E05188B" w14:textId="77777777" w:rsidR="00A25747" w:rsidRPr="00A25747" w:rsidRDefault="00A25747" w:rsidP="00A25747">
      <w:pPr>
        <w:jc w:val="both"/>
        <w:rPr>
          <w:rFonts w:ascii="Arial" w:hAnsi="Arial" w:cs="Arial"/>
        </w:rPr>
      </w:pPr>
    </w:p>
    <w:p w14:paraId="197CDB75" w14:textId="77777777" w:rsidR="00A25747" w:rsidRDefault="00A25747" w:rsidP="00A25747">
      <w:pPr>
        <w:jc w:val="both"/>
        <w:rPr>
          <w:rFonts w:ascii="Arial" w:eastAsia="Calibri" w:hAnsi="Arial" w:cs="Arial"/>
          <w:vertAlign w:val="superscript"/>
        </w:rPr>
      </w:pPr>
      <w:r w:rsidRPr="00A25747">
        <w:rPr>
          <w:rFonts w:ascii="Arial" w:eastAsia="Calibri" w:hAnsi="Arial" w:cs="Arial"/>
        </w:rPr>
        <w:t xml:space="preserve">The finding that three-quarters of clinicians (75.44%) rarely use calamine as monotherapy highlights a pragmatic approach to pruritus management. Similarly, the observation that most clinicians prefer aloe vera–calamine combination for 26–50% of patients with pruritus indicates a clear preference for combination therapy over monotherapy. The tendency to combine calamine with adjunctive ingredients such as aloe vera and light liquid paraffin reflects an evolving approach in enhancing both therapeutic efficacy and patient comfort. Mixed pruritus often involves multiple underlying mechanisms, including inflammation, barrier disruption, and immune dysfunction, as seen in atopic dermatitis. Accordingly, clinicians appear to prefer combination formulations that target these diverse pathophysiological pathways. This measured approach likely reflects consideration of </w:t>
      </w:r>
      <w:r w:rsidRPr="00A25747">
        <w:rPr>
          <w:rFonts w:ascii="Arial" w:eastAsia="Calibri" w:hAnsi="Arial" w:cs="Arial"/>
        </w:rPr>
        <w:lastRenderedPageBreak/>
        <w:t>individual patient factors, underlying etiology, symptom severity, and concurrent treatments.</w:t>
      </w:r>
      <w:r w:rsidRPr="00A25747">
        <w:rPr>
          <w:rFonts w:ascii="Arial" w:eastAsia="Calibri" w:hAnsi="Arial" w:cs="Arial"/>
          <w:vertAlign w:val="superscript"/>
        </w:rPr>
        <w:t>16,17</w:t>
      </w:r>
    </w:p>
    <w:p w14:paraId="7552FC38" w14:textId="77777777" w:rsidR="00A25747" w:rsidRPr="00A25747" w:rsidRDefault="00A25747" w:rsidP="00A25747">
      <w:pPr>
        <w:jc w:val="both"/>
        <w:rPr>
          <w:rFonts w:ascii="Arial" w:hAnsi="Arial" w:cs="Arial"/>
          <w:vertAlign w:val="superscript"/>
        </w:rPr>
      </w:pPr>
    </w:p>
    <w:p w14:paraId="65FBE966" w14:textId="77777777" w:rsidR="00A25747" w:rsidRDefault="00A25747" w:rsidP="00A25747">
      <w:pPr>
        <w:jc w:val="both"/>
        <w:rPr>
          <w:rFonts w:ascii="Arial" w:eastAsia="Calibri" w:hAnsi="Arial" w:cs="Arial"/>
          <w:vertAlign w:val="superscript"/>
          <w:lang w:val="en-IN"/>
        </w:rPr>
      </w:pPr>
      <w:r w:rsidRPr="00A25747">
        <w:rPr>
          <w:rFonts w:ascii="Arial" w:eastAsia="Calibri" w:hAnsi="Arial" w:cs="Arial"/>
          <w:lang w:val="en-IN"/>
        </w:rPr>
        <w:t xml:space="preserve">The high satisfaction rate (54.97% extremely satisfied) with the triple-combination formulation of aloe vera–calamine–liquid paraffin lotion observed in this survey supports its therapeutic utility and </w:t>
      </w:r>
      <w:proofErr w:type="spellStart"/>
      <w:r w:rsidRPr="00A25747">
        <w:rPr>
          <w:rFonts w:ascii="Arial" w:eastAsia="Calibri" w:hAnsi="Arial" w:cs="Arial"/>
          <w:lang w:val="en-IN"/>
        </w:rPr>
        <w:t>favorable</w:t>
      </w:r>
      <w:proofErr w:type="spellEnd"/>
      <w:r w:rsidRPr="00A25747">
        <w:rPr>
          <w:rFonts w:ascii="Arial" w:eastAsia="Calibri" w:hAnsi="Arial" w:cs="Arial"/>
          <w:lang w:val="en-IN"/>
        </w:rPr>
        <w:t xml:space="preserve"> clinical outcomes in dermatology practice. Calamine exerts its soothing and antipruritic effects through the evaporation of its aqueous component, which draws heat from the skin and provides a cooling sensation. The finely powdered ingredients enhance evaporation and drying, making it particularly useful for moist or oozing lesions. Its smooth texture and excellent </w:t>
      </w:r>
      <w:proofErr w:type="spellStart"/>
      <w:r w:rsidRPr="00A25747">
        <w:rPr>
          <w:rFonts w:ascii="Arial" w:eastAsia="Calibri" w:hAnsi="Arial" w:cs="Arial"/>
          <w:lang w:val="en-IN"/>
        </w:rPr>
        <w:t>spreadability</w:t>
      </w:r>
      <w:proofErr w:type="spellEnd"/>
      <w:r w:rsidRPr="00A25747">
        <w:rPr>
          <w:rFonts w:ascii="Arial" w:eastAsia="Calibri" w:hAnsi="Arial" w:cs="Arial"/>
          <w:lang w:val="en-IN"/>
        </w:rPr>
        <w:t xml:space="preserve"> facilitate uniform application over large surface areas, while its limited permeability to exudates provides an added advantage in managing certain inflammatory dermatoses.</w:t>
      </w:r>
      <w:r w:rsidRPr="00A25747">
        <w:rPr>
          <w:rFonts w:ascii="Arial" w:eastAsia="Calibri" w:hAnsi="Arial" w:cs="Arial"/>
          <w:vertAlign w:val="superscript"/>
          <w:lang w:val="en-IN"/>
        </w:rPr>
        <w:t>7</w:t>
      </w:r>
    </w:p>
    <w:p w14:paraId="09D165FA" w14:textId="77777777" w:rsidR="00A25747" w:rsidRPr="00A25747" w:rsidRDefault="00A25747" w:rsidP="00A25747">
      <w:pPr>
        <w:jc w:val="both"/>
        <w:rPr>
          <w:rFonts w:ascii="Arial" w:hAnsi="Arial" w:cs="Arial"/>
          <w:vertAlign w:val="superscript"/>
          <w:lang w:val="en-IN"/>
        </w:rPr>
      </w:pPr>
    </w:p>
    <w:p w14:paraId="0C35DC5A" w14:textId="77777777" w:rsidR="00A25747" w:rsidRDefault="00A25747" w:rsidP="00A25747">
      <w:pPr>
        <w:jc w:val="both"/>
        <w:rPr>
          <w:rFonts w:ascii="Arial" w:eastAsia="Calibri" w:hAnsi="Arial" w:cs="Arial"/>
          <w:lang w:val="en-IN"/>
        </w:rPr>
      </w:pPr>
      <w:r w:rsidRPr="00A25747">
        <w:rPr>
          <w:rFonts w:ascii="Arial" w:eastAsia="Calibri" w:hAnsi="Arial" w:cs="Arial"/>
        </w:rPr>
        <w:t>Aloe vera contributes anti-inflammatory, moisturizing, and wound-healing effects, helping maintain skin integrity and hydration. It has demonstrated clinical benefits in several dermatologic conditions, including psoriasis, seborrheic dermatitis, xerosis, lichen planus, genital herpes, and burns.</w:t>
      </w:r>
      <w:r w:rsidRPr="00A25747">
        <w:rPr>
          <w:rFonts w:ascii="Arial" w:eastAsia="Calibri" w:hAnsi="Arial" w:cs="Arial"/>
          <w:vertAlign w:val="superscript"/>
        </w:rPr>
        <w:t xml:space="preserve"> 8,9,13</w:t>
      </w:r>
      <w:r w:rsidRPr="00A25747">
        <w:rPr>
          <w:rFonts w:ascii="Arial" w:eastAsia="Calibri" w:hAnsi="Arial" w:cs="Arial"/>
        </w:rPr>
        <w:t xml:space="preserve"> Liquid paraffin, a highly effective occlusive emollient, supports barrier restoration and protects against irritants. Although it has minimal effect on </w:t>
      </w:r>
      <w:proofErr w:type="spellStart"/>
      <w:r w:rsidRPr="00A25747">
        <w:rPr>
          <w:rFonts w:ascii="Arial" w:eastAsia="Calibri" w:hAnsi="Arial" w:cs="Arial"/>
        </w:rPr>
        <w:t>transepidermal</w:t>
      </w:r>
      <w:proofErr w:type="spellEnd"/>
      <w:r w:rsidRPr="00A25747">
        <w:rPr>
          <w:rFonts w:ascii="Arial" w:eastAsia="Calibri" w:hAnsi="Arial" w:cs="Arial"/>
        </w:rPr>
        <w:t xml:space="preserve"> water loss, its barrier-preserving properties are clinically valuable.</w:t>
      </w:r>
      <w:r w:rsidRPr="00A25747">
        <w:rPr>
          <w:rFonts w:ascii="Arial" w:hAnsi="Arial" w:cs="Arial"/>
          <w:vertAlign w:val="superscript"/>
        </w:rPr>
        <w:t>11,12</w:t>
      </w:r>
      <w:r w:rsidRPr="00A25747">
        <w:rPr>
          <w:rFonts w:ascii="Arial" w:eastAsia="Calibri" w:hAnsi="Arial" w:cs="Arial"/>
        </w:rPr>
        <w:t xml:space="preserve"> In a 12-week study by Waked et al., paraffin bath therapy significantly reduced eczema severity and improved quality of life in patients with chronic hand eczema.</w:t>
      </w:r>
      <w:r w:rsidRPr="00A25747">
        <w:rPr>
          <w:rFonts w:ascii="Arial" w:eastAsia="Calibri" w:hAnsi="Arial" w:cs="Arial"/>
          <w:vertAlign w:val="superscript"/>
        </w:rPr>
        <w:t>18</w:t>
      </w:r>
      <w:r w:rsidRPr="00A25747">
        <w:rPr>
          <w:rFonts w:ascii="Arial" w:eastAsia="Calibri" w:hAnsi="Arial" w:cs="Arial"/>
        </w:rPr>
        <w:t xml:space="preserve"> </w:t>
      </w:r>
      <w:r w:rsidRPr="00A25747">
        <w:rPr>
          <w:rFonts w:ascii="Arial" w:eastAsia="Calibri" w:hAnsi="Arial" w:cs="Arial"/>
          <w:lang w:val="en-IN"/>
        </w:rPr>
        <w:t>The combined use of aloe vera, calamine, and liquid paraffin represents an evidence-based approach that integrates soothing, anti-inflammatory, and barrier-restorative effects, making it a valuable option for managing pruritic and inflammatory skin conditions.</w:t>
      </w:r>
    </w:p>
    <w:p w14:paraId="6AABC1FD" w14:textId="77777777" w:rsidR="00A25747" w:rsidRPr="00A25747" w:rsidRDefault="00A25747" w:rsidP="00A25747">
      <w:pPr>
        <w:jc w:val="both"/>
        <w:rPr>
          <w:rFonts w:ascii="Arial" w:hAnsi="Arial" w:cs="Arial"/>
        </w:rPr>
      </w:pPr>
    </w:p>
    <w:p w14:paraId="09532A90" w14:textId="77777777" w:rsidR="00A25747" w:rsidRDefault="00A25747" w:rsidP="00A25747">
      <w:pPr>
        <w:jc w:val="both"/>
        <w:rPr>
          <w:rFonts w:ascii="Arial" w:hAnsi="Arial" w:cs="Arial"/>
          <w:vertAlign w:val="superscript"/>
        </w:rPr>
      </w:pPr>
      <w:r w:rsidRPr="00A25747">
        <w:rPr>
          <w:rFonts w:ascii="Arial" w:eastAsia="Calibri" w:hAnsi="Arial" w:cs="Arial"/>
          <w:lang w:val="en-IN"/>
        </w:rPr>
        <w:t xml:space="preserve">The condition-specific utilization of the triple-combination formulation highlights distinct preference </w:t>
      </w:r>
      <w:proofErr w:type="spellStart"/>
      <w:r w:rsidRPr="00A25747">
        <w:rPr>
          <w:rFonts w:ascii="Arial" w:eastAsia="Calibri" w:hAnsi="Arial" w:cs="Arial"/>
          <w:lang w:val="en-IN"/>
        </w:rPr>
        <w:t>behaviors</w:t>
      </w:r>
      <w:proofErr w:type="spellEnd"/>
      <w:r w:rsidRPr="00A25747">
        <w:rPr>
          <w:rFonts w:ascii="Arial" w:eastAsia="Calibri" w:hAnsi="Arial" w:cs="Arial"/>
          <w:lang w:val="en-IN"/>
        </w:rPr>
        <w:t xml:space="preserve"> among dermatologists practicing in Indian settings.</w:t>
      </w:r>
      <w:r w:rsidRPr="00A25747">
        <w:rPr>
          <w:rFonts w:ascii="Arial" w:hAnsi="Arial" w:cs="Arial"/>
          <w:lang w:val="en-IN"/>
        </w:rPr>
        <w:t xml:space="preserve"> For miliaria, a condition caused by sweat gland obstruction commonly arising in heat and humidity, the substantial use by the majority of clinicians in 31–40% of patients </w:t>
      </w:r>
      <w:proofErr w:type="gramStart"/>
      <w:r w:rsidRPr="00A25747">
        <w:rPr>
          <w:rFonts w:ascii="Arial" w:hAnsi="Arial" w:cs="Arial"/>
          <w:lang w:val="en-IN"/>
        </w:rPr>
        <w:t>supports</w:t>
      </w:r>
      <w:proofErr w:type="gramEnd"/>
      <w:r w:rsidRPr="00A25747">
        <w:rPr>
          <w:rFonts w:ascii="Arial" w:hAnsi="Arial" w:cs="Arial"/>
          <w:lang w:val="en-IN"/>
        </w:rPr>
        <w:t xml:space="preserve"> the formulation's appropriateness. The topical agents’ cooling, anti-pruritic, and barrier-protective properties address the cardinal features of miliaria, such as pruritus and inflammation, through a multi-mechanistic approach.</w:t>
      </w:r>
      <w:r w:rsidRPr="00A25747">
        <w:rPr>
          <w:rFonts w:ascii="Arial" w:hAnsi="Arial" w:cs="Arial"/>
          <w:vertAlign w:val="superscript"/>
        </w:rPr>
        <w:t>19</w:t>
      </w:r>
    </w:p>
    <w:p w14:paraId="0E992D74" w14:textId="77777777" w:rsidR="00A25747" w:rsidRPr="00A25747" w:rsidRDefault="00A25747" w:rsidP="00A25747">
      <w:pPr>
        <w:jc w:val="both"/>
        <w:rPr>
          <w:rFonts w:ascii="Arial" w:hAnsi="Arial" w:cs="Arial"/>
          <w:vertAlign w:val="superscript"/>
          <w:lang w:val="en-IN"/>
        </w:rPr>
      </w:pPr>
    </w:p>
    <w:p w14:paraId="56947CD3" w14:textId="77777777" w:rsidR="00A25747" w:rsidRDefault="00A25747" w:rsidP="00A25747">
      <w:pPr>
        <w:jc w:val="both"/>
        <w:rPr>
          <w:rFonts w:ascii="Arial" w:hAnsi="Arial" w:cs="Arial"/>
          <w:lang w:val="en-IN"/>
        </w:rPr>
      </w:pPr>
      <w:r w:rsidRPr="00A25747">
        <w:rPr>
          <w:rFonts w:ascii="Arial" w:hAnsi="Arial" w:cs="Arial"/>
          <w:lang w:val="en-IN"/>
        </w:rPr>
        <w:t>In contrast, the utilization for post-acne hyperpigmentation was markedly conservative, with the majority of clinicians (68.42%) using the formulation in fewer than 10% of such patients. This is clinically useful as post-inflammatory hyperpigmentation therapeutics focus on melanin synthesis inhibitors, such as hydroquinone and retinoids, rather than pruritus relief. Occasional application may be reserved for cases where residual inflammation causes pruritus or as adjunctive skin barrier support to minimize irritation from depigmenting agents.</w:t>
      </w:r>
      <w:r w:rsidRPr="00A25747">
        <w:rPr>
          <w:rFonts w:ascii="Arial" w:hAnsi="Arial" w:cs="Arial"/>
          <w:vertAlign w:val="superscript"/>
          <w:lang w:val="en-IN"/>
        </w:rPr>
        <w:t>20-22</w:t>
      </w:r>
      <w:r w:rsidRPr="00A25747">
        <w:rPr>
          <w:rFonts w:ascii="Arial" w:hAnsi="Arial" w:cs="Arial"/>
          <w:lang w:val="en-IN"/>
        </w:rPr>
        <w:t xml:space="preserve"> </w:t>
      </w:r>
    </w:p>
    <w:p w14:paraId="072659DE" w14:textId="77777777" w:rsidR="00A25747" w:rsidRPr="00A25747" w:rsidRDefault="00A25747" w:rsidP="00A25747">
      <w:pPr>
        <w:jc w:val="both"/>
        <w:rPr>
          <w:rFonts w:ascii="Arial" w:hAnsi="Arial" w:cs="Arial"/>
          <w:lang w:val="en-IN"/>
        </w:rPr>
      </w:pPr>
    </w:p>
    <w:p w14:paraId="1985926E" w14:textId="77777777" w:rsidR="00A25747" w:rsidRDefault="00A25747" w:rsidP="00A25747">
      <w:pPr>
        <w:jc w:val="both"/>
        <w:rPr>
          <w:rFonts w:ascii="Arial" w:hAnsi="Arial" w:cs="Arial"/>
          <w:lang w:val="en-IN"/>
        </w:rPr>
      </w:pPr>
      <w:r w:rsidRPr="00A25747">
        <w:rPr>
          <w:rFonts w:ascii="Arial" w:hAnsi="Arial" w:cs="Arial"/>
          <w:lang w:val="en-IN"/>
        </w:rPr>
        <w:t xml:space="preserve">For diaper dermatitis, reported in almost every infant during early months, the bimodal utilization pattern, with approximately one-third of clinicians using it in 11–25% of patients, indicates the complex etiology involving friction, moisture, and exposure to irritants and </w:t>
      </w:r>
      <w:proofErr w:type="spellStart"/>
      <w:r w:rsidRPr="00A25747">
        <w:rPr>
          <w:rFonts w:ascii="Arial" w:hAnsi="Arial" w:cs="Arial"/>
          <w:lang w:val="en-IN"/>
        </w:rPr>
        <w:t>fecal</w:t>
      </w:r>
      <w:proofErr w:type="spellEnd"/>
      <w:r w:rsidRPr="00A25747">
        <w:rPr>
          <w:rFonts w:ascii="Arial" w:hAnsi="Arial" w:cs="Arial"/>
          <w:lang w:val="en-IN"/>
        </w:rPr>
        <w:t xml:space="preserve"> enzymes. The condition commonly leads to erythema and skin barrier impairment. Appropriate diaper dermatitis care involves frequent diaper changes, gentle cleansing, and the use of barrier creams that soothe inflammation and protect against irritants.</w:t>
      </w:r>
      <w:r w:rsidRPr="00A25747">
        <w:rPr>
          <w:rFonts w:ascii="Arial" w:hAnsi="Arial" w:cs="Arial"/>
          <w:vertAlign w:val="superscript"/>
        </w:rPr>
        <w:t>23</w:t>
      </w:r>
      <w:r w:rsidRPr="00A25747">
        <w:rPr>
          <w:rFonts w:ascii="Arial" w:hAnsi="Arial" w:cs="Arial"/>
          <w:lang w:val="en-IN"/>
        </w:rPr>
        <w:t xml:space="preserve"> Thus, the triple-combination's emollient and anti-inflammatory properties justify its preference in uncomplicated cases. </w:t>
      </w:r>
    </w:p>
    <w:p w14:paraId="734008A3" w14:textId="77777777" w:rsidR="00A25747" w:rsidRPr="00A25747" w:rsidRDefault="00A25747" w:rsidP="00A25747">
      <w:pPr>
        <w:jc w:val="both"/>
        <w:rPr>
          <w:rFonts w:ascii="Arial" w:hAnsi="Arial" w:cs="Arial"/>
          <w:lang w:val="en-IN"/>
        </w:rPr>
      </w:pPr>
    </w:p>
    <w:p w14:paraId="344F4F64" w14:textId="77777777" w:rsidR="00A25747" w:rsidRDefault="00A25747" w:rsidP="00A25747">
      <w:pPr>
        <w:jc w:val="both"/>
        <w:rPr>
          <w:rFonts w:ascii="Arial" w:hAnsi="Arial" w:cs="Arial"/>
          <w:lang w:val="en-IN"/>
        </w:rPr>
      </w:pPr>
      <w:r w:rsidRPr="00A25747">
        <w:rPr>
          <w:rFonts w:ascii="Arial" w:eastAsia="Calibri" w:hAnsi="Arial" w:cs="Arial"/>
          <w:lang w:val="en-IN"/>
        </w:rPr>
        <w:t xml:space="preserve">The application of the combination formulation in HFMD was notably limited, with 42% of clinicians reporting its use in fewer than 10% of patients. This conservative use aligns with the self-limiting nature of the viral exanthem, as its mild symptoms typically resolve without </w:t>
      </w:r>
      <w:r w:rsidRPr="00A25747">
        <w:rPr>
          <w:rFonts w:ascii="Arial" w:eastAsia="Calibri" w:hAnsi="Arial" w:cs="Arial"/>
          <w:lang w:val="en-IN"/>
        </w:rPr>
        <w:lastRenderedPageBreak/>
        <w:t>specific intervention</w:t>
      </w:r>
      <w:r w:rsidRPr="00A25747">
        <w:rPr>
          <w:rFonts w:ascii="Arial" w:hAnsi="Arial" w:cs="Arial"/>
          <w:lang w:val="en-IN"/>
        </w:rPr>
        <w:t>.</w:t>
      </w:r>
      <w:r w:rsidRPr="00A25747">
        <w:rPr>
          <w:rFonts w:ascii="Arial" w:hAnsi="Arial" w:cs="Arial"/>
          <w:vertAlign w:val="superscript"/>
        </w:rPr>
        <w:t>24-26</w:t>
      </w:r>
      <w:r w:rsidRPr="00A25747">
        <w:rPr>
          <w:rFonts w:ascii="Arial" w:hAnsi="Arial" w:cs="Arial"/>
          <w:lang w:val="en-IN"/>
        </w:rPr>
        <w:t xml:space="preserve"> </w:t>
      </w:r>
      <w:r w:rsidRPr="00A25747">
        <w:rPr>
          <w:rFonts w:ascii="Arial" w:eastAsia="Calibri" w:hAnsi="Arial" w:cs="Arial"/>
          <w:lang w:val="en-IN"/>
        </w:rPr>
        <w:t>In some cases of HFMD, calamine lotion is applied topically to papular lesions for symptomatic relief.</w:t>
      </w:r>
      <w:r w:rsidRPr="00A25747">
        <w:rPr>
          <w:rFonts w:ascii="Arial" w:hAnsi="Arial" w:cs="Arial"/>
          <w:vertAlign w:val="superscript"/>
        </w:rPr>
        <w:t>27-29</w:t>
      </w:r>
      <w:r w:rsidRPr="00A25747">
        <w:rPr>
          <w:rFonts w:ascii="Arial" w:hAnsi="Arial" w:cs="Arial"/>
          <w:lang w:val="en-IN"/>
        </w:rPr>
        <w:t xml:space="preserve"> </w:t>
      </w:r>
    </w:p>
    <w:p w14:paraId="528055A7" w14:textId="77777777" w:rsidR="00A25747" w:rsidRPr="00A25747" w:rsidRDefault="00A25747" w:rsidP="00A25747">
      <w:pPr>
        <w:jc w:val="both"/>
        <w:rPr>
          <w:rFonts w:ascii="Arial" w:hAnsi="Arial" w:cs="Arial"/>
          <w:lang w:val="en-IN"/>
        </w:rPr>
      </w:pPr>
    </w:p>
    <w:p w14:paraId="5EC7BA63" w14:textId="6DD183DD" w:rsidR="00790ADA" w:rsidRPr="00A25747" w:rsidRDefault="00A25747" w:rsidP="00A25747">
      <w:pPr>
        <w:pStyle w:val="Body"/>
        <w:rPr>
          <w:rFonts w:ascii="Arial" w:hAnsi="Arial" w:cs="Arial"/>
          <w:lang w:val="en-IN"/>
        </w:rPr>
      </w:pPr>
      <w:r w:rsidRPr="003D4F7D">
        <w:rPr>
          <w:rFonts w:ascii="Arial" w:eastAsia="Calibri" w:hAnsi="Arial" w:cs="Arial"/>
          <w:highlight w:val="yellow"/>
          <w:lang w:val="en-IN"/>
        </w:rPr>
        <w:t>The key strength of this study lies in the use of a carefully designed and validated questionnaire to collect expert perspectives regarding calamine and its combination, addressing the limited data available from routine clinical practice. The findings demonstrate high clinician satisfaction with triple-combination formulations and reveal condition-specific utilization that reflects judicious clinical reasoning. Several limitations of this survey warrant consideration. As a survey-based study, the findings are susceptible to recall bias. Additionally, the sample may not represent all dermatology practice settings, which could limit the generalizability of the results. Future prospective, controlled studies incorporating patient-</w:t>
      </w:r>
      <w:proofErr w:type="spellStart"/>
      <w:r w:rsidRPr="003D4F7D">
        <w:rPr>
          <w:rFonts w:ascii="Arial" w:eastAsia="Calibri" w:hAnsi="Arial" w:cs="Arial"/>
          <w:highlight w:val="yellow"/>
          <w:lang w:val="en-IN"/>
        </w:rPr>
        <w:t>centered</w:t>
      </w:r>
      <w:proofErr w:type="spellEnd"/>
      <w:r w:rsidRPr="003D4F7D">
        <w:rPr>
          <w:rFonts w:ascii="Arial" w:eastAsia="Calibri" w:hAnsi="Arial" w:cs="Arial"/>
          <w:highlight w:val="yellow"/>
          <w:lang w:val="en-IN"/>
        </w:rPr>
        <w:t xml:space="preserve"> outcomes are needed to establish evidence-based guidelines for the management of pruritus using combination topical formulations</w:t>
      </w:r>
      <w:r w:rsidR="004F4227" w:rsidRPr="003D4F7D">
        <w:rPr>
          <w:rFonts w:ascii="Arial" w:eastAsia="Calibri" w:hAnsi="Arial" w:cs="Arial"/>
          <w:highlight w:val="yellow"/>
        </w:rPr>
        <w:t>.</w:t>
      </w:r>
      <w:r w:rsidR="00C30A0F" w:rsidRPr="00A25747">
        <w:rPr>
          <w:rFonts w:ascii="Arial" w:hAnsi="Arial" w:cs="Arial"/>
        </w:rPr>
        <w:t xml:space="preserve"> </w:t>
      </w:r>
    </w:p>
    <w:p w14:paraId="2F464C8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6F27205" w14:textId="77777777" w:rsidR="00790ADA" w:rsidRPr="00FB3A86" w:rsidRDefault="00790ADA" w:rsidP="00441B6F">
      <w:pPr>
        <w:pStyle w:val="ConcHead"/>
        <w:spacing w:after="0"/>
        <w:jc w:val="both"/>
        <w:rPr>
          <w:rFonts w:ascii="Arial" w:hAnsi="Arial" w:cs="Arial"/>
        </w:rPr>
      </w:pPr>
    </w:p>
    <w:p w14:paraId="0E0CEC48" w14:textId="75776CAA" w:rsidR="00B01FCD" w:rsidRPr="00A25747" w:rsidRDefault="00A25747" w:rsidP="00441B6F">
      <w:pPr>
        <w:pStyle w:val="Body"/>
        <w:spacing w:after="0"/>
        <w:rPr>
          <w:rFonts w:ascii="Arial" w:hAnsi="Arial" w:cs="Arial"/>
        </w:rPr>
      </w:pPr>
      <w:r w:rsidRPr="00975A6D">
        <w:rPr>
          <w:rFonts w:ascii="Arial" w:eastAsia="Calibri" w:hAnsi="Arial" w:cs="Arial"/>
          <w:highlight w:val="yellow"/>
        </w:rPr>
        <w:t>This study shows that calamine remains the preferred topical agent for urticaria among dermatologists in India, although it is predominantly used in combination rather than as monotherapy. The triple combination of aloe vera, calamine, and liquid paraffin demonstrated better perceived efficacy, condition-specific use, being more common in inflammatory conditions such as miliaria and less frequent in disorders requiring targeted therapy, such as post-acne hyperpigmentation. The findings highlight the role of synergistic combination topical agents as valuable therapeutic options in the dermatologist’s armamentarium, particularly for managing pediatric pruritic dermatoses.</w:t>
      </w:r>
      <w:r w:rsidR="00975A6D" w:rsidRPr="00975A6D">
        <w:rPr>
          <w:rFonts w:ascii="Arial" w:eastAsia="Calibri" w:hAnsi="Arial" w:cs="Arial"/>
          <w:highlight w:val="yellow"/>
        </w:rPr>
        <w:t xml:space="preserve"> Given the high clinician preference for combination formulations, future research should evaluate their comparative effectiveness and patient-reported outcomes in controlled clinical settings.</w:t>
      </w:r>
    </w:p>
    <w:p w14:paraId="20D13E0E" w14:textId="4F9FFDD4" w:rsidR="00790ADA" w:rsidRDefault="00790ADA" w:rsidP="00441B6F">
      <w:pPr>
        <w:pStyle w:val="Body"/>
        <w:spacing w:after="0"/>
        <w:rPr>
          <w:rFonts w:ascii="Arial" w:hAnsi="Arial" w:cs="Arial"/>
        </w:rPr>
      </w:pPr>
    </w:p>
    <w:p w14:paraId="47D99CFC" w14:textId="026849C4" w:rsidR="00CE5E5C" w:rsidRDefault="00CE5E5C" w:rsidP="00441B6F">
      <w:pPr>
        <w:pStyle w:val="Body"/>
        <w:spacing w:after="0"/>
        <w:rPr>
          <w:rFonts w:ascii="Arial" w:hAnsi="Arial" w:cs="Arial"/>
        </w:rPr>
      </w:pPr>
    </w:p>
    <w:p w14:paraId="75E28BFD" w14:textId="0F215410" w:rsidR="00CE5E5C" w:rsidRDefault="00CE5E5C" w:rsidP="00441B6F">
      <w:pPr>
        <w:pStyle w:val="Body"/>
        <w:spacing w:after="0"/>
        <w:rPr>
          <w:rFonts w:ascii="Arial" w:hAnsi="Arial" w:cs="Arial"/>
        </w:rPr>
      </w:pPr>
    </w:p>
    <w:p w14:paraId="0CA2AAA1" w14:textId="71C1A648" w:rsidR="00CE5E5C" w:rsidRDefault="00CE5E5C" w:rsidP="00441B6F">
      <w:pPr>
        <w:pStyle w:val="Body"/>
        <w:spacing w:after="0"/>
        <w:rPr>
          <w:rFonts w:asciiTheme="majorHAnsi" w:hAnsiTheme="majorHAnsi"/>
          <w:b/>
          <w:sz w:val="18"/>
        </w:rPr>
      </w:pPr>
      <w:r w:rsidRPr="009B591E">
        <w:rPr>
          <w:rFonts w:asciiTheme="majorHAnsi" w:hAnsiTheme="majorHAnsi"/>
          <w:b/>
          <w:sz w:val="18"/>
        </w:rPr>
        <w:t>Ethical</w:t>
      </w:r>
      <w:r>
        <w:rPr>
          <w:rFonts w:asciiTheme="majorHAnsi" w:hAnsiTheme="majorHAnsi"/>
          <w:b/>
          <w:sz w:val="18"/>
        </w:rPr>
        <w:t xml:space="preserve"> Approval &amp; </w:t>
      </w:r>
      <w:r w:rsidRPr="00CE5E5C">
        <w:rPr>
          <w:rFonts w:asciiTheme="majorHAnsi" w:hAnsiTheme="majorHAnsi"/>
          <w:b/>
          <w:sz w:val="18"/>
        </w:rPr>
        <w:t>Consent</w:t>
      </w:r>
      <w:r w:rsidR="007F557C">
        <w:rPr>
          <w:rFonts w:asciiTheme="majorHAnsi" w:hAnsiTheme="majorHAnsi"/>
          <w:b/>
          <w:sz w:val="18"/>
        </w:rPr>
        <w:t>:</w:t>
      </w:r>
    </w:p>
    <w:p w14:paraId="2D150BD9" w14:textId="1B7448B2" w:rsidR="007F557C" w:rsidRDefault="007F557C" w:rsidP="00441B6F">
      <w:pPr>
        <w:pStyle w:val="Body"/>
        <w:spacing w:after="0"/>
        <w:rPr>
          <w:rFonts w:ascii="Arial" w:hAnsi="Arial" w:cs="Arial"/>
        </w:rPr>
      </w:pPr>
    </w:p>
    <w:p w14:paraId="5715855E" w14:textId="3DC50DB1" w:rsidR="007F557C" w:rsidRPr="00FB3A86" w:rsidRDefault="007F557C" w:rsidP="00441B6F">
      <w:pPr>
        <w:pStyle w:val="Body"/>
        <w:spacing w:after="0"/>
        <w:rPr>
          <w:rFonts w:ascii="Arial" w:hAnsi="Arial" w:cs="Arial"/>
        </w:rPr>
      </w:pPr>
      <w:r w:rsidRPr="007F557C">
        <w:rPr>
          <w:rFonts w:ascii="Arial" w:hAnsi="Arial" w:cs="Arial"/>
        </w:rPr>
        <w:t>The study was conducted after getting approval from Bangalore Ethics, an Independent Ethics Committee, which was recognized by the Indian Regulatory Authority, the Drug Controller General of India.</w:t>
      </w:r>
      <w:r w:rsidR="00702EAE">
        <w:rPr>
          <w:rFonts w:ascii="Arial" w:hAnsi="Arial" w:cs="Arial"/>
        </w:rPr>
        <w:t xml:space="preserve"> </w:t>
      </w:r>
      <w:r w:rsidR="00702EAE" w:rsidRPr="00702EAE">
        <w:rPr>
          <w:rFonts w:ascii="Arial" w:hAnsi="Arial" w:cs="Arial"/>
        </w:rPr>
        <w:t>Before participating in the survey, all respondents provided written informed consent.</w:t>
      </w:r>
    </w:p>
    <w:p w14:paraId="6A08E617" w14:textId="77777777" w:rsidR="00592C36" w:rsidRDefault="00592C36" w:rsidP="00592C36">
      <w:pPr>
        <w:pStyle w:val="ReferHead"/>
        <w:spacing w:after="0"/>
        <w:jc w:val="both"/>
        <w:rPr>
          <w:rFonts w:ascii="Arial" w:hAnsi="Arial" w:cs="Arial"/>
        </w:rPr>
      </w:pPr>
    </w:p>
    <w:p w14:paraId="308EF039" w14:textId="77777777" w:rsidR="004E5EA8" w:rsidRPr="003A29C6" w:rsidRDefault="004E5EA8" w:rsidP="004E5EA8">
      <w:pPr>
        <w:jc w:val="both"/>
        <w:outlineLvl w:val="0"/>
        <w:rPr>
          <w:rFonts w:ascii="Arial" w:hAnsi="Arial" w:cs="Arial"/>
        </w:rPr>
      </w:pPr>
      <w:r w:rsidRPr="003A29C6">
        <w:rPr>
          <w:rFonts w:ascii="Arial" w:hAnsi="Arial" w:cs="Arial"/>
          <w:b/>
          <w:bCs/>
        </w:rPr>
        <w:t>COMPETING INTERESTS DISCLAIMER:</w:t>
      </w:r>
    </w:p>
    <w:p w14:paraId="76A274EC" w14:textId="4B36DFCA" w:rsidR="004E5EA8" w:rsidRDefault="004E5EA8" w:rsidP="004E5EA8">
      <w:r w:rsidRPr="00A10EDE">
        <w:t>Authors have declared that they have no known competing financial interests OR non-financial interests OR personal relationships that could have appeared to influence the work reported in this paper.</w:t>
      </w:r>
    </w:p>
    <w:p w14:paraId="13342419" w14:textId="52599325" w:rsidR="007D4D7A" w:rsidRDefault="007D4D7A" w:rsidP="004E5EA8"/>
    <w:p w14:paraId="245D43C9" w14:textId="77777777" w:rsidR="007D4D7A" w:rsidRPr="00BD58F1" w:rsidRDefault="007D4D7A" w:rsidP="007D4D7A">
      <w:pPr>
        <w:rPr>
          <w:rFonts w:ascii="Calibri" w:eastAsia="Calibri" w:hAnsi="Calibri"/>
          <w:b/>
          <w:bCs/>
          <w:kern w:val="2"/>
          <w:highlight w:val="yellow"/>
        </w:rPr>
      </w:pPr>
      <w:bookmarkStart w:id="0" w:name="_Hlk197682619"/>
      <w:bookmarkStart w:id="1" w:name="_Hlk180402183"/>
      <w:bookmarkStart w:id="2" w:name="_Hlk183680988"/>
      <w:bookmarkStart w:id="3" w:name="_Hlk197351200"/>
      <w:r w:rsidRPr="00BD58F1">
        <w:rPr>
          <w:rFonts w:ascii="Calibri" w:eastAsia="Calibri" w:hAnsi="Calibri"/>
          <w:b/>
          <w:bCs/>
          <w:kern w:val="2"/>
          <w:highlight w:val="yellow"/>
        </w:rPr>
        <w:t>Disclaimer (Artificial intelligence)</w:t>
      </w:r>
    </w:p>
    <w:p w14:paraId="3B7C0870" w14:textId="77777777" w:rsidR="007D4D7A" w:rsidRPr="009C5487" w:rsidRDefault="007D4D7A" w:rsidP="007D4D7A">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bookmarkEnd w:id="3"/>
    <w:p w14:paraId="6EC272F6" w14:textId="77777777" w:rsidR="004E5EA8" w:rsidRDefault="004E5EA8" w:rsidP="00592C36">
      <w:pPr>
        <w:pStyle w:val="ReferHead"/>
        <w:spacing w:after="0"/>
        <w:jc w:val="both"/>
        <w:rPr>
          <w:rFonts w:ascii="Arial" w:hAnsi="Arial" w:cs="Arial"/>
        </w:rPr>
      </w:pPr>
    </w:p>
    <w:p w14:paraId="726FFC95" w14:textId="77777777" w:rsidR="00592C36" w:rsidRDefault="00592C36" w:rsidP="00592C36">
      <w:pPr>
        <w:pStyle w:val="ReferHead"/>
        <w:spacing w:after="0"/>
        <w:jc w:val="both"/>
        <w:rPr>
          <w:rFonts w:ascii="Arial" w:hAnsi="Arial" w:cs="Arial"/>
        </w:rPr>
      </w:pPr>
      <w:r w:rsidRPr="00FB3A86">
        <w:rPr>
          <w:rFonts w:ascii="Arial" w:hAnsi="Arial" w:cs="Arial"/>
        </w:rPr>
        <w:t>References</w:t>
      </w:r>
    </w:p>
    <w:p w14:paraId="4D39E67A" w14:textId="77777777" w:rsidR="00592C36" w:rsidRPr="00FB3A86" w:rsidRDefault="00592C36" w:rsidP="00592C36">
      <w:pPr>
        <w:pStyle w:val="ReferHead"/>
        <w:spacing w:after="0"/>
        <w:jc w:val="both"/>
        <w:rPr>
          <w:rFonts w:ascii="Arial" w:hAnsi="Arial" w:cs="Arial"/>
        </w:rPr>
      </w:pPr>
    </w:p>
    <w:p w14:paraId="700E2C5B" w14:textId="77777777" w:rsidR="00A25747" w:rsidRPr="00A25747" w:rsidRDefault="00A25747" w:rsidP="00A25747">
      <w:pPr>
        <w:pStyle w:val="ListParagraph"/>
        <w:numPr>
          <w:ilvl w:val="0"/>
          <w:numId w:val="31"/>
        </w:numPr>
        <w:spacing w:line="240" w:lineRule="auto"/>
        <w:rPr>
          <w:rFonts w:ascii="Arial" w:hAnsi="Arial" w:cs="Arial"/>
          <w:sz w:val="20"/>
          <w:szCs w:val="20"/>
        </w:rPr>
      </w:pPr>
      <w:r w:rsidRPr="00A25747">
        <w:rPr>
          <w:rFonts w:ascii="Arial" w:hAnsi="Arial" w:cs="Arial"/>
          <w:sz w:val="20"/>
          <w:szCs w:val="20"/>
        </w:rPr>
        <w:t xml:space="preserve">Kavita A, Thakur JS, Narang T. The burden of skin diseases in India: Global Burden of Disease Study 2017. Indian J Dermatol </w:t>
      </w:r>
      <w:proofErr w:type="spellStart"/>
      <w:r w:rsidRPr="00A25747">
        <w:rPr>
          <w:rFonts w:ascii="Arial" w:hAnsi="Arial" w:cs="Arial"/>
          <w:sz w:val="20"/>
          <w:szCs w:val="20"/>
        </w:rPr>
        <w:t>Venereol</w:t>
      </w:r>
      <w:proofErr w:type="spellEnd"/>
      <w:r w:rsidRPr="00A25747">
        <w:rPr>
          <w:rFonts w:ascii="Arial" w:hAnsi="Arial" w:cs="Arial"/>
          <w:sz w:val="20"/>
          <w:szCs w:val="20"/>
        </w:rPr>
        <w:t xml:space="preserve"> </w:t>
      </w:r>
      <w:proofErr w:type="spellStart"/>
      <w:r w:rsidRPr="00A25747">
        <w:rPr>
          <w:rFonts w:ascii="Arial" w:hAnsi="Arial" w:cs="Arial"/>
          <w:sz w:val="20"/>
          <w:szCs w:val="20"/>
        </w:rPr>
        <w:t>Leprol</w:t>
      </w:r>
      <w:proofErr w:type="spellEnd"/>
      <w:r w:rsidRPr="00A25747">
        <w:rPr>
          <w:rFonts w:ascii="Arial" w:hAnsi="Arial" w:cs="Arial"/>
          <w:sz w:val="20"/>
          <w:szCs w:val="20"/>
        </w:rPr>
        <w:t>. 2023;89(3):421–5.</w:t>
      </w:r>
    </w:p>
    <w:p w14:paraId="6AC88E66" w14:textId="77777777" w:rsidR="00A25747" w:rsidRPr="00A25747" w:rsidRDefault="00A25747" w:rsidP="00A25747">
      <w:pPr>
        <w:pStyle w:val="ListParagraph"/>
        <w:numPr>
          <w:ilvl w:val="0"/>
          <w:numId w:val="31"/>
        </w:numPr>
        <w:spacing w:line="240" w:lineRule="auto"/>
        <w:rPr>
          <w:rFonts w:ascii="Arial" w:hAnsi="Arial" w:cs="Arial"/>
          <w:sz w:val="20"/>
          <w:szCs w:val="20"/>
        </w:rPr>
      </w:pPr>
      <w:r w:rsidRPr="00A25747">
        <w:rPr>
          <w:rFonts w:ascii="Arial" w:hAnsi="Arial" w:cs="Arial"/>
          <w:sz w:val="20"/>
          <w:szCs w:val="20"/>
        </w:rPr>
        <w:t xml:space="preserve">WHO’s first global meeting on skin NTDs calls for greater efforts to address their burden [Internet]. Available from: </w:t>
      </w:r>
      <w:hyperlink r:id="rId17" w:history="1">
        <w:r w:rsidRPr="00A25747">
          <w:rPr>
            <w:rStyle w:val="Hyperlink"/>
            <w:rFonts w:ascii="Arial" w:hAnsi="Arial" w:cs="Arial"/>
            <w:sz w:val="20"/>
            <w:szCs w:val="20"/>
          </w:rPr>
          <w:t>https://www.who.int/news/item/31-03-2023-who-</w:t>
        </w:r>
        <w:r w:rsidRPr="00A25747">
          <w:rPr>
            <w:rStyle w:val="Hyperlink"/>
            <w:rFonts w:ascii="Arial" w:hAnsi="Arial" w:cs="Arial"/>
            <w:sz w:val="20"/>
            <w:szCs w:val="20"/>
          </w:rPr>
          <w:lastRenderedPageBreak/>
          <w:t>first-global-meeting-on-skin-ntds-calls-for-greater-efforts-to-address-their-burden</w:t>
        </w:r>
      </w:hyperlink>
      <w:r w:rsidRPr="00A25747">
        <w:rPr>
          <w:rFonts w:ascii="Arial" w:hAnsi="Arial" w:cs="Arial"/>
          <w:sz w:val="20"/>
          <w:szCs w:val="20"/>
        </w:rPr>
        <w:t xml:space="preserve"> [cited on Oct 31, 2025]</w:t>
      </w:r>
    </w:p>
    <w:p w14:paraId="2B0BDC43" w14:textId="77777777" w:rsidR="00A25747" w:rsidRPr="00A25747" w:rsidRDefault="00A25747" w:rsidP="00A25747">
      <w:pPr>
        <w:pStyle w:val="ListParagraph"/>
        <w:numPr>
          <w:ilvl w:val="0"/>
          <w:numId w:val="31"/>
        </w:numPr>
        <w:spacing w:line="240" w:lineRule="auto"/>
        <w:rPr>
          <w:rFonts w:ascii="Arial" w:hAnsi="Arial" w:cs="Arial"/>
          <w:sz w:val="20"/>
          <w:szCs w:val="20"/>
        </w:rPr>
      </w:pPr>
      <w:r w:rsidRPr="00A25747">
        <w:rPr>
          <w:rFonts w:ascii="Arial" w:hAnsi="Arial" w:cs="Arial"/>
          <w:sz w:val="20"/>
          <w:szCs w:val="20"/>
        </w:rPr>
        <w:t xml:space="preserve">Tan S, Chen Z, Lin T. Global, regional, and National burden of urticaria (1990–2021), its potential risk factors, and projections to 2046. BMC Public Health. </w:t>
      </w:r>
      <w:proofErr w:type="gramStart"/>
      <w:r w:rsidRPr="00A25747">
        <w:rPr>
          <w:rFonts w:ascii="Arial" w:hAnsi="Arial" w:cs="Arial"/>
          <w:sz w:val="20"/>
          <w:szCs w:val="20"/>
        </w:rPr>
        <w:t>2025;25:2709</w:t>
      </w:r>
      <w:proofErr w:type="gramEnd"/>
      <w:r w:rsidRPr="00A25747">
        <w:rPr>
          <w:rFonts w:ascii="Arial" w:hAnsi="Arial" w:cs="Arial"/>
          <w:sz w:val="20"/>
          <w:szCs w:val="20"/>
        </w:rPr>
        <w:t>.</w:t>
      </w:r>
    </w:p>
    <w:p w14:paraId="010DBDE7" w14:textId="77777777" w:rsidR="00A25747" w:rsidRPr="00A25747" w:rsidRDefault="00A25747" w:rsidP="00A25747">
      <w:pPr>
        <w:pStyle w:val="ListParagraph"/>
        <w:numPr>
          <w:ilvl w:val="0"/>
          <w:numId w:val="31"/>
        </w:numPr>
        <w:spacing w:line="240" w:lineRule="auto"/>
        <w:rPr>
          <w:rFonts w:ascii="Arial" w:hAnsi="Arial" w:cs="Arial"/>
          <w:sz w:val="20"/>
          <w:szCs w:val="20"/>
        </w:rPr>
      </w:pPr>
      <w:r w:rsidRPr="00A25747">
        <w:rPr>
          <w:rFonts w:ascii="Arial" w:hAnsi="Arial" w:cs="Arial"/>
          <w:sz w:val="20"/>
          <w:szCs w:val="20"/>
        </w:rPr>
        <w:t>Qin S, Lu S, Ni X. The global, regional, and national burdens of urticaria in 204 countries and territories from 1990 to 2021: An observational epidemiological study based on the Global Burden of Disease Study 2021. Medicine (Baltimore). 2025;104(38</w:t>
      </w:r>
      <w:proofErr w:type="gramStart"/>
      <w:r w:rsidRPr="00A25747">
        <w:rPr>
          <w:rFonts w:ascii="Arial" w:hAnsi="Arial" w:cs="Arial"/>
          <w:sz w:val="20"/>
          <w:szCs w:val="20"/>
        </w:rPr>
        <w:t>):e</w:t>
      </w:r>
      <w:proofErr w:type="gramEnd"/>
      <w:r w:rsidRPr="00A25747">
        <w:rPr>
          <w:rFonts w:ascii="Arial" w:hAnsi="Arial" w:cs="Arial"/>
          <w:sz w:val="20"/>
          <w:szCs w:val="20"/>
        </w:rPr>
        <w:t>44538.</w:t>
      </w:r>
    </w:p>
    <w:p w14:paraId="073AE5F1" w14:textId="77777777" w:rsidR="00A25747" w:rsidRPr="00A25747" w:rsidRDefault="00A25747" w:rsidP="00A25747">
      <w:pPr>
        <w:pStyle w:val="ListParagraph"/>
        <w:numPr>
          <w:ilvl w:val="0"/>
          <w:numId w:val="31"/>
        </w:numPr>
        <w:spacing w:line="240" w:lineRule="auto"/>
        <w:rPr>
          <w:rFonts w:ascii="Arial" w:hAnsi="Arial" w:cs="Arial"/>
          <w:sz w:val="20"/>
          <w:szCs w:val="20"/>
        </w:rPr>
      </w:pPr>
      <w:r w:rsidRPr="00A25747">
        <w:rPr>
          <w:rFonts w:ascii="Arial" w:hAnsi="Arial" w:cs="Arial"/>
          <w:sz w:val="20"/>
          <w:szCs w:val="20"/>
        </w:rPr>
        <w:t>Tan JKL, Bhate K. A global perspective on the epidemiology of acne. Br J Dermatol. 2015;172 (Suppl_1):3–12.</w:t>
      </w:r>
    </w:p>
    <w:p w14:paraId="799409AB" w14:textId="77777777" w:rsidR="00A25747" w:rsidRPr="00A25747" w:rsidRDefault="00A25747" w:rsidP="00A25747">
      <w:pPr>
        <w:pStyle w:val="ListParagraph"/>
        <w:numPr>
          <w:ilvl w:val="0"/>
          <w:numId w:val="31"/>
        </w:numPr>
        <w:spacing w:line="240" w:lineRule="auto"/>
        <w:rPr>
          <w:rFonts w:ascii="Arial" w:hAnsi="Arial" w:cs="Arial"/>
          <w:sz w:val="20"/>
          <w:szCs w:val="20"/>
        </w:rPr>
      </w:pPr>
      <w:r w:rsidRPr="00A25747">
        <w:rPr>
          <w:rFonts w:ascii="Arial" w:hAnsi="Arial" w:cs="Arial"/>
          <w:sz w:val="20"/>
          <w:szCs w:val="20"/>
        </w:rPr>
        <w:t xml:space="preserve">Seth D, </w:t>
      </w:r>
      <w:proofErr w:type="spellStart"/>
      <w:r w:rsidRPr="00A25747">
        <w:rPr>
          <w:rFonts w:ascii="Arial" w:hAnsi="Arial" w:cs="Arial"/>
          <w:sz w:val="20"/>
          <w:szCs w:val="20"/>
        </w:rPr>
        <w:t>Cheldize</w:t>
      </w:r>
      <w:proofErr w:type="spellEnd"/>
      <w:r w:rsidRPr="00A25747">
        <w:rPr>
          <w:rFonts w:ascii="Arial" w:hAnsi="Arial" w:cs="Arial"/>
          <w:sz w:val="20"/>
          <w:szCs w:val="20"/>
        </w:rPr>
        <w:t xml:space="preserve"> K, Brown D, Freeman EF. Global Burden of Skin Disease: Inequities and Innovations. Curr Dermatol Rep. 2017;6(3):204–10.</w:t>
      </w:r>
    </w:p>
    <w:p w14:paraId="3F43D687" w14:textId="77777777" w:rsidR="00A25747" w:rsidRPr="00A25747" w:rsidRDefault="00A25747" w:rsidP="00A25747">
      <w:pPr>
        <w:pStyle w:val="ListParagraph"/>
        <w:numPr>
          <w:ilvl w:val="0"/>
          <w:numId w:val="31"/>
        </w:numPr>
        <w:spacing w:line="240" w:lineRule="auto"/>
        <w:rPr>
          <w:rFonts w:ascii="Arial" w:hAnsi="Arial" w:cs="Arial"/>
          <w:sz w:val="20"/>
          <w:szCs w:val="20"/>
        </w:rPr>
      </w:pPr>
      <w:r w:rsidRPr="00A25747">
        <w:rPr>
          <w:rFonts w:ascii="Arial" w:hAnsi="Arial" w:cs="Arial"/>
          <w:sz w:val="20"/>
          <w:szCs w:val="20"/>
        </w:rPr>
        <w:t>Joy N. Calamine lotion. J Skin Sex Transm Dis. 2022;4(1):83–6.</w:t>
      </w:r>
    </w:p>
    <w:p w14:paraId="2889BC68" w14:textId="77777777" w:rsidR="00A25747" w:rsidRPr="00A25747" w:rsidRDefault="00A25747" w:rsidP="00A25747">
      <w:pPr>
        <w:pStyle w:val="ListParagraph"/>
        <w:numPr>
          <w:ilvl w:val="0"/>
          <w:numId w:val="31"/>
        </w:numPr>
        <w:spacing w:line="240" w:lineRule="auto"/>
        <w:rPr>
          <w:rFonts w:ascii="Arial" w:hAnsi="Arial" w:cs="Arial"/>
          <w:sz w:val="20"/>
          <w:szCs w:val="20"/>
        </w:rPr>
      </w:pPr>
      <w:proofErr w:type="spellStart"/>
      <w:r w:rsidRPr="00A25747">
        <w:rPr>
          <w:rFonts w:ascii="Arial" w:hAnsi="Arial" w:cs="Arial"/>
          <w:sz w:val="20"/>
          <w:szCs w:val="20"/>
        </w:rPr>
        <w:t>Surjushe</w:t>
      </w:r>
      <w:proofErr w:type="spellEnd"/>
      <w:r w:rsidRPr="00A25747">
        <w:rPr>
          <w:rFonts w:ascii="Arial" w:hAnsi="Arial" w:cs="Arial"/>
          <w:sz w:val="20"/>
          <w:szCs w:val="20"/>
        </w:rPr>
        <w:t xml:space="preserve"> A, </w:t>
      </w:r>
      <w:proofErr w:type="spellStart"/>
      <w:r w:rsidRPr="00A25747">
        <w:rPr>
          <w:rFonts w:ascii="Arial" w:hAnsi="Arial" w:cs="Arial"/>
          <w:sz w:val="20"/>
          <w:szCs w:val="20"/>
        </w:rPr>
        <w:t>Vasani</w:t>
      </w:r>
      <w:proofErr w:type="spellEnd"/>
      <w:r w:rsidRPr="00A25747">
        <w:rPr>
          <w:rFonts w:ascii="Arial" w:hAnsi="Arial" w:cs="Arial"/>
          <w:sz w:val="20"/>
          <w:szCs w:val="20"/>
        </w:rPr>
        <w:t xml:space="preserve"> R, </w:t>
      </w:r>
      <w:proofErr w:type="spellStart"/>
      <w:r w:rsidRPr="00A25747">
        <w:rPr>
          <w:rFonts w:ascii="Arial" w:hAnsi="Arial" w:cs="Arial"/>
          <w:sz w:val="20"/>
          <w:szCs w:val="20"/>
        </w:rPr>
        <w:t>Saple</w:t>
      </w:r>
      <w:proofErr w:type="spellEnd"/>
      <w:r w:rsidRPr="00A25747">
        <w:rPr>
          <w:rFonts w:ascii="Arial" w:hAnsi="Arial" w:cs="Arial"/>
          <w:sz w:val="20"/>
          <w:szCs w:val="20"/>
        </w:rPr>
        <w:t xml:space="preserve"> DG. Aloe vera: a short review. Indian J Dermatol. 2008;53(4):163–6.</w:t>
      </w:r>
    </w:p>
    <w:p w14:paraId="470DA092" w14:textId="77777777" w:rsidR="00A25747" w:rsidRPr="00A25747" w:rsidRDefault="00A25747" w:rsidP="00A25747">
      <w:pPr>
        <w:pStyle w:val="ListParagraph"/>
        <w:numPr>
          <w:ilvl w:val="0"/>
          <w:numId w:val="31"/>
        </w:numPr>
        <w:spacing w:line="240" w:lineRule="auto"/>
        <w:rPr>
          <w:rFonts w:ascii="Arial" w:hAnsi="Arial" w:cs="Arial"/>
          <w:sz w:val="20"/>
          <w:szCs w:val="20"/>
        </w:rPr>
      </w:pPr>
      <w:proofErr w:type="spellStart"/>
      <w:r w:rsidRPr="00A25747">
        <w:rPr>
          <w:rFonts w:ascii="Arial" w:hAnsi="Arial" w:cs="Arial"/>
          <w:sz w:val="20"/>
          <w:szCs w:val="20"/>
        </w:rPr>
        <w:t>Feily</w:t>
      </w:r>
      <w:proofErr w:type="spellEnd"/>
      <w:r w:rsidRPr="00A25747">
        <w:rPr>
          <w:rFonts w:ascii="Arial" w:hAnsi="Arial" w:cs="Arial"/>
          <w:sz w:val="20"/>
          <w:szCs w:val="20"/>
        </w:rPr>
        <w:t xml:space="preserve"> A, Namazi MR. Aloe vera in dermatology: a brief review. G Ital Dermatol </w:t>
      </w:r>
      <w:proofErr w:type="spellStart"/>
      <w:r w:rsidRPr="00A25747">
        <w:rPr>
          <w:rFonts w:ascii="Arial" w:hAnsi="Arial" w:cs="Arial"/>
          <w:sz w:val="20"/>
          <w:szCs w:val="20"/>
        </w:rPr>
        <w:t>Venereol</w:t>
      </w:r>
      <w:proofErr w:type="spellEnd"/>
      <w:r w:rsidRPr="00A25747">
        <w:rPr>
          <w:rFonts w:ascii="Arial" w:hAnsi="Arial" w:cs="Arial"/>
          <w:sz w:val="20"/>
          <w:szCs w:val="20"/>
        </w:rPr>
        <w:t>. 2009;144(1):85–91.</w:t>
      </w:r>
    </w:p>
    <w:p w14:paraId="70D5E31E" w14:textId="77777777" w:rsidR="00A25747" w:rsidRPr="00A25747" w:rsidRDefault="00A25747" w:rsidP="00A25747">
      <w:pPr>
        <w:pStyle w:val="ListParagraph"/>
        <w:numPr>
          <w:ilvl w:val="0"/>
          <w:numId w:val="31"/>
        </w:numPr>
        <w:spacing w:line="240" w:lineRule="auto"/>
        <w:rPr>
          <w:rFonts w:ascii="Arial" w:hAnsi="Arial" w:cs="Arial"/>
          <w:sz w:val="20"/>
          <w:szCs w:val="20"/>
        </w:rPr>
      </w:pPr>
      <w:proofErr w:type="spellStart"/>
      <w:r w:rsidRPr="00A25747">
        <w:rPr>
          <w:rFonts w:ascii="Arial" w:hAnsi="Arial" w:cs="Arial"/>
          <w:sz w:val="20"/>
          <w:szCs w:val="20"/>
        </w:rPr>
        <w:t>Hekmatpou</w:t>
      </w:r>
      <w:proofErr w:type="spellEnd"/>
      <w:r w:rsidRPr="00A25747">
        <w:rPr>
          <w:rFonts w:ascii="Arial" w:hAnsi="Arial" w:cs="Arial"/>
          <w:sz w:val="20"/>
          <w:szCs w:val="20"/>
        </w:rPr>
        <w:t xml:space="preserve"> D, </w:t>
      </w:r>
      <w:proofErr w:type="spellStart"/>
      <w:r w:rsidRPr="00A25747">
        <w:rPr>
          <w:rFonts w:ascii="Arial" w:hAnsi="Arial" w:cs="Arial"/>
          <w:sz w:val="20"/>
          <w:szCs w:val="20"/>
        </w:rPr>
        <w:t>Mehrabi</w:t>
      </w:r>
      <w:proofErr w:type="spellEnd"/>
      <w:r w:rsidRPr="00A25747">
        <w:rPr>
          <w:rFonts w:ascii="Arial" w:hAnsi="Arial" w:cs="Arial"/>
          <w:sz w:val="20"/>
          <w:szCs w:val="20"/>
        </w:rPr>
        <w:t xml:space="preserve"> F, </w:t>
      </w:r>
      <w:proofErr w:type="spellStart"/>
      <w:r w:rsidRPr="00A25747">
        <w:rPr>
          <w:rFonts w:ascii="Arial" w:hAnsi="Arial" w:cs="Arial"/>
          <w:sz w:val="20"/>
          <w:szCs w:val="20"/>
        </w:rPr>
        <w:t>Rahzani</w:t>
      </w:r>
      <w:proofErr w:type="spellEnd"/>
      <w:r w:rsidRPr="00A25747">
        <w:rPr>
          <w:rFonts w:ascii="Arial" w:hAnsi="Arial" w:cs="Arial"/>
          <w:sz w:val="20"/>
          <w:szCs w:val="20"/>
        </w:rPr>
        <w:t xml:space="preserve"> K, </w:t>
      </w:r>
      <w:proofErr w:type="spellStart"/>
      <w:r w:rsidRPr="00A25747">
        <w:rPr>
          <w:rFonts w:ascii="Arial" w:hAnsi="Arial" w:cs="Arial"/>
          <w:sz w:val="20"/>
          <w:szCs w:val="20"/>
        </w:rPr>
        <w:t>Aminiyan</w:t>
      </w:r>
      <w:proofErr w:type="spellEnd"/>
      <w:r w:rsidRPr="00A25747">
        <w:rPr>
          <w:rFonts w:ascii="Arial" w:hAnsi="Arial" w:cs="Arial"/>
          <w:sz w:val="20"/>
          <w:szCs w:val="20"/>
        </w:rPr>
        <w:t xml:space="preserve"> A. The Effect of Aloe Vera Clinical Trials on Prevention and Healing of Skin Wound: A Systematic Review. Iran J Med Sci. 2019 Jan;44(1):1–9.</w:t>
      </w:r>
    </w:p>
    <w:p w14:paraId="5876ED2F" w14:textId="77777777" w:rsidR="00A25747" w:rsidRPr="00A25747" w:rsidRDefault="00A25747" w:rsidP="00A25747">
      <w:pPr>
        <w:pStyle w:val="ListParagraph"/>
        <w:numPr>
          <w:ilvl w:val="0"/>
          <w:numId w:val="31"/>
        </w:numPr>
        <w:spacing w:line="240" w:lineRule="auto"/>
        <w:rPr>
          <w:rFonts w:ascii="Arial" w:hAnsi="Arial" w:cs="Arial"/>
          <w:sz w:val="20"/>
          <w:szCs w:val="20"/>
        </w:rPr>
      </w:pPr>
      <w:proofErr w:type="spellStart"/>
      <w:r w:rsidRPr="00A25747">
        <w:rPr>
          <w:rFonts w:ascii="Arial" w:hAnsi="Arial" w:cs="Arial"/>
          <w:sz w:val="20"/>
          <w:szCs w:val="20"/>
        </w:rPr>
        <w:t>Balaskas</w:t>
      </w:r>
      <w:proofErr w:type="spellEnd"/>
      <w:r w:rsidRPr="00A25747">
        <w:rPr>
          <w:rFonts w:ascii="Arial" w:hAnsi="Arial" w:cs="Arial"/>
          <w:sz w:val="20"/>
          <w:szCs w:val="20"/>
        </w:rPr>
        <w:t xml:space="preserve"> E, </w:t>
      </w:r>
      <w:proofErr w:type="spellStart"/>
      <w:r w:rsidRPr="00A25747">
        <w:rPr>
          <w:rFonts w:ascii="Arial" w:hAnsi="Arial" w:cs="Arial"/>
          <w:sz w:val="20"/>
          <w:szCs w:val="20"/>
        </w:rPr>
        <w:t>Szepietowski</w:t>
      </w:r>
      <w:proofErr w:type="spellEnd"/>
      <w:r w:rsidRPr="00A25747">
        <w:rPr>
          <w:rFonts w:ascii="Arial" w:hAnsi="Arial" w:cs="Arial"/>
          <w:sz w:val="20"/>
          <w:szCs w:val="20"/>
        </w:rPr>
        <w:t xml:space="preserve"> JC, </w:t>
      </w:r>
      <w:proofErr w:type="spellStart"/>
      <w:r w:rsidRPr="00A25747">
        <w:rPr>
          <w:rFonts w:ascii="Arial" w:hAnsi="Arial" w:cs="Arial"/>
          <w:sz w:val="20"/>
          <w:szCs w:val="20"/>
        </w:rPr>
        <w:t>Bessis</w:t>
      </w:r>
      <w:proofErr w:type="spellEnd"/>
      <w:r w:rsidRPr="00A25747">
        <w:rPr>
          <w:rFonts w:ascii="Arial" w:hAnsi="Arial" w:cs="Arial"/>
          <w:sz w:val="20"/>
          <w:szCs w:val="20"/>
        </w:rPr>
        <w:t xml:space="preserve"> D, Ioannides D, </w:t>
      </w:r>
      <w:proofErr w:type="spellStart"/>
      <w:r w:rsidRPr="00A25747">
        <w:rPr>
          <w:rFonts w:ascii="Arial" w:hAnsi="Arial" w:cs="Arial"/>
          <w:sz w:val="20"/>
          <w:szCs w:val="20"/>
        </w:rPr>
        <w:t>Ponticelli</w:t>
      </w:r>
      <w:proofErr w:type="spellEnd"/>
      <w:r w:rsidRPr="00A25747">
        <w:rPr>
          <w:rFonts w:ascii="Arial" w:hAnsi="Arial" w:cs="Arial"/>
          <w:sz w:val="20"/>
          <w:szCs w:val="20"/>
        </w:rPr>
        <w:t xml:space="preserve"> C, </w:t>
      </w:r>
      <w:proofErr w:type="spellStart"/>
      <w:r w:rsidRPr="00A25747">
        <w:rPr>
          <w:rFonts w:ascii="Arial" w:hAnsi="Arial" w:cs="Arial"/>
          <w:sz w:val="20"/>
          <w:szCs w:val="20"/>
        </w:rPr>
        <w:t>Ghienne</w:t>
      </w:r>
      <w:proofErr w:type="spellEnd"/>
      <w:r w:rsidRPr="00A25747">
        <w:rPr>
          <w:rFonts w:ascii="Arial" w:hAnsi="Arial" w:cs="Arial"/>
          <w:sz w:val="20"/>
          <w:szCs w:val="20"/>
        </w:rPr>
        <w:t xml:space="preserve"> C, et al. Randomized, Double-blind Study with Glycerol and Paraffin in Uremic Xerosis. Clin J Am Soc Nephrol. 2011;6(4):748–52.</w:t>
      </w:r>
    </w:p>
    <w:p w14:paraId="65760481" w14:textId="77777777" w:rsidR="00A25747" w:rsidRPr="00A25747" w:rsidRDefault="00A25747" w:rsidP="00A25747">
      <w:pPr>
        <w:pStyle w:val="ListParagraph"/>
        <w:numPr>
          <w:ilvl w:val="0"/>
          <w:numId w:val="31"/>
        </w:numPr>
        <w:spacing w:line="240" w:lineRule="auto"/>
        <w:rPr>
          <w:rFonts w:ascii="Arial" w:hAnsi="Arial" w:cs="Arial"/>
          <w:sz w:val="20"/>
          <w:szCs w:val="20"/>
        </w:rPr>
      </w:pPr>
      <w:proofErr w:type="spellStart"/>
      <w:r w:rsidRPr="00A25747">
        <w:rPr>
          <w:rFonts w:ascii="Arial" w:hAnsi="Arial" w:cs="Arial"/>
          <w:sz w:val="20"/>
          <w:szCs w:val="20"/>
        </w:rPr>
        <w:t>Fluhr</w:t>
      </w:r>
      <w:proofErr w:type="spellEnd"/>
      <w:r w:rsidRPr="00A25747">
        <w:rPr>
          <w:rFonts w:ascii="Arial" w:hAnsi="Arial" w:cs="Arial"/>
          <w:sz w:val="20"/>
          <w:szCs w:val="20"/>
        </w:rPr>
        <w:t xml:space="preserve"> JW, </w:t>
      </w:r>
      <w:proofErr w:type="spellStart"/>
      <w:r w:rsidRPr="00A25747">
        <w:rPr>
          <w:rFonts w:ascii="Arial" w:hAnsi="Arial" w:cs="Arial"/>
          <w:sz w:val="20"/>
          <w:szCs w:val="20"/>
        </w:rPr>
        <w:t>Muguet</w:t>
      </w:r>
      <w:proofErr w:type="spellEnd"/>
      <w:r w:rsidRPr="00A25747">
        <w:rPr>
          <w:rFonts w:ascii="Arial" w:hAnsi="Arial" w:cs="Arial"/>
          <w:sz w:val="20"/>
          <w:szCs w:val="20"/>
        </w:rPr>
        <w:t xml:space="preserve"> V, Christen-</w:t>
      </w:r>
      <w:proofErr w:type="spellStart"/>
      <w:r w:rsidRPr="00A25747">
        <w:rPr>
          <w:rFonts w:ascii="Arial" w:hAnsi="Arial" w:cs="Arial"/>
          <w:sz w:val="20"/>
          <w:szCs w:val="20"/>
        </w:rPr>
        <w:t>Zaech</w:t>
      </w:r>
      <w:proofErr w:type="spellEnd"/>
      <w:r w:rsidRPr="00A25747">
        <w:rPr>
          <w:rFonts w:ascii="Arial" w:hAnsi="Arial" w:cs="Arial"/>
          <w:sz w:val="20"/>
          <w:szCs w:val="20"/>
        </w:rPr>
        <w:t xml:space="preserve"> S. Restoring Skin Hydration and Barrier Function: Mechanistic Insights </w:t>
      </w:r>
      <w:proofErr w:type="gramStart"/>
      <w:r w:rsidRPr="00A25747">
        <w:rPr>
          <w:rFonts w:ascii="Arial" w:hAnsi="Arial" w:cs="Arial"/>
          <w:sz w:val="20"/>
          <w:szCs w:val="20"/>
        </w:rPr>
        <w:t>Into</w:t>
      </w:r>
      <w:proofErr w:type="gramEnd"/>
      <w:r w:rsidRPr="00A25747">
        <w:rPr>
          <w:rFonts w:ascii="Arial" w:hAnsi="Arial" w:cs="Arial"/>
          <w:sz w:val="20"/>
          <w:szCs w:val="20"/>
        </w:rPr>
        <w:t xml:space="preserve"> Basic Emollients for Xerosis Cutis. Int J Dermatol. 2025;64(S1):5–12.</w:t>
      </w:r>
    </w:p>
    <w:p w14:paraId="7B97C04C" w14:textId="77777777" w:rsidR="00A25747" w:rsidRPr="00A25747" w:rsidRDefault="00A25747" w:rsidP="00A25747">
      <w:pPr>
        <w:pStyle w:val="ListParagraph"/>
        <w:numPr>
          <w:ilvl w:val="0"/>
          <w:numId w:val="31"/>
        </w:numPr>
        <w:spacing w:line="240" w:lineRule="auto"/>
        <w:rPr>
          <w:rFonts w:ascii="Arial" w:hAnsi="Arial" w:cs="Arial"/>
          <w:sz w:val="20"/>
          <w:szCs w:val="20"/>
        </w:rPr>
      </w:pPr>
      <w:r w:rsidRPr="00A25747">
        <w:rPr>
          <w:rFonts w:ascii="Arial" w:hAnsi="Arial" w:cs="Arial"/>
          <w:sz w:val="20"/>
          <w:szCs w:val="20"/>
        </w:rPr>
        <w:t>Long V. Aloe Vera in Dermatology—The Plant of Immortality. JAMA Dermatol. 2016;152(12):1364.</w:t>
      </w:r>
    </w:p>
    <w:p w14:paraId="07B911FC" w14:textId="77777777" w:rsidR="00A25747" w:rsidRPr="00A25747" w:rsidRDefault="00A25747" w:rsidP="00A25747">
      <w:pPr>
        <w:pStyle w:val="ListParagraph"/>
        <w:numPr>
          <w:ilvl w:val="0"/>
          <w:numId w:val="31"/>
        </w:numPr>
        <w:spacing w:line="240" w:lineRule="auto"/>
        <w:rPr>
          <w:rFonts w:ascii="Arial" w:hAnsi="Arial" w:cs="Arial"/>
          <w:sz w:val="20"/>
          <w:szCs w:val="20"/>
        </w:rPr>
      </w:pPr>
      <w:r w:rsidRPr="00A25747">
        <w:rPr>
          <w:rFonts w:ascii="Arial" w:hAnsi="Arial" w:cs="Arial"/>
          <w:sz w:val="20"/>
          <w:szCs w:val="20"/>
        </w:rPr>
        <w:t>Godse KV. Chronic urticaria and treatment options. Indian J Dermatol. 2009;54(4):310–2.</w:t>
      </w:r>
    </w:p>
    <w:p w14:paraId="61F39316" w14:textId="77777777" w:rsidR="00A25747" w:rsidRPr="00A25747" w:rsidRDefault="00A25747" w:rsidP="00A25747">
      <w:pPr>
        <w:pStyle w:val="ListParagraph"/>
        <w:numPr>
          <w:ilvl w:val="0"/>
          <w:numId w:val="31"/>
        </w:numPr>
        <w:spacing w:line="240" w:lineRule="auto"/>
        <w:rPr>
          <w:rFonts w:ascii="Arial" w:hAnsi="Arial" w:cs="Arial"/>
          <w:sz w:val="20"/>
          <w:szCs w:val="20"/>
        </w:rPr>
      </w:pPr>
      <w:r w:rsidRPr="00A25747">
        <w:rPr>
          <w:rFonts w:ascii="Arial" w:hAnsi="Arial" w:cs="Arial"/>
          <w:sz w:val="20"/>
          <w:szCs w:val="20"/>
        </w:rPr>
        <w:t>Kar P, Chari K. A study on treatment of chronic idiopathic urticaria with cetirizine. Med J Armed Forces India. 1998;54(1):6–8.</w:t>
      </w:r>
    </w:p>
    <w:p w14:paraId="585EA914" w14:textId="77777777" w:rsidR="00A25747" w:rsidRPr="00A25747" w:rsidRDefault="00A25747" w:rsidP="00A25747">
      <w:pPr>
        <w:pStyle w:val="ListParagraph"/>
        <w:numPr>
          <w:ilvl w:val="0"/>
          <w:numId w:val="31"/>
        </w:numPr>
        <w:spacing w:line="240" w:lineRule="auto"/>
        <w:rPr>
          <w:rFonts w:ascii="Arial" w:hAnsi="Arial" w:cs="Arial"/>
          <w:sz w:val="20"/>
          <w:szCs w:val="20"/>
        </w:rPr>
      </w:pPr>
      <w:proofErr w:type="spellStart"/>
      <w:r w:rsidRPr="00A25747">
        <w:rPr>
          <w:rFonts w:ascii="Arial" w:hAnsi="Arial" w:cs="Arial"/>
          <w:sz w:val="20"/>
          <w:szCs w:val="20"/>
        </w:rPr>
        <w:t>Rerknimitr</w:t>
      </w:r>
      <w:proofErr w:type="spellEnd"/>
      <w:r w:rsidRPr="00A25747">
        <w:rPr>
          <w:rFonts w:ascii="Arial" w:hAnsi="Arial" w:cs="Arial"/>
          <w:sz w:val="20"/>
          <w:szCs w:val="20"/>
        </w:rPr>
        <w:t xml:space="preserve"> P, Otsuka A, Nakashima C, </w:t>
      </w:r>
      <w:proofErr w:type="spellStart"/>
      <w:r w:rsidRPr="00A25747">
        <w:rPr>
          <w:rFonts w:ascii="Arial" w:hAnsi="Arial" w:cs="Arial"/>
          <w:sz w:val="20"/>
          <w:szCs w:val="20"/>
        </w:rPr>
        <w:t>Kabashima</w:t>
      </w:r>
      <w:proofErr w:type="spellEnd"/>
      <w:r w:rsidRPr="00A25747">
        <w:rPr>
          <w:rFonts w:ascii="Arial" w:hAnsi="Arial" w:cs="Arial"/>
          <w:sz w:val="20"/>
          <w:szCs w:val="20"/>
        </w:rPr>
        <w:t xml:space="preserve"> K. The etiopathogenesis of atopic dermatitis: barrier disruption, immunological derangement, and pruritus. </w:t>
      </w:r>
      <w:proofErr w:type="spellStart"/>
      <w:r w:rsidRPr="00A25747">
        <w:rPr>
          <w:rFonts w:ascii="Arial" w:hAnsi="Arial" w:cs="Arial"/>
          <w:sz w:val="20"/>
          <w:szCs w:val="20"/>
        </w:rPr>
        <w:t>Inflamm</w:t>
      </w:r>
      <w:proofErr w:type="spellEnd"/>
      <w:r w:rsidRPr="00A25747">
        <w:rPr>
          <w:rFonts w:ascii="Arial" w:hAnsi="Arial" w:cs="Arial"/>
          <w:sz w:val="20"/>
          <w:szCs w:val="20"/>
        </w:rPr>
        <w:t xml:space="preserve"> Regen. </w:t>
      </w:r>
      <w:proofErr w:type="gramStart"/>
      <w:r w:rsidRPr="00A25747">
        <w:rPr>
          <w:rFonts w:ascii="Arial" w:hAnsi="Arial" w:cs="Arial"/>
          <w:sz w:val="20"/>
          <w:szCs w:val="20"/>
        </w:rPr>
        <w:t>2017;37:14</w:t>
      </w:r>
      <w:proofErr w:type="gramEnd"/>
      <w:r w:rsidRPr="00A25747">
        <w:rPr>
          <w:rFonts w:ascii="Arial" w:hAnsi="Arial" w:cs="Arial"/>
          <w:sz w:val="20"/>
          <w:szCs w:val="20"/>
        </w:rPr>
        <w:t>.</w:t>
      </w:r>
    </w:p>
    <w:p w14:paraId="4289484C" w14:textId="77777777" w:rsidR="00A25747" w:rsidRPr="00A25747" w:rsidRDefault="00A25747" w:rsidP="00A25747">
      <w:pPr>
        <w:pStyle w:val="ListParagraph"/>
        <w:numPr>
          <w:ilvl w:val="0"/>
          <w:numId w:val="31"/>
        </w:numPr>
        <w:spacing w:line="240" w:lineRule="auto"/>
        <w:rPr>
          <w:rFonts w:ascii="Arial" w:hAnsi="Arial" w:cs="Arial"/>
          <w:sz w:val="20"/>
          <w:szCs w:val="20"/>
        </w:rPr>
      </w:pPr>
      <w:r w:rsidRPr="00A25747">
        <w:rPr>
          <w:rFonts w:ascii="Arial" w:hAnsi="Arial" w:cs="Arial"/>
          <w:sz w:val="20"/>
          <w:szCs w:val="20"/>
        </w:rPr>
        <w:t>Kim J, Kim BE, Leung DYM. Pathophysiology of atopic dermatitis: Clinical implications. Allergy Asthma Proc. 2019;40(2):84–92.</w:t>
      </w:r>
    </w:p>
    <w:p w14:paraId="27A751E5" w14:textId="77777777" w:rsidR="00A25747" w:rsidRPr="00A25747" w:rsidRDefault="00A25747" w:rsidP="00A25747">
      <w:pPr>
        <w:pStyle w:val="ListParagraph"/>
        <w:numPr>
          <w:ilvl w:val="0"/>
          <w:numId w:val="31"/>
        </w:numPr>
        <w:spacing w:line="240" w:lineRule="auto"/>
        <w:rPr>
          <w:rFonts w:ascii="Arial" w:hAnsi="Arial" w:cs="Arial"/>
          <w:sz w:val="20"/>
          <w:szCs w:val="20"/>
        </w:rPr>
      </w:pPr>
      <w:r w:rsidRPr="00A25747">
        <w:rPr>
          <w:rFonts w:ascii="Arial" w:hAnsi="Arial" w:cs="Arial"/>
          <w:sz w:val="20"/>
          <w:szCs w:val="20"/>
        </w:rPr>
        <w:t>Waked IS, Ibrahim ZM. Beneficial Effects of Paraffin Bath Therapy as Additional Treatment of Chronic Hand Eczema: A Randomized, Single-Blind, Active-Controlled, Parallel-Group Study. J Altern Complement Med. 2020;26(12):1144–50.</w:t>
      </w:r>
    </w:p>
    <w:p w14:paraId="58FD8034" w14:textId="77777777" w:rsidR="00A25747" w:rsidRPr="00A25747" w:rsidRDefault="00A25747" w:rsidP="00A25747">
      <w:pPr>
        <w:pStyle w:val="ListParagraph"/>
        <w:numPr>
          <w:ilvl w:val="0"/>
          <w:numId w:val="31"/>
        </w:numPr>
        <w:spacing w:line="240" w:lineRule="auto"/>
        <w:rPr>
          <w:rFonts w:ascii="Arial" w:hAnsi="Arial" w:cs="Arial"/>
          <w:sz w:val="20"/>
          <w:szCs w:val="20"/>
        </w:rPr>
      </w:pPr>
      <w:r w:rsidRPr="00A25747">
        <w:rPr>
          <w:rFonts w:ascii="Arial" w:hAnsi="Arial" w:cs="Arial"/>
          <w:sz w:val="20"/>
          <w:szCs w:val="20"/>
        </w:rPr>
        <w:t xml:space="preserve">Guerra KC, </w:t>
      </w:r>
      <w:proofErr w:type="spellStart"/>
      <w:r w:rsidRPr="00A25747">
        <w:rPr>
          <w:rFonts w:ascii="Arial" w:hAnsi="Arial" w:cs="Arial"/>
          <w:sz w:val="20"/>
          <w:szCs w:val="20"/>
        </w:rPr>
        <w:t>Toncar</w:t>
      </w:r>
      <w:proofErr w:type="spellEnd"/>
      <w:r w:rsidRPr="00A25747">
        <w:rPr>
          <w:rFonts w:ascii="Arial" w:hAnsi="Arial" w:cs="Arial"/>
          <w:sz w:val="20"/>
          <w:szCs w:val="20"/>
        </w:rPr>
        <w:t xml:space="preserve"> A, Krishnamurthy K. Miliaria. In: </w:t>
      </w:r>
      <w:proofErr w:type="spellStart"/>
      <w:r w:rsidRPr="00A25747">
        <w:rPr>
          <w:rFonts w:ascii="Arial" w:hAnsi="Arial" w:cs="Arial"/>
          <w:sz w:val="20"/>
          <w:szCs w:val="20"/>
        </w:rPr>
        <w:t>StatPearls</w:t>
      </w:r>
      <w:proofErr w:type="spellEnd"/>
      <w:r w:rsidRPr="00A25747">
        <w:rPr>
          <w:rFonts w:ascii="Arial" w:hAnsi="Arial" w:cs="Arial"/>
          <w:sz w:val="20"/>
          <w:szCs w:val="20"/>
        </w:rPr>
        <w:t xml:space="preserve"> [Internet]. Treasure Island (FL): </w:t>
      </w:r>
      <w:proofErr w:type="spellStart"/>
      <w:r w:rsidRPr="00A25747">
        <w:rPr>
          <w:rFonts w:ascii="Arial" w:hAnsi="Arial" w:cs="Arial"/>
          <w:sz w:val="20"/>
          <w:szCs w:val="20"/>
        </w:rPr>
        <w:t>StatPearls</w:t>
      </w:r>
      <w:proofErr w:type="spellEnd"/>
      <w:r w:rsidRPr="00A25747">
        <w:rPr>
          <w:rFonts w:ascii="Arial" w:hAnsi="Arial" w:cs="Arial"/>
          <w:sz w:val="20"/>
          <w:szCs w:val="20"/>
        </w:rPr>
        <w:t xml:space="preserve"> Publishing; 2025. Available from: </w:t>
      </w:r>
      <w:hyperlink r:id="rId18" w:history="1">
        <w:r w:rsidRPr="00A25747">
          <w:rPr>
            <w:rStyle w:val="Hyperlink"/>
            <w:rFonts w:ascii="Arial" w:hAnsi="Arial" w:cs="Arial"/>
            <w:sz w:val="20"/>
            <w:szCs w:val="20"/>
          </w:rPr>
          <w:t>http://www.ncbi.nlm.nih.gov/books/NBK537176/</w:t>
        </w:r>
      </w:hyperlink>
      <w:r w:rsidRPr="00A25747">
        <w:rPr>
          <w:rFonts w:ascii="Arial" w:hAnsi="Arial" w:cs="Arial"/>
          <w:sz w:val="20"/>
          <w:szCs w:val="20"/>
        </w:rPr>
        <w:t xml:space="preserve"> [cited on Oct 31, 2025]</w:t>
      </w:r>
    </w:p>
    <w:p w14:paraId="102C25B5" w14:textId="77777777" w:rsidR="00A25747" w:rsidRPr="00A25747" w:rsidRDefault="00A25747" w:rsidP="00A25747">
      <w:pPr>
        <w:pStyle w:val="ListParagraph"/>
        <w:numPr>
          <w:ilvl w:val="0"/>
          <w:numId w:val="31"/>
        </w:numPr>
        <w:spacing w:line="240" w:lineRule="auto"/>
        <w:rPr>
          <w:rFonts w:ascii="Arial" w:hAnsi="Arial" w:cs="Arial"/>
          <w:sz w:val="20"/>
          <w:szCs w:val="20"/>
        </w:rPr>
      </w:pPr>
      <w:r w:rsidRPr="00A25747">
        <w:rPr>
          <w:rFonts w:ascii="Arial" w:hAnsi="Arial" w:cs="Arial"/>
          <w:sz w:val="20"/>
          <w:szCs w:val="20"/>
        </w:rPr>
        <w:t xml:space="preserve">Lawrence E, Syed HA, Al Aboud KM. </w:t>
      </w:r>
      <w:proofErr w:type="spellStart"/>
      <w:r w:rsidRPr="00A25747">
        <w:rPr>
          <w:rFonts w:ascii="Arial" w:hAnsi="Arial" w:cs="Arial"/>
          <w:sz w:val="20"/>
          <w:szCs w:val="20"/>
        </w:rPr>
        <w:t>Postinflammatory</w:t>
      </w:r>
      <w:proofErr w:type="spellEnd"/>
      <w:r w:rsidRPr="00A25747">
        <w:rPr>
          <w:rFonts w:ascii="Arial" w:hAnsi="Arial" w:cs="Arial"/>
          <w:sz w:val="20"/>
          <w:szCs w:val="20"/>
        </w:rPr>
        <w:t xml:space="preserve"> Hyperpigmentation. In: </w:t>
      </w:r>
      <w:proofErr w:type="spellStart"/>
      <w:r w:rsidRPr="00A25747">
        <w:rPr>
          <w:rFonts w:ascii="Arial" w:hAnsi="Arial" w:cs="Arial"/>
          <w:sz w:val="20"/>
          <w:szCs w:val="20"/>
        </w:rPr>
        <w:t>StatPearls</w:t>
      </w:r>
      <w:proofErr w:type="spellEnd"/>
      <w:r w:rsidRPr="00A25747">
        <w:rPr>
          <w:rFonts w:ascii="Arial" w:hAnsi="Arial" w:cs="Arial"/>
          <w:sz w:val="20"/>
          <w:szCs w:val="20"/>
        </w:rPr>
        <w:t xml:space="preserve"> [Internet]. Treasure Island (FL): </w:t>
      </w:r>
      <w:proofErr w:type="spellStart"/>
      <w:r w:rsidRPr="00A25747">
        <w:rPr>
          <w:rFonts w:ascii="Arial" w:hAnsi="Arial" w:cs="Arial"/>
          <w:sz w:val="20"/>
          <w:szCs w:val="20"/>
        </w:rPr>
        <w:t>StatPearls</w:t>
      </w:r>
      <w:proofErr w:type="spellEnd"/>
      <w:r w:rsidRPr="00A25747">
        <w:rPr>
          <w:rFonts w:ascii="Arial" w:hAnsi="Arial" w:cs="Arial"/>
          <w:sz w:val="20"/>
          <w:szCs w:val="20"/>
        </w:rPr>
        <w:t xml:space="preserve"> Publishing; 2025. Available from: </w:t>
      </w:r>
      <w:hyperlink r:id="rId19" w:history="1">
        <w:r w:rsidRPr="00A25747">
          <w:rPr>
            <w:rStyle w:val="Hyperlink"/>
            <w:rFonts w:ascii="Arial" w:hAnsi="Arial" w:cs="Arial"/>
            <w:sz w:val="20"/>
            <w:szCs w:val="20"/>
          </w:rPr>
          <w:t>http://www.ncbi.nlm.nih.gov/books/NBK559150/</w:t>
        </w:r>
      </w:hyperlink>
      <w:r w:rsidRPr="00A25747">
        <w:rPr>
          <w:rFonts w:ascii="Arial" w:hAnsi="Arial" w:cs="Arial"/>
          <w:sz w:val="20"/>
          <w:szCs w:val="20"/>
        </w:rPr>
        <w:t xml:space="preserve"> [cited on Oct 31, 2025]</w:t>
      </w:r>
    </w:p>
    <w:p w14:paraId="08AF49EE" w14:textId="77777777" w:rsidR="00A25747" w:rsidRPr="00A25747" w:rsidRDefault="00A25747" w:rsidP="00A25747">
      <w:pPr>
        <w:pStyle w:val="ListParagraph"/>
        <w:numPr>
          <w:ilvl w:val="0"/>
          <w:numId w:val="31"/>
        </w:numPr>
        <w:spacing w:line="240" w:lineRule="auto"/>
        <w:rPr>
          <w:rFonts w:ascii="Arial" w:hAnsi="Arial" w:cs="Arial"/>
          <w:sz w:val="20"/>
          <w:szCs w:val="20"/>
        </w:rPr>
      </w:pPr>
      <w:proofErr w:type="spellStart"/>
      <w:r w:rsidRPr="00A25747">
        <w:rPr>
          <w:rFonts w:ascii="Arial" w:hAnsi="Arial" w:cs="Arial"/>
          <w:sz w:val="20"/>
          <w:szCs w:val="20"/>
        </w:rPr>
        <w:t>Moolla</w:t>
      </w:r>
      <w:proofErr w:type="spellEnd"/>
      <w:r w:rsidRPr="00A25747">
        <w:rPr>
          <w:rFonts w:ascii="Arial" w:hAnsi="Arial" w:cs="Arial"/>
          <w:sz w:val="20"/>
          <w:szCs w:val="20"/>
        </w:rPr>
        <w:t xml:space="preserve"> S, Miller-</w:t>
      </w:r>
      <w:proofErr w:type="spellStart"/>
      <w:r w:rsidRPr="00A25747">
        <w:rPr>
          <w:rFonts w:ascii="Arial" w:hAnsi="Arial" w:cs="Arial"/>
          <w:sz w:val="20"/>
          <w:szCs w:val="20"/>
        </w:rPr>
        <w:t>Monthrope</w:t>
      </w:r>
      <w:proofErr w:type="spellEnd"/>
      <w:r w:rsidRPr="00A25747">
        <w:rPr>
          <w:rFonts w:ascii="Arial" w:hAnsi="Arial" w:cs="Arial"/>
          <w:sz w:val="20"/>
          <w:szCs w:val="20"/>
        </w:rPr>
        <w:t xml:space="preserve"> Y. Dermatology: how to manage facial hyperpigmentation in skin of colour. Drugs Context. </w:t>
      </w:r>
      <w:proofErr w:type="gramStart"/>
      <w:r w:rsidRPr="00A25747">
        <w:rPr>
          <w:rFonts w:ascii="Arial" w:hAnsi="Arial" w:cs="Arial"/>
          <w:sz w:val="20"/>
          <w:szCs w:val="20"/>
        </w:rPr>
        <w:t>2022;11:2021</w:t>
      </w:r>
      <w:proofErr w:type="gramEnd"/>
      <w:r w:rsidRPr="00A25747">
        <w:rPr>
          <w:rFonts w:ascii="Arial" w:hAnsi="Arial" w:cs="Arial"/>
          <w:sz w:val="20"/>
          <w:szCs w:val="20"/>
        </w:rPr>
        <w:t>-11–2.</w:t>
      </w:r>
    </w:p>
    <w:p w14:paraId="47B3D347" w14:textId="77777777" w:rsidR="00A25747" w:rsidRPr="00A25747" w:rsidRDefault="00A25747" w:rsidP="00A25747">
      <w:pPr>
        <w:pStyle w:val="ListParagraph"/>
        <w:numPr>
          <w:ilvl w:val="0"/>
          <w:numId w:val="31"/>
        </w:numPr>
        <w:spacing w:line="240" w:lineRule="auto"/>
        <w:rPr>
          <w:rFonts w:ascii="Arial" w:hAnsi="Arial" w:cs="Arial"/>
          <w:sz w:val="20"/>
          <w:szCs w:val="20"/>
        </w:rPr>
      </w:pPr>
      <w:r w:rsidRPr="00A25747">
        <w:rPr>
          <w:rFonts w:ascii="Arial" w:hAnsi="Arial" w:cs="Arial"/>
          <w:sz w:val="20"/>
          <w:szCs w:val="20"/>
        </w:rPr>
        <w:t>Song JY, Kang HA, Kim MY, Park YM, Kim HO. Damage and recovery of skin barrier function after glycolic acid chemical peeling and crystal microdermabrasion. Dermatol Surg. 2004;30(3):390–4.</w:t>
      </w:r>
    </w:p>
    <w:p w14:paraId="58BD1DE3" w14:textId="77777777" w:rsidR="00A25747" w:rsidRPr="00A25747" w:rsidRDefault="00A25747" w:rsidP="00A25747">
      <w:pPr>
        <w:pStyle w:val="ListParagraph"/>
        <w:numPr>
          <w:ilvl w:val="0"/>
          <w:numId w:val="31"/>
        </w:numPr>
        <w:spacing w:line="240" w:lineRule="auto"/>
        <w:rPr>
          <w:rFonts w:ascii="Arial" w:hAnsi="Arial" w:cs="Arial"/>
          <w:sz w:val="20"/>
          <w:szCs w:val="20"/>
        </w:rPr>
      </w:pPr>
      <w:r w:rsidRPr="00A25747">
        <w:rPr>
          <w:rFonts w:ascii="Arial" w:hAnsi="Arial" w:cs="Arial"/>
          <w:sz w:val="20"/>
          <w:szCs w:val="20"/>
        </w:rPr>
        <w:lastRenderedPageBreak/>
        <w:t xml:space="preserve">Benitez Ojeda AB, Mendez MD. Diaper Dermatitis. In: </w:t>
      </w:r>
      <w:proofErr w:type="spellStart"/>
      <w:r w:rsidRPr="00A25747">
        <w:rPr>
          <w:rFonts w:ascii="Arial" w:hAnsi="Arial" w:cs="Arial"/>
          <w:sz w:val="20"/>
          <w:szCs w:val="20"/>
        </w:rPr>
        <w:t>StatPearls</w:t>
      </w:r>
      <w:proofErr w:type="spellEnd"/>
      <w:r w:rsidRPr="00A25747">
        <w:rPr>
          <w:rFonts w:ascii="Arial" w:hAnsi="Arial" w:cs="Arial"/>
          <w:sz w:val="20"/>
          <w:szCs w:val="20"/>
        </w:rPr>
        <w:t xml:space="preserve"> [Internet]. Treasure Island (FL): </w:t>
      </w:r>
      <w:proofErr w:type="spellStart"/>
      <w:r w:rsidRPr="00A25747">
        <w:rPr>
          <w:rFonts w:ascii="Arial" w:hAnsi="Arial" w:cs="Arial"/>
          <w:sz w:val="20"/>
          <w:szCs w:val="20"/>
        </w:rPr>
        <w:t>StatPearls</w:t>
      </w:r>
      <w:proofErr w:type="spellEnd"/>
      <w:r w:rsidRPr="00A25747">
        <w:rPr>
          <w:rFonts w:ascii="Arial" w:hAnsi="Arial" w:cs="Arial"/>
          <w:sz w:val="20"/>
          <w:szCs w:val="20"/>
        </w:rPr>
        <w:t xml:space="preserve"> Publishing; 2025. Available from: </w:t>
      </w:r>
      <w:hyperlink r:id="rId20" w:history="1">
        <w:r w:rsidRPr="00A25747">
          <w:rPr>
            <w:rStyle w:val="Hyperlink"/>
            <w:rFonts w:ascii="Arial" w:hAnsi="Arial" w:cs="Arial"/>
            <w:sz w:val="20"/>
            <w:szCs w:val="20"/>
          </w:rPr>
          <w:t>http://www.ncbi.nlm.nih.gov/books/NBK559067/</w:t>
        </w:r>
      </w:hyperlink>
      <w:r w:rsidRPr="00A25747">
        <w:rPr>
          <w:rFonts w:ascii="Arial" w:hAnsi="Arial" w:cs="Arial"/>
          <w:sz w:val="20"/>
          <w:szCs w:val="20"/>
        </w:rPr>
        <w:t xml:space="preserve"> [cited on Oct 31, 2025]</w:t>
      </w:r>
    </w:p>
    <w:p w14:paraId="6A307829" w14:textId="77777777" w:rsidR="00A25747" w:rsidRPr="00A25747" w:rsidRDefault="00A25747" w:rsidP="00A25747">
      <w:pPr>
        <w:pStyle w:val="ListParagraph"/>
        <w:numPr>
          <w:ilvl w:val="0"/>
          <w:numId w:val="31"/>
        </w:numPr>
        <w:spacing w:line="240" w:lineRule="auto"/>
        <w:rPr>
          <w:rFonts w:ascii="Arial" w:hAnsi="Arial" w:cs="Arial"/>
          <w:sz w:val="20"/>
          <w:szCs w:val="20"/>
        </w:rPr>
      </w:pPr>
      <w:r w:rsidRPr="00A25747">
        <w:rPr>
          <w:rFonts w:ascii="Arial" w:hAnsi="Arial" w:cs="Arial"/>
          <w:sz w:val="20"/>
          <w:szCs w:val="20"/>
        </w:rPr>
        <w:t xml:space="preserve">Guerra AM, </w:t>
      </w:r>
      <w:proofErr w:type="spellStart"/>
      <w:r w:rsidRPr="00A25747">
        <w:rPr>
          <w:rFonts w:ascii="Arial" w:hAnsi="Arial" w:cs="Arial"/>
          <w:sz w:val="20"/>
          <w:szCs w:val="20"/>
        </w:rPr>
        <w:t>Orille</w:t>
      </w:r>
      <w:proofErr w:type="spellEnd"/>
      <w:r w:rsidRPr="00A25747">
        <w:rPr>
          <w:rFonts w:ascii="Arial" w:hAnsi="Arial" w:cs="Arial"/>
          <w:sz w:val="20"/>
          <w:szCs w:val="20"/>
        </w:rPr>
        <w:t xml:space="preserve"> E, Waseem M. Hand, Foot, and Mouth Disease. [Updated 2023 Mar 4]. In: </w:t>
      </w:r>
      <w:proofErr w:type="spellStart"/>
      <w:r w:rsidRPr="00A25747">
        <w:rPr>
          <w:rFonts w:ascii="Arial" w:hAnsi="Arial" w:cs="Arial"/>
          <w:sz w:val="20"/>
          <w:szCs w:val="20"/>
        </w:rPr>
        <w:t>StatPearls</w:t>
      </w:r>
      <w:proofErr w:type="spellEnd"/>
      <w:r w:rsidRPr="00A25747">
        <w:rPr>
          <w:rFonts w:ascii="Arial" w:hAnsi="Arial" w:cs="Arial"/>
          <w:sz w:val="20"/>
          <w:szCs w:val="20"/>
        </w:rPr>
        <w:t xml:space="preserve"> [Internet]. Treasure Island (FL): </w:t>
      </w:r>
      <w:proofErr w:type="spellStart"/>
      <w:r w:rsidRPr="00A25747">
        <w:rPr>
          <w:rFonts w:ascii="Arial" w:hAnsi="Arial" w:cs="Arial"/>
          <w:sz w:val="20"/>
          <w:szCs w:val="20"/>
        </w:rPr>
        <w:t>StatPearls</w:t>
      </w:r>
      <w:proofErr w:type="spellEnd"/>
      <w:r w:rsidRPr="00A25747">
        <w:rPr>
          <w:rFonts w:ascii="Arial" w:hAnsi="Arial" w:cs="Arial"/>
          <w:sz w:val="20"/>
          <w:szCs w:val="20"/>
        </w:rPr>
        <w:t xml:space="preserve"> Publishing; 2025 Jan-. Available from: </w:t>
      </w:r>
      <w:hyperlink r:id="rId21" w:history="1">
        <w:r w:rsidRPr="00A25747">
          <w:rPr>
            <w:rStyle w:val="Hyperlink"/>
            <w:rFonts w:ascii="Arial" w:hAnsi="Arial" w:cs="Arial"/>
            <w:sz w:val="20"/>
            <w:szCs w:val="20"/>
          </w:rPr>
          <w:t>https://www.ncbi.nlm.nih.gov/books/NBK431082/</w:t>
        </w:r>
      </w:hyperlink>
      <w:r w:rsidRPr="00A25747">
        <w:rPr>
          <w:rFonts w:ascii="Arial" w:hAnsi="Arial" w:cs="Arial"/>
          <w:sz w:val="20"/>
          <w:szCs w:val="20"/>
        </w:rPr>
        <w:t xml:space="preserve"> [cited on Oct 31, 2025]</w:t>
      </w:r>
    </w:p>
    <w:p w14:paraId="2504D109" w14:textId="77777777" w:rsidR="00077013" w:rsidRDefault="00077013" w:rsidP="00A25747">
      <w:pPr>
        <w:pStyle w:val="ListParagraph"/>
        <w:numPr>
          <w:ilvl w:val="0"/>
          <w:numId w:val="31"/>
        </w:numPr>
        <w:spacing w:line="240" w:lineRule="auto"/>
        <w:rPr>
          <w:rFonts w:ascii="Arial" w:hAnsi="Arial" w:cs="Arial"/>
          <w:sz w:val="20"/>
          <w:szCs w:val="20"/>
        </w:rPr>
      </w:pPr>
      <w:r>
        <w:rPr>
          <w:rFonts w:ascii="Arial" w:hAnsi="Arial" w:cs="Arial"/>
          <w:color w:val="222222"/>
          <w:sz w:val="20"/>
          <w:szCs w:val="20"/>
          <w:shd w:val="clear" w:color="auto" w:fill="FFFFFF"/>
        </w:rPr>
        <w:t xml:space="preserve">Sharma, A., Mahajan, V. K., Mehta, K. S., Chauhan, P. S., </w:t>
      </w:r>
      <w:proofErr w:type="spellStart"/>
      <w:r>
        <w:rPr>
          <w:rFonts w:ascii="Arial" w:hAnsi="Arial" w:cs="Arial"/>
          <w:color w:val="222222"/>
          <w:sz w:val="20"/>
          <w:szCs w:val="20"/>
          <w:shd w:val="clear" w:color="auto" w:fill="FFFFFF"/>
        </w:rPr>
        <w:t>Manvi</w:t>
      </w:r>
      <w:proofErr w:type="spellEnd"/>
      <w:r>
        <w:rPr>
          <w:rFonts w:ascii="Arial" w:hAnsi="Arial" w:cs="Arial"/>
          <w:color w:val="222222"/>
          <w:sz w:val="20"/>
          <w:szCs w:val="20"/>
          <w:shd w:val="clear" w:color="auto" w:fill="FFFFFF"/>
        </w:rPr>
        <w:t xml:space="preserve">, S., &amp; Chauhan, A. (2022). Hand, foot and mouth disease: a single centre retrospective study of 403 new cases and brief review of relevant Indian literature to understand clinical, epidemiological, and </w:t>
      </w:r>
      <w:proofErr w:type="spellStart"/>
      <w:r>
        <w:rPr>
          <w:rFonts w:ascii="Arial" w:hAnsi="Arial" w:cs="Arial"/>
          <w:color w:val="222222"/>
          <w:sz w:val="20"/>
          <w:szCs w:val="20"/>
          <w:shd w:val="clear" w:color="auto" w:fill="FFFFFF"/>
        </w:rPr>
        <w:t>virological</w:t>
      </w:r>
      <w:proofErr w:type="spellEnd"/>
      <w:r>
        <w:rPr>
          <w:rFonts w:ascii="Arial" w:hAnsi="Arial" w:cs="Arial"/>
          <w:color w:val="222222"/>
          <w:sz w:val="20"/>
          <w:szCs w:val="20"/>
          <w:shd w:val="clear" w:color="auto" w:fill="FFFFFF"/>
        </w:rPr>
        <w:t xml:space="preserve"> attributes of a long-lasting Indian epidemic. </w:t>
      </w:r>
      <w:r>
        <w:rPr>
          <w:rFonts w:ascii="Arial" w:hAnsi="Arial" w:cs="Arial"/>
          <w:i/>
          <w:iCs/>
          <w:color w:val="222222"/>
          <w:sz w:val="20"/>
          <w:szCs w:val="20"/>
          <w:shd w:val="clear" w:color="auto" w:fill="FFFFFF"/>
        </w:rPr>
        <w:t>Indian Dermatology Online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(3), 310-320.</w:t>
      </w:r>
      <w:r w:rsidRPr="00A25747">
        <w:rPr>
          <w:rFonts w:ascii="Arial" w:hAnsi="Arial" w:cs="Arial"/>
          <w:sz w:val="20"/>
          <w:szCs w:val="20"/>
        </w:rPr>
        <w:t xml:space="preserve"> </w:t>
      </w:r>
    </w:p>
    <w:p w14:paraId="3102D46C" w14:textId="77777777" w:rsidR="00077013" w:rsidRDefault="00077013" w:rsidP="00A25747">
      <w:pPr>
        <w:pStyle w:val="ListParagraph"/>
        <w:numPr>
          <w:ilvl w:val="0"/>
          <w:numId w:val="31"/>
        </w:numPr>
        <w:spacing w:line="240" w:lineRule="auto"/>
        <w:rPr>
          <w:rFonts w:ascii="Arial" w:hAnsi="Arial" w:cs="Arial"/>
          <w:sz w:val="20"/>
          <w:szCs w:val="20"/>
        </w:rPr>
      </w:pPr>
      <w:r>
        <w:rPr>
          <w:rFonts w:ascii="Arial" w:hAnsi="Arial" w:cs="Arial"/>
          <w:color w:val="222222"/>
          <w:sz w:val="20"/>
          <w:szCs w:val="20"/>
          <w:shd w:val="clear" w:color="auto" w:fill="FFFFFF"/>
        </w:rPr>
        <w:t xml:space="preserve">Zhu, P., Ji, W., Li, D., Li, Z., Chen, Y., Dai, B., ... &amp; </w:t>
      </w:r>
      <w:proofErr w:type="spellStart"/>
      <w:r>
        <w:rPr>
          <w:rFonts w:ascii="Arial" w:hAnsi="Arial" w:cs="Arial"/>
          <w:color w:val="222222"/>
          <w:sz w:val="20"/>
          <w:szCs w:val="20"/>
          <w:shd w:val="clear" w:color="auto" w:fill="FFFFFF"/>
        </w:rPr>
        <w:t>Duan</w:t>
      </w:r>
      <w:proofErr w:type="spellEnd"/>
      <w:r>
        <w:rPr>
          <w:rFonts w:ascii="Arial" w:hAnsi="Arial" w:cs="Arial"/>
          <w:color w:val="222222"/>
          <w:sz w:val="20"/>
          <w:szCs w:val="20"/>
          <w:shd w:val="clear" w:color="auto" w:fill="FFFFFF"/>
        </w:rPr>
        <w:t>, G. (2023). Current status of hand-foot-and-mouth disease. </w:t>
      </w:r>
      <w:r>
        <w:rPr>
          <w:rFonts w:ascii="Arial" w:hAnsi="Arial" w:cs="Arial"/>
          <w:i/>
          <w:iCs/>
          <w:color w:val="222222"/>
          <w:sz w:val="20"/>
          <w:szCs w:val="20"/>
          <w:shd w:val="clear" w:color="auto" w:fill="FFFFFF"/>
        </w:rPr>
        <w:t>Journal of biomedical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30</w:t>
      </w:r>
      <w:r>
        <w:rPr>
          <w:rFonts w:ascii="Arial" w:hAnsi="Arial" w:cs="Arial"/>
          <w:color w:val="222222"/>
          <w:sz w:val="20"/>
          <w:szCs w:val="20"/>
          <w:shd w:val="clear" w:color="auto" w:fill="FFFFFF"/>
        </w:rPr>
        <w:t>(1), 15.</w:t>
      </w:r>
      <w:r w:rsidRPr="00A25747">
        <w:rPr>
          <w:rFonts w:ascii="Arial" w:hAnsi="Arial" w:cs="Arial"/>
          <w:sz w:val="20"/>
          <w:szCs w:val="20"/>
        </w:rPr>
        <w:t xml:space="preserve"> </w:t>
      </w:r>
    </w:p>
    <w:p w14:paraId="5B99AE46" w14:textId="77777777" w:rsidR="00077013" w:rsidRPr="00077013" w:rsidRDefault="00077013" w:rsidP="00BA3C6C">
      <w:pPr>
        <w:pStyle w:val="ListParagraph"/>
        <w:numPr>
          <w:ilvl w:val="0"/>
          <w:numId w:val="31"/>
        </w:numPr>
        <w:tabs>
          <w:tab w:val="left" w:pos="4035"/>
        </w:tabs>
        <w:spacing w:line="240" w:lineRule="auto"/>
        <w:ind w:right="80"/>
        <w:jc w:val="both"/>
        <w:rPr>
          <w:rFonts w:ascii="Arial" w:hAnsi="Arial" w:cs="Arial"/>
          <w:sz w:val="20"/>
          <w:szCs w:val="20"/>
        </w:rPr>
      </w:pPr>
      <w:r>
        <w:rPr>
          <w:rFonts w:ascii="Arial" w:hAnsi="Arial" w:cs="Arial"/>
          <w:color w:val="222222"/>
          <w:sz w:val="20"/>
          <w:szCs w:val="20"/>
          <w:shd w:val="clear" w:color="auto" w:fill="FFFFFF"/>
        </w:rPr>
        <w:t>Kashyap, R. R., &amp; Kashyap, R. S. (2015). Hand, foot and mouth disease-a short case report. </w:t>
      </w:r>
      <w:r>
        <w:rPr>
          <w:rFonts w:ascii="Arial" w:hAnsi="Arial" w:cs="Arial"/>
          <w:i/>
          <w:iCs/>
          <w:color w:val="222222"/>
          <w:sz w:val="20"/>
          <w:szCs w:val="20"/>
          <w:shd w:val="clear" w:color="auto" w:fill="FFFFFF"/>
        </w:rPr>
        <w:t>Journal of clinical and experimental dentistry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(2), e336.</w:t>
      </w:r>
    </w:p>
    <w:p w14:paraId="1BCACD57" w14:textId="77777777" w:rsidR="00077013" w:rsidRDefault="00077013" w:rsidP="00BA3C6C">
      <w:pPr>
        <w:pStyle w:val="ListParagraph"/>
        <w:numPr>
          <w:ilvl w:val="0"/>
          <w:numId w:val="31"/>
        </w:numPr>
        <w:tabs>
          <w:tab w:val="left" w:pos="4035"/>
        </w:tabs>
        <w:spacing w:line="240" w:lineRule="auto"/>
        <w:ind w:right="80"/>
        <w:jc w:val="both"/>
        <w:rPr>
          <w:rFonts w:ascii="Arial" w:hAnsi="Arial" w:cs="Arial"/>
          <w:sz w:val="20"/>
          <w:szCs w:val="20"/>
        </w:rPr>
      </w:pPr>
      <w:proofErr w:type="spellStart"/>
      <w:r>
        <w:rPr>
          <w:rFonts w:ascii="Arial" w:hAnsi="Arial" w:cs="Arial"/>
          <w:color w:val="222222"/>
          <w:sz w:val="20"/>
          <w:szCs w:val="20"/>
          <w:shd w:val="clear" w:color="auto" w:fill="FFFFFF"/>
        </w:rPr>
        <w:t>Faridi</w:t>
      </w:r>
      <w:proofErr w:type="spellEnd"/>
      <w:r>
        <w:rPr>
          <w:rFonts w:ascii="Arial" w:hAnsi="Arial" w:cs="Arial"/>
          <w:color w:val="222222"/>
          <w:sz w:val="20"/>
          <w:szCs w:val="20"/>
          <w:shd w:val="clear" w:color="auto" w:fill="FFFFFF"/>
        </w:rPr>
        <w:t xml:space="preserve">, M. M. A., Kapoor, S., &amp; Bhatnagar, S. (2024). Managing hand-foot-mouth disease in children: more of </w:t>
      </w:r>
      <w:proofErr w:type="spellStart"/>
      <w:r>
        <w:rPr>
          <w:rFonts w:ascii="Arial" w:hAnsi="Arial" w:cs="Arial"/>
          <w:color w:val="222222"/>
          <w:sz w:val="20"/>
          <w:szCs w:val="20"/>
          <w:shd w:val="clear" w:color="auto" w:fill="FFFFFF"/>
        </w:rPr>
        <w:t>counseling</w:t>
      </w:r>
      <w:proofErr w:type="spellEnd"/>
      <w:r>
        <w:rPr>
          <w:rFonts w:ascii="Arial" w:hAnsi="Arial" w:cs="Arial"/>
          <w:color w:val="222222"/>
          <w:sz w:val="20"/>
          <w:szCs w:val="20"/>
          <w:shd w:val="clear" w:color="auto" w:fill="FFFFFF"/>
        </w:rPr>
        <w:t>, less of medicines. </w:t>
      </w:r>
      <w:r>
        <w:rPr>
          <w:rFonts w:ascii="Arial" w:hAnsi="Arial" w:cs="Arial"/>
          <w:i/>
          <w:iCs/>
          <w:color w:val="222222"/>
          <w:sz w:val="20"/>
          <w:szCs w:val="20"/>
          <w:shd w:val="clear" w:color="auto" w:fill="FFFFFF"/>
        </w:rPr>
        <w:t>Journal of Family Medicine and Primary Care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w:t>
      </w:r>
      <w:r>
        <w:rPr>
          <w:rFonts w:ascii="Arial" w:hAnsi="Arial" w:cs="Arial"/>
          <w:color w:val="222222"/>
          <w:sz w:val="20"/>
          <w:szCs w:val="20"/>
          <w:shd w:val="clear" w:color="auto" w:fill="FFFFFF"/>
        </w:rPr>
        <w:t>(9), 4090-4093.</w:t>
      </w:r>
      <w:r w:rsidRPr="00A25747">
        <w:rPr>
          <w:rFonts w:ascii="Arial" w:hAnsi="Arial" w:cs="Arial"/>
          <w:sz w:val="20"/>
          <w:szCs w:val="20"/>
        </w:rPr>
        <w:t xml:space="preserve"> </w:t>
      </w:r>
    </w:p>
    <w:p w14:paraId="2B634C7F" w14:textId="377B99DF" w:rsidR="00315186" w:rsidRPr="00A25747" w:rsidRDefault="00A25747" w:rsidP="00BA3C6C">
      <w:pPr>
        <w:pStyle w:val="ListParagraph"/>
        <w:numPr>
          <w:ilvl w:val="0"/>
          <w:numId w:val="31"/>
        </w:numPr>
        <w:tabs>
          <w:tab w:val="left" w:pos="4035"/>
        </w:tabs>
        <w:spacing w:line="240" w:lineRule="auto"/>
        <w:ind w:right="80"/>
        <w:jc w:val="both"/>
        <w:rPr>
          <w:rFonts w:ascii="Arial" w:hAnsi="Arial" w:cs="Arial"/>
          <w:sz w:val="20"/>
          <w:szCs w:val="20"/>
        </w:rPr>
      </w:pPr>
      <w:bookmarkStart w:id="4" w:name="_GoBack"/>
      <w:bookmarkEnd w:id="4"/>
      <w:r w:rsidRPr="00A25747">
        <w:rPr>
          <w:rFonts w:ascii="Arial" w:hAnsi="Arial" w:cs="Arial"/>
          <w:sz w:val="20"/>
          <w:szCs w:val="20"/>
        </w:rPr>
        <w:t xml:space="preserve">Hema </w:t>
      </w:r>
      <w:proofErr w:type="spellStart"/>
      <w:r w:rsidRPr="00A25747">
        <w:rPr>
          <w:rFonts w:ascii="Arial" w:hAnsi="Arial" w:cs="Arial"/>
          <w:sz w:val="20"/>
          <w:szCs w:val="20"/>
        </w:rPr>
        <w:t>Nandhini</w:t>
      </w:r>
      <w:proofErr w:type="spellEnd"/>
      <w:r w:rsidRPr="00A25747">
        <w:rPr>
          <w:rFonts w:ascii="Arial" w:hAnsi="Arial" w:cs="Arial"/>
          <w:sz w:val="20"/>
          <w:szCs w:val="20"/>
        </w:rPr>
        <w:t xml:space="preserve"> H, </w:t>
      </w:r>
      <w:proofErr w:type="spellStart"/>
      <w:r w:rsidRPr="00A25747">
        <w:rPr>
          <w:rFonts w:ascii="Arial" w:hAnsi="Arial" w:cs="Arial"/>
          <w:sz w:val="20"/>
          <w:szCs w:val="20"/>
        </w:rPr>
        <w:t>Rajamurugan</w:t>
      </w:r>
      <w:proofErr w:type="spellEnd"/>
      <w:r w:rsidRPr="00A25747">
        <w:rPr>
          <w:rFonts w:ascii="Arial" w:hAnsi="Arial" w:cs="Arial"/>
          <w:sz w:val="20"/>
          <w:szCs w:val="20"/>
        </w:rPr>
        <w:t xml:space="preserve"> R, </w:t>
      </w:r>
      <w:proofErr w:type="spellStart"/>
      <w:r w:rsidRPr="00A25747">
        <w:rPr>
          <w:rFonts w:ascii="Arial" w:hAnsi="Arial" w:cs="Arial"/>
          <w:sz w:val="20"/>
          <w:szCs w:val="20"/>
        </w:rPr>
        <w:t>Jasmiya</w:t>
      </w:r>
      <w:proofErr w:type="spellEnd"/>
      <w:r w:rsidRPr="00A25747">
        <w:rPr>
          <w:rFonts w:ascii="Arial" w:hAnsi="Arial" w:cs="Arial"/>
          <w:sz w:val="20"/>
          <w:szCs w:val="20"/>
        </w:rPr>
        <w:t xml:space="preserve"> </w:t>
      </w:r>
      <w:proofErr w:type="spellStart"/>
      <w:r w:rsidRPr="00A25747">
        <w:rPr>
          <w:rFonts w:ascii="Arial" w:hAnsi="Arial" w:cs="Arial"/>
          <w:sz w:val="20"/>
          <w:szCs w:val="20"/>
        </w:rPr>
        <w:t>Claives</w:t>
      </w:r>
      <w:proofErr w:type="spellEnd"/>
      <w:r w:rsidRPr="00A25747">
        <w:rPr>
          <w:rFonts w:ascii="Arial" w:hAnsi="Arial" w:cs="Arial"/>
          <w:sz w:val="20"/>
          <w:szCs w:val="20"/>
        </w:rPr>
        <w:t xml:space="preserve"> R, Sasikumar P. Hand Foot and Mouth Disease – A Case Study and Patient Counselling. Int J Med Res Health Sci. 2025;14(2):1–6</w:t>
      </w:r>
      <w:r w:rsidR="007F5920" w:rsidRPr="00A25747">
        <w:rPr>
          <w:rFonts w:ascii="Arial" w:hAnsi="Arial" w:cs="Arial"/>
          <w:sz w:val="20"/>
          <w:szCs w:val="20"/>
        </w:rPr>
        <w:t>.</w:t>
      </w:r>
    </w:p>
    <w:sectPr w:rsidR="00315186" w:rsidRPr="00A25747" w:rsidSect="000E049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C71A5" w14:textId="77777777" w:rsidR="00DC7D25" w:rsidRDefault="00DC7D25" w:rsidP="00C37E61">
      <w:r>
        <w:separator/>
      </w:r>
    </w:p>
  </w:endnote>
  <w:endnote w:type="continuationSeparator" w:id="0">
    <w:p w14:paraId="1421DF06" w14:textId="77777777" w:rsidR="00DC7D25" w:rsidRDefault="00DC7D2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E7E82" w14:textId="77777777" w:rsidR="000E0498" w:rsidRDefault="000E04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08D5D" w14:textId="77777777" w:rsidR="000E0498" w:rsidRDefault="000E04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95892" w14:textId="71E03F2E" w:rsidR="00754C9A" w:rsidRPr="000E0498" w:rsidRDefault="00754C9A" w:rsidP="000E04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D871C" w14:textId="77777777" w:rsidR="00DC7D25" w:rsidRDefault="00DC7D25" w:rsidP="00C37E61">
      <w:r>
        <w:separator/>
      </w:r>
    </w:p>
  </w:footnote>
  <w:footnote w:type="continuationSeparator" w:id="0">
    <w:p w14:paraId="2F220459" w14:textId="77777777" w:rsidR="00DC7D25" w:rsidRDefault="00DC7D2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338C9" w14:textId="6D4EE072" w:rsidR="000E0498" w:rsidRDefault="00077013">
    <w:pPr>
      <w:pStyle w:val="Header"/>
    </w:pPr>
    <w:r>
      <w:rPr>
        <w:noProof/>
      </w:rPr>
      <w:pict w14:anchorId="36C2E1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3406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A9985" w14:textId="4338B764" w:rsidR="000E0498" w:rsidRDefault="00077013">
    <w:pPr>
      <w:pStyle w:val="Header"/>
    </w:pPr>
    <w:r>
      <w:rPr>
        <w:noProof/>
      </w:rPr>
      <w:pict w14:anchorId="7B609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3406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B3DFF" w14:textId="59A79CD2" w:rsidR="00296529" w:rsidRPr="00296529" w:rsidRDefault="00077013" w:rsidP="00296529">
    <w:pPr>
      <w:ind w:left="2160"/>
      <w:jc w:val="center"/>
      <w:rPr>
        <w:rFonts w:ascii="Times New Roman" w:eastAsia="Calibri" w:hAnsi="Times New Roman"/>
        <w:i/>
        <w:sz w:val="18"/>
        <w:szCs w:val="22"/>
      </w:rPr>
    </w:pPr>
    <w:r>
      <w:rPr>
        <w:noProof/>
      </w:rPr>
      <w:pict w14:anchorId="7AA2FB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3406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44633D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44038B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ECBB9D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8A62BC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9EA38B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98E08D7"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F270B2"/>
    <w:multiLevelType w:val="hybridMultilevel"/>
    <w:tmpl w:val="76D8BDEA"/>
    <w:lvl w:ilvl="0" w:tplc="35BE1A22">
      <w:start w:val="1"/>
      <w:numFmt w:val="decimal"/>
      <w:lvlText w:val="%1."/>
      <w:lvlJc w:val="left"/>
      <w:pPr>
        <w:ind w:left="720" w:hanging="360"/>
      </w:pPr>
    </w:lvl>
    <w:lvl w:ilvl="1" w:tplc="E68AFE8E">
      <w:start w:val="1"/>
      <w:numFmt w:val="lowerLetter"/>
      <w:lvlText w:val="%2."/>
      <w:lvlJc w:val="left"/>
      <w:pPr>
        <w:ind w:left="1440" w:hanging="360"/>
      </w:pPr>
    </w:lvl>
    <w:lvl w:ilvl="2" w:tplc="3EBE6E20">
      <w:start w:val="1"/>
      <w:numFmt w:val="lowerRoman"/>
      <w:lvlText w:val="%3."/>
      <w:lvlJc w:val="right"/>
      <w:pPr>
        <w:ind w:left="2160" w:hanging="180"/>
      </w:pPr>
    </w:lvl>
    <w:lvl w:ilvl="3" w:tplc="5224C28A">
      <w:start w:val="1"/>
      <w:numFmt w:val="decimal"/>
      <w:lvlText w:val="%4."/>
      <w:lvlJc w:val="left"/>
      <w:pPr>
        <w:ind w:left="2880" w:hanging="360"/>
      </w:pPr>
    </w:lvl>
    <w:lvl w:ilvl="4" w:tplc="E02C917C">
      <w:start w:val="1"/>
      <w:numFmt w:val="lowerLetter"/>
      <w:lvlText w:val="%5."/>
      <w:lvlJc w:val="left"/>
      <w:pPr>
        <w:ind w:left="3600" w:hanging="360"/>
      </w:pPr>
    </w:lvl>
    <w:lvl w:ilvl="5" w:tplc="EB0A700A">
      <w:start w:val="1"/>
      <w:numFmt w:val="lowerRoman"/>
      <w:lvlText w:val="%6."/>
      <w:lvlJc w:val="right"/>
      <w:pPr>
        <w:ind w:left="4320" w:hanging="180"/>
      </w:pPr>
    </w:lvl>
    <w:lvl w:ilvl="6" w:tplc="9198FA72">
      <w:start w:val="1"/>
      <w:numFmt w:val="decimal"/>
      <w:lvlText w:val="%7."/>
      <w:lvlJc w:val="left"/>
      <w:pPr>
        <w:ind w:left="5040" w:hanging="360"/>
      </w:pPr>
    </w:lvl>
    <w:lvl w:ilvl="7" w:tplc="6FCE9454">
      <w:start w:val="1"/>
      <w:numFmt w:val="lowerLetter"/>
      <w:lvlText w:val="%8."/>
      <w:lvlJc w:val="left"/>
      <w:pPr>
        <w:ind w:left="5760" w:hanging="360"/>
      </w:pPr>
    </w:lvl>
    <w:lvl w:ilvl="8" w:tplc="004EF93A">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0EE282F"/>
    <w:multiLevelType w:val="multilevel"/>
    <w:tmpl w:val="A2C263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12058D"/>
    <w:multiLevelType w:val="hybridMultilevel"/>
    <w:tmpl w:val="679A1CA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A990B0B"/>
    <w:multiLevelType w:val="hybridMultilevel"/>
    <w:tmpl w:val="B1E2C9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5"/>
  </w:num>
  <w:num w:numId="19">
    <w:abstractNumId w:val="32"/>
  </w:num>
  <w:num w:numId="20">
    <w:abstractNumId w:val="12"/>
  </w:num>
  <w:num w:numId="21">
    <w:abstractNumId w:val="10"/>
  </w:num>
  <w:num w:numId="22">
    <w:abstractNumId w:val="14"/>
  </w:num>
  <w:num w:numId="23">
    <w:abstractNumId w:val="22"/>
  </w:num>
  <w:num w:numId="24">
    <w:abstractNumId w:val="30"/>
  </w:num>
  <w:num w:numId="25">
    <w:abstractNumId w:val="4"/>
  </w:num>
  <w:num w:numId="26">
    <w:abstractNumId w:val="18"/>
  </w:num>
  <w:num w:numId="27">
    <w:abstractNumId w:val="23"/>
  </w:num>
  <w:num w:numId="28">
    <w:abstractNumId w:val="31"/>
  </w:num>
  <w:num w:numId="29">
    <w:abstractNumId w:val="27"/>
  </w:num>
  <w:num w:numId="30">
    <w:abstractNumId w:val="11"/>
  </w:num>
  <w:num w:numId="31">
    <w:abstractNumId w:val="7"/>
  </w:num>
  <w:num w:numId="32">
    <w:abstractNumId w:val="16"/>
  </w:num>
  <w:num w:numId="33">
    <w:abstractNumId w:val="29"/>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20F"/>
    <w:rsid w:val="00000F8F"/>
    <w:rsid w:val="00013C2C"/>
    <w:rsid w:val="00030174"/>
    <w:rsid w:val="00036DDF"/>
    <w:rsid w:val="0004579C"/>
    <w:rsid w:val="000505D0"/>
    <w:rsid w:val="00077013"/>
    <w:rsid w:val="000A117B"/>
    <w:rsid w:val="000A47FA"/>
    <w:rsid w:val="000A65D3"/>
    <w:rsid w:val="000B1E33"/>
    <w:rsid w:val="000D689F"/>
    <w:rsid w:val="000E0498"/>
    <w:rsid w:val="000E7B7B"/>
    <w:rsid w:val="000E7D62"/>
    <w:rsid w:val="000F1414"/>
    <w:rsid w:val="000F509C"/>
    <w:rsid w:val="00103357"/>
    <w:rsid w:val="001139E2"/>
    <w:rsid w:val="00123C9F"/>
    <w:rsid w:val="00126190"/>
    <w:rsid w:val="00130F17"/>
    <w:rsid w:val="001320BF"/>
    <w:rsid w:val="00141B78"/>
    <w:rsid w:val="00157EFD"/>
    <w:rsid w:val="00163BC4"/>
    <w:rsid w:val="00191062"/>
    <w:rsid w:val="00192216"/>
    <w:rsid w:val="00192B72"/>
    <w:rsid w:val="00193629"/>
    <w:rsid w:val="001954CF"/>
    <w:rsid w:val="001A29D8"/>
    <w:rsid w:val="001A3CF6"/>
    <w:rsid w:val="001A5CAA"/>
    <w:rsid w:val="001A5D26"/>
    <w:rsid w:val="001B0427"/>
    <w:rsid w:val="001D3A51"/>
    <w:rsid w:val="001E10D2"/>
    <w:rsid w:val="001E25B4"/>
    <w:rsid w:val="001E44FE"/>
    <w:rsid w:val="001F6421"/>
    <w:rsid w:val="001F64CE"/>
    <w:rsid w:val="00200595"/>
    <w:rsid w:val="00204489"/>
    <w:rsid w:val="00204835"/>
    <w:rsid w:val="00213A3D"/>
    <w:rsid w:val="002206C8"/>
    <w:rsid w:val="00231920"/>
    <w:rsid w:val="0023195C"/>
    <w:rsid w:val="002400EB"/>
    <w:rsid w:val="0024282C"/>
    <w:rsid w:val="002460DC"/>
    <w:rsid w:val="00250985"/>
    <w:rsid w:val="002556F6"/>
    <w:rsid w:val="00257A90"/>
    <w:rsid w:val="00283105"/>
    <w:rsid w:val="00284C4C"/>
    <w:rsid w:val="0028742F"/>
    <w:rsid w:val="00296529"/>
    <w:rsid w:val="002B27FB"/>
    <w:rsid w:val="002B685A"/>
    <w:rsid w:val="002C57D2"/>
    <w:rsid w:val="002E0D56"/>
    <w:rsid w:val="002F1568"/>
    <w:rsid w:val="002F4609"/>
    <w:rsid w:val="00315186"/>
    <w:rsid w:val="003235AC"/>
    <w:rsid w:val="00326C02"/>
    <w:rsid w:val="0033343E"/>
    <w:rsid w:val="003512C2"/>
    <w:rsid w:val="00360A0E"/>
    <w:rsid w:val="003612DF"/>
    <w:rsid w:val="00364D5F"/>
    <w:rsid w:val="00371FB6"/>
    <w:rsid w:val="003763C1"/>
    <w:rsid w:val="00376BBE"/>
    <w:rsid w:val="0039224F"/>
    <w:rsid w:val="003A43A4"/>
    <w:rsid w:val="003A6069"/>
    <w:rsid w:val="003A7E18"/>
    <w:rsid w:val="003C4C86"/>
    <w:rsid w:val="003C6258"/>
    <w:rsid w:val="003D0363"/>
    <w:rsid w:val="003D4F7D"/>
    <w:rsid w:val="003E0542"/>
    <w:rsid w:val="003E2904"/>
    <w:rsid w:val="003F71EF"/>
    <w:rsid w:val="00401927"/>
    <w:rsid w:val="0041027F"/>
    <w:rsid w:val="00412475"/>
    <w:rsid w:val="00413694"/>
    <w:rsid w:val="004142CF"/>
    <w:rsid w:val="00423789"/>
    <w:rsid w:val="004408A6"/>
    <w:rsid w:val="00440F43"/>
    <w:rsid w:val="00441B6F"/>
    <w:rsid w:val="00446221"/>
    <w:rsid w:val="00450E62"/>
    <w:rsid w:val="004539DB"/>
    <w:rsid w:val="00471A80"/>
    <w:rsid w:val="004B0365"/>
    <w:rsid w:val="004B4BBD"/>
    <w:rsid w:val="004D305E"/>
    <w:rsid w:val="004D4277"/>
    <w:rsid w:val="004E3A9E"/>
    <w:rsid w:val="004E5EA8"/>
    <w:rsid w:val="004E6B2D"/>
    <w:rsid w:val="004F4227"/>
    <w:rsid w:val="00502516"/>
    <w:rsid w:val="00505F06"/>
    <w:rsid w:val="00506828"/>
    <w:rsid w:val="0053056E"/>
    <w:rsid w:val="005321B2"/>
    <w:rsid w:val="00535DFF"/>
    <w:rsid w:val="00554FDA"/>
    <w:rsid w:val="00563DAA"/>
    <w:rsid w:val="00592C36"/>
    <w:rsid w:val="005C784C"/>
    <w:rsid w:val="005D17F6"/>
    <w:rsid w:val="005E5539"/>
    <w:rsid w:val="00602BF5"/>
    <w:rsid w:val="00617892"/>
    <w:rsid w:val="00617FDD"/>
    <w:rsid w:val="00633614"/>
    <w:rsid w:val="00633F68"/>
    <w:rsid w:val="00636EB2"/>
    <w:rsid w:val="006375B8"/>
    <w:rsid w:val="0066510A"/>
    <w:rsid w:val="00673F9F"/>
    <w:rsid w:val="00686953"/>
    <w:rsid w:val="00687DEA"/>
    <w:rsid w:val="00687E67"/>
    <w:rsid w:val="006967F7"/>
    <w:rsid w:val="006A00B8"/>
    <w:rsid w:val="006A250C"/>
    <w:rsid w:val="006B21D3"/>
    <w:rsid w:val="006B57D0"/>
    <w:rsid w:val="006B67B8"/>
    <w:rsid w:val="006C395A"/>
    <w:rsid w:val="006D30FF"/>
    <w:rsid w:val="006D6940"/>
    <w:rsid w:val="006F11EC"/>
    <w:rsid w:val="0070082C"/>
    <w:rsid w:val="00702EAE"/>
    <w:rsid w:val="0070534B"/>
    <w:rsid w:val="0072429A"/>
    <w:rsid w:val="00733B63"/>
    <w:rsid w:val="007369E6"/>
    <w:rsid w:val="00746E59"/>
    <w:rsid w:val="00754C9A"/>
    <w:rsid w:val="0075599A"/>
    <w:rsid w:val="00761D52"/>
    <w:rsid w:val="0077749E"/>
    <w:rsid w:val="00790ADA"/>
    <w:rsid w:val="00795DCE"/>
    <w:rsid w:val="007C70B7"/>
    <w:rsid w:val="007D2288"/>
    <w:rsid w:val="007D4D7A"/>
    <w:rsid w:val="007E088F"/>
    <w:rsid w:val="007E2D40"/>
    <w:rsid w:val="007F557C"/>
    <w:rsid w:val="007F5920"/>
    <w:rsid w:val="007F7B32"/>
    <w:rsid w:val="00804BC2"/>
    <w:rsid w:val="0081431A"/>
    <w:rsid w:val="00817F59"/>
    <w:rsid w:val="0083216F"/>
    <w:rsid w:val="0083766E"/>
    <w:rsid w:val="00844BC9"/>
    <w:rsid w:val="00860000"/>
    <w:rsid w:val="00863BD3"/>
    <w:rsid w:val="00866D66"/>
    <w:rsid w:val="008671C6"/>
    <w:rsid w:val="008707BB"/>
    <w:rsid w:val="00871B4D"/>
    <w:rsid w:val="00875803"/>
    <w:rsid w:val="00875B45"/>
    <w:rsid w:val="008B459E"/>
    <w:rsid w:val="008E13AE"/>
    <w:rsid w:val="008E1506"/>
    <w:rsid w:val="008E710C"/>
    <w:rsid w:val="008F4CB0"/>
    <w:rsid w:val="008F69D6"/>
    <w:rsid w:val="00902823"/>
    <w:rsid w:val="00915CA6"/>
    <w:rsid w:val="00927834"/>
    <w:rsid w:val="009340FE"/>
    <w:rsid w:val="00942AF2"/>
    <w:rsid w:val="00945077"/>
    <w:rsid w:val="009500A6"/>
    <w:rsid w:val="00957C18"/>
    <w:rsid w:val="009625D2"/>
    <w:rsid w:val="009659BA"/>
    <w:rsid w:val="00975A6D"/>
    <w:rsid w:val="00983040"/>
    <w:rsid w:val="009A1C50"/>
    <w:rsid w:val="009B0180"/>
    <w:rsid w:val="009B3FB9"/>
    <w:rsid w:val="009C2465"/>
    <w:rsid w:val="009C69DD"/>
    <w:rsid w:val="009D35A0"/>
    <w:rsid w:val="009D739A"/>
    <w:rsid w:val="009D7EB7"/>
    <w:rsid w:val="009E048A"/>
    <w:rsid w:val="009E08E9"/>
    <w:rsid w:val="009E2D40"/>
    <w:rsid w:val="009E3DB9"/>
    <w:rsid w:val="009E6E35"/>
    <w:rsid w:val="009F0EDA"/>
    <w:rsid w:val="00A03B96"/>
    <w:rsid w:val="00A05B19"/>
    <w:rsid w:val="00A1134E"/>
    <w:rsid w:val="00A14FDC"/>
    <w:rsid w:val="00A242B0"/>
    <w:rsid w:val="00A24E7E"/>
    <w:rsid w:val="00A25747"/>
    <w:rsid w:val="00A258C3"/>
    <w:rsid w:val="00A347C0"/>
    <w:rsid w:val="00A41B41"/>
    <w:rsid w:val="00A51431"/>
    <w:rsid w:val="00A53199"/>
    <w:rsid w:val="00A539AD"/>
    <w:rsid w:val="00A5519B"/>
    <w:rsid w:val="00A81B1D"/>
    <w:rsid w:val="00A94063"/>
    <w:rsid w:val="00A968EF"/>
    <w:rsid w:val="00AA6219"/>
    <w:rsid w:val="00AA74E0"/>
    <w:rsid w:val="00AB04ED"/>
    <w:rsid w:val="00AB703F"/>
    <w:rsid w:val="00AC6BB8"/>
    <w:rsid w:val="00AE008F"/>
    <w:rsid w:val="00B01FCD"/>
    <w:rsid w:val="00B1776C"/>
    <w:rsid w:val="00B374D4"/>
    <w:rsid w:val="00B52896"/>
    <w:rsid w:val="00B81055"/>
    <w:rsid w:val="00B92D56"/>
    <w:rsid w:val="00B95236"/>
    <w:rsid w:val="00B96BD9"/>
    <w:rsid w:val="00BA1B01"/>
    <w:rsid w:val="00BA2641"/>
    <w:rsid w:val="00BA7620"/>
    <w:rsid w:val="00BB37AA"/>
    <w:rsid w:val="00BB4C85"/>
    <w:rsid w:val="00BB61B4"/>
    <w:rsid w:val="00BC53A0"/>
    <w:rsid w:val="00BD58F1"/>
    <w:rsid w:val="00BE37B9"/>
    <w:rsid w:val="00BE62AD"/>
    <w:rsid w:val="00BF121F"/>
    <w:rsid w:val="00BF1F80"/>
    <w:rsid w:val="00C03762"/>
    <w:rsid w:val="00C15302"/>
    <w:rsid w:val="00C166EF"/>
    <w:rsid w:val="00C17EB0"/>
    <w:rsid w:val="00C27F5F"/>
    <w:rsid w:val="00C30A0F"/>
    <w:rsid w:val="00C37E61"/>
    <w:rsid w:val="00C4190C"/>
    <w:rsid w:val="00C70F1B"/>
    <w:rsid w:val="00C71A47"/>
    <w:rsid w:val="00C72046"/>
    <w:rsid w:val="00C7464C"/>
    <w:rsid w:val="00C85588"/>
    <w:rsid w:val="00C87634"/>
    <w:rsid w:val="00CB63AA"/>
    <w:rsid w:val="00CC3D82"/>
    <w:rsid w:val="00CD6755"/>
    <w:rsid w:val="00CD6856"/>
    <w:rsid w:val="00CE0089"/>
    <w:rsid w:val="00CE5E5C"/>
    <w:rsid w:val="00CE793C"/>
    <w:rsid w:val="00D16ADB"/>
    <w:rsid w:val="00D173F1"/>
    <w:rsid w:val="00D510B7"/>
    <w:rsid w:val="00D8295D"/>
    <w:rsid w:val="00DC2A65"/>
    <w:rsid w:val="00DC6C93"/>
    <w:rsid w:val="00DC7D25"/>
    <w:rsid w:val="00DE15F0"/>
    <w:rsid w:val="00DE5663"/>
    <w:rsid w:val="00DE78AA"/>
    <w:rsid w:val="00DF47A0"/>
    <w:rsid w:val="00E02590"/>
    <w:rsid w:val="00E053D0"/>
    <w:rsid w:val="00E0709F"/>
    <w:rsid w:val="00E15994"/>
    <w:rsid w:val="00E3114E"/>
    <w:rsid w:val="00E31A70"/>
    <w:rsid w:val="00E35B02"/>
    <w:rsid w:val="00E43745"/>
    <w:rsid w:val="00E45A22"/>
    <w:rsid w:val="00E66496"/>
    <w:rsid w:val="00E66B35"/>
    <w:rsid w:val="00E66E10"/>
    <w:rsid w:val="00E769F6"/>
    <w:rsid w:val="00E8407C"/>
    <w:rsid w:val="00E84F3C"/>
    <w:rsid w:val="00EA012C"/>
    <w:rsid w:val="00EB32BA"/>
    <w:rsid w:val="00EC245F"/>
    <w:rsid w:val="00ED0288"/>
    <w:rsid w:val="00EE0B12"/>
    <w:rsid w:val="00EE52CB"/>
    <w:rsid w:val="00EF581D"/>
    <w:rsid w:val="00EF7FD8"/>
    <w:rsid w:val="00F06F59"/>
    <w:rsid w:val="00F17988"/>
    <w:rsid w:val="00F23729"/>
    <w:rsid w:val="00F30983"/>
    <w:rsid w:val="00F469F0"/>
    <w:rsid w:val="00F53273"/>
    <w:rsid w:val="00F632D6"/>
    <w:rsid w:val="00F755E4"/>
    <w:rsid w:val="00F77D02"/>
    <w:rsid w:val="00FB3A86"/>
    <w:rsid w:val="00FD36C8"/>
    <w:rsid w:val="00FE73B0"/>
    <w:rsid w:val="00FF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2" type="connector" idref="#_x0000_s1026"/>
      </o:rules>
    </o:shapelayout>
  </w:shapeDefaults>
  <w:decimalSymbol w:val="."/>
  <w:listSeparator w:val=","/>
  <w14:docId w14:val="55322A8C"/>
  <w15:docId w15:val="{98020198-C8F3-44D2-8351-E5F269AE6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A14FD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592C36"/>
    <w:pPr>
      <w:spacing w:after="160" w:line="256" w:lineRule="auto"/>
      <w:ind w:left="720"/>
      <w:contextualSpacing/>
    </w:pPr>
    <w:rPr>
      <w:rFonts w:ascii="Calibri" w:eastAsia="Calibri" w:hAnsi="Calibri" w:cs="Calibri"/>
      <w:sz w:val="22"/>
      <w:szCs w:val="22"/>
      <w:lang w:val="en-IN" w:eastAsia="en-IN"/>
    </w:rPr>
  </w:style>
  <w:style w:type="character" w:customStyle="1" w:styleId="FooterChar">
    <w:name w:val="Footer Char"/>
    <w:basedOn w:val="DefaultParagraphFont"/>
    <w:link w:val="Footer"/>
    <w:rsid w:val="00617892"/>
    <w:rPr>
      <w:rFonts w:ascii="Helvetica" w:hAnsi="Helvetica"/>
    </w:rPr>
  </w:style>
  <w:style w:type="character" w:customStyle="1" w:styleId="Heading3Char">
    <w:name w:val="Heading 3 Char"/>
    <w:basedOn w:val="DefaultParagraphFont"/>
    <w:link w:val="Heading3"/>
    <w:uiPriority w:val="9"/>
    <w:semiHidden/>
    <w:rsid w:val="00A14FDC"/>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ncbi.nlm.nih.gov/books/NBK537176/" TargetMode="External"/><Relationship Id="rId3" Type="http://schemas.openxmlformats.org/officeDocument/2006/relationships/styles" Target="styles.xml"/><Relationship Id="rId21" Type="http://schemas.openxmlformats.org/officeDocument/2006/relationships/hyperlink" Target="https://www.ncbi.nlm.nih.gov/books/NBK431082/"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who.int/news/item/31-03-2023-who-first-global-meeting-on-skin-ntds-calls-for-greater-efforts-to-address-their-burden"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www.ncbi.nlm.nih.gov/books/NBK5590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ncbi.nlm.nih.gov/books/NBK55915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3435F-1695-476B-B0BE-F49D94212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177</TotalTime>
  <Pages>10</Pages>
  <Words>3900</Words>
  <Characters>22236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26084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164</cp:revision>
  <cp:lastPrinted>1999-07-06T11:00:00Z</cp:lastPrinted>
  <dcterms:created xsi:type="dcterms:W3CDTF">2014-10-25T14:34:00Z</dcterms:created>
  <dcterms:modified xsi:type="dcterms:W3CDTF">2025-12-01T07:35:00Z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d61527ee-5a45-4ce9-b9ba-b77d1ef01250</vt:lpwstr>
  </property>
</Properties>
</file>