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45E77" w14:textId="77777777" w:rsidR="004F4E82" w:rsidRDefault="00000000">
      <w:pPr>
        <w:tabs>
          <w:tab w:val="left" w:pos="360"/>
          <w:tab w:val="left" w:pos="720"/>
        </w:tabs>
        <w:jc w:val="center"/>
        <w:rPr>
          <w:rFonts w:ascii="Arial" w:eastAsia="Arial" w:hAnsi="Arial" w:cs="Arial"/>
          <w:b/>
          <w:bCs/>
          <w:sz w:val="36"/>
          <w:szCs w:val="36"/>
        </w:rPr>
      </w:pPr>
      <w:r>
        <w:rPr>
          <w:rFonts w:ascii="Arial" w:eastAsia="Arial" w:hAnsi="Arial" w:cs="Arial"/>
          <w:b/>
          <w:bCs/>
          <w:sz w:val="36"/>
          <w:szCs w:val="36"/>
        </w:rPr>
        <w:t xml:space="preserve">Patterns of Mobile Awareness and Security Practices: A Clustering Analysis on </w:t>
      </w:r>
    </w:p>
    <w:p w14:paraId="0CE8E4BC" w14:textId="77777777" w:rsidR="004F4E82" w:rsidRDefault="00000000">
      <w:pPr>
        <w:tabs>
          <w:tab w:val="left" w:pos="360"/>
          <w:tab w:val="left" w:pos="720"/>
        </w:tabs>
        <w:jc w:val="center"/>
        <w:rPr>
          <w:color w:val="000000"/>
          <w:sz w:val="22"/>
          <w:szCs w:val="22"/>
        </w:rPr>
      </w:pPr>
      <w:r>
        <w:rPr>
          <w:rFonts w:ascii="Arial" w:eastAsia="Arial" w:hAnsi="Arial" w:cs="Arial"/>
          <w:b/>
          <w:bCs/>
          <w:sz w:val="36"/>
          <w:szCs w:val="36"/>
        </w:rPr>
        <w:t>College Faculty and Students</w:t>
      </w:r>
      <w:r>
        <w:rPr>
          <w:color w:val="000000"/>
          <w:sz w:val="22"/>
          <w:szCs w:val="22"/>
        </w:rPr>
        <w:t xml:space="preserve">  </w:t>
      </w:r>
    </w:p>
    <w:p w14:paraId="5D9BAA2E" w14:textId="77777777" w:rsidR="004F4E82" w:rsidRDefault="004F4E82">
      <w:pPr>
        <w:pBdr>
          <w:top w:val="nil"/>
          <w:left w:val="nil"/>
          <w:bottom w:val="nil"/>
          <w:right w:val="nil"/>
          <w:between w:val="nil"/>
        </w:pBdr>
        <w:jc w:val="both"/>
        <w:rPr>
          <w:rFonts w:ascii="Arial" w:eastAsia="Arial" w:hAnsi="Arial" w:cs="Arial"/>
          <w:b/>
          <w:bCs/>
          <w:color w:val="000000"/>
          <w:sz w:val="36"/>
          <w:szCs w:val="36"/>
        </w:rPr>
        <w:sectPr w:rsidR="004F4E82">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p>
    <w:p w14:paraId="37DC9528" w14:textId="77777777" w:rsidR="004F4E82" w:rsidRDefault="00000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2452EF55" w14:textId="77777777" w:rsidR="004F4E82" w:rsidRDefault="004F4E82">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4F4E82" w14:paraId="4D1B0E1D" w14:textId="77777777">
        <w:tc>
          <w:tcPr>
            <w:tcW w:w="8424" w:type="dxa"/>
            <w:shd w:val="clear" w:color="auto" w:fill="F2F2F2"/>
          </w:tcPr>
          <w:p w14:paraId="1CB45484" w14:textId="4DC1D36D" w:rsidR="004F4E82" w:rsidRDefault="007E5A96">
            <w:pPr>
              <w:pBdr>
                <w:top w:val="nil"/>
                <w:left w:val="nil"/>
                <w:bottom w:val="nil"/>
                <w:right w:val="nil"/>
                <w:between w:val="nil"/>
              </w:pBdr>
              <w:jc w:val="both"/>
              <w:rPr>
                <w:rFonts w:ascii="Arial" w:eastAsia="Arial" w:hAnsi="Arial" w:cs="Arial"/>
                <w:color w:val="000000"/>
              </w:rPr>
            </w:pPr>
            <w:r>
              <w:rPr>
                <w:rFonts w:ascii="Arial" w:eastAsia="Arial" w:hAnsi="Arial" w:cs="Arial"/>
              </w:rPr>
              <w:t>Cyber malware attacks, coupled with a lack of digital learning skills, can create significant issues in educational spheres where digitalization is in its infancy. This research integrates Educational Data Mining (EDM) methodologies to address the lack of actionable, predictive analytics in these environments. This research must (1) determine the malware awareness level and the demographic characteristics of the students and staff, (2) determine the malware awareness and the corresponding defensive strategies, (3) utilize cluster analysis in the detection of trends relative to protection and awareness, and (4) identify and describe the significant deficiencies in malware awareness and in the respective countermeasures. Using Google Colab and Python, survey data were cleaned and preprocessed, and a K-Means clustering analysis was performed</w:t>
            </w:r>
            <w:r w:rsidR="00F15EA7">
              <w:rPr>
                <w:rFonts w:ascii="Arial" w:eastAsia="Arial" w:hAnsi="Arial" w:cs="Arial"/>
              </w:rPr>
              <w:t xml:space="preserve">, with 180 faculty and 188 students as respondents in the study. </w:t>
            </w:r>
            <w:r>
              <w:rPr>
                <w:rFonts w:ascii="Arial" w:eastAsia="Arial" w:hAnsi="Arial" w:cs="Arial"/>
              </w:rPr>
              <w:t>The analysis initially showed three different profiles in cybersecurity awareness: one cluster showed high awareness of traditional malware, while social engineering was less known, a second cluster had high knowledge of phishing, smishing, and vishing, accompanied by negative security; and a third cluster showed equilibrium in awareness but a lack of enacted security. The ANOVA test showed significant differences across all variables of malware awareness and security practices (p &lt; .05), especially for social engineering threats, which were the highest. There were also significant gaps in the use of basic security practices, such as antivirus software, safe browsing, and keeping systems updated, indicating a lack of alignment between knowledge and practice. The results show significant gaps in defending against cyberattacks, as well as strong practices within the educational industry. This research elaborates on the need for the design of specific, targeted, revised training programs that address the specific goals of the SDGs for Quality Education, Industry Innovation, and Infrastructure. The silos of personalized adaptive responses and the flows of information regarding emerging threats must tap into educators' and learners' potential to amplify Digital Resilience.</w:t>
            </w:r>
          </w:p>
        </w:tc>
      </w:tr>
    </w:tbl>
    <w:p w14:paraId="21F95749" w14:textId="77777777" w:rsidR="004F4E82" w:rsidRDefault="004F4E82">
      <w:pPr>
        <w:pBdr>
          <w:top w:val="nil"/>
          <w:left w:val="nil"/>
          <w:bottom w:val="nil"/>
          <w:right w:val="nil"/>
          <w:between w:val="nil"/>
        </w:pBdr>
        <w:jc w:val="both"/>
        <w:rPr>
          <w:rFonts w:ascii="Arial" w:eastAsia="Arial" w:hAnsi="Arial" w:cs="Arial"/>
          <w:i/>
          <w:iCs/>
          <w:color w:val="000000"/>
        </w:rPr>
      </w:pPr>
    </w:p>
    <w:p w14:paraId="759662CF" w14:textId="77777777" w:rsidR="004F4E82" w:rsidRDefault="00000000">
      <w:pPr>
        <w:pBdr>
          <w:top w:val="nil"/>
          <w:left w:val="nil"/>
          <w:bottom w:val="nil"/>
          <w:right w:val="nil"/>
          <w:between w:val="nil"/>
        </w:pBdr>
        <w:tabs>
          <w:tab w:val="left" w:pos="360"/>
          <w:tab w:val="left" w:pos="720"/>
        </w:tabs>
        <w:spacing w:line="220" w:lineRule="auto"/>
        <w:jc w:val="both"/>
        <w:rPr>
          <w:rFonts w:ascii="Arial" w:eastAsia="Arial" w:hAnsi="Arial" w:cs="Arial"/>
          <w:color w:val="000000"/>
        </w:rPr>
      </w:pPr>
      <w:r>
        <w:rPr>
          <w:rFonts w:ascii="Arial" w:eastAsia="Arial" w:hAnsi="Arial" w:cs="Arial"/>
          <w:b/>
          <w:bCs/>
          <w:i/>
          <w:iCs/>
        </w:rPr>
        <w:t xml:space="preserve">Keywords: </w:t>
      </w:r>
      <w:r>
        <w:rPr>
          <w:rFonts w:ascii="Arial" w:eastAsia="Arial" w:hAnsi="Arial" w:cs="Arial"/>
          <w:i/>
          <w:iCs/>
        </w:rPr>
        <w:t>clustering, cybersecurity, demographics, educational data mining, malware awareness, pattern, security practices.</w:t>
      </w:r>
    </w:p>
    <w:p w14:paraId="2559907E" w14:textId="77777777" w:rsidR="004F4E82" w:rsidRDefault="004F4E82">
      <w:pPr>
        <w:pBdr>
          <w:top w:val="nil"/>
          <w:left w:val="nil"/>
          <w:bottom w:val="nil"/>
          <w:right w:val="nil"/>
          <w:between w:val="nil"/>
        </w:pBdr>
        <w:jc w:val="both"/>
        <w:rPr>
          <w:rFonts w:ascii="Arial" w:eastAsia="Arial" w:hAnsi="Arial" w:cs="Arial"/>
          <w:i/>
          <w:iCs/>
          <w:color w:val="000000"/>
        </w:rPr>
      </w:pPr>
    </w:p>
    <w:p w14:paraId="7808FDD3" w14:textId="77777777" w:rsidR="004F4E82" w:rsidRDefault="00000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0BFE6F82" w14:textId="77777777" w:rsidR="004F4E82" w:rsidRDefault="004F4E82">
      <w:pPr>
        <w:keepNext/>
        <w:pBdr>
          <w:top w:val="nil"/>
          <w:left w:val="nil"/>
          <w:bottom w:val="nil"/>
          <w:right w:val="nil"/>
          <w:between w:val="nil"/>
        </w:pBdr>
        <w:jc w:val="both"/>
        <w:rPr>
          <w:rFonts w:ascii="Arial" w:eastAsia="Arial" w:hAnsi="Arial" w:cs="Arial"/>
          <w:b/>
          <w:bCs/>
          <w:smallCaps/>
          <w:color w:val="000000"/>
          <w:sz w:val="22"/>
          <w:szCs w:val="22"/>
        </w:rPr>
      </w:pPr>
    </w:p>
    <w:p w14:paraId="3B087869" w14:textId="5029E40F" w:rsidR="004F4E82" w:rsidRDefault="00000000">
      <w:pPr>
        <w:tabs>
          <w:tab w:val="left" w:pos="360"/>
          <w:tab w:val="left" w:pos="720"/>
          <w:tab w:val="right" w:pos="8640"/>
        </w:tabs>
        <w:jc w:val="both"/>
        <w:rPr>
          <w:rFonts w:ascii="Arial" w:eastAsia="Arial" w:hAnsi="Arial" w:cs="Arial"/>
        </w:rPr>
      </w:pPr>
      <w:r>
        <w:rPr>
          <w:rFonts w:ascii="Arial" w:eastAsia="Arial" w:hAnsi="Arial" w:cs="Arial"/>
        </w:rPr>
        <w:t xml:space="preserve">In our everyday lives, both personally and professionally, </w:t>
      </w:r>
      <w:r w:rsidR="00665F9B">
        <w:rPr>
          <w:rFonts w:ascii="Arial" w:eastAsia="Arial" w:hAnsi="Arial" w:cs="Arial"/>
        </w:rPr>
        <w:t>mobile devices have</w:t>
      </w:r>
      <w:r>
        <w:rPr>
          <w:rFonts w:ascii="Arial" w:eastAsia="Arial" w:hAnsi="Arial" w:cs="Arial"/>
        </w:rPr>
        <w:t xml:space="preserve"> become indispensable. As </w:t>
      </w:r>
      <w:r w:rsidR="007E5A96">
        <w:rPr>
          <w:rFonts w:ascii="Arial" w:eastAsia="Arial" w:hAnsi="Arial" w:cs="Arial"/>
        </w:rPr>
        <w:t>mobile</w:t>
      </w:r>
      <w:r>
        <w:rPr>
          <w:rFonts w:ascii="Arial" w:eastAsia="Arial" w:hAnsi="Arial" w:cs="Arial"/>
        </w:rPr>
        <w:t xml:space="preserve"> devices </w:t>
      </w:r>
      <w:r w:rsidR="007E5A96">
        <w:rPr>
          <w:rFonts w:ascii="Arial" w:eastAsia="Arial" w:hAnsi="Arial" w:cs="Arial"/>
        </w:rPr>
        <w:t>have</w:t>
      </w:r>
      <w:r>
        <w:rPr>
          <w:rFonts w:ascii="Arial" w:eastAsia="Arial" w:hAnsi="Arial" w:cs="Arial"/>
        </w:rPr>
        <w:t xml:space="preserve"> become prevalent, they are under unprecedented threats posed by malware. Mobile malware, </w:t>
      </w:r>
      <w:r w:rsidR="00665F9B">
        <w:rPr>
          <w:rFonts w:ascii="Arial" w:eastAsia="Arial" w:hAnsi="Arial" w:cs="Arial"/>
        </w:rPr>
        <w:t>malicious software designed to exploit</w:t>
      </w:r>
      <w:r>
        <w:rPr>
          <w:rFonts w:ascii="Arial" w:eastAsia="Arial" w:hAnsi="Arial" w:cs="Arial"/>
        </w:rPr>
        <w:t xml:space="preserve"> weaknesses in mobile </w:t>
      </w:r>
      <w:r w:rsidR="007E5A96">
        <w:rPr>
          <w:rFonts w:ascii="Arial" w:eastAsia="Arial" w:hAnsi="Arial" w:cs="Arial"/>
        </w:rPr>
        <w:t>device</w:t>
      </w:r>
      <w:r>
        <w:rPr>
          <w:rFonts w:ascii="Arial" w:eastAsia="Arial" w:hAnsi="Arial" w:cs="Arial"/>
        </w:rPr>
        <w:t xml:space="preserve"> operating systems, has become a threat to individuals and institutions alike. With the advancement of mobile technology, the quantity and complexity of mobile malware </w:t>
      </w:r>
      <w:r w:rsidR="00665F9B">
        <w:rPr>
          <w:rFonts w:ascii="Arial" w:eastAsia="Arial" w:hAnsi="Arial" w:cs="Arial"/>
        </w:rPr>
        <w:t xml:space="preserve">have </w:t>
      </w:r>
      <w:r w:rsidR="007E5A96">
        <w:rPr>
          <w:rFonts w:ascii="Arial" w:eastAsia="Arial" w:hAnsi="Arial" w:cs="Arial"/>
        </w:rPr>
        <w:t>become</w:t>
      </w:r>
      <w:r>
        <w:rPr>
          <w:rFonts w:ascii="Arial" w:eastAsia="Arial" w:hAnsi="Arial" w:cs="Arial"/>
        </w:rPr>
        <w:t xml:space="preserve"> a cause for concern and </w:t>
      </w:r>
      <w:r w:rsidR="00665F9B">
        <w:rPr>
          <w:rFonts w:ascii="Arial" w:eastAsia="Arial" w:hAnsi="Arial" w:cs="Arial"/>
        </w:rPr>
        <w:t>require</w:t>
      </w:r>
      <w:r>
        <w:rPr>
          <w:rFonts w:ascii="Arial" w:eastAsia="Arial" w:hAnsi="Arial" w:cs="Arial"/>
        </w:rPr>
        <w:t xml:space="preserve"> a study to be conducted to identify the trends and </w:t>
      </w:r>
      <w:r w:rsidR="007E5A96">
        <w:rPr>
          <w:rFonts w:ascii="Arial" w:eastAsia="Arial" w:hAnsi="Arial" w:cs="Arial"/>
        </w:rPr>
        <w:t>develop</w:t>
      </w:r>
      <w:r>
        <w:rPr>
          <w:rFonts w:ascii="Arial" w:eastAsia="Arial" w:hAnsi="Arial" w:cs="Arial"/>
        </w:rPr>
        <w:t xml:space="preserve"> mobile malware user awareness, prevention studies</w:t>
      </w:r>
      <w:r w:rsidR="00665F9B">
        <w:rPr>
          <w:rFonts w:ascii="Arial" w:eastAsia="Arial" w:hAnsi="Arial" w:cs="Arial"/>
        </w:rPr>
        <w:t>,</w:t>
      </w:r>
      <w:r>
        <w:rPr>
          <w:rFonts w:ascii="Arial" w:eastAsia="Arial" w:hAnsi="Arial" w:cs="Arial"/>
        </w:rPr>
        <w:t xml:space="preserve"> and cyber threat mitigation in line with </w:t>
      </w:r>
      <w:proofErr w:type="spellStart"/>
      <w:r w:rsidR="00665F9B">
        <w:rPr>
          <w:rFonts w:ascii="Arial" w:eastAsia="Arial" w:hAnsi="Arial" w:cs="Arial"/>
        </w:rPr>
        <w:t>technology's's</w:t>
      </w:r>
      <w:proofErr w:type="spellEnd"/>
      <w:r>
        <w:rPr>
          <w:rFonts w:ascii="Arial" w:eastAsia="Arial" w:hAnsi="Arial" w:cs="Arial"/>
        </w:rPr>
        <w:t xml:space="preserve"> maliciously advanced (Dwivedi, Hughes, et al., 2</w:t>
      </w:r>
      <w:r w:rsidR="007E5A96">
        <w:rPr>
          <w:rFonts w:ascii="Arial" w:eastAsia="Arial" w:hAnsi="Arial" w:cs="Arial"/>
        </w:rPr>
        <w:t>2021) (</w:t>
      </w:r>
      <w:proofErr w:type="spellStart"/>
      <w:r>
        <w:rPr>
          <w:rFonts w:ascii="Arial" w:eastAsia="Arial" w:hAnsi="Arial" w:cs="Arial"/>
        </w:rPr>
        <w:t>ingh</w:t>
      </w:r>
      <w:proofErr w:type="spellEnd"/>
      <w:r>
        <w:rPr>
          <w:rFonts w:ascii="Arial" w:eastAsia="Arial" w:hAnsi="Arial" w:cs="Arial"/>
        </w:rPr>
        <w:t xml:space="preserve"> &amp; Gautam, 2022). A </w:t>
      </w:r>
      <w:r w:rsidR="00665F9B">
        <w:rPr>
          <w:rFonts w:ascii="Arial" w:eastAsia="Arial" w:hAnsi="Arial" w:cs="Arial"/>
        </w:rPr>
        <w:t>significant concern is the recent increase in mobile malware volume, especially in the form of malware-driven apps</w:t>
      </w:r>
      <w:r>
        <w:rPr>
          <w:rFonts w:ascii="Arial" w:eastAsia="Arial" w:hAnsi="Arial" w:cs="Arial"/>
        </w:rPr>
        <w:t xml:space="preserve"> and phishing (Gupta, Abdelsalam, </w:t>
      </w:r>
      <w:proofErr w:type="spellStart"/>
      <w:r>
        <w:rPr>
          <w:rFonts w:ascii="Arial" w:eastAsia="Arial" w:hAnsi="Arial" w:cs="Arial"/>
        </w:rPr>
        <w:t>Khorsandroo</w:t>
      </w:r>
      <w:proofErr w:type="spellEnd"/>
      <w:r>
        <w:rPr>
          <w:rFonts w:ascii="Arial" w:eastAsia="Arial" w:hAnsi="Arial" w:cs="Arial"/>
        </w:rPr>
        <w:t xml:space="preserve">, Mittal, 2020). Malware can </w:t>
      </w:r>
      <w:r w:rsidR="00665F9B">
        <w:rPr>
          <w:rFonts w:ascii="Arial" w:eastAsia="Arial" w:hAnsi="Arial" w:cs="Arial"/>
        </w:rPr>
        <w:t>spread to smartphones through several means, including installing dubious software from unverified app stores and clicking links in</w:t>
      </w:r>
      <w:r>
        <w:rPr>
          <w:rFonts w:ascii="Arial" w:eastAsia="Arial" w:hAnsi="Arial" w:cs="Arial"/>
        </w:rPr>
        <w:t xml:space="preserve"> text messages from unknown </w:t>
      </w:r>
      <w:r w:rsidR="007E5A96">
        <w:rPr>
          <w:rFonts w:ascii="Arial" w:eastAsia="Arial" w:hAnsi="Arial" w:cs="Arial"/>
        </w:rPr>
        <w:t>contacts (</w:t>
      </w:r>
      <w:proofErr w:type="spellStart"/>
      <w:r>
        <w:rPr>
          <w:rFonts w:ascii="Arial" w:eastAsia="Arial" w:hAnsi="Arial" w:cs="Arial"/>
        </w:rPr>
        <w:t>Charfeddine</w:t>
      </w:r>
      <w:proofErr w:type="spellEnd"/>
      <w:r>
        <w:rPr>
          <w:rFonts w:ascii="Arial" w:eastAsia="Arial" w:hAnsi="Arial" w:cs="Arial"/>
        </w:rPr>
        <w:t xml:space="preserve">, Kammoun, Hamdaoui, </w:t>
      </w:r>
      <w:proofErr w:type="spellStart"/>
      <w:r>
        <w:rPr>
          <w:rFonts w:ascii="Arial" w:eastAsia="Arial" w:hAnsi="Arial" w:cs="Arial"/>
        </w:rPr>
        <w:t>Guizani</w:t>
      </w:r>
      <w:proofErr w:type="spellEnd"/>
      <w:r>
        <w:rPr>
          <w:rFonts w:ascii="Arial" w:eastAsia="Arial" w:hAnsi="Arial" w:cs="Arial"/>
        </w:rPr>
        <w:t>, 2024).</w:t>
      </w:r>
    </w:p>
    <w:p w14:paraId="4F003819" w14:textId="723AC929" w:rsidR="004F4E82" w:rsidRDefault="00000000">
      <w:pPr>
        <w:tabs>
          <w:tab w:val="left" w:pos="720"/>
          <w:tab w:val="right" w:pos="8640"/>
        </w:tabs>
        <w:jc w:val="both"/>
        <w:rPr>
          <w:rFonts w:ascii="Arial" w:eastAsia="Arial" w:hAnsi="Arial" w:cs="Arial"/>
        </w:rPr>
      </w:pPr>
      <w:r>
        <w:rPr>
          <w:rFonts w:ascii="Arial" w:eastAsia="Arial" w:hAnsi="Arial" w:cs="Arial"/>
        </w:rPr>
        <w:t xml:space="preserve">Such mitigation strategies will help improve overall cybersecurity posture. The lack of awareness </w:t>
      </w:r>
      <w:r w:rsidR="00665F9B">
        <w:rPr>
          <w:rFonts w:ascii="Arial" w:eastAsia="Arial" w:hAnsi="Arial" w:cs="Arial"/>
        </w:rPr>
        <w:t xml:space="preserve">among people about mobile malware, even as more dangers associated with it </w:t>
      </w:r>
      <w:r w:rsidR="00665F9B">
        <w:rPr>
          <w:rFonts w:ascii="Arial" w:eastAsia="Arial" w:hAnsi="Arial" w:cs="Arial"/>
        </w:rPr>
        <w:lastRenderedPageBreak/>
        <w:t>continue to emerge, is</w:t>
      </w:r>
      <w:r>
        <w:rPr>
          <w:rFonts w:ascii="Arial" w:eastAsia="Arial" w:hAnsi="Arial" w:cs="Arial"/>
        </w:rPr>
        <w:t xml:space="preserve"> a </w:t>
      </w:r>
      <w:r w:rsidR="00665F9B">
        <w:rPr>
          <w:rFonts w:ascii="Arial" w:eastAsia="Arial" w:hAnsi="Arial" w:cs="Arial"/>
        </w:rPr>
        <w:t>significant</w:t>
      </w:r>
      <w:r>
        <w:rPr>
          <w:rFonts w:ascii="Arial" w:eastAsia="Arial" w:hAnsi="Arial" w:cs="Arial"/>
        </w:rPr>
        <w:t xml:space="preserve"> concern. Most people have general knowledge </w:t>
      </w:r>
      <w:r w:rsidR="00665F9B">
        <w:rPr>
          <w:rFonts w:ascii="Arial" w:eastAsia="Arial" w:hAnsi="Arial" w:cs="Arial"/>
        </w:rPr>
        <w:t>of cyber threats, but they lack specific information on</w:t>
      </w:r>
      <w:r>
        <w:rPr>
          <w:rFonts w:ascii="Arial" w:eastAsia="Arial" w:hAnsi="Arial" w:cs="Arial"/>
        </w:rPr>
        <w:t xml:space="preserve"> mobile malware and how to prevent it (Shaukat et al., 2020). To bridge this gap, </w:t>
      </w:r>
      <w:r w:rsidR="00665F9B">
        <w:rPr>
          <w:rFonts w:ascii="Arial" w:eastAsia="Arial" w:hAnsi="Arial" w:cs="Arial"/>
        </w:rPr>
        <w:t xml:space="preserve">an intensive educational campaign is needed to inform individuals about </w:t>
      </w:r>
      <w:r>
        <w:rPr>
          <w:rFonts w:ascii="Arial" w:eastAsia="Arial" w:hAnsi="Arial" w:cs="Arial"/>
        </w:rPr>
        <w:t xml:space="preserve">mobile malware and promote safe practices (Sundaram, 2017). Accordingly, this study </w:t>
      </w:r>
      <w:r w:rsidR="007E5A96">
        <w:rPr>
          <w:rFonts w:ascii="Arial" w:eastAsia="Arial" w:hAnsi="Arial" w:cs="Arial"/>
        </w:rPr>
        <w:t>investigates</w:t>
      </w:r>
      <w:r>
        <w:rPr>
          <w:rFonts w:ascii="Arial" w:eastAsia="Arial" w:hAnsi="Arial" w:cs="Arial"/>
        </w:rPr>
        <w:t xml:space="preserve"> educational data mining (EDM) at </w:t>
      </w:r>
      <w:r w:rsidR="00665F9B">
        <w:rPr>
          <w:rFonts w:ascii="Arial" w:eastAsia="Arial" w:hAnsi="Arial" w:cs="Arial"/>
        </w:rPr>
        <w:t xml:space="preserve">the </w:t>
      </w:r>
      <w:r>
        <w:rPr>
          <w:rFonts w:ascii="Arial" w:eastAsia="Arial" w:hAnsi="Arial" w:cs="Arial"/>
        </w:rPr>
        <w:t>San Jose Campus of Occidental Mindoro State College. It aims at improving learning outcomes in education while enhancing institutional efficiency through student and faculty data analysis. The research</w:t>
      </w:r>
      <w:r w:rsidR="00665F9B">
        <w:rPr>
          <w:rFonts w:ascii="Arial" w:eastAsia="Arial" w:hAnsi="Arial" w:cs="Arial"/>
        </w:rPr>
        <w:t>, therefore, seeks to identify trends and patterns that can inform more effective</w:t>
      </w:r>
      <w:r>
        <w:rPr>
          <w:rFonts w:ascii="Arial" w:eastAsia="Arial" w:hAnsi="Arial" w:cs="Arial"/>
        </w:rPr>
        <w:t xml:space="preserve"> teaching methods. This study complies with Sustainable Development </w:t>
      </w:r>
      <w:r w:rsidR="00665F9B">
        <w:rPr>
          <w:rFonts w:ascii="Arial" w:eastAsia="Arial" w:hAnsi="Arial" w:cs="Arial"/>
        </w:rPr>
        <w:t>Goal (SDG) 4: Quality Education, which promotes an inclusive and equitable system of education at all levels and supports</w:t>
      </w:r>
      <w:r>
        <w:rPr>
          <w:rFonts w:ascii="Arial" w:eastAsia="Arial" w:hAnsi="Arial" w:cs="Arial"/>
        </w:rPr>
        <w:t xml:space="preserve"> lifelong learning opportunities for all (United Nations, 2023). </w:t>
      </w:r>
    </w:p>
    <w:p w14:paraId="2A1549ED" w14:textId="77777777" w:rsidR="00CA4B3B" w:rsidRDefault="00CA4B3B">
      <w:pPr>
        <w:tabs>
          <w:tab w:val="left" w:pos="720"/>
          <w:tab w:val="right" w:pos="8640"/>
        </w:tabs>
        <w:jc w:val="both"/>
        <w:rPr>
          <w:rFonts w:ascii="Arial" w:eastAsia="Arial" w:hAnsi="Arial" w:cs="Arial"/>
        </w:rPr>
      </w:pPr>
    </w:p>
    <w:p w14:paraId="24920D45" w14:textId="4CB23244" w:rsidR="00F15EA7" w:rsidRDefault="00CA4B3B">
      <w:pPr>
        <w:tabs>
          <w:tab w:val="left" w:pos="720"/>
          <w:tab w:val="right" w:pos="8640"/>
        </w:tabs>
        <w:jc w:val="both"/>
        <w:rPr>
          <w:rFonts w:ascii="Arial" w:eastAsia="Arial" w:hAnsi="Arial" w:cs="Arial"/>
        </w:rPr>
      </w:pPr>
      <w:r>
        <w:rPr>
          <w:rFonts w:ascii="Arial" w:eastAsia="Arial" w:hAnsi="Arial" w:cs="Arial"/>
        </w:rPr>
        <w:t xml:space="preserve">Cybersecurity </w:t>
      </w:r>
      <w:r w:rsidR="00F15EA7">
        <w:rPr>
          <w:rFonts w:ascii="Arial" w:eastAsia="Arial" w:hAnsi="Arial" w:cs="Arial"/>
        </w:rPr>
        <w:t>poses a significant challenge for Philippine higher education institutions, threatening students' intellectual capital</w:t>
      </w:r>
      <w:r>
        <w:rPr>
          <w:rFonts w:ascii="Arial" w:eastAsia="Arial" w:hAnsi="Arial" w:cs="Arial"/>
        </w:rPr>
        <w:t xml:space="preserve">, crucial information, and financial stability. This vulnerability stems from various cybersecurity threats and challenges (Ramos &amp; </w:t>
      </w:r>
      <w:proofErr w:type="spellStart"/>
      <w:r>
        <w:rPr>
          <w:rFonts w:ascii="Arial" w:eastAsia="Arial" w:hAnsi="Arial" w:cs="Arial"/>
        </w:rPr>
        <w:t>Esponilla</w:t>
      </w:r>
      <w:proofErr w:type="spellEnd"/>
      <w:r>
        <w:rPr>
          <w:rFonts w:ascii="Arial" w:eastAsia="Arial" w:hAnsi="Arial" w:cs="Arial"/>
        </w:rPr>
        <w:t>, 2022).</w:t>
      </w:r>
      <w:r w:rsidR="00F15EA7">
        <w:rPr>
          <w:rFonts w:ascii="Arial" w:eastAsia="Arial" w:hAnsi="Arial" w:cs="Arial"/>
        </w:rPr>
        <w:t xml:space="preserve"> </w:t>
      </w:r>
      <w:r w:rsidR="00000000">
        <w:rPr>
          <w:rFonts w:ascii="Arial" w:eastAsia="Arial" w:hAnsi="Arial" w:cs="Arial"/>
        </w:rPr>
        <w:t xml:space="preserve">As technology continues to evolve at an unprecedented pace, </w:t>
      </w:r>
      <w:r w:rsidR="00665F9B">
        <w:rPr>
          <w:rFonts w:ascii="Arial" w:eastAsia="Arial" w:hAnsi="Arial" w:cs="Arial"/>
        </w:rPr>
        <w:t>institutions of higher learning need to go beyond mere rhetoric about technology's potential to transform</w:t>
      </w:r>
      <w:r w:rsidR="00000000">
        <w:rPr>
          <w:rFonts w:ascii="Arial" w:eastAsia="Arial" w:hAnsi="Arial" w:cs="Arial"/>
        </w:rPr>
        <w:t xml:space="preserve"> education (Jandrić et al., 2020). </w:t>
      </w:r>
      <w:r w:rsidR="00F15EA7">
        <w:rPr>
          <w:rFonts w:ascii="Arial" w:eastAsia="Arial" w:hAnsi="Arial" w:cs="Arial"/>
        </w:rPr>
        <w:t>A study examining cybersecurity awareness among college students in Laguna, Philippines, found that although students generally possess knowledge of cybersecurity, there are both strengths and gaps in institutional efforts to educate and support students and faculty against evolving cyber threats (Florendo et al., 2025).</w:t>
      </w:r>
    </w:p>
    <w:p w14:paraId="1D2D070E" w14:textId="77777777" w:rsidR="00F15EA7" w:rsidRDefault="00F15EA7">
      <w:pPr>
        <w:tabs>
          <w:tab w:val="left" w:pos="720"/>
          <w:tab w:val="right" w:pos="8640"/>
        </w:tabs>
        <w:jc w:val="both"/>
        <w:rPr>
          <w:rFonts w:ascii="Arial" w:eastAsia="Arial" w:hAnsi="Arial" w:cs="Arial"/>
        </w:rPr>
      </w:pPr>
    </w:p>
    <w:p w14:paraId="61118AF9" w14:textId="1213D05C" w:rsidR="004F4E82" w:rsidRDefault="00000000">
      <w:pPr>
        <w:tabs>
          <w:tab w:val="left" w:pos="720"/>
          <w:tab w:val="right" w:pos="8640"/>
        </w:tabs>
        <w:jc w:val="both"/>
        <w:rPr>
          <w:rFonts w:ascii="Arial" w:eastAsia="Arial" w:hAnsi="Arial" w:cs="Arial"/>
        </w:rPr>
      </w:pPr>
      <w:r>
        <w:rPr>
          <w:rFonts w:ascii="Arial" w:eastAsia="Arial" w:hAnsi="Arial" w:cs="Arial"/>
        </w:rPr>
        <w:t xml:space="preserve">The paper also applies data mining techniques </w:t>
      </w:r>
      <w:r w:rsidR="00665F9B">
        <w:rPr>
          <w:rFonts w:ascii="Arial" w:eastAsia="Arial" w:hAnsi="Arial" w:cs="Arial"/>
        </w:rPr>
        <w:t>to determine</w:t>
      </w:r>
      <w:r>
        <w:rPr>
          <w:rFonts w:ascii="Arial" w:eastAsia="Arial" w:hAnsi="Arial" w:cs="Arial"/>
        </w:rPr>
        <w:t xml:space="preserve"> what influences students’ performance or progress</w:t>
      </w:r>
      <w:r w:rsidR="00665F9B">
        <w:rPr>
          <w:rFonts w:ascii="Arial" w:eastAsia="Arial" w:hAnsi="Arial" w:cs="Arial"/>
        </w:rPr>
        <w:t>, hence supporting targeted interventions in efforts towards improving quality and equity in education (Dwivedi et al., 2022) (</w:t>
      </w:r>
      <w:r>
        <w:rPr>
          <w:rFonts w:ascii="Arial" w:eastAsia="Arial" w:hAnsi="Arial" w:cs="Arial"/>
        </w:rPr>
        <w:t>United Nations, 2023). The paper further supports SDG 9: industry, innovation</w:t>
      </w:r>
      <w:r w:rsidR="00665F9B">
        <w:rPr>
          <w:rFonts w:ascii="Arial" w:eastAsia="Arial" w:hAnsi="Arial" w:cs="Arial"/>
        </w:rPr>
        <w:t>, and infrastructure,</w:t>
      </w:r>
      <w:r>
        <w:rPr>
          <w:rFonts w:ascii="Arial" w:eastAsia="Arial" w:hAnsi="Arial" w:cs="Arial"/>
        </w:rPr>
        <w:t xml:space="preserve"> which focuses on promoting innovation and building resilient infrastructure (UN, 2023). For this reason, the study employs modern data mining methods to demonstrate how technological innovations can enhance universities</w:t>
      </w:r>
      <w:r w:rsidR="00665F9B">
        <w:rPr>
          <w:rFonts w:ascii="Arial" w:eastAsia="Arial" w:hAnsi="Arial" w:cs="Arial"/>
        </w:rPr>
        <w:t>,</w:t>
      </w:r>
      <w:r>
        <w:rPr>
          <w:rFonts w:ascii="Arial" w:eastAsia="Arial" w:hAnsi="Arial" w:cs="Arial"/>
        </w:rPr>
        <w:t xml:space="preserve"> thereby creating a platform for future </w:t>
      </w:r>
      <w:r w:rsidR="00665F9B">
        <w:rPr>
          <w:rFonts w:ascii="Arial" w:eastAsia="Arial" w:hAnsi="Arial" w:cs="Arial"/>
        </w:rPr>
        <w:t>research</w:t>
      </w:r>
      <w:r>
        <w:rPr>
          <w:rFonts w:ascii="Arial" w:eastAsia="Arial" w:hAnsi="Arial" w:cs="Arial"/>
        </w:rPr>
        <w:t xml:space="preserve">. (Dwivedi, </w:t>
      </w:r>
      <w:proofErr w:type="spellStart"/>
      <w:r>
        <w:rPr>
          <w:rFonts w:ascii="Arial" w:eastAsia="Arial" w:hAnsi="Arial" w:cs="Arial"/>
        </w:rPr>
        <w:t>Ismagilova</w:t>
      </w:r>
      <w:proofErr w:type="spellEnd"/>
      <w:r>
        <w:rPr>
          <w:rFonts w:ascii="Arial" w:eastAsia="Arial" w:hAnsi="Arial" w:cs="Arial"/>
        </w:rPr>
        <w:t>, et al., 2021). San Jose Campus attempts</w:t>
      </w:r>
      <w:r w:rsidR="00665F9B">
        <w:rPr>
          <w:rFonts w:ascii="Arial" w:eastAsia="Arial" w:hAnsi="Arial" w:cs="Arial"/>
        </w:rPr>
        <w:t>, through these means, to deliver sophisticated analytical frameworks that confront today’s challenges while remaining</w:t>
      </w:r>
      <w:r>
        <w:rPr>
          <w:rFonts w:ascii="Arial" w:eastAsia="Arial" w:hAnsi="Arial" w:cs="Arial"/>
        </w:rPr>
        <w:t xml:space="preserve"> focused on technology-enabled transformative change in educational outcomes (Aronowitz et al., 2017).</w:t>
      </w:r>
    </w:p>
    <w:p w14:paraId="790D4CE4" w14:textId="77777777" w:rsidR="004F4E82" w:rsidRDefault="004F4E82">
      <w:pPr>
        <w:tabs>
          <w:tab w:val="left" w:pos="720"/>
          <w:tab w:val="right" w:pos="8640"/>
        </w:tabs>
        <w:jc w:val="both"/>
        <w:rPr>
          <w:rFonts w:ascii="Arial" w:eastAsia="Arial" w:hAnsi="Arial" w:cs="Arial"/>
        </w:rPr>
      </w:pPr>
    </w:p>
    <w:p w14:paraId="0E4BD040" w14:textId="7652AE0D" w:rsidR="004F4E82" w:rsidRDefault="00000000">
      <w:pPr>
        <w:tabs>
          <w:tab w:val="left" w:pos="720"/>
          <w:tab w:val="right" w:pos="8640"/>
        </w:tabs>
        <w:jc w:val="both"/>
        <w:rPr>
          <w:rFonts w:ascii="Arial" w:eastAsia="Arial" w:hAnsi="Arial" w:cs="Arial"/>
        </w:rPr>
      </w:pPr>
      <w:r>
        <w:rPr>
          <w:rFonts w:ascii="Arial" w:eastAsia="Arial" w:hAnsi="Arial" w:cs="Arial"/>
        </w:rPr>
        <w:t xml:space="preserve">Additionally, it is crucial to examine awareness and prevention strategies </w:t>
      </w:r>
      <w:r w:rsidR="00665F9B">
        <w:rPr>
          <w:rFonts w:ascii="Arial" w:eastAsia="Arial" w:hAnsi="Arial" w:cs="Arial"/>
        </w:rPr>
        <w:t>for mobile malware among faculty and</w:t>
      </w:r>
      <w:r>
        <w:rPr>
          <w:rFonts w:ascii="Arial" w:eastAsia="Arial" w:hAnsi="Arial" w:cs="Arial"/>
        </w:rPr>
        <w:t xml:space="preserve"> students. Hence</w:t>
      </w:r>
      <w:r w:rsidR="00665F9B">
        <w:rPr>
          <w:rFonts w:ascii="Arial" w:eastAsia="Arial" w:hAnsi="Arial" w:cs="Arial"/>
        </w:rPr>
        <w:t>,</w:t>
      </w:r>
      <w:r>
        <w:rPr>
          <w:rFonts w:ascii="Arial" w:eastAsia="Arial" w:hAnsi="Arial" w:cs="Arial"/>
        </w:rPr>
        <w:t xml:space="preserve"> their mixed cultural backgrounds offer valuable insights into the efficacy of current </w:t>
      </w:r>
      <w:r w:rsidR="00665F9B">
        <w:rPr>
          <w:rFonts w:ascii="Arial" w:eastAsia="Arial" w:hAnsi="Arial" w:cs="Arial"/>
        </w:rPr>
        <w:t xml:space="preserve">cybersecurity initiatives and into </w:t>
      </w:r>
      <w:r>
        <w:rPr>
          <w:rFonts w:ascii="Arial" w:eastAsia="Arial" w:hAnsi="Arial" w:cs="Arial"/>
        </w:rPr>
        <w:t>identifying areas requiring support (</w:t>
      </w:r>
      <w:proofErr w:type="spellStart"/>
      <w:r>
        <w:rPr>
          <w:rFonts w:ascii="Arial" w:eastAsia="Arial" w:hAnsi="Arial" w:cs="Arial"/>
        </w:rPr>
        <w:t>Budhwar</w:t>
      </w:r>
      <w:proofErr w:type="spellEnd"/>
      <w:r>
        <w:rPr>
          <w:rFonts w:ascii="Arial" w:eastAsia="Arial" w:hAnsi="Arial" w:cs="Arial"/>
        </w:rPr>
        <w:t xml:space="preserve"> et al., 2023). Therefore, this research seeks to reveal how </w:t>
      </w:r>
      <w:r w:rsidR="00665F9B">
        <w:rPr>
          <w:rFonts w:ascii="Arial" w:eastAsia="Arial" w:hAnsi="Arial" w:cs="Arial"/>
        </w:rPr>
        <w:t xml:space="preserve">prevalent malware is within the subject population or age group, what levels of awareness exist presently, and to </w:t>
      </w:r>
      <w:r>
        <w:rPr>
          <w:rFonts w:ascii="Arial" w:eastAsia="Arial" w:hAnsi="Arial" w:cs="Arial"/>
        </w:rPr>
        <w:t xml:space="preserve">suggest possible targeted solutions designed for such groups’ needs (Singh et al., 2022). The purpose of the present research is to </w:t>
      </w:r>
      <w:r w:rsidR="00665F9B">
        <w:rPr>
          <w:rFonts w:ascii="Arial" w:eastAsia="Arial" w:hAnsi="Arial" w:cs="Arial"/>
        </w:rPr>
        <w:t>provide a comprehensive insight into how students and teachers perceive and mitigate malware threats</w:t>
      </w:r>
      <w:r>
        <w:rPr>
          <w:rFonts w:ascii="Arial" w:eastAsia="Arial" w:hAnsi="Arial" w:cs="Arial"/>
        </w:rPr>
        <w:t xml:space="preserve">. It will concentrate on threat trends, user awareness, and preventive measures (Makhdoom et al., 2019). This method </w:t>
      </w:r>
      <w:r w:rsidR="00665F9B">
        <w:rPr>
          <w:rFonts w:ascii="Arial" w:eastAsia="Arial" w:hAnsi="Arial" w:cs="Arial"/>
        </w:rPr>
        <w:t>aims to bridge the gap between knowledge and actual security practices to develop</w:t>
      </w:r>
      <w:r>
        <w:rPr>
          <w:rFonts w:ascii="Arial" w:eastAsia="Arial" w:hAnsi="Arial" w:cs="Arial"/>
        </w:rPr>
        <w:t xml:space="preserve"> better strategies for handling malware in educational settings (Christen et al., 2022).</w:t>
      </w:r>
    </w:p>
    <w:p w14:paraId="0D80DFD3" w14:textId="77777777" w:rsidR="004F4E82" w:rsidRDefault="004F4E82">
      <w:pPr>
        <w:tabs>
          <w:tab w:val="left" w:pos="720"/>
          <w:tab w:val="right" w:pos="8640"/>
        </w:tabs>
        <w:jc w:val="both"/>
        <w:rPr>
          <w:rFonts w:ascii="Arial" w:eastAsia="Arial" w:hAnsi="Arial" w:cs="Arial"/>
        </w:rPr>
      </w:pPr>
    </w:p>
    <w:p w14:paraId="24175A73" w14:textId="09F1CF66" w:rsidR="004F4E82" w:rsidRDefault="00000000">
      <w:pPr>
        <w:tabs>
          <w:tab w:val="left" w:pos="720"/>
          <w:tab w:val="right" w:pos="8640"/>
        </w:tabs>
        <w:jc w:val="both"/>
        <w:rPr>
          <w:rFonts w:ascii="Arial" w:eastAsia="Arial" w:hAnsi="Arial" w:cs="Arial"/>
          <w:strike/>
          <w:color w:val="000000"/>
          <w:sz w:val="25"/>
          <w:szCs w:val="25"/>
        </w:rPr>
      </w:pPr>
      <w:r>
        <w:rPr>
          <w:rFonts w:ascii="Arial" w:eastAsia="Arial" w:hAnsi="Arial" w:cs="Arial"/>
        </w:rPr>
        <w:t xml:space="preserve">This research examines mobile malware behavior </w:t>
      </w:r>
      <w:r w:rsidR="00665F9B">
        <w:rPr>
          <w:rFonts w:ascii="Arial" w:eastAsia="Arial" w:hAnsi="Arial" w:cs="Arial"/>
        </w:rPr>
        <w:t xml:space="preserve">among </w:t>
      </w:r>
      <w:r>
        <w:rPr>
          <w:rFonts w:ascii="Arial" w:eastAsia="Arial" w:hAnsi="Arial" w:cs="Arial"/>
        </w:rPr>
        <w:t xml:space="preserve">college faculty and students, </w:t>
      </w:r>
      <w:r w:rsidR="00665F9B">
        <w:rPr>
          <w:rFonts w:ascii="Arial" w:eastAsia="Arial" w:hAnsi="Arial" w:cs="Arial"/>
        </w:rPr>
        <w:t>focusing specifically on their knowledge and reactions to various</w:t>
      </w:r>
      <w:r>
        <w:rPr>
          <w:rFonts w:ascii="Arial" w:eastAsia="Arial" w:hAnsi="Arial" w:cs="Arial"/>
        </w:rPr>
        <w:t xml:space="preserve"> malware types. It seeks to describe sociological variables </w:t>
      </w:r>
      <w:r w:rsidR="00665F9B">
        <w:rPr>
          <w:rFonts w:ascii="Arial" w:eastAsia="Arial" w:hAnsi="Arial" w:cs="Arial"/>
        </w:rPr>
        <w:t>that influence the likelihood of malware exposure and awareness, investigate existing levels of malware-related knowledge and security behavior, and use K-Means clustering to examine differences in malware awareness and security practices</w:t>
      </w:r>
      <w:r>
        <w:rPr>
          <w:rFonts w:ascii="Arial" w:eastAsia="Arial" w:hAnsi="Arial" w:cs="Arial"/>
        </w:rPr>
        <w:t xml:space="preserve">. Also, this study seeks to test </w:t>
      </w:r>
      <w:r w:rsidR="00665F9B">
        <w:rPr>
          <w:rFonts w:ascii="Arial" w:eastAsia="Arial" w:hAnsi="Arial" w:cs="Arial"/>
        </w:rPr>
        <w:t>whether significant differences exist across the identified clusters in knowledge of malware and security measures, to better understand</w:t>
      </w:r>
      <w:r>
        <w:rPr>
          <w:rFonts w:ascii="Arial" w:eastAsia="Arial" w:hAnsi="Arial" w:cs="Arial"/>
        </w:rPr>
        <w:t xml:space="preserve"> how </w:t>
      </w:r>
      <w:r w:rsidR="00665F9B">
        <w:rPr>
          <w:rFonts w:ascii="Arial" w:eastAsia="Arial" w:hAnsi="Arial" w:cs="Arial"/>
        </w:rPr>
        <w:t>practical</w:t>
      </w:r>
      <w:r>
        <w:rPr>
          <w:rFonts w:ascii="Arial" w:eastAsia="Arial" w:hAnsi="Arial" w:cs="Arial"/>
        </w:rPr>
        <w:t xml:space="preserve"> these security measures are and where there is a need for educational focus.</w:t>
      </w:r>
      <w:r w:rsidR="007A2A87">
        <w:rPr>
          <w:rFonts w:ascii="Arial" w:eastAsia="Arial" w:hAnsi="Arial" w:cs="Arial"/>
        </w:rPr>
        <w:t xml:space="preserve"> </w:t>
      </w:r>
    </w:p>
    <w:p w14:paraId="2EF5BB7B" w14:textId="77777777" w:rsidR="004F4E82" w:rsidRDefault="004F4E82">
      <w:pPr>
        <w:pBdr>
          <w:top w:val="nil"/>
          <w:left w:val="nil"/>
          <w:bottom w:val="nil"/>
          <w:right w:val="nil"/>
          <w:between w:val="nil"/>
        </w:pBdr>
        <w:jc w:val="both"/>
        <w:rPr>
          <w:rFonts w:ascii="Arial" w:eastAsia="Arial" w:hAnsi="Arial" w:cs="Arial"/>
          <w:color w:val="000000"/>
        </w:rPr>
      </w:pPr>
    </w:p>
    <w:p w14:paraId="24261F06" w14:textId="470D6E3A" w:rsidR="004F4E82" w:rsidRDefault="00000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sidR="00665F9B">
        <w:rPr>
          <w:rFonts w:ascii="Arial" w:eastAsia="Arial" w:hAnsi="Arial" w:cs="Arial"/>
          <w:b/>
          <w:bCs/>
          <w:smallCaps/>
          <w:color w:val="000000"/>
          <w:sz w:val="22"/>
          <w:szCs w:val="22"/>
        </w:rPr>
        <w:t>Materials</w:t>
      </w:r>
      <w:r>
        <w:rPr>
          <w:rFonts w:ascii="Arial" w:eastAsia="Arial" w:hAnsi="Arial" w:cs="Arial"/>
          <w:b/>
          <w:bCs/>
          <w:smallCaps/>
          <w:color w:val="000000"/>
          <w:sz w:val="22"/>
          <w:szCs w:val="22"/>
        </w:rPr>
        <w:t xml:space="preserve"> and </w:t>
      </w:r>
      <w:r w:rsidR="00665F9B">
        <w:rPr>
          <w:rFonts w:ascii="Arial" w:eastAsia="Arial" w:hAnsi="Arial" w:cs="Arial"/>
          <w:b/>
          <w:bCs/>
          <w:smallCaps/>
          <w:color w:val="000000"/>
          <w:sz w:val="22"/>
          <w:szCs w:val="22"/>
        </w:rPr>
        <w:t>Methods</w:t>
      </w:r>
      <w:r>
        <w:rPr>
          <w:rFonts w:ascii="Arial" w:eastAsia="Arial" w:hAnsi="Arial" w:cs="Arial"/>
          <w:b/>
          <w:bCs/>
          <w:smallCaps/>
          <w:color w:val="000000"/>
          <w:sz w:val="22"/>
          <w:szCs w:val="22"/>
        </w:rPr>
        <w:t xml:space="preserve"> </w:t>
      </w:r>
    </w:p>
    <w:p w14:paraId="6580EBA4" w14:textId="77777777" w:rsidR="004F4E82" w:rsidRDefault="004F4E82">
      <w:pPr>
        <w:keepNext/>
        <w:pBdr>
          <w:top w:val="nil"/>
          <w:left w:val="nil"/>
          <w:bottom w:val="nil"/>
          <w:right w:val="nil"/>
          <w:between w:val="nil"/>
        </w:pBdr>
        <w:jc w:val="both"/>
        <w:rPr>
          <w:rFonts w:ascii="Arial" w:eastAsia="Arial" w:hAnsi="Arial" w:cs="Arial"/>
          <w:b/>
          <w:bCs/>
          <w:smallCaps/>
          <w:color w:val="000000"/>
          <w:sz w:val="22"/>
          <w:szCs w:val="22"/>
        </w:rPr>
      </w:pPr>
    </w:p>
    <w:p w14:paraId="1DDCD0D7" w14:textId="77777777" w:rsidR="004F4E8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2.1 </w:t>
      </w:r>
      <w:r>
        <w:rPr>
          <w:rFonts w:ascii="Arial" w:eastAsia="Arial" w:hAnsi="Arial" w:cs="Arial"/>
          <w:b/>
          <w:bCs/>
          <w:color w:val="000000"/>
          <w:sz w:val="22"/>
          <w:szCs w:val="22"/>
        </w:rPr>
        <w:t>Research Paradigm</w:t>
      </w:r>
    </w:p>
    <w:p w14:paraId="3B448EEA" w14:textId="77777777" w:rsidR="004F4E82" w:rsidRDefault="004F4E82">
      <w:pPr>
        <w:tabs>
          <w:tab w:val="left" w:pos="360"/>
          <w:tab w:val="left" w:pos="720"/>
          <w:tab w:val="right" w:pos="8640"/>
        </w:tabs>
        <w:jc w:val="both"/>
        <w:rPr>
          <w:rFonts w:ascii="Arial" w:eastAsia="Arial" w:hAnsi="Arial" w:cs="Arial"/>
          <w:b/>
          <w:bCs/>
          <w:smallCaps/>
          <w:color w:val="000000"/>
          <w:sz w:val="22"/>
          <w:szCs w:val="22"/>
        </w:rPr>
      </w:pPr>
    </w:p>
    <w:p w14:paraId="502B736F" w14:textId="712C72CF" w:rsidR="004F4E82" w:rsidRDefault="00000000">
      <w:pPr>
        <w:tabs>
          <w:tab w:val="left" w:pos="360"/>
          <w:tab w:val="left" w:pos="720"/>
          <w:tab w:val="right" w:pos="8640"/>
        </w:tabs>
        <w:jc w:val="both"/>
        <w:rPr>
          <w:rFonts w:ascii="Arial" w:eastAsia="Arial" w:hAnsi="Arial" w:cs="Arial"/>
        </w:rPr>
      </w:pPr>
      <w:r>
        <w:rPr>
          <w:rFonts w:ascii="Arial" w:eastAsia="Arial" w:hAnsi="Arial" w:cs="Arial"/>
        </w:rPr>
        <w:t xml:space="preserve">The diagram in Figure 1 presents a planned </w:t>
      </w:r>
      <w:r w:rsidR="00665F9B">
        <w:rPr>
          <w:rFonts w:ascii="Arial" w:eastAsia="Arial" w:hAnsi="Arial" w:cs="Arial"/>
        </w:rPr>
        <w:t>approach to conducting educational data mining (EDM) research, including the important stages of data collection, preparation, analysis,</w:t>
      </w:r>
      <w:r>
        <w:rPr>
          <w:rFonts w:ascii="Arial" w:eastAsia="Arial" w:hAnsi="Arial" w:cs="Arial"/>
        </w:rPr>
        <w:t xml:space="preserve"> and interpretation. These aim </w:t>
      </w:r>
      <w:r w:rsidR="00665F9B">
        <w:rPr>
          <w:rFonts w:ascii="Arial" w:eastAsia="Arial" w:hAnsi="Arial" w:cs="Arial"/>
        </w:rPr>
        <w:t>to investigate student performance and</w:t>
      </w:r>
      <w:r>
        <w:rPr>
          <w:rFonts w:ascii="Arial" w:eastAsia="Arial" w:hAnsi="Arial" w:cs="Arial"/>
        </w:rPr>
        <w:t xml:space="preserve"> related variables within the context of a study (</w:t>
      </w:r>
      <w:proofErr w:type="spellStart"/>
      <w:r>
        <w:rPr>
          <w:rFonts w:ascii="Arial" w:eastAsia="Arial" w:hAnsi="Arial" w:cs="Arial"/>
        </w:rPr>
        <w:t>Alyahyan</w:t>
      </w:r>
      <w:proofErr w:type="spellEnd"/>
      <w:r>
        <w:rPr>
          <w:rFonts w:ascii="Arial" w:eastAsia="Arial" w:hAnsi="Arial" w:cs="Arial"/>
        </w:rPr>
        <w:t xml:space="preserve"> &amp; </w:t>
      </w:r>
      <w:proofErr w:type="spellStart"/>
      <w:r>
        <w:rPr>
          <w:rFonts w:ascii="Arial" w:eastAsia="Arial" w:hAnsi="Arial" w:cs="Arial"/>
        </w:rPr>
        <w:t>Düştegör</w:t>
      </w:r>
      <w:proofErr w:type="spellEnd"/>
      <w:r>
        <w:rPr>
          <w:rFonts w:ascii="Arial" w:eastAsia="Arial" w:hAnsi="Arial" w:cs="Arial"/>
        </w:rPr>
        <w:t xml:space="preserve">, 2020). Data collection </w:t>
      </w:r>
      <w:r w:rsidR="00665F9B">
        <w:rPr>
          <w:rFonts w:ascii="Arial" w:eastAsia="Arial" w:hAnsi="Arial" w:cs="Arial"/>
        </w:rPr>
        <w:t>involves administering surveys and questionnaires to students to gather detailed information about their performance, involvement, and demographic characteristics</w:t>
      </w:r>
      <w:r>
        <w:rPr>
          <w:rFonts w:ascii="Arial" w:eastAsia="Arial" w:hAnsi="Arial" w:cs="Arial"/>
        </w:rPr>
        <w:t xml:space="preserve"> (Lu et al., 2019). Using correlation analysis, significant associations and distinctions are found that explain how different elements converge and affect student results (</w:t>
      </w:r>
      <w:proofErr w:type="spellStart"/>
      <w:r>
        <w:rPr>
          <w:rFonts w:ascii="Arial" w:eastAsia="Arial" w:hAnsi="Arial" w:cs="Arial"/>
        </w:rPr>
        <w:t>Rajabalee</w:t>
      </w:r>
      <w:proofErr w:type="spellEnd"/>
      <w:r>
        <w:rPr>
          <w:rFonts w:ascii="Arial" w:eastAsia="Arial" w:hAnsi="Arial" w:cs="Arial"/>
        </w:rPr>
        <w:t xml:space="preserve"> &amp; </w:t>
      </w:r>
      <w:proofErr w:type="spellStart"/>
      <w:r>
        <w:rPr>
          <w:rFonts w:ascii="Arial" w:eastAsia="Arial" w:hAnsi="Arial" w:cs="Arial"/>
        </w:rPr>
        <w:t>Santally</w:t>
      </w:r>
      <w:proofErr w:type="spellEnd"/>
      <w:r>
        <w:rPr>
          <w:rFonts w:ascii="Arial" w:eastAsia="Arial" w:hAnsi="Arial" w:cs="Arial"/>
        </w:rPr>
        <w:t xml:space="preserve">, 2021). Preparing data for analysis requires </w:t>
      </w:r>
      <w:r w:rsidR="00665F9B">
        <w:rPr>
          <w:rFonts w:ascii="Arial" w:eastAsia="Arial" w:hAnsi="Arial" w:cs="Arial"/>
        </w:rPr>
        <w:t>cleaning and preprocessing to ensure accuracy</w:t>
      </w:r>
      <w:r>
        <w:rPr>
          <w:rFonts w:ascii="Arial" w:eastAsia="Arial" w:hAnsi="Arial" w:cs="Arial"/>
        </w:rPr>
        <w:t xml:space="preserve">, after which it undergoes clustering (K-Means) to enhance the analytical process by organizing similar data points (Sen, 2021).  </w:t>
      </w:r>
    </w:p>
    <w:p w14:paraId="2DF84DA8" w14:textId="77777777" w:rsidR="004F4E82" w:rsidRDefault="004F4E82">
      <w:pPr>
        <w:tabs>
          <w:tab w:val="left" w:pos="360"/>
          <w:tab w:val="left" w:pos="720"/>
          <w:tab w:val="right" w:pos="8640"/>
        </w:tabs>
        <w:jc w:val="both"/>
        <w:rPr>
          <w:rFonts w:ascii="Arial" w:eastAsia="Arial" w:hAnsi="Arial" w:cs="Arial"/>
        </w:rPr>
      </w:pPr>
    </w:p>
    <w:p w14:paraId="3D7FFDB4" w14:textId="77777777" w:rsidR="00133CA9" w:rsidRPr="00133CA9" w:rsidRDefault="00133CA9" w:rsidP="00133CA9">
      <w:pPr>
        <w:jc w:val="both"/>
        <w:rPr>
          <w:rFonts w:ascii="Arial" w:eastAsia="Arial" w:hAnsi="Arial" w:cs="Arial"/>
        </w:rPr>
      </w:pPr>
      <w:r w:rsidRPr="00133CA9">
        <w:rPr>
          <w:rFonts w:ascii="Arial" w:eastAsia="Arial" w:hAnsi="Arial" w:cs="Arial"/>
        </w:rPr>
        <w:t>The EDM methodologies are based on the application of rationalized theory-based patterns to identify and analyze attributes (Yang et al., 2022). Sequences in performance and engagement on the student profiles enable further segmentation through clustering (Sedrakyan et al, 2020). The dissection of educational analysis into components of a model also offers the potential to close in on specific components (Dwivedi, Hughes et al., 2021). The framework also assists in shaping data-derived actionable research questions through the entire spectrum of data gathering, processing, analysis, and interpretation (Couture et al, 2023). The actionable insights derived from the data apply to education and enhance evidence-based decision-making practice (Kung et al., 2023).</w:t>
      </w:r>
    </w:p>
    <w:p w14:paraId="742F338A" w14:textId="77777777" w:rsidR="004F4E82" w:rsidRDefault="00000000">
      <w:pPr>
        <w:tabs>
          <w:tab w:val="left" w:pos="360"/>
          <w:tab w:val="left" w:pos="720"/>
          <w:tab w:val="right" w:pos="8640"/>
        </w:tabs>
        <w:jc w:val="both"/>
        <w:rPr>
          <w:b/>
          <w:bCs/>
          <w:i/>
          <w:iCs/>
        </w:rPr>
      </w:pPr>
      <w:r>
        <w:rPr>
          <w:noProof/>
        </w:rPr>
        <w:drawing>
          <wp:anchor distT="0" distB="0" distL="0" distR="0" simplePos="0" relativeHeight="251658240" behindDoc="0" locked="0" layoutInCell="1" hidden="0" allowOverlap="1" wp14:anchorId="60A24543" wp14:editId="4C481519">
            <wp:simplePos x="0" y="0"/>
            <wp:positionH relativeFrom="column">
              <wp:posOffset>1448435</wp:posOffset>
            </wp:positionH>
            <wp:positionV relativeFrom="paragraph">
              <wp:posOffset>216286</wp:posOffset>
            </wp:positionV>
            <wp:extent cx="2235835" cy="1677670"/>
            <wp:effectExtent l="12700" t="12700" r="12700" b="12700"/>
            <wp:wrapTopAndBottom distT="0" dist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235835" cy="1677670"/>
                    </a:xfrm>
                    <a:prstGeom prst="rect">
                      <a:avLst/>
                    </a:prstGeom>
                    <a:ln w="12700">
                      <a:solidFill>
                        <a:srgbClr val="000000"/>
                      </a:solidFill>
                      <a:prstDash val="solid"/>
                    </a:ln>
                  </pic:spPr>
                </pic:pic>
              </a:graphicData>
            </a:graphic>
          </wp:anchor>
        </w:drawing>
      </w:r>
    </w:p>
    <w:p w14:paraId="51D937CF" w14:textId="77777777" w:rsidR="004F4E82" w:rsidRDefault="00000000">
      <w:pPr>
        <w:tabs>
          <w:tab w:val="left" w:pos="360"/>
          <w:tab w:val="left" w:pos="720"/>
          <w:tab w:val="right" w:pos="8640"/>
        </w:tabs>
        <w:spacing w:before="240"/>
        <w:jc w:val="center"/>
        <w:rPr>
          <w:rFonts w:ascii="Arial" w:eastAsia="Arial" w:hAnsi="Arial" w:cs="Arial"/>
          <w:b/>
          <w:bCs/>
          <w:i/>
          <w:iCs/>
        </w:rPr>
      </w:pPr>
      <w:r>
        <w:rPr>
          <w:rFonts w:ascii="Arial" w:eastAsia="Arial" w:hAnsi="Arial" w:cs="Arial"/>
          <w:b/>
          <w:bCs/>
          <w:i/>
          <w:iCs/>
        </w:rPr>
        <w:t>Figure 1: Research Paradigm.</w:t>
      </w:r>
    </w:p>
    <w:p w14:paraId="153ED1A6" w14:textId="77777777" w:rsidR="004F4E82" w:rsidRDefault="004F4E82">
      <w:pPr>
        <w:pBdr>
          <w:top w:val="nil"/>
          <w:left w:val="nil"/>
          <w:bottom w:val="nil"/>
          <w:right w:val="nil"/>
          <w:between w:val="nil"/>
        </w:pBdr>
        <w:jc w:val="both"/>
        <w:rPr>
          <w:rFonts w:ascii="Arial" w:eastAsia="Arial" w:hAnsi="Arial" w:cs="Arial"/>
          <w:b/>
          <w:bCs/>
          <w:i/>
          <w:iCs/>
        </w:rPr>
      </w:pPr>
    </w:p>
    <w:p w14:paraId="25FD91CB" w14:textId="77777777" w:rsidR="004F4E8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2.2 </w:t>
      </w:r>
      <w:r>
        <w:rPr>
          <w:rFonts w:ascii="Arial" w:eastAsia="Arial" w:hAnsi="Arial" w:cs="Arial"/>
          <w:b/>
          <w:bCs/>
          <w:color w:val="000000"/>
          <w:sz w:val="22"/>
          <w:szCs w:val="22"/>
        </w:rPr>
        <w:t>Respondents of the Study</w:t>
      </w:r>
      <w:r>
        <w:rPr>
          <w:rFonts w:ascii="Arial" w:eastAsia="Arial" w:hAnsi="Arial" w:cs="Arial"/>
          <w:color w:val="000000"/>
        </w:rPr>
        <w:t xml:space="preserve"> </w:t>
      </w:r>
    </w:p>
    <w:p w14:paraId="0BCECCFA" w14:textId="77777777" w:rsidR="004F4E82" w:rsidRDefault="004F4E82">
      <w:pPr>
        <w:pBdr>
          <w:top w:val="nil"/>
          <w:left w:val="nil"/>
          <w:bottom w:val="nil"/>
          <w:right w:val="nil"/>
          <w:between w:val="nil"/>
        </w:pBdr>
        <w:jc w:val="both"/>
        <w:rPr>
          <w:rFonts w:ascii="Arial" w:eastAsia="Arial" w:hAnsi="Arial" w:cs="Arial"/>
          <w:color w:val="000000"/>
        </w:rPr>
      </w:pPr>
    </w:p>
    <w:p w14:paraId="1F1FEF56" w14:textId="2F94FB8A" w:rsidR="00133CA9" w:rsidRPr="00133CA9" w:rsidRDefault="00133CA9" w:rsidP="00133CA9">
      <w:pPr>
        <w:jc w:val="both"/>
        <w:rPr>
          <w:rFonts w:ascii="Arial" w:eastAsia="Arial" w:hAnsi="Arial" w:cs="Arial"/>
        </w:rPr>
      </w:pPr>
      <w:r w:rsidRPr="00133CA9">
        <w:rPr>
          <w:rFonts w:ascii="Arial" w:eastAsia="Arial" w:hAnsi="Arial" w:cs="Arial"/>
        </w:rPr>
        <w:t xml:space="preserve">The research was conducted at Occidental Mindoro State College, San Jose Campus. </w:t>
      </w:r>
      <w:r w:rsidR="00FA02A6">
        <w:rPr>
          <w:rFonts w:ascii="Arial" w:eastAsia="Arial" w:hAnsi="Arial" w:cs="Arial"/>
        </w:rPr>
        <w:t xml:space="preserve">A total of 368 individuals participated in the study, comprising 180 faculty members and 188 students, yielding a faculty-to-student ratio of 1:1. This distribution ensured balanced representation of the primary academic groups, allowing the analyst to capture varying levels of cybersecurity awareness and behavior among institutional stakeholders. </w:t>
      </w:r>
      <w:r w:rsidRPr="00133CA9">
        <w:rPr>
          <w:rFonts w:ascii="Arial" w:eastAsia="Arial" w:hAnsi="Arial" w:cs="Arial"/>
        </w:rPr>
        <w:t>Thus, the students' appraisal offered insight into the educational support intended to address learning deficiencies and the academic milieu (</w:t>
      </w:r>
      <w:proofErr w:type="spellStart"/>
      <w:r w:rsidRPr="00133CA9">
        <w:rPr>
          <w:rFonts w:ascii="Arial" w:eastAsia="Arial" w:hAnsi="Arial" w:cs="Arial"/>
        </w:rPr>
        <w:t>Mohajan</w:t>
      </w:r>
      <w:proofErr w:type="spellEnd"/>
      <w:r w:rsidRPr="00133CA9">
        <w:rPr>
          <w:rFonts w:ascii="Arial" w:eastAsia="Arial" w:hAnsi="Arial" w:cs="Arial"/>
        </w:rPr>
        <w:t>, 2018). Hence, this provided a clearer perspective on the construction of students’ malware awareness (Pham et al., 2020).</w:t>
      </w:r>
    </w:p>
    <w:p w14:paraId="12401D8A" w14:textId="77777777" w:rsidR="004F4E82" w:rsidRDefault="004F4E82">
      <w:pPr>
        <w:pBdr>
          <w:top w:val="nil"/>
          <w:left w:val="nil"/>
          <w:bottom w:val="nil"/>
          <w:right w:val="nil"/>
          <w:between w:val="nil"/>
        </w:pBdr>
        <w:jc w:val="both"/>
        <w:rPr>
          <w:rFonts w:ascii="Arial" w:eastAsia="Arial" w:hAnsi="Arial" w:cs="Arial"/>
        </w:rPr>
      </w:pPr>
    </w:p>
    <w:p w14:paraId="40B9E2BE" w14:textId="77777777" w:rsidR="004F4E8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2.3 </w:t>
      </w:r>
      <w:r>
        <w:rPr>
          <w:rFonts w:ascii="Arial" w:eastAsia="Arial" w:hAnsi="Arial" w:cs="Arial"/>
          <w:b/>
          <w:bCs/>
          <w:color w:val="000000"/>
          <w:sz w:val="22"/>
          <w:szCs w:val="22"/>
        </w:rPr>
        <w:t>Survey Design</w:t>
      </w:r>
    </w:p>
    <w:p w14:paraId="363C61ED" w14:textId="77777777" w:rsidR="004F4E82" w:rsidRDefault="004F4E82">
      <w:pPr>
        <w:pBdr>
          <w:top w:val="nil"/>
          <w:left w:val="nil"/>
          <w:bottom w:val="nil"/>
          <w:right w:val="nil"/>
          <w:between w:val="nil"/>
        </w:pBdr>
        <w:jc w:val="both"/>
        <w:rPr>
          <w:rFonts w:ascii="Arial" w:eastAsia="Arial" w:hAnsi="Arial" w:cs="Arial"/>
          <w:color w:val="000000"/>
        </w:rPr>
      </w:pPr>
    </w:p>
    <w:p w14:paraId="041FDA47" w14:textId="7F64C80A" w:rsidR="00133CA9" w:rsidRPr="00133CA9" w:rsidRDefault="00133CA9" w:rsidP="00133CA9">
      <w:pPr>
        <w:jc w:val="both"/>
        <w:rPr>
          <w:rFonts w:ascii="Arial" w:eastAsia="Arial" w:hAnsi="Arial" w:cs="Arial"/>
        </w:rPr>
      </w:pPr>
      <w:r w:rsidRPr="00133CA9">
        <w:rPr>
          <w:rFonts w:ascii="Arial" w:eastAsia="Arial" w:hAnsi="Arial" w:cs="Arial"/>
        </w:rPr>
        <w:t xml:space="preserve">A meticulously planned survey was conducted to gather comprehensive information on the types and prevalence of malware experienced by students and teachers. Participants in the research were required to describe various malware types, including rogue security software, Trojan horses, and adware (Paste &amp; </w:t>
      </w:r>
      <w:proofErr w:type="spellStart"/>
      <w:r w:rsidRPr="00133CA9">
        <w:rPr>
          <w:rFonts w:ascii="Arial" w:eastAsia="Arial" w:hAnsi="Arial" w:cs="Arial"/>
        </w:rPr>
        <w:t>Wadkar</w:t>
      </w:r>
      <w:proofErr w:type="spellEnd"/>
      <w:r w:rsidRPr="00133CA9">
        <w:rPr>
          <w:rFonts w:ascii="Arial" w:eastAsia="Arial" w:hAnsi="Arial" w:cs="Arial"/>
        </w:rPr>
        <w:t xml:space="preserve">, 2021). The Mobile Malware awareness level assessed students and faculty regarding different types of </w:t>
      </w:r>
      <w:proofErr w:type="gramStart"/>
      <w:r w:rsidR="00665F9B">
        <w:rPr>
          <w:rFonts w:ascii="Arial" w:eastAsia="Arial" w:hAnsi="Arial" w:cs="Arial"/>
        </w:rPr>
        <w:t>malware</w:t>
      </w:r>
      <w:proofErr w:type="gramEnd"/>
      <w:r w:rsidRPr="00133CA9">
        <w:rPr>
          <w:rFonts w:ascii="Arial" w:eastAsia="Arial" w:hAnsi="Arial" w:cs="Arial"/>
        </w:rPr>
        <w:t xml:space="preserve"> (Beaman et al., 2021). Knowledge regarding preventive measures was ascertained, including the use of antivirus software, safe surfing practices, and the importance of regularly updating software (Lopes et al., 2024). The background data pertained to participants' demographic and behavioral characteristics, including age, sex, mobile phone, and operating system used (Wang &amp; Deng, 2021).</w:t>
      </w:r>
    </w:p>
    <w:p w14:paraId="2D5FCB5C" w14:textId="77777777" w:rsidR="004F4E82" w:rsidRDefault="004F4E82" w:rsidP="00133CA9">
      <w:pPr>
        <w:pBdr>
          <w:top w:val="nil"/>
          <w:left w:val="nil"/>
          <w:bottom w:val="nil"/>
          <w:right w:val="nil"/>
          <w:between w:val="nil"/>
        </w:pBdr>
        <w:jc w:val="both"/>
        <w:rPr>
          <w:rFonts w:ascii="Arial" w:eastAsia="Arial" w:hAnsi="Arial" w:cs="Arial"/>
        </w:rPr>
      </w:pPr>
    </w:p>
    <w:p w14:paraId="4F094650" w14:textId="77777777" w:rsidR="004F4E8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2.4 </w:t>
      </w:r>
      <w:r>
        <w:rPr>
          <w:rFonts w:ascii="Arial" w:eastAsia="Arial" w:hAnsi="Arial" w:cs="Arial"/>
          <w:b/>
          <w:bCs/>
          <w:color w:val="000000"/>
          <w:sz w:val="22"/>
          <w:szCs w:val="22"/>
        </w:rPr>
        <w:t>Data Collection</w:t>
      </w:r>
    </w:p>
    <w:p w14:paraId="31DB4640" w14:textId="77777777" w:rsidR="004F4E82" w:rsidRDefault="004F4E82">
      <w:pPr>
        <w:pBdr>
          <w:top w:val="nil"/>
          <w:left w:val="nil"/>
          <w:bottom w:val="nil"/>
          <w:right w:val="nil"/>
          <w:between w:val="nil"/>
        </w:pBdr>
        <w:jc w:val="both"/>
        <w:rPr>
          <w:rFonts w:ascii="Arial" w:eastAsia="Arial" w:hAnsi="Arial" w:cs="Arial"/>
          <w:b/>
          <w:bCs/>
          <w:i/>
          <w:iCs/>
          <w:color w:val="000000"/>
        </w:rPr>
      </w:pPr>
    </w:p>
    <w:p w14:paraId="4422E143" w14:textId="204EF311" w:rsidR="004F4E82" w:rsidRDefault="00000000">
      <w:pPr>
        <w:tabs>
          <w:tab w:val="left" w:pos="720"/>
          <w:tab w:val="right" w:pos="8640"/>
        </w:tabs>
        <w:jc w:val="both"/>
        <w:rPr>
          <w:rFonts w:ascii="Arial" w:eastAsia="Arial" w:hAnsi="Arial" w:cs="Arial"/>
        </w:rPr>
      </w:pPr>
      <w:r>
        <w:rPr>
          <w:rFonts w:ascii="Arial" w:eastAsia="Arial" w:hAnsi="Arial" w:cs="Arial"/>
        </w:rPr>
        <w:t>For ease and penetration</w:t>
      </w:r>
      <w:r w:rsidR="00665F9B">
        <w:rPr>
          <w:rFonts w:ascii="Arial" w:eastAsia="Arial" w:hAnsi="Arial" w:cs="Arial"/>
        </w:rPr>
        <w:t xml:space="preserve">, this tool was implemented via Google Forms, </w:t>
      </w:r>
      <w:r>
        <w:rPr>
          <w:rFonts w:ascii="Arial" w:eastAsia="Arial" w:hAnsi="Arial" w:cs="Arial"/>
        </w:rPr>
        <w:t>an online platform. Thus, for effective campaigns</w:t>
      </w:r>
      <w:r w:rsidR="00665F9B">
        <w:rPr>
          <w:rFonts w:ascii="Arial" w:eastAsia="Arial" w:hAnsi="Arial" w:cs="Arial"/>
        </w:rPr>
        <w:t>,</w:t>
      </w:r>
      <w:r>
        <w:rPr>
          <w:rFonts w:ascii="Arial" w:eastAsia="Arial" w:hAnsi="Arial" w:cs="Arial"/>
        </w:rPr>
        <w:t xml:space="preserve"> deans and departmental heads had to be coordinated beforehand. </w:t>
      </w:r>
      <w:r w:rsidR="007E5A96">
        <w:rPr>
          <w:rFonts w:ascii="Arial" w:eastAsia="Arial" w:hAnsi="Arial" w:cs="Arial"/>
        </w:rPr>
        <w:t>To</w:t>
      </w:r>
      <w:r>
        <w:rPr>
          <w:rFonts w:ascii="Arial" w:eastAsia="Arial" w:hAnsi="Arial" w:cs="Arial"/>
        </w:rPr>
        <w:t xml:space="preserve"> reach out to many students and comply with school rules regarding this kind of study</w:t>
      </w:r>
      <w:r w:rsidR="00665F9B">
        <w:rPr>
          <w:rFonts w:ascii="Arial" w:eastAsia="Arial" w:hAnsi="Arial" w:cs="Arial"/>
        </w:rPr>
        <w:t>,</w:t>
      </w:r>
      <w:r>
        <w:rPr>
          <w:rFonts w:ascii="Arial" w:eastAsia="Arial" w:hAnsi="Arial" w:cs="Arial"/>
        </w:rPr>
        <w:t xml:space="preserve"> permission was sought via an official correspondence letter (Ronimus et al., 2019). Doing it electronically </w:t>
      </w:r>
      <w:r w:rsidR="00665F9B">
        <w:rPr>
          <w:rFonts w:ascii="Arial" w:eastAsia="Arial" w:hAnsi="Arial" w:cs="Arial"/>
        </w:rPr>
        <w:t xml:space="preserve">enabled easier data management </w:t>
      </w:r>
      <w:r>
        <w:rPr>
          <w:rFonts w:ascii="Arial" w:eastAsia="Arial" w:hAnsi="Arial" w:cs="Arial"/>
        </w:rPr>
        <w:t xml:space="preserve">and </w:t>
      </w:r>
      <w:r w:rsidR="00665F9B">
        <w:rPr>
          <w:rFonts w:ascii="Arial" w:eastAsia="Arial" w:hAnsi="Arial" w:cs="Arial"/>
        </w:rPr>
        <w:t>a more thorough</w:t>
      </w:r>
      <w:r>
        <w:rPr>
          <w:rFonts w:ascii="Arial" w:eastAsia="Arial" w:hAnsi="Arial" w:cs="Arial"/>
        </w:rPr>
        <w:t xml:space="preserve"> review before analysis could commence (Zou et al., 2016).</w:t>
      </w:r>
    </w:p>
    <w:p w14:paraId="0928A348" w14:textId="77777777" w:rsidR="004F4E82" w:rsidRDefault="004F4E82">
      <w:pPr>
        <w:pBdr>
          <w:top w:val="nil"/>
          <w:left w:val="nil"/>
          <w:bottom w:val="nil"/>
          <w:right w:val="nil"/>
          <w:between w:val="nil"/>
        </w:pBdr>
        <w:jc w:val="both"/>
        <w:rPr>
          <w:rFonts w:ascii="Arial" w:eastAsia="Arial" w:hAnsi="Arial" w:cs="Arial"/>
        </w:rPr>
      </w:pPr>
    </w:p>
    <w:p w14:paraId="770CAFC2" w14:textId="77777777" w:rsidR="004F4E8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2.5 </w:t>
      </w:r>
      <w:r>
        <w:rPr>
          <w:rFonts w:ascii="Arial" w:eastAsia="Arial" w:hAnsi="Arial" w:cs="Arial"/>
          <w:b/>
          <w:bCs/>
          <w:color w:val="000000"/>
          <w:sz w:val="22"/>
          <w:szCs w:val="22"/>
        </w:rPr>
        <w:t>Data Analysis</w:t>
      </w:r>
    </w:p>
    <w:p w14:paraId="3CBFA4EE" w14:textId="77777777" w:rsidR="004F4E82" w:rsidRDefault="004F4E82">
      <w:pPr>
        <w:tabs>
          <w:tab w:val="left" w:pos="720"/>
          <w:tab w:val="right" w:pos="8640"/>
        </w:tabs>
        <w:jc w:val="both"/>
        <w:rPr>
          <w:rFonts w:ascii="Arial" w:eastAsia="Arial" w:hAnsi="Arial" w:cs="Arial"/>
        </w:rPr>
      </w:pPr>
    </w:p>
    <w:p w14:paraId="1F271741" w14:textId="1F3700EA" w:rsidR="004F4E82" w:rsidRDefault="00000000">
      <w:pPr>
        <w:jc w:val="both"/>
        <w:rPr>
          <w:rFonts w:ascii="Arial" w:eastAsia="Arial" w:hAnsi="Arial" w:cs="Arial"/>
        </w:rPr>
      </w:pPr>
      <w:r>
        <w:rPr>
          <w:rFonts w:ascii="Arial" w:eastAsia="Arial" w:hAnsi="Arial" w:cs="Arial"/>
        </w:rPr>
        <w:t xml:space="preserve">Descriptive statistics were used to evaluate the demographic characteristics of the </w:t>
      </w:r>
      <w:r w:rsidR="007E5A96">
        <w:rPr>
          <w:rFonts w:ascii="Arial" w:eastAsia="Arial" w:hAnsi="Arial" w:cs="Arial"/>
        </w:rPr>
        <w:t>respondents</w:t>
      </w:r>
      <w:r w:rsidR="00665F9B">
        <w:rPr>
          <w:rFonts w:ascii="Arial" w:eastAsia="Arial" w:hAnsi="Arial" w:cs="Arial"/>
        </w:rPr>
        <w:t xml:space="preserve"> and their levels</w:t>
      </w:r>
      <w:r>
        <w:rPr>
          <w:rFonts w:ascii="Arial" w:eastAsia="Arial" w:hAnsi="Arial" w:cs="Arial"/>
        </w:rPr>
        <w:t xml:space="preserve"> of awareness and security practices. This included notifications from antivirus and manual detection (Jain et al., 2021). </w:t>
      </w:r>
      <w:r w:rsidR="00665F9B">
        <w:rPr>
          <w:rFonts w:ascii="Arial" w:eastAsia="Arial" w:hAnsi="Arial" w:cs="Arial"/>
        </w:rPr>
        <w:t xml:space="preserve">Frequency analysis and percentages were </w:t>
      </w:r>
      <w:r w:rsidR="0078381E">
        <w:rPr>
          <w:rFonts w:ascii="Arial" w:eastAsia="Arial" w:hAnsi="Arial" w:cs="Arial"/>
        </w:rPr>
        <w:t>used to examine</w:t>
      </w:r>
      <w:r w:rsidR="00665F9B">
        <w:rPr>
          <w:rFonts w:ascii="Arial" w:eastAsia="Arial" w:hAnsi="Arial" w:cs="Arial"/>
        </w:rPr>
        <w:t xml:space="preserve"> general trends in the occurrence of specific malware pools and the interactions between malware pools </w:t>
      </w:r>
      <w:r>
        <w:rPr>
          <w:rFonts w:ascii="Arial" w:eastAsia="Arial" w:hAnsi="Arial" w:cs="Arial"/>
        </w:rPr>
        <w:t xml:space="preserve">and users’ behavior (Page et al., 2021). </w:t>
      </w:r>
      <w:r w:rsidR="007A0693">
        <w:rPr>
          <w:rFonts w:ascii="Arial" w:eastAsia="Arial" w:hAnsi="Arial" w:cs="Arial"/>
        </w:rPr>
        <w:t>K-means clustering was used as the primary unsupervised learning method to classify participants based on</w:t>
      </w:r>
      <w:r w:rsidR="00FA02A6">
        <w:rPr>
          <w:rFonts w:ascii="Arial" w:eastAsia="Arial" w:hAnsi="Arial" w:cs="Arial"/>
        </w:rPr>
        <w:t xml:space="preserve"> cybersecurity behavior attributes. This technique was selected for </w:t>
      </w:r>
      <w:proofErr w:type="gramStart"/>
      <w:r w:rsidR="00FA02A6">
        <w:rPr>
          <w:rFonts w:ascii="Arial" w:eastAsia="Arial" w:hAnsi="Arial" w:cs="Arial"/>
        </w:rPr>
        <w:t>it</w:t>
      </w:r>
      <w:proofErr w:type="gramEnd"/>
      <w:r w:rsidR="00FA02A6">
        <w:rPr>
          <w:rFonts w:ascii="Arial" w:eastAsia="Arial" w:hAnsi="Arial" w:cs="Arial"/>
        </w:rPr>
        <w:t xml:space="preserve"> efficiency, scalability, and suitability</w:t>
      </w:r>
      <w:r>
        <w:rPr>
          <w:rFonts w:ascii="Arial" w:eastAsia="Arial" w:hAnsi="Arial" w:cs="Arial"/>
        </w:rPr>
        <w:t xml:space="preserve">. K-Means clustering was used to group </w:t>
      </w:r>
      <w:r w:rsidR="00665F9B">
        <w:rPr>
          <w:rFonts w:ascii="Arial" w:eastAsia="Arial" w:hAnsi="Arial" w:cs="Arial"/>
        </w:rPr>
        <w:t>respondents based on</w:t>
      </w:r>
      <w:r>
        <w:rPr>
          <w:rFonts w:ascii="Arial" w:eastAsia="Arial" w:hAnsi="Arial" w:cs="Arial"/>
        </w:rPr>
        <w:t xml:space="preserve"> their awareness and security practice levels (Hancock &amp; </w:t>
      </w:r>
      <w:proofErr w:type="spellStart"/>
      <w:r>
        <w:rPr>
          <w:rFonts w:ascii="Arial" w:eastAsia="Arial" w:hAnsi="Arial" w:cs="Arial"/>
        </w:rPr>
        <w:t>Khoshgoftaar</w:t>
      </w:r>
      <w:proofErr w:type="spellEnd"/>
      <w:r>
        <w:rPr>
          <w:rFonts w:ascii="Arial" w:eastAsia="Arial" w:hAnsi="Arial" w:cs="Arial"/>
        </w:rPr>
        <w:t xml:space="preserve">, 2020). Google Colab and Python were used for data processing and visualization. The analytical tasks included estimating the types and frequencies of malware </w:t>
      </w:r>
      <w:r w:rsidR="007E5A96">
        <w:rPr>
          <w:rFonts w:ascii="Arial" w:eastAsia="Arial" w:hAnsi="Arial" w:cs="Arial"/>
        </w:rPr>
        <w:t>environments and</w:t>
      </w:r>
      <w:r>
        <w:rPr>
          <w:rFonts w:ascii="Arial" w:eastAsia="Arial" w:hAnsi="Arial" w:cs="Arial"/>
        </w:rPr>
        <w:t xml:space="preserve"> constructing bar charts and other illustrations to represent the security practices. In addition, internal and external analyses</w:t>
      </w:r>
      <w:r w:rsidR="00665F9B">
        <w:rPr>
          <w:rFonts w:ascii="Arial" w:eastAsia="Arial" w:hAnsi="Arial" w:cs="Arial"/>
        </w:rPr>
        <w:t>, such as a correlation matrix, K-Means clustering (using the elbow method to determine the optimal number of clusters), and a heatmap, were used to provide deeper insight into the data,</w:t>
      </w:r>
      <w:r>
        <w:rPr>
          <w:rFonts w:ascii="Arial" w:eastAsia="Arial" w:hAnsi="Arial" w:cs="Arial"/>
        </w:rPr>
        <w:t xml:space="preserve"> along with other external analyses.</w:t>
      </w:r>
    </w:p>
    <w:p w14:paraId="39B3D575" w14:textId="77777777" w:rsidR="004F4E82" w:rsidRDefault="004F4E82">
      <w:pPr>
        <w:tabs>
          <w:tab w:val="left" w:pos="720"/>
          <w:tab w:val="right" w:pos="8640"/>
        </w:tabs>
        <w:jc w:val="both"/>
        <w:rPr>
          <w:rFonts w:ascii="Arial" w:eastAsia="Arial" w:hAnsi="Arial" w:cs="Arial"/>
        </w:rPr>
      </w:pPr>
    </w:p>
    <w:p w14:paraId="4310AFDD" w14:textId="77777777" w:rsidR="004F4E82"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 xml:space="preserve">2.6 </w:t>
      </w:r>
      <w:r>
        <w:rPr>
          <w:rFonts w:ascii="Arial" w:eastAsia="Arial" w:hAnsi="Arial" w:cs="Arial"/>
          <w:b/>
          <w:bCs/>
          <w:color w:val="000000"/>
          <w:sz w:val="22"/>
          <w:szCs w:val="22"/>
        </w:rPr>
        <w:t xml:space="preserve">Data Interpretation </w:t>
      </w:r>
    </w:p>
    <w:p w14:paraId="72377A43" w14:textId="77777777" w:rsidR="004F4E82" w:rsidRDefault="004F4E82">
      <w:pPr>
        <w:tabs>
          <w:tab w:val="left" w:pos="720"/>
          <w:tab w:val="right" w:pos="8640"/>
        </w:tabs>
        <w:jc w:val="both"/>
        <w:rPr>
          <w:rFonts w:ascii="Arial" w:eastAsia="Arial" w:hAnsi="Arial" w:cs="Arial"/>
        </w:rPr>
      </w:pPr>
    </w:p>
    <w:p w14:paraId="555A5965" w14:textId="0E702FBE" w:rsidR="004F4E82"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analysis </w:t>
      </w:r>
      <w:r w:rsidR="00665F9B">
        <w:rPr>
          <w:rFonts w:ascii="Arial" w:eastAsia="Arial" w:hAnsi="Arial" w:cs="Arial"/>
        </w:rPr>
        <w:t>provided insight into the relationship between certain factors and the likelihood of different malware appearing</w:t>
      </w:r>
      <w:r>
        <w:rPr>
          <w:rFonts w:ascii="Arial" w:eastAsia="Arial" w:hAnsi="Arial" w:cs="Arial"/>
        </w:rPr>
        <w:t xml:space="preserve">. </w:t>
      </w:r>
      <w:r w:rsidR="00665F9B">
        <w:rPr>
          <w:rFonts w:ascii="Arial" w:eastAsia="Arial" w:hAnsi="Arial" w:cs="Arial"/>
        </w:rPr>
        <w:t>User activity, security measures, and some demographic factors were investigated to identify patterns in malware occurrence</w:t>
      </w:r>
      <w:r>
        <w:rPr>
          <w:rFonts w:ascii="Arial" w:eastAsia="Arial" w:hAnsi="Arial" w:cs="Arial"/>
        </w:rPr>
        <w:t>. The research bypassed the traditional analysis tools of Microsoft Excel and SPSS</w:t>
      </w:r>
      <w:r w:rsidR="00665F9B">
        <w:rPr>
          <w:rFonts w:ascii="Arial" w:eastAsia="Arial" w:hAnsi="Arial" w:cs="Arial"/>
        </w:rPr>
        <w:t>,</w:t>
      </w:r>
      <w:r>
        <w:rPr>
          <w:rFonts w:ascii="Arial" w:eastAsia="Arial" w:hAnsi="Arial" w:cs="Arial"/>
        </w:rPr>
        <w:t xml:space="preserve"> adopting statistical packages such as Google Colab and Python for data analysis and visualization (Petrů et al., 2020). </w:t>
      </w:r>
      <w:r w:rsidR="00665F9B">
        <w:rPr>
          <w:rFonts w:ascii="Arial" w:eastAsia="Arial" w:hAnsi="Arial" w:cs="Arial"/>
        </w:rPr>
        <w:t>Using frequency analysis, correlation tests, and K-Means clustering, other aspects of the relationship between malware incidents</w:t>
      </w:r>
      <w:r>
        <w:rPr>
          <w:rFonts w:ascii="Arial" w:eastAsia="Arial" w:hAnsi="Arial" w:cs="Arial"/>
        </w:rPr>
        <w:t xml:space="preserve"> and user practices were explored. However, the study also found </w:t>
      </w:r>
      <w:r w:rsidR="00665F9B">
        <w:rPr>
          <w:rFonts w:ascii="Arial" w:eastAsia="Arial" w:hAnsi="Arial" w:cs="Arial"/>
        </w:rPr>
        <w:t xml:space="preserve">that certain behaviors among users’ specific security protection appliances and their </w:t>
      </w:r>
      <w:r>
        <w:rPr>
          <w:rFonts w:ascii="Arial" w:eastAsia="Arial" w:hAnsi="Arial" w:cs="Arial"/>
        </w:rPr>
        <w:t xml:space="preserve">recognition of phishing attacks increase the chances of malware infection. As a result of this activity, the study </w:t>
      </w:r>
      <w:r w:rsidR="00665F9B">
        <w:rPr>
          <w:rFonts w:ascii="Arial" w:eastAsia="Arial" w:hAnsi="Arial" w:cs="Arial"/>
        </w:rPr>
        <w:t>aimed to enhance</w:t>
      </w:r>
      <w:r>
        <w:rPr>
          <w:rFonts w:ascii="Arial" w:eastAsia="Arial" w:hAnsi="Arial" w:cs="Arial"/>
        </w:rPr>
        <w:t xml:space="preserve"> </w:t>
      </w:r>
      <w:r w:rsidR="00665F9B">
        <w:rPr>
          <w:rFonts w:ascii="Arial" w:eastAsia="Arial" w:hAnsi="Arial" w:cs="Arial"/>
        </w:rPr>
        <w:t>students' and staff's mobile device security awareness through</w:t>
      </w:r>
      <w:r>
        <w:rPr>
          <w:rFonts w:ascii="Arial" w:eastAsia="Arial" w:hAnsi="Arial" w:cs="Arial"/>
        </w:rPr>
        <w:t xml:space="preserve"> pattern recognition. These results demonstrate the need </w:t>
      </w:r>
      <w:r w:rsidR="00665F9B">
        <w:rPr>
          <w:rFonts w:ascii="Arial" w:eastAsia="Arial" w:hAnsi="Arial" w:cs="Arial"/>
        </w:rPr>
        <w:t xml:space="preserve">not only to </w:t>
      </w:r>
      <w:r w:rsidR="0078381E">
        <w:rPr>
          <w:rFonts w:ascii="Arial" w:eastAsia="Arial" w:hAnsi="Arial" w:cs="Arial"/>
        </w:rPr>
        <w:t xml:space="preserve">update the </w:t>
      </w:r>
      <w:r w:rsidR="0078381E">
        <w:rPr>
          <w:rFonts w:ascii="Arial" w:eastAsia="Arial" w:hAnsi="Arial" w:cs="Arial"/>
        </w:rPr>
        <w:lastRenderedPageBreak/>
        <w:t>security technologies embedded in systems and software but also to invest in targeted awareness programs, such as those aimed at</w:t>
      </w:r>
      <w:r>
        <w:rPr>
          <w:rFonts w:ascii="Arial" w:eastAsia="Arial" w:hAnsi="Arial" w:cs="Arial"/>
        </w:rPr>
        <w:t xml:space="preserve"> common malware threats (</w:t>
      </w:r>
      <w:proofErr w:type="spellStart"/>
      <w:r>
        <w:rPr>
          <w:rFonts w:ascii="Arial" w:eastAsia="Arial" w:hAnsi="Arial" w:cs="Arial"/>
        </w:rPr>
        <w:t>İçen</w:t>
      </w:r>
      <w:proofErr w:type="spellEnd"/>
      <w:r>
        <w:rPr>
          <w:rFonts w:ascii="Arial" w:eastAsia="Arial" w:hAnsi="Arial" w:cs="Arial"/>
        </w:rPr>
        <w:t>, 2022).</w:t>
      </w:r>
    </w:p>
    <w:p w14:paraId="062457AE" w14:textId="77777777" w:rsidR="004F4E82" w:rsidRDefault="004F4E82">
      <w:pPr>
        <w:pBdr>
          <w:top w:val="nil"/>
          <w:left w:val="nil"/>
          <w:bottom w:val="nil"/>
          <w:right w:val="nil"/>
          <w:between w:val="nil"/>
        </w:pBdr>
        <w:jc w:val="both"/>
        <w:rPr>
          <w:rFonts w:ascii="Arial" w:eastAsia="Arial" w:hAnsi="Arial" w:cs="Arial"/>
          <w:color w:val="000000"/>
        </w:rPr>
      </w:pPr>
    </w:p>
    <w:p w14:paraId="3B445579" w14:textId="77777777" w:rsidR="004F4E82" w:rsidRDefault="00000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478FE3B0" w14:textId="77777777" w:rsidR="004F4E82" w:rsidRDefault="004F4E82">
      <w:pPr>
        <w:keepNext/>
        <w:pBdr>
          <w:top w:val="nil"/>
          <w:left w:val="nil"/>
          <w:bottom w:val="nil"/>
          <w:right w:val="nil"/>
          <w:between w:val="nil"/>
        </w:pBdr>
        <w:jc w:val="both"/>
        <w:rPr>
          <w:rFonts w:ascii="Arial" w:eastAsia="Arial" w:hAnsi="Arial" w:cs="Arial"/>
          <w:b/>
          <w:bCs/>
          <w:smallCaps/>
          <w:color w:val="000000"/>
          <w:sz w:val="22"/>
          <w:szCs w:val="22"/>
        </w:rPr>
      </w:pPr>
    </w:p>
    <w:p w14:paraId="761EC3E1" w14:textId="77777777" w:rsidR="004F4E82" w:rsidRDefault="00000000">
      <w:pPr>
        <w:tabs>
          <w:tab w:val="left" w:pos="360"/>
          <w:tab w:val="left" w:pos="720"/>
        </w:tabs>
        <w:jc w:val="both"/>
        <w:rPr>
          <w:rFonts w:ascii="Arial" w:eastAsia="Arial" w:hAnsi="Arial" w:cs="Arial"/>
        </w:rPr>
      </w:pPr>
      <w:r>
        <w:rPr>
          <w:rFonts w:ascii="Arial" w:eastAsia="Arial" w:hAnsi="Arial" w:cs="Arial"/>
        </w:rPr>
        <w:t>Types and Frequency of Malware Encounters</w:t>
      </w:r>
    </w:p>
    <w:p w14:paraId="00F708D6" w14:textId="6FAE0E1E" w:rsidR="007E5A96" w:rsidRDefault="007E5A96" w:rsidP="007E5A96">
      <w:pPr>
        <w:jc w:val="both"/>
        <w:rPr>
          <w:rFonts w:ascii="Arial" w:eastAsia="Arial" w:hAnsi="Arial" w:cs="Arial"/>
        </w:rPr>
      </w:pPr>
      <w:r>
        <w:rPr>
          <w:rFonts w:ascii="Arial" w:eastAsia="Arial" w:hAnsi="Arial" w:cs="Arial"/>
        </w:rPr>
        <w:t xml:space="preserve">Participants' ages, genders, mobile device usage, operating systems, and types of </w:t>
      </w:r>
      <w:proofErr w:type="gramStart"/>
      <w:r w:rsidR="00665F9B">
        <w:rPr>
          <w:rFonts w:ascii="Arial" w:eastAsia="Arial" w:hAnsi="Arial" w:cs="Arial"/>
        </w:rPr>
        <w:t>malware</w:t>
      </w:r>
      <w:proofErr w:type="gramEnd"/>
      <w:r>
        <w:rPr>
          <w:rFonts w:ascii="Arial" w:eastAsia="Arial" w:hAnsi="Arial" w:cs="Arial"/>
        </w:rPr>
        <w:t xml:space="preserve"> were considered in Table 1, which examined the frequencies and the specific categories of malware users encounter. 282 respondents, or 76.6% of all malware users, across all ages, malware threats, Canada, spamming, scamming, mobile device users aged 18 - 24, and malware encounters. In terms of gender, the total number of malware and spam threats, </w:t>
      </w:r>
      <w:r w:rsidR="00665F9B">
        <w:rPr>
          <w:rFonts w:ascii="Arial" w:eastAsia="Arial" w:hAnsi="Arial" w:cs="Arial"/>
        </w:rPr>
        <w:t>as well as</w:t>
      </w:r>
      <w:r>
        <w:rPr>
          <w:rFonts w:ascii="Arial" w:eastAsia="Arial" w:hAnsi="Arial" w:cs="Arial"/>
        </w:rPr>
        <w:t xml:space="preserve"> the number of malware reports, </w:t>
      </w:r>
      <w:r w:rsidR="00665F9B">
        <w:rPr>
          <w:rFonts w:ascii="Arial" w:eastAsia="Arial" w:hAnsi="Arial" w:cs="Arial"/>
        </w:rPr>
        <w:t>was</w:t>
      </w:r>
      <w:r>
        <w:rPr>
          <w:rFonts w:ascii="Arial" w:eastAsia="Arial" w:hAnsi="Arial" w:cs="Arial"/>
        </w:rPr>
        <w:t xml:space="preserve"> higher across constructions. As a result, the mobile devices that were actively exposed during encounters with 136 (37.0%) devices were reported to remain active for 6 hours and to report malware. 322 (87.5%) of participants were Android users, while 46 (12.5%) were iOS users. Among the reported adware malware encounters, 118 (32.1%) were documented. Phishing encounters were also reported, with 87 (23.6%) documented subsequently. Trojan malware was reported 86 times (23.4%), while 54 (14.7%) were documented as spyware, with 23 (6.3%) reported as ransomware. This distribution shows that adware and phishing are the most prevalent types of </w:t>
      </w:r>
      <w:proofErr w:type="gramStart"/>
      <w:r w:rsidR="00665F9B">
        <w:rPr>
          <w:rFonts w:ascii="Arial" w:eastAsia="Arial" w:hAnsi="Arial" w:cs="Arial"/>
        </w:rPr>
        <w:t>malware</w:t>
      </w:r>
      <w:proofErr w:type="gramEnd"/>
      <w:r>
        <w:rPr>
          <w:rFonts w:ascii="Arial" w:eastAsia="Arial" w:hAnsi="Arial" w:cs="Arial"/>
        </w:rPr>
        <w:t xml:space="preserve"> encountered by participants. Malware encounters are most common among younger users, particularly females, and those who use their mobile devices extensively. Additionally, Android users experience a higher incidence of malware than iOS users. The findings also indicate that adware and phishing are the most frequent types of </w:t>
      </w:r>
      <w:proofErr w:type="gramStart"/>
      <w:r w:rsidR="00665F9B">
        <w:rPr>
          <w:rFonts w:ascii="Arial" w:eastAsia="Arial" w:hAnsi="Arial" w:cs="Arial"/>
        </w:rPr>
        <w:t>malware</w:t>
      </w:r>
      <w:proofErr w:type="gramEnd"/>
      <w:r>
        <w:rPr>
          <w:rFonts w:ascii="Arial" w:eastAsia="Arial" w:hAnsi="Arial" w:cs="Arial"/>
        </w:rPr>
        <w:t xml:space="preserve"> encountered.</w:t>
      </w:r>
      <w:r w:rsidR="00047F75">
        <w:rPr>
          <w:rFonts w:ascii="Arial" w:eastAsia="Arial" w:hAnsi="Arial" w:cs="Arial"/>
        </w:rPr>
        <w:t xml:space="preserve"> </w:t>
      </w:r>
      <w:proofErr w:type="gramStart"/>
      <w:r w:rsidR="00047F75">
        <w:rPr>
          <w:rFonts w:ascii="Arial" w:eastAsia="Arial" w:hAnsi="Arial" w:cs="Arial"/>
        </w:rPr>
        <w:t>The user</w:t>
      </w:r>
      <w:proofErr w:type="gramEnd"/>
      <w:r w:rsidR="00047F75">
        <w:rPr>
          <w:rFonts w:ascii="Arial" w:eastAsia="Arial" w:hAnsi="Arial" w:cs="Arial"/>
        </w:rPr>
        <w:t xml:space="preserve"> behavior is a foundational factor in strengthening or weakening cybersecurity resilience (Moustafa et al., 2021).</w:t>
      </w:r>
    </w:p>
    <w:p w14:paraId="5C0CBE50" w14:textId="77777777" w:rsidR="004F4E82" w:rsidRDefault="004F4E82">
      <w:pPr>
        <w:pBdr>
          <w:top w:val="nil"/>
          <w:left w:val="nil"/>
          <w:bottom w:val="nil"/>
          <w:right w:val="nil"/>
          <w:between w:val="nil"/>
        </w:pBdr>
        <w:jc w:val="both"/>
        <w:rPr>
          <w:rFonts w:ascii="Arial" w:eastAsia="Arial" w:hAnsi="Arial" w:cs="Arial"/>
          <w:color w:val="000000"/>
        </w:rPr>
      </w:pPr>
    </w:p>
    <w:p w14:paraId="6FEDEB0F" w14:textId="77777777" w:rsidR="004F4E82" w:rsidRDefault="004F4E82">
      <w:pPr>
        <w:pBdr>
          <w:top w:val="nil"/>
          <w:left w:val="nil"/>
          <w:bottom w:val="nil"/>
          <w:right w:val="nil"/>
          <w:between w:val="nil"/>
        </w:pBdr>
        <w:jc w:val="both"/>
        <w:rPr>
          <w:rFonts w:ascii="Arial" w:eastAsia="Arial" w:hAnsi="Arial" w:cs="Arial"/>
          <w:color w:val="000000"/>
        </w:rPr>
      </w:pPr>
    </w:p>
    <w:p w14:paraId="155FA326" w14:textId="77777777" w:rsidR="004F4E82" w:rsidRDefault="004F4E82">
      <w:pPr>
        <w:pBdr>
          <w:top w:val="nil"/>
          <w:left w:val="nil"/>
          <w:bottom w:val="nil"/>
          <w:right w:val="nil"/>
          <w:between w:val="nil"/>
        </w:pBdr>
        <w:jc w:val="both"/>
        <w:rPr>
          <w:rFonts w:ascii="Arial" w:eastAsia="Arial" w:hAnsi="Arial" w:cs="Arial"/>
          <w:color w:val="000000"/>
        </w:rPr>
      </w:pPr>
    </w:p>
    <w:p w14:paraId="1102B6A9" w14:textId="77777777" w:rsidR="004F4E82" w:rsidRDefault="00000000">
      <w:pPr>
        <w:tabs>
          <w:tab w:val="left" w:pos="360"/>
          <w:tab w:val="left" w:pos="720"/>
        </w:tabs>
        <w:spacing w:line="360" w:lineRule="auto"/>
        <w:jc w:val="both"/>
        <w:rPr>
          <w:rFonts w:ascii="Arial" w:eastAsia="Arial" w:hAnsi="Arial" w:cs="Arial"/>
          <w:b/>
          <w:bCs/>
        </w:rPr>
      </w:pPr>
      <w:r>
        <w:rPr>
          <w:rFonts w:ascii="Arial" w:eastAsia="Arial" w:hAnsi="Arial" w:cs="Arial"/>
        </w:rPr>
        <w:t xml:space="preserve">Table 1 </w:t>
      </w:r>
      <w:r>
        <w:rPr>
          <w:rFonts w:ascii="Arial" w:eastAsia="Arial" w:hAnsi="Arial" w:cs="Arial"/>
          <w:b/>
          <w:bCs/>
        </w:rPr>
        <w:t>Types and Frequency of Malware Encounters by Faculty and Students.</w:t>
      </w:r>
    </w:p>
    <w:tbl>
      <w:tblPr>
        <w:tblStyle w:val="a0"/>
        <w:tblW w:w="8548" w:type="dxa"/>
        <w:jc w:val="center"/>
        <w:tblInd w:w="0" w:type="dxa"/>
        <w:tblBorders>
          <w:top w:val="single" w:sz="4" w:space="0" w:color="000000"/>
          <w:insideH w:val="single" w:sz="4" w:space="0" w:color="000000"/>
        </w:tblBorders>
        <w:tblLayout w:type="fixed"/>
        <w:tblLook w:val="0400" w:firstRow="0" w:lastRow="0" w:firstColumn="0" w:lastColumn="0" w:noHBand="0" w:noVBand="1"/>
      </w:tblPr>
      <w:tblGrid>
        <w:gridCol w:w="2977"/>
        <w:gridCol w:w="2835"/>
        <w:gridCol w:w="2736"/>
      </w:tblGrid>
      <w:tr w:rsidR="004F4E82" w14:paraId="1A7EFF5E" w14:textId="77777777">
        <w:trPr>
          <w:trHeight w:val="242"/>
          <w:jc w:val="center"/>
        </w:trPr>
        <w:tc>
          <w:tcPr>
            <w:tcW w:w="2977" w:type="dxa"/>
            <w:tcBorders>
              <w:bottom w:val="single" w:sz="4" w:space="0" w:color="000000"/>
            </w:tcBorders>
            <w:vAlign w:val="center"/>
          </w:tcPr>
          <w:p w14:paraId="30261A4F" w14:textId="77777777" w:rsidR="004F4E82" w:rsidRDefault="00000000">
            <w:pPr>
              <w:ind w:firstLine="6"/>
              <w:jc w:val="center"/>
              <w:rPr>
                <w:rFonts w:ascii="Arial" w:eastAsia="Arial" w:hAnsi="Arial" w:cs="Arial"/>
                <w:b/>
                <w:bCs/>
                <w:sz w:val="18"/>
                <w:szCs w:val="18"/>
              </w:rPr>
            </w:pPr>
            <w:r>
              <w:rPr>
                <w:rFonts w:ascii="Arial" w:eastAsia="Arial" w:hAnsi="Arial" w:cs="Arial"/>
                <w:b/>
                <w:bCs/>
                <w:sz w:val="18"/>
                <w:szCs w:val="18"/>
              </w:rPr>
              <w:t>Category</w:t>
            </w:r>
          </w:p>
        </w:tc>
        <w:tc>
          <w:tcPr>
            <w:tcW w:w="2835" w:type="dxa"/>
            <w:tcBorders>
              <w:bottom w:val="single" w:sz="4" w:space="0" w:color="000000"/>
            </w:tcBorders>
            <w:vAlign w:val="center"/>
          </w:tcPr>
          <w:p w14:paraId="40CC02EB" w14:textId="77777777" w:rsidR="004F4E82" w:rsidRDefault="00000000">
            <w:pPr>
              <w:jc w:val="center"/>
              <w:rPr>
                <w:rFonts w:ascii="Arial" w:eastAsia="Arial" w:hAnsi="Arial" w:cs="Arial"/>
                <w:b/>
                <w:bCs/>
                <w:sz w:val="18"/>
                <w:szCs w:val="18"/>
              </w:rPr>
            </w:pPr>
            <w:r>
              <w:rPr>
                <w:rFonts w:ascii="Arial" w:eastAsia="Arial" w:hAnsi="Arial" w:cs="Arial"/>
                <w:b/>
                <w:bCs/>
                <w:sz w:val="18"/>
                <w:szCs w:val="18"/>
              </w:rPr>
              <w:t>Frequency</w:t>
            </w:r>
          </w:p>
        </w:tc>
        <w:tc>
          <w:tcPr>
            <w:tcW w:w="2736" w:type="dxa"/>
            <w:tcBorders>
              <w:bottom w:val="single" w:sz="4" w:space="0" w:color="000000"/>
            </w:tcBorders>
            <w:vAlign w:val="center"/>
          </w:tcPr>
          <w:p w14:paraId="6D98D061" w14:textId="77777777" w:rsidR="004F4E82" w:rsidRDefault="00000000">
            <w:pPr>
              <w:ind w:firstLine="288"/>
              <w:jc w:val="center"/>
              <w:rPr>
                <w:rFonts w:ascii="Arial" w:eastAsia="Arial" w:hAnsi="Arial" w:cs="Arial"/>
                <w:b/>
                <w:bCs/>
                <w:sz w:val="18"/>
                <w:szCs w:val="18"/>
              </w:rPr>
            </w:pPr>
            <w:r>
              <w:rPr>
                <w:rFonts w:ascii="Arial" w:eastAsia="Arial" w:hAnsi="Arial" w:cs="Arial"/>
                <w:b/>
                <w:bCs/>
                <w:sz w:val="18"/>
                <w:szCs w:val="18"/>
              </w:rPr>
              <w:t>Percentage</w:t>
            </w:r>
          </w:p>
        </w:tc>
      </w:tr>
      <w:tr w:rsidR="004F4E82" w14:paraId="649C16BE" w14:textId="77777777">
        <w:trPr>
          <w:trHeight w:val="179"/>
          <w:jc w:val="center"/>
        </w:trPr>
        <w:tc>
          <w:tcPr>
            <w:tcW w:w="2977" w:type="dxa"/>
            <w:tcBorders>
              <w:top w:val="single" w:sz="4" w:space="0" w:color="000000"/>
              <w:bottom w:val="nil"/>
            </w:tcBorders>
            <w:vAlign w:val="center"/>
          </w:tcPr>
          <w:p w14:paraId="151782CE" w14:textId="77777777" w:rsidR="004F4E82" w:rsidRDefault="00000000">
            <w:pPr>
              <w:jc w:val="center"/>
              <w:rPr>
                <w:rFonts w:ascii="Arial" w:eastAsia="Arial" w:hAnsi="Arial" w:cs="Arial"/>
                <w:color w:val="000000"/>
                <w:sz w:val="18"/>
                <w:szCs w:val="18"/>
              </w:rPr>
            </w:pPr>
            <w:r>
              <w:rPr>
                <w:rFonts w:ascii="Arial" w:eastAsia="Arial" w:hAnsi="Arial" w:cs="Arial"/>
                <w:b/>
                <w:bCs/>
                <w:color w:val="000000"/>
                <w:sz w:val="18"/>
                <w:szCs w:val="18"/>
              </w:rPr>
              <w:t>Age</w:t>
            </w:r>
          </w:p>
        </w:tc>
        <w:tc>
          <w:tcPr>
            <w:tcW w:w="2835" w:type="dxa"/>
            <w:tcBorders>
              <w:top w:val="single" w:sz="4" w:space="0" w:color="000000"/>
              <w:bottom w:val="nil"/>
            </w:tcBorders>
            <w:vAlign w:val="bottom"/>
          </w:tcPr>
          <w:p w14:paraId="4201E184" w14:textId="77777777" w:rsidR="004F4E82" w:rsidRDefault="004F4E82">
            <w:pPr>
              <w:jc w:val="center"/>
              <w:rPr>
                <w:rFonts w:ascii="Arial" w:eastAsia="Arial" w:hAnsi="Arial" w:cs="Arial"/>
                <w:color w:val="000000"/>
                <w:sz w:val="18"/>
                <w:szCs w:val="18"/>
              </w:rPr>
            </w:pPr>
          </w:p>
        </w:tc>
        <w:tc>
          <w:tcPr>
            <w:tcW w:w="2736" w:type="dxa"/>
            <w:tcBorders>
              <w:top w:val="single" w:sz="4" w:space="0" w:color="000000"/>
              <w:bottom w:val="nil"/>
            </w:tcBorders>
            <w:vAlign w:val="bottom"/>
          </w:tcPr>
          <w:p w14:paraId="5D356622" w14:textId="77777777" w:rsidR="004F4E82" w:rsidRDefault="004F4E82">
            <w:pPr>
              <w:ind w:firstLine="288"/>
              <w:jc w:val="center"/>
              <w:rPr>
                <w:rFonts w:ascii="Arial" w:eastAsia="Arial" w:hAnsi="Arial" w:cs="Arial"/>
                <w:color w:val="000000"/>
                <w:sz w:val="18"/>
                <w:szCs w:val="18"/>
              </w:rPr>
            </w:pPr>
          </w:p>
        </w:tc>
      </w:tr>
      <w:tr w:rsidR="004F4E82" w14:paraId="098167C6" w14:textId="77777777">
        <w:trPr>
          <w:trHeight w:val="287"/>
          <w:jc w:val="center"/>
        </w:trPr>
        <w:tc>
          <w:tcPr>
            <w:tcW w:w="2977" w:type="dxa"/>
            <w:tcBorders>
              <w:top w:val="nil"/>
              <w:bottom w:val="nil"/>
            </w:tcBorders>
            <w:vAlign w:val="center"/>
          </w:tcPr>
          <w:p w14:paraId="5321628B"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18-24</w:t>
            </w:r>
          </w:p>
        </w:tc>
        <w:tc>
          <w:tcPr>
            <w:tcW w:w="2835" w:type="dxa"/>
            <w:tcBorders>
              <w:top w:val="nil"/>
              <w:bottom w:val="nil"/>
            </w:tcBorders>
            <w:vAlign w:val="bottom"/>
          </w:tcPr>
          <w:p w14:paraId="42CE6170"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282</w:t>
            </w:r>
          </w:p>
        </w:tc>
        <w:tc>
          <w:tcPr>
            <w:tcW w:w="2736" w:type="dxa"/>
            <w:tcBorders>
              <w:top w:val="nil"/>
              <w:bottom w:val="nil"/>
            </w:tcBorders>
            <w:vAlign w:val="bottom"/>
          </w:tcPr>
          <w:p w14:paraId="027CD198"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76.6</w:t>
            </w:r>
          </w:p>
        </w:tc>
      </w:tr>
      <w:tr w:rsidR="004F4E82" w14:paraId="2A3A87A2" w14:textId="77777777">
        <w:trPr>
          <w:trHeight w:val="20"/>
          <w:jc w:val="center"/>
        </w:trPr>
        <w:tc>
          <w:tcPr>
            <w:tcW w:w="2977" w:type="dxa"/>
            <w:tcBorders>
              <w:top w:val="nil"/>
              <w:bottom w:val="nil"/>
            </w:tcBorders>
            <w:vAlign w:val="center"/>
          </w:tcPr>
          <w:p w14:paraId="4476C935"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25-34</w:t>
            </w:r>
          </w:p>
        </w:tc>
        <w:tc>
          <w:tcPr>
            <w:tcW w:w="2835" w:type="dxa"/>
            <w:tcBorders>
              <w:top w:val="nil"/>
              <w:bottom w:val="nil"/>
            </w:tcBorders>
            <w:vAlign w:val="bottom"/>
          </w:tcPr>
          <w:p w14:paraId="1C11E285"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18</w:t>
            </w:r>
          </w:p>
        </w:tc>
        <w:tc>
          <w:tcPr>
            <w:tcW w:w="2736" w:type="dxa"/>
            <w:tcBorders>
              <w:top w:val="nil"/>
              <w:bottom w:val="nil"/>
            </w:tcBorders>
            <w:vAlign w:val="bottom"/>
          </w:tcPr>
          <w:p w14:paraId="752BBE90"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4.9</w:t>
            </w:r>
          </w:p>
        </w:tc>
      </w:tr>
      <w:tr w:rsidR="004F4E82" w14:paraId="1DCFDFAF" w14:textId="77777777">
        <w:trPr>
          <w:trHeight w:val="20"/>
          <w:jc w:val="center"/>
        </w:trPr>
        <w:tc>
          <w:tcPr>
            <w:tcW w:w="2977" w:type="dxa"/>
            <w:tcBorders>
              <w:top w:val="nil"/>
              <w:bottom w:val="nil"/>
            </w:tcBorders>
            <w:vAlign w:val="center"/>
          </w:tcPr>
          <w:p w14:paraId="22722C4B"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35-44</w:t>
            </w:r>
          </w:p>
        </w:tc>
        <w:tc>
          <w:tcPr>
            <w:tcW w:w="2835" w:type="dxa"/>
            <w:tcBorders>
              <w:top w:val="nil"/>
              <w:bottom w:val="nil"/>
            </w:tcBorders>
            <w:vAlign w:val="bottom"/>
          </w:tcPr>
          <w:p w14:paraId="1119F5F1"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18</w:t>
            </w:r>
          </w:p>
        </w:tc>
        <w:tc>
          <w:tcPr>
            <w:tcW w:w="2736" w:type="dxa"/>
            <w:tcBorders>
              <w:top w:val="nil"/>
              <w:bottom w:val="nil"/>
            </w:tcBorders>
            <w:vAlign w:val="bottom"/>
          </w:tcPr>
          <w:p w14:paraId="2BFCD6F9"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4.9</w:t>
            </w:r>
          </w:p>
        </w:tc>
      </w:tr>
      <w:tr w:rsidR="004F4E82" w14:paraId="72C6C962" w14:textId="77777777">
        <w:trPr>
          <w:trHeight w:val="20"/>
          <w:jc w:val="center"/>
        </w:trPr>
        <w:tc>
          <w:tcPr>
            <w:tcW w:w="2977" w:type="dxa"/>
            <w:tcBorders>
              <w:top w:val="nil"/>
              <w:bottom w:val="nil"/>
            </w:tcBorders>
            <w:vAlign w:val="center"/>
          </w:tcPr>
          <w:p w14:paraId="4AC4EC27"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45 and above</w:t>
            </w:r>
          </w:p>
        </w:tc>
        <w:tc>
          <w:tcPr>
            <w:tcW w:w="2835" w:type="dxa"/>
            <w:tcBorders>
              <w:top w:val="nil"/>
              <w:bottom w:val="nil"/>
            </w:tcBorders>
            <w:vAlign w:val="bottom"/>
          </w:tcPr>
          <w:p w14:paraId="7FA47B1E"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6</w:t>
            </w:r>
          </w:p>
        </w:tc>
        <w:tc>
          <w:tcPr>
            <w:tcW w:w="2736" w:type="dxa"/>
            <w:tcBorders>
              <w:top w:val="nil"/>
              <w:bottom w:val="nil"/>
            </w:tcBorders>
            <w:vAlign w:val="bottom"/>
          </w:tcPr>
          <w:p w14:paraId="64141DC4"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1.6</w:t>
            </w:r>
          </w:p>
        </w:tc>
      </w:tr>
      <w:tr w:rsidR="004F4E82" w14:paraId="251D98D8" w14:textId="77777777">
        <w:trPr>
          <w:trHeight w:val="20"/>
          <w:jc w:val="center"/>
        </w:trPr>
        <w:tc>
          <w:tcPr>
            <w:tcW w:w="2977" w:type="dxa"/>
            <w:tcBorders>
              <w:top w:val="nil"/>
              <w:bottom w:val="nil"/>
            </w:tcBorders>
            <w:vAlign w:val="center"/>
          </w:tcPr>
          <w:p w14:paraId="4F28A4FE"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Under 18</w:t>
            </w:r>
          </w:p>
        </w:tc>
        <w:tc>
          <w:tcPr>
            <w:tcW w:w="2835" w:type="dxa"/>
            <w:tcBorders>
              <w:top w:val="nil"/>
              <w:bottom w:val="nil"/>
            </w:tcBorders>
            <w:vAlign w:val="bottom"/>
          </w:tcPr>
          <w:p w14:paraId="654E8FCB"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44</w:t>
            </w:r>
          </w:p>
        </w:tc>
        <w:tc>
          <w:tcPr>
            <w:tcW w:w="2736" w:type="dxa"/>
            <w:tcBorders>
              <w:top w:val="nil"/>
              <w:bottom w:val="nil"/>
            </w:tcBorders>
            <w:vAlign w:val="bottom"/>
          </w:tcPr>
          <w:p w14:paraId="11EF51B0"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12.0</w:t>
            </w:r>
          </w:p>
        </w:tc>
      </w:tr>
      <w:tr w:rsidR="004F4E82" w14:paraId="6F29ED66" w14:textId="77777777">
        <w:trPr>
          <w:trHeight w:val="20"/>
          <w:jc w:val="center"/>
        </w:trPr>
        <w:tc>
          <w:tcPr>
            <w:tcW w:w="2977" w:type="dxa"/>
            <w:tcBorders>
              <w:top w:val="nil"/>
              <w:bottom w:val="nil"/>
            </w:tcBorders>
            <w:vAlign w:val="center"/>
          </w:tcPr>
          <w:p w14:paraId="7B7D4A04" w14:textId="77777777" w:rsidR="004F4E82" w:rsidRDefault="00000000">
            <w:pPr>
              <w:jc w:val="center"/>
              <w:rPr>
                <w:rFonts w:ascii="Arial" w:eastAsia="Arial" w:hAnsi="Arial" w:cs="Arial"/>
                <w:color w:val="000000"/>
                <w:sz w:val="18"/>
                <w:szCs w:val="18"/>
              </w:rPr>
            </w:pPr>
            <w:r>
              <w:rPr>
                <w:rFonts w:ascii="Arial" w:eastAsia="Arial" w:hAnsi="Arial" w:cs="Arial"/>
                <w:b/>
                <w:bCs/>
                <w:color w:val="000000"/>
                <w:sz w:val="18"/>
                <w:szCs w:val="18"/>
              </w:rPr>
              <w:t>Gender</w:t>
            </w:r>
          </w:p>
        </w:tc>
        <w:tc>
          <w:tcPr>
            <w:tcW w:w="2835" w:type="dxa"/>
            <w:tcBorders>
              <w:top w:val="nil"/>
              <w:bottom w:val="nil"/>
            </w:tcBorders>
            <w:vAlign w:val="bottom"/>
          </w:tcPr>
          <w:p w14:paraId="108D7A76" w14:textId="77777777" w:rsidR="004F4E82" w:rsidRDefault="004F4E82">
            <w:pPr>
              <w:jc w:val="center"/>
              <w:rPr>
                <w:rFonts w:ascii="Arial" w:eastAsia="Arial" w:hAnsi="Arial" w:cs="Arial"/>
                <w:color w:val="000000"/>
                <w:sz w:val="18"/>
                <w:szCs w:val="18"/>
              </w:rPr>
            </w:pPr>
          </w:p>
        </w:tc>
        <w:tc>
          <w:tcPr>
            <w:tcW w:w="2736" w:type="dxa"/>
            <w:tcBorders>
              <w:top w:val="nil"/>
              <w:bottom w:val="nil"/>
            </w:tcBorders>
            <w:vAlign w:val="bottom"/>
          </w:tcPr>
          <w:p w14:paraId="1E9FAFD9" w14:textId="77777777" w:rsidR="004F4E82" w:rsidRDefault="004F4E82">
            <w:pPr>
              <w:ind w:firstLine="288"/>
              <w:jc w:val="center"/>
              <w:rPr>
                <w:rFonts w:ascii="Arial" w:eastAsia="Arial" w:hAnsi="Arial" w:cs="Arial"/>
                <w:color w:val="000000"/>
                <w:sz w:val="18"/>
                <w:szCs w:val="18"/>
              </w:rPr>
            </w:pPr>
          </w:p>
        </w:tc>
      </w:tr>
      <w:tr w:rsidR="004F4E82" w14:paraId="61C545FA" w14:textId="77777777">
        <w:trPr>
          <w:trHeight w:val="20"/>
          <w:jc w:val="center"/>
        </w:trPr>
        <w:tc>
          <w:tcPr>
            <w:tcW w:w="2977" w:type="dxa"/>
            <w:tcBorders>
              <w:top w:val="nil"/>
              <w:bottom w:val="nil"/>
            </w:tcBorders>
            <w:vAlign w:val="center"/>
          </w:tcPr>
          <w:p w14:paraId="36854C87"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Female</w:t>
            </w:r>
          </w:p>
        </w:tc>
        <w:tc>
          <w:tcPr>
            <w:tcW w:w="2835" w:type="dxa"/>
            <w:tcBorders>
              <w:top w:val="nil"/>
              <w:bottom w:val="nil"/>
            </w:tcBorders>
            <w:vAlign w:val="bottom"/>
          </w:tcPr>
          <w:p w14:paraId="32D5B53B"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212</w:t>
            </w:r>
          </w:p>
        </w:tc>
        <w:tc>
          <w:tcPr>
            <w:tcW w:w="2736" w:type="dxa"/>
            <w:tcBorders>
              <w:top w:val="nil"/>
              <w:bottom w:val="nil"/>
            </w:tcBorders>
            <w:vAlign w:val="bottom"/>
          </w:tcPr>
          <w:p w14:paraId="4B965846"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57.6</w:t>
            </w:r>
          </w:p>
        </w:tc>
      </w:tr>
      <w:tr w:rsidR="004F4E82" w14:paraId="22867747" w14:textId="77777777">
        <w:trPr>
          <w:trHeight w:val="20"/>
          <w:jc w:val="center"/>
        </w:trPr>
        <w:tc>
          <w:tcPr>
            <w:tcW w:w="2977" w:type="dxa"/>
            <w:tcBorders>
              <w:top w:val="nil"/>
              <w:bottom w:val="nil"/>
            </w:tcBorders>
            <w:vAlign w:val="center"/>
          </w:tcPr>
          <w:p w14:paraId="681A6BC6"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Male</w:t>
            </w:r>
          </w:p>
        </w:tc>
        <w:tc>
          <w:tcPr>
            <w:tcW w:w="2835" w:type="dxa"/>
            <w:tcBorders>
              <w:top w:val="nil"/>
              <w:bottom w:val="nil"/>
            </w:tcBorders>
            <w:vAlign w:val="bottom"/>
          </w:tcPr>
          <w:p w14:paraId="58A5709B"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152</w:t>
            </w:r>
          </w:p>
        </w:tc>
        <w:tc>
          <w:tcPr>
            <w:tcW w:w="2736" w:type="dxa"/>
            <w:tcBorders>
              <w:top w:val="nil"/>
              <w:bottom w:val="nil"/>
            </w:tcBorders>
            <w:vAlign w:val="bottom"/>
          </w:tcPr>
          <w:p w14:paraId="5DDDD6CE"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41.3</w:t>
            </w:r>
          </w:p>
        </w:tc>
      </w:tr>
      <w:tr w:rsidR="004F4E82" w14:paraId="030187E4" w14:textId="77777777">
        <w:trPr>
          <w:trHeight w:val="20"/>
          <w:jc w:val="center"/>
        </w:trPr>
        <w:tc>
          <w:tcPr>
            <w:tcW w:w="2977" w:type="dxa"/>
            <w:tcBorders>
              <w:top w:val="nil"/>
              <w:bottom w:val="single" w:sz="4" w:space="0" w:color="000000"/>
            </w:tcBorders>
            <w:vAlign w:val="center"/>
          </w:tcPr>
          <w:p w14:paraId="1B9A9B7D"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Prefer not to say</w:t>
            </w:r>
          </w:p>
        </w:tc>
        <w:tc>
          <w:tcPr>
            <w:tcW w:w="2835" w:type="dxa"/>
            <w:tcBorders>
              <w:top w:val="nil"/>
              <w:bottom w:val="single" w:sz="4" w:space="0" w:color="000000"/>
            </w:tcBorders>
            <w:vAlign w:val="bottom"/>
          </w:tcPr>
          <w:p w14:paraId="154BC2D6"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4</w:t>
            </w:r>
          </w:p>
        </w:tc>
        <w:tc>
          <w:tcPr>
            <w:tcW w:w="2736" w:type="dxa"/>
            <w:tcBorders>
              <w:top w:val="nil"/>
              <w:bottom w:val="single" w:sz="4" w:space="0" w:color="000000"/>
            </w:tcBorders>
            <w:vAlign w:val="bottom"/>
          </w:tcPr>
          <w:p w14:paraId="167E369B"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1.1</w:t>
            </w:r>
          </w:p>
        </w:tc>
      </w:tr>
      <w:tr w:rsidR="004F4E82" w14:paraId="143C05E8" w14:textId="77777777">
        <w:trPr>
          <w:trHeight w:val="20"/>
          <w:jc w:val="center"/>
        </w:trPr>
        <w:tc>
          <w:tcPr>
            <w:tcW w:w="2977" w:type="dxa"/>
            <w:tcBorders>
              <w:top w:val="single" w:sz="4" w:space="0" w:color="000000"/>
              <w:left w:val="nil"/>
              <w:bottom w:val="single" w:sz="4" w:space="0" w:color="000000"/>
            </w:tcBorders>
            <w:vAlign w:val="center"/>
          </w:tcPr>
          <w:p w14:paraId="6CC6F66A" w14:textId="77777777" w:rsidR="004F4E82" w:rsidRDefault="00000000">
            <w:pPr>
              <w:jc w:val="center"/>
              <w:rPr>
                <w:rFonts w:ascii="Arial" w:eastAsia="Arial" w:hAnsi="Arial" w:cs="Arial"/>
                <w:color w:val="000000"/>
                <w:sz w:val="18"/>
                <w:szCs w:val="18"/>
              </w:rPr>
            </w:pPr>
            <w:r>
              <w:rPr>
                <w:rFonts w:ascii="Arial" w:eastAsia="Arial" w:hAnsi="Arial" w:cs="Arial"/>
                <w:b/>
                <w:bCs/>
                <w:color w:val="000000"/>
                <w:sz w:val="18"/>
                <w:szCs w:val="18"/>
              </w:rPr>
              <w:t>Mobile Device Use</w:t>
            </w:r>
          </w:p>
        </w:tc>
        <w:tc>
          <w:tcPr>
            <w:tcW w:w="2835" w:type="dxa"/>
            <w:tcBorders>
              <w:top w:val="single" w:sz="4" w:space="0" w:color="000000"/>
              <w:bottom w:val="single" w:sz="4" w:space="0" w:color="000000"/>
            </w:tcBorders>
            <w:vAlign w:val="bottom"/>
          </w:tcPr>
          <w:p w14:paraId="27E83061" w14:textId="77777777" w:rsidR="004F4E82" w:rsidRDefault="004F4E82">
            <w:pPr>
              <w:jc w:val="center"/>
              <w:rPr>
                <w:rFonts w:ascii="Arial" w:eastAsia="Arial" w:hAnsi="Arial" w:cs="Arial"/>
                <w:color w:val="000000"/>
                <w:sz w:val="18"/>
                <w:szCs w:val="18"/>
              </w:rPr>
            </w:pPr>
          </w:p>
        </w:tc>
        <w:tc>
          <w:tcPr>
            <w:tcW w:w="2736" w:type="dxa"/>
            <w:tcBorders>
              <w:top w:val="single" w:sz="4" w:space="0" w:color="000000"/>
              <w:bottom w:val="single" w:sz="4" w:space="0" w:color="000000"/>
              <w:right w:val="nil"/>
            </w:tcBorders>
            <w:vAlign w:val="bottom"/>
          </w:tcPr>
          <w:p w14:paraId="1194CAFD" w14:textId="77777777" w:rsidR="004F4E82" w:rsidRDefault="004F4E82">
            <w:pPr>
              <w:ind w:firstLine="288"/>
              <w:jc w:val="center"/>
              <w:rPr>
                <w:rFonts w:ascii="Arial" w:eastAsia="Arial" w:hAnsi="Arial" w:cs="Arial"/>
                <w:color w:val="000000"/>
                <w:sz w:val="18"/>
                <w:szCs w:val="18"/>
              </w:rPr>
            </w:pPr>
          </w:p>
        </w:tc>
      </w:tr>
      <w:tr w:rsidR="004F4E82" w14:paraId="6F99D4B2" w14:textId="77777777">
        <w:trPr>
          <w:trHeight w:val="20"/>
          <w:jc w:val="center"/>
        </w:trPr>
        <w:tc>
          <w:tcPr>
            <w:tcW w:w="2977" w:type="dxa"/>
            <w:tcBorders>
              <w:top w:val="single" w:sz="4" w:space="0" w:color="000000"/>
              <w:bottom w:val="nil"/>
            </w:tcBorders>
            <w:vAlign w:val="center"/>
          </w:tcPr>
          <w:p w14:paraId="5DBB5F62"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1-3 hours per day</w:t>
            </w:r>
          </w:p>
        </w:tc>
        <w:tc>
          <w:tcPr>
            <w:tcW w:w="2835" w:type="dxa"/>
            <w:tcBorders>
              <w:top w:val="single" w:sz="4" w:space="0" w:color="000000"/>
              <w:bottom w:val="nil"/>
            </w:tcBorders>
            <w:vAlign w:val="bottom"/>
          </w:tcPr>
          <w:p w14:paraId="78472517"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106</w:t>
            </w:r>
          </w:p>
        </w:tc>
        <w:tc>
          <w:tcPr>
            <w:tcW w:w="2736" w:type="dxa"/>
            <w:tcBorders>
              <w:top w:val="single" w:sz="4" w:space="0" w:color="000000"/>
              <w:bottom w:val="nil"/>
            </w:tcBorders>
            <w:vAlign w:val="bottom"/>
          </w:tcPr>
          <w:p w14:paraId="5C66D22C"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28.8</w:t>
            </w:r>
          </w:p>
        </w:tc>
      </w:tr>
      <w:tr w:rsidR="004F4E82" w14:paraId="386F8D1E" w14:textId="77777777">
        <w:trPr>
          <w:trHeight w:val="20"/>
          <w:jc w:val="center"/>
        </w:trPr>
        <w:tc>
          <w:tcPr>
            <w:tcW w:w="2977" w:type="dxa"/>
            <w:tcBorders>
              <w:top w:val="nil"/>
              <w:bottom w:val="nil"/>
            </w:tcBorders>
            <w:vAlign w:val="center"/>
          </w:tcPr>
          <w:p w14:paraId="7B81B462"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4-6 hours per day</w:t>
            </w:r>
          </w:p>
        </w:tc>
        <w:tc>
          <w:tcPr>
            <w:tcW w:w="2835" w:type="dxa"/>
            <w:tcBorders>
              <w:top w:val="nil"/>
              <w:bottom w:val="nil"/>
            </w:tcBorders>
            <w:vAlign w:val="bottom"/>
          </w:tcPr>
          <w:p w14:paraId="39F22064"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102</w:t>
            </w:r>
          </w:p>
        </w:tc>
        <w:tc>
          <w:tcPr>
            <w:tcW w:w="2736" w:type="dxa"/>
            <w:tcBorders>
              <w:top w:val="nil"/>
              <w:bottom w:val="nil"/>
            </w:tcBorders>
            <w:vAlign w:val="bottom"/>
          </w:tcPr>
          <w:p w14:paraId="18D181DC"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27.7</w:t>
            </w:r>
          </w:p>
        </w:tc>
      </w:tr>
      <w:tr w:rsidR="004F4E82" w14:paraId="0498B439" w14:textId="77777777">
        <w:trPr>
          <w:trHeight w:val="20"/>
          <w:jc w:val="center"/>
        </w:trPr>
        <w:tc>
          <w:tcPr>
            <w:tcW w:w="2977" w:type="dxa"/>
            <w:tcBorders>
              <w:top w:val="nil"/>
              <w:bottom w:val="nil"/>
            </w:tcBorders>
            <w:vAlign w:val="center"/>
          </w:tcPr>
          <w:p w14:paraId="2A859A95"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Less than 1 hour per day</w:t>
            </w:r>
          </w:p>
        </w:tc>
        <w:tc>
          <w:tcPr>
            <w:tcW w:w="2835" w:type="dxa"/>
            <w:tcBorders>
              <w:top w:val="nil"/>
              <w:bottom w:val="nil"/>
            </w:tcBorders>
            <w:vAlign w:val="bottom"/>
          </w:tcPr>
          <w:p w14:paraId="62880212"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24</w:t>
            </w:r>
          </w:p>
        </w:tc>
        <w:tc>
          <w:tcPr>
            <w:tcW w:w="2736" w:type="dxa"/>
            <w:tcBorders>
              <w:top w:val="nil"/>
              <w:bottom w:val="nil"/>
            </w:tcBorders>
            <w:vAlign w:val="bottom"/>
          </w:tcPr>
          <w:p w14:paraId="16C4525F"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6.5</w:t>
            </w:r>
          </w:p>
        </w:tc>
      </w:tr>
      <w:tr w:rsidR="004F4E82" w14:paraId="4B9829D6" w14:textId="77777777">
        <w:trPr>
          <w:trHeight w:val="20"/>
          <w:jc w:val="center"/>
        </w:trPr>
        <w:tc>
          <w:tcPr>
            <w:tcW w:w="2977" w:type="dxa"/>
            <w:tcBorders>
              <w:top w:val="nil"/>
              <w:bottom w:val="nil"/>
            </w:tcBorders>
            <w:vAlign w:val="center"/>
          </w:tcPr>
          <w:p w14:paraId="71469A8A"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More than 6 hours per day</w:t>
            </w:r>
          </w:p>
        </w:tc>
        <w:tc>
          <w:tcPr>
            <w:tcW w:w="2835" w:type="dxa"/>
            <w:tcBorders>
              <w:top w:val="nil"/>
              <w:bottom w:val="nil"/>
            </w:tcBorders>
            <w:vAlign w:val="bottom"/>
          </w:tcPr>
          <w:p w14:paraId="3CA383F0"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136</w:t>
            </w:r>
          </w:p>
        </w:tc>
        <w:tc>
          <w:tcPr>
            <w:tcW w:w="2736" w:type="dxa"/>
            <w:tcBorders>
              <w:top w:val="nil"/>
              <w:bottom w:val="nil"/>
            </w:tcBorders>
            <w:vAlign w:val="bottom"/>
          </w:tcPr>
          <w:p w14:paraId="680965ED"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37.0</w:t>
            </w:r>
          </w:p>
        </w:tc>
      </w:tr>
      <w:tr w:rsidR="004F4E82" w14:paraId="2709162E" w14:textId="77777777">
        <w:trPr>
          <w:trHeight w:val="20"/>
          <w:jc w:val="center"/>
        </w:trPr>
        <w:tc>
          <w:tcPr>
            <w:tcW w:w="2977" w:type="dxa"/>
            <w:tcBorders>
              <w:top w:val="nil"/>
              <w:bottom w:val="nil"/>
            </w:tcBorders>
            <w:vAlign w:val="center"/>
          </w:tcPr>
          <w:p w14:paraId="2789D06F" w14:textId="77777777" w:rsidR="004F4E82" w:rsidRDefault="00000000">
            <w:pPr>
              <w:jc w:val="center"/>
              <w:rPr>
                <w:rFonts w:ascii="Arial" w:eastAsia="Arial" w:hAnsi="Arial" w:cs="Arial"/>
                <w:color w:val="000000"/>
                <w:sz w:val="18"/>
                <w:szCs w:val="18"/>
              </w:rPr>
            </w:pPr>
            <w:r>
              <w:rPr>
                <w:rFonts w:ascii="Arial" w:eastAsia="Arial" w:hAnsi="Arial" w:cs="Arial"/>
                <w:b/>
                <w:bCs/>
                <w:color w:val="000000"/>
                <w:sz w:val="18"/>
                <w:szCs w:val="18"/>
              </w:rPr>
              <w:t>Mobile OS</w:t>
            </w:r>
          </w:p>
        </w:tc>
        <w:tc>
          <w:tcPr>
            <w:tcW w:w="2835" w:type="dxa"/>
            <w:tcBorders>
              <w:top w:val="nil"/>
              <w:bottom w:val="nil"/>
            </w:tcBorders>
            <w:vAlign w:val="bottom"/>
          </w:tcPr>
          <w:p w14:paraId="6D0DF60F" w14:textId="77777777" w:rsidR="004F4E82" w:rsidRDefault="004F4E82">
            <w:pPr>
              <w:jc w:val="center"/>
              <w:rPr>
                <w:rFonts w:ascii="Arial" w:eastAsia="Arial" w:hAnsi="Arial" w:cs="Arial"/>
                <w:color w:val="000000"/>
                <w:sz w:val="18"/>
                <w:szCs w:val="18"/>
              </w:rPr>
            </w:pPr>
          </w:p>
        </w:tc>
        <w:tc>
          <w:tcPr>
            <w:tcW w:w="2736" w:type="dxa"/>
            <w:tcBorders>
              <w:top w:val="nil"/>
              <w:bottom w:val="nil"/>
            </w:tcBorders>
            <w:vAlign w:val="bottom"/>
          </w:tcPr>
          <w:p w14:paraId="4BA57F15" w14:textId="77777777" w:rsidR="004F4E82" w:rsidRDefault="004F4E82">
            <w:pPr>
              <w:ind w:firstLine="288"/>
              <w:jc w:val="center"/>
              <w:rPr>
                <w:rFonts w:ascii="Arial" w:eastAsia="Arial" w:hAnsi="Arial" w:cs="Arial"/>
                <w:color w:val="000000"/>
                <w:sz w:val="18"/>
                <w:szCs w:val="18"/>
              </w:rPr>
            </w:pPr>
          </w:p>
        </w:tc>
      </w:tr>
      <w:tr w:rsidR="004F4E82" w14:paraId="379DC227" w14:textId="77777777">
        <w:trPr>
          <w:trHeight w:val="20"/>
          <w:jc w:val="center"/>
        </w:trPr>
        <w:tc>
          <w:tcPr>
            <w:tcW w:w="2977" w:type="dxa"/>
            <w:tcBorders>
              <w:top w:val="nil"/>
              <w:bottom w:val="nil"/>
            </w:tcBorders>
            <w:vAlign w:val="center"/>
          </w:tcPr>
          <w:p w14:paraId="22A4BC7A"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Android</w:t>
            </w:r>
          </w:p>
        </w:tc>
        <w:tc>
          <w:tcPr>
            <w:tcW w:w="2835" w:type="dxa"/>
            <w:tcBorders>
              <w:top w:val="nil"/>
              <w:bottom w:val="nil"/>
            </w:tcBorders>
            <w:vAlign w:val="bottom"/>
          </w:tcPr>
          <w:p w14:paraId="24DF5F07"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322</w:t>
            </w:r>
          </w:p>
        </w:tc>
        <w:tc>
          <w:tcPr>
            <w:tcW w:w="2736" w:type="dxa"/>
            <w:tcBorders>
              <w:top w:val="nil"/>
              <w:bottom w:val="nil"/>
            </w:tcBorders>
            <w:vAlign w:val="bottom"/>
          </w:tcPr>
          <w:p w14:paraId="284D46B1"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87.5</w:t>
            </w:r>
          </w:p>
        </w:tc>
      </w:tr>
      <w:tr w:rsidR="004F4E82" w14:paraId="18137B0D" w14:textId="77777777">
        <w:trPr>
          <w:trHeight w:val="20"/>
          <w:jc w:val="center"/>
        </w:trPr>
        <w:tc>
          <w:tcPr>
            <w:tcW w:w="2977" w:type="dxa"/>
            <w:tcBorders>
              <w:top w:val="nil"/>
              <w:bottom w:val="single" w:sz="4" w:space="0" w:color="000000"/>
            </w:tcBorders>
            <w:vAlign w:val="center"/>
          </w:tcPr>
          <w:p w14:paraId="3A2E2171"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iOS</w:t>
            </w:r>
          </w:p>
        </w:tc>
        <w:tc>
          <w:tcPr>
            <w:tcW w:w="2835" w:type="dxa"/>
            <w:tcBorders>
              <w:top w:val="nil"/>
              <w:bottom w:val="single" w:sz="4" w:space="0" w:color="000000"/>
            </w:tcBorders>
            <w:vAlign w:val="bottom"/>
          </w:tcPr>
          <w:p w14:paraId="16C5CCA3"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46</w:t>
            </w:r>
          </w:p>
        </w:tc>
        <w:tc>
          <w:tcPr>
            <w:tcW w:w="2736" w:type="dxa"/>
            <w:tcBorders>
              <w:top w:val="nil"/>
              <w:bottom w:val="single" w:sz="4" w:space="0" w:color="000000"/>
            </w:tcBorders>
            <w:vAlign w:val="bottom"/>
          </w:tcPr>
          <w:p w14:paraId="3D4841DC"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12.5</w:t>
            </w:r>
          </w:p>
        </w:tc>
      </w:tr>
      <w:tr w:rsidR="004F4E82" w14:paraId="5AAC2969" w14:textId="77777777">
        <w:trPr>
          <w:trHeight w:val="20"/>
          <w:jc w:val="center"/>
        </w:trPr>
        <w:tc>
          <w:tcPr>
            <w:tcW w:w="2977" w:type="dxa"/>
            <w:tcBorders>
              <w:top w:val="single" w:sz="4" w:space="0" w:color="000000"/>
              <w:bottom w:val="single" w:sz="4" w:space="0" w:color="000000"/>
            </w:tcBorders>
            <w:vAlign w:val="center"/>
          </w:tcPr>
          <w:p w14:paraId="3E646B4D" w14:textId="77777777" w:rsidR="004F4E82" w:rsidRDefault="00000000">
            <w:pPr>
              <w:jc w:val="center"/>
              <w:rPr>
                <w:rFonts w:ascii="Arial" w:eastAsia="Arial" w:hAnsi="Arial" w:cs="Arial"/>
                <w:color w:val="000000"/>
                <w:sz w:val="18"/>
                <w:szCs w:val="18"/>
              </w:rPr>
            </w:pPr>
            <w:r>
              <w:rPr>
                <w:rFonts w:ascii="Arial" w:eastAsia="Arial" w:hAnsi="Arial" w:cs="Arial"/>
                <w:b/>
                <w:bCs/>
                <w:color w:val="000000"/>
                <w:sz w:val="18"/>
                <w:szCs w:val="18"/>
              </w:rPr>
              <w:t>Malware Type</w:t>
            </w:r>
          </w:p>
        </w:tc>
        <w:tc>
          <w:tcPr>
            <w:tcW w:w="2835" w:type="dxa"/>
            <w:tcBorders>
              <w:top w:val="single" w:sz="4" w:space="0" w:color="000000"/>
              <w:bottom w:val="single" w:sz="4" w:space="0" w:color="000000"/>
            </w:tcBorders>
            <w:vAlign w:val="bottom"/>
          </w:tcPr>
          <w:p w14:paraId="2D75510D" w14:textId="77777777" w:rsidR="004F4E82" w:rsidRDefault="004F4E82">
            <w:pPr>
              <w:jc w:val="center"/>
              <w:rPr>
                <w:rFonts w:ascii="Arial" w:eastAsia="Arial" w:hAnsi="Arial" w:cs="Arial"/>
                <w:color w:val="000000"/>
                <w:sz w:val="18"/>
                <w:szCs w:val="18"/>
              </w:rPr>
            </w:pPr>
          </w:p>
        </w:tc>
        <w:tc>
          <w:tcPr>
            <w:tcW w:w="2736" w:type="dxa"/>
            <w:tcBorders>
              <w:top w:val="single" w:sz="4" w:space="0" w:color="000000"/>
              <w:bottom w:val="single" w:sz="4" w:space="0" w:color="000000"/>
            </w:tcBorders>
            <w:vAlign w:val="bottom"/>
          </w:tcPr>
          <w:p w14:paraId="08B31EAB" w14:textId="77777777" w:rsidR="004F4E82" w:rsidRDefault="004F4E82">
            <w:pPr>
              <w:ind w:firstLine="288"/>
              <w:jc w:val="center"/>
              <w:rPr>
                <w:rFonts w:ascii="Arial" w:eastAsia="Arial" w:hAnsi="Arial" w:cs="Arial"/>
                <w:color w:val="000000"/>
                <w:sz w:val="18"/>
                <w:szCs w:val="18"/>
              </w:rPr>
            </w:pPr>
          </w:p>
        </w:tc>
      </w:tr>
      <w:tr w:rsidR="004F4E82" w14:paraId="32062BE8" w14:textId="77777777">
        <w:trPr>
          <w:trHeight w:val="20"/>
          <w:jc w:val="center"/>
        </w:trPr>
        <w:tc>
          <w:tcPr>
            <w:tcW w:w="2977" w:type="dxa"/>
            <w:tcBorders>
              <w:top w:val="single" w:sz="4" w:space="0" w:color="000000"/>
              <w:bottom w:val="nil"/>
            </w:tcBorders>
            <w:vAlign w:val="center"/>
          </w:tcPr>
          <w:p w14:paraId="19BD9031"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Adware</w:t>
            </w:r>
          </w:p>
        </w:tc>
        <w:tc>
          <w:tcPr>
            <w:tcW w:w="2835" w:type="dxa"/>
            <w:tcBorders>
              <w:top w:val="single" w:sz="4" w:space="0" w:color="000000"/>
              <w:bottom w:val="nil"/>
            </w:tcBorders>
            <w:vAlign w:val="bottom"/>
          </w:tcPr>
          <w:p w14:paraId="1851629F"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118</w:t>
            </w:r>
          </w:p>
        </w:tc>
        <w:tc>
          <w:tcPr>
            <w:tcW w:w="2736" w:type="dxa"/>
            <w:tcBorders>
              <w:top w:val="single" w:sz="4" w:space="0" w:color="000000"/>
              <w:bottom w:val="nil"/>
            </w:tcBorders>
            <w:vAlign w:val="bottom"/>
          </w:tcPr>
          <w:p w14:paraId="054137CB"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32.1</w:t>
            </w:r>
          </w:p>
        </w:tc>
      </w:tr>
      <w:tr w:rsidR="004F4E82" w14:paraId="43C33151" w14:textId="77777777">
        <w:trPr>
          <w:trHeight w:val="20"/>
          <w:jc w:val="center"/>
        </w:trPr>
        <w:tc>
          <w:tcPr>
            <w:tcW w:w="2977" w:type="dxa"/>
            <w:tcBorders>
              <w:top w:val="nil"/>
              <w:bottom w:val="nil"/>
            </w:tcBorders>
            <w:vAlign w:val="center"/>
          </w:tcPr>
          <w:p w14:paraId="31CF2FDC"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Phishing</w:t>
            </w:r>
          </w:p>
        </w:tc>
        <w:tc>
          <w:tcPr>
            <w:tcW w:w="2835" w:type="dxa"/>
            <w:tcBorders>
              <w:top w:val="nil"/>
              <w:bottom w:val="nil"/>
            </w:tcBorders>
            <w:vAlign w:val="bottom"/>
          </w:tcPr>
          <w:p w14:paraId="746BD6D2"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87</w:t>
            </w:r>
          </w:p>
        </w:tc>
        <w:tc>
          <w:tcPr>
            <w:tcW w:w="2736" w:type="dxa"/>
            <w:tcBorders>
              <w:top w:val="nil"/>
              <w:bottom w:val="nil"/>
            </w:tcBorders>
            <w:vAlign w:val="bottom"/>
          </w:tcPr>
          <w:p w14:paraId="681D3690"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23.6</w:t>
            </w:r>
          </w:p>
        </w:tc>
      </w:tr>
      <w:tr w:rsidR="004F4E82" w14:paraId="04763290" w14:textId="77777777">
        <w:trPr>
          <w:trHeight w:val="20"/>
          <w:jc w:val="center"/>
        </w:trPr>
        <w:tc>
          <w:tcPr>
            <w:tcW w:w="2977" w:type="dxa"/>
            <w:tcBorders>
              <w:top w:val="nil"/>
              <w:bottom w:val="nil"/>
            </w:tcBorders>
            <w:vAlign w:val="center"/>
          </w:tcPr>
          <w:p w14:paraId="3247C5B2"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Ransomware</w:t>
            </w:r>
          </w:p>
        </w:tc>
        <w:tc>
          <w:tcPr>
            <w:tcW w:w="2835" w:type="dxa"/>
            <w:tcBorders>
              <w:top w:val="nil"/>
              <w:bottom w:val="nil"/>
            </w:tcBorders>
            <w:vAlign w:val="bottom"/>
          </w:tcPr>
          <w:p w14:paraId="06780C45"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23</w:t>
            </w:r>
          </w:p>
        </w:tc>
        <w:tc>
          <w:tcPr>
            <w:tcW w:w="2736" w:type="dxa"/>
            <w:tcBorders>
              <w:top w:val="nil"/>
              <w:bottom w:val="nil"/>
            </w:tcBorders>
            <w:vAlign w:val="bottom"/>
          </w:tcPr>
          <w:p w14:paraId="467B54EF"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6.3</w:t>
            </w:r>
          </w:p>
        </w:tc>
      </w:tr>
      <w:tr w:rsidR="004F4E82" w14:paraId="44828CAD" w14:textId="77777777">
        <w:trPr>
          <w:trHeight w:val="20"/>
          <w:jc w:val="center"/>
        </w:trPr>
        <w:tc>
          <w:tcPr>
            <w:tcW w:w="2977" w:type="dxa"/>
            <w:tcBorders>
              <w:top w:val="nil"/>
              <w:bottom w:val="nil"/>
            </w:tcBorders>
            <w:vAlign w:val="center"/>
          </w:tcPr>
          <w:p w14:paraId="457E7AB4"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Spyware</w:t>
            </w:r>
          </w:p>
        </w:tc>
        <w:tc>
          <w:tcPr>
            <w:tcW w:w="2835" w:type="dxa"/>
            <w:tcBorders>
              <w:top w:val="nil"/>
              <w:bottom w:val="nil"/>
            </w:tcBorders>
            <w:vAlign w:val="bottom"/>
          </w:tcPr>
          <w:p w14:paraId="203634AB"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54</w:t>
            </w:r>
          </w:p>
        </w:tc>
        <w:tc>
          <w:tcPr>
            <w:tcW w:w="2736" w:type="dxa"/>
            <w:tcBorders>
              <w:top w:val="nil"/>
              <w:bottom w:val="nil"/>
            </w:tcBorders>
            <w:vAlign w:val="bottom"/>
          </w:tcPr>
          <w:p w14:paraId="5A8F3F77"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14.7</w:t>
            </w:r>
          </w:p>
        </w:tc>
      </w:tr>
      <w:tr w:rsidR="004F4E82" w14:paraId="35B63AD4" w14:textId="77777777">
        <w:trPr>
          <w:trHeight w:val="20"/>
          <w:jc w:val="center"/>
        </w:trPr>
        <w:tc>
          <w:tcPr>
            <w:tcW w:w="2977" w:type="dxa"/>
            <w:tcBorders>
              <w:top w:val="nil"/>
              <w:bottom w:val="nil"/>
            </w:tcBorders>
            <w:vAlign w:val="center"/>
          </w:tcPr>
          <w:p w14:paraId="5F5B9785"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Trojan</w:t>
            </w:r>
          </w:p>
        </w:tc>
        <w:tc>
          <w:tcPr>
            <w:tcW w:w="2835" w:type="dxa"/>
            <w:tcBorders>
              <w:top w:val="nil"/>
              <w:bottom w:val="nil"/>
            </w:tcBorders>
            <w:vAlign w:val="bottom"/>
          </w:tcPr>
          <w:p w14:paraId="57D0BEE1" w14:textId="77777777" w:rsidR="004F4E82" w:rsidRDefault="00000000">
            <w:pPr>
              <w:jc w:val="center"/>
              <w:rPr>
                <w:rFonts w:ascii="Arial" w:eastAsia="Arial" w:hAnsi="Arial" w:cs="Arial"/>
                <w:color w:val="000000"/>
                <w:sz w:val="18"/>
                <w:szCs w:val="18"/>
              </w:rPr>
            </w:pPr>
            <w:r>
              <w:rPr>
                <w:rFonts w:ascii="Arial" w:eastAsia="Arial" w:hAnsi="Arial" w:cs="Arial"/>
                <w:color w:val="000000"/>
                <w:sz w:val="18"/>
                <w:szCs w:val="18"/>
              </w:rPr>
              <w:t>86</w:t>
            </w:r>
          </w:p>
        </w:tc>
        <w:tc>
          <w:tcPr>
            <w:tcW w:w="2736" w:type="dxa"/>
            <w:tcBorders>
              <w:top w:val="nil"/>
              <w:bottom w:val="nil"/>
            </w:tcBorders>
            <w:vAlign w:val="bottom"/>
          </w:tcPr>
          <w:p w14:paraId="7E379759" w14:textId="77777777" w:rsidR="004F4E82" w:rsidRDefault="00000000">
            <w:pPr>
              <w:ind w:firstLine="288"/>
              <w:jc w:val="center"/>
              <w:rPr>
                <w:rFonts w:ascii="Arial" w:eastAsia="Arial" w:hAnsi="Arial" w:cs="Arial"/>
                <w:color w:val="000000"/>
                <w:sz w:val="18"/>
                <w:szCs w:val="18"/>
              </w:rPr>
            </w:pPr>
            <w:r>
              <w:rPr>
                <w:rFonts w:ascii="Arial" w:eastAsia="Arial" w:hAnsi="Arial" w:cs="Arial"/>
                <w:color w:val="000000"/>
                <w:sz w:val="18"/>
                <w:szCs w:val="18"/>
              </w:rPr>
              <w:t>23.4</w:t>
            </w:r>
          </w:p>
        </w:tc>
      </w:tr>
    </w:tbl>
    <w:p w14:paraId="2AFB967B" w14:textId="77777777" w:rsidR="004F4E82" w:rsidRDefault="004F4E82">
      <w:pPr>
        <w:tabs>
          <w:tab w:val="left" w:pos="360"/>
          <w:tab w:val="left" w:pos="720"/>
        </w:tabs>
        <w:jc w:val="both"/>
      </w:pPr>
    </w:p>
    <w:p w14:paraId="10C8C0C2" w14:textId="77777777" w:rsidR="004F4E82" w:rsidRDefault="00000000">
      <w:pPr>
        <w:tabs>
          <w:tab w:val="left" w:pos="360"/>
          <w:tab w:val="left" w:pos="720"/>
        </w:tabs>
        <w:jc w:val="both"/>
        <w:rPr>
          <w:rFonts w:ascii="Arial" w:eastAsia="Arial" w:hAnsi="Arial" w:cs="Arial"/>
        </w:rPr>
      </w:pPr>
      <w:r>
        <w:rPr>
          <w:rFonts w:ascii="Arial" w:eastAsia="Arial" w:hAnsi="Arial" w:cs="Arial"/>
        </w:rPr>
        <w:t>Malware Awareness of Faculty and Students</w:t>
      </w:r>
    </w:p>
    <w:p w14:paraId="00977E50" w14:textId="2E07C996" w:rsidR="004F4E82" w:rsidRDefault="00000000">
      <w:pPr>
        <w:tabs>
          <w:tab w:val="left" w:pos="360"/>
          <w:tab w:val="left" w:pos="720"/>
        </w:tabs>
        <w:jc w:val="both"/>
        <w:rPr>
          <w:rFonts w:ascii="Arial" w:eastAsia="Arial" w:hAnsi="Arial" w:cs="Arial"/>
        </w:rPr>
      </w:pPr>
      <w:r>
        <w:rPr>
          <w:rFonts w:ascii="Arial" w:eastAsia="Arial" w:hAnsi="Arial" w:cs="Arial"/>
        </w:rPr>
        <w:tab/>
      </w:r>
      <w:r>
        <w:rPr>
          <w:rFonts w:ascii="Arial" w:eastAsia="Arial" w:hAnsi="Arial" w:cs="Arial"/>
        </w:rPr>
        <w:tab/>
        <w:t xml:space="preserve">Figure 2 presents an assessment of </w:t>
      </w:r>
      <w:r w:rsidR="00665F9B">
        <w:rPr>
          <w:rFonts w:ascii="Arial" w:eastAsia="Arial" w:hAnsi="Arial" w:cs="Arial"/>
        </w:rPr>
        <w:t>faculty and students' average knowledge of and awareness of different malware types</w:t>
      </w:r>
      <w:r>
        <w:rPr>
          <w:rFonts w:ascii="Arial" w:eastAsia="Arial" w:hAnsi="Arial" w:cs="Arial"/>
        </w:rPr>
        <w:t>. The y-axis corresponds to the average score in the ‘malware awareness’ section on a 0 to 3.5 scale</w:t>
      </w:r>
      <w:r w:rsidR="00665F9B">
        <w:rPr>
          <w:rFonts w:ascii="Arial" w:eastAsia="Arial" w:hAnsi="Arial" w:cs="Arial"/>
        </w:rPr>
        <w:t>, with the higher numbers indicating a</w:t>
      </w:r>
      <w:r>
        <w:rPr>
          <w:rFonts w:ascii="Arial" w:eastAsia="Arial" w:hAnsi="Arial" w:cs="Arial"/>
        </w:rPr>
        <w:t xml:space="preserve"> better level of understanding of </w:t>
      </w:r>
      <w:r w:rsidR="00DF72B9">
        <w:rPr>
          <w:rFonts w:ascii="Arial" w:eastAsia="Arial" w:hAnsi="Arial" w:cs="Arial"/>
        </w:rPr>
        <w:t>cybercrime</w:t>
      </w:r>
      <w:r>
        <w:rPr>
          <w:rFonts w:ascii="Arial" w:eastAsia="Arial" w:hAnsi="Arial" w:cs="Arial"/>
        </w:rPr>
        <w:t xml:space="preserve">. The x-axis depicts the different categories of </w:t>
      </w:r>
      <w:r w:rsidR="00665F9B">
        <w:rPr>
          <w:rFonts w:ascii="Arial" w:eastAsia="Arial" w:hAnsi="Arial" w:cs="Arial"/>
        </w:rPr>
        <w:t>malware, as indicated by the legend colors, including adware, phishing, ransomware, smishing, spyware, trojans, vishing, man-in-the-middle attacks, zero-day exploits, and other malware types</w:t>
      </w:r>
      <w:r>
        <w:rPr>
          <w:rFonts w:ascii="Arial" w:eastAsia="Arial" w:hAnsi="Arial" w:cs="Arial"/>
        </w:rPr>
        <w:t xml:space="preserve">. The chart also </w:t>
      </w:r>
      <w:r w:rsidR="00665F9B">
        <w:rPr>
          <w:rFonts w:ascii="Arial" w:eastAsia="Arial" w:hAnsi="Arial" w:cs="Arial"/>
        </w:rPr>
        <w:t>shows the two groups used in the survey:</w:t>
      </w:r>
      <w:r>
        <w:rPr>
          <w:rFonts w:ascii="Arial" w:eastAsia="Arial" w:hAnsi="Arial" w:cs="Arial"/>
        </w:rPr>
        <w:t xml:space="preserve"> faculty members (indicator Respondent Type 1) and students (indicator Respondent Type 2). Faculty </w:t>
      </w:r>
      <w:r w:rsidR="00665F9B">
        <w:rPr>
          <w:rFonts w:ascii="Arial" w:eastAsia="Arial" w:hAnsi="Arial" w:cs="Arial"/>
        </w:rPr>
        <w:t xml:space="preserve">members' attitudinal aspects, between 2.5 and 3.0, do not change across most types of </w:t>
      </w:r>
      <w:proofErr w:type="gramStart"/>
      <w:r w:rsidR="00665F9B">
        <w:rPr>
          <w:rFonts w:ascii="Arial" w:eastAsia="Arial" w:hAnsi="Arial" w:cs="Arial"/>
        </w:rPr>
        <w:t>malware</w:t>
      </w:r>
      <w:proofErr w:type="gramEnd"/>
      <w:r w:rsidR="00665F9B">
        <w:rPr>
          <w:rFonts w:ascii="Arial" w:eastAsia="Arial" w:hAnsi="Arial" w:cs="Arial"/>
        </w:rPr>
        <w:t xml:space="preserve"> from one faculty to another, with </w:t>
      </w:r>
      <w:r>
        <w:rPr>
          <w:rFonts w:ascii="Arial" w:eastAsia="Arial" w:hAnsi="Arial" w:cs="Arial"/>
        </w:rPr>
        <w:t xml:space="preserve">Adware, Spyware, and other higher classes of malware being </w:t>
      </w:r>
      <w:r w:rsidR="00665F9B">
        <w:rPr>
          <w:rFonts w:ascii="Arial" w:eastAsia="Arial" w:hAnsi="Arial" w:cs="Arial"/>
        </w:rPr>
        <w:t xml:space="preserve">the </w:t>
      </w:r>
      <w:r>
        <w:rPr>
          <w:rFonts w:ascii="Arial" w:eastAsia="Arial" w:hAnsi="Arial" w:cs="Arial"/>
        </w:rPr>
        <w:t xml:space="preserve">most familiar. In contrast, the Phishing alertness </w:t>
      </w:r>
      <w:r w:rsidR="00665F9B">
        <w:rPr>
          <w:rFonts w:ascii="Arial" w:eastAsia="Arial" w:hAnsi="Arial" w:cs="Arial"/>
        </w:rPr>
        <w:t xml:space="preserve">of the image-clicking faculty members is approximately </w:t>
      </w:r>
      <w:r>
        <w:rPr>
          <w:rFonts w:ascii="Arial" w:eastAsia="Arial" w:hAnsi="Arial" w:cs="Arial"/>
        </w:rPr>
        <w:t>2.0.</w:t>
      </w:r>
    </w:p>
    <w:p w14:paraId="4ED58081" w14:textId="1CAE3F58" w:rsidR="004F4E82" w:rsidRDefault="00000000">
      <w:pPr>
        <w:tabs>
          <w:tab w:val="left" w:pos="360"/>
          <w:tab w:val="left" w:pos="720"/>
        </w:tabs>
        <w:jc w:val="both"/>
        <w:rPr>
          <w:rFonts w:ascii="Arial" w:eastAsia="Arial" w:hAnsi="Arial" w:cs="Arial"/>
        </w:rPr>
      </w:pPr>
      <w:r>
        <w:rPr>
          <w:rFonts w:ascii="Arial" w:eastAsia="Arial" w:hAnsi="Arial" w:cs="Arial"/>
        </w:rPr>
        <w:tab/>
      </w:r>
      <w:r>
        <w:rPr>
          <w:rFonts w:ascii="Arial" w:eastAsia="Arial" w:hAnsi="Arial" w:cs="Arial"/>
        </w:rPr>
        <w:tab/>
        <w:t xml:space="preserve">However, the students </w:t>
      </w:r>
      <w:r w:rsidR="0078381E">
        <w:rPr>
          <w:rFonts w:ascii="Arial" w:eastAsia="Arial" w:hAnsi="Arial" w:cs="Arial"/>
        </w:rPr>
        <w:t>recorded</w:t>
      </w:r>
      <w:r>
        <w:rPr>
          <w:rFonts w:ascii="Arial" w:eastAsia="Arial" w:hAnsi="Arial" w:cs="Arial"/>
        </w:rPr>
        <w:t xml:space="preserve"> slightly higher awareness levels, with </w:t>
      </w:r>
      <w:r w:rsidR="00665F9B">
        <w:rPr>
          <w:rFonts w:ascii="Arial" w:eastAsia="Arial" w:hAnsi="Arial" w:cs="Arial"/>
        </w:rPr>
        <w:t>a score</w:t>
      </w:r>
      <w:r>
        <w:rPr>
          <w:rFonts w:ascii="Arial" w:eastAsia="Arial" w:hAnsi="Arial" w:cs="Arial"/>
        </w:rPr>
        <w:t xml:space="preserve"> of 3.5. Vishing, Zero-day exploits</w:t>
      </w:r>
      <w:r w:rsidR="00665F9B">
        <w:rPr>
          <w:rFonts w:ascii="Arial" w:eastAsia="Arial" w:hAnsi="Arial" w:cs="Arial"/>
        </w:rPr>
        <w:t xml:space="preserve">, and general Types of </w:t>
      </w:r>
      <w:proofErr w:type="gramStart"/>
      <w:r w:rsidR="00665F9B">
        <w:rPr>
          <w:rFonts w:ascii="Arial" w:eastAsia="Arial" w:hAnsi="Arial" w:cs="Arial"/>
        </w:rPr>
        <w:t>malware</w:t>
      </w:r>
      <w:proofErr w:type="gramEnd"/>
      <w:r>
        <w:rPr>
          <w:rFonts w:ascii="Arial" w:eastAsia="Arial" w:hAnsi="Arial" w:cs="Arial"/>
        </w:rPr>
        <w:t xml:space="preserve"> are the </w:t>
      </w:r>
      <w:r w:rsidR="007E5A96">
        <w:rPr>
          <w:rFonts w:ascii="Arial" w:eastAsia="Arial" w:hAnsi="Arial" w:cs="Arial"/>
        </w:rPr>
        <w:t>most well-</w:t>
      </w:r>
      <w:r>
        <w:rPr>
          <w:rFonts w:ascii="Arial" w:eastAsia="Arial" w:hAnsi="Arial" w:cs="Arial"/>
        </w:rPr>
        <w:t xml:space="preserve">known </w:t>
      </w:r>
      <w:r w:rsidR="00665F9B">
        <w:rPr>
          <w:rFonts w:ascii="Arial" w:eastAsia="Arial" w:hAnsi="Arial" w:cs="Arial"/>
        </w:rPr>
        <w:t xml:space="preserve">threats among </w:t>
      </w:r>
      <w:r>
        <w:rPr>
          <w:rFonts w:ascii="Arial" w:eastAsia="Arial" w:hAnsi="Arial" w:cs="Arial"/>
        </w:rPr>
        <w:t xml:space="preserve">students. </w:t>
      </w:r>
      <w:proofErr w:type="spellStart"/>
      <w:r w:rsidR="007A2A87">
        <w:rPr>
          <w:rFonts w:ascii="Arial" w:eastAsia="Arial" w:hAnsi="Arial" w:cs="Arial"/>
        </w:rPr>
        <w:t>Katuk</w:t>
      </w:r>
      <w:proofErr w:type="spellEnd"/>
      <w:r w:rsidR="007A2A87">
        <w:rPr>
          <w:rFonts w:ascii="Arial" w:eastAsia="Arial" w:hAnsi="Arial" w:cs="Arial"/>
        </w:rPr>
        <w:t xml:space="preserve"> et al. (2023) demonstrated that structured training significantly improves students’ ability to identify malicious software, recognize digital threats, and adopt safer online practices. </w:t>
      </w:r>
      <w:r>
        <w:rPr>
          <w:rFonts w:ascii="Arial" w:eastAsia="Arial" w:hAnsi="Arial" w:cs="Arial"/>
        </w:rPr>
        <w:t xml:space="preserve">This is </w:t>
      </w:r>
      <w:r w:rsidR="007E5A96">
        <w:rPr>
          <w:rFonts w:ascii="Arial" w:eastAsia="Arial" w:hAnsi="Arial" w:cs="Arial"/>
        </w:rPr>
        <w:t>not</w:t>
      </w:r>
      <w:r>
        <w:rPr>
          <w:rFonts w:ascii="Arial" w:eastAsia="Arial" w:hAnsi="Arial" w:cs="Arial"/>
        </w:rPr>
        <w:t xml:space="preserve"> the case with Phishing and Ransomware</w:t>
      </w:r>
      <w:r w:rsidR="00665F9B">
        <w:rPr>
          <w:rFonts w:ascii="Arial" w:eastAsia="Arial" w:hAnsi="Arial" w:cs="Arial"/>
        </w:rPr>
        <w:t xml:space="preserve">, which remain at the lower end of </w:t>
      </w:r>
      <w:r w:rsidR="0078381E">
        <w:rPr>
          <w:rFonts w:ascii="Arial" w:eastAsia="Arial" w:hAnsi="Arial" w:cs="Arial"/>
        </w:rPr>
        <w:t>students' awareness</w:t>
      </w:r>
      <w:r w:rsidR="00665F9B">
        <w:rPr>
          <w:rFonts w:ascii="Arial" w:eastAsia="Arial" w:hAnsi="Arial" w:cs="Arial"/>
        </w:rPr>
        <w:t xml:space="preserve">, but students always have a better understanding of these threats than </w:t>
      </w:r>
      <w:r>
        <w:rPr>
          <w:rFonts w:ascii="Arial" w:eastAsia="Arial" w:hAnsi="Arial" w:cs="Arial"/>
        </w:rPr>
        <w:t xml:space="preserve">faculty. In other words, malware awareness is </w:t>
      </w:r>
      <w:r w:rsidR="00665F9B">
        <w:rPr>
          <w:rFonts w:ascii="Arial" w:eastAsia="Arial" w:hAnsi="Arial" w:cs="Arial"/>
        </w:rPr>
        <w:t>moderate to high among both faculty and students. However, students demonstrate better comprehension than faculty,</w:t>
      </w:r>
      <w:r>
        <w:rPr>
          <w:rFonts w:ascii="Arial" w:eastAsia="Arial" w:hAnsi="Arial" w:cs="Arial"/>
        </w:rPr>
        <w:t xml:space="preserve"> especially regarding advanced threats such as Zero-day exploits and Vishing. On the other hand, </w:t>
      </w:r>
      <w:r w:rsidR="00665F9B">
        <w:rPr>
          <w:rFonts w:ascii="Arial" w:eastAsia="Arial" w:hAnsi="Arial" w:cs="Arial"/>
        </w:rPr>
        <w:t xml:space="preserve">phishing awareness in both groups was lower than for other types of </w:t>
      </w:r>
      <w:proofErr w:type="gramStart"/>
      <w:r w:rsidR="00665F9B">
        <w:rPr>
          <w:rFonts w:ascii="Arial" w:eastAsia="Arial" w:hAnsi="Arial" w:cs="Arial"/>
        </w:rPr>
        <w:t>malware</w:t>
      </w:r>
      <w:proofErr w:type="gramEnd"/>
      <w:r w:rsidR="00665F9B">
        <w:rPr>
          <w:rFonts w:ascii="Arial" w:eastAsia="Arial" w:hAnsi="Arial" w:cs="Arial"/>
        </w:rPr>
        <w:t xml:space="preserve">. </w:t>
      </w:r>
      <w:r w:rsidR="00047F75">
        <w:rPr>
          <w:rFonts w:ascii="Arial" w:eastAsia="Arial" w:hAnsi="Arial" w:cs="Arial"/>
        </w:rPr>
        <w:t>These disparities reflect the complexity of user behavior in cybersecurity, where individuals often differ in risk perception, attention, and susceptibility to manipulation (</w:t>
      </w:r>
      <w:proofErr w:type="spellStart"/>
      <w:r w:rsidR="00047F75">
        <w:rPr>
          <w:rFonts w:ascii="Arial" w:eastAsia="Arial" w:hAnsi="Arial" w:cs="Arial"/>
        </w:rPr>
        <w:t>Baltuttis</w:t>
      </w:r>
      <w:proofErr w:type="spellEnd"/>
      <w:r w:rsidR="00047F75">
        <w:rPr>
          <w:rFonts w:ascii="Arial" w:eastAsia="Arial" w:hAnsi="Arial" w:cs="Arial"/>
        </w:rPr>
        <w:t xml:space="preserve"> et al, 2024).</w:t>
      </w:r>
    </w:p>
    <w:p w14:paraId="6FAFAC9A" w14:textId="77777777" w:rsidR="004F4E82" w:rsidRDefault="004F4E82">
      <w:pPr>
        <w:tabs>
          <w:tab w:val="left" w:pos="1080"/>
        </w:tabs>
        <w:jc w:val="both"/>
        <w:rPr>
          <w:rFonts w:ascii="Arial" w:eastAsia="Arial" w:hAnsi="Arial" w:cs="Arial"/>
          <w:b/>
          <w:bCs/>
        </w:rPr>
      </w:pPr>
    </w:p>
    <w:p w14:paraId="417D9026" w14:textId="1433813D" w:rsidR="004F4E82" w:rsidRDefault="00000000">
      <w:pPr>
        <w:tabs>
          <w:tab w:val="left" w:pos="360"/>
          <w:tab w:val="left" w:pos="720"/>
        </w:tabs>
        <w:spacing w:line="276" w:lineRule="auto"/>
        <w:jc w:val="both"/>
        <w:rPr>
          <w:rFonts w:ascii="Arial" w:eastAsia="Arial" w:hAnsi="Arial" w:cs="Arial"/>
        </w:rPr>
      </w:pPr>
      <w:r>
        <w:rPr>
          <w:rFonts w:ascii="Arial" w:eastAsia="Arial" w:hAnsi="Arial" w:cs="Arial"/>
          <w:b/>
          <w:bCs/>
        </w:rPr>
        <w:t>Figure 2</w:t>
      </w:r>
      <w:r w:rsidR="00665F9B">
        <w:rPr>
          <w:rFonts w:ascii="Arial" w:eastAsia="Arial" w:hAnsi="Arial" w:cs="Arial"/>
          <w:b/>
          <w:bCs/>
        </w:rPr>
        <w:t>:</w:t>
      </w:r>
      <w:r>
        <w:rPr>
          <w:rFonts w:ascii="Arial" w:eastAsia="Arial" w:hAnsi="Arial" w:cs="Arial"/>
          <w:b/>
          <w:bCs/>
        </w:rPr>
        <w:t xml:space="preserve"> </w:t>
      </w:r>
      <w:r>
        <w:rPr>
          <w:rFonts w:ascii="Arial" w:eastAsia="Arial" w:hAnsi="Arial" w:cs="Arial"/>
        </w:rPr>
        <w:t>Malware Awareness of Faculty and Students</w:t>
      </w:r>
      <w:r>
        <w:rPr>
          <w:noProof/>
        </w:rPr>
        <w:drawing>
          <wp:anchor distT="0" distB="0" distL="114300" distR="114300" simplePos="0" relativeHeight="251659264" behindDoc="0" locked="0" layoutInCell="1" hidden="0" allowOverlap="1" wp14:anchorId="045E4EAE" wp14:editId="30FD2096">
            <wp:simplePos x="0" y="0"/>
            <wp:positionH relativeFrom="column">
              <wp:posOffset>1112609</wp:posOffset>
            </wp:positionH>
            <wp:positionV relativeFrom="paragraph">
              <wp:posOffset>233340</wp:posOffset>
            </wp:positionV>
            <wp:extent cx="3380412" cy="2062475"/>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4846"/>
                    <a:stretch>
                      <a:fillRect/>
                    </a:stretch>
                  </pic:blipFill>
                  <pic:spPr>
                    <a:xfrm>
                      <a:off x="0" y="0"/>
                      <a:ext cx="3380412" cy="2062475"/>
                    </a:xfrm>
                    <a:prstGeom prst="rect">
                      <a:avLst/>
                    </a:prstGeom>
                    <a:ln/>
                  </pic:spPr>
                </pic:pic>
              </a:graphicData>
            </a:graphic>
          </wp:anchor>
        </w:drawing>
      </w:r>
    </w:p>
    <w:p w14:paraId="090FD38E" w14:textId="77777777" w:rsidR="004F4E82"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smallCaps/>
          <w:color w:val="000000"/>
          <w:sz w:val="22"/>
          <w:szCs w:val="22"/>
        </w:rPr>
        <w:t xml:space="preserve">3.1 </w:t>
      </w:r>
      <w:r>
        <w:rPr>
          <w:rFonts w:ascii="Arial" w:eastAsia="Arial" w:hAnsi="Arial" w:cs="Arial"/>
          <w:b/>
          <w:bCs/>
          <w:color w:val="000000"/>
          <w:sz w:val="22"/>
          <w:szCs w:val="22"/>
        </w:rPr>
        <w:t>Security Practices of Faculty and Students</w:t>
      </w:r>
    </w:p>
    <w:p w14:paraId="3F33A895" w14:textId="77777777" w:rsidR="004F4E82" w:rsidRDefault="004F4E82">
      <w:pPr>
        <w:tabs>
          <w:tab w:val="left" w:pos="360"/>
          <w:tab w:val="left" w:pos="720"/>
        </w:tabs>
        <w:spacing w:line="276" w:lineRule="auto"/>
        <w:jc w:val="both"/>
      </w:pPr>
    </w:p>
    <w:p w14:paraId="3BD7263C" w14:textId="76FA3AFB" w:rsidR="004F4E82" w:rsidRDefault="00000000">
      <w:pPr>
        <w:tabs>
          <w:tab w:val="left" w:pos="360"/>
          <w:tab w:val="left" w:pos="720"/>
        </w:tabs>
        <w:spacing w:line="276" w:lineRule="auto"/>
        <w:jc w:val="both"/>
        <w:rPr>
          <w:rFonts w:ascii="Arial" w:eastAsia="Arial" w:hAnsi="Arial" w:cs="Arial"/>
        </w:rPr>
      </w:pPr>
      <w:r>
        <w:rPr>
          <w:rFonts w:ascii="Arial" w:eastAsia="Arial" w:hAnsi="Arial" w:cs="Arial"/>
        </w:rPr>
        <w:t xml:space="preserve">Table 2 presents a comprehensive analysis of security practices by faculty and students, focusing on their use of preventive measures against malware. </w:t>
      </w:r>
      <w:r w:rsidR="007E5A96">
        <w:rPr>
          <w:rFonts w:ascii="Arial" w:eastAsia="Arial" w:hAnsi="Arial" w:cs="Arial"/>
        </w:rPr>
        <w:t>Most</w:t>
      </w:r>
      <w:r>
        <w:rPr>
          <w:rFonts w:ascii="Arial" w:eastAsia="Arial" w:hAnsi="Arial" w:cs="Arial"/>
        </w:rPr>
        <w:t xml:space="preserve"> respondents, including 222 individuals, use preventive measures against malware, with a slightly higher percentage of faculty members. Antivirus software is also widely used</w:t>
      </w:r>
      <w:r w:rsidR="00665F9B">
        <w:rPr>
          <w:rFonts w:ascii="Arial" w:eastAsia="Arial" w:hAnsi="Arial" w:cs="Arial"/>
        </w:rPr>
        <w:t xml:space="preserve">: 178 respondents reported </w:t>
      </w:r>
      <w:r>
        <w:rPr>
          <w:rFonts w:ascii="Arial" w:eastAsia="Arial" w:hAnsi="Arial" w:cs="Arial"/>
        </w:rPr>
        <w:t xml:space="preserve">using it, with a slight advantage for faculty. </w:t>
      </w:r>
      <w:r w:rsidR="00665F9B">
        <w:rPr>
          <w:rFonts w:ascii="Arial" w:eastAsia="Arial" w:hAnsi="Arial" w:cs="Arial"/>
        </w:rPr>
        <w:t>One hundred seventy-six respondents follow safe browsing practices, with 20 faculty members (47.6%) and 156 students (54.2%) practicing them</w:t>
      </w:r>
      <w:r>
        <w:rPr>
          <w:rFonts w:ascii="Arial" w:eastAsia="Arial" w:hAnsi="Arial" w:cs="Arial"/>
        </w:rPr>
        <w:t xml:space="preserve">. Regular </w:t>
      </w:r>
      <w:r w:rsidR="00665F9B">
        <w:rPr>
          <w:rFonts w:ascii="Arial" w:eastAsia="Arial" w:hAnsi="Arial" w:cs="Arial"/>
        </w:rPr>
        <w:t>software and system updates</w:t>
      </w:r>
      <w:r>
        <w:rPr>
          <w:rFonts w:ascii="Arial" w:eastAsia="Arial" w:hAnsi="Arial" w:cs="Arial"/>
        </w:rPr>
        <w:t xml:space="preserve"> are performed by 186 respondents, with faculty </w:t>
      </w:r>
      <w:r>
        <w:rPr>
          <w:rFonts w:ascii="Arial" w:eastAsia="Arial" w:hAnsi="Arial" w:cs="Arial"/>
        </w:rPr>
        <w:lastRenderedPageBreak/>
        <w:t xml:space="preserve">members (61.9%) and students (55.6%) participating. Both groups show </w:t>
      </w:r>
      <w:r w:rsidR="00665F9B">
        <w:rPr>
          <w:rFonts w:ascii="Arial" w:eastAsia="Arial" w:hAnsi="Arial" w:cs="Arial"/>
        </w:rPr>
        <w:t>strong adherence to keeping their software up to date, with faculty members slightly ahead</w:t>
      </w:r>
      <w:r>
        <w:rPr>
          <w:rFonts w:ascii="Arial" w:eastAsia="Arial" w:hAnsi="Arial" w:cs="Arial"/>
        </w:rPr>
        <w:t xml:space="preserve">. Lastly, </w:t>
      </w:r>
      <w:r w:rsidR="00665F9B">
        <w:rPr>
          <w:rFonts w:ascii="Arial" w:eastAsia="Arial" w:hAnsi="Arial" w:cs="Arial"/>
        </w:rPr>
        <w:t>160 respondents reported avoiding unknown app sources</w:t>
      </w:r>
      <w:r>
        <w:rPr>
          <w:rFonts w:ascii="Arial" w:eastAsia="Arial" w:hAnsi="Arial" w:cs="Arial"/>
        </w:rPr>
        <w:t>, with 18 faculty members (42.9%) and 142 students (49.3%), with students having a marginally higher percentage. This table shows that both faculty and students are proactive in their approach to security</w:t>
      </w:r>
      <w:r w:rsidR="00665F9B">
        <w:rPr>
          <w:rFonts w:ascii="Arial" w:eastAsia="Arial" w:hAnsi="Arial" w:cs="Arial"/>
        </w:rPr>
        <w:t>. However, faculty use antivirus software, regularly update their systems, and employ more preventive measures than students do</w:t>
      </w:r>
      <w:r>
        <w:rPr>
          <w:rFonts w:ascii="Arial" w:eastAsia="Arial" w:hAnsi="Arial" w:cs="Arial"/>
        </w:rPr>
        <w:t xml:space="preserve">. However, it should be noted that students are more engaged in safe browsing practices </w:t>
      </w:r>
      <w:r w:rsidR="00665F9B">
        <w:rPr>
          <w:rFonts w:ascii="Arial" w:eastAsia="Arial" w:hAnsi="Arial" w:cs="Arial"/>
        </w:rPr>
        <w:t>and in avoiding</w:t>
      </w:r>
      <w:r>
        <w:rPr>
          <w:rFonts w:ascii="Arial" w:eastAsia="Arial" w:hAnsi="Arial" w:cs="Arial"/>
        </w:rPr>
        <w:t xml:space="preserve"> unknown app sources. Clearly, there is commitment </w:t>
      </w:r>
      <w:r w:rsidR="00665F9B">
        <w:rPr>
          <w:rFonts w:ascii="Arial" w:eastAsia="Arial" w:hAnsi="Arial" w:cs="Arial"/>
        </w:rPr>
        <w:t>from both categories of people, though the prioritized methods differ</w:t>
      </w:r>
      <w:r>
        <w:rPr>
          <w:rFonts w:ascii="Arial" w:eastAsia="Arial" w:hAnsi="Arial" w:cs="Arial"/>
        </w:rPr>
        <w:t>.</w:t>
      </w:r>
    </w:p>
    <w:p w14:paraId="47E297ED" w14:textId="1CCD56AF" w:rsidR="004F4E82" w:rsidRDefault="00000000">
      <w:pPr>
        <w:pBdr>
          <w:top w:val="nil"/>
          <w:left w:val="nil"/>
          <w:bottom w:val="nil"/>
          <w:right w:val="nil"/>
          <w:between w:val="nil"/>
        </w:pBdr>
        <w:spacing w:before="240" w:line="360" w:lineRule="auto"/>
        <w:rPr>
          <w:rFonts w:ascii="Arial" w:eastAsia="Arial" w:hAnsi="Arial" w:cs="Arial"/>
          <w:b/>
          <w:bCs/>
          <w:color w:val="000000"/>
        </w:rPr>
      </w:pPr>
      <w:r>
        <w:rPr>
          <w:rFonts w:ascii="Arial" w:eastAsia="Arial" w:hAnsi="Arial" w:cs="Arial"/>
          <w:b/>
          <w:bCs/>
          <w:color w:val="000000"/>
        </w:rPr>
        <w:t>Table 2</w:t>
      </w:r>
      <w:r w:rsidR="00665F9B">
        <w:rPr>
          <w:rFonts w:ascii="Arial" w:eastAsia="Arial" w:hAnsi="Arial" w:cs="Arial"/>
          <w:b/>
          <w:bCs/>
          <w:color w:val="000000"/>
        </w:rPr>
        <w:t>:</w:t>
      </w:r>
      <w:r>
        <w:rPr>
          <w:rFonts w:ascii="Arial" w:eastAsia="Arial" w:hAnsi="Arial" w:cs="Arial"/>
          <w:color w:val="000000"/>
        </w:rPr>
        <w:t xml:space="preserve"> Security Practices of Faculty and Students</w:t>
      </w:r>
    </w:p>
    <w:tbl>
      <w:tblPr>
        <w:tblStyle w:val="a1"/>
        <w:tblW w:w="8534" w:type="dxa"/>
        <w:jc w:val="center"/>
        <w:tblInd w:w="0" w:type="dxa"/>
        <w:tblBorders>
          <w:bottom w:val="single" w:sz="4" w:space="0" w:color="000000"/>
        </w:tblBorders>
        <w:tblLayout w:type="fixed"/>
        <w:tblLook w:val="0400" w:firstRow="0" w:lastRow="0" w:firstColumn="0" w:lastColumn="0" w:noHBand="0" w:noVBand="1"/>
      </w:tblPr>
      <w:tblGrid>
        <w:gridCol w:w="1872"/>
        <w:gridCol w:w="2409"/>
        <w:gridCol w:w="1276"/>
        <w:gridCol w:w="1701"/>
        <w:gridCol w:w="1276"/>
      </w:tblGrid>
      <w:tr w:rsidR="004F4E82" w14:paraId="4D6348E6" w14:textId="77777777">
        <w:trPr>
          <w:trHeight w:val="420"/>
          <w:jc w:val="center"/>
        </w:trPr>
        <w:tc>
          <w:tcPr>
            <w:tcW w:w="1872" w:type="dxa"/>
            <w:tcBorders>
              <w:top w:val="single" w:sz="4" w:space="0" w:color="000000"/>
              <w:left w:val="nil"/>
              <w:bottom w:val="single" w:sz="4" w:space="0" w:color="000000"/>
              <w:right w:val="nil"/>
            </w:tcBorders>
            <w:vAlign w:val="center"/>
          </w:tcPr>
          <w:p w14:paraId="5AEB278D" w14:textId="77777777" w:rsidR="004F4E82" w:rsidRDefault="00000000">
            <w:pPr>
              <w:ind w:firstLine="6"/>
              <w:jc w:val="center"/>
              <w:rPr>
                <w:rFonts w:ascii="Arial" w:eastAsia="Arial" w:hAnsi="Arial" w:cs="Arial"/>
                <w:sz w:val="18"/>
                <w:szCs w:val="18"/>
              </w:rPr>
            </w:pPr>
            <w:r>
              <w:rPr>
                <w:rFonts w:ascii="Arial" w:eastAsia="Arial" w:hAnsi="Arial" w:cs="Arial"/>
                <w:sz w:val="18"/>
                <w:szCs w:val="18"/>
              </w:rPr>
              <w:t>Security Measures</w:t>
            </w:r>
          </w:p>
        </w:tc>
        <w:tc>
          <w:tcPr>
            <w:tcW w:w="2409" w:type="dxa"/>
            <w:tcBorders>
              <w:top w:val="single" w:sz="4" w:space="0" w:color="000000"/>
              <w:left w:val="nil"/>
              <w:bottom w:val="single" w:sz="4" w:space="0" w:color="000000"/>
              <w:right w:val="nil"/>
            </w:tcBorders>
            <w:vAlign w:val="center"/>
          </w:tcPr>
          <w:p w14:paraId="0A593EDE" w14:textId="77777777" w:rsidR="004F4E82" w:rsidRDefault="004F4E82">
            <w:pPr>
              <w:jc w:val="center"/>
              <w:rPr>
                <w:rFonts w:ascii="Arial" w:eastAsia="Arial" w:hAnsi="Arial" w:cs="Arial"/>
                <w:sz w:val="18"/>
                <w:szCs w:val="18"/>
              </w:rPr>
            </w:pPr>
          </w:p>
        </w:tc>
        <w:tc>
          <w:tcPr>
            <w:tcW w:w="1276" w:type="dxa"/>
            <w:tcBorders>
              <w:top w:val="single" w:sz="4" w:space="0" w:color="000000"/>
              <w:left w:val="nil"/>
              <w:bottom w:val="single" w:sz="4" w:space="0" w:color="000000"/>
              <w:right w:val="nil"/>
            </w:tcBorders>
            <w:vAlign w:val="center"/>
          </w:tcPr>
          <w:p w14:paraId="1CCD7AAE"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Faculty</w:t>
            </w:r>
          </w:p>
        </w:tc>
        <w:tc>
          <w:tcPr>
            <w:tcW w:w="1701" w:type="dxa"/>
            <w:tcBorders>
              <w:top w:val="single" w:sz="4" w:space="0" w:color="000000"/>
              <w:left w:val="nil"/>
              <w:bottom w:val="single" w:sz="4" w:space="0" w:color="000000"/>
              <w:right w:val="nil"/>
            </w:tcBorders>
            <w:vAlign w:val="center"/>
          </w:tcPr>
          <w:p w14:paraId="11E82940" w14:textId="77777777" w:rsidR="004F4E82" w:rsidRDefault="00000000">
            <w:pPr>
              <w:jc w:val="center"/>
              <w:rPr>
                <w:rFonts w:ascii="Arial" w:eastAsia="Arial" w:hAnsi="Arial" w:cs="Arial"/>
                <w:sz w:val="18"/>
                <w:szCs w:val="18"/>
              </w:rPr>
            </w:pPr>
            <w:r>
              <w:rPr>
                <w:rFonts w:ascii="Arial" w:eastAsia="Arial" w:hAnsi="Arial" w:cs="Arial"/>
                <w:sz w:val="18"/>
                <w:szCs w:val="18"/>
              </w:rPr>
              <w:t>Students</w:t>
            </w:r>
          </w:p>
        </w:tc>
        <w:tc>
          <w:tcPr>
            <w:tcW w:w="1276" w:type="dxa"/>
            <w:tcBorders>
              <w:top w:val="single" w:sz="4" w:space="0" w:color="000000"/>
              <w:left w:val="nil"/>
              <w:bottom w:val="single" w:sz="4" w:space="0" w:color="000000"/>
              <w:right w:val="nil"/>
            </w:tcBorders>
          </w:tcPr>
          <w:p w14:paraId="12832D08" w14:textId="77777777" w:rsidR="004F4E82" w:rsidRDefault="00000000">
            <w:pPr>
              <w:jc w:val="center"/>
              <w:rPr>
                <w:rFonts w:ascii="Arial" w:eastAsia="Arial" w:hAnsi="Arial" w:cs="Arial"/>
                <w:sz w:val="18"/>
                <w:szCs w:val="18"/>
              </w:rPr>
            </w:pPr>
            <w:r>
              <w:rPr>
                <w:rFonts w:ascii="Arial" w:eastAsia="Arial" w:hAnsi="Arial" w:cs="Arial"/>
                <w:sz w:val="18"/>
                <w:szCs w:val="18"/>
              </w:rPr>
              <w:t>Total</w:t>
            </w:r>
          </w:p>
        </w:tc>
      </w:tr>
      <w:tr w:rsidR="004F4E82" w14:paraId="73392C6E" w14:textId="77777777">
        <w:trPr>
          <w:trHeight w:val="350"/>
          <w:jc w:val="center"/>
        </w:trPr>
        <w:tc>
          <w:tcPr>
            <w:tcW w:w="1872" w:type="dxa"/>
          </w:tcPr>
          <w:p w14:paraId="74F073D9" w14:textId="77777777" w:rsidR="004F4E82" w:rsidRDefault="00000000">
            <w:pPr>
              <w:rPr>
                <w:rFonts w:ascii="Arial" w:eastAsia="Arial" w:hAnsi="Arial" w:cs="Arial"/>
                <w:color w:val="000000"/>
                <w:sz w:val="18"/>
                <w:szCs w:val="18"/>
              </w:rPr>
            </w:pPr>
            <w:r>
              <w:rPr>
                <w:rFonts w:ascii="Arial" w:eastAsia="Arial" w:hAnsi="Arial" w:cs="Arial"/>
                <w:sz w:val="18"/>
                <w:szCs w:val="18"/>
              </w:rPr>
              <w:t>Preventive Measures</w:t>
            </w:r>
          </w:p>
        </w:tc>
        <w:tc>
          <w:tcPr>
            <w:tcW w:w="2409" w:type="dxa"/>
          </w:tcPr>
          <w:p w14:paraId="479932EF" w14:textId="77777777" w:rsidR="004F4E82" w:rsidRDefault="00000000">
            <w:pPr>
              <w:rPr>
                <w:rFonts w:ascii="Arial" w:eastAsia="Arial" w:hAnsi="Arial" w:cs="Arial"/>
                <w:color w:val="000000"/>
                <w:sz w:val="18"/>
                <w:szCs w:val="18"/>
              </w:rPr>
            </w:pPr>
            <w:r>
              <w:rPr>
                <w:rFonts w:ascii="Arial" w:eastAsia="Arial" w:hAnsi="Arial" w:cs="Arial"/>
                <w:sz w:val="18"/>
                <w:szCs w:val="18"/>
              </w:rPr>
              <w:t>% within respondents</w:t>
            </w:r>
          </w:p>
        </w:tc>
        <w:tc>
          <w:tcPr>
            <w:tcW w:w="1276" w:type="dxa"/>
          </w:tcPr>
          <w:p w14:paraId="5B43D244"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0.0%</w:t>
            </w:r>
          </w:p>
        </w:tc>
        <w:tc>
          <w:tcPr>
            <w:tcW w:w="1701" w:type="dxa"/>
          </w:tcPr>
          <w:p w14:paraId="53E65391"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3.5%</w:t>
            </w:r>
          </w:p>
        </w:tc>
        <w:tc>
          <w:tcPr>
            <w:tcW w:w="1276" w:type="dxa"/>
            <w:vAlign w:val="center"/>
          </w:tcPr>
          <w:p w14:paraId="4620CBD9" w14:textId="77777777" w:rsidR="004F4E82" w:rsidRDefault="004F4E82">
            <w:pPr>
              <w:ind w:firstLine="288"/>
              <w:jc w:val="center"/>
              <w:rPr>
                <w:rFonts w:ascii="Arial" w:eastAsia="Arial" w:hAnsi="Arial" w:cs="Arial"/>
                <w:color w:val="000000"/>
                <w:sz w:val="18"/>
                <w:szCs w:val="18"/>
              </w:rPr>
            </w:pPr>
          </w:p>
        </w:tc>
      </w:tr>
      <w:tr w:rsidR="004F4E82" w14:paraId="0FC3B40C" w14:textId="77777777">
        <w:trPr>
          <w:trHeight w:val="350"/>
          <w:jc w:val="center"/>
        </w:trPr>
        <w:tc>
          <w:tcPr>
            <w:tcW w:w="1872" w:type="dxa"/>
          </w:tcPr>
          <w:p w14:paraId="736A67AD" w14:textId="77777777" w:rsidR="004F4E82" w:rsidRDefault="004F4E82">
            <w:pPr>
              <w:rPr>
                <w:rFonts w:ascii="Arial" w:eastAsia="Arial" w:hAnsi="Arial" w:cs="Arial"/>
                <w:color w:val="000000"/>
                <w:sz w:val="18"/>
                <w:szCs w:val="18"/>
              </w:rPr>
            </w:pPr>
          </w:p>
        </w:tc>
        <w:tc>
          <w:tcPr>
            <w:tcW w:w="2409" w:type="dxa"/>
          </w:tcPr>
          <w:p w14:paraId="54185175" w14:textId="77777777" w:rsidR="004F4E82" w:rsidRDefault="00000000">
            <w:pPr>
              <w:rPr>
                <w:rFonts w:ascii="Arial" w:eastAsia="Arial" w:hAnsi="Arial" w:cs="Arial"/>
                <w:color w:val="000000"/>
                <w:sz w:val="18"/>
                <w:szCs w:val="18"/>
              </w:rPr>
            </w:pPr>
            <w:r>
              <w:rPr>
                <w:rFonts w:ascii="Arial" w:eastAsia="Arial" w:hAnsi="Arial" w:cs="Arial"/>
                <w:sz w:val="18"/>
                <w:szCs w:val="18"/>
              </w:rPr>
              <w:t>Count</w:t>
            </w:r>
          </w:p>
        </w:tc>
        <w:tc>
          <w:tcPr>
            <w:tcW w:w="1276" w:type="dxa"/>
          </w:tcPr>
          <w:p w14:paraId="43F9C7DA"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30</w:t>
            </w:r>
          </w:p>
        </w:tc>
        <w:tc>
          <w:tcPr>
            <w:tcW w:w="1701" w:type="dxa"/>
          </w:tcPr>
          <w:p w14:paraId="6074C192"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192</w:t>
            </w:r>
          </w:p>
        </w:tc>
        <w:tc>
          <w:tcPr>
            <w:tcW w:w="1276" w:type="dxa"/>
          </w:tcPr>
          <w:p w14:paraId="7A32F3E6"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222</w:t>
            </w:r>
          </w:p>
        </w:tc>
      </w:tr>
      <w:tr w:rsidR="004F4E82" w14:paraId="3320F32E" w14:textId="77777777">
        <w:trPr>
          <w:trHeight w:val="350"/>
          <w:jc w:val="center"/>
        </w:trPr>
        <w:tc>
          <w:tcPr>
            <w:tcW w:w="1872" w:type="dxa"/>
          </w:tcPr>
          <w:p w14:paraId="61DEDCA4" w14:textId="77777777" w:rsidR="004F4E82" w:rsidRDefault="00000000">
            <w:pPr>
              <w:rPr>
                <w:rFonts w:ascii="Arial" w:eastAsia="Arial" w:hAnsi="Arial" w:cs="Arial"/>
                <w:sz w:val="18"/>
                <w:szCs w:val="18"/>
              </w:rPr>
            </w:pPr>
            <w:r>
              <w:rPr>
                <w:rFonts w:ascii="Arial" w:eastAsia="Arial" w:hAnsi="Arial" w:cs="Arial"/>
                <w:sz w:val="18"/>
                <w:szCs w:val="18"/>
              </w:rPr>
              <w:t>Antivirus software</w:t>
            </w:r>
          </w:p>
        </w:tc>
        <w:tc>
          <w:tcPr>
            <w:tcW w:w="2409" w:type="dxa"/>
          </w:tcPr>
          <w:p w14:paraId="3DC366D4" w14:textId="77777777" w:rsidR="004F4E82" w:rsidRDefault="00000000">
            <w:pPr>
              <w:rPr>
                <w:rFonts w:ascii="Arial" w:eastAsia="Arial" w:hAnsi="Arial" w:cs="Arial"/>
                <w:sz w:val="18"/>
                <w:szCs w:val="18"/>
              </w:rPr>
            </w:pPr>
            <w:r>
              <w:rPr>
                <w:rFonts w:ascii="Arial" w:eastAsia="Arial" w:hAnsi="Arial" w:cs="Arial"/>
                <w:sz w:val="18"/>
                <w:szCs w:val="18"/>
              </w:rPr>
              <w:t>% within respondents</w:t>
            </w:r>
          </w:p>
        </w:tc>
        <w:tc>
          <w:tcPr>
            <w:tcW w:w="1276" w:type="dxa"/>
          </w:tcPr>
          <w:p w14:paraId="0C4CB866"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71.4%</w:t>
            </w:r>
          </w:p>
        </w:tc>
        <w:tc>
          <w:tcPr>
            <w:tcW w:w="1701" w:type="dxa"/>
          </w:tcPr>
          <w:p w14:paraId="764ACB50"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66.7%</w:t>
            </w:r>
          </w:p>
        </w:tc>
        <w:tc>
          <w:tcPr>
            <w:tcW w:w="1276" w:type="dxa"/>
            <w:vAlign w:val="center"/>
          </w:tcPr>
          <w:p w14:paraId="2E66A6FD" w14:textId="77777777" w:rsidR="004F4E82" w:rsidRDefault="004F4E82">
            <w:pPr>
              <w:ind w:firstLine="288"/>
              <w:jc w:val="center"/>
              <w:rPr>
                <w:rFonts w:ascii="Arial" w:eastAsia="Arial" w:hAnsi="Arial" w:cs="Arial"/>
                <w:sz w:val="18"/>
                <w:szCs w:val="18"/>
              </w:rPr>
            </w:pPr>
          </w:p>
        </w:tc>
      </w:tr>
      <w:tr w:rsidR="004F4E82" w14:paraId="182784FB" w14:textId="77777777">
        <w:trPr>
          <w:trHeight w:val="350"/>
          <w:jc w:val="center"/>
        </w:trPr>
        <w:tc>
          <w:tcPr>
            <w:tcW w:w="1872" w:type="dxa"/>
          </w:tcPr>
          <w:p w14:paraId="121DF931" w14:textId="77777777" w:rsidR="004F4E82" w:rsidRDefault="004F4E82">
            <w:pPr>
              <w:rPr>
                <w:rFonts w:ascii="Arial" w:eastAsia="Arial" w:hAnsi="Arial" w:cs="Arial"/>
                <w:color w:val="000000"/>
                <w:sz w:val="18"/>
                <w:szCs w:val="18"/>
              </w:rPr>
            </w:pPr>
          </w:p>
        </w:tc>
        <w:tc>
          <w:tcPr>
            <w:tcW w:w="2409" w:type="dxa"/>
          </w:tcPr>
          <w:p w14:paraId="22ED793C" w14:textId="77777777" w:rsidR="004F4E82" w:rsidRDefault="00000000">
            <w:pPr>
              <w:rPr>
                <w:rFonts w:ascii="Arial" w:eastAsia="Arial" w:hAnsi="Arial" w:cs="Arial"/>
                <w:color w:val="000000"/>
                <w:sz w:val="18"/>
                <w:szCs w:val="18"/>
              </w:rPr>
            </w:pPr>
            <w:r>
              <w:rPr>
                <w:rFonts w:ascii="Arial" w:eastAsia="Arial" w:hAnsi="Arial" w:cs="Arial"/>
                <w:sz w:val="18"/>
                <w:szCs w:val="18"/>
              </w:rPr>
              <w:t>Count</w:t>
            </w:r>
          </w:p>
        </w:tc>
        <w:tc>
          <w:tcPr>
            <w:tcW w:w="1276" w:type="dxa"/>
          </w:tcPr>
          <w:p w14:paraId="0B50C1A0"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26</w:t>
            </w:r>
          </w:p>
        </w:tc>
        <w:tc>
          <w:tcPr>
            <w:tcW w:w="1701" w:type="dxa"/>
          </w:tcPr>
          <w:p w14:paraId="3420CDE6"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152</w:t>
            </w:r>
          </w:p>
        </w:tc>
        <w:tc>
          <w:tcPr>
            <w:tcW w:w="1276" w:type="dxa"/>
          </w:tcPr>
          <w:p w14:paraId="6987C1ED"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178</w:t>
            </w:r>
          </w:p>
        </w:tc>
      </w:tr>
      <w:tr w:rsidR="004F4E82" w14:paraId="27207E41" w14:textId="77777777">
        <w:trPr>
          <w:trHeight w:val="350"/>
          <w:jc w:val="center"/>
        </w:trPr>
        <w:tc>
          <w:tcPr>
            <w:tcW w:w="1872" w:type="dxa"/>
          </w:tcPr>
          <w:p w14:paraId="3F254988" w14:textId="77777777" w:rsidR="004F4E82" w:rsidRDefault="00000000">
            <w:pPr>
              <w:rPr>
                <w:rFonts w:ascii="Arial" w:eastAsia="Arial" w:hAnsi="Arial" w:cs="Arial"/>
                <w:color w:val="000000"/>
                <w:sz w:val="18"/>
                <w:szCs w:val="18"/>
              </w:rPr>
            </w:pPr>
            <w:r>
              <w:rPr>
                <w:rFonts w:ascii="Arial" w:eastAsia="Arial" w:hAnsi="Arial" w:cs="Arial"/>
                <w:sz w:val="18"/>
                <w:szCs w:val="18"/>
              </w:rPr>
              <w:t xml:space="preserve">Safe browsing </w:t>
            </w:r>
          </w:p>
        </w:tc>
        <w:tc>
          <w:tcPr>
            <w:tcW w:w="2409" w:type="dxa"/>
          </w:tcPr>
          <w:p w14:paraId="1482B0AA" w14:textId="77777777" w:rsidR="004F4E82" w:rsidRDefault="00000000">
            <w:pPr>
              <w:rPr>
                <w:rFonts w:ascii="Arial" w:eastAsia="Arial" w:hAnsi="Arial" w:cs="Arial"/>
                <w:color w:val="000000"/>
                <w:sz w:val="18"/>
                <w:szCs w:val="18"/>
              </w:rPr>
            </w:pPr>
            <w:r>
              <w:rPr>
                <w:rFonts w:ascii="Arial" w:eastAsia="Arial" w:hAnsi="Arial" w:cs="Arial"/>
                <w:sz w:val="18"/>
                <w:szCs w:val="18"/>
              </w:rPr>
              <w:t>% within respondents</w:t>
            </w:r>
          </w:p>
        </w:tc>
        <w:tc>
          <w:tcPr>
            <w:tcW w:w="1276" w:type="dxa"/>
          </w:tcPr>
          <w:p w14:paraId="74C01D75"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61.9%</w:t>
            </w:r>
          </w:p>
        </w:tc>
        <w:tc>
          <w:tcPr>
            <w:tcW w:w="1701" w:type="dxa"/>
          </w:tcPr>
          <w:p w14:paraId="0936F816"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52.8%</w:t>
            </w:r>
          </w:p>
        </w:tc>
        <w:tc>
          <w:tcPr>
            <w:tcW w:w="1276" w:type="dxa"/>
            <w:vAlign w:val="center"/>
          </w:tcPr>
          <w:p w14:paraId="1CD80ABC" w14:textId="77777777" w:rsidR="004F4E82" w:rsidRDefault="004F4E82">
            <w:pPr>
              <w:ind w:firstLine="288"/>
              <w:jc w:val="center"/>
              <w:rPr>
                <w:rFonts w:ascii="Arial" w:eastAsia="Arial" w:hAnsi="Arial" w:cs="Arial"/>
                <w:color w:val="000000"/>
                <w:sz w:val="18"/>
                <w:szCs w:val="18"/>
              </w:rPr>
            </w:pPr>
          </w:p>
        </w:tc>
      </w:tr>
      <w:tr w:rsidR="004F4E82" w14:paraId="70C5B736" w14:textId="77777777">
        <w:trPr>
          <w:trHeight w:val="350"/>
          <w:jc w:val="center"/>
        </w:trPr>
        <w:tc>
          <w:tcPr>
            <w:tcW w:w="1872" w:type="dxa"/>
          </w:tcPr>
          <w:p w14:paraId="249840AF" w14:textId="77777777" w:rsidR="004F4E82" w:rsidRDefault="00000000">
            <w:pPr>
              <w:rPr>
                <w:rFonts w:ascii="Arial" w:eastAsia="Arial" w:hAnsi="Arial" w:cs="Arial"/>
                <w:color w:val="000000"/>
                <w:sz w:val="18"/>
                <w:szCs w:val="18"/>
              </w:rPr>
            </w:pPr>
            <w:r>
              <w:rPr>
                <w:rFonts w:ascii="Arial" w:eastAsia="Arial" w:hAnsi="Arial" w:cs="Arial"/>
                <w:sz w:val="18"/>
                <w:szCs w:val="18"/>
              </w:rPr>
              <w:t>Practices</w:t>
            </w:r>
          </w:p>
        </w:tc>
        <w:tc>
          <w:tcPr>
            <w:tcW w:w="2409" w:type="dxa"/>
          </w:tcPr>
          <w:p w14:paraId="7FF62E78" w14:textId="77777777" w:rsidR="004F4E82" w:rsidRDefault="00000000">
            <w:pPr>
              <w:rPr>
                <w:rFonts w:ascii="Arial" w:eastAsia="Arial" w:hAnsi="Arial" w:cs="Arial"/>
                <w:color w:val="000000"/>
                <w:sz w:val="18"/>
                <w:szCs w:val="18"/>
              </w:rPr>
            </w:pPr>
            <w:r>
              <w:rPr>
                <w:rFonts w:ascii="Arial" w:eastAsia="Arial" w:hAnsi="Arial" w:cs="Arial"/>
                <w:sz w:val="18"/>
                <w:szCs w:val="18"/>
              </w:rPr>
              <w:t>Count</w:t>
            </w:r>
          </w:p>
        </w:tc>
        <w:tc>
          <w:tcPr>
            <w:tcW w:w="1276" w:type="dxa"/>
          </w:tcPr>
          <w:p w14:paraId="2261BAF0"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20</w:t>
            </w:r>
          </w:p>
        </w:tc>
        <w:tc>
          <w:tcPr>
            <w:tcW w:w="1701" w:type="dxa"/>
          </w:tcPr>
          <w:p w14:paraId="1A4D6115"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156</w:t>
            </w:r>
          </w:p>
        </w:tc>
        <w:tc>
          <w:tcPr>
            <w:tcW w:w="1276" w:type="dxa"/>
          </w:tcPr>
          <w:p w14:paraId="25921894"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176</w:t>
            </w:r>
          </w:p>
        </w:tc>
      </w:tr>
      <w:tr w:rsidR="004F4E82" w14:paraId="21D19C07" w14:textId="77777777">
        <w:trPr>
          <w:trHeight w:val="350"/>
          <w:jc w:val="center"/>
        </w:trPr>
        <w:tc>
          <w:tcPr>
            <w:tcW w:w="1872" w:type="dxa"/>
          </w:tcPr>
          <w:p w14:paraId="6C127D76" w14:textId="77777777" w:rsidR="004F4E82" w:rsidRDefault="00000000">
            <w:pPr>
              <w:rPr>
                <w:rFonts w:ascii="Arial" w:eastAsia="Arial" w:hAnsi="Arial" w:cs="Arial"/>
                <w:color w:val="000000"/>
                <w:sz w:val="18"/>
                <w:szCs w:val="18"/>
              </w:rPr>
            </w:pPr>
            <w:r>
              <w:rPr>
                <w:rFonts w:ascii="Arial" w:eastAsia="Arial" w:hAnsi="Arial" w:cs="Arial"/>
                <w:sz w:val="18"/>
                <w:szCs w:val="18"/>
              </w:rPr>
              <w:t>Regular updates</w:t>
            </w:r>
          </w:p>
        </w:tc>
        <w:tc>
          <w:tcPr>
            <w:tcW w:w="2409" w:type="dxa"/>
          </w:tcPr>
          <w:p w14:paraId="1C6418F9" w14:textId="77777777" w:rsidR="004F4E82" w:rsidRDefault="00000000">
            <w:pPr>
              <w:rPr>
                <w:rFonts w:ascii="Arial" w:eastAsia="Arial" w:hAnsi="Arial" w:cs="Arial"/>
                <w:color w:val="000000"/>
                <w:sz w:val="18"/>
                <w:szCs w:val="18"/>
              </w:rPr>
            </w:pPr>
            <w:r>
              <w:rPr>
                <w:rFonts w:ascii="Arial" w:eastAsia="Arial" w:hAnsi="Arial" w:cs="Arial"/>
                <w:sz w:val="18"/>
                <w:szCs w:val="18"/>
              </w:rPr>
              <w:t>% within respondents</w:t>
            </w:r>
          </w:p>
        </w:tc>
        <w:tc>
          <w:tcPr>
            <w:tcW w:w="1276" w:type="dxa"/>
          </w:tcPr>
          <w:p w14:paraId="471EBABC"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47.6%</w:t>
            </w:r>
          </w:p>
        </w:tc>
        <w:tc>
          <w:tcPr>
            <w:tcW w:w="1701" w:type="dxa"/>
          </w:tcPr>
          <w:p w14:paraId="00EE9392"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54.2%</w:t>
            </w:r>
          </w:p>
        </w:tc>
        <w:tc>
          <w:tcPr>
            <w:tcW w:w="1276" w:type="dxa"/>
            <w:vAlign w:val="center"/>
          </w:tcPr>
          <w:p w14:paraId="5B9FF046" w14:textId="77777777" w:rsidR="004F4E82" w:rsidRDefault="004F4E82">
            <w:pPr>
              <w:ind w:firstLine="288"/>
              <w:jc w:val="center"/>
              <w:rPr>
                <w:rFonts w:ascii="Arial" w:eastAsia="Arial" w:hAnsi="Arial" w:cs="Arial"/>
                <w:color w:val="000000"/>
                <w:sz w:val="18"/>
                <w:szCs w:val="18"/>
              </w:rPr>
            </w:pPr>
          </w:p>
        </w:tc>
      </w:tr>
      <w:tr w:rsidR="004F4E82" w14:paraId="0BD6239C" w14:textId="77777777">
        <w:trPr>
          <w:trHeight w:val="350"/>
          <w:jc w:val="center"/>
        </w:trPr>
        <w:tc>
          <w:tcPr>
            <w:tcW w:w="1872" w:type="dxa"/>
          </w:tcPr>
          <w:p w14:paraId="015B7B62" w14:textId="77777777" w:rsidR="004F4E82" w:rsidRDefault="004F4E82">
            <w:pPr>
              <w:jc w:val="center"/>
              <w:rPr>
                <w:rFonts w:ascii="Arial" w:eastAsia="Arial" w:hAnsi="Arial" w:cs="Arial"/>
                <w:color w:val="000000"/>
                <w:sz w:val="18"/>
                <w:szCs w:val="18"/>
              </w:rPr>
            </w:pPr>
          </w:p>
        </w:tc>
        <w:tc>
          <w:tcPr>
            <w:tcW w:w="2409" w:type="dxa"/>
          </w:tcPr>
          <w:p w14:paraId="2D9912FA" w14:textId="77777777" w:rsidR="004F4E82" w:rsidRDefault="00000000">
            <w:pPr>
              <w:rPr>
                <w:rFonts w:ascii="Arial" w:eastAsia="Arial" w:hAnsi="Arial" w:cs="Arial"/>
                <w:color w:val="000000"/>
                <w:sz w:val="18"/>
                <w:szCs w:val="18"/>
              </w:rPr>
            </w:pPr>
            <w:r>
              <w:rPr>
                <w:rFonts w:ascii="Arial" w:eastAsia="Arial" w:hAnsi="Arial" w:cs="Arial"/>
                <w:sz w:val="18"/>
                <w:szCs w:val="18"/>
              </w:rPr>
              <w:t>Count</w:t>
            </w:r>
          </w:p>
        </w:tc>
        <w:tc>
          <w:tcPr>
            <w:tcW w:w="1276" w:type="dxa"/>
          </w:tcPr>
          <w:p w14:paraId="6479D963"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26</w:t>
            </w:r>
          </w:p>
        </w:tc>
        <w:tc>
          <w:tcPr>
            <w:tcW w:w="1701" w:type="dxa"/>
          </w:tcPr>
          <w:p w14:paraId="319584C5"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160</w:t>
            </w:r>
          </w:p>
        </w:tc>
        <w:tc>
          <w:tcPr>
            <w:tcW w:w="1276" w:type="dxa"/>
          </w:tcPr>
          <w:p w14:paraId="5013349C"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186</w:t>
            </w:r>
          </w:p>
        </w:tc>
      </w:tr>
      <w:tr w:rsidR="004F4E82" w14:paraId="3C187D8B" w14:textId="77777777">
        <w:trPr>
          <w:trHeight w:val="350"/>
          <w:jc w:val="center"/>
        </w:trPr>
        <w:tc>
          <w:tcPr>
            <w:tcW w:w="1872" w:type="dxa"/>
          </w:tcPr>
          <w:p w14:paraId="3120D078" w14:textId="77777777" w:rsidR="004F4E82" w:rsidRDefault="00000000">
            <w:pPr>
              <w:rPr>
                <w:rFonts w:ascii="Arial" w:eastAsia="Arial" w:hAnsi="Arial" w:cs="Arial"/>
                <w:color w:val="000000"/>
                <w:sz w:val="18"/>
                <w:szCs w:val="18"/>
              </w:rPr>
            </w:pPr>
            <w:r>
              <w:rPr>
                <w:rFonts w:ascii="Arial" w:eastAsia="Arial" w:hAnsi="Arial" w:cs="Arial"/>
                <w:sz w:val="18"/>
                <w:szCs w:val="18"/>
              </w:rPr>
              <w:t>Avoiding unknown</w:t>
            </w:r>
          </w:p>
        </w:tc>
        <w:tc>
          <w:tcPr>
            <w:tcW w:w="2409" w:type="dxa"/>
          </w:tcPr>
          <w:p w14:paraId="52EA594B" w14:textId="77777777" w:rsidR="004F4E82" w:rsidRDefault="00000000">
            <w:pPr>
              <w:rPr>
                <w:rFonts w:ascii="Arial" w:eastAsia="Arial" w:hAnsi="Arial" w:cs="Arial"/>
                <w:color w:val="000000"/>
                <w:sz w:val="18"/>
                <w:szCs w:val="18"/>
              </w:rPr>
            </w:pPr>
            <w:r>
              <w:rPr>
                <w:rFonts w:ascii="Arial" w:eastAsia="Arial" w:hAnsi="Arial" w:cs="Arial"/>
                <w:sz w:val="18"/>
                <w:szCs w:val="18"/>
              </w:rPr>
              <w:t>% within respondents</w:t>
            </w:r>
          </w:p>
        </w:tc>
        <w:tc>
          <w:tcPr>
            <w:tcW w:w="1276" w:type="dxa"/>
          </w:tcPr>
          <w:p w14:paraId="037079F3"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61.9%</w:t>
            </w:r>
          </w:p>
        </w:tc>
        <w:tc>
          <w:tcPr>
            <w:tcW w:w="1701" w:type="dxa"/>
          </w:tcPr>
          <w:p w14:paraId="0D0321BE"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55.6%</w:t>
            </w:r>
          </w:p>
        </w:tc>
        <w:tc>
          <w:tcPr>
            <w:tcW w:w="1276" w:type="dxa"/>
            <w:vAlign w:val="center"/>
          </w:tcPr>
          <w:p w14:paraId="4C322DEB" w14:textId="77777777" w:rsidR="004F4E82" w:rsidRDefault="004F4E82">
            <w:pPr>
              <w:ind w:firstLine="288"/>
              <w:jc w:val="center"/>
              <w:rPr>
                <w:rFonts w:ascii="Arial" w:eastAsia="Arial" w:hAnsi="Arial" w:cs="Arial"/>
                <w:color w:val="000000"/>
                <w:sz w:val="18"/>
                <w:szCs w:val="18"/>
              </w:rPr>
            </w:pPr>
          </w:p>
        </w:tc>
      </w:tr>
      <w:tr w:rsidR="004F4E82" w14:paraId="7E08A304" w14:textId="77777777">
        <w:trPr>
          <w:trHeight w:val="350"/>
          <w:jc w:val="center"/>
        </w:trPr>
        <w:tc>
          <w:tcPr>
            <w:tcW w:w="1872" w:type="dxa"/>
          </w:tcPr>
          <w:p w14:paraId="129509ED" w14:textId="77777777" w:rsidR="004F4E82" w:rsidRDefault="00000000">
            <w:pPr>
              <w:rPr>
                <w:rFonts w:ascii="Arial" w:eastAsia="Arial" w:hAnsi="Arial" w:cs="Arial"/>
                <w:color w:val="000000"/>
                <w:sz w:val="18"/>
                <w:szCs w:val="18"/>
              </w:rPr>
            </w:pPr>
            <w:r>
              <w:rPr>
                <w:rFonts w:ascii="Arial" w:eastAsia="Arial" w:hAnsi="Arial" w:cs="Arial"/>
                <w:sz w:val="18"/>
                <w:szCs w:val="18"/>
              </w:rPr>
              <w:t>app sources</w:t>
            </w:r>
          </w:p>
        </w:tc>
        <w:tc>
          <w:tcPr>
            <w:tcW w:w="2409" w:type="dxa"/>
          </w:tcPr>
          <w:p w14:paraId="7AAA870F" w14:textId="77777777" w:rsidR="004F4E82" w:rsidRDefault="00000000">
            <w:pPr>
              <w:rPr>
                <w:rFonts w:ascii="Arial" w:eastAsia="Arial" w:hAnsi="Arial" w:cs="Arial"/>
                <w:color w:val="000000"/>
                <w:sz w:val="18"/>
                <w:szCs w:val="18"/>
              </w:rPr>
            </w:pPr>
            <w:r>
              <w:rPr>
                <w:rFonts w:ascii="Arial" w:eastAsia="Arial" w:hAnsi="Arial" w:cs="Arial"/>
                <w:sz w:val="18"/>
                <w:szCs w:val="18"/>
              </w:rPr>
              <w:t>Count</w:t>
            </w:r>
          </w:p>
        </w:tc>
        <w:tc>
          <w:tcPr>
            <w:tcW w:w="1276" w:type="dxa"/>
          </w:tcPr>
          <w:p w14:paraId="7B0C52F7"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18</w:t>
            </w:r>
          </w:p>
        </w:tc>
        <w:tc>
          <w:tcPr>
            <w:tcW w:w="1701" w:type="dxa"/>
          </w:tcPr>
          <w:p w14:paraId="22D7CC23"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142</w:t>
            </w:r>
          </w:p>
        </w:tc>
        <w:tc>
          <w:tcPr>
            <w:tcW w:w="1276" w:type="dxa"/>
          </w:tcPr>
          <w:p w14:paraId="4BBF1EAD" w14:textId="77777777" w:rsidR="004F4E82" w:rsidRDefault="00000000">
            <w:pPr>
              <w:ind w:firstLine="288"/>
              <w:jc w:val="center"/>
              <w:rPr>
                <w:rFonts w:ascii="Arial" w:eastAsia="Arial" w:hAnsi="Arial" w:cs="Arial"/>
                <w:color w:val="000000"/>
                <w:sz w:val="18"/>
                <w:szCs w:val="18"/>
              </w:rPr>
            </w:pPr>
            <w:r>
              <w:rPr>
                <w:rFonts w:ascii="Arial" w:eastAsia="Arial" w:hAnsi="Arial" w:cs="Arial"/>
                <w:sz w:val="18"/>
                <w:szCs w:val="18"/>
              </w:rPr>
              <w:t>160</w:t>
            </w:r>
          </w:p>
        </w:tc>
      </w:tr>
    </w:tbl>
    <w:p w14:paraId="2C62DE4B" w14:textId="77777777" w:rsidR="004F4E82" w:rsidRDefault="004F4E82">
      <w:pPr>
        <w:tabs>
          <w:tab w:val="left" w:pos="360"/>
          <w:tab w:val="left" w:pos="720"/>
        </w:tabs>
        <w:spacing w:line="276" w:lineRule="auto"/>
        <w:jc w:val="both"/>
        <w:rPr>
          <w:rFonts w:ascii="Arial" w:eastAsia="Arial" w:hAnsi="Arial" w:cs="Arial"/>
        </w:rPr>
      </w:pPr>
    </w:p>
    <w:p w14:paraId="67F6B73D" w14:textId="74938528" w:rsidR="004F4E82" w:rsidRDefault="00000000">
      <w:pPr>
        <w:pBdr>
          <w:top w:val="nil"/>
          <w:left w:val="nil"/>
          <w:bottom w:val="nil"/>
          <w:right w:val="nil"/>
          <w:between w:val="nil"/>
        </w:pBdr>
        <w:tabs>
          <w:tab w:val="left" w:pos="360"/>
          <w:tab w:val="left" w:pos="720"/>
        </w:tabs>
        <w:jc w:val="both"/>
        <w:rPr>
          <w:rFonts w:ascii="Arial" w:eastAsia="Arial" w:hAnsi="Arial" w:cs="Arial"/>
        </w:rPr>
      </w:pPr>
      <w:r>
        <w:rPr>
          <w:rFonts w:ascii="Arial" w:eastAsia="Arial" w:hAnsi="Arial" w:cs="Arial"/>
        </w:rPr>
        <w:t>Figure 3 compares the average security practices of faculty members and students. The y-axis</w:t>
      </w:r>
      <w:r w:rsidR="00665F9B">
        <w:rPr>
          <w:rFonts w:ascii="Arial" w:eastAsia="Arial" w:hAnsi="Arial" w:cs="Arial"/>
        </w:rPr>
        <w:t>, or vertical axis, shows the average underestimate score for each investigation criterion, on a scale of 0-7, indicating how often, or how effectively, each group of faculty members uses standard security practices</w:t>
      </w:r>
      <w:r>
        <w:rPr>
          <w:rFonts w:ascii="Arial" w:eastAsia="Arial" w:hAnsi="Arial" w:cs="Arial"/>
        </w:rPr>
        <w:t xml:space="preserve">. The x-axis </w:t>
      </w:r>
      <w:r w:rsidR="00665F9B">
        <w:rPr>
          <w:rFonts w:ascii="Arial" w:eastAsia="Arial" w:hAnsi="Arial" w:cs="Arial"/>
        </w:rPr>
        <w:t xml:space="preserve">of the graph shows the two groups of respondents; in this case, type 1 is faculty members and </w:t>
      </w:r>
      <w:r>
        <w:rPr>
          <w:rFonts w:ascii="Arial" w:eastAsia="Arial" w:hAnsi="Arial" w:cs="Arial"/>
        </w:rPr>
        <w:t xml:space="preserve">type 2 </w:t>
      </w:r>
      <w:r w:rsidR="00047F75">
        <w:rPr>
          <w:rFonts w:ascii="Arial" w:eastAsia="Arial" w:hAnsi="Arial" w:cs="Arial"/>
        </w:rPr>
        <w:t>are</w:t>
      </w:r>
      <w:r>
        <w:rPr>
          <w:rFonts w:ascii="Arial" w:eastAsia="Arial" w:hAnsi="Arial" w:cs="Arial"/>
        </w:rPr>
        <w:t xml:space="preserve"> students. Each </w:t>
      </w:r>
      <w:r w:rsidR="00665F9B">
        <w:rPr>
          <w:rFonts w:ascii="Arial" w:eastAsia="Arial" w:hAnsi="Arial" w:cs="Arial"/>
        </w:rPr>
        <w:t xml:space="preserve">chart </w:t>
      </w:r>
      <w:r w:rsidR="00DF72B9">
        <w:rPr>
          <w:rFonts w:ascii="Arial" w:eastAsia="Arial" w:hAnsi="Arial" w:cs="Arial"/>
        </w:rPr>
        <w:t>features</w:t>
      </w:r>
      <w:r w:rsidR="00665F9B">
        <w:rPr>
          <w:rFonts w:ascii="Arial" w:eastAsia="Arial" w:hAnsi="Arial" w:cs="Arial"/>
        </w:rPr>
        <w:t xml:space="preserve"> five security practices</w:t>
      </w:r>
      <w:r>
        <w:rPr>
          <w:rFonts w:ascii="Arial" w:eastAsia="Arial" w:hAnsi="Arial" w:cs="Arial"/>
        </w:rPr>
        <w:t xml:space="preserve">: Antivirus, Regular Updates, Safe Browsing, Security Measures, and Unknown Applications. </w:t>
      </w:r>
      <w:r w:rsidR="007E5A96">
        <w:rPr>
          <w:rFonts w:ascii="Arial" w:eastAsia="Arial" w:hAnsi="Arial" w:cs="Arial"/>
        </w:rPr>
        <w:t>Most</w:t>
      </w:r>
      <w:r>
        <w:rPr>
          <w:rFonts w:ascii="Arial" w:eastAsia="Arial" w:hAnsi="Arial" w:cs="Arial"/>
        </w:rPr>
        <w:t xml:space="preserve"> practices</w:t>
      </w:r>
      <w:r w:rsidR="00665F9B">
        <w:rPr>
          <w:rFonts w:ascii="Arial" w:eastAsia="Arial" w:hAnsi="Arial" w:cs="Arial"/>
        </w:rPr>
        <w:t>, such as Antivirus, Regular Updates, Safe Browsing, and Anonymous Unknown Application Recognition,</w:t>
      </w:r>
      <w:r>
        <w:rPr>
          <w:rFonts w:ascii="Arial" w:eastAsia="Arial" w:hAnsi="Arial" w:cs="Arial"/>
        </w:rPr>
        <w:t xml:space="preserve"> have </w:t>
      </w:r>
      <w:r w:rsidR="00665F9B">
        <w:rPr>
          <w:rFonts w:ascii="Arial" w:eastAsia="Arial" w:hAnsi="Arial" w:cs="Arial"/>
        </w:rPr>
        <w:t>an average score of around two among</w:t>
      </w:r>
      <w:r>
        <w:rPr>
          <w:rFonts w:ascii="Arial" w:eastAsia="Arial" w:hAnsi="Arial" w:cs="Arial"/>
        </w:rPr>
        <w:t xml:space="preserve"> faculty members. </w:t>
      </w:r>
      <w:r w:rsidR="00665F9B">
        <w:rPr>
          <w:rFonts w:ascii="Arial" w:eastAsia="Arial" w:hAnsi="Arial" w:cs="Arial"/>
        </w:rPr>
        <w:t>However</w:t>
      </w:r>
      <w:r>
        <w:rPr>
          <w:rFonts w:ascii="Arial" w:eastAsia="Arial" w:hAnsi="Arial" w:cs="Arial"/>
        </w:rPr>
        <w:t xml:space="preserve">, a very high score is attributed to their compliance with an ambiguous term noted </w:t>
      </w:r>
      <w:r w:rsidR="00665F9B">
        <w:rPr>
          <w:rFonts w:ascii="Arial" w:eastAsia="Arial" w:hAnsi="Arial" w:cs="Arial"/>
        </w:rPr>
        <w:t>in red in the ‘Security Measures’ chart, where faculty members again scored 7 out of a possible 7 for this part,</w:t>
      </w:r>
      <w:r>
        <w:rPr>
          <w:rFonts w:ascii="Arial" w:eastAsia="Arial" w:hAnsi="Arial" w:cs="Arial"/>
        </w:rPr>
        <w:t xml:space="preserve"> indicating that they understand or practice general security measures.</w:t>
      </w:r>
    </w:p>
    <w:p w14:paraId="7EE090BF" w14:textId="77777777" w:rsidR="004F4E82" w:rsidRDefault="004F4E82">
      <w:pPr>
        <w:pBdr>
          <w:top w:val="nil"/>
          <w:left w:val="nil"/>
          <w:bottom w:val="nil"/>
          <w:right w:val="nil"/>
          <w:between w:val="nil"/>
        </w:pBdr>
        <w:tabs>
          <w:tab w:val="left" w:pos="360"/>
          <w:tab w:val="left" w:pos="720"/>
        </w:tabs>
        <w:jc w:val="both"/>
        <w:rPr>
          <w:rFonts w:ascii="Arial" w:eastAsia="Arial" w:hAnsi="Arial" w:cs="Arial"/>
        </w:rPr>
      </w:pPr>
    </w:p>
    <w:p w14:paraId="081DFDAE" w14:textId="6F6AA4CB" w:rsidR="004F4E82" w:rsidRDefault="00000000">
      <w:pPr>
        <w:tabs>
          <w:tab w:val="left" w:pos="1080"/>
        </w:tabs>
        <w:jc w:val="both"/>
        <w:rPr>
          <w:rFonts w:ascii="Arial" w:eastAsia="Arial" w:hAnsi="Arial" w:cs="Arial"/>
          <w:b/>
          <w:bCs/>
        </w:rPr>
      </w:pPr>
      <w:r>
        <w:rPr>
          <w:rFonts w:ascii="Arial" w:eastAsia="Arial" w:hAnsi="Arial" w:cs="Arial"/>
        </w:rPr>
        <w:t xml:space="preserve">In the same vein, some students have been found to achieve </w:t>
      </w:r>
      <w:r w:rsidR="00665F9B">
        <w:rPr>
          <w:rFonts w:ascii="Arial" w:eastAsia="Arial" w:hAnsi="Arial" w:cs="Arial"/>
        </w:rPr>
        <w:t>relatively</w:t>
      </w:r>
      <w:r>
        <w:rPr>
          <w:rFonts w:ascii="Arial" w:eastAsia="Arial" w:hAnsi="Arial" w:cs="Arial"/>
        </w:rPr>
        <w:t xml:space="preserve"> low average scores (2-3) </w:t>
      </w:r>
      <w:r w:rsidR="00665F9B">
        <w:rPr>
          <w:rFonts w:ascii="Arial" w:eastAsia="Arial" w:hAnsi="Arial" w:cs="Arial"/>
        </w:rPr>
        <w:t>regarding the extent of implementation of specific security-related practices, such as using antivirus software, regularly updating software, and being careful when</w:t>
      </w:r>
      <w:r>
        <w:rPr>
          <w:rFonts w:ascii="Arial" w:eastAsia="Arial" w:hAnsi="Arial" w:cs="Arial"/>
        </w:rPr>
        <w:t xml:space="preserve"> dealing with unknown applications. </w:t>
      </w:r>
      <w:r w:rsidR="00047F75">
        <w:rPr>
          <w:rFonts w:ascii="Arial" w:eastAsia="Arial" w:hAnsi="Arial" w:cs="Arial"/>
        </w:rPr>
        <w:t>As with faculty, students also show a significant shift in their scores for Security Measures (7), indicating that students' overall security postures and procedures are more naturally aligned with</w:t>
      </w:r>
      <w:r>
        <w:rPr>
          <w:rFonts w:ascii="Arial" w:eastAsia="Arial" w:hAnsi="Arial" w:cs="Arial"/>
        </w:rPr>
        <w:t xml:space="preserve"> such practices. In short, </w:t>
      </w:r>
      <w:r w:rsidR="00665F9B">
        <w:rPr>
          <w:rFonts w:ascii="Arial" w:eastAsia="Arial" w:hAnsi="Arial" w:cs="Arial"/>
        </w:rPr>
        <w:t xml:space="preserve">both faculty members and students follow basic security rules strictly but do not pay much attention to them, nor do they perform many specific security-related tasks, such as installing antivirus software or performing </w:t>
      </w:r>
      <w:r>
        <w:rPr>
          <w:rFonts w:ascii="Arial" w:eastAsia="Arial" w:hAnsi="Arial" w:cs="Arial"/>
        </w:rPr>
        <w:t xml:space="preserve">regular updates. </w:t>
      </w:r>
      <w:r w:rsidR="00665F9B">
        <w:rPr>
          <w:rFonts w:ascii="Arial" w:eastAsia="Arial" w:hAnsi="Arial" w:cs="Arial"/>
        </w:rPr>
        <w:t xml:space="preserve">This means that an emphasis on overall security approaches is applied to both </w:t>
      </w:r>
      <w:r w:rsidR="00665F9B">
        <w:rPr>
          <w:rFonts w:ascii="Arial" w:eastAsia="Arial" w:hAnsi="Arial" w:cs="Arial"/>
        </w:rPr>
        <w:lastRenderedPageBreak/>
        <w:t>groups. However, specific groups may benefit from using measures, training, or campaign approaches to better leverage specific actions</w:t>
      </w:r>
      <w:r>
        <w:rPr>
          <w:rFonts w:ascii="Arial" w:eastAsia="Arial" w:hAnsi="Arial" w:cs="Arial"/>
        </w:rPr>
        <w:t>.</w:t>
      </w:r>
    </w:p>
    <w:p w14:paraId="0199AD4B" w14:textId="77777777" w:rsidR="004F4E82" w:rsidRDefault="004F4E82">
      <w:pPr>
        <w:tabs>
          <w:tab w:val="left" w:pos="1080"/>
        </w:tabs>
        <w:jc w:val="both"/>
        <w:rPr>
          <w:rFonts w:ascii="Arial" w:eastAsia="Arial" w:hAnsi="Arial" w:cs="Arial"/>
          <w:b/>
          <w:bCs/>
        </w:rPr>
      </w:pPr>
    </w:p>
    <w:p w14:paraId="7F99C8BF" w14:textId="1E32039D" w:rsidR="004F4E82" w:rsidRDefault="00000000">
      <w:pPr>
        <w:spacing w:line="276" w:lineRule="auto"/>
        <w:rPr>
          <w:rFonts w:ascii="Arial" w:eastAsia="Arial" w:hAnsi="Arial" w:cs="Arial"/>
          <w:b/>
          <w:bCs/>
        </w:rPr>
      </w:pPr>
      <w:r>
        <w:rPr>
          <w:rFonts w:ascii="Arial" w:eastAsia="Arial" w:hAnsi="Arial" w:cs="Arial"/>
          <w:b/>
          <w:bCs/>
        </w:rPr>
        <w:t>Figure 3</w:t>
      </w:r>
      <w:r w:rsidR="00665F9B">
        <w:rPr>
          <w:rFonts w:ascii="Arial" w:eastAsia="Arial" w:hAnsi="Arial" w:cs="Arial"/>
          <w:b/>
          <w:bCs/>
        </w:rPr>
        <w:t>:</w:t>
      </w:r>
      <w:r>
        <w:rPr>
          <w:rFonts w:ascii="Arial" w:eastAsia="Arial" w:hAnsi="Arial" w:cs="Arial"/>
          <w:b/>
          <w:bCs/>
        </w:rPr>
        <w:t xml:space="preserve"> </w:t>
      </w:r>
      <w:r>
        <w:rPr>
          <w:rFonts w:ascii="Arial" w:eastAsia="Arial" w:hAnsi="Arial" w:cs="Arial"/>
        </w:rPr>
        <w:t>Security Practices</w:t>
      </w:r>
      <w:r>
        <w:rPr>
          <w:noProof/>
        </w:rPr>
        <w:drawing>
          <wp:anchor distT="0" distB="0" distL="114300" distR="114300" simplePos="0" relativeHeight="251660288" behindDoc="0" locked="0" layoutInCell="1" hidden="0" allowOverlap="1" wp14:anchorId="79D7D6E2" wp14:editId="685B8560">
            <wp:simplePos x="0" y="0"/>
            <wp:positionH relativeFrom="column">
              <wp:posOffset>869756</wp:posOffset>
            </wp:positionH>
            <wp:positionV relativeFrom="paragraph">
              <wp:posOffset>321310</wp:posOffset>
            </wp:positionV>
            <wp:extent cx="3328951" cy="2057400"/>
            <wp:effectExtent l="12700" t="12700" r="12700" b="1270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t="4849"/>
                    <a:stretch>
                      <a:fillRect/>
                    </a:stretch>
                  </pic:blipFill>
                  <pic:spPr>
                    <a:xfrm>
                      <a:off x="0" y="0"/>
                      <a:ext cx="3328951" cy="2057400"/>
                    </a:xfrm>
                    <a:prstGeom prst="rect">
                      <a:avLst/>
                    </a:prstGeom>
                    <a:ln w="12700">
                      <a:solidFill>
                        <a:srgbClr val="000000"/>
                      </a:solidFill>
                      <a:prstDash val="solid"/>
                    </a:ln>
                  </pic:spPr>
                </pic:pic>
              </a:graphicData>
            </a:graphic>
          </wp:anchor>
        </w:drawing>
      </w:r>
    </w:p>
    <w:p w14:paraId="49B73190" w14:textId="77777777" w:rsidR="004F4E82" w:rsidRDefault="004F4E82">
      <w:pPr>
        <w:spacing w:line="276" w:lineRule="auto"/>
        <w:rPr>
          <w:rFonts w:ascii="Arial" w:eastAsia="Arial" w:hAnsi="Arial" w:cs="Arial"/>
          <w:b/>
          <w:bCs/>
        </w:rPr>
      </w:pPr>
    </w:p>
    <w:p w14:paraId="13F52F2A" w14:textId="77777777" w:rsidR="004F4E82"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smallCaps/>
          <w:color w:val="000000"/>
          <w:sz w:val="22"/>
          <w:szCs w:val="22"/>
        </w:rPr>
        <w:t xml:space="preserve">3.2 </w:t>
      </w:r>
      <w:r>
        <w:rPr>
          <w:rFonts w:ascii="Arial" w:eastAsia="Arial" w:hAnsi="Arial" w:cs="Arial"/>
          <w:b/>
          <w:bCs/>
          <w:color w:val="000000"/>
          <w:sz w:val="22"/>
          <w:szCs w:val="22"/>
        </w:rPr>
        <w:t>Correlation Analysis of Malware Awareness and Security Practices</w:t>
      </w:r>
    </w:p>
    <w:p w14:paraId="401F2D88" w14:textId="77777777" w:rsidR="004F4E82" w:rsidRDefault="004F4E82">
      <w:pPr>
        <w:pBdr>
          <w:top w:val="nil"/>
          <w:left w:val="nil"/>
          <w:bottom w:val="nil"/>
          <w:right w:val="nil"/>
          <w:between w:val="nil"/>
        </w:pBdr>
        <w:jc w:val="both"/>
        <w:rPr>
          <w:rFonts w:ascii="Arial" w:eastAsia="Arial" w:hAnsi="Arial" w:cs="Arial"/>
          <w:b/>
          <w:bCs/>
          <w:color w:val="000000"/>
          <w:sz w:val="22"/>
          <w:szCs w:val="22"/>
        </w:rPr>
      </w:pPr>
    </w:p>
    <w:p w14:paraId="07229AFE" w14:textId="6ECA90D6" w:rsidR="004F4E82" w:rsidRDefault="00000000">
      <w:pPr>
        <w:pBdr>
          <w:top w:val="nil"/>
          <w:left w:val="nil"/>
          <w:bottom w:val="nil"/>
          <w:right w:val="nil"/>
          <w:between w:val="nil"/>
        </w:pBdr>
        <w:tabs>
          <w:tab w:val="left" w:pos="360"/>
          <w:tab w:val="left" w:pos="720"/>
        </w:tabs>
        <w:jc w:val="both"/>
        <w:rPr>
          <w:rFonts w:ascii="Arial" w:eastAsia="Arial" w:hAnsi="Arial" w:cs="Arial"/>
        </w:rPr>
      </w:pPr>
      <w:r>
        <w:rPr>
          <w:rFonts w:ascii="Arial" w:eastAsia="Arial" w:hAnsi="Arial" w:cs="Arial"/>
        </w:rPr>
        <w:t xml:space="preserve">Figure 4 investigates </w:t>
      </w:r>
      <w:r w:rsidR="00665F9B">
        <w:rPr>
          <w:rFonts w:ascii="Arial" w:eastAsia="Arial" w:hAnsi="Arial" w:cs="Arial"/>
        </w:rPr>
        <w:t>in detail the relationship between the different malware awareness types and security practices</w:t>
      </w:r>
      <w:r>
        <w:rPr>
          <w:rFonts w:ascii="Arial" w:eastAsia="Arial" w:hAnsi="Arial" w:cs="Arial"/>
        </w:rPr>
        <w:t xml:space="preserve">, </w:t>
      </w:r>
      <w:r w:rsidR="00665F9B">
        <w:rPr>
          <w:rFonts w:ascii="Arial" w:eastAsia="Arial" w:hAnsi="Arial" w:cs="Arial"/>
        </w:rPr>
        <w:t>as</w:t>
      </w:r>
      <w:r>
        <w:rPr>
          <w:rFonts w:ascii="Arial" w:eastAsia="Arial" w:hAnsi="Arial" w:cs="Arial"/>
        </w:rPr>
        <w:t xml:space="preserve"> depicted in the correlation matrix. Each cell in the matrix represents </w:t>
      </w:r>
      <w:r w:rsidR="00665F9B">
        <w:rPr>
          <w:rFonts w:ascii="Arial" w:eastAsia="Arial" w:hAnsi="Arial" w:cs="Arial"/>
        </w:rPr>
        <w:t>a correlation coefficient ranging from -1 to +1, measuring the extent and character of the relationship</w:t>
      </w:r>
      <w:r>
        <w:rPr>
          <w:rFonts w:ascii="Arial" w:eastAsia="Arial" w:hAnsi="Arial" w:cs="Arial"/>
        </w:rPr>
        <w:t xml:space="preserve"> between the two variables. In this case</w:t>
      </w:r>
      <w:r w:rsidR="00665F9B">
        <w:rPr>
          <w:rFonts w:ascii="Arial" w:eastAsia="Arial" w:hAnsi="Arial" w:cs="Arial"/>
        </w:rPr>
        <w:t>, as positive means attention or practice of the other variable also increases,</w:t>
      </w:r>
      <w:r>
        <w:rPr>
          <w:rFonts w:ascii="Arial" w:eastAsia="Arial" w:hAnsi="Arial" w:cs="Arial"/>
        </w:rPr>
        <w:t xml:space="preserve"> the focus is critical in the inverse case. The interpretation is enhanced </w:t>
      </w:r>
      <w:r w:rsidR="00665F9B">
        <w:rPr>
          <w:rFonts w:ascii="Arial" w:eastAsia="Arial" w:hAnsi="Arial" w:cs="Arial"/>
        </w:rPr>
        <w:t xml:space="preserve">by color gradation: dark red </w:t>
      </w:r>
      <w:r w:rsidR="00047F75">
        <w:rPr>
          <w:rFonts w:ascii="Arial" w:eastAsia="Arial" w:hAnsi="Arial" w:cs="Arial"/>
        </w:rPr>
        <w:t>indicates strong positive correlations, dark blue indicates</w:t>
      </w:r>
      <w:r w:rsidR="00665F9B">
        <w:rPr>
          <w:rFonts w:ascii="Arial" w:eastAsia="Arial" w:hAnsi="Arial" w:cs="Arial"/>
        </w:rPr>
        <w:t xml:space="preserve"> negative ones, and light colors indicate</w:t>
      </w:r>
      <w:r>
        <w:rPr>
          <w:rFonts w:ascii="Arial" w:eastAsia="Arial" w:hAnsi="Arial" w:cs="Arial"/>
        </w:rPr>
        <w:t xml:space="preserve"> no correlation. </w:t>
      </w:r>
      <w:r w:rsidR="007E5A96">
        <w:rPr>
          <w:rFonts w:ascii="Arial" w:eastAsia="Arial" w:hAnsi="Arial" w:cs="Arial"/>
        </w:rPr>
        <w:t>There</w:t>
      </w:r>
      <w:r>
        <w:rPr>
          <w:rFonts w:ascii="Arial" w:eastAsia="Arial" w:hAnsi="Arial" w:cs="Arial"/>
        </w:rPr>
        <w:t xml:space="preserve"> is a strong correlation </w:t>
      </w:r>
      <w:r w:rsidR="00665F9B">
        <w:rPr>
          <w:rFonts w:ascii="Arial" w:eastAsia="Arial" w:hAnsi="Arial" w:cs="Arial"/>
        </w:rPr>
        <w:t xml:space="preserve">between phishing awareness (0.77) and Smishing (SMS phishing), indicating that if one threat is known to an individual, it is likely </w:t>
      </w:r>
      <w:r>
        <w:rPr>
          <w:rFonts w:ascii="Arial" w:eastAsia="Arial" w:hAnsi="Arial" w:cs="Arial"/>
        </w:rPr>
        <w:t>others are too. Likewise, zero-day exploits account for 0.73</w:t>
      </w:r>
      <w:r w:rsidR="00665F9B">
        <w:rPr>
          <w:rFonts w:ascii="Arial" w:eastAsia="Arial" w:hAnsi="Arial" w:cs="Arial"/>
        </w:rPr>
        <w:t>,</w:t>
      </w:r>
      <w:r>
        <w:rPr>
          <w:rFonts w:ascii="Arial" w:eastAsia="Arial" w:hAnsi="Arial" w:cs="Arial"/>
        </w:rPr>
        <w:t xml:space="preserve"> while Man-in-the-middle is also on </w:t>
      </w:r>
      <w:r w:rsidR="00665F9B">
        <w:rPr>
          <w:rFonts w:ascii="Arial" w:eastAsia="Arial" w:hAnsi="Arial" w:cs="Arial"/>
        </w:rPr>
        <w:t>the account, indicating</w:t>
      </w:r>
      <w:r>
        <w:rPr>
          <w:rFonts w:ascii="Arial" w:eastAsia="Arial" w:hAnsi="Arial" w:cs="Arial"/>
        </w:rPr>
        <w:t xml:space="preserve"> some level of awareness of these advanced </w:t>
      </w:r>
      <w:r w:rsidR="00665F9B">
        <w:rPr>
          <w:rFonts w:ascii="Arial" w:eastAsia="Arial" w:hAnsi="Arial" w:cs="Arial"/>
        </w:rPr>
        <w:t>security threats</w:t>
      </w:r>
      <w:r>
        <w:rPr>
          <w:rFonts w:ascii="Arial" w:eastAsia="Arial" w:hAnsi="Arial" w:cs="Arial"/>
        </w:rPr>
        <w:t xml:space="preserve">. There </w:t>
      </w:r>
      <w:r w:rsidR="00665F9B">
        <w:rPr>
          <w:rFonts w:ascii="Arial" w:eastAsia="Arial" w:hAnsi="Arial" w:cs="Arial"/>
        </w:rPr>
        <w:t xml:space="preserve">is a moderate correlation, such as that between Antivirus usage and Safe Browsing at 0.58, which suggests that users who practice safe browsing are most likely to </w:t>
      </w:r>
      <w:r>
        <w:rPr>
          <w:rFonts w:ascii="Arial" w:eastAsia="Arial" w:hAnsi="Arial" w:cs="Arial"/>
        </w:rPr>
        <w:t xml:space="preserve">have antivirus software. Likewise, Regular Updates correlate with Safe Browsing at a coefficient of 0.52, </w:t>
      </w:r>
      <w:r w:rsidR="00665F9B">
        <w:rPr>
          <w:rFonts w:ascii="Arial" w:eastAsia="Arial" w:hAnsi="Arial" w:cs="Arial"/>
        </w:rPr>
        <w:t xml:space="preserve">indicating that frequent </w:t>
      </w:r>
      <w:r w:rsidR="00DF72B9">
        <w:rPr>
          <w:rFonts w:ascii="Arial" w:eastAsia="Arial" w:hAnsi="Arial" w:cs="Arial"/>
        </w:rPr>
        <w:t>updates</w:t>
      </w:r>
      <w:r>
        <w:rPr>
          <w:rFonts w:ascii="Arial" w:eastAsia="Arial" w:hAnsi="Arial" w:cs="Arial"/>
        </w:rPr>
        <w:t xml:space="preserve"> are often </w:t>
      </w:r>
      <w:r w:rsidR="00ED38B2">
        <w:rPr>
          <w:rFonts w:ascii="Arial" w:eastAsia="Arial" w:hAnsi="Arial" w:cs="Arial"/>
        </w:rPr>
        <w:t>associated with safe browsing, as Wibowo et. Al (2025) emphasizes that cyber resilience depends not only on awareness but also on the consistent practice of proactive behaviors across all user groups.</w:t>
      </w:r>
    </w:p>
    <w:p w14:paraId="55A0BAEB" w14:textId="77777777" w:rsidR="004F4E82" w:rsidRDefault="004F4E82">
      <w:pPr>
        <w:pBdr>
          <w:top w:val="nil"/>
          <w:left w:val="nil"/>
          <w:bottom w:val="nil"/>
          <w:right w:val="nil"/>
          <w:between w:val="nil"/>
        </w:pBdr>
        <w:tabs>
          <w:tab w:val="left" w:pos="360"/>
          <w:tab w:val="left" w:pos="720"/>
        </w:tabs>
        <w:jc w:val="both"/>
        <w:rPr>
          <w:rFonts w:ascii="Arial" w:eastAsia="Arial" w:hAnsi="Arial" w:cs="Arial"/>
        </w:rPr>
      </w:pPr>
    </w:p>
    <w:p w14:paraId="122FAF80" w14:textId="4AB767B1" w:rsidR="004F4E82" w:rsidRDefault="00000000">
      <w:pPr>
        <w:tabs>
          <w:tab w:val="left" w:pos="1080"/>
        </w:tabs>
        <w:jc w:val="both"/>
        <w:rPr>
          <w:rFonts w:ascii="Arial" w:eastAsia="Arial" w:hAnsi="Arial" w:cs="Arial"/>
          <w:b/>
          <w:bCs/>
        </w:rPr>
      </w:pPr>
      <w:r>
        <w:rPr>
          <w:rFonts w:ascii="Arial" w:eastAsia="Arial" w:hAnsi="Arial" w:cs="Arial"/>
        </w:rPr>
        <w:t xml:space="preserve">There are also some negative correlations. For instance, the relationship between Phishing and Man-in-the-middle attacks carried out by someone (-0.24) or Phishing and Vishing (-0.22) instances </w:t>
      </w:r>
      <w:r w:rsidR="00665F9B">
        <w:rPr>
          <w:rFonts w:ascii="Arial" w:eastAsia="Arial" w:hAnsi="Arial" w:cs="Arial"/>
        </w:rPr>
        <w:t>proves that one comprehension of phishing is not inclusive of the other’s</w:t>
      </w:r>
      <w:r>
        <w:rPr>
          <w:rFonts w:ascii="Arial" w:eastAsia="Arial" w:hAnsi="Arial" w:cs="Arial"/>
        </w:rPr>
        <w:t xml:space="preserve"> phishing comprehension. There </w:t>
      </w:r>
      <w:r w:rsidR="00665F9B">
        <w:rPr>
          <w:rFonts w:ascii="Arial" w:eastAsia="Arial" w:hAnsi="Arial" w:cs="Arial"/>
        </w:rPr>
        <w:t>are also negative correlations that may apply in</w:t>
      </w:r>
      <w:r>
        <w:rPr>
          <w:rFonts w:ascii="Arial" w:eastAsia="Arial" w:hAnsi="Arial" w:cs="Arial"/>
        </w:rPr>
        <w:t xml:space="preserve"> more nuanced areas of this spectrum. Phishing </w:t>
      </w:r>
      <w:r w:rsidR="00ED38B2">
        <w:rPr>
          <w:rFonts w:ascii="Arial" w:eastAsia="Arial" w:hAnsi="Arial" w:cs="Arial"/>
        </w:rPr>
        <w:t>practices and Adware awareness had a low negative correlation of -</w:t>
      </w:r>
      <w:r w:rsidR="00665F9B">
        <w:rPr>
          <w:rFonts w:ascii="Arial" w:eastAsia="Arial" w:hAnsi="Arial" w:cs="Arial"/>
        </w:rPr>
        <w:t xml:space="preserve">.26, suggesting a lack of knowledge about the </w:t>
      </w:r>
      <w:r w:rsidR="00047F75">
        <w:rPr>
          <w:rFonts w:ascii="Arial" w:eastAsia="Arial" w:hAnsi="Arial" w:cs="Arial"/>
        </w:rPr>
        <w:t>distinction between these malware types</w:t>
      </w:r>
      <w:r>
        <w:rPr>
          <w:rFonts w:ascii="Arial" w:eastAsia="Arial" w:hAnsi="Arial" w:cs="Arial"/>
        </w:rPr>
        <w:t xml:space="preserve">. </w:t>
      </w:r>
      <w:r w:rsidR="00665F9B">
        <w:rPr>
          <w:rFonts w:ascii="Arial" w:eastAsia="Arial" w:hAnsi="Arial" w:cs="Arial"/>
        </w:rPr>
        <w:t xml:space="preserve">It is </w:t>
      </w:r>
      <w:r w:rsidR="00ED38B2">
        <w:rPr>
          <w:rFonts w:ascii="Arial" w:eastAsia="Arial" w:hAnsi="Arial" w:cs="Arial"/>
        </w:rPr>
        <w:t>fascinating</w:t>
      </w:r>
      <w:r w:rsidR="00665F9B">
        <w:rPr>
          <w:rFonts w:ascii="Arial" w:eastAsia="Arial" w:hAnsi="Arial" w:cs="Arial"/>
        </w:rPr>
        <w:t xml:space="preserve"> that almost no correlation (0.08) between antivirus usage and security behavior was found, implying that having</w:t>
      </w:r>
      <w:r>
        <w:rPr>
          <w:rFonts w:ascii="Arial" w:eastAsia="Arial" w:hAnsi="Arial" w:cs="Arial"/>
        </w:rPr>
        <w:t xml:space="preserve"> </w:t>
      </w:r>
      <w:r w:rsidR="00665F9B">
        <w:rPr>
          <w:rFonts w:ascii="Arial" w:eastAsia="Arial" w:hAnsi="Arial" w:cs="Arial"/>
        </w:rPr>
        <w:t xml:space="preserve">an </w:t>
      </w:r>
      <w:r>
        <w:rPr>
          <w:rFonts w:ascii="Arial" w:eastAsia="Arial" w:hAnsi="Arial" w:cs="Arial"/>
        </w:rPr>
        <w:t>antivirus does not enforce other security habits. Other malware</w:t>
      </w:r>
      <w:r w:rsidR="00665F9B">
        <w:rPr>
          <w:rFonts w:ascii="Arial" w:eastAsia="Arial" w:hAnsi="Arial" w:cs="Arial"/>
        </w:rPr>
        <w:t>, such as Trojans, also showed weak or no positive relationships with several security practices, suggesting that knowledge of Trojans does not relate to</w:t>
      </w:r>
      <w:r>
        <w:rPr>
          <w:rFonts w:ascii="Arial" w:eastAsia="Arial" w:hAnsi="Arial" w:cs="Arial"/>
        </w:rPr>
        <w:t xml:space="preserve"> overall security practices. The critical points in the correlation matrix </w:t>
      </w:r>
      <w:r w:rsidR="00665F9B">
        <w:rPr>
          <w:rFonts w:ascii="Arial" w:eastAsia="Arial" w:hAnsi="Arial" w:cs="Arial"/>
        </w:rPr>
        <w:t>indicate that, although there is at least one common consensus on awareness of threats like phishing and smishing, the recognition and understanding of more advanced threats like Man-in-the-Middle or Vishing remain</w:t>
      </w:r>
      <w:r>
        <w:rPr>
          <w:rFonts w:ascii="Arial" w:eastAsia="Arial" w:hAnsi="Arial" w:cs="Arial"/>
        </w:rPr>
        <w:t xml:space="preserve"> elusive. It </w:t>
      </w:r>
      <w:r>
        <w:rPr>
          <w:rFonts w:ascii="Arial" w:eastAsia="Arial" w:hAnsi="Arial" w:cs="Arial"/>
        </w:rPr>
        <w:lastRenderedPageBreak/>
        <w:t>was also observed that even basic security measures</w:t>
      </w:r>
      <w:r w:rsidR="00665F9B">
        <w:rPr>
          <w:rFonts w:ascii="Arial" w:eastAsia="Arial" w:hAnsi="Arial" w:cs="Arial"/>
        </w:rPr>
        <w:t>, such as Antivirus, Safe Browsing, and Regular Updates,</w:t>
      </w:r>
      <w:r>
        <w:rPr>
          <w:rFonts w:ascii="Arial" w:eastAsia="Arial" w:hAnsi="Arial" w:cs="Arial"/>
        </w:rPr>
        <w:t xml:space="preserve"> are clustered together</w:t>
      </w:r>
      <w:r w:rsidR="00665F9B">
        <w:rPr>
          <w:rFonts w:ascii="Arial" w:eastAsia="Arial" w:hAnsi="Arial" w:cs="Arial"/>
        </w:rPr>
        <w:t xml:space="preserve">. In contrast, more advanced measures or awareness of, say, zero-day attacks are likely to be rare among the </w:t>
      </w:r>
      <w:r w:rsidR="00DF72B9">
        <w:rPr>
          <w:rFonts w:ascii="Arial" w:eastAsia="Arial" w:hAnsi="Arial" w:cs="Arial"/>
        </w:rPr>
        <w:t>respondents</w:t>
      </w:r>
      <w:r>
        <w:rPr>
          <w:rFonts w:ascii="Arial" w:eastAsia="Arial" w:hAnsi="Arial" w:cs="Arial"/>
        </w:rPr>
        <w:t xml:space="preserve">. In this regard, this study calls for </w:t>
      </w:r>
      <w:r w:rsidR="00665F9B">
        <w:rPr>
          <w:rFonts w:ascii="Arial" w:eastAsia="Arial" w:hAnsi="Arial" w:cs="Arial"/>
        </w:rPr>
        <w:t xml:space="preserve">targeted security awareness programs to address these gaps and foster a comprehensive understanding of malware threats and the </w:t>
      </w:r>
      <w:r>
        <w:rPr>
          <w:rFonts w:ascii="Arial" w:eastAsia="Arial" w:hAnsi="Arial" w:cs="Arial"/>
        </w:rPr>
        <w:t>necessary measures</w:t>
      </w:r>
      <w:r w:rsidR="00665F9B">
        <w:rPr>
          <w:rFonts w:ascii="Arial" w:eastAsia="Arial" w:hAnsi="Arial" w:cs="Arial"/>
        </w:rPr>
        <w:t xml:space="preserve"> to address them</w:t>
      </w:r>
      <w:r>
        <w:rPr>
          <w:rFonts w:ascii="Arial" w:eastAsia="Arial" w:hAnsi="Arial" w:cs="Arial"/>
        </w:rPr>
        <w:t>.</w:t>
      </w:r>
      <w:r w:rsidR="00ED38B2">
        <w:rPr>
          <w:rFonts w:ascii="Arial" w:eastAsia="Arial" w:hAnsi="Arial" w:cs="Arial"/>
        </w:rPr>
        <w:t xml:space="preserve"> Strengthening user capability, particularly in recognizing social engineering threats and adopting secure digital habits, is crucial for building institutional cyber resilience, as recommended by Wibowo et al. (2025).</w:t>
      </w:r>
    </w:p>
    <w:p w14:paraId="4A6C8B14" w14:textId="77777777" w:rsidR="004F4E82" w:rsidRDefault="004F4E82">
      <w:pPr>
        <w:tabs>
          <w:tab w:val="left" w:pos="1080"/>
        </w:tabs>
        <w:jc w:val="both"/>
        <w:rPr>
          <w:rFonts w:ascii="Arial" w:eastAsia="Arial" w:hAnsi="Arial" w:cs="Arial"/>
          <w:b/>
          <w:bCs/>
        </w:rPr>
      </w:pPr>
    </w:p>
    <w:p w14:paraId="41206657" w14:textId="77777777" w:rsidR="004F4E82" w:rsidRDefault="00000000">
      <w:pPr>
        <w:widowControl w:val="0"/>
        <w:spacing w:line="360" w:lineRule="auto"/>
        <w:jc w:val="both"/>
        <w:rPr>
          <w:rFonts w:ascii="Arial" w:eastAsia="Arial" w:hAnsi="Arial" w:cs="Arial"/>
        </w:rPr>
      </w:pPr>
      <w:r>
        <w:rPr>
          <w:rFonts w:ascii="Arial" w:eastAsia="Arial" w:hAnsi="Arial" w:cs="Arial"/>
          <w:b/>
          <w:bCs/>
        </w:rPr>
        <w:t>Figure 4</w:t>
      </w:r>
      <w:r>
        <w:rPr>
          <w:rFonts w:ascii="Arial" w:eastAsia="Arial" w:hAnsi="Arial" w:cs="Arial"/>
        </w:rPr>
        <w:t xml:space="preserve"> Correlation Analysis of Malware Awareness and Security Practices</w:t>
      </w:r>
      <w:r>
        <w:rPr>
          <w:noProof/>
        </w:rPr>
        <w:drawing>
          <wp:anchor distT="0" distB="0" distL="114300" distR="114300" simplePos="0" relativeHeight="251661312" behindDoc="0" locked="0" layoutInCell="1" hidden="0" allowOverlap="1" wp14:anchorId="1A1895A9" wp14:editId="3C322972">
            <wp:simplePos x="0" y="0"/>
            <wp:positionH relativeFrom="column">
              <wp:posOffset>1396476</wp:posOffset>
            </wp:positionH>
            <wp:positionV relativeFrom="paragraph">
              <wp:posOffset>226695</wp:posOffset>
            </wp:positionV>
            <wp:extent cx="2289826" cy="2057400"/>
            <wp:effectExtent l="12700" t="12700" r="12700" b="12700"/>
            <wp:wrapTopAndBottom distT="0" dist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2887"/>
                    <a:stretch>
                      <a:fillRect/>
                    </a:stretch>
                  </pic:blipFill>
                  <pic:spPr>
                    <a:xfrm>
                      <a:off x="0" y="0"/>
                      <a:ext cx="2289826" cy="2057400"/>
                    </a:xfrm>
                    <a:prstGeom prst="rect">
                      <a:avLst/>
                    </a:prstGeom>
                    <a:ln w="12700">
                      <a:solidFill>
                        <a:srgbClr val="000000"/>
                      </a:solidFill>
                      <a:prstDash val="solid"/>
                    </a:ln>
                  </pic:spPr>
                </pic:pic>
              </a:graphicData>
            </a:graphic>
          </wp:anchor>
        </w:drawing>
      </w:r>
    </w:p>
    <w:p w14:paraId="1302FCE9" w14:textId="77777777" w:rsidR="004F4E82" w:rsidRDefault="004F4E82">
      <w:pPr>
        <w:tabs>
          <w:tab w:val="left" w:pos="1080"/>
        </w:tabs>
        <w:jc w:val="both"/>
        <w:rPr>
          <w:rFonts w:ascii="Arial" w:eastAsia="Arial" w:hAnsi="Arial" w:cs="Arial"/>
          <w:b/>
          <w:bCs/>
        </w:rPr>
      </w:pPr>
    </w:p>
    <w:p w14:paraId="3D1BBD7C" w14:textId="6A446EB0" w:rsidR="007E5A96" w:rsidRDefault="007E5A96" w:rsidP="007E5A96">
      <w:pPr>
        <w:tabs>
          <w:tab w:val="left" w:pos="1080"/>
        </w:tabs>
        <w:jc w:val="both"/>
        <w:rPr>
          <w:rFonts w:ascii="Arial" w:eastAsia="Arial" w:hAnsi="Arial" w:cs="Arial"/>
        </w:rPr>
      </w:pPr>
      <w:r>
        <w:rPr>
          <w:rFonts w:ascii="Arial" w:eastAsia="Arial" w:hAnsi="Arial" w:cs="Arial"/>
        </w:rPr>
        <w:t xml:space="preserve">Table 3 presents the K-means clustering results, which produced three unique clusters indicating different levels of malware awareness and differing security practices across respondents. In the first iteration, respondents were aware of malware types with high levels of Trojans (M=3.56), Ransomware (M=3.52), Spyware (M=3.48), and Adware (M=3.89). Security practices were also subordinated, with employees practicing overall security (M=7.91). In contrast, awareness of social engineering threats (phishing (M=1.63), smishing (M=1.87), and vishing (M=2.11)) was significantly lower. Iteration 2 indicated a different concentration, giving rise to a new cluster that allocates higher mean scores to social engineering threats, phishing (M=3.69), smishing (M=4.12), vishing (M=4.08), </w:t>
      </w:r>
      <w:proofErr w:type="gramStart"/>
      <w:r>
        <w:rPr>
          <w:rFonts w:ascii="Arial" w:eastAsia="Arial" w:hAnsi="Arial" w:cs="Arial"/>
        </w:rPr>
        <w:t>and also</w:t>
      </w:r>
      <w:proofErr w:type="gramEnd"/>
      <w:r>
        <w:rPr>
          <w:rFonts w:ascii="Arial" w:eastAsia="Arial" w:hAnsi="Arial" w:cs="Arial"/>
        </w:rPr>
        <w:t xml:space="preserve"> a man-in-the-middle attack (M=4.27). Awareness of zero-day exploits also increased (M=4.15). Moderate engagement was noted regarding the use of security practices, including antivirus (M=4.11) and safe browsing (M=4.08). Malware awareness values were more balanced in iteration 3 and were in the range of 2.29 and 3.50, while social engineering threat levels were moderate (phishing M=2.94; smishing M=3.84; vishing M=4.12). Compared with iteration 2, the antivirus (M=1.50), safe browsing practices (M=1.69), regular updates (M=1.49), and unknown app verification (M=1.53) showed decreases in security practices. Across the three clusters, three profiles suggest a cluster of heightened awareness of malware but </w:t>
      </w:r>
      <w:r w:rsidR="00DF72B9">
        <w:rPr>
          <w:rFonts w:ascii="Arial" w:eastAsia="Arial" w:hAnsi="Arial" w:cs="Arial"/>
        </w:rPr>
        <w:t>less</w:t>
      </w:r>
      <w:r>
        <w:rPr>
          <w:rFonts w:ascii="Arial" w:eastAsia="Arial" w:hAnsi="Arial" w:cs="Arial"/>
        </w:rPr>
        <w:t xml:space="preserve"> awareness of social engineering, a cluster of social engineering threat awareness and moderate security practice adoption, and a cluster low in social engineering threat awareness and minimal practice adoption.</w:t>
      </w:r>
      <w:r w:rsidR="00047F75">
        <w:rPr>
          <w:rFonts w:ascii="Arial" w:eastAsia="Arial" w:hAnsi="Arial" w:cs="Arial"/>
        </w:rPr>
        <w:t xml:space="preserve"> The clustered patterns in this study echo findings by </w:t>
      </w:r>
      <w:proofErr w:type="spellStart"/>
      <w:r w:rsidR="00047F75">
        <w:rPr>
          <w:rFonts w:ascii="Arial" w:eastAsia="Arial" w:hAnsi="Arial" w:cs="Arial"/>
        </w:rPr>
        <w:t>Dockalova</w:t>
      </w:r>
      <w:proofErr w:type="spellEnd"/>
      <w:r w:rsidR="00047F75">
        <w:rPr>
          <w:rFonts w:ascii="Arial" w:eastAsia="Arial" w:hAnsi="Arial" w:cs="Arial"/>
        </w:rPr>
        <w:t xml:space="preserve"> Burska et al. (2024), who showed that data clustering can effectively uncover trainee behavioral patterns in cybersecurity education.</w:t>
      </w:r>
    </w:p>
    <w:p w14:paraId="358892A7" w14:textId="2444B2B1" w:rsidR="004F4E82" w:rsidRDefault="00000000">
      <w:pPr>
        <w:spacing w:before="240" w:line="360" w:lineRule="auto"/>
        <w:rPr>
          <w:rFonts w:ascii="Arial" w:eastAsia="Arial" w:hAnsi="Arial" w:cs="Arial"/>
          <w:b/>
          <w:bCs/>
        </w:rPr>
      </w:pPr>
      <w:r>
        <w:rPr>
          <w:rFonts w:ascii="Arial" w:eastAsia="Arial" w:hAnsi="Arial" w:cs="Arial"/>
          <w:b/>
          <w:bCs/>
        </w:rPr>
        <w:t>Table 3</w:t>
      </w:r>
      <w:r w:rsidR="00665F9B">
        <w:rPr>
          <w:rFonts w:ascii="Arial" w:eastAsia="Arial" w:hAnsi="Arial" w:cs="Arial"/>
        </w:rPr>
        <w:t>:</w:t>
      </w:r>
      <w:r>
        <w:rPr>
          <w:rFonts w:ascii="Arial" w:eastAsia="Arial" w:hAnsi="Arial" w:cs="Arial"/>
        </w:rPr>
        <w:t xml:space="preserve"> </w:t>
      </w:r>
      <w:r w:rsidR="00665F9B">
        <w:rPr>
          <w:rFonts w:ascii="Arial" w:eastAsia="Arial" w:hAnsi="Arial" w:cs="Arial"/>
        </w:rPr>
        <w:t>K-Means</w:t>
      </w:r>
      <w:r>
        <w:rPr>
          <w:rFonts w:ascii="Arial" w:eastAsia="Arial" w:hAnsi="Arial" w:cs="Arial"/>
        </w:rPr>
        <w:t xml:space="preserve"> Clustering of Malware Awareness and Security Practices</w:t>
      </w:r>
    </w:p>
    <w:tbl>
      <w:tblPr>
        <w:tblStyle w:val="a2"/>
        <w:tblW w:w="8280" w:type="dxa"/>
        <w:jc w:val="center"/>
        <w:tblInd w:w="0" w:type="dxa"/>
        <w:tblBorders>
          <w:bottom w:val="single" w:sz="4" w:space="0" w:color="000000"/>
        </w:tblBorders>
        <w:tblLayout w:type="fixed"/>
        <w:tblLook w:val="0400" w:firstRow="0" w:lastRow="0" w:firstColumn="0" w:lastColumn="0" w:noHBand="0" w:noVBand="1"/>
      </w:tblPr>
      <w:tblGrid>
        <w:gridCol w:w="3435"/>
        <w:gridCol w:w="1890"/>
        <w:gridCol w:w="1500"/>
        <w:gridCol w:w="1455"/>
      </w:tblGrid>
      <w:tr w:rsidR="004F4E82" w14:paraId="365031BB" w14:textId="77777777">
        <w:trPr>
          <w:trHeight w:val="420"/>
          <w:jc w:val="center"/>
        </w:trPr>
        <w:tc>
          <w:tcPr>
            <w:tcW w:w="3435" w:type="dxa"/>
            <w:tcBorders>
              <w:top w:val="single" w:sz="4" w:space="0" w:color="000000"/>
              <w:left w:val="nil"/>
              <w:bottom w:val="single" w:sz="4" w:space="0" w:color="000000"/>
              <w:right w:val="nil"/>
            </w:tcBorders>
            <w:vAlign w:val="center"/>
          </w:tcPr>
          <w:p w14:paraId="536EF200" w14:textId="77777777" w:rsidR="004F4E82" w:rsidRDefault="00000000">
            <w:pPr>
              <w:ind w:firstLine="6"/>
              <w:jc w:val="center"/>
              <w:rPr>
                <w:rFonts w:ascii="Arial" w:eastAsia="Arial" w:hAnsi="Arial" w:cs="Arial"/>
                <w:sz w:val="18"/>
                <w:szCs w:val="18"/>
              </w:rPr>
            </w:pPr>
            <w:r>
              <w:rPr>
                <w:rFonts w:ascii="Arial" w:eastAsia="Arial" w:hAnsi="Arial" w:cs="Arial"/>
                <w:sz w:val="18"/>
                <w:szCs w:val="18"/>
              </w:rPr>
              <w:t>Iteration</w:t>
            </w:r>
          </w:p>
        </w:tc>
        <w:tc>
          <w:tcPr>
            <w:tcW w:w="1890" w:type="dxa"/>
            <w:tcBorders>
              <w:top w:val="single" w:sz="4" w:space="0" w:color="000000"/>
              <w:left w:val="nil"/>
              <w:bottom w:val="single" w:sz="4" w:space="0" w:color="000000"/>
              <w:right w:val="nil"/>
            </w:tcBorders>
            <w:vAlign w:val="center"/>
          </w:tcPr>
          <w:p w14:paraId="6246C1F7"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500" w:type="dxa"/>
            <w:tcBorders>
              <w:top w:val="single" w:sz="4" w:space="0" w:color="000000"/>
              <w:left w:val="nil"/>
              <w:bottom w:val="single" w:sz="4" w:space="0" w:color="000000"/>
              <w:right w:val="nil"/>
            </w:tcBorders>
            <w:vAlign w:val="center"/>
          </w:tcPr>
          <w:p w14:paraId="4F8C0403" w14:textId="77777777" w:rsidR="004F4E82" w:rsidRDefault="00000000">
            <w:pPr>
              <w:jc w:val="center"/>
              <w:rPr>
                <w:rFonts w:ascii="Arial" w:eastAsia="Arial" w:hAnsi="Arial" w:cs="Arial"/>
                <w:sz w:val="18"/>
                <w:szCs w:val="18"/>
              </w:rPr>
            </w:pPr>
            <w:r>
              <w:rPr>
                <w:rFonts w:ascii="Arial" w:eastAsia="Arial" w:hAnsi="Arial" w:cs="Arial"/>
                <w:sz w:val="18"/>
                <w:szCs w:val="18"/>
              </w:rPr>
              <w:t>2</w:t>
            </w:r>
          </w:p>
        </w:tc>
        <w:tc>
          <w:tcPr>
            <w:tcW w:w="1455" w:type="dxa"/>
            <w:tcBorders>
              <w:top w:val="single" w:sz="4" w:space="0" w:color="000000"/>
              <w:left w:val="nil"/>
              <w:bottom w:val="single" w:sz="4" w:space="0" w:color="000000"/>
              <w:right w:val="nil"/>
            </w:tcBorders>
            <w:vAlign w:val="center"/>
          </w:tcPr>
          <w:p w14:paraId="4982B46A" w14:textId="77777777" w:rsidR="004F4E82" w:rsidRDefault="00000000">
            <w:pPr>
              <w:jc w:val="center"/>
              <w:rPr>
                <w:rFonts w:ascii="Arial" w:eastAsia="Arial" w:hAnsi="Arial" w:cs="Arial"/>
                <w:sz w:val="18"/>
                <w:szCs w:val="18"/>
              </w:rPr>
            </w:pPr>
            <w:r>
              <w:rPr>
                <w:rFonts w:ascii="Arial" w:eastAsia="Arial" w:hAnsi="Arial" w:cs="Arial"/>
                <w:sz w:val="18"/>
                <w:szCs w:val="18"/>
              </w:rPr>
              <w:t>3</w:t>
            </w:r>
          </w:p>
        </w:tc>
      </w:tr>
      <w:tr w:rsidR="004F4E82" w14:paraId="2F75E5B2" w14:textId="77777777">
        <w:trPr>
          <w:trHeight w:val="350"/>
          <w:jc w:val="center"/>
        </w:trPr>
        <w:tc>
          <w:tcPr>
            <w:tcW w:w="3435" w:type="dxa"/>
          </w:tcPr>
          <w:p w14:paraId="3D90AA00" w14:textId="77777777" w:rsidR="004F4E82" w:rsidRDefault="00000000">
            <w:pPr>
              <w:rPr>
                <w:rFonts w:ascii="Arial" w:eastAsia="Arial" w:hAnsi="Arial" w:cs="Arial"/>
                <w:sz w:val="18"/>
                <w:szCs w:val="18"/>
              </w:rPr>
            </w:pPr>
            <w:r>
              <w:rPr>
                <w:rFonts w:ascii="Arial" w:eastAsia="Arial" w:hAnsi="Arial" w:cs="Arial"/>
                <w:sz w:val="18"/>
                <w:szCs w:val="18"/>
              </w:rPr>
              <w:t>Malware</w:t>
            </w:r>
          </w:p>
        </w:tc>
        <w:tc>
          <w:tcPr>
            <w:tcW w:w="1890" w:type="dxa"/>
          </w:tcPr>
          <w:p w14:paraId="71D69E62"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3.10</w:t>
            </w:r>
          </w:p>
        </w:tc>
        <w:tc>
          <w:tcPr>
            <w:tcW w:w="1500" w:type="dxa"/>
          </w:tcPr>
          <w:p w14:paraId="51871461" w14:textId="77777777" w:rsidR="004F4E82" w:rsidRDefault="00000000">
            <w:pPr>
              <w:ind w:firstLine="288"/>
              <w:rPr>
                <w:rFonts w:ascii="Arial" w:eastAsia="Arial" w:hAnsi="Arial" w:cs="Arial"/>
                <w:sz w:val="18"/>
                <w:szCs w:val="18"/>
              </w:rPr>
            </w:pPr>
            <w:r>
              <w:rPr>
                <w:rFonts w:ascii="Arial" w:eastAsia="Arial" w:hAnsi="Arial" w:cs="Arial"/>
                <w:sz w:val="18"/>
                <w:szCs w:val="18"/>
              </w:rPr>
              <w:t>3.60</w:t>
            </w:r>
          </w:p>
        </w:tc>
        <w:tc>
          <w:tcPr>
            <w:tcW w:w="1455" w:type="dxa"/>
            <w:vAlign w:val="center"/>
          </w:tcPr>
          <w:p w14:paraId="4625B3F7" w14:textId="77777777" w:rsidR="004F4E82" w:rsidRDefault="00000000">
            <w:pPr>
              <w:ind w:firstLine="288"/>
              <w:rPr>
                <w:rFonts w:ascii="Arial" w:eastAsia="Arial" w:hAnsi="Arial" w:cs="Arial"/>
                <w:sz w:val="18"/>
                <w:szCs w:val="18"/>
              </w:rPr>
            </w:pPr>
            <w:r>
              <w:rPr>
                <w:rFonts w:ascii="Arial" w:eastAsia="Arial" w:hAnsi="Arial" w:cs="Arial"/>
                <w:sz w:val="18"/>
                <w:szCs w:val="18"/>
              </w:rPr>
              <w:t>3.50</w:t>
            </w:r>
          </w:p>
        </w:tc>
      </w:tr>
      <w:tr w:rsidR="004F4E82" w14:paraId="0C9893A4" w14:textId="77777777">
        <w:trPr>
          <w:trHeight w:val="350"/>
          <w:jc w:val="center"/>
        </w:trPr>
        <w:tc>
          <w:tcPr>
            <w:tcW w:w="3435" w:type="dxa"/>
          </w:tcPr>
          <w:p w14:paraId="58F9A4C5" w14:textId="77777777" w:rsidR="004F4E82" w:rsidRDefault="00000000">
            <w:pPr>
              <w:rPr>
                <w:rFonts w:ascii="Arial" w:eastAsia="Arial" w:hAnsi="Arial" w:cs="Arial"/>
                <w:sz w:val="18"/>
                <w:szCs w:val="18"/>
              </w:rPr>
            </w:pPr>
            <w:r>
              <w:rPr>
                <w:rFonts w:ascii="Arial" w:eastAsia="Arial" w:hAnsi="Arial" w:cs="Arial"/>
                <w:sz w:val="18"/>
                <w:szCs w:val="18"/>
              </w:rPr>
              <w:lastRenderedPageBreak/>
              <w:t>Trojans</w:t>
            </w:r>
          </w:p>
        </w:tc>
        <w:tc>
          <w:tcPr>
            <w:tcW w:w="1890" w:type="dxa"/>
          </w:tcPr>
          <w:p w14:paraId="7C3301DD"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3.56</w:t>
            </w:r>
          </w:p>
        </w:tc>
        <w:tc>
          <w:tcPr>
            <w:tcW w:w="1500" w:type="dxa"/>
          </w:tcPr>
          <w:p w14:paraId="4BDB757E" w14:textId="77777777" w:rsidR="004F4E82" w:rsidRDefault="00000000">
            <w:pPr>
              <w:ind w:firstLine="288"/>
              <w:rPr>
                <w:rFonts w:ascii="Arial" w:eastAsia="Arial" w:hAnsi="Arial" w:cs="Arial"/>
                <w:sz w:val="18"/>
                <w:szCs w:val="18"/>
              </w:rPr>
            </w:pPr>
            <w:r>
              <w:rPr>
                <w:rFonts w:ascii="Arial" w:eastAsia="Arial" w:hAnsi="Arial" w:cs="Arial"/>
                <w:sz w:val="18"/>
                <w:szCs w:val="18"/>
              </w:rPr>
              <w:t>2.42</w:t>
            </w:r>
          </w:p>
        </w:tc>
        <w:tc>
          <w:tcPr>
            <w:tcW w:w="1455" w:type="dxa"/>
          </w:tcPr>
          <w:p w14:paraId="3D374681" w14:textId="77777777" w:rsidR="004F4E82" w:rsidRDefault="00000000">
            <w:pPr>
              <w:ind w:firstLine="288"/>
              <w:rPr>
                <w:rFonts w:ascii="Arial" w:eastAsia="Arial" w:hAnsi="Arial" w:cs="Arial"/>
                <w:sz w:val="18"/>
                <w:szCs w:val="18"/>
              </w:rPr>
            </w:pPr>
            <w:r>
              <w:rPr>
                <w:rFonts w:ascii="Arial" w:eastAsia="Arial" w:hAnsi="Arial" w:cs="Arial"/>
                <w:sz w:val="18"/>
                <w:szCs w:val="18"/>
              </w:rPr>
              <w:t>2.43</w:t>
            </w:r>
          </w:p>
        </w:tc>
      </w:tr>
      <w:tr w:rsidR="004F4E82" w14:paraId="17BB97F8" w14:textId="77777777">
        <w:trPr>
          <w:trHeight w:val="350"/>
          <w:jc w:val="center"/>
        </w:trPr>
        <w:tc>
          <w:tcPr>
            <w:tcW w:w="3435" w:type="dxa"/>
          </w:tcPr>
          <w:p w14:paraId="5464A6B6" w14:textId="77777777" w:rsidR="004F4E82" w:rsidRDefault="00000000">
            <w:pPr>
              <w:rPr>
                <w:rFonts w:ascii="Arial" w:eastAsia="Arial" w:hAnsi="Arial" w:cs="Arial"/>
                <w:sz w:val="18"/>
                <w:szCs w:val="18"/>
              </w:rPr>
            </w:pPr>
            <w:r>
              <w:rPr>
                <w:rFonts w:ascii="Arial" w:eastAsia="Arial" w:hAnsi="Arial" w:cs="Arial"/>
                <w:sz w:val="18"/>
                <w:szCs w:val="18"/>
              </w:rPr>
              <w:t>Ransomware</w:t>
            </w:r>
          </w:p>
        </w:tc>
        <w:tc>
          <w:tcPr>
            <w:tcW w:w="1890" w:type="dxa"/>
          </w:tcPr>
          <w:p w14:paraId="345C6D6F"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3.52</w:t>
            </w:r>
          </w:p>
        </w:tc>
        <w:tc>
          <w:tcPr>
            <w:tcW w:w="1500" w:type="dxa"/>
          </w:tcPr>
          <w:p w14:paraId="58DF0294" w14:textId="77777777" w:rsidR="004F4E82" w:rsidRDefault="00000000">
            <w:pPr>
              <w:ind w:firstLine="288"/>
              <w:rPr>
                <w:rFonts w:ascii="Arial" w:eastAsia="Arial" w:hAnsi="Arial" w:cs="Arial"/>
                <w:sz w:val="18"/>
                <w:szCs w:val="18"/>
              </w:rPr>
            </w:pPr>
            <w:r>
              <w:rPr>
                <w:rFonts w:ascii="Arial" w:eastAsia="Arial" w:hAnsi="Arial" w:cs="Arial"/>
                <w:sz w:val="18"/>
                <w:szCs w:val="18"/>
              </w:rPr>
              <w:t>2.31</w:t>
            </w:r>
          </w:p>
        </w:tc>
        <w:tc>
          <w:tcPr>
            <w:tcW w:w="1455" w:type="dxa"/>
            <w:vAlign w:val="center"/>
          </w:tcPr>
          <w:p w14:paraId="7E72DE00" w14:textId="77777777" w:rsidR="004F4E82" w:rsidRDefault="00000000">
            <w:pPr>
              <w:ind w:firstLine="288"/>
              <w:rPr>
                <w:rFonts w:ascii="Arial" w:eastAsia="Arial" w:hAnsi="Arial" w:cs="Arial"/>
                <w:sz w:val="18"/>
                <w:szCs w:val="18"/>
              </w:rPr>
            </w:pPr>
            <w:r>
              <w:rPr>
                <w:rFonts w:ascii="Arial" w:eastAsia="Arial" w:hAnsi="Arial" w:cs="Arial"/>
                <w:sz w:val="18"/>
                <w:szCs w:val="18"/>
              </w:rPr>
              <w:t>2.29</w:t>
            </w:r>
          </w:p>
        </w:tc>
      </w:tr>
      <w:tr w:rsidR="004F4E82" w14:paraId="1A36324B" w14:textId="77777777">
        <w:trPr>
          <w:trHeight w:val="350"/>
          <w:jc w:val="center"/>
        </w:trPr>
        <w:tc>
          <w:tcPr>
            <w:tcW w:w="3435" w:type="dxa"/>
          </w:tcPr>
          <w:p w14:paraId="12C1C336" w14:textId="77777777" w:rsidR="004F4E82" w:rsidRDefault="00000000">
            <w:pPr>
              <w:rPr>
                <w:rFonts w:ascii="Arial" w:eastAsia="Arial" w:hAnsi="Arial" w:cs="Arial"/>
                <w:sz w:val="18"/>
                <w:szCs w:val="18"/>
              </w:rPr>
            </w:pPr>
            <w:r>
              <w:rPr>
                <w:rFonts w:ascii="Arial" w:eastAsia="Arial" w:hAnsi="Arial" w:cs="Arial"/>
                <w:sz w:val="18"/>
                <w:szCs w:val="18"/>
              </w:rPr>
              <w:t>Spyware</w:t>
            </w:r>
          </w:p>
        </w:tc>
        <w:tc>
          <w:tcPr>
            <w:tcW w:w="1890" w:type="dxa"/>
          </w:tcPr>
          <w:p w14:paraId="2E6AB859"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3.48</w:t>
            </w:r>
          </w:p>
        </w:tc>
        <w:tc>
          <w:tcPr>
            <w:tcW w:w="1500" w:type="dxa"/>
          </w:tcPr>
          <w:p w14:paraId="4F2EFDFB" w14:textId="77777777" w:rsidR="004F4E82" w:rsidRDefault="00000000">
            <w:pPr>
              <w:ind w:firstLine="288"/>
              <w:rPr>
                <w:rFonts w:ascii="Arial" w:eastAsia="Arial" w:hAnsi="Arial" w:cs="Arial"/>
                <w:sz w:val="18"/>
                <w:szCs w:val="18"/>
              </w:rPr>
            </w:pPr>
            <w:r>
              <w:rPr>
                <w:rFonts w:ascii="Arial" w:eastAsia="Arial" w:hAnsi="Arial" w:cs="Arial"/>
                <w:sz w:val="18"/>
                <w:szCs w:val="18"/>
              </w:rPr>
              <w:t>2.35</w:t>
            </w:r>
          </w:p>
        </w:tc>
        <w:tc>
          <w:tcPr>
            <w:tcW w:w="1455" w:type="dxa"/>
          </w:tcPr>
          <w:p w14:paraId="58D2633E" w14:textId="77777777" w:rsidR="004F4E82" w:rsidRDefault="00000000">
            <w:pPr>
              <w:ind w:firstLine="288"/>
              <w:rPr>
                <w:rFonts w:ascii="Arial" w:eastAsia="Arial" w:hAnsi="Arial" w:cs="Arial"/>
                <w:sz w:val="18"/>
                <w:szCs w:val="18"/>
              </w:rPr>
            </w:pPr>
            <w:r>
              <w:rPr>
                <w:rFonts w:ascii="Arial" w:eastAsia="Arial" w:hAnsi="Arial" w:cs="Arial"/>
                <w:sz w:val="18"/>
                <w:szCs w:val="18"/>
              </w:rPr>
              <w:t>2.55</w:t>
            </w:r>
          </w:p>
        </w:tc>
      </w:tr>
      <w:tr w:rsidR="004F4E82" w14:paraId="1DFD8F8D" w14:textId="77777777">
        <w:trPr>
          <w:trHeight w:val="350"/>
          <w:jc w:val="center"/>
        </w:trPr>
        <w:tc>
          <w:tcPr>
            <w:tcW w:w="3435" w:type="dxa"/>
          </w:tcPr>
          <w:p w14:paraId="2C3428E3" w14:textId="77777777" w:rsidR="004F4E82" w:rsidRDefault="00000000">
            <w:pPr>
              <w:rPr>
                <w:rFonts w:ascii="Arial" w:eastAsia="Arial" w:hAnsi="Arial" w:cs="Arial"/>
                <w:sz w:val="18"/>
                <w:szCs w:val="18"/>
              </w:rPr>
            </w:pPr>
            <w:r>
              <w:rPr>
                <w:rFonts w:ascii="Arial" w:eastAsia="Arial" w:hAnsi="Arial" w:cs="Arial"/>
                <w:sz w:val="18"/>
                <w:szCs w:val="18"/>
              </w:rPr>
              <w:t>Adware</w:t>
            </w:r>
          </w:p>
        </w:tc>
        <w:tc>
          <w:tcPr>
            <w:tcW w:w="1890" w:type="dxa"/>
          </w:tcPr>
          <w:p w14:paraId="6811446F"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3.89</w:t>
            </w:r>
          </w:p>
        </w:tc>
        <w:tc>
          <w:tcPr>
            <w:tcW w:w="1500" w:type="dxa"/>
          </w:tcPr>
          <w:p w14:paraId="797B4A76" w14:textId="77777777" w:rsidR="004F4E82" w:rsidRDefault="00000000">
            <w:pPr>
              <w:ind w:firstLine="288"/>
              <w:rPr>
                <w:rFonts w:ascii="Arial" w:eastAsia="Arial" w:hAnsi="Arial" w:cs="Arial"/>
                <w:sz w:val="18"/>
                <w:szCs w:val="18"/>
              </w:rPr>
            </w:pPr>
            <w:r>
              <w:rPr>
                <w:rFonts w:ascii="Arial" w:eastAsia="Arial" w:hAnsi="Arial" w:cs="Arial"/>
                <w:sz w:val="18"/>
                <w:szCs w:val="18"/>
              </w:rPr>
              <w:t>2.04</w:t>
            </w:r>
          </w:p>
        </w:tc>
        <w:tc>
          <w:tcPr>
            <w:tcW w:w="1455" w:type="dxa"/>
            <w:vAlign w:val="center"/>
          </w:tcPr>
          <w:p w14:paraId="09E47F8A" w14:textId="77777777" w:rsidR="004F4E82" w:rsidRDefault="00000000">
            <w:pPr>
              <w:ind w:firstLine="288"/>
              <w:rPr>
                <w:rFonts w:ascii="Arial" w:eastAsia="Arial" w:hAnsi="Arial" w:cs="Arial"/>
                <w:sz w:val="18"/>
                <w:szCs w:val="18"/>
              </w:rPr>
            </w:pPr>
            <w:r>
              <w:rPr>
                <w:rFonts w:ascii="Arial" w:eastAsia="Arial" w:hAnsi="Arial" w:cs="Arial"/>
                <w:sz w:val="18"/>
                <w:szCs w:val="18"/>
              </w:rPr>
              <w:t>2.53</w:t>
            </w:r>
          </w:p>
        </w:tc>
      </w:tr>
      <w:tr w:rsidR="004F4E82" w14:paraId="56D23195" w14:textId="77777777">
        <w:trPr>
          <w:trHeight w:val="350"/>
          <w:jc w:val="center"/>
        </w:trPr>
        <w:tc>
          <w:tcPr>
            <w:tcW w:w="3435" w:type="dxa"/>
          </w:tcPr>
          <w:p w14:paraId="2378D377" w14:textId="77777777" w:rsidR="004F4E82" w:rsidRDefault="00000000">
            <w:pPr>
              <w:rPr>
                <w:rFonts w:ascii="Arial" w:eastAsia="Arial" w:hAnsi="Arial" w:cs="Arial"/>
                <w:sz w:val="18"/>
                <w:szCs w:val="18"/>
              </w:rPr>
            </w:pPr>
            <w:r>
              <w:rPr>
                <w:rFonts w:ascii="Arial" w:eastAsia="Arial" w:hAnsi="Arial" w:cs="Arial"/>
                <w:sz w:val="18"/>
                <w:szCs w:val="18"/>
              </w:rPr>
              <w:t>Phishing</w:t>
            </w:r>
          </w:p>
        </w:tc>
        <w:tc>
          <w:tcPr>
            <w:tcW w:w="1890" w:type="dxa"/>
          </w:tcPr>
          <w:p w14:paraId="6D553B65"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1.63</w:t>
            </w:r>
          </w:p>
        </w:tc>
        <w:tc>
          <w:tcPr>
            <w:tcW w:w="1500" w:type="dxa"/>
          </w:tcPr>
          <w:p w14:paraId="79D4703F" w14:textId="77777777" w:rsidR="004F4E82" w:rsidRDefault="00000000">
            <w:pPr>
              <w:ind w:firstLine="288"/>
              <w:rPr>
                <w:rFonts w:ascii="Arial" w:eastAsia="Arial" w:hAnsi="Arial" w:cs="Arial"/>
                <w:sz w:val="18"/>
                <w:szCs w:val="18"/>
              </w:rPr>
            </w:pPr>
            <w:r>
              <w:rPr>
                <w:rFonts w:ascii="Arial" w:eastAsia="Arial" w:hAnsi="Arial" w:cs="Arial"/>
                <w:sz w:val="18"/>
                <w:szCs w:val="18"/>
              </w:rPr>
              <w:t>3.69</w:t>
            </w:r>
          </w:p>
        </w:tc>
        <w:tc>
          <w:tcPr>
            <w:tcW w:w="1455" w:type="dxa"/>
          </w:tcPr>
          <w:p w14:paraId="65E32A14" w14:textId="77777777" w:rsidR="004F4E82" w:rsidRDefault="00000000">
            <w:pPr>
              <w:ind w:firstLine="288"/>
              <w:rPr>
                <w:rFonts w:ascii="Arial" w:eastAsia="Arial" w:hAnsi="Arial" w:cs="Arial"/>
                <w:sz w:val="18"/>
                <w:szCs w:val="18"/>
              </w:rPr>
            </w:pPr>
            <w:r>
              <w:rPr>
                <w:rFonts w:ascii="Arial" w:eastAsia="Arial" w:hAnsi="Arial" w:cs="Arial"/>
                <w:sz w:val="18"/>
                <w:szCs w:val="18"/>
              </w:rPr>
              <w:t>2.94</w:t>
            </w:r>
          </w:p>
        </w:tc>
      </w:tr>
      <w:tr w:rsidR="004F4E82" w14:paraId="28F748EF" w14:textId="77777777">
        <w:trPr>
          <w:trHeight w:val="350"/>
          <w:jc w:val="center"/>
        </w:trPr>
        <w:tc>
          <w:tcPr>
            <w:tcW w:w="3435" w:type="dxa"/>
          </w:tcPr>
          <w:p w14:paraId="58C505AE" w14:textId="77777777" w:rsidR="004F4E82" w:rsidRDefault="00000000">
            <w:pPr>
              <w:rPr>
                <w:rFonts w:ascii="Arial" w:eastAsia="Arial" w:hAnsi="Arial" w:cs="Arial"/>
                <w:sz w:val="18"/>
                <w:szCs w:val="18"/>
              </w:rPr>
            </w:pPr>
            <w:r>
              <w:rPr>
                <w:rFonts w:ascii="Arial" w:eastAsia="Arial" w:hAnsi="Arial" w:cs="Arial"/>
                <w:sz w:val="18"/>
                <w:szCs w:val="18"/>
              </w:rPr>
              <w:t>Smishing</w:t>
            </w:r>
          </w:p>
        </w:tc>
        <w:tc>
          <w:tcPr>
            <w:tcW w:w="1890" w:type="dxa"/>
          </w:tcPr>
          <w:p w14:paraId="1977DB46"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1.87</w:t>
            </w:r>
          </w:p>
        </w:tc>
        <w:tc>
          <w:tcPr>
            <w:tcW w:w="1500" w:type="dxa"/>
          </w:tcPr>
          <w:p w14:paraId="2623D7F6" w14:textId="77777777" w:rsidR="004F4E82" w:rsidRDefault="00000000">
            <w:pPr>
              <w:ind w:firstLine="288"/>
              <w:rPr>
                <w:rFonts w:ascii="Arial" w:eastAsia="Arial" w:hAnsi="Arial" w:cs="Arial"/>
                <w:sz w:val="18"/>
                <w:szCs w:val="18"/>
              </w:rPr>
            </w:pPr>
            <w:r>
              <w:rPr>
                <w:rFonts w:ascii="Arial" w:eastAsia="Arial" w:hAnsi="Arial" w:cs="Arial"/>
                <w:sz w:val="18"/>
                <w:szCs w:val="18"/>
              </w:rPr>
              <w:t>4.12</w:t>
            </w:r>
          </w:p>
        </w:tc>
        <w:tc>
          <w:tcPr>
            <w:tcW w:w="1455" w:type="dxa"/>
            <w:vAlign w:val="center"/>
          </w:tcPr>
          <w:p w14:paraId="4820AF70" w14:textId="77777777" w:rsidR="004F4E82" w:rsidRDefault="00000000">
            <w:pPr>
              <w:ind w:firstLine="288"/>
              <w:rPr>
                <w:rFonts w:ascii="Arial" w:eastAsia="Arial" w:hAnsi="Arial" w:cs="Arial"/>
                <w:sz w:val="18"/>
                <w:szCs w:val="18"/>
              </w:rPr>
            </w:pPr>
            <w:r>
              <w:rPr>
                <w:rFonts w:ascii="Arial" w:eastAsia="Arial" w:hAnsi="Arial" w:cs="Arial"/>
                <w:sz w:val="18"/>
                <w:szCs w:val="18"/>
              </w:rPr>
              <w:t>3.84</w:t>
            </w:r>
          </w:p>
        </w:tc>
      </w:tr>
      <w:tr w:rsidR="004F4E82" w14:paraId="3DBF57C1" w14:textId="77777777">
        <w:trPr>
          <w:trHeight w:val="350"/>
          <w:jc w:val="center"/>
        </w:trPr>
        <w:tc>
          <w:tcPr>
            <w:tcW w:w="3435" w:type="dxa"/>
          </w:tcPr>
          <w:p w14:paraId="31B5CC38" w14:textId="77777777" w:rsidR="004F4E82" w:rsidRDefault="00000000">
            <w:pPr>
              <w:rPr>
                <w:rFonts w:ascii="Arial" w:eastAsia="Arial" w:hAnsi="Arial" w:cs="Arial"/>
                <w:sz w:val="18"/>
                <w:szCs w:val="18"/>
              </w:rPr>
            </w:pPr>
            <w:r>
              <w:rPr>
                <w:rFonts w:ascii="Arial" w:eastAsia="Arial" w:hAnsi="Arial" w:cs="Arial"/>
                <w:sz w:val="18"/>
                <w:szCs w:val="18"/>
              </w:rPr>
              <w:t>Vishing</w:t>
            </w:r>
          </w:p>
        </w:tc>
        <w:tc>
          <w:tcPr>
            <w:tcW w:w="1890" w:type="dxa"/>
          </w:tcPr>
          <w:p w14:paraId="2668608E"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2.11</w:t>
            </w:r>
          </w:p>
        </w:tc>
        <w:tc>
          <w:tcPr>
            <w:tcW w:w="1500" w:type="dxa"/>
          </w:tcPr>
          <w:p w14:paraId="0D4CE3C2" w14:textId="77777777" w:rsidR="004F4E82" w:rsidRDefault="00000000">
            <w:pPr>
              <w:ind w:firstLine="288"/>
              <w:rPr>
                <w:rFonts w:ascii="Arial" w:eastAsia="Arial" w:hAnsi="Arial" w:cs="Arial"/>
                <w:sz w:val="18"/>
                <w:szCs w:val="18"/>
              </w:rPr>
            </w:pPr>
            <w:r>
              <w:rPr>
                <w:rFonts w:ascii="Arial" w:eastAsia="Arial" w:hAnsi="Arial" w:cs="Arial"/>
                <w:sz w:val="18"/>
                <w:szCs w:val="18"/>
              </w:rPr>
              <w:t>4.08</w:t>
            </w:r>
          </w:p>
        </w:tc>
        <w:tc>
          <w:tcPr>
            <w:tcW w:w="1455" w:type="dxa"/>
          </w:tcPr>
          <w:p w14:paraId="59CA377B" w14:textId="77777777" w:rsidR="004F4E82" w:rsidRDefault="00000000">
            <w:pPr>
              <w:ind w:firstLine="288"/>
              <w:rPr>
                <w:rFonts w:ascii="Arial" w:eastAsia="Arial" w:hAnsi="Arial" w:cs="Arial"/>
                <w:sz w:val="18"/>
                <w:szCs w:val="18"/>
              </w:rPr>
            </w:pPr>
            <w:r>
              <w:rPr>
                <w:rFonts w:ascii="Arial" w:eastAsia="Arial" w:hAnsi="Arial" w:cs="Arial"/>
                <w:sz w:val="18"/>
                <w:szCs w:val="18"/>
              </w:rPr>
              <w:t>4.12</w:t>
            </w:r>
          </w:p>
        </w:tc>
      </w:tr>
      <w:tr w:rsidR="004F4E82" w14:paraId="3238DAB1" w14:textId="77777777">
        <w:trPr>
          <w:trHeight w:val="350"/>
          <w:jc w:val="center"/>
        </w:trPr>
        <w:tc>
          <w:tcPr>
            <w:tcW w:w="3435" w:type="dxa"/>
          </w:tcPr>
          <w:p w14:paraId="70965A6E" w14:textId="77777777" w:rsidR="004F4E82" w:rsidRDefault="00000000">
            <w:pPr>
              <w:rPr>
                <w:rFonts w:ascii="Arial" w:eastAsia="Arial" w:hAnsi="Arial" w:cs="Arial"/>
                <w:sz w:val="18"/>
                <w:szCs w:val="18"/>
              </w:rPr>
            </w:pPr>
            <w:r>
              <w:rPr>
                <w:rFonts w:ascii="Arial" w:eastAsia="Arial" w:hAnsi="Arial" w:cs="Arial"/>
                <w:sz w:val="18"/>
                <w:szCs w:val="18"/>
              </w:rPr>
              <w:t>Man-in-the-middle attack</w:t>
            </w:r>
          </w:p>
        </w:tc>
        <w:tc>
          <w:tcPr>
            <w:tcW w:w="1890" w:type="dxa"/>
          </w:tcPr>
          <w:p w14:paraId="53182D90"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2.07</w:t>
            </w:r>
          </w:p>
        </w:tc>
        <w:tc>
          <w:tcPr>
            <w:tcW w:w="1500" w:type="dxa"/>
          </w:tcPr>
          <w:p w14:paraId="6198D40A" w14:textId="77777777" w:rsidR="004F4E82" w:rsidRDefault="00000000">
            <w:pPr>
              <w:ind w:firstLine="288"/>
              <w:rPr>
                <w:rFonts w:ascii="Arial" w:eastAsia="Arial" w:hAnsi="Arial" w:cs="Arial"/>
                <w:sz w:val="18"/>
                <w:szCs w:val="18"/>
              </w:rPr>
            </w:pPr>
            <w:r>
              <w:rPr>
                <w:rFonts w:ascii="Arial" w:eastAsia="Arial" w:hAnsi="Arial" w:cs="Arial"/>
                <w:sz w:val="18"/>
                <w:szCs w:val="18"/>
              </w:rPr>
              <w:t>4.27</w:t>
            </w:r>
          </w:p>
        </w:tc>
        <w:tc>
          <w:tcPr>
            <w:tcW w:w="1455" w:type="dxa"/>
            <w:vAlign w:val="center"/>
          </w:tcPr>
          <w:p w14:paraId="3F0B5E99" w14:textId="77777777" w:rsidR="004F4E82" w:rsidRDefault="00000000">
            <w:pPr>
              <w:ind w:firstLine="288"/>
              <w:rPr>
                <w:rFonts w:ascii="Arial" w:eastAsia="Arial" w:hAnsi="Arial" w:cs="Arial"/>
                <w:sz w:val="18"/>
                <w:szCs w:val="18"/>
              </w:rPr>
            </w:pPr>
            <w:r>
              <w:rPr>
                <w:rFonts w:ascii="Arial" w:eastAsia="Arial" w:hAnsi="Arial" w:cs="Arial"/>
                <w:sz w:val="18"/>
                <w:szCs w:val="18"/>
              </w:rPr>
              <w:t>3.74</w:t>
            </w:r>
          </w:p>
        </w:tc>
      </w:tr>
      <w:tr w:rsidR="004F4E82" w14:paraId="41F5BB61" w14:textId="77777777">
        <w:trPr>
          <w:trHeight w:val="350"/>
          <w:jc w:val="center"/>
        </w:trPr>
        <w:tc>
          <w:tcPr>
            <w:tcW w:w="3435" w:type="dxa"/>
          </w:tcPr>
          <w:p w14:paraId="4A2A7A3D" w14:textId="77777777" w:rsidR="004F4E82" w:rsidRDefault="00000000">
            <w:pPr>
              <w:rPr>
                <w:rFonts w:ascii="Arial" w:eastAsia="Arial" w:hAnsi="Arial" w:cs="Arial"/>
                <w:sz w:val="18"/>
                <w:szCs w:val="18"/>
              </w:rPr>
            </w:pPr>
            <w:r>
              <w:rPr>
                <w:rFonts w:ascii="Arial" w:eastAsia="Arial" w:hAnsi="Arial" w:cs="Arial"/>
                <w:sz w:val="18"/>
                <w:szCs w:val="18"/>
              </w:rPr>
              <w:t>Zero-day Exploits</w:t>
            </w:r>
          </w:p>
        </w:tc>
        <w:tc>
          <w:tcPr>
            <w:tcW w:w="1890" w:type="dxa"/>
          </w:tcPr>
          <w:p w14:paraId="5AA04A01"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2.26</w:t>
            </w:r>
          </w:p>
        </w:tc>
        <w:tc>
          <w:tcPr>
            <w:tcW w:w="1500" w:type="dxa"/>
          </w:tcPr>
          <w:p w14:paraId="5243EC04" w14:textId="77777777" w:rsidR="004F4E82" w:rsidRDefault="00000000">
            <w:pPr>
              <w:ind w:firstLine="288"/>
              <w:rPr>
                <w:rFonts w:ascii="Arial" w:eastAsia="Arial" w:hAnsi="Arial" w:cs="Arial"/>
                <w:sz w:val="18"/>
                <w:szCs w:val="18"/>
              </w:rPr>
            </w:pPr>
            <w:r>
              <w:rPr>
                <w:rFonts w:ascii="Arial" w:eastAsia="Arial" w:hAnsi="Arial" w:cs="Arial"/>
                <w:sz w:val="18"/>
                <w:szCs w:val="18"/>
              </w:rPr>
              <w:t>4.15</w:t>
            </w:r>
          </w:p>
        </w:tc>
        <w:tc>
          <w:tcPr>
            <w:tcW w:w="1455" w:type="dxa"/>
          </w:tcPr>
          <w:p w14:paraId="12C245A0" w14:textId="77777777" w:rsidR="004F4E82" w:rsidRDefault="00000000">
            <w:pPr>
              <w:ind w:firstLine="288"/>
              <w:rPr>
                <w:rFonts w:ascii="Arial" w:eastAsia="Arial" w:hAnsi="Arial" w:cs="Arial"/>
                <w:sz w:val="18"/>
                <w:szCs w:val="18"/>
              </w:rPr>
            </w:pPr>
            <w:r>
              <w:rPr>
                <w:rFonts w:ascii="Arial" w:eastAsia="Arial" w:hAnsi="Arial" w:cs="Arial"/>
                <w:sz w:val="18"/>
                <w:szCs w:val="18"/>
              </w:rPr>
              <w:t>4.04</w:t>
            </w:r>
          </w:p>
        </w:tc>
      </w:tr>
      <w:tr w:rsidR="004F4E82" w14:paraId="63554499" w14:textId="77777777">
        <w:trPr>
          <w:trHeight w:val="350"/>
          <w:jc w:val="center"/>
        </w:trPr>
        <w:tc>
          <w:tcPr>
            <w:tcW w:w="3435" w:type="dxa"/>
          </w:tcPr>
          <w:p w14:paraId="0B22512F" w14:textId="77777777" w:rsidR="004F4E82" w:rsidRDefault="00000000">
            <w:pPr>
              <w:rPr>
                <w:rFonts w:ascii="Arial" w:eastAsia="Arial" w:hAnsi="Arial" w:cs="Arial"/>
                <w:sz w:val="18"/>
                <w:szCs w:val="18"/>
              </w:rPr>
            </w:pPr>
            <w:r>
              <w:rPr>
                <w:rFonts w:ascii="Arial" w:eastAsia="Arial" w:hAnsi="Arial" w:cs="Arial"/>
                <w:sz w:val="18"/>
                <w:szCs w:val="18"/>
              </w:rPr>
              <w:t>Security Measures</w:t>
            </w:r>
          </w:p>
        </w:tc>
        <w:tc>
          <w:tcPr>
            <w:tcW w:w="1890" w:type="dxa"/>
          </w:tcPr>
          <w:p w14:paraId="3E911C7D"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7.91</w:t>
            </w:r>
          </w:p>
        </w:tc>
        <w:tc>
          <w:tcPr>
            <w:tcW w:w="1500" w:type="dxa"/>
          </w:tcPr>
          <w:p w14:paraId="5FFECBE3" w14:textId="77777777" w:rsidR="004F4E82" w:rsidRDefault="00000000">
            <w:pPr>
              <w:ind w:firstLine="288"/>
              <w:rPr>
                <w:rFonts w:ascii="Arial" w:eastAsia="Arial" w:hAnsi="Arial" w:cs="Arial"/>
                <w:sz w:val="18"/>
                <w:szCs w:val="18"/>
              </w:rPr>
            </w:pPr>
            <w:r>
              <w:rPr>
                <w:rFonts w:ascii="Arial" w:eastAsia="Arial" w:hAnsi="Arial" w:cs="Arial"/>
                <w:sz w:val="18"/>
                <w:szCs w:val="18"/>
              </w:rPr>
              <w:t>5.69</w:t>
            </w:r>
          </w:p>
        </w:tc>
        <w:tc>
          <w:tcPr>
            <w:tcW w:w="1455" w:type="dxa"/>
          </w:tcPr>
          <w:p w14:paraId="4CE0B38F" w14:textId="77777777" w:rsidR="004F4E82" w:rsidRDefault="00000000">
            <w:pPr>
              <w:ind w:firstLine="288"/>
              <w:rPr>
                <w:rFonts w:ascii="Arial" w:eastAsia="Arial" w:hAnsi="Arial" w:cs="Arial"/>
                <w:sz w:val="18"/>
                <w:szCs w:val="18"/>
              </w:rPr>
            </w:pPr>
            <w:r>
              <w:rPr>
                <w:rFonts w:ascii="Arial" w:eastAsia="Arial" w:hAnsi="Arial" w:cs="Arial"/>
                <w:sz w:val="18"/>
                <w:szCs w:val="18"/>
              </w:rPr>
              <w:t>6.23</w:t>
            </w:r>
          </w:p>
        </w:tc>
      </w:tr>
      <w:tr w:rsidR="004F4E82" w14:paraId="5A2AB2BC" w14:textId="77777777">
        <w:trPr>
          <w:trHeight w:val="350"/>
          <w:jc w:val="center"/>
        </w:trPr>
        <w:tc>
          <w:tcPr>
            <w:tcW w:w="3435" w:type="dxa"/>
          </w:tcPr>
          <w:p w14:paraId="59357EA4" w14:textId="77777777" w:rsidR="004F4E82" w:rsidRDefault="00000000">
            <w:pPr>
              <w:rPr>
                <w:rFonts w:ascii="Arial" w:eastAsia="Arial" w:hAnsi="Arial" w:cs="Arial"/>
                <w:sz w:val="18"/>
                <w:szCs w:val="18"/>
              </w:rPr>
            </w:pPr>
            <w:r>
              <w:rPr>
                <w:rFonts w:ascii="Arial" w:eastAsia="Arial" w:hAnsi="Arial" w:cs="Arial"/>
                <w:sz w:val="18"/>
                <w:szCs w:val="18"/>
              </w:rPr>
              <w:t>Antivirus software</w:t>
            </w:r>
          </w:p>
        </w:tc>
        <w:tc>
          <w:tcPr>
            <w:tcW w:w="1890" w:type="dxa"/>
          </w:tcPr>
          <w:p w14:paraId="74484A58"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1.96</w:t>
            </w:r>
          </w:p>
        </w:tc>
        <w:tc>
          <w:tcPr>
            <w:tcW w:w="1500" w:type="dxa"/>
          </w:tcPr>
          <w:p w14:paraId="1458F9F9" w14:textId="77777777" w:rsidR="004F4E82" w:rsidRDefault="00000000">
            <w:pPr>
              <w:ind w:firstLine="288"/>
              <w:rPr>
                <w:rFonts w:ascii="Arial" w:eastAsia="Arial" w:hAnsi="Arial" w:cs="Arial"/>
                <w:sz w:val="18"/>
                <w:szCs w:val="18"/>
              </w:rPr>
            </w:pPr>
            <w:r>
              <w:rPr>
                <w:rFonts w:ascii="Arial" w:eastAsia="Arial" w:hAnsi="Arial" w:cs="Arial"/>
                <w:sz w:val="18"/>
                <w:szCs w:val="18"/>
              </w:rPr>
              <w:t>4.11</w:t>
            </w:r>
          </w:p>
        </w:tc>
        <w:tc>
          <w:tcPr>
            <w:tcW w:w="1455" w:type="dxa"/>
          </w:tcPr>
          <w:p w14:paraId="347A7D6E" w14:textId="77777777" w:rsidR="004F4E82" w:rsidRDefault="00000000">
            <w:pPr>
              <w:ind w:firstLine="288"/>
              <w:rPr>
                <w:rFonts w:ascii="Arial" w:eastAsia="Arial" w:hAnsi="Arial" w:cs="Arial"/>
                <w:sz w:val="18"/>
                <w:szCs w:val="18"/>
              </w:rPr>
            </w:pPr>
            <w:r>
              <w:rPr>
                <w:rFonts w:ascii="Arial" w:eastAsia="Arial" w:hAnsi="Arial" w:cs="Arial"/>
                <w:sz w:val="18"/>
                <w:szCs w:val="18"/>
              </w:rPr>
              <w:t>1.50</w:t>
            </w:r>
          </w:p>
        </w:tc>
      </w:tr>
      <w:tr w:rsidR="004F4E82" w14:paraId="6F1310DA" w14:textId="77777777">
        <w:trPr>
          <w:trHeight w:val="350"/>
          <w:jc w:val="center"/>
        </w:trPr>
        <w:tc>
          <w:tcPr>
            <w:tcW w:w="3435" w:type="dxa"/>
          </w:tcPr>
          <w:p w14:paraId="3317C4F8" w14:textId="77777777" w:rsidR="004F4E82" w:rsidRDefault="00000000">
            <w:pPr>
              <w:rPr>
                <w:rFonts w:ascii="Arial" w:eastAsia="Arial" w:hAnsi="Arial" w:cs="Arial"/>
                <w:sz w:val="18"/>
                <w:szCs w:val="18"/>
              </w:rPr>
            </w:pPr>
            <w:r>
              <w:rPr>
                <w:rFonts w:ascii="Arial" w:eastAsia="Arial" w:hAnsi="Arial" w:cs="Arial"/>
                <w:sz w:val="18"/>
                <w:szCs w:val="18"/>
              </w:rPr>
              <w:t>Safe browsing practices</w:t>
            </w:r>
          </w:p>
        </w:tc>
        <w:tc>
          <w:tcPr>
            <w:tcW w:w="1890" w:type="dxa"/>
          </w:tcPr>
          <w:p w14:paraId="31EC1C6F"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2.08</w:t>
            </w:r>
          </w:p>
        </w:tc>
        <w:tc>
          <w:tcPr>
            <w:tcW w:w="1500" w:type="dxa"/>
          </w:tcPr>
          <w:p w14:paraId="4A0BACF5" w14:textId="77777777" w:rsidR="004F4E82" w:rsidRDefault="00000000">
            <w:pPr>
              <w:ind w:firstLine="288"/>
              <w:rPr>
                <w:rFonts w:ascii="Arial" w:eastAsia="Arial" w:hAnsi="Arial" w:cs="Arial"/>
                <w:sz w:val="18"/>
                <w:szCs w:val="18"/>
              </w:rPr>
            </w:pPr>
            <w:r>
              <w:rPr>
                <w:rFonts w:ascii="Arial" w:eastAsia="Arial" w:hAnsi="Arial" w:cs="Arial"/>
                <w:sz w:val="18"/>
                <w:szCs w:val="18"/>
              </w:rPr>
              <w:t>4.08</w:t>
            </w:r>
          </w:p>
        </w:tc>
        <w:tc>
          <w:tcPr>
            <w:tcW w:w="1455" w:type="dxa"/>
          </w:tcPr>
          <w:p w14:paraId="3CF71CA7" w14:textId="77777777" w:rsidR="004F4E82" w:rsidRDefault="00000000">
            <w:pPr>
              <w:ind w:firstLine="288"/>
              <w:rPr>
                <w:rFonts w:ascii="Arial" w:eastAsia="Arial" w:hAnsi="Arial" w:cs="Arial"/>
                <w:sz w:val="18"/>
                <w:szCs w:val="18"/>
              </w:rPr>
            </w:pPr>
            <w:r>
              <w:rPr>
                <w:rFonts w:ascii="Arial" w:eastAsia="Arial" w:hAnsi="Arial" w:cs="Arial"/>
                <w:sz w:val="18"/>
                <w:szCs w:val="18"/>
              </w:rPr>
              <w:t>1.69</w:t>
            </w:r>
          </w:p>
        </w:tc>
      </w:tr>
      <w:tr w:rsidR="004F4E82" w14:paraId="18BAE9AD" w14:textId="77777777">
        <w:trPr>
          <w:trHeight w:val="350"/>
          <w:jc w:val="center"/>
        </w:trPr>
        <w:tc>
          <w:tcPr>
            <w:tcW w:w="3435" w:type="dxa"/>
          </w:tcPr>
          <w:p w14:paraId="497A6166" w14:textId="77777777" w:rsidR="004F4E82" w:rsidRDefault="00000000">
            <w:pPr>
              <w:rPr>
                <w:rFonts w:ascii="Arial" w:eastAsia="Arial" w:hAnsi="Arial" w:cs="Arial"/>
                <w:sz w:val="18"/>
                <w:szCs w:val="18"/>
              </w:rPr>
            </w:pPr>
            <w:r>
              <w:rPr>
                <w:rFonts w:ascii="Arial" w:eastAsia="Arial" w:hAnsi="Arial" w:cs="Arial"/>
                <w:sz w:val="18"/>
                <w:szCs w:val="18"/>
              </w:rPr>
              <w:t>Regular Updates</w:t>
            </w:r>
          </w:p>
        </w:tc>
        <w:tc>
          <w:tcPr>
            <w:tcW w:w="1890" w:type="dxa"/>
          </w:tcPr>
          <w:p w14:paraId="76F75699"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1.93</w:t>
            </w:r>
          </w:p>
        </w:tc>
        <w:tc>
          <w:tcPr>
            <w:tcW w:w="1500" w:type="dxa"/>
          </w:tcPr>
          <w:p w14:paraId="09C235E7" w14:textId="77777777" w:rsidR="004F4E82" w:rsidRDefault="00000000">
            <w:pPr>
              <w:ind w:firstLine="288"/>
              <w:rPr>
                <w:rFonts w:ascii="Arial" w:eastAsia="Arial" w:hAnsi="Arial" w:cs="Arial"/>
                <w:sz w:val="18"/>
                <w:szCs w:val="18"/>
              </w:rPr>
            </w:pPr>
            <w:r>
              <w:rPr>
                <w:rFonts w:ascii="Arial" w:eastAsia="Arial" w:hAnsi="Arial" w:cs="Arial"/>
                <w:sz w:val="18"/>
                <w:szCs w:val="18"/>
              </w:rPr>
              <w:t>4.00</w:t>
            </w:r>
          </w:p>
        </w:tc>
        <w:tc>
          <w:tcPr>
            <w:tcW w:w="1455" w:type="dxa"/>
          </w:tcPr>
          <w:p w14:paraId="7A9A9E61" w14:textId="77777777" w:rsidR="004F4E82" w:rsidRDefault="00000000">
            <w:pPr>
              <w:ind w:firstLine="288"/>
              <w:rPr>
                <w:rFonts w:ascii="Arial" w:eastAsia="Arial" w:hAnsi="Arial" w:cs="Arial"/>
                <w:sz w:val="18"/>
                <w:szCs w:val="18"/>
              </w:rPr>
            </w:pPr>
            <w:r>
              <w:rPr>
                <w:rFonts w:ascii="Arial" w:eastAsia="Arial" w:hAnsi="Arial" w:cs="Arial"/>
                <w:sz w:val="18"/>
                <w:szCs w:val="18"/>
              </w:rPr>
              <w:t>1.49</w:t>
            </w:r>
          </w:p>
        </w:tc>
      </w:tr>
      <w:tr w:rsidR="004F4E82" w14:paraId="40930B6E" w14:textId="77777777">
        <w:trPr>
          <w:trHeight w:val="405"/>
          <w:jc w:val="center"/>
        </w:trPr>
        <w:tc>
          <w:tcPr>
            <w:tcW w:w="3435" w:type="dxa"/>
          </w:tcPr>
          <w:p w14:paraId="55A33DD4" w14:textId="77777777" w:rsidR="004F4E82" w:rsidRDefault="00000000">
            <w:pPr>
              <w:rPr>
                <w:rFonts w:ascii="Arial" w:eastAsia="Arial" w:hAnsi="Arial" w:cs="Arial"/>
                <w:sz w:val="18"/>
                <w:szCs w:val="18"/>
              </w:rPr>
            </w:pPr>
            <w:r>
              <w:rPr>
                <w:rFonts w:ascii="Arial" w:eastAsia="Arial" w:hAnsi="Arial" w:cs="Arial"/>
                <w:sz w:val="18"/>
                <w:szCs w:val="18"/>
              </w:rPr>
              <w:t xml:space="preserve">Unknown App </w:t>
            </w:r>
          </w:p>
        </w:tc>
        <w:tc>
          <w:tcPr>
            <w:tcW w:w="1890" w:type="dxa"/>
          </w:tcPr>
          <w:p w14:paraId="7287DFC1"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2.10</w:t>
            </w:r>
          </w:p>
        </w:tc>
        <w:tc>
          <w:tcPr>
            <w:tcW w:w="1500" w:type="dxa"/>
          </w:tcPr>
          <w:p w14:paraId="619FE4F9" w14:textId="77777777" w:rsidR="004F4E82" w:rsidRDefault="00000000">
            <w:pPr>
              <w:ind w:firstLine="288"/>
              <w:rPr>
                <w:rFonts w:ascii="Arial" w:eastAsia="Arial" w:hAnsi="Arial" w:cs="Arial"/>
                <w:sz w:val="18"/>
                <w:szCs w:val="18"/>
              </w:rPr>
            </w:pPr>
            <w:r>
              <w:rPr>
                <w:rFonts w:ascii="Arial" w:eastAsia="Arial" w:hAnsi="Arial" w:cs="Arial"/>
                <w:sz w:val="18"/>
                <w:szCs w:val="18"/>
              </w:rPr>
              <w:t>4.15</w:t>
            </w:r>
          </w:p>
        </w:tc>
        <w:tc>
          <w:tcPr>
            <w:tcW w:w="1455" w:type="dxa"/>
          </w:tcPr>
          <w:p w14:paraId="4E201A05" w14:textId="77777777" w:rsidR="004F4E82" w:rsidRDefault="00000000">
            <w:pPr>
              <w:ind w:firstLine="288"/>
              <w:rPr>
                <w:rFonts w:ascii="Arial" w:eastAsia="Arial" w:hAnsi="Arial" w:cs="Arial"/>
                <w:sz w:val="18"/>
                <w:szCs w:val="18"/>
              </w:rPr>
            </w:pPr>
            <w:r>
              <w:rPr>
                <w:rFonts w:ascii="Arial" w:eastAsia="Arial" w:hAnsi="Arial" w:cs="Arial"/>
                <w:sz w:val="18"/>
                <w:szCs w:val="18"/>
              </w:rPr>
              <w:t>1.53</w:t>
            </w:r>
          </w:p>
        </w:tc>
      </w:tr>
    </w:tbl>
    <w:p w14:paraId="642A5E17" w14:textId="77777777" w:rsidR="004F4E82" w:rsidRDefault="004F4E82">
      <w:pPr>
        <w:tabs>
          <w:tab w:val="left" w:pos="360"/>
          <w:tab w:val="left" w:pos="720"/>
        </w:tabs>
        <w:spacing w:line="276" w:lineRule="auto"/>
        <w:jc w:val="both"/>
        <w:rPr>
          <w:rFonts w:ascii="Arial" w:eastAsia="Arial" w:hAnsi="Arial" w:cs="Arial"/>
        </w:rPr>
      </w:pPr>
    </w:p>
    <w:p w14:paraId="48687E1C" w14:textId="39FB62DC" w:rsidR="004F4E82" w:rsidRPr="007E5A96" w:rsidRDefault="00000000">
      <w:pPr>
        <w:tabs>
          <w:tab w:val="left" w:pos="1080"/>
        </w:tabs>
        <w:jc w:val="both"/>
        <w:rPr>
          <w:rFonts w:ascii="Arial" w:eastAsia="Arial" w:hAnsi="Arial" w:cs="Arial"/>
        </w:rPr>
      </w:pPr>
      <w:r w:rsidRPr="007E5A96">
        <w:rPr>
          <w:rFonts w:ascii="Arial" w:eastAsia="Arial" w:hAnsi="Arial" w:cs="Arial"/>
        </w:rPr>
        <w:t xml:space="preserve">Table 4 </w:t>
      </w:r>
      <w:r w:rsidR="00665F9B">
        <w:rPr>
          <w:rFonts w:ascii="Arial" w:eastAsia="Arial" w:hAnsi="Arial" w:cs="Arial"/>
        </w:rPr>
        <w:t>presents the ANOVA, which</w:t>
      </w:r>
      <w:r w:rsidRPr="007E5A96">
        <w:rPr>
          <w:rFonts w:ascii="Arial" w:eastAsia="Arial" w:hAnsi="Arial" w:cs="Arial"/>
        </w:rPr>
        <w:t xml:space="preserve"> examined whether the identified clusters differed significantly in their levels of malware awareness and security practices. Results revealed statistically significant differences across all variables included in the analysis. For traditional malware threats, significant differences were found for Trojans (F = 14.138, p &lt; .001), Ransomware (F = 3.979, p = .047), Spyware (F = 5.478, p = .020), and Adware (F = 33.933, p &lt; .001). These results indicate that cluster membership meaningfully influenced respondents’ awareness of common malware types. Highly significant </w:t>
      </w:r>
      <w:r w:rsidR="007E5A96" w:rsidRPr="007E5A96">
        <w:rPr>
          <w:rFonts w:ascii="Arial" w:eastAsia="Arial" w:hAnsi="Arial" w:cs="Arial"/>
        </w:rPr>
        <w:t>differences</w:t>
      </w:r>
      <w:r w:rsidRPr="007E5A96">
        <w:rPr>
          <w:rFonts w:ascii="Arial" w:eastAsia="Arial" w:hAnsi="Arial" w:cs="Arial"/>
        </w:rPr>
        <w:t xml:space="preserve"> were also observed for social </w:t>
      </w:r>
      <w:r w:rsidR="00665F9B">
        <w:rPr>
          <w:rFonts w:ascii="Arial" w:eastAsia="Arial" w:hAnsi="Arial" w:cs="Arial"/>
        </w:rPr>
        <w:t>engineering-related</w:t>
      </w:r>
      <w:r w:rsidRPr="007E5A96">
        <w:rPr>
          <w:rFonts w:ascii="Arial" w:eastAsia="Arial" w:hAnsi="Arial" w:cs="Arial"/>
        </w:rPr>
        <w:t xml:space="preserve"> threats. Phishing (F=219.146, p &lt;.001).Smishing (F = 347.926, p &lt;</w:t>
      </w:r>
      <w:r w:rsidR="00665F9B">
        <w:rPr>
          <w:rFonts w:ascii="Arial" w:eastAsia="Arial" w:hAnsi="Arial" w:cs="Arial"/>
        </w:rPr>
        <w:t xml:space="preserve"> .001), Vishing (F = 235.593, p &lt; .001), man-in-the-middle attacks (F = 307.151, p &lt; .001), and zero-day exploits (F = 175.764, p &lt; .001) all reported large F-values, suggesting substantial variation</w:t>
      </w:r>
      <w:r w:rsidRPr="007E5A96">
        <w:rPr>
          <w:rFonts w:ascii="Arial" w:eastAsia="Arial" w:hAnsi="Arial" w:cs="Arial"/>
        </w:rPr>
        <w:t xml:space="preserve"> in awareness across clusters. Security practices likewise demonstrated significant differences</w:t>
      </w:r>
      <w:r w:rsidR="00665F9B">
        <w:rPr>
          <w:rFonts w:ascii="Arial" w:eastAsia="Arial" w:hAnsi="Arial" w:cs="Arial"/>
        </w:rPr>
        <w:t>, as indicated by antivirus software usage (F = 13.419, p &lt; .001), safe browsing practices (F = 27.436, p &lt; .001), regular updates (F = 15.032, p &lt; .001), and avoiding unknown app sources (F = 15.245</w:t>
      </w:r>
      <w:r w:rsidRPr="007E5A96">
        <w:rPr>
          <w:rFonts w:ascii="Arial" w:eastAsia="Arial" w:hAnsi="Arial" w:cs="Arial"/>
        </w:rPr>
        <w:t xml:space="preserve">, p &lt; .001). These results collectively reveal that respondents’ security behaviors </w:t>
      </w:r>
      <w:r w:rsidR="00665F9B">
        <w:rPr>
          <w:rFonts w:ascii="Arial" w:eastAsia="Arial" w:hAnsi="Arial" w:cs="Arial"/>
        </w:rPr>
        <w:t>varied significantly across clusters</w:t>
      </w:r>
      <w:r w:rsidRPr="007E5A96">
        <w:rPr>
          <w:rFonts w:ascii="Arial" w:eastAsia="Arial" w:hAnsi="Arial" w:cs="Arial"/>
        </w:rPr>
        <w:t xml:space="preserve">. All malware awareness and cybersecurity behavior variables yielded statistically significant ANOVA results, confirming that the </w:t>
      </w:r>
      <w:r w:rsidR="00665F9B">
        <w:rPr>
          <w:rFonts w:ascii="Arial" w:eastAsia="Arial" w:hAnsi="Arial" w:cs="Arial"/>
        </w:rPr>
        <w:t>K-means-derived clusters</w:t>
      </w:r>
      <w:r w:rsidRPr="007E5A96">
        <w:rPr>
          <w:rFonts w:ascii="Arial" w:eastAsia="Arial" w:hAnsi="Arial" w:cs="Arial"/>
        </w:rPr>
        <w:t xml:space="preserve"> represent distinct groups with </w:t>
      </w:r>
      <w:r w:rsidR="007E5A96" w:rsidRPr="007E5A96">
        <w:rPr>
          <w:rFonts w:ascii="Arial" w:eastAsia="Arial" w:hAnsi="Arial" w:cs="Arial"/>
        </w:rPr>
        <w:t>respect</w:t>
      </w:r>
      <w:r w:rsidRPr="007E5A96">
        <w:rPr>
          <w:rFonts w:ascii="Arial" w:eastAsia="Arial" w:hAnsi="Arial" w:cs="Arial"/>
        </w:rPr>
        <w:t xml:space="preserve"> to cybersecurity knowledge and practices.</w:t>
      </w:r>
      <w:r w:rsidR="00ED38B2">
        <w:rPr>
          <w:rFonts w:ascii="Arial" w:eastAsia="Arial" w:hAnsi="Arial" w:cs="Arial"/>
        </w:rPr>
        <w:t xml:space="preserve"> These variations are consistent with broader observations in higher education, where institutions face increasingly sophisticated digital threats that require differentiated mitigation strategies (Ibrahim &amp; Rajalakshmi, 2025).</w:t>
      </w:r>
    </w:p>
    <w:p w14:paraId="6BBAC545" w14:textId="77777777" w:rsidR="004F4E82" w:rsidRDefault="004F4E82">
      <w:pPr>
        <w:tabs>
          <w:tab w:val="left" w:pos="1080"/>
        </w:tabs>
        <w:jc w:val="both"/>
        <w:rPr>
          <w:rFonts w:ascii="Arial" w:eastAsia="Arial" w:hAnsi="Arial" w:cs="Arial"/>
          <w:b/>
          <w:bCs/>
        </w:rPr>
      </w:pPr>
    </w:p>
    <w:p w14:paraId="772EE4BE" w14:textId="72C686F8" w:rsidR="004F4E82" w:rsidRDefault="00000000">
      <w:pPr>
        <w:spacing w:before="240" w:line="360" w:lineRule="auto"/>
        <w:rPr>
          <w:rFonts w:ascii="Arial" w:eastAsia="Arial" w:hAnsi="Arial" w:cs="Arial"/>
          <w:b/>
          <w:bCs/>
        </w:rPr>
      </w:pPr>
      <w:r>
        <w:rPr>
          <w:rFonts w:ascii="Arial" w:eastAsia="Arial" w:hAnsi="Arial" w:cs="Arial"/>
          <w:b/>
          <w:bCs/>
        </w:rPr>
        <w:t>Table 4</w:t>
      </w:r>
      <w:r w:rsidR="00665F9B">
        <w:rPr>
          <w:rFonts w:ascii="Arial" w:eastAsia="Arial" w:hAnsi="Arial" w:cs="Arial"/>
          <w:b/>
          <w:bCs/>
        </w:rPr>
        <w:t>:</w:t>
      </w:r>
      <w:r>
        <w:rPr>
          <w:rFonts w:ascii="Arial" w:eastAsia="Arial" w:hAnsi="Arial" w:cs="Arial"/>
        </w:rPr>
        <w:t xml:space="preserve"> The ANOVA results of Malware Awareness and Security Practices</w:t>
      </w:r>
    </w:p>
    <w:tbl>
      <w:tblPr>
        <w:tblStyle w:val="a3"/>
        <w:tblW w:w="8310" w:type="dxa"/>
        <w:jc w:val="center"/>
        <w:tblInd w:w="0" w:type="dxa"/>
        <w:tblBorders>
          <w:bottom w:val="single" w:sz="4" w:space="0" w:color="000000"/>
        </w:tblBorders>
        <w:tblLayout w:type="fixed"/>
        <w:tblLook w:val="0400" w:firstRow="0" w:lastRow="0" w:firstColumn="0" w:lastColumn="0" w:noHBand="0" w:noVBand="1"/>
      </w:tblPr>
      <w:tblGrid>
        <w:gridCol w:w="2096"/>
        <w:gridCol w:w="907"/>
        <w:gridCol w:w="746"/>
        <w:gridCol w:w="1828"/>
        <w:gridCol w:w="920"/>
        <w:gridCol w:w="920"/>
        <w:gridCol w:w="893"/>
      </w:tblGrid>
      <w:tr w:rsidR="004F4E82" w14:paraId="20CA4E37" w14:textId="77777777">
        <w:trPr>
          <w:trHeight w:val="420"/>
          <w:jc w:val="center"/>
        </w:trPr>
        <w:tc>
          <w:tcPr>
            <w:tcW w:w="2094" w:type="dxa"/>
            <w:tcBorders>
              <w:top w:val="single" w:sz="4" w:space="0" w:color="000000"/>
              <w:left w:val="nil"/>
              <w:bottom w:val="single" w:sz="4" w:space="0" w:color="000000"/>
              <w:right w:val="nil"/>
            </w:tcBorders>
            <w:vAlign w:val="center"/>
          </w:tcPr>
          <w:p w14:paraId="5D0A56D1" w14:textId="77777777" w:rsidR="004F4E82" w:rsidRDefault="004F4E82">
            <w:pPr>
              <w:ind w:firstLine="6"/>
              <w:jc w:val="center"/>
              <w:rPr>
                <w:rFonts w:ascii="Arial" w:eastAsia="Arial" w:hAnsi="Arial" w:cs="Arial"/>
                <w:sz w:val="18"/>
                <w:szCs w:val="18"/>
              </w:rPr>
            </w:pPr>
          </w:p>
        </w:tc>
        <w:tc>
          <w:tcPr>
            <w:tcW w:w="907" w:type="dxa"/>
            <w:tcBorders>
              <w:top w:val="single" w:sz="4" w:space="0" w:color="000000"/>
              <w:left w:val="nil"/>
              <w:bottom w:val="single" w:sz="4" w:space="0" w:color="000000"/>
              <w:right w:val="nil"/>
            </w:tcBorders>
            <w:vAlign w:val="center"/>
          </w:tcPr>
          <w:p w14:paraId="70B16B43" w14:textId="77777777" w:rsidR="004F4E82" w:rsidRDefault="00000000">
            <w:pPr>
              <w:rPr>
                <w:rFonts w:ascii="Arial" w:eastAsia="Arial" w:hAnsi="Arial" w:cs="Arial"/>
                <w:sz w:val="18"/>
                <w:szCs w:val="18"/>
              </w:rPr>
            </w:pPr>
            <w:r>
              <w:rPr>
                <w:rFonts w:ascii="Arial" w:eastAsia="Arial" w:hAnsi="Arial" w:cs="Arial"/>
                <w:sz w:val="18"/>
                <w:szCs w:val="18"/>
              </w:rPr>
              <w:t>Cluster Mean Square</w:t>
            </w:r>
          </w:p>
        </w:tc>
        <w:tc>
          <w:tcPr>
            <w:tcW w:w="746" w:type="dxa"/>
            <w:tcBorders>
              <w:top w:val="single" w:sz="4" w:space="0" w:color="000000"/>
              <w:left w:val="nil"/>
              <w:bottom w:val="single" w:sz="4" w:space="0" w:color="000000"/>
              <w:right w:val="nil"/>
            </w:tcBorders>
            <w:vAlign w:val="center"/>
          </w:tcPr>
          <w:p w14:paraId="616CD349" w14:textId="77777777" w:rsidR="004F4E82" w:rsidRDefault="00000000">
            <w:pPr>
              <w:ind w:firstLine="288"/>
              <w:rPr>
                <w:rFonts w:ascii="Arial" w:eastAsia="Arial" w:hAnsi="Arial" w:cs="Arial"/>
                <w:sz w:val="18"/>
                <w:szCs w:val="18"/>
              </w:rPr>
            </w:pPr>
            <w:proofErr w:type="spellStart"/>
            <w:r>
              <w:rPr>
                <w:rFonts w:ascii="Arial" w:eastAsia="Arial" w:hAnsi="Arial" w:cs="Arial"/>
                <w:sz w:val="18"/>
                <w:szCs w:val="18"/>
              </w:rPr>
              <w:t>Df</w:t>
            </w:r>
            <w:proofErr w:type="spellEnd"/>
          </w:p>
        </w:tc>
        <w:tc>
          <w:tcPr>
            <w:tcW w:w="1827" w:type="dxa"/>
            <w:tcBorders>
              <w:top w:val="single" w:sz="4" w:space="0" w:color="000000"/>
              <w:left w:val="nil"/>
              <w:bottom w:val="single" w:sz="4" w:space="0" w:color="000000"/>
              <w:right w:val="nil"/>
            </w:tcBorders>
            <w:vAlign w:val="center"/>
          </w:tcPr>
          <w:p w14:paraId="26F291BB"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Error Mean Square</w:t>
            </w:r>
          </w:p>
        </w:tc>
        <w:tc>
          <w:tcPr>
            <w:tcW w:w="920" w:type="dxa"/>
            <w:tcBorders>
              <w:top w:val="single" w:sz="4" w:space="0" w:color="000000"/>
              <w:left w:val="nil"/>
              <w:bottom w:val="single" w:sz="4" w:space="0" w:color="000000"/>
              <w:right w:val="nil"/>
            </w:tcBorders>
            <w:vAlign w:val="center"/>
          </w:tcPr>
          <w:p w14:paraId="42CD703A" w14:textId="77777777" w:rsidR="004F4E82" w:rsidRDefault="00000000">
            <w:pPr>
              <w:jc w:val="center"/>
              <w:rPr>
                <w:rFonts w:ascii="Arial" w:eastAsia="Arial" w:hAnsi="Arial" w:cs="Arial"/>
                <w:sz w:val="18"/>
                <w:szCs w:val="18"/>
              </w:rPr>
            </w:pPr>
            <w:proofErr w:type="spellStart"/>
            <w:r>
              <w:rPr>
                <w:rFonts w:ascii="Arial" w:eastAsia="Arial" w:hAnsi="Arial" w:cs="Arial"/>
                <w:sz w:val="18"/>
                <w:szCs w:val="18"/>
              </w:rPr>
              <w:t>df</w:t>
            </w:r>
            <w:proofErr w:type="spellEnd"/>
          </w:p>
        </w:tc>
        <w:tc>
          <w:tcPr>
            <w:tcW w:w="920" w:type="dxa"/>
            <w:tcBorders>
              <w:top w:val="single" w:sz="4" w:space="0" w:color="000000"/>
              <w:left w:val="nil"/>
              <w:bottom w:val="single" w:sz="4" w:space="0" w:color="000000"/>
              <w:right w:val="nil"/>
            </w:tcBorders>
            <w:vAlign w:val="center"/>
          </w:tcPr>
          <w:p w14:paraId="5E572AE0" w14:textId="77777777" w:rsidR="004F4E82" w:rsidRDefault="00000000">
            <w:pPr>
              <w:jc w:val="center"/>
              <w:rPr>
                <w:rFonts w:ascii="Arial" w:eastAsia="Arial" w:hAnsi="Arial" w:cs="Arial"/>
                <w:sz w:val="18"/>
                <w:szCs w:val="18"/>
              </w:rPr>
            </w:pPr>
            <w:r>
              <w:rPr>
                <w:rFonts w:ascii="Arial" w:eastAsia="Arial" w:hAnsi="Arial" w:cs="Arial"/>
                <w:sz w:val="18"/>
                <w:szCs w:val="18"/>
              </w:rPr>
              <w:t>F</w:t>
            </w:r>
          </w:p>
        </w:tc>
        <w:tc>
          <w:tcPr>
            <w:tcW w:w="893" w:type="dxa"/>
            <w:tcBorders>
              <w:top w:val="single" w:sz="4" w:space="0" w:color="000000"/>
              <w:left w:val="nil"/>
              <w:bottom w:val="single" w:sz="4" w:space="0" w:color="000000"/>
              <w:right w:val="nil"/>
            </w:tcBorders>
          </w:tcPr>
          <w:p w14:paraId="5114A9FE" w14:textId="77777777" w:rsidR="004F4E82" w:rsidRDefault="00000000">
            <w:pPr>
              <w:jc w:val="center"/>
              <w:rPr>
                <w:rFonts w:ascii="Arial" w:eastAsia="Arial" w:hAnsi="Arial" w:cs="Arial"/>
                <w:sz w:val="18"/>
                <w:szCs w:val="18"/>
              </w:rPr>
            </w:pPr>
            <w:r>
              <w:rPr>
                <w:rFonts w:ascii="Arial" w:eastAsia="Arial" w:hAnsi="Arial" w:cs="Arial"/>
                <w:sz w:val="18"/>
                <w:szCs w:val="18"/>
              </w:rPr>
              <w:t>Sig.</w:t>
            </w:r>
          </w:p>
        </w:tc>
      </w:tr>
      <w:tr w:rsidR="004F4E82" w14:paraId="230D884B" w14:textId="77777777">
        <w:trPr>
          <w:trHeight w:val="350"/>
          <w:jc w:val="center"/>
        </w:trPr>
        <w:tc>
          <w:tcPr>
            <w:tcW w:w="2094" w:type="dxa"/>
          </w:tcPr>
          <w:p w14:paraId="0C275EC3" w14:textId="77777777" w:rsidR="004F4E82" w:rsidRDefault="00000000">
            <w:pPr>
              <w:rPr>
                <w:rFonts w:ascii="Arial" w:eastAsia="Arial" w:hAnsi="Arial" w:cs="Arial"/>
                <w:sz w:val="18"/>
                <w:szCs w:val="18"/>
              </w:rPr>
            </w:pPr>
            <w:r>
              <w:rPr>
                <w:rFonts w:ascii="Arial" w:eastAsia="Arial" w:hAnsi="Arial" w:cs="Arial"/>
                <w:sz w:val="18"/>
                <w:szCs w:val="18"/>
              </w:rPr>
              <w:t>Trojans</w:t>
            </w:r>
          </w:p>
        </w:tc>
        <w:tc>
          <w:tcPr>
            <w:tcW w:w="907" w:type="dxa"/>
          </w:tcPr>
          <w:p w14:paraId="5D6B1CF4" w14:textId="77777777" w:rsidR="004F4E82" w:rsidRDefault="00000000">
            <w:pPr>
              <w:rPr>
                <w:rFonts w:ascii="Arial" w:eastAsia="Arial" w:hAnsi="Arial" w:cs="Arial"/>
                <w:sz w:val="18"/>
                <w:szCs w:val="18"/>
              </w:rPr>
            </w:pPr>
            <w:r>
              <w:rPr>
                <w:rFonts w:ascii="Arial" w:eastAsia="Arial" w:hAnsi="Arial" w:cs="Arial"/>
                <w:sz w:val="18"/>
                <w:szCs w:val="18"/>
              </w:rPr>
              <w:t>15.155</w:t>
            </w:r>
          </w:p>
        </w:tc>
        <w:tc>
          <w:tcPr>
            <w:tcW w:w="746" w:type="dxa"/>
          </w:tcPr>
          <w:p w14:paraId="7142ACBB"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827" w:type="dxa"/>
          </w:tcPr>
          <w:p w14:paraId="25E977F3"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1.072</w:t>
            </w:r>
          </w:p>
        </w:tc>
        <w:tc>
          <w:tcPr>
            <w:tcW w:w="920" w:type="dxa"/>
          </w:tcPr>
          <w:p w14:paraId="08AB5C0E" w14:textId="77777777" w:rsidR="004F4E82" w:rsidRDefault="00000000">
            <w:pPr>
              <w:jc w:val="center"/>
              <w:rPr>
                <w:rFonts w:ascii="Arial" w:eastAsia="Arial" w:hAnsi="Arial" w:cs="Arial"/>
                <w:sz w:val="18"/>
                <w:szCs w:val="18"/>
              </w:rPr>
            </w:pPr>
            <w:r>
              <w:rPr>
                <w:rFonts w:ascii="Arial" w:eastAsia="Arial" w:hAnsi="Arial" w:cs="Arial"/>
                <w:sz w:val="18"/>
                <w:szCs w:val="18"/>
              </w:rPr>
              <w:t>366</w:t>
            </w:r>
          </w:p>
        </w:tc>
        <w:tc>
          <w:tcPr>
            <w:tcW w:w="920" w:type="dxa"/>
          </w:tcPr>
          <w:p w14:paraId="30F73019" w14:textId="77777777" w:rsidR="004F4E82" w:rsidRDefault="00000000">
            <w:pPr>
              <w:rPr>
                <w:rFonts w:ascii="Arial" w:eastAsia="Arial" w:hAnsi="Arial" w:cs="Arial"/>
                <w:sz w:val="18"/>
                <w:szCs w:val="18"/>
              </w:rPr>
            </w:pPr>
            <w:r>
              <w:rPr>
                <w:rFonts w:ascii="Arial" w:eastAsia="Arial" w:hAnsi="Arial" w:cs="Arial"/>
                <w:sz w:val="18"/>
                <w:szCs w:val="18"/>
              </w:rPr>
              <w:t>14.138</w:t>
            </w:r>
          </w:p>
        </w:tc>
        <w:tc>
          <w:tcPr>
            <w:tcW w:w="893" w:type="dxa"/>
          </w:tcPr>
          <w:p w14:paraId="15FCEC9A"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.000</w:t>
            </w:r>
          </w:p>
        </w:tc>
      </w:tr>
      <w:tr w:rsidR="004F4E82" w14:paraId="5B30BB93" w14:textId="77777777">
        <w:trPr>
          <w:trHeight w:val="350"/>
          <w:jc w:val="center"/>
        </w:trPr>
        <w:tc>
          <w:tcPr>
            <w:tcW w:w="2094" w:type="dxa"/>
          </w:tcPr>
          <w:p w14:paraId="59326F80" w14:textId="77777777" w:rsidR="004F4E82" w:rsidRDefault="00000000">
            <w:pPr>
              <w:rPr>
                <w:rFonts w:ascii="Arial" w:eastAsia="Arial" w:hAnsi="Arial" w:cs="Arial"/>
                <w:sz w:val="18"/>
                <w:szCs w:val="18"/>
              </w:rPr>
            </w:pPr>
            <w:r>
              <w:rPr>
                <w:rFonts w:ascii="Arial" w:eastAsia="Arial" w:hAnsi="Arial" w:cs="Arial"/>
                <w:sz w:val="18"/>
                <w:szCs w:val="18"/>
              </w:rPr>
              <w:t>Ransomware</w:t>
            </w:r>
          </w:p>
        </w:tc>
        <w:tc>
          <w:tcPr>
            <w:tcW w:w="907" w:type="dxa"/>
          </w:tcPr>
          <w:p w14:paraId="7EEC5B8F" w14:textId="77777777" w:rsidR="004F4E82" w:rsidRDefault="00000000">
            <w:pPr>
              <w:rPr>
                <w:rFonts w:ascii="Arial" w:eastAsia="Arial" w:hAnsi="Arial" w:cs="Arial"/>
                <w:sz w:val="18"/>
                <w:szCs w:val="18"/>
              </w:rPr>
            </w:pPr>
            <w:r>
              <w:rPr>
                <w:rFonts w:ascii="Arial" w:eastAsia="Arial" w:hAnsi="Arial" w:cs="Arial"/>
                <w:sz w:val="18"/>
                <w:szCs w:val="18"/>
              </w:rPr>
              <w:t>4.432</w:t>
            </w:r>
          </w:p>
        </w:tc>
        <w:tc>
          <w:tcPr>
            <w:tcW w:w="746" w:type="dxa"/>
          </w:tcPr>
          <w:p w14:paraId="4C8189E4"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827" w:type="dxa"/>
          </w:tcPr>
          <w:p w14:paraId="2093BCEE"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1.114</w:t>
            </w:r>
          </w:p>
        </w:tc>
        <w:tc>
          <w:tcPr>
            <w:tcW w:w="920" w:type="dxa"/>
          </w:tcPr>
          <w:p w14:paraId="5EC3CCC7" w14:textId="77777777" w:rsidR="004F4E82" w:rsidRDefault="00000000">
            <w:pPr>
              <w:jc w:val="center"/>
              <w:rPr>
                <w:rFonts w:ascii="Arial" w:eastAsia="Arial" w:hAnsi="Arial" w:cs="Arial"/>
                <w:sz w:val="18"/>
                <w:szCs w:val="18"/>
              </w:rPr>
            </w:pPr>
            <w:r>
              <w:rPr>
                <w:rFonts w:ascii="Arial" w:eastAsia="Arial" w:hAnsi="Arial" w:cs="Arial"/>
                <w:sz w:val="18"/>
                <w:szCs w:val="18"/>
              </w:rPr>
              <w:t>366</w:t>
            </w:r>
          </w:p>
        </w:tc>
        <w:tc>
          <w:tcPr>
            <w:tcW w:w="920" w:type="dxa"/>
          </w:tcPr>
          <w:p w14:paraId="1893D1BA" w14:textId="77777777" w:rsidR="004F4E82" w:rsidRDefault="00000000">
            <w:pPr>
              <w:rPr>
                <w:rFonts w:ascii="Arial" w:eastAsia="Arial" w:hAnsi="Arial" w:cs="Arial"/>
                <w:sz w:val="18"/>
                <w:szCs w:val="18"/>
              </w:rPr>
            </w:pPr>
            <w:r>
              <w:rPr>
                <w:rFonts w:ascii="Arial" w:eastAsia="Arial" w:hAnsi="Arial" w:cs="Arial"/>
                <w:sz w:val="18"/>
                <w:szCs w:val="18"/>
              </w:rPr>
              <w:t>3.979</w:t>
            </w:r>
          </w:p>
        </w:tc>
        <w:tc>
          <w:tcPr>
            <w:tcW w:w="893" w:type="dxa"/>
            <w:vAlign w:val="center"/>
          </w:tcPr>
          <w:p w14:paraId="79E18177"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.047</w:t>
            </w:r>
          </w:p>
        </w:tc>
      </w:tr>
      <w:tr w:rsidR="004F4E82" w14:paraId="45BD74E6" w14:textId="77777777">
        <w:trPr>
          <w:trHeight w:val="350"/>
          <w:jc w:val="center"/>
        </w:trPr>
        <w:tc>
          <w:tcPr>
            <w:tcW w:w="2094" w:type="dxa"/>
          </w:tcPr>
          <w:p w14:paraId="7798CE4A" w14:textId="77777777" w:rsidR="004F4E82" w:rsidRDefault="00000000">
            <w:pPr>
              <w:rPr>
                <w:rFonts w:ascii="Arial" w:eastAsia="Arial" w:hAnsi="Arial" w:cs="Arial"/>
                <w:sz w:val="18"/>
                <w:szCs w:val="18"/>
              </w:rPr>
            </w:pPr>
            <w:r>
              <w:rPr>
                <w:rFonts w:ascii="Arial" w:eastAsia="Arial" w:hAnsi="Arial" w:cs="Arial"/>
                <w:sz w:val="18"/>
                <w:szCs w:val="18"/>
              </w:rPr>
              <w:t>Spyware</w:t>
            </w:r>
          </w:p>
        </w:tc>
        <w:tc>
          <w:tcPr>
            <w:tcW w:w="907" w:type="dxa"/>
          </w:tcPr>
          <w:p w14:paraId="3C2EEF8F" w14:textId="77777777" w:rsidR="004F4E82" w:rsidRDefault="00000000">
            <w:pPr>
              <w:rPr>
                <w:rFonts w:ascii="Arial" w:eastAsia="Arial" w:hAnsi="Arial" w:cs="Arial"/>
                <w:sz w:val="18"/>
                <w:szCs w:val="18"/>
              </w:rPr>
            </w:pPr>
            <w:r>
              <w:rPr>
                <w:rFonts w:ascii="Arial" w:eastAsia="Arial" w:hAnsi="Arial" w:cs="Arial"/>
                <w:sz w:val="18"/>
                <w:szCs w:val="18"/>
              </w:rPr>
              <w:t>6.783</w:t>
            </w:r>
          </w:p>
        </w:tc>
        <w:tc>
          <w:tcPr>
            <w:tcW w:w="746" w:type="dxa"/>
          </w:tcPr>
          <w:p w14:paraId="6FA91265"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827" w:type="dxa"/>
          </w:tcPr>
          <w:p w14:paraId="4433978A"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1.238</w:t>
            </w:r>
          </w:p>
        </w:tc>
        <w:tc>
          <w:tcPr>
            <w:tcW w:w="920" w:type="dxa"/>
          </w:tcPr>
          <w:p w14:paraId="0A4963E0" w14:textId="77777777" w:rsidR="004F4E82" w:rsidRDefault="00000000">
            <w:pPr>
              <w:jc w:val="center"/>
              <w:rPr>
                <w:rFonts w:ascii="Arial" w:eastAsia="Arial" w:hAnsi="Arial" w:cs="Arial"/>
                <w:sz w:val="18"/>
                <w:szCs w:val="18"/>
              </w:rPr>
            </w:pPr>
            <w:r>
              <w:rPr>
                <w:rFonts w:ascii="Arial" w:eastAsia="Arial" w:hAnsi="Arial" w:cs="Arial"/>
                <w:sz w:val="18"/>
                <w:szCs w:val="18"/>
              </w:rPr>
              <w:t>366</w:t>
            </w:r>
          </w:p>
        </w:tc>
        <w:tc>
          <w:tcPr>
            <w:tcW w:w="920" w:type="dxa"/>
          </w:tcPr>
          <w:p w14:paraId="3C893A94" w14:textId="77777777" w:rsidR="004F4E82" w:rsidRDefault="00000000">
            <w:pPr>
              <w:rPr>
                <w:rFonts w:ascii="Arial" w:eastAsia="Arial" w:hAnsi="Arial" w:cs="Arial"/>
                <w:sz w:val="18"/>
                <w:szCs w:val="18"/>
              </w:rPr>
            </w:pPr>
            <w:r>
              <w:rPr>
                <w:rFonts w:ascii="Arial" w:eastAsia="Arial" w:hAnsi="Arial" w:cs="Arial"/>
                <w:sz w:val="18"/>
                <w:szCs w:val="18"/>
              </w:rPr>
              <w:t>5.478</w:t>
            </w:r>
          </w:p>
        </w:tc>
        <w:tc>
          <w:tcPr>
            <w:tcW w:w="893" w:type="dxa"/>
          </w:tcPr>
          <w:p w14:paraId="77990E10"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.020</w:t>
            </w:r>
          </w:p>
        </w:tc>
      </w:tr>
      <w:tr w:rsidR="004F4E82" w14:paraId="39C3DC26" w14:textId="77777777">
        <w:trPr>
          <w:trHeight w:val="350"/>
          <w:jc w:val="center"/>
        </w:trPr>
        <w:tc>
          <w:tcPr>
            <w:tcW w:w="2094" w:type="dxa"/>
          </w:tcPr>
          <w:p w14:paraId="103A636A" w14:textId="77777777" w:rsidR="004F4E82" w:rsidRDefault="00000000">
            <w:pPr>
              <w:rPr>
                <w:rFonts w:ascii="Arial" w:eastAsia="Arial" w:hAnsi="Arial" w:cs="Arial"/>
                <w:sz w:val="18"/>
                <w:szCs w:val="18"/>
              </w:rPr>
            </w:pPr>
            <w:r>
              <w:rPr>
                <w:rFonts w:ascii="Arial" w:eastAsia="Arial" w:hAnsi="Arial" w:cs="Arial"/>
                <w:sz w:val="18"/>
                <w:szCs w:val="18"/>
              </w:rPr>
              <w:lastRenderedPageBreak/>
              <w:t>Adware</w:t>
            </w:r>
          </w:p>
        </w:tc>
        <w:tc>
          <w:tcPr>
            <w:tcW w:w="907" w:type="dxa"/>
          </w:tcPr>
          <w:p w14:paraId="2B049467" w14:textId="77777777" w:rsidR="004F4E82" w:rsidRDefault="00000000">
            <w:pPr>
              <w:rPr>
                <w:rFonts w:ascii="Arial" w:eastAsia="Arial" w:hAnsi="Arial" w:cs="Arial"/>
                <w:sz w:val="18"/>
                <w:szCs w:val="18"/>
              </w:rPr>
            </w:pPr>
            <w:r>
              <w:rPr>
                <w:rFonts w:ascii="Arial" w:eastAsia="Arial" w:hAnsi="Arial" w:cs="Arial"/>
                <w:sz w:val="18"/>
                <w:szCs w:val="18"/>
              </w:rPr>
              <w:t>42.688</w:t>
            </w:r>
          </w:p>
        </w:tc>
        <w:tc>
          <w:tcPr>
            <w:tcW w:w="746" w:type="dxa"/>
          </w:tcPr>
          <w:p w14:paraId="69BE046A"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827" w:type="dxa"/>
          </w:tcPr>
          <w:p w14:paraId="39BC3DE9"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1.258</w:t>
            </w:r>
          </w:p>
        </w:tc>
        <w:tc>
          <w:tcPr>
            <w:tcW w:w="920" w:type="dxa"/>
          </w:tcPr>
          <w:p w14:paraId="059FE09A" w14:textId="77777777" w:rsidR="004F4E82" w:rsidRDefault="00000000">
            <w:pPr>
              <w:jc w:val="center"/>
              <w:rPr>
                <w:rFonts w:ascii="Arial" w:eastAsia="Arial" w:hAnsi="Arial" w:cs="Arial"/>
                <w:sz w:val="18"/>
                <w:szCs w:val="18"/>
              </w:rPr>
            </w:pPr>
            <w:r>
              <w:rPr>
                <w:rFonts w:ascii="Arial" w:eastAsia="Arial" w:hAnsi="Arial" w:cs="Arial"/>
                <w:sz w:val="18"/>
                <w:szCs w:val="18"/>
              </w:rPr>
              <w:t>366</w:t>
            </w:r>
          </w:p>
        </w:tc>
        <w:tc>
          <w:tcPr>
            <w:tcW w:w="920" w:type="dxa"/>
          </w:tcPr>
          <w:p w14:paraId="617815F6" w14:textId="77777777" w:rsidR="004F4E82" w:rsidRDefault="00000000">
            <w:pPr>
              <w:rPr>
                <w:rFonts w:ascii="Arial" w:eastAsia="Arial" w:hAnsi="Arial" w:cs="Arial"/>
                <w:sz w:val="18"/>
                <w:szCs w:val="18"/>
              </w:rPr>
            </w:pPr>
            <w:r>
              <w:rPr>
                <w:rFonts w:ascii="Arial" w:eastAsia="Arial" w:hAnsi="Arial" w:cs="Arial"/>
                <w:sz w:val="18"/>
                <w:szCs w:val="18"/>
              </w:rPr>
              <w:t>33.933</w:t>
            </w:r>
          </w:p>
        </w:tc>
        <w:tc>
          <w:tcPr>
            <w:tcW w:w="893" w:type="dxa"/>
            <w:vAlign w:val="center"/>
          </w:tcPr>
          <w:p w14:paraId="56EF6A0A"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.000</w:t>
            </w:r>
          </w:p>
        </w:tc>
      </w:tr>
      <w:tr w:rsidR="004F4E82" w14:paraId="52BAF7B4" w14:textId="77777777">
        <w:trPr>
          <w:trHeight w:val="350"/>
          <w:jc w:val="center"/>
        </w:trPr>
        <w:tc>
          <w:tcPr>
            <w:tcW w:w="2094" w:type="dxa"/>
          </w:tcPr>
          <w:p w14:paraId="29E16177" w14:textId="77777777" w:rsidR="004F4E82" w:rsidRDefault="00000000">
            <w:pPr>
              <w:rPr>
                <w:rFonts w:ascii="Arial" w:eastAsia="Arial" w:hAnsi="Arial" w:cs="Arial"/>
                <w:sz w:val="18"/>
                <w:szCs w:val="18"/>
              </w:rPr>
            </w:pPr>
            <w:r>
              <w:rPr>
                <w:rFonts w:ascii="Arial" w:eastAsia="Arial" w:hAnsi="Arial" w:cs="Arial"/>
                <w:sz w:val="18"/>
                <w:szCs w:val="18"/>
              </w:rPr>
              <w:t>Phishing</w:t>
            </w:r>
          </w:p>
        </w:tc>
        <w:tc>
          <w:tcPr>
            <w:tcW w:w="907" w:type="dxa"/>
          </w:tcPr>
          <w:p w14:paraId="4664ECE5" w14:textId="77777777" w:rsidR="004F4E82" w:rsidRDefault="00000000">
            <w:pPr>
              <w:rPr>
                <w:rFonts w:ascii="Arial" w:eastAsia="Arial" w:hAnsi="Arial" w:cs="Arial"/>
                <w:sz w:val="18"/>
                <w:szCs w:val="18"/>
              </w:rPr>
            </w:pPr>
            <w:r>
              <w:rPr>
                <w:rFonts w:ascii="Arial" w:eastAsia="Arial" w:hAnsi="Arial" w:cs="Arial"/>
                <w:sz w:val="18"/>
                <w:szCs w:val="18"/>
              </w:rPr>
              <w:t>344.033</w:t>
            </w:r>
          </w:p>
        </w:tc>
        <w:tc>
          <w:tcPr>
            <w:tcW w:w="746" w:type="dxa"/>
          </w:tcPr>
          <w:p w14:paraId="28E0DECA"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827" w:type="dxa"/>
          </w:tcPr>
          <w:p w14:paraId="55CFBDCE"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1.570</w:t>
            </w:r>
          </w:p>
        </w:tc>
        <w:tc>
          <w:tcPr>
            <w:tcW w:w="920" w:type="dxa"/>
          </w:tcPr>
          <w:p w14:paraId="1DB15A2F" w14:textId="77777777" w:rsidR="004F4E82" w:rsidRDefault="00000000">
            <w:pPr>
              <w:jc w:val="center"/>
              <w:rPr>
                <w:rFonts w:ascii="Arial" w:eastAsia="Arial" w:hAnsi="Arial" w:cs="Arial"/>
                <w:sz w:val="18"/>
                <w:szCs w:val="18"/>
              </w:rPr>
            </w:pPr>
            <w:r>
              <w:rPr>
                <w:rFonts w:ascii="Arial" w:eastAsia="Arial" w:hAnsi="Arial" w:cs="Arial"/>
                <w:sz w:val="18"/>
                <w:szCs w:val="18"/>
              </w:rPr>
              <w:t>366</w:t>
            </w:r>
          </w:p>
        </w:tc>
        <w:tc>
          <w:tcPr>
            <w:tcW w:w="920" w:type="dxa"/>
          </w:tcPr>
          <w:p w14:paraId="37DD8874" w14:textId="77777777" w:rsidR="004F4E82" w:rsidRDefault="00000000">
            <w:pPr>
              <w:rPr>
                <w:rFonts w:ascii="Arial" w:eastAsia="Arial" w:hAnsi="Arial" w:cs="Arial"/>
                <w:sz w:val="18"/>
                <w:szCs w:val="18"/>
              </w:rPr>
            </w:pPr>
            <w:r>
              <w:rPr>
                <w:rFonts w:ascii="Arial" w:eastAsia="Arial" w:hAnsi="Arial" w:cs="Arial"/>
                <w:sz w:val="18"/>
                <w:szCs w:val="18"/>
              </w:rPr>
              <w:t>219.146</w:t>
            </w:r>
          </w:p>
        </w:tc>
        <w:tc>
          <w:tcPr>
            <w:tcW w:w="893" w:type="dxa"/>
          </w:tcPr>
          <w:p w14:paraId="48C899A4"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.000</w:t>
            </w:r>
          </w:p>
        </w:tc>
      </w:tr>
      <w:tr w:rsidR="004F4E82" w14:paraId="700034B3" w14:textId="77777777">
        <w:trPr>
          <w:trHeight w:val="350"/>
          <w:jc w:val="center"/>
        </w:trPr>
        <w:tc>
          <w:tcPr>
            <w:tcW w:w="2094" w:type="dxa"/>
          </w:tcPr>
          <w:p w14:paraId="69BD8709" w14:textId="77777777" w:rsidR="004F4E82" w:rsidRDefault="00000000">
            <w:pPr>
              <w:rPr>
                <w:rFonts w:ascii="Arial" w:eastAsia="Arial" w:hAnsi="Arial" w:cs="Arial"/>
                <w:sz w:val="18"/>
                <w:szCs w:val="18"/>
              </w:rPr>
            </w:pPr>
            <w:r>
              <w:rPr>
                <w:rFonts w:ascii="Arial" w:eastAsia="Arial" w:hAnsi="Arial" w:cs="Arial"/>
                <w:sz w:val="18"/>
                <w:szCs w:val="18"/>
              </w:rPr>
              <w:t>Smishing</w:t>
            </w:r>
          </w:p>
        </w:tc>
        <w:tc>
          <w:tcPr>
            <w:tcW w:w="907" w:type="dxa"/>
          </w:tcPr>
          <w:p w14:paraId="26F24B86" w14:textId="77777777" w:rsidR="004F4E82" w:rsidRDefault="00000000">
            <w:pPr>
              <w:rPr>
                <w:rFonts w:ascii="Arial" w:eastAsia="Arial" w:hAnsi="Arial" w:cs="Arial"/>
                <w:sz w:val="18"/>
                <w:szCs w:val="18"/>
              </w:rPr>
            </w:pPr>
            <w:r>
              <w:rPr>
                <w:rFonts w:ascii="Arial" w:eastAsia="Arial" w:hAnsi="Arial" w:cs="Arial"/>
                <w:sz w:val="18"/>
                <w:szCs w:val="18"/>
              </w:rPr>
              <w:t>418.727</w:t>
            </w:r>
          </w:p>
        </w:tc>
        <w:tc>
          <w:tcPr>
            <w:tcW w:w="746" w:type="dxa"/>
          </w:tcPr>
          <w:p w14:paraId="384812B2"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827" w:type="dxa"/>
          </w:tcPr>
          <w:p w14:paraId="4002074A"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1.203</w:t>
            </w:r>
          </w:p>
        </w:tc>
        <w:tc>
          <w:tcPr>
            <w:tcW w:w="920" w:type="dxa"/>
          </w:tcPr>
          <w:p w14:paraId="28DE6672" w14:textId="77777777" w:rsidR="004F4E82" w:rsidRDefault="00000000">
            <w:pPr>
              <w:jc w:val="center"/>
              <w:rPr>
                <w:rFonts w:ascii="Arial" w:eastAsia="Arial" w:hAnsi="Arial" w:cs="Arial"/>
                <w:sz w:val="18"/>
                <w:szCs w:val="18"/>
              </w:rPr>
            </w:pPr>
            <w:r>
              <w:rPr>
                <w:rFonts w:ascii="Arial" w:eastAsia="Arial" w:hAnsi="Arial" w:cs="Arial"/>
                <w:sz w:val="18"/>
                <w:szCs w:val="18"/>
              </w:rPr>
              <w:t>366</w:t>
            </w:r>
          </w:p>
        </w:tc>
        <w:tc>
          <w:tcPr>
            <w:tcW w:w="920" w:type="dxa"/>
          </w:tcPr>
          <w:p w14:paraId="770CDE9B" w14:textId="77777777" w:rsidR="004F4E82" w:rsidRDefault="00000000">
            <w:pPr>
              <w:rPr>
                <w:rFonts w:ascii="Arial" w:eastAsia="Arial" w:hAnsi="Arial" w:cs="Arial"/>
                <w:sz w:val="18"/>
                <w:szCs w:val="18"/>
              </w:rPr>
            </w:pPr>
            <w:r>
              <w:rPr>
                <w:rFonts w:ascii="Arial" w:eastAsia="Arial" w:hAnsi="Arial" w:cs="Arial"/>
                <w:sz w:val="18"/>
                <w:szCs w:val="18"/>
              </w:rPr>
              <w:t>347.926</w:t>
            </w:r>
          </w:p>
        </w:tc>
        <w:tc>
          <w:tcPr>
            <w:tcW w:w="893" w:type="dxa"/>
            <w:vAlign w:val="center"/>
          </w:tcPr>
          <w:p w14:paraId="43C4CD2E"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.000</w:t>
            </w:r>
          </w:p>
        </w:tc>
      </w:tr>
      <w:tr w:rsidR="004F4E82" w14:paraId="52478FC8" w14:textId="77777777">
        <w:trPr>
          <w:trHeight w:val="350"/>
          <w:jc w:val="center"/>
        </w:trPr>
        <w:tc>
          <w:tcPr>
            <w:tcW w:w="2094" w:type="dxa"/>
          </w:tcPr>
          <w:p w14:paraId="52F2B2CF" w14:textId="77777777" w:rsidR="004F4E82" w:rsidRDefault="00000000">
            <w:pPr>
              <w:rPr>
                <w:rFonts w:ascii="Arial" w:eastAsia="Arial" w:hAnsi="Arial" w:cs="Arial"/>
                <w:sz w:val="18"/>
                <w:szCs w:val="18"/>
              </w:rPr>
            </w:pPr>
            <w:r>
              <w:rPr>
                <w:rFonts w:ascii="Arial" w:eastAsia="Arial" w:hAnsi="Arial" w:cs="Arial"/>
                <w:sz w:val="18"/>
                <w:szCs w:val="18"/>
              </w:rPr>
              <w:t>Vishing</w:t>
            </w:r>
          </w:p>
        </w:tc>
        <w:tc>
          <w:tcPr>
            <w:tcW w:w="907" w:type="dxa"/>
          </w:tcPr>
          <w:p w14:paraId="43C28BBC" w14:textId="77777777" w:rsidR="004F4E82" w:rsidRDefault="00000000">
            <w:pPr>
              <w:rPr>
                <w:rFonts w:ascii="Arial" w:eastAsia="Arial" w:hAnsi="Arial" w:cs="Arial"/>
                <w:sz w:val="18"/>
                <w:szCs w:val="18"/>
              </w:rPr>
            </w:pPr>
            <w:r>
              <w:rPr>
                <w:rFonts w:ascii="Arial" w:eastAsia="Arial" w:hAnsi="Arial" w:cs="Arial"/>
                <w:sz w:val="18"/>
                <w:szCs w:val="18"/>
              </w:rPr>
              <w:t>281.826</w:t>
            </w:r>
          </w:p>
        </w:tc>
        <w:tc>
          <w:tcPr>
            <w:tcW w:w="746" w:type="dxa"/>
          </w:tcPr>
          <w:p w14:paraId="197791A7"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827" w:type="dxa"/>
          </w:tcPr>
          <w:p w14:paraId="1B1B6BCB"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1.196</w:t>
            </w:r>
          </w:p>
        </w:tc>
        <w:tc>
          <w:tcPr>
            <w:tcW w:w="920" w:type="dxa"/>
          </w:tcPr>
          <w:p w14:paraId="06030019" w14:textId="77777777" w:rsidR="004F4E82" w:rsidRDefault="00000000">
            <w:pPr>
              <w:jc w:val="center"/>
              <w:rPr>
                <w:rFonts w:ascii="Arial" w:eastAsia="Arial" w:hAnsi="Arial" w:cs="Arial"/>
                <w:sz w:val="18"/>
                <w:szCs w:val="18"/>
              </w:rPr>
            </w:pPr>
            <w:r>
              <w:rPr>
                <w:rFonts w:ascii="Arial" w:eastAsia="Arial" w:hAnsi="Arial" w:cs="Arial"/>
                <w:sz w:val="18"/>
                <w:szCs w:val="18"/>
              </w:rPr>
              <w:t>366</w:t>
            </w:r>
          </w:p>
        </w:tc>
        <w:tc>
          <w:tcPr>
            <w:tcW w:w="920" w:type="dxa"/>
          </w:tcPr>
          <w:p w14:paraId="3C277F25" w14:textId="77777777" w:rsidR="004F4E82" w:rsidRDefault="00000000">
            <w:pPr>
              <w:rPr>
                <w:rFonts w:ascii="Arial" w:eastAsia="Arial" w:hAnsi="Arial" w:cs="Arial"/>
                <w:sz w:val="18"/>
                <w:szCs w:val="18"/>
              </w:rPr>
            </w:pPr>
            <w:r>
              <w:rPr>
                <w:rFonts w:ascii="Arial" w:eastAsia="Arial" w:hAnsi="Arial" w:cs="Arial"/>
                <w:sz w:val="18"/>
                <w:szCs w:val="18"/>
              </w:rPr>
              <w:t>235.593</w:t>
            </w:r>
          </w:p>
        </w:tc>
        <w:tc>
          <w:tcPr>
            <w:tcW w:w="893" w:type="dxa"/>
          </w:tcPr>
          <w:p w14:paraId="524593E5"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.000</w:t>
            </w:r>
          </w:p>
        </w:tc>
      </w:tr>
      <w:tr w:rsidR="004F4E82" w14:paraId="7F6B1C41" w14:textId="77777777">
        <w:trPr>
          <w:trHeight w:val="350"/>
          <w:jc w:val="center"/>
        </w:trPr>
        <w:tc>
          <w:tcPr>
            <w:tcW w:w="2094" w:type="dxa"/>
          </w:tcPr>
          <w:p w14:paraId="1E63D276" w14:textId="77777777" w:rsidR="004F4E82" w:rsidRDefault="00000000">
            <w:pPr>
              <w:rPr>
                <w:rFonts w:ascii="Arial" w:eastAsia="Arial" w:hAnsi="Arial" w:cs="Arial"/>
                <w:sz w:val="18"/>
                <w:szCs w:val="18"/>
              </w:rPr>
            </w:pPr>
            <w:r>
              <w:rPr>
                <w:rFonts w:ascii="Arial" w:eastAsia="Arial" w:hAnsi="Arial" w:cs="Arial"/>
                <w:sz w:val="18"/>
                <w:szCs w:val="18"/>
              </w:rPr>
              <w:t>Man-in-the-middle attack</w:t>
            </w:r>
          </w:p>
        </w:tc>
        <w:tc>
          <w:tcPr>
            <w:tcW w:w="907" w:type="dxa"/>
          </w:tcPr>
          <w:p w14:paraId="768DB46F" w14:textId="77777777" w:rsidR="004F4E82" w:rsidRDefault="00000000">
            <w:pPr>
              <w:rPr>
                <w:rFonts w:ascii="Arial" w:eastAsia="Arial" w:hAnsi="Arial" w:cs="Arial"/>
                <w:sz w:val="18"/>
                <w:szCs w:val="18"/>
              </w:rPr>
            </w:pPr>
            <w:r>
              <w:rPr>
                <w:rFonts w:ascii="Arial" w:eastAsia="Arial" w:hAnsi="Arial" w:cs="Arial"/>
                <w:sz w:val="18"/>
                <w:szCs w:val="18"/>
              </w:rPr>
              <w:t>361.415</w:t>
            </w:r>
          </w:p>
        </w:tc>
        <w:tc>
          <w:tcPr>
            <w:tcW w:w="746" w:type="dxa"/>
          </w:tcPr>
          <w:p w14:paraId="354FEFAD"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827" w:type="dxa"/>
          </w:tcPr>
          <w:p w14:paraId="56AA824F"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1.177</w:t>
            </w:r>
          </w:p>
        </w:tc>
        <w:tc>
          <w:tcPr>
            <w:tcW w:w="920" w:type="dxa"/>
          </w:tcPr>
          <w:p w14:paraId="6655EEF5" w14:textId="77777777" w:rsidR="004F4E82" w:rsidRDefault="00000000">
            <w:pPr>
              <w:jc w:val="center"/>
              <w:rPr>
                <w:rFonts w:ascii="Arial" w:eastAsia="Arial" w:hAnsi="Arial" w:cs="Arial"/>
                <w:sz w:val="18"/>
                <w:szCs w:val="18"/>
              </w:rPr>
            </w:pPr>
            <w:r>
              <w:rPr>
                <w:rFonts w:ascii="Arial" w:eastAsia="Arial" w:hAnsi="Arial" w:cs="Arial"/>
                <w:sz w:val="18"/>
                <w:szCs w:val="18"/>
              </w:rPr>
              <w:t>366</w:t>
            </w:r>
          </w:p>
        </w:tc>
        <w:tc>
          <w:tcPr>
            <w:tcW w:w="920" w:type="dxa"/>
          </w:tcPr>
          <w:p w14:paraId="09BD1A2E" w14:textId="77777777" w:rsidR="004F4E82" w:rsidRDefault="00000000">
            <w:pPr>
              <w:rPr>
                <w:rFonts w:ascii="Arial" w:eastAsia="Arial" w:hAnsi="Arial" w:cs="Arial"/>
                <w:sz w:val="18"/>
                <w:szCs w:val="18"/>
              </w:rPr>
            </w:pPr>
            <w:r>
              <w:rPr>
                <w:rFonts w:ascii="Arial" w:eastAsia="Arial" w:hAnsi="Arial" w:cs="Arial"/>
                <w:sz w:val="18"/>
                <w:szCs w:val="18"/>
              </w:rPr>
              <w:t>307.151</w:t>
            </w:r>
          </w:p>
        </w:tc>
        <w:tc>
          <w:tcPr>
            <w:tcW w:w="893" w:type="dxa"/>
            <w:vAlign w:val="center"/>
          </w:tcPr>
          <w:p w14:paraId="36A1FCC7"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.000</w:t>
            </w:r>
          </w:p>
        </w:tc>
      </w:tr>
      <w:tr w:rsidR="004F4E82" w14:paraId="38D35553" w14:textId="77777777">
        <w:trPr>
          <w:trHeight w:val="350"/>
          <w:jc w:val="center"/>
        </w:trPr>
        <w:tc>
          <w:tcPr>
            <w:tcW w:w="2094" w:type="dxa"/>
          </w:tcPr>
          <w:p w14:paraId="4B27F222" w14:textId="77777777" w:rsidR="004F4E82" w:rsidRDefault="00000000">
            <w:pPr>
              <w:rPr>
                <w:rFonts w:ascii="Arial" w:eastAsia="Arial" w:hAnsi="Arial" w:cs="Arial"/>
                <w:sz w:val="18"/>
                <w:szCs w:val="18"/>
              </w:rPr>
            </w:pPr>
            <w:r>
              <w:rPr>
                <w:rFonts w:ascii="Arial" w:eastAsia="Arial" w:hAnsi="Arial" w:cs="Arial"/>
                <w:sz w:val="18"/>
                <w:szCs w:val="18"/>
              </w:rPr>
              <w:t>Zero-day Exploits</w:t>
            </w:r>
          </w:p>
        </w:tc>
        <w:tc>
          <w:tcPr>
            <w:tcW w:w="907" w:type="dxa"/>
          </w:tcPr>
          <w:p w14:paraId="5680DA64" w14:textId="77777777" w:rsidR="004F4E82" w:rsidRDefault="00000000">
            <w:pPr>
              <w:rPr>
                <w:rFonts w:ascii="Arial" w:eastAsia="Arial" w:hAnsi="Arial" w:cs="Arial"/>
                <w:sz w:val="18"/>
                <w:szCs w:val="18"/>
              </w:rPr>
            </w:pPr>
            <w:r>
              <w:rPr>
                <w:rFonts w:ascii="Arial" w:eastAsia="Arial" w:hAnsi="Arial" w:cs="Arial"/>
                <w:sz w:val="18"/>
                <w:szCs w:val="18"/>
              </w:rPr>
              <w:t>225.546</w:t>
            </w:r>
          </w:p>
        </w:tc>
        <w:tc>
          <w:tcPr>
            <w:tcW w:w="746" w:type="dxa"/>
          </w:tcPr>
          <w:p w14:paraId="28471894"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827" w:type="dxa"/>
          </w:tcPr>
          <w:p w14:paraId="4A86AEF8"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1.283</w:t>
            </w:r>
          </w:p>
        </w:tc>
        <w:tc>
          <w:tcPr>
            <w:tcW w:w="920" w:type="dxa"/>
          </w:tcPr>
          <w:p w14:paraId="2BF34BB1" w14:textId="77777777" w:rsidR="004F4E82" w:rsidRDefault="00000000">
            <w:pPr>
              <w:jc w:val="center"/>
              <w:rPr>
                <w:rFonts w:ascii="Arial" w:eastAsia="Arial" w:hAnsi="Arial" w:cs="Arial"/>
                <w:sz w:val="18"/>
                <w:szCs w:val="18"/>
              </w:rPr>
            </w:pPr>
            <w:r>
              <w:rPr>
                <w:rFonts w:ascii="Arial" w:eastAsia="Arial" w:hAnsi="Arial" w:cs="Arial"/>
                <w:sz w:val="18"/>
                <w:szCs w:val="18"/>
              </w:rPr>
              <w:t>366</w:t>
            </w:r>
          </w:p>
        </w:tc>
        <w:tc>
          <w:tcPr>
            <w:tcW w:w="920" w:type="dxa"/>
          </w:tcPr>
          <w:p w14:paraId="2FAB98D9" w14:textId="77777777" w:rsidR="004F4E82" w:rsidRDefault="00000000">
            <w:pPr>
              <w:rPr>
                <w:rFonts w:ascii="Arial" w:eastAsia="Arial" w:hAnsi="Arial" w:cs="Arial"/>
                <w:sz w:val="18"/>
                <w:szCs w:val="18"/>
              </w:rPr>
            </w:pPr>
            <w:r>
              <w:rPr>
                <w:rFonts w:ascii="Arial" w:eastAsia="Arial" w:hAnsi="Arial" w:cs="Arial"/>
                <w:sz w:val="18"/>
                <w:szCs w:val="18"/>
              </w:rPr>
              <w:t>175.764</w:t>
            </w:r>
          </w:p>
        </w:tc>
        <w:tc>
          <w:tcPr>
            <w:tcW w:w="893" w:type="dxa"/>
          </w:tcPr>
          <w:p w14:paraId="6513849D"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.000</w:t>
            </w:r>
          </w:p>
        </w:tc>
      </w:tr>
      <w:tr w:rsidR="004F4E82" w14:paraId="2EA067F5" w14:textId="77777777">
        <w:trPr>
          <w:trHeight w:val="350"/>
          <w:jc w:val="center"/>
        </w:trPr>
        <w:tc>
          <w:tcPr>
            <w:tcW w:w="2094" w:type="dxa"/>
          </w:tcPr>
          <w:p w14:paraId="1E7D2646" w14:textId="77777777" w:rsidR="004F4E82" w:rsidRDefault="00000000">
            <w:pPr>
              <w:rPr>
                <w:rFonts w:ascii="Arial" w:eastAsia="Arial" w:hAnsi="Arial" w:cs="Arial"/>
                <w:sz w:val="18"/>
                <w:szCs w:val="18"/>
              </w:rPr>
            </w:pPr>
            <w:r>
              <w:rPr>
                <w:rFonts w:ascii="Arial" w:eastAsia="Arial" w:hAnsi="Arial" w:cs="Arial"/>
                <w:sz w:val="18"/>
                <w:szCs w:val="18"/>
              </w:rPr>
              <w:t>Antivirus software</w:t>
            </w:r>
          </w:p>
        </w:tc>
        <w:tc>
          <w:tcPr>
            <w:tcW w:w="907" w:type="dxa"/>
          </w:tcPr>
          <w:p w14:paraId="42320C18" w14:textId="77777777" w:rsidR="004F4E82" w:rsidRDefault="00000000">
            <w:pPr>
              <w:rPr>
                <w:rFonts w:ascii="Arial" w:eastAsia="Arial" w:hAnsi="Arial" w:cs="Arial"/>
                <w:sz w:val="18"/>
                <w:szCs w:val="18"/>
              </w:rPr>
            </w:pPr>
            <w:r>
              <w:rPr>
                <w:rFonts w:ascii="Arial" w:eastAsia="Arial" w:hAnsi="Arial" w:cs="Arial"/>
                <w:sz w:val="18"/>
                <w:szCs w:val="18"/>
              </w:rPr>
              <w:t>20.014</w:t>
            </w:r>
          </w:p>
        </w:tc>
        <w:tc>
          <w:tcPr>
            <w:tcW w:w="746" w:type="dxa"/>
          </w:tcPr>
          <w:p w14:paraId="1506C532"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827" w:type="dxa"/>
          </w:tcPr>
          <w:p w14:paraId="3FC7C5CA"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1.491</w:t>
            </w:r>
          </w:p>
        </w:tc>
        <w:tc>
          <w:tcPr>
            <w:tcW w:w="920" w:type="dxa"/>
          </w:tcPr>
          <w:p w14:paraId="6DFB99D1" w14:textId="77777777" w:rsidR="004F4E82" w:rsidRDefault="00000000">
            <w:pPr>
              <w:jc w:val="center"/>
              <w:rPr>
                <w:rFonts w:ascii="Arial" w:eastAsia="Arial" w:hAnsi="Arial" w:cs="Arial"/>
                <w:sz w:val="18"/>
                <w:szCs w:val="18"/>
              </w:rPr>
            </w:pPr>
            <w:r>
              <w:rPr>
                <w:rFonts w:ascii="Arial" w:eastAsia="Arial" w:hAnsi="Arial" w:cs="Arial"/>
                <w:sz w:val="18"/>
                <w:szCs w:val="18"/>
              </w:rPr>
              <w:t>366</w:t>
            </w:r>
          </w:p>
        </w:tc>
        <w:tc>
          <w:tcPr>
            <w:tcW w:w="920" w:type="dxa"/>
          </w:tcPr>
          <w:p w14:paraId="6848D30C" w14:textId="77777777" w:rsidR="004F4E82" w:rsidRDefault="00000000">
            <w:pPr>
              <w:rPr>
                <w:rFonts w:ascii="Arial" w:eastAsia="Arial" w:hAnsi="Arial" w:cs="Arial"/>
                <w:sz w:val="18"/>
                <w:szCs w:val="18"/>
              </w:rPr>
            </w:pPr>
            <w:r>
              <w:rPr>
                <w:rFonts w:ascii="Arial" w:eastAsia="Arial" w:hAnsi="Arial" w:cs="Arial"/>
                <w:sz w:val="18"/>
                <w:szCs w:val="18"/>
              </w:rPr>
              <w:t>13.419</w:t>
            </w:r>
          </w:p>
        </w:tc>
        <w:tc>
          <w:tcPr>
            <w:tcW w:w="893" w:type="dxa"/>
          </w:tcPr>
          <w:p w14:paraId="4CD55165"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.000</w:t>
            </w:r>
          </w:p>
        </w:tc>
      </w:tr>
      <w:tr w:rsidR="004F4E82" w14:paraId="42A10934" w14:textId="77777777">
        <w:trPr>
          <w:trHeight w:val="350"/>
          <w:jc w:val="center"/>
        </w:trPr>
        <w:tc>
          <w:tcPr>
            <w:tcW w:w="2094" w:type="dxa"/>
          </w:tcPr>
          <w:p w14:paraId="5AC0FACB" w14:textId="77777777" w:rsidR="004F4E82" w:rsidRDefault="00000000">
            <w:pPr>
              <w:rPr>
                <w:rFonts w:ascii="Arial" w:eastAsia="Arial" w:hAnsi="Arial" w:cs="Arial"/>
                <w:sz w:val="18"/>
                <w:szCs w:val="18"/>
              </w:rPr>
            </w:pPr>
            <w:r>
              <w:rPr>
                <w:rFonts w:ascii="Arial" w:eastAsia="Arial" w:hAnsi="Arial" w:cs="Arial"/>
                <w:sz w:val="18"/>
                <w:szCs w:val="18"/>
              </w:rPr>
              <w:t>Safe browsing practices</w:t>
            </w:r>
          </w:p>
        </w:tc>
        <w:tc>
          <w:tcPr>
            <w:tcW w:w="907" w:type="dxa"/>
          </w:tcPr>
          <w:p w14:paraId="386220F4" w14:textId="77777777" w:rsidR="004F4E82" w:rsidRDefault="00000000">
            <w:pPr>
              <w:rPr>
                <w:rFonts w:ascii="Arial" w:eastAsia="Arial" w:hAnsi="Arial" w:cs="Arial"/>
                <w:sz w:val="18"/>
                <w:szCs w:val="18"/>
              </w:rPr>
            </w:pPr>
            <w:r>
              <w:rPr>
                <w:rFonts w:ascii="Arial" w:eastAsia="Arial" w:hAnsi="Arial" w:cs="Arial"/>
                <w:sz w:val="18"/>
                <w:szCs w:val="18"/>
              </w:rPr>
              <w:t>47.438</w:t>
            </w:r>
          </w:p>
        </w:tc>
        <w:tc>
          <w:tcPr>
            <w:tcW w:w="746" w:type="dxa"/>
          </w:tcPr>
          <w:p w14:paraId="2796F700"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827" w:type="dxa"/>
          </w:tcPr>
          <w:p w14:paraId="658E83FA"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1.729</w:t>
            </w:r>
          </w:p>
        </w:tc>
        <w:tc>
          <w:tcPr>
            <w:tcW w:w="920" w:type="dxa"/>
          </w:tcPr>
          <w:p w14:paraId="276A0AE1" w14:textId="77777777" w:rsidR="004F4E82" w:rsidRDefault="00000000">
            <w:pPr>
              <w:jc w:val="center"/>
              <w:rPr>
                <w:rFonts w:ascii="Arial" w:eastAsia="Arial" w:hAnsi="Arial" w:cs="Arial"/>
                <w:sz w:val="18"/>
                <w:szCs w:val="18"/>
              </w:rPr>
            </w:pPr>
            <w:r>
              <w:rPr>
                <w:rFonts w:ascii="Arial" w:eastAsia="Arial" w:hAnsi="Arial" w:cs="Arial"/>
                <w:sz w:val="18"/>
                <w:szCs w:val="18"/>
              </w:rPr>
              <w:t>366</w:t>
            </w:r>
          </w:p>
        </w:tc>
        <w:tc>
          <w:tcPr>
            <w:tcW w:w="920" w:type="dxa"/>
          </w:tcPr>
          <w:p w14:paraId="2A301349" w14:textId="77777777" w:rsidR="004F4E82" w:rsidRDefault="00000000">
            <w:pPr>
              <w:rPr>
                <w:rFonts w:ascii="Arial" w:eastAsia="Arial" w:hAnsi="Arial" w:cs="Arial"/>
                <w:sz w:val="18"/>
                <w:szCs w:val="18"/>
              </w:rPr>
            </w:pPr>
            <w:r>
              <w:rPr>
                <w:rFonts w:ascii="Arial" w:eastAsia="Arial" w:hAnsi="Arial" w:cs="Arial"/>
                <w:sz w:val="18"/>
                <w:szCs w:val="18"/>
              </w:rPr>
              <w:t>27.436</w:t>
            </w:r>
          </w:p>
        </w:tc>
        <w:tc>
          <w:tcPr>
            <w:tcW w:w="893" w:type="dxa"/>
          </w:tcPr>
          <w:p w14:paraId="11609E2E"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.000</w:t>
            </w:r>
          </w:p>
        </w:tc>
      </w:tr>
      <w:tr w:rsidR="004F4E82" w14:paraId="46117EC9" w14:textId="77777777">
        <w:trPr>
          <w:trHeight w:val="350"/>
          <w:jc w:val="center"/>
        </w:trPr>
        <w:tc>
          <w:tcPr>
            <w:tcW w:w="2094" w:type="dxa"/>
          </w:tcPr>
          <w:p w14:paraId="36EAD619" w14:textId="77777777" w:rsidR="004F4E82" w:rsidRDefault="00000000">
            <w:pPr>
              <w:rPr>
                <w:rFonts w:ascii="Arial" w:eastAsia="Arial" w:hAnsi="Arial" w:cs="Arial"/>
                <w:sz w:val="18"/>
                <w:szCs w:val="18"/>
              </w:rPr>
            </w:pPr>
            <w:r>
              <w:rPr>
                <w:rFonts w:ascii="Arial" w:eastAsia="Arial" w:hAnsi="Arial" w:cs="Arial"/>
                <w:sz w:val="18"/>
                <w:szCs w:val="18"/>
              </w:rPr>
              <w:t>Regular Updates</w:t>
            </w:r>
          </w:p>
        </w:tc>
        <w:tc>
          <w:tcPr>
            <w:tcW w:w="907" w:type="dxa"/>
          </w:tcPr>
          <w:p w14:paraId="6A245E7D" w14:textId="77777777" w:rsidR="004F4E82" w:rsidRDefault="00000000">
            <w:pPr>
              <w:rPr>
                <w:rFonts w:ascii="Arial" w:eastAsia="Arial" w:hAnsi="Arial" w:cs="Arial"/>
                <w:sz w:val="18"/>
                <w:szCs w:val="18"/>
              </w:rPr>
            </w:pPr>
            <w:r>
              <w:rPr>
                <w:rFonts w:ascii="Arial" w:eastAsia="Arial" w:hAnsi="Arial" w:cs="Arial"/>
                <w:sz w:val="18"/>
                <w:szCs w:val="18"/>
              </w:rPr>
              <w:t>22.696</w:t>
            </w:r>
          </w:p>
        </w:tc>
        <w:tc>
          <w:tcPr>
            <w:tcW w:w="746" w:type="dxa"/>
          </w:tcPr>
          <w:p w14:paraId="1049C059"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827" w:type="dxa"/>
          </w:tcPr>
          <w:p w14:paraId="7864CF20"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1.510</w:t>
            </w:r>
          </w:p>
        </w:tc>
        <w:tc>
          <w:tcPr>
            <w:tcW w:w="920" w:type="dxa"/>
          </w:tcPr>
          <w:p w14:paraId="4E6AF2B0" w14:textId="77777777" w:rsidR="004F4E82" w:rsidRDefault="00000000">
            <w:pPr>
              <w:jc w:val="center"/>
              <w:rPr>
                <w:rFonts w:ascii="Arial" w:eastAsia="Arial" w:hAnsi="Arial" w:cs="Arial"/>
                <w:sz w:val="18"/>
                <w:szCs w:val="18"/>
              </w:rPr>
            </w:pPr>
            <w:r>
              <w:rPr>
                <w:rFonts w:ascii="Arial" w:eastAsia="Arial" w:hAnsi="Arial" w:cs="Arial"/>
                <w:sz w:val="18"/>
                <w:szCs w:val="18"/>
              </w:rPr>
              <w:t>366</w:t>
            </w:r>
          </w:p>
        </w:tc>
        <w:tc>
          <w:tcPr>
            <w:tcW w:w="920" w:type="dxa"/>
          </w:tcPr>
          <w:p w14:paraId="77ED31B6" w14:textId="77777777" w:rsidR="004F4E82" w:rsidRDefault="00000000">
            <w:pPr>
              <w:rPr>
                <w:rFonts w:ascii="Arial" w:eastAsia="Arial" w:hAnsi="Arial" w:cs="Arial"/>
                <w:sz w:val="18"/>
                <w:szCs w:val="18"/>
              </w:rPr>
            </w:pPr>
            <w:r>
              <w:rPr>
                <w:rFonts w:ascii="Arial" w:eastAsia="Arial" w:hAnsi="Arial" w:cs="Arial"/>
                <w:sz w:val="18"/>
                <w:szCs w:val="18"/>
              </w:rPr>
              <w:t>15.032</w:t>
            </w:r>
          </w:p>
        </w:tc>
        <w:tc>
          <w:tcPr>
            <w:tcW w:w="893" w:type="dxa"/>
          </w:tcPr>
          <w:p w14:paraId="619902E9"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.000</w:t>
            </w:r>
          </w:p>
        </w:tc>
      </w:tr>
      <w:tr w:rsidR="004F4E82" w14:paraId="239FD7CE" w14:textId="77777777">
        <w:trPr>
          <w:trHeight w:val="350"/>
          <w:jc w:val="center"/>
        </w:trPr>
        <w:tc>
          <w:tcPr>
            <w:tcW w:w="2094" w:type="dxa"/>
          </w:tcPr>
          <w:p w14:paraId="2839AC34" w14:textId="77777777" w:rsidR="004F4E82" w:rsidRDefault="00000000">
            <w:pPr>
              <w:rPr>
                <w:rFonts w:ascii="Arial" w:eastAsia="Arial" w:hAnsi="Arial" w:cs="Arial"/>
                <w:sz w:val="18"/>
                <w:szCs w:val="18"/>
              </w:rPr>
            </w:pPr>
            <w:r>
              <w:rPr>
                <w:rFonts w:ascii="Arial" w:eastAsia="Arial" w:hAnsi="Arial" w:cs="Arial"/>
                <w:sz w:val="18"/>
                <w:szCs w:val="18"/>
              </w:rPr>
              <w:t>Avoiding Unknown App Sources</w:t>
            </w:r>
          </w:p>
        </w:tc>
        <w:tc>
          <w:tcPr>
            <w:tcW w:w="907" w:type="dxa"/>
          </w:tcPr>
          <w:p w14:paraId="47900FCC" w14:textId="77777777" w:rsidR="004F4E82" w:rsidRDefault="00000000">
            <w:pPr>
              <w:rPr>
                <w:rFonts w:ascii="Arial" w:eastAsia="Arial" w:hAnsi="Arial" w:cs="Arial"/>
                <w:sz w:val="18"/>
                <w:szCs w:val="18"/>
              </w:rPr>
            </w:pPr>
            <w:r>
              <w:rPr>
                <w:rFonts w:ascii="Arial" w:eastAsia="Arial" w:hAnsi="Arial" w:cs="Arial"/>
                <w:sz w:val="18"/>
                <w:szCs w:val="18"/>
              </w:rPr>
              <w:t>22.438</w:t>
            </w:r>
          </w:p>
        </w:tc>
        <w:tc>
          <w:tcPr>
            <w:tcW w:w="746" w:type="dxa"/>
          </w:tcPr>
          <w:p w14:paraId="7CBAD4D4"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w:t>
            </w:r>
          </w:p>
        </w:tc>
        <w:tc>
          <w:tcPr>
            <w:tcW w:w="1827" w:type="dxa"/>
          </w:tcPr>
          <w:p w14:paraId="2683D369"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1.472</w:t>
            </w:r>
          </w:p>
        </w:tc>
        <w:tc>
          <w:tcPr>
            <w:tcW w:w="920" w:type="dxa"/>
          </w:tcPr>
          <w:p w14:paraId="2A522981" w14:textId="77777777" w:rsidR="004F4E82" w:rsidRDefault="00000000">
            <w:pPr>
              <w:jc w:val="center"/>
              <w:rPr>
                <w:rFonts w:ascii="Arial" w:eastAsia="Arial" w:hAnsi="Arial" w:cs="Arial"/>
                <w:sz w:val="18"/>
                <w:szCs w:val="18"/>
              </w:rPr>
            </w:pPr>
            <w:r>
              <w:rPr>
                <w:rFonts w:ascii="Arial" w:eastAsia="Arial" w:hAnsi="Arial" w:cs="Arial"/>
                <w:sz w:val="18"/>
                <w:szCs w:val="18"/>
              </w:rPr>
              <w:t>366</w:t>
            </w:r>
          </w:p>
        </w:tc>
        <w:tc>
          <w:tcPr>
            <w:tcW w:w="920" w:type="dxa"/>
          </w:tcPr>
          <w:p w14:paraId="2D0F02D8" w14:textId="77777777" w:rsidR="004F4E82" w:rsidRDefault="00000000">
            <w:pPr>
              <w:rPr>
                <w:rFonts w:ascii="Arial" w:eastAsia="Arial" w:hAnsi="Arial" w:cs="Arial"/>
                <w:sz w:val="18"/>
                <w:szCs w:val="18"/>
              </w:rPr>
            </w:pPr>
            <w:r>
              <w:rPr>
                <w:rFonts w:ascii="Arial" w:eastAsia="Arial" w:hAnsi="Arial" w:cs="Arial"/>
                <w:sz w:val="18"/>
                <w:szCs w:val="18"/>
              </w:rPr>
              <w:t>15.245</w:t>
            </w:r>
          </w:p>
        </w:tc>
        <w:tc>
          <w:tcPr>
            <w:tcW w:w="893" w:type="dxa"/>
          </w:tcPr>
          <w:p w14:paraId="33ECEF29" w14:textId="77777777" w:rsidR="004F4E82" w:rsidRDefault="00000000">
            <w:pPr>
              <w:ind w:firstLine="288"/>
              <w:jc w:val="center"/>
              <w:rPr>
                <w:rFonts w:ascii="Arial" w:eastAsia="Arial" w:hAnsi="Arial" w:cs="Arial"/>
                <w:sz w:val="18"/>
                <w:szCs w:val="18"/>
              </w:rPr>
            </w:pPr>
            <w:r>
              <w:rPr>
                <w:rFonts w:ascii="Arial" w:eastAsia="Arial" w:hAnsi="Arial" w:cs="Arial"/>
                <w:sz w:val="18"/>
                <w:szCs w:val="18"/>
              </w:rPr>
              <w:t>.000</w:t>
            </w:r>
          </w:p>
        </w:tc>
      </w:tr>
    </w:tbl>
    <w:p w14:paraId="4626C07E" w14:textId="77777777" w:rsidR="004F4E82" w:rsidRDefault="004F4E82">
      <w:pPr>
        <w:tabs>
          <w:tab w:val="left" w:pos="360"/>
          <w:tab w:val="left" w:pos="720"/>
        </w:tabs>
        <w:spacing w:line="276" w:lineRule="auto"/>
        <w:jc w:val="both"/>
        <w:rPr>
          <w:rFonts w:ascii="Arial" w:eastAsia="Arial" w:hAnsi="Arial" w:cs="Arial"/>
          <w:b/>
          <w:bCs/>
        </w:rPr>
      </w:pPr>
    </w:p>
    <w:p w14:paraId="687A5B79" w14:textId="77777777" w:rsidR="004F4E82" w:rsidRDefault="00000000">
      <w:pPr>
        <w:tabs>
          <w:tab w:val="left" w:pos="1080"/>
        </w:tabs>
        <w:jc w:val="both"/>
        <w:rPr>
          <w:rFonts w:ascii="Arial" w:eastAsia="Arial" w:hAnsi="Arial" w:cs="Arial"/>
          <w:b/>
          <w:bCs/>
        </w:rPr>
      </w:pPr>
      <w:r>
        <w:rPr>
          <w:rFonts w:ascii="Arial" w:eastAsia="Arial" w:hAnsi="Arial" w:cs="Arial"/>
          <w:b/>
          <w:bCs/>
        </w:rPr>
        <w:t>3.3 Discussion</w:t>
      </w:r>
    </w:p>
    <w:p w14:paraId="3914101E" w14:textId="77777777" w:rsidR="004F4E82" w:rsidRDefault="004F4E82">
      <w:pPr>
        <w:tabs>
          <w:tab w:val="left" w:pos="1080"/>
        </w:tabs>
        <w:jc w:val="both"/>
        <w:rPr>
          <w:rFonts w:ascii="Arial" w:eastAsia="Arial" w:hAnsi="Arial" w:cs="Arial"/>
          <w:b/>
          <w:bCs/>
        </w:rPr>
      </w:pPr>
    </w:p>
    <w:p w14:paraId="355D4647" w14:textId="61DAC2C1" w:rsidR="007E5A96" w:rsidRDefault="007E5A96" w:rsidP="007E5A96">
      <w:pPr>
        <w:pBdr>
          <w:top w:val="nil"/>
          <w:left w:val="nil"/>
          <w:bottom w:val="nil"/>
          <w:right w:val="nil"/>
          <w:between w:val="nil"/>
        </w:pBdr>
        <w:tabs>
          <w:tab w:val="left" w:pos="360"/>
          <w:tab w:val="left" w:pos="720"/>
        </w:tabs>
        <w:jc w:val="both"/>
        <w:rPr>
          <w:rFonts w:ascii="Arial" w:eastAsia="Arial" w:hAnsi="Arial" w:cs="Arial"/>
        </w:rPr>
      </w:pPr>
      <w:r>
        <w:rPr>
          <w:rFonts w:ascii="Arial" w:eastAsia="Arial" w:hAnsi="Arial" w:cs="Arial"/>
        </w:rPr>
        <w:t xml:space="preserve">Cybersecurity instruction derived from differences in knowledge regarding malware and digital security behavior among the faculty and students at Occidental Mindoro State College; these differences are important. According to the results of the cluster analysis, students are more aware of sophisticated cyber threats than their teachers, such as zero-day attacks and vishing. On the other hand, faculty members seem more compliant with basic security practices, such as regularly updating their software and using antivirus programs. This brings important implications. The gap must be a lack of safe behavior, as awareness does not translate into action, and the lack of deep cyber knowledge does not mean the absence of safe behavior.   </w:t>
      </w:r>
    </w:p>
    <w:p w14:paraId="565DF2AD" w14:textId="77777777" w:rsidR="007E5A96" w:rsidRDefault="007E5A96" w:rsidP="007E5A96">
      <w:pPr>
        <w:pBdr>
          <w:top w:val="nil"/>
          <w:left w:val="nil"/>
          <w:bottom w:val="nil"/>
          <w:right w:val="nil"/>
          <w:between w:val="nil"/>
        </w:pBdr>
        <w:tabs>
          <w:tab w:val="left" w:pos="360"/>
          <w:tab w:val="left" w:pos="720"/>
        </w:tabs>
        <w:jc w:val="both"/>
        <w:rPr>
          <w:rFonts w:ascii="Arial" w:eastAsia="Arial" w:hAnsi="Arial" w:cs="Arial"/>
        </w:rPr>
      </w:pPr>
    </w:p>
    <w:p w14:paraId="6D33AB5D" w14:textId="77777777" w:rsidR="007E5A96" w:rsidRDefault="007E5A96" w:rsidP="007E5A96">
      <w:pPr>
        <w:pBdr>
          <w:top w:val="nil"/>
          <w:left w:val="nil"/>
          <w:bottom w:val="nil"/>
          <w:right w:val="nil"/>
          <w:between w:val="nil"/>
        </w:pBdr>
        <w:tabs>
          <w:tab w:val="left" w:pos="360"/>
          <w:tab w:val="left" w:pos="720"/>
        </w:tabs>
        <w:jc w:val="both"/>
        <w:rPr>
          <w:rFonts w:ascii="Arial" w:eastAsia="Arial" w:hAnsi="Arial" w:cs="Arial"/>
        </w:rPr>
      </w:pPr>
      <w:r>
        <w:rPr>
          <w:rFonts w:ascii="Arial" w:eastAsia="Arial" w:hAnsi="Arial" w:cs="Arial"/>
        </w:rPr>
        <w:t>The assumption of equal exposure to malware and, therefore, to its preventive measures is shown to be false in the study, which examines age, gender, mobile usage, and different operating systems as diverse demographic factors. Protective measures appear ineffective, highlighting the lack of action. The behavioral gaps and misuse of available technologies cry out for educational intervention, and this need remains undeniable.</w:t>
      </w:r>
    </w:p>
    <w:p w14:paraId="72420ACA" w14:textId="77777777" w:rsidR="007E5A96" w:rsidRDefault="007E5A96" w:rsidP="007E5A96">
      <w:pPr>
        <w:pBdr>
          <w:top w:val="nil"/>
          <w:left w:val="nil"/>
          <w:bottom w:val="nil"/>
          <w:right w:val="nil"/>
          <w:between w:val="nil"/>
        </w:pBdr>
        <w:tabs>
          <w:tab w:val="left" w:pos="360"/>
          <w:tab w:val="left" w:pos="720"/>
        </w:tabs>
        <w:jc w:val="both"/>
        <w:rPr>
          <w:rFonts w:ascii="Arial" w:eastAsia="Arial" w:hAnsi="Arial" w:cs="Arial"/>
        </w:rPr>
      </w:pPr>
    </w:p>
    <w:p w14:paraId="6AA4D8E6" w14:textId="302C8A35" w:rsidR="007E5A96" w:rsidRDefault="007E5A96" w:rsidP="007E5A96">
      <w:pPr>
        <w:pBdr>
          <w:top w:val="nil"/>
          <w:left w:val="nil"/>
          <w:bottom w:val="nil"/>
          <w:right w:val="nil"/>
          <w:between w:val="nil"/>
        </w:pBdr>
        <w:tabs>
          <w:tab w:val="left" w:pos="360"/>
          <w:tab w:val="left" w:pos="720"/>
        </w:tabs>
        <w:jc w:val="both"/>
        <w:rPr>
          <w:rFonts w:ascii="Arial" w:eastAsia="Arial" w:hAnsi="Arial" w:cs="Arial"/>
        </w:rPr>
      </w:pPr>
      <w:r>
        <w:rPr>
          <w:rFonts w:ascii="Arial" w:eastAsia="Arial" w:hAnsi="Arial" w:cs="Arial"/>
        </w:rPr>
        <w:t xml:space="preserve">Considerations on </w:t>
      </w:r>
      <w:r w:rsidR="007A0693">
        <w:rPr>
          <w:rFonts w:ascii="Arial" w:eastAsia="Arial" w:hAnsi="Arial" w:cs="Arial"/>
        </w:rPr>
        <w:t>cybersecurity</w:t>
      </w:r>
      <w:r>
        <w:rPr>
          <w:rFonts w:ascii="Arial" w:eastAsia="Arial" w:hAnsi="Arial" w:cs="Arial"/>
        </w:rPr>
        <w:t xml:space="preserve"> training</w:t>
      </w:r>
      <w:r w:rsidR="007A0693">
        <w:rPr>
          <w:rFonts w:ascii="Arial" w:eastAsia="Arial" w:hAnsi="Arial" w:cs="Arial"/>
        </w:rPr>
        <w:t xml:space="preserve"> specific to educational institutions and the application of the evidence</w:t>
      </w:r>
      <w:r>
        <w:rPr>
          <w:rFonts w:ascii="Arial" w:eastAsia="Arial" w:hAnsi="Arial" w:cs="Arial"/>
        </w:rPr>
        <w:t xml:space="preserve"> must not rely on a generalized approach. Educational institutions should consider a more approach. Educators may benefit from training that emphasizes practical, applied instruction on current threats, such as phishing and smishing. Students bring considerable knowledge; however, they would benefit from greater emphasis on the consistent, sustained application of proactive security practices. </w:t>
      </w:r>
      <w:r w:rsidR="007A0693">
        <w:rPr>
          <w:rFonts w:ascii="Arial" w:eastAsia="Arial" w:hAnsi="Arial" w:cs="Arial"/>
        </w:rPr>
        <w:t>The results support integrating targeted cybersecurity modules into academic curricula to address gaps in awareness and practice. Courses and workshops focusing on threat recognition could help enhance foundational knowledge across all academic roles.</w:t>
      </w:r>
      <w:r>
        <w:rPr>
          <w:rFonts w:ascii="Arial" w:eastAsia="Arial" w:hAnsi="Arial" w:cs="Arial"/>
        </w:rPr>
        <w:t xml:space="preserve"> </w:t>
      </w:r>
    </w:p>
    <w:p w14:paraId="5121D096" w14:textId="77777777" w:rsidR="007E5A96" w:rsidRDefault="007E5A96" w:rsidP="007E5A96">
      <w:pPr>
        <w:pBdr>
          <w:top w:val="nil"/>
          <w:left w:val="nil"/>
          <w:bottom w:val="nil"/>
          <w:right w:val="nil"/>
          <w:between w:val="nil"/>
        </w:pBdr>
        <w:tabs>
          <w:tab w:val="left" w:pos="360"/>
          <w:tab w:val="left" w:pos="720"/>
        </w:tabs>
        <w:jc w:val="both"/>
        <w:rPr>
          <w:rFonts w:ascii="Arial" w:eastAsia="Arial" w:hAnsi="Arial" w:cs="Arial"/>
        </w:rPr>
      </w:pPr>
    </w:p>
    <w:p w14:paraId="194BECF3" w14:textId="5AE0AA93" w:rsidR="007E5A96" w:rsidRDefault="007E5A96" w:rsidP="007E5A96">
      <w:pPr>
        <w:pBdr>
          <w:top w:val="nil"/>
          <w:left w:val="nil"/>
          <w:bottom w:val="nil"/>
          <w:right w:val="nil"/>
          <w:between w:val="nil"/>
        </w:pBdr>
        <w:tabs>
          <w:tab w:val="left" w:pos="360"/>
          <w:tab w:val="left" w:pos="720"/>
        </w:tabs>
        <w:jc w:val="both"/>
        <w:rPr>
          <w:rFonts w:ascii="Arial" w:eastAsia="Arial" w:hAnsi="Arial" w:cs="Arial"/>
        </w:rPr>
      </w:pPr>
      <w:r>
        <w:rPr>
          <w:rFonts w:ascii="Arial" w:eastAsia="Arial" w:hAnsi="Arial" w:cs="Arial"/>
        </w:rPr>
        <w:t>More specifically, extending the current initiatives to the identified clusters of focused cybersecurity training, not just implementation, but impact assessment over time, is needed. To track changes in awareness and, more importantly, behavior, a time must be allotted. To add evidence of specific behavioral and balance changes within a particular practice, a controlled cybersecurity training approach is needed, rather than a generalized one.</w:t>
      </w:r>
    </w:p>
    <w:p w14:paraId="10CDF3AE" w14:textId="77777777" w:rsidR="007E5A96" w:rsidRDefault="007E5A96" w:rsidP="007E5A96">
      <w:pPr>
        <w:pBdr>
          <w:top w:val="nil"/>
          <w:left w:val="nil"/>
          <w:bottom w:val="nil"/>
          <w:right w:val="nil"/>
          <w:between w:val="nil"/>
        </w:pBdr>
        <w:tabs>
          <w:tab w:val="left" w:pos="360"/>
          <w:tab w:val="left" w:pos="720"/>
        </w:tabs>
        <w:jc w:val="both"/>
        <w:rPr>
          <w:rFonts w:ascii="Arial" w:eastAsia="Arial" w:hAnsi="Arial" w:cs="Arial"/>
        </w:rPr>
      </w:pPr>
    </w:p>
    <w:p w14:paraId="480A260A" w14:textId="03729694" w:rsidR="007E5A96" w:rsidRDefault="007E5A96" w:rsidP="007E5A96">
      <w:pPr>
        <w:pBdr>
          <w:top w:val="nil"/>
          <w:left w:val="nil"/>
          <w:bottom w:val="nil"/>
          <w:right w:val="nil"/>
          <w:between w:val="nil"/>
        </w:pBdr>
        <w:tabs>
          <w:tab w:val="left" w:pos="360"/>
          <w:tab w:val="left" w:pos="720"/>
        </w:tabs>
        <w:jc w:val="both"/>
        <w:rPr>
          <w:rFonts w:ascii="Arial" w:eastAsia="Arial" w:hAnsi="Arial" w:cs="Arial"/>
        </w:rPr>
      </w:pPr>
      <w:r>
        <w:rPr>
          <w:rFonts w:ascii="Arial" w:eastAsia="Arial" w:hAnsi="Arial" w:cs="Arial"/>
        </w:rPr>
        <w:t xml:space="preserve">To conclude, this research shows how educational data mining can be used to obtain behavioral patterns and develop model educational approaches to cultivating cybersecurity awareness. Once educational institutions understand how to fill gaps in their understanding </w:t>
      </w:r>
      <w:r>
        <w:rPr>
          <w:rFonts w:ascii="Arial" w:eastAsia="Arial" w:hAnsi="Arial" w:cs="Arial"/>
        </w:rPr>
        <w:lastRenderedPageBreak/>
        <w:t>and application of cybersecurity, they will enhance their cybersecurity and, consequently, be able to play a more significant role in fulfilling their broader cybersecurity and digital literacy objectives.</w:t>
      </w:r>
    </w:p>
    <w:p w14:paraId="48622094" w14:textId="77777777" w:rsidR="007E5A96" w:rsidRDefault="007E5A96" w:rsidP="007E5A96">
      <w:pPr>
        <w:pBdr>
          <w:top w:val="nil"/>
          <w:left w:val="nil"/>
          <w:bottom w:val="nil"/>
          <w:right w:val="nil"/>
          <w:between w:val="nil"/>
        </w:pBdr>
        <w:tabs>
          <w:tab w:val="left" w:pos="360"/>
          <w:tab w:val="left" w:pos="720"/>
        </w:tabs>
        <w:jc w:val="both"/>
        <w:rPr>
          <w:rFonts w:ascii="Arial" w:eastAsia="Arial" w:hAnsi="Arial" w:cs="Arial"/>
        </w:rPr>
      </w:pPr>
    </w:p>
    <w:p w14:paraId="7D72F56B" w14:textId="36DC005A" w:rsidR="00EC1647" w:rsidRPr="00EC1647" w:rsidRDefault="007E5A96" w:rsidP="00EC1647">
      <w:pPr>
        <w:jc w:val="both"/>
        <w:rPr>
          <w:rFonts w:ascii="Arial" w:eastAsia="Arial" w:hAnsi="Arial" w:cs="Arial"/>
        </w:rPr>
      </w:pPr>
      <w:r>
        <w:rPr>
          <w:rFonts w:ascii="Arial" w:eastAsia="Arial" w:hAnsi="Arial" w:cs="Arial"/>
        </w:rPr>
        <w:t xml:space="preserve">The clustering analysis indicates that respondents in this study exhibit varying levels of awareness of and behavioral engagement with cyber threats. </w:t>
      </w:r>
      <w:r w:rsidR="00EC1647" w:rsidRPr="00EC1647">
        <w:rPr>
          <w:rFonts w:ascii="Arial" w:eastAsia="Arial" w:hAnsi="Arial" w:cs="Arial"/>
        </w:rPr>
        <w:t xml:space="preserve">Respondents in cluster one </w:t>
      </w:r>
      <w:proofErr w:type="gramStart"/>
      <w:r w:rsidR="00ED38B2">
        <w:rPr>
          <w:rFonts w:ascii="Arial" w:eastAsia="Arial" w:hAnsi="Arial" w:cs="Arial"/>
        </w:rPr>
        <w:t>are</w:t>
      </w:r>
      <w:proofErr w:type="gramEnd"/>
      <w:r w:rsidR="00665F9B">
        <w:rPr>
          <w:rFonts w:ascii="Arial" w:eastAsia="Arial" w:hAnsi="Arial" w:cs="Arial"/>
        </w:rPr>
        <w:t xml:space="preserve"> aware of most </w:t>
      </w:r>
      <w:r w:rsidR="00ED38B2">
        <w:rPr>
          <w:rFonts w:ascii="Arial" w:eastAsia="Arial" w:hAnsi="Arial" w:cs="Arial"/>
        </w:rPr>
        <w:t>malware but</w:t>
      </w:r>
      <w:r w:rsidR="00EC1647" w:rsidRPr="00EC1647">
        <w:rPr>
          <w:rFonts w:ascii="Arial" w:eastAsia="Arial" w:hAnsi="Arial" w:cs="Arial"/>
        </w:rPr>
        <w:t xml:space="preserve"> are still victims of social engineering attacks. This shows how malware attacks are understood</w:t>
      </w:r>
      <w:r w:rsidR="00665F9B">
        <w:rPr>
          <w:rFonts w:ascii="Arial" w:eastAsia="Arial" w:hAnsi="Arial" w:cs="Arial"/>
        </w:rPr>
        <w:t>,</w:t>
      </w:r>
      <w:r w:rsidR="00EC1647" w:rsidRPr="00EC1647">
        <w:rPr>
          <w:rFonts w:ascii="Arial" w:eastAsia="Arial" w:hAnsi="Arial" w:cs="Arial"/>
        </w:rPr>
        <w:t xml:space="preserve"> but the other </w:t>
      </w:r>
      <w:r w:rsidR="00DF72B9" w:rsidRPr="00EC1647">
        <w:rPr>
          <w:rFonts w:ascii="Arial" w:eastAsia="Arial" w:hAnsi="Arial" w:cs="Arial"/>
        </w:rPr>
        <w:t>types</w:t>
      </w:r>
      <w:r w:rsidR="00EC1647" w:rsidRPr="00EC1647">
        <w:rPr>
          <w:rFonts w:ascii="Arial" w:eastAsia="Arial" w:hAnsi="Arial" w:cs="Arial"/>
        </w:rPr>
        <w:t xml:space="preserve"> of attacks lack understanding. Respondents in cluster 2 were more concerned about fraudulent communications, </w:t>
      </w:r>
      <w:r w:rsidR="00665F9B">
        <w:rPr>
          <w:rFonts w:ascii="Arial" w:eastAsia="Arial" w:hAnsi="Arial" w:cs="Arial"/>
        </w:rPr>
        <w:t>indicating that the users in question adopted minimal cybersecurity defense practices</w:t>
      </w:r>
      <w:r w:rsidR="00EC1647" w:rsidRPr="00EC1647">
        <w:rPr>
          <w:rFonts w:ascii="Arial" w:eastAsia="Arial" w:hAnsi="Arial" w:cs="Arial"/>
        </w:rPr>
        <w:t xml:space="preserve"> but failed to engage in proactive defense measures. </w:t>
      </w:r>
      <w:r w:rsidR="00665F9B">
        <w:rPr>
          <w:rFonts w:ascii="Arial" w:eastAsia="Arial" w:hAnsi="Arial" w:cs="Arial"/>
        </w:rPr>
        <w:t xml:space="preserve">In cluster 3, users who demonstrated moderate knowledge of the various weaknesses in a defense system were documented to practice at </w:t>
      </w:r>
      <w:r w:rsidR="00EC1647" w:rsidRPr="00EC1647">
        <w:rPr>
          <w:rFonts w:ascii="Arial" w:eastAsia="Arial" w:hAnsi="Arial" w:cs="Arial"/>
        </w:rPr>
        <w:t xml:space="preserve">different levels of security. It is these corresponding combinations of behaviors that suggest cybersecurity knowledge and awareness are not uniform in behaviors considered secure. The clusters illustrate </w:t>
      </w:r>
      <w:r w:rsidR="00665F9B">
        <w:rPr>
          <w:rFonts w:ascii="Arial" w:eastAsia="Arial" w:hAnsi="Arial" w:cs="Arial"/>
        </w:rPr>
        <w:t>behavioral patterns, showing strength, but the gaps in weaknesses also emphasize the need for differential, custom-designed systems, social engineering awareness,</w:t>
      </w:r>
      <w:r w:rsidR="00EC1647" w:rsidRPr="00EC1647">
        <w:rPr>
          <w:rFonts w:ascii="Arial" w:eastAsia="Arial" w:hAnsi="Arial" w:cs="Arial"/>
        </w:rPr>
        <w:t xml:space="preserve"> and the behavioral practitioner of security.</w:t>
      </w:r>
    </w:p>
    <w:p w14:paraId="77A0C4A0" w14:textId="77777777" w:rsidR="00EC1647" w:rsidRDefault="00EC1647" w:rsidP="00EC1647">
      <w:pPr>
        <w:jc w:val="both"/>
        <w:rPr>
          <w:rFonts w:ascii="Arial" w:eastAsia="Arial" w:hAnsi="Arial" w:cs="Arial"/>
        </w:rPr>
      </w:pPr>
    </w:p>
    <w:p w14:paraId="11B117AC" w14:textId="1A83CBBF" w:rsidR="00EC1647" w:rsidRPr="00EC1647" w:rsidRDefault="00EC1647" w:rsidP="00EC1647">
      <w:pPr>
        <w:jc w:val="both"/>
        <w:rPr>
          <w:rFonts w:ascii="Arial" w:eastAsia="Arial" w:hAnsi="Arial" w:cs="Arial"/>
        </w:rPr>
      </w:pPr>
      <w:r w:rsidRPr="00EC1647">
        <w:rPr>
          <w:rFonts w:ascii="Arial" w:eastAsia="Arial" w:hAnsi="Arial" w:cs="Arial"/>
        </w:rPr>
        <w:t xml:space="preserve">The different clusters in K-means are likely due to differences in cyber awareness, cyber-K adoption, cyber practices suggested by ANOVA, etc. Differences in cyber awareness can be attributed to prior training, which has exposed users to different cyber threats, malware, and vectors. Equally concerning is this gap in threat awareness, particularly regarding social engineering, suggesting users may not recognize such attacks. In the same way, the minimal threat knowledge and the corresponding inadequate security practice behavior suggest that the absence of threat knowledge is not synonymous with a bypass of the threat. The data </w:t>
      </w:r>
      <w:proofErr w:type="gramStart"/>
      <w:r w:rsidR="00ED38B2">
        <w:rPr>
          <w:rFonts w:ascii="Arial" w:eastAsia="Arial" w:hAnsi="Arial" w:cs="Arial"/>
        </w:rPr>
        <w:t>indicate</w:t>
      </w:r>
      <w:proofErr w:type="gramEnd"/>
      <w:r w:rsidRPr="00EC1647">
        <w:rPr>
          <w:rFonts w:ascii="Arial" w:eastAsia="Arial" w:hAnsi="Arial" w:cs="Arial"/>
        </w:rPr>
        <w:t xml:space="preserve"> substantial differences in respondents' cyber resiliency, underscoring the need for tailored approaches. Regarding the various risks and behavioral security gaps, there is a need for awareness of social engineering and cyber practices.</w:t>
      </w:r>
    </w:p>
    <w:p w14:paraId="06B4B3D9" w14:textId="6C22E4D1" w:rsidR="00133CA9" w:rsidRPr="00133CA9" w:rsidRDefault="00133CA9" w:rsidP="00EC1647">
      <w:pPr>
        <w:pBdr>
          <w:top w:val="nil"/>
          <w:left w:val="nil"/>
          <w:bottom w:val="nil"/>
          <w:right w:val="nil"/>
          <w:between w:val="nil"/>
        </w:pBdr>
        <w:tabs>
          <w:tab w:val="left" w:pos="360"/>
          <w:tab w:val="left" w:pos="720"/>
        </w:tabs>
        <w:jc w:val="both"/>
        <w:rPr>
          <w:rFonts w:ascii="Arial" w:eastAsia="Arial" w:hAnsi="Arial" w:cs="Arial"/>
        </w:rPr>
      </w:pPr>
    </w:p>
    <w:p w14:paraId="32FA51DE" w14:textId="77777777" w:rsidR="004F4E82" w:rsidRDefault="004F4E82">
      <w:pPr>
        <w:pBdr>
          <w:top w:val="nil"/>
          <w:left w:val="nil"/>
          <w:bottom w:val="nil"/>
          <w:right w:val="nil"/>
          <w:between w:val="nil"/>
        </w:pBdr>
        <w:tabs>
          <w:tab w:val="left" w:pos="360"/>
          <w:tab w:val="left" w:pos="720"/>
        </w:tabs>
        <w:jc w:val="both"/>
        <w:rPr>
          <w:rFonts w:ascii="Arial" w:eastAsia="Arial" w:hAnsi="Arial" w:cs="Arial"/>
          <w:color w:val="000000"/>
        </w:rPr>
      </w:pPr>
    </w:p>
    <w:p w14:paraId="48238E56" w14:textId="77777777" w:rsidR="004F4E82" w:rsidRDefault="004F4E82">
      <w:pPr>
        <w:pBdr>
          <w:top w:val="nil"/>
          <w:left w:val="nil"/>
          <w:bottom w:val="nil"/>
          <w:right w:val="nil"/>
          <w:between w:val="nil"/>
        </w:pBdr>
        <w:jc w:val="both"/>
        <w:rPr>
          <w:rFonts w:ascii="Arial" w:eastAsia="Arial" w:hAnsi="Arial" w:cs="Arial"/>
          <w:color w:val="000000"/>
        </w:rPr>
      </w:pPr>
    </w:p>
    <w:p w14:paraId="1718472C" w14:textId="77777777" w:rsidR="004F4E82" w:rsidRDefault="00000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196F12DE" w14:textId="77777777" w:rsidR="004F4E82" w:rsidRDefault="004F4E82">
      <w:pPr>
        <w:keepNext/>
        <w:pBdr>
          <w:top w:val="nil"/>
          <w:left w:val="nil"/>
          <w:bottom w:val="nil"/>
          <w:right w:val="nil"/>
          <w:between w:val="nil"/>
        </w:pBdr>
        <w:jc w:val="both"/>
        <w:rPr>
          <w:rFonts w:ascii="Arial" w:eastAsia="Arial" w:hAnsi="Arial" w:cs="Arial"/>
          <w:b/>
          <w:bCs/>
          <w:smallCaps/>
          <w:color w:val="000000"/>
          <w:sz w:val="22"/>
          <w:szCs w:val="22"/>
        </w:rPr>
      </w:pPr>
    </w:p>
    <w:p w14:paraId="72332181" w14:textId="6AEFB1C1" w:rsidR="00EC1647" w:rsidRPr="00EC1647" w:rsidRDefault="00EC1647" w:rsidP="00EC1647">
      <w:pPr>
        <w:jc w:val="both"/>
        <w:rPr>
          <w:rFonts w:ascii="Arial" w:eastAsia="Arial" w:hAnsi="Arial" w:cs="Arial"/>
        </w:rPr>
      </w:pPr>
      <w:r w:rsidRPr="00EC1647">
        <w:rPr>
          <w:rFonts w:ascii="Arial" w:eastAsia="Arial" w:hAnsi="Arial" w:cs="Arial"/>
        </w:rPr>
        <w:t xml:space="preserve">A review examining the risks of mobile malware among students and professors found that adware, malware, phishing, and Trojan horse campaigns are concerning and </w:t>
      </w:r>
      <w:r w:rsidR="00665F9B">
        <w:rPr>
          <w:rFonts w:ascii="Arial" w:eastAsia="Arial" w:hAnsi="Arial" w:cs="Arial"/>
        </w:rPr>
        <w:t>underappreciated threats in</w:t>
      </w:r>
      <w:r w:rsidRPr="00EC1647">
        <w:rPr>
          <w:rFonts w:ascii="Arial" w:eastAsia="Arial" w:hAnsi="Arial" w:cs="Arial"/>
        </w:rPr>
        <w:t xml:space="preserve"> higher education research. Currently, there are no protective measures, and the mobile and web technologies used within the sector silently carry the risk of attack. Users from the sector were grouped into three clusters using the K-means algorithm based on their behaviors and awareness of cybersecurity, their susceptibility to social-engineering malware, and the sophistication of the malware. Based on the results of the first group, participants showed awareness of the risks associated with malware; however, they showed no awareness of the risks associated with social engineering. The second group was the target of communication attacks, and there was an evident lack of security awareness; this, however, was not the case with the third group, which demonstrated a balanced disposition.</w:t>
      </w:r>
    </w:p>
    <w:p w14:paraId="489E0290" w14:textId="77777777" w:rsidR="00EC1647" w:rsidRDefault="00EC1647" w:rsidP="00133CA9">
      <w:pPr>
        <w:jc w:val="both"/>
        <w:rPr>
          <w:rFonts w:ascii="Arial" w:eastAsia="Arial" w:hAnsi="Arial" w:cs="Arial"/>
        </w:rPr>
      </w:pPr>
    </w:p>
    <w:p w14:paraId="785BD601" w14:textId="564DC6F6" w:rsidR="00EC1647" w:rsidRPr="00EC1647" w:rsidRDefault="00EC1647" w:rsidP="00EC1647">
      <w:pPr>
        <w:jc w:val="both"/>
        <w:rPr>
          <w:rFonts w:ascii="Arial" w:eastAsia="Arial" w:hAnsi="Arial" w:cs="Arial"/>
        </w:rPr>
      </w:pPr>
      <w:r w:rsidRPr="00EC1647">
        <w:rPr>
          <w:rFonts w:ascii="Arial" w:eastAsia="Arial" w:hAnsi="Arial" w:cs="Arial"/>
        </w:rPr>
        <w:t xml:space="preserve">Gaps across datasets were identified using ANOVA. Regarding the security practice of varying levels vs. malware awareness, every variable in the data set presented was relevant. The most significant gaps, however, resided within the awareness of the four attack vectors, namely phishing, smishing, vishing, and man-in-the-middle. There was enough evidence from this segment of the research to determine that the awareness and behavior that was the norm within the disconnection was relatively secure. The most basic cybersecurity practices, such as keeping your systems updated, safe browsing, and malware protection, should be known </w:t>
      </w:r>
      <w:r w:rsidRPr="00EC1647">
        <w:rPr>
          <w:rFonts w:ascii="Arial" w:eastAsia="Arial" w:hAnsi="Arial" w:cs="Arial"/>
        </w:rPr>
        <w:lastRenderedPageBreak/>
        <w:t>to both user groups, students and faculty. There is a need to educate these primary user groups, as evidenced by the findings. Teaching personnel about social engineering attacks and/or teaching students to adopt preventive behavior practices will help organizations mitigate these risks and better protect their digital environments. The academic community must educate and raise awareness to improve its posture in the face of the growing mobile malware threat.</w:t>
      </w:r>
    </w:p>
    <w:p w14:paraId="71A6BD52" w14:textId="3E75C576" w:rsidR="004F4E82" w:rsidRDefault="004F4E82" w:rsidP="00133CA9">
      <w:pPr>
        <w:pBdr>
          <w:top w:val="nil"/>
          <w:left w:val="nil"/>
          <w:bottom w:val="nil"/>
          <w:right w:val="nil"/>
          <w:between w:val="nil"/>
        </w:pBdr>
        <w:jc w:val="both"/>
        <w:rPr>
          <w:rFonts w:ascii="Arial" w:eastAsia="Arial" w:hAnsi="Arial" w:cs="Arial"/>
        </w:rPr>
      </w:pPr>
    </w:p>
    <w:p w14:paraId="24B9DCBD" w14:textId="77777777" w:rsidR="004F4E82" w:rsidRDefault="00000000">
      <w:pPr>
        <w:rPr>
          <w:rFonts w:ascii="Calibri" w:eastAsia="Calibri" w:hAnsi="Calibri" w:cs="Calibri"/>
          <w:highlight w:val="yellow"/>
        </w:rPr>
      </w:pPr>
      <w:bookmarkStart w:id="0" w:name="_j6iryba6dx9j" w:colFirst="0" w:colLast="0"/>
      <w:bookmarkEnd w:id="0"/>
      <w:r>
        <w:rPr>
          <w:rFonts w:ascii="Calibri" w:eastAsia="Calibri" w:hAnsi="Calibri" w:cs="Calibri"/>
          <w:highlight w:val="yellow"/>
        </w:rPr>
        <w:t>Disclaimer (Artificial intelligence)</w:t>
      </w:r>
    </w:p>
    <w:p w14:paraId="09561282" w14:textId="77777777" w:rsidR="004F4E82" w:rsidRDefault="00000000">
      <w:pPr>
        <w:rPr>
          <w:rFonts w:ascii="Calibri" w:eastAsia="Calibri" w:hAnsi="Calibri" w:cs="Calibri"/>
          <w:highlight w:val="yellow"/>
        </w:rPr>
      </w:pPr>
      <w:r>
        <w:rPr>
          <w:rFonts w:ascii="Calibri" w:eastAsia="Calibri" w:hAnsi="Calibri" w:cs="Calibri"/>
          <w:highlight w:val="yellow"/>
        </w:rPr>
        <w:t>Option 1:</w:t>
      </w:r>
    </w:p>
    <w:p w14:paraId="4610C285" w14:textId="77777777" w:rsidR="004F4E82" w:rsidRDefault="00000000">
      <w:pPr>
        <w:rPr>
          <w:rFonts w:ascii="Calibri" w:eastAsia="Calibri" w:hAnsi="Calibri" w:cs="Calibri"/>
          <w:highlight w:val="yellow"/>
        </w:rPr>
      </w:pPr>
      <w:r>
        <w:rPr>
          <w:rFonts w:ascii="Calibri" w:eastAsia="Calibri" w:hAnsi="Calibri" w:cs="Calibri"/>
          <w:highlight w:val="yellow"/>
        </w:rPr>
        <w:t xml:space="preserve">Author(s) hereby </w:t>
      </w:r>
      <w:proofErr w:type="gramStart"/>
      <w:r>
        <w:rPr>
          <w:rFonts w:ascii="Calibri" w:eastAsia="Calibri" w:hAnsi="Calibri" w:cs="Calibri"/>
          <w:highlight w:val="yellow"/>
        </w:rPr>
        <w:t>declare</w:t>
      </w:r>
      <w:proofErr w:type="gramEnd"/>
      <w:r>
        <w:rPr>
          <w:rFonts w:ascii="Calibri" w:eastAsia="Calibri" w:hAnsi="Calibri" w:cs="Calibri"/>
          <w:highlight w:val="yellow"/>
        </w:rPr>
        <w:t xml:space="preserve"> that NO generative AI technologies such as Large Language Models (ChatGPT, COPILOT, etc.) and text-to-image generators have been used during the writing or editing of this manuscript. </w:t>
      </w:r>
    </w:p>
    <w:p w14:paraId="0C033220" w14:textId="77777777" w:rsidR="004F4E82" w:rsidRDefault="00000000">
      <w:pPr>
        <w:rPr>
          <w:rFonts w:ascii="Calibri" w:eastAsia="Calibri" w:hAnsi="Calibri" w:cs="Calibri"/>
          <w:highlight w:val="yellow"/>
        </w:rPr>
      </w:pPr>
      <w:r>
        <w:rPr>
          <w:rFonts w:ascii="Calibri" w:eastAsia="Calibri" w:hAnsi="Calibri" w:cs="Calibri"/>
          <w:highlight w:val="yellow"/>
        </w:rPr>
        <w:t xml:space="preserve">Option 2: </w:t>
      </w:r>
    </w:p>
    <w:p w14:paraId="71A6A5E0" w14:textId="77777777" w:rsidR="004F4E82" w:rsidRDefault="00000000">
      <w:pPr>
        <w:rPr>
          <w:rFonts w:ascii="Calibri" w:eastAsia="Calibri" w:hAnsi="Calibri" w:cs="Calibri"/>
          <w:highlight w:val="yellow"/>
        </w:rPr>
      </w:pPr>
      <w:r>
        <w:rPr>
          <w:rFonts w:ascii="Calibri" w:eastAsia="Calibri" w:hAnsi="Calibri" w:cs="Calibri"/>
          <w:highlight w:val="yellow"/>
        </w:rPr>
        <w:t xml:space="preserve">Author(s) hereby </w:t>
      </w:r>
      <w:proofErr w:type="gramStart"/>
      <w:r>
        <w:rPr>
          <w:rFonts w:ascii="Calibri" w:eastAsia="Calibri" w:hAnsi="Calibri" w:cs="Calibri"/>
          <w:highlight w:val="yellow"/>
        </w:rPr>
        <w:t>declare</w:t>
      </w:r>
      <w:proofErr w:type="gramEnd"/>
      <w:r>
        <w:rPr>
          <w:rFonts w:ascii="Calibri" w:eastAsia="Calibri" w:hAnsi="Calibri" w:cs="Calibri"/>
          <w:highlight w:val="yellow"/>
        </w:rPr>
        <w:t xml:space="preserve"> that </w:t>
      </w:r>
      <w:proofErr w:type="spellStart"/>
      <w:r>
        <w:rPr>
          <w:rFonts w:ascii="Calibri" w:eastAsia="Calibri" w:hAnsi="Calibri" w:cs="Calibri"/>
          <w:highlight w:val="yellow"/>
        </w:rPr>
        <w:t>generativ</w:t>
      </w:r>
      <w:proofErr w:type="spellEnd"/>
      <w:r>
        <w:rPr>
          <w:rFonts w:ascii="Calibri" w:eastAsia="Calibri" w:hAnsi="Calibri" w:cs="Calibri"/>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3681AE" w14:textId="77777777" w:rsidR="004F4E82" w:rsidRDefault="00000000">
      <w:pPr>
        <w:rPr>
          <w:rFonts w:ascii="Calibri" w:eastAsia="Calibri" w:hAnsi="Calibri" w:cs="Calibri"/>
          <w:highlight w:val="yellow"/>
        </w:rPr>
      </w:pPr>
      <w:r>
        <w:rPr>
          <w:rFonts w:ascii="Calibri" w:eastAsia="Calibri" w:hAnsi="Calibri" w:cs="Calibri"/>
          <w:highlight w:val="yellow"/>
        </w:rPr>
        <w:t>Details of the AI usage are given below:</w:t>
      </w:r>
    </w:p>
    <w:p w14:paraId="4319BB10" w14:textId="77777777" w:rsidR="004F4E82" w:rsidRDefault="00000000">
      <w:pPr>
        <w:rPr>
          <w:rFonts w:ascii="Calibri" w:eastAsia="Calibri" w:hAnsi="Calibri" w:cs="Calibri"/>
          <w:highlight w:val="yellow"/>
        </w:rPr>
      </w:pPr>
      <w:r>
        <w:rPr>
          <w:rFonts w:ascii="Calibri" w:eastAsia="Calibri" w:hAnsi="Calibri" w:cs="Calibri"/>
          <w:highlight w:val="yellow"/>
        </w:rPr>
        <w:t>1.</w:t>
      </w:r>
    </w:p>
    <w:p w14:paraId="4D2A4042" w14:textId="77777777" w:rsidR="004F4E82" w:rsidRDefault="00000000">
      <w:pPr>
        <w:rPr>
          <w:rFonts w:ascii="Calibri" w:eastAsia="Calibri" w:hAnsi="Calibri" w:cs="Calibri"/>
          <w:highlight w:val="yellow"/>
        </w:rPr>
      </w:pPr>
      <w:r>
        <w:rPr>
          <w:rFonts w:ascii="Calibri" w:eastAsia="Calibri" w:hAnsi="Calibri" w:cs="Calibri"/>
          <w:highlight w:val="yellow"/>
        </w:rPr>
        <w:t>2.</w:t>
      </w:r>
    </w:p>
    <w:p w14:paraId="68F00FF2" w14:textId="77777777" w:rsidR="004F4E82" w:rsidRDefault="00000000">
      <w:pPr>
        <w:rPr>
          <w:rFonts w:ascii="Calibri" w:eastAsia="Calibri" w:hAnsi="Calibri" w:cs="Calibri"/>
          <w:highlight w:val="yellow"/>
        </w:rPr>
      </w:pPr>
      <w:r>
        <w:rPr>
          <w:rFonts w:ascii="Calibri" w:eastAsia="Calibri" w:hAnsi="Calibri" w:cs="Calibri"/>
          <w:highlight w:val="yellow"/>
        </w:rPr>
        <w:t>3.</w:t>
      </w:r>
    </w:p>
    <w:p w14:paraId="5CA0AD4D" w14:textId="77777777" w:rsidR="004F4E82" w:rsidRDefault="004F4E82">
      <w:pPr>
        <w:pBdr>
          <w:top w:val="nil"/>
          <w:left w:val="nil"/>
          <w:bottom w:val="nil"/>
          <w:right w:val="nil"/>
          <w:between w:val="nil"/>
        </w:pBdr>
        <w:ind w:firstLine="720"/>
        <w:jc w:val="both"/>
        <w:rPr>
          <w:rFonts w:ascii="Arial" w:eastAsia="Arial" w:hAnsi="Arial" w:cs="Arial"/>
        </w:rPr>
      </w:pPr>
    </w:p>
    <w:p w14:paraId="1B253C84" w14:textId="77777777" w:rsidR="004F4E82" w:rsidRDefault="004F4E82">
      <w:pPr>
        <w:keepNext/>
        <w:pBdr>
          <w:top w:val="nil"/>
          <w:left w:val="nil"/>
          <w:bottom w:val="nil"/>
          <w:right w:val="nil"/>
          <w:between w:val="nil"/>
        </w:pBdr>
        <w:jc w:val="both"/>
        <w:rPr>
          <w:rFonts w:ascii="Arial" w:eastAsia="Arial" w:hAnsi="Arial" w:cs="Arial"/>
          <w:b/>
          <w:bCs/>
          <w:smallCaps/>
          <w:color w:val="000000"/>
          <w:sz w:val="22"/>
          <w:szCs w:val="22"/>
        </w:rPr>
      </w:pPr>
    </w:p>
    <w:p w14:paraId="7E8F49C0" w14:textId="77777777" w:rsidR="004F4E82" w:rsidRDefault="00000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5A0D349F" w14:textId="77777777" w:rsidR="004F4E82" w:rsidRDefault="004F4E82">
      <w:pPr>
        <w:pBdr>
          <w:top w:val="nil"/>
          <w:left w:val="nil"/>
          <w:bottom w:val="nil"/>
          <w:right w:val="nil"/>
          <w:between w:val="nil"/>
        </w:pBdr>
        <w:jc w:val="both"/>
        <w:rPr>
          <w:rFonts w:ascii="Arial" w:eastAsia="Arial" w:hAnsi="Arial" w:cs="Arial"/>
          <w:color w:val="000000"/>
        </w:rPr>
      </w:pPr>
      <w:bookmarkStart w:id="1" w:name="_4dllpd7yrkub" w:colFirst="0" w:colLast="0"/>
      <w:bookmarkEnd w:id="1"/>
    </w:p>
    <w:p w14:paraId="47A8AAED" w14:textId="77777777" w:rsidR="004F4E82" w:rsidRDefault="00000000">
      <w:pPr>
        <w:tabs>
          <w:tab w:val="left" w:pos="709"/>
          <w:tab w:val="center" w:pos="4800"/>
          <w:tab w:val="right" w:pos="9360"/>
        </w:tabs>
        <w:ind w:left="851" w:hanging="851"/>
        <w:jc w:val="both"/>
        <w:rPr>
          <w:rFonts w:ascii="Arial" w:eastAsia="Arial" w:hAnsi="Arial" w:cs="Arial"/>
          <w:color w:val="000000"/>
        </w:rPr>
      </w:pPr>
      <w:r>
        <w:rPr>
          <w:rFonts w:ascii="Arial" w:eastAsia="Arial" w:hAnsi="Arial" w:cs="Arial"/>
        </w:rPr>
        <w:t>Alqahtani, M</w:t>
      </w:r>
      <w:r>
        <w:rPr>
          <w:rFonts w:ascii="Arial" w:eastAsia="Arial" w:hAnsi="Arial" w:cs="Arial"/>
          <w:color w:val="000000"/>
        </w:rPr>
        <w:t xml:space="preserve">. A. (2022). Factors Affecting Cybersecurity Awareness among University Students. Applied Sciences (Switzerland), 12(5). </w:t>
      </w:r>
      <w:hyperlink r:id="rId16">
        <w:r w:rsidR="004F4E82">
          <w:rPr>
            <w:rFonts w:ascii="Arial" w:eastAsia="Arial" w:hAnsi="Arial" w:cs="Arial"/>
            <w:color w:val="000000"/>
          </w:rPr>
          <w:t>https://doi.org/10.3390/app12052589</w:t>
        </w:r>
      </w:hyperlink>
    </w:p>
    <w:p w14:paraId="2CB226E8"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Alyahyan, E., &amp; </w:t>
      </w:r>
      <w:proofErr w:type="spellStart"/>
      <w:r>
        <w:rPr>
          <w:rFonts w:ascii="Arial" w:eastAsia="Arial" w:hAnsi="Arial" w:cs="Arial"/>
          <w:color w:val="000000"/>
        </w:rPr>
        <w:t>Düştegör</w:t>
      </w:r>
      <w:proofErr w:type="spellEnd"/>
      <w:r>
        <w:rPr>
          <w:rFonts w:ascii="Arial" w:eastAsia="Arial" w:hAnsi="Arial" w:cs="Arial"/>
          <w:color w:val="000000"/>
        </w:rPr>
        <w:t xml:space="preserve">, D. (2020). Predicting academic success in higher education: literature review and best practices. International Journal of Educational Technology in Higher Education, 17(1). </w:t>
      </w:r>
      <w:hyperlink r:id="rId17">
        <w:r w:rsidR="004F4E82">
          <w:rPr>
            <w:rFonts w:ascii="Arial" w:eastAsia="Arial" w:hAnsi="Arial" w:cs="Arial"/>
            <w:color w:val="000000"/>
          </w:rPr>
          <w:t>https://doi.org/10.1186/s41239-020-0177-7</w:t>
        </w:r>
      </w:hyperlink>
    </w:p>
    <w:p w14:paraId="498B5FD5" w14:textId="204BA5DD" w:rsidR="004F4E82" w:rsidRDefault="00000000">
      <w:pPr>
        <w:tabs>
          <w:tab w:val="left" w:pos="360"/>
          <w:tab w:val="left" w:pos="720"/>
          <w:tab w:val="center" w:pos="4800"/>
          <w:tab w:val="right" w:pos="9360"/>
        </w:tabs>
        <w:ind w:left="993" w:hanging="993"/>
        <w:jc w:val="both"/>
      </w:pPr>
      <w:r>
        <w:rPr>
          <w:rFonts w:ascii="Arial" w:eastAsia="Arial" w:hAnsi="Arial" w:cs="Arial"/>
          <w:color w:val="000000"/>
        </w:rPr>
        <w:t xml:space="preserve">Aronowitz, T., Aronowitz, S., Mardin-Small, J., &amp; Kim, B. R. (2017). Using Objective Structured Clinical </w:t>
      </w:r>
      <w:r>
        <w:rPr>
          <w:rFonts w:ascii="Arial" w:eastAsia="Arial" w:hAnsi="Arial" w:cs="Arial"/>
          <w:color w:val="000000"/>
        </w:rPr>
        <w:tab/>
        <w:t xml:space="preserve">Examination (OSCE) as Education in Advanced Practice Registered Nursing Education. Journal </w:t>
      </w:r>
      <w:r w:rsidR="00DF72B9">
        <w:rPr>
          <w:rFonts w:ascii="Arial" w:eastAsia="Arial" w:hAnsi="Arial" w:cs="Arial"/>
          <w:color w:val="000000"/>
        </w:rPr>
        <w:t>of Professional</w:t>
      </w:r>
      <w:r>
        <w:rPr>
          <w:rFonts w:ascii="Arial" w:eastAsia="Arial" w:hAnsi="Arial" w:cs="Arial"/>
          <w:color w:val="000000"/>
        </w:rPr>
        <w:t xml:space="preserve"> Nursing, 33(2), 119–125. </w:t>
      </w:r>
      <w:hyperlink r:id="rId18">
        <w:r w:rsidR="004F4E82">
          <w:rPr>
            <w:rFonts w:ascii="Arial" w:eastAsia="Arial" w:hAnsi="Arial" w:cs="Arial"/>
            <w:color w:val="000000"/>
          </w:rPr>
          <w:t>https://doi.org/10.1016/j.profnurs.2016.06.003</w:t>
        </w:r>
      </w:hyperlink>
    </w:p>
    <w:p w14:paraId="50995231" w14:textId="5488D36E" w:rsidR="0078381E" w:rsidRDefault="0078381E">
      <w:pPr>
        <w:tabs>
          <w:tab w:val="left" w:pos="360"/>
          <w:tab w:val="left" w:pos="720"/>
          <w:tab w:val="center" w:pos="4800"/>
          <w:tab w:val="right" w:pos="9360"/>
        </w:tabs>
        <w:ind w:left="993" w:hanging="993"/>
        <w:jc w:val="both"/>
        <w:rPr>
          <w:rFonts w:ascii="Arial" w:eastAsia="Arial" w:hAnsi="Arial" w:cs="Arial"/>
          <w:color w:val="000000"/>
        </w:rPr>
      </w:pPr>
      <w:proofErr w:type="spellStart"/>
      <w:r w:rsidRPr="0078381E">
        <w:rPr>
          <w:rFonts w:ascii="Arial" w:eastAsia="Arial" w:hAnsi="Arial" w:cs="Arial"/>
          <w:color w:val="000000"/>
        </w:rPr>
        <w:t>Baltuttis</w:t>
      </w:r>
      <w:proofErr w:type="spellEnd"/>
      <w:r w:rsidRPr="0078381E">
        <w:rPr>
          <w:rFonts w:ascii="Arial" w:eastAsia="Arial" w:hAnsi="Arial" w:cs="Arial"/>
          <w:color w:val="000000"/>
        </w:rPr>
        <w:t>, D., Teubner, T., &amp; Adam, M. T. P. (2024). A typology of cybersecurity behavior among knowledge workers. Computers &amp; Security, 140, 103741. https://doi.org/10.1016/j.cose.2024.103741</w:t>
      </w:r>
    </w:p>
    <w:p w14:paraId="02E84826"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Beaman, C., Barkworth, A., Akande, T. D., Hakak, S., &amp; Khan, M. K. (2021). Ransomware: Recent advances, analysis, challenges and future research directions. Computers and Security, 111, 102490. </w:t>
      </w:r>
      <w:hyperlink r:id="rId19">
        <w:r w:rsidR="004F4E82">
          <w:rPr>
            <w:rFonts w:ascii="Arial" w:eastAsia="Arial" w:hAnsi="Arial" w:cs="Arial"/>
            <w:color w:val="000000"/>
          </w:rPr>
          <w:t>https://doi.org/10.1016/j.cose.2021.102490</w:t>
        </w:r>
      </w:hyperlink>
    </w:p>
    <w:p w14:paraId="24247E26"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Buckner, C. A., </w:t>
      </w:r>
      <w:proofErr w:type="spellStart"/>
      <w:r>
        <w:rPr>
          <w:rFonts w:ascii="Arial" w:eastAsia="Arial" w:hAnsi="Arial" w:cs="Arial"/>
          <w:color w:val="000000"/>
        </w:rPr>
        <w:t>Lafrenie</w:t>
      </w:r>
      <w:proofErr w:type="spellEnd"/>
      <w:r>
        <w:rPr>
          <w:rFonts w:ascii="Arial" w:eastAsia="Arial" w:hAnsi="Arial" w:cs="Arial"/>
          <w:color w:val="000000"/>
        </w:rPr>
        <w:t xml:space="preserve">, R. M., </w:t>
      </w:r>
      <w:proofErr w:type="spellStart"/>
      <w:r>
        <w:rPr>
          <w:rFonts w:ascii="Arial" w:eastAsia="Arial" w:hAnsi="Arial" w:cs="Arial"/>
          <w:color w:val="000000"/>
        </w:rPr>
        <w:t>Dénommée</w:t>
      </w:r>
      <w:proofErr w:type="spellEnd"/>
      <w:r>
        <w:rPr>
          <w:rFonts w:ascii="Arial" w:eastAsia="Arial" w:hAnsi="Arial" w:cs="Arial"/>
          <w:color w:val="000000"/>
        </w:rPr>
        <w:t>, J. A., Caswell, J. M., Want, D. A., Gan, G. G., Leong, Y. C.,</w:t>
      </w:r>
      <w:r>
        <w:rPr>
          <w:rFonts w:ascii="Arial" w:eastAsia="Arial" w:hAnsi="Arial" w:cs="Arial"/>
          <w:color w:val="000000"/>
        </w:rPr>
        <w:tab/>
        <w:t xml:space="preserve">Bee, P. C., Chin, E., Teh, A. K. H., Picco, S., Villegas, L., Tonelli, F., Merlo, M., Rigau, J., Diaz, D., </w:t>
      </w:r>
      <w:r>
        <w:rPr>
          <w:rFonts w:ascii="Arial" w:eastAsia="Arial" w:hAnsi="Arial" w:cs="Arial"/>
          <w:color w:val="000000"/>
        </w:rPr>
        <w:tab/>
        <w:t xml:space="preserve">Masuelli, M., Korrapati, S., Kurra, P., … </w:t>
      </w:r>
    </w:p>
    <w:p w14:paraId="27082EF5" w14:textId="30B809B9"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Mathijssen, R. H. J. (2016). We are </w:t>
      </w:r>
      <w:proofErr w:type="spellStart"/>
      <w:r>
        <w:rPr>
          <w:rFonts w:ascii="Arial" w:eastAsia="Arial" w:hAnsi="Arial" w:cs="Arial"/>
          <w:color w:val="000000"/>
        </w:rPr>
        <w:t>IntechOpen</w:t>
      </w:r>
      <w:proofErr w:type="spellEnd"/>
      <w:r w:rsidR="00DF72B9">
        <w:rPr>
          <w:rFonts w:ascii="Arial" w:eastAsia="Arial" w:hAnsi="Arial" w:cs="Arial"/>
          <w:color w:val="000000"/>
        </w:rPr>
        <w:t>, the world’s leading publisher of Open Access books. Built by scientists, for scientists. TOP 1</w:t>
      </w:r>
      <w:r>
        <w:rPr>
          <w:rFonts w:ascii="Arial" w:eastAsia="Arial" w:hAnsi="Arial" w:cs="Arial"/>
          <w:color w:val="000000"/>
        </w:rPr>
        <w:t xml:space="preserve">%. Intech, 11(tourism), 13. </w:t>
      </w:r>
      <w:hyperlink r:id="rId20">
        <w:r w:rsidR="004F4E82">
          <w:rPr>
            <w:rFonts w:ascii="Arial" w:eastAsia="Arial" w:hAnsi="Arial" w:cs="Arial"/>
            <w:color w:val="000000"/>
          </w:rPr>
          <w:t>https://www.intechopen.com/chapters/17746</w:t>
        </w:r>
      </w:hyperlink>
      <w:r>
        <w:rPr>
          <w:rFonts w:ascii="Arial" w:eastAsia="Arial" w:hAnsi="Arial" w:cs="Arial"/>
          <w:color w:val="000000"/>
        </w:rPr>
        <w:t xml:space="preserve"> </w:t>
      </w:r>
    </w:p>
    <w:p w14:paraId="7FFE2B7E"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proofErr w:type="spellStart"/>
      <w:r>
        <w:rPr>
          <w:rFonts w:ascii="Arial" w:eastAsia="Arial" w:hAnsi="Arial" w:cs="Arial"/>
          <w:color w:val="000000"/>
        </w:rPr>
        <w:t>Budhwar</w:t>
      </w:r>
      <w:proofErr w:type="spellEnd"/>
      <w:r>
        <w:rPr>
          <w:rFonts w:ascii="Arial" w:eastAsia="Arial" w:hAnsi="Arial" w:cs="Arial"/>
          <w:color w:val="000000"/>
        </w:rPr>
        <w:t xml:space="preserve">, P., Chowdhury, S., Wood, G., Aguinis, H., Bamber, G. J., Beltran, J. R., </w:t>
      </w:r>
      <w:proofErr w:type="spellStart"/>
      <w:r>
        <w:rPr>
          <w:rFonts w:ascii="Arial" w:eastAsia="Arial" w:hAnsi="Arial" w:cs="Arial"/>
          <w:color w:val="000000"/>
        </w:rPr>
        <w:t>Boselie</w:t>
      </w:r>
      <w:proofErr w:type="spellEnd"/>
      <w:r>
        <w:rPr>
          <w:rFonts w:ascii="Arial" w:eastAsia="Arial" w:hAnsi="Arial" w:cs="Arial"/>
          <w:color w:val="000000"/>
        </w:rPr>
        <w:t xml:space="preserve">, P., Lee Cooke, F., Decker, S., DeNisi, A., Dey, P. K., Guest, D., Knoblich, A. J., Malik, A., Paauwe, J., </w:t>
      </w:r>
      <w:r>
        <w:rPr>
          <w:rFonts w:ascii="Arial" w:eastAsia="Arial" w:hAnsi="Arial" w:cs="Arial"/>
          <w:color w:val="000000"/>
        </w:rPr>
        <w:tab/>
      </w:r>
      <w:proofErr w:type="spellStart"/>
      <w:r>
        <w:rPr>
          <w:rFonts w:ascii="Arial" w:eastAsia="Arial" w:hAnsi="Arial" w:cs="Arial"/>
          <w:color w:val="000000"/>
        </w:rPr>
        <w:t>Papagiannidis</w:t>
      </w:r>
      <w:proofErr w:type="spellEnd"/>
      <w:r>
        <w:rPr>
          <w:rFonts w:ascii="Arial" w:eastAsia="Arial" w:hAnsi="Arial" w:cs="Arial"/>
          <w:color w:val="000000"/>
        </w:rPr>
        <w:t xml:space="preserve">, S., Patel, C., Pereira, V., Ren, S., … Varma, A. (2023). Human resource </w:t>
      </w:r>
      <w:r>
        <w:rPr>
          <w:rFonts w:ascii="Arial" w:eastAsia="Arial" w:hAnsi="Arial" w:cs="Arial"/>
          <w:color w:val="000000"/>
        </w:rPr>
        <w:tab/>
        <w:t xml:space="preserve">management in the age of generative artificial </w:t>
      </w:r>
      <w:r>
        <w:rPr>
          <w:rFonts w:ascii="Arial" w:eastAsia="Arial" w:hAnsi="Arial" w:cs="Arial"/>
          <w:color w:val="000000"/>
        </w:rPr>
        <w:lastRenderedPageBreak/>
        <w:t xml:space="preserve">intelligence: Perspectives and research directions on </w:t>
      </w:r>
      <w:r>
        <w:rPr>
          <w:rFonts w:ascii="Arial" w:eastAsia="Arial" w:hAnsi="Arial" w:cs="Arial"/>
          <w:color w:val="000000"/>
        </w:rPr>
        <w:tab/>
        <w:t xml:space="preserve">ChatGPT. Human Resource Management Journal, 33(3), 606–659. </w:t>
      </w:r>
      <w:hyperlink r:id="rId21">
        <w:r w:rsidR="004F4E82">
          <w:rPr>
            <w:rFonts w:ascii="Arial" w:eastAsia="Arial" w:hAnsi="Arial" w:cs="Arial"/>
            <w:color w:val="000000"/>
          </w:rPr>
          <w:t>https://doi.org/10.1111/1748-8583.12524</w:t>
        </w:r>
      </w:hyperlink>
    </w:p>
    <w:p w14:paraId="54D76D58" w14:textId="3BADD74A" w:rsidR="004F4E82" w:rsidRDefault="00000000">
      <w:pPr>
        <w:tabs>
          <w:tab w:val="left" w:pos="360"/>
          <w:tab w:val="left" w:pos="720"/>
          <w:tab w:val="center" w:pos="4800"/>
          <w:tab w:val="right" w:pos="9360"/>
        </w:tabs>
        <w:ind w:left="993" w:hanging="993"/>
        <w:jc w:val="both"/>
        <w:rPr>
          <w:rFonts w:ascii="Arial" w:eastAsia="Arial" w:hAnsi="Arial" w:cs="Arial"/>
          <w:color w:val="000000"/>
        </w:rPr>
      </w:pPr>
      <w:proofErr w:type="spellStart"/>
      <w:r>
        <w:rPr>
          <w:rFonts w:ascii="Arial" w:eastAsia="Arial" w:hAnsi="Arial" w:cs="Arial"/>
          <w:color w:val="000000"/>
        </w:rPr>
        <w:t>Chandarman</w:t>
      </w:r>
      <w:proofErr w:type="spellEnd"/>
      <w:r>
        <w:rPr>
          <w:rFonts w:ascii="Arial" w:eastAsia="Arial" w:hAnsi="Arial" w:cs="Arial"/>
          <w:color w:val="000000"/>
        </w:rPr>
        <w:t xml:space="preserve">, R., &amp; Niekerk, B. Van. (2017). </w:t>
      </w:r>
      <w:r w:rsidR="00DF72B9">
        <w:rPr>
          <w:rFonts w:ascii="Arial" w:eastAsia="Arial" w:hAnsi="Arial" w:cs="Arial"/>
          <w:color w:val="000000"/>
        </w:rPr>
        <w:t>Students’</w:t>
      </w:r>
      <w:r>
        <w:rPr>
          <w:rFonts w:ascii="Arial" w:eastAsia="Arial" w:hAnsi="Arial" w:cs="Arial"/>
          <w:color w:val="000000"/>
        </w:rPr>
        <w:t xml:space="preserve"> Cybersecurity Awareness at a Private Tertiary Educational. The African Journal of Information and Communication (AJIC), 20, 133–155.</w:t>
      </w:r>
    </w:p>
    <w:p w14:paraId="678AAA73"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Christen, M., Gordijn, B., &amp; Loi, M. (2022). The Ethics of Cybersecurity. In </w:t>
      </w:r>
      <w:proofErr w:type="spellStart"/>
      <w:r>
        <w:rPr>
          <w:rFonts w:ascii="Arial" w:eastAsia="Arial" w:hAnsi="Arial" w:cs="Arial"/>
          <w:color w:val="000000"/>
        </w:rPr>
        <w:t>CrimRxiv</w:t>
      </w:r>
      <w:proofErr w:type="spellEnd"/>
      <w:r>
        <w:rPr>
          <w:rFonts w:ascii="Arial" w:eastAsia="Arial" w:hAnsi="Arial" w:cs="Arial"/>
          <w:color w:val="000000"/>
        </w:rPr>
        <w:t xml:space="preserve">. </w:t>
      </w:r>
      <w:hyperlink r:id="rId22">
        <w:r w:rsidR="004F4E82">
          <w:rPr>
            <w:rFonts w:ascii="Arial" w:eastAsia="Arial" w:hAnsi="Arial" w:cs="Arial"/>
            <w:color w:val="000000"/>
          </w:rPr>
          <w:t>https://doi.org/10.21428/cb6ab371.d27262ff</w:t>
        </w:r>
      </w:hyperlink>
    </w:p>
    <w:p w14:paraId="4DB9E3AE"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Couture, F., Jarzabkowski, P., &amp; Le, J. K. (2023). Triggers, Traps, and Disconnect: How Governance Obstacles Hinder Progress on Grand Challenges. Academy of Management Journal, 66(6), 1651–1680. </w:t>
      </w:r>
      <w:hyperlink r:id="rId23">
        <w:r w:rsidR="004F4E82">
          <w:rPr>
            <w:rFonts w:ascii="Arial" w:eastAsia="Arial" w:hAnsi="Arial" w:cs="Arial"/>
            <w:color w:val="000000"/>
          </w:rPr>
          <w:t>https://doi.org/10.5465/amj.2020.1716</w:t>
        </w:r>
      </w:hyperlink>
    </w:p>
    <w:p w14:paraId="6F60653F" w14:textId="1A77839E"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Dwivedi, Y. K., Hughes, L., </w:t>
      </w:r>
      <w:proofErr w:type="spellStart"/>
      <w:r>
        <w:rPr>
          <w:rFonts w:ascii="Arial" w:eastAsia="Arial" w:hAnsi="Arial" w:cs="Arial"/>
          <w:color w:val="000000"/>
        </w:rPr>
        <w:t>Baabdullah</w:t>
      </w:r>
      <w:proofErr w:type="spellEnd"/>
      <w:r>
        <w:rPr>
          <w:rFonts w:ascii="Arial" w:eastAsia="Arial" w:hAnsi="Arial" w:cs="Arial"/>
          <w:color w:val="000000"/>
        </w:rPr>
        <w:t>, A. M., Ribeiro-Navarrete, S., Giannakis, M., Al-</w:t>
      </w:r>
      <w:proofErr w:type="spellStart"/>
      <w:r>
        <w:rPr>
          <w:rFonts w:ascii="Arial" w:eastAsia="Arial" w:hAnsi="Arial" w:cs="Arial"/>
          <w:color w:val="000000"/>
        </w:rPr>
        <w:t>Debei</w:t>
      </w:r>
      <w:proofErr w:type="spellEnd"/>
      <w:r>
        <w:rPr>
          <w:rFonts w:ascii="Arial" w:eastAsia="Arial" w:hAnsi="Arial" w:cs="Arial"/>
          <w:color w:val="000000"/>
        </w:rPr>
        <w:t xml:space="preserve">, M. M., Dennehy, D., Metri, B., </w:t>
      </w:r>
      <w:proofErr w:type="spellStart"/>
      <w:r>
        <w:rPr>
          <w:rFonts w:ascii="Arial" w:eastAsia="Arial" w:hAnsi="Arial" w:cs="Arial"/>
          <w:color w:val="000000"/>
        </w:rPr>
        <w:t>Buhalis</w:t>
      </w:r>
      <w:proofErr w:type="spellEnd"/>
      <w:r>
        <w:rPr>
          <w:rFonts w:ascii="Arial" w:eastAsia="Arial" w:hAnsi="Arial" w:cs="Arial"/>
          <w:color w:val="000000"/>
        </w:rPr>
        <w:t xml:space="preserve">, D., Cheung, C. M. K., Conboy, K., Doyle, R., Dubey, R., </w:t>
      </w:r>
      <w:proofErr w:type="spellStart"/>
      <w:r>
        <w:rPr>
          <w:rFonts w:ascii="Arial" w:eastAsia="Arial" w:hAnsi="Arial" w:cs="Arial"/>
          <w:color w:val="000000"/>
        </w:rPr>
        <w:t>Dutot</w:t>
      </w:r>
      <w:proofErr w:type="spellEnd"/>
      <w:r>
        <w:rPr>
          <w:rFonts w:ascii="Arial" w:eastAsia="Arial" w:hAnsi="Arial" w:cs="Arial"/>
          <w:color w:val="000000"/>
        </w:rPr>
        <w:t xml:space="preserve">, </w:t>
      </w:r>
      <w:r>
        <w:rPr>
          <w:rFonts w:ascii="Arial" w:eastAsia="Arial" w:hAnsi="Arial" w:cs="Arial"/>
          <w:color w:val="000000"/>
        </w:rPr>
        <w:tab/>
        <w:t xml:space="preserve">V., Felix, R., Goyal, D. P., Gustafsson, A., Hinsch, C., Jebabli, I., … Wamba, S. F. (2022). </w:t>
      </w:r>
      <w:r>
        <w:rPr>
          <w:rFonts w:ascii="Arial" w:eastAsia="Arial" w:hAnsi="Arial" w:cs="Arial"/>
          <w:color w:val="000000"/>
        </w:rPr>
        <w:tab/>
        <w:t>Metaverse beyond the hype: Multidisciplinary perspectives on emerging challenges, opportunities</w:t>
      </w:r>
      <w:r w:rsidR="00DF72B9">
        <w:rPr>
          <w:rFonts w:ascii="Arial" w:eastAsia="Arial" w:hAnsi="Arial" w:cs="Arial"/>
          <w:color w:val="000000"/>
        </w:rPr>
        <w:t>, and</w:t>
      </w:r>
      <w:r>
        <w:rPr>
          <w:rFonts w:ascii="Arial" w:eastAsia="Arial" w:hAnsi="Arial" w:cs="Arial"/>
          <w:color w:val="000000"/>
        </w:rPr>
        <w:t xml:space="preserve"> agenda for research, practice and policy. International Journal of Information Management, 66(July), 102542. </w:t>
      </w:r>
      <w:hyperlink r:id="rId24">
        <w:r w:rsidR="004F4E82">
          <w:rPr>
            <w:rFonts w:ascii="Arial" w:eastAsia="Arial" w:hAnsi="Arial" w:cs="Arial"/>
            <w:color w:val="000000"/>
          </w:rPr>
          <w:t>https://doi.org/10.1016/j.ijinfomgt.2022.102542</w:t>
        </w:r>
      </w:hyperlink>
    </w:p>
    <w:p w14:paraId="60191653" w14:textId="1C3A88C4"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Dwivedi, Y. K., Hughes, L., </w:t>
      </w:r>
      <w:proofErr w:type="spellStart"/>
      <w:r>
        <w:rPr>
          <w:rFonts w:ascii="Arial" w:eastAsia="Arial" w:hAnsi="Arial" w:cs="Arial"/>
          <w:color w:val="000000"/>
        </w:rPr>
        <w:t>Ismagilova</w:t>
      </w:r>
      <w:proofErr w:type="spellEnd"/>
      <w:r>
        <w:rPr>
          <w:rFonts w:ascii="Arial" w:eastAsia="Arial" w:hAnsi="Arial" w:cs="Arial"/>
          <w:color w:val="000000"/>
        </w:rPr>
        <w:t xml:space="preserve">, E., Aarts, G., Coombs, C., Crick, T., Duan, Y., Dwivedi, R., Edwards, J., </w:t>
      </w:r>
      <w:proofErr w:type="spellStart"/>
      <w:r>
        <w:rPr>
          <w:rFonts w:ascii="Arial" w:eastAsia="Arial" w:hAnsi="Arial" w:cs="Arial"/>
          <w:color w:val="000000"/>
        </w:rPr>
        <w:t>Eirug</w:t>
      </w:r>
      <w:proofErr w:type="spellEnd"/>
      <w:r>
        <w:rPr>
          <w:rFonts w:ascii="Arial" w:eastAsia="Arial" w:hAnsi="Arial" w:cs="Arial"/>
          <w:color w:val="000000"/>
        </w:rPr>
        <w:t xml:space="preserve">, A., Galanos, V., Ilavarasan, P. V., Janssen, M., Jones, P., Kar, A. K., </w:t>
      </w:r>
      <w:proofErr w:type="spellStart"/>
      <w:r>
        <w:rPr>
          <w:rFonts w:ascii="Arial" w:eastAsia="Arial" w:hAnsi="Arial" w:cs="Arial"/>
          <w:color w:val="000000"/>
        </w:rPr>
        <w:t>Kizgin</w:t>
      </w:r>
      <w:proofErr w:type="spellEnd"/>
      <w:r>
        <w:rPr>
          <w:rFonts w:ascii="Arial" w:eastAsia="Arial" w:hAnsi="Arial" w:cs="Arial"/>
          <w:color w:val="000000"/>
        </w:rPr>
        <w:t xml:space="preserve">, H., </w:t>
      </w:r>
      <w:r>
        <w:rPr>
          <w:rFonts w:ascii="Arial" w:eastAsia="Arial" w:hAnsi="Arial" w:cs="Arial"/>
          <w:color w:val="000000"/>
        </w:rPr>
        <w:tab/>
        <w:t xml:space="preserve">Kronemann, B., Lal, B., Lucini, B., … Williams, M. D. (2021). Artificial Intelligence (AI): </w:t>
      </w:r>
      <w:r>
        <w:rPr>
          <w:rFonts w:ascii="Arial" w:eastAsia="Arial" w:hAnsi="Arial" w:cs="Arial"/>
          <w:color w:val="000000"/>
        </w:rPr>
        <w:tab/>
        <w:t xml:space="preserve"> Multidisciplinary perspectives on emerging challenges, opportunities, and agenda for research</w:t>
      </w:r>
      <w:r w:rsidR="00DF72B9">
        <w:rPr>
          <w:rFonts w:ascii="Arial" w:eastAsia="Arial" w:hAnsi="Arial" w:cs="Arial"/>
          <w:color w:val="000000"/>
        </w:rPr>
        <w:t>, practice</w:t>
      </w:r>
      <w:r>
        <w:rPr>
          <w:rFonts w:ascii="Arial" w:eastAsia="Arial" w:hAnsi="Arial" w:cs="Arial"/>
          <w:color w:val="000000"/>
        </w:rPr>
        <w:t xml:space="preserve"> and policy. International Journal of Information Management, 57(July), 0–1. </w:t>
      </w:r>
      <w:r>
        <w:rPr>
          <w:rFonts w:ascii="Arial" w:eastAsia="Arial" w:hAnsi="Arial" w:cs="Arial"/>
          <w:color w:val="000000"/>
        </w:rPr>
        <w:tab/>
      </w:r>
      <w:hyperlink r:id="rId25">
        <w:r w:rsidR="004F4E82">
          <w:rPr>
            <w:rFonts w:ascii="Arial" w:eastAsia="Arial" w:hAnsi="Arial" w:cs="Arial"/>
            <w:color w:val="000000"/>
          </w:rPr>
          <w:t>https://doi.org/10.1016/j.ijinfomgt.2019.08.002</w:t>
        </w:r>
      </w:hyperlink>
    </w:p>
    <w:p w14:paraId="3D7A527B" w14:textId="77777777" w:rsidR="004F4E82" w:rsidRDefault="00000000">
      <w:pPr>
        <w:tabs>
          <w:tab w:val="left" w:pos="360"/>
          <w:tab w:val="left" w:pos="720"/>
          <w:tab w:val="center" w:pos="4800"/>
          <w:tab w:val="right" w:pos="9360"/>
        </w:tabs>
        <w:ind w:left="993" w:hanging="993"/>
        <w:jc w:val="both"/>
      </w:pPr>
      <w:r>
        <w:rPr>
          <w:rFonts w:ascii="Arial" w:eastAsia="Arial" w:hAnsi="Arial" w:cs="Arial"/>
          <w:color w:val="000000"/>
        </w:rPr>
        <w:t xml:space="preserve">Dwivedi, Y. K., </w:t>
      </w:r>
      <w:proofErr w:type="spellStart"/>
      <w:r>
        <w:rPr>
          <w:rFonts w:ascii="Arial" w:eastAsia="Arial" w:hAnsi="Arial" w:cs="Arial"/>
          <w:color w:val="000000"/>
        </w:rPr>
        <w:t>Ismagilova</w:t>
      </w:r>
      <w:proofErr w:type="spellEnd"/>
      <w:r>
        <w:rPr>
          <w:rFonts w:ascii="Arial" w:eastAsia="Arial" w:hAnsi="Arial" w:cs="Arial"/>
          <w:color w:val="000000"/>
        </w:rPr>
        <w:t xml:space="preserve">, E., Hughes, D. L., Carlson, J., </w:t>
      </w:r>
      <w:proofErr w:type="spellStart"/>
      <w:r>
        <w:rPr>
          <w:rFonts w:ascii="Arial" w:eastAsia="Arial" w:hAnsi="Arial" w:cs="Arial"/>
          <w:color w:val="000000"/>
        </w:rPr>
        <w:t>Filieri</w:t>
      </w:r>
      <w:proofErr w:type="spellEnd"/>
      <w:r>
        <w:rPr>
          <w:rFonts w:ascii="Arial" w:eastAsia="Arial" w:hAnsi="Arial" w:cs="Arial"/>
          <w:color w:val="000000"/>
        </w:rPr>
        <w:t xml:space="preserve">, R., Jacobson, J., Jain, V., Karjaluoto, H., </w:t>
      </w:r>
      <w:r>
        <w:rPr>
          <w:rFonts w:ascii="Arial" w:eastAsia="Arial" w:hAnsi="Arial" w:cs="Arial"/>
          <w:color w:val="000000"/>
        </w:rPr>
        <w:tab/>
      </w:r>
      <w:proofErr w:type="spellStart"/>
      <w:r>
        <w:rPr>
          <w:rFonts w:ascii="Arial" w:eastAsia="Arial" w:hAnsi="Arial" w:cs="Arial"/>
          <w:color w:val="000000"/>
        </w:rPr>
        <w:t>Kefi</w:t>
      </w:r>
      <w:proofErr w:type="spellEnd"/>
      <w:r>
        <w:rPr>
          <w:rFonts w:ascii="Arial" w:eastAsia="Arial" w:hAnsi="Arial" w:cs="Arial"/>
          <w:color w:val="000000"/>
        </w:rPr>
        <w:t xml:space="preserve">, H., Krishen, A. S., Kumar, V., Rahman, M. M., Raman, R., </w:t>
      </w:r>
      <w:proofErr w:type="spellStart"/>
      <w:r>
        <w:rPr>
          <w:rFonts w:ascii="Arial" w:eastAsia="Arial" w:hAnsi="Arial" w:cs="Arial"/>
          <w:color w:val="000000"/>
        </w:rPr>
        <w:t>Rauschnabel</w:t>
      </w:r>
      <w:proofErr w:type="spellEnd"/>
      <w:r>
        <w:rPr>
          <w:rFonts w:ascii="Arial" w:eastAsia="Arial" w:hAnsi="Arial" w:cs="Arial"/>
          <w:color w:val="000000"/>
        </w:rPr>
        <w:t xml:space="preserve">, P. A., Rowley, J., </w:t>
      </w:r>
      <w:r>
        <w:rPr>
          <w:rFonts w:ascii="Arial" w:eastAsia="Arial" w:hAnsi="Arial" w:cs="Arial"/>
          <w:color w:val="000000"/>
        </w:rPr>
        <w:tab/>
        <w:t xml:space="preserve">Salo, J., Tran, G. A., &amp; Wang, Y. (2021). Setting the future of digital and social media marketing </w:t>
      </w:r>
      <w:r>
        <w:rPr>
          <w:rFonts w:ascii="Arial" w:eastAsia="Arial" w:hAnsi="Arial" w:cs="Arial"/>
          <w:color w:val="000000"/>
        </w:rPr>
        <w:tab/>
        <w:t xml:space="preserve">research: Perspectives and research propositions. International Journal of Information Management, 59(July 2020), 102168. </w:t>
      </w:r>
      <w:hyperlink r:id="rId26">
        <w:r w:rsidR="004F4E82">
          <w:rPr>
            <w:rFonts w:ascii="Arial" w:eastAsia="Arial" w:hAnsi="Arial" w:cs="Arial"/>
            <w:color w:val="000000"/>
          </w:rPr>
          <w:t>https://doi.org/10.1016/j.ijinfomgt.2020.102168</w:t>
        </w:r>
      </w:hyperlink>
    </w:p>
    <w:p w14:paraId="3462F098" w14:textId="79288434" w:rsidR="0078381E" w:rsidRDefault="0078381E">
      <w:pPr>
        <w:tabs>
          <w:tab w:val="left" w:pos="360"/>
          <w:tab w:val="left" w:pos="720"/>
          <w:tab w:val="center" w:pos="4800"/>
          <w:tab w:val="right" w:pos="9360"/>
        </w:tabs>
        <w:ind w:left="993" w:hanging="993"/>
        <w:jc w:val="both"/>
        <w:rPr>
          <w:rFonts w:ascii="Arial" w:eastAsia="Arial" w:hAnsi="Arial" w:cs="Arial"/>
          <w:color w:val="000000"/>
        </w:rPr>
      </w:pPr>
      <w:r w:rsidRPr="0078381E">
        <w:rPr>
          <w:rFonts w:ascii="Arial" w:eastAsia="Arial" w:hAnsi="Arial" w:cs="Arial"/>
          <w:color w:val="000000"/>
        </w:rPr>
        <w:t xml:space="preserve">Dočkalová Burská, K., Mlynárik, J. R., &amp; </w:t>
      </w:r>
      <w:proofErr w:type="spellStart"/>
      <w:r w:rsidRPr="0078381E">
        <w:rPr>
          <w:rFonts w:ascii="Arial" w:eastAsia="Arial" w:hAnsi="Arial" w:cs="Arial"/>
          <w:color w:val="000000"/>
        </w:rPr>
        <w:t>Ošlejšek</w:t>
      </w:r>
      <w:proofErr w:type="spellEnd"/>
      <w:r w:rsidRPr="0078381E">
        <w:rPr>
          <w:rFonts w:ascii="Arial" w:eastAsia="Arial" w:hAnsi="Arial" w:cs="Arial"/>
          <w:color w:val="000000"/>
        </w:rPr>
        <w:t xml:space="preserve">, R. (2024). Using data clustering to reveal trainees’ behavior in cybersecurity education. Education and Information Technologies, 29, 16613–16639. </w:t>
      </w:r>
      <w:hyperlink r:id="rId27" w:history="1">
        <w:r w:rsidR="00F15EA7" w:rsidRPr="0096375A">
          <w:rPr>
            <w:rStyle w:val="Hyperlink"/>
            <w:rFonts w:ascii="Arial" w:eastAsia="Arial" w:hAnsi="Arial" w:cs="Arial"/>
          </w:rPr>
          <w:t>https://doi.org/10.1007/s10639-024-12480-x</w:t>
        </w:r>
      </w:hyperlink>
    </w:p>
    <w:p w14:paraId="35464F42" w14:textId="62CB3261" w:rsidR="00F15EA7" w:rsidRDefault="00F15EA7">
      <w:pPr>
        <w:tabs>
          <w:tab w:val="left" w:pos="360"/>
          <w:tab w:val="left" w:pos="720"/>
          <w:tab w:val="center" w:pos="4800"/>
          <w:tab w:val="right" w:pos="9360"/>
        </w:tabs>
        <w:ind w:left="993" w:hanging="993"/>
        <w:jc w:val="both"/>
        <w:rPr>
          <w:rFonts w:ascii="Arial" w:eastAsia="Arial" w:hAnsi="Arial" w:cs="Arial"/>
          <w:color w:val="000000"/>
        </w:rPr>
      </w:pPr>
      <w:r w:rsidRPr="00F15EA7">
        <w:rPr>
          <w:rFonts w:ascii="Arial" w:eastAsia="Arial" w:hAnsi="Arial" w:cs="Arial"/>
          <w:color w:val="000000"/>
        </w:rPr>
        <w:t xml:space="preserve">Florendo, R. B., Ranit, J., </w:t>
      </w:r>
      <w:proofErr w:type="spellStart"/>
      <w:r w:rsidRPr="00F15EA7">
        <w:rPr>
          <w:rFonts w:ascii="Arial" w:eastAsia="Arial" w:hAnsi="Arial" w:cs="Arial"/>
          <w:color w:val="000000"/>
        </w:rPr>
        <w:t>Filamor</w:t>
      </w:r>
      <w:proofErr w:type="spellEnd"/>
      <w:r w:rsidRPr="00F15EA7">
        <w:rPr>
          <w:rFonts w:ascii="Arial" w:eastAsia="Arial" w:hAnsi="Arial" w:cs="Arial"/>
          <w:color w:val="000000"/>
        </w:rPr>
        <w:t xml:space="preserve">, E. J., &amp; </w:t>
      </w:r>
      <w:proofErr w:type="spellStart"/>
      <w:r w:rsidRPr="00F15EA7">
        <w:rPr>
          <w:rFonts w:ascii="Arial" w:eastAsia="Arial" w:hAnsi="Arial" w:cs="Arial"/>
          <w:color w:val="000000"/>
        </w:rPr>
        <w:t>Armeza</w:t>
      </w:r>
      <w:proofErr w:type="spellEnd"/>
      <w:r w:rsidRPr="00F15EA7">
        <w:rPr>
          <w:rFonts w:ascii="Arial" w:eastAsia="Arial" w:hAnsi="Arial" w:cs="Arial"/>
          <w:color w:val="000000"/>
        </w:rPr>
        <w:t xml:space="preserve">, M. J. (2025). Examining Cybersecurity Awareness Among College Students Across Various Year Levels in the Province of Laguna. International Journal </w:t>
      </w:r>
      <w:proofErr w:type="gramStart"/>
      <w:r w:rsidRPr="00F15EA7">
        <w:rPr>
          <w:rFonts w:ascii="Arial" w:eastAsia="Arial" w:hAnsi="Arial" w:cs="Arial"/>
          <w:color w:val="000000"/>
        </w:rPr>
        <w:t>For</w:t>
      </w:r>
      <w:proofErr w:type="gramEnd"/>
      <w:r w:rsidRPr="00F15EA7">
        <w:rPr>
          <w:rFonts w:ascii="Arial" w:eastAsia="Arial" w:hAnsi="Arial" w:cs="Arial"/>
          <w:color w:val="000000"/>
        </w:rPr>
        <w:t xml:space="preserve"> Multidisciplinary Research, 7(3). https://doi.org/10.36948/ijfmr.2025.v07i03.41945</w:t>
      </w:r>
    </w:p>
    <w:p w14:paraId="18BB1AD8"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proofErr w:type="spellStart"/>
      <w:r>
        <w:rPr>
          <w:rFonts w:ascii="Arial" w:eastAsia="Arial" w:hAnsi="Arial" w:cs="Arial"/>
          <w:color w:val="000000"/>
        </w:rPr>
        <w:t>Erendor</w:t>
      </w:r>
      <w:proofErr w:type="spellEnd"/>
      <w:r>
        <w:rPr>
          <w:rFonts w:ascii="Arial" w:eastAsia="Arial" w:hAnsi="Arial" w:cs="Arial"/>
          <w:color w:val="000000"/>
        </w:rPr>
        <w:t xml:space="preserve">, M. E., &amp; Yildirim, M. (2022). Cybersecurity Awareness in Online Education: A Case Study Analysis. IEEE Access, 10, 52319–52335. </w:t>
      </w:r>
      <w:hyperlink r:id="rId28">
        <w:r w:rsidR="004F4E82">
          <w:rPr>
            <w:rFonts w:ascii="Arial" w:eastAsia="Arial" w:hAnsi="Arial" w:cs="Arial"/>
            <w:color w:val="000000"/>
          </w:rPr>
          <w:t>https://doi.org/10.1109/ACCESS.2022.3171829</w:t>
        </w:r>
      </w:hyperlink>
    </w:p>
    <w:p w14:paraId="1DE4EFF3" w14:textId="12891F1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Gill, S. S., Xu, M., Ottaviani, C., Patros, P., </w:t>
      </w:r>
      <w:proofErr w:type="spellStart"/>
      <w:r>
        <w:rPr>
          <w:rFonts w:ascii="Arial" w:eastAsia="Arial" w:hAnsi="Arial" w:cs="Arial"/>
          <w:color w:val="000000"/>
        </w:rPr>
        <w:t>Bahsoon</w:t>
      </w:r>
      <w:proofErr w:type="spellEnd"/>
      <w:r>
        <w:rPr>
          <w:rFonts w:ascii="Arial" w:eastAsia="Arial" w:hAnsi="Arial" w:cs="Arial"/>
          <w:color w:val="000000"/>
        </w:rPr>
        <w:t xml:space="preserve">, R., </w:t>
      </w:r>
      <w:proofErr w:type="spellStart"/>
      <w:r>
        <w:rPr>
          <w:rFonts w:ascii="Arial" w:eastAsia="Arial" w:hAnsi="Arial" w:cs="Arial"/>
          <w:color w:val="000000"/>
        </w:rPr>
        <w:t>Shaghaghi</w:t>
      </w:r>
      <w:proofErr w:type="spellEnd"/>
      <w:r>
        <w:rPr>
          <w:rFonts w:ascii="Arial" w:eastAsia="Arial" w:hAnsi="Arial" w:cs="Arial"/>
          <w:color w:val="000000"/>
        </w:rPr>
        <w:t xml:space="preserve">, A., Golec, M., Stankovski, V., Wu, H., </w:t>
      </w:r>
      <w:r>
        <w:rPr>
          <w:rFonts w:ascii="Arial" w:eastAsia="Arial" w:hAnsi="Arial" w:cs="Arial"/>
          <w:color w:val="000000"/>
        </w:rPr>
        <w:tab/>
        <w:t xml:space="preserve">Abraham, A., Singh, M., Mehta, H., Ghosh, S. K., Baker, T., </w:t>
      </w:r>
      <w:proofErr w:type="spellStart"/>
      <w:r>
        <w:rPr>
          <w:rFonts w:ascii="Arial" w:eastAsia="Arial" w:hAnsi="Arial" w:cs="Arial"/>
          <w:color w:val="000000"/>
        </w:rPr>
        <w:t>Parlikad</w:t>
      </w:r>
      <w:proofErr w:type="spellEnd"/>
      <w:r>
        <w:rPr>
          <w:rFonts w:ascii="Arial" w:eastAsia="Arial" w:hAnsi="Arial" w:cs="Arial"/>
          <w:color w:val="000000"/>
        </w:rPr>
        <w:t xml:space="preserve">, A. K., </w:t>
      </w:r>
      <w:proofErr w:type="spellStart"/>
      <w:r>
        <w:rPr>
          <w:rFonts w:ascii="Arial" w:eastAsia="Arial" w:hAnsi="Arial" w:cs="Arial"/>
          <w:color w:val="000000"/>
        </w:rPr>
        <w:t>Lutfiyya</w:t>
      </w:r>
      <w:proofErr w:type="spellEnd"/>
      <w:r>
        <w:rPr>
          <w:rFonts w:ascii="Arial" w:eastAsia="Arial" w:hAnsi="Arial" w:cs="Arial"/>
          <w:color w:val="000000"/>
        </w:rPr>
        <w:t xml:space="preserve">, H., </w:t>
      </w:r>
      <w:r>
        <w:rPr>
          <w:rFonts w:ascii="Arial" w:eastAsia="Arial" w:hAnsi="Arial" w:cs="Arial"/>
          <w:color w:val="000000"/>
        </w:rPr>
        <w:tab/>
        <w:t xml:space="preserve">Kanhere, S. S., Sakellariou, R., </w:t>
      </w:r>
      <w:proofErr w:type="spellStart"/>
      <w:r>
        <w:rPr>
          <w:rFonts w:ascii="Arial" w:eastAsia="Arial" w:hAnsi="Arial" w:cs="Arial"/>
          <w:color w:val="000000"/>
        </w:rPr>
        <w:t>Dustdar</w:t>
      </w:r>
      <w:proofErr w:type="spellEnd"/>
      <w:r>
        <w:rPr>
          <w:rFonts w:ascii="Arial" w:eastAsia="Arial" w:hAnsi="Arial" w:cs="Arial"/>
          <w:color w:val="000000"/>
        </w:rPr>
        <w:t>, S., … Uhlig, S. (2022). AI for next generation computing</w:t>
      </w:r>
      <w:r w:rsidR="00DF72B9">
        <w:rPr>
          <w:rFonts w:ascii="Arial" w:eastAsia="Arial" w:hAnsi="Arial" w:cs="Arial"/>
          <w:color w:val="000000"/>
        </w:rPr>
        <w:t>: Emerging</w:t>
      </w:r>
      <w:r>
        <w:rPr>
          <w:rFonts w:ascii="Arial" w:eastAsia="Arial" w:hAnsi="Arial" w:cs="Arial"/>
          <w:color w:val="000000"/>
        </w:rPr>
        <w:t xml:space="preserve"> trends and future directions. Internet of Things (Netherlands), 19, 1–43. </w:t>
      </w:r>
      <w:r>
        <w:rPr>
          <w:rFonts w:ascii="Arial" w:eastAsia="Arial" w:hAnsi="Arial" w:cs="Arial"/>
          <w:color w:val="000000"/>
        </w:rPr>
        <w:tab/>
      </w:r>
      <w:hyperlink r:id="rId29">
        <w:r w:rsidR="004F4E82">
          <w:rPr>
            <w:rFonts w:ascii="Arial" w:eastAsia="Arial" w:hAnsi="Arial" w:cs="Arial"/>
            <w:color w:val="000000"/>
          </w:rPr>
          <w:t>https://doi.org/10.1016/j.iot.2022.100514</w:t>
        </w:r>
      </w:hyperlink>
    </w:p>
    <w:p w14:paraId="72D60EB9" w14:textId="77777777" w:rsidR="004F4E82" w:rsidRDefault="00000000">
      <w:pPr>
        <w:tabs>
          <w:tab w:val="left" w:pos="360"/>
          <w:tab w:val="left" w:pos="720"/>
          <w:tab w:val="center" w:pos="4800"/>
          <w:tab w:val="right" w:pos="9360"/>
        </w:tabs>
        <w:ind w:left="993" w:hanging="993"/>
        <w:jc w:val="both"/>
      </w:pPr>
      <w:r>
        <w:rPr>
          <w:rFonts w:ascii="Arial" w:eastAsia="Arial" w:hAnsi="Arial" w:cs="Arial"/>
          <w:color w:val="000000"/>
        </w:rPr>
        <w:t xml:space="preserve">Hancock, J. T., &amp; </w:t>
      </w:r>
      <w:proofErr w:type="spellStart"/>
      <w:r>
        <w:rPr>
          <w:rFonts w:ascii="Arial" w:eastAsia="Arial" w:hAnsi="Arial" w:cs="Arial"/>
          <w:color w:val="000000"/>
        </w:rPr>
        <w:t>Khoshgoftaar</w:t>
      </w:r>
      <w:proofErr w:type="spellEnd"/>
      <w:r>
        <w:rPr>
          <w:rFonts w:ascii="Arial" w:eastAsia="Arial" w:hAnsi="Arial" w:cs="Arial"/>
          <w:color w:val="000000"/>
        </w:rPr>
        <w:t xml:space="preserve">, T. M. (2020). </w:t>
      </w:r>
      <w:proofErr w:type="spellStart"/>
      <w:r>
        <w:rPr>
          <w:rFonts w:ascii="Arial" w:eastAsia="Arial" w:hAnsi="Arial" w:cs="Arial"/>
          <w:color w:val="000000"/>
        </w:rPr>
        <w:t>CatBoost</w:t>
      </w:r>
      <w:proofErr w:type="spellEnd"/>
      <w:r>
        <w:rPr>
          <w:rFonts w:ascii="Arial" w:eastAsia="Arial" w:hAnsi="Arial" w:cs="Arial"/>
          <w:color w:val="000000"/>
        </w:rPr>
        <w:t xml:space="preserve"> for big data: an interdisciplinary review. Journal of Big Data, 7(1). </w:t>
      </w:r>
      <w:hyperlink r:id="rId30">
        <w:r w:rsidR="004F4E82">
          <w:rPr>
            <w:rFonts w:ascii="Arial" w:eastAsia="Arial" w:hAnsi="Arial" w:cs="Arial"/>
            <w:color w:val="000000"/>
          </w:rPr>
          <w:t>https://doi.org/10.1186/s40537-020-00369-8</w:t>
        </w:r>
      </w:hyperlink>
    </w:p>
    <w:p w14:paraId="57E869CF" w14:textId="6205EBA3" w:rsidR="0078381E" w:rsidRDefault="0078381E">
      <w:pPr>
        <w:tabs>
          <w:tab w:val="left" w:pos="360"/>
          <w:tab w:val="left" w:pos="720"/>
          <w:tab w:val="center" w:pos="4800"/>
          <w:tab w:val="right" w:pos="9360"/>
        </w:tabs>
        <w:ind w:left="993" w:hanging="993"/>
        <w:jc w:val="both"/>
        <w:rPr>
          <w:rFonts w:ascii="Arial" w:eastAsia="Arial" w:hAnsi="Arial" w:cs="Arial"/>
          <w:color w:val="000000"/>
        </w:rPr>
      </w:pPr>
      <w:r w:rsidRPr="0078381E">
        <w:rPr>
          <w:rFonts w:ascii="Arial" w:eastAsia="Arial" w:hAnsi="Arial" w:cs="Arial"/>
          <w:color w:val="000000"/>
        </w:rPr>
        <w:t>Ibrahim, N., &amp; Rajalakshmi, N. R. (2025). Examining the influence of advanced persistent threats on higher education institutions and investigating appropriate cybersecurity strategies. U. Porto Journal of Engineering, 11(2), 96–119.</w:t>
      </w:r>
    </w:p>
    <w:p w14:paraId="18FFBA0F"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proofErr w:type="spellStart"/>
      <w:r>
        <w:rPr>
          <w:rFonts w:ascii="Arial" w:eastAsia="Arial" w:hAnsi="Arial" w:cs="Arial"/>
          <w:color w:val="000000"/>
        </w:rPr>
        <w:t>İçen</w:t>
      </w:r>
      <w:proofErr w:type="spellEnd"/>
      <w:r>
        <w:rPr>
          <w:rFonts w:ascii="Arial" w:eastAsia="Arial" w:hAnsi="Arial" w:cs="Arial"/>
          <w:color w:val="000000"/>
        </w:rPr>
        <w:t xml:space="preserve">, M. (2022). The future of education utilizing artificial intelligence in Turkey. Humanities and Social </w:t>
      </w:r>
      <w:r>
        <w:rPr>
          <w:rFonts w:ascii="Arial" w:eastAsia="Arial" w:hAnsi="Arial" w:cs="Arial"/>
          <w:color w:val="000000"/>
        </w:rPr>
        <w:tab/>
        <w:t xml:space="preserve">Sciences Communications, 9(1), 1–10. </w:t>
      </w:r>
      <w:hyperlink r:id="rId31">
        <w:r w:rsidR="004F4E82">
          <w:rPr>
            <w:rFonts w:ascii="Arial" w:eastAsia="Arial" w:hAnsi="Arial" w:cs="Arial"/>
            <w:color w:val="000000"/>
          </w:rPr>
          <w:t>https://doi.org/10.1057/s41599-022-01284-4</w:t>
        </w:r>
      </w:hyperlink>
    </w:p>
    <w:p w14:paraId="259185D3"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lastRenderedPageBreak/>
        <w:t xml:space="preserve">Jain, A. K., Sahoo, S. R., &amp; </w:t>
      </w:r>
      <w:proofErr w:type="spellStart"/>
      <w:r>
        <w:rPr>
          <w:rFonts w:ascii="Arial" w:eastAsia="Arial" w:hAnsi="Arial" w:cs="Arial"/>
          <w:color w:val="000000"/>
        </w:rPr>
        <w:t>Kaubiyal</w:t>
      </w:r>
      <w:proofErr w:type="spellEnd"/>
      <w:r>
        <w:rPr>
          <w:rFonts w:ascii="Arial" w:eastAsia="Arial" w:hAnsi="Arial" w:cs="Arial"/>
          <w:color w:val="000000"/>
        </w:rPr>
        <w:t xml:space="preserve">, J. (2021). Online social networks security and privacy: comprehensive review and analysis. Complex and Intelligent Systems, 7(5), 2157–2177. </w:t>
      </w:r>
      <w:hyperlink r:id="rId32">
        <w:r w:rsidR="004F4E82">
          <w:rPr>
            <w:rFonts w:ascii="Arial" w:eastAsia="Arial" w:hAnsi="Arial" w:cs="Arial"/>
            <w:color w:val="000000"/>
          </w:rPr>
          <w:t>https://doi.org/10.1007/s40747-021-00409-7</w:t>
        </w:r>
      </w:hyperlink>
    </w:p>
    <w:p w14:paraId="5AC7C837"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Jandrić, P., Hayes, D., Truelove, I., Levinson, P., Mayo, P., Ryberg, T., Monzó, L. D., Allen, Q., Stewart, P. </w:t>
      </w:r>
      <w:r>
        <w:rPr>
          <w:rFonts w:ascii="Arial" w:eastAsia="Arial" w:hAnsi="Arial" w:cs="Arial"/>
          <w:color w:val="000000"/>
        </w:rPr>
        <w:tab/>
        <w:t xml:space="preserve">A., Carr, P. R., Jackson, L., Bridges, S., </w:t>
      </w:r>
      <w:proofErr w:type="spellStart"/>
      <w:r>
        <w:rPr>
          <w:rFonts w:ascii="Arial" w:eastAsia="Arial" w:hAnsi="Arial" w:cs="Arial"/>
          <w:color w:val="000000"/>
        </w:rPr>
        <w:t>Escaño</w:t>
      </w:r>
      <w:proofErr w:type="spellEnd"/>
      <w:r>
        <w:rPr>
          <w:rFonts w:ascii="Arial" w:eastAsia="Arial" w:hAnsi="Arial" w:cs="Arial"/>
          <w:color w:val="000000"/>
        </w:rPr>
        <w:t xml:space="preserve">, C., Grauslund, D., </w:t>
      </w:r>
      <w:proofErr w:type="spellStart"/>
      <w:r>
        <w:rPr>
          <w:rFonts w:ascii="Arial" w:eastAsia="Arial" w:hAnsi="Arial" w:cs="Arial"/>
          <w:color w:val="000000"/>
        </w:rPr>
        <w:t>Mañero</w:t>
      </w:r>
      <w:proofErr w:type="spellEnd"/>
      <w:r>
        <w:rPr>
          <w:rFonts w:ascii="Arial" w:eastAsia="Arial" w:hAnsi="Arial" w:cs="Arial"/>
          <w:color w:val="000000"/>
        </w:rPr>
        <w:t xml:space="preserve">, J., </w:t>
      </w:r>
      <w:proofErr w:type="spellStart"/>
      <w:r>
        <w:rPr>
          <w:rFonts w:ascii="Arial" w:eastAsia="Arial" w:hAnsi="Arial" w:cs="Arial"/>
          <w:color w:val="000000"/>
        </w:rPr>
        <w:t>Lukoko</w:t>
      </w:r>
      <w:proofErr w:type="spellEnd"/>
      <w:r>
        <w:rPr>
          <w:rFonts w:ascii="Arial" w:eastAsia="Arial" w:hAnsi="Arial" w:cs="Arial"/>
          <w:color w:val="000000"/>
        </w:rPr>
        <w:t xml:space="preserve">, H. O., </w:t>
      </w:r>
      <w:r>
        <w:rPr>
          <w:rFonts w:ascii="Arial" w:eastAsia="Arial" w:hAnsi="Arial" w:cs="Arial"/>
          <w:color w:val="000000"/>
        </w:rPr>
        <w:tab/>
        <w:t xml:space="preserve">Bryant, P., Fuentes-Martinez, A., Gibbons, A., … Hayes, S. (2020). Teaching in the Age of </w:t>
      </w:r>
      <w:r>
        <w:rPr>
          <w:rFonts w:ascii="Arial" w:eastAsia="Arial" w:hAnsi="Arial" w:cs="Arial"/>
          <w:color w:val="000000"/>
        </w:rPr>
        <w:tab/>
        <w:t xml:space="preserve">Covid-19. </w:t>
      </w:r>
      <w:proofErr w:type="spellStart"/>
      <w:r>
        <w:rPr>
          <w:rFonts w:ascii="Arial" w:eastAsia="Arial" w:hAnsi="Arial" w:cs="Arial"/>
          <w:color w:val="000000"/>
        </w:rPr>
        <w:t>Postdigital</w:t>
      </w:r>
      <w:proofErr w:type="spellEnd"/>
      <w:r>
        <w:rPr>
          <w:rFonts w:ascii="Arial" w:eastAsia="Arial" w:hAnsi="Arial" w:cs="Arial"/>
          <w:color w:val="000000"/>
        </w:rPr>
        <w:t xml:space="preserve"> Science and Education, 2(3), 1069–1230. </w:t>
      </w:r>
      <w:hyperlink r:id="rId33">
        <w:r w:rsidR="004F4E82">
          <w:rPr>
            <w:rFonts w:ascii="Arial" w:eastAsia="Arial" w:hAnsi="Arial" w:cs="Arial"/>
            <w:color w:val="000000"/>
          </w:rPr>
          <w:t>https://doi.org/10.1007/s42438-020-00169-6</w:t>
        </w:r>
      </w:hyperlink>
    </w:p>
    <w:p w14:paraId="3D58DAA5" w14:textId="415C364F"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Kung, T. H., Cheatham, M., </w:t>
      </w:r>
      <w:proofErr w:type="spellStart"/>
      <w:r>
        <w:rPr>
          <w:rFonts w:ascii="Arial" w:eastAsia="Arial" w:hAnsi="Arial" w:cs="Arial"/>
          <w:color w:val="000000"/>
        </w:rPr>
        <w:t>Medenilla</w:t>
      </w:r>
      <w:proofErr w:type="spellEnd"/>
      <w:r>
        <w:rPr>
          <w:rFonts w:ascii="Arial" w:eastAsia="Arial" w:hAnsi="Arial" w:cs="Arial"/>
          <w:color w:val="000000"/>
        </w:rPr>
        <w:t xml:space="preserve">, A., </w:t>
      </w:r>
      <w:proofErr w:type="spellStart"/>
      <w:r>
        <w:rPr>
          <w:rFonts w:ascii="Arial" w:eastAsia="Arial" w:hAnsi="Arial" w:cs="Arial"/>
          <w:color w:val="000000"/>
        </w:rPr>
        <w:t>Sillos</w:t>
      </w:r>
      <w:proofErr w:type="spellEnd"/>
      <w:r>
        <w:rPr>
          <w:rFonts w:ascii="Arial" w:eastAsia="Arial" w:hAnsi="Arial" w:cs="Arial"/>
          <w:color w:val="000000"/>
        </w:rPr>
        <w:t xml:space="preserve">, C., De Leon, L., </w:t>
      </w:r>
      <w:proofErr w:type="spellStart"/>
      <w:r>
        <w:rPr>
          <w:rFonts w:ascii="Arial" w:eastAsia="Arial" w:hAnsi="Arial" w:cs="Arial"/>
          <w:color w:val="000000"/>
        </w:rPr>
        <w:t>Elepaño</w:t>
      </w:r>
      <w:proofErr w:type="spellEnd"/>
      <w:r>
        <w:rPr>
          <w:rFonts w:ascii="Arial" w:eastAsia="Arial" w:hAnsi="Arial" w:cs="Arial"/>
          <w:color w:val="000000"/>
        </w:rPr>
        <w:t xml:space="preserve">, C., Madriaga, M., </w:t>
      </w:r>
      <w:proofErr w:type="spellStart"/>
      <w:r>
        <w:rPr>
          <w:rFonts w:ascii="Arial" w:eastAsia="Arial" w:hAnsi="Arial" w:cs="Arial"/>
          <w:color w:val="000000"/>
        </w:rPr>
        <w:t>Aggabao</w:t>
      </w:r>
      <w:proofErr w:type="spellEnd"/>
      <w:r>
        <w:rPr>
          <w:rFonts w:ascii="Arial" w:eastAsia="Arial" w:hAnsi="Arial" w:cs="Arial"/>
          <w:color w:val="000000"/>
        </w:rPr>
        <w:t xml:space="preserve">, R., Diaz-Candido, G., </w:t>
      </w:r>
      <w:proofErr w:type="spellStart"/>
      <w:r>
        <w:rPr>
          <w:rFonts w:ascii="Arial" w:eastAsia="Arial" w:hAnsi="Arial" w:cs="Arial"/>
          <w:color w:val="000000"/>
        </w:rPr>
        <w:t>Maningo</w:t>
      </w:r>
      <w:proofErr w:type="spellEnd"/>
      <w:r>
        <w:rPr>
          <w:rFonts w:ascii="Arial" w:eastAsia="Arial" w:hAnsi="Arial" w:cs="Arial"/>
          <w:color w:val="000000"/>
        </w:rPr>
        <w:t>, J., &amp; Tseng, V. (2023). Performance of ChatGPT on USMLE</w:t>
      </w:r>
      <w:r w:rsidR="00DF72B9">
        <w:rPr>
          <w:rFonts w:ascii="Arial" w:eastAsia="Arial" w:hAnsi="Arial" w:cs="Arial"/>
          <w:color w:val="000000"/>
        </w:rPr>
        <w:t>: Potential</w:t>
      </w:r>
      <w:r>
        <w:rPr>
          <w:rFonts w:ascii="Arial" w:eastAsia="Arial" w:hAnsi="Arial" w:cs="Arial"/>
          <w:color w:val="000000"/>
        </w:rPr>
        <w:t xml:space="preserve"> for AI-assisted medical education using large language models. PLOS Digital Health,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2(2), e0000198. </w:t>
      </w:r>
      <w:hyperlink r:id="rId34">
        <w:r w:rsidR="004F4E82">
          <w:rPr>
            <w:rFonts w:ascii="Arial" w:eastAsia="Arial" w:hAnsi="Arial" w:cs="Arial"/>
            <w:color w:val="000000"/>
          </w:rPr>
          <w:t>https://doi.org/10.1371/journal.pdig.0000198</w:t>
        </w:r>
      </w:hyperlink>
    </w:p>
    <w:p w14:paraId="14C8BEAA"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Lopes, A., Mamede, H. S., Reis, L., &amp; Santos, A. (2024). Common Techniques, Success Attack Factors and </w:t>
      </w:r>
      <w:r>
        <w:rPr>
          <w:rFonts w:ascii="Arial" w:eastAsia="Arial" w:hAnsi="Arial" w:cs="Arial"/>
          <w:color w:val="000000"/>
        </w:rPr>
        <w:tab/>
        <w:t xml:space="preserve">Obstacles to Social Engineering: A Systematic Literature Review. Emerging Science Journal, 8(2), </w:t>
      </w:r>
      <w:r>
        <w:rPr>
          <w:rFonts w:ascii="Arial" w:eastAsia="Arial" w:hAnsi="Arial" w:cs="Arial"/>
          <w:color w:val="000000"/>
        </w:rPr>
        <w:tab/>
        <w:t xml:space="preserve">761–794. </w:t>
      </w:r>
      <w:hyperlink r:id="rId35">
        <w:r w:rsidR="004F4E82">
          <w:rPr>
            <w:rFonts w:ascii="Arial" w:eastAsia="Arial" w:hAnsi="Arial" w:cs="Arial"/>
            <w:color w:val="000000"/>
          </w:rPr>
          <w:t>https://doi.org/10.28991/ESJ-2024-08-02-025</w:t>
        </w:r>
      </w:hyperlink>
    </w:p>
    <w:p w14:paraId="7447479C"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Lu, L., Cai, R., &amp; Gursoy, D. (2019). Developing and validating a service robot integration willingness </w:t>
      </w:r>
      <w:r>
        <w:rPr>
          <w:rFonts w:ascii="Arial" w:eastAsia="Arial" w:hAnsi="Arial" w:cs="Arial"/>
          <w:color w:val="000000"/>
        </w:rPr>
        <w:tab/>
        <w:t xml:space="preserve">scale. International Journal of Hospitality Management, 80(July 2018), 36–51. </w:t>
      </w:r>
      <w:hyperlink r:id="rId36">
        <w:r w:rsidR="004F4E82">
          <w:rPr>
            <w:rFonts w:ascii="Arial" w:eastAsia="Arial" w:hAnsi="Arial" w:cs="Arial"/>
            <w:color w:val="000000"/>
          </w:rPr>
          <w:t>https://doi.org/10.1016/j.ijhm.2019.01.005</w:t>
        </w:r>
      </w:hyperlink>
    </w:p>
    <w:p w14:paraId="6D93334A" w14:textId="77777777" w:rsidR="004F4E82" w:rsidRDefault="00000000">
      <w:pPr>
        <w:tabs>
          <w:tab w:val="left" w:pos="360"/>
          <w:tab w:val="left" w:pos="720"/>
          <w:tab w:val="center" w:pos="4800"/>
          <w:tab w:val="right" w:pos="9360"/>
        </w:tabs>
        <w:ind w:left="993" w:hanging="993"/>
        <w:jc w:val="both"/>
      </w:pPr>
      <w:r>
        <w:rPr>
          <w:rFonts w:ascii="Arial" w:eastAsia="Arial" w:hAnsi="Arial" w:cs="Arial"/>
          <w:color w:val="000000"/>
        </w:rPr>
        <w:t xml:space="preserve">Makhdoom, I., </w:t>
      </w:r>
      <w:proofErr w:type="spellStart"/>
      <w:r>
        <w:rPr>
          <w:rFonts w:ascii="Arial" w:eastAsia="Arial" w:hAnsi="Arial" w:cs="Arial"/>
          <w:color w:val="000000"/>
        </w:rPr>
        <w:t>Abolhasan</w:t>
      </w:r>
      <w:proofErr w:type="spellEnd"/>
      <w:r>
        <w:rPr>
          <w:rFonts w:ascii="Arial" w:eastAsia="Arial" w:hAnsi="Arial" w:cs="Arial"/>
          <w:color w:val="000000"/>
        </w:rPr>
        <w:t xml:space="preserve">, M., Lipman, J., Liu, R. P., &amp; Ni, W. (2019). Anatomy of Threats to the Internet </w:t>
      </w:r>
      <w:r>
        <w:rPr>
          <w:rFonts w:ascii="Arial" w:eastAsia="Arial" w:hAnsi="Arial" w:cs="Arial"/>
          <w:color w:val="000000"/>
        </w:rPr>
        <w:tab/>
        <w:t xml:space="preserve">of Things. IEEE Communications Surveys and Tutorials, 21(2), 1636–1675. </w:t>
      </w:r>
      <w:hyperlink r:id="rId37">
        <w:r w:rsidR="004F4E82">
          <w:rPr>
            <w:rFonts w:ascii="Arial" w:eastAsia="Arial" w:hAnsi="Arial" w:cs="Arial"/>
            <w:color w:val="000000"/>
          </w:rPr>
          <w:t>https://doi.org/10.1109/COMST.2018.2874978</w:t>
        </w:r>
      </w:hyperlink>
    </w:p>
    <w:p w14:paraId="2C006609" w14:textId="1BA8EC4D" w:rsidR="0078381E" w:rsidRDefault="0078381E">
      <w:pPr>
        <w:tabs>
          <w:tab w:val="left" w:pos="360"/>
          <w:tab w:val="left" w:pos="720"/>
          <w:tab w:val="center" w:pos="4800"/>
          <w:tab w:val="right" w:pos="9360"/>
        </w:tabs>
        <w:ind w:left="993" w:hanging="993"/>
        <w:jc w:val="both"/>
        <w:rPr>
          <w:rFonts w:ascii="Arial" w:eastAsia="Arial" w:hAnsi="Arial" w:cs="Arial"/>
          <w:color w:val="000000"/>
        </w:rPr>
      </w:pPr>
      <w:r w:rsidRPr="0078381E">
        <w:rPr>
          <w:rFonts w:ascii="Arial" w:eastAsia="Arial" w:hAnsi="Arial" w:cs="Arial"/>
          <w:color w:val="000000"/>
        </w:rPr>
        <w:t xml:space="preserve">Moustafa, A. A., Bello, A., &amp; </w:t>
      </w:r>
      <w:proofErr w:type="spellStart"/>
      <w:r w:rsidRPr="0078381E">
        <w:rPr>
          <w:rFonts w:ascii="Arial" w:eastAsia="Arial" w:hAnsi="Arial" w:cs="Arial"/>
          <w:color w:val="000000"/>
        </w:rPr>
        <w:t>Maurushat</w:t>
      </w:r>
      <w:proofErr w:type="spellEnd"/>
      <w:r w:rsidRPr="0078381E">
        <w:rPr>
          <w:rFonts w:ascii="Arial" w:eastAsia="Arial" w:hAnsi="Arial" w:cs="Arial"/>
          <w:color w:val="000000"/>
        </w:rPr>
        <w:t xml:space="preserve">, A. (2021). The role of user </w:t>
      </w:r>
      <w:proofErr w:type="spellStart"/>
      <w:r w:rsidRPr="0078381E">
        <w:rPr>
          <w:rFonts w:ascii="Arial" w:eastAsia="Arial" w:hAnsi="Arial" w:cs="Arial"/>
          <w:color w:val="000000"/>
        </w:rPr>
        <w:t>behaviour</w:t>
      </w:r>
      <w:proofErr w:type="spellEnd"/>
      <w:r w:rsidRPr="0078381E">
        <w:rPr>
          <w:rFonts w:ascii="Arial" w:eastAsia="Arial" w:hAnsi="Arial" w:cs="Arial"/>
          <w:color w:val="000000"/>
        </w:rPr>
        <w:t xml:space="preserve"> in improving cyber security management. Frontiers in Psychology, 12, Article 561011. https://doi.org/10.3389/fpsyg.2021.561011</w:t>
      </w:r>
    </w:p>
    <w:p w14:paraId="43239565" w14:textId="4B0266E0" w:rsidR="004F4E82" w:rsidRDefault="00000000">
      <w:pPr>
        <w:tabs>
          <w:tab w:val="left" w:pos="360"/>
          <w:tab w:val="left" w:pos="720"/>
          <w:tab w:val="center" w:pos="4800"/>
          <w:tab w:val="right" w:pos="9360"/>
        </w:tabs>
        <w:ind w:left="993" w:hanging="993"/>
        <w:jc w:val="both"/>
        <w:rPr>
          <w:rFonts w:ascii="Arial" w:eastAsia="Arial" w:hAnsi="Arial" w:cs="Arial"/>
          <w:color w:val="000000"/>
        </w:rPr>
      </w:pPr>
      <w:proofErr w:type="spellStart"/>
      <w:r>
        <w:rPr>
          <w:rFonts w:ascii="Arial" w:eastAsia="Arial" w:hAnsi="Arial" w:cs="Arial"/>
          <w:color w:val="000000"/>
        </w:rPr>
        <w:t>Nyagwencha</w:t>
      </w:r>
      <w:proofErr w:type="spellEnd"/>
      <w:r>
        <w:rPr>
          <w:rFonts w:ascii="Arial" w:eastAsia="Arial" w:hAnsi="Arial" w:cs="Arial"/>
          <w:color w:val="000000"/>
        </w:rPr>
        <w:t xml:space="preserve">, J. (2024). An Information Security Awareness Model For Bring Your Own </w:t>
      </w:r>
      <w:r w:rsidR="00DF72B9">
        <w:rPr>
          <w:rFonts w:ascii="Arial" w:eastAsia="Arial" w:hAnsi="Arial" w:cs="Arial"/>
          <w:color w:val="000000"/>
        </w:rPr>
        <w:t>Devices:</w:t>
      </w:r>
      <w:r>
        <w:rPr>
          <w:rFonts w:ascii="Arial" w:eastAsia="Arial" w:hAnsi="Arial" w:cs="Arial"/>
          <w:color w:val="000000"/>
        </w:rPr>
        <w:t xml:space="preserve"> Case Study of a University in Kenya. 1–13. Page, M. J., Moher, D., Bossuyt, P. M., Boutron, I., Hoffmann, T. C., Mulrow, C. D., </w:t>
      </w:r>
      <w:proofErr w:type="spellStart"/>
      <w:r>
        <w:rPr>
          <w:rFonts w:ascii="Arial" w:eastAsia="Arial" w:hAnsi="Arial" w:cs="Arial"/>
          <w:color w:val="000000"/>
        </w:rPr>
        <w:t>Shamseer</w:t>
      </w:r>
      <w:proofErr w:type="spellEnd"/>
      <w:r>
        <w:rPr>
          <w:rFonts w:ascii="Arial" w:eastAsia="Arial" w:hAnsi="Arial" w:cs="Arial"/>
          <w:color w:val="000000"/>
        </w:rPr>
        <w:t xml:space="preserve">, L., Tetzlaff, </w:t>
      </w:r>
      <w:r>
        <w:rPr>
          <w:rFonts w:ascii="Arial" w:eastAsia="Arial" w:hAnsi="Arial" w:cs="Arial"/>
          <w:color w:val="000000"/>
        </w:rPr>
        <w:tab/>
        <w:t xml:space="preserve">J. M., Akl, E. A., Brennan, S. E., Chou, R., Glanville, J., Grimshaw, J. M., Hróbjartsson, A., Lalu, M. M., Li, T., Loder, E. W., Mayo-Wilson, E., </w:t>
      </w:r>
      <w:proofErr w:type="spellStart"/>
      <w:r>
        <w:rPr>
          <w:rFonts w:ascii="Arial" w:eastAsia="Arial" w:hAnsi="Arial" w:cs="Arial"/>
          <w:color w:val="000000"/>
        </w:rPr>
        <w:t>Mcdonald</w:t>
      </w:r>
      <w:proofErr w:type="spellEnd"/>
      <w:r>
        <w:rPr>
          <w:rFonts w:ascii="Arial" w:eastAsia="Arial" w:hAnsi="Arial" w:cs="Arial"/>
          <w:color w:val="000000"/>
        </w:rPr>
        <w:t xml:space="preserve">, S., … Mckenzie, J. E. (2021). PRISMA </w:t>
      </w:r>
      <w:r>
        <w:rPr>
          <w:rFonts w:ascii="Arial" w:eastAsia="Arial" w:hAnsi="Arial" w:cs="Arial"/>
          <w:color w:val="000000"/>
        </w:rPr>
        <w:tab/>
        <w:t xml:space="preserve">2020 explanation and elaboration: Updated guidance and exemplars for reporting systematic </w:t>
      </w:r>
      <w:r>
        <w:rPr>
          <w:rFonts w:ascii="Arial" w:eastAsia="Arial" w:hAnsi="Arial" w:cs="Arial"/>
          <w:color w:val="000000"/>
        </w:rPr>
        <w:tab/>
        <w:t xml:space="preserve">reviews. The BMJ, 372. </w:t>
      </w:r>
      <w:hyperlink r:id="rId38">
        <w:r w:rsidR="004F4E82">
          <w:rPr>
            <w:rFonts w:ascii="Arial" w:eastAsia="Arial" w:hAnsi="Arial" w:cs="Arial"/>
            <w:color w:val="000000"/>
          </w:rPr>
          <w:t>https://doi.org/10.1136/bmj.n160</w:t>
        </w:r>
      </w:hyperlink>
    </w:p>
    <w:p w14:paraId="472712BE"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Paste, D., &amp; </w:t>
      </w:r>
      <w:proofErr w:type="spellStart"/>
      <w:r>
        <w:rPr>
          <w:rFonts w:ascii="Arial" w:eastAsia="Arial" w:hAnsi="Arial" w:cs="Arial"/>
          <w:color w:val="000000"/>
        </w:rPr>
        <w:t>Wadkar</w:t>
      </w:r>
      <w:proofErr w:type="spellEnd"/>
      <w:r>
        <w:rPr>
          <w:rFonts w:ascii="Arial" w:eastAsia="Arial" w:hAnsi="Arial" w:cs="Arial"/>
          <w:color w:val="000000"/>
        </w:rPr>
        <w:t xml:space="preserve">, T. (2021). Malware: Detection, Classification and Protection. International Research Journal of Engineering and Technology. </w:t>
      </w:r>
      <w:hyperlink r:id="rId39">
        <w:r w:rsidR="004F4E82">
          <w:rPr>
            <w:rFonts w:ascii="Arial" w:eastAsia="Arial" w:hAnsi="Arial" w:cs="Arial"/>
            <w:color w:val="000000"/>
          </w:rPr>
          <w:t>www.irjet.net</w:t>
        </w:r>
      </w:hyperlink>
    </w:p>
    <w:p w14:paraId="4106CEB4" w14:textId="77777777" w:rsidR="004F4E82" w:rsidRDefault="00000000">
      <w:pPr>
        <w:tabs>
          <w:tab w:val="left" w:pos="360"/>
          <w:tab w:val="left" w:pos="720"/>
          <w:tab w:val="center" w:pos="4800"/>
          <w:tab w:val="right" w:pos="9360"/>
        </w:tabs>
        <w:ind w:left="993" w:hanging="993"/>
        <w:jc w:val="both"/>
      </w:pPr>
      <w:r>
        <w:rPr>
          <w:rFonts w:ascii="Arial" w:eastAsia="Arial" w:hAnsi="Arial" w:cs="Arial"/>
          <w:color w:val="000000"/>
        </w:rPr>
        <w:t xml:space="preserve">Petrů, N., </w:t>
      </w:r>
      <w:proofErr w:type="spellStart"/>
      <w:r>
        <w:rPr>
          <w:rFonts w:ascii="Arial" w:eastAsia="Arial" w:hAnsi="Arial" w:cs="Arial"/>
          <w:color w:val="000000"/>
        </w:rPr>
        <w:t>Kramoliš</w:t>
      </w:r>
      <w:proofErr w:type="spellEnd"/>
      <w:r>
        <w:rPr>
          <w:rFonts w:ascii="Arial" w:eastAsia="Arial" w:hAnsi="Arial" w:cs="Arial"/>
          <w:color w:val="000000"/>
        </w:rPr>
        <w:t xml:space="preserve">, J., &amp; </w:t>
      </w:r>
      <w:proofErr w:type="spellStart"/>
      <w:r>
        <w:rPr>
          <w:rFonts w:ascii="Arial" w:eastAsia="Arial" w:hAnsi="Arial" w:cs="Arial"/>
          <w:color w:val="000000"/>
        </w:rPr>
        <w:t>Stuchlík</w:t>
      </w:r>
      <w:proofErr w:type="spellEnd"/>
      <w:r>
        <w:rPr>
          <w:rFonts w:ascii="Arial" w:eastAsia="Arial" w:hAnsi="Arial" w:cs="Arial"/>
          <w:color w:val="000000"/>
        </w:rPr>
        <w:t xml:space="preserve">, P. (2020). Marketing tools in the era of digitization and their use in </w:t>
      </w:r>
      <w:r>
        <w:rPr>
          <w:rFonts w:ascii="Arial" w:eastAsia="Arial" w:hAnsi="Arial" w:cs="Arial"/>
          <w:color w:val="000000"/>
        </w:rPr>
        <w:tab/>
        <w:t xml:space="preserve">practice by family and other businesses. E a M: </w:t>
      </w:r>
      <w:proofErr w:type="spellStart"/>
      <w:r>
        <w:rPr>
          <w:rFonts w:ascii="Arial" w:eastAsia="Arial" w:hAnsi="Arial" w:cs="Arial"/>
          <w:color w:val="000000"/>
        </w:rPr>
        <w:t>Ekonomie</w:t>
      </w:r>
      <w:proofErr w:type="spellEnd"/>
      <w:r>
        <w:rPr>
          <w:rFonts w:ascii="Arial" w:eastAsia="Arial" w:hAnsi="Arial" w:cs="Arial"/>
          <w:color w:val="000000"/>
        </w:rPr>
        <w:t xml:space="preserve"> a Management, 23(1), 199–214. </w:t>
      </w:r>
      <w:hyperlink r:id="rId40">
        <w:r w:rsidR="004F4E82">
          <w:rPr>
            <w:rFonts w:ascii="Arial" w:eastAsia="Arial" w:hAnsi="Arial" w:cs="Arial"/>
            <w:color w:val="000000"/>
          </w:rPr>
          <w:t>https://doi.org/10.15240/tul/001/2020-1-014</w:t>
        </w:r>
      </w:hyperlink>
    </w:p>
    <w:p w14:paraId="1704C7ED" w14:textId="17E48321" w:rsidR="00F15EA7" w:rsidRDefault="00F15EA7">
      <w:pPr>
        <w:tabs>
          <w:tab w:val="left" w:pos="360"/>
          <w:tab w:val="left" w:pos="720"/>
          <w:tab w:val="center" w:pos="4800"/>
          <w:tab w:val="right" w:pos="9360"/>
        </w:tabs>
        <w:ind w:left="993" w:hanging="993"/>
        <w:jc w:val="both"/>
        <w:rPr>
          <w:rFonts w:ascii="Arial" w:eastAsia="Arial" w:hAnsi="Arial" w:cs="Arial"/>
          <w:color w:val="000000"/>
        </w:rPr>
      </w:pPr>
      <w:r w:rsidRPr="00F15EA7">
        <w:rPr>
          <w:rFonts w:ascii="Arial" w:eastAsia="Arial" w:hAnsi="Arial" w:cs="Arial"/>
          <w:color w:val="000000"/>
        </w:rPr>
        <w:t xml:space="preserve">Ramos, N. M. D., &amp; </w:t>
      </w:r>
      <w:proofErr w:type="spellStart"/>
      <w:r w:rsidRPr="00F15EA7">
        <w:rPr>
          <w:rFonts w:ascii="Arial" w:eastAsia="Arial" w:hAnsi="Arial" w:cs="Arial"/>
          <w:color w:val="000000"/>
        </w:rPr>
        <w:t>Esponilla</w:t>
      </w:r>
      <w:proofErr w:type="spellEnd"/>
      <w:r w:rsidRPr="00F15EA7">
        <w:rPr>
          <w:rFonts w:ascii="Arial" w:eastAsia="Arial" w:hAnsi="Arial" w:cs="Arial"/>
          <w:color w:val="000000"/>
        </w:rPr>
        <w:t>, F. D. (2022). Cybersecurity program for Philippine higher education institutions: A multiple-case study. International Journal of Evaluation and Research in Education (IJERE), 11(3), 1198. https://doi.org/10.11591/ijere.v11i3.22863</w:t>
      </w:r>
    </w:p>
    <w:p w14:paraId="3D349466"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proofErr w:type="spellStart"/>
      <w:r>
        <w:rPr>
          <w:rFonts w:ascii="Arial" w:eastAsia="Arial" w:hAnsi="Arial" w:cs="Arial"/>
          <w:color w:val="000000"/>
        </w:rPr>
        <w:t>Rajabalee</w:t>
      </w:r>
      <w:proofErr w:type="spellEnd"/>
      <w:r>
        <w:rPr>
          <w:rFonts w:ascii="Arial" w:eastAsia="Arial" w:hAnsi="Arial" w:cs="Arial"/>
          <w:color w:val="000000"/>
        </w:rPr>
        <w:t xml:space="preserve">, Y. B., &amp; </w:t>
      </w:r>
      <w:proofErr w:type="spellStart"/>
      <w:r>
        <w:rPr>
          <w:rFonts w:ascii="Arial" w:eastAsia="Arial" w:hAnsi="Arial" w:cs="Arial"/>
          <w:color w:val="000000"/>
        </w:rPr>
        <w:t>Santally</w:t>
      </w:r>
      <w:proofErr w:type="spellEnd"/>
      <w:r>
        <w:rPr>
          <w:rFonts w:ascii="Arial" w:eastAsia="Arial" w:hAnsi="Arial" w:cs="Arial"/>
          <w:color w:val="000000"/>
        </w:rPr>
        <w:t xml:space="preserve">, M. I. (2021). Learner satisfaction, engagement and performances in an online module: Implications for institutional e-learning policy. In Education and Information </w:t>
      </w:r>
      <w:r>
        <w:rPr>
          <w:rFonts w:ascii="Arial" w:eastAsia="Arial" w:hAnsi="Arial" w:cs="Arial"/>
          <w:color w:val="000000"/>
        </w:rPr>
        <w:tab/>
        <w:t xml:space="preserve">Technologies (Vol. 26, Issue 3). Education and Information Technologies. </w:t>
      </w:r>
      <w:hyperlink r:id="rId41">
        <w:r w:rsidR="004F4E82">
          <w:rPr>
            <w:rFonts w:ascii="Arial" w:eastAsia="Arial" w:hAnsi="Arial" w:cs="Arial"/>
            <w:color w:val="000000"/>
          </w:rPr>
          <w:t>https://doi.org/10.1007/s10639-020-10375-1</w:t>
        </w:r>
      </w:hyperlink>
    </w:p>
    <w:p w14:paraId="252DF20F"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Ronimus, M., Eklund, K., </w:t>
      </w:r>
      <w:proofErr w:type="spellStart"/>
      <w:r>
        <w:rPr>
          <w:rFonts w:ascii="Arial" w:eastAsia="Arial" w:hAnsi="Arial" w:cs="Arial"/>
          <w:color w:val="000000"/>
        </w:rPr>
        <w:t>Pesu</w:t>
      </w:r>
      <w:proofErr w:type="spellEnd"/>
      <w:r>
        <w:rPr>
          <w:rFonts w:ascii="Arial" w:eastAsia="Arial" w:hAnsi="Arial" w:cs="Arial"/>
          <w:color w:val="000000"/>
        </w:rPr>
        <w:t xml:space="preserve">, L., &amp; Lyytinen, H. (2019). Supporting struggling readers with digital game-based learning. Educational Technology Research and Development, 67(3), 639–663. </w:t>
      </w:r>
      <w:hyperlink r:id="rId42">
        <w:r w:rsidR="004F4E82">
          <w:rPr>
            <w:rFonts w:ascii="Arial" w:eastAsia="Arial" w:hAnsi="Arial" w:cs="Arial"/>
            <w:color w:val="000000"/>
          </w:rPr>
          <w:t>https://doi.org/10.1007/s11423-019-09658-3</w:t>
        </w:r>
      </w:hyperlink>
    </w:p>
    <w:p w14:paraId="6EABFD97"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Sedrakyan, G., Malmberg, J., </w:t>
      </w:r>
      <w:proofErr w:type="spellStart"/>
      <w:r>
        <w:rPr>
          <w:rFonts w:ascii="Arial" w:eastAsia="Arial" w:hAnsi="Arial" w:cs="Arial"/>
          <w:color w:val="000000"/>
        </w:rPr>
        <w:t>Verbert</w:t>
      </w:r>
      <w:proofErr w:type="spellEnd"/>
      <w:r>
        <w:rPr>
          <w:rFonts w:ascii="Arial" w:eastAsia="Arial" w:hAnsi="Arial" w:cs="Arial"/>
          <w:color w:val="000000"/>
        </w:rPr>
        <w:t xml:space="preserve">, K., Järvelä, S., &amp; Kirschner, P. A. (2020). Linking learning behavior analytics and learning science concepts: Designing a learning </w:t>
      </w:r>
      <w:r>
        <w:rPr>
          <w:rFonts w:ascii="Arial" w:eastAsia="Arial" w:hAnsi="Arial" w:cs="Arial"/>
          <w:color w:val="000000"/>
        </w:rPr>
        <w:lastRenderedPageBreak/>
        <w:t xml:space="preserve">analytics dashboard for feedback to </w:t>
      </w:r>
      <w:r>
        <w:rPr>
          <w:rFonts w:ascii="Arial" w:eastAsia="Arial" w:hAnsi="Arial" w:cs="Arial"/>
          <w:color w:val="000000"/>
        </w:rPr>
        <w:tab/>
        <w:t xml:space="preserve">support learning regulation. Computers in Human Behavior, 107, 105512. </w:t>
      </w:r>
      <w:hyperlink r:id="rId43">
        <w:r w:rsidR="004F4E82">
          <w:rPr>
            <w:rFonts w:ascii="Arial" w:eastAsia="Arial" w:hAnsi="Arial" w:cs="Arial"/>
            <w:color w:val="000000"/>
          </w:rPr>
          <w:t>https://doi.org/10.1016/j.chb.2018.05.004</w:t>
        </w:r>
      </w:hyperlink>
    </w:p>
    <w:p w14:paraId="572C8962"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Sen, J. (2021). Machine Learning Algorithms, Models and Applications Edited by Jaydip Sen (Vol. 7). </w:t>
      </w:r>
      <w:hyperlink r:id="rId44">
        <w:r w:rsidR="004F4E82">
          <w:rPr>
            <w:rFonts w:ascii="Arial" w:eastAsia="Arial" w:hAnsi="Arial" w:cs="Arial"/>
            <w:color w:val="000000"/>
          </w:rPr>
          <w:t>http://dx.doi.org/10.5772/intechopen</w:t>
        </w:r>
      </w:hyperlink>
    </w:p>
    <w:p w14:paraId="629F546F"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Shaukat, K., Luo, S., Varadharajan, V., Hameed, I. A., &amp; Xu, M. (2020). A Survey on Machine Learning </w:t>
      </w:r>
      <w:r>
        <w:rPr>
          <w:rFonts w:ascii="Arial" w:eastAsia="Arial" w:hAnsi="Arial" w:cs="Arial"/>
          <w:color w:val="000000"/>
        </w:rPr>
        <w:tab/>
        <w:t xml:space="preserve">Techniques for Cyber Security in the Last Decade. IEEE Access, 8, 222310–222354. </w:t>
      </w:r>
      <w:hyperlink r:id="rId45">
        <w:r w:rsidR="004F4E82">
          <w:rPr>
            <w:rFonts w:ascii="Arial" w:eastAsia="Arial" w:hAnsi="Arial" w:cs="Arial"/>
            <w:color w:val="000000"/>
          </w:rPr>
          <w:t>https://doi.org/10.1109/ACCESS.2020.3041951</w:t>
        </w:r>
      </w:hyperlink>
    </w:p>
    <w:p w14:paraId="15770C61"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Singh, R., Gehlot, A., &amp; Buddhi, D. (2022). Comparative Analysis of Different Machine Learning Classifiers for the Prediction of Chronic Diseases. 1–380. </w:t>
      </w:r>
      <w:hyperlink r:id="rId46">
        <w:r w:rsidR="004F4E82">
          <w:rPr>
            <w:rFonts w:ascii="Arial" w:eastAsia="Arial" w:hAnsi="Arial" w:cs="Arial"/>
            <w:color w:val="000000"/>
          </w:rPr>
          <w:t>https://doi.org/10.13052/rp-9788770227667</w:t>
        </w:r>
      </w:hyperlink>
    </w:p>
    <w:p w14:paraId="1322A7DA"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 xml:space="preserve">Sundaram, A. (2017). Understanding and Protecting Yourself against Threats </w:t>
      </w:r>
      <w:proofErr w:type="gramStart"/>
      <w:r>
        <w:rPr>
          <w:rFonts w:ascii="Arial" w:eastAsia="Arial" w:hAnsi="Arial" w:cs="Arial"/>
          <w:color w:val="000000"/>
        </w:rPr>
        <w:t>in</w:t>
      </w:r>
      <w:proofErr w:type="gramEnd"/>
      <w:r>
        <w:rPr>
          <w:rFonts w:ascii="Arial" w:eastAsia="Arial" w:hAnsi="Arial" w:cs="Arial"/>
          <w:color w:val="000000"/>
        </w:rPr>
        <w:t xml:space="preserve"> the Internet. Asian Social Science, 13(12), 201. </w:t>
      </w:r>
      <w:hyperlink r:id="rId47">
        <w:r w:rsidR="004F4E82">
          <w:rPr>
            <w:rFonts w:ascii="Arial" w:eastAsia="Arial" w:hAnsi="Arial" w:cs="Arial"/>
            <w:color w:val="000000"/>
          </w:rPr>
          <w:t>https://doi.org/10.5539/ass.v13n12p201</w:t>
        </w:r>
      </w:hyperlink>
    </w:p>
    <w:p w14:paraId="338E1C08" w14:textId="77777777" w:rsidR="004F4E82" w:rsidRDefault="00000000">
      <w:pPr>
        <w:tabs>
          <w:tab w:val="left" w:pos="360"/>
          <w:tab w:val="left" w:pos="720"/>
          <w:tab w:val="center" w:pos="4800"/>
          <w:tab w:val="right" w:pos="9360"/>
        </w:tabs>
        <w:ind w:left="993" w:hanging="993"/>
        <w:jc w:val="both"/>
      </w:pPr>
      <w:r>
        <w:rPr>
          <w:rFonts w:ascii="Arial" w:eastAsia="Arial" w:hAnsi="Arial" w:cs="Arial"/>
          <w:color w:val="000000"/>
        </w:rPr>
        <w:t xml:space="preserve">Wang, M., &amp; Deng, W. (2021). Deep face recognition: A survey. Neurocomputing, 429, 215–244. </w:t>
      </w:r>
      <w:hyperlink r:id="rId48">
        <w:r w:rsidR="004F4E82">
          <w:rPr>
            <w:rFonts w:ascii="Arial" w:eastAsia="Arial" w:hAnsi="Arial" w:cs="Arial"/>
            <w:color w:val="000000"/>
          </w:rPr>
          <w:t>https://doi.org/10.1016/j.neucom.2020.10.081</w:t>
        </w:r>
      </w:hyperlink>
    </w:p>
    <w:p w14:paraId="74A60825" w14:textId="4C1BCBEF" w:rsidR="0078381E" w:rsidRDefault="0078381E">
      <w:pPr>
        <w:tabs>
          <w:tab w:val="left" w:pos="360"/>
          <w:tab w:val="left" w:pos="720"/>
          <w:tab w:val="center" w:pos="4800"/>
          <w:tab w:val="right" w:pos="9360"/>
        </w:tabs>
        <w:ind w:left="993" w:hanging="993"/>
        <w:jc w:val="both"/>
        <w:rPr>
          <w:rFonts w:ascii="Arial" w:eastAsia="Arial" w:hAnsi="Arial" w:cs="Arial"/>
          <w:color w:val="000000"/>
        </w:rPr>
      </w:pPr>
      <w:r w:rsidRPr="0078381E">
        <w:rPr>
          <w:rFonts w:ascii="Arial" w:eastAsia="Arial" w:hAnsi="Arial" w:cs="Arial"/>
          <w:color w:val="000000"/>
        </w:rPr>
        <w:t xml:space="preserve">Wibowo, B., </w:t>
      </w:r>
      <w:proofErr w:type="spellStart"/>
      <w:r w:rsidRPr="0078381E">
        <w:rPr>
          <w:rFonts w:ascii="Arial" w:eastAsia="Arial" w:hAnsi="Arial" w:cs="Arial"/>
          <w:color w:val="000000"/>
        </w:rPr>
        <w:t>Yuswanto</w:t>
      </w:r>
      <w:proofErr w:type="spellEnd"/>
      <w:r w:rsidRPr="0078381E">
        <w:rPr>
          <w:rFonts w:ascii="Arial" w:eastAsia="Arial" w:hAnsi="Arial" w:cs="Arial"/>
          <w:color w:val="000000"/>
        </w:rPr>
        <w:t>, A., Hidayat, T., &amp; Ibrahim, N. (2025). Cyber resilience to digital threats for education institutions 4.0. International Journal of Management Science and Application, 4(1), 35–45.</w:t>
      </w:r>
    </w:p>
    <w:p w14:paraId="6DD61D78" w14:textId="77777777" w:rsidR="004F4E82" w:rsidRDefault="00000000">
      <w:pPr>
        <w:tabs>
          <w:tab w:val="left" w:pos="360"/>
          <w:tab w:val="left" w:pos="720"/>
          <w:tab w:val="center" w:pos="4800"/>
          <w:tab w:val="right" w:pos="9360"/>
        </w:tabs>
        <w:ind w:left="993" w:hanging="993"/>
        <w:jc w:val="both"/>
        <w:rPr>
          <w:rFonts w:ascii="Arial" w:eastAsia="Arial" w:hAnsi="Arial" w:cs="Arial"/>
          <w:color w:val="000000"/>
        </w:rPr>
      </w:pPr>
      <w:r>
        <w:rPr>
          <w:rFonts w:ascii="Arial" w:eastAsia="Arial" w:hAnsi="Arial" w:cs="Arial"/>
          <w:color w:val="000000"/>
        </w:rPr>
        <w:t>Yang, G., Ye, Q., &amp; Xia, J. (2022). Unbox the black-box for the medical explainable AI via multi-modal and multi-</w:t>
      </w:r>
      <w:proofErr w:type="spellStart"/>
      <w:r>
        <w:rPr>
          <w:rFonts w:ascii="Arial" w:eastAsia="Arial" w:hAnsi="Arial" w:cs="Arial"/>
          <w:color w:val="000000"/>
        </w:rPr>
        <w:t>centre</w:t>
      </w:r>
      <w:proofErr w:type="spellEnd"/>
      <w:r>
        <w:rPr>
          <w:rFonts w:ascii="Arial" w:eastAsia="Arial" w:hAnsi="Arial" w:cs="Arial"/>
          <w:color w:val="000000"/>
        </w:rPr>
        <w:t xml:space="preserve"> data fusion: A mini-review, two showcases and beyond. Information Fusion, </w:t>
      </w:r>
      <w:r>
        <w:rPr>
          <w:rFonts w:ascii="Arial" w:eastAsia="Arial" w:hAnsi="Arial" w:cs="Arial"/>
          <w:color w:val="000000"/>
        </w:rPr>
        <w:tab/>
        <w:t xml:space="preserve">77(May 2021), 29–52. </w:t>
      </w:r>
      <w:hyperlink r:id="rId49">
        <w:r w:rsidR="004F4E82">
          <w:rPr>
            <w:rFonts w:ascii="Arial" w:eastAsia="Arial" w:hAnsi="Arial" w:cs="Arial"/>
            <w:color w:val="000000"/>
          </w:rPr>
          <w:t>https://doi.org/10.1016/j.inffus.2021.07.016</w:t>
        </w:r>
      </w:hyperlink>
    </w:p>
    <w:p w14:paraId="4A357822" w14:textId="77777777" w:rsidR="004F4E82" w:rsidRDefault="00000000">
      <w:pPr>
        <w:pBdr>
          <w:top w:val="nil"/>
          <w:left w:val="nil"/>
          <w:bottom w:val="nil"/>
          <w:right w:val="nil"/>
          <w:between w:val="nil"/>
        </w:pBdr>
        <w:ind w:left="993" w:hanging="993"/>
        <w:jc w:val="both"/>
        <w:rPr>
          <w:rFonts w:ascii="Arial" w:eastAsia="Arial" w:hAnsi="Arial" w:cs="Arial"/>
          <w:color w:val="000000"/>
        </w:rPr>
        <w:sectPr w:rsidR="004F4E82">
          <w:headerReference w:type="even" r:id="rId50"/>
          <w:headerReference w:type="default" r:id="rId51"/>
          <w:footerReference w:type="default" r:id="rId52"/>
          <w:headerReference w:type="first" r:id="rId53"/>
          <w:type w:val="continuous"/>
          <w:pgSz w:w="12240" w:h="15840"/>
          <w:pgMar w:top="1440" w:right="2016" w:bottom="2016" w:left="2016" w:header="720" w:footer="1123" w:gutter="0"/>
          <w:cols w:space="720"/>
        </w:sectPr>
      </w:pPr>
      <w:r>
        <w:rPr>
          <w:rFonts w:ascii="Arial" w:eastAsia="Arial" w:hAnsi="Arial" w:cs="Arial"/>
          <w:color w:val="000000"/>
        </w:rPr>
        <w:t xml:space="preserve">Zou, Y., Zhu, J., Wang, X., &amp; Hanzo, L. (2016). A Survey on Wireless Security: Technical Challenges, Recent Advances, and Future Trends. Proceedings of the IEEE, 104(9), 1727–1765. </w:t>
      </w:r>
      <w:hyperlink r:id="rId54">
        <w:r w:rsidR="004F4E82">
          <w:rPr>
            <w:rFonts w:ascii="Arial" w:eastAsia="Arial" w:hAnsi="Arial" w:cs="Arial"/>
            <w:color w:val="000000"/>
          </w:rPr>
          <w:t>https://doi.org/10.1109/JPROC.2016.2558521</w:t>
        </w:r>
      </w:hyperlink>
    </w:p>
    <w:p w14:paraId="004E8DCB" w14:textId="77777777" w:rsidR="004F4E82" w:rsidRDefault="004F4E82">
      <w:pPr>
        <w:keepNext/>
        <w:pBdr>
          <w:top w:val="nil"/>
          <w:left w:val="nil"/>
          <w:bottom w:val="nil"/>
          <w:right w:val="nil"/>
          <w:between w:val="nil"/>
        </w:pBdr>
        <w:jc w:val="both"/>
        <w:rPr>
          <w:rFonts w:ascii="Arial" w:eastAsia="Arial" w:hAnsi="Arial" w:cs="Arial"/>
          <w:smallCaps/>
          <w:color w:val="000000"/>
          <w:sz w:val="22"/>
          <w:szCs w:val="22"/>
        </w:rPr>
      </w:pPr>
    </w:p>
    <w:sectPr w:rsidR="004F4E82">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35115" w14:textId="77777777" w:rsidR="00FD3DDD" w:rsidRDefault="00FD3DDD">
      <w:r>
        <w:separator/>
      </w:r>
    </w:p>
  </w:endnote>
  <w:endnote w:type="continuationSeparator" w:id="0">
    <w:p w14:paraId="4D5B89CF" w14:textId="77777777" w:rsidR="00FD3DDD" w:rsidRDefault="00FD3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Times New Roman"/>
    <w:charset w:val="00"/>
    <w:family w:val="auto"/>
    <w:pitch w:val="default"/>
    <w:embedRegular r:id="rId1" w:fontKey="{482E4D57-59EF-4997-97FB-4BF5873F760C}"/>
    <w:embedBold r:id="rId2" w:fontKey="{A56D1912-B62B-48E5-B728-E857209438C3}"/>
    <w:embedBoldItalic r:id="rId3" w:fontKey="{C831CCB1-CECB-4671-A3B4-8E71329E742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CF898EF-5C9F-4FA4-876A-B2196F172631}"/>
  </w:font>
  <w:font w:name="Calibri">
    <w:panose1 w:val="020F0502020204030204"/>
    <w:charset w:val="00"/>
    <w:family w:val="swiss"/>
    <w:pitch w:val="variable"/>
    <w:sig w:usb0="E4002EFF" w:usb1="C200247B" w:usb2="00000009" w:usb3="00000000" w:csb0="000001FF" w:csb1="00000000"/>
    <w:embedRegular r:id="rId5" w:fontKey="{FEE9651E-76EF-446E-81DC-1A71BAB81216}"/>
  </w:font>
  <w:font w:name="Cambria">
    <w:panose1 w:val="02040503050406030204"/>
    <w:charset w:val="00"/>
    <w:family w:val="roman"/>
    <w:pitch w:val="variable"/>
    <w:sig w:usb0="E00006FF" w:usb1="420024FF" w:usb2="02000000" w:usb3="00000000" w:csb0="0000019F" w:csb1="00000000"/>
    <w:embedRegular r:id="rId6" w:fontKey="{895F5002-FAD5-40FF-92FE-FE65B1D33D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3F3AD" w14:textId="77777777" w:rsidR="004F4E82" w:rsidRDefault="004F4E8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A5EB7" w14:textId="77777777" w:rsidR="004F4E82" w:rsidRDefault="004F4E82">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B1EA3" w14:textId="77777777" w:rsidR="004F4E82" w:rsidRDefault="004F4E8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5B325B7" w14:textId="77777777" w:rsidR="004F4E82" w:rsidRDefault="0000000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44BA906F" w14:textId="77777777" w:rsidR="004F4E82" w:rsidRDefault="004F4E8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443B995" w14:textId="77777777" w:rsidR="004F4E82" w:rsidRDefault="00000000">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423F" w14:textId="77777777" w:rsidR="004F4E82" w:rsidRDefault="004F4E8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DB960" w14:textId="77777777" w:rsidR="00FD3DDD" w:rsidRDefault="00FD3DDD">
      <w:r>
        <w:separator/>
      </w:r>
    </w:p>
  </w:footnote>
  <w:footnote w:type="continuationSeparator" w:id="0">
    <w:p w14:paraId="15412D5C" w14:textId="77777777" w:rsidR="00FD3DDD" w:rsidRDefault="00FD3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BF948" w14:textId="77777777" w:rsidR="004F4E82" w:rsidRDefault="00000000">
    <w:pPr>
      <w:pBdr>
        <w:top w:val="nil"/>
        <w:left w:val="nil"/>
        <w:bottom w:val="nil"/>
        <w:right w:val="nil"/>
        <w:between w:val="nil"/>
      </w:pBdr>
      <w:tabs>
        <w:tab w:val="center" w:pos="4320"/>
        <w:tab w:val="right" w:pos="8640"/>
      </w:tabs>
      <w:rPr>
        <w:color w:val="000000"/>
      </w:rPr>
    </w:pPr>
    <w:r>
      <w:pict w14:anchorId="7B97F2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8" type="#_x0000_t136" style="position:absolute;margin-left:0;margin-top:0;width:520.65pt;height:57.8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C0FFA" w14:textId="77777777" w:rsidR="004F4E82" w:rsidRDefault="00000000">
    <w:pPr>
      <w:pBdr>
        <w:top w:val="nil"/>
        <w:left w:val="nil"/>
        <w:bottom w:val="nil"/>
        <w:right w:val="nil"/>
        <w:between w:val="nil"/>
      </w:pBdr>
      <w:tabs>
        <w:tab w:val="center" w:pos="4320"/>
        <w:tab w:val="right" w:pos="8640"/>
      </w:tabs>
      <w:rPr>
        <w:color w:val="000000"/>
      </w:rPr>
    </w:pPr>
    <w:r>
      <w:pict w14:anchorId="0F405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style="position:absolute;margin-left:0;margin-top:0;width:520.65pt;height:57.8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3D2B2" w14:textId="77777777" w:rsidR="004F4E82" w:rsidRDefault="00000000">
    <w:pPr>
      <w:ind w:left="2160"/>
      <w:jc w:val="center"/>
      <w:rPr>
        <w:rFonts w:ascii="Times New Roman" w:eastAsia="Times New Roman" w:hAnsi="Times New Roman" w:cs="Times New Roman"/>
        <w:i/>
        <w:iCs/>
        <w:sz w:val="18"/>
        <w:szCs w:val="18"/>
      </w:rPr>
    </w:pPr>
    <w:r>
      <w:pict w14:anchorId="32423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left:0;text-align:left;margin-left:0;margin-top:0;width:520.65pt;height:57.8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00D6B156" w14:textId="77777777" w:rsidR="004F4E82" w:rsidRDefault="00000000">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75DEC56" w14:textId="77777777" w:rsidR="004F4E82" w:rsidRDefault="0000000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79406CA4" w14:textId="77777777" w:rsidR="004F4E82" w:rsidRDefault="00000000">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794CD3C" w14:textId="77777777" w:rsidR="004F4E82" w:rsidRDefault="0000000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29241CC" w14:textId="77777777" w:rsidR="004F4E82" w:rsidRDefault="00000000">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1FF3287F" w14:textId="77777777" w:rsidR="004F4E82" w:rsidRDefault="00000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A46F7" w14:textId="77777777" w:rsidR="004F4E82" w:rsidRDefault="00000000">
    <w:pPr>
      <w:pBdr>
        <w:top w:val="nil"/>
        <w:left w:val="nil"/>
        <w:bottom w:val="nil"/>
        <w:right w:val="nil"/>
        <w:between w:val="nil"/>
      </w:pBdr>
      <w:tabs>
        <w:tab w:val="center" w:pos="4680"/>
        <w:tab w:val="right" w:pos="9360"/>
      </w:tabs>
      <w:rPr>
        <w:color w:val="000000"/>
      </w:rPr>
    </w:pPr>
    <w:r>
      <w:rPr>
        <w:color w:val="000000"/>
      </w:rPr>
      <w:pict w14:anchorId="326810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20.65pt;height:57.8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1F59" w14:textId="77777777" w:rsidR="004F4E82" w:rsidRDefault="00000000">
    <w:pPr>
      <w:pBdr>
        <w:top w:val="nil"/>
        <w:left w:val="nil"/>
        <w:bottom w:val="nil"/>
        <w:right w:val="nil"/>
        <w:between w:val="nil"/>
      </w:pBdr>
      <w:tabs>
        <w:tab w:val="center" w:pos="4680"/>
        <w:tab w:val="right" w:pos="9360"/>
      </w:tabs>
      <w:rPr>
        <w:color w:val="000000"/>
      </w:rPr>
    </w:pPr>
    <w:r>
      <w:rPr>
        <w:color w:val="000000"/>
      </w:rPr>
      <w:pict w14:anchorId="5D4E0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20.65pt;height:57.8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33FE2" w14:textId="77777777" w:rsidR="004F4E82" w:rsidRDefault="00000000">
    <w:pPr>
      <w:pBdr>
        <w:top w:val="nil"/>
        <w:left w:val="nil"/>
        <w:bottom w:val="nil"/>
        <w:right w:val="nil"/>
        <w:between w:val="nil"/>
      </w:pBdr>
      <w:tabs>
        <w:tab w:val="center" w:pos="4680"/>
        <w:tab w:val="right" w:pos="9360"/>
      </w:tabs>
      <w:rPr>
        <w:color w:val="000000"/>
      </w:rPr>
    </w:pPr>
    <w:r>
      <w:rPr>
        <w:color w:val="000000"/>
      </w:rPr>
      <w:pict w14:anchorId="14D7C9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20.65pt;height:57.8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E82"/>
    <w:rsid w:val="00047F75"/>
    <w:rsid w:val="000E4854"/>
    <w:rsid w:val="00133CA9"/>
    <w:rsid w:val="003C38C9"/>
    <w:rsid w:val="004F4E82"/>
    <w:rsid w:val="00665F9B"/>
    <w:rsid w:val="00743D5A"/>
    <w:rsid w:val="0078381E"/>
    <w:rsid w:val="007A0693"/>
    <w:rsid w:val="007A2A87"/>
    <w:rsid w:val="007E5A96"/>
    <w:rsid w:val="00CA4B3B"/>
    <w:rsid w:val="00D30B33"/>
    <w:rsid w:val="00D55685"/>
    <w:rsid w:val="00DF72B9"/>
    <w:rsid w:val="00EC1647"/>
    <w:rsid w:val="00ED38B2"/>
    <w:rsid w:val="00F15EA7"/>
    <w:rsid w:val="00F30559"/>
    <w:rsid w:val="00FA02A6"/>
    <w:rsid w:val="00FD3DD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5600E1"/>
  <w15:docId w15:val="{A7733160-AA0E-428E-8BAD-F364923B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F15EA7"/>
    <w:rPr>
      <w:color w:val="0000FF" w:themeColor="hyperlink"/>
      <w:u w:val="single"/>
    </w:rPr>
  </w:style>
  <w:style w:type="character" w:styleId="UnresolvedMention">
    <w:name w:val="Unresolved Mention"/>
    <w:basedOn w:val="DefaultParagraphFont"/>
    <w:uiPriority w:val="99"/>
    <w:semiHidden/>
    <w:unhideWhenUsed/>
    <w:rsid w:val="00F15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1016/j.profnurs.2016.06.003" TargetMode="External"/><Relationship Id="rId26" Type="http://schemas.openxmlformats.org/officeDocument/2006/relationships/hyperlink" Target="https://doi.org/10.1016/j.ijinfomgt.2020.102168" TargetMode="External"/><Relationship Id="rId39" Type="http://schemas.openxmlformats.org/officeDocument/2006/relationships/hyperlink" Target="http://www.irjet.net" TargetMode="External"/><Relationship Id="rId21" Type="http://schemas.openxmlformats.org/officeDocument/2006/relationships/hyperlink" Target="https://doi.org/10.1111/1748-8583.12524" TargetMode="External"/><Relationship Id="rId34" Type="http://schemas.openxmlformats.org/officeDocument/2006/relationships/hyperlink" Target="https://doi.org/10.1371/journal.pdig.0000198" TargetMode="External"/><Relationship Id="rId42" Type="http://schemas.openxmlformats.org/officeDocument/2006/relationships/hyperlink" Target="https://doi.org/10.1007/s11423-019-09658-3" TargetMode="External"/><Relationship Id="rId47" Type="http://schemas.openxmlformats.org/officeDocument/2006/relationships/hyperlink" Target="https://doi.org/10.5539/ass.v13n12p201" TargetMode="External"/><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doi.org/10.3390/app12052589" TargetMode="External"/><Relationship Id="rId29" Type="http://schemas.openxmlformats.org/officeDocument/2006/relationships/hyperlink" Target="https://doi.org/10.1016/j.iot.2022.100514" TargetMode="External"/><Relationship Id="rId11" Type="http://schemas.openxmlformats.org/officeDocument/2006/relationships/footer" Target="footer3.xml"/><Relationship Id="rId24" Type="http://schemas.openxmlformats.org/officeDocument/2006/relationships/hyperlink" Target="https://doi.org/10.1016/j.ijinfomgt.2022.102542" TargetMode="External"/><Relationship Id="rId32" Type="http://schemas.openxmlformats.org/officeDocument/2006/relationships/hyperlink" Target="https://doi.org/10.1007/s40747-021-00409-7" TargetMode="External"/><Relationship Id="rId37" Type="http://schemas.openxmlformats.org/officeDocument/2006/relationships/hyperlink" Target="https://doi.org/10.1109/COMST.2018.2874978" TargetMode="External"/><Relationship Id="rId40" Type="http://schemas.openxmlformats.org/officeDocument/2006/relationships/hyperlink" Target="https://doi.org/10.15240/tul/001/2020-1-014" TargetMode="External"/><Relationship Id="rId45" Type="http://schemas.openxmlformats.org/officeDocument/2006/relationships/hyperlink" Target="https://doi.org/10.1109/ACCESS.2020.3041951" TargetMode="External"/><Relationship Id="rId53" Type="http://schemas.openxmlformats.org/officeDocument/2006/relationships/header" Target="header6.xml"/><Relationship Id="rId5" Type="http://schemas.openxmlformats.org/officeDocument/2006/relationships/endnotes" Target="endnotes.xml"/><Relationship Id="rId10" Type="http://schemas.openxmlformats.org/officeDocument/2006/relationships/header" Target="header3.xml"/><Relationship Id="rId19" Type="http://schemas.openxmlformats.org/officeDocument/2006/relationships/hyperlink" Target="https://doi.org/10.1016/j.cose.2021.102490" TargetMode="External"/><Relationship Id="rId31" Type="http://schemas.openxmlformats.org/officeDocument/2006/relationships/hyperlink" Target="https://doi.org/10.1057/s41599-022-01284-4" TargetMode="External"/><Relationship Id="rId44" Type="http://schemas.openxmlformats.org/officeDocument/2006/relationships/hyperlink" Target="http://dx.doi.org/10.5772/intechopen" TargetMode="External"/><Relationship Id="rId52"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s://doi.org/10.21428/cb6ab371.d27262ff" TargetMode="External"/><Relationship Id="rId27" Type="http://schemas.openxmlformats.org/officeDocument/2006/relationships/hyperlink" Target="https://doi.org/10.1007/s10639-024-12480-x" TargetMode="External"/><Relationship Id="rId30" Type="http://schemas.openxmlformats.org/officeDocument/2006/relationships/hyperlink" Target="https://doi.org/10.1186/s40537-020-00369-8" TargetMode="External"/><Relationship Id="rId35" Type="http://schemas.openxmlformats.org/officeDocument/2006/relationships/hyperlink" Target="https://doi.org/10.28991/ESJ-2024-08-02-025" TargetMode="External"/><Relationship Id="rId43" Type="http://schemas.openxmlformats.org/officeDocument/2006/relationships/hyperlink" Target="https://doi.org/10.1016/j.chb.2018.05.004" TargetMode="External"/><Relationship Id="rId48" Type="http://schemas.openxmlformats.org/officeDocument/2006/relationships/hyperlink" Target="https://doi.org/10.1016/j.neucom.2020.10.081"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5.xml"/><Relationship Id="rId3"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hyperlink" Target="https://doi.org/10.1186/s41239-020-0177-7" TargetMode="External"/><Relationship Id="rId25" Type="http://schemas.openxmlformats.org/officeDocument/2006/relationships/hyperlink" Target="https://doi.org/10.1016/j.ijinfomgt.2019.08.002" TargetMode="External"/><Relationship Id="rId33" Type="http://schemas.openxmlformats.org/officeDocument/2006/relationships/hyperlink" Target="https://doi.org/10.1007/s42438-020-00169-6" TargetMode="External"/><Relationship Id="rId38" Type="http://schemas.openxmlformats.org/officeDocument/2006/relationships/hyperlink" Target="https://doi.org/10.1136/bmj.n160" TargetMode="External"/><Relationship Id="rId46" Type="http://schemas.openxmlformats.org/officeDocument/2006/relationships/hyperlink" Target="https://doi.org/10.13052/rp-9788770227667" TargetMode="External"/><Relationship Id="rId20" Type="http://schemas.openxmlformats.org/officeDocument/2006/relationships/hyperlink" Target="https://www.intechopen.com/chapters/17746" TargetMode="External"/><Relationship Id="rId41" Type="http://schemas.openxmlformats.org/officeDocument/2006/relationships/hyperlink" Target="https://doi.org/10.1007/s10639-020-10375-1" TargetMode="External"/><Relationship Id="rId54" Type="http://schemas.openxmlformats.org/officeDocument/2006/relationships/hyperlink" Target="https://doi.org/10.1109/JPROC.2016.2558521"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4.png"/><Relationship Id="rId23" Type="http://schemas.openxmlformats.org/officeDocument/2006/relationships/hyperlink" Target="https://doi.org/10.5465/amj.2020.1716" TargetMode="External"/><Relationship Id="rId28" Type="http://schemas.openxmlformats.org/officeDocument/2006/relationships/hyperlink" Target="https://doi.org/10.1109/ACCESS.2022.3171829" TargetMode="External"/><Relationship Id="rId36" Type="http://schemas.openxmlformats.org/officeDocument/2006/relationships/hyperlink" Target="https://doi.org/10.1016/j.ijhm.2019.01.005" TargetMode="External"/><Relationship Id="rId49" Type="http://schemas.openxmlformats.org/officeDocument/2006/relationships/hyperlink" Target="https://doi.org/10.1016/j.inffus.2021.07.01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16</Pages>
  <Words>7428</Words>
  <Characters>45165</Characters>
  <Application>Microsoft Office Word</Application>
  <DocSecurity>0</DocSecurity>
  <Lines>1026</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dc:creator>
  <cp:lastModifiedBy>CAST</cp:lastModifiedBy>
  <cp:revision>8</cp:revision>
  <dcterms:created xsi:type="dcterms:W3CDTF">2025-11-18T14:22:00Z</dcterms:created>
  <dcterms:modified xsi:type="dcterms:W3CDTF">2025-11-19T16:18:00Z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4004966f-d02b-46dc-9b1a-d665774675fc</vt:lpwstr>
  </property>
</Properties>
</file>