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AE7CB5" w14:textId="77777777" w:rsidR="00754C9A" w:rsidRDefault="00754C9A" w:rsidP="00441B6F">
      <w:pPr>
        <w:pStyle w:val="Title"/>
        <w:spacing w:after="0"/>
        <w:jc w:val="both"/>
        <w:rPr>
          <w:rFonts w:ascii="Arial" w:hAnsi="Arial" w:cs="Arial"/>
        </w:rPr>
      </w:pPr>
    </w:p>
    <w:p w14:paraId="0BCAC250" w14:textId="77777777" w:rsidR="00113D86" w:rsidRPr="00113D86" w:rsidRDefault="00113D86" w:rsidP="00113D86">
      <w:pPr>
        <w:pStyle w:val="Author"/>
        <w:rPr>
          <w:rFonts w:ascii="Arial" w:hAnsi="Arial" w:cs="Arial"/>
          <w:bCs/>
          <w:i/>
          <w:iCs/>
          <w:kern w:val="28"/>
          <w:sz w:val="18"/>
          <w:szCs w:val="18"/>
          <w:u w:val="single"/>
        </w:rPr>
      </w:pPr>
      <w:r w:rsidRPr="00113D86">
        <w:rPr>
          <w:rFonts w:ascii="Arial" w:hAnsi="Arial" w:cs="Arial"/>
          <w:bCs/>
          <w:i/>
          <w:iCs/>
          <w:kern w:val="28"/>
          <w:sz w:val="18"/>
          <w:szCs w:val="18"/>
          <w:u w:val="single"/>
        </w:rPr>
        <w:t>Short Research Article</w:t>
      </w:r>
    </w:p>
    <w:p w14:paraId="74F31061" w14:textId="77777777" w:rsidR="00A258C3" w:rsidRDefault="00997B8D" w:rsidP="0095578F">
      <w:pPr>
        <w:pStyle w:val="Author"/>
        <w:spacing w:line="240" w:lineRule="auto"/>
        <w:rPr>
          <w:rFonts w:ascii="Arial" w:hAnsi="Arial" w:cs="Arial"/>
          <w:bCs/>
          <w:iCs/>
          <w:kern w:val="28"/>
          <w:sz w:val="36"/>
        </w:rPr>
      </w:pPr>
      <w:r w:rsidRPr="00997B8D">
        <w:rPr>
          <w:rFonts w:ascii="Arial" w:hAnsi="Arial" w:cs="Arial"/>
          <w:bCs/>
          <w:iCs/>
          <w:kern w:val="28"/>
          <w:sz w:val="36"/>
        </w:rPr>
        <w:t xml:space="preserve">Ethnomedicinal Knowledge and Phytochemical Screening of </w:t>
      </w:r>
      <w:proofErr w:type="spellStart"/>
      <w:r w:rsidRPr="00997B8D">
        <w:rPr>
          <w:rFonts w:ascii="Arial" w:hAnsi="Arial" w:cs="Arial"/>
          <w:bCs/>
          <w:iCs/>
          <w:kern w:val="28"/>
          <w:sz w:val="36"/>
        </w:rPr>
        <w:t>Saluyot</w:t>
      </w:r>
      <w:proofErr w:type="spellEnd"/>
      <w:r w:rsidRPr="00997B8D">
        <w:rPr>
          <w:rFonts w:ascii="Arial" w:hAnsi="Arial" w:cs="Arial"/>
          <w:bCs/>
          <w:iCs/>
          <w:kern w:val="28"/>
          <w:sz w:val="36"/>
        </w:rPr>
        <w:t xml:space="preserve"> (</w:t>
      </w:r>
      <w:proofErr w:type="spellStart"/>
      <w:r w:rsidRPr="00997B8D">
        <w:rPr>
          <w:rFonts w:ascii="Arial" w:hAnsi="Arial" w:cs="Arial"/>
          <w:b w:val="0"/>
          <w:bCs/>
          <w:i/>
          <w:iCs/>
          <w:kern w:val="28"/>
          <w:sz w:val="36"/>
        </w:rPr>
        <w:t>Corchorus</w:t>
      </w:r>
      <w:proofErr w:type="spellEnd"/>
      <w:r w:rsidRPr="00997B8D">
        <w:rPr>
          <w:rFonts w:ascii="Arial" w:hAnsi="Arial" w:cs="Arial"/>
          <w:b w:val="0"/>
          <w:bCs/>
          <w:i/>
          <w:iCs/>
          <w:kern w:val="28"/>
          <w:sz w:val="36"/>
        </w:rPr>
        <w:t xml:space="preserve"> </w:t>
      </w:r>
      <w:proofErr w:type="spellStart"/>
      <w:r w:rsidRPr="00997B8D">
        <w:rPr>
          <w:rFonts w:ascii="Arial" w:hAnsi="Arial" w:cs="Arial"/>
          <w:b w:val="0"/>
          <w:bCs/>
          <w:i/>
          <w:iCs/>
          <w:kern w:val="28"/>
          <w:sz w:val="36"/>
        </w:rPr>
        <w:t>olitorius</w:t>
      </w:r>
      <w:proofErr w:type="spellEnd"/>
      <w:r w:rsidRPr="00997B8D">
        <w:rPr>
          <w:rFonts w:ascii="Arial" w:hAnsi="Arial" w:cs="Arial"/>
          <w:b w:val="0"/>
          <w:bCs/>
          <w:i/>
          <w:iCs/>
          <w:kern w:val="28"/>
          <w:sz w:val="36"/>
        </w:rPr>
        <w:t xml:space="preserve"> L.</w:t>
      </w:r>
      <w:r w:rsidRPr="00997B8D">
        <w:rPr>
          <w:rFonts w:ascii="Arial" w:hAnsi="Arial" w:cs="Arial"/>
          <w:bCs/>
          <w:iCs/>
          <w:kern w:val="28"/>
          <w:sz w:val="36"/>
        </w:rPr>
        <w:t xml:space="preserve">) Leaf Extract Used by the </w:t>
      </w:r>
      <w:proofErr w:type="spellStart"/>
      <w:r w:rsidRPr="00997B8D">
        <w:rPr>
          <w:rFonts w:ascii="Arial" w:hAnsi="Arial" w:cs="Arial"/>
          <w:bCs/>
          <w:iCs/>
          <w:kern w:val="28"/>
          <w:sz w:val="36"/>
        </w:rPr>
        <w:t>Tigwahanon</w:t>
      </w:r>
      <w:proofErr w:type="spellEnd"/>
      <w:r w:rsidRPr="00997B8D">
        <w:rPr>
          <w:rFonts w:ascii="Arial" w:hAnsi="Arial" w:cs="Arial"/>
          <w:bCs/>
          <w:iCs/>
          <w:kern w:val="28"/>
          <w:sz w:val="36"/>
        </w:rPr>
        <w:t xml:space="preserve"> Tribe of San Fernando, Bukidnon</w:t>
      </w:r>
      <w:r>
        <w:rPr>
          <w:rFonts w:ascii="Arial" w:hAnsi="Arial" w:cs="Arial"/>
          <w:bCs/>
          <w:iCs/>
          <w:kern w:val="28"/>
          <w:sz w:val="36"/>
        </w:rPr>
        <w:t>, Philippines</w:t>
      </w:r>
    </w:p>
    <w:p w14:paraId="2BC85745" w14:textId="77777777" w:rsidR="00997B8D" w:rsidRPr="00790ADA" w:rsidRDefault="00997B8D" w:rsidP="00441B6F">
      <w:pPr>
        <w:pStyle w:val="Author"/>
        <w:spacing w:line="240" w:lineRule="auto"/>
        <w:jc w:val="both"/>
        <w:rPr>
          <w:rFonts w:ascii="Arial" w:hAnsi="Arial" w:cs="Arial"/>
          <w:sz w:val="36"/>
        </w:rPr>
      </w:pPr>
    </w:p>
    <w:p w14:paraId="5CFFD911" w14:textId="77777777" w:rsidR="002C57D2" w:rsidRPr="00FB3A86" w:rsidRDefault="002C57D2" w:rsidP="00441B6F">
      <w:pPr>
        <w:pStyle w:val="Affiliation"/>
        <w:spacing w:after="0" w:line="240" w:lineRule="auto"/>
        <w:jc w:val="both"/>
        <w:rPr>
          <w:rFonts w:ascii="Arial" w:hAnsi="Arial" w:cs="Arial"/>
        </w:rPr>
      </w:pPr>
    </w:p>
    <w:p w14:paraId="5E37559D" w14:textId="77777777" w:rsidR="00B01FCD" w:rsidRPr="00FB3A86" w:rsidRDefault="00C26A26" w:rsidP="00441B6F">
      <w:pPr>
        <w:pStyle w:val="Copyright"/>
        <w:spacing w:after="0" w:line="240" w:lineRule="auto"/>
        <w:jc w:val="both"/>
        <w:rPr>
          <w:rFonts w:ascii="Arial" w:hAnsi="Arial" w:cs="Arial"/>
        </w:rPr>
        <w:sectPr w:rsidR="00B01FCD" w:rsidRPr="00FB3A86" w:rsidSect="007F1E1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2BFE4FB" wp14:editId="16C02EC7">
                <wp:extent cx="5303520" cy="0"/>
                <wp:effectExtent l="11430" t="17780" r="9525" b="1079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D2D9EF"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0BDC4C38"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1D64AE3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7B4C0F5" w14:textId="77777777" w:rsidTr="00997B8D">
        <w:trPr>
          <w:trHeight w:val="3950"/>
        </w:trPr>
        <w:tc>
          <w:tcPr>
            <w:tcW w:w="9576" w:type="dxa"/>
            <w:shd w:val="clear" w:color="auto" w:fill="F2F2F2"/>
          </w:tcPr>
          <w:p w14:paraId="3A7BBAA9" w14:textId="17A485B1" w:rsidR="00505F06" w:rsidRPr="00BA1B01" w:rsidRDefault="005E4E6F" w:rsidP="001033F1">
            <w:pPr>
              <w:pStyle w:val="Body"/>
              <w:spacing w:after="0"/>
              <w:rPr>
                <w:rFonts w:ascii="Arial" w:eastAsia="Calibri" w:hAnsi="Arial" w:cs="Arial"/>
                <w:szCs w:val="22"/>
              </w:rPr>
            </w:pPr>
            <w:r>
              <w:rPr>
                <w:rFonts w:ascii="Arial" w:eastAsia="Calibri" w:hAnsi="Arial" w:cs="Arial"/>
                <w:szCs w:val="22"/>
              </w:rPr>
              <w:t>The</w:t>
            </w:r>
            <w:r w:rsidR="00997B8D" w:rsidRPr="00997B8D">
              <w:rPr>
                <w:rFonts w:ascii="Arial" w:eastAsia="Calibri" w:hAnsi="Arial" w:cs="Arial"/>
                <w:szCs w:val="22"/>
              </w:rPr>
              <w:t xml:space="preserve"> Philippines</w:t>
            </w:r>
            <w:r>
              <w:rPr>
                <w:rFonts w:ascii="Arial" w:eastAsia="Calibri" w:hAnsi="Arial" w:cs="Arial"/>
                <w:szCs w:val="22"/>
              </w:rPr>
              <w:t xml:space="preserve"> is a global biodiversity hotspot and has</w:t>
            </w:r>
            <w:r w:rsidR="00997B8D" w:rsidRPr="00997B8D">
              <w:rPr>
                <w:rFonts w:ascii="Arial" w:eastAsia="Calibri" w:hAnsi="Arial" w:cs="Arial"/>
                <w:szCs w:val="22"/>
              </w:rPr>
              <w:t xml:space="preserve"> numerous ethnic communities </w:t>
            </w:r>
            <w:r>
              <w:rPr>
                <w:rFonts w:ascii="Arial" w:eastAsia="Calibri" w:hAnsi="Arial" w:cs="Arial"/>
                <w:szCs w:val="22"/>
              </w:rPr>
              <w:t xml:space="preserve">that </w:t>
            </w:r>
            <w:r w:rsidR="00997B8D" w:rsidRPr="00997B8D">
              <w:rPr>
                <w:rFonts w:ascii="Arial" w:eastAsia="Calibri" w:hAnsi="Arial" w:cs="Arial"/>
                <w:szCs w:val="22"/>
              </w:rPr>
              <w:t>utilize their rich local flora</w:t>
            </w:r>
            <w:r>
              <w:rPr>
                <w:rFonts w:ascii="Arial" w:eastAsia="Calibri" w:hAnsi="Arial" w:cs="Arial"/>
                <w:szCs w:val="22"/>
              </w:rPr>
              <w:t xml:space="preserve"> </w:t>
            </w:r>
            <w:r w:rsidR="00997B8D" w:rsidRPr="00997B8D">
              <w:rPr>
                <w:rFonts w:ascii="Arial" w:eastAsia="Calibri" w:hAnsi="Arial" w:cs="Arial"/>
                <w:szCs w:val="22"/>
              </w:rPr>
              <w:t>as a foundational element of their traditional healing systems and irreplaceable ethnomedical knowledge.</w:t>
            </w:r>
            <w:r w:rsidR="00997B8D">
              <w:rPr>
                <w:rFonts w:ascii="Arial" w:eastAsia="Calibri" w:hAnsi="Arial" w:cs="Arial"/>
                <w:szCs w:val="22"/>
              </w:rPr>
              <w:t xml:space="preserve"> </w:t>
            </w:r>
            <w:r w:rsidR="00997B8D" w:rsidRPr="00997B8D">
              <w:rPr>
                <w:rFonts w:ascii="Arial" w:eastAsia="Calibri" w:hAnsi="Arial" w:cs="Arial"/>
                <w:szCs w:val="22"/>
              </w:rPr>
              <w:t xml:space="preserve">This study systematically documented and scientifically validated the </w:t>
            </w:r>
            <w:proofErr w:type="spellStart"/>
            <w:r w:rsidR="00997B8D" w:rsidRPr="00997B8D">
              <w:rPr>
                <w:rFonts w:ascii="Arial" w:eastAsia="Calibri" w:hAnsi="Arial" w:cs="Arial"/>
                <w:szCs w:val="22"/>
              </w:rPr>
              <w:t>ethnomedicinal</w:t>
            </w:r>
            <w:proofErr w:type="spellEnd"/>
            <w:r w:rsidR="00997B8D" w:rsidRPr="00997B8D">
              <w:rPr>
                <w:rFonts w:ascii="Arial" w:eastAsia="Calibri" w:hAnsi="Arial" w:cs="Arial"/>
                <w:szCs w:val="22"/>
              </w:rPr>
              <w:t xml:space="preserve"> uses of </w:t>
            </w:r>
            <w:proofErr w:type="spellStart"/>
            <w:r w:rsidR="001033F1" w:rsidRPr="001033F1">
              <w:rPr>
                <w:rFonts w:ascii="Arial" w:eastAsia="Calibri" w:hAnsi="Arial" w:cs="Arial"/>
                <w:color w:val="FF0000"/>
                <w:szCs w:val="22"/>
              </w:rPr>
              <w:t>Saluyot</w:t>
            </w:r>
            <w:proofErr w:type="spellEnd"/>
            <w:r w:rsidR="001033F1" w:rsidRPr="001033F1">
              <w:rPr>
                <w:rFonts w:ascii="Arial" w:eastAsia="Calibri" w:hAnsi="Arial" w:cs="Arial"/>
                <w:i/>
                <w:color w:val="FF0000"/>
                <w:szCs w:val="22"/>
              </w:rPr>
              <w:t xml:space="preserve"> </w:t>
            </w:r>
            <w:r w:rsidR="00997B8D" w:rsidRPr="001033F1">
              <w:rPr>
                <w:rFonts w:ascii="Arial" w:eastAsia="Calibri" w:hAnsi="Arial" w:cs="Arial"/>
                <w:color w:val="FF0000"/>
                <w:szCs w:val="22"/>
              </w:rPr>
              <w:t>(</w:t>
            </w:r>
            <w:proofErr w:type="spellStart"/>
            <w:r w:rsidR="001033F1" w:rsidRPr="001033F1">
              <w:rPr>
                <w:rFonts w:ascii="Arial" w:eastAsia="Calibri" w:hAnsi="Arial" w:cs="Arial"/>
                <w:i/>
                <w:color w:val="FF0000"/>
                <w:szCs w:val="22"/>
              </w:rPr>
              <w:t>Corchorus</w:t>
            </w:r>
            <w:proofErr w:type="spellEnd"/>
            <w:r w:rsidR="001033F1" w:rsidRPr="001033F1">
              <w:rPr>
                <w:rFonts w:ascii="Arial" w:eastAsia="Calibri" w:hAnsi="Arial" w:cs="Arial"/>
                <w:i/>
                <w:color w:val="FF0000"/>
                <w:szCs w:val="22"/>
              </w:rPr>
              <w:t xml:space="preserve"> </w:t>
            </w:r>
            <w:proofErr w:type="spellStart"/>
            <w:r w:rsidR="001033F1" w:rsidRPr="001033F1">
              <w:rPr>
                <w:rFonts w:ascii="Arial" w:eastAsia="Calibri" w:hAnsi="Arial" w:cs="Arial"/>
                <w:i/>
                <w:color w:val="FF0000"/>
                <w:szCs w:val="22"/>
              </w:rPr>
              <w:t>olitorius</w:t>
            </w:r>
            <w:proofErr w:type="spellEnd"/>
            <w:r w:rsidR="001033F1" w:rsidRPr="001033F1">
              <w:rPr>
                <w:rFonts w:ascii="Arial" w:eastAsia="Calibri" w:hAnsi="Arial" w:cs="Arial"/>
                <w:i/>
                <w:color w:val="FF0000"/>
                <w:szCs w:val="22"/>
              </w:rPr>
              <w:t xml:space="preserve"> L.</w:t>
            </w:r>
            <w:r w:rsidR="00997B8D" w:rsidRPr="001033F1">
              <w:rPr>
                <w:rFonts w:ascii="Arial" w:eastAsia="Calibri" w:hAnsi="Arial" w:cs="Arial"/>
                <w:color w:val="FF0000"/>
                <w:szCs w:val="22"/>
              </w:rPr>
              <w:t xml:space="preserve">) </w:t>
            </w:r>
            <w:r w:rsidR="00997B8D" w:rsidRPr="00997B8D">
              <w:rPr>
                <w:rFonts w:ascii="Arial" w:eastAsia="Calibri" w:hAnsi="Arial" w:cs="Arial"/>
                <w:szCs w:val="22"/>
              </w:rPr>
              <w:t xml:space="preserve">leaf by the </w:t>
            </w:r>
            <w:proofErr w:type="spellStart"/>
            <w:r w:rsidR="00997B8D" w:rsidRPr="00997B8D">
              <w:rPr>
                <w:rFonts w:ascii="Arial" w:eastAsia="Calibri" w:hAnsi="Arial" w:cs="Arial"/>
                <w:szCs w:val="22"/>
              </w:rPr>
              <w:t>Tigwahanon</w:t>
            </w:r>
            <w:proofErr w:type="spellEnd"/>
            <w:r w:rsidR="00997B8D" w:rsidRPr="00997B8D">
              <w:rPr>
                <w:rFonts w:ascii="Arial" w:eastAsia="Calibri" w:hAnsi="Arial" w:cs="Arial"/>
                <w:szCs w:val="22"/>
              </w:rPr>
              <w:t xml:space="preserve"> tribe in San Fernando, Bukidnon, and correlated these uses with the plant's phytochemical profile. An ethnopharmacological survey was conducted among ten key informants (healers and elders) using semi-structured interviews, with a 70% consensus threshold used to classify claims as validated. </w:t>
            </w:r>
            <w:r w:rsidR="001033F1" w:rsidRPr="001033F1">
              <w:rPr>
                <w:rFonts w:ascii="Arial" w:eastAsia="Calibri" w:hAnsi="Arial" w:cs="Arial"/>
                <w:color w:val="FF0000"/>
                <w:szCs w:val="22"/>
              </w:rPr>
              <w:t>Additionally</w:t>
            </w:r>
            <w:r w:rsidR="00997B8D" w:rsidRPr="00997B8D">
              <w:rPr>
                <w:rFonts w:ascii="Arial" w:eastAsia="Calibri" w:hAnsi="Arial" w:cs="Arial"/>
                <w:szCs w:val="22"/>
              </w:rPr>
              <w:t xml:space="preserve">, an </w:t>
            </w:r>
            <w:proofErr w:type="spellStart"/>
            <w:r w:rsidR="00997B8D" w:rsidRPr="00997B8D">
              <w:rPr>
                <w:rFonts w:ascii="Arial" w:eastAsia="Calibri" w:hAnsi="Arial" w:cs="Arial"/>
                <w:szCs w:val="22"/>
              </w:rPr>
              <w:t>ethanolic</w:t>
            </w:r>
            <w:proofErr w:type="spellEnd"/>
            <w:r w:rsidR="00997B8D" w:rsidRPr="00997B8D">
              <w:rPr>
                <w:rFonts w:ascii="Arial" w:eastAsia="Calibri" w:hAnsi="Arial" w:cs="Arial"/>
                <w:szCs w:val="22"/>
              </w:rPr>
              <w:t xml:space="preserve"> leaf extract was subjected to qualitative phytochemical screening to identify major secondary metabolites.  The findings demonstrated strong community agreement, with seven out of eight traditional claims achieving validated status. The highest consensus was found for treating diabetes (100%) and arthritis (90%), followed by fever, wounds, and headaches (≥70%). The phytochemical screening confirmed the presence of flavonoids, terpenoids, alkaloids, saponins, and tannins. The data triangulation established a strong scientific rationale: the high consensus for diabetes is supported by the confirmed presence of flavonoids and saponins, known for their anti-hyperglycemic activity. Similarly, the use against arthritis and fever is linked to flavonoids and terpenoids, which exhibit potent anti-inflammatory effects. These findings validate the traditional knowledge of the </w:t>
            </w:r>
            <w:proofErr w:type="spellStart"/>
            <w:r w:rsidR="00997B8D" w:rsidRPr="00997B8D">
              <w:rPr>
                <w:rFonts w:ascii="Arial" w:eastAsia="Calibri" w:hAnsi="Arial" w:cs="Arial"/>
                <w:szCs w:val="22"/>
              </w:rPr>
              <w:t>Tigwahanon</w:t>
            </w:r>
            <w:proofErr w:type="spellEnd"/>
            <w:r w:rsidR="00997B8D" w:rsidRPr="00997B8D">
              <w:rPr>
                <w:rFonts w:ascii="Arial" w:eastAsia="Calibri" w:hAnsi="Arial" w:cs="Arial"/>
                <w:szCs w:val="22"/>
              </w:rPr>
              <w:t xml:space="preserve"> tribe and strongly recommend the </w:t>
            </w:r>
            <w:r w:rsidR="00997B8D" w:rsidRPr="00997B8D">
              <w:rPr>
                <w:rFonts w:ascii="Arial" w:eastAsia="Calibri" w:hAnsi="Arial" w:cs="Arial"/>
                <w:i/>
                <w:szCs w:val="22"/>
              </w:rPr>
              <w:t xml:space="preserve">C. </w:t>
            </w:r>
            <w:proofErr w:type="spellStart"/>
            <w:r w:rsidR="00997B8D" w:rsidRPr="00997B8D">
              <w:rPr>
                <w:rFonts w:ascii="Arial" w:eastAsia="Calibri" w:hAnsi="Arial" w:cs="Arial"/>
                <w:i/>
                <w:szCs w:val="22"/>
              </w:rPr>
              <w:t>olitorius</w:t>
            </w:r>
            <w:proofErr w:type="spellEnd"/>
            <w:r w:rsidR="00997B8D" w:rsidRPr="00997B8D">
              <w:rPr>
                <w:rFonts w:ascii="Arial" w:eastAsia="Calibri" w:hAnsi="Arial" w:cs="Arial"/>
                <w:szCs w:val="22"/>
              </w:rPr>
              <w:t xml:space="preserve"> for future isolation studies to develop standardized phytomedicines.</w:t>
            </w:r>
            <w:r w:rsidR="00997B8D" w:rsidRPr="00BA1B01">
              <w:rPr>
                <w:rFonts w:ascii="Arial" w:eastAsia="Calibri" w:hAnsi="Arial" w:cs="Arial"/>
                <w:szCs w:val="22"/>
              </w:rPr>
              <w:t xml:space="preserve"> </w:t>
            </w:r>
          </w:p>
        </w:tc>
      </w:tr>
    </w:tbl>
    <w:p w14:paraId="2C5B4F7F" w14:textId="77777777" w:rsidR="00636EB2" w:rsidRDefault="00636EB2" w:rsidP="00441B6F">
      <w:pPr>
        <w:pStyle w:val="Body"/>
        <w:spacing w:after="0"/>
        <w:rPr>
          <w:rFonts w:ascii="Arial" w:hAnsi="Arial" w:cs="Arial"/>
          <w:i/>
        </w:rPr>
      </w:pPr>
    </w:p>
    <w:p w14:paraId="46058278" w14:textId="77777777" w:rsidR="00A24E7E" w:rsidRDefault="00A24E7E" w:rsidP="00441B6F">
      <w:pPr>
        <w:pStyle w:val="Body"/>
        <w:spacing w:after="0"/>
        <w:rPr>
          <w:rFonts w:ascii="Arial" w:hAnsi="Arial" w:cs="Arial"/>
          <w:i/>
        </w:rPr>
      </w:pPr>
      <w:r>
        <w:rPr>
          <w:rFonts w:ascii="Arial" w:hAnsi="Arial" w:cs="Arial"/>
          <w:i/>
        </w:rPr>
        <w:t xml:space="preserve">Keywords: </w:t>
      </w:r>
      <w:r w:rsidR="008305BB">
        <w:rPr>
          <w:rFonts w:ascii="Arial" w:hAnsi="Arial" w:cs="Arial"/>
          <w:i/>
        </w:rPr>
        <w:t xml:space="preserve">Phytochemical screening, ethnomedicine, </w:t>
      </w:r>
      <w:r w:rsidR="008305BB" w:rsidRPr="008305BB">
        <w:rPr>
          <w:rFonts w:ascii="Arial" w:hAnsi="Arial" w:cs="Arial"/>
          <w:i/>
        </w:rPr>
        <w:t>indigenous knowledge</w:t>
      </w:r>
      <w:r w:rsidR="007627E9" w:rsidRPr="008305BB">
        <w:rPr>
          <w:rFonts w:ascii="Arial" w:hAnsi="Arial" w:cs="Arial"/>
          <w:i/>
        </w:rPr>
        <w:t>, secondary</w:t>
      </w:r>
      <w:r w:rsidR="008305BB" w:rsidRPr="008305BB">
        <w:rPr>
          <w:rFonts w:ascii="Arial" w:hAnsi="Arial" w:cs="Arial"/>
          <w:i/>
        </w:rPr>
        <w:t xml:space="preserve"> metabolites</w:t>
      </w:r>
      <w:r w:rsidR="007627E9" w:rsidRPr="008305BB">
        <w:rPr>
          <w:rFonts w:ascii="Arial" w:hAnsi="Arial" w:cs="Arial"/>
          <w:i/>
        </w:rPr>
        <w:t>, flavonoids</w:t>
      </w:r>
      <w:r w:rsidR="008305BB">
        <w:rPr>
          <w:rFonts w:ascii="Arial" w:hAnsi="Arial" w:cs="Arial"/>
          <w:i/>
        </w:rPr>
        <w:t>, ethnobotany</w:t>
      </w:r>
    </w:p>
    <w:p w14:paraId="5C6B0C6F" w14:textId="77777777" w:rsidR="00505F06" w:rsidRPr="00A24E7E" w:rsidRDefault="00505F06" w:rsidP="00441B6F">
      <w:pPr>
        <w:pStyle w:val="Body"/>
        <w:spacing w:after="0"/>
        <w:rPr>
          <w:rFonts w:ascii="Arial" w:hAnsi="Arial" w:cs="Arial"/>
          <w:i/>
        </w:rPr>
      </w:pPr>
    </w:p>
    <w:p w14:paraId="11C8EC2C"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4191266" w14:textId="77777777" w:rsidR="00790ADA" w:rsidRPr="00FB3A86" w:rsidRDefault="00790ADA" w:rsidP="00441B6F">
      <w:pPr>
        <w:pStyle w:val="AbstHead"/>
        <w:spacing w:after="0"/>
        <w:jc w:val="both"/>
        <w:rPr>
          <w:rFonts w:ascii="Arial" w:hAnsi="Arial" w:cs="Arial"/>
        </w:rPr>
      </w:pPr>
    </w:p>
    <w:p w14:paraId="30E3B8A9" w14:textId="77777777" w:rsidR="008305BB" w:rsidRPr="008305BB" w:rsidRDefault="008305BB" w:rsidP="008305BB">
      <w:pPr>
        <w:pStyle w:val="Body"/>
        <w:rPr>
          <w:rFonts w:ascii="Arial" w:hAnsi="Arial" w:cs="Arial"/>
        </w:rPr>
      </w:pPr>
      <w:r w:rsidRPr="008305BB">
        <w:rPr>
          <w:rFonts w:ascii="Arial" w:hAnsi="Arial" w:cs="Arial"/>
        </w:rPr>
        <w:t xml:space="preserve">The Philippines is recognized for its megadiverse hotspot that harbors a diverse flora that supports the traditional healing practices of its numerous ethnic communities. Globally, the utilization of medicinal plants forms a cornerstone of indigenous healthcare systems, with these groups possessing an irreplaceable reservoir of ethnomedical knowledge accumulated over countless generations. The </w:t>
      </w:r>
      <w:proofErr w:type="spellStart"/>
      <w:r w:rsidRPr="008305BB">
        <w:rPr>
          <w:rFonts w:ascii="Arial" w:hAnsi="Arial" w:cs="Arial"/>
        </w:rPr>
        <w:t>Tigwahanon</w:t>
      </w:r>
      <w:proofErr w:type="spellEnd"/>
      <w:r w:rsidRPr="008305BB">
        <w:rPr>
          <w:rFonts w:ascii="Arial" w:hAnsi="Arial" w:cs="Arial"/>
        </w:rPr>
        <w:t xml:space="preserve"> </w:t>
      </w:r>
      <w:r>
        <w:rPr>
          <w:rFonts w:ascii="Arial" w:hAnsi="Arial" w:cs="Arial"/>
        </w:rPr>
        <w:t xml:space="preserve">tribe of San Fernando, Bukidnon, </w:t>
      </w:r>
      <w:r w:rsidRPr="008305BB">
        <w:rPr>
          <w:rFonts w:ascii="Arial" w:hAnsi="Arial" w:cs="Arial"/>
        </w:rPr>
        <w:t>a region nestled w</w:t>
      </w:r>
      <w:r>
        <w:rPr>
          <w:rFonts w:ascii="Arial" w:hAnsi="Arial" w:cs="Arial"/>
        </w:rPr>
        <w:t xml:space="preserve">ithin this biodiversity belt, </w:t>
      </w:r>
      <w:r w:rsidRPr="008305BB">
        <w:rPr>
          <w:rFonts w:ascii="Arial" w:hAnsi="Arial" w:cs="Arial"/>
        </w:rPr>
        <w:t>maintains a unique traditional healing system deeply reliant on the local forest flora. Among the key botanicals in their pharmacopeia is jute mallow (</w:t>
      </w:r>
      <w:proofErr w:type="spellStart"/>
      <w:r w:rsidRPr="00A330A1">
        <w:rPr>
          <w:rFonts w:ascii="Arial" w:hAnsi="Arial" w:cs="Arial"/>
          <w:i/>
        </w:rPr>
        <w:t>Corchorus</w:t>
      </w:r>
      <w:proofErr w:type="spellEnd"/>
      <w:r w:rsidRPr="00A330A1">
        <w:rPr>
          <w:rFonts w:ascii="Arial" w:hAnsi="Arial" w:cs="Arial"/>
          <w:i/>
        </w:rPr>
        <w:t xml:space="preserve"> </w:t>
      </w:r>
      <w:proofErr w:type="spellStart"/>
      <w:r w:rsidRPr="00A330A1">
        <w:rPr>
          <w:rFonts w:ascii="Arial" w:hAnsi="Arial" w:cs="Arial"/>
          <w:i/>
        </w:rPr>
        <w:t>olitorius</w:t>
      </w:r>
      <w:proofErr w:type="spellEnd"/>
      <w:r w:rsidRPr="00A330A1">
        <w:rPr>
          <w:rFonts w:ascii="Arial" w:hAnsi="Arial" w:cs="Arial"/>
          <w:i/>
        </w:rPr>
        <w:t xml:space="preserve"> L.),</w:t>
      </w:r>
      <w:r w:rsidRPr="008305BB">
        <w:rPr>
          <w:rFonts w:ascii="Arial" w:hAnsi="Arial" w:cs="Arial"/>
        </w:rPr>
        <w:t xml:space="preserve"> </w:t>
      </w:r>
      <w:r w:rsidR="00A330A1">
        <w:rPr>
          <w:rFonts w:ascii="Arial" w:hAnsi="Arial" w:cs="Arial"/>
        </w:rPr>
        <w:t>locally</w:t>
      </w:r>
      <w:r w:rsidRPr="008305BB">
        <w:rPr>
          <w:rFonts w:ascii="Arial" w:hAnsi="Arial" w:cs="Arial"/>
        </w:rPr>
        <w:t xml:space="preserve"> known as </w:t>
      </w:r>
      <w:proofErr w:type="spellStart"/>
      <w:r w:rsidRPr="008305BB">
        <w:rPr>
          <w:rFonts w:ascii="Arial" w:hAnsi="Arial" w:cs="Arial"/>
        </w:rPr>
        <w:t>saluyot</w:t>
      </w:r>
      <w:proofErr w:type="spellEnd"/>
      <w:r w:rsidRPr="008305BB">
        <w:rPr>
          <w:rFonts w:ascii="Arial" w:hAnsi="Arial" w:cs="Arial"/>
        </w:rPr>
        <w:t>. This leafy vegetable boasts a documented global history of ethnomedical application, notably for addressing conditions related to pain, inflammation, and gastrointestinal distress.</w:t>
      </w:r>
    </w:p>
    <w:p w14:paraId="2B2FEA90" w14:textId="77777777" w:rsidR="008305BB" w:rsidRPr="008305BB" w:rsidRDefault="008305BB" w:rsidP="008305BB">
      <w:pPr>
        <w:pStyle w:val="Body"/>
        <w:rPr>
          <w:rFonts w:ascii="Arial" w:hAnsi="Arial" w:cs="Arial"/>
        </w:rPr>
      </w:pPr>
      <w:r w:rsidRPr="008305BB">
        <w:rPr>
          <w:rFonts w:ascii="Arial" w:hAnsi="Arial" w:cs="Arial"/>
        </w:rPr>
        <w:lastRenderedPageBreak/>
        <w:t xml:space="preserve">Despite the widespread consumption and established global ethnomedical recognition of </w:t>
      </w:r>
      <w:r w:rsidRPr="00A330A1">
        <w:rPr>
          <w:rFonts w:ascii="Arial" w:hAnsi="Arial" w:cs="Arial"/>
          <w:i/>
        </w:rPr>
        <w:t xml:space="preserve">C. </w:t>
      </w:r>
      <w:proofErr w:type="spellStart"/>
      <w:r w:rsidRPr="00A330A1">
        <w:rPr>
          <w:rFonts w:ascii="Arial" w:hAnsi="Arial" w:cs="Arial"/>
          <w:i/>
        </w:rPr>
        <w:t>olitorius</w:t>
      </w:r>
      <w:proofErr w:type="spellEnd"/>
      <w:r w:rsidRPr="008305BB">
        <w:rPr>
          <w:rFonts w:ascii="Arial" w:hAnsi="Arial" w:cs="Arial"/>
        </w:rPr>
        <w:t xml:space="preserve">, a critical research lacuna persists concerning the specific ethnomedical applications and the corresponding phytochemical profile of the </w:t>
      </w:r>
      <w:r w:rsidRPr="00A330A1">
        <w:rPr>
          <w:rFonts w:ascii="Arial" w:hAnsi="Arial" w:cs="Arial"/>
          <w:i/>
        </w:rPr>
        <w:t xml:space="preserve">C. </w:t>
      </w:r>
      <w:proofErr w:type="spellStart"/>
      <w:r w:rsidRPr="00A330A1">
        <w:rPr>
          <w:rFonts w:ascii="Arial" w:hAnsi="Arial" w:cs="Arial"/>
          <w:i/>
        </w:rPr>
        <w:t>olitorius</w:t>
      </w:r>
      <w:proofErr w:type="spellEnd"/>
      <w:r w:rsidRPr="008305BB">
        <w:rPr>
          <w:rFonts w:ascii="Arial" w:hAnsi="Arial" w:cs="Arial"/>
        </w:rPr>
        <w:t xml:space="preserve"> biotype utilized by the </w:t>
      </w:r>
      <w:proofErr w:type="spellStart"/>
      <w:r w:rsidRPr="008305BB">
        <w:rPr>
          <w:rFonts w:ascii="Arial" w:hAnsi="Arial" w:cs="Arial"/>
        </w:rPr>
        <w:t>Tigwahanon</w:t>
      </w:r>
      <w:proofErr w:type="spellEnd"/>
      <w:r w:rsidRPr="008305BB">
        <w:rPr>
          <w:rFonts w:ascii="Arial" w:hAnsi="Arial" w:cs="Arial"/>
        </w:rPr>
        <w:t xml:space="preserve"> tribe. While general pharmacological properties are substantiated (Yakoub et al., 2018), the precise preparations, traditional dosages, and t</w:t>
      </w:r>
      <w:r w:rsidR="003C0A0B">
        <w:rPr>
          <w:rFonts w:ascii="Arial" w:hAnsi="Arial" w:cs="Arial"/>
        </w:rPr>
        <w:t>h</w:t>
      </w:r>
      <w:r w:rsidR="000F4622">
        <w:rPr>
          <w:rFonts w:ascii="Arial" w:hAnsi="Arial" w:cs="Arial"/>
        </w:rPr>
        <w:t xml:space="preserve">e spectrum of ailments treated </w:t>
      </w:r>
      <w:r w:rsidRPr="008305BB">
        <w:rPr>
          <w:rFonts w:ascii="Arial" w:hAnsi="Arial" w:cs="Arial"/>
        </w:rPr>
        <w:t xml:space="preserve">have yet to be systematically documented or scientifically correlated. Crucially, empirical data establishing a direct link between the sophisticated traditional ethnomedical knowledge of this specific community and the phytochemical signature of the locally-sourced </w:t>
      </w:r>
      <w:r w:rsidRPr="000F4622">
        <w:rPr>
          <w:rFonts w:ascii="Arial" w:hAnsi="Arial" w:cs="Arial"/>
          <w:i/>
        </w:rPr>
        <w:t xml:space="preserve">C. </w:t>
      </w:r>
      <w:proofErr w:type="spellStart"/>
      <w:r w:rsidRPr="000F4622">
        <w:rPr>
          <w:rFonts w:ascii="Arial" w:hAnsi="Arial" w:cs="Arial"/>
          <w:i/>
        </w:rPr>
        <w:t>olitorius</w:t>
      </w:r>
      <w:proofErr w:type="spellEnd"/>
      <w:r w:rsidRPr="008305BB">
        <w:rPr>
          <w:rFonts w:ascii="Arial" w:hAnsi="Arial" w:cs="Arial"/>
        </w:rPr>
        <w:t xml:space="preserve"> from Bukidnon is nonexistent. Bridging this gap is </w:t>
      </w:r>
      <w:r w:rsidR="000F4622">
        <w:rPr>
          <w:rFonts w:ascii="Arial" w:hAnsi="Arial" w:cs="Arial"/>
        </w:rPr>
        <w:t>significant and</w:t>
      </w:r>
      <w:r w:rsidRPr="008305BB">
        <w:rPr>
          <w:rFonts w:ascii="Arial" w:hAnsi="Arial" w:cs="Arial"/>
        </w:rPr>
        <w:t xml:space="preserve"> an essential act of cultural heritage preservation and provides the scientific justification for the plant's efficacy, which could </w:t>
      </w:r>
      <w:r w:rsidR="000F4622">
        <w:rPr>
          <w:rFonts w:ascii="Arial" w:hAnsi="Arial" w:cs="Arial"/>
        </w:rPr>
        <w:t>leads to</w:t>
      </w:r>
      <w:r w:rsidRPr="008305BB">
        <w:rPr>
          <w:rFonts w:ascii="Arial" w:hAnsi="Arial" w:cs="Arial"/>
        </w:rPr>
        <w:t xml:space="preserve"> the development of </w:t>
      </w:r>
      <w:r w:rsidR="003C0A0B">
        <w:rPr>
          <w:rFonts w:ascii="Arial" w:hAnsi="Arial" w:cs="Arial"/>
        </w:rPr>
        <w:t>locally-sourced phytomedicines.</w:t>
      </w:r>
    </w:p>
    <w:p w14:paraId="68464E82" w14:textId="77777777" w:rsidR="008305BB" w:rsidRPr="008305BB" w:rsidRDefault="008305BB" w:rsidP="008305BB">
      <w:pPr>
        <w:pStyle w:val="Body"/>
        <w:rPr>
          <w:rFonts w:ascii="Arial" w:hAnsi="Arial" w:cs="Arial"/>
        </w:rPr>
      </w:pPr>
      <w:r w:rsidRPr="008305BB">
        <w:rPr>
          <w:rFonts w:ascii="Arial" w:hAnsi="Arial" w:cs="Arial"/>
        </w:rPr>
        <w:t xml:space="preserve">Existing analyses have already identified key bioactive compounds in </w:t>
      </w:r>
      <w:r w:rsidRPr="000F4622">
        <w:rPr>
          <w:rFonts w:ascii="Arial" w:hAnsi="Arial" w:cs="Arial"/>
          <w:i/>
        </w:rPr>
        <w:t xml:space="preserve">C. </w:t>
      </w:r>
      <w:proofErr w:type="spellStart"/>
      <w:r w:rsidRPr="000F4622">
        <w:rPr>
          <w:rFonts w:ascii="Arial" w:hAnsi="Arial" w:cs="Arial"/>
          <w:i/>
        </w:rPr>
        <w:t>olitorius</w:t>
      </w:r>
      <w:proofErr w:type="spellEnd"/>
      <w:r w:rsidRPr="008305BB">
        <w:rPr>
          <w:rFonts w:ascii="Arial" w:hAnsi="Arial" w:cs="Arial"/>
        </w:rPr>
        <w:t xml:space="preserve">, such as </w:t>
      </w:r>
      <w:proofErr w:type="spellStart"/>
      <w:r w:rsidRPr="008305BB">
        <w:rPr>
          <w:rFonts w:ascii="Arial" w:hAnsi="Arial" w:cs="Arial"/>
        </w:rPr>
        <w:t>quercetin</w:t>
      </w:r>
      <w:proofErr w:type="spellEnd"/>
      <w:r w:rsidRPr="008305BB">
        <w:rPr>
          <w:rFonts w:ascii="Arial" w:hAnsi="Arial" w:cs="Arial"/>
        </w:rPr>
        <w:t xml:space="preserve">, luteolin, and various cardiac glycosides, thereby substantiating its historical uses for maladies like fever, diabetes, and cardiovascular support (Abdel-Razek et al., 2022; Patil &amp; Jain, 2019). This evidence provides a </w:t>
      </w:r>
      <w:r w:rsidR="003D4323">
        <w:rPr>
          <w:rFonts w:ascii="Arial" w:hAnsi="Arial" w:cs="Arial"/>
        </w:rPr>
        <w:t xml:space="preserve">strong </w:t>
      </w:r>
      <w:r w:rsidRPr="008305BB">
        <w:rPr>
          <w:rFonts w:ascii="Arial" w:hAnsi="Arial" w:cs="Arial"/>
        </w:rPr>
        <w:t>scientific foundation for the present investigation into th</w:t>
      </w:r>
      <w:r w:rsidR="003D4323">
        <w:rPr>
          <w:rFonts w:ascii="Arial" w:hAnsi="Arial" w:cs="Arial"/>
        </w:rPr>
        <w:t xml:space="preserve">e local </w:t>
      </w:r>
      <w:proofErr w:type="spellStart"/>
      <w:r w:rsidR="003D4323">
        <w:rPr>
          <w:rFonts w:ascii="Arial" w:hAnsi="Arial" w:cs="Arial"/>
        </w:rPr>
        <w:t>Tigwahanon</w:t>
      </w:r>
      <w:proofErr w:type="spellEnd"/>
      <w:r w:rsidR="003D4323">
        <w:rPr>
          <w:rFonts w:ascii="Arial" w:hAnsi="Arial" w:cs="Arial"/>
        </w:rPr>
        <w:t xml:space="preserve"> preparation that </w:t>
      </w:r>
      <w:r w:rsidRPr="008305BB">
        <w:rPr>
          <w:rFonts w:ascii="Arial" w:hAnsi="Arial" w:cs="Arial"/>
        </w:rPr>
        <w:t xml:space="preserve">strongly suggest their traditional usage is </w:t>
      </w:r>
      <w:r w:rsidR="003D4323">
        <w:rPr>
          <w:rFonts w:ascii="Arial" w:hAnsi="Arial" w:cs="Arial"/>
        </w:rPr>
        <w:t xml:space="preserve">connected </w:t>
      </w:r>
      <w:r w:rsidRPr="008305BB">
        <w:rPr>
          <w:rFonts w:ascii="Arial" w:hAnsi="Arial" w:cs="Arial"/>
        </w:rPr>
        <w:t xml:space="preserve">by the plant’s rich and diverse secondary metabolite content. The significance of this study is rooted in its dual role. First, it functions as a critical intervention for cultural heritage preservation by systematically documenting the endangered ethnomedical knowledge of the </w:t>
      </w:r>
      <w:proofErr w:type="spellStart"/>
      <w:r w:rsidRPr="008305BB">
        <w:rPr>
          <w:rFonts w:ascii="Arial" w:hAnsi="Arial" w:cs="Arial"/>
        </w:rPr>
        <w:t>Tigwahanon</w:t>
      </w:r>
      <w:proofErr w:type="spellEnd"/>
      <w:r w:rsidRPr="008305BB">
        <w:rPr>
          <w:rFonts w:ascii="Arial" w:hAnsi="Arial" w:cs="Arial"/>
        </w:rPr>
        <w:t xml:space="preserve"> </w:t>
      </w:r>
      <w:r w:rsidR="009F73A3" w:rsidRPr="008305BB">
        <w:rPr>
          <w:rFonts w:ascii="Arial" w:hAnsi="Arial" w:cs="Arial"/>
        </w:rPr>
        <w:t>tribe that</w:t>
      </w:r>
      <w:r w:rsidR="003D4323">
        <w:rPr>
          <w:rFonts w:ascii="Arial" w:hAnsi="Arial" w:cs="Arial"/>
        </w:rPr>
        <w:t xml:space="preserve"> is </w:t>
      </w:r>
      <w:r w:rsidRPr="008305BB">
        <w:rPr>
          <w:rFonts w:ascii="Arial" w:hAnsi="Arial" w:cs="Arial"/>
        </w:rPr>
        <w:t>directly align</w:t>
      </w:r>
      <w:r w:rsidR="003D4323">
        <w:rPr>
          <w:rFonts w:ascii="Arial" w:hAnsi="Arial" w:cs="Arial"/>
        </w:rPr>
        <w:t xml:space="preserve">s </w:t>
      </w:r>
      <w:r w:rsidRPr="008305BB">
        <w:rPr>
          <w:rFonts w:ascii="Arial" w:hAnsi="Arial" w:cs="Arial"/>
        </w:rPr>
        <w:t>with global calls for the recognition and equitable use of traditional resources (</w:t>
      </w:r>
      <w:proofErr w:type="spellStart"/>
      <w:r w:rsidRPr="008305BB">
        <w:rPr>
          <w:rFonts w:ascii="Arial" w:hAnsi="Arial" w:cs="Arial"/>
        </w:rPr>
        <w:t>Okedele</w:t>
      </w:r>
      <w:proofErr w:type="spellEnd"/>
      <w:r w:rsidRPr="008305BB">
        <w:rPr>
          <w:rFonts w:ascii="Arial" w:hAnsi="Arial" w:cs="Arial"/>
        </w:rPr>
        <w:t xml:space="preserve"> et al., 2024). Second, it serves as a rigorous scientific validation process. The phytochemical screening will </w:t>
      </w:r>
      <w:r w:rsidR="003D4323">
        <w:rPr>
          <w:rFonts w:ascii="Arial" w:hAnsi="Arial" w:cs="Arial"/>
        </w:rPr>
        <w:t>support</w:t>
      </w:r>
      <w:r w:rsidRPr="008305BB">
        <w:rPr>
          <w:rFonts w:ascii="Arial" w:hAnsi="Arial" w:cs="Arial"/>
        </w:rPr>
        <w:t xml:space="preserve"> </w:t>
      </w:r>
      <w:r w:rsidR="003D4323">
        <w:rPr>
          <w:rFonts w:ascii="Arial" w:hAnsi="Arial" w:cs="Arial"/>
        </w:rPr>
        <w:t>as</w:t>
      </w:r>
      <w:r w:rsidRPr="008305BB">
        <w:rPr>
          <w:rFonts w:ascii="Arial" w:hAnsi="Arial" w:cs="Arial"/>
        </w:rPr>
        <w:t xml:space="preserve"> scientific evidence to rationalize the traditional uses, with the potential to isolate either novel or uniquely concentrated bioactive compounds. This information is </w:t>
      </w:r>
      <w:r w:rsidR="003D4323">
        <w:rPr>
          <w:rFonts w:ascii="Arial" w:hAnsi="Arial" w:cs="Arial"/>
        </w:rPr>
        <w:t>significant</w:t>
      </w:r>
      <w:r w:rsidRPr="008305BB">
        <w:rPr>
          <w:rFonts w:ascii="Arial" w:hAnsi="Arial" w:cs="Arial"/>
        </w:rPr>
        <w:t xml:space="preserve"> for future bioprospecting initiatives, for the development of standardized herbal medicines, and for the construction community-based conservation strategies for local medicinal plants.</w:t>
      </w:r>
    </w:p>
    <w:p w14:paraId="6C3EB3E8" w14:textId="26C7F215" w:rsidR="00790ADA" w:rsidRDefault="008305BB" w:rsidP="008305BB">
      <w:pPr>
        <w:pStyle w:val="Body"/>
        <w:spacing w:after="0"/>
        <w:rPr>
          <w:rFonts w:ascii="Arial" w:hAnsi="Arial" w:cs="Arial"/>
        </w:rPr>
      </w:pPr>
      <w:r w:rsidRPr="008305BB">
        <w:rPr>
          <w:rFonts w:ascii="Arial" w:hAnsi="Arial" w:cs="Arial"/>
        </w:rPr>
        <w:t xml:space="preserve">The research was conducted with three primary objectives. First, the study aimed to systematically document and characterize the ethnomedical knowledge, specific therapeutic indications, and traditional preparation methodologies of </w:t>
      </w:r>
      <w:proofErr w:type="spellStart"/>
      <w:r w:rsidRPr="00B36C20">
        <w:rPr>
          <w:rFonts w:ascii="Arial" w:hAnsi="Arial" w:cs="Arial"/>
          <w:i/>
          <w:color w:val="FF0000"/>
        </w:rPr>
        <w:t>Corchorus</w:t>
      </w:r>
      <w:proofErr w:type="spellEnd"/>
      <w:r w:rsidRPr="00B36C20">
        <w:rPr>
          <w:rFonts w:ascii="Arial" w:hAnsi="Arial" w:cs="Arial"/>
          <w:i/>
          <w:color w:val="FF0000"/>
        </w:rPr>
        <w:t xml:space="preserve"> </w:t>
      </w:r>
      <w:proofErr w:type="spellStart"/>
      <w:r w:rsidRPr="00B36C20">
        <w:rPr>
          <w:rFonts w:ascii="Arial" w:hAnsi="Arial" w:cs="Arial"/>
          <w:i/>
          <w:color w:val="FF0000"/>
        </w:rPr>
        <w:t>olitorius</w:t>
      </w:r>
      <w:proofErr w:type="spellEnd"/>
      <w:r w:rsidR="00B36C20" w:rsidRPr="00B36C20">
        <w:rPr>
          <w:rFonts w:ascii="Arial" w:hAnsi="Arial" w:cs="Arial"/>
          <w:i/>
          <w:color w:val="FF0000"/>
        </w:rPr>
        <w:t xml:space="preserve"> L.</w:t>
      </w:r>
      <w:r w:rsidRPr="00B36C20">
        <w:rPr>
          <w:rFonts w:ascii="Arial" w:hAnsi="Arial" w:cs="Arial"/>
          <w:color w:val="FF0000"/>
        </w:rPr>
        <w:t xml:space="preserve"> </w:t>
      </w:r>
      <w:r w:rsidRPr="008305BB">
        <w:rPr>
          <w:rFonts w:ascii="Arial" w:hAnsi="Arial" w:cs="Arial"/>
        </w:rPr>
        <w:t xml:space="preserve">as utilized by the </w:t>
      </w:r>
      <w:proofErr w:type="spellStart"/>
      <w:r w:rsidRPr="008305BB">
        <w:rPr>
          <w:rFonts w:ascii="Arial" w:hAnsi="Arial" w:cs="Arial"/>
        </w:rPr>
        <w:t>Tigwahanon</w:t>
      </w:r>
      <w:proofErr w:type="spellEnd"/>
      <w:r w:rsidRPr="008305BB">
        <w:rPr>
          <w:rFonts w:ascii="Arial" w:hAnsi="Arial" w:cs="Arial"/>
        </w:rPr>
        <w:t xml:space="preserve"> tribe in San Fernando, Bukidnon. Second, it involved performing a qualitative phytochemical screening of the local </w:t>
      </w:r>
      <w:r w:rsidRPr="00B36C20">
        <w:rPr>
          <w:rFonts w:ascii="Arial" w:hAnsi="Arial" w:cs="Arial"/>
          <w:i/>
          <w:color w:val="FF0000"/>
        </w:rPr>
        <w:t xml:space="preserve">C. </w:t>
      </w:r>
      <w:proofErr w:type="spellStart"/>
      <w:r w:rsidRPr="00B36C20">
        <w:rPr>
          <w:rFonts w:ascii="Arial" w:hAnsi="Arial" w:cs="Arial"/>
          <w:i/>
          <w:color w:val="FF0000"/>
        </w:rPr>
        <w:t>olitorius</w:t>
      </w:r>
      <w:proofErr w:type="spellEnd"/>
      <w:r w:rsidRPr="00B36C20">
        <w:rPr>
          <w:rFonts w:ascii="Arial" w:hAnsi="Arial" w:cs="Arial"/>
          <w:color w:val="FF0000"/>
        </w:rPr>
        <w:t xml:space="preserve"> </w:t>
      </w:r>
      <w:r w:rsidRPr="008305BB">
        <w:rPr>
          <w:rFonts w:ascii="Arial" w:hAnsi="Arial" w:cs="Arial"/>
        </w:rPr>
        <w:t xml:space="preserve">leaf extract to definitively identify the major classes of secondary metabolites present. Finally, the research sought to scientifically correlate the documented traditional therapeutic uses with the identified phytochemical profile, thereby providing a preliminary validation of the plant's efficacy within the unique context of </w:t>
      </w:r>
      <w:proofErr w:type="spellStart"/>
      <w:r w:rsidRPr="008305BB">
        <w:rPr>
          <w:rFonts w:ascii="Arial" w:hAnsi="Arial" w:cs="Arial"/>
        </w:rPr>
        <w:t>Tigwahanon</w:t>
      </w:r>
      <w:proofErr w:type="spellEnd"/>
      <w:r w:rsidRPr="008305BB">
        <w:rPr>
          <w:rFonts w:ascii="Arial" w:hAnsi="Arial" w:cs="Arial"/>
        </w:rPr>
        <w:t xml:space="preserve"> </w:t>
      </w:r>
      <w:proofErr w:type="spellStart"/>
      <w:r w:rsidRPr="008305BB">
        <w:rPr>
          <w:rFonts w:ascii="Arial" w:hAnsi="Arial" w:cs="Arial"/>
        </w:rPr>
        <w:t>ethnomedicine</w:t>
      </w:r>
      <w:proofErr w:type="spellEnd"/>
      <w:r w:rsidRPr="008305BB">
        <w:rPr>
          <w:rFonts w:ascii="Arial" w:hAnsi="Arial" w:cs="Arial"/>
        </w:rPr>
        <w:t>.</w:t>
      </w:r>
    </w:p>
    <w:p w14:paraId="3C88AD96" w14:textId="77777777" w:rsidR="003C0A0B" w:rsidRPr="00FB3A86" w:rsidRDefault="003C0A0B" w:rsidP="008305BB">
      <w:pPr>
        <w:pStyle w:val="Body"/>
        <w:spacing w:after="0"/>
        <w:rPr>
          <w:rFonts w:ascii="Arial" w:hAnsi="Arial" w:cs="Arial"/>
        </w:rPr>
      </w:pPr>
    </w:p>
    <w:p w14:paraId="62783951"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r w:rsidR="007F7B32">
        <w:rPr>
          <w:rFonts w:ascii="Arial" w:hAnsi="Arial" w:cs="Arial"/>
        </w:rPr>
        <w:t xml:space="preserve"> </w:t>
      </w:r>
    </w:p>
    <w:p w14:paraId="393BD2DC" w14:textId="77777777" w:rsidR="00790ADA" w:rsidRDefault="00790ADA" w:rsidP="00441B6F">
      <w:pPr>
        <w:pStyle w:val="AbstHead"/>
        <w:spacing w:after="0"/>
        <w:jc w:val="both"/>
        <w:rPr>
          <w:rFonts w:ascii="Arial" w:hAnsi="Arial" w:cs="Arial"/>
        </w:rPr>
      </w:pPr>
    </w:p>
    <w:p w14:paraId="4715141E" w14:textId="77777777" w:rsidR="002E5452" w:rsidRDefault="002E5452" w:rsidP="002E5452">
      <w:pPr>
        <w:pStyle w:val="Body"/>
        <w:spacing w:after="0"/>
        <w:rPr>
          <w:rFonts w:ascii="Arial" w:hAnsi="Arial" w:cs="Arial"/>
        </w:rPr>
      </w:pPr>
      <w:r w:rsidRPr="00C30A0F">
        <w:rPr>
          <w:rFonts w:ascii="Arial" w:hAnsi="Arial" w:cs="Arial"/>
          <w:b/>
          <w:caps/>
          <w:sz w:val="22"/>
        </w:rPr>
        <w:t xml:space="preserve">2.1 </w:t>
      </w:r>
      <w:r>
        <w:rPr>
          <w:rFonts w:ascii="Arial" w:hAnsi="Arial" w:cs="Arial"/>
          <w:b/>
          <w:sz w:val="22"/>
        </w:rPr>
        <w:t>Research Design</w:t>
      </w:r>
      <w:r w:rsidRPr="00C30A0F">
        <w:rPr>
          <w:rFonts w:ascii="Arial" w:hAnsi="Arial" w:cs="Arial"/>
          <w:b/>
          <w:sz w:val="22"/>
        </w:rPr>
        <w:t xml:space="preserve"> </w:t>
      </w:r>
    </w:p>
    <w:p w14:paraId="0EB1A6B5" w14:textId="77777777" w:rsidR="002E5452" w:rsidRPr="00FB3A86" w:rsidRDefault="002E5452" w:rsidP="00441B6F">
      <w:pPr>
        <w:pStyle w:val="AbstHead"/>
        <w:spacing w:after="0"/>
        <w:jc w:val="both"/>
        <w:rPr>
          <w:rFonts w:ascii="Arial" w:hAnsi="Arial" w:cs="Arial"/>
        </w:rPr>
      </w:pPr>
    </w:p>
    <w:p w14:paraId="50551F22" w14:textId="77777777" w:rsidR="00790ADA" w:rsidRDefault="002E5452" w:rsidP="00441B6F">
      <w:pPr>
        <w:pStyle w:val="Body"/>
        <w:spacing w:after="0"/>
        <w:rPr>
          <w:rFonts w:ascii="Arial" w:hAnsi="Arial" w:cs="Arial"/>
        </w:rPr>
      </w:pPr>
      <w:r w:rsidRPr="002E5452">
        <w:rPr>
          <w:rFonts w:ascii="Arial" w:hAnsi="Arial" w:cs="Arial"/>
        </w:rPr>
        <w:t xml:space="preserve">The study integrated phenomenological research with qualitative phytochemical screening. The initial phase involved an ethnopharmacological study conducted among the </w:t>
      </w:r>
      <w:proofErr w:type="spellStart"/>
      <w:r w:rsidRPr="002E5452">
        <w:rPr>
          <w:rFonts w:ascii="Arial" w:hAnsi="Arial" w:cs="Arial"/>
        </w:rPr>
        <w:t>Tigwahanon</w:t>
      </w:r>
      <w:proofErr w:type="spellEnd"/>
      <w:r w:rsidRPr="002E5452">
        <w:rPr>
          <w:rFonts w:ascii="Arial" w:hAnsi="Arial" w:cs="Arial"/>
        </w:rPr>
        <w:t xml:space="preserve"> community in San Fernando, Bukidnon, utilizing semi-structured interviews and field observation to systematically elicit and record the ethnomedicinal knowledge pertaining to </w:t>
      </w:r>
      <w:proofErr w:type="spellStart"/>
      <w:r w:rsidRPr="0010097D">
        <w:rPr>
          <w:rFonts w:ascii="Arial" w:hAnsi="Arial" w:cs="Arial"/>
          <w:i/>
        </w:rPr>
        <w:t>Corchorus</w:t>
      </w:r>
      <w:proofErr w:type="spellEnd"/>
      <w:r w:rsidRPr="0010097D">
        <w:rPr>
          <w:rFonts w:ascii="Arial" w:hAnsi="Arial" w:cs="Arial"/>
          <w:i/>
        </w:rPr>
        <w:t xml:space="preserve"> </w:t>
      </w:r>
      <w:proofErr w:type="spellStart"/>
      <w:r w:rsidRPr="0010097D">
        <w:rPr>
          <w:rFonts w:ascii="Arial" w:hAnsi="Arial" w:cs="Arial"/>
          <w:i/>
        </w:rPr>
        <w:t>olitorius</w:t>
      </w:r>
      <w:proofErr w:type="spellEnd"/>
      <w:r w:rsidRPr="0010097D">
        <w:rPr>
          <w:rFonts w:ascii="Arial" w:hAnsi="Arial" w:cs="Arial"/>
          <w:i/>
        </w:rPr>
        <w:t xml:space="preserve"> L.,</w:t>
      </w:r>
      <w:r w:rsidRPr="002E5452">
        <w:rPr>
          <w:rFonts w:ascii="Arial" w:hAnsi="Arial" w:cs="Arial"/>
        </w:rPr>
        <w:t xml:space="preserve"> including its specific therapeutic uses and traditional preparation methods. The resulting qualitative data were subjected to a thematic analysis to categorize and interpret the underlying patterns of knowledge and practice. Subsequently, the research progressed to the laboratory phase, where </w:t>
      </w:r>
      <w:r w:rsidRPr="0054789C">
        <w:rPr>
          <w:rFonts w:ascii="Arial" w:hAnsi="Arial" w:cs="Arial"/>
          <w:i/>
        </w:rPr>
        <w:t xml:space="preserve">C. </w:t>
      </w:r>
      <w:proofErr w:type="spellStart"/>
      <w:r w:rsidRPr="0054789C">
        <w:rPr>
          <w:rFonts w:ascii="Arial" w:hAnsi="Arial" w:cs="Arial"/>
          <w:i/>
        </w:rPr>
        <w:t>olitorius</w:t>
      </w:r>
      <w:proofErr w:type="spellEnd"/>
      <w:r w:rsidRPr="002E5452">
        <w:rPr>
          <w:rFonts w:ascii="Arial" w:hAnsi="Arial" w:cs="Arial"/>
        </w:rPr>
        <w:t xml:space="preserve"> leaf extract was prepared and subjected to qualitative phytochemical screening using established protocols to identify the major classes of secondary metabolites. The final step involved the scientific correlation of the derived therapeutic themes from the thematic analysis with the identified phytochemical </w:t>
      </w:r>
      <w:r w:rsidRPr="002E5452">
        <w:rPr>
          <w:rFonts w:ascii="Arial" w:hAnsi="Arial" w:cs="Arial"/>
        </w:rPr>
        <w:lastRenderedPageBreak/>
        <w:t xml:space="preserve">profile, thereby creating an evidence-based preliminary validation of the </w:t>
      </w:r>
      <w:proofErr w:type="spellStart"/>
      <w:r w:rsidRPr="002E5452">
        <w:rPr>
          <w:rFonts w:ascii="Arial" w:hAnsi="Arial" w:cs="Arial"/>
        </w:rPr>
        <w:t>Tigwahanon</w:t>
      </w:r>
      <w:proofErr w:type="spellEnd"/>
      <w:r w:rsidRPr="002E5452">
        <w:rPr>
          <w:rFonts w:ascii="Arial" w:hAnsi="Arial" w:cs="Arial"/>
        </w:rPr>
        <w:t xml:space="preserve"> tribe's traditional applications and bridging the chasm between indigenous knowledge and modern photochemistry.</w:t>
      </w:r>
    </w:p>
    <w:p w14:paraId="6C9829B9" w14:textId="77777777" w:rsidR="002E5452" w:rsidRDefault="002E5452" w:rsidP="00441B6F">
      <w:pPr>
        <w:pStyle w:val="Body"/>
        <w:spacing w:after="0"/>
        <w:rPr>
          <w:rFonts w:ascii="Arial" w:hAnsi="Arial" w:cs="Arial"/>
        </w:rPr>
      </w:pPr>
    </w:p>
    <w:p w14:paraId="24859E43" w14:textId="77777777" w:rsidR="002E5452" w:rsidRDefault="002E5452" w:rsidP="002E5452">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2E5452">
        <w:rPr>
          <w:rFonts w:ascii="Arial" w:hAnsi="Arial" w:cs="Arial"/>
          <w:b/>
          <w:sz w:val="22"/>
        </w:rPr>
        <w:t>Participants of the Study</w:t>
      </w:r>
    </w:p>
    <w:p w14:paraId="12575E05" w14:textId="77E8F9F5" w:rsidR="007C0B14" w:rsidRDefault="007C0B14" w:rsidP="00441B6F">
      <w:pPr>
        <w:pStyle w:val="Body"/>
        <w:spacing w:after="0"/>
        <w:rPr>
          <w:rFonts w:ascii="Arial" w:hAnsi="Arial" w:cs="Arial"/>
        </w:rPr>
      </w:pPr>
    </w:p>
    <w:p w14:paraId="79B1A1D5" w14:textId="102857C3" w:rsidR="00B36C20" w:rsidRPr="007C0B14" w:rsidRDefault="00B36C20" w:rsidP="00441B6F">
      <w:pPr>
        <w:pStyle w:val="Body"/>
        <w:spacing w:after="0"/>
        <w:rPr>
          <w:rFonts w:ascii="Arial" w:hAnsi="Arial" w:cs="Arial"/>
          <w:color w:val="FF0000"/>
        </w:rPr>
      </w:pPr>
      <w:r w:rsidRPr="007C0B14">
        <w:rPr>
          <w:rFonts w:ascii="Arial" w:hAnsi="Arial" w:cs="Arial"/>
          <w:color w:val="FF0000"/>
        </w:rPr>
        <w:t xml:space="preserve">The participants were systematically selected based on the recommendation of the tribal chief and their proven expertise in traditional </w:t>
      </w:r>
      <w:proofErr w:type="spellStart"/>
      <w:r w:rsidRPr="007C0B14">
        <w:rPr>
          <w:rFonts w:ascii="Arial" w:hAnsi="Arial" w:cs="Arial"/>
          <w:color w:val="FF0000"/>
        </w:rPr>
        <w:t>ethnomedicine</w:t>
      </w:r>
      <w:proofErr w:type="spellEnd"/>
      <w:r w:rsidRPr="007C0B14">
        <w:rPr>
          <w:rFonts w:ascii="Arial" w:hAnsi="Arial" w:cs="Arial"/>
          <w:color w:val="FF0000"/>
        </w:rPr>
        <w:t xml:space="preserve"> and the utilization of local flora, specifically </w:t>
      </w:r>
      <w:proofErr w:type="spellStart"/>
      <w:r w:rsidRPr="007C0B14">
        <w:rPr>
          <w:rFonts w:ascii="Arial" w:hAnsi="Arial" w:cs="Arial"/>
          <w:i/>
          <w:color w:val="FF0000"/>
        </w:rPr>
        <w:t>Corchorus</w:t>
      </w:r>
      <w:proofErr w:type="spellEnd"/>
      <w:r w:rsidRPr="007C0B14">
        <w:rPr>
          <w:rFonts w:ascii="Arial" w:hAnsi="Arial" w:cs="Arial"/>
          <w:i/>
          <w:color w:val="FF0000"/>
        </w:rPr>
        <w:t xml:space="preserve"> </w:t>
      </w:r>
      <w:proofErr w:type="spellStart"/>
      <w:r w:rsidRPr="007C0B14">
        <w:rPr>
          <w:rFonts w:ascii="Arial" w:hAnsi="Arial" w:cs="Arial"/>
          <w:i/>
          <w:color w:val="FF0000"/>
        </w:rPr>
        <w:t>olitorius</w:t>
      </w:r>
      <w:proofErr w:type="spellEnd"/>
      <w:r w:rsidRPr="007C0B14">
        <w:rPr>
          <w:rFonts w:ascii="Arial" w:hAnsi="Arial" w:cs="Arial"/>
          <w:i/>
          <w:color w:val="FF0000"/>
        </w:rPr>
        <w:t xml:space="preserve"> L</w:t>
      </w:r>
      <w:r w:rsidRPr="007C0B14">
        <w:rPr>
          <w:rFonts w:ascii="Arial" w:hAnsi="Arial" w:cs="Arial"/>
          <w:color w:val="FF0000"/>
        </w:rPr>
        <w:t xml:space="preserve">. The ten </w:t>
      </w:r>
      <w:r w:rsidR="007C0B14">
        <w:rPr>
          <w:rFonts w:ascii="Arial" w:hAnsi="Arial" w:cs="Arial"/>
          <w:color w:val="FF0000"/>
        </w:rPr>
        <w:t>participant</w:t>
      </w:r>
      <w:r w:rsidRPr="007C0B14">
        <w:rPr>
          <w:rFonts w:ascii="Arial" w:hAnsi="Arial" w:cs="Arial"/>
          <w:color w:val="FF0000"/>
        </w:rPr>
        <w:t xml:space="preserve">s comprising six active traditional healers and four elders shared a common dialect, geographic location, and cultural framework, all while providing free and informed consent. By prioritizing this cultural homogeneity and the high-level expertise of key informants over a larger, randomized sample, the study successfully reduced "noise" and minimized the risk of acquiring superficial data. </w:t>
      </w:r>
      <w:r w:rsidR="007C0B14" w:rsidRPr="007C0B14">
        <w:rPr>
          <w:rFonts w:ascii="Arial" w:hAnsi="Arial" w:cs="Arial"/>
          <w:color w:val="FF0000"/>
        </w:rPr>
        <w:t>This</w:t>
      </w:r>
      <w:r w:rsidR="0043055E">
        <w:rPr>
          <w:rFonts w:ascii="Arial" w:hAnsi="Arial" w:cs="Arial"/>
          <w:color w:val="FF0000"/>
        </w:rPr>
        <w:t xml:space="preserve"> </w:t>
      </w:r>
      <w:bookmarkStart w:id="0" w:name="_GoBack"/>
      <w:bookmarkEnd w:id="0"/>
      <w:r w:rsidRPr="007C0B14">
        <w:rPr>
          <w:rFonts w:ascii="Arial" w:hAnsi="Arial" w:cs="Arial"/>
          <w:color w:val="FF0000"/>
        </w:rPr>
        <w:t xml:space="preserve">selection process ensured the acquisition of high-quality, authentic, and validated </w:t>
      </w:r>
      <w:proofErr w:type="spellStart"/>
      <w:r w:rsidRPr="007C0B14">
        <w:rPr>
          <w:rFonts w:ascii="Arial" w:hAnsi="Arial" w:cs="Arial"/>
          <w:color w:val="FF0000"/>
        </w:rPr>
        <w:t>ethnomedicinal</w:t>
      </w:r>
      <w:proofErr w:type="spellEnd"/>
      <w:r w:rsidRPr="007C0B14">
        <w:rPr>
          <w:rFonts w:ascii="Arial" w:hAnsi="Arial" w:cs="Arial"/>
          <w:color w:val="FF0000"/>
        </w:rPr>
        <w:t xml:space="preserve"> data, establishing a high degree of internal validity critical for defining the scientific basis of the plant’s traditional use.</w:t>
      </w:r>
    </w:p>
    <w:p w14:paraId="2E9A65BC" w14:textId="77777777" w:rsidR="00B36C20" w:rsidRDefault="00B36C20" w:rsidP="00441B6F">
      <w:pPr>
        <w:pStyle w:val="Body"/>
        <w:spacing w:after="0"/>
        <w:rPr>
          <w:rFonts w:ascii="Arial" w:hAnsi="Arial" w:cs="Arial"/>
        </w:rPr>
      </w:pPr>
    </w:p>
    <w:p w14:paraId="54C42523" w14:textId="77777777" w:rsidR="00101BFF" w:rsidRDefault="00101BFF" w:rsidP="00441B6F">
      <w:pPr>
        <w:pStyle w:val="Body"/>
        <w:spacing w:after="0"/>
        <w:rPr>
          <w:rFonts w:ascii="Arial" w:hAnsi="Arial" w:cs="Arial"/>
        </w:rPr>
      </w:pPr>
    </w:p>
    <w:p w14:paraId="03D182E4" w14:textId="77777777" w:rsidR="00101BFF" w:rsidRDefault="00101BFF" w:rsidP="00101BFF">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Locale of the Study</w:t>
      </w:r>
    </w:p>
    <w:p w14:paraId="179709C5" w14:textId="77777777" w:rsidR="00594EBA" w:rsidRDefault="00594EBA" w:rsidP="00101BFF">
      <w:pPr>
        <w:pStyle w:val="Body"/>
        <w:spacing w:after="0"/>
        <w:rPr>
          <w:rFonts w:ascii="Arial" w:hAnsi="Arial" w:cs="Arial"/>
        </w:rPr>
      </w:pPr>
    </w:p>
    <w:p w14:paraId="185E931A" w14:textId="77777777" w:rsidR="00101BFF" w:rsidRDefault="00101BFF" w:rsidP="00441B6F">
      <w:pPr>
        <w:pStyle w:val="Body"/>
        <w:spacing w:after="0"/>
        <w:rPr>
          <w:rFonts w:ascii="Arial" w:hAnsi="Arial" w:cs="Arial"/>
        </w:rPr>
      </w:pPr>
      <w:r>
        <w:rPr>
          <w:rFonts w:ascii="Arial" w:hAnsi="Arial" w:cs="Arial"/>
          <w:noProof/>
        </w:rPr>
        <w:drawing>
          <wp:anchor distT="0" distB="0" distL="114300" distR="114300" simplePos="0" relativeHeight="251658240" behindDoc="0" locked="0" layoutInCell="1" allowOverlap="1" wp14:anchorId="65CF479C" wp14:editId="5BFB08CE">
            <wp:simplePos x="0" y="0"/>
            <wp:positionH relativeFrom="column">
              <wp:posOffset>1651</wp:posOffset>
            </wp:positionH>
            <wp:positionV relativeFrom="paragraph">
              <wp:posOffset>73415</wp:posOffset>
            </wp:positionV>
            <wp:extent cx="5270400" cy="3014234"/>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400" cy="3014234"/>
                    </a:xfrm>
                    <a:prstGeom prst="rect">
                      <a:avLst/>
                    </a:prstGeom>
                    <a:noFill/>
                  </pic:spPr>
                </pic:pic>
              </a:graphicData>
            </a:graphic>
            <wp14:sizeRelH relativeFrom="page">
              <wp14:pctWidth>0</wp14:pctWidth>
            </wp14:sizeRelH>
            <wp14:sizeRelV relativeFrom="page">
              <wp14:pctHeight>0</wp14:pctHeight>
            </wp14:sizeRelV>
          </wp:anchor>
        </w:drawing>
      </w:r>
    </w:p>
    <w:p w14:paraId="7F3DF953" w14:textId="77777777" w:rsidR="00101BFF" w:rsidRDefault="00101BFF" w:rsidP="00441B6F">
      <w:pPr>
        <w:pStyle w:val="Body"/>
        <w:spacing w:after="0"/>
        <w:rPr>
          <w:rFonts w:ascii="Arial" w:hAnsi="Arial" w:cs="Arial"/>
        </w:rPr>
      </w:pPr>
    </w:p>
    <w:p w14:paraId="0792DDCA" w14:textId="77777777" w:rsidR="00101BFF" w:rsidRDefault="00101BFF" w:rsidP="00441B6F">
      <w:pPr>
        <w:pStyle w:val="Body"/>
        <w:spacing w:after="0"/>
        <w:rPr>
          <w:rFonts w:ascii="Arial" w:hAnsi="Arial" w:cs="Arial"/>
        </w:rPr>
      </w:pPr>
    </w:p>
    <w:p w14:paraId="285352F2" w14:textId="77777777" w:rsidR="00101BFF" w:rsidRDefault="00101BFF" w:rsidP="00441B6F">
      <w:pPr>
        <w:pStyle w:val="Body"/>
        <w:spacing w:after="0"/>
        <w:rPr>
          <w:rFonts w:ascii="Arial" w:hAnsi="Arial" w:cs="Arial"/>
        </w:rPr>
      </w:pPr>
    </w:p>
    <w:p w14:paraId="1FA1C91C" w14:textId="77777777" w:rsidR="00101BFF" w:rsidRDefault="00101BFF" w:rsidP="00441B6F">
      <w:pPr>
        <w:pStyle w:val="Body"/>
        <w:spacing w:after="0"/>
        <w:rPr>
          <w:rFonts w:ascii="Arial" w:hAnsi="Arial" w:cs="Arial"/>
        </w:rPr>
      </w:pPr>
    </w:p>
    <w:p w14:paraId="1CACFDAF" w14:textId="77777777" w:rsidR="00101BFF" w:rsidRDefault="00101BFF" w:rsidP="00441B6F">
      <w:pPr>
        <w:pStyle w:val="Body"/>
        <w:spacing w:after="0"/>
        <w:rPr>
          <w:rFonts w:ascii="Arial" w:hAnsi="Arial" w:cs="Arial"/>
        </w:rPr>
      </w:pPr>
    </w:p>
    <w:p w14:paraId="338CD321" w14:textId="77777777" w:rsidR="00101BFF" w:rsidRDefault="00101BFF" w:rsidP="00441B6F">
      <w:pPr>
        <w:pStyle w:val="Body"/>
        <w:spacing w:after="0"/>
        <w:rPr>
          <w:rFonts w:ascii="Arial" w:hAnsi="Arial" w:cs="Arial"/>
        </w:rPr>
      </w:pPr>
    </w:p>
    <w:p w14:paraId="3C8C6770" w14:textId="77777777" w:rsidR="00101BFF" w:rsidRDefault="00101BFF" w:rsidP="00441B6F">
      <w:pPr>
        <w:pStyle w:val="Body"/>
        <w:spacing w:after="0"/>
        <w:rPr>
          <w:rFonts w:ascii="Arial" w:hAnsi="Arial" w:cs="Arial"/>
        </w:rPr>
      </w:pPr>
    </w:p>
    <w:p w14:paraId="71691458" w14:textId="77777777" w:rsidR="00101BFF" w:rsidRDefault="00101BFF" w:rsidP="00441B6F">
      <w:pPr>
        <w:pStyle w:val="Body"/>
        <w:spacing w:after="0"/>
        <w:rPr>
          <w:rFonts w:ascii="Arial" w:hAnsi="Arial" w:cs="Arial"/>
        </w:rPr>
      </w:pPr>
    </w:p>
    <w:p w14:paraId="673E59F2" w14:textId="77777777" w:rsidR="00101BFF" w:rsidRDefault="00101BFF" w:rsidP="00441B6F">
      <w:pPr>
        <w:pStyle w:val="Body"/>
        <w:spacing w:after="0"/>
        <w:rPr>
          <w:rFonts w:ascii="Arial" w:hAnsi="Arial" w:cs="Arial"/>
        </w:rPr>
      </w:pPr>
    </w:p>
    <w:p w14:paraId="5E0D7AFE" w14:textId="77777777" w:rsidR="00101BFF" w:rsidRDefault="00101BFF" w:rsidP="00441B6F">
      <w:pPr>
        <w:pStyle w:val="Body"/>
        <w:spacing w:after="0"/>
        <w:rPr>
          <w:rFonts w:ascii="Arial" w:hAnsi="Arial" w:cs="Arial"/>
        </w:rPr>
      </w:pPr>
    </w:p>
    <w:p w14:paraId="4634598F" w14:textId="77777777" w:rsidR="00101BFF" w:rsidRDefault="00101BFF" w:rsidP="00441B6F">
      <w:pPr>
        <w:pStyle w:val="Body"/>
        <w:spacing w:after="0"/>
        <w:rPr>
          <w:rFonts w:ascii="Arial" w:hAnsi="Arial" w:cs="Arial"/>
        </w:rPr>
      </w:pPr>
    </w:p>
    <w:p w14:paraId="615CA361" w14:textId="77777777" w:rsidR="00101BFF" w:rsidRDefault="00101BFF" w:rsidP="00441B6F">
      <w:pPr>
        <w:pStyle w:val="Body"/>
        <w:spacing w:after="0"/>
        <w:rPr>
          <w:rFonts w:ascii="Arial" w:hAnsi="Arial" w:cs="Arial"/>
        </w:rPr>
      </w:pPr>
    </w:p>
    <w:p w14:paraId="39F4B7AD" w14:textId="77777777" w:rsidR="00101BFF" w:rsidRDefault="00101BFF" w:rsidP="00441B6F">
      <w:pPr>
        <w:pStyle w:val="Body"/>
        <w:spacing w:after="0"/>
        <w:rPr>
          <w:rFonts w:ascii="Arial" w:hAnsi="Arial" w:cs="Arial"/>
        </w:rPr>
      </w:pPr>
    </w:p>
    <w:p w14:paraId="7C372FDA" w14:textId="77777777" w:rsidR="00101BFF" w:rsidRDefault="00101BFF" w:rsidP="00441B6F">
      <w:pPr>
        <w:pStyle w:val="Body"/>
        <w:spacing w:after="0"/>
        <w:rPr>
          <w:rFonts w:ascii="Arial" w:hAnsi="Arial" w:cs="Arial"/>
        </w:rPr>
      </w:pPr>
    </w:p>
    <w:p w14:paraId="6C33AD63" w14:textId="77777777" w:rsidR="00101BFF" w:rsidRDefault="00101BFF" w:rsidP="00441B6F">
      <w:pPr>
        <w:pStyle w:val="Body"/>
        <w:spacing w:after="0"/>
        <w:rPr>
          <w:rFonts w:ascii="Arial" w:hAnsi="Arial" w:cs="Arial"/>
        </w:rPr>
      </w:pPr>
    </w:p>
    <w:p w14:paraId="158F9E16" w14:textId="77777777" w:rsidR="00101BFF" w:rsidRDefault="00101BFF" w:rsidP="00441B6F">
      <w:pPr>
        <w:pStyle w:val="Body"/>
        <w:spacing w:after="0"/>
        <w:rPr>
          <w:rFonts w:ascii="Arial" w:hAnsi="Arial" w:cs="Arial"/>
        </w:rPr>
      </w:pPr>
    </w:p>
    <w:p w14:paraId="41B073DB" w14:textId="77777777" w:rsidR="00101BFF" w:rsidRDefault="00101BFF" w:rsidP="00441B6F">
      <w:pPr>
        <w:pStyle w:val="Body"/>
        <w:spacing w:after="0"/>
        <w:rPr>
          <w:rFonts w:ascii="Arial" w:hAnsi="Arial" w:cs="Arial"/>
        </w:rPr>
      </w:pPr>
    </w:p>
    <w:p w14:paraId="29596570" w14:textId="77777777" w:rsidR="00101BFF" w:rsidRDefault="00101BFF" w:rsidP="00441B6F">
      <w:pPr>
        <w:pStyle w:val="Body"/>
        <w:spacing w:after="0"/>
        <w:rPr>
          <w:rFonts w:ascii="Arial" w:hAnsi="Arial" w:cs="Arial"/>
        </w:rPr>
      </w:pPr>
    </w:p>
    <w:p w14:paraId="65953B19" w14:textId="77777777" w:rsidR="00101BFF" w:rsidRDefault="00101BFF" w:rsidP="00441B6F">
      <w:pPr>
        <w:pStyle w:val="Body"/>
        <w:spacing w:after="0"/>
        <w:rPr>
          <w:rFonts w:ascii="Arial" w:hAnsi="Arial" w:cs="Arial"/>
        </w:rPr>
      </w:pPr>
    </w:p>
    <w:p w14:paraId="29091DE0" w14:textId="77777777" w:rsidR="00101BFF" w:rsidRDefault="00101BFF" w:rsidP="00441B6F">
      <w:pPr>
        <w:pStyle w:val="Body"/>
        <w:spacing w:after="0"/>
        <w:rPr>
          <w:rFonts w:ascii="Arial" w:hAnsi="Arial" w:cs="Arial"/>
        </w:rPr>
      </w:pPr>
    </w:p>
    <w:p w14:paraId="5DCBF483" w14:textId="77777777" w:rsidR="00101BFF" w:rsidRPr="00101BFF" w:rsidRDefault="00101BFF" w:rsidP="00101BFF">
      <w:pPr>
        <w:pStyle w:val="Body"/>
        <w:jc w:val="center"/>
        <w:rPr>
          <w:rFonts w:ascii="Arial" w:hAnsi="Arial" w:cs="Arial"/>
          <w:i/>
        </w:rPr>
      </w:pPr>
      <w:r w:rsidRPr="00101BFF">
        <w:rPr>
          <w:rFonts w:ascii="Arial" w:hAnsi="Arial" w:cs="Arial"/>
          <w:b/>
          <w:i/>
        </w:rPr>
        <w:t>Figure 1:</w:t>
      </w:r>
      <w:r w:rsidRPr="00101BFF">
        <w:rPr>
          <w:rFonts w:ascii="Arial" w:hAnsi="Arial" w:cs="Arial"/>
          <w:i/>
        </w:rPr>
        <w:t xml:space="preserve"> Study area of </w:t>
      </w:r>
      <w:proofErr w:type="spellStart"/>
      <w:r w:rsidRPr="00101BFF">
        <w:rPr>
          <w:rFonts w:ascii="Arial" w:hAnsi="Arial" w:cs="Arial"/>
          <w:i/>
        </w:rPr>
        <w:t>Sitio</w:t>
      </w:r>
      <w:proofErr w:type="spellEnd"/>
      <w:r w:rsidRPr="00101BFF">
        <w:rPr>
          <w:rFonts w:ascii="Arial" w:hAnsi="Arial" w:cs="Arial"/>
          <w:i/>
        </w:rPr>
        <w:t xml:space="preserve"> </w:t>
      </w:r>
      <w:proofErr w:type="spellStart"/>
      <w:r w:rsidRPr="00101BFF">
        <w:rPr>
          <w:rFonts w:ascii="Arial" w:hAnsi="Arial" w:cs="Arial"/>
          <w:i/>
        </w:rPr>
        <w:t>Kasilaan</w:t>
      </w:r>
      <w:proofErr w:type="spellEnd"/>
      <w:r w:rsidRPr="00101BFF">
        <w:rPr>
          <w:rFonts w:ascii="Arial" w:hAnsi="Arial" w:cs="Arial"/>
          <w:i/>
        </w:rPr>
        <w:t>, San Fernando, Bukidnon</w:t>
      </w:r>
    </w:p>
    <w:p w14:paraId="74703322" w14:textId="77777777" w:rsidR="00101BFF" w:rsidRDefault="00101BFF" w:rsidP="00101BFF">
      <w:pPr>
        <w:pStyle w:val="Body"/>
        <w:spacing w:after="0"/>
        <w:rPr>
          <w:rFonts w:ascii="Arial" w:hAnsi="Arial" w:cs="Arial"/>
        </w:rPr>
      </w:pPr>
      <w:r w:rsidRPr="00101BFF">
        <w:rPr>
          <w:rFonts w:ascii="Arial" w:hAnsi="Arial" w:cs="Arial"/>
        </w:rPr>
        <w:t xml:space="preserve">The study was conducted in </w:t>
      </w:r>
      <w:proofErr w:type="spellStart"/>
      <w:r w:rsidRPr="00101BFF">
        <w:rPr>
          <w:rFonts w:ascii="Arial" w:hAnsi="Arial" w:cs="Arial"/>
        </w:rPr>
        <w:t>Sitio</w:t>
      </w:r>
      <w:proofErr w:type="spellEnd"/>
      <w:r w:rsidRPr="00101BFF">
        <w:rPr>
          <w:rFonts w:ascii="Arial" w:hAnsi="Arial" w:cs="Arial"/>
        </w:rPr>
        <w:t xml:space="preserve"> </w:t>
      </w:r>
      <w:proofErr w:type="spellStart"/>
      <w:r w:rsidRPr="00101BFF">
        <w:rPr>
          <w:rFonts w:ascii="Arial" w:hAnsi="Arial" w:cs="Arial"/>
        </w:rPr>
        <w:t>Kasilaan</w:t>
      </w:r>
      <w:proofErr w:type="spellEnd"/>
      <w:r w:rsidRPr="00101BFF">
        <w:rPr>
          <w:rFonts w:ascii="Arial" w:hAnsi="Arial" w:cs="Arial"/>
        </w:rPr>
        <w:t xml:space="preserve"> (7° 56' 22.49" N, 125° 21' 53.83" E)</w:t>
      </w:r>
      <w:r w:rsidR="00063E9E">
        <w:rPr>
          <w:rFonts w:ascii="Arial" w:hAnsi="Arial" w:cs="Arial"/>
        </w:rPr>
        <w:t>. It is</w:t>
      </w:r>
      <w:r w:rsidRPr="00101BFF">
        <w:rPr>
          <w:rFonts w:ascii="Arial" w:hAnsi="Arial" w:cs="Arial"/>
        </w:rPr>
        <w:t xml:space="preserve"> a tribal village located within the municipality of San Fernando, Bukidnon, Philippines. This </w:t>
      </w:r>
      <w:r w:rsidR="00063E9E">
        <w:rPr>
          <w:rFonts w:ascii="Arial" w:hAnsi="Arial" w:cs="Arial"/>
        </w:rPr>
        <w:t>area</w:t>
      </w:r>
      <w:r w:rsidRPr="00101BFF">
        <w:rPr>
          <w:rFonts w:ascii="Arial" w:hAnsi="Arial" w:cs="Arial"/>
        </w:rPr>
        <w:t xml:space="preserve"> is recognized for its rich ethnic diversity, serving as the ancestral domain for various indigenous groups, including the </w:t>
      </w:r>
      <w:proofErr w:type="spellStart"/>
      <w:r w:rsidRPr="00101BFF">
        <w:rPr>
          <w:rFonts w:ascii="Arial" w:hAnsi="Arial" w:cs="Arial"/>
        </w:rPr>
        <w:t>Tigwahanon</w:t>
      </w:r>
      <w:proofErr w:type="spellEnd"/>
      <w:r w:rsidRPr="00101BFF">
        <w:rPr>
          <w:rFonts w:ascii="Arial" w:hAnsi="Arial" w:cs="Arial"/>
        </w:rPr>
        <w:t xml:space="preserve"> Tribe. The </w:t>
      </w:r>
      <w:proofErr w:type="spellStart"/>
      <w:r w:rsidRPr="00101BFF">
        <w:rPr>
          <w:rFonts w:ascii="Arial" w:hAnsi="Arial" w:cs="Arial"/>
        </w:rPr>
        <w:t>Tigwahanon</w:t>
      </w:r>
      <w:proofErr w:type="spellEnd"/>
      <w:r w:rsidR="00063E9E">
        <w:rPr>
          <w:rFonts w:ascii="Arial" w:hAnsi="Arial" w:cs="Arial"/>
        </w:rPr>
        <w:t xml:space="preserve"> </w:t>
      </w:r>
      <w:r w:rsidRPr="00101BFF">
        <w:rPr>
          <w:rFonts w:ascii="Arial" w:hAnsi="Arial" w:cs="Arial"/>
        </w:rPr>
        <w:t xml:space="preserve">are culturally and geographically associated with the nearby </w:t>
      </w:r>
      <w:proofErr w:type="spellStart"/>
      <w:r w:rsidRPr="00101BFF">
        <w:rPr>
          <w:rFonts w:ascii="Arial" w:hAnsi="Arial" w:cs="Arial"/>
        </w:rPr>
        <w:t>Tigwa</w:t>
      </w:r>
      <w:proofErr w:type="spellEnd"/>
      <w:r w:rsidRPr="00101BFF">
        <w:rPr>
          <w:rFonts w:ascii="Arial" w:hAnsi="Arial" w:cs="Arial"/>
        </w:rPr>
        <w:t xml:space="preserve"> River and its surrounding watershed, which is historically significant for their traditional practices. The </w:t>
      </w:r>
      <w:proofErr w:type="spellStart"/>
      <w:r w:rsidRPr="00101BFF">
        <w:rPr>
          <w:rFonts w:ascii="Arial" w:hAnsi="Arial" w:cs="Arial"/>
        </w:rPr>
        <w:t>Saluyot</w:t>
      </w:r>
      <w:proofErr w:type="spellEnd"/>
      <w:r w:rsidRPr="00101BFF">
        <w:rPr>
          <w:rFonts w:ascii="Arial" w:hAnsi="Arial" w:cs="Arial"/>
        </w:rPr>
        <w:t xml:space="preserve"> (</w:t>
      </w:r>
      <w:proofErr w:type="spellStart"/>
      <w:r w:rsidRPr="00101BFF">
        <w:rPr>
          <w:rFonts w:ascii="Arial" w:hAnsi="Arial" w:cs="Arial"/>
          <w:i/>
        </w:rPr>
        <w:t>Corchorus</w:t>
      </w:r>
      <w:proofErr w:type="spellEnd"/>
      <w:r w:rsidRPr="00101BFF">
        <w:rPr>
          <w:rFonts w:ascii="Arial" w:hAnsi="Arial" w:cs="Arial"/>
          <w:i/>
        </w:rPr>
        <w:t xml:space="preserve"> </w:t>
      </w:r>
      <w:proofErr w:type="spellStart"/>
      <w:r w:rsidRPr="00101BFF">
        <w:rPr>
          <w:rFonts w:ascii="Arial" w:hAnsi="Arial" w:cs="Arial"/>
          <w:i/>
        </w:rPr>
        <w:t>olitorius</w:t>
      </w:r>
      <w:proofErr w:type="spellEnd"/>
      <w:r w:rsidRPr="00101BFF">
        <w:rPr>
          <w:rFonts w:ascii="Arial" w:hAnsi="Arial" w:cs="Arial"/>
          <w:i/>
        </w:rPr>
        <w:t xml:space="preserve"> L.)</w:t>
      </w:r>
      <w:r w:rsidRPr="00101BFF">
        <w:rPr>
          <w:rFonts w:ascii="Arial" w:hAnsi="Arial" w:cs="Arial"/>
        </w:rPr>
        <w:t xml:space="preserve"> was collected directly from this specific geographical location in </w:t>
      </w:r>
      <w:proofErr w:type="spellStart"/>
      <w:r w:rsidRPr="00101BFF">
        <w:rPr>
          <w:rFonts w:ascii="Arial" w:hAnsi="Arial" w:cs="Arial"/>
        </w:rPr>
        <w:t>Sitio</w:t>
      </w:r>
      <w:proofErr w:type="spellEnd"/>
      <w:r w:rsidRPr="00101BFF">
        <w:rPr>
          <w:rFonts w:ascii="Arial" w:hAnsi="Arial" w:cs="Arial"/>
        </w:rPr>
        <w:t xml:space="preserve"> </w:t>
      </w:r>
      <w:proofErr w:type="spellStart"/>
      <w:r w:rsidRPr="00101BFF">
        <w:rPr>
          <w:rFonts w:ascii="Arial" w:hAnsi="Arial" w:cs="Arial"/>
        </w:rPr>
        <w:t>Kasilaan</w:t>
      </w:r>
      <w:proofErr w:type="spellEnd"/>
      <w:r w:rsidRPr="00101BFF">
        <w:rPr>
          <w:rFonts w:ascii="Arial" w:hAnsi="Arial" w:cs="Arial"/>
        </w:rPr>
        <w:t xml:space="preserve">, ensuring the medicinal plant material is consistent with that traditionally utilized by the </w:t>
      </w:r>
      <w:proofErr w:type="spellStart"/>
      <w:r w:rsidRPr="00101BFF">
        <w:rPr>
          <w:rFonts w:ascii="Arial" w:hAnsi="Arial" w:cs="Arial"/>
        </w:rPr>
        <w:t>Tigwahanon</w:t>
      </w:r>
      <w:proofErr w:type="spellEnd"/>
      <w:r w:rsidRPr="00101BFF">
        <w:rPr>
          <w:rFonts w:ascii="Arial" w:hAnsi="Arial" w:cs="Arial"/>
        </w:rPr>
        <w:t xml:space="preserve"> community.</w:t>
      </w:r>
    </w:p>
    <w:p w14:paraId="0F668EA0" w14:textId="77777777" w:rsidR="00101BFF" w:rsidRDefault="00101BFF" w:rsidP="00441B6F">
      <w:pPr>
        <w:pStyle w:val="Body"/>
        <w:spacing w:after="0"/>
        <w:rPr>
          <w:rFonts w:ascii="Arial" w:hAnsi="Arial" w:cs="Arial"/>
        </w:rPr>
      </w:pPr>
    </w:p>
    <w:p w14:paraId="3CE32915" w14:textId="77777777" w:rsidR="007C0B14" w:rsidRDefault="007C0B14" w:rsidP="00441B6F">
      <w:pPr>
        <w:pStyle w:val="Body"/>
        <w:spacing w:after="0"/>
        <w:rPr>
          <w:rFonts w:ascii="Arial" w:hAnsi="Arial" w:cs="Arial"/>
        </w:rPr>
      </w:pPr>
    </w:p>
    <w:p w14:paraId="6C7A398F" w14:textId="77777777" w:rsidR="00594EBA" w:rsidRDefault="00594EBA" w:rsidP="00594EBA">
      <w:pPr>
        <w:pStyle w:val="Body"/>
        <w:spacing w:after="0"/>
        <w:rPr>
          <w:rFonts w:ascii="Arial" w:hAnsi="Arial" w:cs="Arial"/>
          <w:b/>
          <w:sz w:val="22"/>
        </w:rPr>
      </w:pPr>
      <w:r w:rsidRPr="00C30A0F">
        <w:rPr>
          <w:rFonts w:ascii="Arial" w:hAnsi="Arial" w:cs="Arial"/>
          <w:b/>
          <w:caps/>
          <w:sz w:val="22"/>
        </w:rPr>
        <w:lastRenderedPageBreak/>
        <w:t>2.</w:t>
      </w:r>
      <w:r>
        <w:rPr>
          <w:rFonts w:ascii="Arial" w:hAnsi="Arial" w:cs="Arial"/>
          <w:b/>
          <w:caps/>
          <w:sz w:val="22"/>
        </w:rPr>
        <w:t>4</w:t>
      </w:r>
      <w:r w:rsidRPr="00C30A0F">
        <w:rPr>
          <w:rFonts w:ascii="Arial" w:hAnsi="Arial" w:cs="Arial"/>
          <w:b/>
          <w:caps/>
          <w:sz w:val="22"/>
        </w:rPr>
        <w:t xml:space="preserve"> </w:t>
      </w:r>
      <w:r>
        <w:rPr>
          <w:rFonts w:ascii="Arial" w:hAnsi="Arial" w:cs="Arial"/>
          <w:b/>
          <w:sz w:val="22"/>
        </w:rPr>
        <w:t>Data Gathering Procedure</w:t>
      </w:r>
    </w:p>
    <w:p w14:paraId="27FF0DF3" w14:textId="77777777" w:rsidR="00F76BDD" w:rsidRDefault="00F76BDD" w:rsidP="00594EBA">
      <w:pPr>
        <w:pStyle w:val="Body"/>
        <w:spacing w:after="0"/>
        <w:rPr>
          <w:rFonts w:ascii="Arial" w:hAnsi="Arial" w:cs="Arial"/>
          <w:b/>
          <w:sz w:val="22"/>
        </w:rPr>
      </w:pPr>
    </w:p>
    <w:p w14:paraId="7EC6E56F" w14:textId="77777777" w:rsidR="00A03B96" w:rsidRDefault="00F76BDD"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4</w:t>
      </w:r>
      <w:r w:rsidRPr="00902823">
        <w:rPr>
          <w:rFonts w:ascii="Arial" w:hAnsi="Arial" w:cs="Arial"/>
          <w:b/>
          <w:u w:val="single"/>
        </w:rPr>
        <w:t xml:space="preserve">.1 </w:t>
      </w:r>
      <w:r>
        <w:rPr>
          <w:rFonts w:ascii="Arial" w:hAnsi="Arial" w:cs="Arial"/>
          <w:b/>
          <w:u w:val="single"/>
        </w:rPr>
        <w:t>Documentation of Ethnomedicinal Knowledge</w:t>
      </w:r>
    </w:p>
    <w:p w14:paraId="2F5CE270" w14:textId="77777777" w:rsidR="00101BFF" w:rsidRDefault="00101BFF" w:rsidP="00441B6F">
      <w:pPr>
        <w:pStyle w:val="Body"/>
        <w:spacing w:after="0"/>
        <w:rPr>
          <w:rFonts w:ascii="Arial" w:hAnsi="Arial" w:cs="Arial"/>
        </w:rPr>
      </w:pPr>
    </w:p>
    <w:p w14:paraId="1967BA22" w14:textId="77777777" w:rsidR="00F76BDD" w:rsidRDefault="00F76BDD" w:rsidP="00F76BDD">
      <w:pPr>
        <w:pStyle w:val="Body"/>
        <w:rPr>
          <w:rFonts w:ascii="Arial" w:hAnsi="Arial" w:cs="Arial"/>
        </w:rPr>
      </w:pPr>
      <w:r w:rsidRPr="00F76BDD">
        <w:rPr>
          <w:rFonts w:ascii="Arial" w:hAnsi="Arial" w:cs="Arial"/>
        </w:rPr>
        <w:t>The preliminary phase of data acquisition was executed through a combination of semi-structured interviews and systematic field observation involving the purposively sampled key informants. Prior to data collection, strict observance to ethical research protocols was ensured such as formal presentation of the study's objectives and methodology was delivered in the local dialect, and prior informed consent. The central data collection method involved comprehensive ethnobotanical interviews conducted with the traditional healers (</w:t>
      </w:r>
      <w:proofErr w:type="spellStart"/>
      <w:r w:rsidRPr="00F76BDD">
        <w:rPr>
          <w:rFonts w:ascii="Arial" w:hAnsi="Arial" w:cs="Arial"/>
        </w:rPr>
        <w:t>Mananambal</w:t>
      </w:r>
      <w:proofErr w:type="spellEnd"/>
      <w:r w:rsidRPr="00F76BDD">
        <w:rPr>
          <w:rFonts w:ascii="Arial" w:hAnsi="Arial" w:cs="Arial"/>
        </w:rPr>
        <w:t>) and tribal elders. The structured interview guide was designed to collect necessary detail on the local name, specific therapeutic indications, the traditional preparation methodologies, and the administration. Complementary field observation involved researchers accompanying the informants to the collection sites within the community, to document harvesting practices. S</w:t>
      </w:r>
      <w:r w:rsidR="000B3A5A">
        <w:rPr>
          <w:rFonts w:ascii="Arial" w:hAnsi="Arial" w:cs="Arial"/>
        </w:rPr>
        <w:t>imultaneously, voucher specimen</w:t>
      </w:r>
      <w:r w:rsidRPr="00F76BDD">
        <w:rPr>
          <w:rFonts w:ascii="Arial" w:hAnsi="Arial" w:cs="Arial"/>
        </w:rPr>
        <w:t xml:space="preserve"> of the local </w:t>
      </w:r>
      <w:r w:rsidRPr="000B3A5A">
        <w:rPr>
          <w:rFonts w:ascii="Arial" w:hAnsi="Arial" w:cs="Arial"/>
          <w:i/>
        </w:rPr>
        <w:t xml:space="preserve">C. </w:t>
      </w:r>
      <w:proofErr w:type="spellStart"/>
      <w:r w:rsidRPr="000B3A5A">
        <w:rPr>
          <w:rFonts w:ascii="Arial" w:hAnsi="Arial" w:cs="Arial"/>
          <w:i/>
        </w:rPr>
        <w:t>olitorius</w:t>
      </w:r>
      <w:proofErr w:type="spellEnd"/>
      <w:r w:rsidRPr="00F76BDD">
        <w:rPr>
          <w:rFonts w:ascii="Arial" w:hAnsi="Arial" w:cs="Arial"/>
        </w:rPr>
        <w:t xml:space="preserve"> </w:t>
      </w:r>
      <w:r w:rsidR="000B3A5A">
        <w:rPr>
          <w:rFonts w:ascii="Arial" w:hAnsi="Arial" w:cs="Arial"/>
        </w:rPr>
        <w:t xml:space="preserve">is </w:t>
      </w:r>
      <w:r w:rsidRPr="00F76BDD">
        <w:rPr>
          <w:rFonts w:ascii="Arial" w:hAnsi="Arial" w:cs="Arial"/>
        </w:rPr>
        <w:t xml:space="preserve">collected, expertly prepared, accessioned with official numbers, and deposited in a herbarium for definitive taxonomic authentication. </w:t>
      </w:r>
    </w:p>
    <w:p w14:paraId="3B5C5CDB" w14:textId="77777777" w:rsidR="00F76BDD" w:rsidRPr="00F76BDD" w:rsidRDefault="00F76BDD" w:rsidP="00F76BDD">
      <w:pPr>
        <w:pStyle w:val="Body"/>
        <w:rPr>
          <w:rFonts w:ascii="Arial" w:hAnsi="Arial" w:cs="Arial"/>
        </w:rPr>
      </w:pPr>
      <w:r w:rsidRPr="00F76BDD">
        <w:rPr>
          <w:rFonts w:ascii="Arial" w:hAnsi="Arial" w:cs="Arial"/>
        </w:rPr>
        <w:t>To ensure the validation and reliability of the traditional knowledge, all gathered ethnomedicinal data were subjected to triangulation meaning only those therapeutic uses supported by a consensus of at least 70% of the key informants were retained and included in the final scientific analysis.</w:t>
      </w:r>
    </w:p>
    <w:p w14:paraId="6163015E" w14:textId="77777777" w:rsidR="00F76BDD" w:rsidRPr="000B3A5A" w:rsidRDefault="00F76BDD" w:rsidP="000B3A5A">
      <w:pPr>
        <w:pStyle w:val="Body"/>
        <w:spacing w:after="0"/>
        <w:jc w:val="center"/>
        <w:rPr>
          <w:rFonts w:ascii="Arial" w:hAnsi="Arial" w:cs="Arial"/>
          <w:i/>
        </w:rPr>
      </w:pPr>
      <w:r w:rsidRPr="000B3A5A">
        <w:rPr>
          <w:rFonts w:ascii="Arial" w:hAnsi="Arial" w:cs="Arial"/>
          <w:i/>
        </w:rPr>
        <w:t>Required Consensus Count =</w:t>
      </w:r>
      <w:r w:rsidR="000B3A5A" w:rsidRPr="000B3A5A">
        <w:rPr>
          <w:rFonts w:ascii="Arial" w:hAnsi="Arial" w:cs="Arial"/>
          <w:i/>
        </w:rPr>
        <w:t xml:space="preserve"> </w:t>
      </w:r>
      <w:r w:rsidRPr="000B3A5A">
        <w:rPr>
          <w:rFonts w:ascii="Arial" w:hAnsi="Arial" w:cs="Arial"/>
          <w:i/>
        </w:rPr>
        <w:t>Total Key Informants × Consensus Threshold</w:t>
      </w:r>
    </w:p>
    <w:p w14:paraId="2E385BC0" w14:textId="77777777" w:rsidR="00F76BDD" w:rsidRDefault="00F76BDD" w:rsidP="00441B6F">
      <w:pPr>
        <w:pStyle w:val="Body"/>
        <w:spacing w:after="0"/>
        <w:rPr>
          <w:rFonts w:ascii="Arial" w:hAnsi="Arial" w:cs="Arial"/>
        </w:rPr>
      </w:pPr>
    </w:p>
    <w:p w14:paraId="43249E1B" w14:textId="77777777" w:rsidR="000B3A5A" w:rsidRDefault="000B3A5A" w:rsidP="000B3A5A">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4</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000C6834" w:rsidRPr="000C6834">
        <w:rPr>
          <w:rFonts w:ascii="Arial" w:hAnsi="Arial" w:cs="Arial"/>
          <w:b/>
          <w:u w:val="single"/>
        </w:rPr>
        <w:t>Collection and Preparation of Plant Material</w:t>
      </w:r>
    </w:p>
    <w:p w14:paraId="6ED244FA" w14:textId="77777777" w:rsidR="000B3A5A" w:rsidRDefault="000B3A5A" w:rsidP="00441B6F">
      <w:pPr>
        <w:pStyle w:val="Body"/>
        <w:spacing w:after="0"/>
        <w:rPr>
          <w:rFonts w:ascii="Arial" w:hAnsi="Arial" w:cs="Arial"/>
        </w:rPr>
      </w:pPr>
    </w:p>
    <w:p w14:paraId="13AD1C7D" w14:textId="77777777" w:rsidR="00F76BDD" w:rsidRDefault="000B3A5A" w:rsidP="00441B6F">
      <w:pPr>
        <w:pStyle w:val="Body"/>
        <w:spacing w:after="0"/>
        <w:rPr>
          <w:rFonts w:ascii="Arial" w:hAnsi="Arial" w:cs="Arial"/>
        </w:rPr>
      </w:pPr>
      <w:r w:rsidRPr="000B3A5A">
        <w:rPr>
          <w:rFonts w:ascii="Arial" w:hAnsi="Arial" w:cs="Arial"/>
        </w:rPr>
        <w:t xml:space="preserve">Approximately 3.0 kg of healthy </w:t>
      </w:r>
      <w:proofErr w:type="spellStart"/>
      <w:r w:rsidRPr="000B3A5A">
        <w:rPr>
          <w:rFonts w:ascii="Arial" w:hAnsi="Arial" w:cs="Arial"/>
          <w:i/>
        </w:rPr>
        <w:t>Corchorus</w:t>
      </w:r>
      <w:proofErr w:type="spellEnd"/>
      <w:r w:rsidRPr="000B3A5A">
        <w:rPr>
          <w:rFonts w:ascii="Arial" w:hAnsi="Arial" w:cs="Arial"/>
          <w:i/>
        </w:rPr>
        <w:t xml:space="preserve"> </w:t>
      </w:r>
      <w:proofErr w:type="spellStart"/>
      <w:r w:rsidRPr="000B3A5A">
        <w:rPr>
          <w:rFonts w:ascii="Arial" w:hAnsi="Arial" w:cs="Arial"/>
          <w:i/>
        </w:rPr>
        <w:t>olitorius</w:t>
      </w:r>
      <w:proofErr w:type="spellEnd"/>
      <w:r w:rsidRPr="000B3A5A">
        <w:rPr>
          <w:rFonts w:ascii="Arial" w:hAnsi="Arial" w:cs="Arial"/>
          <w:i/>
        </w:rPr>
        <w:t xml:space="preserve"> L.</w:t>
      </w:r>
      <w:r w:rsidRPr="000B3A5A">
        <w:rPr>
          <w:rFonts w:ascii="Arial" w:hAnsi="Arial" w:cs="Arial"/>
        </w:rPr>
        <w:t xml:space="preserve"> leaves were harvested from </w:t>
      </w:r>
      <w:proofErr w:type="spellStart"/>
      <w:r w:rsidRPr="000B3A5A">
        <w:rPr>
          <w:rFonts w:ascii="Arial" w:hAnsi="Arial" w:cs="Arial"/>
        </w:rPr>
        <w:t>Sitio</w:t>
      </w:r>
      <w:proofErr w:type="spellEnd"/>
      <w:r w:rsidRPr="000B3A5A">
        <w:rPr>
          <w:rFonts w:ascii="Arial" w:hAnsi="Arial" w:cs="Arial"/>
        </w:rPr>
        <w:t xml:space="preserve"> </w:t>
      </w:r>
      <w:proofErr w:type="spellStart"/>
      <w:r w:rsidRPr="000B3A5A">
        <w:rPr>
          <w:rFonts w:ascii="Arial" w:hAnsi="Arial" w:cs="Arial"/>
        </w:rPr>
        <w:t>Kasilaan</w:t>
      </w:r>
      <w:proofErr w:type="spellEnd"/>
      <w:r w:rsidRPr="000B3A5A">
        <w:rPr>
          <w:rFonts w:ascii="Arial" w:hAnsi="Arial" w:cs="Arial"/>
        </w:rPr>
        <w:t xml:space="preserve">. The collected materials were authenticated against the deposited voucher specimen. The leaves were meticulously cleaned, air-dried in a shaded area at ambient temperature for a period of seven days, and </w:t>
      </w:r>
      <w:r>
        <w:rPr>
          <w:rFonts w:ascii="Arial" w:hAnsi="Arial" w:cs="Arial"/>
        </w:rPr>
        <w:t xml:space="preserve">ground into a fine </w:t>
      </w:r>
      <w:r w:rsidRPr="000B3A5A">
        <w:rPr>
          <w:rFonts w:ascii="Arial" w:hAnsi="Arial" w:cs="Arial"/>
        </w:rPr>
        <w:t>powder using a mechanical grinder. The powdered leaf material was subjected to maceration using 95% ethanol in a sealed container for 72 hours with intermittent shaking. This process was repeated three times. The resulting filtrates were pooled and concentrated using a rotary evaporator under reduced pressure and controlled temperature (≤40</w:t>
      </w:r>
      <w:r w:rsidRPr="000B3A5A">
        <w:rPr>
          <w:rFonts w:ascii="Cambria Math" w:hAnsi="Cambria Math" w:cs="Cambria Math"/>
        </w:rPr>
        <w:t>∘</w:t>
      </w:r>
      <w:r w:rsidRPr="000B3A5A">
        <w:rPr>
          <w:rFonts w:ascii="Arial" w:hAnsi="Arial" w:cs="Arial"/>
        </w:rPr>
        <w:t>C) to yield the crude ethanolic leaf extract.</w:t>
      </w:r>
    </w:p>
    <w:p w14:paraId="732AB003" w14:textId="77777777" w:rsidR="000C6834" w:rsidRDefault="000C6834" w:rsidP="00441B6F">
      <w:pPr>
        <w:pStyle w:val="Body"/>
        <w:spacing w:after="0"/>
        <w:rPr>
          <w:rFonts w:ascii="Arial" w:hAnsi="Arial" w:cs="Arial"/>
        </w:rPr>
      </w:pPr>
    </w:p>
    <w:p w14:paraId="47AF63AB" w14:textId="77777777" w:rsidR="000C6834" w:rsidRDefault="000C6834" w:rsidP="000C6834">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4</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sidRPr="000C6834">
        <w:rPr>
          <w:rFonts w:ascii="Arial" w:hAnsi="Arial" w:cs="Arial"/>
          <w:b/>
          <w:u w:val="single"/>
        </w:rPr>
        <w:t>Preparation for Qualitative Phytochemical Screening</w:t>
      </w:r>
    </w:p>
    <w:p w14:paraId="2E8F6546" w14:textId="77777777" w:rsidR="000C6834" w:rsidRDefault="000C6834" w:rsidP="00441B6F">
      <w:pPr>
        <w:pStyle w:val="Body"/>
        <w:spacing w:after="0"/>
        <w:rPr>
          <w:rFonts w:ascii="Arial" w:hAnsi="Arial" w:cs="Arial"/>
        </w:rPr>
      </w:pPr>
    </w:p>
    <w:p w14:paraId="4E2CF337" w14:textId="77777777" w:rsidR="000C6834" w:rsidRPr="000C6834" w:rsidRDefault="000C6834" w:rsidP="000C6834">
      <w:pPr>
        <w:pStyle w:val="Body"/>
        <w:rPr>
          <w:rFonts w:ascii="Arial" w:hAnsi="Arial" w:cs="Arial"/>
        </w:rPr>
      </w:pPr>
      <w:r w:rsidRPr="000C6834">
        <w:rPr>
          <w:rFonts w:ascii="Arial" w:hAnsi="Arial" w:cs="Arial"/>
        </w:rPr>
        <w:t>The prepared crude leaf extract underwent a series of standard, established qualitative chemical tests to identify the major classes of secondary metabolites. The tests were performed in triplicate to e</w:t>
      </w:r>
      <w:r>
        <w:rPr>
          <w:rFonts w:ascii="Arial" w:hAnsi="Arial" w:cs="Arial"/>
        </w:rPr>
        <w:t>nsure reliability.</w:t>
      </w:r>
    </w:p>
    <w:p w14:paraId="2D7B5515" w14:textId="77777777" w:rsidR="000C6834" w:rsidRPr="000C6834" w:rsidRDefault="000C6834" w:rsidP="000C6834">
      <w:pPr>
        <w:pStyle w:val="Body"/>
        <w:rPr>
          <w:rFonts w:ascii="Arial" w:hAnsi="Arial" w:cs="Arial"/>
        </w:rPr>
      </w:pPr>
      <w:r>
        <w:rPr>
          <w:rFonts w:ascii="Arial" w:hAnsi="Arial" w:cs="Arial"/>
          <w:i/>
        </w:rPr>
        <w:t>2.4.3</w:t>
      </w:r>
      <w:r w:rsidRPr="00C30A0F">
        <w:rPr>
          <w:rFonts w:ascii="Arial" w:hAnsi="Arial" w:cs="Arial"/>
          <w:i/>
        </w:rPr>
        <w:t xml:space="preserve">.1 </w:t>
      </w:r>
      <w:r w:rsidRPr="000C6834">
        <w:rPr>
          <w:rFonts w:ascii="Arial" w:hAnsi="Arial" w:cs="Arial"/>
          <w:i/>
        </w:rPr>
        <w:t>Mayer's Test for Alkaloids</w:t>
      </w:r>
    </w:p>
    <w:p w14:paraId="6F7BC0C5" w14:textId="77777777" w:rsidR="000C6834" w:rsidRDefault="000C6834" w:rsidP="000C6834">
      <w:pPr>
        <w:pStyle w:val="Body"/>
        <w:rPr>
          <w:rFonts w:ascii="Arial" w:hAnsi="Arial" w:cs="Arial"/>
        </w:rPr>
      </w:pPr>
      <w:r w:rsidRPr="000C6834">
        <w:rPr>
          <w:rFonts w:ascii="Arial" w:hAnsi="Arial" w:cs="Arial"/>
        </w:rPr>
        <w:t>The presence of alkaloids was determined using Mayer's test. Three milliliters (3 mL) of the plant extract were placed in a test tube and acidified by the dropwise addition of dilute hydrochloric acid (HCl). Subsequently, one milliliter (1 mL) of Mayer's reagent was added dropwise to the mixture. A positive result was indicated by the formation of a creamy-white or yellow precipitate, confirming the presen</w:t>
      </w:r>
      <w:r>
        <w:rPr>
          <w:rFonts w:ascii="Arial" w:hAnsi="Arial" w:cs="Arial"/>
        </w:rPr>
        <w:t>ce of alkaloids in the extract.</w:t>
      </w:r>
    </w:p>
    <w:p w14:paraId="799F43F8" w14:textId="77777777" w:rsidR="000C6834" w:rsidRDefault="000C6834" w:rsidP="000C6834">
      <w:pPr>
        <w:pStyle w:val="Body"/>
        <w:rPr>
          <w:rFonts w:ascii="Arial" w:hAnsi="Arial" w:cs="Arial"/>
        </w:rPr>
      </w:pPr>
    </w:p>
    <w:p w14:paraId="6DFF6B6A" w14:textId="77777777" w:rsidR="000C6834" w:rsidRPr="000C6834" w:rsidRDefault="000C6834" w:rsidP="000C6834">
      <w:pPr>
        <w:pStyle w:val="Body"/>
        <w:rPr>
          <w:rFonts w:ascii="Arial" w:hAnsi="Arial" w:cs="Arial"/>
        </w:rPr>
      </w:pPr>
    </w:p>
    <w:p w14:paraId="7AC8B81E" w14:textId="77777777" w:rsidR="000C6834" w:rsidRPr="000C6834" w:rsidRDefault="000C6834" w:rsidP="000C6834">
      <w:pPr>
        <w:pStyle w:val="Body"/>
        <w:rPr>
          <w:rFonts w:ascii="Arial" w:hAnsi="Arial" w:cs="Arial"/>
        </w:rPr>
      </w:pPr>
      <w:r>
        <w:rPr>
          <w:rFonts w:ascii="Arial" w:hAnsi="Arial" w:cs="Arial"/>
          <w:i/>
        </w:rPr>
        <w:lastRenderedPageBreak/>
        <w:t>2.4.3</w:t>
      </w:r>
      <w:r w:rsidRPr="00C30A0F">
        <w:rPr>
          <w:rFonts w:ascii="Arial" w:hAnsi="Arial" w:cs="Arial"/>
          <w:i/>
        </w:rPr>
        <w:t>.</w:t>
      </w:r>
      <w:r>
        <w:rPr>
          <w:rFonts w:ascii="Arial" w:hAnsi="Arial" w:cs="Arial"/>
          <w:i/>
        </w:rPr>
        <w:t>2</w:t>
      </w:r>
      <w:r w:rsidRPr="00C30A0F">
        <w:rPr>
          <w:rFonts w:ascii="Arial" w:hAnsi="Arial" w:cs="Arial"/>
          <w:i/>
        </w:rPr>
        <w:t xml:space="preserve"> </w:t>
      </w:r>
      <w:r w:rsidRPr="000C6834">
        <w:rPr>
          <w:rFonts w:ascii="Arial" w:hAnsi="Arial" w:cs="Arial"/>
          <w:i/>
        </w:rPr>
        <w:t>Ferric Chloride Test for Tannins</w:t>
      </w:r>
    </w:p>
    <w:p w14:paraId="014C456C" w14:textId="77777777" w:rsidR="000C6834" w:rsidRPr="000C6834" w:rsidRDefault="000C6834" w:rsidP="000C6834">
      <w:pPr>
        <w:pStyle w:val="Body"/>
        <w:rPr>
          <w:rFonts w:ascii="Arial" w:hAnsi="Arial" w:cs="Arial"/>
        </w:rPr>
      </w:pPr>
      <w:r w:rsidRPr="000C6834">
        <w:rPr>
          <w:rFonts w:ascii="Arial" w:hAnsi="Arial" w:cs="Arial"/>
        </w:rPr>
        <w:t xml:space="preserve">Tannins were screened using the Ferric Chloride </w:t>
      </w:r>
      <w:r w:rsidRPr="00826981">
        <w:rPr>
          <w:rFonts w:ascii="Arial" w:hAnsi="Arial" w:cs="Arial"/>
          <w:color w:val="FF0000"/>
        </w:rPr>
        <w:t>(FeCl</w:t>
      </w:r>
      <w:r w:rsidRPr="00826981">
        <w:rPr>
          <w:rFonts w:ascii="Arial" w:hAnsi="Arial" w:cs="Arial"/>
          <w:color w:val="FF0000"/>
          <w:vertAlign w:val="subscript"/>
        </w:rPr>
        <w:t>3</w:t>
      </w:r>
      <w:r w:rsidRPr="00826981">
        <w:rPr>
          <w:rFonts w:ascii="Arial" w:hAnsi="Arial" w:cs="Arial"/>
          <w:color w:val="FF0000"/>
        </w:rPr>
        <w:t xml:space="preserve">) </w:t>
      </w:r>
      <w:r w:rsidRPr="000C6834">
        <w:rPr>
          <w:rFonts w:ascii="Arial" w:hAnsi="Arial" w:cs="Arial"/>
        </w:rPr>
        <w:t xml:space="preserve">test. Two milliliters (2 mL) of the extract were diluted with ten milliliters (10 mL) of distilled water, and this mixture was gently heated on a water bath for five minutes before being filtered. A few drops of 5% Ferric Chloride solution were then added to the resulting filtrate. The formation of a distinct bluish-black coloration or precipitate was interpreted as a positive indication for the presence of </w:t>
      </w:r>
      <w:proofErr w:type="spellStart"/>
      <w:r w:rsidRPr="000C6834">
        <w:rPr>
          <w:rFonts w:ascii="Arial" w:hAnsi="Arial" w:cs="Arial"/>
        </w:rPr>
        <w:t>hydrolyzable</w:t>
      </w:r>
      <w:proofErr w:type="spellEnd"/>
      <w:r w:rsidRPr="000C6834">
        <w:rPr>
          <w:rFonts w:ascii="Arial" w:hAnsi="Arial" w:cs="Arial"/>
        </w:rPr>
        <w:t xml:space="preserve"> tannins, while a greenish-black or brown coloration or precipitate suggested the</w:t>
      </w:r>
      <w:r>
        <w:rPr>
          <w:rFonts w:ascii="Arial" w:hAnsi="Arial" w:cs="Arial"/>
        </w:rPr>
        <w:t xml:space="preserve"> presence of condensed tannins.</w:t>
      </w:r>
    </w:p>
    <w:p w14:paraId="660FF0B6" w14:textId="77777777" w:rsidR="000C6834" w:rsidRPr="000C6834" w:rsidRDefault="000C6834" w:rsidP="000C6834">
      <w:pPr>
        <w:pStyle w:val="Body"/>
        <w:rPr>
          <w:rFonts w:ascii="Arial" w:hAnsi="Arial" w:cs="Arial"/>
        </w:rPr>
      </w:pPr>
      <w:r>
        <w:rPr>
          <w:rFonts w:ascii="Arial" w:hAnsi="Arial" w:cs="Arial"/>
          <w:i/>
        </w:rPr>
        <w:t>2.4.3.3</w:t>
      </w:r>
      <w:r w:rsidRPr="00C30A0F">
        <w:rPr>
          <w:rFonts w:ascii="Arial" w:hAnsi="Arial" w:cs="Arial"/>
          <w:i/>
        </w:rPr>
        <w:t xml:space="preserve"> </w:t>
      </w:r>
      <w:r w:rsidRPr="000C6834">
        <w:rPr>
          <w:rFonts w:ascii="Arial" w:hAnsi="Arial" w:cs="Arial"/>
          <w:i/>
        </w:rPr>
        <w:t>Foam Test for Saponins</w:t>
      </w:r>
    </w:p>
    <w:p w14:paraId="0C9263F7" w14:textId="77777777" w:rsidR="000C6834" w:rsidRPr="000C6834" w:rsidRDefault="000C6834" w:rsidP="000C6834">
      <w:pPr>
        <w:pStyle w:val="Body"/>
        <w:rPr>
          <w:rFonts w:ascii="Arial" w:hAnsi="Arial" w:cs="Arial"/>
        </w:rPr>
      </w:pPr>
      <w:r w:rsidRPr="000C6834">
        <w:rPr>
          <w:rFonts w:ascii="Arial" w:hAnsi="Arial" w:cs="Arial"/>
        </w:rPr>
        <w:t>The presence of saponins was investigated using the standard Foam Test. A five-milliliter (5 mL) volume of the plant extract was added to a test tube and vigorously shaken in a vertical direction for a duration of one to two minutes. The solution was subsequently allowed to stand undisturbed for ten to fifteen minutes. The test was considered positive if a stable, persistent honeycomb-like froth or foam, measuring at least one centimeter (1 cm) in height, remained on the surface for an extended period.</w:t>
      </w:r>
    </w:p>
    <w:p w14:paraId="6711C49C" w14:textId="77777777" w:rsidR="000C6834" w:rsidRPr="000C6834" w:rsidRDefault="000C6834" w:rsidP="000C6834">
      <w:pPr>
        <w:pStyle w:val="Body"/>
        <w:rPr>
          <w:rFonts w:ascii="Arial" w:hAnsi="Arial" w:cs="Arial"/>
        </w:rPr>
      </w:pPr>
      <w:r>
        <w:rPr>
          <w:rFonts w:ascii="Arial" w:hAnsi="Arial" w:cs="Arial"/>
          <w:i/>
        </w:rPr>
        <w:t>2.4.3.4</w:t>
      </w:r>
      <w:r w:rsidRPr="00C30A0F">
        <w:rPr>
          <w:rFonts w:ascii="Arial" w:hAnsi="Arial" w:cs="Arial"/>
          <w:i/>
        </w:rPr>
        <w:t xml:space="preserve"> </w:t>
      </w:r>
      <w:r w:rsidRPr="000C6834">
        <w:rPr>
          <w:rFonts w:ascii="Arial" w:hAnsi="Arial" w:cs="Arial"/>
          <w:i/>
        </w:rPr>
        <w:t>Salkowski Test for Terpenoids</w:t>
      </w:r>
    </w:p>
    <w:p w14:paraId="2FB07242" w14:textId="77777777" w:rsidR="000C6834" w:rsidRPr="000C6834" w:rsidRDefault="000C6834" w:rsidP="000C6834">
      <w:pPr>
        <w:pStyle w:val="Body"/>
        <w:rPr>
          <w:rFonts w:ascii="Arial" w:hAnsi="Arial" w:cs="Arial"/>
        </w:rPr>
      </w:pPr>
      <w:r w:rsidRPr="000C6834">
        <w:rPr>
          <w:rFonts w:ascii="Arial" w:hAnsi="Arial" w:cs="Arial"/>
        </w:rPr>
        <w:t xml:space="preserve">The Salkowski test was utilized to confirm the presence of terpenoids. Five milliliters (5 mL) of the extract were combined with two milliliters (2 mL) of chloroform and three milliliters (3 mL) of concentrated Sulfuric Acid </w:t>
      </w:r>
      <w:r w:rsidRPr="00826981">
        <w:rPr>
          <w:rFonts w:ascii="Arial" w:hAnsi="Arial" w:cs="Arial"/>
          <w:color w:val="FF0000"/>
        </w:rPr>
        <w:t>(H</w:t>
      </w:r>
      <w:r w:rsidRPr="00826981">
        <w:rPr>
          <w:rFonts w:ascii="Arial" w:hAnsi="Arial" w:cs="Arial"/>
          <w:color w:val="FF0000"/>
          <w:vertAlign w:val="subscript"/>
        </w:rPr>
        <w:t>2</w:t>
      </w:r>
      <w:r w:rsidRPr="00826981">
        <w:rPr>
          <w:rFonts w:ascii="Arial" w:hAnsi="Arial" w:cs="Arial"/>
          <w:color w:val="FF0000"/>
        </w:rPr>
        <w:t>SO</w:t>
      </w:r>
      <w:r w:rsidRPr="00826981">
        <w:rPr>
          <w:rFonts w:ascii="Arial" w:hAnsi="Arial" w:cs="Arial"/>
          <w:color w:val="FF0000"/>
          <w:vertAlign w:val="subscript"/>
        </w:rPr>
        <w:t>4</w:t>
      </w:r>
      <w:r w:rsidRPr="00826981">
        <w:rPr>
          <w:rFonts w:ascii="Arial" w:hAnsi="Arial" w:cs="Arial"/>
          <w:color w:val="FF0000"/>
        </w:rPr>
        <w:t xml:space="preserve">) </w:t>
      </w:r>
      <w:r w:rsidRPr="000C6834">
        <w:rPr>
          <w:rFonts w:ascii="Arial" w:hAnsi="Arial" w:cs="Arial"/>
        </w:rPr>
        <w:t>in a test tube. After gentle agitation to mix, the solution was left to allow the formation of separate layers. The appearance of a reddish-brown color at the interface between the two layers was indicative of the presence of steroids. Conversely, the observation of a golden-yellow or greenish-blue color in the upper chloroform layer was interpreted as a positive result for terpe</w:t>
      </w:r>
      <w:r>
        <w:rPr>
          <w:rFonts w:ascii="Arial" w:hAnsi="Arial" w:cs="Arial"/>
        </w:rPr>
        <w:t>noids.</w:t>
      </w:r>
    </w:p>
    <w:p w14:paraId="1F1C22CC" w14:textId="77777777" w:rsidR="000C6834" w:rsidRPr="000C6834" w:rsidRDefault="000C6834" w:rsidP="000C6834">
      <w:pPr>
        <w:pStyle w:val="Body"/>
        <w:rPr>
          <w:rFonts w:ascii="Arial" w:hAnsi="Arial" w:cs="Arial"/>
        </w:rPr>
      </w:pPr>
      <w:r>
        <w:rPr>
          <w:rFonts w:ascii="Arial" w:hAnsi="Arial" w:cs="Arial"/>
          <w:i/>
        </w:rPr>
        <w:t>2.4.3</w:t>
      </w:r>
      <w:r w:rsidRPr="00C30A0F">
        <w:rPr>
          <w:rFonts w:ascii="Arial" w:hAnsi="Arial" w:cs="Arial"/>
          <w:i/>
        </w:rPr>
        <w:t xml:space="preserve">.1 </w:t>
      </w:r>
      <w:r w:rsidRPr="000C6834">
        <w:rPr>
          <w:rFonts w:ascii="Arial" w:hAnsi="Arial" w:cs="Arial"/>
          <w:i/>
        </w:rPr>
        <w:t>Alkaline Reagent Test for Flavonoids</w:t>
      </w:r>
    </w:p>
    <w:p w14:paraId="156FB744" w14:textId="77777777" w:rsidR="000C6834" w:rsidRDefault="000C6834" w:rsidP="000C6834">
      <w:pPr>
        <w:pStyle w:val="Body"/>
        <w:spacing w:after="0"/>
        <w:rPr>
          <w:rFonts w:ascii="Arial" w:hAnsi="Arial" w:cs="Arial"/>
        </w:rPr>
      </w:pPr>
      <w:r w:rsidRPr="000C6834">
        <w:rPr>
          <w:rFonts w:ascii="Arial" w:hAnsi="Arial" w:cs="Arial"/>
        </w:rPr>
        <w:t>The Alkaline Reagent test was employed to screen for the presence of Flavonoids. A two-milliliter (2 mL) aliquot of the extract was mixed with one milliliter (1 mL) of a 10% aqueous sodium hydroxide (NaOH) solution. A positive observation was characterized by the development of an intense yellow color upon the addition of the alkali, which rapidly reverted to a colorless solution upon subsequent acidification with a few drops of 10% dilute hydrochloric acid (HCl).</w:t>
      </w:r>
    </w:p>
    <w:p w14:paraId="79D6664B" w14:textId="77777777" w:rsidR="00F76BDD" w:rsidRDefault="00F76BDD" w:rsidP="00441B6F">
      <w:pPr>
        <w:pStyle w:val="Body"/>
        <w:spacing w:after="0"/>
        <w:rPr>
          <w:rFonts w:ascii="Arial" w:hAnsi="Arial" w:cs="Arial"/>
        </w:rPr>
      </w:pPr>
    </w:p>
    <w:p w14:paraId="311F4D19" w14:textId="77777777" w:rsidR="00A75A34" w:rsidRDefault="00A75A34" w:rsidP="00A75A34">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4</w:t>
      </w:r>
      <w:r w:rsidRPr="00902823">
        <w:rPr>
          <w:rFonts w:ascii="Arial" w:hAnsi="Arial" w:cs="Arial"/>
          <w:b/>
          <w:u w:val="single"/>
        </w:rPr>
        <w:t>.</w:t>
      </w:r>
      <w:r>
        <w:rPr>
          <w:rFonts w:ascii="Arial" w:hAnsi="Arial" w:cs="Arial"/>
          <w:b/>
          <w:u w:val="single"/>
        </w:rPr>
        <w:t>4</w:t>
      </w:r>
      <w:r w:rsidRPr="00902823">
        <w:rPr>
          <w:rFonts w:ascii="Arial" w:hAnsi="Arial" w:cs="Arial"/>
          <w:b/>
          <w:u w:val="single"/>
        </w:rPr>
        <w:t xml:space="preserve"> </w:t>
      </w:r>
      <w:r w:rsidRPr="00A75A34">
        <w:rPr>
          <w:rFonts w:ascii="Arial" w:hAnsi="Arial" w:cs="Arial"/>
          <w:b/>
          <w:u w:val="single"/>
        </w:rPr>
        <w:t>Ethical Consideration</w:t>
      </w:r>
    </w:p>
    <w:p w14:paraId="18DD89AF" w14:textId="77777777" w:rsidR="000C6834" w:rsidRDefault="000C6834" w:rsidP="00441B6F">
      <w:pPr>
        <w:pStyle w:val="Body"/>
        <w:spacing w:after="0"/>
        <w:rPr>
          <w:rFonts w:ascii="Arial" w:hAnsi="Arial" w:cs="Arial"/>
        </w:rPr>
      </w:pPr>
    </w:p>
    <w:p w14:paraId="05F7AAA3" w14:textId="77777777" w:rsidR="00A75A34" w:rsidRDefault="00A75A34" w:rsidP="00441B6F">
      <w:pPr>
        <w:pStyle w:val="Body"/>
        <w:spacing w:after="0"/>
        <w:rPr>
          <w:rFonts w:ascii="Arial" w:hAnsi="Arial" w:cs="Arial"/>
        </w:rPr>
      </w:pPr>
      <w:r w:rsidRPr="00A75A34">
        <w:rPr>
          <w:rFonts w:ascii="Arial" w:hAnsi="Arial" w:cs="Arial"/>
        </w:rPr>
        <w:t>Prior to any data gathering, formal clearance was secured. All participants received a detailed explanation of the study's objectives and methods in the local language. The protocol emphatically stressed the absolute right to withdraw at any point without reprisal and guaranteed equitable benefit sharing from any future intellectual property or commercialization resulting from the validated indigenous knowledge and establishing a foundation of trust essential for high-caliber ethnobotanical inquiry.</w:t>
      </w:r>
    </w:p>
    <w:p w14:paraId="0959DB34" w14:textId="77777777" w:rsidR="000C6834" w:rsidRDefault="000C6834" w:rsidP="00441B6F">
      <w:pPr>
        <w:pStyle w:val="Body"/>
        <w:spacing w:after="0"/>
        <w:rPr>
          <w:rFonts w:ascii="Arial" w:hAnsi="Arial" w:cs="Arial"/>
        </w:rPr>
      </w:pPr>
    </w:p>
    <w:p w14:paraId="573AFEE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D51D9C9" w14:textId="77777777" w:rsidR="00790ADA" w:rsidRPr="00FB3A86" w:rsidRDefault="00790ADA" w:rsidP="00441B6F">
      <w:pPr>
        <w:pStyle w:val="Head1"/>
        <w:spacing w:after="0"/>
        <w:jc w:val="both"/>
        <w:rPr>
          <w:rFonts w:ascii="Arial" w:hAnsi="Arial" w:cs="Arial"/>
        </w:rPr>
      </w:pPr>
    </w:p>
    <w:p w14:paraId="181C9CC9" w14:textId="77777777" w:rsidR="00E053D0" w:rsidRPr="00C4704B" w:rsidRDefault="00C4704B" w:rsidP="00441B6F">
      <w:pPr>
        <w:pStyle w:val="Body"/>
        <w:spacing w:after="0"/>
        <w:rPr>
          <w:rFonts w:ascii="Arial" w:hAnsi="Arial" w:cs="Arial"/>
          <w:b/>
          <w:sz w:val="22"/>
        </w:rPr>
      </w:pPr>
      <w:r w:rsidRPr="00C4704B">
        <w:rPr>
          <w:rFonts w:ascii="Arial" w:hAnsi="Arial" w:cs="Arial"/>
          <w:b/>
          <w:sz w:val="22"/>
        </w:rPr>
        <w:t xml:space="preserve">3.1 Ethnomedicinal Uses of </w:t>
      </w:r>
      <w:proofErr w:type="spellStart"/>
      <w:r w:rsidRPr="00C4704B">
        <w:rPr>
          <w:rFonts w:ascii="Arial" w:hAnsi="Arial" w:cs="Arial"/>
          <w:i/>
          <w:sz w:val="22"/>
        </w:rPr>
        <w:t>Corchorus</w:t>
      </w:r>
      <w:proofErr w:type="spellEnd"/>
      <w:r w:rsidRPr="00C4704B">
        <w:rPr>
          <w:rFonts w:ascii="Arial" w:hAnsi="Arial" w:cs="Arial"/>
          <w:i/>
          <w:sz w:val="22"/>
        </w:rPr>
        <w:t xml:space="preserve"> </w:t>
      </w:r>
      <w:proofErr w:type="spellStart"/>
      <w:r w:rsidRPr="00C4704B">
        <w:rPr>
          <w:rFonts w:ascii="Arial" w:hAnsi="Arial" w:cs="Arial"/>
          <w:i/>
          <w:sz w:val="22"/>
        </w:rPr>
        <w:t>olitorius</w:t>
      </w:r>
      <w:proofErr w:type="spellEnd"/>
      <w:r w:rsidRPr="00C4704B">
        <w:rPr>
          <w:rFonts w:ascii="Arial" w:hAnsi="Arial" w:cs="Arial"/>
          <w:i/>
          <w:sz w:val="22"/>
        </w:rPr>
        <w:t xml:space="preserve"> (L.):</w:t>
      </w:r>
      <w:r w:rsidRPr="00C4704B">
        <w:rPr>
          <w:rFonts w:ascii="Arial" w:hAnsi="Arial" w:cs="Arial"/>
          <w:b/>
          <w:sz w:val="22"/>
        </w:rPr>
        <w:t xml:space="preserve"> Consensus and Validation</w:t>
      </w:r>
    </w:p>
    <w:p w14:paraId="1CB7774E" w14:textId="77777777" w:rsidR="00790ADA" w:rsidRDefault="00790ADA" w:rsidP="00441B6F">
      <w:pPr>
        <w:pStyle w:val="Body"/>
        <w:spacing w:after="0"/>
        <w:rPr>
          <w:rFonts w:ascii="Arial" w:hAnsi="Arial" w:cs="Arial"/>
        </w:rPr>
      </w:pPr>
    </w:p>
    <w:p w14:paraId="4568AC39" w14:textId="77777777" w:rsidR="00C4704B" w:rsidRDefault="00C4704B" w:rsidP="00C4704B">
      <w:pPr>
        <w:pStyle w:val="Body"/>
        <w:rPr>
          <w:rFonts w:ascii="Arial" w:hAnsi="Arial" w:cs="Arial"/>
        </w:rPr>
      </w:pPr>
      <w:r w:rsidRPr="00C4704B">
        <w:rPr>
          <w:rFonts w:ascii="Arial" w:hAnsi="Arial" w:cs="Arial"/>
        </w:rPr>
        <w:t xml:space="preserve">Table 1 reports the number of informants reporting each claim, the total count, and the resulting consensus percentage. Following established ethnopharmacological standards, a </w:t>
      </w:r>
      <w:r w:rsidRPr="00C4704B">
        <w:rPr>
          <w:rFonts w:ascii="Arial" w:hAnsi="Arial" w:cs="Arial"/>
        </w:rPr>
        <w:lastRenderedPageBreak/>
        <w:t xml:space="preserve">use was classified as Validated (V) if the informant consensus reached or exceeded 70%, indicating a high degree of local agreement and reliability regarding its efficacy and application. Uses falling below this threshold were designated as Not Validated (NV). This structured approach allows for the prioritization of traditional uses, which exhibit strong communal support, thereby guiding future phytochemical and pharmacological research efforts toward the most promising applications of </w:t>
      </w:r>
      <w:r w:rsidRPr="00E16FFF">
        <w:rPr>
          <w:rFonts w:ascii="Arial" w:hAnsi="Arial" w:cs="Arial"/>
          <w:i/>
        </w:rPr>
        <w:t xml:space="preserve">C. </w:t>
      </w:r>
      <w:proofErr w:type="spellStart"/>
      <w:r w:rsidRPr="00E16FFF">
        <w:rPr>
          <w:rFonts w:ascii="Arial" w:hAnsi="Arial" w:cs="Arial"/>
          <w:i/>
        </w:rPr>
        <w:t>olitorius</w:t>
      </w:r>
      <w:proofErr w:type="spellEnd"/>
      <w:r w:rsidRPr="00C4704B">
        <w:rPr>
          <w:rFonts w:ascii="Arial" w:hAnsi="Arial" w:cs="Arial"/>
        </w:rPr>
        <w:t>.</w:t>
      </w:r>
    </w:p>
    <w:p w14:paraId="5BA3EC15" w14:textId="77777777" w:rsidR="00C4704B" w:rsidRPr="00C4704B" w:rsidRDefault="00C4704B" w:rsidP="00C4704B">
      <w:pPr>
        <w:pStyle w:val="Body"/>
        <w:jc w:val="center"/>
        <w:rPr>
          <w:rFonts w:ascii="Arial" w:hAnsi="Arial" w:cs="Arial"/>
        </w:rPr>
      </w:pPr>
      <w:r w:rsidRPr="00C4704B">
        <w:rPr>
          <w:rFonts w:ascii="Arial" w:hAnsi="Arial" w:cs="Arial"/>
          <w:b/>
        </w:rPr>
        <w:t>Table 1:</w:t>
      </w:r>
      <w:r w:rsidRPr="00C4704B">
        <w:rPr>
          <w:rFonts w:ascii="Arial" w:hAnsi="Arial" w:cs="Arial"/>
        </w:rPr>
        <w:t xml:space="preserve">  </w:t>
      </w:r>
      <w:proofErr w:type="spellStart"/>
      <w:r w:rsidRPr="00C4704B">
        <w:rPr>
          <w:rFonts w:ascii="Arial" w:hAnsi="Arial" w:cs="Arial"/>
          <w:i/>
        </w:rPr>
        <w:t>Ethnomedicinal</w:t>
      </w:r>
      <w:proofErr w:type="spellEnd"/>
      <w:r w:rsidRPr="00C4704B">
        <w:rPr>
          <w:rFonts w:ascii="Arial" w:hAnsi="Arial" w:cs="Arial"/>
          <w:i/>
        </w:rPr>
        <w:t xml:space="preserve"> Uses of </w:t>
      </w:r>
      <w:proofErr w:type="spellStart"/>
      <w:r w:rsidRPr="00C4704B">
        <w:rPr>
          <w:rFonts w:ascii="Arial" w:hAnsi="Arial" w:cs="Arial"/>
          <w:i/>
        </w:rPr>
        <w:t>Saluyot</w:t>
      </w:r>
      <w:proofErr w:type="spellEnd"/>
      <w:r w:rsidRPr="00C4704B">
        <w:rPr>
          <w:rFonts w:ascii="Arial" w:hAnsi="Arial" w:cs="Arial"/>
          <w:i/>
        </w:rPr>
        <w:t xml:space="preserve"> (C. </w:t>
      </w:r>
      <w:proofErr w:type="spellStart"/>
      <w:r w:rsidRPr="00C4704B">
        <w:rPr>
          <w:rFonts w:ascii="Arial" w:hAnsi="Arial" w:cs="Arial"/>
          <w:i/>
        </w:rPr>
        <w:t>olitorius</w:t>
      </w:r>
      <w:proofErr w:type="spellEnd"/>
      <w:r w:rsidRPr="00C4704B">
        <w:rPr>
          <w:rFonts w:ascii="Arial" w:hAnsi="Arial" w:cs="Arial"/>
          <w:i/>
        </w:rPr>
        <w:t>) Leaf by Key Informants</w:t>
      </w:r>
    </w:p>
    <w:tbl>
      <w:tblPr>
        <w:tblStyle w:val="TableGrid"/>
        <w:tblW w:w="8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1225"/>
        <w:gridCol w:w="1718"/>
        <w:gridCol w:w="1308"/>
        <w:gridCol w:w="736"/>
        <w:gridCol w:w="1187"/>
        <w:gridCol w:w="767"/>
      </w:tblGrid>
      <w:tr w:rsidR="00C4704B" w14:paraId="021F5957" w14:textId="77777777" w:rsidTr="00C4704B">
        <w:trPr>
          <w:trHeight w:val="725"/>
        </w:trPr>
        <w:tc>
          <w:tcPr>
            <w:tcW w:w="1270" w:type="dxa"/>
            <w:tcBorders>
              <w:top w:val="single" w:sz="4" w:space="0" w:color="auto"/>
              <w:bottom w:val="single" w:sz="4" w:space="0" w:color="auto"/>
            </w:tcBorders>
          </w:tcPr>
          <w:p w14:paraId="3AA4D89E" w14:textId="77777777" w:rsidR="00C4704B" w:rsidRPr="00C4704B" w:rsidRDefault="00C4704B" w:rsidP="007A2BA6">
            <w:pPr>
              <w:rPr>
                <w:rFonts w:ascii="Arial" w:eastAsia="Libre Caslon Text" w:hAnsi="Arial" w:cs="Arial"/>
                <w:b/>
                <w:sz w:val="18"/>
                <w:szCs w:val="18"/>
              </w:rPr>
            </w:pPr>
            <w:r w:rsidRPr="00C4704B">
              <w:rPr>
                <w:rFonts w:ascii="Arial" w:eastAsia="Libre Caslon Text" w:hAnsi="Arial" w:cs="Arial"/>
                <w:b/>
                <w:sz w:val="18"/>
                <w:szCs w:val="18"/>
              </w:rPr>
              <w:t>Traditional Use/Ailment Claimed</w:t>
            </w:r>
          </w:p>
        </w:tc>
        <w:tc>
          <w:tcPr>
            <w:tcW w:w="1232" w:type="dxa"/>
            <w:tcBorders>
              <w:top w:val="single" w:sz="4" w:space="0" w:color="auto"/>
              <w:bottom w:val="single" w:sz="4" w:space="0" w:color="auto"/>
            </w:tcBorders>
          </w:tcPr>
          <w:p w14:paraId="6116E9F5" w14:textId="77777777" w:rsidR="00C4704B" w:rsidRPr="00C4704B" w:rsidRDefault="00C4704B" w:rsidP="007A2BA6">
            <w:pPr>
              <w:rPr>
                <w:rFonts w:ascii="Arial" w:eastAsia="Libre Caslon Text" w:hAnsi="Arial" w:cs="Arial"/>
                <w:b/>
                <w:sz w:val="18"/>
                <w:szCs w:val="18"/>
              </w:rPr>
            </w:pPr>
            <w:r w:rsidRPr="00C4704B">
              <w:rPr>
                <w:rFonts w:ascii="Arial" w:eastAsia="Libre Caslon Text" w:hAnsi="Arial" w:cs="Arial"/>
                <w:b/>
                <w:sz w:val="18"/>
                <w:szCs w:val="18"/>
              </w:rPr>
              <w:t>Preparation Method</w:t>
            </w:r>
          </w:p>
        </w:tc>
        <w:tc>
          <w:tcPr>
            <w:tcW w:w="1944" w:type="dxa"/>
            <w:tcBorders>
              <w:top w:val="single" w:sz="4" w:space="0" w:color="auto"/>
              <w:bottom w:val="single" w:sz="4" w:space="0" w:color="auto"/>
            </w:tcBorders>
          </w:tcPr>
          <w:p w14:paraId="471A3D8F" w14:textId="77777777" w:rsidR="00C4704B" w:rsidRPr="00C4704B" w:rsidRDefault="00C4704B" w:rsidP="007A2BA6">
            <w:pPr>
              <w:rPr>
                <w:rFonts w:ascii="Arial" w:eastAsia="Libre Caslon Text" w:hAnsi="Arial" w:cs="Arial"/>
                <w:b/>
                <w:sz w:val="18"/>
                <w:szCs w:val="18"/>
              </w:rPr>
            </w:pPr>
            <w:r w:rsidRPr="00C4704B">
              <w:rPr>
                <w:rFonts w:ascii="Arial" w:eastAsia="Libre Caslon Text" w:hAnsi="Arial" w:cs="Arial"/>
                <w:b/>
                <w:sz w:val="18"/>
                <w:szCs w:val="18"/>
              </w:rPr>
              <w:t>Administration Route/Method</w:t>
            </w:r>
          </w:p>
        </w:tc>
        <w:tc>
          <w:tcPr>
            <w:tcW w:w="1319" w:type="dxa"/>
            <w:tcBorders>
              <w:top w:val="single" w:sz="4" w:space="0" w:color="auto"/>
              <w:bottom w:val="single" w:sz="4" w:space="0" w:color="auto"/>
            </w:tcBorders>
          </w:tcPr>
          <w:p w14:paraId="54B883D2" w14:textId="77777777" w:rsidR="00C4704B" w:rsidRPr="00C4704B" w:rsidRDefault="00C4704B" w:rsidP="007A2BA6">
            <w:pPr>
              <w:rPr>
                <w:rFonts w:ascii="Arial" w:eastAsia="Libre Caslon Text" w:hAnsi="Arial" w:cs="Arial"/>
                <w:b/>
                <w:sz w:val="18"/>
                <w:szCs w:val="18"/>
              </w:rPr>
            </w:pPr>
            <w:r w:rsidRPr="00C4704B">
              <w:rPr>
                <w:rFonts w:ascii="Arial" w:eastAsia="Libre Caslon Text" w:hAnsi="Arial" w:cs="Arial"/>
                <w:b/>
                <w:sz w:val="18"/>
                <w:szCs w:val="18"/>
              </w:rPr>
              <w:t>Informants Reporting</w:t>
            </w:r>
          </w:p>
        </w:tc>
        <w:tc>
          <w:tcPr>
            <w:tcW w:w="715" w:type="dxa"/>
            <w:tcBorders>
              <w:top w:val="single" w:sz="4" w:space="0" w:color="auto"/>
              <w:bottom w:val="single" w:sz="4" w:space="0" w:color="auto"/>
            </w:tcBorders>
          </w:tcPr>
          <w:p w14:paraId="45A5E635" w14:textId="77777777" w:rsidR="00C4704B" w:rsidRPr="00C4704B" w:rsidRDefault="00C4704B" w:rsidP="007A2BA6">
            <w:pPr>
              <w:jc w:val="center"/>
              <w:rPr>
                <w:rFonts w:ascii="Arial" w:eastAsia="Libre Caslon Text" w:hAnsi="Arial" w:cs="Arial"/>
                <w:b/>
                <w:sz w:val="18"/>
                <w:szCs w:val="18"/>
              </w:rPr>
            </w:pPr>
            <w:r w:rsidRPr="00C4704B">
              <w:rPr>
                <w:rFonts w:ascii="Arial" w:eastAsia="Libre Caslon Text" w:hAnsi="Arial" w:cs="Arial"/>
                <w:b/>
                <w:sz w:val="18"/>
                <w:szCs w:val="18"/>
              </w:rPr>
              <w:t>Total Count</w:t>
            </w:r>
          </w:p>
        </w:tc>
        <w:tc>
          <w:tcPr>
            <w:tcW w:w="1027" w:type="dxa"/>
            <w:tcBorders>
              <w:top w:val="single" w:sz="4" w:space="0" w:color="auto"/>
              <w:bottom w:val="single" w:sz="4" w:space="0" w:color="auto"/>
            </w:tcBorders>
          </w:tcPr>
          <w:p w14:paraId="087D4DB5" w14:textId="77777777" w:rsidR="00C4704B" w:rsidRPr="00C4704B" w:rsidRDefault="00C4704B" w:rsidP="007A2BA6">
            <w:pPr>
              <w:jc w:val="center"/>
              <w:rPr>
                <w:rFonts w:ascii="Arial" w:eastAsia="Libre Caslon Text" w:hAnsi="Arial" w:cs="Arial"/>
                <w:b/>
                <w:sz w:val="18"/>
                <w:szCs w:val="18"/>
              </w:rPr>
            </w:pPr>
            <w:r w:rsidRPr="00C4704B">
              <w:rPr>
                <w:rFonts w:ascii="Arial" w:eastAsia="Libre Caslon Text" w:hAnsi="Arial" w:cs="Arial"/>
                <w:b/>
                <w:sz w:val="18"/>
                <w:szCs w:val="18"/>
              </w:rPr>
              <w:t>Consensus</w:t>
            </w:r>
          </w:p>
        </w:tc>
        <w:tc>
          <w:tcPr>
            <w:tcW w:w="697" w:type="dxa"/>
            <w:tcBorders>
              <w:top w:val="single" w:sz="4" w:space="0" w:color="auto"/>
              <w:bottom w:val="single" w:sz="4" w:space="0" w:color="auto"/>
            </w:tcBorders>
          </w:tcPr>
          <w:p w14:paraId="4A1AD30C" w14:textId="77777777" w:rsidR="00C4704B" w:rsidRPr="00C4704B" w:rsidRDefault="00C4704B" w:rsidP="007A2BA6">
            <w:pPr>
              <w:rPr>
                <w:rFonts w:ascii="Arial" w:eastAsia="Libre Caslon Text" w:hAnsi="Arial" w:cs="Arial"/>
                <w:b/>
                <w:sz w:val="18"/>
                <w:szCs w:val="18"/>
              </w:rPr>
            </w:pPr>
            <w:r w:rsidRPr="00C4704B">
              <w:rPr>
                <w:rFonts w:ascii="Arial" w:eastAsia="Libre Caslon Text" w:hAnsi="Arial" w:cs="Arial"/>
                <w:b/>
                <w:sz w:val="18"/>
                <w:szCs w:val="18"/>
              </w:rPr>
              <w:t>Status</w:t>
            </w:r>
          </w:p>
        </w:tc>
      </w:tr>
      <w:tr w:rsidR="00C4704B" w14:paraId="2C680F78" w14:textId="77777777" w:rsidTr="00C4704B">
        <w:trPr>
          <w:trHeight w:val="554"/>
        </w:trPr>
        <w:tc>
          <w:tcPr>
            <w:tcW w:w="1270" w:type="dxa"/>
            <w:tcBorders>
              <w:top w:val="single" w:sz="4" w:space="0" w:color="auto"/>
            </w:tcBorders>
          </w:tcPr>
          <w:p w14:paraId="07B31A41" w14:textId="77777777" w:rsidR="00C4704B" w:rsidRPr="00C4704B" w:rsidRDefault="00C4704B" w:rsidP="007A2BA6">
            <w:pPr>
              <w:spacing w:line="276" w:lineRule="auto"/>
              <w:rPr>
                <w:rFonts w:ascii="Arial" w:eastAsia="Libre Caslon Text" w:hAnsi="Arial" w:cs="Arial"/>
                <w:sz w:val="18"/>
                <w:szCs w:val="18"/>
              </w:rPr>
            </w:pPr>
            <w:r w:rsidRPr="00C4704B">
              <w:rPr>
                <w:rFonts w:ascii="Arial" w:eastAsia="Libre Caslon Text" w:hAnsi="Arial" w:cs="Arial"/>
                <w:sz w:val="18"/>
                <w:szCs w:val="18"/>
              </w:rPr>
              <w:t>Constipation</w:t>
            </w:r>
          </w:p>
        </w:tc>
        <w:tc>
          <w:tcPr>
            <w:tcW w:w="1232" w:type="dxa"/>
            <w:tcBorders>
              <w:top w:val="single" w:sz="4" w:space="0" w:color="auto"/>
            </w:tcBorders>
          </w:tcPr>
          <w:p w14:paraId="7D02D334" w14:textId="77777777" w:rsidR="00C4704B" w:rsidRPr="00C4704B" w:rsidRDefault="00C4704B" w:rsidP="007A2BA6">
            <w:pPr>
              <w:spacing w:line="276" w:lineRule="auto"/>
              <w:rPr>
                <w:rFonts w:ascii="Arial" w:eastAsia="Libre Caslon Text" w:hAnsi="Arial" w:cs="Arial"/>
                <w:sz w:val="18"/>
                <w:szCs w:val="18"/>
              </w:rPr>
            </w:pPr>
            <w:r w:rsidRPr="00C4704B">
              <w:rPr>
                <w:rFonts w:ascii="Arial" w:eastAsia="Libre Caslon Text" w:hAnsi="Arial" w:cs="Arial"/>
                <w:sz w:val="18"/>
                <w:szCs w:val="18"/>
              </w:rPr>
              <w:t>Decoction</w:t>
            </w:r>
          </w:p>
        </w:tc>
        <w:tc>
          <w:tcPr>
            <w:tcW w:w="1944" w:type="dxa"/>
            <w:tcBorders>
              <w:top w:val="single" w:sz="4" w:space="0" w:color="auto"/>
            </w:tcBorders>
          </w:tcPr>
          <w:p w14:paraId="706D6D6F" w14:textId="77777777" w:rsidR="00C4704B" w:rsidRPr="00C4704B" w:rsidRDefault="00C4704B" w:rsidP="00C4704B">
            <w:pPr>
              <w:spacing w:line="276" w:lineRule="auto"/>
              <w:rPr>
                <w:rFonts w:ascii="Arial" w:eastAsia="Libre Caslon Text" w:hAnsi="Arial" w:cs="Arial"/>
                <w:sz w:val="18"/>
                <w:szCs w:val="18"/>
              </w:rPr>
            </w:pPr>
            <w:r w:rsidRPr="00C4704B">
              <w:rPr>
                <w:rFonts w:ascii="Arial" w:eastAsia="Libre Caslon Text" w:hAnsi="Arial" w:cs="Arial"/>
                <w:sz w:val="18"/>
                <w:szCs w:val="18"/>
              </w:rPr>
              <w:t>Consumed as a drink</w:t>
            </w:r>
          </w:p>
        </w:tc>
        <w:tc>
          <w:tcPr>
            <w:tcW w:w="1319" w:type="dxa"/>
            <w:tcBorders>
              <w:top w:val="single" w:sz="4" w:space="0" w:color="auto"/>
            </w:tcBorders>
          </w:tcPr>
          <w:p w14:paraId="310C4079" w14:textId="77777777" w:rsidR="00C4704B" w:rsidRPr="00C4704B" w:rsidRDefault="00C4704B" w:rsidP="007A2BA6">
            <w:pPr>
              <w:spacing w:line="276" w:lineRule="auto"/>
              <w:jc w:val="both"/>
              <w:rPr>
                <w:rFonts w:ascii="Arial" w:eastAsia="Libre Caslon Text" w:hAnsi="Arial" w:cs="Arial"/>
                <w:i/>
                <w:sz w:val="18"/>
                <w:szCs w:val="18"/>
              </w:rPr>
            </w:pPr>
            <w:r w:rsidRPr="00C4704B">
              <w:rPr>
                <w:rFonts w:ascii="Arial" w:eastAsia="Libre Caslon Text" w:hAnsi="Arial" w:cs="Arial"/>
                <w:i/>
                <w:sz w:val="18"/>
                <w:szCs w:val="18"/>
              </w:rPr>
              <w:t>K1,K3,K4,K5, K6, K7, K10</w:t>
            </w:r>
          </w:p>
        </w:tc>
        <w:tc>
          <w:tcPr>
            <w:tcW w:w="715" w:type="dxa"/>
            <w:tcBorders>
              <w:top w:val="single" w:sz="4" w:space="0" w:color="auto"/>
            </w:tcBorders>
          </w:tcPr>
          <w:p w14:paraId="3E123341"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7</w:t>
            </w:r>
          </w:p>
        </w:tc>
        <w:tc>
          <w:tcPr>
            <w:tcW w:w="1027" w:type="dxa"/>
            <w:tcBorders>
              <w:top w:val="single" w:sz="4" w:space="0" w:color="auto"/>
            </w:tcBorders>
          </w:tcPr>
          <w:p w14:paraId="5B452186"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70%</w:t>
            </w:r>
          </w:p>
        </w:tc>
        <w:tc>
          <w:tcPr>
            <w:tcW w:w="697" w:type="dxa"/>
            <w:tcBorders>
              <w:top w:val="single" w:sz="4" w:space="0" w:color="auto"/>
            </w:tcBorders>
          </w:tcPr>
          <w:p w14:paraId="0623F484"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V</w:t>
            </w:r>
          </w:p>
        </w:tc>
      </w:tr>
      <w:tr w:rsidR="00C4704B" w14:paraId="36A1DCE8" w14:textId="77777777" w:rsidTr="00C4704B">
        <w:trPr>
          <w:trHeight w:val="277"/>
        </w:trPr>
        <w:tc>
          <w:tcPr>
            <w:tcW w:w="1270" w:type="dxa"/>
          </w:tcPr>
          <w:p w14:paraId="2F264C2E" w14:textId="77777777" w:rsidR="00C4704B" w:rsidRPr="00C4704B" w:rsidRDefault="00C4704B" w:rsidP="007A2BA6">
            <w:pPr>
              <w:spacing w:line="276" w:lineRule="auto"/>
              <w:rPr>
                <w:rFonts w:ascii="Arial" w:eastAsia="Libre Caslon Text" w:hAnsi="Arial" w:cs="Arial"/>
                <w:sz w:val="18"/>
                <w:szCs w:val="18"/>
              </w:rPr>
            </w:pPr>
            <w:r w:rsidRPr="00C4704B">
              <w:rPr>
                <w:rFonts w:ascii="Arial" w:eastAsia="Libre Caslon Text" w:hAnsi="Arial" w:cs="Arial"/>
                <w:sz w:val="18"/>
                <w:szCs w:val="18"/>
              </w:rPr>
              <w:t>Ulcer</w:t>
            </w:r>
          </w:p>
        </w:tc>
        <w:tc>
          <w:tcPr>
            <w:tcW w:w="1232" w:type="dxa"/>
          </w:tcPr>
          <w:p w14:paraId="6B455587" w14:textId="77777777" w:rsidR="00C4704B" w:rsidRPr="00C4704B" w:rsidRDefault="00C4704B" w:rsidP="007A2BA6">
            <w:pPr>
              <w:spacing w:line="276" w:lineRule="auto"/>
              <w:jc w:val="both"/>
              <w:rPr>
                <w:rFonts w:ascii="Arial" w:eastAsia="Libre Caslon Text" w:hAnsi="Arial" w:cs="Arial"/>
                <w:sz w:val="18"/>
                <w:szCs w:val="18"/>
              </w:rPr>
            </w:pPr>
            <w:r w:rsidRPr="00C4704B">
              <w:rPr>
                <w:rFonts w:ascii="Arial" w:eastAsia="Libre Caslon Text" w:hAnsi="Arial" w:cs="Arial"/>
                <w:sz w:val="18"/>
                <w:szCs w:val="18"/>
              </w:rPr>
              <w:t>Decoction</w:t>
            </w:r>
          </w:p>
        </w:tc>
        <w:tc>
          <w:tcPr>
            <w:tcW w:w="1944" w:type="dxa"/>
          </w:tcPr>
          <w:p w14:paraId="5DEF0D8F" w14:textId="77777777" w:rsidR="00C4704B" w:rsidRPr="00C4704B" w:rsidRDefault="00C4704B" w:rsidP="00C4704B">
            <w:pPr>
              <w:spacing w:line="276" w:lineRule="auto"/>
              <w:rPr>
                <w:rFonts w:ascii="Arial" w:eastAsia="Libre Caslon Text" w:hAnsi="Arial" w:cs="Arial"/>
                <w:sz w:val="18"/>
                <w:szCs w:val="18"/>
              </w:rPr>
            </w:pPr>
            <w:r w:rsidRPr="00C4704B">
              <w:rPr>
                <w:rFonts w:ascii="Arial" w:eastAsia="Libre Caslon Text" w:hAnsi="Arial" w:cs="Arial"/>
                <w:sz w:val="18"/>
                <w:szCs w:val="18"/>
              </w:rPr>
              <w:t>Eaten as a vegetable dish</w:t>
            </w:r>
          </w:p>
        </w:tc>
        <w:tc>
          <w:tcPr>
            <w:tcW w:w="1319" w:type="dxa"/>
          </w:tcPr>
          <w:p w14:paraId="36E807FB" w14:textId="77777777" w:rsidR="00C4704B" w:rsidRPr="00C4704B" w:rsidRDefault="00C4704B" w:rsidP="007A2BA6">
            <w:pPr>
              <w:spacing w:line="276" w:lineRule="auto"/>
              <w:jc w:val="both"/>
              <w:rPr>
                <w:rFonts w:ascii="Arial" w:eastAsia="Libre Caslon Text" w:hAnsi="Arial" w:cs="Arial"/>
                <w:i/>
                <w:sz w:val="18"/>
                <w:szCs w:val="18"/>
              </w:rPr>
            </w:pPr>
            <w:r w:rsidRPr="00C4704B">
              <w:rPr>
                <w:rFonts w:ascii="Arial" w:eastAsia="Libre Caslon Text" w:hAnsi="Arial" w:cs="Arial"/>
                <w:i/>
                <w:sz w:val="18"/>
                <w:szCs w:val="18"/>
              </w:rPr>
              <w:t>K1, K2, K8</w:t>
            </w:r>
          </w:p>
        </w:tc>
        <w:tc>
          <w:tcPr>
            <w:tcW w:w="715" w:type="dxa"/>
          </w:tcPr>
          <w:p w14:paraId="7E870AA3"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3</w:t>
            </w:r>
          </w:p>
        </w:tc>
        <w:tc>
          <w:tcPr>
            <w:tcW w:w="1027" w:type="dxa"/>
          </w:tcPr>
          <w:p w14:paraId="1DB002FB"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30%</w:t>
            </w:r>
          </w:p>
        </w:tc>
        <w:tc>
          <w:tcPr>
            <w:tcW w:w="697" w:type="dxa"/>
          </w:tcPr>
          <w:p w14:paraId="046F2317"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NV</w:t>
            </w:r>
          </w:p>
        </w:tc>
      </w:tr>
      <w:tr w:rsidR="00C4704B" w14:paraId="1660CA12" w14:textId="77777777" w:rsidTr="00C4704B">
        <w:trPr>
          <w:trHeight w:val="540"/>
        </w:trPr>
        <w:tc>
          <w:tcPr>
            <w:tcW w:w="1270" w:type="dxa"/>
          </w:tcPr>
          <w:p w14:paraId="7AA488EB" w14:textId="77777777" w:rsidR="00C4704B" w:rsidRPr="00C4704B" w:rsidRDefault="00C4704B" w:rsidP="007A2BA6">
            <w:pPr>
              <w:spacing w:line="276" w:lineRule="auto"/>
              <w:rPr>
                <w:rFonts w:ascii="Arial" w:eastAsia="Libre Caslon Text" w:hAnsi="Arial" w:cs="Arial"/>
                <w:sz w:val="18"/>
                <w:szCs w:val="18"/>
              </w:rPr>
            </w:pPr>
            <w:r w:rsidRPr="00C4704B">
              <w:rPr>
                <w:rFonts w:ascii="Arial" w:eastAsia="Libre Caslon Text" w:hAnsi="Arial" w:cs="Arial"/>
                <w:sz w:val="18"/>
                <w:szCs w:val="18"/>
              </w:rPr>
              <w:t>Arthritis</w:t>
            </w:r>
          </w:p>
        </w:tc>
        <w:tc>
          <w:tcPr>
            <w:tcW w:w="1232" w:type="dxa"/>
          </w:tcPr>
          <w:p w14:paraId="15259B01" w14:textId="77777777" w:rsidR="00C4704B" w:rsidRPr="00C4704B" w:rsidRDefault="00C4704B" w:rsidP="007A2BA6">
            <w:pPr>
              <w:spacing w:line="276" w:lineRule="auto"/>
              <w:jc w:val="both"/>
              <w:rPr>
                <w:rFonts w:ascii="Arial" w:eastAsia="Libre Caslon Text" w:hAnsi="Arial" w:cs="Arial"/>
                <w:sz w:val="18"/>
                <w:szCs w:val="18"/>
              </w:rPr>
            </w:pPr>
            <w:r w:rsidRPr="00C4704B">
              <w:rPr>
                <w:rFonts w:ascii="Arial" w:eastAsia="Libre Caslon Text" w:hAnsi="Arial" w:cs="Arial"/>
                <w:sz w:val="18"/>
                <w:szCs w:val="18"/>
              </w:rPr>
              <w:t>Fomentation</w:t>
            </w:r>
          </w:p>
        </w:tc>
        <w:tc>
          <w:tcPr>
            <w:tcW w:w="1944" w:type="dxa"/>
          </w:tcPr>
          <w:p w14:paraId="5EB8441D" w14:textId="77777777" w:rsidR="00C4704B" w:rsidRPr="00C4704B" w:rsidRDefault="00C4704B" w:rsidP="00C4704B">
            <w:pPr>
              <w:spacing w:line="276" w:lineRule="auto"/>
              <w:rPr>
                <w:rFonts w:ascii="Arial" w:eastAsia="Libre Caslon Text" w:hAnsi="Arial" w:cs="Arial"/>
                <w:sz w:val="18"/>
                <w:szCs w:val="18"/>
              </w:rPr>
            </w:pPr>
            <w:r w:rsidRPr="00C4704B">
              <w:rPr>
                <w:rFonts w:ascii="Arial" w:eastAsia="Libre Caslon Text" w:hAnsi="Arial" w:cs="Arial"/>
                <w:sz w:val="18"/>
                <w:szCs w:val="18"/>
              </w:rPr>
              <w:t>Hot leaves are placed on the knee joint and surrounding area.</w:t>
            </w:r>
          </w:p>
        </w:tc>
        <w:tc>
          <w:tcPr>
            <w:tcW w:w="1319" w:type="dxa"/>
          </w:tcPr>
          <w:p w14:paraId="5E19E2B4" w14:textId="77777777" w:rsidR="00C4704B" w:rsidRPr="00C4704B" w:rsidRDefault="00C4704B" w:rsidP="007A2BA6">
            <w:pPr>
              <w:spacing w:line="276" w:lineRule="auto"/>
              <w:jc w:val="both"/>
              <w:rPr>
                <w:rFonts w:ascii="Arial" w:eastAsia="Libre Caslon Text" w:hAnsi="Arial" w:cs="Arial"/>
                <w:i/>
                <w:sz w:val="18"/>
                <w:szCs w:val="18"/>
              </w:rPr>
            </w:pPr>
            <w:r w:rsidRPr="00C4704B">
              <w:rPr>
                <w:rFonts w:ascii="Arial" w:eastAsia="Libre Caslon Text" w:hAnsi="Arial" w:cs="Arial"/>
                <w:i/>
                <w:sz w:val="18"/>
                <w:szCs w:val="18"/>
              </w:rPr>
              <w:t>K1, K2, K3, K4, K6, K7, K8, K9, K10</w:t>
            </w:r>
          </w:p>
        </w:tc>
        <w:tc>
          <w:tcPr>
            <w:tcW w:w="715" w:type="dxa"/>
          </w:tcPr>
          <w:p w14:paraId="221AE8E3"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9</w:t>
            </w:r>
          </w:p>
        </w:tc>
        <w:tc>
          <w:tcPr>
            <w:tcW w:w="1027" w:type="dxa"/>
          </w:tcPr>
          <w:p w14:paraId="7D65099A"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90%</w:t>
            </w:r>
          </w:p>
        </w:tc>
        <w:tc>
          <w:tcPr>
            <w:tcW w:w="697" w:type="dxa"/>
          </w:tcPr>
          <w:p w14:paraId="282E618B"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V</w:t>
            </w:r>
          </w:p>
        </w:tc>
      </w:tr>
      <w:tr w:rsidR="00C4704B" w14:paraId="2770F459" w14:textId="77777777" w:rsidTr="00C4704B">
        <w:trPr>
          <w:trHeight w:val="554"/>
        </w:trPr>
        <w:tc>
          <w:tcPr>
            <w:tcW w:w="1270" w:type="dxa"/>
          </w:tcPr>
          <w:p w14:paraId="1A34CD56" w14:textId="77777777" w:rsidR="00C4704B" w:rsidRPr="00C4704B" w:rsidRDefault="00C4704B" w:rsidP="007A2BA6">
            <w:pPr>
              <w:spacing w:line="276" w:lineRule="auto"/>
              <w:rPr>
                <w:rFonts w:ascii="Arial" w:eastAsia="Libre Caslon Text" w:hAnsi="Arial" w:cs="Arial"/>
                <w:sz w:val="18"/>
                <w:szCs w:val="18"/>
              </w:rPr>
            </w:pPr>
            <w:r w:rsidRPr="00C4704B">
              <w:rPr>
                <w:rFonts w:ascii="Arial" w:eastAsia="Libre Caslon Text" w:hAnsi="Arial" w:cs="Arial"/>
                <w:sz w:val="18"/>
                <w:szCs w:val="18"/>
              </w:rPr>
              <w:t>Headaches</w:t>
            </w:r>
          </w:p>
        </w:tc>
        <w:tc>
          <w:tcPr>
            <w:tcW w:w="1232" w:type="dxa"/>
          </w:tcPr>
          <w:p w14:paraId="76B629F1" w14:textId="77777777" w:rsidR="00C4704B" w:rsidRPr="00C4704B" w:rsidRDefault="00C4704B" w:rsidP="007A2BA6">
            <w:pPr>
              <w:spacing w:line="276" w:lineRule="auto"/>
              <w:jc w:val="both"/>
              <w:rPr>
                <w:rFonts w:ascii="Arial" w:eastAsia="Libre Caslon Text" w:hAnsi="Arial" w:cs="Arial"/>
                <w:sz w:val="18"/>
                <w:szCs w:val="18"/>
              </w:rPr>
            </w:pPr>
            <w:r w:rsidRPr="00C4704B">
              <w:rPr>
                <w:rFonts w:ascii="Arial" w:eastAsia="Libre Caslon Text" w:hAnsi="Arial" w:cs="Arial"/>
                <w:sz w:val="18"/>
                <w:szCs w:val="18"/>
              </w:rPr>
              <w:t>Poultice</w:t>
            </w:r>
          </w:p>
        </w:tc>
        <w:tc>
          <w:tcPr>
            <w:tcW w:w="1944" w:type="dxa"/>
          </w:tcPr>
          <w:p w14:paraId="4573EA40" w14:textId="77777777" w:rsidR="00C4704B" w:rsidRPr="00C4704B" w:rsidRDefault="00C4704B" w:rsidP="00C4704B">
            <w:pPr>
              <w:spacing w:line="276" w:lineRule="auto"/>
              <w:rPr>
                <w:rFonts w:ascii="Arial" w:eastAsia="Libre Caslon Text" w:hAnsi="Arial" w:cs="Arial"/>
                <w:sz w:val="18"/>
                <w:szCs w:val="18"/>
              </w:rPr>
            </w:pPr>
            <w:r w:rsidRPr="00C4704B">
              <w:rPr>
                <w:rFonts w:ascii="Arial" w:eastAsia="Libre Caslon Text" w:hAnsi="Arial" w:cs="Arial"/>
                <w:sz w:val="18"/>
                <w:szCs w:val="18"/>
              </w:rPr>
              <w:t>Placed on the temple</w:t>
            </w:r>
          </w:p>
        </w:tc>
        <w:tc>
          <w:tcPr>
            <w:tcW w:w="1319" w:type="dxa"/>
          </w:tcPr>
          <w:p w14:paraId="0AEE8214" w14:textId="77777777" w:rsidR="00C4704B" w:rsidRPr="00C4704B" w:rsidRDefault="00C4704B" w:rsidP="007A2BA6">
            <w:pPr>
              <w:spacing w:line="276" w:lineRule="auto"/>
              <w:jc w:val="both"/>
              <w:rPr>
                <w:rFonts w:ascii="Arial" w:eastAsia="Libre Caslon Text" w:hAnsi="Arial" w:cs="Arial"/>
                <w:i/>
                <w:sz w:val="18"/>
                <w:szCs w:val="18"/>
              </w:rPr>
            </w:pPr>
            <w:r>
              <w:rPr>
                <w:rFonts w:ascii="Arial" w:eastAsia="Libre Caslon Text" w:hAnsi="Arial" w:cs="Arial"/>
                <w:i/>
                <w:sz w:val="18"/>
                <w:szCs w:val="18"/>
              </w:rPr>
              <w:t>K2,</w:t>
            </w:r>
            <w:r w:rsidRPr="00C4704B">
              <w:rPr>
                <w:rFonts w:ascii="Arial" w:eastAsia="Libre Caslon Text" w:hAnsi="Arial" w:cs="Arial"/>
                <w:i/>
                <w:sz w:val="18"/>
                <w:szCs w:val="18"/>
              </w:rPr>
              <w:t>K3,K4,K5,</w:t>
            </w:r>
          </w:p>
          <w:p w14:paraId="7B00F129" w14:textId="77777777" w:rsidR="00C4704B" w:rsidRPr="00C4704B" w:rsidRDefault="00C4704B" w:rsidP="007A2BA6">
            <w:pPr>
              <w:spacing w:line="276" w:lineRule="auto"/>
              <w:jc w:val="both"/>
              <w:rPr>
                <w:rFonts w:ascii="Arial" w:eastAsia="Libre Caslon Text" w:hAnsi="Arial" w:cs="Arial"/>
                <w:i/>
                <w:sz w:val="18"/>
                <w:szCs w:val="18"/>
              </w:rPr>
            </w:pPr>
            <w:r w:rsidRPr="00C4704B">
              <w:rPr>
                <w:rFonts w:ascii="Arial" w:eastAsia="Libre Caslon Text" w:hAnsi="Arial" w:cs="Arial"/>
                <w:i/>
                <w:sz w:val="18"/>
                <w:szCs w:val="18"/>
              </w:rPr>
              <w:t>K8, K9,K10</w:t>
            </w:r>
          </w:p>
        </w:tc>
        <w:tc>
          <w:tcPr>
            <w:tcW w:w="715" w:type="dxa"/>
          </w:tcPr>
          <w:p w14:paraId="6E309F10"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7</w:t>
            </w:r>
          </w:p>
        </w:tc>
        <w:tc>
          <w:tcPr>
            <w:tcW w:w="1027" w:type="dxa"/>
          </w:tcPr>
          <w:p w14:paraId="5A531BAD"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70%</w:t>
            </w:r>
          </w:p>
        </w:tc>
        <w:tc>
          <w:tcPr>
            <w:tcW w:w="697" w:type="dxa"/>
          </w:tcPr>
          <w:p w14:paraId="4159A738"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V</w:t>
            </w:r>
          </w:p>
        </w:tc>
      </w:tr>
      <w:tr w:rsidR="00C4704B" w14:paraId="7135D2EE" w14:textId="77777777" w:rsidTr="00C4704B">
        <w:trPr>
          <w:trHeight w:val="554"/>
        </w:trPr>
        <w:tc>
          <w:tcPr>
            <w:tcW w:w="1270" w:type="dxa"/>
          </w:tcPr>
          <w:p w14:paraId="335ACE7A" w14:textId="77777777" w:rsidR="00C4704B" w:rsidRPr="00C4704B" w:rsidRDefault="00C4704B" w:rsidP="007A2BA6">
            <w:pPr>
              <w:spacing w:line="276" w:lineRule="auto"/>
              <w:rPr>
                <w:rFonts w:ascii="Arial" w:eastAsia="Libre Caslon Text" w:hAnsi="Arial" w:cs="Arial"/>
                <w:sz w:val="18"/>
                <w:szCs w:val="18"/>
              </w:rPr>
            </w:pPr>
            <w:r w:rsidRPr="00C4704B">
              <w:rPr>
                <w:rFonts w:ascii="Arial" w:eastAsia="Libre Caslon Text" w:hAnsi="Arial" w:cs="Arial"/>
                <w:sz w:val="18"/>
                <w:szCs w:val="18"/>
              </w:rPr>
              <w:t>Fever</w:t>
            </w:r>
          </w:p>
        </w:tc>
        <w:tc>
          <w:tcPr>
            <w:tcW w:w="1232" w:type="dxa"/>
          </w:tcPr>
          <w:p w14:paraId="3DAFF77C" w14:textId="77777777" w:rsidR="00C4704B" w:rsidRPr="00C4704B" w:rsidRDefault="00C4704B" w:rsidP="007A2BA6">
            <w:pPr>
              <w:spacing w:line="276" w:lineRule="auto"/>
              <w:jc w:val="both"/>
              <w:rPr>
                <w:rFonts w:ascii="Arial" w:eastAsia="Libre Caslon Text" w:hAnsi="Arial" w:cs="Arial"/>
                <w:sz w:val="18"/>
                <w:szCs w:val="18"/>
              </w:rPr>
            </w:pPr>
            <w:r w:rsidRPr="00C4704B">
              <w:rPr>
                <w:rFonts w:ascii="Arial" w:eastAsia="Libre Caslon Text" w:hAnsi="Arial" w:cs="Arial"/>
                <w:sz w:val="18"/>
                <w:szCs w:val="18"/>
              </w:rPr>
              <w:t>Leaf Infusion</w:t>
            </w:r>
          </w:p>
        </w:tc>
        <w:tc>
          <w:tcPr>
            <w:tcW w:w="1944" w:type="dxa"/>
          </w:tcPr>
          <w:p w14:paraId="22B62FBB" w14:textId="77777777" w:rsidR="00C4704B" w:rsidRPr="00C4704B" w:rsidRDefault="00C4704B" w:rsidP="00C4704B">
            <w:pPr>
              <w:spacing w:line="276" w:lineRule="auto"/>
              <w:rPr>
                <w:rFonts w:ascii="Arial" w:eastAsia="Libre Caslon Text" w:hAnsi="Arial" w:cs="Arial"/>
                <w:sz w:val="18"/>
                <w:szCs w:val="18"/>
              </w:rPr>
            </w:pPr>
            <w:r w:rsidRPr="00C4704B">
              <w:rPr>
                <w:rFonts w:ascii="Arial" w:eastAsia="Libre Caslon Text" w:hAnsi="Arial" w:cs="Arial"/>
                <w:sz w:val="18"/>
                <w:szCs w:val="18"/>
              </w:rPr>
              <w:t>Consumed orally as a tea</w:t>
            </w:r>
          </w:p>
        </w:tc>
        <w:tc>
          <w:tcPr>
            <w:tcW w:w="1319" w:type="dxa"/>
          </w:tcPr>
          <w:p w14:paraId="4251F10D" w14:textId="77777777" w:rsidR="00C4704B" w:rsidRPr="00C4704B" w:rsidRDefault="00C4704B" w:rsidP="007A2BA6">
            <w:pPr>
              <w:spacing w:line="276" w:lineRule="auto"/>
              <w:jc w:val="both"/>
              <w:rPr>
                <w:rFonts w:ascii="Arial" w:eastAsia="Libre Caslon Text" w:hAnsi="Arial" w:cs="Arial"/>
                <w:i/>
                <w:sz w:val="18"/>
                <w:szCs w:val="18"/>
              </w:rPr>
            </w:pPr>
            <w:r w:rsidRPr="00C4704B">
              <w:rPr>
                <w:rFonts w:ascii="Arial" w:eastAsia="Libre Caslon Text" w:hAnsi="Arial" w:cs="Arial"/>
                <w:i/>
                <w:sz w:val="18"/>
                <w:szCs w:val="18"/>
              </w:rPr>
              <w:t>K1, K4, K5, K6, K7, K8, K9, K10</w:t>
            </w:r>
          </w:p>
        </w:tc>
        <w:tc>
          <w:tcPr>
            <w:tcW w:w="715" w:type="dxa"/>
          </w:tcPr>
          <w:p w14:paraId="5C994A93"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8</w:t>
            </w:r>
          </w:p>
        </w:tc>
        <w:tc>
          <w:tcPr>
            <w:tcW w:w="1027" w:type="dxa"/>
          </w:tcPr>
          <w:p w14:paraId="7FCED4D9"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80%</w:t>
            </w:r>
          </w:p>
        </w:tc>
        <w:tc>
          <w:tcPr>
            <w:tcW w:w="697" w:type="dxa"/>
          </w:tcPr>
          <w:p w14:paraId="3CC874CE"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V</w:t>
            </w:r>
          </w:p>
        </w:tc>
      </w:tr>
      <w:tr w:rsidR="00C4704B" w14:paraId="50A78D9A" w14:textId="77777777" w:rsidTr="00C4704B">
        <w:trPr>
          <w:trHeight w:val="600"/>
        </w:trPr>
        <w:tc>
          <w:tcPr>
            <w:tcW w:w="1270" w:type="dxa"/>
          </w:tcPr>
          <w:p w14:paraId="38E9FB55" w14:textId="77777777" w:rsidR="00C4704B" w:rsidRPr="00C4704B" w:rsidRDefault="00C4704B" w:rsidP="007A2BA6">
            <w:pPr>
              <w:spacing w:line="276" w:lineRule="auto"/>
              <w:rPr>
                <w:rFonts w:ascii="Arial" w:eastAsia="Libre Caslon Text" w:hAnsi="Arial" w:cs="Arial"/>
                <w:sz w:val="18"/>
                <w:szCs w:val="18"/>
              </w:rPr>
            </w:pPr>
            <w:r w:rsidRPr="00C4704B">
              <w:rPr>
                <w:rFonts w:ascii="Arial" w:eastAsia="Libre Caslon Text" w:hAnsi="Arial" w:cs="Arial"/>
                <w:sz w:val="18"/>
                <w:szCs w:val="18"/>
              </w:rPr>
              <w:t>Diabetes</w:t>
            </w:r>
          </w:p>
        </w:tc>
        <w:tc>
          <w:tcPr>
            <w:tcW w:w="1232" w:type="dxa"/>
          </w:tcPr>
          <w:p w14:paraId="035BC3EC" w14:textId="77777777" w:rsidR="00C4704B" w:rsidRPr="00C4704B" w:rsidRDefault="00C4704B" w:rsidP="007A2BA6">
            <w:pPr>
              <w:spacing w:line="276" w:lineRule="auto"/>
              <w:jc w:val="both"/>
              <w:rPr>
                <w:rFonts w:ascii="Arial" w:eastAsia="Libre Caslon Text" w:hAnsi="Arial" w:cs="Arial"/>
                <w:sz w:val="18"/>
                <w:szCs w:val="18"/>
              </w:rPr>
            </w:pPr>
            <w:r w:rsidRPr="00C4704B">
              <w:rPr>
                <w:rFonts w:ascii="Arial" w:eastAsia="Libre Caslon Text" w:hAnsi="Arial" w:cs="Arial"/>
                <w:sz w:val="18"/>
                <w:szCs w:val="18"/>
              </w:rPr>
              <w:t>Leaf Infusion</w:t>
            </w:r>
          </w:p>
        </w:tc>
        <w:tc>
          <w:tcPr>
            <w:tcW w:w="1944" w:type="dxa"/>
          </w:tcPr>
          <w:p w14:paraId="7277F89E" w14:textId="77777777" w:rsidR="00C4704B" w:rsidRPr="00C4704B" w:rsidRDefault="00C4704B" w:rsidP="00C4704B">
            <w:pPr>
              <w:spacing w:line="276" w:lineRule="auto"/>
              <w:rPr>
                <w:rFonts w:ascii="Arial" w:eastAsia="Libre Caslon Text" w:hAnsi="Arial" w:cs="Arial"/>
                <w:sz w:val="18"/>
                <w:szCs w:val="18"/>
              </w:rPr>
            </w:pPr>
            <w:r w:rsidRPr="00C4704B">
              <w:rPr>
                <w:rFonts w:ascii="Arial" w:eastAsia="Libre Caslon Text" w:hAnsi="Arial" w:cs="Arial"/>
                <w:sz w:val="18"/>
                <w:szCs w:val="18"/>
              </w:rPr>
              <w:t>Consumed orally as a tea</w:t>
            </w:r>
          </w:p>
        </w:tc>
        <w:tc>
          <w:tcPr>
            <w:tcW w:w="1319" w:type="dxa"/>
          </w:tcPr>
          <w:p w14:paraId="7F89B4F7" w14:textId="77777777" w:rsidR="00C4704B" w:rsidRPr="00C4704B" w:rsidRDefault="00C4704B" w:rsidP="007A2BA6">
            <w:pPr>
              <w:spacing w:line="276" w:lineRule="auto"/>
              <w:jc w:val="both"/>
              <w:rPr>
                <w:rFonts w:ascii="Arial" w:eastAsia="Libre Caslon Text" w:hAnsi="Arial" w:cs="Arial"/>
                <w:i/>
                <w:sz w:val="18"/>
                <w:szCs w:val="18"/>
              </w:rPr>
            </w:pPr>
            <w:r w:rsidRPr="00C4704B">
              <w:rPr>
                <w:rFonts w:ascii="Arial" w:eastAsia="Libre Caslon Text" w:hAnsi="Arial" w:cs="Arial"/>
                <w:i/>
                <w:sz w:val="18"/>
                <w:szCs w:val="18"/>
              </w:rPr>
              <w:t>K1, K2, K3, K4, K5, K6, K7, K8, K9, K10</w:t>
            </w:r>
          </w:p>
        </w:tc>
        <w:tc>
          <w:tcPr>
            <w:tcW w:w="715" w:type="dxa"/>
          </w:tcPr>
          <w:p w14:paraId="60F05367"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10</w:t>
            </w:r>
          </w:p>
        </w:tc>
        <w:tc>
          <w:tcPr>
            <w:tcW w:w="1027" w:type="dxa"/>
          </w:tcPr>
          <w:p w14:paraId="7EBC7101"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100%</w:t>
            </w:r>
          </w:p>
        </w:tc>
        <w:tc>
          <w:tcPr>
            <w:tcW w:w="697" w:type="dxa"/>
          </w:tcPr>
          <w:p w14:paraId="1E48245C"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V</w:t>
            </w:r>
          </w:p>
        </w:tc>
      </w:tr>
      <w:tr w:rsidR="00C4704B" w14:paraId="16F9C62D" w14:textId="77777777" w:rsidTr="00C4704B">
        <w:trPr>
          <w:trHeight w:val="554"/>
        </w:trPr>
        <w:tc>
          <w:tcPr>
            <w:tcW w:w="1270" w:type="dxa"/>
          </w:tcPr>
          <w:p w14:paraId="46F01EEB" w14:textId="77777777" w:rsidR="00C4704B" w:rsidRPr="00C4704B" w:rsidRDefault="00C4704B" w:rsidP="007A2BA6">
            <w:pPr>
              <w:spacing w:line="276" w:lineRule="auto"/>
              <w:rPr>
                <w:rFonts w:ascii="Arial" w:eastAsia="Libre Caslon Text" w:hAnsi="Arial" w:cs="Arial"/>
                <w:sz w:val="18"/>
                <w:szCs w:val="18"/>
              </w:rPr>
            </w:pPr>
            <w:r w:rsidRPr="00C4704B">
              <w:rPr>
                <w:rFonts w:ascii="Arial" w:eastAsia="Libre Caslon Text" w:hAnsi="Arial" w:cs="Arial"/>
                <w:sz w:val="18"/>
                <w:szCs w:val="18"/>
              </w:rPr>
              <w:t>High blood pressure</w:t>
            </w:r>
          </w:p>
        </w:tc>
        <w:tc>
          <w:tcPr>
            <w:tcW w:w="1232" w:type="dxa"/>
          </w:tcPr>
          <w:p w14:paraId="04DEEC46" w14:textId="77777777" w:rsidR="00C4704B" w:rsidRPr="00C4704B" w:rsidRDefault="00C4704B" w:rsidP="007A2BA6">
            <w:pPr>
              <w:spacing w:line="276" w:lineRule="auto"/>
              <w:jc w:val="both"/>
              <w:rPr>
                <w:rFonts w:ascii="Arial" w:eastAsia="Libre Caslon Text" w:hAnsi="Arial" w:cs="Arial"/>
                <w:sz w:val="18"/>
                <w:szCs w:val="18"/>
              </w:rPr>
            </w:pPr>
            <w:r w:rsidRPr="00C4704B">
              <w:rPr>
                <w:rFonts w:ascii="Arial" w:eastAsia="Libre Caslon Text" w:hAnsi="Arial" w:cs="Arial"/>
                <w:sz w:val="18"/>
                <w:szCs w:val="18"/>
              </w:rPr>
              <w:t>Decoction</w:t>
            </w:r>
          </w:p>
        </w:tc>
        <w:tc>
          <w:tcPr>
            <w:tcW w:w="1944" w:type="dxa"/>
          </w:tcPr>
          <w:p w14:paraId="771AF72B" w14:textId="77777777" w:rsidR="00C4704B" w:rsidRPr="00C4704B" w:rsidRDefault="00C4704B" w:rsidP="00C4704B">
            <w:pPr>
              <w:spacing w:line="276" w:lineRule="auto"/>
              <w:rPr>
                <w:rFonts w:ascii="Arial" w:eastAsia="Libre Caslon Text" w:hAnsi="Arial" w:cs="Arial"/>
                <w:sz w:val="18"/>
                <w:szCs w:val="18"/>
              </w:rPr>
            </w:pPr>
            <w:r w:rsidRPr="00C4704B">
              <w:rPr>
                <w:rFonts w:ascii="Arial" w:eastAsia="Libre Caslon Text" w:hAnsi="Arial" w:cs="Arial"/>
                <w:sz w:val="18"/>
                <w:szCs w:val="18"/>
              </w:rPr>
              <w:t>Eaten as a vegetable dish</w:t>
            </w:r>
          </w:p>
        </w:tc>
        <w:tc>
          <w:tcPr>
            <w:tcW w:w="1319" w:type="dxa"/>
          </w:tcPr>
          <w:p w14:paraId="6089203C" w14:textId="77777777" w:rsidR="00C4704B" w:rsidRPr="00C4704B" w:rsidRDefault="00C4704B" w:rsidP="007A2BA6">
            <w:pPr>
              <w:spacing w:line="276" w:lineRule="auto"/>
              <w:jc w:val="both"/>
              <w:rPr>
                <w:rFonts w:ascii="Arial" w:eastAsia="Libre Caslon Text" w:hAnsi="Arial" w:cs="Arial"/>
                <w:i/>
                <w:sz w:val="18"/>
                <w:szCs w:val="18"/>
              </w:rPr>
            </w:pPr>
            <w:r w:rsidRPr="00C4704B">
              <w:rPr>
                <w:rFonts w:ascii="Arial" w:eastAsia="Libre Caslon Text" w:hAnsi="Arial" w:cs="Arial"/>
                <w:i/>
                <w:sz w:val="18"/>
                <w:szCs w:val="18"/>
              </w:rPr>
              <w:t>K1,K3,K4,K5, K6, K7, K10</w:t>
            </w:r>
          </w:p>
        </w:tc>
        <w:tc>
          <w:tcPr>
            <w:tcW w:w="715" w:type="dxa"/>
          </w:tcPr>
          <w:p w14:paraId="07A68221"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7</w:t>
            </w:r>
          </w:p>
        </w:tc>
        <w:tc>
          <w:tcPr>
            <w:tcW w:w="1027" w:type="dxa"/>
          </w:tcPr>
          <w:p w14:paraId="19DAE7C9"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70%</w:t>
            </w:r>
          </w:p>
        </w:tc>
        <w:tc>
          <w:tcPr>
            <w:tcW w:w="697" w:type="dxa"/>
          </w:tcPr>
          <w:p w14:paraId="7DFABB8B"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V</w:t>
            </w:r>
          </w:p>
        </w:tc>
      </w:tr>
      <w:tr w:rsidR="00C4704B" w:rsidRPr="00B21E14" w14:paraId="23F7896B" w14:textId="77777777" w:rsidTr="00C4704B">
        <w:trPr>
          <w:trHeight w:val="554"/>
        </w:trPr>
        <w:tc>
          <w:tcPr>
            <w:tcW w:w="1270" w:type="dxa"/>
            <w:tcBorders>
              <w:bottom w:val="single" w:sz="4" w:space="0" w:color="auto"/>
            </w:tcBorders>
          </w:tcPr>
          <w:p w14:paraId="0734576F" w14:textId="77777777" w:rsidR="00C4704B" w:rsidRPr="00C4704B" w:rsidRDefault="00C4704B" w:rsidP="007A2BA6">
            <w:pPr>
              <w:spacing w:line="276" w:lineRule="auto"/>
              <w:rPr>
                <w:rFonts w:ascii="Arial" w:eastAsia="Libre Caslon Text" w:hAnsi="Arial" w:cs="Arial"/>
                <w:sz w:val="18"/>
                <w:szCs w:val="18"/>
              </w:rPr>
            </w:pPr>
            <w:r w:rsidRPr="00C4704B">
              <w:rPr>
                <w:rFonts w:ascii="Arial" w:eastAsia="Libre Caslon Text" w:hAnsi="Arial" w:cs="Arial"/>
                <w:sz w:val="18"/>
                <w:szCs w:val="18"/>
              </w:rPr>
              <w:t>Wounds</w:t>
            </w:r>
          </w:p>
        </w:tc>
        <w:tc>
          <w:tcPr>
            <w:tcW w:w="1232" w:type="dxa"/>
            <w:tcBorders>
              <w:bottom w:val="single" w:sz="4" w:space="0" w:color="auto"/>
            </w:tcBorders>
          </w:tcPr>
          <w:p w14:paraId="7E0B01CE" w14:textId="77777777" w:rsidR="00C4704B" w:rsidRPr="00C4704B" w:rsidRDefault="00C4704B" w:rsidP="007A2BA6">
            <w:pPr>
              <w:spacing w:line="276" w:lineRule="auto"/>
              <w:jc w:val="both"/>
              <w:rPr>
                <w:rFonts w:ascii="Arial" w:eastAsia="Libre Caslon Text" w:hAnsi="Arial" w:cs="Arial"/>
                <w:b/>
                <w:sz w:val="18"/>
                <w:szCs w:val="18"/>
              </w:rPr>
            </w:pPr>
            <w:r w:rsidRPr="00C4704B">
              <w:rPr>
                <w:rFonts w:ascii="Arial" w:eastAsia="Libre Caslon Text" w:hAnsi="Arial" w:cs="Arial"/>
                <w:sz w:val="18"/>
                <w:szCs w:val="18"/>
              </w:rPr>
              <w:t>Aqueous Extract Paste</w:t>
            </w:r>
          </w:p>
        </w:tc>
        <w:tc>
          <w:tcPr>
            <w:tcW w:w="1944" w:type="dxa"/>
            <w:tcBorders>
              <w:bottom w:val="single" w:sz="4" w:space="0" w:color="auto"/>
            </w:tcBorders>
          </w:tcPr>
          <w:p w14:paraId="07513CCB" w14:textId="77777777" w:rsidR="00C4704B" w:rsidRPr="00C4704B" w:rsidRDefault="00C4704B" w:rsidP="007A2BA6">
            <w:pPr>
              <w:spacing w:line="276" w:lineRule="auto"/>
              <w:jc w:val="both"/>
              <w:rPr>
                <w:rFonts w:ascii="Arial" w:eastAsia="Libre Caslon Text" w:hAnsi="Arial" w:cs="Arial"/>
                <w:sz w:val="18"/>
                <w:szCs w:val="18"/>
              </w:rPr>
            </w:pPr>
            <w:r w:rsidRPr="00C4704B">
              <w:rPr>
                <w:rFonts w:ascii="Arial" w:eastAsia="Libre Caslon Text" w:hAnsi="Arial" w:cs="Arial"/>
                <w:sz w:val="18"/>
                <w:szCs w:val="18"/>
              </w:rPr>
              <w:t>Applied directly to the wound</w:t>
            </w:r>
          </w:p>
        </w:tc>
        <w:tc>
          <w:tcPr>
            <w:tcW w:w="1319" w:type="dxa"/>
            <w:tcBorders>
              <w:bottom w:val="single" w:sz="4" w:space="0" w:color="auto"/>
            </w:tcBorders>
          </w:tcPr>
          <w:p w14:paraId="5295DC16" w14:textId="77777777" w:rsidR="00C4704B" w:rsidRPr="00C4704B" w:rsidRDefault="00C4704B" w:rsidP="007A2BA6">
            <w:pPr>
              <w:spacing w:line="276" w:lineRule="auto"/>
              <w:jc w:val="both"/>
              <w:rPr>
                <w:rFonts w:ascii="Arial" w:eastAsia="Libre Caslon Text" w:hAnsi="Arial" w:cs="Arial"/>
                <w:i/>
                <w:sz w:val="18"/>
                <w:szCs w:val="18"/>
              </w:rPr>
            </w:pPr>
            <w:r>
              <w:rPr>
                <w:rFonts w:ascii="Arial" w:eastAsia="Libre Caslon Text" w:hAnsi="Arial" w:cs="Arial"/>
                <w:i/>
                <w:sz w:val="18"/>
                <w:szCs w:val="18"/>
              </w:rPr>
              <w:t>K1,</w:t>
            </w:r>
            <w:r w:rsidRPr="00C4704B">
              <w:rPr>
                <w:rFonts w:ascii="Arial" w:eastAsia="Libre Caslon Text" w:hAnsi="Arial" w:cs="Arial"/>
                <w:i/>
                <w:sz w:val="18"/>
                <w:szCs w:val="18"/>
              </w:rPr>
              <w:t>K2,K6,K7,</w:t>
            </w:r>
          </w:p>
          <w:p w14:paraId="5A291580" w14:textId="77777777" w:rsidR="00C4704B" w:rsidRPr="00C4704B" w:rsidRDefault="00C4704B" w:rsidP="007A2BA6">
            <w:pPr>
              <w:spacing w:line="276" w:lineRule="auto"/>
              <w:jc w:val="both"/>
              <w:rPr>
                <w:rFonts w:ascii="Arial" w:eastAsia="Libre Caslon Text" w:hAnsi="Arial" w:cs="Arial"/>
                <w:b/>
                <w:i/>
                <w:sz w:val="18"/>
                <w:szCs w:val="18"/>
              </w:rPr>
            </w:pPr>
            <w:r w:rsidRPr="00C4704B">
              <w:rPr>
                <w:rFonts w:ascii="Arial" w:eastAsia="Libre Caslon Text" w:hAnsi="Arial" w:cs="Arial"/>
                <w:i/>
                <w:sz w:val="18"/>
                <w:szCs w:val="18"/>
              </w:rPr>
              <w:t>K8, K9,K10</w:t>
            </w:r>
          </w:p>
        </w:tc>
        <w:tc>
          <w:tcPr>
            <w:tcW w:w="715" w:type="dxa"/>
            <w:tcBorders>
              <w:bottom w:val="single" w:sz="4" w:space="0" w:color="auto"/>
            </w:tcBorders>
          </w:tcPr>
          <w:p w14:paraId="752AC3B6" w14:textId="77777777" w:rsidR="00C4704B" w:rsidRPr="00C4704B" w:rsidRDefault="00C4704B" w:rsidP="007A2BA6">
            <w:pPr>
              <w:spacing w:line="276" w:lineRule="auto"/>
              <w:jc w:val="center"/>
              <w:rPr>
                <w:rFonts w:ascii="Arial" w:eastAsia="Libre Caslon Text" w:hAnsi="Arial" w:cs="Arial"/>
                <w:b/>
                <w:sz w:val="18"/>
                <w:szCs w:val="18"/>
              </w:rPr>
            </w:pPr>
            <w:r w:rsidRPr="00C4704B">
              <w:rPr>
                <w:rFonts w:ascii="Arial" w:eastAsia="Libre Caslon Text" w:hAnsi="Arial" w:cs="Arial"/>
                <w:b/>
                <w:sz w:val="18"/>
                <w:szCs w:val="18"/>
              </w:rPr>
              <w:t>7</w:t>
            </w:r>
          </w:p>
        </w:tc>
        <w:tc>
          <w:tcPr>
            <w:tcW w:w="1027" w:type="dxa"/>
            <w:tcBorders>
              <w:bottom w:val="single" w:sz="4" w:space="0" w:color="auto"/>
            </w:tcBorders>
          </w:tcPr>
          <w:p w14:paraId="04A312C2" w14:textId="77777777" w:rsidR="00C4704B" w:rsidRPr="00C4704B" w:rsidRDefault="00C4704B" w:rsidP="007A2BA6">
            <w:pPr>
              <w:spacing w:line="276" w:lineRule="auto"/>
              <w:jc w:val="center"/>
              <w:rPr>
                <w:rFonts w:ascii="Arial" w:eastAsia="Libre Caslon Text" w:hAnsi="Arial" w:cs="Arial"/>
                <w:b/>
                <w:sz w:val="18"/>
                <w:szCs w:val="18"/>
              </w:rPr>
            </w:pPr>
            <w:r w:rsidRPr="00C4704B">
              <w:rPr>
                <w:rFonts w:ascii="Arial" w:eastAsia="Libre Caslon Text" w:hAnsi="Arial" w:cs="Arial"/>
                <w:sz w:val="18"/>
                <w:szCs w:val="18"/>
              </w:rPr>
              <w:t>70%</w:t>
            </w:r>
          </w:p>
        </w:tc>
        <w:tc>
          <w:tcPr>
            <w:tcW w:w="697" w:type="dxa"/>
            <w:tcBorders>
              <w:bottom w:val="single" w:sz="4" w:space="0" w:color="auto"/>
            </w:tcBorders>
          </w:tcPr>
          <w:p w14:paraId="7F1356D8" w14:textId="77777777" w:rsidR="00C4704B" w:rsidRPr="00C4704B" w:rsidRDefault="00C4704B" w:rsidP="007A2BA6">
            <w:pPr>
              <w:spacing w:line="276" w:lineRule="auto"/>
              <w:jc w:val="center"/>
              <w:rPr>
                <w:rFonts w:ascii="Arial" w:eastAsia="Libre Caslon Text" w:hAnsi="Arial" w:cs="Arial"/>
                <w:b/>
                <w:sz w:val="18"/>
                <w:szCs w:val="18"/>
              </w:rPr>
            </w:pPr>
            <w:r w:rsidRPr="00C4704B">
              <w:rPr>
                <w:rFonts w:ascii="Arial" w:eastAsia="Libre Caslon Text" w:hAnsi="Arial" w:cs="Arial"/>
                <w:sz w:val="18"/>
                <w:szCs w:val="18"/>
              </w:rPr>
              <w:t>V</w:t>
            </w:r>
          </w:p>
        </w:tc>
      </w:tr>
    </w:tbl>
    <w:p w14:paraId="6A5F858A" w14:textId="77777777" w:rsidR="00C4704B" w:rsidRPr="00C4704B" w:rsidRDefault="00C4704B" w:rsidP="00C4704B">
      <w:pPr>
        <w:pStyle w:val="Body"/>
        <w:rPr>
          <w:rFonts w:ascii="Arial" w:hAnsi="Arial" w:cs="Arial"/>
        </w:rPr>
      </w:pPr>
      <w:r w:rsidRPr="00C4704B">
        <w:rPr>
          <w:rFonts w:ascii="Arial" w:hAnsi="Arial" w:cs="Arial"/>
          <w:i/>
        </w:rPr>
        <w:t>Status:</w:t>
      </w:r>
      <w:r w:rsidRPr="00C4704B">
        <w:rPr>
          <w:rFonts w:ascii="Arial" w:hAnsi="Arial" w:cs="Arial"/>
        </w:rPr>
        <w:t xml:space="preserve">  </w:t>
      </w:r>
      <w:r w:rsidRPr="00C4704B">
        <w:rPr>
          <w:rFonts w:ascii="Arial" w:hAnsi="Arial" w:cs="Arial"/>
          <w:b/>
        </w:rPr>
        <w:t>V</w:t>
      </w:r>
      <w:r w:rsidRPr="00C4704B">
        <w:rPr>
          <w:rFonts w:ascii="Arial" w:hAnsi="Arial" w:cs="Arial"/>
        </w:rPr>
        <w:t xml:space="preserve"> – Validated; </w:t>
      </w:r>
      <w:r w:rsidRPr="00C4704B">
        <w:rPr>
          <w:rFonts w:ascii="Arial" w:hAnsi="Arial" w:cs="Arial"/>
          <w:b/>
        </w:rPr>
        <w:t xml:space="preserve">NV </w:t>
      </w:r>
      <w:r w:rsidRPr="00C4704B">
        <w:rPr>
          <w:rFonts w:ascii="Arial" w:hAnsi="Arial" w:cs="Arial"/>
        </w:rPr>
        <w:t>– Not Validated</w:t>
      </w:r>
    </w:p>
    <w:p w14:paraId="6D92FDC2" w14:textId="77777777" w:rsidR="00C4704B" w:rsidRPr="00C4704B" w:rsidRDefault="00C4704B" w:rsidP="00C4704B">
      <w:pPr>
        <w:pStyle w:val="Body"/>
        <w:rPr>
          <w:rFonts w:ascii="Arial" w:hAnsi="Arial" w:cs="Arial"/>
        </w:rPr>
      </w:pPr>
      <w:r w:rsidRPr="00C4704B">
        <w:rPr>
          <w:rFonts w:ascii="Arial" w:hAnsi="Arial" w:cs="Arial"/>
        </w:rPr>
        <w:t xml:space="preserve">The present study investigated the </w:t>
      </w:r>
      <w:proofErr w:type="spellStart"/>
      <w:r w:rsidRPr="00C4704B">
        <w:rPr>
          <w:rFonts w:ascii="Arial" w:hAnsi="Arial" w:cs="Arial"/>
        </w:rPr>
        <w:t>ethnomedicinal</w:t>
      </w:r>
      <w:proofErr w:type="spellEnd"/>
      <w:r w:rsidRPr="00C4704B">
        <w:rPr>
          <w:rFonts w:ascii="Arial" w:hAnsi="Arial" w:cs="Arial"/>
        </w:rPr>
        <w:t xml:space="preserve"> applications of </w:t>
      </w:r>
      <w:proofErr w:type="spellStart"/>
      <w:r w:rsidRPr="00C4704B">
        <w:rPr>
          <w:rFonts w:ascii="Arial" w:hAnsi="Arial" w:cs="Arial"/>
        </w:rPr>
        <w:t>Saluyot</w:t>
      </w:r>
      <w:proofErr w:type="spellEnd"/>
      <w:r w:rsidRPr="00C4704B">
        <w:rPr>
          <w:rFonts w:ascii="Arial" w:hAnsi="Arial" w:cs="Arial"/>
        </w:rPr>
        <w:t xml:space="preserve"> (</w:t>
      </w:r>
      <w:r w:rsidRPr="00E16FFF">
        <w:rPr>
          <w:rFonts w:ascii="Arial" w:hAnsi="Arial" w:cs="Arial"/>
          <w:i/>
        </w:rPr>
        <w:t xml:space="preserve">C. </w:t>
      </w:r>
      <w:proofErr w:type="spellStart"/>
      <w:r w:rsidRPr="00E16FFF">
        <w:rPr>
          <w:rFonts w:ascii="Arial" w:hAnsi="Arial" w:cs="Arial"/>
          <w:i/>
        </w:rPr>
        <w:t>olitorius</w:t>
      </w:r>
      <w:proofErr w:type="spellEnd"/>
      <w:r w:rsidRPr="00C4704B">
        <w:rPr>
          <w:rFonts w:ascii="Arial" w:hAnsi="Arial" w:cs="Arial"/>
        </w:rPr>
        <w:t>) leaf, revealing a broad spectrum of traditional uses supported by local knowledge.  Analysis of the key informant data indicates that seven of the eight reported traditional uses achieved a high consensus score (≥70%) and were classified as Validated (V), suggesting a strong agreement and established practice within the community. The most strongly supported traditional use is for Diabetes, which garnered a perfect 100% consensus from all ten informants (n=10). This finding is particularly significant and warrants further phytochemical and pharmacological investigation to isolate and characterize the compounds responsible for its potential anti-diabetic activity. The preparation method for this use is a Leaf Infusion consumed orally as a tea, which is a simple, non-toxic, and common prepara</w:t>
      </w:r>
      <w:r w:rsidR="00E16FFF">
        <w:rPr>
          <w:rFonts w:ascii="Arial" w:hAnsi="Arial" w:cs="Arial"/>
        </w:rPr>
        <w:t>tion route for herbal medicine.</w:t>
      </w:r>
    </w:p>
    <w:p w14:paraId="3B1DFAA1" w14:textId="77777777" w:rsidR="00C4704B" w:rsidRDefault="00C4704B" w:rsidP="00C4704B">
      <w:pPr>
        <w:pStyle w:val="Body"/>
        <w:spacing w:after="0"/>
        <w:rPr>
          <w:rFonts w:ascii="Arial" w:hAnsi="Arial" w:cs="Arial"/>
        </w:rPr>
      </w:pPr>
      <w:r w:rsidRPr="00C4704B">
        <w:rPr>
          <w:rFonts w:ascii="Arial" w:hAnsi="Arial" w:cs="Arial"/>
        </w:rPr>
        <w:t xml:space="preserve">A high level of consensus (≥70%) was also observed for treatments related to arthritis (90% consensus), fever (80% consensus), constipation (70% consensus), headaches (70% consensus), high blood pressure (70% consensus), and wounds (70% consensus). The varied administration routes reflect the plant's versatility. For example, </w:t>
      </w:r>
      <w:r w:rsidRPr="00E16FFF">
        <w:rPr>
          <w:rFonts w:ascii="Arial" w:hAnsi="Arial" w:cs="Arial"/>
          <w:i/>
        </w:rPr>
        <w:t xml:space="preserve">C. </w:t>
      </w:r>
      <w:proofErr w:type="spellStart"/>
      <w:r w:rsidRPr="00E16FFF">
        <w:rPr>
          <w:rFonts w:ascii="Arial" w:hAnsi="Arial" w:cs="Arial"/>
          <w:i/>
        </w:rPr>
        <w:t>olitorius</w:t>
      </w:r>
      <w:proofErr w:type="spellEnd"/>
      <w:r w:rsidRPr="00C4704B">
        <w:rPr>
          <w:rFonts w:ascii="Arial" w:hAnsi="Arial" w:cs="Arial"/>
        </w:rPr>
        <w:t xml:space="preserve"> is used externally </w:t>
      </w:r>
      <w:r w:rsidRPr="00C4704B">
        <w:rPr>
          <w:rFonts w:ascii="Arial" w:hAnsi="Arial" w:cs="Arial"/>
        </w:rPr>
        <w:lastRenderedPageBreak/>
        <w:t>as a fomentation for arthritis relief and a poultice for headaches. Additionally, its use as a decoction or infusion for conditions like constipation and high blood pressure suggests the presence of beneficial compounds absorbed via the gastrointestinal tract, such as dietary fiber or polyphenols, respectively.</w:t>
      </w:r>
    </w:p>
    <w:p w14:paraId="0824D5C6" w14:textId="77777777" w:rsidR="00C4704B" w:rsidRDefault="00C4704B" w:rsidP="00441B6F">
      <w:pPr>
        <w:pStyle w:val="Body"/>
        <w:spacing w:after="0"/>
        <w:rPr>
          <w:rFonts w:ascii="Arial" w:hAnsi="Arial" w:cs="Arial"/>
        </w:rPr>
      </w:pPr>
    </w:p>
    <w:p w14:paraId="0829B3E5" w14:textId="77777777" w:rsidR="008E0F7B" w:rsidRPr="00C4704B" w:rsidRDefault="008E0F7B" w:rsidP="008E0F7B">
      <w:pPr>
        <w:pStyle w:val="Body"/>
        <w:spacing w:after="0"/>
        <w:rPr>
          <w:rFonts w:ascii="Arial" w:hAnsi="Arial" w:cs="Arial"/>
          <w:b/>
          <w:sz w:val="22"/>
        </w:rPr>
      </w:pPr>
      <w:r w:rsidRPr="00C4704B">
        <w:rPr>
          <w:rFonts w:ascii="Arial" w:hAnsi="Arial" w:cs="Arial"/>
          <w:b/>
          <w:sz w:val="22"/>
        </w:rPr>
        <w:t>3.</w:t>
      </w:r>
      <w:r>
        <w:rPr>
          <w:rFonts w:ascii="Arial" w:hAnsi="Arial" w:cs="Arial"/>
          <w:b/>
          <w:sz w:val="22"/>
        </w:rPr>
        <w:t>2</w:t>
      </w:r>
      <w:r w:rsidRPr="00C4704B">
        <w:rPr>
          <w:rFonts w:ascii="Arial" w:hAnsi="Arial" w:cs="Arial"/>
          <w:b/>
          <w:sz w:val="22"/>
        </w:rPr>
        <w:t xml:space="preserve"> </w:t>
      </w:r>
      <w:r w:rsidRPr="008E0F7B">
        <w:rPr>
          <w:rFonts w:ascii="Arial" w:hAnsi="Arial" w:cs="Arial"/>
          <w:b/>
          <w:sz w:val="22"/>
        </w:rPr>
        <w:t xml:space="preserve">Qualitative Phytochemical Profile of the </w:t>
      </w:r>
      <w:proofErr w:type="spellStart"/>
      <w:r w:rsidRPr="008E0F7B">
        <w:rPr>
          <w:rFonts w:ascii="Arial" w:hAnsi="Arial" w:cs="Arial"/>
          <w:i/>
          <w:sz w:val="22"/>
        </w:rPr>
        <w:t>Corchorus</w:t>
      </w:r>
      <w:proofErr w:type="spellEnd"/>
      <w:r w:rsidRPr="008E0F7B">
        <w:rPr>
          <w:rFonts w:ascii="Arial" w:hAnsi="Arial" w:cs="Arial"/>
          <w:i/>
          <w:sz w:val="22"/>
        </w:rPr>
        <w:t xml:space="preserve"> </w:t>
      </w:r>
      <w:proofErr w:type="spellStart"/>
      <w:r w:rsidRPr="008E0F7B">
        <w:rPr>
          <w:rFonts w:ascii="Arial" w:hAnsi="Arial" w:cs="Arial"/>
          <w:i/>
          <w:sz w:val="22"/>
        </w:rPr>
        <w:t>olitorius</w:t>
      </w:r>
      <w:proofErr w:type="spellEnd"/>
      <w:r w:rsidRPr="008E0F7B">
        <w:rPr>
          <w:rFonts w:ascii="Arial" w:hAnsi="Arial" w:cs="Arial"/>
          <w:i/>
          <w:sz w:val="22"/>
        </w:rPr>
        <w:t xml:space="preserve"> (L.)</w:t>
      </w:r>
      <w:r w:rsidRPr="008E0F7B">
        <w:rPr>
          <w:rFonts w:ascii="Arial" w:hAnsi="Arial" w:cs="Arial"/>
          <w:b/>
          <w:sz w:val="22"/>
        </w:rPr>
        <w:t xml:space="preserve"> Leaf Extract</w:t>
      </w:r>
    </w:p>
    <w:p w14:paraId="42E71D0D" w14:textId="77777777" w:rsidR="00C4704B" w:rsidRDefault="00C4704B" w:rsidP="00441B6F">
      <w:pPr>
        <w:pStyle w:val="Body"/>
        <w:spacing w:after="0"/>
        <w:rPr>
          <w:rFonts w:ascii="Arial" w:hAnsi="Arial" w:cs="Arial"/>
        </w:rPr>
      </w:pPr>
    </w:p>
    <w:p w14:paraId="375252CA" w14:textId="77777777" w:rsidR="008E0F7B" w:rsidRDefault="008E0F7B" w:rsidP="00441B6F">
      <w:pPr>
        <w:pStyle w:val="Body"/>
        <w:spacing w:after="0"/>
        <w:rPr>
          <w:rFonts w:ascii="Arial" w:hAnsi="Arial" w:cs="Arial"/>
        </w:rPr>
      </w:pPr>
      <w:r w:rsidRPr="008E0F7B">
        <w:rPr>
          <w:rFonts w:ascii="Arial" w:hAnsi="Arial" w:cs="Arial"/>
        </w:rPr>
        <w:t xml:space="preserve">The provided phytochemical screening of the </w:t>
      </w:r>
      <w:proofErr w:type="spellStart"/>
      <w:r w:rsidRPr="008E0F7B">
        <w:rPr>
          <w:rFonts w:ascii="Arial" w:hAnsi="Arial" w:cs="Arial"/>
          <w:i/>
        </w:rPr>
        <w:t>Corchorus</w:t>
      </w:r>
      <w:proofErr w:type="spellEnd"/>
      <w:r w:rsidRPr="008E0F7B">
        <w:rPr>
          <w:rFonts w:ascii="Arial" w:hAnsi="Arial" w:cs="Arial"/>
          <w:i/>
        </w:rPr>
        <w:t xml:space="preserve"> </w:t>
      </w:r>
      <w:proofErr w:type="spellStart"/>
      <w:r w:rsidRPr="008E0F7B">
        <w:rPr>
          <w:rFonts w:ascii="Arial" w:hAnsi="Arial" w:cs="Arial"/>
          <w:i/>
        </w:rPr>
        <w:t>olitorius</w:t>
      </w:r>
      <w:proofErr w:type="spellEnd"/>
      <w:r w:rsidRPr="008E0F7B">
        <w:rPr>
          <w:rFonts w:ascii="Arial" w:hAnsi="Arial" w:cs="Arial"/>
          <w:i/>
        </w:rPr>
        <w:t xml:space="preserve"> L.</w:t>
      </w:r>
      <w:r w:rsidRPr="008E0F7B">
        <w:rPr>
          <w:rFonts w:ascii="Arial" w:hAnsi="Arial" w:cs="Arial"/>
        </w:rPr>
        <w:t xml:space="preserve"> leaf extract in Table 2 confirms the presence of several secondary metabolites, which are essential for its traditional medicinal uses and biological activities. This qualitative analysis serves as a foundational step in understanding the plant's chemical profile, revealing the presence of alkaloids, tannins, saponins, terpenoids, and flavonoids. These findings provide a scientific basis for further investigation into the plant's therapeutic potential and justify its long-standing use in traditional medicine systems.</w:t>
      </w:r>
    </w:p>
    <w:p w14:paraId="6C3EEBC4" w14:textId="77777777" w:rsidR="008E0F7B" w:rsidRDefault="008E0F7B" w:rsidP="00441B6F">
      <w:pPr>
        <w:pStyle w:val="Body"/>
        <w:spacing w:after="0"/>
        <w:rPr>
          <w:rFonts w:ascii="Arial" w:hAnsi="Arial" w:cs="Arial"/>
        </w:rPr>
      </w:pPr>
    </w:p>
    <w:p w14:paraId="44E7BCFB" w14:textId="77777777" w:rsidR="00E3645E" w:rsidRDefault="00E3645E" w:rsidP="00E3645E">
      <w:pPr>
        <w:jc w:val="center"/>
        <w:rPr>
          <w:rFonts w:ascii="Arial" w:eastAsia="Libre Caslon Text" w:hAnsi="Arial" w:cs="Arial"/>
        </w:rPr>
      </w:pPr>
      <w:r w:rsidRPr="00E3645E">
        <w:rPr>
          <w:rFonts w:ascii="Arial" w:eastAsia="Libre Caslon Text" w:hAnsi="Arial" w:cs="Arial"/>
          <w:b/>
        </w:rPr>
        <w:t>Table 2:</w:t>
      </w:r>
      <w:r w:rsidRPr="00E3645E">
        <w:rPr>
          <w:rFonts w:ascii="Arial" w:eastAsia="Libre Caslon Text" w:hAnsi="Arial" w:cs="Arial"/>
        </w:rPr>
        <w:t xml:space="preserve"> </w:t>
      </w:r>
      <w:r w:rsidRPr="00E3645E">
        <w:rPr>
          <w:rFonts w:ascii="Arial" w:eastAsia="Libre Caslon Text" w:hAnsi="Arial" w:cs="Arial"/>
          <w:i/>
        </w:rPr>
        <w:t>Phytochemical Screening Results</w:t>
      </w:r>
    </w:p>
    <w:p w14:paraId="0949CFEA" w14:textId="77777777" w:rsidR="00E3645E" w:rsidRPr="00E3645E" w:rsidRDefault="00E3645E" w:rsidP="00E3645E">
      <w:pPr>
        <w:jc w:val="center"/>
        <w:rPr>
          <w:rFonts w:ascii="Arial" w:eastAsia="Libre Caslon Text"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530"/>
        <w:gridCol w:w="900"/>
        <w:gridCol w:w="2741"/>
        <w:gridCol w:w="1147"/>
      </w:tblGrid>
      <w:tr w:rsidR="00E3645E" w:rsidRPr="00E3645E" w14:paraId="51D75E9A" w14:textId="77777777" w:rsidTr="00E3645E">
        <w:tc>
          <w:tcPr>
            <w:tcW w:w="1890" w:type="dxa"/>
            <w:tcBorders>
              <w:top w:val="single" w:sz="4" w:space="0" w:color="auto"/>
              <w:bottom w:val="single" w:sz="4" w:space="0" w:color="auto"/>
            </w:tcBorders>
          </w:tcPr>
          <w:p w14:paraId="6FB9F89B" w14:textId="77777777" w:rsidR="00E3645E" w:rsidRPr="00E3645E" w:rsidRDefault="00E3645E" w:rsidP="007A2BA6">
            <w:pPr>
              <w:spacing w:line="276" w:lineRule="auto"/>
              <w:rPr>
                <w:rFonts w:ascii="Arial" w:eastAsia="Libre Caslon Text" w:hAnsi="Arial" w:cs="Arial"/>
                <w:b/>
                <w:sz w:val="20"/>
                <w:szCs w:val="20"/>
              </w:rPr>
            </w:pPr>
            <w:r w:rsidRPr="00E3645E">
              <w:rPr>
                <w:rFonts w:ascii="Arial" w:eastAsia="Libre Caslon Text" w:hAnsi="Arial" w:cs="Arial"/>
                <w:b/>
                <w:sz w:val="20"/>
                <w:szCs w:val="20"/>
              </w:rPr>
              <w:t>Phytoconstituent Class</w:t>
            </w:r>
          </w:p>
        </w:tc>
        <w:tc>
          <w:tcPr>
            <w:tcW w:w="1530" w:type="dxa"/>
            <w:tcBorders>
              <w:top w:val="single" w:sz="4" w:space="0" w:color="auto"/>
              <w:bottom w:val="single" w:sz="4" w:space="0" w:color="auto"/>
            </w:tcBorders>
          </w:tcPr>
          <w:p w14:paraId="4C833FC7" w14:textId="77777777" w:rsidR="00E3645E" w:rsidRPr="00E3645E" w:rsidRDefault="00E3645E" w:rsidP="007A2BA6">
            <w:pPr>
              <w:spacing w:line="276" w:lineRule="auto"/>
              <w:rPr>
                <w:rFonts w:ascii="Arial" w:eastAsia="Libre Caslon Text" w:hAnsi="Arial" w:cs="Arial"/>
                <w:b/>
                <w:sz w:val="20"/>
                <w:szCs w:val="20"/>
              </w:rPr>
            </w:pPr>
            <w:r w:rsidRPr="00E3645E">
              <w:rPr>
                <w:rFonts w:ascii="Arial" w:eastAsia="Libre Caslon Text" w:hAnsi="Arial" w:cs="Arial"/>
                <w:b/>
                <w:sz w:val="20"/>
                <w:szCs w:val="20"/>
              </w:rPr>
              <w:t>Qualitative Test Used</w:t>
            </w:r>
          </w:p>
        </w:tc>
        <w:tc>
          <w:tcPr>
            <w:tcW w:w="900" w:type="dxa"/>
            <w:tcBorders>
              <w:top w:val="single" w:sz="4" w:space="0" w:color="auto"/>
              <w:bottom w:val="single" w:sz="4" w:space="0" w:color="auto"/>
            </w:tcBorders>
          </w:tcPr>
          <w:p w14:paraId="62329DAB"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Trials</w:t>
            </w:r>
          </w:p>
        </w:tc>
        <w:tc>
          <w:tcPr>
            <w:tcW w:w="2741" w:type="dxa"/>
            <w:tcBorders>
              <w:top w:val="single" w:sz="4" w:space="0" w:color="auto"/>
              <w:bottom w:val="single" w:sz="4" w:space="0" w:color="auto"/>
            </w:tcBorders>
          </w:tcPr>
          <w:p w14:paraId="4AD783EF"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 xml:space="preserve">Indicators  </w:t>
            </w:r>
          </w:p>
        </w:tc>
        <w:tc>
          <w:tcPr>
            <w:tcW w:w="1147" w:type="dxa"/>
            <w:tcBorders>
              <w:top w:val="single" w:sz="4" w:space="0" w:color="auto"/>
              <w:bottom w:val="single" w:sz="4" w:space="0" w:color="auto"/>
            </w:tcBorders>
          </w:tcPr>
          <w:p w14:paraId="48ED475C"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 xml:space="preserve">Presence </w:t>
            </w:r>
          </w:p>
        </w:tc>
      </w:tr>
      <w:tr w:rsidR="00E3645E" w:rsidRPr="00E3645E" w14:paraId="02DEF3DA" w14:textId="77777777" w:rsidTr="00E3645E">
        <w:tc>
          <w:tcPr>
            <w:tcW w:w="1890" w:type="dxa"/>
            <w:tcBorders>
              <w:top w:val="single" w:sz="4" w:space="0" w:color="auto"/>
            </w:tcBorders>
          </w:tcPr>
          <w:p w14:paraId="4E550D0A"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Alkaloids</w:t>
            </w:r>
          </w:p>
        </w:tc>
        <w:tc>
          <w:tcPr>
            <w:tcW w:w="1530" w:type="dxa"/>
            <w:tcBorders>
              <w:top w:val="single" w:sz="4" w:space="0" w:color="auto"/>
            </w:tcBorders>
          </w:tcPr>
          <w:p w14:paraId="2FE22355"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Mayer's Test</w:t>
            </w:r>
          </w:p>
        </w:tc>
        <w:tc>
          <w:tcPr>
            <w:tcW w:w="900" w:type="dxa"/>
            <w:tcBorders>
              <w:top w:val="single" w:sz="4" w:space="0" w:color="auto"/>
            </w:tcBorders>
          </w:tcPr>
          <w:p w14:paraId="11724089"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1</w:t>
            </w:r>
          </w:p>
          <w:p w14:paraId="67227446"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2</w:t>
            </w:r>
          </w:p>
          <w:p w14:paraId="2FD39D96"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3</w:t>
            </w:r>
          </w:p>
        </w:tc>
        <w:tc>
          <w:tcPr>
            <w:tcW w:w="2741" w:type="dxa"/>
            <w:tcBorders>
              <w:top w:val="single" w:sz="4" w:space="0" w:color="auto"/>
            </w:tcBorders>
          </w:tcPr>
          <w:p w14:paraId="64515C81"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Yellow precipitate</w:t>
            </w:r>
          </w:p>
          <w:p w14:paraId="2056B8FA"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Yellow precipitate</w:t>
            </w:r>
          </w:p>
          <w:p w14:paraId="3A0308D1"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Creamy-white precipitate</w:t>
            </w:r>
          </w:p>
        </w:tc>
        <w:tc>
          <w:tcPr>
            <w:tcW w:w="1147" w:type="dxa"/>
            <w:tcBorders>
              <w:top w:val="single" w:sz="4" w:space="0" w:color="auto"/>
            </w:tcBorders>
          </w:tcPr>
          <w:p w14:paraId="21760408"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47857309"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659AE8B9"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tc>
      </w:tr>
      <w:tr w:rsidR="00E3645E" w:rsidRPr="00E3645E" w14:paraId="10B9FCD8" w14:textId="77777777" w:rsidTr="00E3645E">
        <w:tc>
          <w:tcPr>
            <w:tcW w:w="1890" w:type="dxa"/>
          </w:tcPr>
          <w:p w14:paraId="3E3DA23A"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Tannins</w:t>
            </w:r>
          </w:p>
        </w:tc>
        <w:tc>
          <w:tcPr>
            <w:tcW w:w="1530" w:type="dxa"/>
          </w:tcPr>
          <w:p w14:paraId="5D854F1B"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Ferric Chloride Test</w:t>
            </w:r>
          </w:p>
        </w:tc>
        <w:tc>
          <w:tcPr>
            <w:tcW w:w="900" w:type="dxa"/>
          </w:tcPr>
          <w:p w14:paraId="5E38ACF4"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1</w:t>
            </w:r>
          </w:p>
          <w:p w14:paraId="3F4FE6EE"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2</w:t>
            </w:r>
          </w:p>
          <w:p w14:paraId="775B0D94"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3</w:t>
            </w:r>
          </w:p>
        </w:tc>
        <w:tc>
          <w:tcPr>
            <w:tcW w:w="2741" w:type="dxa"/>
          </w:tcPr>
          <w:p w14:paraId="7B24CDCA"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Dark green</w:t>
            </w:r>
          </w:p>
          <w:p w14:paraId="4DF7B54B"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Dark green</w:t>
            </w:r>
          </w:p>
          <w:p w14:paraId="32F2E247"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Dark green</w:t>
            </w:r>
          </w:p>
        </w:tc>
        <w:tc>
          <w:tcPr>
            <w:tcW w:w="1147" w:type="dxa"/>
          </w:tcPr>
          <w:p w14:paraId="2ADF8414"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5BDAB547"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70693F9A"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tc>
      </w:tr>
      <w:tr w:rsidR="00E3645E" w:rsidRPr="00E3645E" w14:paraId="2D2ACD98" w14:textId="77777777" w:rsidTr="00E3645E">
        <w:tc>
          <w:tcPr>
            <w:tcW w:w="1890" w:type="dxa"/>
          </w:tcPr>
          <w:p w14:paraId="4A25B4B9"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Saponins</w:t>
            </w:r>
          </w:p>
        </w:tc>
        <w:tc>
          <w:tcPr>
            <w:tcW w:w="1530" w:type="dxa"/>
          </w:tcPr>
          <w:p w14:paraId="2392F746"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Foam Test</w:t>
            </w:r>
          </w:p>
        </w:tc>
        <w:tc>
          <w:tcPr>
            <w:tcW w:w="900" w:type="dxa"/>
          </w:tcPr>
          <w:p w14:paraId="5824F8A4"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1</w:t>
            </w:r>
          </w:p>
          <w:p w14:paraId="1D639EF8"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2</w:t>
            </w:r>
          </w:p>
          <w:p w14:paraId="11D65F72"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3</w:t>
            </w:r>
          </w:p>
        </w:tc>
        <w:tc>
          <w:tcPr>
            <w:tcW w:w="2741" w:type="dxa"/>
          </w:tcPr>
          <w:p w14:paraId="68185999"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Stable foam formation</w:t>
            </w:r>
          </w:p>
          <w:p w14:paraId="093243D6"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Stable foam formation</w:t>
            </w:r>
          </w:p>
          <w:p w14:paraId="686128E1"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Stable foam formation</w:t>
            </w:r>
          </w:p>
        </w:tc>
        <w:tc>
          <w:tcPr>
            <w:tcW w:w="1147" w:type="dxa"/>
          </w:tcPr>
          <w:p w14:paraId="726A2C28"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6E2CF45D"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4DA77B1C"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tc>
      </w:tr>
      <w:tr w:rsidR="00E3645E" w:rsidRPr="00E3645E" w14:paraId="3A4BD4C1" w14:textId="77777777" w:rsidTr="00E3645E">
        <w:tc>
          <w:tcPr>
            <w:tcW w:w="1890" w:type="dxa"/>
          </w:tcPr>
          <w:p w14:paraId="5E1E13B0"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Terpenoids</w:t>
            </w:r>
          </w:p>
        </w:tc>
        <w:tc>
          <w:tcPr>
            <w:tcW w:w="1530" w:type="dxa"/>
          </w:tcPr>
          <w:p w14:paraId="42E62E1D"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Salkowski Test</w:t>
            </w:r>
          </w:p>
        </w:tc>
        <w:tc>
          <w:tcPr>
            <w:tcW w:w="900" w:type="dxa"/>
          </w:tcPr>
          <w:p w14:paraId="1383ECF3"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1</w:t>
            </w:r>
          </w:p>
          <w:p w14:paraId="4725D4A8"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2</w:t>
            </w:r>
          </w:p>
          <w:p w14:paraId="115C1B95"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3</w:t>
            </w:r>
          </w:p>
        </w:tc>
        <w:tc>
          <w:tcPr>
            <w:tcW w:w="2741" w:type="dxa"/>
          </w:tcPr>
          <w:p w14:paraId="159AE1D9"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Reddish-brown ring</w:t>
            </w:r>
          </w:p>
          <w:p w14:paraId="71D6F694"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Reddish-brown ring</w:t>
            </w:r>
          </w:p>
          <w:p w14:paraId="5EBE872C"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Reddish-brown ring</w:t>
            </w:r>
          </w:p>
        </w:tc>
        <w:tc>
          <w:tcPr>
            <w:tcW w:w="1147" w:type="dxa"/>
          </w:tcPr>
          <w:p w14:paraId="4E54831E"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1B36F177"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25DA145C"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tc>
      </w:tr>
      <w:tr w:rsidR="00E3645E" w:rsidRPr="00E3645E" w14:paraId="39E55125" w14:textId="77777777" w:rsidTr="00E3645E">
        <w:tc>
          <w:tcPr>
            <w:tcW w:w="1890" w:type="dxa"/>
            <w:tcBorders>
              <w:bottom w:val="single" w:sz="4" w:space="0" w:color="auto"/>
            </w:tcBorders>
          </w:tcPr>
          <w:p w14:paraId="0A2DC6F5"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Flavonoids</w:t>
            </w:r>
          </w:p>
        </w:tc>
        <w:tc>
          <w:tcPr>
            <w:tcW w:w="1530" w:type="dxa"/>
            <w:tcBorders>
              <w:bottom w:val="single" w:sz="4" w:space="0" w:color="auto"/>
            </w:tcBorders>
          </w:tcPr>
          <w:p w14:paraId="19366C7D"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Alkaline Reagent Test</w:t>
            </w:r>
          </w:p>
        </w:tc>
        <w:tc>
          <w:tcPr>
            <w:tcW w:w="900" w:type="dxa"/>
            <w:tcBorders>
              <w:bottom w:val="single" w:sz="4" w:space="0" w:color="auto"/>
            </w:tcBorders>
          </w:tcPr>
          <w:p w14:paraId="57ECB5D3"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1</w:t>
            </w:r>
          </w:p>
          <w:p w14:paraId="2F084542"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2</w:t>
            </w:r>
          </w:p>
          <w:p w14:paraId="6B55B424"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3</w:t>
            </w:r>
          </w:p>
        </w:tc>
        <w:tc>
          <w:tcPr>
            <w:tcW w:w="2741" w:type="dxa"/>
            <w:tcBorders>
              <w:bottom w:val="single" w:sz="4" w:space="0" w:color="auto"/>
            </w:tcBorders>
          </w:tcPr>
          <w:p w14:paraId="51ECA7A3"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Intense yellow to colorless</w:t>
            </w:r>
          </w:p>
          <w:p w14:paraId="7EE7FB0B"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Intense yellow to colorless</w:t>
            </w:r>
          </w:p>
          <w:p w14:paraId="2496C53E"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Intense yellow to colorless</w:t>
            </w:r>
          </w:p>
        </w:tc>
        <w:tc>
          <w:tcPr>
            <w:tcW w:w="1147" w:type="dxa"/>
            <w:tcBorders>
              <w:bottom w:val="single" w:sz="4" w:space="0" w:color="auto"/>
            </w:tcBorders>
          </w:tcPr>
          <w:p w14:paraId="471992E5"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3B253DF3"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1EC65631"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tc>
      </w:tr>
    </w:tbl>
    <w:p w14:paraId="2D66CCE3" w14:textId="2F3FFA67" w:rsidR="008E0F7B" w:rsidRPr="00FC4F6A" w:rsidRDefault="00FC4F6A" w:rsidP="00FC4F6A">
      <w:pPr>
        <w:pStyle w:val="Body"/>
        <w:spacing w:after="0"/>
        <w:jc w:val="left"/>
        <w:rPr>
          <w:rFonts w:ascii="Arial" w:hAnsi="Arial" w:cs="Arial"/>
          <w:i/>
        </w:rPr>
      </w:pPr>
      <w:r w:rsidRPr="00826981">
        <w:rPr>
          <w:rFonts w:ascii="Arial" w:hAnsi="Arial" w:cs="Arial"/>
          <w:i/>
          <w:color w:val="FF0000"/>
        </w:rPr>
        <w:t>Legend: Indicators were recorded as present (+) or absent (–) based on observed reactions.</w:t>
      </w:r>
      <w:r w:rsidRPr="00FC4F6A">
        <w:rPr>
          <w:rFonts w:ascii="Arial" w:hAnsi="Arial" w:cs="Arial"/>
          <w:i/>
        </w:rPr>
        <w:br/>
      </w:r>
    </w:p>
    <w:p w14:paraId="5BCEEF23" w14:textId="77777777" w:rsidR="0052209F" w:rsidRPr="0052209F" w:rsidRDefault="0052209F" w:rsidP="0052209F">
      <w:pPr>
        <w:pStyle w:val="Body"/>
        <w:rPr>
          <w:rFonts w:ascii="Arial" w:hAnsi="Arial" w:cs="Arial"/>
        </w:rPr>
      </w:pPr>
      <w:r w:rsidRPr="0052209F">
        <w:rPr>
          <w:rFonts w:ascii="Arial" w:hAnsi="Arial" w:cs="Arial"/>
        </w:rPr>
        <w:t>The presence of alkaloids was confirmed by the positive result in the Mayer's Test, where the formation of a creamy-white or yellow precipitate indicated their existence in the extract. Alkaloids are a structurally diverse group known for a wide array of pharmacological actions, including analgesic, anti-inflammatory, and antimicrobial effects, with mechanisms involving interactions with various biological targets like receptors and enzymes (</w:t>
      </w:r>
      <w:proofErr w:type="spellStart"/>
      <w:r w:rsidRPr="0052209F">
        <w:rPr>
          <w:rFonts w:ascii="Arial" w:hAnsi="Arial" w:cs="Arial"/>
        </w:rPr>
        <w:t>Bribi</w:t>
      </w:r>
      <w:proofErr w:type="spellEnd"/>
      <w:r w:rsidRPr="0052209F">
        <w:rPr>
          <w:rFonts w:ascii="Arial" w:hAnsi="Arial" w:cs="Arial"/>
        </w:rPr>
        <w:t xml:space="preserve">, 2018; </w:t>
      </w:r>
      <w:proofErr w:type="spellStart"/>
      <w:r w:rsidRPr="0052209F">
        <w:rPr>
          <w:rFonts w:ascii="Arial" w:hAnsi="Arial" w:cs="Arial"/>
        </w:rPr>
        <w:t>Bradi</w:t>
      </w:r>
      <w:proofErr w:type="spellEnd"/>
      <w:r w:rsidRPr="0052209F">
        <w:rPr>
          <w:rFonts w:ascii="Arial" w:hAnsi="Arial" w:cs="Arial"/>
        </w:rPr>
        <w:t xml:space="preserve"> &amp; Basu, 2019).  The extract also showed a strong positive result for tannins, evidenced by the formation of a dark green precipitate with the Ferric Chloride Test. These polyphenolic compounds are primarily associated with the plant's astringent properties and are well-recognized for their potent antioxidant, antibacterial, and antimicrobial activities, playing a significant role in mitigating oxidative stress and inhibiting microbial virulence (</w:t>
      </w:r>
      <w:proofErr w:type="spellStart"/>
      <w:r w:rsidRPr="0052209F">
        <w:rPr>
          <w:rFonts w:ascii="Arial" w:hAnsi="Arial" w:cs="Arial"/>
        </w:rPr>
        <w:t>Maisetta</w:t>
      </w:r>
      <w:proofErr w:type="spellEnd"/>
      <w:r w:rsidRPr="0052209F">
        <w:rPr>
          <w:rFonts w:ascii="Arial" w:hAnsi="Arial" w:cs="Arial"/>
        </w:rPr>
        <w:t xml:space="preserve"> et al., 2019; Kováč et a</w:t>
      </w:r>
      <w:r>
        <w:rPr>
          <w:rFonts w:ascii="Arial" w:hAnsi="Arial" w:cs="Arial"/>
        </w:rPr>
        <w:t>l., 2022; Nguyen et al., 2023).</w:t>
      </w:r>
    </w:p>
    <w:p w14:paraId="2CB90747" w14:textId="77777777" w:rsidR="008E0F7B" w:rsidRDefault="0052209F" w:rsidP="0052209F">
      <w:pPr>
        <w:pStyle w:val="Body"/>
        <w:spacing w:after="0"/>
        <w:rPr>
          <w:rFonts w:ascii="Arial" w:hAnsi="Arial" w:cs="Arial"/>
        </w:rPr>
      </w:pPr>
      <w:r w:rsidRPr="0052209F">
        <w:rPr>
          <w:rFonts w:ascii="Arial" w:hAnsi="Arial" w:cs="Arial"/>
        </w:rPr>
        <w:t xml:space="preserve">Additionally, the Foam Test indicated the presence of saponins, as a stable foam formation was observed. Saponins, which are surface-active glycosides, have been widely investigated for their potential </w:t>
      </w:r>
      <w:proofErr w:type="spellStart"/>
      <w:r w:rsidRPr="0052209F">
        <w:rPr>
          <w:rFonts w:ascii="Arial" w:hAnsi="Arial" w:cs="Arial"/>
        </w:rPr>
        <w:t>hypocholesterolemic</w:t>
      </w:r>
      <w:proofErr w:type="spellEnd"/>
      <w:r w:rsidRPr="0052209F">
        <w:rPr>
          <w:rFonts w:ascii="Arial" w:hAnsi="Arial" w:cs="Arial"/>
        </w:rPr>
        <w:t xml:space="preserve">, anti-inflammatory, and </w:t>
      </w:r>
      <w:proofErr w:type="spellStart"/>
      <w:r w:rsidRPr="0052209F">
        <w:rPr>
          <w:rFonts w:ascii="Arial" w:hAnsi="Arial" w:cs="Arial"/>
        </w:rPr>
        <w:t>immunostimulant</w:t>
      </w:r>
      <w:proofErr w:type="spellEnd"/>
      <w:r w:rsidRPr="0052209F">
        <w:rPr>
          <w:rFonts w:ascii="Arial" w:hAnsi="Arial" w:cs="Arial"/>
        </w:rPr>
        <w:t xml:space="preserve"> activities, </w:t>
      </w:r>
      <w:r w:rsidRPr="0052209F">
        <w:rPr>
          <w:rFonts w:ascii="Arial" w:hAnsi="Arial" w:cs="Arial"/>
        </w:rPr>
        <w:lastRenderedPageBreak/>
        <w:t xml:space="preserve">making them valuable candidates for addressing metabolic and immune-related health challenges (Marrelli et al., 2016; </w:t>
      </w:r>
      <w:proofErr w:type="spellStart"/>
      <w:r w:rsidRPr="0052209F">
        <w:rPr>
          <w:rFonts w:ascii="Arial" w:hAnsi="Arial" w:cs="Arial"/>
        </w:rPr>
        <w:t>Timilsena</w:t>
      </w:r>
      <w:proofErr w:type="spellEnd"/>
      <w:r w:rsidRPr="0052209F">
        <w:rPr>
          <w:rFonts w:ascii="Arial" w:hAnsi="Arial" w:cs="Arial"/>
        </w:rPr>
        <w:t xml:space="preserve"> et al., 2023). The Salkowski Test confirmed the presence of terpenoids, resulting in a reddish-brown ring. This large and varied class of compounds exhibits notable biological activities, including anti-inflammatory, antiviral, and anticancer effects, primarily by modulating inflammatory pathways and inhibiting pro-inflammatory mediators (Del Prado-Audelo et al., 2021). Finally, the Alkaline Reagent Test confirmed the presence of flavonoids, showing a color change from intense yellow to colorless upon the addition of acid. Flavonoids, as a significant subgroup of polyphenols, are paramount for their powerful antioxidant capacity, which enables them to scavenge free radicals, chelate metal cations, and protect against chronic diseases associated with oxidative stress (</w:t>
      </w:r>
      <w:proofErr w:type="spellStart"/>
      <w:r w:rsidRPr="0052209F">
        <w:rPr>
          <w:rFonts w:ascii="Arial" w:hAnsi="Arial" w:cs="Arial"/>
        </w:rPr>
        <w:t>Hassanpour</w:t>
      </w:r>
      <w:proofErr w:type="spellEnd"/>
      <w:r w:rsidRPr="0052209F">
        <w:rPr>
          <w:rFonts w:ascii="Arial" w:hAnsi="Arial" w:cs="Arial"/>
        </w:rPr>
        <w:t xml:space="preserve"> &amp; </w:t>
      </w:r>
      <w:proofErr w:type="spellStart"/>
      <w:r w:rsidRPr="0052209F">
        <w:rPr>
          <w:rFonts w:ascii="Arial" w:hAnsi="Arial" w:cs="Arial"/>
        </w:rPr>
        <w:t>Doroudi</w:t>
      </w:r>
      <w:proofErr w:type="spellEnd"/>
      <w:r w:rsidRPr="0052209F">
        <w:rPr>
          <w:rFonts w:ascii="Arial" w:hAnsi="Arial" w:cs="Arial"/>
        </w:rPr>
        <w:t>, 2023; Li et al., 2024).</w:t>
      </w:r>
    </w:p>
    <w:p w14:paraId="51590868" w14:textId="77777777" w:rsidR="008E0F7B" w:rsidRDefault="008E0F7B" w:rsidP="00441B6F">
      <w:pPr>
        <w:pStyle w:val="Body"/>
        <w:spacing w:after="0"/>
        <w:rPr>
          <w:rFonts w:ascii="Arial" w:hAnsi="Arial" w:cs="Arial"/>
        </w:rPr>
      </w:pPr>
    </w:p>
    <w:p w14:paraId="5FA460E9" w14:textId="77777777" w:rsidR="00A32484" w:rsidRPr="00C4704B" w:rsidRDefault="00A32484" w:rsidP="00A32484">
      <w:pPr>
        <w:pStyle w:val="Body"/>
        <w:spacing w:after="0"/>
        <w:rPr>
          <w:rFonts w:ascii="Arial" w:hAnsi="Arial" w:cs="Arial"/>
          <w:b/>
          <w:sz w:val="22"/>
        </w:rPr>
      </w:pPr>
      <w:r w:rsidRPr="00C4704B">
        <w:rPr>
          <w:rFonts w:ascii="Arial" w:hAnsi="Arial" w:cs="Arial"/>
          <w:b/>
          <w:sz w:val="22"/>
        </w:rPr>
        <w:t>3.</w:t>
      </w:r>
      <w:r>
        <w:rPr>
          <w:rFonts w:ascii="Arial" w:hAnsi="Arial" w:cs="Arial"/>
          <w:b/>
          <w:sz w:val="22"/>
        </w:rPr>
        <w:t>3</w:t>
      </w:r>
      <w:r w:rsidRPr="00C4704B">
        <w:rPr>
          <w:rFonts w:ascii="Arial" w:hAnsi="Arial" w:cs="Arial"/>
          <w:b/>
          <w:sz w:val="22"/>
        </w:rPr>
        <w:t xml:space="preserve"> </w:t>
      </w:r>
      <w:r w:rsidRPr="00A32484">
        <w:rPr>
          <w:rFonts w:ascii="Arial" w:hAnsi="Arial" w:cs="Arial"/>
          <w:b/>
          <w:sz w:val="22"/>
        </w:rPr>
        <w:t xml:space="preserve">Scientific Rationale for the Traditional Uses of </w:t>
      </w:r>
      <w:proofErr w:type="spellStart"/>
      <w:r w:rsidRPr="00A32484">
        <w:rPr>
          <w:rFonts w:ascii="Arial" w:hAnsi="Arial" w:cs="Arial"/>
          <w:i/>
          <w:sz w:val="22"/>
        </w:rPr>
        <w:t>Corchorus</w:t>
      </w:r>
      <w:proofErr w:type="spellEnd"/>
      <w:r w:rsidRPr="00A32484">
        <w:rPr>
          <w:rFonts w:ascii="Arial" w:hAnsi="Arial" w:cs="Arial"/>
          <w:i/>
          <w:sz w:val="22"/>
        </w:rPr>
        <w:t xml:space="preserve"> </w:t>
      </w:r>
      <w:proofErr w:type="spellStart"/>
      <w:r w:rsidRPr="00A32484">
        <w:rPr>
          <w:rFonts w:ascii="Arial" w:hAnsi="Arial" w:cs="Arial"/>
          <w:i/>
          <w:sz w:val="22"/>
        </w:rPr>
        <w:t>olitorius</w:t>
      </w:r>
      <w:proofErr w:type="spellEnd"/>
      <w:r w:rsidRPr="00A32484">
        <w:rPr>
          <w:rFonts w:ascii="Arial" w:hAnsi="Arial" w:cs="Arial"/>
          <w:i/>
          <w:sz w:val="22"/>
        </w:rPr>
        <w:t xml:space="preserve"> (L.)</w:t>
      </w:r>
      <w:r w:rsidRPr="00A32484">
        <w:rPr>
          <w:rFonts w:ascii="Arial" w:hAnsi="Arial" w:cs="Arial"/>
          <w:b/>
          <w:sz w:val="22"/>
        </w:rPr>
        <w:t xml:space="preserve"> </w:t>
      </w:r>
    </w:p>
    <w:p w14:paraId="4026B066" w14:textId="77777777" w:rsidR="008E0F7B" w:rsidRDefault="008E0F7B" w:rsidP="00441B6F">
      <w:pPr>
        <w:pStyle w:val="Body"/>
        <w:spacing w:after="0"/>
        <w:rPr>
          <w:rFonts w:ascii="Arial" w:hAnsi="Arial" w:cs="Arial"/>
        </w:rPr>
      </w:pPr>
    </w:p>
    <w:p w14:paraId="274A0628" w14:textId="77777777" w:rsidR="00841FAB" w:rsidRPr="00841FAB" w:rsidRDefault="00841FAB" w:rsidP="00841FAB">
      <w:pPr>
        <w:spacing w:before="60"/>
        <w:ind w:right="-90"/>
        <w:jc w:val="center"/>
        <w:rPr>
          <w:rFonts w:ascii="Arial" w:eastAsia="Libre Caslon Text" w:hAnsi="Arial" w:cs="Arial"/>
          <w:color w:val="000000" w:themeColor="text1"/>
        </w:rPr>
      </w:pPr>
      <w:r w:rsidRPr="00841FAB">
        <w:rPr>
          <w:rFonts w:ascii="Arial" w:eastAsia="Libre Caslon Text" w:hAnsi="Arial" w:cs="Arial"/>
          <w:b/>
          <w:color w:val="000000" w:themeColor="text1"/>
        </w:rPr>
        <w:t>Table 3:</w:t>
      </w:r>
      <w:r w:rsidRPr="00841FAB">
        <w:rPr>
          <w:rFonts w:ascii="Arial" w:eastAsia="Libre Caslon Text" w:hAnsi="Arial" w:cs="Arial"/>
          <w:color w:val="000000" w:themeColor="text1"/>
        </w:rPr>
        <w:t xml:space="preserve"> </w:t>
      </w:r>
      <w:r w:rsidRPr="00841FAB">
        <w:rPr>
          <w:rFonts w:ascii="Arial" w:eastAsia="Libre Caslon Text" w:hAnsi="Arial" w:cs="Arial"/>
          <w:i/>
          <w:color w:val="000000" w:themeColor="text1"/>
        </w:rPr>
        <w:t>Validated Ethnomedicinal Claims with Phytochemical Constituents and Pharmacological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543"/>
        <w:gridCol w:w="2219"/>
        <w:gridCol w:w="2286"/>
      </w:tblGrid>
      <w:tr w:rsidR="00841FAB" w:rsidRPr="00841FAB" w14:paraId="0B8D30EB" w14:textId="77777777" w:rsidTr="00841FAB">
        <w:tc>
          <w:tcPr>
            <w:tcW w:w="2160" w:type="dxa"/>
            <w:tcBorders>
              <w:top w:val="single" w:sz="4" w:space="0" w:color="auto"/>
              <w:bottom w:val="single" w:sz="4" w:space="0" w:color="auto"/>
            </w:tcBorders>
          </w:tcPr>
          <w:p w14:paraId="5DDB02D9" w14:textId="77777777" w:rsidR="00841FAB" w:rsidRPr="00841FAB" w:rsidRDefault="00841FAB" w:rsidP="007A2BA6">
            <w:pPr>
              <w:spacing w:before="60"/>
              <w:ind w:right="-90"/>
              <w:rPr>
                <w:rFonts w:ascii="Arial" w:eastAsia="Libre Caslon Text" w:hAnsi="Arial" w:cs="Arial"/>
                <w:b/>
                <w:color w:val="000000" w:themeColor="text1"/>
                <w:sz w:val="20"/>
                <w:szCs w:val="20"/>
              </w:rPr>
            </w:pPr>
            <w:r w:rsidRPr="00841FAB">
              <w:rPr>
                <w:rFonts w:ascii="Arial" w:eastAsia="Libre Caslon Text" w:hAnsi="Arial" w:cs="Arial"/>
                <w:b/>
                <w:color w:val="000000" w:themeColor="text1"/>
                <w:sz w:val="20"/>
                <w:szCs w:val="20"/>
              </w:rPr>
              <w:t>Traditional Use (Consensus)</w:t>
            </w:r>
          </w:p>
        </w:tc>
        <w:tc>
          <w:tcPr>
            <w:tcW w:w="1543" w:type="dxa"/>
            <w:tcBorders>
              <w:top w:val="single" w:sz="4" w:space="0" w:color="auto"/>
              <w:bottom w:val="single" w:sz="4" w:space="0" w:color="auto"/>
            </w:tcBorders>
          </w:tcPr>
          <w:p w14:paraId="36092243" w14:textId="77777777" w:rsidR="00841FAB" w:rsidRPr="00841FAB" w:rsidRDefault="00841FAB" w:rsidP="007A2BA6">
            <w:pPr>
              <w:spacing w:before="60"/>
              <w:ind w:right="-90"/>
              <w:rPr>
                <w:rFonts w:ascii="Arial" w:eastAsia="Libre Caslon Text" w:hAnsi="Arial" w:cs="Arial"/>
                <w:b/>
                <w:color w:val="000000" w:themeColor="text1"/>
                <w:sz w:val="20"/>
                <w:szCs w:val="20"/>
              </w:rPr>
            </w:pPr>
            <w:r w:rsidRPr="00841FAB">
              <w:rPr>
                <w:rFonts w:ascii="Arial" w:eastAsia="Libre Caslon Text" w:hAnsi="Arial" w:cs="Arial"/>
                <w:b/>
                <w:color w:val="000000" w:themeColor="text1"/>
                <w:sz w:val="20"/>
                <w:szCs w:val="20"/>
              </w:rPr>
              <w:t>Preparation Method</w:t>
            </w:r>
          </w:p>
        </w:tc>
        <w:tc>
          <w:tcPr>
            <w:tcW w:w="2219" w:type="dxa"/>
            <w:tcBorders>
              <w:top w:val="single" w:sz="4" w:space="0" w:color="auto"/>
              <w:bottom w:val="single" w:sz="4" w:space="0" w:color="auto"/>
            </w:tcBorders>
          </w:tcPr>
          <w:p w14:paraId="17743F9B" w14:textId="77777777" w:rsidR="00841FAB" w:rsidRPr="00841FAB" w:rsidRDefault="00841FAB" w:rsidP="007A2BA6">
            <w:pPr>
              <w:spacing w:before="60"/>
              <w:ind w:right="-90"/>
              <w:rPr>
                <w:rFonts w:ascii="Arial" w:eastAsia="Libre Caslon Text" w:hAnsi="Arial" w:cs="Arial"/>
                <w:b/>
                <w:color w:val="000000" w:themeColor="text1"/>
                <w:sz w:val="20"/>
                <w:szCs w:val="20"/>
              </w:rPr>
            </w:pPr>
            <w:r w:rsidRPr="00841FAB">
              <w:rPr>
                <w:rFonts w:ascii="Arial" w:eastAsia="Libre Caslon Text" w:hAnsi="Arial" w:cs="Arial"/>
                <w:b/>
                <w:color w:val="000000" w:themeColor="text1"/>
                <w:sz w:val="20"/>
                <w:szCs w:val="20"/>
              </w:rPr>
              <w:t>Phytochemical Class</w:t>
            </w:r>
          </w:p>
        </w:tc>
        <w:tc>
          <w:tcPr>
            <w:tcW w:w="2286" w:type="dxa"/>
            <w:tcBorders>
              <w:top w:val="single" w:sz="4" w:space="0" w:color="auto"/>
              <w:bottom w:val="single" w:sz="4" w:space="0" w:color="auto"/>
            </w:tcBorders>
          </w:tcPr>
          <w:p w14:paraId="61B8D9ED" w14:textId="77777777" w:rsidR="00841FAB" w:rsidRPr="00841FAB" w:rsidRDefault="00841FAB" w:rsidP="007A2BA6">
            <w:pPr>
              <w:spacing w:before="60"/>
              <w:ind w:right="-90"/>
              <w:rPr>
                <w:rFonts w:ascii="Arial" w:eastAsia="Libre Caslon Text" w:hAnsi="Arial" w:cs="Arial"/>
                <w:b/>
                <w:color w:val="000000" w:themeColor="text1"/>
                <w:sz w:val="20"/>
                <w:szCs w:val="20"/>
              </w:rPr>
            </w:pPr>
            <w:r w:rsidRPr="00841FAB">
              <w:rPr>
                <w:rFonts w:ascii="Arial" w:eastAsia="Libre Caslon Text" w:hAnsi="Arial" w:cs="Arial"/>
                <w:b/>
                <w:color w:val="000000" w:themeColor="text1"/>
                <w:sz w:val="20"/>
                <w:szCs w:val="20"/>
              </w:rPr>
              <w:t>Potential Pharmacological Activity</w:t>
            </w:r>
          </w:p>
        </w:tc>
      </w:tr>
      <w:tr w:rsidR="00841FAB" w:rsidRPr="00841FAB" w14:paraId="2CD34EB8" w14:textId="77777777" w:rsidTr="00841FAB">
        <w:tc>
          <w:tcPr>
            <w:tcW w:w="2160" w:type="dxa"/>
            <w:tcBorders>
              <w:top w:val="single" w:sz="4" w:space="0" w:color="auto"/>
            </w:tcBorders>
          </w:tcPr>
          <w:p w14:paraId="429A565A"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Diabetes (100% V)</w:t>
            </w:r>
          </w:p>
        </w:tc>
        <w:tc>
          <w:tcPr>
            <w:tcW w:w="1543" w:type="dxa"/>
            <w:tcBorders>
              <w:top w:val="single" w:sz="4" w:space="0" w:color="auto"/>
            </w:tcBorders>
          </w:tcPr>
          <w:p w14:paraId="35EF9044"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Leaf Infusion</w:t>
            </w:r>
          </w:p>
        </w:tc>
        <w:tc>
          <w:tcPr>
            <w:tcW w:w="2219" w:type="dxa"/>
            <w:tcBorders>
              <w:top w:val="single" w:sz="4" w:space="0" w:color="auto"/>
            </w:tcBorders>
          </w:tcPr>
          <w:p w14:paraId="427E44D0"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Flavonoids, Alkaloids, Saponins</w:t>
            </w:r>
          </w:p>
        </w:tc>
        <w:tc>
          <w:tcPr>
            <w:tcW w:w="2286" w:type="dxa"/>
            <w:tcBorders>
              <w:top w:val="single" w:sz="4" w:space="0" w:color="auto"/>
            </w:tcBorders>
          </w:tcPr>
          <w:p w14:paraId="0122BDAD"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Anti-hyperglycemic, Insulin Secretion Modulation</w:t>
            </w:r>
          </w:p>
        </w:tc>
      </w:tr>
      <w:tr w:rsidR="00841FAB" w:rsidRPr="00841FAB" w14:paraId="3E61E82E" w14:textId="77777777" w:rsidTr="00841FAB">
        <w:tc>
          <w:tcPr>
            <w:tcW w:w="2160" w:type="dxa"/>
          </w:tcPr>
          <w:p w14:paraId="417FBD84"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Arthritis (90% V)</w:t>
            </w:r>
          </w:p>
        </w:tc>
        <w:tc>
          <w:tcPr>
            <w:tcW w:w="1543" w:type="dxa"/>
            <w:vAlign w:val="center"/>
          </w:tcPr>
          <w:p w14:paraId="5C9639AB"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Fomentation</w:t>
            </w:r>
          </w:p>
        </w:tc>
        <w:tc>
          <w:tcPr>
            <w:tcW w:w="2219" w:type="dxa"/>
          </w:tcPr>
          <w:p w14:paraId="0A2F4D03"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Flavonoids, Terpenoids</w:t>
            </w:r>
          </w:p>
        </w:tc>
        <w:tc>
          <w:tcPr>
            <w:tcW w:w="2286" w:type="dxa"/>
          </w:tcPr>
          <w:p w14:paraId="53AA112E"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Anti-inflammatory, Analgesic</w:t>
            </w:r>
          </w:p>
        </w:tc>
      </w:tr>
      <w:tr w:rsidR="00841FAB" w:rsidRPr="00841FAB" w14:paraId="33DACFC0" w14:textId="77777777" w:rsidTr="00841FAB">
        <w:tc>
          <w:tcPr>
            <w:tcW w:w="2160" w:type="dxa"/>
          </w:tcPr>
          <w:p w14:paraId="4D14F7B7"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Fever (80% V)</w:t>
            </w:r>
          </w:p>
        </w:tc>
        <w:tc>
          <w:tcPr>
            <w:tcW w:w="1543" w:type="dxa"/>
            <w:vAlign w:val="center"/>
          </w:tcPr>
          <w:p w14:paraId="386FFA80"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Leaf Infusion</w:t>
            </w:r>
          </w:p>
        </w:tc>
        <w:tc>
          <w:tcPr>
            <w:tcW w:w="2219" w:type="dxa"/>
          </w:tcPr>
          <w:p w14:paraId="3AE9E43B"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Flavonoids, Alkaloids</w:t>
            </w:r>
          </w:p>
        </w:tc>
        <w:tc>
          <w:tcPr>
            <w:tcW w:w="2286" w:type="dxa"/>
          </w:tcPr>
          <w:p w14:paraId="39E57C35"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Antipyretic, Anti-inflammatory</w:t>
            </w:r>
          </w:p>
        </w:tc>
      </w:tr>
      <w:tr w:rsidR="00841FAB" w:rsidRPr="00841FAB" w14:paraId="165B8370" w14:textId="77777777" w:rsidTr="00841FAB">
        <w:tc>
          <w:tcPr>
            <w:tcW w:w="2160" w:type="dxa"/>
          </w:tcPr>
          <w:p w14:paraId="6C60D210"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High blood pressure (70% V)</w:t>
            </w:r>
          </w:p>
        </w:tc>
        <w:tc>
          <w:tcPr>
            <w:tcW w:w="1543" w:type="dxa"/>
          </w:tcPr>
          <w:p w14:paraId="59679D6E"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Decoction</w:t>
            </w:r>
          </w:p>
        </w:tc>
        <w:tc>
          <w:tcPr>
            <w:tcW w:w="2219" w:type="dxa"/>
          </w:tcPr>
          <w:p w14:paraId="770F7B45"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Alkaloids, Saponins, Flavonoids</w:t>
            </w:r>
          </w:p>
        </w:tc>
        <w:tc>
          <w:tcPr>
            <w:tcW w:w="2286" w:type="dxa"/>
          </w:tcPr>
          <w:p w14:paraId="27F8FF01"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Antihypertensive, Cardioprotective</w:t>
            </w:r>
          </w:p>
        </w:tc>
      </w:tr>
      <w:tr w:rsidR="00841FAB" w:rsidRPr="00841FAB" w14:paraId="14056BD1" w14:textId="77777777" w:rsidTr="00841FAB">
        <w:tc>
          <w:tcPr>
            <w:tcW w:w="2160" w:type="dxa"/>
          </w:tcPr>
          <w:p w14:paraId="4FCE0A65"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Wounds (70% V)</w:t>
            </w:r>
          </w:p>
        </w:tc>
        <w:tc>
          <w:tcPr>
            <w:tcW w:w="1543" w:type="dxa"/>
          </w:tcPr>
          <w:p w14:paraId="2E71B310"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Aqueous Extract Paste</w:t>
            </w:r>
          </w:p>
        </w:tc>
        <w:tc>
          <w:tcPr>
            <w:tcW w:w="2219" w:type="dxa"/>
          </w:tcPr>
          <w:p w14:paraId="5AEF35A4"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Tannins, Terpenoids, Flavonoids</w:t>
            </w:r>
          </w:p>
        </w:tc>
        <w:tc>
          <w:tcPr>
            <w:tcW w:w="2286" w:type="dxa"/>
          </w:tcPr>
          <w:p w14:paraId="25E9C3B3"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Wound-healing, Astringent, Antimicrobial, Antioxidant</w:t>
            </w:r>
          </w:p>
        </w:tc>
      </w:tr>
      <w:tr w:rsidR="00841FAB" w:rsidRPr="00841FAB" w14:paraId="29F82CB6" w14:textId="77777777" w:rsidTr="00841FAB">
        <w:tc>
          <w:tcPr>
            <w:tcW w:w="2160" w:type="dxa"/>
          </w:tcPr>
          <w:p w14:paraId="2F05F6D6"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Headaches (70% V)</w:t>
            </w:r>
          </w:p>
        </w:tc>
        <w:tc>
          <w:tcPr>
            <w:tcW w:w="1543" w:type="dxa"/>
            <w:vAlign w:val="center"/>
          </w:tcPr>
          <w:p w14:paraId="12DB3547"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Poultice</w:t>
            </w:r>
          </w:p>
        </w:tc>
        <w:tc>
          <w:tcPr>
            <w:tcW w:w="2219" w:type="dxa"/>
          </w:tcPr>
          <w:p w14:paraId="7E97ADD8"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Terpenoids, Flavonoids</w:t>
            </w:r>
          </w:p>
        </w:tc>
        <w:tc>
          <w:tcPr>
            <w:tcW w:w="2286" w:type="dxa"/>
          </w:tcPr>
          <w:p w14:paraId="1BF53B7F"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Analgesic, Vasorelaxant, Anti-inflammatory</w:t>
            </w:r>
          </w:p>
        </w:tc>
      </w:tr>
      <w:tr w:rsidR="00841FAB" w:rsidRPr="00841FAB" w14:paraId="364C05BC" w14:textId="77777777" w:rsidTr="00841FAB">
        <w:tc>
          <w:tcPr>
            <w:tcW w:w="2160" w:type="dxa"/>
            <w:tcBorders>
              <w:bottom w:val="single" w:sz="4" w:space="0" w:color="auto"/>
            </w:tcBorders>
          </w:tcPr>
          <w:p w14:paraId="30D81716"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Constipation (70% V)</w:t>
            </w:r>
          </w:p>
        </w:tc>
        <w:tc>
          <w:tcPr>
            <w:tcW w:w="1543" w:type="dxa"/>
            <w:tcBorders>
              <w:bottom w:val="single" w:sz="4" w:space="0" w:color="auto"/>
            </w:tcBorders>
            <w:vAlign w:val="center"/>
          </w:tcPr>
          <w:p w14:paraId="6CFA8014"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Decoction</w:t>
            </w:r>
          </w:p>
        </w:tc>
        <w:tc>
          <w:tcPr>
            <w:tcW w:w="2219" w:type="dxa"/>
            <w:tcBorders>
              <w:bottom w:val="single" w:sz="4" w:space="0" w:color="auto"/>
            </w:tcBorders>
          </w:tcPr>
          <w:p w14:paraId="61107E58"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Saponins, Tannins</w:t>
            </w:r>
          </w:p>
        </w:tc>
        <w:tc>
          <w:tcPr>
            <w:tcW w:w="2286" w:type="dxa"/>
            <w:tcBorders>
              <w:bottom w:val="single" w:sz="4" w:space="0" w:color="auto"/>
            </w:tcBorders>
          </w:tcPr>
          <w:p w14:paraId="50CBD234"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Laxative</w:t>
            </w:r>
          </w:p>
        </w:tc>
      </w:tr>
    </w:tbl>
    <w:p w14:paraId="1D84C5E8" w14:textId="77777777" w:rsidR="00841FAB" w:rsidRDefault="00841FAB" w:rsidP="00841FAB">
      <w:pPr>
        <w:ind w:firstLine="720"/>
        <w:jc w:val="both"/>
        <w:rPr>
          <w:rFonts w:ascii="Libre Caslon Text" w:eastAsia="Libre Caslon Text" w:hAnsi="Libre Caslon Text" w:cs="Libre Caslon Text"/>
          <w:sz w:val="18"/>
          <w:szCs w:val="18"/>
        </w:rPr>
      </w:pPr>
    </w:p>
    <w:p w14:paraId="09A90923" w14:textId="77777777" w:rsidR="008E0F7B" w:rsidRDefault="005C18A8" w:rsidP="00441B6F">
      <w:pPr>
        <w:pStyle w:val="Body"/>
        <w:spacing w:after="0"/>
        <w:rPr>
          <w:rFonts w:ascii="Arial" w:hAnsi="Arial" w:cs="Arial"/>
        </w:rPr>
      </w:pPr>
      <w:r w:rsidRPr="005C18A8">
        <w:rPr>
          <w:rFonts w:ascii="Arial" w:hAnsi="Arial" w:cs="Arial"/>
        </w:rPr>
        <w:t xml:space="preserve">The results of this study establish a robust scientific rationale for the traditional use of </w:t>
      </w:r>
      <w:proofErr w:type="spellStart"/>
      <w:r w:rsidRPr="005C18A8">
        <w:rPr>
          <w:rFonts w:ascii="Arial" w:hAnsi="Arial" w:cs="Arial"/>
          <w:i/>
        </w:rPr>
        <w:t>Corchorus</w:t>
      </w:r>
      <w:proofErr w:type="spellEnd"/>
      <w:r w:rsidRPr="005C18A8">
        <w:rPr>
          <w:rFonts w:ascii="Arial" w:hAnsi="Arial" w:cs="Arial"/>
          <w:i/>
        </w:rPr>
        <w:t xml:space="preserve"> </w:t>
      </w:r>
      <w:proofErr w:type="spellStart"/>
      <w:r w:rsidRPr="005C18A8">
        <w:rPr>
          <w:rFonts w:ascii="Arial" w:hAnsi="Arial" w:cs="Arial"/>
          <w:i/>
        </w:rPr>
        <w:t>olitorius</w:t>
      </w:r>
      <w:proofErr w:type="spellEnd"/>
      <w:r w:rsidRPr="005C18A8">
        <w:rPr>
          <w:rFonts w:ascii="Arial" w:hAnsi="Arial" w:cs="Arial"/>
        </w:rPr>
        <w:t xml:space="preserve"> leaf, demonstrating a compelling</w:t>
      </w:r>
      <w:r w:rsidR="00926B5F">
        <w:rPr>
          <w:rFonts w:ascii="Arial" w:hAnsi="Arial" w:cs="Arial"/>
        </w:rPr>
        <w:t xml:space="preserve"> convergence between high local </w:t>
      </w:r>
      <w:r w:rsidRPr="005C18A8">
        <w:rPr>
          <w:rFonts w:ascii="Arial" w:hAnsi="Arial" w:cs="Arial"/>
        </w:rPr>
        <w:t>consensus found in Table 1 and the confirmed presence of key bioactive compounds in Table 2. The ethnobotanical survey yielded eight distinct traditional uses, seven of which achieved a high validation status (≥70% consensus).</w:t>
      </w:r>
    </w:p>
    <w:p w14:paraId="34D02B81" w14:textId="77777777" w:rsidR="002C10B4" w:rsidRDefault="002C10B4" w:rsidP="00441B6F">
      <w:pPr>
        <w:pStyle w:val="Body"/>
        <w:spacing w:after="0"/>
        <w:rPr>
          <w:rFonts w:ascii="Arial" w:hAnsi="Arial" w:cs="Arial"/>
        </w:rPr>
      </w:pPr>
    </w:p>
    <w:p w14:paraId="3121B8A6" w14:textId="77777777" w:rsidR="005C18A8" w:rsidRPr="005C18A8" w:rsidRDefault="005C18A8" w:rsidP="005C18A8">
      <w:pPr>
        <w:pStyle w:val="Body"/>
        <w:rPr>
          <w:rFonts w:ascii="Arial" w:hAnsi="Arial" w:cs="Arial"/>
        </w:rPr>
      </w:pPr>
      <w:r w:rsidRPr="005C18A8">
        <w:rPr>
          <w:rFonts w:ascii="Arial" w:hAnsi="Arial" w:cs="Arial"/>
        </w:rPr>
        <w:t xml:space="preserve">The most significant findings pertain to metabolic and cardiovascular health. The 100% consensus for diabetes and 70% consensus for high blood pressure are directly supported by the presence of flavonoids and saponins. Recent in vivo studies corroborate that </w:t>
      </w:r>
      <w:r w:rsidRPr="005C18A8">
        <w:rPr>
          <w:rFonts w:ascii="Arial" w:hAnsi="Arial" w:cs="Arial"/>
          <w:i/>
        </w:rPr>
        <w:t xml:space="preserve">C. </w:t>
      </w:r>
      <w:proofErr w:type="spellStart"/>
      <w:r w:rsidRPr="005C18A8">
        <w:rPr>
          <w:rFonts w:ascii="Arial" w:hAnsi="Arial" w:cs="Arial"/>
          <w:i/>
        </w:rPr>
        <w:t>olitorius</w:t>
      </w:r>
      <w:proofErr w:type="spellEnd"/>
      <w:r w:rsidRPr="005C18A8">
        <w:rPr>
          <w:rFonts w:ascii="Arial" w:hAnsi="Arial" w:cs="Arial"/>
        </w:rPr>
        <w:t xml:space="preserve"> extracts exhibit significant anti-hyperglycemic activity by protecting pancreatic β-cells and improving insulin sensitivity (</w:t>
      </w:r>
      <w:proofErr w:type="spellStart"/>
      <w:r w:rsidRPr="005C18A8">
        <w:rPr>
          <w:rFonts w:ascii="Arial" w:hAnsi="Arial" w:cs="Arial"/>
        </w:rPr>
        <w:t>Mokgalaboni</w:t>
      </w:r>
      <w:proofErr w:type="spellEnd"/>
      <w:r w:rsidRPr="005C18A8">
        <w:rPr>
          <w:rFonts w:ascii="Arial" w:hAnsi="Arial" w:cs="Arial"/>
        </w:rPr>
        <w:t xml:space="preserve"> &amp; </w:t>
      </w:r>
      <w:proofErr w:type="spellStart"/>
      <w:r w:rsidRPr="005C18A8">
        <w:rPr>
          <w:rFonts w:ascii="Arial" w:hAnsi="Arial" w:cs="Arial"/>
        </w:rPr>
        <w:t>Phoswa</w:t>
      </w:r>
      <w:proofErr w:type="spellEnd"/>
      <w:r w:rsidRPr="005C18A8">
        <w:rPr>
          <w:rFonts w:ascii="Arial" w:hAnsi="Arial" w:cs="Arial"/>
        </w:rPr>
        <w:t xml:space="preserve">, 2023). Additionally, the leaf extract has </w:t>
      </w:r>
      <w:r w:rsidRPr="005C18A8">
        <w:rPr>
          <w:rFonts w:ascii="Arial" w:hAnsi="Arial" w:cs="Arial"/>
        </w:rPr>
        <w:lastRenderedPageBreak/>
        <w:t xml:space="preserve">been shown to reduce blood pressure through a mechanism involving the inhibition of the Angiotensin I-Converting Enzyme (ACE) and modulation of nitric oxide bioavailability, thereby functioning as a natural cardioprotective agent (Prasad &amp; </w:t>
      </w:r>
      <w:proofErr w:type="spellStart"/>
      <w:r w:rsidRPr="005C18A8">
        <w:rPr>
          <w:rFonts w:ascii="Arial" w:hAnsi="Arial" w:cs="Arial"/>
        </w:rPr>
        <w:t>Qidwai</w:t>
      </w:r>
      <w:proofErr w:type="spellEnd"/>
      <w:r w:rsidRPr="005C18A8">
        <w:rPr>
          <w:rFonts w:ascii="Arial" w:hAnsi="Arial" w:cs="Arial"/>
        </w:rPr>
        <w:t>, 2023). The consumption of the leaf as a decoction ensures the delivery of these water-soluble polyphenols and minerals, consistent with modern nutritional recommendations for managing t</w:t>
      </w:r>
      <w:r>
        <w:rPr>
          <w:rFonts w:ascii="Arial" w:hAnsi="Arial" w:cs="Arial"/>
        </w:rPr>
        <w:t>hese non-communicable diseases.</w:t>
      </w:r>
    </w:p>
    <w:p w14:paraId="75B58866" w14:textId="77777777" w:rsidR="005C18A8" w:rsidRDefault="005C18A8" w:rsidP="005C18A8">
      <w:pPr>
        <w:pStyle w:val="Body"/>
        <w:spacing w:after="0"/>
        <w:rPr>
          <w:rFonts w:ascii="Arial" w:hAnsi="Arial" w:cs="Arial"/>
        </w:rPr>
      </w:pPr>
      <w:r w:rsidRPr="005C18A8">
        <w:rPr>
          <w:rFonts w:ascii="Arial" w:hAnsi="Arial" w:cs="Arial"/>
        </w:rPr>
        <w:t>The traditional applications for inflammatory conditions, such as arthritis and fever, along with headaches are powerfully correlated with the presence of flavonoids and terpenoids. These phytochemicals are renowned for their potent anti-inflammatory properties, acting by suppressing the production of pro-inflammatory mediators, such as nitric oxide (NO) and (Lee et al., 2023). The use of a fomentation for arthritis and a poultice for headaches specifically targets the application of these topical analgesic and anti-inflammatory compounds directly to the site of pain. The validated use for wounds finds its scientific basis in the high levels of tannins, flavonoids, and terpenoids. Tannins are known for their astringent and antimicrobial properties, which promote wound contraction and protect the injury site from infection, while flavonoids and terpenoids drive the crucial antioxidant activity necessary for tissue repair and cell proliferation (</w:t>
      </w:r>
      <w:proofErr w:type="spellStart"/>
      <w:r w:rsidRPr="005C18A8">
        <w:rPr>
          <w:rFonts w:ascii="Arial" w:hAnsi="Arial" w:cs="Arial"/>
        </w:rPr>
        <w:t>Orieke</w:t>
      </w:r>
      <w:proofErr w:type="spellEnd"/>
      <w:r w:rsidRPr="005C18A8">
        <w:rPr>
          <w:rFonts w:ascii="Arial" w:hAnsi="Arial" w:cs="Arial"/>
        </w:rPr>
        <w:t xml:space="preserve"> et al., 2020). Similarly, the 70% consensus for constipation is supported by the confirmed presence of Saponins which is often contribute a laxative or demulcent effect, aiding gastrointestinal transit. (Abdel-Razek et al., 2022).</w:t>
      </w:r>
    </w:p>
    <w:p w14:paraId="503EB7ED" w14:textId="77777777" w:rsidR="00C4704B" w:rsidRPr="00FB3A86" w:rsidRDefault="00C4704B" w:rsidP="00441B6F">
      <w:pPr>
        <w:pStyle w:val="Body"/>
        <w:spacing w:after="0"/>
        <w:rPr>
          <w:rFonts w:ascii="Arial" w:hAnsi="Arial" w:cs="Arial"/>
        </w:rPr>
      </w:pPr>
    </w:p>
    <w:p w14:paraId="1122D72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0A443F8" w14:textId="77777777" w:rsidR="00790ADA" w:rsidRPr="00FB3A86" w:rsidRDefault="00790ADA" w:rsidP="00441B6F">
      <w:pPr>
        <w:pStyle w:val="ConcHead"/>
        <w:spacing w:after="0"/>
        <w:jc w:val="both"/>
        <w:rPr>
          <w:rFonts w:ascii="Arial" w:hAnsi="Arial" w:cs="Arial"/>
        </w:rPr>
      </w:pPr>
    </w:p>
    <w:p w14:paraId="38D023F0" w14:textId="77777777" w:rsidR="00790ADA" w:rsidRDefault="006E0372" w:rsidP="00441B6F">
      <w:pPr>
        <w:pStyle w:val="Body"/>
        <w:spacing w:after="0"/>
        <w:rPr>
          <w:rFonts w:ascii="Arial" w:hAnsi="Arial" w:cs="Arial"/>
        </w:rPr>
      </w:pPr>
      <w:r w:rsidRPr="006E0372">
        <w:rPr>
          <w:rFonts w:ascii="Arial" w:hAnsi="Arial" w:cs="Arial"/>
        </w:rPr>
        <w:t xml:space="preserve">The systematic triangulation of ethnobotanical knowledge and phytochemistry conclusively confirms the therapeutic relevance of </w:t>
      </w:r>
      <w:proofErr w:type="spellStart"/>
      <w:r w:rsidRPr="006E0372">
        <w:rPr>
          <w:rFonts w:ascii="Arial" w:hAnsi="Arial" w:cs="Arial"/>
          <w:i/>
        </w:rPr>
        <w:t>Corchorus</w:t>
      </w:r>
      <w:proofErr w:type="spellEnd"/>
      <w:r w:rsidRPr="006E0372">
        <w:rPr>
          <w:rFonts w:ascii="Arial" w:hAnsi="Arial" w:cs="Arial"/>
          <w:i/>
        </w:rPr>
        <w:t xml:space="preserve"> </w:t>
      </w:r>
      <w:proofErr w:type="spellStart"/>
      <w:r w:rsidRPr="006E0372">
        <w:rPr>
          <w:rFonts w:ascii="Arial" w:hAnsi="Arial" w:cs="Arial"/>
          <w:i/>
        </w:rPr>
        <w:t>olitorius</w:t>
      </w:r>
      <w:proofErr w:type="spellEnd"/>
      <w:r w:rsidRPr="006E0372">
        <w:rPr>
          <w:rFonts w:ascii="Arial" w:hAnsi="Arial" w:cs="Arial"/>
          <w:i/>
        </w:rPr>
        <w:t xml:space="preserve"> L.</w:t>
      </w:r>
      <w:r w:rsidRPr="006E0372">
        <w:rPr>
          <w:rFonts w:ascii="Arial" w:hAnsi="Arial" w:cs="Arial"/>
        </w:rPr>
        <w:t xml:space="preserve"> leaf, as utilized by the </w:t>
      </w:r>
      <w:proofErr w:type="spellStart"/>
      <w:r w:rsidRPr="006E0372">
        <w:rPr>
          <w:rFonts w:ascii="Arial" w:hAnsi="Arial" w:cs="Arial"/>
        </w:rPr>
        <w:t>Tigwahanon</w:t>
      </w:r>
      <w:proofErr w:type="spellEnd"/>
      <w:r w:rsidRPr="006E0372">
        <w:rPr>
          <w:rFonts w:ascii="Arial" w:hAnsi="Arial" w:cs="Arial"/>
        </w:rPr>
        <w:t xml:space="preserve"> tribe in San Fernando, Bukidnon. This investigation documented the high-consensus traditional uses, most notably the 100% validation for diabetes and 90% for arthritis, simultaneously confirming the presence of five major bioactive classes: Alkaloids, Tannins, Saponins, Terpenoids, and Flavonoids. This direct scientific correlation linking the highest consensus claims to compounds with established anti-hyperglycemic, anti-inflammatory, and cardioprotective activities not only functions as a critical intervention for cultural heritage preservation but also provides the requisite scientific justification for the plant's long-standing efficacy. The </w:t>
      </w:r>
      <w:r w:rsidRPr="006E0372">
        <w:rPr>
          <w:rFonts w:ascii="Arial" w:hAnsi="Arial" w:cs="Arial"/>
          <w:i/>
        </w:rPr>
        <w:t xml:space="preserve">C. </w:t>
      </w:r>
      <w:proofErr w:type="spellStart"/>
      <w:proofErr w:type="gramStart"/>
      <w:r w:rsidRPr="006E0372">
        <w:rPr>
          <w:rFonts w:ascii="Arial" w:hAnsi="Arial" w:cs="Arial"/>
          <w:i/>
        </w:rPr>
        <w:t>olitorius</w:t>
      </w:r>
      <w:proofErr w:type="spellEnd"/>
      <w:r w:rsidRPr="006E0372">
        <w:rPr>
          <w:rFonts w:ascii="Arial" w:hAnsi="Arial" w:cs="Arial"/>
          <w:i/>
        </w:rPr>
        <w:t xml:space="preserve"> </w:t>
      </w:r>
      <w:r>
        <w:rPr>
          <w:rFonts w:ascii="Arial" w:hAnsi="Arial" w:cs="Arial"/>
        </w:rPr>
        <w:t xml:space="preserve"> </w:t>
      </w:r>
      <w:r w:rsidRPr="006E0372">
        <w:rPr>
          <w:rFonts w:ascii="Arial" w:hAnsi="Arial" w:cs="Arial"/>
        </w:rPr>
        <w:t>from</w:t>
      </w:r>
      <w:proofErr w:type="gramEnd"/>
      <w:r w:rsidRPr="006E0372">
        <w:rPr>
          <w:rFonts w:ascii="Arial" w:hAnsi="Arial" w:cs="Arial"/>
        </w:rPr>
        <w:t xml:space="preserve"> this specific locale should be rigorously prioritized for bioactivity-guided isolation of lead compounds to develop standardized, evidence-based phytomedicines, thereby realizing the equitable benefit sharing of this valuable indigenous resource.</w:t>
      </w:r>
    </w:p>
    <w:p w14:paraId="23FF736D" w14:textId="77777777" w:rsidR="0014441F" w:rsidRPr="00786D36" w:rsidRDefault="0014441F" w:rsidP="0014441F">
      <w:pPr>
        <w:pStyle w:val="ReferHead"/>
        <w:spacing w:after="0"/>
        <w:jc w:val="both"/>
        <w:rPr>
          <w:rFonts w:ascii="Arial" w:hAnsi="Arial" w:cs="Arial"/>
          <w:bCs/>
        </w:rPr>
      </w:pPr>
      <w:r>
        <w:rPr>
          <w:rFonts w:ascii="Arial" w:hAnsi="Arial" w:cs="Arial"/>
          <w:bCs/>
        </w:rPr>
        <w:lastRenderedPageBreak/>
        <w:t>disclaimer (artificial intelligence)</w:t>
      </w:r>
    </w:p>
    <w:p w14:paraId="19FBD53F" w14:textId="77777777" w:rsidR="0014441F" w:rsidRDefault="0014441F" w:rsidP="00441B6F">
      <w:pPr>
        <w:pStyle w:val="ReferHead"/>
        <w:spacing w:after="0"/>
        <w:jc w:val="both"/>
        <w:rPr>
          <w:rFonts w:ascii="Arial" w:hAnsi="Arial" w:cs="Arial"/>
          <w:bCs/>
        </w:rPr>
      </w:pPr>
    </w:p>
    <w:p w14:paraId="6D3091A6" w14:textId="77777777" w:rsidR="0014441F" w:rsidRPr="0014441F" w:rsidRDefault="00980B0B" w:rsidP="00441B6F">
      <w:pPr>
        <w:pStyle w:val="ReferHead"/>
        <w:spacing w:after="0"/>
        <w:jc w:val="both"/>
        <w:rPr>
          <w:rFonts w:ascii="Arial" w:hAnsi="Arial" w:cs="Arial"/>
          <w:b w:val="0"/>
          <w:bCs/>
          <w:sz w:val="20"/>
        </w:rPr>
      </w:pPr>
      <w:r>
        <w:rPr>
          <w:rFonts w:ascii="Arial" w:hAnsi="Arial" w:cs="Arial"/>
          <w:b w:val="0"/>
          <w:bCs/>
          <w:caps w:val="0"/>
          <w:sz w:val="20"/>
        </w:rPr>
        <w:t>Authors  hereby  d</w:t>
      </w:r>
      <w:r w:rsidR="0014441F" w:rsidRPr="0014441F">
        <w:rPr>
          <w:rFonts w:ascii="Arial" w:hAnsi="Arial" w:cs="Arial"/>
          <w:b w:val="0"/>
          <w:bCs/>
          <w:caps w:val="0"/>
          <w:sz w:val="20"/>
        </w:rPr>
        <w:t xml:space="preserve">eclare </w:t>
      </w:r>
      <w:r>
        <w:rPr>
          <w:rFonts w:ascii="Arial" w:hAnsi="Arial" w:cs="Arial"/>
          <w:b w:val="0"/>
          <w:bCs/>
          <w:caps w:val="0"/>
          <w:sz w:val="20"/>
        </w:rPr>
        <w:t>that  no  g</w:t>
      </w:r>
      <w:r w:rsidR="0014441F">
        <w:rPr>
          <w:rFonts w:ascii="Arial" w:hAnsi="Arial" w:cs="Arial"/>
          <w:b w:val="0"/>
          <w:bCs/>
          <w:caps w:val="0"/>
          <w:sz w:val="20"/>
        </w:rPr>
        <w:t>enerative  AI</w:t>
      </w:r>
      <w:r>
        <w:rPr>
          <w:rFonts w:ascii="Arial" w:hAnsi="Arial" w:cs="Arial"/>
          <w:b w:val="0"/>
          <w:bCs/>
          <w:caps w:val="0"/>
          <w:sz w:val="20"/>
        </w:rPr>
        <w:t xml:space="preserve"> technologies  such  as  l</w:t>
      </w:r>
      <w:r w:rsidR="0014441F" w:rsidRPr="0014441F">
        <w:rPr>
          <w:rFonts w:ascii="Arial" w:hAnsi="Arial" w:cs="Arial"/>
          <w:b w:val="0"/>
          <w:bCs/>
          <w:caps w:val="0"/>
          <w:sz w:val="20"/>
        </w:rPr>
        <w:t xml:space="preserve">arge  </w:t>
      </w:r>
      <w:r>
        <w:rPr>
          <w:rFonts w:ascii="Arial" w:hAnsi="Arial" w:cs="Arial"/>
          <w:b w:val="0"/>
          <w:bCs/>
          <w:caps w:val="0"/>
          <w:sz w:val="20"/>
        </w:rPr>
        <w:t>language  m</w:t>
      </w:r>
      <w:r w:rsidR="0014441F" w:rsidRPr="0014441F">
        <w:rPr>
          <w:rFonts w:ascii="Arial" w:hAnsi="Arial" w:cs="Arial"/>
          <w:b w:val="0"/>
          <w:bCs/>
          <w:caps w:val="0"/>
          <w:sz w:val="20"/>
        </w:rPr>
        <w:t xml:space="preserve">odels (CHATGPT,   COPILOT,   </w:t>
      </w:r>
      <w:proofErr w:type="spellStart"/>
      <w:r>
        <w:rPr>
          <w:rFonts w:ascii="Arial" w:hAnsi="Arial" w:cs="Arial"/>
          <w:b w:val="0"/>
          <w:bCs/>
          <w:caps w:val="0"/>
          <w:sz w:val="20"/>
        </w:rPr>
        <w:t>Etc</w:t>
      </w:r>
      <w:proofErr w:type="spellEnd"/>
      <w:r>
        <w:rPr>
          <w:rFonts w:ascii="Arial" w:hAnsi="Arial" w:cs="Arial"/>
          <w:b w:val="0"/>
          <w:bCs/>
          <w:caps w:val="0"/>
          <w:sz w:val="20"/>
        </w:rPr>
        <w:t>)   and   text-to-image generators  have  been  used  during  writing  or editing of this m</w:t>
      </w:r>
      <w:r w:rsidR="0014441F" w:rsidRPr="0014441F">
        <w:rPr>
          <w:rFonts w:ascii="Arial" w:hAnsi="Arial" w:cs="Arial"/>
          <w:b w:val="0"/>
          <w:bCs/>
          <w:caps w:val="0"/>
          <w:sz w:val="20"/>
        </w:rPr>
        <w:t>anuscript.</w:t>
      </w:r>
    </w:p>
    <w:p w14:paraId="7B507D3F" w14:textId="77777777" w:rsidR="0014441F" w:rsidRDefault="0014441F" w:rsidP="00441B6F">
      <w:pPr>
        <w:pStyle w:val="ReferHead"/>
        <w:spacing w:after="0"/>
        <w:jc w:val="both"/>
        <w:rPr>
          <w:rFonts w:ascii="Arial" w:hAnsi="Arial" w:cs="Arial"/>
          <w:bCs/>
        </w:rPr>
      </w:pPr>
    </w:p>
    <w:p w14:paraId="59E1C21C"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44E09F7D" w14:textId="77777777" w:rsidR="00860000" w:rsidRPr="00786D36" w:rsidRDefault="00860000" w:rsidP="00441B6F">
      <w:pPr>
        <w:pStyle w:val="ReferHead"/>
        <w:spacing w:after="0"/>
        <w:jc w:val="both"/>
        <w:rPr>
          <w:rFonts w:ascii="Arial" w:hAnsi="Arial" w:cs="Arial"/>
        </w:rPr>
      </w:pPr>
    </w:p>
    <w:p w14:paraId="785346CA" w14:textId="77777777" w:rsidR="00371FB6" w:rsidRDefault="006E0372" w:rsidP="00441B6F">
      <w:pPr>
        <w:pStyle w:val="ReferHead"/>
        <w:spacing w:after="0"/>
        <w:jc w:val="both"/>
        <w:rPr>
          <w:rFonts w:ascii="Arial" w:hAnsi="Arial" w:cs="Arial"/>
          <w:b w:val="0"/>
          <w:caps w:val="0"/>
          <w:sz w:val="20"/>
        </w:rPr>
      </w:pPr>
      <w:r w:rsidRPr="006E0372">
        <w:rPr>
          <w:rFonts w:ascii="Arial" w:hAnsi="Arial" w:cs="Arial"/>
          <w:b w:val="0"/>
          <w:caps w:val="0"/>
          <w:sz w:val="20"/>
        </w:rPr>
        <w:t>Authors  have  declared  that  they  have  no  known competing   financial   interests or non-financial interests or</w:t>
      </w:r>
      <w:r>
        <w:rPr>
          <w:rFonts w:ascii="Arial" w:hAnsi="Arial" w:cs="Arial"/>
          <w:b w:val="0"/>
          <w:caps w:val="0"/>
          <w:sz w:val="20"/>
        </w:rPr>
        <w:t xml:space="preserve"> </w:t>
      </w:r>
      <w:r w:rsidRPr="006E0372">
        <w:rPr>
          <w:rFonts w:ascii="Arial" w:hAnsi="Arial" w:cs="Arial"/>
          <w:b w:val="0"/>
          <w:caps w:val="0"/>
          <w:sz w:val="20"/>
        </w:rPr>
        <w:t>personal   relationships   that   could have  appeared  to  influence  the  work  reported  in this paper.</w:t>
      </w:r>
    </w:p>
    <w:p w14:paraId="2DCF9F0E" w14:textId="77777777" w:rsidR="006E0372" w:rsidRDefault="006E0372" w:rsidP="00441B6F">
      <w:pPr>
        <w:pStyle w:val="ReferHead"/>
        <w:spacing w:after="0"/>
        <w:jc w:val="both"/>
        <w:rPr>
          <w:rFonts w:ascii="Arial" w:hAnsi="Arial" w:cs="Arial"/>
          <w:b w:val="0"/>
          <w:caps w:val="0"/>
          <w:sz w:val="20"/>
        </w:rPr>
      </w:pPr>
    </w:p>
    <w:p w14:paraId="510D1342" w14:textId="77777777" w:rsidR="00860000" w:rsidRDefault="00860000" w:rsidP="00441B6F">
      <w:pPr>
        <w:pStyle w:val="ReferHead"/>
        <w:spacing w:after="0"/>
        <w:jc w:val="both"/>
        <w:rPr>
          <w:rFonts w:ascii="Arial" w:hAnsi="Arial" w:cs="Arial"/>
        </w:rPr>
      </w:pPr>
    </w:p>
    <w:p w14:paraId="7DA89A0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829CA38" w14:textId="77777777" w:rsidR="00790ADA" w:rsidRPr="00FB3A86" w:rsidRDefault="00790ADA" w:rsidP="00441B6F">
      <w:pPr>
        <w:pStyle w:val="ReferHead"/>
        <w:spacing w:after="0"/>
        <w:jc w:val="both"/>
        <w:rPr>
          <w:rFonts w:ascii="Arial" w:hAnsi="Arial" w:cs="Arial"/>
        </w:rPr>
      </w:pPr>
    </w:p>
    <w:p w14:paraId="7BF7EBD9" w14:textId="77777777" w:rsidR="009D6D7E" w:rsidRDefault="009D6D7E" w:rsidP="00C56BFC">
      <w:pPr>
        <w:pStyle w:val="Body"/>
      </w:pPr>
      <w:r w:rsidRPr="009D6D7E">
        <w:t>Abdel-</w:t>
      </w:r>
      <w:proofErr w:type="spellStart"/>
      <w:r w:rsidRPr="009D6D7E">
        <w:t>Razek</w:t>
      </w:r>
      <w:proofErr w:type="spellEnd"/>
      <w:r w:rsidRPr="009D6D7E">
        <w:t xml:space="preserve">, M. A. M., </w:t>
      </w:r>
      <w:proofErr w:type="spellStart"/>
      <w:r w:rsidRPr="009D6D7E">
        <w:t>Abdelwahab</w:t>
      </w:r>
      <w:proofErr w:type="spellEnd"/>
      <w:r w:rsidRPr="009D6D7E">
        <w:t xml:space="preserve">, M. F., </w:t>
      </w:r>
      <w:proofErr w:type="spellStart"/>
      <w:r w:rsidRPr="009D6D7E">
        <w:t>Abdelmohsen</w:t>
      </w:r>
      <w:proofErr w:type="spellEnd"/>
      <w:r w:rsidRPr="009D6D7E">
        <w:t xml:space="preserve">, U. R., &amp; Hamed, A. N. E. (2022). Pharmacological and phytochemical biodiversity of </w:t>
      </w:r>
      <w:proofErr w:type="spellStart"/>
      <w:r w:rsidRPr="009D6D7E">
        <w:t>Corchorus</w:t>
      </w:r>
      <w:proofErr w:type="spellEnd"/>
      <w:r w:rsidRPr="009D6D7E">
        <w:t xml:space="preserve"> </w:t>
      </w:r>
      <w:proofErr w:type="spellStart"/>
      <w:r w:rsidRPr="009D6D7E">
        <w:t>olitorius</w:t>
      </w:r>
      <w:proofErr w:type="spellEnd"/>
      <w:r w:rsidRPr="009D6D7E">
        <w:t xml:space="preserve">. RSC advances, 12(54), 35103-35114. </w:t>
      </w:r>
      <w:hyperlink r:id="rId15" w:history="1">
        <w:r w:rsidRPr="00CF1A7E">
          <w:rPr>
            <w:rStyle w:val="Hyperlink"/>
          </w:rPr>
          <w:t>https://doi.org/10.1039/d2ra07406k</w:t>
        </w:r>
      </w:hyperlink>
      <w:r>
        <w:t xml:space="preserve"> </w:t>
      </w:r>
    </w:p>
    <w:p w14:paraId="54975E39" w14:textId="6B1411B3" w:rsidR="00C56BFC" w:rsidRDefault="00C56BFC" w:rsidP="00C56BFC">
      <w:pPr>
        <w:pStyle w:val="Body"/>
      </w:pPr>
      <w:r>
        <w:t xml:space="preserve">Badri, S., &amp; Basu, V. R. (2019). A review on pharmacological activities of alkaloids. </w:t>
      </w:r>
      <w:r w:rsidRPr="00C56BFC">
        <w:rPr>
          <w:i/>
        </w:rPr>
        <w:t>World Journal of Current Medical and Pharmaceutical Research</w:t>
      </w:r>
      <w:r>
        <w:t>, 230-234.</w:t>
      </w:r>
    </w:p>
    <w:p w14:paraId="05F28848" w14:textId="77777777" w:rsidR="009D6D7E" w:rsidRDefault="009D6D7E" w:rsidP="00C56BFC">
      <w:pPr>
        <w:pStyle w:val="Body"/>
      </w:pPr>
      <w:proofErr w:type="spellStart"/>
      <w:r w:rsidRPr="009D6D7E">
        <w:t>Bribi</w:t>
      </w:r>
      <w:proofErr w:type="spellEnd"/>
      <w:r w:rsidRPr="009D6D7E">
        <w:t xml:space="preserve">, N. (2018). Pharmacological activity of alkaloids: a review. Asian Journal of Botany, 1(1), 1-6. </w:t>
      </w:r>
      <w:hyperlink r:id="rId16" w:history="1">
        <w:r w:rsidRPr="00CF1A7E">
          <w:rPr>
            <w:rStyle w:val="Hyperlink"/>
          </w:rPr>
          <w:t>https://doi.org/10.63019/ajb.v1i2.467</w:t>
        </w:r>
      </w:hyperlink>
      <w:r>
        <w:t xml:space="preserve"> </w:t>
      </w:r>
    </w:p>
    <w:p w14:paraId="03F79CD9" w14:textId="77777777" w:rsidR="009D6D7E" w:rsidRDefault="009D6D7E" w:rsidP="00C56BFC">
      <w:pPr>
        <w:pStyle w:val="Body"/>
      </w:pPr>
      <w:r w:rsidRPr="009D6D7E">
        <w:t>Del Prado-</w:t>
      </w:r>
      <w:proofErr w:type="spellStart"/>
      <w:r w:rsidRPr="009D6D7E">
        <w:t>Audelo</w:t>
      </w:r>
      <w:proofErr w:type="spellEnd"/>
      <w:r w:rsidRPr="009D6D7E">
        <w:t>, M. L., Cortés, H., Caballero-</w:t>
      </w:r>
      <w:proofErr w:type="spellStart"/>
      <w:r w:rsidRPr="009D6D7E">
        <w:t>Florán</w:t>
      </w:r>
      <w:proofErr w:type="spellEnd"/>
      <w:r w:rsidRPr="009D6D7E">
        <w:t xml:space="preserve">, I. H., González-Torres, M., </w:t>
      </w:r>
      <w:proofErr w:type="spellStart"/>
      <w:r w:rsidRPr="009D6D7E">
        <w:t>Escutia-Guadarrama</w:t>
      </w:r>
      <w:proofErr w:type="spellEnd"/>
      <w:r w:rsidRPr="009D6D7E">
        <w:t xml:space="preserve">, L., Bernal-Chávez, S. A., </w:t>
      </w:r>
      <w:proofErr w:type="spellStart"/>
      <w:r w:rsidRPr="009D6D7E">
        <w:t>Giraldo</w:t>
      </w:r>
      <w:proofErr w:type="spellEnd"/>
      <w:r w:rsidRPr="009D6D7E">
        <w:t xml:space="preserve">-Gomez, D. M., </w:t>
      </w:r>
      <w:proofErr w:type="spellStart"/>
      <w:r w:rsidRPr="009D6D7E">
        <w:t>Magaña</w:t>
      </w:r>
      <w:proofErr w:type="spellEnd"/>
      <w:r w:rsidRPr="009D6D7E">
        <w:t xml:space="preserve">, J. J., &amp; Leyva-Gómez, G. (2021). Therapeutic applications of terpenes on inflammatory diseases. Frontiers in Pharmacology, 12, 704197. </w:t>
      </w:r>
      <w:hyperlink r:id="rId17" w:history="1">
        <w:r w:rsidRPr="00CF1A7E">
          <w:rPr>
            <w:rStyle w:val="Hyperlink"/>
          </w:rPr>
          <w:t>https://doi.org/10.3389/fphar.2021.704197</w:t>
        </w:r>
      </w:hyperlink>
      <w:r>
        <w:t xml:space="preserve"> </w:t>
      </w:r>
    </w:p>
    <w:p w14:paraId="5DD98E58" w14:textId="77777777" w:rsidR="009D6D7E" w:rsidRDefault="009D6D7E" w:rsidP="00C56BFC">
      <w:pPr>
        <w:pStyle w:val="Body"/>
      </w:pPr>
      <w:proofErr w:type="spellStart"/>
      <w:r w:rsidRPr="009D6D7E">
        <w:t>Hassanpour</w:t>
      </w:r>
      <w:proofErr w:type="spellEnd"/>
      <w:r w:rsidRPr="009D6D7E">
        <w:t xml:space="preserve">, S. H., &amp; </w:t>
      </w:r>
      <w:proofErr w:type="spellStart"/>
      <w:r w:rsidRPr="009D6D7E">
        <w:t>Doroudi</w:t>
      </w:r>
      <w:proofErr w:type="spellEnd"/>
      <w:r w:rsidRPr="009D6D7E">
        <w:t xml:space="preserve">, A. (2023). Review of the antioxidant potential of flavonoids as a subgroup of polyphenols and partial substitute for synthetic antioxidants. Avicenna journal of phytomedicine, 13(4), 354-376. </w:t>
      </w:r>
      <w:hyperlink r:id="rId18" w:history="1">
        <w:r w:rsidRPr="00CF1A7E">
          <w:rPr>
            <w:rStyle w:val="Hyperlink"/>
          </w:rPr>
          <w:t>https://doi.org/10.22038/ajp.2023.21774</w:t>
        </w:r>
      </w:hyperlink>
      <w:r>
        <w:t xml:space="preserve"> </w:t>
      </w:r>
    </w:p>
    <w:p w14:paraId="56C86AFF" w14:textId="77777777" w:rsidR="009D6D7E" w:rsidRDefault="009D6D7E" w:rsidP="00C56BFC">
      <w:pPr>
        <w:pStyle w:val="Body"/>
      </w:pPr>
      <w:proofErr w:type="spellStart"/>
      <w:r w:rsidRPr="009D6D7E">
        <w:t>Kováč</w:t>
      </w:r>
      <w:proofErr w:type="spellEnd"/>
      <w:r w:rsidRPr="009D6D7E">
        <w:t xml:space="preserve">, J., </w:t>
      </w:r>
      <w:proofErr w:type="spellStart"/>
      <w:r w:rsidRPr="009D6D7E">
        <w:t>Slobodníková</w:t>
      </w:r>
      <w:proofErr w:type="spellEnd"/>
      <w:r w:rsidRPr="009D6D7E">
        <w:t xml:space="preserve">, L., </w:t>
      </w:r>
      <w:proofErr w:type="spellStart"/>
      <w:r w:rsidRPr="009D6D7E">
        <w:t>Trajčíková</w:t>
      </w:r>
      <w:proofErr w:type="spellEnd"/>
      <w:r w:rsidRPr="009D6D7E">
        <w:t xml:space="preserve">, E., </w:t>
      </w:r>
      <w:proofErr w:type="spellStart"/>
      <w:r w:rsidRPr="009D6D7E">
        <w:t>Rendeková</w:t>
      </w:r>
      <w:proofErr w:type="spellEnd"/>
      <w:r w:rsidRPr="009D6D7E">
        <w:t xml:space="preserve">, K., </w:t>
      </w:r>
      <w:proofErr w:type="spellStart"/>
      <w:r w:rsidRPr="009D6D7E">
        <w:t>Mučaji</w:t>
      </w:r>
      <w:proofErr w:type="spellEnd"/>
      <w:r w:rsidRPr="009D6D7E">
        <w:t xml:space="preserve">, P., </w:t>
      </w:r>
      <w:proofErr w:type="spellStart"/>
      <w:r w:rsidRPr="009D6D7E">
        <w:t>Sychrová</w:t>
      </w:r>
      <w:proofErr w:type="spellEnd"/>
      <w:r w:rsidRPr="009D6D7E">
        <w:t xml:space="preserve">, A., &amp; Bittner </w:t>
      </w:r>
      <w:proofErr w:type="spellStart"/>
      <w:r w:rsidRPr="009D6D7E">
        <w:t>Fialová</w:t>
      </w:r>
      <w:proofErr w:type="spellEnd"/>
      <w:r w:rsidRPr="009D6D7E">
        <w:t xml:space="preserve">, S. (2022). Therapeutic potential of flavonoids and tannins in management of oral infectious diseases—a review. Molecules, 28(1), 158. </w:t>
      </w:r>
      <w:hyperlink r:id="rId19" w:history="1">
        <w:r w:rsidRPr="00CF1A7E">
          <w:rPr>
            <w:rStyle w:val="Hyperlink"/>
          </w:rPr>
          <w:t>https://doi.org/10.3390/molecules28010158</w:t>
        </w:r>
      </w:hyperlink>
      <w:r>
        <w:t xml:space="preserve"> </w:t>
      </w:r>
    </w:p>
    <w:p w14:paraId="765482FC" w14:textId="77777777" w:rsidR="009D6D7E" w:rsidRDefault="009D6D7E" w:rsidP="00C56BFC">
      <w:pPr>
        <w:pStyle w:val="Body"/>
      </w:pPr>
      <w:r w:rsidRPr="009D6D7E">
        <w:t xml:space="preserve">Lee, K., Park, J. H., Lee, D. H., Jo, S. M., Park, Y., &amp; Kang, T. J. (2023). </w:t>
      </w:r>
      <w:proofErr w:type="spellStart"/>
      <w:r w:rsidRPr="009D6D7E">
        <w:t>Corchorus</w:t>
      </w:r>
      <w:proofErr w:type="spellEnd"/>
      <w:r w:rsidRPr="009D6D7E">
        <w:t xml:space="preserve"> </w:t>
      </w:r>
      <w:proofErr w:type="spellStart"/>
      <w:r w:rsidRPr="009D6D7E">
        <w:t>olitorius</w:t>
      </w:r>
      <w:proofErr w:type="spellEnd"/>
      <w:r w:rsidRPr="009D6D7E">
        <w:t xml:space="preserve"> </w:t>
      </w:r>
      <w:proofErr w:type="spellStart"/>
      <w:r w:rsidRPr="009D6D7E">
        <w:t>Ethanolic</w:t>
      </w:r>
      <w:proofErr w:type="spellEnd"/>
      <w:r w:rsidRPr="009D6D7E">
        <w:t xml:space="preserve"> Extract has Anti-inflammatory and Wound Healing Effects in vitro. Natural Product Sciences, 29(4), 291-296. </w:t>
      </w:r>
      <w:hyperlink r:id="rId20" w:history="1">
        <w:r w:rsidRPr="00CF1A7E">
          <w:rPr>
            <w:rStyle w:val="Hyperlink"/>
          </w:rPr>
          <w:t>https://doi.org/10.20307/nps.2023.29.4.291</w:t>
        </w:r>
      </w:hyperlink>
      <w:r>
        <w:t xml:space="preserve"> </w:t>
      </w:r>
    </w:p>
    <w:p w14:paraId="04B1661E" w14:textId="77777777" w:rsidR="009D6D7E" w:rsidRDefault="009D6D7E" w:rsidP="00C56BFC">
      <w:pPr>
        <w:pStyle w:val="Body"/>
      </w:pPr>
      <w:r w:rsidRPr="009D6D7E">
        <w:t xml:space="preserve">Li, N., Wu, X., Yin, Q., Dong, Z., Zheng, L., Qian, Y., Sun, Y., Chen, Z., &amp; </w:t>
      </w:r>
      <w:proofErr w:type="spellStart"/>
      <w:r w:rsidRPr="009D6D7E">
        <w:t>Zhai</w:t>
      </w:r>
      <w:proofErr w:type="spellEnd"/>
      <w:r w:rsidRPr="009D6D7E">
        <w:t xml:space="preserve">, K. (2024). Extraction, identification, and antioxidant activity of flavonoids from </w:t>
      </w:r>
      <w:proofErr w:type="spellStart"/>
      <w:r w:rsidRPr="009D6D7E">
        <w:t>hylotelephium</w:t>
      </w:r>
      <w:proofErr w:type="spellEnd"/>
      <w:r w:rsidRPr="009D6D7E">
        <w:t xml:space="preserve"> </w:t>
      </w:r>
      <w:proofErr w:type="spellStart"/>
      <w:r w:rsidRPr="009D6D7E">
        <w:t>spectabile</w:t>
      </w:r>
      <w:proofErr w:type="spellEnd"/>
      <w:r w:rsidRPr="009D6D7E">
        <w:t xml:space="preserve"> (</w:t>
      </w:r>
      <w:proofErr w:type="spellStart"/>
      <w:r w:rsidRPr="009D6D7E">
        <w:t>Boreau</w:t>
      </w:r>
      <w:proofErr w:type="spellEnd"/>
      <w:r w:rsidRPr="009D6D7E">
        <w:t xml:space="preserve">) H. </w:t>
      </w:r>
      <w:proofErr w:type="spellStart"/>
      <w:r w:rsidRPr="009D6D7E">
        <w:t>Ohba</w:t>
      </w:r>
      <w:proofErr w:type="spellEnd"/>
      <w:r w:rsidRPr="009D6D7E">
        <w:t xml:space="preserve">. Foods, 13(17), 2652. </w:t>
      </w:r>
      <w:hyperlink r:id="rId21" w:history="1">
        <w:r w:rsidRPr="00CF1A7E">
          <w:rPr>
            <w:rStyle w:val="Hyperlink"/>
          </w:rPr>
          <w:t>https://doi.org/10.3390/foods13172652</w:t>
        </w:r>
      </w:hyperlink>
      <w:r>
        <w:t xml:space="preserve"> </w:t>
      </w:r>
    </w:p>
    <w:p w14:paraId="4FA9B597" w14:textId="77777777" w:rsidR="009D6D7E" w:rsidRDefault="009D6D7E" w:rsidP="00C56BFC">
      <w:pPr>
        <w:pStyle w:val="Body"/>
      </w:pPr>
      <w:proofErr w:type="spellStart"/>
      <w:r w:rsidRPr="009D6D7E">
        <w:t>Maisetta</w:t>
      </w:r>
      <w:proofErr w:type="spellEnd"/>
      <w:r w:rsidRPr="009D6D7E">
        <w:t xml:space="preserve">, G., </w:t>
      </w:r>
      <w:proofErr w:type="spellStart"/>
      <w:r w:rsidRPr="009D6D7E">
        <w:t>Batoni</w:t>
      </w:r>
      <w:proofErr w:type="spellEnd"/>
      <w:r w:rsidRPr="009D6D7E">
        <w:t xml:space="preserve">, G., </w:t>
      </w:r>
      <w:proofErr w:type="spellStart"/>
      <w:r w:rsidRPr="009D6D7E">
        <w:t>Caboni</w:t>
      </w:r>
      <w:proofErr w:type="spellEnd"/>
      <w:r w:rsidRPr="009D6D7E">
        <w:t xml:space="preserve">, P., </w:t>
      </w:r>
      <w:proofErr w:type="spellStart"/>
      <w:r w:rsidRPr="009D6D7E">
        <w:t>Esin</w:t>
      </w:r>
      <w:proofErr w:type="spellEnd"/>
      <w:r w:rsidRPr="009D6D7E">
        <w:t xml:space="preserve">, S., Rinaldi, A. C., &amp; </w:t>
      </w:r>
      <w:proofErr w:type="spellStart"/>
      <w:r w:rsidRPr="009D6D7E">
        <w:t>Zucca</w:t>
      </w:r>
      <w:proofErr w:type="spellEnd"/>
      <w:r w:rsidRPr="009D6D7E">
        <w:t xml:space="preserve">, P. (2019). Tannin profile, antioxidant properties, and antimicrobial activity of extracts from two Mediterranean species of parasitic plant </w:t>
      </w:r>
      <w:proofErr w:type="spellStart"/>
      <w:r w:rsidRPr="009D6D7E">
        <w:t>Cytinus</w:t>
      </w:r>
      <w:proofErr w:type="spellEnd"/>
      <w:r w:rsidRPr="009D6D7E">
        <w:t xml:space="preserve">. BMC complementary and alternative medicine, 19(1), 82. </w:t>
      </w:r>
      <w:hyperlink r:id="rId22" w:history="1">
        <w:r w:rsidRPr="00CF1A7E">
          <w:rPr>
            <w:rStyle w:val="Hyperlink"/>
          </w:rPr>
          <w:t>https://doi.org/10.1186/s12906-019-2487-7</w:t>
        </w:r>
      </w:hyperlink>
      <w:r>
        <w:t xml:space="preserve"> </w:t>
      </w:r>
    </w:p>
    <w:p w14:paraId="7A4A2FAA" w14:textId="77777777" w:rsidR="009D6D7E" w:rsidRDefault="009D6D7E" w:rsidP="00C56BFC">
      <w:pPr>
        <w:pStyle w:val="Body"/>
      </w:pPr>
      <w:proofErr w:type="spellStart"/>
      <w:r w:rsidRPr="009D6D7E">
        <w:lastRenderedPageBreak/>
        <w:t>Marrelli</w:t>
      </w:r>
      <w:proofErr w:type="spellEnd"/>
      <w:r w:rsidRPr="009D6D7E">
        <w:t xml:space="preserve">, M., </w:t>
      </w:r>
      <w:proofErr w:type="spellStart"/>
      <w:r w:rsidRPr="009D6D7E">
        <w:t>Conforti</w:t>
      </w:r>
      <w:proofErr w:type="spellEnd"/>
      <w:r w:rsidRPr="009D6D7E">
        <w:t xml:space="preserve">, F., </w:t>
      </w:r>
      <w:proofErr w:type="spellStart"/>
      <w:r w:rsidRPr="009D6D7E">
        <w:t>Araniti</w:t>
      </w:r>
      <w:proofErr w:type="spellEnd"/>
      <w:r w:rsidRPr="009D6D7E">
        <w:t xml:space="preserve">, F., &amp; </w:t>
      </w:r>
      <w:proofErr w:type="spellStart"/>
      <w:r w:rsidRPr="009D6D7E">
        <w:t>Statti</w:t>
      </w:r>
      <w:proofErr w:type="spellEnd"/>
      <w:r w:rsidRPr="009D6D7E">
        <w:t xml:space="preserve">, G. A. (2016). Effects of saponins on lipid metabolism: A review of potential health benefits in the treatment of obesity. Molecules, 21(10), 1404. </w:t>
      </w:r>
      <w:hyperlink r:id="rId23" w:history="1">
        <w:r w:rsidRPr="00CF1A7E">
          <w:rPr>
            <w:rStyle w:val="Hyperlink"/>
          </w:rPr>
          <w:t>https://doi.org/10.3390/molecules21101404</w:t>
        </w:r>
      </w:hyperlink>
      <w:r>
        <w:t xml:space="preserve"> </w:t>
      </w:r>
    </w:p>
    <w:p w14:paraId="62A0B7E2" w14:textId="77777777" w:rsidR="009D6D7E" w:rsidRDefault="009D6D7E" w:rsidP="00C56BFC">
      <w:pPr>
        <w:pStyle w:val="Body"/>
      </w:pPr>
      <w:proofErr w:type="spellStart"/>
      <w:r w:rsidRPr="009D6D7E">
        <w:t>Mokgalaboni</w:t>
      </w:r>
      <w:proofErr w:type="spellEnd"/>
      <w:r w:rsidRPr="009D6D7E">
        <w:t xml:space="preserve">, K., &amp; </w:t>
      </w:r>
      <w:proofErr w:type="spellStart"/>
      <w:r w:rsidRPr="009D6D7E">
        <w:t>Phoswa</w:t>
      </w:r>
      <w:proofErr w:type="spellEnd"/>
      <w:r w:rsidRPr="009D6D7E">
        <w:t xml:space="preserve">, W. N. (2023). </w:t>
      </w:r>
      <w:proofErr w:type="spellStart"/>
      <w:r w:rsidRPr="009D6D7E">
        <w:t>Corchorus</w:t>
      </w:r>
      <w:proofErr w:type="spellEnd"/>
      <w:r w:rsidRPr="009D6D7E">
        <w:t xml:space="preserve"> </w:t>
      </w:r>
      <w:proofErr w:type="spellStart"/>
      <w:r w:rsidRPr="009D6D7E">
        <w:t>olitorius</w:t>
      </w:r>
      <w:proofErr w:type="spellEnd"/>
      <w:r w:rsidRPr="009D6D7E">
        <w:t xml:space="preserve"> extract exhibit anti-hyperglycemic and anti-inflammatory properties in rodent models of obesity and diabetes mellitus. Frontiers in nutrition, 10, 1099880. </w:t>
      </w:r>
      <w:hyperlink r:id="rId24" w:history="1">
        <w:r w:rsidRPr="00CF1A7E">
          <w:rPr>
            <w:rStyle w:val="Hyperlink"/>
          </w:rPr>
          <w:t>https://doi.org/10.3389/fnut.2023.1099880</w:t>
        </w:r>
      </w:hyperlink>
      <w:r>
        <w:t xml:space="preserve"> </w:t>
      </w:r>
    </w:p>
    <w:p w14:paraId="7CE2A7A6" w14:textId="77777777" w:rsidR="009D6D7E" w:rsidRDefault="009D6D7E" w:rsidP="00C56BFC">
      <w:pPr>
        <w:pStyle w:val="Body"/>
      </w:pPr>
      <w:r w:rsidRPr="009D6D7E">
        <w:t xml:space="preserve">Nguyen, C. N. M., Nirmal, N. P., </w:t>
      </w:r>
      <w:proofErr w:type="spellStart"/>
      <w:r w:rsidRPr="009D6D7E">
        <w:t>Sultanbawa</w:t>
      </w:r>
      <w:proofErr w:type="spellEnd"/>
      <w:r w:rsidRPr="009D6D7E">
        <w:t xml:space="preserve">, Y., &amp; </w:t>
      </w:r>
      <w:proofErr w:type="spellStart"/>
      <w:r w:rsidRPr="009D6D7E">
        <w:t>Ziora</w:t>
      </w:r>
      <w:proofErr w:type="spellEnd"/>
      <w:r w:rsidRPr="009D6D7E">
        <w:t xml:space="preserve">, Z. M. (2023). Antioxidant and antibacterial activity of four tannins isolated from different sources and their effect on the shelf-life extension of vacuum-packed minced meat. Foods. </w:t>
      </w:r>
      <w:hyperlink r:id="rId25" w:history="1">
        <w:r w:rsidRPr="00CF1A7E">
          <w:rPr>
            <w:rStyle w:val="Hyperlink"/>
          </w:rPr>
          <w:t>https://doi.org/10.3390/foods12020354</w:t>
        </w:r>
      </w:hyperlink>
      <w:r>
        <w:t xml:space="preserve"> </w:t>
      </w:r>
    </w:p>
    <w:p w14:paraId="67C05B9E" w14:textId="77777777" w:rsidR="009D6D7E" w:rsidRDefault="009D6D7E" w:rsidP="00C56BFC">
      <w:pPr>
        <w:pStyle w:val="Body"/>
      </w:pPr>
      <w:proofErr w:type="spellStart"/>
      <w:r w:rsidRPr="009D6D7E">
        <w:t>Okedele</w:t>
      </w:r>
      <w:proofErr w:type="spellEnd"/>
      <w:r w:rsidRPr="009D6D7E">
        <w:t xml:space="preserve">, P. O., Aziza, O. R., Oduro, P., &amp; </w:t>
      </w:r>
      <w:proofErr w:type="spellStart"/>
      <w:r w:rsidRPr="009D6D7E">
        <w:t>Ishola</w:t>
      </w:r>
      <w:proofErr w:type="spellEnd"/>
      <w:r w:rsidRPr="009D6D7E">
        <w:t xml:space="preserve">, A. O. (2024). Integrating indigenous knowledge systems into global climate adaptation policies. International Journal </w:t>
      </w:r>
      <w:proofErr w:type="gramStart"/>
      <w:r w:rsidRPr="009D6D7E">
        <w:t>Of</w:t>
      </w:r>
      <w:proofErr w:type="gramEnd"/>
      <w:r w:rsidRPr="009D6D7E">
        <w:t xml:space="preserve"> Engineering Research And Development. </w:t>
      </w:r>
      <w:hyperlink r:id="rId26" w:history="1">
        <w:r w:rsidRPr="00CF1A7E">
          <w:rPr>
            <w:rStyle w:val="Hyperlink"/>
          </w:rPr>
          <w:t>https://www.ijerd.com/paper/vol20-issue12/2012223231.pdf</w:t>
        </w:r>
      </w:hyperlink>
      <w:r>
        <w:t xml:space="preserve"> </w:t>
      </w:r>
    </w:p>
    <w:p w14:paraId="73A7F6A9" w14:textId="4AD8F2C5" w:rsidR="009D6D7E" w:rsidRDefault="009D6D7E" w:rsidP="00C56BFC">
      <w:pPr>
        <w:pStyle w:val="Body"/>
      </w:pPr>
      <w:proofErr w:type="spellStart"/>
      <w:r w:rsidRPr="009D6D7E">
        <w:t>Orieke</w:t>
      </w:r>
      <w:proofErr w:type="spellEnd"/>
      <w:r w:rsidRPr="009D6D7E">
        <w:t xml:space="preserve">, D., </w:t>
      </w:r>
      <w:proofErr w:type="spellStart"/>
      <w:r w:rsidRPr="009D6D7E">
        <w:t>Ohaeri</w:t>
      </w:r>
      <w:proofErr w:type="spellEnd"/>
      <w:r w:rsidRPr="009D6D7E">
        <w:t xml:space="preserve">, O. C., </w:t>
      </w:r>
      <w:proofErr w:type="spellStart"/>
      <w:r w:rsidRPr="009D6D7E">
        <w:t>Ijeh</w:t>
      </w:r>
      <w:proofErr w:type="spellEnd"/>
      <w:r w:rsidRPr="009D6D7E">
        <w:t xml:space="preserve">, I. I., &amp; </w:t>
      </w:r>
      <w:proofErr w:type="spellStart"/>
      <w:r w:rsidRPr="009D6D7E">
        <w:t>Ijioma</w:t>
      </w:r>
      <w:proofErr w:type="spellEnd"/>
      <w:r w:rsidRPr="009D6D7E">
        <w:t xml:space="preserve">, S. N. (2020). Gastrointestinal and uterine smooth muscles relaxant and anti-inflammatory effects of </w:t>
      </w:r>
      <w:proofErr w:type="spellStart"/>
      <w:r w:rsidRPr="009D6D7E">
        <w:t>Corchorus</w:t>
      </w:r>
      <w:proofErr w:type="spellEnd"/>
      <w:r w:rsidRPr="009D6D7E">
        <w:t xml:space="preserve"> </w:t>
      </w:r>
      <w:proofErr w:type="spellStart"/>
      <w:r w:rsidRPr="009D6D7E">
        <w:t>olitorius</w:t>
      </w:r>
      <w:proofErr w:type="spellEnd"/>
      <w:r w:rsidRPr="009D6D7E">
        <w:t xml:space="preserve"> leaf extract in laboratory animal models. Journal of Ethnopharmacology. </w:t>
      </w:r>
      <w:hyperlink r:id="rId27" w:history="1">
        <w:r w:rsidRPr="00CF1A7E">
          <w:rPr>
            <w:rStyle w:val="Hyperlink"/>
          </w:rPr>
          <w:t>https://doi.org/10.1016/j.jep.2019.112224</w:t>
        </w:r>
      </w:hyperlink>
    </w:p>
    <w:p w14:paraId="1AE4438F" w14:textId="77777777" w:rsidR="009D6D7E" w:rsidRDefault="009D6D7E" w:rsidP="00C56BFC">
      <w:pPr>
        <w:pStyle w:val="Body"/>
      </w:pPr>
      <w:r w:rsidRPr="009D6D7E">
        <w:t xml:space="preserve">Patil, D. K., &amp; Jain, A. P. (2019). Extraction, Qualitative and Quantitative Determination of Secondary Metabolites of </w:t>
      </w:r>
      <w:proofErr w:type="spellStart"/>
      <w:r w:rsidRPr="009D6D7E">
        <w:t>Corchorus</w:t>
      </w:r>
      <w:proofErr w:type="spellEnd"/>
      <w:r w:rsidRPr="009D6D7E">
        <w:t xml:space="preserve"> </w:t>
      </w:r>
      <w:proofErr w:type="spellStart"/>
      <w:r w:rsidRPr="009D6D7E">
        <w:t>Olitorius</w:t>
      </w:r>
      <w:proofErr w:type="spellEnd"/>
      <w:r w:rsidRPr="009D6D7E">
        <w:t xml:space="preserve">. Journal of Drug Delivery and Therapeutics, 9(1-s), 252-255. </w:t>
      </w:r>
      <w:hyperlink r:id="rId28" w:history="1">
        <w:r w:rsidRPr="00CF1A7E">
          <w:rPr>
            <w:rStyle w:val="Hyperlink"/>
          </w:rPr>
          <w:t>https://doi.org/10.22270/jddt.v9i1-s.2340</w:t>
        </w:r>
      </w:hyperlink>
      <w:r>
        <w:t xml:space="preserve"> </w:t>
      </w:r>
    </w:p>
    <w:p w14:paraId="7B200A59" w14:textId="69CAD659" w:rsidR="009D6D7E" w:rsidRDefault="009D6D7E" w:rsidP="00C56BFC">
      <w:pPr>
        <w:pStyle w:val="Body"/>
      </w:pPr>
      <w:r w:rsidRPr="009D6D7E">
        <w:t xml:space="preserve">Prasad, S., &amp; </w:t>
      </w:r>
      <w:proofErr w:type="spellStart"/>
      <w:r w:rsidRPr="009D6D7E">
        <w:t>Qidwai</w:t>
      </w:r>
      <w:proofErr w:type="spellEnd"/>
      <w:r w:rsidRPr="009D6D7E">
        <w:t xml:space="preserve">, T. (2023). Angiotensin-converting enzyme inhibition properties and antioxidant effects of plants and their bioactive compounds as cardioprotective agent. Letters in Drug Design &amp; Discovery, 20(4), 457-468. </w:t>
      </w:r>
      <w:hyperlink r:id="rId29" w:history="1">
        <w:r w:rsidRPr="00CF1A7E">
          <w:rPr>
            <w:rStyle w:val="Hyperlink"/>
          </w:rPr>
          <w:t>https://doi.org/10.2174/1570180819666220513115923</w:t>
        </w:r>
      </w:hyperlink>
    </w:p>
    <w:p w14:paraId="2D9635D0" w14:textId="77777777" w:rsidR="009D6D7E" w:rsidRDefault="009D6D7E" w:rsidP="00C56BFC">
      <w:pPr>
        <w:pStyle w:val="Body"/>
        <w:spacing w:after="0"/>
      </w:pPr>
      <w:proofErr w:type="spellStart"/>
      <w:r w:rsidRPr="009D6D7E">
        <w:t>Timilsena</w:t>
      </w:r>
      <w:proofErr w:type="spellEnd"/>
      <w:r w:rsidRPr="009D6D7E">
        <w:t xml:space="preserve">, Y. P., </w:t>
      </w:r>
      <w:proofErr w:type="spellStart"/>
      <w:r w:rsidRPr="009D6D7E">
        <w:t>Phosanam</w:t>
      </w:r>
      <w:proofErr w:type="spellEnd"/>
      <w:r w:rsidRPr="009D6D7E">
        <w:t xml:space="preserve">, A., &amp; </w:t>
      </w:r>
      <w:proofErr w:type="spellStart"/>
      <w:r w:rsidRPr="009D6D7E">
        <w:t>Stockmann</w:t>
      </w:r>
      <w:proofErr w:type="spellEnd"/>
      <w:r w:rsidRPr="009D6D7E">
        <w:t xml:space="preserve">, R. (2023). Perspectives on saponins: Food functionality and applications. International Journal of Molecular Sciences, 24(17), 13538. </w:t>
      </w:r>
      <w:hyperlink r:id="rId30" w:history="1">
        <w:r w:rsidRPr="00CF1A7E">
          <w:rPr>
            <w:rStyle w:val="Hyperlink"/>
          </w:rPr>
          <w:t>https://doi.org/10.3390/ijms241713538</w:t>
        </w:r>
      </w:hyperlink>
      <w:r>
        <w:t xml:space="preserve"> </w:t>
      </w:r>
    </w:p>
    <w:p w14:paraId="5827FC98" w14:textId="77777777" w:rsidR="009D6D7E" w:rsidRDefault="009D6D7E" w:rsidP="00C56BFC">
      <w:pPr>
        <w:pStyle w:val="Body"/>
        <w:spacing w:after="0"/>
      </w:pPr>
    </w:p>
    <w:p w14:paraId="3B94B5E1" w14:textId="199738BA" w:rsidR="00441B6F" w:rsidRDefault="009D6D7E" w:rsidP="00441B6F">
      <w:pPr>
        <w:pStyle w:val="Body"/>
        <w:spacing w:after="0"/>
        <w:jc w:val="left"/>
      </w:pPr>
      <w:proofErr w:type="spellStart"/>
      <w:r w:rsidRPr="009D6D7E">
        <w:t>Yakoub</w:t>
      </w:r>
      <w:proofErr w:type="spellEnd"/>
      <w:r w:rsidRPr="009D6D7E">
        <w:t xml:space="preserve">, A. R. B., </w:t>
      </w:r>
      <w:proofErr w:type="spellStart"/>
      <w:r w:rsidRPr="009D6D7E">
        <w:t>Abdehedi</w:t>
      </w:r>
      <w:proofErr w:type="spellEnd"/>
      <w:r w:rsidRPr="009D6D7E">
        <w:t xml:space="preserve">, O., </w:t>
      </w:r>
      <w:proofErr w:type="spellStart"/>
      <w:r w:rsidRPr="009D6D7E">
        <w:t>Jridi</w:t>
      </w:r>
      <w:proofErr w:type="spellEnd"/>
      <w:r w:rsidRPr="009D6D7E">
        <w:t xml:space="preserve">, M., </w:t>
      </w:r>
      <w:proofErr w:type="spellStart"/>
      <w:r w:rsidRPr="009D6D7E">
        <w:t>Elfalleh</w:t>
      </w:r>
      <w:proofErr w:type="spellEnd"/>
      <w:r w:rsidRPr="009D6D7E">
        <w:t xml:space="preserve">, W., </w:t>
      </w:r>
      <w:proofErr w:type="spellStart"/>
      <w:r w:rsidRPr="009D6D7E">
        <w:t>Nasri</w:t>
      </w:r>
      <w:proofErr w:type="spellEnd"/>
      <w:r w:rsidRPr="009D6D7E">
        <w:t xml:space="preserve">, M., &amp; </w:t>
      </w:r>
      <w:proofErr w:type="spellStart"/>
      <w:r w:rsidRPr="009D6D7E">
        <w:t>Ferchichi</w:t>
      </w:r>
      <w:proofErr w:type="spellEnd"/>
      <w:r w:rsidRPr="009D6D7E">
        <w:t xml:space="preserve">, A. (2018). Flavonoids, phenols, antioxidant, and antimicrobial activities in various extracts from </w:t>
      </w:r>
      <w:proofErr w:type="spellStart"/>
      <w:r w:rsidRPr="009D6D7E">
        <w:t>Tossa</w:t>
      </w:r>
      <w:proofErr w:type="spellEnd"/>
      <w:r w:rsidRPr="009D6D7E">
        <w:t xml:space="preserve"> jute leave (</w:t>
      </w:r>
      <w:proofErr w:type="spellStart"/>
      <w:r w:rsidRPr="009D6D7E">
        <w:t>Corchorus</w:t>
      </w:r>
      <w:proofErr w:type="spellEnd"/>
      <w:r w:rsidRPr="009D6D7E">
        <w:t xml:space="preserve"> </w:t>
      </w:r>
      <w:proofErr w:type="spellStart"/>
      <w:r w:rsidRPr="009D6D7E">
        <w:t>olitorus</w:t>
      </w:r>
      <w:proofErr w:type="spellEnd"/>
      <w:r w:rsidRPr="009D6D7E">
        <w:t xml:space="preserve"> L.). Industrial Crops and Products, 118, 206-213. </w:t>
      </w:r>
      <w:hyperlink r:id="rId31" w:history="1">
        <w:r w:rsidRPr="00CF1A7E">
          <w:rPr>
            <w:rStyle w:val="Hyperlink"/>
          </w:rPr>
          <w:t>https://doi.org/10.1016/j.indcrop.2018.03.047</w:t>
        </w:r>
      </w:hyperlink>
      <w:r>
        <w:t xml:space="preserve"> </w:t>
      </w:r>
    </w:p>
    <w:p w14:paraId="5968080B" w14:textId="77777777" w:rsidR="009D6D7E" w:rsidRDefault="009D6D7E" w:rsidP="00441B6F">
      <w:pPr>
        <w:pStyle w:val="Body"/>
        <w:spacing w:after="0"/>
        <w:jc w:val="left"/>
        <w:rPr>
          <w:rFonts w:ascii="Arial" w:hAnsi="Arial" w:cs="Arial"/>
        </w:rPr>
      </w:pPr>
    </w:p>
    <w:p w14:paraId="531254C0" w14:textId="77777777" w:rsidR="00B01FCD" w:rsidRPr="00FB3A86" w:rsidRDefault="00B01FCD" w:rsidP="00441B6F">
      <w:pPr>
        <w:pStyle w:val="Reference"/>
        <w:numPr>
          <w:ilvl w:val="0"/>
          <w:numId w:val="0"/>
        </w:numPr>
        <w:spacing w:line="240" w:lineRule="auto"/>
        <w:rPr>
          <w:rFonts w:ascii="Arial" w:hAnsi="Arial" w:cs="Arial"/>
        </w:rPr>
      </w:pPr>
    </w:p>
    <w:p w14:paraId="014A3CB2" w14:textId="77777777" w:rsidR="00790ADA" w:rsidRPr="00FB3A86" w:rsidRDefault="00790ADA" w:rsidP="00441B6F">
      <w:pPr>
        <w:pStyle w:val="Body"/>
        <w:spacing w:after="0"/>
        <w:rPr>
          <w:rFonts w:ascii="Arial" w:hAnsi="Arial" w:cs="Arial"/>
        </w:rPr>
      </w:pPr>
    </w:p>
    <w:p w14:paraId="18071E35" w14:textId="77777777" w:rsidR="004D4277" w:rsidRPr="00FB3A86" w:rsidRDefault="004D4277" w:rsidP="00441B6F">
      <w:pPr>
        <w:pStyle w:val="Appendix"/>
        <w:spacing w:after="0"/>
        <w:jc w:val="both"/>
        <w:rPr>
          <w:rFonts w:ascii="Arial" w:hAnsi="Arial" w:cs="Arial"/>
          <w:b w:val="0"/>
        </w:rPr>
        <w:sectPr w:rsidR="004D4277" w:rsidRPr="00FB3A86" w:rsidSect="007F1E15">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pPr>
    </w:p>
    <w:p w14:paraId="641E8ACE" w14:textId="77777777" w:rsidR="00B01FCD" w:rsidRPr="00FB3A86" w:rsidRDefault="00B01FCD" w:rsidP="00441B6F">
      <w:pPr>
        <w:pStyle w:val="Appendix"/>
        <w:spacing w:after="0"/>
        <w:jc w:val="both"/>
        <w:rPr>
          <w:rFonts w:ascii="Arial" w:hAnsi="Arial" w:cs="Arial"/>
          <w:b w:val="0"/>
        </w:rPr>
      </w:pPr>
    </w:p>
    <w:sectPr w:rsidR="00B01FCD" w:rsidRPr="00FB3A86" w:rsidSect="007F1E1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2A3EEF" w14:textId="77777777" w:rsidR="00C611FD" w:rsidRDefault="00C611FD" w:rsidP="00C37E61">
      <w:r>
        <w:separator/>
      </w:r>
    </w:p>
  </w:endnote>
  <w:endnote w:type="continuationSeparator" w:id="0">
    <w:p w14:paraId="3C4ACA1A" w14:textId="77777777" w:rsidR="00C611FD" w:rsidRDefault="00C611F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ibre Caslon Tex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E5758" w14:textId="77777777" w:rsidR="007F1E15" w:rsidRDefault="007F1E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5786E" w14:textId="77777777" w:rsidR="007F1E15" w:rsidRDefault="007F1E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C6454" w14:textId="509B7F55" w:rsidR="00754C9A" w:rsidRPr="005002C4" w:rsidRDefault="00754C9A" w:rsidP="005002C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0AED3"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4923E5" w14:textId="77777777" w:rsidR="00C611FD" w:rsidRDefault="00C611FD" w:rsidP="00C37E61">
      <w:r>
        <w:separator/>
      </w:r>
    </w:p>
  </w:footnote>
  <w:footnote w:type="continuationSeparator" w:id="0">
    <w:p w14:paraId="5A00BA1B" w14:textId="77777777" w:rsidR="00C611FD" w:rsidRDefault="00C611FD"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A1643" w14:textId="358101E3" w:rsidR="007F1E15" w:rsidRDefault="00C611FD">
    <w:pPr>
      <w:pStyle w:val="Header"/>
    </w:pPr>
    <w:r>
      <w:rPr>
        <w:noProof/>
      </w:rPr>
      <w:pict w14:anchorId="3B1F2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04815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77B6E" w14:textId="6F0DCE7B" w:rsidR="007F1E15" w:rsidRDefault="00C611FD">
    <w:pPr>
      <w:pStyle w:val="Header"/>
    </w:pPr>
    <w:r>
      <w:rPr>
        <w:noProof/>
      </w:rPr>
      <w:pict w14:anchorId="4BC56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04815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24406" w14:textId="63983A38" w:rsidR="00296529" w:rsidRPr="00296529" w:rsidRDefault="00C611FD" w:rsidP="00296529">
    <w:pPr>
      <w:ind w:left="2160"/>
      <w:jc w:val="center"/>
      <w:rPr>
        <w:rFonts w:ascii="Times New Roman" w:eastAsia="Calibri" w:hAnsi="Times New Roman"/>
        <w:i/>
        <w:sz w:val="18"/>
        <w:szCs w:val="22"/>
      </w:rPr>
    </w:pPr>
    <w:r>
      <w:rPr>
        <w:noProof/>
      </w:rPr>
      <w:pict w14:anchorId="42DE4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04815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B288A0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D44CF8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3DAD18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CA4ED3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E2CB08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7D975E"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AEB14" w14:textId="72D7F67F" w:rsidR="007F1E15" w:rsidRDefault="00C611FD">
    <w:pPr>
      <w:pStyle w:val="Header"/>
    </w:pPr>
    <w:r>
      <w:rPr>
        <w:noProof/>
      </w:rPr>
      <w:pict w14:anchorId="23258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04816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98F3F" w14:textId="3850D742" w:rsidR="007F1E15" w:rsidRDefault="00C611FD">
    <w:pPr>
      <w:pStyle w:val="Header"/>
    </w:pPr>
    <w:r>
      <w:rPr>
        <w:noProof/>
      </w:rPr>
      <w:pict w14:anchorId="2438F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04816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12DE8" w14:textId="40F6DF06" w:rsidR="007F1E15" w:rsidRDefault="00C611FD">
    <w:pPr>
      <w:pStyle w:val="Header"/>
    </w:pPr>
    <w:r>
      <w:rPr>
        <w:noProof/>
      </w:rPr>
      <w:pict w14:anchorId="54544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04815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579C"/>
    <w:rsid w:val="000464FE"/>
    <w:rsid w:val="00063E9E"/>
    <w:rsid w:val="000A47FA"/>
    <w:rsid w:val="000A65D3"/>
    <w:rsid w:val="000B1E33"/>
    <w:rsid w:val="000B3A5A"/>
    <w:rsid w:val="000C6834"/>
    <w:rsid w:val="000D689F"/>
    <w:rsid w:val="000E7B7B"/>
    <w:rsid w:val="000E7D62"/>
    <w:rsid w:val="000F4622"/>
    <w:rsid w:val="0010097D"/>
    <w:rsid w:val="00101BFF"/>
    <w:rsid w:val="00103357"/>
    <w:rsid w:val="001033F1"/>
    <w:rsid w:val="00113D86"/>
    <w:rsid w:val="00123C9F"/>
    <w:rsid w:val="00126190"/>
    <w:rsid w:val="00130F17"/>
    <w:rsid w:val="001320BF"/>
    <w:rsid w:val="0014441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559A"/>
    <w:rsid w:val="00296529"/>
    <w:rsid w:val="002B27FB"/>
    <w:rsid w:val="002B685A"/>
    <w:rsid w:val="002C10B4"/>
    <w:rsid w:val="002C57D2"/>
    <w:rsid w:val="002E0D56"/>
    <w:rsid w:val="002E5452"/>
    <w:rsid w:val="00315186"/>
    <w:rsid w:val="0033343E"/>
    <w:rsid w:val="003512C2"/>
    <w:rsid w:val="00371FB6"/>
    <w:rsid w:val="003763C1"/>
    <w:rsid w:val="00376BBE"/>
    <w:rsid w:val="0039224F"/>
    <w:rsid w:val="003A43A4"/>
    <w:rsid w:val="003A7E18"/>
    <w:rsid w:val="003C0A0B"/>
    <w:rsid w:val="003C4C86"/>
    <w:rsid w:val="003C6258"/>
    <w:rsid w:val="003D4323"/>
    <w:rsid w:val="003D5775"/>
    <w:rsid w:val="003E2904"/>
    <w:rsid w:val="00401927"/>
    <w:rsid w:val="0041027F"/>
    <w:rsid w:val="00412475"/>
    <w:rsid w:val="00423789"/>
    <w:rsid w:val="0043055E"/>
    <w:rsid w:val="00436559"/>
    <w:rsid w:val="00440F43"/>
    <w:rsid w:val="00441B6F"/>
    <w:rsid w:val="00442694"/>
    <w:rsid w:val="00446221"/>
    <w:rsid w:val="00447EEA"/>
    <w:rsid w:val="00450E62"/>
    <w:rsid w:val="004539DB"/>
    <w:rsid w:val="00471A80"/>
    <w:rsid w:val="004752E9"/>
    <w:rsid w:val="00485EFB"/>
    <w:rsid w:val="004D305E"/>
    <w:rsid w:val="004D4277"/>
    <w:rsid w:val="005002C4"/>
    <w:rsid w:val="00502516"/>
    <w:rsid w:val="00505F06"/>
    <w:rsid w:val="00506828"/>
    <w:rsid w:val="0052209F"/>
    <w:rsid w:val="0053056E"/>
    <w:rsid w:val="0054789C"/>
    <w:rsid w:val="00554FDA"/>
    <w:rsid w:val="00583062"/>
    <w:rsid w:val="00594EBA"/>
    <w:rsid w:val="005A7343"/>
    <w:rsid w:val="005B0186"/>
    <w:rsid w:val="005C18A8"/>
    <w:rsid w:val="005C784C"/>
    <w:rsid w:val="005D17F6"/>
    <w:rsid w:val="005E4E6F"/>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0372"/>
    <w:rsid w:val="006F11EC"/>
    <w:rsid w:val="0070082C"/>
    <w:rsid w:val="007361DE"/>
    <w:rsid w:val="007369E6"/>
    <w:rsid w:val="00746E59"/>
    <w:rsid w:val="00754C9A"/>
    <w:rsid w:val="0075599A"/>
    <w:rsid w:val="00761D52"/>
    <w:rsid w:val="007627E9"/>
    <w:rsid w:val="0077749E"/>
    <w:rsid w:val="00790ADA"/>
    <w:rsid w:val="007C0B14"/>
    <w:rsid w:val="007D2288"/>
    <w:rsid w:val="007E088F"/>
    <w:rsid w:val="007F1E15"/>
    <w:rsid w:val="007F7B32"/>
    <w:rsid w:val="00804BC2"/>
    <w:rsid w:val="0081431A"/>
    <w:rsid w:val="00826981"/>
    <w:rsid w:val="008305BB"/>
    <w:rsid w:val="0083216F"/>
    <w:rsid w:val="0083746D"/>
    <w:rsid w:val="00841FAB"/>
    <w:rsid w:val="00860000"/>
    <w:rsid w:val="00863BD3"/>
    <w:rsid w:val="008641ED"/>
    <w:rsid w:val="00866D66"/>
    <w:rsid w:val="008671C6"/>
    <w:rsid w:val="00875803"/>
    <w:rsid w:val="008B459E"/>
    <w:rsid w:val="008B6F6D"/>
    <w:rsid w:val="008E0F7B"/>
    <w:rsid w:val="008E13AE"/>
    <w:rsid w:val="008E1506"/>
    <w:rsid w:val="008E710C"/>
    <w:rsid w:val="008F69D6"/>
    <w:rsid w:val="00902823"/>
    <w:rsid w:val="00905391"/>
    <w:rsid w:val="009148AE"/>
    <w:rsid w:val="00915CA6"/>
    <w:rsid w:val="00926B5F"/>
    <w:rsid w:val="00927834"/>
    <w:rsid w:val="009500A6"/>
    <w:rsid w:val="0095578F"/>
    <w:rsid w:val="00957C18"/>
    <w:rsid w:val="009659BA"/>
    <w:rsid w:val="00971AA9"/>
    <w:rsid w:val="00977565"/>
    <w:rsid w:val="00980B0B"/>
    <w:rsid w:val="00983040"/>
    <w:rsid w:val="00997B8D"/>
    <w:rsid w:val="009B3FB9"/>
    <w:rsid w:val="009C2465"/>
    <w:rsid w:val="009D35A0"/>
    <w:rsid w:val="009D6D7E"/>
    <w:rsid w:val="009D7EB7"/>
    <w:rsid w:val="009E048A"/>
    <w:rsid w:val="009E08E9"/>
    <w:rsid w:val="009E3DB9"/>
    <w:rsid w:val="009E6E35"/>
    <w:rsid w:val="009F0EDA"/>
    <w:rsid w:val="009F73A3"/>
    <w:rsid w:val="00A03B96"/>
    <w:rsid w:val="00A05B19"/>
    <w:rsid w:val="00A1134E"/>
    <w:rsid w:val="00A125B2"/>
    <w:rsid w:val="00A178CB"/>
    <w:rsid w:val="00A24E7E"/>
    <w:rsid w:val="00A258C3"/>
    <w:rsid w:val="00A32484"/>
    <w:rsid w:val="00A330A1"/>
    <w:rsid w:val="00A347C0"/>
    <w:rsid w:val="00A51431"/>
    <w:rsid w:val="00A539AD"/>
    <w:rsid w:val="00A75A34"/>
    <w:rsid w:val="00A94063"/>
    <w:rsid w:val="00AA6219"/>
    <w:rsid w:val="00AA74E0"/>
    <w:rsid w:val="00AB37EC"/>
    <w:rsid w:val="00AB6D72"/>
    <w:rsid w:val="00AB703F"/>
    <w:rsid w:val="00AC6BB8"/>
    <w:rsid w:val="00AE008F"/>
    <w:rsid w:val="00B01FCD"/>
    <w:rsid w:val="00B1776C"/>
    <w:rsid w:val="00B36C20"/>
    <w:rsid w:val="00B52583"/>
    <w:rsid w:val="00B52896"/>
    <w:rsid w:val="00B95236"/>
    <w:rsid w:val="00B96BD9"/>
    <w:rsid w:val="00BA1B01"/>
    <w:rsid w:val="00BA2641"/>
    <w:rsid w:val="00BB37AA"/>
    <w:rsid w:val="00BC53A0"/>
    <w:rsid w:val="00BE62AD"/>
    <w:rsid w:val="00BF121F"/>
    <w:rsid w:val="00BF1F80"/>
    <w:rsid w:val="00C103AE"/>
    <w:rsid w:val="00C166EF"/>
    <w:rsid w:val="00C17EB0"/>
    <w:rsid w:val="00C26A26"/>
    <w:rsid w:val="00C27F5F"/>
    <w:rsid w:val="00C30A0F"/>
    <w:rsid w:val="00C37E61"/>
    <w:rsid w:val="00C4704B"/>
    <w:rsid w:val="00C56BFC"/>
    <w:rsid w:val="00C611FD"/>
    <w:rsid w:val="00C70F1B"/>
    <w:rsid w:val="00C71A47"/>
    <w:rsid w:val="00C7464C"/>
    <w:rsid w:val="00C85588"/>
    <w:rsid w:val="00C954E8"/>
    <w:rsid w:val="00C9614B"/>
    <w:rsid w:val="00CD6755"/>
    <w:rsid w:val="00CD6856"/>
    <w:rsid w:val="00CE0089"/>
    <w:rsid w:val="00CE3C11"/>
    <w:rsid w:val="00CE793C"/>
    <w:rsid w:val="00CF193C"/>
    <w:rsid w:val="00D173F1"/>
    <w:rsid w:val="00D3616F"/>
    <w:rsid w:val="00D3651A"/>
    <w:rsid w:val="00D630AB"/>
    <w:rsid w:val="00D74CB0"/>
    <w:rsid w:val="00D8295D"/>
    <w:rsid w:val="00D915AE"/>
    <w:rsid w:val="00DC2A65"/>
    <w:rsid w:val="00DE15F0"/>
    <w:rsid w:val="00DE5663"/>
    <w:rsid w:val="00DE78AA"/>
    <w:rsid w:val="00E053D0"/>
    <w:rsid w:val="00E15994"/>
    <w:rsid w:val="00E16FFF"/>
    <w:rsid w:val="00E17450"/>
    <w:rsid w:val="00E3114E"/>
    <w:rsid w:val="00E31A70"/>
    <w:rsid w:val="00E35B02"/>
    <w:rsid w:val="00E3645E"/>
    <w:rsid w:val="00E56D23"/>
    <w:rsid w:val="00E66496"/>
    <w:rsid w:val="00E66B35"/>
    <w:rsid w:val="00E66E10"/>
    <w:rsid w:val="00E769F6"/>
    <w:rsid w:val="00E8407C"/>
    <w:rsid w:val="00E84F3C"/>
    <w:rsid w:val="00EA012C"/>
    <w:rsid w:val="00EC6A55"/>
    <w:rsid w:val="00ED0288"/>
    <w:rsid w:val="00ED6A09"/>
    <w:rsid w:val="00EE52CB"/>
    <w:rsid w:val="00EF1954"/>
    <w:rsid w:val="00EF581D"/>
    <w:rsid w:val="00EF7FD8"/>
    <w:rsid w:val="00F06F59"/>
    <w:rsid w:val="00F17988"/>
    <w:rsid w:val="00F469F0"/>
    <w:rsid w:val="00F53273"/>
    <w:rsid w:val="00F755E4"/>
    <w:rsid w:val="00F76BDD"/>
    <w:rsid w:val="00F77D02"/>
    <w:rsid w:val="00F90797"/>
    <w:rsid w:val="00FB3A86"/>
    <w:rsid w:val="00FC4F6A"/>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DE9E9F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UnresolvedMention">
    <w:name w:val="Unresolved Mention"/>
    <w:basedOn w:val="DefaultParagraphFont"/>
    <w:uiPriority w:val="99"/>
    <w:semiHidden/>
    <w:unhideWhenUsed/>
    <w:rsid w:val="009775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22038/ajp.2023.21774" TargetMode="External"/><Relationship Id="rId26" Type="http://schemas.openxmlformats.org/officeDocument/2006/relationships/hyperlink" Target="https://www.ijerd.com/paper/vol20-issue12/2012223231.pdf" TargetMode="External"/><Relationship Id="rId21" Type="http://schemas.openxmlformats.org/officeDocument/2006/relationships/hyperlink" Target="https://doi.org/10.3390/foods13172652"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3389/fphar.2021.704197" TargetMode="External"/><Relationship Id="rId25" Type="http://schemas.openxmlformats.org/officeDocument/2006/relationships/hyperlink" Target="https://doi.org/10.3390/foods12020354"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doi.org/10.63019/ajb.v1i2.467" TargetMode="External"/><Relationship Id="rId20" Type="http://schemas.openxmlformats.org/officeDocument/2006/relationships/hyperlink" Target="https://doi.org/10.20307/nps.2023.29.4.291" TargetMode="External"/><Relationship Id="rId29" Type="http://schemas.openxmlformats.org/officeDocument/2006/relationships/hyperlink" Target="https://doi.org/10.2174/15701808196662205131159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89/fnut.2023.1099880"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39/d2ra07406k" TargetMode="External"/><Relationship Id="rId23" Type="http://schemas.openxmlformats.org/officeDocument/2006/relationships/hyperlink" Target="https://doi.org/10.3390/molecules21101404" TargetMode="External"/><Relationship Id="rId28" Type="http://schemas.openxmlformats.org/officeDocument/2006/relationships/hyperlink" Target="https://doi.org/10.22270/jddt.v9i1-s.2340"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3390/molecules28010158" TargetMode="External"/><Relationship Id="rId31" Type="http://schemas.openxmlformats.org/officeDocument/2006/relationships/hyperlink" Target="https://doi.org/10.1016/j.indcrop.2018.03.04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186/s12906-019-2487-7" TargetMode="External"/><Relationship Id="rId27" Type="http://schemas.openxmlformats.org/officeDocument/2006/relationships/hyperlink" Target="https://doi.org/10.1016/j.jep.2019.112224" TargetMode="External"/><Relationship Id="rId30" Type="http://schemas.openxmlformats.org/officeDocument/2006/relationships/hyperlink" Target="https://doi.org/10.3390/ijms241713538"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2136E-F1AF-4229-BCCA-3074765F6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43</TotalTime>
  <Pages>11</Pages>
  <Words>4883</Words>
  <Characters>27835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32653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John Lloyd Alarcon</cp:lastModifiedBy>
  <cp:revision>21</cp:revision>
  <cp:lastPrinted>2025-12-16T04:08:00Z</cp:lastPrinted>
  <dcterms:created xsi:type="dcterms:W3CDTF">2025-12-16T04:23:00Z</dcterms:created>
  <dcterms:modified xsi:type="dcterms:W3CDTF">2025-12-22T12:51:00Z</dcterms:modified>
</cp:coreProperties>
</file>