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36536" w14:textId="77777777" w:rsidR="00457E2F" w:rsidRPr="00457E2F" w:rsidRDefault="00457E2F" w:rsidP="00457E2F">
      <w:pPr>
        <w:pStyle w:val="jbd-nam"/>
        <w:rPr>
          <w:rFonts w:cs="Times New Roman"/>
          <w:i/>
          <w:iCs/>
          <w:u w:val="single"/>
        </w:rPr>
      </w:pPr>
      <w:bookmarkStart w:id="0" w:name="_Hlk156362863"/>
      <w:r w:rsidRPr="00457E2F">
        <w:rPr>
          <w:rFonts w:cs="Times New Roman"/>
          <w:i/>
          <w:iCs/>
          <w:u w:val="single"/>
        </w:rPr>
        <w:t>Original Research Article</w:t>
      </w:r>
    </w:p>
    <w:p w14:paraId="01FAEAD7" w14:textId="77777777" w:rsidR="004166B7" w:rsidRDefault="004166B7" w:rsidP="004166B7">
      <w:pPr>
        <w:pStyle w:val="jbd-nam"/>
        <w:rPr>
          <w:rFonts w:cs="Times New Roman"/>
          <w:sz w:val="24"/>
          <w:szCs w:val="24"/>
          <w:lang w:val="en-US"/>
        </w:rPr>
      </w:pPr>
      <w:r w:rsidRPr="00D35966">
        <w:rPr>
          <w:rFonts w:cs="Times New Roman"/>
          <w:sz w:val="24"/>
          <w:szCs w:val="24"/>
          <w:lang w:val="en-US"/>
        </w:rPr>
        <w:t>Sub-Chronic Hepatotox</w:t>
      </w:r>
      <w:bookmarkStart w:id="1" w:name="_GoBack"/>
      <w:bookmarkEnd w:id="1"/>
      <w:r w:rsidRPr="00D35966">
        <w:rPr>
          <w:rFonts w:cs="Times New Roman"/>
          <w:sz w:val="24"/>
          <w:szCs w:val="24"/>
          <w:lang w:val="en-US"/>
        </w:rPr>
        <w:t>icity of Aluminium Phosphide in Wistar Rats: Biochemical and Histopathological Evidence</w:t>
      </w:r>
    </w:p>
    <w:bookmarkEnd w:id="0"/>
    <w:p w14:paraId="7EAA3FC0" w14:textId="75BCECE6" w:rsidR="004166B7" w:rsidRDefault="004166B7" w:rsidP="004166B7">
      <w:pPr>
        <w:rPr>
          <w:rFonts w:ascii="Times New Roman" w:hAnsi="Times New Roman" w:cs="Times New Roman"/>
        </w:rPr>
      </w:pPr>
    </w:p>
    <w:p w14:paraId="6BD92837" w14:textId="77777777" w:rsidR="004033FC" w:rsidRPr="00D35966" w:rsidRDefault="004033FC" w:rsidP="004166B7">
      <w:pPr>
        <w:rPr>
          <w:rFonts w:ascii="Times New Roman" w:hAnsi="Times New Roman" w:cs="Times New Roman"/>
        </w:rPr>
      </w:pPr>
    </w:p>
    <w:p w14:paraId="645CB6BD" w14:textId="77777777" w:rsidR="004166B7" w:rsidRPr="00E66737" w:rsidRDefault="004166B7" w:rsidP="004166B7">
      <w:pPr>
        <w:rPr>
          <w:rFonts w:ascii="Times New Roman" w:hAnsi="Times New Roman" w:cs="Times New Roman"/>
        </w:rPr>
      </w:pPr>
    </w:p>
    <w:p w14:paraId="53DB5297" w14:textId="6DFD702D" w:rsidR="004166B7" w:rsidRPr="0045155A" w:rsidRDefault="0038420B" w:rsidP="004166B7">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EC55FF1" wp14:editId="3800460F">
                <wp:simplePos x="0" y="0"/>
                <wp:positionH relativeFrom="column">
                  <wp:posOffset>-76200</wp:posOffset>
                </wp:positionH>
                <wp:positionV relativeFrom="paragraph">
                  <wp:posOffset>318135</wp:posOffset>
                </wp:positionV>
                <wp:extent cx="6127750" cy="4438650"/>
                <wp:effectExtent l="0" t="0" r="25400" b="19050"/>
                <wp:wrapNone/>
                <wp:docPr id="1920459490" name="Rectangle 1"/>
                <wp:cNvGraphicFramePr/>
                <a:graphic xmlns:a="http://schemas.openxmlformats.org/drawingml/2006/main">
                  <a:graphicData uri="http://schemas.microsoft.com/office/word/2010/wordprocessingShape">
                    <wps:wsp>
                      <wps:cNvSpPr/>
                      <wps:spPr>
                        <a:xfrm>
                          <a:off x="0" y="0"/>
                          <a:ext cx="6127750" cy="4438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39264B" id="Rectangle 1" o:spid="_x0000_s1026" style="position:absolute;margin-left:-6pt;margin-top:25.05pt;width:482.5pt;height:3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" filled="f" strokecolor="black [3213]" strokeweight="1pt"/>
            </w:pict>
          </mc:Fallback>
        </mc:AlternateContent>
      </w:r>
      <w:r w:rsidR="004166B7" w:rsidRPr="00E66737">
        <w:rPr>
          <w:rFonts w:ascii="Times New Roman" w:hAnsi="Times New Roman" w:cs="Times New Roman"/>
          <w:b/>
          <w:bCs/>
        </w:rPr>
        <w:t>Abstract</w:t>
      </w:r>
    </w:p>
    <w:p w14:paraId="6A1A95A8" w14:textId="167CB043"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Aims</w:t>
      </w:r>
      <w:r>
        <w:rPr>
          <w:rFonts w:ascii="Times New Roman" w:hAnsi="Times New Roman" w:cs="Times New Roman"/>
        </w:rPr>
        <w:t xml:space="preserve">: </w:t>
      </w:r>
      <w:r w:rsidR="004166B7" w:rsidRPr="004166B7">
        <w:rPr>
          <w:rFonts w:ascii="Times New Roman" w:hAnsi="Times New Roman" w:cs="Times New Roman"/>
        </w:rPr>
        <w:t xml:space="preserve">This study aimed to investigate the hepatotoxic effects of sub-chronic dietary exposure to </w:t>
      </w:r>
      <w:proofErr w:type="spellStart"/>
      <w:r>
        <w:rPr>
          <w:rFonts w:ascii="Times New Roman" w:hAnsi="Times New Roman" w:cs="Times New Roman"/>
        </w:rPr>
        <w:t>A</w:t>
      </w:r>
      <w:r w:rsidR="004166B7" w:rsidRPr="004166B7">
        <w:rPr>
          <w:rFonts w:ascii="Times New Roman" w:hAnsi="Times New Roman" w:cs="Times New Roman"/>
        </w:rPr>
        <w:t>luminium</w:t>
      </w:r>
      <w:proofErr w:type="spellEnd"/>
      <w:r w:rsidR="004166B7" w:rsidRPr="004166B7">
        <w:rPr>
          <w:rFonts w:ascii="Times New Roman" w:hAnsi="Times New Roman" w:cs="Times New Roman"/>
        </w:rPr>
        <w:t xml:space="preserve"> phosphide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by assessing biochemical and histopathological alterations in the liver of Wistar rats.</w:t>
      </w:r>
    </w:p>
    <w:p w14:paraId="18EC2EC4" w14:textId="5CB12A4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Study design</w:t>
      </w:r>
      <w:r>
        <w:rPr>
          <w:rFonts w:ascii="Times New Roman" w:hAnsi="Times New Roman" w:cs="Times New Roman"/>
        </w:rPr>
        <w:t xml:space="preserve">: </w:t>
      </w:r>
      <w:r w:rsidR="004166B7" w:rsidRPr="004166B7">
        <w:rPr>
          <w:rFonts w:ascii="Times New Roman" w:hAnsi="Times New Roman" w:cs="Times New Roman"/>
        </w:rPr>
        <w:t xml:space="preserve">A controlled, 56-day toxicological feeding experiment was conducted using twenty-eight adult Wistar rats randomly assigned to four groups receiving either standard feed (control) or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-formulated diets at low, high, or very high concentrations.</w:t>
      </w:r>
    </w:p>
    <w:p w14:paraId="37CADBC9" w14:textId="63E2FF5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Methodology</w:t>
      </w:r>
      <w:r>
        <w:rPr>
          <w:rFonts w:ascii="Times New Roman" w:hAnsi="Times New Roman" w:cs="Times New Roman"/>
        </w:rPr>
        <w:t xml:space="preserve">: </w:t>
      </w:r>
      <w:r w:rsidR="004166B7" w:rsidRPr="004166B7">
        <w:rPr>
          <w:rFonts w:ascii="Times New Roman" w:hAnsi="Times New Roman" w:cs="Times New Roman"/>
        </w:rPr>
        <w:t>Rats consumed their respective diets ad libitum for 56 days. Serum liver function biomarkers</w:t>
      </w:r>
      <w:r>
        <w:rPr>
          <w:rFonts w:ascii="Times New Roman" w:hAnsi="Times New Roman" w:cs="Times New Roman"/>
        </w:rPr>
        <w:t xml:space="preserve"> </w:t>
      </w:r>
      <w:r w:rsidR="004166B7" w:rsidRPr="004166B7">
        <w:rPr>
          <w:rFonts w:ascii="Times New Roman" w:hAnsi="Times New Roman" w:cs="Times New Roman"/>
        </w:rPr>
        <w:t>including ALT, AST, ALP, total bilirubin, total protein, and albumin</w:t>
      </w:r>
      <w:r>
        <w:rPr>
          <w:rFonts w:ascii="Times New Roman" w:hAnsi="Times New Roman" w:cs="Times New Roman"/>
        </w:rPr>
        <w:t xml:space="preserve">, </w:t>
      </w:r>
      <w:r w:rsidR="004166B7" w:rsidRPr="004166B7">
        <w:rPr>
          <w:rFonts w:ascii="Times New Roman" w:hAnsi="Times New Roman" w:cs="Times New Roman"/>
        </w:rPr>
        <w:t>were quantified using validated commercial assay kits. Liver samples were processed for histopathological evaluation using standard hematoxylin and eosin staining to assess structural damage and cellular alterations.</w:t>
      </w:r>
    </w:p>
    <w:p w14:paraId="7C5E8BE7" w14:textId="2E6E061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Results</w:t>
      </w:r>
      <w:r>
        <w:rPr>
          <w:rFonts w:ascii="Times New Roman" w:hAnsi="Times New Roman" w:cs="Times New Roman"/>
        </w:rPr>
        <w:t xml:space="preserve">: </w:t>
      </w:r>
      <w:r w:rsidR="004166B7" w:rsidRPr="004166B7">
        <w:rPr>
          <w:rFonts w:ascii="Times New Roman" w:hAnsi="Times New Roman" w:cs="Times New Roman"/>
        </w:rPr>
        <w:t xml:space="preserve">Exposure to high and very high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concentrations led to marked increases in ALT and total bilirubin relative to controls, indicating hepatocellular leakage and impaired bilirubin handling. Conversely, AST and ALP levels showed significant reductions, while serum protein indices remained statistically unchanged across groups. Histological examination revealed steatosis (both micro- and macro-vesicular), centrilobular vascular congestion, and mild hepatocyte degeneration, particularly in animals receiving higher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doses. These findings collectively indicate dose-dependent hepatic injury.</w:t>
      </w:r>
    </w:p>
    <w:p w14:paraId="522A0D9C" w14:textId="109DB1A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Conclusion</w:t>
      </w:r>
      <w:r>
        <w:rPr>
          <w:rFonts w:ascii="Times New Roman" w:hAnsi="Times New Roman" w:cs="Times New Roman"/>
        </w:rPr>
        <w:t xml:space="preserve">: </w:t>
      </w:r>
      <w:r w:rsidR="004166B7" w:rsidRPr="004166B7">
        <w:rPr>
          <w:rFonts w:ascii="Times New Roman" w:hAnsi="Times New Roman" w:cs="Times New Roman"/>
        </w:rPr>
        <w:t xml:space="preserve">Sub-chronic ingestion of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-contaminated feed results in measurable biochemical and structural liver damage in Wistar rats, suggesting oxidative-stress-mediated hepatotoxicity. The study underscores the need for monitoring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residue exposure in populations relying on fumigant-treated food commodities.</w:t>
      </w:r>
    </w:p>
    <w:p w14:paraId="08A7F886" w14:textId="0369A4F9" w:rsidR="004166B7" w:rsidRPr="0038420B" w:rsidRDefault="0038420B" w:rsidP="0038420B">
      <w:pPr>
        <w:jc w:val="both"/>
        <w:rPr>
          <w:rFonts w:ascii="Times New Roman" w:hAnsi="Times New Roman" w:cs="Times New Roman"/>
        </w:rPr>
      </w:pPr>
      <w:r w:rsidRPr="004166B7">
        <w:rPr>
          <w:rFonts w:ascii="Times New Roman" w:hAnsi="Times New Roman" w:cs="Times New Roman"/>
          <w:b/>
          <w:bCs/>
        </w:rPr>
        <w:t>Keywords</w:t>
      </w:r>
      <w:r>
        <w:rPr>
          <w:rFonts w:ascii="Times New Roman" w:hAnsi="Times New Roman" w:cs="Times New Roman"/>
        </w:rPr>
        <w:t xml:space="preserve">: </w:t>
      </w:r>
      <w:proofErr w:type="spellStart"/>
      <w:r w:rsidR="004166B7" w:rsidRPr="004166B7">
        <w:rPr>
          <w:rFonts w:ascii="Times New Roman" w:hAnsi="Times New Roman" w:cs="Times New Roman"/>
        </w:rPr>
        <w:t>Aluminium</w:t>
      </w:r>
      <w:proofErr w:type="spellEnd"/>
      <w:r w:rsidR="004166B7" w:rsidRPr="004166B7">
        <w:rPr>
          <w:rFonts w:ascii="Times New Roman" w:hAnsi="Times New Roman" w:cs="Times New Roman"/>
        </w:rPr>
        <w:t xml:space="preserve"> phosphide; hepatotoxicity; liver </w:t>
      </w:r>
      <w:proofErr w:type="gramStart"/>
      <w:r w:rsidR="004166B7" w:rsidRPr="004166B7">
        <w:rPr>
          <w:rFonts w:ascii="Times New Roman" w:hAnsi="Times New Roman" w:cs="Times New Roman"/>
        </w:rPr>
        <w:t>biomarkers;  sub</w:t>
      </w:r>
      <w:proofErr w:type="gramEnd"/>
      <w:r w:rsidR="004166B7" w:rsidRPr="004166B7">
        <w:rPr>
          <w:rFonts w:ascii="Times New Roman" w:hAnsi="Times New Roman" w:cs="Times New Roman"/>
        </w:rPr>
        <w:t>-chronic toxicity; Wistar rats</w:t>
      </w:r>
      <w:r>
        <w:rPr>
          <w:rFonts w:ascii="Times New Roman" w:hAnsi="Times New Roman" w:cs="Times New Roman"/>
        </w:rPr>
        <w:t>.</w:t>
      </w:r>
    </w:p>
    <w:p w14:paraId="6FF996FA" w14:textId="77777777" w:rsidR="004166B7" w:rsidRDefault="004166B7" w:rsidP="004166B7">
      <w:pPr>
        <w:rPr>
          <w:rFonts w:ascii="Times New Roman" w:hAnsi="Times New Roman" w:cs="Times New Roman"/>
          <w:b/>
          <w:bCs/>
        </w:rPr>
      </w:pPr>
    </w:p>
    <w:p w14:paraId="23B83F97" w14:textId="77777777" w:rsidR="004033FC" w:rsidRDefault="004033FC" w:rsidP="004166B7">
      <w:pPr>
        <w:rPr>
          <w:rFonts w:ascii="Times New Roman" w:hAnsi="Times New Roman" w:cs="Times New Roman"/>
          <w:b/>
          <w:bCs/>
        </w:rPr>
      </w:pPr>
    </w:p>
    <w:p w14:paraId="48C74739" w14:textId="77777777" w:rsidR="004033FC" w:rsidRDefault="004033FC" w:rsidP="004166B7">
      <w:pPr>
        <w:rPr>
          <w:rFonts w:ascii="Times New Roman" w:hAnsi="Times New Roman" w:cs="Times New Roman"/>
          <w:b/>
          <w:bCs/>
        </w:rPr>
      </w:pPr>
    </w:p>
    <w:p w14:paraId="2EF5E600" w14:textId="6E6C38AD" w:rsidR="004033FC" w:rsidRDefault="004033FC" w:rsidP="004166B7">
      <w:pPr>
        <w:rPr>
          <w:rFonts w:ascii="Times New Roman" w:hAnsi="Times New Roman" w:cs="Times New Roman"/>
          <w:b/>
          <w:bCs/>
        </w:rPr>
        <w:sectPr w:rsidR="004033FC" w:rsidSect="00DD5D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37A995D" w14:textId="379AB68A" w:rsidR="00AB69FF" w:rsidRPr="00AB69FF" w:rsidRDefault="00AB69FF" w:rsidP="00AB69FF">
      <w:pPr>
        <w:spacing w:line="480" w:lineRule="auto"/>
        <w:jc w:val="both"/>
        <w:rPr>
          <w:rFonts w:ascii="Times New Roman" w:hAnsi="Times New Roman" w:cs="Times New Roman"/>
          <w:b/>
          <w:bCs/>
        </w:rPr>
      </w:pPr>
      <w:r w:rsidRPr="00AB69FF">
        <w:rPr>
          <w:rFonts w:ascii="Times New Roman" w:hAnsi="Times New Roman" w:cs="Times New Roman"/>
          <w:b/>
          <w:bCs/>
        </w:rPr>
        <w:lastRenderedPageBreak/>
        <w:t>1.</w:t>
      </w:r>
      <w:r>
        <w:rPr>
          <w:rFonts w:ascii="Times New Roman" w:hAnsi="Times New Roman" w:cs="Times New Roman"/>
          <w:b/>
          <w:bCs/>
        </w:rPr>
        <w:t xml:space="preserve"> </w:t>
      </w:r>
      <w:r w:rsidR="004166B7" w:rsidRPr="00AB69FF">
        <w:rPr>
          <w:rFonts w:ascii="Times New Roman" w:hAnsi="Times New Roman" w:cs="Times New Roman"/>
          <w:b/>
          <w:bCs/>
        </w:rPr>
        <w:t>INTRODUCTION</w:t>
      </w:r>
    </w:p>
    <w:p w14:paraId="5AAB57C0" w14:textId="6A043601" w:rsidR="004166B7" w:rsidRPr="00AB69FF" w:rsidRDefault="004166B7" w:rsidP="00AB69FF">
      <w:pPr>
        <w:spacing w:line="480" w:lineRule="auto"/>
        <w:jc w:val="both"/>
        <w:rPr>
          <w:rFonts w:ascii="Times New Roman" w:hAnsi="Times New Roman" w:cs="Times New Roman"/>
          <w:b/>
          <w:bCs/>
        </w:rPr>
      </w:pPr>
      <w:proofErr w:type="spellStart"/>
      <w:r w:rsidRPr="0045155A">
        <w:rPr>
          <w:rFonts w:cs="Times New Roman" w:hint="eastAsia"/>
        </w:rPr>
        <w:t>Aluminium</w:t>
      </w:r>
      <w:proofErr w:type="spellEnd"/>
      <w:r w:rsidRPr="0045155A">
        <w:rPr>
          <w:rFonts w:cs="Times New Roman" w:hint="eastAsia"/>
        </w:rPr>
        <w:t xml:space="preserve"> phosphide (</w:t>
      </w:r>
      <w:proofErr w:type="spellStart"/>
      <w:r>
        <w:rPr>
          <w:rFonts w:cs="Times New Roman"/>
        </w:rPr>
        <w:t>AlP</w:t>
      </w:r>
      <w:proofErr w:type="spellEnd"/>
      <w:r w:rsidRPr="0045155A">
        <w:rPr>
          <w:rFonts w:cs="Times New Roman" w:hint="eastAsia"/>
        </w:rPr>
        <w:t>) is a widely used fumigant for grain preservation, releasing phosphine (</w:t>
      </w:r>
      <w:r>
        <w:rPr>
          <w:rFonts w:cs="Times New Roman"/>
        </w:rPr>
        <w:t>P</w:t>
      </w:r>
      <w:r w:rsidRPr="0045155A">
        <w:rPr>
          <w:rFonts w:cs="Times New Roman" w:hint="eastAsia"/>
        </w:rPr>
        <w:t>h₃) gas upon contact with moisture (</w:t>
      </w:r>
      <w:r>
        <w:rPr>
          <w:rFonts w:cs="Times New Roman"/>
        </w:rPr>
        <w:t>Eric</w:t>
      </w:r>
      <w:r w:rsidRPr="0045155A">
        <w:rPr>
          <w:rFonts w:cs="Times New Roman" w:hint="eastAsia"/>
        </w:rPr>
        <w:t xml:space="preserve">, </w:t>
      </w:r>
      <w:proofErr w:type="spellStart"/>
      <w:r>
        <w:rPr>
          <w:rFonts w:cs="Times New Roman"/>
        </w:rPr>
        <w:t>Boloya</w:t>
      </w:r>
      <w:proofErr w:type="spellEnd"/>
      <w:r w:rsidRPr="0045155A">
        <w:rPr>
          <w:rFonts w:cs="Times New Roman" w:hint="eastAsia"/>
        </w:rPr>
        <w:t xml:space="preserve">, </w:t>
      </w:r>
      <w:r>
        <w:rPr>
          <w:rFonts w:cs="Times New Roman"/>
        </w:rPr>
        <w:t>and</w:t>
      </w:r>
      <w:r w:rsidRPr="0045155A">
        <w:rPr>
          <w:rFonts w:cs="Times New Roman" w:hint="eastAsia"/>
        </w:rPr>
        <w:t xml:space="preserve"> </w:t>
      </w:r>
      <w:proofErr w:type="spellStart"/>
      <w:r>
        <w:rPr>
          <w:rFonts w:cs="Times New Roman"/>
        </w:rPr>
        <w:t>Osuamkpe</w:t>
      </w:r>
      <w:proofErr w:type="spellEnd"/>
      <w:r w:rsidRPr="0045155A">
        <w:rPr>
          <w:rFonts w:cs="Times New Roman" w:hint="eastAsia"/>
        </w:rPr>
        <w:t xml:space="preserve">, 2021). While effective against pests, phosphine is highly toxic to mammals, primarily </w:t>
      </w:r>
      <w:r w:rsidR="00AB69FF">
        <w:rPr>
          <w:rFonts w:cs="Times New Roman"/>
        </w:rPr>
        <w:t>by inhibiting mitochondrial respiration and generating</w:t>
      </w:r>
      <w:r w:rsidRPr="0045155A">
        <w:rPr>
          <w:rFonts w:cs="Times New Roman"/>
        </w:rPr>
        <w:t xml:space="preserve"> reactive oxygen species (</w:t>
      </w:r>
      <w:r>
        <w:rPr>
          <w:rFonts w:cs="Times New Roman"/>
        </w:rPr>
        <w:t>ROS</w:t>
      </w:r>
      <w:r w:rsidRPr="0045155A">
        <w:rPr>
          <w:rFonts w:cs="Times New Roman"/>
        </w:rPr>
        <w:t>) (</w:t>
      </w:r>
      <w:proofErr w:type="spellStart"/>
      <w:r>
        <w:rPr>
          <w:rFonts w:cs="Times New Roman"/>
        </w:rPr>
        <w:t>Parvizrad</w:t>
      </w:r>
      <w:proofErr w:type="spellEnd"/>
      <w:r w:rsidRPr="0045155A">
        <w:rPr>
          <w:rFonts w:cs="Times New Roman"/>
        </w:rPr>
        <w:t xml:space="preserve"> </w:t>
      </w:r>
      <w:r w:rsidRPr="0045155A">
        <w:rPr>
          <w:rFonts w:cs="Times New Roman"/>
          <w:i/>
          <w:iCs/>
        </w:rPr>
        <w:t>et al.,</w:t>
      </w:r>
      <w:r w:rsidRPr="0045155A">
        <w:rPr>
          <w:rFonts w:cs="Times New Roman"/>
        </w:rPr>
        <w:t xml:space="preserve"> 2022). The liver, as the central metabolic organ, is particularly vulnerable to oxidative injury, which can lead to hepatocellular damage, altered enzymatic activity, and histological changes (</w:t>
      </w:r>
      <w:proofErr w:type="spellStart"/>
      <w:r>
        <w:rPr>
          <w:rFonts w:cs="Times New Roman"/>
        </w:rPr>
        <w:t>Masoudian</w:t>
      </w:r>
      <w:proofErr w:type="spellEnd"/>
      <w:r w:rsidRPr="0045155A">
        <w:rPr>
          <w:rFonts w:cs="Times New Roman"/>
        </w:rPr>
        <w:t xml:space="preserve"> </w:t>
      </w:r>
      <w:r w:rsidRPr="0045155A">
        <w:rPr>
          <w:rFonts w:cs="Times New Roman"/>
          <w:i/>
          <w:iCs/>
        </w:rPr>
        <w:t>et al.,</w:t>
      </w:r>
      <w:r w:rsidRPr="0045155A">
        <w:rPr>
          <w:rFonts w:cs="Times New Roman"/>
        </w:rPr>
        <w:t xml:space="preserve"> 2020).</w:t>
      </w:r>
    </w:p>
    <w:p w14:paraId="7A524C32" w14:textId="197F0681"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Most studies on alp toxicity focus on acute poisoning. However, in realistic settings, humans and animals may experience repeated low-level exposure through </w:t>
      </w:r>
      <w:r w:rsidR="00AB69FF">
        <w:rPr>
          <w:rFonts w:cs="Times New Roman"/>
          <w:b w:val="0"/>
          <w:bCs w:val="0"/>
          <w:caps w:val="0"/>
          <w:sz w:val="24"/>
          <w:szCs w:val="24"/>
        </w:rPr>
        <w:t xml:space="preserve">the </w:t>
      </w:r>
      <w:r w:rsidRPr="0045155A">
        <w:rPr>
          <w:rFonts w:cs="Times New Roman"/>
          <w:b w:val="0"/>
          <w:bCs w:val="0"/>
          <w:caps w:val="0"/>
          <w:sz w:val="24"/>
          <w:szCs w:val="24"/>
        </w:rPr>
        <w:t>consumption of fumigated grains. Sub-chronic exposure can induce subtle biochemical and structural changes that precede clinical liver dysfunction (</w:t>
      </w:r>
      <w:r>
        <w:rPr>
          <w:rFonts w:cs="Times New Roman"/>
          <w:b w:val="0"/>
          <w:bCs w:val="0"/>
          <w:caps w:val="0"/>
          <w:sz w:val="24"/>
          <w:szCs w:val="24"/>
        </w:rPr>
        <w:t>Mehrpour</w:t>
      </w:r>
      <w:r w:rsidRPr="0045155A">
        <w:rPr>
          <w:rFonts w:cs="Times New Roman"/>
          <w:b w:val="0"/>
          <w:bCs w:val="0"/>
          <w:caps w:val="0"/>
          <w:sz w:val="24"/>
          <w:szCs w:val="24"/>
        </w:rPr>
        <w:t xml:space="preserve"> </w:t>
      </w:r>
      <w:r w:rsidRPr="0045155A">
        <w:rPr>
          <w:rFonts w:cs="Times New Roman"/>
          <w:b w:val="0"/>
          <w:bCs w:val="0"/>
          <w:i/>
          <w:iCs/>
          <w:caps w:val="0"/>
          <w:sz w:val="24"/>
          <w:szCs w:val="24"/>
        </w:rPr>
        <w:t>et al.,</w:t>
      </w:r>
      <w:r w:rsidRPr="0045155A">
        <w:rPr>
          <w:rFonts w:cs="Times New Roman"/>
          <w:b w:val="0"/>
          <w:bCs w:val="0"/>
          <w:caps w:val="0"/>
          <w:sz w:val="24"/>
          <w:szCs w:val="24"/>
        </w:rPr>
        <w:t xml:space="preserve"> 2022).</w:t>
      </w:r>
    </w:p>
    <w:p w14:paraId="42420623" w14:textId="77777777"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This study investigates dose-dependent alterations in liver function biomarkers and histopathology in </w:t>
      </w:r>
      <w:r>
        <w:rPr>
          <w:rFonts w:cs="Times New Roman"/>
          <w:b w:val="0"/>
          <w:bCs w:val="0"/>
          <w:caps w:val="0"/>
          <w:sz w:val="24"/>
          <w:szCs w:val="24"/>
        </w:rPr>
        <w:t>Wistar</w:t>
      </w:r>
      <w:r w:rsidRPr="0045155A">
        <w:rPr>
          <w:rFonts w:cs="Times New Roman"/>
          <w:b w:val="0"/>
          <w:bCs w:val="0"/>
          <w:caps w:val="0"/>
          <w:sz w:val="24"/>
          <w:szCs w:val="24"/>
        </w:rPr>
        <w:t xml:space="preserve"> rats following 56-day dietary exposure to </w:t>
      </w:r>
      <w:r>
        <w:rPr>
          <w:rFonts w:cs="Times New Roman"/>
          <w:b w:val="0"/>
          <w:bCs w:val="0"/>
          <w:caps w:val="0"/>
          <w:sz w:val="24"/>
          <w:szCs w:val="24"/>
        </w:rPr>
        <w:t>AlP</w:t>
      </w:r>
      <w:r w:rsidRPr="0045155A">
        <w:rPr>
          <w:rFonts w:cs="Times New Roman"/>
          <w:b w:val="0"/>
          <w:bCs w:val="0"/>
          <w:caps w:val="0"/>
          <w:sz w:val="24"/>
          <w:szCs w:val="24"/>
        </w:rPr>
        <w:t>, aiming to provide a mechanistic understanding of sub-chronic hepatotoxicity relevant to food safety and public health.</w:t>
      </w:r>
    </w:p>
    <w:p w14:paraId="79F23CCF" w14:textId="77777777" w:rsidR="004166B7" w:rsidRPr="0045155A" w:rsidRDefault="004166B7" w:rsidP="004166B7">
      <w:pPr>
        <w:pStyle w:val="jbd-Pendahul10"/>
        <w:rPr>
          <w:sz w:val="24"/>
          <w:szCs w:val="24"/>
        </w:rPr>
      </w:pPr>
    </w:p>
    <w:p w14:paraId="5D13D812" w14:textId="77777777" w:rsidR="004166B7" w:rsidRDefault="004166B7" w:rsidP="004166B7">
      <w:pPr>
        <w:pStyle w:val="jbd-Pendahul10"/>
        <w:rPr>
          <w:sz w:val="24"/>
          <w:szCs w:val="24"/>
          <w:lang w:val="en-US"/>
        </w:rPr>
      </w:pPr>
    </w:p>
    <w:p w14:paraId="5D550294" w14:textId="77777777" w:rsidR="004166B7" w:rsidRDefault="004166B7" w:rsidP="004166B7">
      <w:pPr>
        <w:pStyle w:val="jbd-Pendahul10"/>
        <w:rPr>
          <w:sz w:val="24"/>
          <w:szCs w:val="24"/>
          <w:lang w:val="en-US"/>
        </w:rPr>
        <w:sectPr w:rsidR="004166B7" w:rsidSect="00DD5D22">
          <w:type w:val="continuous"/>
          <w:pgSz w:w="12240" w:h="15840"/>
          <w:pgMar w:top="1440" w:right="1440" w:bottom="1440" w:left="1440" w:header="720" w:footer="720" w:gutter="0"/>
          <w:cols w:space="720"/>
          <w:docGrid w:linePitch="360"/>
        </w:sectPr>
      </w:pPr>
    </w:p>
    <w:p w14:paraId="2150D204" w14:textId="77777777" w:rsidR="004166B7" w:rsidRDefault="004166B7" w:rsidP="004166B7">
      <w:pPr>
        <w:pStyle w:val="jbd-Pendahul10"/>
        <w:rPr>
          <w:sz w:val="24"/>
          <w:szCs w:val="24"/>
          <w:lang w:val="en-US"/>
        </w:rPr>
      </w:pPr>
    </w:p>
    <w:p w14:paraId="3495ACA9" w14:textId="2462A739" w:rsidR="004166B7" w:rsidRPr="0045155A" w:rsidRDefault="00AB69FF" w:rsidP="00AB69FF">
      <w:pPr>
        <w:pStyle w:val="jbd-Pendahul10"/>
        <w:spacing w:line="480" w:lineRule="auto"/>
        <w:jc w:val="both"/>
        <w:rPr>
          <w:rFonts w:cs="Times New Roman"/>
          <w:sz w:val="24"/>
          <w:szCs w:val="24"/>
          <w:lang w:val="en-US"/>
        </w:rPr>
      </w:pPr>
      <w:r>
        <w:rPr>
          <w:rFonts w:cs="Times New Roman"/>
          <w:sz w:val="24"/>
          <w:szCs w:val="24"/>
          <w:lang w:val="en-US"/>
        </w:rPr>
        <w:t xml:space="preserve">2. </w:t>
      </w:r>
      <w:r w:rsidR="004166B7" w:rsidRPr="0045155A">
        <w:rPr>
          <w:rFonts w:cs="Times New Roman"/>
          <w:sz w:val="24"/>
          <w:szCs w:val="24"/>
          <w:lang w:val="en-US"/>
        </w:rPr>
        <w:t>MATERIALS AND METHODS</w:t>
      </w:r>
    </w:p>
    <w:p w14:paraId="6D0D94A0" w14:textId="3C3EE130" w:rsidR="004166B7" w:rsidRPr="0045155A" w:rsidRDefault="00AB69FF" w:rsidP="004166B7">
      <w:pPr>
        <w:pStyle w:val="jbd-subjud10"/>
        <w:spacing w:line="480" w:lineRule="auto"/>
        <w:rPr>
          <w:rFonts w:cs="Times New Roman"/>
          <w:sz w:val="24"/>
          <w:szCs w:val="24"/>
          <w:lang w:val="en-US"/>
        </w:rPr>
      </w:pPr>
      <w:r>
        <w:rPr>
          <w:rFonts w:cs="Times New Roman"/>
          <w:sz w:val="24"/>
          <w:szCs w:val="24"/>
          <w:lang w:val="en-US"/>
        </w:rPr>
        <w:t xml:space="preserve">2.1 </w:t>
      </w:r>
      <w:r w:rsidR="004166B7" w:rsidRPr="0045155A">
        <w:rPr>
          <w:rFonts w:cs="Times New Roman"/>
          <w:sz w:val="24"/>
          <w:szCs w:val="24"/>
          <w:lang w:val="en-US"/>
        </w:rPr>
        <w:t xml:space="preserve">Materials </w:t>
      </w:r>
    </w:p>
    <w:p w14:paraId="3D0BB809" w14:textId="77777777" w:rsidR="004166B7" w:rsidRPr="0045155A" w:rsidRDefault="004166B7" w:rsidP="004166B7">
      <w:pPr>
        <w:pStyle w:val="Default"/>
        <w:spacing w:line="480" w:lineRule="auto"/>
        <w:jc w:val="both"/>
      </w:pPr>
      <w:r w:rsidRPr="0045155A">
        <w:t xml:space="preserve">The </w:t>
      </w:r>
      <w:proofErr w:type="spellStart"/>
      <w:r w:rsidRPr="0045155A">
        <w:t>Aluminium</w:t>
      </w:r>
      <w:proofErr w:type="spellEnd"/>
      <w:r w:rsidRPr="0045155A">
        <w:t xml:space="preserve"> Phosphide sample was gotten from Eke </w:t>
      </w:r>
      <w:proofErr w:type="spellStart"/>
      <w:r w:rsidRPr="0045155A">
        <w:t>Awka</w:t>
      </w:r>
      <w:proofErr w:type="spellEnd"/>
      <w:r w:rsidRPr="0045155A">
        <w:t xml:space="preserve"> market in </w:t>
      </w:r>
      <w:proofErr w:type="spellStart"/>
      <w:r w:rsidRPr="0045155A">
        <w:t>Awka</w:t>
      </w:r>
      <w:proofErr w:type="spellEnd"/>
      <w:r w:rsidRPr="0045155A">
        <w:t>, Anambra State.</w:t>
      </w:r>
    </w:p>
    <w:p w14:paraId="059FF921" w14:textId="35207D6D" w:rsidR="004166B7" w:rsidRPr="0045155A" w:rsidRDefault="00762734" w:rsidP="004166B7">
      <w:pPr>
        <w:pStyle w:val="jbd-subjud10"/>
        <w:spacing w:line="480" w:lineRule="auto"/>
        <w:rPr>
          <w:rFonts w:cs="Times New Roman"/>
          <w:sz w:val="24"/>
          <w:szCs w:val="24"/>
          <w:lang w:val="en-US"/>
        </w:rPr>
      </w:pPr>
      <w:r>
        <w:rPr>
          <w:rFonts w:cs="Times New Roman"/>
          <w:sz w:val="24"/>
          <w:szCs w:val="24"/>
          <w:lang w:val="en-US"/>
        </w:rPr>
        <w:t xml:space="preserve">2.4 </w:t>
      </w:r>
      <w:r w:rsidR="004166B7" w:rsidRPr="0045155A">
        <w:rPr>
          <w:rFonts w:cs="Times New Roman"/>
          <w:sz w:val="24"/>
          <w:szCs w:val="24"/>
          <w:lang w:val="en-US"/>
        </w:rPr>
        <w:t>Study area</w:t>
      </w:r>
    </w:p>
    <w:p w14:paraId="652521E1" w14:textId="77777777" w:rsidR="004166B7" w:rsidRPr="0045155A" w:rsidRDefault="004166B7" w:rsidP="004166B7">
      <w:pPr>
        <w:spacing w:line="480" w:lineRule="auto"/>
        <w:rPr>
          <w:rFonts w:ascii="Times New Roman" w:hAnsi="Times New Roman" w:cs="Times New Roman"/>
        </w:rPr>
      </w:pPr>
      <w:r w:rsidRPr="0045155A">
        <w:rPr>
          <w:rFonts w:ascii="Times New Roman" w:hAnsi="Times New Roman" w:cs="Times New Roman"/>
        </w:rPr>
        <w:t xml:space="preserve">This study was conducted at the Natural Products Laboratory, </w:t>
      </w:r>
      <w:proofErr w:type="spellStart"/>
      <w:r w:rsidRPr="0045155A">
        <w:rPr>
          <w:rFonts w:ascii="Times New Roman" w:hAnsi="Times New Roman" w:cs="Times New Roman"/>
        </w:rPr>
        <w:t>Unizik</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Animal House Department of Applied Biochemistry, Nnamdi Azikiwe University,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w:t>
      </w:r>
      <w:r w:rsidRPr="0045155A">
        <w:rPr>
          <w:rFonts w:ascii="Times New Roman" w:hAnsi="Times New Roman" w:cs="Times New Roman"/>
          <w:spacing w:val="-2"/>
        </w:rPr>
        <w:t xml:space="preserve">and </w:t>
      </w:r>
      <w:proofErr w:type="spellStart"/>
      <w:r w:rsidRPr="0045155A">
        <w:rPr>
          <w:rFonts w:ascii="Times New Roman" w:hAnsi="Times New Roman" w:cs="Times New Roman"/>
          <w:spacing w:val="-2"/>
        </w:rPr>
        <w:t>Ifex's</w:t>
      </w:r>
      <w:proofErr w:type="spellEnd"/>
      <w:r w:rsidRPr="0045155A">
        <w:rPr>
          <w:rFonts w:ascii="Times New Roman" w:hAnsi="Times New Roman" w:cs="Times New Roman"/>
          <w:spacing w:val="-2"/>
        </w:rPr>
        <w:t xml:space="preserve"> Diagnostics laboratory, Regina Caeli Road, </w:t>
      </w:r>
      <w:proofErr w:type="spellStart"/>
      <w:r w:rsidRPr="0045155A">
        <w:rPr>
          <w:rFonts w:ascii="Times New Roman" w:hAnsi="Times New Roman" w:cs="Times New Roman"/>
          <w:spacing w:val="-2"/>
        </w:rPr>
        <w:t>Awka</w:t>
      </w:r>
      <w:proofErr w:type="spellEnd"/>
      <w:r w:rsidRPr="0045155A">
        <w:rPr>
          <w:rFonts w:ascii="Times New Roman" w:hAnsi="Times New Roman" w:cs="Times New Roman"/>
        </w:rPr>
        <w:t xml:space="preserve">. </w:t>
      </w:r>
    </w:p>
    <w:p w14:paraId="5C91AC19" w14:textId="77777777" w:rsidR="004166B7" w:rsidRPr="0045155A" w:rsidRDefault="004166B7" w:rsidP="004166B7">
      <w:pPr>
        <w:pStyle w:val="jbd-subsubjud10"/>
        <w:spacing w:line="480" w:lineRule="auto"/>
        <w:jc w:val="both"/>
        <w:rPr>
          <w:rFonts w:cs="Times New Roman"/>
          <w:sz w:val="24"/>
          <w:szCs w:val="24"/>
          <w:lang w:val="en-US"/>
        </w:rPr>
        <w:sectPr w:rsidR="004166B7" w:rsidRPr="0045155A" w:rsidSect="00DD5D22">
          <w:type w:val="continuous"/>
          <w:pgSz w:w="12240" w:h="15840"/>
          <w:pgMar w:top="1440" w:right="1440" w:bottom="1440" w:left="1440" w:header="720" w:footer="720" w:gutter="0"/>
          <w:cols w:space="720"/>
          <w:docGrid w:linePitch="360"/>
        </w:sectPr>
      </w:pPr>
    </w:p>
    <w:p w14:paraId="5B84227B" w14:textId="03059560"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2.2 </w:t>
      </w:r>
      <w:r w:rsidR="004166B7" w:rsidRPr="0045155A">
        <w:rPr>
          <w:rFonts w:cs="Times New Roman"/>
          <w:b/>
          <w:bCs w:val="0"/>
          <w:i w:val="0"/>
          <w:iCs/>
          <w:sz w:val="24"/>
          <w:szCs w:val="24"/>
          <w:lang w:val="en-US"/>
        </w:rPr>
        <w:t>Duration</w:t>
      </w:r>
    </w:p>
    <w:p w14:paraId="772BBBFF" w14:textId="29A7C032" w:rsidR="004166B7" w:rsidRPr="0045155A" w:rsidRDefault="004166B7" w:rsidP="004166B7">
      <w:pPr>
        <w:widowControl w:val="0"/>
        <w:spacing w:line="480" w:lineRule="auto"/>
        <w:jc w:val="both"/>
        <w:rPr>
          <w:rFonts w:ascii="Times New Roman" w:eastAsia="Times New Roman" w:hAnsi="Times New Roman" w:cs="Times New Roman"/>
          <w:b/>
        </w:rPr>
      </w:pPr>
      <w:r w:rsidRPr="0045155A">
        <w:rPr>
          <w:rFonts w:ascii="Times New Roman" w:hAnsi="Times New Roman" w:cs="Times New Roman"/>
        </w:rPr>
        <w:t>The study was completed in 56 days, equivalent to 8 weeks, including acclimatization,</w:t>
      </w:r>
      <w:r w:rsidR="00F5206B">
        <w:rPr>
          <w:rFonts w:ascii="Times New Roman" w:hAnsi="Times New Roman" w:cs="Times New Roman"/>
        </w:rPr>
        <w:t xml:space="preserve"> </w:t>
      </w:r>
      <w:r w:rsidRPr="0045155A">
        <w:rPr>
          <w:rFonts w:ascii="Times New Roman" w:hAnsi="Times New Roman" w:cs="Times New Roman"/>
        </w:rPr>
        <w:t xml:space="preserve">animal studies, in vivo assays, data collection, and data analysis. </w:t>
      </w:r>
    </w:p>
    <w:p w14:paraId="63D81461" w14:textId="05C1BBEE" w:rsidR="004166B7" w:rsidRPr="0045155A" w:rsidRDefault="00762734" w:rsidP="004166B7">
      <w:pPr>
        <w:pStyle w:val="jbd-subjud10"/>
        <w:spacing w:line="480" w:lineRule="auto"/>
        <w:jc w:val="both"/>
        <w:rPr>
          <w:rFonts w:cs="Times New Roman"/>
          <w:sz w:val="24"/>
          <w:szCs w:val="24"/>
          <w:lang w:val="en-US"/>
        </w:rPr>
      </w:pPr>
      <w:r>
        <w:rPr>
          <w:rFonts w:cs="Times New Roman"/>
          <w:sz w:val="24"/>
          <w:szCs w:val="24"/>
          <w:lang w:val="en-US"/>
        </w:rPr>
        <w:t xml:space="preserve">2.3 </w:t>
      </w:r>
      <w:r w:rsidR="004166B7" w:rsidRPr="0045155A">
        <w:rPr>
          <w:rFonts w:cs="Times New Roman"/>
          <w:sz w:val="24"/>
          <w:szCs w:val="24"/>
          <w:lang w:val="en-US"/>
        </w:rPr>
        <w:t>Procedures</w:t>
      </w:r>
    </w:p>
    <w:p w14:paraId="7392B90F" w14:textId="43AED345"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4000g of rat feed were divided into four 1000g </w:t>
      </w:r>
      <w:r w:rsidR="00F5206B">
        <w:rPr>
          <w:rFonts w:ascii="Times New Roman" w:hAnsi="Times New Roman" w:cs="Times New Roman"/>
        </w:rPr>
        <w:t>portions</w:t>
      </w:r>
      <w:r w:rsidRPr="0045155A">
        <w:rPr>
          <w:rFonts w:ascii="Times New Roman" w:hAnsi="Times New Roman" w:cs="Times New Roman"/>
        </w:rPr>
        <w:t xml:space="preserve">. The purchased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was used to formulate the feed in three of the four containers at different doses of 0.185% (w/w) (low concentration), 0.370% (w/w) (high concentration), and 1.10% (w/w) (very high concentration), while the remaining container was used to feed the control group </w:t>
      </w:r>
    </w:p>
    <w:p w14:paraId="5ED25CE6" w14:textId="404BC90C"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2.5 </w:t>
      </w:r>
      <w:r w:rsidR="004166B7" w:rsidRPr="0045155A">
        <w:rPr>
          <w:rFonts w:cs="Times New Roman"/>
          <w:b/>
          <w:bCs w:val="0"/>
          <w:i w:val="0"/>
          <w:iCs/>
          <w:sz w:val="24"/>
          <w:szCs w:val="24"/>
          <w:lang w:val="en-US"/>
        </w:rPr>
        <w:t>Animal studies</w:t>
      </w:r>
    </w:p>
    <w:p w14:paraId="4742C57C" w14:textId="77777777"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b/>
          <w:i/>
          <w:iCs/>
        </w:rPr>
        <w:t> </w:t>
      </w:r>
      <w:r w:rsidRPr="0045155A">
        <w:rPr>
          <w:rFonts w:ascii="Times New Roman" w:hAnsi="Times New Roman" w:cs="Times New Roman"/>
        </w:rPr>
        <w:t xml:space="preserve">Ethical approval for all experimental protocols was obtained from the Animal Research Ethics Committee (AREC), Nnamdi Azikiwe University,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This research study followed the guidelines for laboratory animal use and care provided in the European Community guidelines </w:t>
      </w:r>
      <w:r w:rsidRPr="0045155A">
        <w:rPr>
          <w:rFonts w:ascii="Times New Roman" w:hAnsi="Times New Roman" w:cs="Times New Roman"/>
        </w:rPr>
        <w:lastRenderedPageBreak/>
        <w:t>(EEC Directive of 1986; 86/609/EEC) and the US guidelines (NIH publication #85-23, revised in 1985).</w:t>
      </w:r>
    </w:p>
    <w:p w14:paraId="679F0F65" w14:textId="77D625F4"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2.6 </w:t>
      </w:r>
      <w:r w:rsidR="004166B7" w:rsidRPr="0045155A">
        <w:rPr>
          <w:rFonts w:cs="Times New Roman"/>
          <w:b/>
          <w:bCs w:val="0"/>
          <w:i w:val="0"/>
          <w:iCs/>
          <w:sz w:val="24"/>
          <w:szCs w:val="24"/>
          <w:lang w:val="en-US"/>
        </w:rPr>
        <w:t>Purchase, acclimatization, and feeding of animals</w:t>
      </w:r>
    </w:p>
    <w:p w14:paraId="4AFF6D02" w14:textId="476E5AE3"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The experiment followed a completely randomized </w:t>
      </w:r>
      <w:r w:rsidRPr="0045155A">
        <w:rPr>
          <w:rFonts w:ascii="Times New Roman" w:hAnsi="Times New Roman" w:cs="Times New Roman"/>
          <w:spacing w:val="-5"/>
        </w:rPr>
        <w:t xml:space="preserve">design. Twenty-eight (28) </w:t>
      </w:r>
      <w:r w:rsidR="00F5206B">
        <w:rPr>
          <w:rFonts w:ascii="Times New Roman" w:hAnsi="Times New Roman" w:cs="Times New Roman"/>
          <w:spacing w:val="-5"/>
        </w:rPr>
        <w:t>Wistar</w:t>
      </w:r>
      <w:r w:rsidRPr="0045155A">
        <w:rPr>
          <w:rFonts w:ascii="Times New Roman" w:hAnsi="Times New Roman" w:cs="Times New Roman"/>
          <w:spacing w:val="-5"/>
        </w:rPr>
        <w:t xml:space="preserve"> rats were purchased from </w:t>
      </w:r>
      <w:proofErr w:type="spellStart"/>
      <w:r w:rsidRPr="0045155A">
        <w:rPr>
          <w:rFonts w:ascii="Times New Roman" w:hAnsi="Times New Roman" w:cs="Times New Roman"/>
          <w:spacing w:val="-5"/>
        </w:rPr>
        <w:t>Onyewuchi</w:t>
      </w:r>
      <w:proofErr w:type="spellEnd"/>
      <w:r w:rsidRPr="0045155A">
        <w:rPr>
          <w:rFonts w:ascii="Times New Roman" w:hAnsi="Times New Roman" w:cs="Times New Roman"/>
        </w:rPr>
        <w:t xml:space="preserve"> Farm, </w:t>
      </w:r>
      <w:proofErr w:type="spellStart"/>
      <w:r w:rsidRPr="0045155A">
        <w:rPr>
          <w:rFonts w:ascii="Times New Roman" w:hAnsi="Times New Roman" w:cs="Times New Roman"/>
        </w:rPr>
        <w:t>Ifite</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These animals were acclimatized for one week and fed only food and </w:t>
      </w:r>
      <w:r w:rsidR="00762734" w:rsidRPr="0045155A">
        <w:rPr>
          <w:rFonts w:ascii="Times New Roman" w:hAnsi="Times New Roman" w:cs="Times New Roman"/>
        </w:rPr>
        <w:t>water.</w:t>
      </w:r>
      <w:r w:rsidRPr="0045155A">
        <w:rPr>
          <w:rFonts w:ascii="Times New Roman" w:hAnsi="Times New Roman" w:cs="Times New Roman"/>
        </w:rPr>
        <w:t xml:space="preserve"> </w:t>
      </w:r>
    </w:p>
    <w:p w14:paraId="4405B167" w14:textId="33295A1B"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lang w:val="en-US"/>
        </w:rPr>
        <w:t xml:space="preserve">2.7 </w:t>
      </w:r>
      <w:r w:rsidR="004166B7" w:rsidRPr="0045155A">
        <w:rPr>
          <w:rFonts w:cs="Times New Roman"/>
          <w:b/>
          <w:bCs w:val="0"/>
          <w:i w:val="0"/>
          <w:iCs/>
          <w:sz w:val="24"/>
          <w:szCs w:val="24"/>
        </w:rPr>
        <w:t>Grouping of the animals</w:t>
      </w:r>
    </w:p>
    <w:p w14:paraId="2973A7CB" w14:textId="2701114A"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Twenty-eight (28) </w:t>
      </w:r>
      <w:r w:rsidR="00F5206B">
        <w:rPr>
          <w:rFonts w:ascii="Times New Roman" w:hAnsi="Times New Roman" w:cs="Times New Roman"/>
        </w:rPr>
        <w:t>Wister</w:t>
      </w:r>
      <w:r w:rsidRPr="0045155A">
        <w:rPr>
          <w:rFonts w:ascii="Times New Roman" w:hAnsi="Times New Roman" w:cs="Times New Roman"/>
        </w:rPr>
        <w:t xml:space="preserve"> rats were divided into four (4) groups of five (7) animals in each group. They were grouped as follows: Group A-normal control; Group B-low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0.185% (w/w)); Group C-high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0.370% (w/w)); and Group D-very 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1.10% (w/w)).</w:t>
      </w:r>
    </w:p>
    <w:p w14:paraId="66FA0A56" w14:textId="6D84489E"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t xml:space="preserve">2.8 </w:t>
      </w:r>
      <w:r w:rsidR="004166B7" w:rsidRPr="0045155A">
        <w:rPr>
          <w:rFonts w:cs="Times New Roman"/>
          <w:b/>
          <w:bCs w:val="0"/>
          <w:i w:val="0"/>
          <w:iCs/>
          <w:sz w:val="24"/>
          <w:szCs w:val="24"/>
        </w:rPr>
        <w:t>Liver function test</w:t>
      </w:r>
    </w:p>
    <w:p w14:paraId="216B64EE" w14:textId="77777777" w:rsidR="004166B7" w:rsidRPr="0045155A" w:rsidRDefault="004166B7" w:rsidP="004166B7">
      <w:pPr>
        <w:spacing w:line="480" w:lineRule="auto"/>
        <w:jc w:val="both"/>
        <w:rPr>
          <w:rFonts w:ascii="Times New Roman" w:hAnsi="Times New Roman" w:cs="Times New Roman"/>
          <w:i/>
          <w:iCs/>
        </w:rPr>
      </w:pPr>
      <w:r w:rsidRPr="0045155A">
        <w:rPr>
          <w:rFonts w:ascii="Times New Roman" w:hAnsi="Times New Roman" w:cs="Times New Roman"/>
        </w:rPr>
        <w:t xml:space="preserve">Serum biochemical indices routinely estimated for liver </w:t>
      </w:r>
      <w:r w:rsidRPr="0045155A">
        <w:rPr>
          <w:rFonts w:ascii="Times New Roman" w:hAnsi="Times New Roman" w:cs="Times New Roman"/>
          <w:spacing w:val="-4"/>
        </w:rPr>
        <w:t>functions, including aspartate aminotransferase (AST), alanine</w:t>
      </w:r>
      <w:r w:rsidRPr="0045155A">
        <w:rPr>
          <w:rFonts w:ascii="Times New Roman" w:hAnsi="Times New Roman" w:cs="Times New Roman"/>
        </w:rPr>
        <w:t xml:space="preserve"> aminotransferase (ALT), alkaline phosphatase (ALP), and total protein, were determined using </w:t>
      </w:r>
      <w:proofErr w:type="spellStart"/>
      <w:r w:rsidRPr="0045155A">
        <w:rPr>
          <w:rFonts w:ascii="Times New Roman" w:hAnsi="Times New Roman" w:cs="Times New Roman"/>
        </w:rPr>
        <w:t>Randox</w:t>
      </w:r>
      <w:proofErr w:type="spellEnd"/>
      <w:r w:rsidRPr="0045155A">
        <w:rPr>
          <w:rFonts w:ascii="Times New Roman" w:hAnsi="Times New Roman" w:cs="Times New Roman"/>
        </w:rPr>
        <w:t xml:space="preserve"> diagnostic </w:t>
      </w:r>
      <w:r w:rsidRPr="0045155A">
        <w:rPr>
          <w:rFonts w:ascii="Times New Roman" w:hAnsi="Times New Roman" w:cs="Times New Roman"/>
          <w:spacing w:val="-3"/>
        </w:rPr>
        <w:t>kits. The procedures followed the manufacturer's instructions</w:t>
      </w:r>
      <w:r w:rsidRPr="0045155A">
        <w:rPr>
          <w:rFonts w:ascii="Times New Roman" w:hAnsi="Times New Roman" w:cs="Times New Roman"/>
          <w:iCs/>
        </w:rPr>
        <w:t>.</w:t>
      </w:r>
    </w:p>
    <w:p w14:paraId="300BB037" w14:textId="32B78852"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t xml:space="preserve">2.9 </w:t>
      </w:r>
      <w:r w:rsidR="004166B7" w:rsidRPr="0045155A">
        <w:rPr>
          <w:rFonts w:cs="Times New Roman"/>
          <w:b/>
          <w:bCs w:val="0"/>
          <w:i w:val="0"/>
          <w:iCs/>
          <w:sz w:val="24"/>
          <w:szCs w:val="24"/>
        </w:rPr>
        <w:t>Histological analysis</w:t>
      </w:r>
    </w:p>
    <w:p w14:paraId="4B73F8D5" w14:textId="77777777"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Histopathological evaluations of the liver were carried out after the completion of the 4-week experimental procedure. The experimental animal was sacrificed by diethyl ether inhalation, and the abdominal cavity was exposed. Thereafter, liver tissues were processed for light </w:t>
      </w:r>
      <w:r w:rsidRPr="0045155A">
        <w:rPr>
          <w:rFonts w:ascii="Times New Roman" w:hAnsi="Times New Roman" w:cs="Times New Roman"/>
          <w:spacing w:val="-4"/>
        </w:rPr>
        <w:t xml:space="preserve">histological </w:t>
      </w:r>
      <w:r w:rsidRPr="0045155A">
        <w:rPr>
          <w:rFonts w:ascii="Times New Roman" w:hAnsi="Times New Roman" w:cs="Times New Roman"/>
          <w:spacing w:val="-4"/>
        </w:rPr>
        <w:lastRenderedPageBreak/>
        <w:t>microscopy, and conventional histopathological</w:t>
      </w:r>
      <w:r w:rsidRPr="0045155A">
        <w:rPr>
          <w:rFonts w:ascii="Times New Roman" w:hAnsi="Times New Roman" w:cs="Times New Roman"/>
        </w:rPr>
        <w:t xml:space="preserve"> evaluations of the liver were conducted using the hematoxylin-eosin technique, as previously described by </w:t>
      </w:r>
      <w:proofErr w:type="spellStart"/>
      <w:r w:rsidRPr="0045155A">
        <w:rPr>
          <w:rFonts w:ascii="Times New Roman" w:hAnsi="Times New Roman" w:cs="Times New Roman"/>
        </w:rPr>
        <w:t>Akinlolu</w:t>
      </w:r>
      <w:proofErr w:type="spellEnd"/>
      <w:r w:rsidRPr="0045155A">
        <w:rPr>
          <w:rFonts w:ascii="Times New Roman" w:hAnsi="Times New Roman" w:cs="Times New Roman"/>
        </w:rPr>
        <w:t xml:space="preserve"> </w:t>
      </w:r>
      <w:r w:rsidRPr="00762734">
        <w:rPr>
          <w:rFonts w:ascii="Times New Roman" w:hAnsi="Times New Roman" w:cs="Times New Roman"/>
          <w:i/>
          <w:iCs/>
        </w:rPr>
        <w:t>et al</w:t>
      </w:r>
      <w:r w:rsidRPr="0045155A">
        <w:rPr>
          <w:rFonts w:ascii="Times New Roman" w:hAnsi="Times New Roman" w:cs="Times New Roman"/>
          <w:i/>
          <w:iCs/>
        </w:rPr>
        <w:t>.</w:t>
      </w:r>
      <w:r w:rsidRPr="0045155A">
        <w:rPr>
          <w:rFonts w:ascii="Times New Roman" w:hAnsi="Times New Roman" w:cs="Times New Roman"/>
        </w:rPr>
        <w:t xml:space="preserve"> (2017).</w:t>
      </w:r>
    </w:p>
    <w:p w14:paraId="3B1DEED4" w14:textId="26964879" w:rsidR="004166B7" w:rsidRPr="0045155A" w:rsidRDefault="00762734" w:rsidP="004166B7">
      <w:pPr>
        <w:pStyle w:val="jbd-subjud10"/>
        <w:spacing w:line="480" w:lineRule="auto"/>
        <w:jc w:val="both"/>
        <w:rPr>
          <w:rFonts w:cs="Times New Roman"/>
          <w:sz w:val="24"/>
          <w:szCs w:val="24"/>
        </w:rPr>
      </w:pPr>
      <w:r>
        <w:rPr>
          <w:rFonts w:cs="Times New Roman"/>
          <w:sz w:val="24"/>
          <w:szCs w:val="24"/>
        </w:rPr>
        <w:t xml:space="preserve">2.10 </w:t>
      </w:r>
      <w:r w:rsidR="004166B7" w:rsidRPr="0045155A">
        <w:rPr>
          <w:rFonts w:cs="Times New Roman"/>
          <w:sz w:val="24"/>
          <w:szCs w:val="24"/>
        </w:rPr>
        <w:t xml:space="preserve">Data </w:t>
      </w:r>
      <w:r w:rsidR="004166B7" w:rsidRPr="0045155A">
        <w:rPr>
          <w:rFonts w:cs="Times New Roman"/>
          <w:sz w:val="24"/>
          <w:szCs w:val="24"/>
          <w:lang w:val="en-US"/>
        </w:rPr>
        <w:t>a</w:t>
      </w:r>
      <w:r w:rsidR="004166B7" w:rsidRPr="0045155A">
        <w:rPr>
          <w:rFonts w:cs="Times New Roman"/>
          <w:sz w:val="24"/>
          <w:szCs w:val="24"/>
        </w:rPr>
        <w:t>nalysis</w:t>
      </w:r>
    </w:p>
    <w:p w14:paraId="066000A1" w14:textId="6C440BA6" w:rsidR="004166B7" w:rsidRPr="0045155A" w:rsidRDefault="004166B7" w:rsidP="004166B7">
      <w:pPr>
        <w:spacing w:line="480" w:lineRule="auto"/>
        <w:jc w:val="both"/>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r w:rsidRPr="0045155A">
        <w:rPr>
          <w:rFonts w:ascii="Times New Roman" w:hAnsi="Times New Roman" w:cs="Times New Roman"/>
        </w:rPr>
        <w:t xml:space="preserve">The data were expressed as mean ± Standard Error of the Mean (SEM) and subjected to One-Way Analysis of Variance </w:t>
      </w:r>
      <w:r w:rsidR="00762734">
        <w:rPr>
          <w:rFonts w:ascii="Times New Roman" w:hAnsi="Times New Roman" w:cs="Times New Roman"/>
        </w:rPr>
        <w:t xml:space="preserve">analysis </w:t>
      </w:r>
      <w:r w:rsidRPr="0045155A">
        <w:rPr>
          <w:rFonts w:ascii="Times New Roman" w:hAnsi="Times New Roman" w:cs="Times New Roman"/>
        </w:rPr>
        <w:t xml:space="preserve">(ANOVA). Values were considered </w:t>
      </w:r>
      <w:r w:rsidRPr="0045155A">
        <w:rPr>
          <w:rFonts w:ascii="Times New Roman" w:hAnsi="Times New Roman" w:cs="Times New Roman"/>
          <w:spacing w:val="-4"/>
        </w:rPr>
        <w:t>statistically significant at (p &lt; 0.05) using Statistical Package</w:t>
      </w:r>
      <w:r w:rsidRPr="0045155A">
        <w:rPr>
          <w:rFonts w:ascii="Times New Roman" w:hAnsi="Times New Roman" w:cs="Times New Roman"/>
        </w:rPr>
        <w:t xml:space="preserve"> for Social Sciences (SPSS) software version 17.0 (SPSS Inc., Chicago, IL, USA).</w:t>
      </w:r>
    </w:p>
    <w:p w14:paraId="2C04CA26" w14:textId="77777777" w:rsidR="004166B7" w:rsidRPr="0045155A" w:rsidRDefault="004166B7" w:rsidP="004166B7">
      <w:pPr>
        <w:pStyle w:val="jbd-Pendahul10"/>
        <w:spacing w:line="480" w:lineRule="auto"/>
        <w:jc w:val="left"/>
        <w:rPr>
          <w:rFonts w:cs="Times New Roman"/>
          <w:sz w:val="24"/>
          <w:szCs w:val="24"/>
        </w:rPr>
      </w:pPr>
    </w:p>
    <w:p w14:paraId="4ECBED58" w14:textId="77777777" w:rsidR="004166B7" w:rsidRDefault="004166B7" w:rsidP="004166B7">
      <w:pPr>
        <w:pStyle w:val="jbd-Pendahul10"/>
        <w:spacing w:line="480" w:lineRule="auto"/>
        <w:rPr>
          <w:sz w:val="24"/>
          <w:szCs w:val="24"/>
        </w:rPr>
        <w:sectPr w:rsidR="004166B7" w:rsidSect="00DD5D22">
          <w:type w:val="continuous"/>
          <w:pgSz w:w="12240" w:h="15840"/>
          <w:pgMar w:top="1440" w:right="1440" w:bottom="1440" w:left="1440" w:header="720" w:footer="720" w:gutter="0"/>
          <w:cols w:space="720"/>
          <w:docGrid w:linePitch="360"/>
        </w:sectPr>
      </w:pPr>
    </w:p>
    <w:p w14:paraId="10664CDD" w14:textId="12029D91" w:rsidR="004166B7" w:rsidRPr="009B5E1A" w:rsidRDefault="00762734" w:rsidP="00762734">
      <w:pPr>
        <w:pStyle w:val="jbd-Pendahul10"/>
        <w:spacing w:line="480" w:lineRule="auto"/>
        <w:jc w:val="both"/>
        <w:rPr>
          <w:rFonts w:cs="Times New Roman"/>
          <w:sz w:val="22"/>
          <w:szCs w:val="22"/>
        </w:rPr>
        <w:sectPr w:rsidR="004166B7" w:rsidRPr="009B5E1A" w:rsidSect="00DD5D22">
          <w:type w:val="continuous"/>
          <w:pgSz w:w="12240" w:h="15840"/>
          <w:pgMar w:top="1440" w:right="1440" w:bottom="1440" w:left="1440" w:header="720" w:footer="720" w:gutter="0"/>
          <w:cols w:space="720"/>
          <w:docGrid w:linePitch="360"/>
        </w:sectPr>
      </w:pPr>
      <w:r w:rsidRPr="009B5E1A">
        <w:rPr>
          <w:rFonts w:cs="Times New Roman"/>
          <w:sz w:val="22"/>
          <w:szCs w:val="22"/>
        </w:rPr>
        <w:t xml:space="preserve">3. </w:t>
      </w:r>
      <w:r w:rsidR="004166B7" w:rsidRPr="009B5E1A">
        <w:rPr>
          <w:rFonts w:cs="Times New Roman"/>
          <w:sz w:val="22"/>
          <w:szCs w:val="22"/>
        </w:rPr>
        <w:t xml:space="preserve">Results </w:t>
      </w:r>
      <w:r w:rsidRPr="009B5E1A">
        <w:rPr>
          <w:rFonts w:cs="Times New Roman"/>
          <w:sz w:val="22"/>
          <w:szCs w:val="22"/>
        </w:rPr>
        <w:t>and discussion</w:t>
      </w:r>
    </w:p>
    <w:p w14:paraId="3F9F8703" w14:textId="01388AA6" w:rsidR="004166B7" w:rsidRPr="009B5E1A" w:rsidRDefault="00762734" w:rsidP="004166B7">
      <w:pPr>
        <w:pStyle w:val="jbd-subjud10"/>
        <w:spacing w:line="480" w:lineRule="auto"/>
        <w:jc w:val="both"/>
        <w:rPr>
          <w:rFonts w:cs="Times New Roman"/>
          <w:sz w:val="22"/>
          <w:szCs w:val="22"/>
        </w:rPr>
      </w:pPr>
      <w:r w:rsidRPr="009B5E1A">
        <w:rPr>
          <w:rFonts w:cs="Times New Roman"/>
          <w:sz w:val="22"/>
          <w:szCs w:val="22"/>
        </w:rPr>
        <w:t xml:space="preserve">3.1 </w:t>
      </w:r>
      <w:r w:rsidR="004166B7" w:rsidRPr="009B5E1A">
        <w:rPr>
          <w:rFonts w:cs="Times New Roman"/>
          <w:sz w:val="22"/>
          <w:szCs w:val="22"/>
        </w:rPr>
        <w:t xml:space="preserve">Result on the </w:t>
      </w:r>
      <w:r w:rsidR="004166B7" w:rsidRPr="009B5E1A">
        <w:rPr>
          <w:rFonts w:cs="Times New Roman"/>
          <w:sz w:val="22"/>
          <w:szCs w:val="22"/>
          <w:lang w:val="en-US"/>
        </w:rPr>
        <w:t>m</w:t>
      </w:r>
      <w:r w:rsidR="004166B7" w:rsidRPr="009B5E1A">
        <w:rPr>
          <w:rFonts w:cs="Times New Roman"/>
          <w:sz w:val="22"/>
          <w:szCs w:val="22"/>
        </w:rPr>
        <w:t>ean-weight parameter</w:t>
      </w:r>
    </w:p>
    <w:p w14:paraId="660B664B" w14:textId="63196CF6" w:rsidR="004166B7" w:rsidRPr="009B5E1A" w:rsidRDefault="004166B7" w:rsidP="004166B7">
      <w:pPr>
        <w:pStyle w:val="jbd-subjud10"/>
        <w:spacing w:line="480" w:lineRule="auto"/>
        <w:jc w:val="both"/>
        <w:rPr>
          <w:rFonts w:eastAsia="Times New Roman" w:cs="Times New Roman"/>
          <w:b w:val="0"/>
          <w:bCs/>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b w:val="0"/>
          <w:bCs/>
        </w:rPr>
        <w:t xml:space="preserve">From the results, consumption of feed formulated with the aluminum phosphide didn’t lead to weight reduction since there was a significant increase in weight (p&lt;0.05) in all the groups; though the groups that fed on feed formulated with higher concentrations of aluminum phosphide had a lower percentage increase in weight, as shown in Table 1. Thus, </w:t>
      </w:r>
      <w:r w:rsidR="009B5E1A">
        <w:rPr>
          <w:rFonts w:eastAsia="Times New Roman" w:cs="Times New Roman"/>
          <w:b w:val="0"/>
          <w:bCs/>
        </w:rPr>
        <w:t>weight changes</w:t>
      </w:r>
      <w:r w:rsidRPr="009B5E1A">
        <w:rPr>
          <w:rFonts w:eastAsia="Times New Roman" w:cs="Times New Roman"/>
          <w:b w:val="0"/>
          <w:bCs/>
        </w:rPr>
        <w:t xml:space="preserve"> are not symptoms of any disease condition associated with the consumption of feed formulated with aluminum phosphide on a subchronic scal</w:t>
      </w:r>
      <w:r w:rsidR="009B5E1A">
        <w:rPr>
          <w:rFonts w:eastAsia="Times New Roman" w:cs="Times New Roman"/>
          <w:b w:val="0"/>
          <w:bCs/>
        </w:rPr>
        <w:t>e.</w:t>
      </w:r>
    </w:p>
    <w:p w14:paraId="5E60465A" w14:textId="77777777" w:rsidR="004166B7" w:rsidRPr="00AD3163" w:rsidRDefault="004166B7" w:rsidP="004166B7">
      <w:pPr>
        <w:pStyle w:val="jbd-subjud10"/>
        <w:spacing w:line="480" w:lineRule="auto"/>
        <w:jc w:val="both"/>
        <w:rPr>
          <w:rFonts w:cs="Times New Roman"/>
          <w:sz w:val="24"/>
          <w:szCs w:val="24"/>
        </w:rPr>
        <w:sectPr w:rsidR="004166B7" w:rsidRPr="00AD3163" w:rsidSect="00DD5D22">
          <w:type w:val="continuous"/>
          <w:pgSz w:w="12240" w:h="15840"/>
          <w:pgMar w:top="1440" w:right="1440" w:bottom="1440" w:left="1440" w:header="720" w:footer="720" w:gutter="0"/>
          <w:cols w:space="720"/>
          <w:docGrid w:linePitch="360"/>
        </w:sectPr>
      </w:pPr>
    </w:p>
    <w:p w14:paraId="463C909A" w14:textId="77777777" w:rsidR="004166B7" w:rsidRDefault="004166B7" w:rsidP="004166B7">
      <w:pPr>
        <w:pStyle w:val="jbd-Pendahul10"/>
        <w:spacing w:line="480" w:lineRule="auto"/>
        <w:jc w:val="left"/>
        <w:rPr>
          <w:rFonts w:eastAsia="Times New Roman" w:cs="Times New Roman"/>
          <w:caps w:val="0"/>
          <w:sz w:val="24"/>
          <w:szCs w:val="24"/>
        </w:rPr>
        <w:sectPr w:rsidR="004166B7" w:rsidSect="00DD5D22">
          <w:type w:val="continuous"/>
          <w:pgSz w:w="12240" w:h="15840"/>
          <w:pgMar w:top="1440" w:right="1440" w:bottom="1440" w:left="1440" w:header="720" w:footer="720" w:gutter="0"/>
          <w:cols w:space="720"/>
          <w:docGrid w:linePitch="360"/>
        </w:sectPr>
      </w:pPr>
    </w:p>
    <w:p w14:paraId="494A63DF" w14:textId="77777777" w:rsidR="008675E6" w:rsidRDefault="008675E6" w:rsidP="004166B7">
      <w:pPr>
        <w:pStyle w:val="jbd-Pendahul10"/>
        <w:spacing w:after="0" w:line="480" w:lineRule="auto"/>
        <w:jc w:val="left"/>
        <w:rPr>
          <w:rFonts w:eastAsia="Times New Roman" w:cs="Times New Roman"/>
          <w:caps w:val="0"/>
          <w:szCs w:val="20"/>
        </w:rPr>
      </w:pPr>
    </w:p>
    <w:p w14:paraId="2CBE09EE" w14:textId="77777777" w:rsidR="008675E6" w:rsidRDefault="008675E6" w:rsidP="004166B7">
      <w:pPr>
        <w:pStyle w:val="jbd-Pendahul10"/>
        <w:spacing w:after="0" w:line="480" w:lineRule="auto"/>
        <w:jc w:val="left"/>
        <w:rPr>
          <w:rFonts w:eastAsia="Times New Roman" w:cs="Times New Roman"/>
          <w:caps w:val="0"/>
          <w:szCs w:val="20"/>
        </w:rPr>
      </w:pPr>
    </w:p>
    <w:p w14:paraId="509569E6" w14:textId="77777777" w:rsidR="008675E6" w:rsidRDefault="008675E6" w:rsidP="004166B7">
      <w:pPr>
        <w:pStyle w:val="jbd-Pendahul10"/>
        <w:spacing w:after="0" w:line="480" w:lineRule="auto"/>
        <w:jc w:val="left"/>
        <w:rPr>
          <w:rFonts w:eastAsia="Times New Roman" w:cs="Times New Roman"/>
          <w:caps w:val="0"/>
          <w:szCs w:val="20"/>
        </w:rPr>
      </w:pPr>
    </w:p>
    <w:p w14:paraId="6D9F616B" w14:textId="77777777" w:rsidR="008675E6" w:rsidRDefault="008675E6" w:rsidP="004166B7">
      <w:pPr>
        <w:pStyle w:val="jbd-Pendahul10"/>
        <w:spacing w:after="0" w:line="480" w:lineRule="auto"/>
        <w:jc w:val="left"/>
        <w:rPr>
          <w:rFonts w:eastAsia="Times New Roman" w:cs="Times New Roman"/>
          <w:caps w:val="0"/>
          <w:szCs w:val="20"/>
        </w:rPr>
      </w:pPr>
    </w:p>
    <w:p w14:paraId="37048B9E" w14:textId="77777777" w:rsidR="008675E6" w:rsidRDefault="008675E6" w:rsidP="004166B7">
      <w:pPr>
        <w:pStyle w:val="jbd-Pendahul10"/>
        <w:spacing w:after="0" w:line="480" w:lineRule="auto"/>
        <w:jc w:val="left"/>
        <w:rPr>
          <w:rFonts w:eastAsia="Times New Roman" w:cs="Times New Roman"/>
          <w:caps w:val="0"/>
          <w:szCs w:val="20"/>
        </w:rPr>
      </w:pPr>
    </w:p>
    <w:p w14:paraId="2610BE46" w14:textId="77777777" w:rsidR="008675E6" w:rsidRDefault="008675E6" w:rsidP="004166B7">
      <w:pPr>
        <w:pStyle w:val="jbd-Pendahul10"/>
        <w:spacing w:after="0" w:line="480" w:lineRule="auto"/>
        <w:jc w:val="left"/>
        <w:rPr>
          <w:rFonts w:eastAsia="Times New Roman" w:cs="Times New Roman"/>
          <w:caps w:val="0"/>
          <w:szCs w:val="20"/>
        </w:rPr>
      </w:pPr>
    </w:p>
    <w:p w14:paraId="1873F77F" w14:textId="3E53FC58" w:rsidR="004166B7" w:rsidRPr="009B5E1A" w:rsidRDefault="004166B7" w:rsidP="004166B7">
      <w:pPr>
        <w:pStyle w:val="jbd-Pendahul10"/>
        <w:spacing w:after="0" w:line="480" w:lineRule="auto"/>
        <w:jc w:val="left"/>
        <w:rPr>
          <w:rFonts w:cs="Times New Roman"/>
          <w:b w:val="0"/>
          <w:bCs w:val="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caps w:val="0"/>
          <w:szCs w:val="20"/>
        </w:rPr>
        <w:t>Table 1</w:t>
      </w:r>
      <w:r w:rsidRPr="009B5E1A">
        <w:rPr>
          <w:rFonts w:eastAsia="Times New Roman" w:cs="Times New Roman"/>
          <w:b w:val="0"/>
          <w:bCs w:val="0"/>
          <w:caps w:val="0"/>
          <w:szCs w:val="20"/>
        </w:rPr>
        <w:t>: Average weights of the various groups during the experimental period</w:t>
      </w:r>
    </w:p>
    <w:p w14:paraId="33EA7CD5" w14:textId="77777777" w:rsidR="004166B7" w:rsidRPr="009B5E1A" w:rsidRDefault="004166B7" w:rsidP="004166B7">
      <w:pPr>
        <w:spacing w:after="0" w:line="480" w:lineRule="auto"/>
        <w:rPr>
          <w:rFonts w:ascii="Times New Roman" w:eastAsia="Times New Roman" w:hAnsi="Times New Roman" w:cs="Times New Roman"/>
          <w:b/>
          <w:sz w:val="20"/>
          <w:szCs w:val="20"/>
          <w:lang w:val="id-ID"/>
        </w:rPr>
      </w:pPr>
    </w:p>
    <w:tbl>
      <w:tblPr>
        <w:tblStyle w:val="LightShading11"/>
        <w:tblW w:w="0" w:type="auto"/>
        <w:shd w:val="clear" w:color="auto" w:fill="FFFFFF" w:themeFill="background1"/>
        <w:tblLook w:val="04A0" w:firstRow="1" w:lastRow="0" w:firstColumn="1" w:lastColumn="0" w:noHBand="0" w:noVBand="1"/>
      </w:tblPr>
      <w:tblGrid>
        <w:gridCol w:w="1477"/>
        <w:gridCol w:w="1611"/>
        <w:gridCol w:w="1685"/>
        <w:gridCol w:w="1685"/>
        <w:gridCol w:w="1686"/>
        <w:gridCol w:w="1216"/>
      </w:tblGrid>
      <w:tr w:rsidR="008675E6" w:rsidRPr="009B5E1A" w14:paraId="61637A65" w14:textId="4A337446" w:rsidTr="0086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5C3CBF9"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Time (Weeks)</w:t>
            </w:r>
          </w:p>
        </w:tc>
        <w:tc>
          <w:tcPr>
            <w:tcW w:w="1611" w:type="dxa"/>
            <w:shd w:val="clear" w:color="auto" w:fill="FFFFFF" w:themeFill="background1"/>
          </w:tcPr>
          <w:p w14:paraId="0374EC13"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685" w:type="dxa"/>
            <w:shd w:val="clear" w:color="auto" w:fill="FFFFFF" w:themeFill="background1"/>
          </w:tcPr>
          <w:p w14:paraId="3791357F" w14:textId="6AA37598"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Low </w:t>
            </w:r>
            <w:r w:rsidRPr="009B5E1A">
              <w:rPr>
                <w:rFonts w:ascii="Times New Roman" w:hAnsi="Times New Roman" w:cs="Times New Roman"/>
                <w:sz w:val="20"/>
                <w:szCs w:val="20"/>
              </w:rPr>
              <w:t>concentration of Aluminum phosphide</w:t>
            </w:r>
          </w:p>
        </w:tc>
        <w:tc>
          <w:tcPr>
            <w:tcW w:w="1685" w:type="dxa"/>
            <w:shd w:val="clear" w:color="auto" w:fill="FFFFFF" w:themeFill="background1"/>
          </w:tcPr>
          <w:p w14:paraId="58BE2380"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686" w:type="dxa"/>
            <w:shd w:val="clear" w:color="auto" w:fill="FFFFFF" w:themeFill="background1"/>
          </w:tcPr>
          <w:p w14:paraId="1164C197"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c>
          <w:tcPr>
            <w:tcW w:w="1216" w:type="dxa"/>
          </w:tcPr>
          <w:p w14:paraId="330086BC"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4495FC3C" w14:textId="363DA3F4"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05B6BE7"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0</w:t>
            </w:r>
          </w:p>
        </w:tc>
        <w:tc>
          <w:tcPr>
            <w:tcW w:w="1611" w:type="dxa"/>
            <w:shd w:val="clear" w:color="auto" w:fill="FFFFFF" w:themeFill="background1"/>
          </w:tcPr>
          <w:p w14:paraId="0E475663"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59.43±2.30</w:t>
            </w:r>
          </w:p>
        </w:tc>
        <w:tc>
          <w:tcPr>
            <w:tcW w:w="1685" w:type="dxa"/>
            <w:shd w:val="clear" w:color="auto" w:fill="FFFFFF" w:themeFill="background1"/>
          </w:tcPr>
          <w:p w14:paraId="61C9C2C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63.86±2.11</w:t>
            </w:r>
          </w:p>
        </w:tc>
        <w:tc>
          <w:tcPr>
            <w:tcW w:w="1685" w:type="dxa"/>
            <w:shd w:val="clear" w:color="auto" w:fill="FFFFFF" w:themeFill="background1"/>
          </w:tcPr>
          <w:p w14:paraId="1442D3BE"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77.43±1.77</w:t>
            </w:r>
          </w:p>
        </w:tc>
        <w:tc>
          <w:tcPr>
            <w:tcW w:w="1686" w:type="dxa"/>
            <w:shd w:val="clear" w:color="auto" w:fill="FFFFFF" w:themeFill="background1"/>
          </w:tcPr>
          <w:p w14:paraId="62C1EC6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68.14±2.66</w:t>
            </w:r>
          </w:p>
        </w:tc>
        <w:tc>
          <w:tcPr>
            <w:tcW w:w="1216" w:type="dxa"/>
          </w:tcPr>
          <w:p w14:paraId="75C79051"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5C6F4960" w14:textId="03F87AFA"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8FA7013"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1</w:t>
            </w:r>
          </w:p>
        </w:tc>
        <w:tc>
          <w:tcPr>
            <w:tcW w:w="1611" w:type="dxa"/>
            <w:shd w:val="clear" w:color="auto" w:fill="FFFFFF" w:themeFill="background1"/>
          </w:tcPr>
          <w:p w14:paraId="4AAA606B"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71.00±4.42</w:t>
            </w:r>
          </w:p>
        </w:tc>
        <w:tc>
          <w:tcPr>
            <w:tcW w:w="1685" w:type="dxa"/>
            <w:shd w:val="clear" w:color="auto" w:fill="FFFFFF" w:themeFill="background1"/>
          </w:tcPr>
          <w:p w14:paraId="0541C8B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88.80±4.15</w:t>
            </w:r>
          </w:p>
        </w:tc>
        <w:tc>
          <w:tcPr>
            <w:tcW w:w="1685" w:type="dxa"/>
            <w:shd w:val="clear" w:color="auto" w:fill="FFFFFF" w:themeFill="background1"/>
          </w:tcPr>
          <w:p w14:paraId="47BD877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81.17±3.32</w:t>
            </w:r>
          </w:p>
        </w:tc>
        <w:tc>
          <w:tcPr>
            <w:tcW w:w="1686" w:type="dxa"/>
            <w:shd w:val="clear" w:color="auto" w:fill="FFFFFF" w:themeFill="background1"/>
          </w:tcPr>
          <w:p w14:paraId="4D01E30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78.14±2.76</w:t>
            </w:r>
          </w:p>
        </w:tc>
        <w:tc>
          <w:tcPr>
            <w:tcW w:w="1216" w:type="dxa"/>
          </w:tcPr>
          <w:p w14:paraId="6E926C8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6BD85D93" w14:textId="025B9C72"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45ECCCE"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2</w:t>
            </w:r>
          </w:p>
        </w:tc>
        <w:tc>
          <w:tcPr>
            <w:tcW w:w="1611" w:type="dxa"/>
            <w:shd w:val="clear" w:color="auto" w:fill="FFFFFF" w:themeFill="background1"/>
          </w:tcPr>
          <w:p w14:paraId="33E3C803"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73.83±4.88</w:t>
            </w:r>
          </w:p>
        </w:tc>
        <w:tc>
          <w:tcPr>
            <w:tcW w:w="1685" w:type="dxa"/>
            <w:shd w:val="clear" w:color="auto" w:fill="FFFFFF" w:themeFill="background1"/>
          </w:tcPr>
          <w:p w14:paraId="447CF86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90.00±4.23</w:t>
            </w:r>
          </w:p>
        </w:tc>
        <w:tc>
          <w:tcPr>
            <w:tcW w:w="1685" w:type="dxa"/>
            <w:shd w:val="clear" w:color="auto" w:fill="FFFFFF" w:themeFill="background1"/>
          </w:tcPr>
          <w:p w14:paraId="09515A3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79.00±2.86</w:t>
            </w:r>
          </w:p>
        </w:tc>
        <w:tc>
          <w:tcPr>
            <w:tcW w:w="1686" w:type="dxa"/>
            <w:shd w:val="clear" w:color="auto" w:fill="FFFFFF" w:themeFill="background1"/>
          </w:tcPr>
          <w:p w14:paraId="10FD98B7"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78.17±3.66</w:t>
            </w:r>
          </w:p>
        </w:tc>
        <w:tc>
          <w:tcPr>
            <w:tcW w:w="1216" w:type="dxa"/>
          </w:tcPr>
          <w:p w14:paraId="0F8D6382"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7F68D21F" w14:textId="3E2F3E82"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68AB9F9"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3</w:t>
            </w:r>
          </w:p>
        </w:tc>
        <w:tc>
          <w:tcPr>
            <w:tcW w:w="1611" w:type="dxa"/>
            <w:shd w:val="clear" w:color="auto" w:fill="FFFFFF" w:themeFill="background1"/>
          </w:tcPr>
          <w:p w14:paraId="730D831C"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80.50±7.21</w:t>
            </w:r>
          </w:p>
        </w:tc>
        <w:tc>
          <w:tcPr>
            <w:tcW w:w="1685" w:type="dxa"/>
            <w:shd w:val="clear" w:color="auto" w:fill="FFFFFF" w:themeFill="background1"/>
          </w:tcPr>
          <w:p w14:paraId="686BBA7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95.60±4.68</w:t>
            </w:r>
          </w:p>
        </w:tc>
        <w:tc>
          <w:tcPr>
            <w:tcW w:w="1685" w:type="dxa"/>
            <w:shd w:val="clear" w:color="auto" w:fill="FFFFFF" w:themeFill="background1"/>
          </w:tcPr>
          <w:p w14:paraId="07DD3349"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85.83±3.45</w:t>
            </w:r>
          </w:p>
        </w:tc>
        <w:tc>
          <w:tcPr>
            <w:tcW w:w="1686" w:type="dxa"/>
            <w:shd w:val="clear" w:color="auto" w:fill="FFFFFF" w:themeFill="background1"/>
          </w:tcPr>
          <w:p w14:paraId="4C053902"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86.17±4.25</w:t>
            </w:r>
          </w:p>
        </w:tc>
        <w:tc>
          <w:tcPr>
            <w:tcW w:w="1216" w:type="dxa"/>
          </w:tcPr>
          <w:p w14:paraId="357DC842"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5CE10625" w14:textId="35786D4F"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7351EBA4"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4</w:t>
            </w:r>
          </w:p>
        </w:tc>
        <w:tc>
          <w:tcPr>
            <w:tcW w:w="1611" w:type="dxa"/>
            <w:shd w:val="clear" w:color="auto" w:fill="FFFFFF" w:themeFill="background1"/>
          </w:tcPr>
          <w:p w14:paraId="28C9E08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85.67±7.40</w:t>
            </w:r>
          </w:p>
        </w:tc>
        <w:tc>
          <w:tcPr>
            <w:tcW w:w="1685" w:type="dxa"/>
            <w:shd w:val="clear" w:color="auto" w:fill="FFFFFF" w:themeFill="background1"/>
          </w:tcPr>
          <w:p w14:paraId="63B653F5"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100.40±4.97</w:t>
            </w:r>
          </w:p>
        </w:tc>
        <w:tc>
          <w:tcPr>
            <w:tcW w:w="1685" w:type="dxa"/>
            <w:shd w:val="clear" w:color="auto" w:fill="FFFFFF" w:themeFill="background1"/>
          </w:tcPr>
          <w:p w14:paraId="64BFC674"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84.17±3.92</w:t>
            </w:r>
          </w:p>
        </w:tc>
        <w:tc>
          <w:tcPr>
            <w:tcW w:w="1686" w:type="dxa"/>
            <w:shd w:val="clear" w:color="auto" w:fill="FFFFFF" w:themeFill="background1"/>
          </w:tcPr>
          <w:p w14:paraId="2C2D31EC"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89.33±4.94</w:t>
            </w:r>
          </w:p>
        </w:tc>
        <w:tc>
          <w:tcPr>
            <w:tcW w:w="1216" w:type="dxa"/>
          </w:tcPr>
          <w:p w14:paraId="680647AA"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2E96ADD9" w14:textId="53F8280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FB5AA5C"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5</w:t>
            </w:r>
          </w:p>
        </w:tc>
        <w:tc>
          <w:tcPr>
            <w:tcW w:w="1611" w:type="dxa"/>
            <w:shd w:val="clear" w:color="auto" w:fill="FFFFFF" w:themeFill="background1"/>
          </w:tcPr>
          <w:p w14:paraId="37555AF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96.33±8.02</w:t>
            </w:r>
          </w:p>
        </w:tc>
        <w:tc>
          <w:tcPr>
            <w:tcW w:w="1685" w:type="dxa"/>
            <w:shd w:val="clear" w:color="auto" w:fill="FFFFFF" w:themeFill="background1"/>
          </w:tcPr>
          <w:p w14:paraId="6090BEBA"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112.20±6.45</w:t>
            </w:r>
          </w:p>
        </w:tc>
        <w:tc>
          <w:tcPr>
            <w:tcW w:w="1685" w:type="dxa"/>
            <w:shd w:val="clear" w:color="auto" w:fill="FFFFFF" w:themeFill="background1"/>
          </w:tcPr>
          <w:p w14:paraId="2BF1DA7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102.17±4.64</w:t>
            </w:r>
          </w:p>
        </w:tc>
        <w:tc>
          <w:tcPr>
            <w:tcW w:w="1686" w:type="dxa"/>
            <w:shd w:val="clear" w:color="auto" w:fill="FFFFFF" w:themeFill="background1"/>
          </w:tcPr>
          <w:p w14:paraId="7856A220"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106.67±6.22</w:t>
            </w:r>
          </w:p>
        </w:tc>
        <w:tc>
          <w:tcPr>
            <w:tcW w:w="1216" w:type="dxa"/>
          </w:tcPr>
          <w:p w14:paraId="7224D4F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38E2504A" w14:textId="0A0AA63B"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59819FF"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6</w:t>
            </w:r>
          </w:p>
        </w:tc>
        <w:tc>
          <w:tcPr>
            <w:tcW w:w="1611" w:type="dxa"/>
            <w:shd w:val="clear" w:color="auto" w:fill="FFFFFF" w:themeFill="background1"/>
          </w:tcPr>
          <w:p w14:paraId="172A465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90.17±7.81</w:t>
            </w:r>
          </w:p>
        </w:tc>
        <w:tc>
          <w:tcPr>
            <w:tcW w:w="1685" w:type="dxa"/>
            <w:shd w:val="clear" w:color="auto" w:fill="FFFFFF" w:themeFill="background1"/>
          </w:tcPr>
          <w:p w14:paraId="4BDA7238"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103.20±6.90</w:t>
            </w:r>
          </w:p>
        </w:tc>
        <w:tc>
          <w:tcPr>
            <w:tcW w:w="1685" w:type="dxa"/>
            <w:shd w:val="clear" w:color="auto" w:fill="FFFFFF" w:themeFill="background1"/>
          </w:tcPr>
          <w:p w14:paraId="165CA1A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92.50±4.79</w:t>
            </w:r>
          </w:p>
        </w:tc>
        <w:tc>
          <w:tcPr>
            <w:tcW w:w="1686" w:type="dxa"/>
            <w:shd w:val="clear" w:color="auto" w:fill="FFFFFF" w:themeFill="background1"/>
          </w:tcPr>
          <w:p w14:paraId="7AB2CFF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97.67±5.89</w:t>
            </w:r>
          </w:p>
        </w:tc>
        <w:tc>
          <w:tcPr>
            <w:tcW w:w="1216" w:type="dxa"/>
          </w:tcPr>
          <w:p w14:paraId="5597D636"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0D100947" w14:textId="3D01B8F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5D2EFB07"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7</w:t>
            </w:r>
          </w:p>
        </w:tc>
        <w:tc>
          <w:tcPr>
            <w:tcW w:w="1611" w:type="dxa"/>
            <w:shd w:val="clear" w:color="auto" w:fill="FFFFFF" w:themeFill="background1"/>
          </w:tcPr>
          <w:p w14:paraId="6E6114B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96.83±10.20</w:t>
            </w:r>
          </w:p>
        </w:tc>
        <w:tc>
          <w:tcPr>
            <w:tcW w:w="1685" w:type="dxa"/>
            <w:shd w:val="clear" w:color="auto" w:fill="FFFFFF" w:themeFill="background1"/>
          </w:tcPr>
          <w:p w14:paraId="1D64437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118.60±6.21</w:t>
            </w:r>
          </w:p>
        </w:tc>
        <w:tc>
          <w:tcPr>
            <w:tcW w:w="1685" w:type="dxa"/>
            <w:shd w:val="clear" w:color="auto" w:fill="FFFFFF" w:themeFill="background1"/>
          </w:tcPr>
          <w:p w14:paraId="2A7BF7E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108.33±5.74</w:t>
            </w:r>
          </w:p>
        </w:tc>
        <w:tc>
          <w:tcPr>
            <w:tcW w:w="1686" w:type="dxa"/>
            <w:shd w:val="clear" w:color="auto" w:fill="FFFFFF" w:themeFill="background1"/>
          </w:tcPr>
          <w:p w14:paraId="70E1448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113.00±7.48</w:t>
            </w:r>
          </w:p>
        </w:tc>
        <w:tc>
          <w:tcPr>
            <w:tcW w:w="1216" w:type="dxa"/>
          </w:tcPr>
          <w:p w14:paraId="0621FCC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09E61DAF" w14:textId="60EA38DA"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Borders>
              <w:bottom w:val="single" w:sz="8" w:space="0" w:color="000000" w:themeColor="text1"/>
            </w:tcBorders>
            <w:shd w:val="clear" w:color="auto" w:fill="FFFFFF" w:themeFill="background1"/>
          </w:tcPr>
          <w:p w14:paraId="3B40AEDA"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8</w:t>
            </w:r>
          </w:p>
        </w:tc>
        <w:tc>
          <w:tcPr>
            <w:tcW w:w="1611" w:type="dxa"/>
            <w:tcBorders>
              <w:bottom w:val="single" w:sz="8" w:space="0" w:color="000000" w:themeColor="text1"/>
            </w:tcBorders>
            <w:shd w:val="clear" w:color="auto" w:fill="FFFFFF" w:themeFill="background1"/>
          </w:tcPr>
          <w:p w14:paraId="3B80B4A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109.00±9.08</w:t>
            </w:r>
          </w:p>
        </w:tc>
        <w:tc>
          <w:tcPr>
            <w:tcW w:w="1685" w:type="dxa"/>
            <w:tcBorders>
              <w:bottom w:val="single" w:sz="8" w:space="0" w:color="000000" w:themeColor="text1"/>
            </w:tcBorders>
            <w:shd w:val="clear" w:color="auto" w:fill="FFFFFF" w:themeFill="background1"/>
          </w:tcPr>
          <w:p w14:paraId="539FC4E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124.40±6.18</w:t>
            </w:r>
          </w:p>
        </w:tc>
        <w:tc>
          <w:tcPr>
            <w:tcW w:w="1685" w:type="dxa"/>
            <w:tcBorders>
              <w:bottom w:val="single" w:sz="8" w:space="0" w:color="000000" w:themeColor="text1"/>
            </w:tcBorders>
            <w:shd w:val="clear" w:color="auto" w:fill="FFFFFF" w:themeFill="background1"/>
          </w:tcPr>
          <w:p w14:paraId="3352E33C"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106.67±6.15</w:t>
            </w:r>
          </w:p>
        </w:tc>
        <w:tc>
          <w:tcPr>
            <w:tcW w:w="1686" w:type="dxa"/>
            <w:tcBorders>
              <w:bottom w:val="single" w:sz="8" w:space="0" w:color="000000" w:themeColor="text1"/>
            </w:tcBorders>
            <w:shd w:val="clear" w:color="auto" w:fill="FFFFFF" w:themeFill="background1"/>
          </w:tcPr>
          <w:p w14:paraId="0DE4498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113.50±7.46</w:t>
            </w:r>
          </w:p>
        </w:tc>
        <w:tc>
          <w:tcPr>
            <w:tcW w:w="1216" w:type="dxa"/>
          </w:tcPr>
          <w:p w14:paraId="1493DAA4"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C0D814A"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142F1BD0"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6E4ABED2"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4876A56" w14:textId="77777777" w:rsidR="004166B7" w:rsidRDefault="004166B7" w:rsidP="004166B7">
      <w:pPr>
        <w:pStyle w:val="jbd-subjud10"/>
        <w:spacing w:before="0" w:line="480" w:lineRule="auto"/>
        <w:rPr>
          <w:sz w:val="24"/>
          <w:szCs w:val="24"/>
        </w:rPr>
        <w:sectPr w:rsidR="004166B7" w:rsidSect="00DD5D22">
          <w:type w:val="continuous"/>
          <w:pgSz w:w="12240" w:h="15840"/>
          <w:pgMar w:top="1440" w:right="1440" w:bottom="1440" w:left="1440" w:header="720" w:footer="720" w:gutter="0"/>
          <w:cols w:space="720"/>
          <w:docGrid w:linePitch="360"/>
        </w:sectPr>
      </w:pPr>
    </w:p>
    <w:p w14:paraId="1A073C63" w14:textId="2FBDC076" w:rsidR="004166B7" w:rsidRPr="00AD3163" w:rsidRDefault="00762734" w:rsidP="004166B7">
      <w:pPr>
        <w:pStyle w:val="jbd-subjud10"/>
        <w:spacing w:before="0" w:line="480" w:lineRule="auto"/>
        <w:jc w:val="both"/>
        <w:rPr>
          <w:rFonts w:cs="Times New Roman"/>
          <w:sz w:val="24"/>
          <w:szCs w:val="24"/>
        </w:rPr>
      </w:pPr>
      <w:r>
        <w:rPr>
          <w:rFonts w:cs="Times New Roman"/>
          <w:sz w:val="24"/>
          <w:szCs w:val="24"/>
        </w:rPr>
        <w:lastRenderedPageBreak/>
        <w:t>3</w:t>
      </w:r>
      <w:r w:rsidRPr="009B5E1A">
        <w:rPr>
          <w:rFonts w:cs="Times New Roman"/>
          <w:sz w:val="22"/>
          <w:szCs w:val="22"/>
        </w:rPr>
        <w:t>.2 Liver Analysis Results</w:t>
      </w:r>
    </w:p>
    <w:p w14:paraId="22A45EF5" w14:textId="77777777" w:rsidR="004166B7" w:rsidRPr="009B5E1A" w:rsidRDefault="004166B7" w:rsidP="004166B7">
      <w:pPr>
        <w:spacing w:line="480" w:lineRule="auto"/>
        <w:jc w:val="both"/>
        <w:rPr>
          <w:rFonts w:ascii="Times New Roman" w:eastAsia="Times New Roman" w:hAnsi="Times New Roman" w:cs="Times New Roman"/>
          <w:bCs/>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cs="Times New Roman"/>
          <w:bCs/>
          <w:sz w:val="20"/>
          <w:szCs w:val="20"/>
        </w:rPr>
        <w:t xml:space="preserve">The results show that the group that consumed feed formulated with a very high concentration of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had the highest Alanine Aminotransferase (ALT) levels (41.20±4.15 U/L). Also, the highest total bilirubin level was recorded in the group that consumed feed formulated with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(2.74±0.19 mg/dl) as shown in Table 2. There was a significant increase in total bilirubin (p&gt; 0.05). There were significant reductions in ALP and AST levels (p &gt; 0.05). There were no significant differences in total protein, Albumin, and Globulin levels.</w:t>
      </w:r>
    </w:p>
    <w:p w14:paraId="16DBB14D" w14:textId="77777777" w:rsidR="004166B7" w:rsidRPr="009B5E1A" w:rsidRDefault="004166B7" w:rsidP="004166B7">
      <w:pPr>
        <w:spacing w:line="240" w:lineRule="auto"/>
        <w:rPr>
          <w:rFonts w:ascii="Times New Roman" w:hAnsi="Times New Roman" w:cs="Times New Roman"/>
          <w:sz w:val="20"/>
          <w:szCs w:val="20"/>
        </w:rPr>
        <w:sectPr w:rsidR="004166B7" w:rsidRPr="009B5E1A" w:rsidSect="00DD5D22">
          <w:type w:val="continuous"/>
          <w:pgSz w:w="12240" w:h="15840"/>
          <w:pgMar w:top="1440" w:right="1440" w:bottom="1440" w:left="1440" w:header="720" w:footer="720" w:gutter="0"/>
          <w:cols w:space="720"/>
          <w:docGrid w:linePitch="360"/>
        </w:sectPr>
      </w:pPr>
    </w:p>
    <w:p w14:paraId="052D97B7" w14:textId="77777777" w:rsidR="004166B7" w:rsidRPr="009B5E1A" w:rsidRDefault="004166B7" w:rsidP="004166B7">
      <w:pPr>
        <w:spacing w:line="240" w:lineRule="auto"/>
        <w:rPr>
          <w:rFonts w:ascii="Times New Roman" w:eastAsia="Times New Roman" w:hAnsi="Times New Roman" w:cs="Times New Roman"/>
          <w:sz w:val="20"/>
          <w:szCs w:val="20"/>
        </w:rPr>
      </w:pPr>
      <w:r w:rsidRPr="009B5E1A">
        <w:rPr>
          <w:rFonts w:ascii="Times New Roman" w:hAnsi="Times New Roman" w:cs="Times New Roman"/>
          <w:sz w:val="20"/>
          <w:szCs w:val="20"/>
        </w:rPr>
        <w:t xml:space="preserve">Table 2: </w:t>
      </w:r>
      <w:r w:rsidRPr="009B5E1A">
        <w:rPr>
          <w:rFonts w:ascii="Times New Roman" w:eastAsia="Times New Roman" w:hAnsi="Times New Roman" w:cs="Times New Roman"/>
          <w:sz w:val="20"/>
          <w:szCs w:val="20"/>
        </w:rPr>
        <w:t>Average liver function parameters in the various groups</w:t>
      </w:r>
    </w:p>
    <w:tbl>
      <w:tblPr>
        <w:tblStyle w:val="LightShading11"/>
        <w:tblW w:w="0" w:type="auto"/>
        <w:shd w:val="clear" w:color="auto" w:fill="FFFFFF" w:themeFill="background1"/>
        <w:tblLook w:val="04A0" w:firstRow="1" w:lastRow="0" w:firstColumn="1" w:lastColumn="0" w:noHBand="0" w:noVBand="1"/>
      </w:tblPr>
      <w:tblGrid>
        <w:gridCol w:w="1860"/>
        <w:gridCol w:w="1871"/>
        <w:gridCol w:w="1876"/>
        <w:gridCol w:w="1876"/>
        <w:gridCol w:w="1877"/>
      </w:tblGrid>
      <w:tr w:rsidR="004166B7" w:rsidRPr="009B5E1A" w14:paraId="58DAD8D0" w14:textId="77777777" w:rsidTr="00AF1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121F88F"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Parameters</w:t>
            </w:r>
          </w:p>
        </w:tc>
        <w:tc>
          <w:tcPr>
            <w:tcW w:w="1915" w:type="dxa"/>
            <w:shd w:val="clear" w:color="auto" w:fill="FFFFFF" w:themeFill="background1"/>
          </w:tcPr>
          <w:p w14:paraId="4F495ED0"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915" w:type="dxa"/>
            <w:shd w:val="clear" w:color="auto" w:fill="FFFFFF" w:themeFill="background1"/>
          </w:tcPr>
          <w:p w14:paraId="4CC73BBC"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Low concentration of Aluminum phosphide</w:t>
            </w:r>
          </w:p>
        </w:tc>
        <w:tc>
          <w:tcPr>
            <w:tcW w:w="1915" w:type="dxa"/>
            <w:shd w:val="clear" w:color="auto" w:fill="FFFFFF" w:themeFill="background1"/>
          </w:tcPr>
          <w:p w14:paraId="124B83E6"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916" w:type="dxa"/>
            <w:shd w:val="clear" w:color="auto" w:fill="FFFFFF" w:themeFill="background1"/>
          </w:tcPr>
          <w:p w14:paraId="760FD7E8"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r>
      <w:tr w:rsidR="004166B7" w:rsidRPr="009B5E1A" w14:paraId="60C9536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EBC9561"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ALT (U/L)</w:t>
            </w:r>
          </w:p>
        </w:tc>
        <w:tc>
          <w:tcPr>
            <w:tcW w:w="1915" w:type="dxa"/>
            <w:shd w:val="clear" w:color="auto" w:fill="FFFFFF" w:themeFill="background1"/>
          </w:tcPr>
          <w:p w14:paraId="03BB80B6"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30.45±3.72</w:t>
            </w:r>
          </w:p>
        </w:tc>
        <w:tc>
          <w:tcPr>
            <w:tcW w:w="1915" w:type="dxa"/>
            <w:shd w:val="clear" w:color="auto" w:fill="FFFFFF" w:themeFill="background1"/>
          </w:tcPr>
          <w:p w14:paraId="4B456AC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28.87±10.80</w:t>
            </w:r>
          </w:p>
        </w:tc>
        <w:tc>
          <w:tcPr>
            <w:tcW w:w="1915" w:type="dxa"/>
            <w:shd w:val="clear" w:color="auto" w:fill="FFFFFF" w:themeFill="background1"/>
          </w:tcPr>
          <w:p w14:paraId="411D67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37.20±5.43</w:t>
            </w:r>
          </w:p>
        </w:tc>
        <w:tc>
          <w:tcPr>
            <w:tcW w:w="1916" w:type="dxa"/>
            <w:shd w:val="clear" w:color="auto" w:fill="FFFFFF" w:themeFill="background1"/>
          </w:tcPr>
          <w:p w14:paraId="201856DE"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41.20±4.15</w:t>
            </w:r>
          </w:p>
        </w:tc>
      </w:tr>
      <w:tr w:rsidR="004166B7" w:rsidRPr="009B5E1A" w14:paraId="36C4CDC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69228BB"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AST (U/L)</w:t>
            </w:r>
          </w:p>
        </w:tc>
        <w:tc>
          <w:tcPr>
            <w:tcW w:w="1915" w:type="dxa"/>
            <w:shd w:val="clear" w:color="auto" w:fill="FFFFFF" w:themeFill="background1"/>
          </w:tcPr>
          <w:p w14:paraId="5031673F"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119.80±8.88</w:t>
            </w:r>
          </w:p>
        </w:tc>
        <w:tc>
          <w:tcPr>
            <w:tcW w:w="1915" w:type="dxa"/>
            <w:shd w:val="clear" w:color="auto" w:fill="FFFFFF" w:themeFill="background1"/>
          </w:tcPr>
          <w:p w14:paraId="1252C983"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73.63±7.70</w:t>
            </w:r>
          </w:p>
        </w:tc>
        <w:tc>
          <w:tcPr>
            <w:tcW w:w="1915" w:type="dxa"/>
            <w:shd w:val="clear" w:color="auto" w:fill="FFFFFF" w:themeFill="background1"/>
          </w:tcPr>
          <w:p w14:paraId="0D09501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92.25±4.62</w:t>
            </w:r>
          </w:p>
        </w:tc>
        <w:tc>
          <w:tcPr>
            <w:tcW w:w="1916" w:type="dxa"/>
            <w:shd w:val="clear" w:color="auto" w:fill="FFFFFF" w:themeFill="background1"/>
          </w:tcPr>
          <w:p w14:paraId="3952C10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77.63±10.16</w:t>
            </w:r>
          </w:p>
        </w:tc>
      </w:tr>
      <w:tr w:rsidR="004166B7" w:rsidRPr="009B5E1A" w14:paraId="29D6C7E6"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37169AF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bilirubin (mg/dl)</w:t>
            </w:r>
          </w:p>
        </w:tc>
        <w:tc>
          <w:tcPr>
            <w:tcW w:w="1915" w:type="dxa"/>
            <w:shd w:val="clear" w:color="auto" w:fill="FFFFFF" w:themeFill="background1"/>
          </w:tcPr>
          <w:p w14:paraId="7943C9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0.49±0.08</w:t>
            </w:r>
          </w:p>
        </w:tc>
        <w:tc>
          <w:tcPr>
            <w:tcW w:w="1915" w:type="dxa"/>
            <w:shd w:val="clear" w:color="auto" w:fill="FFFFFF" w:themeFill="background1"/>
          </w:tcPr>
          <w:p w14:paraId="389610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2.74±0.19</w:t>
            </w:r>
          </w:p>
        </w:tc>
        <w:tc>
          <w:tcPr>
            <w:tcW w:w="1915" w:type="dxa"/>
            <w:shd w:val="clear" w:color="auto" w:fill="FFFFFF" w:themeFill="background1"/>
          </w:tcPr>
          <w:p w14:paraId="6FF7CF6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2.70±0.10</w:t>
            </w:r>
          </w:p>
        </w:tc>
        <w:tc>
          <w:tcPr>
            <w:tcW w:w="1916" w:type="dxa"/>
            <w:shd w:val="clear" w:color="auto" w:fill="FFFFFF" w:themeFill="background1"/>
          </w:tcPr>
          <w:p w14:paraId="10DDD8E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2.07±0.42</w:t>
            </w:r>
          </w:p>
        </w:tc>
      </w:tr>
      <w:tr w:rsidR="004166B7" w:rsidRPr="009B5E1A" w14:paraId="454B9FE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FBF7BF3"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Albumin (g/dl)</w:t>
            </w:r>
          </w:p>
        </w:tc>
        <w:tc>
          <w:tcPr>
            <w:tcW w:w="1915" w:type="dxa"/>
            <w:shd w:val="clear" w:color="auto" w:fill="FFFFFF" w:themeFill="background1"/>
          </w:tcPr>
          <w:p w14:paraId="6002F85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0.97±0.11</w:t>
            </w:r>
          </w:p>
        </w:tc>
        <w:tc>
          <w:tcPr>
            <w:tcW w:w="1915" w:type="dxa"/>
            <w:shd w:val="clear" w:color="auto" w:fill="FFFFFF" w:themeFill="background1"/>
          </w:tcPr>
          <w:p w14:paraId="6CFECE84"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0.93±0.19</w:t>
            </w:r>
          </w:p>
        </w:tc>
        <w:tc>
          <w:tcPr>
            <w:tcW w:w="1915" w:type="dxa"/>
            <w:shd w:val="clear" w:color="auto" w:fill="FFFFFF" w:themeFill="background1"/>
          </w:tcPr>
          <w:p w14:paraId="064589C7"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0.81±0.06</w:t>
            </w:r>
          </w:p>
        </w:tc>
        <w:tc>
          <w:tcPr>
            <w:tcW w:w="1916" w:type="dxa"/>
            <w:shd w:val="clear" w:color="auto" w:fill="FFFFFF" w:themeFill="background1"/>
          </w:tcPr>
          <w:p w14:paraId="34C35975"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0.96±0.13</w:t>
            </w:r>
          </w:p>
        </w:tc>
      </w:tr>
      <w:tr w:rsidR="004166B7" w:rsidRPr="009B5E1A" w14:paraId="419DC8C4"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0141C520"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protein (g/dl)</w:t>
            </w:r>
          </w:p>
        </w:tc>
        <w:tc>
          <w:tcPr>
            <w:tcW w:w="1915" w:type="dxa"/>
            <w:shd w:val="clear" w:color="auto" w:fill="FFFFFF" w:themeFill="background1"/>
          </w:tcPr>
          <w:p w14:paraId="533401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3.39±0.96</w:t>
            </w:r>
          </w:p>
        </w:tc>
        <w:tc>
          <w:tcPr>
            <w:tcW w:w="1915" w:type="dxa"/>
            <w:shd w:val="clear" w:color="auto" w:fill="FFFFFF" w:themeFill="background1"/>
          </w:tcPr>
          <w:p w14:paraId="0D1E80D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2.50±0.30</w:t>
            </w:r>
          </w:p>
        </w:tc>
        <w:tc>
          <w:tcPr>
            <w:tcW w:w="1915" w:type="dxa"/>
            <w:shd w:val="clear" w:color="auto" w:fill="FFFFFF" w:themeFill="background1"/>
          </w:tcPr>
          <w:p w14:paraId="66421E8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2.23±0.35</w:t>
            </w:r>
          </w:p>
        </w:tc>
        <w:tc>
          <w:tcPr>
            <w:tcW w:w="1916" w:type="dxa"/>
            <w:shd w:val="clear" w:color="auto" w:fill="FFFFFF" w:themeFill="background1"/>
          </w:tcPr>
          <w:p w14:paraId="11994FF9"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1.80±0.25</w:t>
            </w:r>
          </w:p>
        </w:tc>
      </w:tr>
      <w:tr w:rsidR="004166B7" w:rsidRPr="009B5E1A" w14:paraId="00DE8E22"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D2BE1B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Globulin (g/dl)</w:t>
            </w:r>
          </w:p>
        </w:tc>
        <w:tc>
          <w:tcPr>
            <w:tcW w:w="1915" w:type="dxa"/>
            <w:shd w:val="clear" w:color="auto" w:fill="FFFFFF" w:themeFill="background1"/>
          </w:tcPr>
          <w:p w14:paraId="777F1380"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2.42±0.93</w:t>
            </w:r>
          </w:p>
        </w:tc>
        <w:tc>
          <w:tcPr>
            <w:tcW w:w="1915" w:type="dxa"/>
            <w:shd w:val="clear" w:color="auto" w:fill="FFFFFF" w:themeFill="background1"/>
          </w:tcPr>
          <w:p w14:paraId="611C1686"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1.57±0.26</w:t>
            </w:r>
          </w:p>
        </w:tc>
        <w:tc>
          <w:tcPr>
            <w:tcW w:w="1915" w:type="dxa"/>
            <w:shd w:val="clear" w:color="auto" w:fill="FFFFFF" w:themeFill="background1"/>
          </w:tcPr>
          <w:p w14:paraId="0D990AC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1.42±0.37</w:t>
            </w:r>
          </w:p>
        </w:tc>
        <w:tc>
          <w:tcPr>
            <w:tcW w:w="1916" w:type="dxa"/>
            <w:shd w:val="clear" w:color="auto" w:fill="FFFFFF" w:themeFill="background1"/>
          </w:tcPr>
          <w:p w14:paraId="433FC7BE"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0.84±0.27</w:t>
            </w:r>
          </w:p>
        </w:tc>
      </w:tr>
      <w:tr w:rsidR="004166B7" w:rsidRPr="009B5E1A" w14:paraId="4D460E1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bottom w:val="single" w:sz="8" w:space="0" w:color="000000" w:themeColor="text1"/>
            </w:tcBorders>
            <w:shd w:val="clear" w:color="auto" w:fill="FFFFFF" w:themeFill="background1"/>
          </w:tcPr>
          <w:p w14:paraId="74FF541D"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ALP (U/L)</w:t>
            </w:r>
          </w:p>
        </w:tc>
        <w:tc>
          <w:tcPr>
            <w:tcW w:w="1915" w:type="dxa"/>
            <w:tcBorders>
              <w:bottom w:val="single" w:sz="8" w:space="0" w:color="000000" w:themeColor="text1"/>
            </w:tcBorders>
            <w:shd w:val="clear" w:color="auto" w:fill="FFFFFF" w:themeFill="background1"/>
          </w:tcPr>
          <w:p w14:paraId="024ACB5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145.51±15.13</w:t>
            </w:r>
          </w:p>
        </w:tc>
        <w:tc>
          <w:tcPr>
            <w:tcW w:w="1915" w:type="dxa"/>
            <w:tcBorders>
              <w:bottom w:val="single" w:sz="8" w:space="0" w:color="000000" w:themeColor="text1"/>
            </w:tcBorders>
            <w:shd w:val="clear" w:color="auto" w:fill="FFFFFF" w:themeFill="background1"/>
          </w:tcPr>
          <w:p w14:paraId="0A6839F4"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70.47±15.16</w:t>
            </w:r>
          </w:p>
        </w:tc>
        <w:tc>
          <w:tcPr>
            <w:tcW w:w="1915" w:type="dxa"/>
            <w:tcBorders>
              <w:bottom w:val="single" w:sz="8" w:space="0" w:color="000000" w:themeColor="text1"/>
            </w:tcBorders>
            <w:shd w:val="clear" w:color="auto" w:fill="FFFFFF" w:themeFill="background1"/>
          </w:tcPr>
          <w:p w14:paraId="5B83FB9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43.39±3.77</w:t>
            </w:r>
          </w:p>
        </w:tc>
        <w:tc>
          <w:tcPr>
            <w:tcW w:w="1916" w:type="dxa"/>
            <w:tcBorders>
              <w:bottom w:val="single" w:sz="8" w:space="0" w:color="000000" w:themeColor="text1"/>
            </w:tcBorders>
            <w:shd w:val="clear" w:color="auto" w:fill="FFFFFF" w:themeFill="background1"/>
          </w:tcPr>
          <w:p w14:paraId="7157B84B"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72.13±12.83</w:t>
            </w:r>
          </w:p>
        </w:tc>
      </w:tr>
    </w:tbl>
    <w:p w14:paraId="1397FB33"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88CA1C1" w14:textId="77777777" w:rsidR="004166B7" w:rsidRDefault="004166B7" w:rsidP="004166B7">
      <w:pPr>
        <w:spacing w:line="480" w:lineRule="auto"/>
        <w:rPr>
          <w:rFonts w:ascii="Times New Roman" w:hAnsi="Times New Roman" w:cs="Times New Roman"/>
          <w:b/>
          <w:bCs/>
        </w:rPr>
        <w:sectPr w:rsidR="004166B7" w:rsidSect="00DD5D22">
          <w:type w:val="continuous"/>
          <w:pgSz w:w="12240" w:h="15840"/>
          <w:pgMar w:top="1440" w:right="1440" w:bottom="1440" w:left="1440" w:header="720" w:footer="720" w:gutter="0"/>
          <w:cols w:space="720"/>
          <w:docGrid w:linePitch="360"/>
        </w:sectPr>
      </w:pPr>
    </w:p>
    <w:p w14:paraId="741CE56E" w14:textId="77777777" w:rsidR="008675E6" w:rsidRDefault="008675E6" w:rsidP="004166B7">
      <w:pPr>
        <w:spacing w:line="480" w:lineRule="auto"/>
        <w:rPr>
          <w:rFonts w:ascii="Times New Roman" w:eastAsia="Times New Roman" w:hAnsi="Times New Roman" w:cs="Times New Roman"/>
          <w:b/>
          <w:sz w:val="22"/>
          <w:szCs w:val="22"/>
        </w:rPr>
      </w:pPr>
    </w:p>
    <w:p w14:paraId="2BB366E4" w14:textId="77777777" w:rsidR="008675E6" w:rsidRDefault="008675E6" w:rsidP="004166B7">
      <w:pPr>
        <w:spacing w:line="480" w:lineRule="auto"/>
        <w:rPr>
          <w:rFonts w:ascii="Times New Roman" w:eastAsia="Times New Roman" w:hAnsi="Times New Roman" w:cs="Times New Roman"/>
          <w:b/>
          <w:sz w:val="22"/>
          <w:szCs w:val="22"/>
        </w:rPr>
      </w:pPr>
    </w:p>
    <w:p w14:paraId="50B16AAA" w14:textId="77777777" w:rsidR="008675E6" w:rsidRDefault="008675E6" w:rsidP="004166B7">
      <w:pPr>
        <w:spacing w:line="480" w:lineRule="auto"/>
        <w:rPr>
          <w:rFonts w:ascii="Times New Roman" w:eastAsia="Times New Roman" w:hAnsi="Times New Roman" w:cs="Times New Roman"/>
          <w:b/>
          <w:sz w:val="22"/>
          <w:szCs w:val="22"/>
        </w:rPr>
      </w:pPr>
    </w:p>
    <w:p w14:paraId="562634DD" w14:textId="1C7F0A0E" w:rsidR="004166B7" w:rsidRPr="009B5E1A" w:rsidRDefault="00762734" w:rsidP="004166B7">
      <w:pPr>
        <w:spacing w:line="480" w:lineRule="auto"/>
        <w:rPr>
          <w:rFonts w:ascii="Times New Roman" w:eastAsia="Times New Roman" w:hAnsi="Times New Roman" w:cs="Times New Roman"/>
          <w:b/>
          <w:sz w:val="22"/>
          <w:szCs w:val="22"/>
        </w:rPr>
      </w:pPr>
      <w:r w:rsidRPr="009B5E1A">
        <w:rPr>
          <w:rFonts w:ascii="Times New Roman" w:eastAsia="Times New Roman" w:hAnsi="Times New Roman" w:cs="Times New Roman"/>
          <w:b/>
          <w:sz w:val="22"/>
          <w:szCs w:val="22"/>
        </w:rPr>
        <w:lastRenderedPageBreak/>
        <w:t xml:space="preserve">3.3 </w:t>
      </w:r>
      <w:r w:rsidR="004166B7" w:rsidRPr="009B5E1A">
        <w:rPr>
          <w:rFonts w:ascii="Times New Roman" w:eastAsia="Times New Roman" w:hAnsi="Times New Roman" w:cs="Times New Roman"/>
          <w:b/>
          <w:sz w:val="22"/>
          <w:szCs w:val="22"/>
        </w:rPr>
        <w:t>HISTOPATHOLOGICAL ANALYSIS</w:t>
      </w:r>
    </w:p>
    <w:p w14:paraId="12C6F4A1" w14:textId="05E71035" w:rsidR="004166B7" w:rsidRPr="009B5E1A" w:rsidRDefault="00762734" w:rsidP="004166B7">
      <w:pPr>
        <w:spacing w:line="480" w:lineRule="auto"/>
        <w:jc w:val="both"/>
        <w:rPr>
          <w:rFonts w:ascii="Times New Roman" w:hAnsi="Times New Roman" w:cs="Times New Roman"/>
          <w:b/>
          <w:noProof/>
          <w:sz w:val="22"/>
          <w:szCs w:val="22"/>
        </w:rPr>
      </w:pPr>
      <w:r w:rsidRPr="009B5E1A">
        <w:rPr>
          <w:rFonts w:ascii="Times New Roman" w:hAnsi="Times New Roman" w:cs="Times New Roman"/>
          <w:b/>
          <w:noProof/>
          <w:sz w:val="22"/>
          <w:szCs w:val="22"/>
        </w:rPr>
        <w:t xml:space="preserve">3.3.1 </w:t>
      </w:r>
      <w:r w:rsidR="004166B7" w:rsidRPr="009B5E1A">
        <w:rPr>
          <w:rFonts w:ascii="Times New Roman" w:hAnsi="Times New Roman" w:cs="Times New Roman"/>
          <w:b/>
          <w:noProof/>
          <w:sz w:val="22"/>
          <w:szCs w:val="22"/>
        </w:rPr>
        <w:t>Photomicrographs of the Liver (Plates 1-4)</w:t>
      </w:r>
    </w:p>
    <w:p w14:paraId="75A37F01" w14:textId="77777777" w:rsidR="004166B7" w:rsidRPr="009B5E1A" w:rsidRDefault="004166B7" w:rsidP="004166B7">
      <w:pPr>
        <w:spacing w:line="480" w:lineRule="auto"/>
        <w:jc w:val="both"/>
        <w:rPr>
          <w:rFonts w:ascii="Times New Roman" w:hAnsi="Times New Roman" w:cs="Times New Roman"/>
          <w:bCs/>
          <w:noProof/>
          <w:sz w:val="20"/>
          <w:szCs w:val="20"/>
        </w:rPr>
      </w:pPr>
      <w:r w:rsidRPr="009B5E1A">
        <w:rPr>
          <w:rFonts w:ascii="Times New Roman" w:hAnsi="Times New Roman" w:cs="Times New Roman"/>
          <w:bCs/>
          <w:noProof/>
          <w:sz w:val="20"/>
          <w:szCs w:val="20"/>
        </w:rPr>
        <w:t>The photomicrographs of the liver were taken at x 40 magnification for all groups of rats. The results showed normal liver tissue for the control, low AlP concentration and high AlP concentration, while the very high AlP concentration group showed micro and macro vesicular steatosis.</w:t>
      </w:r>
    </w:p>
    <w:p w14:paraId="1C4C4440" w14:textId="77777777" w:rsidR="004166B7" w:rsidRDefault="004166B7" w:rsidP="004166B7">
      <w:pPr>
        <w:spacing w:line="480" w:lineRule="auto"/>
        <w:jc w:val="both"/>
        <w:rPr>
          <w:rFonts w:ascii="Times New Roman" w:hAnsi="Times New Roman" w:cs="Times New Roman"/>
          <w:bCs/>
          <w:noProof/>
        </w:rPr>
        <w:sectPr w:rsidR="004166B7" w:rsidSect="00DD5D22">
          <w:type w:val="continuous"/>
          <w:pgSz w:w="12240" w:h="15840"/>
          <w:pgMar w:top="1440" w:right="1440" w:bottom="1440" w:left="1440" w:header="720" w:footer="720" w:gutter="0"/>
          <w:cols w:space="720"/>
          <w:docGrid w:linePitch="360"/>
        </w:sectPr>
      </w:pPr>
    </w:p>
    <w:p w14:paraId="2839F9E2" w14:textId="77777777" w:rsidR="004166B7" w:rsidRDefault="004166B7" w:rsidP="004166B7">
      <w:pPr>
        <w:spacing w:line="480" w:lineRule="auto"/>
        <w:jc w:val="both"/>
        <w:rPr>
          <w:rFonts w:ascii="Times New Roman" w:hAnsi="Times New Roman" w:cs="Times New Roman"/>
          <w:bCs/>
          <w:noProof/>
        </w:rPr>
      </w:pPr>
    </w:p>
    <w:p w14:paraId="533414E2" w14:textId="77777777" w:rsidR="004166B7" w:rsidRDefault="004166B7" w:rsidP="004166B7">
      <w:pPr>
        <w:spacing w:line="480" w:lineRule="auto"/>
        <w:jc w:val="both"/>
        <w:rPr>
          <w:rFonts w:ascii="Times New Roman" w:hAnsi="Times New Roman" w:cs="Times New Roman"/>
          <w:bCs/>
          <w:noProof/>
        </w:rPr>
      </w:pPr>
    </w:p>
    <w:p w14:paraId="1011FB3B" w14:textId="77777777" w:rsidR="004166B7" w:rsidRDefault="004166B7" w:rsidP="004166B7">
      <w:pPr>
        <w:spacing w:line="480" w:lineRule="auto"/>
        <w:jc w:val="both"/>
        <w:rPr>
          <w:rFonts w:ascii="Times New Roman" w:hAnsi="Times New Roman" w:cs="Times New Roman"/>
          <w:bCs/>
          <w:noProof/>
        </w:rPr>
      </w:pPr>
    </w:p>
    <w:p w14:paraId="10864070" w14:textId="77777777" w:rsidR="004166B7" w:rsidRDefault="004166B7" w:rsidP="004166B7">
      <w:pPr>
        <w:spacing w:line="480" w:lineRule="auto"/>
        <w:rPr>
          <w:rFonts w:ascii="Times New Roman" w:eastAsia="Times New Roman" w:hAnsi="Times New Roman" w:cs="Times New Roman"/>
          <w:bCs/>
        </w:rPr>
        <w:sectPr w:rsidR="004166B7" w:rsidSect="00DD5D22">
          <w:type w:val="continuous"/>
          <w:pgSz w:w="12240" w:h="15840"/>
          <w:pgMar w:top="1440" w:right="1440" w:bottom="1440" w:left="1440" w:header="720" w:footer="720" w:gutter="0"/>
          <w:cols w:space="720"/>
          <w:docGrid w:linePitch="360"/>
        </w:sectPr>
      </w:pPr>
    </w:p>
    <w:p w14:paraId="0962CF59" w14:textId="77777777" w:rsidR="004166B7" w:rsidRDefault="004166B7" w:rsidP="004166B7">
      <w:pPr>
        <w:spacing w:line="480" w:lineRule="auto"/>
        <w:rPr>
          <w:rFonts w:ascii="Times New Roman" w:eastAsia="Times New Roman" w:hAnsi="Times New Roman" w:cs="Times New Roman"/>
          <w:bCs/>
        </w:rPr>
      </w:pPr>
    </w:p>
    <w:p w14:paraId="2EB947D3" w14:textId="77777777" w:rsidR="004166B7" w:rsidRDefault="004166B7" w:rsidP="004166B7">
      <w:pPr>
        <w:spacing w:line="480" w:lineRule="auto"/>
        <w:rPr>
          <w:noProof/>
        </w:rPr>
      </w:pPr>
      <w:r>
        <w:rPr>
          <w:rFonts w:ascii="Times New Roman" w:hAnsi="Times New Roman"/>
          <w:noProof/>
        </w:rPr>
        <w:drawing>
          <wp:anchor distT="0" distB="0" distL="114300" distR="114300" simplePos="0" relativeHeight="251659264" behindDoc="1" locked="0" layoutInCell="1" allowOverlap="1" wp14:anchorId="18C43BE4" wp14:editId="3B3A6103">
            <wp:simplePos x="0" y="0"/>
            <wp:positionH relativeFrom="margin">
              <wp:align>center</wp:align>
            </wp:positionH>
            <wp:positionV relativeFrom="paragraph">
              <wp:posOffset>-295910</wp:posOffset>
            </wp:positionV>
            <wp:extent cx="5130800" cy="2546350"/>
            <wp:effectExtent l="0" t="0" r="0" b="6350"/>
            <wp:wrapTight wrapText="bothSides">
              <wp:wrapPolygon edited="0">
                <wp:start x="0" y="0"/>
                <wp:lineTo x="0" y="21492"/>
                <wp:lineTo x="21493" y="21492"/>
                <wp:lineTo x="21493" y="0"/>
                <wp:lineTo x="0" y="0"/>
              </wp:wrapPolygon>
            </wp:wrapTight>
            <wp:docPr id="104" name="Picture 104" descr="C:\Users\ekwue\Documents\Rat Study Ifeoma Anagor\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kwue\Documents\Rat Study Ifeoma Anagor\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0800" cy="254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07586A">
        <w:rPr>
          <w:rFonts w:ascii="Times New Roman" w:eastAsia="Times New Roman" w:hAnsi="Times New Roman" w:cs="Times New Roman"/>
          <w:b/>
          <w:noProof/>
        </w:rPr>
        <w:t xml:space="preserve"> </w:t>
      </w:r>
      <w:r w:rsidRPr="0007586A">
        <w:rPr>
          <w:noProof/>
        </w:rPr>
        <w:t xml:space="preserve"> </w:t>
      </w:r>
    </w:p>
    <w:p w14:paraId="15052FDD" w14:textId="77777777" w:rsidR="004166B7" w:rsidRDefault="004166B7" w:rsidP="004166B7">
      <w:pPr>
        <w:spacing w:line="480" w:lineRule="auto"/>
        <w:rPr>
          <w:noProof/>
        </w:rPr>
      </w:pPr>
    </w:p>
    <w:p w14:paraId="0309EC55" w14:textId="77777777" w:rsidR="004166B7" w:rsidRDefault="004166B7" w:rsidP="004166B7">
      <w:pPr>
        <w:spacing w:line="480" w:lineRule="auto"/>
        <w:rPr>
          <w:noProof/>
        </w:rPr>
      </w:pPr>
    </w:p>
    <w:p w14:paraId="2EBC3173" w14:textId="77777777" w:rsidR="004166B7" w:rsidRDefault="004166B7" w:rsidP="004166B7">
      <w:pPr>
        <w:spacing w:line="480" w:lineRule="auto"/>
        <w:rPr>
          <w:noProof/>
        </w:rPr>
      </w:pPr>
    </w:p>
    <w:p w14:paraId="04C1E7F1" w14:textId="77777777" w:rsidR="004166B7" w:rsidRDefault="004166B7" w:rsidP="004166B7">
      <w:pPr>
        <w:spacing w:line="480" w:lineRule="auto"/>
        <w:rPr>
          <w:noProof/>
        </w:rPr>
      </w:pPr>
    </w:p>
    <w:p w14:paraId="1DEBC6E5" w14:textId="77777777" w:rsidR="004166B7" w:rsidRDefault="004166B7" w:rsidP="004166B7">
      <w:pPr>
        <w:spacing w:line="480" w:lineRule="auto"/>
        <w:rPr>
          <w:noProof/>
        </w:rPr>
      </w:pPr>
    </w:p>
    <w:p w14:paraId="7939F776" w14:textId="77777777" w:rsidR="004166B7" w:rsidRDefault="004166B7" w:rsidP="004166B7">
      <w:pPr>
        <w:spacing w:line="480" w:lineRule="auto"/>
        <w:rPr>
          <w:noProof/>
        </w:rPr>
      </w:pPr>
    </w:p>
    <w:p w14:paraId="3FD75384" w14:textId="77777777" w:rsidR="004166B7" w:rsidRDefault="004166B7" w:rsidP="004166B7">
      <w:pPr>
        <w:spacing w:line="480" w:lineRule="auto"/>
        <w:jc w:val="both"/>
        <w:rPr>
          <w:rFonts w:ascii="Times New Roman" w:eastAsia="Times New Roman" w:hAnsi="Times New Roman"/>
          <w:b/>
        </w:rPr>
        <w:sectPr w:rsidR="004166B7" w:rsidSect="00DD5D22">
          <w:type w:val="continuous"/>
          <w:pgSz w:w="12240" w:h="15840"/>
          <w:pgMar w:top="1440" w:right="1440" w:bottom="1440" w:left="1440" w:header="720" w:footer="720" w:gutter="0"/>
          <w:cols w:space="720"/>
          <w:docGrid w:linePitch="360"/>
        </w:sectPr>
      </w:pPr>
      <w:bookmarkStart w:id="2" w:name="_Hlk210835420"/>
    </w:p>
    <w:p w14:paraId="42ABCD4A"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Plate 1 (Control): Photomicrographs taken with x 40 magnification illustrating normal liver tissues.</w:t>
      </w:r>
    </w:p>
    <w:bookmarkEnd w:id="2"/>
    <w:p w14:paraId="53EF5DA8" w14:textId="77777777" w:rsidR="004166B7" w:rsidRDefault="004166B7" w:rsidP="004166B7">
      <w:pPr>
        <w:spacing w:line="480" w:lineRule="auto"/>
        <w:rPr>
          <w:rFonts w:ascii="Times New Roman" w:eastAsia="Times New Roman" w:hAnsi="Times New Roman" w:cs="Times New Roman"/>
          <w:b/>
        </w:rPr>
        <w:sectPr w:rsidR="004166B7" w:rsidSect="00DD5D22">
          <w:type w:val="continuous"/>
          <w:pgSz w:w="12240" w:h="15840"/>
          <w:pgMar w:top="1440" w:right="1440" w:bottom="1440" w:left="1440" w:header="720" w:footer="720" w:gutter="0"/>
          <w:cols w:space="720"/>
          <w:docGrid w:linePitch="360"/>
        </w:sectPr>
      </w:pPr>
    </w:p>
    <w:p w14:paraId="20E8E4B4" w14:textId="77777777" w:rsidR="004166B7" w:rsidRDefault="004166B7" w:rsidP="004166B7">
      <w:pPr>
        <w:spacing w:line="480" w:lineRule="auto"/>
        <w:rPr>
          <w:rFonts w:ascii="Times New Roman" w:eastAsia="Times New Roman" w:hAnsi="Times New Roman" w:cs="Times New Roman"/>
          <w:b/>
        </w:rPr>
      </w:pPr>
    </w:p>
    <w:p w14:paraId="219A8BBC" w14:textId="77777777" w:rsidR="004166B7" w:rsidRDefault="004166B7" w:rsidP="004166B7">
      <w:pPr>
        <w:spacing w:line="480" w:lineRule="auto"/>
        <w:rPr>
          <w:rFonts w:ascii="Times New Roman" w:eastAsia="Times New Roman" w:hAnsi="Times New Roman" w:cs="Times New Roman"/>
          <w:b/>
        </w:rPr>
      </w:pPr>
    </w:p>
    <w:p w14:paraId="40EF6391" w14:textId="77777777" w:rsidR="004166B7" w:rsidRDefault="004166B7" w:rsidP="004166B7">
      <w:pPr>
        <w:spacing w:line="480" w:lineRule="auto"/>
        <w:rPr>
          <w:noProof/>
        </w:rPr>
      </w:pPr>
      <w:r w:rsidRPr="001E28D9">
        <w:rPr>
          <w:rFonts w:ascii="Times New Roman" w:eastAsia="Times New Roman" w:hAnsi="Times New Roman"/>
          <w:b/>
          <w:noProof/>
        </w:rPr>
        <w:lastRenderedPageBreak/>
        <w:drawing>
          <wp:inline distT="0" distB="0" distL="0" distR="0" wp14:anchorId="49A878FF" wp14:editId="5F369E5C">
            <wp:extent cx="5479415" cy="2892357"/>
            <wp:effectExtent l="0" t="0" r="0" b="0"/>
            <wp:docPr id="2013564755" name="Picture 6" descr="C:\Users\ekwue\Documents\Rat Study Ifeoma Anagor\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kwue\Documents\Rat Study Ifeoma Anagor\Control.jpg"/>
                    <pic:cNvPicPr>
                      <a:picLocks noChangeAspect="1" noChangeArrowheads="1"/>
                    </pic:cNvPicPr>
                  </pic:nvPicPr>
                  <pic:blipFill>
                    <a:blip r:embed="rId14">
                      <a:extLst>
                        <a:ext uri="{28A0092B-C50C-407E-A947-70E740481C1C}">
                          <a14:useLocalDpi xmlns:a14="http://schemas.microsoft.com/office/drawing/2010/main" val="0"/>
                        </a:ext>
                      </a:extLst>
                    </a:blip>
                    <a:srcRect b="22511"/>
                    <a:stretch>
                      <a:fillRect/>
                    </a:stretch>
                  </pic:blipFill>
                  <pic:spPr bwMode="auto">
                    <a:xfrm>
                      <a:off x="0" y="0"/>
                      <a:ext cx="5490670" cy="2898298"/>
                    </a:xfrm>
                    <a:prstGeom prst="rect">
                      <a:avLst/>
                    </a:prstGeom>
                    <a:noFill/>
                    <a:ln>
                      <a:noFill/>
                    </a:ln>
                  </pic:spPr>
                </pic:pic>
              </a:graphicData>
            </a:graphic>
          </wp:inline>
        </w:drawing>
      </w:r>
    </w:p>
    <w:p w14:paraId="3ACB9B53"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2 (Low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0EB4D453" w14:textId="77777777" w:rsidR="004166B7" w:rsidRDefault="004166B7" w:rsidP="004166B7">
      <w:pPr>
        <w:spacing w:line="480" w:lineRule="auto"/>
        <w:rPr>
          <w:rFonts w:ascii="Times New Roman" w:eastAsia="Times New Roman" w:hAnsi="Times New Roman" w:cs="Times New Roman"/>
          <w:b/>
          <w:sz w:val="20"/>
          <w:szCs w:val="20"/>
        </w:rPr>
      </w:pPr>
    </w:p>
    <w:p w14:paraId="16E729A0" w14:textId="77777777" w:rsidR="008675E6" w:rsidRDefault="008675E6" w:rsidP="004166B7">
      <w:pPr>
        <w:spacing w:line="480" w:lineRule="auto"/>
        <w:rPr>
          <w:rFonts w:ascii="Times New Roman" w:eastAsia="Times New Roman" w:hAnsi="Times New Roman" w:cs="Times New Roman"/>
          <w:b/>
          <w:sz w:val="20"/>
          <w:szCs w:val="20"/>
        </w:rPr>
      </w:pPr>
    </w:p>
    <w:p w14:paraId="25FFC313" w14:textId="77777777" w:rsidR="008675E6" w:rsidRDefault="008675E6" w:rsidP="004166B7">
      <w:pPr>
        <w:spacing w:line="480" w:lineRule="auto"/>
        <w:rPr>
          <w:rFonts w:ascii="Times New Roman" w:eastAsia="Times New Roman" w:hAnsi="Times New Roman" w:cs="Times New Roman"/>
          <w:b/>
          <w:sz w:val="20"/>
          <w:szCs w:val="20"/>
        </w:rPr>
      </w:pPr>
    </w:p>
    <w:p w14:paraId="6794CC46" w14:textId="77777777" w:rsidR="008675E6" w:rsidRDefault="008675E6" w:rsidP="004166B7">
      <w:pPr>
        <w:spacing w:line="480" w:lineRule="auto"/>
        <w:rPr>
          <w:rFonts w:ascii="Times New Roman" w:eastAsia="Times New Roman" w:hAnsi="Times New Roman" w:cs="Times New Roman"/>
          <w:b/>
          <w:sz w:val="20"/>
          <w:szCs w:val="20"/>
        </w:rPr>
      </w:pPr>
    </w:p>
    <w:p w14:paraId="501C1F80" w14:textId="77777777" w:rsidR="008675E6" w:rsidRPr="009B5E1A" w:rsidRDefault="008675E6" w:rsidP="004166B7">
      <w:pPr>
        <w:spacing w:line="480" w:lineRule="auto"/>
        <w:rPr>
          <w:rFonts w:ascii="Times New Roman" w:eastAsia="Times New Roman" w:hAnsi="Times New Roman" w:cs="Times New Roman"/>
          <w:b/>
          <w:sz w:val="20"/>
          <w:szCs w:val="20"/>
        </w:rPr>
      </w:pPr>
    </w:p>
    <w:p w14:paraId="4A423377" w14:textId="77777777" w:rsidR="004166B7" w:rsidRPr="009B5E1A" w:rsidRDefault="004166B7" w:rsidP="004166B7">
      <w:pPr>
        <w:spacing w:line="480" w:lineRule="auto"/>
        <w:rPr>
          <w:noProof/>
          <w:sz w:val="20"/>
          <w:szCs w:val="20"/>
        </w:rPr>
      </w:pPr>
      <w:r w:rsidRPr="009B5E1A">
        <w:rPr>
          <w:noProof/>
          <w:sz w:val="20"/>
          <w:szCs w:val="20"/>
        </w:rPr>
        <w:lastRenderedPageBreak/>
        <w:drawing>
          <wp:inline distT="0" distB="0" distL="0" distR="0" wp14:anchorId="4D661373" wp14:editId="66AF922F">
            <wp:extent cx="5302250" cy="2844800"/>
            <wp:effectExtent l="0" t="0" r="0" b="0"/>
            <wp:docPr id="1856567495" name="Picture 7" descr="C:\Users\ekwue\Desktop\Dr Chris Biochemistry Unizik Rat\Dr Chris Biochemistry Unizik Rat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kwue\Desktop\Dr Chris Biochemistry Unizik Rat\Dr Chris Biochemistry Unizik Rat 21.jpg"/>
                    <pic:cNvPicPr>
                      <a:picLocks noChangeAspect="1" noChangeArrowheads="1"/>
                    </pic:cNvPicPr>
                  </pic:nvPicPr>
                  <pic:blipFill>
                    <a:blip r:embed="rId15">
                      <a:extLst>
                        <a:ext uri="{28A0092B-C50C-407E-A947-70E740481C1C}">
                          <a14:useLocalDpi xmlns:a14="http://schemas.microsoft.com/office/drawing/2010/main" val="0"/>
                        </a:ext>
                      </a:extLst>
                    </a:blip>
                    <a:srcRect t="10590" r="25578"/>
                    <a:stretch>
                      <a:fillRect/>
                    </a:stretch>
                  </pic:blipFill>
                  <pic:spPr bwMode="auto">
                    <a:xfrm>
                      <a:off x="0" y="0"/>
                      <a:ext cx="5329136" cy="2859225"/>
                    </a:xfrm>
                    <a:prstGeom prst="rect">
                      <a:avLst/>
                    </a:prstGeom>
                    <a:noFill/>
                    <a:ln>
                      <a:noFill/>
                    </a:ln>
                  </pic:spPr>
                </pic:pic>
              </a:graphicData>
            </a:graphic>
          </wp:inline>
        </w:drawing>
      </w:r>
    </w:p>
    <w:p w14:paraId="68BD48B9"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3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409BE202" w14:textId="77777777" w:rsidR="004166B7" w:rsidRDefault="004166B7" w:rsidP="004166B7">
      <w:pPr>
        <w:spacing w:line="480" w:lineRule="auto"/>
        <w:jc w:val="both"/>
        <w:rPr>
          <w:rFonts w:ascii="Times New Roman" w:eastAsia="Times New Roman" w:hAnsi="Times New Roman"/>
          <w:b/>
        </w:rPr>
      </w:pPr>
    </w:p>
    <w:p w14:paraId="373A49C8" w14:textId="77777777" w:rsidR="004166B7" w:rsidRDefault="004166B7" w:rsidP="004166B7">
      <w:pPr>
        <w:spacing w:line="480" w:lineRule="auto"/>
        <w:jc w:val="both"/>
        <w:rPr>
          <w:rFonts w:ascii="Times New Roman" w:eastAsia="Times New Roman" w:hAnsi="Times New Roman"/>
          <w:b/>
        </w:rPr>
      </w:pPr>
    </w:p>
    <w:p w14:paraId="522D5C71" w14:textId="77777777" w:rsidR="004166B7" w:rsidRDefault="004166B7" w:rsidP="004166B7">
      <w:pPr>
        <w:spacing w:line="480" w:lineRule="auto"/>
        <w:jc w:val="both"/>
        <w:rPr>
          <w:rFonts w:ascii="Times New Roman" w:eastAsia="Times New Roman" w:hAnsi="Times New Roman"/>
          <w:b/>
        </w:rPr>
      </w:pPr>
    </w:p>
    <w:p w14:paraId="31402C46" w14:textId="77777777" w:rsidR="004166B7" w:rsidRDefault="004166B7" w:rsidP="004166B7">
      <w:pPr>
        <w:spacing w:line="480" w:lineRule="auto"/>
        <w:rPr>
          <w:noProof/>
        </w:rPr>
        <w:sectPr w:rsidR="004166B7" w:rsidSect="00DD5D22">
          <w:type w:val="continuous"/>
          <w:pgSz w:w="12240" w:h="15840"/>
          <w:pgMar w:top="1440" w:right="1440" w:bottom="1440" w:left="1440" w:header="720" w:footer="720" w:gutter="0"/>
          <w:cols w:space="720"/>
          <w:docGrid w:linePitch="360"/>
        </w:sectPr>
      </w:pPr>
    </w:p>
    <w:p w14:paraId="05EF4F60" w14:textId="77777777" w:rsidR="004166B7" w:rsidRDefault="004166B7" w:rsidP="004166B7">
      <w:pPr>
        <w:spacing w:line="480" w:lineRule="auto"/>
        <w:rPr>
          <w:noProof/>
        </w:rPr>
      </w:pPr>
      <w:r>
        <w:rPr>
          <w:noProof/>
        </w:rPr>
        <mc:AlternateContent>
          <mc:Choice Requires="wps">
            <w:drawing>
              <wp:anchor distT="0" distB="0" distL="114300" distR="114300" simplePos="0" relativeHeight="251661312" behindDoc="0" locked="0" layoutInCell="1" allowOverlap="1" wp14:anchorId="3D2D8A9C" wp14:editId="172B5D7D">
                <wp:simplePos x="0" y="0"/>
                <wp:positionH relativeFrom="column">
                  <wp:posOffset>3793490</wp:posOffset>
                </wp:positionH>
                <wp:positionV relativeFrom="paragraph">
                  <wp:posOffset>1398270</wp:posOffset>
                </wp:positionV>
                <wp:extent cx="1394460" cy="1011555"/>
                <wp:effectExtent l="21590" t="26670" r="31750" b="47625"/>
                <wp:wrapNone/>
                <wp:docPr id="72351845"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01155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E04F5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298.7pt;margin-top:110.1pt;width:109.8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" filled="f" fillcolor="black [3200]" strokecolor="#44546a [3215]" strokeweight="3pt">
                <v:shadow on="t" color="#7f7f7f [1601]" opacity=".5" offset="1pt"/>
              </v:shape>
            </w:pict>
          </mc:Fallback>
        </mc:AlternateContent>
      </w:r>
      <w:r>
        <w:rPr>
          <w:noProof/>
        </w:rPr>
        <mc:AlternateContent>
          <mc:Choice Requires="wps">
            <w:drawing>
              <wp:anchor distT="0" distB="0" distL="114300" distR="114300" simplePos="0" relativeHeight="251660288" behindDoc="0" locked="0" layoutInCell="1" allowOverlap="1" wp14:anchorId="75AE3D94" wp14:editId="387D474F">
                <wp:simplePos x="0" y="0"/>
                <wp:positionH relativeFrom="column">
                  <wp:posOffset>1842135</wp:posOffset>
                </wp:positionH>
                <wp:positionV relativeFrom="paragraph">
                  <wp:posOffset>639445</wp:posOffset>
                </wp:positionV>
                <wp:extent cx="777875" cy="560705"/>
                <wp:effectExtent l="22860" t="20320" r="37465" b="47625"/>
                <wp:wrapNone/>
                <wp:docPr id="482804496" name="Flowchart: Con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6070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1FBFD" id="Flowchart: Connector 18" o:spid="_x0000_s1026" type="#_x0000_t120" style="position:absolute;margin-left:145.05pt;margin-top:50.35pt;width:61.2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" filled="f" fillcolor="black [3200]" strokecolor="#44546a [3215]" strokeweight="3pt">
                <v:shadow on="t" color="#7f7f7f [1601]" opacity=".5" offset="1pt"/>
              </v:shape>
            </w:pict>
          </mc:Fallback>
        </mc:AlternateContent>
      </w:r>
      <w:r w:rsidRPr="007605E4">
        <w:rPr>
          <w:noProof/>
        </w:rPr>
        <w:drawing>
          <wp:inline distT="0" distB="0" distL="0" distR="0" wp14:anchorId="392574F2" wp14:editId="6D043A2F">
            <wp:extent cx="5226685" cy="2418945"/>
            <wp:effectExtent l="0" t="0" r="0" b="0"/>
            <wp:docPr id="1371601048" name="Picture 8" descr="C:\Users\ekwue\Desktop\Kennedy 2024 rat Study\Kennedy 2024 rat Stud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wue\Desktop\Kennedy 2024 rat Study\Kennedy 2024 rat Study 4.jpg"/>
                    <pic:cNvPicPr>
                      <a:picLocks noChangeAspect="1" noChangeArrowheads="1"/>
                    </pic:cNvPicPr>
                  </pic:nvPicPr>
                  <pic:blipFill>
                    <a:blip r:embed="rId16">
                      <a:extLst>
                        <a:ext uri="{28A0092B-C50C-407E-A947-70E740481C1C}">
                          <a14:useLocalDpi xmlns:a14="http://schemas.microsoft.com/office/drawing/2010/main" val="0"/>
                        </a:ext>
                      </a:extLst>
                    </a:blip>
                    <a:srcRect l="25436" t="18211"/>
                    <a:stretch>
                      <a:fillRect/>
                    </a:stretch>
                  </pic:blipFill>
                  <pic:spPr bwMode="auto">
                    <a:xfrm>
                      <a:off x="0" y="0"/>
                      <a:ext cx="5229248" cy="2420131"/>
                    </a:xfrm>
                    <a:prstGeom prst="rect">
                      <a:avLst/>
                    </a:prstGeom>
                    <a:noFill/>
                    <a:ln>
                      <a:noFill/>
                    </a:ln>
                  </pic:spPr>
                </pic:pic>
              </a:graphicData>
            </a:graphic>
          </wp:inline>
        </w:drawing>
      </w:r>
    </w:p>
    <w:p w14:paraId="4F77A67B" w14:textId="77777777" w:rsidR="009B5E1A" w:rsidRDefault="009B5E1A" w:rsidP="004166B7">
      <w:pPr>
        <w:spacing w:line="480" w:lineRule="auto"/>
        <w:jc w:val="both"/>
        <w:rPr>
          <w:rFonts w:ascii="Times New Roman" w:eastAsia="Times New Roman" w:hAnsi="Times New Roman"/>
          <w:b/>
          <w:sz w:val="20"/>
          <w:szCs w:val="20"/>
        </w:rPr>
        <w:sectPr w:rsidR="009B5E1A" w:rsidSect="00DD5D22">
          <w:type w:val="continuous"/>
          <w:pgSz w:w="12240" w:h="15840"/>
          <w:pgMar w:top="1440" w:right="1440" w:bottom="1440" w:left="1440" w:header="720" w:footer="720" w:gutter="0"/>
          <w:cols w:space="720"/>
          <w:docGrid w:linePitch="360"/>
        </w:sectPr>
      </w:pPr>
    </w:p>
    <w:p w14:paraId="48C4D677" w14:textId="33936B47" w:rsidR="004166B7" w:rsidRPr="009B5E1A" w:rsidRDefault="004166B7" w:rsidP="004166B7">
      <w:pPr>
        <w:spacing w:line="480" w:lineRule="auto"/>
        <w:jc w:val="both"/>
        <w:rPr>
          <w:rFonts w:ascii="Times New Roman" w:eastAsia="Times New Roman" w:hAnsi="Times New Roman"/>
          <w:b/>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b/>
          <w:sz w:val="20"/>
          <w:szCs w:val="20"/>
        </w:rPr>
        <w:lastRenderedPageBreak/>
        <w:t xml:space="preserve">Plate </w:t>
      </w:r>
      <w:r w:rsidR="00457E2F">
        <w:rPr>
          <w:rFonts w:ascii="Times New Roman" w:eastAsia="Times New Roman" w:hAnsi="Times New Roman"/>
          <w:b/>
          <w:sz w:val="20"/>
          <w:szCs w:val="20"/>
        </w:rPr>
        <w:t>4</w:t>
      </w:r>
      <w:r w:rsidRPr="009B5E1A">
        <w:rPr>
          <w:rFonts w:ascii="Times New Roman" w:eastAsia="Times New Roman" w:hAnsi="Times New Roman"/>
          <w:b/>
          <w:sz w:val="20"/>
          <w:szCs w:val="20"/>
        </w:rPr>
        <w:t xml:space="preserve"> (Very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micro and</w:t>
      </w:r>
      <w:r w:rsidR="009B5E1A">
        <w:rPr>
          <w:rFonts w:ascii="Times New Roman" w:eastAsia="Times New Roman" w:hAnsi="Times New Roman"/>
          <w:b/>
          <w:sz w:val="20"/>
          <w:szCs w:val="20"/>
        </w:rPr>
        <w:t xml:space="preserve"> </w:t>
      </w:r>
      <w:r w:rsidRPr="009B5E1A">
        <w:rPr>
          <w:rFonts w:ascii="Times New Roman" w:eastAsia="Times New Roman" w:hAnsi="Times New Roman"/>
          <w:b/>
          <w:sz w:val="20"/>
          <w:szCs w:val="20"/>
        </w:rPr>
        <w:t>macro vesicular steatosis (see</w:t>
      </w:r>
    </w:p>
    <w:p w14:paraId="006E3F95" w14:textId="77777777" w:rsidR="004166B7"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blue encircled zones).</w:t>
      </w:r>
    </w:p>
    <w:p w14:paraId="683BD3FC" w14:textId="77777777" w:rsidR="008675E6" w:rsidRDefault="008675E6" w:rsidP="004166B7">
      <w:pPr>
        <w:spacing w:line="480" w:lineRule="auto"/>
        <w:jc w:val="both"/>
        <w:rPr>
          <w:rFonts w:ascii="Times New Roman" w:eastAsia="Times New Roman" w:hAnsi="Times New Roman"/>
          <w:b/>
          <w:sz w:val="20"/>
          <w:szCs w:val="20"/>
        </w:rPr>
      </w:pPr>
    </w:p>
    <w:p w14:paraId="42645CBC" w14:textId="77777777" w:rsidR="008675E6" w:rsidRPr="009B5E1A" w:rsidRDefault="008675E6" w:rsidP="004166B7">
      <w:pPr>
        <w:spacing w:line="480" w:lineRule="auto"/>
        <w:jc w:val="both"/>
        <w:rPr>
          <w:rFonts w:ascii="Times New Roman" w:eastAsia="Times New Roman" w:hAnsi="Times New Roman"/>
          <w:b/>
          <w:sz w:val="20"/>
          <w:szCs w:val="20"/>
        </w:rPr>
        <w:sectPr w:rsidR="008675E6" w:rsidRPr="009B5E1A" w:rsidSect="00DD5D22">
          <w:type w:val="continuous"/>
          <w:pgSz w:w="12240" w:h="15840"/>
          <w:pgMar w:top="1440" w:right="1440" w:bottom="1440" w:left="1440" w:header="720" w:footer="720" w:gutter="0"/>
          <w:cols w:space="720"/>
          <w:docGrid w:linePitch="360"/>
        </w:sectPr>
      </w:pPr>
    </w:p>
    <w:p w14:paraId="6449E145" w14:textId="77777777" w:rsidR="008675E6" w:rsidRDefault="008675E6" w:rsidP="004166B7">
      <w:pPr>
        <w:spacing w:line="480" w:lineRule="auto"/>
        <w:jc w:val="both"/>
        <w:rPr>
          <w:rFonts w:ascii="Times New Roman" w:eastAsia="Times New Roman" w:hAnsi="Times New Roman" w:cs="Times New Roman"/>
          <w:b/>
        </w:rPr>
      </w:pPr>
    </w:p>
    <w:p w14:paraId="1F467968" w14:textId="77777777" w:rsidR="008675E6" w:rsidRDefault="008675E6" w:rsidP="004166B7">
      <w:pPr>
        <w:spacing w:line="480" w:lineRule="auto"/>
        <w:jc w:val="both"/>
        <w:rPr>
          <w:rFonts w:ascii="Times New Roman" w:eastAsia="Times New Roman" w:hAnsi="Times New Roman" w:cs="Times New Roman"/>
          <w:b/>
        </w:rPr>
        <w:sectPr w:rsidR="008675E6" w:rsidSect="00DD5D22">
          <w:type w:val="continuous"/>
          <w:pgSz w:w="12240" w:h="15840"/>
          <w:pgMar w:top="1440" w:right="1440" w:bottom="1440" w:left="1440" w:header="720" w:footer="720" w:gutter="0"/>
          <w:cols w:space="720"/>
          <w:docGrid w:linePitch="360"/>
        </w:sectPr>
      </w:pPr>
    </w:p>
    <w:p w14:paraId="6DAC4DD7" w14:textId="56DBA5F3" w:rsidR="004166B7" w:rsidRPr="009B5E1A" w:rsidRDefault="00762734"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 xml:space="preserve">3.4 </w:t>
      </w:r>
      <w:r w:rsidR="004166B7" w:rsidRPr="009B5E1A">
        <w:rPr>
          <w:rFonts w:ascii="Times New Roman" w:hAnsi="Times New Roman" w:cs="Times New Roman"/>
          <w:b/>
          <w:bCs/>
          <w:sz w:val="22"/>
          <w:szCs w:val="22"/>
        </w:rPr>
        <w:t>Discussion</w:t>
      </w:r>
    </w:p>
    <w:p w14:paraId="2703FAA5" w14:textId="6ECD420A"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The present study investigated the hepatotoxic potential of sub-chronic dietary exposure to </w:t>
      </w:r>
      <w:proofErr w:type="spellStart"/>
      <w:r w:rsidRPr="009B5E1A">
        <w:rPr>
          <w:rFonts w:ascii="Times New Roman" w:hAnsi="Times New Roman" w:cs="Times New Roman"/>
          <w:sz w:val="20"/>
          <w:szCs w:val="20"/>
        </w:rPr>
        <w:t>A</w:t>
      </w:r>
      <w:r w:rsidRPr="00AB69FF">
        <w:rPr>
          <w:rFonts w:ascii="Times New Roman" w:hAnsi="Times New Roman" w:cs="Times New Roman"/>
          <w:sz w:val="20"/>
          <w:szCs w:val="20"/>
        </w:rPr>
        <w:t>luminium</w:t>
      </w:r>
      <w:proofErr w:type="spellEnd"/>
      <w:r w:rsidRPr="00AB69FF">
        <w:rPr>
          <w:rFonts w:ascii="Times New Roman" w:hAnsi="Times New Roman" w:cs="Times New Roman"/>
          <w:sz w:val="20"/>
          <w:szCs w:val="20"/>
        </w:rPr>
        <w:t xml:space="preserve"> phosphide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by examining serum liver biomarkers and liver histoarchitecture in Wistar rats. The findings demonstrate that 56-day ingestion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-formulated feed induces biochemical and structural liver injury in a dose-dependent pattern. These results align with growing toxicological evidence that phosphine-generating fumigants, even at sub-lethal dietary levels, may compromise hepatic integrity through oxidative and metabolic disruptions</w:t>
      </w:r>
      <w:r w:rsidR="000B54C4">
        <w:rPr>
          <w:rFonts w:ascii="Times New Roman" w:hAnsi="Times New Roman" w:cs="Times New Roman"/>
          <w:sz w:val="20"/>
          <w:szCs w:val="20"/>
        </w:rPr>
        <w:t>.</w:t>
      </w:r>
      <w:r w:rsidRPr="00AB69FF">
        <w:rPr>
          <w:rFonts w:ascii="Times New Roman" w:hAnsi="Times New Roman" w:cs="Times New Roman"/>
          <w:sz w:val="20"/>
          <w:szCs w:val="20"/>
        </w:rPr>
        <w:t xml:space="preserve"> </w:t>
      </w:r>
    </w:p>
    <w:p w14:paraId="5EB34389" w14:textId="21F8FEE8"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A key observation was the significant elevation of alanine aminotransferase (ALT) in rats exposed to higher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doses. ALT is a sensitive marker of hepatocellular membrane injury because it is primarily localized in the cytosol of hepatocytes and is released during cell damage (Okonkwo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Ibrahim, 2023). The rise in ALT suggests hepatocyte membrane leakage attributable to phosphine-induced oxidative stress. Similar ALT elevation following phosphine exposure has been documented in rodent models, implicating mitochondrial inhibition, ATP depletion, and ROS generation as primary mechanisms (Solomon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Chukwu, 2021; Ifeanyi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2025).</w:t>
      </w:r>
    </w:p>
    <w:p w14:paraId="1F5916E0" w14:textId="089F9D31" w:rsidR="00AB69FF" w:rsidRPr="00AB69FF" w:rsidRDefault="005E6B43" w:rsidP="00AB69FF">
      <w:pPr>
        <w:spacing w:line="480" w:lineRule="auto"/>
        <w:jc w:val="both"/>
        <w:rPr>
          <w:rFonts w:ascii="Times New Roman" w:hAnsi="Times New Roman" w:cs="Times New Roman"/>
          <w:sz w:val="20"/>
          <w:szCs w:val="20"/>
        </w:rPr>
      </w:pPr>
      <w:r w:rsidRPr="005E6B43">
        <w:rPr>
          <w:rFonts w:ascii="Times New Roman" w:hAnsi="Times New Roman" w:cs="Times New Roman"/>
          <w:sz w:val="20"/>
          <w:szCs w:val="20"/>
        </w:rPr>
        <w:t xml:space="preserve">Elevated bilirubin following </w:t>
      </w:r>
      <w:proofErr w:type="spellStart"/>
      <w:r w:rsidRPr="005E6B43">
        <w:rPr>
          <w:rFonts w:ascii="Times New Roman" w:hAnsi="Times New Roman" w:cs="Times New Roman"/>
          <w:sz w:val="20"/>
          <w:szCs w:val="20"/>
        </w:rPr>
        <w:t>AlP</w:t>
      </w:r>
      <w:proofErr w:type="spellEnd"/>
      <w:r w:rsidRPr="005E6B43">
        <w:rPr>
          <w:rFonts w:ascii="Times New Roman" w:hAnsi="Times New Roman" w:cs="Times New Roman"/>
          <w:sz w:val="20"/>
          <w:szCs w:val="20"/>
        </w:rPr>
        <w:t xml:space="preserve"> exposure is consistently documented and likely reflects impaired hepatic conjugation and biliary excretion. In experimental rat studies, administration of </w:t>
      </w:r>
      <w:proofErr w:type="spellStart"/>
      <w:r w:rsidRPr="005E6B43">
        <w:rPr>
          <w:rFonts w:ascii="Times New Roman" w:hAnsi="Times New Roman" w:cs="Times New Roman"/>
          <w:sz w:val="20"/>
          <w:szCs w:val="20"/>
        </w:rPr>
        <w:t>AlP</w:t>
      </w:r>
      <w:proofErr w:type="spellEnd"/>
      <w:r w:rsidRPr="005E6B43">
        <w:rPr>
          <w:rFonts w:ascii="Times New Roman" w:hAnsi="Times New Roman" w:cs="Times New Roman"/>
          <w:sz w:val="20"/>
          <w:szCs w:val="20"/>
        </w:rPr>
        <w:t xml:space="preserve"> significantly increased total bilirubin alongside liver</w:t>
      </w:r>
      <w:r w:rsidRPr="005E6B43">
        <w:rPr>
          <w:rFonts w:ascii="Times New Roman" w:hAnsi="Times New Roman" w:cs="Times New Roman"/>
          <w:sz w:val="20"/>
          <w:szCs w:val="20"/>
        </w:rPr>
        <w:noBreakHyphen/>
        <w:t>enzyme elevations and histopathological evidence of hepatic damage (Al</w:t>
      </w:r>
      <w:r w:rsidRPr="005E6B43">
        <w:rPr>
          <w:rFonts w:ascii="Times New Roman" w:hAnsi="Times New Roman" w:cs="Times New Roman"/>
          <w:sz w:val="20"/>
          <w:szCs w:val="20"/>
        </w:rPr>
        <w:noBreakHyphen/>
        <w:t xml:space="preserve">Safar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2023; </w:t>
      </w:r>
      <w:proofErr w:type="spellStart"/>
      <w:r w:rsidRPr="005E6B43">
        <w:rPr>
          <w:rFonts w:ascii="Times New Roman" w:hAnsi="Times New Roman" w:cs="Times New Roman"/>
          <w:sz w:val="20"/>
          <w:szCs w:val="20"/>
        </w:rPr>
        <w:t>Parvizrad</w:t>
      </w:r>
      <w:proofErr w:type="spellEnd"/>
      <w:r w:rsidRPr="005E6B43">
        <w:rPr>
          <w:rFonts w:ascii="Times New Roman" w:hAnsi="Times New Roman" w:cs="Times New Roman"/>
          <w:sz w:val="20"/>
          <w:szCs w:val="20"/>
        </w:rPr>
        <w:t xml:space="preserve">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2022). For instance, the study by Al</w:t>
      </w:r>
      <w:r w:rsidRPr="005E6B43">
        <w:rPr>
          <w:rFonts w:ascii="Times New Roman" w:hAnsi="Times New Roman" w:cs="Times New Roman"/>
          <w:sz w:val="20"/>
          <w:szCs w:val="20"/>
        </w:rPr>
        <w:noBreakHyphen/>
        <w:t>Safar and colleagues (2023) reported bile</w:t>
      </w:r>
      <w:r w:rsidRPr="005E6B43">
        <w:rPr>
          <w:rFonts w:ascii="Times New Roman" w:hAnsi="Times New Roman" w:cs="Times New Roman"/>
          <w:sz w:val="20"/>
          <w:szCs w:val="20"/>
        </w:rPr>
        <w:noBreakHyphen/>
        <w:t xml:space="preserve">stasis, sinusoidal dilation, and Kupffer cell proliferation conditions that would hinder normal bilirubin clearance and result in hyperbilirubinemia. Similarly, </w:t>
      </w:r>
      <w:proofErr w:type="spellStart"/>
      <w:r w:rsidRPr="005E6B43">
        <w:rPr>
          <w:rFonts w:ascii="Times New Roman" w:hAnsi="Times New Roman" w:cs="Times New Roman"/>
          <w:sz w:val="20"/>
          <w:szCs w:val="20"/>
        </w:rPr>
        <w:t>Parvizrad</w:t>
      </w:r>
      <w:proofErr w:type="spellEnd"/>
      <w:r w:rsidRPr="005E6B43">
        <w:rPr>
          <w:rFonts w:ascii="Times New Roman" w:hAnsi="Times New Roman" w:cs="Times New Roman"/>
          <w:sz w:val="20"/>
          <w:szCs w:val="20"/>
        </w:rPr>
        <w:t xml:space="preserve">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(2022) observed phosphine-induced disruption of antioxidant defenses and hepatic injury, supporting a mechanism whereby mitochondrial dysfunction impairs conjugation and excretion processes. Taken together, these findings strongly support a metabolic toxicity pathway in which phosphine-mediated mitochondrial inhibition and </w:t>
      </w:r>
      <w:r w:rsidRPr="005E6B43">
        <w:rPr>
          <w:rFonts w:ascii="Times New Roman" w:hAnsi="Times New Roman" w:cs="Times New Roman"/>
          <w:sz w:val="20"/>
          <w:szCs w:val="20"/>
        </w:rPr>
        <w:lastRenderedPageBreak/>
        <w:t xml:space="preserve">oxidative stress compromise bilirubin handling and promote hepatic </w:t>
      </w:r>
      <w:proofErr w:type="spellStart"/>
      <w:proofErr w:type="gramStart"/>
      <w:r w:rsidRPr="005E6B43">
        <w:rPr>
          <w:rFonts w:ascii="Times New Roman" w:hAnsi="Times New Roman" w:cs="Times New Roman"/>
          <w:sz w:val="20"/>
          <w:szCs w:val="20"/>
        </w:rPr>
        <w:t>dysfunction.</w:t>
      </w:r>
      <w:r w:rsidR="00AB69FF" w:rsidRPr="00AB69FF">
        <w:rPr>
          <w:rFonts w:ascii="Times New Roman" w:hAnsi="Times New Roman" w:cs="Times New Roman"/>
          <w:sz w:val="20"/>
          <w:szCs w:val="20"/>
        </w:rPr>
        <w:t>Conversely</w:t>
      </w:r>
      <w:proofErr w:type="spellEnd"/>
      <w:proofErr w:type="gramEnd"/>
      <w:r w:rsidR="00AB69FF" w:rsidRPr="00AB69FF">
        <w:rPr>
          <w:rFonts w:ascii="Times New Roman" w:hAnsi="Times New Roman" w:cs="Times New Roman"/>
          <w:sz w:val="20"/>
          <w:szCs w:val="20"/>
        </w:rPr>
        <w:t>, reductions in aspartate aminotransferase (AST) and alkaline phosphatase (ALP) were observed. Decreased AST may reflect selective inhibition of mitochondrial enzymes, consistent with phosphine’s binding affinity for mitochondrial complexes (</w:t>
      </w:r>
      <w:proofErr w:type="spellStart"/>
      <w:r w:rsidR="00AB69FF" w:rsidRPr="00AB69FF">
        <w:rPr>
          <w:rFonts w:ascii="Times New Roman" w:hAnsi="Times New Roman" w:cs="Times New Roman"/>
          <w:sz w:val="20"/>
          <w:szCs w:val="20"/>
        </w:rPr>
        <w:t>Mbah</w:t>
      </w:r>
      <w:proofErr w:type="spellEnd"/>
      <w:r w:rsidR="00AB69FF" w:rsidRPr="00AB69FF">
        <w:rPr>
          <w:rFonts w:ascii="Times New Roman" w:hAnsi="Times New Roman" w:cs="Times New Roman"/>
          <w:sz w:val="20"/>
          <w:szCs w:val="20"/>
        </w:rPr>
        <w:t xml:space="preserve"> </w:t>
      </w:r>
      <w:r w:rsidR="00AB69FF" w:rsidRPr="00AB69FF">
        <w:rPr>
          <w:rFonts w:ascii="Times New Roman" w:hAnsi="Times New Roman" w:cs="Times New Roman"/>
          <w:i/>
          <w:iCs/>
          <w:sz w:val="20"/>
          <w:szCs w:val="20"/>
        </w:rPr>
        <w:t>et al</w:t>
      </w:r>
      <w:r w:rsidR="00AB69FF" w:rsidRPr="00AB69FF">
        <w:rPr>
          <w:rFonts w:ascii="Times New Roman" w:hAnsi="Times New Roman" w:cs="Times New Roman"/>
          <w:sz w:val="20"/>
          <w:szCs w:val="20"/>
        </w:rPr>
        <w:t>., 2022</w:t>
      </w:r>
      <w:r>
        <w:rPr>
          <w:rFonts w:ascii="Times New Roman" w:hAnsi="Times New Roman" w:cs="Times New Roman"/>
          <w:sz w:val="20"/>
          <w:szCs w:val="20"/>
        </w:rPr>
        <w:t xml:space="preserve">). </w:t>
      </w:r>
      <w:r w:rsidR="00AB69FF" w:rsidRPr="00AB69FF">
        <w:rPr>
          <w:rFonts w:ascii="Times New Roman" w:hAnsi="Times New Roman" w:cs="Times New Roman"/>
          <w:sz w:val="20"/>
          <w:szCs w:val="20"/>
        </w:rPr>
        <w:t xml:space="preserve">Such decreases have been similarly reported in phosphide-based toxicology studies where chronic low-dose exposure suppressed specific hepatic isoenzymes (Nnaji </w:t>
      </w:r>
      <w:r w:rsidR="00AB69FF" w:rsidRPr="00AB69FF">
        <w:rPr>
          <w:rFonts w:ascii="Times New Roman" w:hAnsi="Times New Roman" w:cs="Times New Roman"/>
          <w:i/>
          <w:iCs/>
          <w:sz w:val="20"/>
          <w:szCs w:val="20"/>
        </w:rPr>
        <w:t>et al</w:t>
      </w:r>
      <w:r w:rsidR="00AB69FF" w:rsidRPr="00AB69FF">
        <w:rPr>
          <w:rFonts w:ascii="Times New Roman" w:hAnsi="Times New Roman" w:cs="Times New Roman"/>
          <w:sz w:val="20"/>
          <w:szCs w:val="20"/>
        </w:rPr>
        <w:t>., 2021).</w:t>
      </w:r>
    </w:p>
    <w:p w14:paraId="37CF4BD8" w14:textId="4A41578B"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Total protein and albumin remained unchanged across exposure groups, suggesting that the 56-day exposure period did not significantly impair hepatic synthesis of major plasma proteins. Protein synthesis impairment typically emerges in advanced or prolonged liver injury, whereas early or moderate toxic exposure may primarily manifest as enzyme perturbations and lipid accumulation (</w:t>
      </w:r>
      <w:proofErr w:type="spellStart"/>
      <w:r w:rsidRPr="00AB69FF">
        <w:rPr>
          <w:rFonts w:ascii="Times New Roman" w:hAnsi="Times New Roman" w:cs="Times New Roman"/>
          <w:sz w:val="20"/>
          <w:szCs w:val="20"/>
        </w:rPr>
        <w:t>Korie</w:t>
      </w:r>
      <w:proofErr w:type="spellEnd"/>
      <w:r w:rsidRPr="00AB69FF">
        <w:rPr>
          <w:rFonts w:ascii="Times New Roman" w:hAnsi="Times New Roman" w:cs="Times New Roman"/>
          <w:sz w:val="20"/>
          <w:szCs w:val="20"/>
        </w:rPr>
        <w:t xml:space="preserve">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w:t>
      </w:r>
      <w:proofErr w:type="spellStart"/>
      <w:r w:rsidRPr="00AB69FF">
        <w:rPr>
          <w:rFonts w:ascii="Times New Roman" w:hAnsi="Times New Roman" w:cs="Times New Roman"/>
          <w:sz w:val="20"/>
          <w:szCs w:val="20"/>
        </w:rPr>
        <w:t>Madu</w:t>
      </w:r>
      <w:proofErr w:type="spellEnd"/>
      <w:r w:rsidRPr="00AB69FF">
        <w:rPr>
          <w:rFonts w:ascii="Times New Roman" w:hAnsi="Times New Roman" w:cs="Times New Roman"/>
          <w:sz w:val="20"/>
          <w:szCs w:val="20"/>
        </w:rPr>
        <w:t>, 2022). This stability in protein indices complements histopathological findings, which indicated moderate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not extensive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structural hepatocyte damage.</w:t>
      </w:r>
    </w:p>
    <w:p w14:paraId="59085066" w14:textId="5AF5633A" w:rsidR="00344BC1" w:rsidRDefault="00344BC1" w:rsidP="00AB69FF">
      <w:pPr>
        <w:spacing w:line="480" w:lineRule="auto"/>
        <w:jc w:val="both"/>
        <w:rPr>
          <w:rFonts w:ascii="Times New Roman" w:hAnsi="Times New Roman" w:cs="Times New Roman"/>
          <w:sz w:val="20"/>
          <w:szCs w:val="20"/>
        </w:rPr>
      </w:pPr>
      <w:r w:rsidRPr="00344BC1">
        <w:rPr>
          <w:rFonts w:ascii="Times New Roman" w:hAnsi="Times New Roman" w:cs="Times New Roman"/>
          <w:sz w:val="20"/>
          <w:szCs w:val="20"/>
        </w:rPr>
        <w:t xml:space="preserve">Evidence from recent toxicology studies reinforces the view that </w:t>
      </w:r>
      <w:proofErr w:type="spellStart"/>
      <w:r>
        <w:rPr>
          <w:rFonts w:ascii="Times New Roman" w:hAnsi="Times New Roman" w:cs="Times New Roman"/>
          <w:sz w:val="20"/>
          <w:szCs w:val="20"/>
        </w:rPr>
        <w:t>AlP</w:t>
      </w:r>
      <w:proofErr w:type="spellEnd"/>
      <w:r>
        <w:rPr>
          <w:rFonts w:ascii="Times New Roman" w:hAnsi="Times New Roman" w:cs="Times New Roman"/>
          <w:sz w:val="20"/>
          <w:szCs w:val="20"/>
        </w:rPr>
        <w:t>-induced</w:t>
      </w:r>
      <w:r w:rsidRPr="00344BC1">
        <w:rPr>
          <w:rFonts w:ascii="Times New Roman" w:hAnsi="Times New Roman" w:cs="Times New Roman"/>
          <w:sz w:val="20"/>
          <w:szCs w:val="20"/>
        </w:rPr>
        <w:t xml:space="preserve"> liver injury proceeds primarily via oxidative stress and mitochondrial disruption. In a 2022 rat study, administration of </w:t>
      </w:r>
      <w:proofErr w:type="spellStart"/>
      <w:r w:rsidRPr="00344BC1">
        <w:rPr>
          <w:rFonts w:ascii="Times New Roman" w:hAnsi="Times New Roman" w:cs="Times New Roman"/>
          <w:sz w:val="20"/>
          <w:szCs w:val="20"/>
        </w:rPr>
        <w:t>AlP</w:t>
      </w:r>
      <w:proofErr w:type="spellEnd"/>
      <w:r w:rsidRPr="00344BC1">
        <w:rPr>
          <w:rFonts w:ascii="Times New Roman" w:hAnsi="Times New Roman" w:cs="Times New Roman"/>
          <w:sz w:val="20"/>
          <w:szCs w:val="20"/>
        </w:rPr>
        <w:t xml:space="preserve"> led to marked decreases in antioxidant defenses (catalase, glutathione, SOD) and concomitant increases in hepatic enzyme markers, findings indicative of </w:t>
      </w:r>
      <w:r>
        <w:rPr>
          <w:rFonts w:ascii="Times New Roman" w:hAnsi="Times New Roman" w:cs="Times New Roman"/>
          <w:sz w:val="20"/>
          <w:szCs w:val="20"/>
        </w:rPr>
        <w:t>ROS-mediated</w:t>
      </w:r>
      <w:r w:rsidRPr="00344BC1">
        <w:rPr>
          <w:rFonts w:ascii="Times New Roman" w:hAnsi="Times New Roman" w:cs="Times New Roman"/>
          <w:sz w:val="20"/>
          <w:szCs w:val="20"/>
        </w:rPr>
        <w:t xml:space="preserve"> hepatocellular damage (</w:t>
      </w:r>
      <w:proofErr w:type="spellStart"/>
      <w:r w:rsidRPr="00344BC1">
        <w:rPr>
          <w:rFonts w:ascii="Times New Roman" w:hAnsi="Times New Roman" w:cs="Times New Roman"/>
          <w:sz w:val="20"/>
          <w:szCs w:val="20"/>
        </w:rPr>
        <w:t>Parvizrad</w:t>
      </w:r>
      <w:proofErr w:type="spellEnd"/>
      <w:r w:rsidRPr="00344BC1">
        <w:rPr>
          <w:rFonts w:ascii="Times New Roman" w:hAnsi="Times New Roman" w:cs="Times New Roman"/>
          <w:sz w:val="20"/>
          <w:szCs w:val="20"/>
        </w:rPr>
        <w:t xml:space="preserve"> </w:t>
      </w:r>
      <w:r w:rsidRPr="00344BC1">
        <w:rPr>
          <w:rFonts w:ascii="Times New Roman" w:hAnsi="Times New Roman" w:cs="Times New Roman"/>
          <w:i/>
          <w:iCs/>
          <w:sz w:val="20"/>
          <w:szCs w:val="20"/>
        </w:rPr>
        <w:t xml:space="preserve">et </w:t>
      </w:r>
      <w:proofErr w:type="gramStart"/>
      <w:r w:rsidRPr="00344BC1">
        <w:rPr>
          <w:rFonts w:ascii="Times New Roman" w:hAnsi="Times New Roman" w:cs="Times New Roman"/>
          <w:i/>
          <w:iCs/>
          <w:sz w:val="20"/>
          <w:szCs w:val="20"/>
        </w:rPr>
        <w:t>al,,</w:t>
      </w:r>
      <w:proofErr w:type="gramEnd"/>
      <w:r w:rsidRPr="00344BC1">
        <w:rPr>
          <w:rFonts w:ascii="Times New Roman" w:hAnsi="Times New Roman" w:cs="Times New Roman"/>
          <w:sz w:val="20"/>
          <w:szCs w:val="20"/>
        </w:rPr>
        <w:t xml:space="preserve"> 2022). Histopathological examination also revealed centrilobular necrosis and sinusoidal dilatation, consistent with </w:t>
      </w:r>
      <w:r>
        <w:rPr>
          <w:rFonts w:ascii="Times New Roman" w:hAnsi="Times New Roman" w:cs="Times New Roman"/>
          <w:sz w:val="20"/>
          <w:szCs w:val="20"/>
        </w:rPr>
        <w:t>toxin-induced</w:t>
      </w:r>
      <w:r w:rsidRPr="00344BC1">
        <w:rPr>
          <w:rFonts w:ascii="Times New Roman" w:hAnsi="Times New Roman" w:cs="Times New Roman"/>
          <w:sz w:val="20"/>
          <w:szCs w:val="20"/>
        </w:rPr>
        <w:t xml:space="preserve"> vascular stress. Similarly, a 2023 investigation reported fatty infiltration (“fatty changes”), sinusoidal dilatation, Kupffer cell hyperplasia, bile</w:t>
      </w:r>
      <w:r w:rsidRPr="00344BC1">
        <w:rPr>
          <w:rFonts w:ascii="Times New Roman" w:hAnsi="Times New Roman" w:cs="Times New Roman"/>
          <w:sz w:val="20"/>
          <w:szCs w:val="20"/>
        </w:rPr>
        <w:noBreakHyphen/>
        <w:t>stasis</w:t>
      </w:r>
      <w:r>
        <w:rPr>
          <w:rFonts w:ascii="Times New Roman" w:hAnsi="Times New Roman" w:cs="Times New Roman"/>
          <w:sz w:val="20"/>
          <w:szCs w:val="20"/>
        </w:rPr>
        <w:t>,</w:t>
      </w:r>
      <w:r w:rsidRPr="00344BC1">
        <w:rPr>
          <w:rFonts w:ascii="Times New Roman" w:hAnsi="Times New Roman" w:cs="Times New Roman"/>
          <w:sz w:val="20"/>
          <w:szCs w:val="20"/>
        </w:rPr>
        <w:t xml:space="preserve"> and vascular congestion in </w:t>
      </w:r>
      <w:r>
        <w:rPr>
          <w:rFonts w:ascii="Times New Roman" w:hAnsi="Times New Roman" w:cs="Times New Roman"/>
          <w:sz w:val="20"/>
          <w:szCs w:val="20"/>
        </w:rPr>
        <w:t xml:space="preserve">the </w:t>
      </w:r>
      <w:r w:rsidRPr="00344BC1">
        <w:rPr>
          <w:rFonts w:ascii="Times New Roman" w:hAnsi="Times New Roman" w:cs="Times New Roman"/>
          <w:sz w:val="20"/>
          <w:szCs w:val="20"/>
        </w:rPr>
        <w:t xml:space="preserve">livers of </w:t>
      </w:r>
      <w:proofErr w:type="spellStart"/>
      <w:r>
        <w:rPr>
          <w:rFonts w:ascii="Times New Roman" w:hAnsi="Times New Roman" w:cs="Times New Roman"/>
          <w:sz w:val="20"/>
          <w:szCs w:val="20"/>
        </w:rPr>
        <w:t>AlP</w:t>
      </w:r>
      <w:proofErr w:type="spellEnd"/>
      <w:r>
        <w:rPr>
          <w:rFonts w:ascii="Times New Roman" w:hAnsi="Times New Roman" w:cs="Times New Roman"/>
          <w:sz w:val="20"/>
          <w:szCs w:val="20"/>
        </w:rPr>
        <w:t>-treated</w:t>
      </w:r>
      <w:r w:rsidRPr="00344BC1">
        <w:rPr>
          <w:rFonts w:ascii="Times New Roman" w:hAnsi="Times New Roman" w:cs="Times New Roman"/>
          <w:sz w:val="20"/>
          <w:szCs w:val="20"/>
        </w:rPr>
        <w:t xml:space="preserve"> rats</w:t>
      </w:r>
      <w:r>
        <w:rPr>
          <w:rFonts w:ascii="Times New Roman" w:hAnsi="Times New Roman" w:cs="Times New Roman"/>
          <w:sz w:val="20"/>
          <w:szCs w:val="20"/>
        </w:rPr>
        <w:t>,</w:t>
      </w:r>
      <w:r w:rsidRPr="00344BC1">
        <w:rPr>
          <w:rFonts w:ascii="Times New Roman" w:hAnsi="Times New Roman" w:cs="Times New Roman"/>
          <w:sz w:val="20"/>
          <w:szCs w:val="20"/>
        </w:rPr>
        <w:t xml:space="preserve"> changes that align with metabolic and perfusion disturbances (Al</w:t>
      </w:r>
      <w:r w:rsidRPr="00344BC1">
        <w:rPr>
          <w:rFonts w:ascii="Times New Roman" w:hAnsi="Times New Roman" w:cs="Times New Roman"/>
          <w:sz w:val="20"/>
          <w:szCs w:val="20"/>
        </w:rPr>
        <w:noBreakHyphen/>
        <w:t xml:space="preserve">Safar </w:t>
      </w:r>
      <w:r w:rsidRPr="00344BC1">
        <w:rPr>
          <w:rFonts w:ascii="Times New Roman" w:hAnsi="Times New Roman" w:cs="Times New Roman"/>
          <w:i/>
          <w:iCs/>
          <w:sz w:val="20"/>
          <w:szCs w:val="20"/>
        </w:rPr>
        <w:t>et al.,</w:t>
      </w:r>
      <w:r w:rsidRPr="00344BC1">
        <w:rPr>
          <w:rFonts w:ascii="Times New Roman" w:hAnsi="Times New Roman" w:cs="Times New Roman"/>
          <w:sz w:val="20"/>
          <w:szCs w:val="20"/>
        </w:rPr>
        <w:t xml:space="preserve"> 2023). Another recent study demonstrated that </w:t>
      </w:r>
      <w:r>
        <w:rPr>
          <w:rFonts w:ascii="Times New Roman" w:hAnsi="Times New Roman" w:cs="Times New Roman"/>
          <w:sz w:val="20"/>
          <w:szCs w:val="20"/>
        </w:rPr>
        <w:t>sub-acute</w:t>
      </w:r>
      <w:r w:rsidRPr="00344BC1">
        <w:rPr>
          <w:rFonts w:ascii="Times New Roman" w:hAnsi="Times New Roman" w:cs="Times New Roman"/>
          <w:sz w:val="20"/>
          <w:szCs w:val="20"/>
        </w:rPr>
        <w:t xml:space="preserve"> phosphine exposure induced both biochemical alterations and histological lesions in rodent livers, including distorted hepatic architecture and degeneration of hepatocytes (</w:t>
      </w:r>
      <w:proofErr w:type="spellStart"/>
      <w:r w:rsidRPr="00344BC1">
        <w:rPr>
          <w:rFonts w:ascii="Times New Roman" w:hAnsi="Times New Roman" w:cs="Times New Roman"/>
          <w:sz w:val="20"/>
          <w:szCs w:val="20"/>
        </w:rPr>
        <w:t>Akinpelu</w:t>
      </w:r>
      <w:proofErr w:type="spellEnd"/>
      <w:r>
        <w:rPr>
          <w:rFonts w:ascii="Times New Roman" w:hAnsi="Times New Roman" w:cs="Times New Roman"/>
          <w:sz w:val="20"/>
          <w:szCs w:val="20"/>
        </w:rPr>
        <w:t xml:space="preserve"> </w:t>
      </w:r>
      <w:r w:rsidRPr="00344BC1">
        <w:rPr>
          <w:rFonts w:ascii="Times New Roman" w:hAnsi="Times New Roman" w:cs="Times New Roman"/>
          <w:i/>
          <w:iCs/>
          <w:sz w:val="20"/>
          <w:szCs w:val="20"/>
        </w:rPr>
        <w:t>et al.,</w:t>
      </w:r>
      <w:r w:rsidRPr="00344BC1">
        <w:rPr>
          <w:rFonts w:ascii="Times New Roman" w:hAnsi="Times New Roman" w:cs="Times New Roman"/>
          <w:sz w:val="20"/>
          <w:szCs w:val="20"/>
        </w:rPr>
        <w:t xml:space="preserve"> 2023).</w:t>
      </w:r>
      <w:r>
        <w:rPr>
          <w:rFonts w:ascii="Times New Roman" w:hAnsi="Times New Roman" w:cs="Times New Roman"/>
          <w:sz w:val="20"/>
          <w:szCs w:val="20"/>
        </w:rPr>
        <w:t xml:space="preserve"> </w:t>
      </w:r>
    </w:p>
    <w:p w14:paraId="74783B57" w14:textId="09F36221" w:rsidR="00E14CFE" w:rsidRDefault="00E14CFE" w:rsidP="00AB69FF">
      <w:pPr>
        <w:spacing w:line="480" w:lineRule="auto"/>
        <w:jc w:val="both"/>
        <w:rPr>
          <w:rFonts w:ascii="Times New Roman" w:hAnsi="Times New Roman" w:cs="Times New Roman"/>
          <w:sz w:val="20"/>
          <w:szCs w:val="20"/>
        </w:rPr>
      </w:pPr>
      <w:r w:rsidRPr="00E14CFE">
        <w:rPr>
          <w:rFonts w:ascii="Times New Roman" w:hAnsi="Times New Roman" w:cs="Times New Roman"/>
          <w:sz w:val="20"/>
          <w:szCs w:val="20"/>
        </w:rPr>
        <w:t xml:space="preserve">The biochemical and microscopic evidence from this study </w:t>
      </w:r>
      <w:r>
        <w:rPr>
          <w:rFonts w:ascii="Times New Roman" w:hAnsi="Times New Roman" w:cs="Times New Roman"/>
          <w:sz w:val="20"/>
          <w:szCs w:val="20"/>
        </w:rPr>
        <w:t>points</w:t>
      </w:r>
      <w:r w:rsidRPr="00E14CFE">
        <w:rPr>
          <w:rFonts w:ascii="Times New Roman" w:hAnsi="Times New Roman" w:cs="Times New Roman"/>
          <w:sz w:val="20"/>
          <w:szCs w:val="20"/>
        </w:rPr>
        <w:t xml:space="preserve"> strongly to an oxidative stress–mediated mechanism of liver injury. Phosphine, the active toxicant released from </w:t>
      </w:r>
      <w:proofErr w:type="spellStart"/>
      <w:r w:rsidRPr="00E14CFE">
        <w:rPr>
          <w:rFonts w:ascii="Times New Roman" w:hAnsi="Times New Roman" w:cs="Times New Roman"/>
          <w:sz w:val="20"/>
          <w:szCs w:val="20"/>
        </w:rPr>
        <w:t>aluminium</w:t>
      </w:r>
      <w:proofErr w:type="spellEnd"/>
      <w:r w:rsidRPr="00E14CFE">
        <w:rPr>
          <w:rFonts w:ascii="Times New Roman" w:hAnsi="Times New Roman" w:cs="Times New Roman"/>
          <w:sz w:val="20"/>
          <w:szCs w:val="20"/>
        </w:rPr>
        <w:t xml:space="preserve"> phosphide, is known to inhibit mitochondrial cytochrome c oxidase, impairing cellular respiration, depleting ATP, and promoting overproduction of reactive oxygen species (ROS) (</w:t>
      </w:r>
      <w:proofErr w:type="spellStart"/>
      <w:r w:rsidRPr="00E14CFE">
        <w:rPr>
          <w:rFonts w:ascii="Times New Roman" w:hAnsi="Times New Roman" w:cs="Times New Roman"/>
          <w:sz w:val="20"/>
          <w:szCs w:val="20"/>
        </w:rPr>
        <w:t>Parvizrad</w:t>
      </w:r>
      <w:proofErr w:type="spellEnd"/>
      <w:r w:rsidRPr="00E14CFE">
        <w:rPr>
          <w:rFonts w:ascii="Times New Roman" w:hAnsi="Times New Roman" w:cs="Times New Roman"/>
          <w:sz w:val="20"/>
          <w:szCs w:val="20"/>
        </w:rPr>
        <w:t xml:space="preserve">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2022). Even chronic exposure at low dietary levels can disrupt the liver’s redox balance, leading to lipid peroxidation, inflammation, and structural damage. Indeed, recent experiments with sub-acute </w:t>
      </w:r>
      <w:proofErr w:type="spellStart"/>
      <w:r w:rsidRPr="00E14CFE">
        <w:rPr>
          <w:rFonts w:ascii="Times New Roman" w:hAnsi="Times New Roman" w:cs="Times New Roman"/>
          <w:sz w:val="20"/>
          <w:szCs w:val="20"/>
        </w:rPr>
        <w:t>AlP</w:t>
      </w:r>
      <w:proofErr w:type="spellEnd"/>
      <w:r w:rsidRPr="00E14CFE">
        <w:rPr>
          <w:rFonts w:ascii="Times New Roman" w:hAnsi="Times New Roman" w:cs="Times New Roman"/>
          <w:sz w:val="20"/>
          <w:szCs w:val="20"/>
        </w:rPr>
        <w:t xml:space="preserve"> exposure in rats documented both elevated oxidative markers and histopathological liver lesions (Al-Safar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2023; </w:t>
      </w:r>
      <w:proofErr w:type="spellStart"/>
      <w:r w:rsidRPr="00E14CFE">
        <w:rPr>
          <w:rFonts w:ascii="Times New Roman" w:hAnsi="Times New Roman" w:cs="Times New Roman"/>
          <w:sz w:val="20"/>
          <w:szCs w:val="20"/>
        </w:rPr>
        <w:t>Parvizrad</w:t>
      </w:r>
      <w:proofErr w:type="spellEnd"/>
      <w:r w:rsidRPr="00E14CFE">
        <w:rPr>
          <w:rFonts w:ascii="Times New Roman" w:hAnsi="Times New Roman" w:cs="Times New Roman"/>
          <w:sz w:val="20"/>
          <w:szCs w:val="20"/>
        </w:rPr>
        <w:t xml:space="preserve">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2022).</w:t>
      </w:r>
    </w:p>
    <w:p w14:paraId="36E77231" w14:textId="74A54D68"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lastRenderedPageBreak/>
        <w:t xml:space="preserve">The toxicological implications of these findings are of public health significance. Given </w:t>
      </w:r>
      <w:r w:rsidRPr="009B5E1A">
        <w:rPr>
          <w:rFonts w:ascii="Times New Roman" w:hAnsi="Times New Roman" w:cs="Times New Roman"/>
          <w:sz w:val="20"/>
          <w:szCs w:val="20"/>
        </w:rPr>
        <w:t xml:space="preserve">documented misuse of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 in grain markets in parts of Nigeria</w:t>
      </w:r>
      <w:r w:rsidR="00E14CFE">
        <w:rPr>
          <w:rFonts w:ascii="Times New Roman" w:hAnsi="Times New Roman" w:cs="Times New Roman"/>
          <w:sz w:val="20"/>
          <w:szCs w:val="20"/>
        </w:rPr>
        <w:t>,</w:t>
      </w:r>
      <w:r w:rsidR="00DC0EEB">
        <w:rPr>
          <w:rFonts w:ascii="Times New Roman" w:hAnsi="Times New Roman" w:cs="Times New Roman"/>
          <w:sz w:val="20"/>
          <w:szCs w:val="20"/>
        </w:rPr>
        <w:t xml:space="preserve"> </w:t>
      </w:r>
      <w:r w:rsidRPr="009B5E1A">
        <w:rPr>
          <w:rFonts w:ascii="Times New Roman" w:hAnsi="Times New Roman" w:cs="Times New Roman"/>
          <w:sz w:val="20"/>
          <w:szCs w:val="20"/>
        </w:rPr>
        <w:t>including the application of excessive doses during storage</w:t>
      </w:r>
      <w:r w:rsidR="00E14CFE">
        <w:rPr>
          <w:rFonts w:ascii="Times New Roman" w:hAnsi="Times New Roman" w:cs="Times New Roman"/>
          <w:sz w:val="20"/>
          <w:szCs w:val="20"/>
        </w:rPr>
        <w:t>,</w:t>
      </w:r>
      <w:r w:rsidR="00DC0EEB">
        <w:rPr>
          <w:rFonts w:ascii="Times New Roman" w:hAnsi="Times New Roman" w:cs="Times New Roman"/>
          <w:sz w:val="20"/>
          <w:szCs w:val="20"/>
        </w:rPr>
        <w:t xml:space="preserve"> </w:t>
      </w:r>
      <w:r w:rsidRPr="009B5E1A">
        <w:rPr>
          <w:rFonts w:ascii="Times New Roman" w:hAnsi="Times New Roman" w:cs="Times New Roman"/>
          <w:sz w:val="20"/>
          <w:szCs w:val="20"/>
        </w:rPr>
        <w:t>chronic human exposure to residual phosphine may pose</w:t>
      </w:r>
      <w:r w:rsidRPr="00AB69FF">
        <w:rPr>
          <w:rFonts w:ascii="Times New Roman" w:hAnsi="Times New Roman" w:cs="Times New Roman"/>
          <w:sz w:val="20"/>
          <w:szCs w:val="20"/>
        </w:rPr>
        <w:t xml:space="preserve"> a plausible health risk (Okorie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2023). While the degree of exposure in humans may differ, the sub-chronic alterations observed in rat hepatocytes highlight the importance of regulatory enforcement, routine food residue surveillance, and public awareness campaigns. The liver, as the primary metabolic organ, is particularly vulnerable, and continuous dietary intake of even small quantities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residue may pose cumulative risks.</w:t>
      </w:r>
    </w:p>
    <w:p w14:paraId="219AECCF" w14:textId="77777777" w:rsidR="004166B7" w:rsidRDefault="004166B7" w:rsidP="004166B7">
      <w:pPr>
        <w:spacing w:line="480" w:lineRule="auto"/>
        <w:jc w:val="both"/>
        <w:rPr>
          <w:rFonts w:ascii="Times New Roman" w:hAnsi="Times New Roman" w:cs="Times New Roman"/>
        </w:rPr>
      </w:pPr>
    </w:p>
    <w:p w14:paraId="0DEB9729" w14:textId="77777777" w:rsidR="008675E6" w:rsidRDefault="008675E6" w:rsidP="004166B7">
      <w:pPr>
        <w:spacing w:line="480" w:lineRule="auto"/>
        <w:jc w:val="both"/>
        <w:rPr>
          <w:rFonts w:ascii="Times New Roman" w:hAnsi="Times New Roman" w:cs="Times New Roman"/>
        </w:rPr>
      </w:pPr>
    </w:p>
    <w:p w14:paraId="43BFD1F1" w14:textId="77777777" w:rsidR="008675E6" w:rsidRPr="0070749E" w:rsidRDefault="008675E6" w:rsidP="004166B7">
      <w:pPr>
        <w:spacing w:line="480" w:lineRule="auto"/>
        <w:jc w:val="both"/>
        <w:rPr>
          <w:rFonts w:ascii="Times New Roman" w:hAnsi="Times New Roman" w:cs="Times New Roman"/>
        </w:rPr>
      </w:pPr>
    </w:p>
    <w:p w14:paraId="4F7B8143" w14:textId="7014B08B" w:rsidR="004166B7" w:rsidRPr="009B5E1A" w:rsidRDefault="00AB69FF"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4. CONCLUSION</w:t>
      </w:r>
    </w:p>
    <w:p w14:paraId="501ACCCB"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 xml:space="preserve">Sub-chronic dietary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causes dose-dependent hepatocellular injury, reflected in ALT and bilirubin elevation and histological steatosis. Monitoring liver function is critical in populations at risk of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through stored food.</w:t>
      </w:r>
    </w:p>
    <w:p w14:paraId="6317FD97" w14:textId="77777777" w:rsidR="008675E6" w:rsidRDefault="008675E6" w:rsidP="004166B7">
      <w:pPr>
        <w:spacing w:line="480" w:lineRule="auto"/>
        <w:jc w:val="both"/>
        <w:rPr>
          <w:rFonts w:ascii="Times New Roman" w:hAnsi="Times New Roman" w:cs="Times New Roman"/>
          <w:b/>
          <w:bCs/>
          <w:sz w:val="22"/>
          <w:szCs w:val="22"/>
        </w:rPr>
      </w:pPr>
    </w:p>
    <w:p w14:paraId="7D2D1716" w14:textId="7B2F5D37" w:rsidR="004166B7" w:rsidRPr="009B5E1A" w:rsidRDefault="009B5E1A"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ABBREVIATIONS</w:t>
      </w:r>
    </w:p>
    <w:p w14:paraId="45DB9DAE" w14:textId="77777777" w:rsidR="004166B7" w:rsidRPr="009B5E1A" w:rsidRDefault="004166B7" w:rsidP="004166B7">
      <w:pPr>
        <w:spacing w:line="480" w:lineRule="auto"/>
        <w:jc w:val="both"/>
        <w:rPr>
          <w:rFonts w:ascii="Times New Roman" w:hAnsi="Times New Roman" w:cs="Times New Roman"/>
          <w:sz w:val="20"/>
          <w:szCs w:val="20"/>
        </w:rPr>
      </w:pP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w:t>
      </w:r>
    </w:p>
    <w:p w14:paraId="153CEB4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ALT – Alanine aminotransferase</w:t>
      </w:r>
    </w:p>
    <w:p w14:paraId="5D1A3504"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AST – Aspartate aminotransferase</w:t>
      </w:r>
    </w:p>
    <w:p w14:paraId="5170C5D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ALP – Alkaline phosphatase</w:t>
      </w:r>
    </w:p>
    <w:p w14:paraId="6E6214A7"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ROS – Reactive oxygen species</w:t>
      </w:r>
    </w:p>
    <w:p w14:paraId="43BF452D" w14:textId="77777777" w:rsidR="004166B7" w:rsidRDefault="004166B7" w:rsidP="004166B7">
      <w:pPr>
        <w:spacing w:line="360" w:lineRule="auto"/>
        <w:rPr>
          <w:rFonts w:ascii="Times New Roman" w:hAnsi="Times New Roman" w:cs="Times New Roman"/>
          <w:b/>
          <w:bCs/>
        </w:rPr>
      </w:pPr>
    </w:p>
    <w:p w14:paraId="4C38E57C" w14:textId="3A952E59" w:rsidR="009B5E1A" w:rsidRPr="009B5E1A" w:rsidRDefault="009B5E1A" w:rsidP="004166B7">
      <w:pPr>
        <w:spacing w:line="360" w:lineRule="auto"/>
        <w:rPr>
          <w:rFonts w:ascii="Times New Roman" w:hAnsi="Times New Roman" w:cs="Times New Roman"/>
          <w:b/>
          <w:bCs/>
          <w:sz w:val="22"/>
          <w:szCs w:val="22"/>
        </w:rPr>
      </w:pPr>
      <w:r w:rsidRPr="009B5E1A">
        <w:rPr>
          <w:rFonts w:ascii="Times New Roman" w:hAnsi="Times New Roman" w:cs="Times New Roman"/>
          <w:b/>
          <w:bCs/>
          <w:sz w:val="22"/>
          <w:szCs w:val="22"/>
        </w:rPr>
        <w:lastRenderedPageBreak/>
        <w:t>DISCLAIMER (ARTIFICIAL INTELLIGENCE)</w:t>
      </w:r>
    </w:p>
    <w:p w14:paraId="1C15EB74" w14:textId="77777777" w:rsidR="009B5E1A" w:rsidRDefault="009B5E1A" w:rsidP="009B5E1A">
      <w:pPr>
        <w:spacing w:line="360" w:lineRule="auto"/>
        <w:jc w:val="both"/>
        <w:rPr>
          <w:rFonts w:ascii="Times New Roman" w:hAnsi="Times New Roman" w:cs="Times New Roman"/>
          <w:sz w:val="20"/>
          <w:szCs w:val="20"/>
        </w:rPr>
      </w:pPr>
      <w:r w:rsidRPr="009B5E1A">
        <w:rPr>
          <w:rFonts w:ascii="Times New Roman" w:hAnsi="Times New Roman" w:cs="Times New Roman"/>
          <w:sz w:val="20"/>
          <w:szCs w:val="20"/>
        </w:rPr>
        <w:t>Author(s) hereby declare that non-generative AI technologies such as Large Language Models (</w:t>
      </w:r>
      <w:proofErr w:type="spellStart"/>
      <w:r w:rsidRPr="009B5E1A">
        <w:rPr>
          <w:rFonts w:ascii="Times New Roman" w:hAnsi="Times New Roman" w:cs="Times New Roman"/>
          <w:sz w:val="20"/>
          <w:szCs w:val="20"/>
        </w:rPr>
        <w:t>ChatGPT</w:t>
      </w:r>
      <w:proofErr w:type="spellEnd"/>
      <w:r w:rsidRPr="009B5E1A">
        <w:rPr>
          <w:rFonts w:ascii="Times New Roman" w:hAnsi="Times New Roman" w:cs="Times New Roman"/>
          <w:sz w:val="20"/>
          <w:szCs w:val="20"/>
        </w:rPr>
        <w:t>, COPILOT, etc.) and text-to-image generators have been used during the writing or editing of this manuscript.</w:t>
      </w:r>
    </w:p>
    <w:p w14:paraId="7CD643B7" w14:textId="77777777" w:rsidR="008675E6" w:rsidRDefault="008675E6" w:rsidP="009B5E1A">
      <w:pPr>
        <w:spacing w:line="360" w:lineRule="auto"/>
        <w:jc w:val="both"/>
        <w:rPr>
          <w:rFonts w:ascii="Times New Roman" w:hAnsi="Times New Roman" w:cs="Times New Roman"/>
          <w:sz w:val="20"/>
          <w:szCs w:val="20"/>
        </w:rPr>
      </w:pPr>
    </w:p>
    <w:p w14:paraId="5BF15BE9" w14:textId="77777777" w:rsidR="008675E6" w:rsidRDefault="008675E6" w:rsidP="004166B7">
      <w:pPr>
        <w:spacing w:line="360" w:lineRule="auto"/>
        <w:rPr>
          <w:rFonts w:ascii="Times New Roman" w:hAnsi="Times New Roman" w:cs="Times New Roman"/>
          <w:b/>
          <w:bCs/>
        </w:rPr>
      </w:pPr>
    </w:p>
    <w:p w14:paraId="007E22C3" w14:textId="200431A5" w:rsidR="004033FC" w:rsidRDefault="004033FC" w:rsidP="004166B7">
      <w:pPr>
        <w:spacing w:line="360" w:lineRule="auto"/>
        <w:rPr>
          <w:rFonts w:ascii="Times New Roman" w:hAnsi="Times New Roman" w:cs="Times New Roman"/>
          <w:b/>
          <w:bCs/>
        </w:rPr>
        <w:sectPr w:rsidR="004033FC" w:rsidSect="00DD5D22">
          <w:type w:val="continuous"/>
          <w:pgSz w:w="12240" w:h="15840"/>
          <w:pgMar w:top="1440" w:right="1440" w:bottom="1440" w:left="1440" w:header="720" w:footer="720" w:gutter="0"/>
          <w:cols w:space="720"/>
          <w:docGrid w:linePitch="360"/>
        </w:sectPr>
      </w:pPr>
    </w:p>
    <w:p w14:paraId="38D38470" w14:textId="3713DCE9" w:rsidR="004166B7" w:rsidRPr="008675E6" w:rsidRDefault="004166B7" w:rsidP="008675E6">
      <w:pPr>
        <w:spacing w:line="360" w:lineRule="auto"/>
        <w:rPr>
          <w:rFonts w:ascii="Times New Roman" w:hAnsi="Times New Roman" w:cs="Times New Roman"/>
          <w:b/>
          <w:bCs/>
        </w:rPr>
        <w:sectPr w:rsidR="004166B7" w:rsidRPr="008675E6" w:rsidSect="00DD5D22">
          <w:type w:val="continuous"/>
          <w:pgSz w:w="12240" w:h="15840"/>
          <w:pgMar w:top="1440" w:right="1440" w:bottom="1440" w:left="1440" w:header="720" w:footer="720" w:gutter="0"/>
          <w:cols w:space="720"/>
          <w:docGrid w:linePitch="360"/>
        </w:sectPr>
      </w:pPr>
      <w:r w:rsidRPr="00453940">
        <w:rPr>
          <w:rFonts w:ascii="Times New Roman" w:hAnsi="Times New Roman" w:cs="Times New Roman"/>
          <w:b/>
          <w:bCs/>
        </w:rPr>
        <w:t>REFERENC</w:t>
      </w:r>
      <w:r w:rsidR="000B54C4">
        <w:rPr>
          <w:rFonts w:ascii="Times New Roman" w:hAnsi="Times New Roman" w:cs="Times New Roman"/>
          <w:b/>
          <w:bCs/>
        </w:rPr>
        <w:t>ES</w:t>
      </w:r>
    </w:p>
    <w:p w14:paraId="42DF1A8F" w14:textId="77777777" w:rsidR="008675E6" w:rsidRDefault="008675E6" w:rsidP="008675E6">
      <w:pPr>
        <w:spacing w:line="480" w:lineRule="auto"/>
        <w:jc w:val="both"/>
        <w:rPr>
          <w:rFonts w:ascii="Times New Roman" w:hAnsi="Times New Roman" w:cs="Times New Roman"/>
        </w:rPr>
        <w:sectPr w:rsidR="008675E6" w:rsidSect="00DD5D22">
          <w:type w:val="continuous"/>
          <w:pgSz w:w="12240" w:h="15840"/>
          <w:pgMar w:top="1440" w:right="1440" w:bottom="1440" w:left="1440" w:header="720" w:footer="720" w:gutter="0"/>
          <w:cols w:space="720"/>
          <w:docGrid w:linePitch="360"/>
        </w:sectPr>
      </w:pPr>
    </w:p>
    <w:p w14:paraId="454C69E4" w14:textId="77777777" w:rsidR="000B54C4" w:rsidRPr="008675E6" w:rsidRDefault="000B54C4" w:rsidP="000B54C4"/>
    <w:p w14:paraId="1F872241" w14:textId="77777777" w:rsidR="000B54C4" w:rsidRDefault="000B54C4" w:rsidP="004E05D8">
      <w:pPr>
        <w:pStyle w:val="ListParagraph"/>
        <w:numPr>
          <w:ilvl w:val="0"/>
          <w:numId w:val="4"/>
        </w:numPr>
      </w:pPr>
      <w:r w:rsidRPr="00395A89">
        <w:t xml:space="preserve">Abd-Allah, M., Abdalla, A., Mohamed, N., Rady, M., </w:t>
      </w:r>
      <w:proofErr w:type="spellStart"/>
      <w:r w:rsidRPr="00395A89">
        <w:t>Farrag</w:t>
      </w:r>
      <w:proofErr w:type="spellEnd"/>
      <w:r w:rsidRPr="00395A89">
        <w:t xml:space="preserve">, A., Salama, K., </w:t>
      </w:r>
      <w:proofErr w:type="spellStart"/>
      <w:r w:rsidRPr="00395A89">
        <w:t>Rakha</w:t>
      </w:r>
      <w:proofErr w:type="spellEnd"/>
      <w:r w:rsidRPr="00395A89">
        <w:t xml:space="preserve">, G., &amp; </w:t>
      </w:r>
      <w:proofErr w:type="spellStart"/>
      <w:r w:rsidRPr="00395A89">
        <w:t>Elfakhrany</w:t>
      </w:r>
      <w:proofErr w:type="spellEnd"/>
      <w:r w:rsidRPr="00395A89">
        <w:t xml:space="preserve">, Y. (2022). Updates on toxicology of Aluminum Phosphide and different management protocols. </w:t>
      </w:r>
      <w:proofErr w:type="spellStart"/>
      <w:r w:rsidRPr="00395A89">
        <w:t>Zagazig</w:t>
      </w:r>
      <w:proofErr w:type="spellEnd"/>
      <w:r w:rsidRPr="00395A89">
        <w:t xml:space="preserve"> University Medical Journal, 28(6), 1176-1183. </w:t>
      </w:r>
      <w:hyperlink r:id="rId17" w:history="1">
        <w:r w:rsidRPr="006E6B13">
          <w:rPr>
            <w:rStyle w:val="Hyperlink"/>
          </w:rPr>
          <w:t>https://doi.org/10.21608/zumj.2022.125913.2491</w:t>
        </w:r>
      </w:hyperlink>
    </w:p>
    <w:p w14:paraId="1E39D1FC" w14:textId="77777777" w:rsidR="000B54C4" w:rsidRDefault="000B54C4" w:rsidP="004E05D8">
      <w:pPr>
        <w:pStyle w:val="ListParagraph"/>
        <w:numPr>
          <w:ilvl w:val="0"/>
          <w:numId w:val="4"/>
        </w:numPr>
      </w:pPr>
      <w:r w:rsidRPr="00395A89">
        <w:t xml:space="preserve">Abo El </w:t>
      </w:r>
      <w:proofErr w:type="spellStart"/>
      <w:r w:rsidRPr="00395A89">
        <w:t>Wafa</w:t>
      </w:r>
      <w:proofErr w:type="spellEnd"/>
      <w:r w:rsidRPr="00395A89">
        <w:t xml:space="preserve">, S. M., &amp; El </w:t>
      </w:r>
      <w:proofErr w:type="spellStart"/>
      <w:r w:rsidRPr="00395A89">
        <w:t>Noury</w:t>
      </w:r>
      <w:proofErr w:type="spellEnd"/>
      <w:r w:rsidRPr="00395A89">
        <w:t xml:space="preserve">, H. A. (2020). Can </w:t>
      </w:r>
      <w:proofErr w:type="spellStart"/>
      <w:r w:rsidRPr="00395A89">
        <w:t>rutin</w:t>
      </w:r>
      <w:proofErr w:type="spellEnd"/>
      <w:r w:rsidRPr="00395A89">
        <w:t xml:space="preserve"> ameliorate aluminum phosphide-induced acute cardiac toxicity in adult albino rats? International Journal of Pharmacology and Toxicology, 8(1), 8–14. </w:t>
      </w:r>
      <w:hyperlink r:id="rId18" w:history="1">
        <w:r w:rsidRPr="006E6B13">
          <w:rPr>
            <w:rStyle w:val="Hyperlink"/>
          </w:rPr>
          <w:t>https://doi.org/10.14419/ijpt.v8i1.29973</w:t>
        </w:r>
      </w:hyperlink>
    </w:p>
    <w:p w14:paraId="2B397722" w14:textId="77777777" w:rsidR="000B54C4" w:rsidRPr="007B4E27" w:rsidRDefault="000B54C4" w:rsidP="004E05D8">
      <w:pPr>
        <w:pStyle w:val="ListParagraph"/>
        <w:numPr>
          <w:ilvl w:val="0"/>
          <w:numId w:val="4"/>
        </w:numPr>
      </w:pPr>
      <w:proofErr w:type="spellStart"/>
      <w:r w:rsidRPr="007B4E27">
        <w:t>Akinpelu</w:t>
      </w:r>
      <w:proofErr w:type="spellEnd"/>
      <w:r w:rsidRPr="007B4E27">
        <w:t xml:space="preserve">, M., </w:t>
      </w:r>
      <w:proofErr w:type="spellStart"/>
      <w:r w:rsidRPr="007B4E27">
        <w:t>Gamade</w:t>
      </w:r>
      <w:proofErr w:type="spellEnd"/>
      <w:r w:rsidRPr="007B4E27">
        <w:t xml:space="preserve">, S. M., </w:t>
      </w:r>
      <w:proofErr w:type="spellStart"/>
      <w:r w:rsidRPr="007B4E27">
        <w:t>Akinbo</w:t>
      </w:r>
      <w:proofErr w:type="spellEnd"/>
      <w:r w:rsidRPr="007B4E27">
        <w:t xml:space="preserve">, F., Adeniyi, T. D., </w:t>
      </w:r>
      <w:proofErr w:type="spellStart"/>
      <w:r w:rsidRPr="007B4E27">
        <w:t>Elizebeth</w:t>
      </w:r>
      <w:proofErr w:type="spellEnd"/>
      <w:r w:rsidRPr="007B4E27">
        <w:t xml:space="preserve">, A. F., </w:t>
      </w:r>
      <w:r>
        <w:t>and</w:t>
      </w:r>
      <w:r w:rsidRPr="007B4E27">
        <w:t xml:space="preserve"> </w:t>
      </w:r>
      <w:proofErr w:type="spellStart"/>
      <w:r w:rsidRPr="007B4E27">
        <w:t>Obeagu</w:t>
      </w:r>
      <w:proofErr w:type="spellEnd"/>
      <w:r w:rsidRPr="007B4E27">
        <w:t>, E. I. (2023). Histopathological and biochemical effect of vitamin C and D on phosphine</w:t>
      </w:r>
      <w:r w:rsidRPr="007B4E27">
        <w:noBreakHyphen/>
        <w:t xml:space="preserve">induced hepatotoxicity in Wistar rats. </w:t>
      </w:r>
      <w:r w:rsidRPr="004E05D8">
        <w:rPr>
          <w:i/>
          <w:iCs/>
        </w:rPr>
        <w:t>Asian Journal of Dental and Health Sciences, 3</w:t>
      </w:r>
      <w:r w:rsidRPr="007B4E27">
        <w:t>(2), 18–22. https://doi.org/10.22270/ajdhs.v3i2.40</w:t>
      </w:r>
    </w:p>
    <w:p w14:paraId="569C0ADF" w14:textId="77777777" w:rsidR="000B54C4" w:rsidRDefault="000B54C4" w:rsidP="004E05D8">
      <w:pPr>
        <w:pStyle w:val="ListParagraph"/>
        <w:numPr>
          <w:ilvl w:val="0"/>
          <w:numId w:val="4"/>
        </w:numPr>
      </w:pPr>
      <w:r w:rsidRPr="00395A89">
        <w:t xml:space="preserve">Al-Safar, A. H. A., Mohammed Jawad, R. A., </w:t>
      </w:r>
      <w:proofErr w:type="spellStart"/>
      <w:r w:rsidRPr="00395A89">
        <w:t>Khayoon</w:t>
      </w:r>
      <w:proofErr w:type="spellEnd"/>
      <w:r w:rsidRPr="00395A89">
        <w:t xml:space="preserve">, H. A., </w:t>
      </w:r>
      <w:proofErr w:type="spellStart"/>
      <w:r w:rsidRPr="00395A89">
        <w:t>Alsaadawi</w:t>
      </w:r>
      <w:proofErr w:type="spellEnd"/>
      <w:r w:rsidRPr="00395A89">
        <w:t xml:space="preserve">, M. A., </w:t>
      </w:r>
      <w:proofErr w:type="spellStart"/>
      <w:r w:rsidRPr="00395A89">
        <w:t>Zenad</w:t>
      </w:r>
      <w:proofErr w:type="spellEnd"/>
      <w:r w:rsidRPr="00395A89">
        <w:t xml:space="preserve">, K. H., Saeed, Z. F., &amp; </w:t>
      </w:r>
      <w:proofErr w:type="spellStart"/>
      <w:r w:rsidRPr="00395A89">
        <w:t>Alkhaled</w:t>
      </w:r>
      <w:proofErr w:type="spellEnd"/>
      <w:r w:rsidRPr="00395A89">
        <w:t xml:space="preserve">, M. J. (2023). Biochemical and histopathological changes in livers of rats poisoned with aluminum phosphide and treated with carrot extract. Environmental Analysis, Health and Toxicology, 38, e2023014. </w:t>
      </w:r>
      <w:hyperlink r:id="rId19" w:history="1">
        <w:r w:rsidRPr="006E6B13">
          <w:rPr>
            <w:rStyle w:val="Hyperlink"/>
          </w:rPr>
          <w:t>https://doi.org/10.5620/eaht.2023014</w:t>
        </w:r>
      </w:hyperlink>
    </w:p>
    <w:p w14:paraId="3B59FDB4" w14:textId="77777777" w:rsidR="000B54C4" w:rsidRPr="00E14CFE" w:rsidRDefault="000B54C4" w:rsidP="004E05D8">
      <w:pPr>
        <w:pStyle w:val="ListParagraph"/>
        <w:numPr>
          <w:ilvl w:val="0"/>
          <w:numId w:val="4"/>
        </w:numPr>
      </w:pPr>
      <w:r w:rsidRPr="00E14CFE">
        <w:t>Al</w:t>
      </w:r>
      <w:r w:rsidRPr="00E14CFE">
        <w:noBreakHyphen/>
        <w:t xml:space="preserve">Safar, A. H. A., Mohammed, R. A., </w:t>
      </w:r>
      <w:proofErr w:type="spellStart"/>
      <w:r w:rsidRPr="00E14CFE">
        <w:t>Khayoon</w:t>
      </w:r>
      <w:proofErr w:type="spellEnd"/>
      <w:r w:rsidRPr="00E14CFE">
        <w:t xml:space="preserve">, H. A., </w:t>
      </w:r>
      <w:proofErr w:type="spellStart"/>
      <w:r w:rsidRPr="00E14CFE">
        <w:t>Alsaadawi</w:t>
      </w:r>
      <w:proofErr w:type="spellEnd"/>
      <w:r w:rsidRPr="00E14CFE">
        <w:t xml:space="preserve">, M. A., </w:t>
      </w:r>
      <w:proofErr w:type="spellStart"/>
      <w:r w:rsidRPr="00E14CFE">
        <w:t>Zenad</w:t>
      </w:r>
      <w:proofErr w:type="spellEnd"/>
      <w:r w:rsidRPr="00E14CFE">
        <w:t xml:space="preserve">, K. H., </w:t>
      </w:r>
      <w:r>
        <w:t>and</w:t>
      </w:r>
      <w:r w:rsidRPr="00E14CFE">
        <w:t xml:space="preserve"> </w:t>
      </w:r>
      <w:proofErr w:type="spellStart"/>
      <w:r w:rsidRPr="00E14CFE">
        <w:t>Alkhaled</w:t>
      </w:r>
      <w:proofErr w:type="spellEnd"/>
      <w:r w:rsidRPr="00E14CFE">
        <w:t xml:space="preserve">, M. J. (2023). Biochemical and histopathological changes in livers of rats poisoned with aluminum phosphide and treated with carrot extract. </w:t>
      </w:r>
      <w:r w:rsidRPr="004E05D8">
        <w:rPr>
          <w:i/>
          <w:iCs/>
        </w:rPr>
        <w:t>Environmental Analysis, Health and Toxicology, 38</w:t>
      </w:r>
      <w:r w:rsidRPr="00E14CFE">
        <w:t xml:space="preserve">, Article e2023014. https://doi.org/10.5620/eaht.2023014 </w:t>
      </w:r>
      <w:hyperlink r:id="rId20" w:tgtFrame="_blank" w:history="1">
        <w:r w:rsidRPr="00E14CFE">
          <w:rPr>
            <w:rStyle w:val="Hyperlink"/>
          </w:rPr>
          <w:t>PMC</w:t>
        </w:r>
      </w:hyperlink>
    </w:p>
    <w:p w14:paraId="0666C36D" w14:textId="77777777" w:rsidR="000B54C4" w:rsidRDefault="000B54C4" w:rsidP="004E05D8">
      <w:pPr>
        <w:pStyle w:val="ListParagraph"/>
        <w:numPr>
          <w:ilvl w:val="0"/>
          <w:numId w:val="4"/>
        </w:numPr>
      </w:pPr>
      <w:proofErr w:type="spellStart"/>
      <w:r w:rsidRPr="00395A89">
        <w:t>Aminjan</w:t>
      </w:r>
      <w:proofErr w:type="spellEnd"/>
      <w:r w:rsidRPr="00395A89">
        <w:t xml:space="preserve">, Z., </w:t>
      </w:r>
      <w:proofErr w:type="spellStart"/>
      <w:r w:rsidRPr="00395A89">
        <w:t>Haghi</w:t>
      </w:r>
      <w:proofErr w:type="spellEnd"/>
      <w:r w:rsidRPr="00395A89">
        <w:t xml:space="preserve"> </w:t>
      </w:r>
      <w:proofErr w:type="spellStart"/>
      <w:r w:rsidRPr="00395A89">
        <w:t>Aminjan</w:t>
      </w:r>
      <w:proofErr w:type="spellEnd"/>
      <w:r w:rsidRPr="00395A89">
        <w:t xml:space="preserve">, H., </w:t>
      </w:r>
      <w:proofErr w:type="spellStart"/>
      <w:r w:rsidRPr="00395A89">
        <w:t>Pakzad</w:t>
      </w:r>
      <w:proofErr w:type="spellEnd"/>
      <w:r w:rsidRPr="00395A89">
        <w:t xml:space="preserve">, M., &amp; </w:t>
      </w:r>
      <w:proofErr w:type="spellStart"/>
      <w:r w:rsidRPr="00395A89">
        <w:t>Masoudian</w:t>
      </w:r>
      <w:proofErr w:type="spellEnd"/>
      <w:r w:rsidRPr="00395A89">
        <w:t>, M. (2019). Targeting of oxidative stress and inflammation through ROS/NF-</w:t>
      </w:r>
      <w:proofErr w:type="spellStart"/>
      <w:r w:rsidRPr="00395A89">
        <w:t>kappaB</w:t>
      </w:r>
      <w:proofErr w:type="spellEnd"/>
      <w:r w:rsidRPr="00395A89">
        <w:t xml:space="preserve"> pathway in phosphine-</w:t>
      </w:r>
      <w:r w:rsidRPr="00395A89">
        <w:lastRenderedPageBreak/>
        <w:t xml:space="preserve">induced hepatotoxicity mitigation. Life Sciences. </w:t>
      </w:r>
      <w:hyperlink r:id="rId21" w:history="1">
        <w:r w:rsidRPr="006E6B13">
          <w:rPr>
            <w:rStyle w:val="Hyperlink"/>
          </w:rPr>
          <w:t>https://doi.org/10.1016/j.lfs.2019.116607</w:t>
        </w:r>
      </w:hyperlink>
    </w:p>
    <w:p w14:paraId="2F63E8B1" w14:textId="77777777" w:rsidR="000B54C4" w:rsidRDefault="000B54C4" w:rsidP="004E05D8">
      <w:pPr>
        <w:pStyle w:val="ListParagraph"/>
        <w:numPr>
          <w:ilvl w:val="0"/>
          <w:numId w:val="4"/>
        </w:numPr>
      </w:pPr>
      <w:proofErr w:type="spellStart"/>
      <w:r w:rsidRPr="00395A89">
        <w:t>Çakmakcı</w:t>
      </w:r>
      <w:proofErr w:type="spellEnd"/>
      <w:r w:rsidRPr="00395A89">
        <w:t xml:space="preserve"> </w:t>
      </w:r>
      <w:proofErr w:type="spellStart"/>
      <w:r w:rsidRPr="00395A89">
        <w:t>Karakaya</w:t>
      </w:r>
      <w:proofErr w:type="spellEnd"/>
      <w:r w:rsidRPr="00395A89">
        <w:t xml:space="preserve">, S., &amp; Yavuz, C. I. (2024). Hidden lethal hazard: Aluminum phosphide incidents in </w:t>
      </w:r>
      <w:proofErr w:type="spellStart"/>
      <w:r w:rsidRPr="00395A89">
        <w:t>Türkiye</w:t>
      </w:r>
      <w:proofErr w:type="spellEnd"/>
      <w:r w:rsidRPr="00395A89">
        <w:t xml:space="preserve">. Thoracic Research and Practice, 25(6), 221–222. </w:t>
      </w:r>
      <w:hyperlink r:id="rId22" w:history="1">
        <w:r w:rsidRPr="006E6B13">
          <w:rPr>
            <w:rStyle w:val="Hyperlink"/>
          </w:rPr>
          <w:t>https://doi.org/10.5152/ThoracResPract.2024.23100</w:t>
        </w:r>
      </w:hyperlink>
    </w:p>
    <w:p w14:paraId="26E29BB4" w14:textId="77777777" w:rsidR="000B54C4" w:rsidRDefault="000B54C4" w:rsidP="004E05D8">
      <w:pPr>
        <w:pStyle w:val="ListParagraph"/>
        <w:numPr>
          <w:ilvl w:val="0"/>
          <w:numId w:val="4"/>
        </w:numPr>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3" w:history="1">
        <w:r w:rsidRPr="006E6B13">
          <w:rPr>
            <w:rStyle w:val="Hyperlink"/>
          </w:rPr>
          <w:t>https://doi.org/10.24018/ejbio.2021.2.2.176</w:t>
        </w:r>
      </w:hyperlink>
    </w:p>
    <w:p w14:paraId="5E7C1437" w14:textId="77777777" w:rsidR="000B54C4" w:rsidRDefault="000B54C4" w:rsidP="004E05D8">
      <w:pPr>
        <w:pStyle w:val="ListParagraph"/>
        <w:numPr>
          <w:ilvl w:val="0"/>
          <w:numId w:val="4"/>
        </w:numPr>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4" w:history="1">
        <w:r w:rsidRPr="006E6B13">
          <w:rPr>
            <w:rStyle w:val="Hyperlink"/>
          </w:rPr>
          <w:t>https://doi.org/10.24018/ejbio.2021.2.2.176</w:t>
        </w:r>
      </w:hyperlink>
    </w:p>
    <w:p w14:paraId="59207B4A" w14:textId="77777777" w:rsidR="000B54C4" w:rsidRDefault="000B54C4" w:rsidP="004E05D8">
      <w:pPr>
        <w:pStyle w:val="ListParagraph"/>
        <w:numPr>
          <w:ilvl w:val="0"/>
          <w:numId w:val="4"/>
        </w:numPr>
      </w:pPr>
      <w:r w:rsidRPr="00395A89">
        <w:t xml:space="preserve">Food Business Middle East and Africa. (2022, March 8). NAFDAC cautions on risks of using Aluminum Phosphide 560TB pesticide. </w:t>
      </w:r>
      <w:hyperlink r:id="rId25" w:history="1">
        <w:r w:rsidRPr="006E6B13">
          <w:rPr>
            <w:rStyle w:val="Hyperlink"/>
          </w:rPr>
          <w:t>https://www.foodbusinessmea.com/nafdac-cautions-on-risks-of-using-aluminum-phosphide-560tb-pesticide/</w:t>
        </w:r>
      </w:hyperlink>
    </w:p>
    <w:p w14:paraId="4E26A2A5" w14:textId="77777777" w:rsidR="000B54C4" w:rsidRDefault="000B54C4" w:rsidP="004E05D8">
      <w:pPr>
        <w:pStyle w:val="ListParagraph"/>
        <w:numPr>
          <w:ilvl w:val="0"/>
          <w:numId w:val="4"/>
        </w:numPr>
      </w:pPr>
      <w:r w:rsidRPr="00395A89">
        <w:t xml:space="preserve">Government of United Kingdom. (2024). Phosphine: Toxicological overview. GOV.UK. </w:t>
      </w:r>
      <w:hyperlink r:id="rId26" w:history="1">
        <w:r w:rsidRPr="006E6B13">
          <w:rPr>
            <w:rStyle w:val="Hyperlink"/>
          </w:rPr>
          <w:t>https://www.gov.uk/government/publications/phosphine-properties-incident-management-and-toxicology/phosphine-toxicological-overview</w:t>
        </w:r>
      </w:hyperlink>
    </w:p>
    <w:p w14:paraId="3B3A68D6" w14:textId="77777777" w:rsidR="000B54C4" w:rsidRDefault="000B54C4" w:rsidP="004E05D8">
      <w:pPr>
        <w:pStyle w:val="ListParagraph"/>
        <w:numPr>
          <w:ilvl w:val="0"/>
          <w:numId w:val="4"/>
        </w:numPr>
      </w:pPr>
      <w:proofErr w:type="spellStart"/>
      <w:r w:rsidRPr="000B54C4">
        <w:t>Karakaya</w:t>
      </w:r>
      <w:proofErr w:type="spellEnd"/>
      <w:r w:rsidRPr="000B54C4">
        <w:t xml:space="preserve">, S. Ç., &amp; Yavuz, C. I. (2024). </w:t>
      </w:r>
      <w:r w:rsidRPr="00395A89">
        <w:t xml:space="preserve">Hidden lethal hazard: Aluminum phosphide incidents in </w:t>
      </w:r>
      <w:proofErr w:type="spellStart"/>
      <w:r w:rsidRPr="00395A89">
        <w:t>Türkiye</w:t>
      </w:r>
      <w:proofErr w:type="spellEnd"/>
      <w:r w:rsidRPr="00395A89">
        <w:t xml:space="preserve">. Thoracic Research and Practice, 25(6), 221–222. </w:t>
      </w:r>
      <w:hyperlink r:id="rId27" w:history="1">
        <w:r w:rsidRPr="006E6B13">
          <w:rPr>
            <w:rStyle w:val="Hyperlink"/>
          </w:rPr>
          <w:t>https://doi.org/10.5152/ThoracResPract.2024.23100</w:t>
        </w:r>
      </w:hyperlink>
    </w:p>
    <w:p w14:paraId="4AD4ABDD" w14:textId="77777777" w:rsidR="000B54C4" w:rsidRDefault="000B54C4" w:rsidP="004E05D8">
      <w:pPr>
        <w:pStyle w:val="ListParagraph"/>
        <w:numPr>
          <w:ilvl w:val="0"/>
          <w:numId w:val="4"/>
        </w:numPr>
      </w:pPr>
      <w:proofErr w:type="spellStart"/>
      <w:r w:rsidRPr="00395A89">
        <w:t>Mehrpour</w:t>
      </w:r>
      <w:proofErr w:type="spellEnd"/>
      <w:r w:rsidRPr="00395A89">
        <w:t xml:space="preserve">, O., Singh, S., &amp; </w:t>
      </w:r>
      <w:proofErr w:type="spellStart"/>
      <w:r w:rsidRPr="00395A89">
        <w:t>Shadnia</w:t>
      </w:r>
      <w:proofErr w:type="spellEnd"/>
      <w:r w:rsidRPr="00395A89">
        <w:t xml:space="preserve">, S. (2022). Quercetin Protected from Aluminum Phosphide-induced Acute and Subacute Cardio- and Hepatotoxicity in Rats. Current Pharmaceutical Design. </w:t>
      </w:r>
      <w:hyperlink r:id="rId28" w:history="1">
        <w:r w:rsidRPr="006E6B13">
          <w:rPr>
            <w:rStyle w:val="Hyperlink"/>
          </w:rPr>
          <w:t>https://doi.org/10.2174/1381612829666221130123706</w:t>
        </w:r>
      </w:hyperlink>
    </w:p>
    <w:p w14:paraId="5BD21A1F" w14:textId="77777777" w:rsidR="000B54C4" w:rsidRDefault="000B54C4" w:rsidP="004E05D8">
      <w:pPr>
        <w:pStyle w:val="ListParagraph"/>
        <w:numPr>
          <w:ilvl w:val="0"/>
          <w:numId w:val="4"/>
        </w:numPr>
      </w:pPr>
      <w:proofErr w:type="spellStart"/>
      <w:r w:rsidRPr="00395A89">
        <w:t>Mostafiz</w:t>
      </w:r>
      <w:proofErr w:type="spellEnd"/>
      <w:r w:rsidRPr="00395A89">
        <w:t xml:space="preserve">, M. M., Hwang, H.-S., Kim, J.-R., Kim, B.-S., &amp; Lee, K.-Y. (2024). The fumigation toxicity of three benzoate compounds against phosphine-susceptible and phosphine-resistant stored-product pest strains. Insects. </w:t>
      </w:r>
      <w:hyperlink r:id="rId29" w:history="1">
        <w:r w:rsidRPr="006E6B13">
          <w:rPr>
            <w:rStyle w:val="Hyperlink"/>
          </w:rPr>
          <w:t>https://doi.org/10.3390/insects15070477</w:t>
        </w:r>
      </w:hyperlink>
    </w:p>
    <w:p w14:paraId="2640F320" w14:textId="77777777" w:rsidR="000B54C4" w:rsidRDefault="000B54C4" w:rsidP="004E05D8">
      <w:pPr>
        <w:pStyle w:val="ListParagraph"/>
        <w:numPr>
          <w:ilvl w:val="0"/>
          <w:numId w:val="4"/>
        </w:numPr>
      </w:pPr>
      <w:proofErr w:type="spellStart"/>
      <w:r w:rsidRPr="00395A89">
        <w:t>Parvizrad</w:t>
      </w:r>
      <w:proofErr w:type="spellEnd"/>
      <w:r w:rsidRPr="00395A89">
        <w:t xml:space="preserve">, R., </w:t>
      </w:r>
      <w:proofErr w:type="spellStart"/>
      <w:r w:rsidRPr="00395A89">
        <w:t>Ghorbani</w:t>
      </w:r>
      <w:proofErr w:type="spellEnd"/>
      <w:r w:rsidRPr="00395A89">
        <w:t xml:space="preserve"> </w:t>
      </w:r>
      <w:proofErr w:type="spellStart"/>
      <w:r w:rsidRPr="00395A89">
        <w:t>Marghamlki</w:t>
      </w:r>
      <w:proofErr w:type="spellEnd"/>
      <w:r w:rsidRPr="00395A89">
        <w:t xml:space="preserve">, E., </w:t>
      </w:r>
      <w:proofErr w:type="spellStart"/>
      <w:r w:rsidRPr="00395A89">
        <w:t>Nikfar</w:t>
      </w:r>
      <w:proofErr w:type="spellEnd"/>
      <w:r w:rsidRPr="00395A89">
        <w:t xml:space="preserve">, S., &amp; </w:t>
      </w:r>
      <w:proofErr w:type="spellStart"/>
      <w:r w:rsidRPr="00395A89">
        <w:t>Dermani</w:t>
      </w:r>
      <w:proofErr w:type="spellEnd"/>
      <w:r w:rsidRPr="00395A89">
        <w:t xml:space="preserve">, S. K. (2022). Investigation of the effect of N-acetylcysteine on aluminum phosphide toxicity in rats. Journal of Biological Research - </w:t>
      </w:r>
      <w:proofErr w:type="spellStart"/>
      <w:r w:rsidRPr="00395A89">
        <w:t>Bollettino</w:t>
      </w:r>
      <w:proofErr w:type="spellEnd"/>
      <w:r w:rsidRPr="00395A89">
        <w:t xml:space="preserve"> Della </w:t>
      </w:r>
      <w:proofErr w:type="spellStart"/>
      <w:r w:rsidRPr="00395A89">
        <w:t>Società</w:t>
      </w:r>
      <w:proofErr w:type="spellEnd"/>
      <w:r w:rsidRPr="00395A89">
        <w:t xml:space="preserve"> </w:t>
      </w:r>
      <w:proofErr w:type="spellStart"/>
      <w:r w:rsidRPr="00395A89">
        <w:t>Italiana</w:t>
      </w:r>
      <w:proofErr w:type="spellEnd"/>
      <w:r w:rsidRPr="00395A89">
        <w:t xml:space="preserve"> Di </w:t>
      </w:r>
      <w:proofErr w:type="spellStart"/>
      <w:r w:rsidRPr="00395A89">
        <w:t>Biologia</w:t>
      </w:r>
      <w:proofErr w:type="spellEnd"/>
      <w:r w:rsidRPr="00395A89">
        <w:t xml:space="preserve"> </w:t>
      </w:r>
      <w:proofErr w:type="spellStart"/>
      <w:r w:rsidRPr="00395A89">
        <w:t>Sperimentale</w:t>
      </w:r>
      <w:proofErr w:type="spellEnd"/>
      <w:r w:rsidRPr="00395A89">
        <w:t xml:space="preserve">. </w:t>
      </w:r>
      <w:hyperlink r:id="rId30" w:history="1">
        <w:r w:rsidRPr="007B4E27">
          <w:rPr>
            <w:rStyle w:val="Hyperlink"/>
          </w:rPr>
          <w:t>https://doi.org/10.4081/jbr.2022.10632</w:t>
        </w:r>
      </w:hyperlink>
    </w:p>
    <w:p w14:paraId="24BBE0A1" w14:textId="77777777" w:rsidR="000B54C4" w:rsidRPr="00E14CFE" w:rsidRDefault="000B54C4" w:rsidP="004E05D8">
      <w:pPr>
        <w:pStyle w:val="ListParagraph"/>
        <w:numPr>
          <w:ilvl w:val="0"/>
          <w:numId w:val="4"/>
        </w:numPr>
      </w:pPr>
      <w:proofErr w:type="spellStart"/>
      <w:r w:rsidRPr="00E14CFE">
        <w:t>Parvizrad</w:t>
      </w:r>
      <w:proofErr w:type="spellEnd"/>
      <w:r w:rsidRPr="00E14CFE">
        <w:t xml:space="preserve">, R., </w:t>
      </w:r>
      <w:proofErr w:type="spellStart"/>
      <w:r w:rsidRPr="00E14CFE">
        <w:t>Ghorbani</w:t>
      </w:r>
      <w:proofErr w:type="spellEnd"/>
      <w:r w:rsidRPr="00E14CFE">
        <w:t xml:space="preserve"> </w:t>
      </w:r>
      <w:proofErr w:type="spellStart"/>
      <w:r w:rsidRPr="00E14CFE">
        <w:t>Marghamlki</w:t>
      </w:r>
      <w:proofErr w:type="spellEnd"/>
      <w:r w:rsidRPr="00E14CFE">
        <w:t xml:space="preserve">, E., </w:t>
      </w:r>
      <w:proofErr w:type="spellStart"/>
      <w:r w:rsidRPr="00E14CFE">
        <w:t>Nikfar</w:t>
      </w:r>
      <w:proofErr w:type="spellEnd"/>
      <w:r w:rsidRPr="00E14CFE">
        <w:t xml:space="preserve">, S., </w:t>
      </w:r>
      <w:r>
        <w:t>and</w:t>
      </w:r>
      <w:r w:rsidRPr="00E14CFE">
        <w:t xml:space="preserve"> </w:t>
      </w:r>
      <w:proofErr w:type="spellStart"/>
      <w:r w:rsidRPr="00E14CFE">
        <w:t>Dermani</w:t>
      </w:r>
      <w:proofErr w:type="spellEnd"/>
      <w:r w:rsidRPr="00E14CFE">
        <w:t>, S. K. (2022). Investigation of the effect of N</w:t>
      </w:r>
      <w:r w:rsidRPr="00E14CFE">
        <w:noBreakHyphen/>
        <w:t xml:space="preserve">acetylcysteine on aluminum phosphide toxicity in rats. </w:t>
      </w:r>
      <w:r w:rsidRPr="004E05D8">
        <w:rPr>
          <w:i/>
          <w:iCs/>
        </w:rPr>
        <w:t>Journal of Biological Research, 95</w:t>
      </w:r>
      <w:r w:rsidRPr="00E14CFE">
        <w:t>(2), 10632. https://doi.org/10.4081/jbr.2022.10632</w:t>
      </w:r>
    </w:p>
    <w:sectPr w:rsidR="000B54C4" w:rsidRPr="00E14CFE" w:rsidSect="00DD5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35835" w14:textId="77777777" w:rsidR="002154A6" w:rsidRDefault="002154A6">
      <w:pPr>
        <w:spacing w:after="0" w:line="240" w:lineRule="auto"/>
      </w:pPr>
      <w:r>
        <w:separator/>
      </w:r>
    </w:p>
  </w:endnote>
  <w:endnote w:type="continuationSeparator" w:id="0">
    <w:p w14:paraId="72320545" w14:textId="77777777" w:rsidR="002154A6" w:rsidRDefault="0021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3B78" w14:textId="77777777" w:rsidR="004033FC" w:rsidRDefault="0040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731878"/>
      <w:docPartObj>
        <w:docPartGallery w:val="Page Numbers (Bottom of Page)"/>
        <w:docPartUnique/>
      </w:docPartObj>
    </w:sdtPr>
    <w:sdtEndPr>
      <w:rPr>
        <w:noProof/>
      </w:rPr>
    </w:sdtEndPr>
    <w:sdtContent>
      <w:p w14:paraId="563907D9" w14:textId="77777777" w:rsidR="004166B7" w:rsidRDefault="00416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EE386" w14:textId="77777777" w:rsidR="004166B7" w:rsidRDefault="00416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C4E6" w14:textId="77777777" w:rsidR="004033FC" w:rsidRDefault="0040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05A0A" w14:textId="77777777" w:rsidR="002154A6" w:rsidRDefault="002154A6">
      <w:pPr>
        <w:spacing w:after="0" w:line="240" w:lineRule="auto"/>
      </w:pPr>
      <w:r>
        <w:separator/>
      </w:r>
    </w:p>
  </w:footnote>
  <w:footnote w:type="continuationSeparator" w:id="0">
    <w:p w14:paraId="36FE89E9" w14:textId="77777777" w:rsidR="002154A6" w:rsidRDefault="0021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31BD" w14:textId="10BF56CE" w:rsidR="004033FC" w:rsidRDefault="002154A6">
    <w:pPr>
      <w:pStyle w:val="Header"/>
    </w:pPr>
    <w:r>
      <w:rPr>
        <w:noProof/>
      </w:rPr>
      <w:pict w14:anchorId="6A7B2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0959" w14:textId="6311A5D0" w:rsidR="004033FC" w:rsidRDefault="002154A6">
    <w:pPr>
      <w:pStyle w:val="Header"/>
    </w:pPr>
    <w:r>
      <w:rPr>
        <w:noProof/>
      </w:rPr>
      <w:pict w14:anchorId="1F142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2B1A" w14:textId="240064C8" w:rsidR="004033FC" w:rsidRDefault="002154A6">
    <w:pPr>
      <w:pStyle w:val="Header"/>
    </w:pPr>
    <w:r>
      <w:rPr>
        <w:noProof/>
      </w:rPr>
      <w:pict w14:anchorId="39CA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994"/>
    <w:multiLevelType w:val="hybridMultilevel"/>
    <w:tmpl w:val="414A0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D2FE6"/>
    <w:multiLevelType w:val="multilevel"/>
    <w:tmpl w:val="A69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163F8"/>
    <w:multiLevelType w:val="hybridMultilevel"/>
    <w:tmpl w:val="DF4E4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373A1"/>
    <w:multiLevelType w:val="hybridMultilevel"/>
    <w:tmpl w:val="6B70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7"/>
    <w:rsid w:val="00051286"/>
    <w:rsid w:val="000A177A"/>
    <w:rsid w:val="000B54C4"/>
    <w:rsid w:val="00182307"/>
    <w:rsid w:val="001C2C81"/>
    <w:rsid w:val="002154A6"/>
    <w:rsid w:val="0023655D"/>
    <w:rsid w:val="00253986"/>
    <w:rsid w:val="00344BC1"/>
    <w:rsid w:val="00365CFB"/>
    <w:rsid w:val="0038420B"/>
    <w:rsid w:val="00395A89"/>
    <w:rsid w:val="004033FC"/>
    <w:rsid w:val="00412583"/>
    <w:rsid w:val="00413D12"/>
    <w:rsid w:val="004166B7"/>
    <w:rsid w:val="00457E2F"/>
    <w:rsid w:val="00492C9A"/>
    <w:rsid w:val="004B4574"/>
    <w:rsid w:val="004E05D8"/>
    <w:rsid w:val="005572EE"/>
    <w:rsid w:val="005C24DA"/>
    <w:rsid w:val="005E6B43"/>
    <w:rsid w:val="006504D9"/>
    <w:rsid w:val="00653857"/>
    <w:rsid w:val="006F7206"/>
    <w:rsid w:val="00762734"/>
    <w:rsid w:val="007B4E27"/>
    <w:rsid w:val="008546B9"/>
    <w:rsid w:val="008675E6"/>
    <w:rsid w:val="009B5E1A"/>
    <w:rsid w:val="00A26619"/>
    <w:rsid w:val="00AB69FF"/>
    <w:rsid w:val="00B6651D"/>
    <w:rsid w:val="00C24204"/>
    <w:rsid w:val="00CF55CA"/>
    <w:rsid w:val="00DC0EEB"/>
    <w:rsid w:val="00DD5D22"/>
    <w:rsid w:val="00E14CFE"/>
    <w:rsid w:val="00EB09D7"/>
    <w:rsid w:val="00F509EC"/>
    <w:rsid w:val="00F5206B"/>
    <w:rsid w:val="00F8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6131"/>
  <w15:chartTrackingRefBased/>
  <w15:docId w15:val="{83047D41-6BE5-4A2D-BE3E-F3985768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6B7"/>
  </w:style>
  <w:style w:type="paragraph" w:styleId="Heading1">
    <w:name w:val="heading 1"/>
    <w:basedOn w:val="Normal"/>
    <w:next w:val="Normal"/>
    <w:link w:val="Heading1Char"/>
    <w:uiPriority w:val="9"/>
    <w:qFormat/>
    <w:rsid w:val="0041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B7"/>
    <w:rPr>
      <w:rFonts w:eastAsiaTheme="majorEastAsia" w:cstheme="majorBidi"/>
      <w:color w:val="272727" w:themeColor="text1" w:themeTint="D8"/>
    </w:rPr>
  </w:style>
  <w:style w:type="paragraph" w:styleId="Title">
    <w:name w:val="Title"/>
    <w:basedOn w:val="Normal"/>
    <w:next w:val="Normal"/>
    <w:link w:val="TitleChar"/>
    <w:uiPriority w:val="10"/>
    <w:qFormat/>
    <w:rsid w:val="0041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B7"/>
    <w:pPr>
      <w:spacing w:before="160"/>
      <w:jc w:val="center"/>
    </w:pPr>
    <w:rPr>
      <w:i/>
      <w:iCs/>
      <w:color w:val="404040" w:themeColor="text1" w:themeTint="BF"/>
    </w:rPr>
  </w:style>
  <w:style w:type="character" w:customStyle="1" w:styleId="QuoteChar">
    <w:name w:val="Quote Char"/>
    <w:basedOn w:val="DefaultParagraphFont"/>
    <w:link w:val="Quote"/>
    <w:uiPriority w:val="29"/>
    <w:rsid w:val="004166B7"/>
    <w:rPr>
      <w:i/>
      <w:iCs/>
      <w:color w:val="404040" w:themeColor="text1" w:themeTint="BF"/>
    </w:rPr>
  </w:style>
  <w:style w:type="paragraph" w:styleId="ListParagraph">
    <w:name w:val="List Paragraph"/>
    <w:basedOn w:val="Normal"/>
    <w:uiPriority w:val="34"/>
    <w:qFormat/>
    <w:rsid w:val="004166B7"/>
    <w:pPr>
      <w:ind w:left="720"/>
      <w:contextualSpacing/>
    </w:pPr>
  </w:style>
  <w:style w:type="character" w:styleId="IntenseEmphasis">
    <w:name w:val="Intense Emphasis"/>
    <w:basedOn w:val="DefaultParagraphFont"/>
    <w:uiPriority w:val="21"/>
    <w:qFormat/>
    <w:rsid w:val="004166B7"/>
    <w:rPr>
      <w:i/>
      <w:iCs/>
      <w:color w:val="2F5496" w:themeColor="accent1" w:themeShade="BF"/>
    </w:rPr>
  </w:style>
  <w:style w:type="paragraph" w:styleId="IntenseQuote">
    <w:name w:val="Intense Quote"/>
    <w:basedOn w:val="Normal"/>
    <w:next w:val="Normal"/>
    <w:link w:val="IntenseQuoteChar"/>
    <w:uiPriority w:val="30"/>
    <w:qFormat/>
    <w:rsid w:val="0041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6B7"/>
    <w:rPr>
      <w:i/>
      <w:iCs/>
      <w:color w:val="2F5496" w:themeColor="accent1" w:themeShade="BF"/>
    </w:rPr>
  </w:style>
  <w:style w:type="character" w:styleId="IntenseReference">
    <w:name w:val="Intense Reference"/>
    <w:basedOn w:val="DefaultParagraphFont"/>
    <w:uiPriority w:val="32"/>
    <w:qFormat/>
    <w:rsid w:val="004166B7"/>
    <w:rPr>
      <w:b/>
      <w:bCs/>
      <w:smallCaps/>
      <w:color w:val="2F5496" w:themeColor="accent1" w:themeShade="BF"/>
      <w:spacing w:val="5"/>
    </w:rPr>
  </w:style>
  <w:style w:type="paragraph" w:customStyle="1" w:styleId="jbd-nam">
    <w:name w:val="jbd-nam"/>
    <w:basedOn w:val="Normal"/>
    <w:qFormat/>
    <w:rsid w:val="004166B7"/>
    <w:pPr>
      <w:spacing w:before="480" w:after="0" w:line="240" w:lineRule="auto"/>
      <w:jc w:val="center"/>
    </w:pPr>
    <w:rPr>
      <w:rFonts w:ascii="Times New Roman" w:eastAsia="Batang" w:hAnsi="Times New Roman" w:cs="Arial"/>
      <w:b/>
      <w:bCs/>
      <w:caps/>
      <w:kern w:val="0"/>
      <w:sz w:val="20"/>
      <w:szCs w:val="18"/>
      <w:lang w:val="id-ID"/>
      <w14:ligatures w14:val="none"/>
    </w:rPr>
  </w:style>
  <w:style w:type="paragraph" w:customStyle="1" w:styleId="jbd-alamat">
    <w:name w:val="jbd-alamat"/>
    <w:basedOn w:val="Normal"/>
    <w:qFormat/>
    <w:rsid w:val="004166B7"/>
    <w:pPr>
      <w:widowControl w:val="0"/>
      <w:spacing w:after="0" w:line="240" w:lineRule="auto"/>
      <w:jc w:val="center"/>
    </w:pPr>
    <w:rPr>
      <w:rFonts w:ascii="Times New Roman" w:eastAsia="Batang" w:hAnsi="Times New Roman" w:cs="Arial"/>
      <w:kern w:val="0"/>
      <w:sz w:val="16"/>
      <w:szCs w:val="16"/>
      <w:lang w:val="id-ID"/>
      <w14:ligatures w14:val="none"/>
    </w:rPr>
  </w:style>
  <w:style w:type="paragraph" w:customStyle="1" w:styleId="jbd-Pendahul10">
    <w:name w:val="jbd-Pendahul10"/>
    <w:basedOn w:val="jbd-nam"/>
    <w:qFormat/>
    <w:rsid w:val="004166B7"/>
    <w:pPr>
      <w:keepNext/>
      <w:spacing w:after="240"/>
    </w:pPr>
  </w:style>
  <w:style w:type="paragraph" w:customStyle="1" w:styleId="jbd-subjud10">
    <w:name w:val="jbd-subjud10"/>
    <w:basedOn w:val="Normal"/>
    <w:qFormat/>
    <w:rsid w:val="004166B7"/>
    <w:pPr>
      <w:keepNext/>
      <w:spacing w:before="240" w:after="0" w:line="240" w:lineRule="auto"/>
    </w:pPr>
    <w:rPr>
      <w:rFonts w:ascii="Times New Roman" w:eastAsia="Batang" w:hAnsi="Times New Roman" w:cs="Arial"/>
      <w:b/>
      <w:iCs/>
      <w:kern w:val="0"/>
      <w:sz w:val="20"/>
      <w:szCs w:val="20"/>
      <w:lang w:val="id-ID"/>
      <w14:ligatures w14:val="none"/>
    </w:rPr>
  </w:style>
  <w:style w:type="paragraph" w:customStyle="1" w:styleId="jbd-subsubjud10">
    <w:name w:val="jbd-subsubjud10"/>
    <w:basedOn w:val="jbd-subjud10"/>
    <w:qFormat/>
    <w:rsid w:val="004166B7"/>
    <w:rPr>
      <w:b w:val="0"/>
      <w:bCs/>
      <w:i/>
      <w:iCs w:val="0"/>
    </w:rPr>
  </w:style>
  <w:style w:type="paragraph" w:customStyle="1" w:styleId="Default">
    <w:name w:val="Default"/>
    <w:rsid w:val="004166B7"/>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LightShading11">
    <w:name w:val="Light Shading11"/>
    <w:basedOn w:val="TableNormal"/>
    <w:uiPriority w:val="60"/>
    <w:rsid w:val="004166B7"/>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41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B7"/>
  </w:style>
  <w:style w:type="character" w:styleId="Hyperlink">
    <w:name w:val="Hyperlink"/>
    <w:basedOn w:val="DefaultParagraphFont"/>
    <w:uiPriority w:val="99"/>
    <w:unhideWhenUsed/>
    <w:rsid w:val="004166B7"/>
    <w:rPr>
      <w:color w:val="0563C1" w:themeColor="hyperlink"/>
      <w:u w:val="single"/>
    </w:rPr>
  </w:style>
  <w:style w:type="character" w:styleId="UnresolvedMention">
    <w:name w:val="Unresolved Mention"/>
    <w:basedOn w:val="DefaultParagraphFont"/>
    <w:uiPriority w:val="99"/>
    <w:semiHidden/>
    <w:unhideWhenUsed/>
    <w:rsid w:val="004166B7"/>
    <w:rPr>
      <w:color w:val="605E5C"/>
      <w:shd w:val="clear" w:color="auto" w:fill="E1DFDD"/>
    </w:rPr>
  </w:style>
  <w:style w:type="table" w:styleId="TableGrid">
    <w:name w:val="Table Grid"/>
    <w:basedOn w:val="TableNormal"/>
    <w:uiPriority w:val="39"/>
    <w:rsid w:val="00DD5D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4419/ijpt.v8i1.29973" TargetMode="External"/><Relationship Id="rId26" Type="http://schemas.openxmlformats.org/officeDocument/2006/relationships/hyperlink" Target="https://www.gov.uk/government/publications/phosphine-properties-incident-management-and-toxicology/phosphine-toxicological-overview" TargetMode="External"/><Relationship Id="rId3" Type="http://schemas.openxmlformats.org/officeDocument/2006/relationships/settings" Target="settings.xml"/><Relationship Id="rId21" Type="http://schemas.openxmlformats.org/officeDocument/2006/relationships/hyperlink" Target="https://doi.org/10.1016/j.lfs.2019.11660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1608/zumj.2022.125913.2491" TargetMode="External"/><Relationship Id="rId25" Type="http://schemas.openxmlformats.org/officeDocument/2006/relationships/hyperlink" Target="https://www.foodbusinessmea.com/nafdac-cautions-on-risks-of-using-aluminum-phosphide-560tb-pesticide/"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pmc.ncbi.nlm.nih.gov/articles/PMC10628400/?utm_source=chatgpt.com" TargetMode="External"/><Relationship Id="rId29" Type="http://schemas.openxmlformats.org/officeDocument/2006/relationships/hyperlink" Target="https://doi.org/10.3390/insects150704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4018/ejbio.2021.2.2.17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24018/ejbio.2021.2.2.176" TargetMode="External"/><Relationship Id="rId28" Type="http://schemas.openxmlformats.org/officeDocument/2006/relationships/hyperlink" Target="https://doi.org/10.2174/1381612829666221130123706" TargetMode="External"/><Relationship Id="rId10" Type="http://schemas.openxmlformats.org/officeDocument/2006/relationships/footer" Target="footer2.xml"/><Relationship Id="rId19" Type="http://schemas.openxmlformats.org/officeDocument/2006/relationships/hyperlink" Target="https://doi.org/10.5620/eaht.20230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5152/ThoracResPract.2024.23100" TargetMode="External"/><Relationship Id="rId27" Type="http://schemas.openxmlformats.org/officeDocument/2006/relationships/hyperlink" Target="https://doi.org/10.5152/ThoracResPract.2024.23100" TargetMode="External"/><Relationship Id="rId30" Type="http://schemas.openxmlformats.org/officeDocument/2006/relationships/hyperlink" Target="https://doi.org/10.4081/jbr.2022.10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MUNACHIMSO SOLATOR</dc:creator>
  <cp:keywords/>
  <dc:description/>
  <cp:lastModifiedBy>Editor-11</cp:lastModifiedBy>
  <cp:revision>14</cp:revision>
  <dcterms:created xsi:type="dcterms:W3CDTF">2025-11-28T10:49:00Z</dcterms:created>
  <dcterms:modified xsi:type="dcterms:W3CDTF">2025-12-08T09:43:00Z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ce7709a6-97a3-4ce2-a33b-98ad56b1573b</vt:lpwstr>
  </property>
</Properties>
</file>