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026" w:rsidRDefault="002457E5">
      <w:pPr>
        <w:pStyle w:val="BodyText"/>
        <w:spacing w:line="360" w:lineRule="auto"/>
        <w:ind w:left="-284" w:right="120" w:firstLine="0"/>
        <w:jc w:val="center"/>
        <w:rPr>
          <w:rFonts w:ascii="Times New Roman" w:hAnsi="Times New Roman" w:cs="Times New Roman"/>
          <w:b/>
          <w:sz w:val="24"/>
          <w:szCs w:val="24"/>
        </w:rPr>
      </w:pPr>
      <w:r>
        <w:rPr>
          <w:rFonts w:ascii="Times New Roman" w:hAnsi="Times New Roman" w:cs="Times New Roman"/>
          <w:b/>
          <w:sz w:val="24"/>
          <w:szCs w:val="24"/>
        </w:rPr>
        <w:t xml:space="preserve">EFFECTS OF THREE BRANDS OF </w:t>
      </w:r>
      <w:r>
        <w:rPr>
          <w:rFonts w:ascii="Times New Roman"/>
          <w:b/>
          <w:sz w:val="24"/>
          <w:szCs w:val="24"/>
        </w:rPr>
        <w:t>HERBAL COCKTAIL</w:t>
      </w:r>
      <w:r>
        <w:rPr>
          <w:rFonts w:ascii="Times New Roman" w:hAnsi="Times New Roman" w:cs="Times New Roman"/>
          <w:b/>
          <w:sz w:val="24"/>
          <w:szCs w:val="24"/>
        </w:rPr>
        <w:t>S</w:t>
      </w:r>
      <w:r>
        <w:rPr>
          <w:rFonts w:ascii="Times New Roman" w:hAnsi="Times New Roman" w:cs="Times New Roman"/>
          <w:sz w:val="24"/>
          <w:szCs w:val="24"/>
        </w:rPr>
        <w:t xml:space="preserve"> </w:t>
      </w:r>
      <w:r>
        <w:rPr>
          <w:rFonts w:ascii="Times New Roman" w:hAnsi="Times New Roman" w:cs="Times New Roman"/>
          <w:b/>
          <w:sz w:val="24"/>
          <w:szCs w:val="24"/>
        </w:rPr>
        <w:t>ON REPRODUCTIVE HORMONES IN WISTAR RATS</w:t>
      </w:r>
    </w:p>
    <w:p w:rsidR="00F26026" w:rsidRDefault="00F26026">
      <w:pPr>
        <w:pStyle w:val="NoSpacing"/>
        <w:spacing w:line="276" w:lineRule="auto"/>
        <w:ind w:left="-142"/>
        <w:rPr>
          <w:rFonts w:ascii="Times New Roman"/>
          <w:b/>
          <w:sz w:val="24"/>
          <w:szCs w:val="24"/>
        </w:rPr>
      </w:pPr>
    </w:p>
    <w:p w:rsidR="00F26026" w:rsidRDefault="00F26026">
      <w:pPr>
        <w:pStyle w:val="NoSpacing"/>
        <w:spacing w:line="276" w:lineRule="auto"/>
        <w:ind w:left="-142"/>
        <w:rPr>
          <w:rFonts w:ascii="Times New Roman"/>
          <w:b/>
          <w:sz w:val="24"/>
          <w:szCs w:val="24"/>
        </w:rPr>
      </w:pPr>
    </w:p>
    <w:p w:rsidR="00F26026" w:rsidRDefault="002457E5">
      <w:pPr>
        <w:pStyle w:val="NoSpacing"/>
        <w:spacing w:line="276" w:lineRule="auto"/>
        <w:ind w:left="-142"/>
        <w:rPr>
          <w:rFonts w:ascii="Times New Roman"/>
          <w:b/>
          <w:sz w:val="24"/>
          <w:szCs w:val="24"/>
        </w:rPr>
      </w:pPr>
      <w:r>
        <w:rPr>
          <w:rFonts w:ascii="Times New Roman"/>
          <w:b/>
          <w:sz w:val="24"/>
          <w:szCs w:val="24"/>
        </w:rPr>
        <w:t>ABSTRACT</w:t>
      </w:r>
    </w:p>
    <w:p w:rsidR="00F26026" w:rsidRDefault="002457E5">
      <w:pPr>
        <w:spacing w:after="0" w:line="276" w:lineRule="auto"/>
        <w:ind w:left="-142"/>
        <w:jc w:val="both"/>
        <w:rPr>
          <w:rFonts w:ascii="Times New Roman" w:hAnsi="Times New Roman"/>
          <w:sz w:val="24"/>
          <w:szCs w:val="24"/>
        </w:rPr>
      </w:pPr>
      <w:r>
        <w:rPr>
          <w:rFonts w:ascii="Times New Roman"/>
          <w:sz w:val="24"/>
          <w:szCs w:val="24"/>
        </w:rPr>
        <w:t>Herbal cocktail</w:t>
      </w:r>
      <w:r>
        <w:rPr>
          <w:rFonts w:ascii="Times New Roman" w:hAnsi="Times New Roman" w:cs="Times New Roman"/>
          <w:sz w:val="24"/>
          <w:szCs w:val="24"/>
        </w:rPr>
        <w:t xml:space="preserve">s </w:t>
      </w:r>
      <w:r>
        <w:rPr>
          <w:rFonts w:ascii="Times New Roman" w:eastAsia="SimSun" w:hAnsi="Times New Roman" w:cs="Times New Roman"/>
          <w:color w:val="000000"/>
          <w:kern w:val="24"/>
          <w:sz w:val="24"/>
          <w:szCs w:val="24"/>
        </w:rPr>
        <w:t xml:space="preserve">are blends of multiple herbs containing </w:t>
      </w:r>
      <w:r>
        <w:rPr>
          <w:rFonts w:ascii="Times New Roman" w:eastAsia="SimSun"/>
          <w:color w:val="000000"/>
          <w:kern w:val="24"/>
          <w:sz w:val="24"/>
          <w:szCs w:val="24"/>
        </w:rPr>
        <w:t xml:space="preserve">several extracts </w:t>
      </w:r>
      <w:r>
        <w:rPr>
          <w:rFonts w:ascii="Times New Roman" w:eastAsia="SimSun"/>
          <w:color w:val="000000"/>
          <w:kern w:val="24"/>
          <w:sz w:val="24"/>
          <w:szCs w:val="24"/>
          <w:lang w:val="en-US"/>
        </w:rPr>
        <w:t>designed</w:t>
      </w:r>
      <w:r>
        <w:rPr>
          <w:rFonts w:ascii="Times New Roman" w:eastAsia="SimSun"/>
          <w:color w:val="000000"/>
          <w:kern w:val="24"/>
          <w:sz w:val="24"/>
          <w:szCs w:val="24"/>
        </w:rPr>
        <w:t xml:space="preserve"> t</w:t>
      </w:r>
      <w:r>
        <w:rPr>
          <w:rFonts w:ascii="Times New Roman" w:eastAsia="SimSun"/>
          <w:color w:val="000000"/>
          <w:kern w:val="24"/>
          <w:sz w:val="24"/>
          <w:szCs w:val="24"/>
          <w:lang w:val="en-US"/>
        </w:rPr>
        <w:t>o enhance</w:t>
      </w:r>
      <w:r>
        <w:rPr>
          <w:rFonts w:ascii="Times New Roman" w:eastAsia="SimSun"/>
          <w:color w:val="000000"/>
          <w:kern w:val="24"/>
          <w:sz w:val="24"/>
          <w:szCs w:val="24"/>
        </w:rPr>
        <w:t xml:space="preserve"> </w:t>
      </w:r>
      <w:r>
        <w:rPr>
          <w:rFonts w:ascii="Times New Roman" w:eastAsia="SimSun" w:hAnsi="Times New Roman" w:cs="Times New Roman"/>
          <w:color w:val="000000"/>
          <w:kern w:val="24"/>
          <w:sz w:val="24"/>
          <w:szCs w:val="24"/>
        </w:rPr>
        <w:t>therapeutic eff</w:t>
      </w:r>
      <w:proofErr w:type="spellStart"/>
      <w:r>
        <w:rPr>
          <w:rFonts w:ascii="Times New Roman" w:eastAsia="SimSun" w:hAnsi="Times New Roman" w:cs="Times New Roman"/>
          <w:color w:val="000000"/>
          <w:kern w:val="24"/>
          <w:sz w:val="24"/>
          <w:szCs w:val="24"/>
          <w:lang w:val="en-US"/>
        </w:rPr>
        <w:t>icacy</w:t>
      </w:r>
      <w:proofErr w:type="spellEnd"/>
      <w:r>
        <w:rPr>
          <w:rFonts w:ascii="Times New Roman" w:eastAsia="SimSun" w:hAnsi="Times New Roman" w:cs="Times New Roman"/>
          <w:color w:val="000000"/>
          <w:kern w:val="24"/>
          <w:sz w:val="24"/>
          <w:szCs w:val="24"/>
        </w:rPr>
        <w:t xml:space="preserve"> through </w:t>
      </w:r>
      <w:r>
        <w:rPr>
          <w:rFonts w:ascii="Times New Roman" w:eastAsia="SimSun"/>
          <w:color w:val="000000"/>
          <w:kern w:val="24"/>
          <w:sz w:val="24"/>
          <w:szCs w:val="24"/>
        </w:rPr>
        <w:t>synergy,</w:t>
      </w:r>
      <w:r>
        <w:rPr>
          <w:rFonts w:ascii="Times New Roman" w:hAnsi="Times New Roman" w:cs="Times New Roman"/>
          <w:sz w:val="24"/>
          <w:szCs w:val="24"/>
        </w:rPr>
        <w:t xml:space="preserve"> and widely marketed for fertility enhancement</w:t>
      </w:r>
      <w:r>
        <w:rPr>
          <w:rFonts w:ascii="Times New Roman" w:hAnsi="Times New Roman" w:cs="Times New Roman"/>
          <w:sz w:val="24"/>
          <w:szCs w:val="24"/>
          <w:lang w:val="en-US"/>
        </w:rPr>
        <w:t>.</w:t>
      </w:r>
      <w:r>
        <w:rPr>
          <w:rFonts w:ascii="Times New Roman" w:hAnsi="Times New Roman" w:cs="Times New Roman"/>
          <w:sz w:val="24"/>
          <w:szCs w:val="24"/>
        </w:rPr>
        <w:t xml:space="preserve"> This research investigated the</w:t>
      </w:r>
      <w:r>
        <w:rPr>
          <w:rFonts w:ascii="Times New Roman" w:hAnsi="Times New Roman"/>
          <w:sz w:val="24"/>
          <w:szCs w:val="24"/>
        </w:rPr>
        <w:t xml:space="preserve"> </w:t>
      </w:r>
      <w:r>
        <w:rPr>
          <w:rFonts w:ascii="Times New Roman" w:hAnsi="Times New Roman" w:cs="Times New Roman"/>
          <w:sz w:val="24"/>
          <w:szCs w:val="24"/>
        </w:rPr>
        <w:t xml:space="preserve">effects of three branded </w:t>
      </w:r>
      <w:r>
        <w:rPr>
          <w:rFonts w:ascii="Times New Roman"/>
          <w:sz w:val="24"/>
          <w:szCs w:val="24"/>
        </w:rPr>
        <w:t>herbal cocktail</w:t>
      </w:r>
      <w:r>
        <w:rPr>
          <w:rFonts w:ascii="Times New Roman" w:hAnsi="Times New Roman" w:cs="Times New Roman"/>
          <w:sz w:val="24"/>
          <w:szCs w:val="24"/>
        </w:rPr>
        <w:t>s on reproductive hormones in Wistar rats. 36rats w</w:t>
      </w:r>
      <w:r>
        <w:rPr>
          <w:rFonts w:ascii="Times New Roman" w:hAnsi="Times New Roman" w:cs="Times New Roman"/>
          <w:sz w:val="24"/>
          <w:szCs w:val="24"/>
          <w:lang w:val="en-US"/>
        </w:rPr>
        <w:t>ere</w:t>
      </w:r>
      <w:r>
        <w:rPr>
          <w:rFonts w:ascii="Times New Roman" w:hAnsi="Times New Roman" w:cs="Times New Roman"/>
          <w:sz w:val="24"/>
          <w:szCs w:val="24"/>
        </w:rPr>
        <w:t xml:space="preserve"> used for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determination</w:t>
      </w:r>
      <w:r>
        <w:rPr>
          <w:rFonts w:ascii="Times New Roman" w:hAnsi="Times New Roman" w:cs="Times New Roman"/>
          <w:sz w:val="24"/>
          <w:szCs w:val="24"/>
          <w:lang w:val="en-US"/>
        </w:rPr>
        <w:t>,</w:t>
      </w:r>
      <w:r>
        <w:rPr>
          <w:rFonts w:ascii="Times New Roman" w:hAnsi="Times New Roman" w:cs="Times New Roman"/>
          <w:sz w:val="24"/>
          <w:szCs w:val="24"/>
        </w:rPr>
        <w:t xml:space="preserve"> and 80rats for the </w:t>
      </w:r>
      <w:r>
        <w:rPr>
          <w:rFonts w:ascii="Times New Roman" w:hAnsi="Times New Roman" w:cs="Times New Roman"/>
          <w:sz w:val="24"/>
          <w:szCs w:val="24"/>
          <w:lang w:val="en-US"/>
        </w:rPr>
        <w:t>administration of the mixtures</w:t>
      </w:r>
      <w:r>
        <w:rPr>
          <w:rFonts w:ascii="Times New Roman" w:hAnsi="Times New Roman" w:cs="Times New Roman"/>
          <w:sz w:val="24"/>
          <w:szCs w:val="24"/>
        </w:rPr>
        <w:t xml:space="preserve">. Animals were divided into four groups comprising twenty (20) rats, one control group and three (3) treatment group each. Group A (control) and three experimental groups </w:t>
      </w:r>
      <w:r w:rsidR="007809BF">
        <w:rPr>
          <w:rFonts w:ascii="Times New Roman" w:hAnsi="Times New Roman" w:cs="Times New Roman"/>
          <w:sz w:val="24"/>
          <w:szCs w:val="24"/>
        </w:rPr>
        <w:t xml:space="preserve">were </w:t>
      </w:r>
      <w:r>
        <w:rPr>
          <w:rFonts w:ascii="Times New Roman" w:hAnsi="Times New Roman" w:cs="Times New Roman"/>
          <w:sz w:val="24"/>
          <w:szCs w:val="24"/>
        </w:rPr>
        <w:t>treated with the mixtures at different doses per group (both low doses of the mixtures at 500mg/kg and high doses of 1500mg/kg per body weight) for 40 days. Group B was treated with sample A, Group C and D with samples B and C</w:t>
      </w:r>
      <w:r w:rsidR="007809BF">
        <w:rPr>
          <w:rFonts w:ascii="Times New Roman" w:hAnsi="Times New Roman" w:cs="Times New Roman"/>
          <w:sz w:val="24"/>
          <w:szCs w:val="24"/>
        </w:rPr>
        <w:t>,</w:t>
      </w:r>
      <w:r>
        <w:rPr>
          <w:rFonts w:ascii="Times New Roman" w:hAnsi="Times New Roman" w:cs="Times New Roman"/>
          <w:sz w:val="24"/>
          <w:szCs w:val="24"/>
        </w:rPr>
        <w:t xml:space="preserve"> respectively. </w:t>
      </w:r>
      <w:r>
        <w:rPr>
          <w:rFonts w:ascii="Times New Roman" w:hAnsi="Times New Roman" w:cs="Times New Roman"/>
          <w:sz w:val="24"/>
          <w:szCs w:val="24"/>
          <w:lang w:val="en-US"/>
        </w:rPr>
        <w:t>Reproductive hormonal parameters assessed</w:t>
      </w:r>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luteinizing hormone </w:t>
      </w:r>
      <w:r>
        <w:rPr>
          <w:rFonts w:ascii="Times New Roman" w:hAnsi="Times New Roman" w:cs="Times New Roman"/>
          <w:sz w:val="24"/>
          <w:szCs w:val="24"/>
          <w:lang w:val="en-US"/>
        </w:rPr>
        <w:t>(LH)</w:t>
      </w:r>
      <w:r>
        <w:rPr>
          <w:rFonts w:ascii="Times New Roman" w:hAnsi="Times New Roman" w:cs="Times New Roman"/>
          <w:sz w:val="24"/>
          <w:szCs w:val="24"/>
        </w:rPr>
        <w:t xml:space="preserve">, follicle-stimulating hormone </w:t>
      </w:r>
      <w:r>
        <w:rPr>
          <w:rFonts w:ascii="Times New Roman" w:hAnsi="Times New Roman" w:cs="Times New Roman"/>
          <w:sz w:val="24"/>
          <w:szCs w:val="24"/>
          <w:lang w:val="en-US"/>
        </w:rPr>
        <w:t>(FSH)</w:t>
      </w:r>
      <w:r>
        <w:rPr>
          <w:rFonts w:ascii="Times New Roman" w:hAnsi="Times New Roman" w:cs="Times New Roman"/>
          <w:sz w:val="24"/>
          <w:szCs w:val="24"/>
        </w:rPr>
        <w:t xml:space="preserve">, progesterone, testosterone and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The results </w:t>
      </w:r>
      <w:r>
        <w:rPr>
          <w:rFonts w:ascii="Times New Roman" w:hAnsi="Times New Roman" w:cs="Times New Roman"/>
          <w:sz w:val="24"/>
          <w:szCs w:val="24"/>
          <w:lang w:val="en-US"/>
        </w:rPr>
        <w:t>revealed significant</w:t>
      </w:r>
      <w:r>
        <w:rPr>
          <w:rFonts w:ascii="Times New Roman" w:eastAsia="TeX Gyre Bonum" w:hAnsi="Times New Roman" w:cs="Times New Roman"/>
          <w:sz w:val="24"/>
          <w:szCs w:val="24"/>
        </w:rPr>
        <w:t xml:space="preserve"> difference (p</w:t>
      </w:r>
      <w:r>
        <w:rPr>
          <w:rFonts w:ascii="Times New Roman" w:eastAsia="TeX Gyre Bonum" w:hAnsi="Times New Roman" w:cs="Times New Roman"/>
          <w:sz w:val="24"/>
          <w:szCs w:val="24"/>
          <w:lang w:val="en-US"/>
        </w:rPr>
        <w:t>&lt;</w:t>
      </w:r>
      <w:r>
        <w:rPr>
          <w:rFonts w:ascii="Times New Roman" w:eastAsia="TeX Gyre Bonum" w:hAnsi="Times New Roman" w:cs="Times New Roman"/>
          <w:sz w:val="24"/>
          <w:szCs w:val="24"/>
        </w:rPr>
        <w:t xml:space="preserve">0.05) in </w:t>
      </w:r>
      <w:r>
        <w:rPr>
          <w:rFonts w:ascii="Times New Roman" w:eastAsia="TeX Gyre Bonum" w:hAnsi="Times New Roman" w:cs="Times New Roman"/>
          <w:sz w:val="24"/>
          <w:szCs w:val="24"/>
          <w:lang w:val="en-US"/>
        </w:rPr>
        <w:t>LH</w:t>
      </w:r>
      <w:r>
        <w:rPr>
          <w:rFonts w:ascii="Times New Roman" w:hAnsi="Times New Roman" w:cs="Times New Roman"/>
          <w:sz w:val="24"/>
          <w:szCs w:val="24"/>
        </w:rPr>
        <w:t xml:space="preserve"> (3.86 ± 0.01 to 5.95 ± 0.02</w:t>
      </w:r>
      <w:r>
        <w:rPr>
          <w:rFonts w:ascii="Times New Roman" w:eastAsia="SimSun" w:hAnsi="Times New Roman" w:cs="Times New Roman"/>
          <w:bCs/>
          <w:color w:val="000000"/>
          <w:kern w:val="24"/>
          <w:sz w:val="24"/>
          <w:szCs w:val="24"/>
        </w:rPr>
        <w:t xml:space="preserve"> </w:t>
      </w:r>
      <w:proofErr w:type="spellStart"/>
      <w:r>
        <w:rPr>
          <w:rFonts w:ascii="Times New Roman" w:hAnsi="Times New Roman" w:cs="Times New Roman"/>
          <w:bCs/>
          <w:sz w:val="24"/>
          <w:szCs w:val="24"/>
        </w:rPr>
        <w:t>mIU</w:t>
      </w:r>
      <w:proofErr w:type="spellEnd"/>
      <w:r>
        <w:rPr>
          <w:rFonts w:ascii="Times New Roman" w:hAnsi="Times New Roman" w:cs="Times New Roman"/>
          <w:bCs/>
          <w:sz w:val="24"/>
          <w:szCs w:val="24"/>
        </w:rPr>
        <w:t>/ml)</w:t>
      </w:r>
      <w:r>
        <w:rPr>
          <w:rFonts w:ascii="Times New Roman" w:eastAsia="TeX Gyre Bonum" w:hAnsi="Times New Roman" w:cs="Times New Roman"/>
          <w:sz w:val="24"/>
          <w:szCs w:val="24"/>
        </w:rPr>
        <w:t xml:space="preserve">, progesterone </w:t>
      </w:r>
      <w:r>
        <w:rPr>
          <w:rFonts w:ascii="Times New Roman" w:hAnsi="Times New Roman" w:cs="Times New Roman"/>
          <w:sz w:val="24"/>
          <w:szCs w:val="24"/>
        </w:rPr>
        <w:t xml:space="preserve">(1.98 ± 0.03 to 20.50± 0.42 </w:t>
      </w:r>
      <w:r>
        <w:rPr>
          <w:rFonts w:ascii="Times New Roman" w:hAnsi="Times New Roman" w:cs="Times New Roman"/>
          <w:bCs/>
          <w:sz w:val="24"/>
          <w:szCs w:val="24"/>
        </w:rPr>
        <w:t>ng/ml)</w:t>
      </w:r>
      <w:r>
        <w:rPr>
          <w:rFonts w:ascii="Times New Roman" w:eastAsia="TeX Gyre Bonum" w:hAnsi="Times New Roman" w:cs="Times New Roman"/>
          <w:sz w:val="24"/>
          <w:szCs w:val="24"/>
        </w:rPr>
        <w:t xml:space="preserve">, testosterone </w:t>
      </w:r>
      <w:r>
        <w:rPr>
          <w:rFonts w:ascii="Times New Roman" w:hAnsi="Times New Roman" w:cs="Times New Roman"/>
          <w:sz w:val="24"/>
          <w:szCs w:val="24"/>
        </w:rPr>
        <w:t>(0.13 ± 0.01</w:t>
      </w:r>
      <w:r>
        <w:rPr>
          <w:rFonts w:ascii="Times New Roman" w:hAnsi="Times New Roman" w:cs="Times New Roman"/>
          <w:bCs/>
          <w:sz w:val="24"/>
          <w:szCs w:val="24"/>
        </w:rPr>
        <w:t xml:space="preserve"> </w:t>
      </w:r>
      <w:r>
        <w:rPr>
          <w:rFonts w:ascii="Times New Roman" w:hAnsi="Times New Roman" w:cs="Times New Roman"/>
          <w:sz w:val="24"/>
          <w:szCs w:val="24"/>
        </w:rPr>
        <w:t>to 1.45 ± 0.71</w:t>
      </w:r>
      <w:r>
        <w:rPr>
          <w:rFonts w:ascii="Times New Roman" w:hAnsi="Times New Roman" w:cs="Times New Roman"/>
          <w:bCs/>
          <w:sz w:val="24"/>
          <w:szCs w:val="24"/>
        </w:rPr>
        <w:t xml:space="preserve"> ng/ml) </w:t>
      </w:r>
      <w:r>
        <w:rPr>
          <w:rFonts w:ascii="Times New Roman" w:hAnsi="Times New Roman" w:cs="Times New Roman"/>
          <w:sz w:val="24"/>
          <w:szCs w:val="24"/>
        </w:rPr>
        <w:t>and</w:t>
      </w:r>
      <w:r>
        <w:rPr>
          <w:rFonts w:ascii="Times New Roman" w:eastAsia="TeX Gyre Bonum" w:hAnsi="Times New Roman" w:cs="Times New Roman"/>
          <w:sz w:val="24"/>
          <w:szCs w:val="24"/>
        </w:rPr>
        <w:t xml:space="preserve"> </w:t>
      </w:r>
      <w:proofErr w:type="spellStart"/>
      <w:r>
        <w:rPr>
          <w:rFonts w:ascii="Times New Roman" w:hAnsi="Times New Roman" w:cs="Times New Roman"/>
          <w:sz w:val="24"/>
          <w:szCs w:val="24"/>
        </w:rPr>
        <w:t>estrogen</w:t>
      </w:r>
      <w:proofErr w:type="spellEnd"/>
      <w:r>
        <w:rPr>
          <w:rFonts w:ascii="Times New Roman" w:hAnsi="Times New Roman" w:cs="Times New Roman"/>
          <w:sz w:val="24"/>
          <w:szCs w:val="24"/>
        </w:rPr>
        <w:t xml:space="preserve"> (22.50 ± 1.41</w:t>
      </w:r>
      <w:r>
        <w:rPr>
          <w:rFonts w:ascii="Times New Roman" w:hAnsi="Times New Roman" w:cs="Times New Roman"/>
          <w:bCs/>
          <w:sz w:val="24"/>
          <w:szCs w:val="24"/>
        </w:rPr>
        <w:t xml:space="preserve"> </w:t>
      </w:r>
      <w:r>
        <w:rPr>
          <w:rFonts w:ascii="Times New Roman" w:hAnsi="Times New Roman" w:cs="Times New Roman"/>
          <w:sz w:val="24"/>
          <w:szCs w:val="24"/>
        </w:rPr>
        <w:t>to 77.00 ± 4.24</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pg</w:t>
      </w:r>
      <w:proofErr w:type="spellEnd"/>
      <w:r>
        <w:rPr>
          <w:rFonts w:ascii="Times New Roman" w:hAnsi="Times New Roman" w:cs="Times New Roman"/>
          <w:bCs/>
          <w:sz w:val="24"/>
          <w:szCs w:val="24"/>
        </w:rPr>
        <w:t>/ml</w:t>
      </w:r>
      <w:proofErr w:type="gramStart"/>
      <w:r>
        <w:rPr>
          <w:rFonts w:ascii="Times New Roman" w:hAnsi="Times New Roman" w:cs="Times New Roman"/>
          <w:bCs/>
          <w:sz w:val="24"/>
          <w:szCs w:val="24"/>
        </w:rPr>
        <w:t>)</w:t>
      </w:r>
      <w:r>
        <w:rPr>
          <w:rFonts w:ascii="Times New Roman" w:eastAsia="TeX Gyre Bonum"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lang w:val="en-US"/>
        </w:rPr>
        <w:t>levels</w:t>
      </w:r>
      <w:proofErr w:type="gramEnd"/>
      <w:r>
        <w:rPr>
          <w:rFonts w:ascii="Times New Roman" w:hAnsi="Times New Roman"/>
          <w:sz w:val="24"/>
          <w:szCs w:val="24"/>
          <w:lang w:val="en-US"/>
        </w:rPr>
        <w:t xml:space="preserve"> across treatment groups compared with the control, while FSH showed no significant change. These findings suggest that while the cocktails may enhance both male and female fertility, they could also lead to </w:t>
      </w:r>
      <w:r>
        <w:rPr>
          <w:rFonts w:ascii="Times New Roman" w:hAnsi="Times New Roman" w:cs="Times New Roman"/>
          <w:sz w:val="24"/>
          <w:szCs w:val="24"/>
        </w:rPr>
        <w:t xml:space="preserve">impaired spermatogenesis, reduced libido, endometrial hyperplasia, irregular menstrual cycles and reduced fertility </w:t>
      </w:r>
      <w:r>
        <w:rPr>
          <w:rFonts w:ascii="Times New Roman" w:hAnsi="Times New Roman"/>
          <w:sz w:val="24"/>
          <w:szCs w:val="24"/>
          <w:lang w:val="en-US"/>
        </w:rPr>
        <w:t>in a dose-dependent manner</w:t>
      </w:r>
      <w:r>
        <w:rPr>
          <w:rFonts w:ascii="Times New Roman" w:hAnsi="Times New Roman" w:cs="Times New Roman"/>
          <w:sz w:val="24"/>
          <w:szCs w:val="24"/>
        </w:rPr>
        <w:t xml:space="preserve">. </w:t>
      </w:r>
      <w:r>
        <w:rPr>
          <w:rFonts w:ascii="Times New Roman" w:hAnsi="Times New Roman"/>
          <w:sz w:val="24"/>
          <w:szCs w:val="24"/>
        </w:rPr>
        <w:t xml:space="preserve">Thus, </w:t>
      </w:r>
      <w:r>
        <w:rPr>
          <w:rFonts w:ascii="Times New Roman" w:hAnsi="Times New Roman"/>
          <w:sz w:val="24"/>
          <w:szCs w:val="24"/>
          <w:lang w:val="en-US"/>
        </w:rPr>
        <w:t>highlights the need for proper evaluation and regulation.</w:t>
      </w:r>
    </w:p>
    <w:p w:rsidR="00F26026" w:rsidRDefault="00F26026">
      <w:pPr>
        <w:spacing w:after="0" w:line="276" w:lineRule="auto"/>
        <w:ind w:left="-142"/>
        <w:jc w:val="both"/>
        <w:rPr>
          <w:rFonts w:ascii="Times New Roman"/>
          <w:b/>
          <w:sz w:val="24"/>
          <w:szCs w:val="24"/>
        </w:rPr>
      </w:pPr>
    </w:p>
    <w:p w:rsidR="00F26026" w:rsidRDefault="002457E5">
      <w:pPr>
        <w:pStyle w:val="BodyText"/>
        <w:spacing w:line="360" w:lineRule="auto"/>
        <w:ind w:left="-142" w:right="120" w:firstLine="0"/>
        <w:jc w:val="both"/>
        <w:rPr>
          <w:rFonts w:ascii="Times New Roman"/>
          <w:b/>
          <w:sz w:val="24"/>
          <w:szCs w:val="24"/>
        </w:rPr>
      </w:pPr>
      <w:r>
        <w:rPr>
          <w:rFonts w:ascii="Times New Roman" w:hAnsi="Times New Roman"/>
          <w:b/>
          <w:sz w:val="24"/>
          <w:szCs w:val="24"/>
        </w:rPr>
        <w:t>Keywords</w:t>
      </w:r>
      <w:r>
        <w:rPr>
          <w:rFonts w:ascii="Times New Roman" w:hAnsi="Times New Roman"/>
          <w:sz w:val="24"/>
          <w:szCs w:val="24"/>
        </w:rPr>
        <w:t xml:space="preserve">: </w:t>
      </w:r>
      <w:r>
        <w:rPr>
          <w:rFonts w:ascii="Times New Roman"/>
          <w:sz w:val="24"/>
          <w:szCs w:val="24"/>
        </w:rPr>
        <w:t>Herbal cocktail</w:t>
      </w:r>
      <w:r>
        <w:rPr>
          <w:rFonts w:ascii="Times New Roman" w:hAnsi="Times New Roman" w:cs="Times New Roman"/>
          <w:sz w:val="24"/>
          <w:szCs w:val="24"/>
        </w:rPr>
        <w:t>s</w:t>
      </w:r>
      <w:r>
        <w:rPr>
          <w:rFonts w:ascii="Times New Roman" w:hAnsi="Times New Roman"/>
          <w:sz w:val="24"/>
          <w:szCs w:val="24"/>
        </w:rPr>
        <w:t xml:space="preserve">, fertility enhancement, </w:t>
      </w:r>
      <w:r>
        <w:rPr>
          <w:rFonts w:ascii="Times New Roman" w:hAnsi="Times New Roman" w:cs="Times New Roman"/>
          <w:sz w:val="24"/>
          <w:szCs w:val="24"/>
        </w:rPr>
        <w:t>impaired spermatogenesis, reduced libido, endometrial hyperplasia, irregular menstrual cycles, reduced fertility</w:t>
      </w:r>
    </w:p>
    <w:p w:rsidR="00F26026" w:rsidRDefault="002457E5">
      <w:pPr>
        <w:pStyle w:val="BodyText"/>
        <w:spacing w:line="360" w:lineRule="auto"/>
        <w:ind w:left="-142" w:right="120" w:firstLine="0"/>
        <w:jc w:val="both"/>
        <w:rPr>
          <w:rFonts w:ascii="Times New Roman"/>
          <w:b/>
          <w:sz w:val="24"/>
          <w:szCs w:val="24"/>
        </w:rPr>
      </w:pPr>
      <w:r>
        <w:rPr>
          <w:rFonts w:ascii="Times New Roman"/>
          <w:b/>
          <w:sz w:val="24"/>
          <w:szCs w:val="24"/>
        </w:rPr>
        <w:t>INTRODUCTION</w:t>
      </w:r>
    </w:p>
    <w:p w:rsidR="00F26026" w:rsidRDefault="002457E5">
      <w:pPr>
        <w:pStyle w:val="NoSpacing"/>
        <w:spacing w:line="276" w:lineRule="auto"/>
        <w:ind w:left="-142"/>
        <w:rPr>
          <w:rFonts w:ascii="Times New Roman"/>
          <w:sz w:val="24"/>
          <w:szCs w:val="24"/>
        </w:rPr>
      </w:pPr>
      <w:r>
        <w:rPr>
          <w:rFonts w:ascii="Times New Roman"/>
          <w:sz w:val="24"/>
          <w:szCs w:val="24"/>
        </w:rPr>
        <w:t>Herbal cocktails, also known as Poly-herbal mixtures or remedies</w:t>
      </w:r>
      <w:r w:rsidR="007809BF">
        <w:rPr>
          <w:rFonts w:ascii="Times New Roman"/>
          <w:sz w:val="24"/>
          <w:szCs w:val="24"/>
        </w:rPr>
        <w:t>,</w:t>
      </w:r>
      <w:r>
        <w:rPr>
          <w:rFonts w:ascii="Times New Roman"/>
          <w:sz w:val="24"/>
          <w:szCs w:val="24"/>
        </w:rPr>
        <w:t xml:space="preserve"> are derived from natural sources, primarily plants. They are recognized as the utmost alternative to orthodox medicine and are used as contemporary medicines by approximately 60% of the world population</w:t>
      </w:r>
      <w:r w:rsidR="007809BF">
        <w:rPr>
          <w:rFonts w:ascii="Times New Roman"/>
          <w:sz w:val="24"/>
          <w:szCs w:val="24"/>
        </w:rPr>
        <w:t>,</w:t>
      </w:r>
      <w:r>
        <w:rPr>
          <w:rFonts w:ascii="Times New Roman"/>
          <w:sz w:val="24"/>
          <w:szCs w:val="24"/>
        </w:rPr>
        <w:t xml:space="preserve"> both in developing and developed countries (Rickert </w:t>
      </w:r>
      <w:r>
        <w:rPr>
          <w:rFonts w:ascii="Times New Roman"/>
          <w:iCs/>
          <w:sz w:val="24"/>
          <w:szCs w:val="24"/>
        </w:rPr>
        <w:t>et al</w:t>
      </w:r>
      <w:r>
        <w:rPr>
          <w:rFonts w:ascii="Times New Roman"/>
          <w:sz w:val="24"/>
          <w:szCs w:val="24"/>
        </w:rPr>
        <w:t xml:space="preserve">., 2000). </w:t>
      </w:r>
      <w:r>
        <w:rPr>
          <w:rStyle w:val="CharAttribute13"/>
          <w:szCs w:val="24"/>
        </w:rPr>
        <w:t>They are habitually consumed devoid of a prescription and there are audacious and prevalent views that they are nontoxic and have been used for decades without any form of harm due to the fact that they are natural (</w:t>
      </w:r>
      <w:proofErr w:type="spellStart"/>
      <w:r>
        <w:rPr>
          <w:rStyle w:val="CharAttribute13"/>
          <w:szCs w:val="24"/>
        </w:rPr>
        <w:t>Markbere</w:t>
      </w:r>
      <w:proofErr w:type="spellEnd"/>
      <w:r>
        <w:rPr>
          <w:rStyle w:val="CharAttribute13"/>
          <w:szCs w:val="24"/>
        </w:rPr>
        <w:t xml:space="preserve"> &amp; </w:t>
      </w:r>
      <w:proofErr w:type="spellStart"/>
      <w:r>
        <w:rPr>
          <w:rStyle w:val="CharAttribute13"/>
          <w:szCs w:val="24"/>
        </w:rPr>
        <w:t>Ogoun</w:t>
      </w:r>
      <w:proofErr w:type="spellEnd"/>
      <w:r>
        <w:rPr>
          <w:rStyle w:val="CharAttribute13"/>
          <w:szCs w:val="24"/>
        </w:rPr>
        <w:t xml:space="preserve">, 2022). </w:t>
      </w:r>
      <w:r w:rsidR="007809BF">
        <w:rPr>
          <w:rStyle w:val="CharAttribute13"/>
          <w:szCs w:val="24"/>
        </w:rPr>
        <w:t xml:space="preserve">The </w:t>
      </w:r>
      <w:r>
        <w:rPr>
          <w:rStyle w:val="CharAttribute13"/>
          <w:szCs w:val="24"/>
        </w:rPr>
        <w:t xml:space="preserve">World Health Organization defined </w:t>
      </w:r>
      <w:r w:rsidR="007809BF">
        <w:rPr>
          <w:rStyle w:val="CharAttribute13"/>
          <w:szCs w:val="24"/>
        </w:rPr>
        <w:t xml:space="preserve">a </w:t>
      </w:r>
      <w:r>
        <w:rPr>
          <w:rFonts w:ascii="Times New Roman"/>
          <w:sz w:val="24"/>
          <w:szCs w:val="24"/>
        </w:rPr>
        <w:t xml:space="preserve">cocktail of </w:t>
      </w:r>
      <w:r>
        <w:rPr>
          <w:rStyle w:val="CharAttribute13"/>
          <w:szCs w:val="24"/>
        </w:rPr>
        <w:t>herbal mixtures as any part of a plant that can be employed medicinally or as a raw material for the production of effective drugs (World Health Organization, 2005).</w:t>
      </w:r>
      <w:r>
        <w:rPr>
          <w:rFonts w:ascii="Times New Roman"/>
          <w:sz w:val="24"/>
          <w:szCs w:val="24"/>
        </w:rPr>
        <w:t xml:space="preserve">  These </w:t>
      </w:r>
      <w:r>
        <w:rPr>
          <w:rStyle w:val="CharAttribute13"/>
          <w:szCs w:val="24"/>
        </w:rPr>
        <w:t xml:space="preserve">herbal mixtures have long been used for the management and treatment of several diseases and extensive study had been conducted on whole herbs, their essential oils and extracts as an ethnopharmacological technique (Rastogi et al., 2016) to evaluate their efficacy on </w:t>
      </w:r>
      <w:r>
        <w:rPr>
          <w:rStyle w:val="CharAttribute13"/>
          <w:szCs w:val="24"/>
        </w:rPr>
        <w:lastRenderedPageBreak/>
        <w:t xml:space="preserve">several diseases such as allergies, asthma, eczema, premenstrual syndrome, rheumatoid arthritis, migraine, menopausal symptoms, cancer, diabetes, atherosclerosis, hemorrhage, and inflammatory disorders. For the treatment and prevention of hyperlipidemia, several therapeutic traditions use herbal compositions. </w:t>
      </w:r>
      <w:r>
        <w:rPr>
          <w:rFonts w:ascii="Times New Roman"/>
          <w:sz w:val="24"/>
          <w:szCs w:val="24"/>
        </w:rPr>
        <w:t>These mixtures are composed of different plant constituents with medicinal properties</w:t>
      </w:r>
      <w:r w:rsidR="007809BF">
        <w:rPr>
          <w:rFonts w:ascii="Times New Roman"/>
          <w:sz w:val="24"/>
          <w:szCs w:val="24"/>
        </w:rPr>
        <w:t>,</w:t>
      </w:r>
      <w:r>
        <w:rPr>
          <w:rFonts w:ascii="Times New Roman"/>
          <w:sz w:val="24"/>
          <w:szCs w:val="24"/>
        </w:rPr>
        <w:t xml:space="preserve"> such as </w:t>
      </w:r>
      <w:r>
        <w:rPr>
          <w:rFonts w:ascii="Times New Roman"/>
          <w:i/>
          <w:sz w:val="24"/>
          <w:szCs w:val="24"/>
        </w:rPr>
        <w:t xml:space="preserve">Vernonia </w:t>
      </w:r>
      <w:proofErr w:type="spellStart"/>
      <w:r>
        <w:rPr>
          <w:rFonts w:ascii="Times New Roman"/>
          <w:i/>
          <w:sz w:val="24"/>
          <w:szCs w:val="24"/>
        </w:rPr>
        <w:t>amygdalina</w:t>
      </w:r>
      <w:proofErr w:type="spellEnd"/>
      <w:r>
        <w:rPr>
          <w:rFonts w:ascii="Times New Roman"/>
          <w:i/>
          <w:sz w:val="24"/>
          <w:szCs w:val="24"/>
        </w:rPr>
        <w:t xml:space="preserve">, </w:t>
      </w:r>
      <w:proofErr w:type="spellStart"/>
      <w:r>
        <w:rPr>
          <w:rFonts w:ascii="Times New Roman"/>
          <w:i/>
          <w:sz w:val="24"/>
          <w:szCs w:val="24"/>
        </w:rPr>
        <w:t>Cajanus</w:t>
      </w:r>
      <w:proofErr w:type="spellEnd"/>
      <w:r>
        <w:rPr>
          <w:rFonts w:ascii="Times New Roman"/>
          <w:i/>
          <w:sz w:val="24"/>
          <w:szCs w:val="24"/>
        </w:rPr>
        <w:t xml:space="preserve"> </w:t>
      </w:r>
      <w:proofErr w:type="spellStart"/>
      <w:r>
        <w:rPr>
          <w:rFonts w:ascii="Times New Roman"/>
          <w:i/>
          <w:sz w:val="24"/>
          <w:szCs w:val="24"/>
        </w:rPr>
        <w:t>cajan</w:t>
      </w:r>
      <w:proofErr w:type="spellEnd"/>
      <w:r>
        <w:rPr>
          <w:rFonts w:ascii="Times New Roman"/>
          <w:i/>
          <w:sz w:val="24"/>
          <w:szCs w:val="24"/>
        </w:rPr>
        <w:t xml:space="preserve">, </w:t>
      </w:r>
      <w:proofErr w:type="spellStart"/>
      <w:r>
        <w:rPr>
          <w:rFonts w:ascii="Times New Roman"/>
          <w:i/>
          <w:sz w:val="24"/>
          <w:szCs w:val="24"/>
        </w:rPr>
        <w:t>Zingiber</w:t>
      </w:r>
      <w:proofErr w:type="spellEnd"/>
      <w:r>
        <w:rPr>
          <w:rFonts w:ascii="Times New Roman"/>
          <w:i/>
          <w:sz w:val="24"/>
          <w:szCs w:val="24"/>
        </w:rPr>
        <w:t xml:space="preserve"> </w:t>
      </w:r>
      <w:proofErr w:type="spellStart"/>
      <w:r>
        <w:rPr>
          <w:rFonts w:ascii="Times New Roman"/>
          <w:i/>
          <w:sz w:val="24"/>
          <w:szCs w:val="24"/>
        </w:rPr>
        <w:t>officinale</w:t>
      </w:r>
      <w:proofErr w:type="spellEnd"/>
      <w:r>
        <w:rPr>
          <w:rFonts w:ascii="Times New Roman"/>
          <w:i/>
          <w:sz w:val="24"/>
          <w:szCs w:val="24"/>
        </w:rPr>
        <w:t xml:space="preserve">, Allium sativum, </w:t>
      </w:r>
      <w:proofErr w:type="spellStart"/>
      <w:r>
        <w:rPr>
          <w:rFonts w:ascii="Times New Roman"/>
          <w:i/>
          <w:sz w:val="24"/>
          <w:szCs w:val="24"/>
        </w:rPr>
        <w:t>Carica</w:t>
      </w:r>
      <w:proofErr w:type="spellEnd"/>
      <w:r>
        <w:rPr>
          <w:rFonts w:ascii="Times New Roman"/>
          <w:i/>
          <w:sz w:val="24"/>
          <w:szCs w:val="24"/>
        </w:rPr>
        <w:t xml:space="preserve"> papaya, Saccharum </w:t>
      </w:r>
      <w:proofErr w:type="spellStart"/>
      <w:r>
        <w:rPr>
          <w:rFonts w:ascii="Times New Roman"/>
          <w:i/>
          <w:sz w:val="24"/>
          <w:szCs w:val="24"/>
        </w:rPr>
        <w:t>officinarum</w:t>
      </w:r>
      <w:proofErr w:type="spellEnd"/>
      <w:r>
        <w:rPr>
          <w:rFonts w:ascii="Times New Roman"/>
          <w:i/>
          <w:sz w:val="24"/>
          <w:szCs w:val="24"/>
        </w:rPr>
        <w:t xml:space="preserve">, Moringa oleifera, </w:t>
      </w:r>
      <w:proofErr w:type="spellStart"/>
      <w:r>
        <w:rPr>
          <w:rFonts w:ascii="Times New Roman"/>
          <w:i/>
          <w:sz w:val="24"/>
          <w:szCs w:val="24"/>
        </w:rPr>
        <w:t>Magnifera</w:t>
      </w:r>
      <w:proofErr w:type="spellEnd"/>
      <w:r>
        <w:rPr>
          <w:rFonts w:ascii="Times New Roman"/>
          <w:i/>
          <w:sz w:val="24"/>
          <w:szCs w:val="24"/>
        </w:rPr>
        <w:t xml:space="preserve"> </w:t>
      </w:r>
      <w:proofErr w:type="spellStart"/>
      <w:r>
        <w:rPr>
          <w:rFonts w:ascii="Times New Roman"/>
          <w:i/>
          <w:sz w:val="24"/>
          <w:szCs w:val="24"/>
        </w:rPr>
        <w:t>indica</w:t>
      </w:r>
      <w:proofErr w:type="spellEnd"/>
      <w:r>
        <w:rPr>
          <w:rFonts w:ascii="Times New Roman"/>
          <w:i/>
          <w:sz w:val="24"/>
          <w:szCs w:val="24"/>
        </w:rPr>
        <w:t xml:space="preserve">, Citrus </w:t>
      </w:r>
      <w:proofErr w:type="spellStart"/>
      <w:r>
        <w:rPr>
          <w:rFonts w:ascii="Times New Roman"/>
          <w:i/>
          <w:sz w:val="24"/>
          <w:szCs w:val="24"/>
        </w:rPr>
        <w:t>aurantifolia</w:t>
      </w:r>
      <w:proofErr w:type="spellEnd"/>
      <w:r>
        <w:rPr>
          <w:rFonts w:ascii="Times New Roman"/>
          <w:i/>
          <w:sz w:val="24"/>
          <w:szCs w:val="24"/>
        </w:rPr>
        <w:t xml:space="preserve">, </w:t>
      </w:r>
      <w:r>
        <w:rPr>
          <w:rFonts w:ascii="Times New Roman"/>
          <w:sz w:val="24"/>
          <w:szCs w:val="24"/>
        </w:rPr>
        <w:t xml:space="preserve">Caramel, etc.  Reproductive hormones are essential regulators of the human reproductive system, influencing sexual development, reproductive processes, and various physiological functions. These hormones include estrogens, progesterone, testosterone, luteinizing hormone (LH), follicle-stimulating hormone (FSH), etc. Each </w:t>
      </w:r>
      <w:proofErr w:type="gramStart"/>
      <w:r>
        <w:rPr>
          <w:rFonts w:ascii="Times New Roman"/>
          <w:sz w:val="24"/>
          <w:szCs w:val="24"/>
        </w:rPr>
        <w:t>play</w:t>
      </w:r>
      <w:r w:rsidR="007809BF">
        <w:rPr>
          <w:rFonts w:ascii="Times New Roman"/>
          <w:sz w:val="24"/>
          <w:szCs w:val="24"/>
        </w:rPr>
        <w:t>s</w:t>
      </w:r>
      <w:proofErr w:type="gramEnd"/>
      <w:r>
        <w:rPr>
          <w:rFonts w:ascii="Times New Roman"/>
          <w:sz w:val="24"/>
          <w:szCs w:val="24"/>
        </w:rPr>
        <w:t xml:space="preserve"> distinct roles in both male and female reproductive health. The coordination of reproductive hormones is critical for normal reproductive function and overall health in both men and women. Disruptions in these hormonal levels can lead to reproductive health issues, infertility, and systemic impacts, emphasizing the importance of understanding their regulation and interactions (</w:t>
      </w:r>
      <w:proofErr w:type="spellStart"/>
      <w:r>
        <w:rPr>
          <w:rFonts w:ascii="Times New Roman"/>
          <w:sz w:val="24"/>
          <w:szCs w:val="24"/>
        </w:rPr>
        <w:t>Udom</w:t>
      </w:r>
      <w:proofErr w:type="spellEnd"/>
      <w:r>
        <w:rPr>
          <w:rFonts w:ascii="Times New Roman"/>
          <w:sz w:val="24"/>
          <w:szCs w:val="24"/>
        </w:rPr>
        <w:t xml:space="preserve"> et al., 2020).</w:t>
      </w:r>
    </w:p>
    <w:p w:rsidR="00F26026" w:rsidRDefault="002457E5">
      <w:pPr>
        <w:pStyle w:val="NoSpacing"/>
        <w:spacing w:line="276" w:lineRule="auto"/>
        <w:ind w:left="-142"/>
        <w:rPr>
          <w:rFonts w:ascii="Times New Roman"/>
          <w:sz w:val="24"/>
          <w:szCs w:val="24"/>
        </w:rPr>
      </w:pPr>
      <w:r>
        <w:rPr>
          <w:rFonts w:ascii="Times New Roman"/>
          <w:sz w:val="24"/>
          <w:szCs w:val="24"/>
        </w:rPr>
        <w:t>Herbal cocktails are being explored for their potential to enhance fertility</w:t>
      </w:r>
      <w:r w:rsidR="007809BF">
        <w:rPr>
          <w:rFonts w:ascii="Times New Roman"/>
          <w:sz w:val="24"/>
          <w:szCs w:val="24"/>
        </w:rPr>
        <w:t>,</w:t>
      </w:r>
      <w:r>
        <w:rPr>
          <w:rFonts w:ascii="Times New Roman"/>
          <w:sz w:val="24"/>
          <w:szCs w:val="24"/>
        </w:rPr>
        <w:t xml:space="preserve"> amongst other claims. The National Agency for Food and Drug Administration and control (NAFDAC), a food and Drug Law Enforcement Agency in Nigeria, is yet to provide confirmed generated information publicly on the scientific and therapeutic clarification of these mixtures. These branded concoctions are registered and approved by NAFDAC with a disclaimer concerning </w:t>
      </w:r>
      <w:r w:rsidR="007809BF">
        <w:rPr>
          <w:rFonts w:ascii="Times New Roman"/>
          <w:sz w:val="24"/>
          <w:szCs w:val="24"/>
        </w:rPr>
        <w:t>their</w:t>
      </w:r>
      <w:r>
        <w:rPr>
          <w:rFonts w:ascii="Times New Roman"/>
          <w:sz w:val="24"/>
          <w:szCs w:val="24"/>
        </w:rPr>
        <w:t xml:space="preserve"> numerous therapeutic claims by manufacturers. The effects of these mixtures on reproductive hormones and overall reproductive health lack rigorous scientific testing or validation, raising concerns about their efficacy and safety. This study will evaluate the effects of some herbal cocktails on reproductive hormones in Wistar rats.</w:t>
      </w:r>
    </w:p>
    <w:p w:rsidR="00F26026" w:rsidRDefault="00F26026">
      <w:pPr>
        <w:pStyle w:val="NoSpacing"/>
        <w:spacing w:line="276" w:lineRule="auto"/>
        <w:ind w:left="-142"/>
        <w:rPr>
          <w:rFonts w:ascii="Times New Roman"/>
          <w:sz w:val="24"/>
          <w:szCs w:val="24"/>
        </w:rPr>
      </w:pPr>
    </w:p>
    <w:p w:rsidR="00F26026" w:rsidRDefault="002457E5">
      <w:pPr>
        <w:pStyle w:val="NoSpacing"/>
        <w:numPr>
          <w:ilvl w:val="0"/>
          <w:numId w:val="1"/>
        </w:numPr>
        <w:spacing w:line="276" w:lineRule="auto"/>
        <w:rPr>
          <w:rFonts w:ascii="Times New Roman"/>
          <w:b/>
          <w:sz w:val="24"/>
          <w:szCs w:val="24"/>
        </w:rPr>
      </w:pPr>
      <w:r>
        <w:rPr>
          <w:rFonts w:ascii="Times New Roman"/>
          <w:b/>
          <w:sz w:val="24"/>
          <w:szCs w:val="24"/>
        </w:rPr>
        <w:t>MATERIALS AND METHODS</w:t>
      </w:r>
    </w:p>
    <w:p w:rsidR="00F26026" w:rsidRDefault="002457E5">
      <w:pPr>
        <w:pStyle w:val="NoSpacing"/>
        <w:spacing w:line="276" w:lineRule="auto"/>
        <w:ind w:left="-142"/>
        <w:rPr>
          <w:rFonts w:ascii="Times New Roman"/>
          <w:b/>
          <w:sz w:val="24"/>
          <w:szCs w:val="24"/>
        </w:rPr>
      </w:pPr>
      <w:r>
        <w:rPr>
          <w:rFonts w:ascii="Times New Roman"/>
          <w:b/>
          <w:sz w:val="24"/>
          <w:szCs w:val="24"/>
        </w:rPr>
        <w:t>Study Area</w:t>
      </w:r>
    </w:p>
    <w:p w:rsidR="00F26026" w:rsidRDefault="002457E5">
      <w:pPr>
        <w:pStyle w:val="NoSpacing"/>
        <w:spacing w:line="276" w:lineRule="auto"/>
        <w:ind w:left="-142"/>
        <w:rPr>
          <w:rFonts w:ascii="Times New Roman"/>
          <w:sz w:val="24"/>
          <w:szCs w:val="24"/>
        </w:rPr>
      </w:pPr>
      <w:r>
        <w:rPr>
          <w:rFonts w:ascii="Times New Roman"/>
          <w:sz w:val="24"/>
          <w:szCs w:val="24"/>
        </w:rPr>
        <w:t>The study was carried out in Port Harcourt, Rivers State, Nigeria.</w:t>
      </w:r>
    </w:p>
    <w:p w:rsidR="00F26026" w:rsidRDefault="002457E5">
      <w:pPr>
        <w:pStyle w:val="NoSpacing"/>
        <w:spacing w:line="276" w:lineRule="auto"/>
        <w:ind w:left="-142"/>
        <w:rPr>
          <w:rFonts w:ascii="Times New Roman"/>
          <w:sz w:val="24"/>
          <w:szCs w:val="24"/>
        </w:rPr>
      </w:pPr>
      <w:r>
        <w:rPr>
          <w:rFonts w:ascii="Times New Roman"/>
          <w:b/>
          <w:sz w:val="24"/>
          <w:szCs w:val="24"/>
        </w:rPr>
        <w:t>Sample Collection</w:t>
      </w:r>
    </w:p>
    <w:p w:rsidR="00F26026" w:rsidRDefault="002457E5">
      <w:pPr>
        <w:pStyle w:val="NoSpacing"/>
        <w:spacing w:line="276" w:lineRule="auto"/>
        <w:ind w:left="-142"/>
        <w:rPr>
          <w:rFonts w:ascii="Times New Roman"/>
          <w:sz w:val="24"/>
          <w:szCs w:val="24"/>
        </w:rPr>
      </w:pPr>
      <w:r>
        <w:rPr>
          <w:rFonts w:ascii="Times New Roman"/>
          <w:sz w:val="24"/>
          <w:szCs w:val="24"/>
        </w:rPr>
        <w:t>Three samples of herbal cocktail mixtures were purchased from a vendor in Port Harcourt    Metropolis, Rivers State. Animals were procured from Animal house, Department of Pharmacology, University of Port Harcourt, Rivers State.</w:t>
      </w:r>
    </w:p>
    <w:p w:rsidR="00F26026" w:rsidRDefault="002457E5">
      <w:pPr>
        <w:pStyle w:val="NoSpacing"/>
        <w:spacing w:line="276" w:lineRule="auto"/>
        <w:ind w:left="-142"/>
        <w:rPr>
          <w:rFonts w:ascii="Times New Roman"/>
          <w:sz w:val="24"/>
          <w:szCs w:val="24"/>
        </w:rPr>
      </w:pPr>
      <w:r>
        <w:rPr>
          <w:rFonts w:ascii="Times New Roman"/>
          <w:b/>
          <w:sz w:val="24"/>
          <w:szCs w:val="24"/>
        </w:rPr>
        <w:t xml:space="preserve">Determination of LD₅₀ </w:t>
      </w:r>
    </w:p>
    <w:p w:rsidR="00F26026" w:rsidRDefault="002457E5">
      <w:pPr>
        <w:pStyle w:val="NoSpacing"/>
        <w:spacing w:line="276" w:lineRule="auto"/>
        <w:ind w:left="-142"/>
        <w:rPr>
          <w:rFonts w:ascii="Times New Roman"/>
          <w:sz w:val="24"/>
          <w:szCs w:val="24"/>
        </w:rPr>
      </w:pPr>
      <w:r>
        <w:rPr>
          <w:rFonts w:ascii="Times New Roman"/>
          <w:sz w:val="24"/>
          <w:szCs w:val="24"/>
        </w:rPr>
        <w:t xml:space="preserve">The Acute oral toxicity (LD₅₀) of the herbal cocktails was determined using the method described by </w:t>
      </w:r>
      <w:proofErr w:type="spellStart"/>
      <w:r>
        <w:rPr>
          <w:rFonts w:ascii="Times New Roman"/>
          <w:sz w:val="24"/>
          <w:szCs w:val="24"/>
        </w:rPr>
        <w:t>Lorke</w:t>
      </w:r>
      <w:proofErr w:type="spellEnd"/>
      <w:r>
        <w:rPr>
          <w:rFonts w:ascii="Times New Roman"/>
          <w:sz w:val="24"/>
          <w:szCs w:val="24"/>
        </w:rPr>
        <w:t xml:space="preserve"> (1983). </w:t>
      </w:r>
    </w:p>
    <w:p w:rsidR="00F26026" w:rsidRDefault="002457E5">
      <w:pPr>
        <w:pStyle w:val="NoSpacing"/>
        <w:spacing w:line="276" w:lineRule="auto"/>
        <w:ind w:left="-142"/>
        <w:rPr>
          <w:rFonts w:ascii="Times New Roman"/>
          <w:sz w:val="24"/>
          <w:szCs w:val="24"/>
        </w:rPr>
      </w:pPr>
      <w:r>
        <w:rPr>
          <w:rFonts w:ascii="Times New Roman"/>
          <w:b/>
          <w:sz w:val="24"/>
          <w:szCs w:val="24"/>
        </w:rPr>
        <w:t>Animal Grouping</w:t>
      </w:r>
    </w:p>
    <w:p w:rsidR="00F26026" w:rsidRDefault="002457E5">
      <w:pPr>
        <w:pStyle w:val="NoSpacing"/>
        <w:spacing w:line="276" w:lineRule="auto"/>
        <w:ind w:left="-142"/>
        <w:rPr>
          <w:rFonts w:ascii="Times New Roman"/>
          <w:sz w:val="24"/>
          <w:szCs w:val="24"/>
        </w:rPr>
      </w:pPr>
      <w:r>
        <w:rPr>
          <w:rFonts w:ascii="Times New Roman"/>
          <w:sz w:val="24"/>
          <w:szCs w:val="24"/>
        </w:rPr>
        <w:t xml:space="preserve">Eighty (80) Wistar rats weighing 120-150 g of both sexes were used for this study. The animals were acclimatized under standard laboratory conditions (14 days) and provided with feed and water ad libitum. The animals were weighed and distributed into four major groups comprising twenty (20) rats, one control group and three (3) treatment group each. Each group was further subdivided into two subgroups of ten (10) rats each. After acclimatization period, the treatment commenced and the    </w:t>
      </w:r>
      <w:r>
        <w:rPr>
          <w:rFonts w:ascii="Times New Roman"/>
          <w:sz w:val="24"/>
          <w:szCs w:val="24"/>
        </w:rPr>
        <w:lastRenderedPageBreak/>
        <w:t xml:space="preserve">herbal cocktails were administered orally for a period of 40 days daily. </w:t>
      </w:r>
    </w:p>
    <w:p w:rsidR="00F26026" w:rsidRDefault="002457E5">
      <w:pPr>
        <w:pStyle w:val="NoSpacing"/>
        <w:spacing w:line="276" w:lineRule="auto"/>
        <w:ind w:left="-142"/>
        <w:rPr>
          <w:rFonts w:ascii="Times New Roman"/>
          <w:sz w:val="24"/>
          <w:szCs w:val="24"/>
        </w:rPr>
      </w:pPr>
      <w:r>
        <w:rPr>
          <w:rFonts w:ascii="Times New Roman"/>
          <w:sz w:val="24"/>
          <w:szCs w:val="24"/>
        </w:rPr>
        <w:t>Group A served as the Control and received standard feed and clean water ad libitum,</w:t>
      </w:r>
    </w:p>
    <w:p w:rsidR="00F26026" w:rsidRDefault="002457E5">
      <w:pPr>
        <w:pStyle w:val="NoSpacing"/>
        <w:spacing w:line="276" w:lineRule="auto"/>
        <w:ind w:left="-142"/>
        <w:rPr>
          <w:rFonts w:ascii="Times New Roman"/>
          <w:sz w:val="24"/>
          <w:szCs w:val="24"/>
        </w:rPr>
      </w:pPr>
      <w:r>
        <w:rPr>
          <w:rFonts w:ascii="Times New Roman"/>
          <w:sz w:val="24"/>
          <w:szCs w:val="24"/>
        </w:rPr>
        <w:t>Group B received a low dose (500 mg/kg) and high dose (1500 mg/kg) of Sample A</w:t>
      </w:r>
    </w:p>
    <w:p w:rsidR="00F26026" w:rsidRDefault="002457E5">
      <w:pPr>
        <w:pStyle w:val="NoSpacing"/>
        <w:spacing w:line="276" w:lineRule="auto"/>
        <w:ind w:left="-142"/>
        <w:rPr>
          <w:rFonts w:ascii="Times New Roman"/>
          <w:sz w:val="24"/>
          <w:szCs w:val="24"/>
        </w:rPr>
      </w:pPr>
      <w:r>
        <w:rPr>
          <w:rFonts w:ascii="Times New Roman"/>
          <w:sz w:val="24"/>
          <w:szCs w:val="24"/>
        </w:rPr>
        <w:t>Group C received a low dose (500 mg/kg) and high dose (1500 mg/kg) of Sample B</w:t>
      </w:r>
    </w:p>
    <w:p w:rsidR="00F26026" w:rsidRDefault="002457E5">
      <w:pPr>
        <w:pStyle w:val="NoSpacing"/>
        <w:spacing w:line="276" w:lineRule="auto"/>
        <w:ind w:left="-142"/>
        <w:rPr>
          <w:rFonts w:ascii="Times New Roman"/>
          <w:sz w:val="24"/>
          <w:szCs w:val="24"/>
        </w:rPr>
      </w:pPr>
      <w:r>
        <w:rPr>
          <w:rFonts w:ascii="Times New Roman"/>
          <w:sz w:val="24"/>
          <w:szCs w:val="24"/>
        </w:rPr>
        <w:t>Group D received a low dose (500 mg/kg) and high dose (1500 mg/kg) of Sample C.</w:t>
      </w:r>
    </w:p>
    <w:p w:rsidR="00F26026" w:rsidRDefault="002457E5">
      <w:pPr>
        <w:pStyle w:val="NoSpacing"/>
        <w:spacing w:line="276" w:lineRule="auto"/>
        <w:ind w:left="-142"/>
        <w:rPr>
          <w:rFonts w:ascii="Times New Roman"/>
          <w:sz w:val="24"/>
          <w:szCs w:val="24"/>
        </w:rPr>
      </w:pPr>
      <w:r>
        <w:rPr>
          <w:rFonts w:ascii="Times New Roman"/>
          <w:sz w:val="24"/>
          <w:szCs w:val="24"/>
        </w:rPr>
        <w:t>After the experimental period, the animals were fasted for 8 hours. Each animal was weighed and anesthetized using Isoflurane. Blood samples were collected via the jugular vein into plain sample bottles for biochemical analysis.</w:t>
      </w:r>
    </w:p>
    <w:p w:rsidR="00F26026" w:rsidRDefault="00F26026">
      <w:pPr>
        <w:pStyle w:val="NoSpacing"/>
        <w:spacing w:line="276" w:lineRule="auto"/>
        <w:rPr>
          <w:rFonts w:ascii="Times New Roman"/>
          <w:sz w:val="24"/>
          <w:szCs w:val="24"/>
        </w:rPr>
      </w:pPr>
    </w:p>
    <w:p w:rsidR="00F26026" w:rsidRDefault="002457E5">
      <w:pPr>
        <w:pStyle w:val="NoSpacing"/>
        <w:spacing w:line="276" w:lineRule="auto"/>
        <w:ind w:left="-142"/>
        <w:rPr>
          <w:rFonts w:ascii="Times New Roman"/>
          <w:b/>
          <w:bCs/>
          <w:sz w:val="24"/>
          <w:szCs w:val="24"/>
        </w:rPr>
      </w:pPr>
      <w:r>
        <w:rPr>
          <w:rFonts w:ascii="Times New Roman"/>
          <w:b/>
          <w:bCs/>
          <w:sz w:val="24"/>
          <w:szCs w:val="24"/>
        </w:rPr>
        <w:t>Determination of Reproductive Hormone Levels in Serum of Male and Female Wistar rats</w:t>
      </w:r>
    </w:p>
    <w:p w:rsidR="00F26026" w:rsidRDefault="002457E5">
      <w:pPr>
        <w:pStyle w:val="NoSpacing"/>
        <w:spacing w:line="276" w:lineRule="auto"/>
        <w:ind w:left="-142"/>
        <w:rPr>
          <w:rFonts w:ascii="Times New Roman"/>
          <w:sz w:val="24"/>
          <w:szCs w:val="24"/>
        </w:rPr>
      </w:pPr>
      <w:r>
        <w:rPr>
          <w:rFonts w:ascii="Times New Roman"/>
          <w:sz w:val="24"/>
          <w:szCs w:val="24"/>
        </w:rPr>
        <w:t xml:space="preserve">Reproductive Hormonal levels were assessed using </w:t>
      </w:r>
      <w:proofErr w:type="spellStart"/>
      <w:r>
        <w:rPr>
          <w:rFonts w:ascii="Times New Roman"/>
          <w:sz w:val="24"/>
          <w:szCs w:val="24"/>
        </w:rPr>
        <w:t>AccuBind</w:t>
      </w:r>
      <w:proofErr w:type="spellEnd"/>
      <w:r>
        <w:rPr>
          <w:rFonts w:ascii="Times New Roman"/>
          <w:sz w:val="24"/>
          <w:szCs w:val="24"/>
        </w:rPr>
        <w:t>® ELISA Test System.</w:t>
      </w:r>
    </w:p>
    <w:p w:rsidR="00F26026" w:rsidRDefault="00F26026">
      <w:pPr>
        <w:pStyle w:val="NoSpacing"/>
        <w:spacing w:line="276" w:lineRule="auto"/>
        <w:ind w:left="-142"/>
        <w:rPr>
          <w:rFonts w:ascii="Times New Roman"/>
          <w:b/>
          <w:sz w:val="24"/>
          <w:szCs w:val="24"/>
        </w:rPr>
      </w:pPr>
    </w:p>
    <w:p w:rsidR="00F26026" w:rsidRDefault="002457E5">
      <w:pPr>
        <w:pStyle w:val="NoSpacing"/>
        <w:spacing w:line="276" w:lineRule="auto"/>
        <w:ind w:left="-142"/>
        <w:rPr>
          <w:rFonts w:ascii="Times New Roman"/>
          <w:sz w:val="24"/>
          <w:szCs w:val="24"/>
        </w:rPr>
      </w:pPr>
      <w:r>
        <w:rPr>
          <w:rFonts w:ascii="Times New Roman"/>
          <w:b/>
          <w:sz w:val="24"/>
          <w:szCs w:val="24"/>
        </w:rPr>
        <w:t>Statistical Analysis</w:t>
      </w:r>
    </w:p>
    <w:p w:rsidR="00F26026" w:rsidRDefault="002457E5">
      <w:pPr>
        <w:pStyle w:val="BodyText"/>
        <w:spacing w:before="0" w:line="276" w:lineRule="auto"/>
        <w:ind w:left="-142" w:right="118" w:firstLine="0"/>
        <w:jc w:val="both"/>
        <w:rPr>
          <w:rFonts w:ascii="Times New Roman" w:hAnsi="Times New Roman" w:cs="Times New Roman"/>
          <w:spacing w:val="-4"/>
          <w:sz w:val="24"/>
          <w:szCs w:val="24"/>
        </w:rPr>
      </w:pPr>
      <w:r>
        <w:rPr>
          <w:rFonts w:ascii="Times New Roman" w:hAnsi="Times New Roman" w:cs="Times New Roman"/>
          <w:sz w:val="24"/>
          <w:szCs w:val="24"/>
        </w:rPr>
        <w:t>Data were analyzed using One-way Analysis of Variance (ANOVA), followed by Tukey’s Post-hoc test for multiple comparisons</w:t>
      </w:r>
      <w:r>
        <w:rPr>
          <w:rFonts w:ascii="Times New Roman" w:hAnsi="Times New Roman" w:cs="Times New Roman"/>
          <w:spacing w:val="-4"/>
          <w:sz w:val="24"/>
          <w:szCs w:val="24"/>
        </w:rPr>
        <w:t xml:space="preserve"> using the IBM Statistical Package of Biological and Social Sciences (SPSS). Values were expressed as Mean ± Standard deviation of triplicate determination.</w:t>
      </w:r>
    </w:p>
    <w:p w:rsidR="00F26026" w:rsidRDefault="00F26026">
      <w:pPr>
        <w:pStyle w:val="BodyText"/>
        <w:spacing w:before="0" w:line="276" w:lineRule="auto"/>
        <w:ind w:right="118"/>
        <w:jc w:val="both"/>
        <w:rPr>
          <w:rFonts w:ascii="Times New Roman" w:hAnsi="Times New Roman" w:cs="Times New Roman"/>
          <w:spacing w:val="-4"/>
          <w:sz w:val="24"/>
          <w:szCs w:val="24"/>
        </w:rPr>
      </w:pPr>
    </w:p>
    <w:p w:rsidR="00096701" w:rsidRDefault="002457E5" w:rsidP="00096701">
      <w:pPr>
        <w:pStyle w:val="ListParagraph"/>
        <w:numPr>
          <w:ilvl w:val="0"/>
          <w:numId w:val="1"/>
        </w:numPr>
        <w:spacing w:line="276" w:lineRule="auto"/>
        <w:rPr>
          <w:rFonts w:ascii="Times New Roman" w:hAnsi="Times New Roman" w:cs="Times New Roman"/>
          <w:b/>
          <w:bCs/>
          <w:sz w:val="24"/>
          <w:szCs w:val="24"/>
        </w:rPr>
      </w:pPr>
      <w:r>
        <w:rPr>
          <w:rFonts w:ascii="Times New Roman"/>
          <w:b/>
          <w:spacing w:val="21"/>
          <w:sz w:val="24"/>
          <w:szCs w:val="24"/>
        </w:rPr>
        <w:t>RESULTS</w:t>
      </w:r>
      <w:r w:rsidR="00096701">
        <w:rPr>
          <w:rFonts w:ascii="Times New Roman"/>
          <w:b/>
          <w:spacing w:val="21"/>
          <w:sz w:val="24"/>
          <w:szCs w:val="24"/>
        </w:rPr>
        <w:t xml:space="preserve"> &amp;</w:t>
      </w:r>
      <w:r w:rsidR="00096701" w:rsidRPr="00096701">
        <w:rPr>
          <w:rFonts w:ascii="Times New Roman" w:hAnsi="Times New Roman" w:cs="Times New Roman"/>
          <w:b/>
          <w:bCs/>
          <w:sz w:val="24"/>
          <w:szCs w:val="24"/>
        </w:rPr>
        <w:t xml:space="preserve"> </w:t>
      </w:r>
      <w:r w:rsidR="00096701">
        <w:rPr>
          <w:rFonts w:ascii="Times New Roman" w:hAnsi="Times New Roman" w:cs="Times New Roman"/>
          <w:b/>
          <w:bCs/>
          <w:sz w:val="24"/>
          <w:szCs w:val="24"/>
        </w:rPr>
        <w:t>DISCUSSION</w:t>
      </w:r>
    </w:p>
    <w:p w:rsidR="00F26026" w:rsidRDefault="00F26026" w:rsidP="00096701">
      <w:pPr>
        <w:pStyle w:val="NoSpacing"/>
        <w:spacing w:line="276" w:lineRule="auto"/>
        <w:ind w:left="-142"/>
        <w:rPr>
          <w:rFonts w:ascii="Times New Roman"/>
          <w:b/>
          <w:spacing w:val="21"/>
          <w:sz w:val="24"/>
          <w:szCs w:val="24"/>
        </w:rPr>
      </w:pPr>
    </w:p>
    <w:p w:rsidR="00F26026" w:rsidRDefault="002457E5">
      <w:pPr>
        <w:pStyle w:val="BodyText"/>
        <w:spacing w:line="276" w:lineRule="auto"/>
        <w:ind w:left="0" w:firstLine="0"/>
        <w:rPr>
          <w:rFonts w:ascii="Times New Roman" w:hAnsi="Times New Roman" w:cs="Times New Roman"/>
          <w:b/>
          <w:sz w:val="24"/>
          <w:szCs w:val="24"/>
        </w:rPr>
      </w:pPr>
      <w:r>
        <w:rPr>
          <w:rFonts w:ascii="Times New Roman" w:hAnsi="Times New Roman" w:cs="Times New Roman"/>
          <w:b/>
          <w:sz w:val="24"/>
          <w:szCs w:val="24"/>
        </w:rPr>
        <w:t>Table 1: Acute Toxicity (LD</w:t>
      </w:r>
      <w:r>
        <w:rPr>
          <w:rFonts w:ascii="Times New Roman" w:hAnsi="Times New Roman" w:cs="Times New Roman"/>
          <w:b/>
          <w:sz w:val="24"/>
          <w:szCs w:val="24"/>
          <w:vertAlign w:val="subscript"/>
        </w:rPr>
        <w:t>50</w:t>
      </w:r>
      <w:r>
        <w:rPr>
          <w:rFonts w:ascii="Times New Roman" w:hAnsi="Times New Roman" w:cs="Times New Roman"/>
          <w:b/>
          <w:sz w:val="24"/>
          <w:szCs w:val="24"/>
        </w:rPr>
        <w:t xml:space="preserve">) Evaluation of the </w:t>
      </w:r>
      <w:r>
        <w:rPr>
          <w:rFonts w:ascii="Times New Roman"/>
          <w:b/>
          <w:sz w:val="24"/>
          <w:szCs w:val="24"/>
        </w:rPr>
        <w:t>herbal cocktail</w:t>
      </w:r>
      <w:r>
        <w:rPr>
          <w:rFonts w:ascii="Times New Roman" w:hAnsi="Times New Roman" w:cs="Times New Roman"/>
          <w:b/>
          <w:sz w:val="24"/>
          <w:szCs w:val="24"/>
        </w:rPr>
        <w:t xml:space="preserve">s in Wistar rats Using </w:t>
      </w:r>
      <w:proofErr w:type="spellStart"/>
      <w:r>
        <w:rPr>
          <w:rFonts w:ascii="Times New Roman" w:hAnsi="Times New Roman" w:cs="Times New Roman"/>
          <w:b/>
          <w:sz w:val="24"/>
          <w:szCs w:val="24"/>
        </w:rPr>
        <w:t>Lorke’s</w:t>
      </w:r>
      <w:proofErr w:type="spellEnd"/>
      <w:r>
        <w:rPr>
          <w:rFonts w:ascii="Times New Roman" w:hAnsi="Times New Roman" w:cs="Times New Roman"/>
          <w:b/>
          <w:sz w:val="24"/>
          <w:szCs w:val="24"/>
        </w:rPr>
        <w:t xml:space="preserve"> Method</w:t>
      </w:r>
    </w:p>
    <w:p w:rsidR="00F26026" w:rsidRDefault="00F26026">
      <w:pPr>
        <w:pStyle w:val="BodyText"/>
        <w:spacing w:line="276" w:lineRule="auto"/>
        <w:ind w:left="0" w:firstLine="0"/>
        <w:rPr>
          <w:rFonts w:ascii="Times New Roman" w:hAnsi="Times New Roman" w:cs="Times New Roman"/>
          <w:b/>
          <w:sz w:val="8"/>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072"/>
        <w:gridCol w:w="1728"/>
        <w:gridCol w:w="1728"/>
        <w:gridCol w:w="1728"/>
      </w:tblGrid>
      <w:tr w:rsidR="00F26026">
        <w:trPr>
          <w:trHeight w:val="825"/>
        </w:trPr>
        <w:tc>
          <w:tcPr>
            <w:tcW w:w="1384" w:type="dxa"/>
            <w:tcBorders>
              <w:bottom w:val="single" w:sz="4" w:space="0" w:color="auto"/>
            </w:tcBorders>
          </w:tcPr>
          <w:p w:rsidR="00F26026" w:rsidRDefault="002457E5">
            <w:pPr>
              <w:spacing w:line="276" w:lineRule="auto"/>
              <w:rPr>
                <w:rFonts w:ascii="Times New Roman" w:hAnsi="Times New Roman"/>
                <w:sz w:val="24"/>
                <w:szCs w:val="24"/>
              </w:rPr>
            </w:pPr>
            <w:r>
              <w:rPr>
                <w:rFonts w:ascii="Times New Roman" w:hAnsi="Times New Roman"/>
                <w:sz w:val="24"/>
                <w:szCs w:val="24"/>
              </w:rPr>
              <w:t>Phase</w:t>
            </w:r>
          </w:p>
        </w:tc>
        <w:tc>
          <w:tcPr>
            <w:tcW w:w="2072" w:type="dxa"/>
            <w:tcBorders>
              <w:bottom w:val="single" w:sz="4" w:space="0" w:color="auto"/>
            </w:tcBorders>
          </w:tcPr>
          <w:p w:rsidR="00F26026" w:rsidRDefault="002457E5">
            <w:pPr>
              <w:spacing w:line="276" w:lineRule="auto"/>
              <w:rPr>
                <w:rFonts w:ascii="Times New Roman" w:hAnsi="Times New Roman"/>
                <w:sz w:val="24"/>
                <w:szCs w:val="24"/>
              </w:rPr>
            </w:pPr>
            <w:r>
              <w:rPr>
                <w:rFonts w:ascii="Times New Roman" w:hAnsi="Times New Roman"/>
                <w:sz w:val="24"/>
                <w:szCs w:val="24"/>
              </w:rPr>
              <w:t xml:space="preserve">Dose (mg/kg </w:t>
            </w:r>
            <w:proofErr w:type="spellStart"/>
            <w:r>
              <w:rPr>
                <w:rFonts w:ascii="Times New Roman" w:hAnsi="Times New Roman"/>
                <w:sz w:val="24"/>
                <w:szCs w:val="24"/>
              </w:rPr>
              <w:t>bw</w:t>
            </w:r>
            <w:proofErr w:type="spellEnd"/>
            <w:r>
              <w:rPr>
                <w:rFonts w:ascii="Times New Roman" w:hAnsi="Times New Roman"/>
                <w:sz w:val="24"/>
                <w:szCs w:val="24"/>
              </w:rPr>
              <w:t>)</w:t>
            </w:r>
          </w:p>
        </w:tc>
        <w:tc>
          <w:tcPr>
            <w:tcW w:w="1728" w:type="dxa"/>
            <w:tcBorders>
              <w:bottom w:val="single" w:sz="4" w:space="0" w:color="auto"/>
            </w:tcBorders>
          </w:tcPr>
          <w:p w:rsidR="00F26026" w:rsidRDefault="002457E5">
            <w:pPr>
              <w:spacing w:line="276" w:lineRule="auto"/>
              <w:rPr>
                <w:rFonts w:ascii="Times New Roman" w:hAnsi="Times New Roman"/>
                <w:sz w:val="24"/>
                <w:szCs w:val="24"/>
              </w:rPr>
            </w:pPr>
            <w:r>
              <w:rPr>
                <w:rFonts w:ascii="Times New Roman" w:hAnsi="Times New Roman"/>
                <w:sz w:val="24"/>
                <w:szCs w:val="24"/>
              </w:rPr>
              <w:t>Number of Rats</w:t>
            </w:r>
          </w:p>
        </w:tc>
        <w:tc>
          <w:tcPr>
            <w:tcW w:w="1728" w:type="dxa"/>
            <w:tcBorders>
              <w:bottom w:val="single" w:sz="4" w:space="0" w:color="auto"/>
            </w:tcBorders>
          </w:tcPr>
          <w:p w:rsidR="00F26026" w:rsidRDefault="002457E5">
            <w:pPr>
              <w:spacing w:line="276" w:lineRule="auto"/>
              <w:rPr>
                <w:rFonts w:ascii="Times New Roman" w:hAnsi="Times New Roman"/>
                <w:sz w:val="24"/>
                <w:szCs w:val="24"/>
              </w:rPr>
            </w:pPr>
            <w:r>
              <w:rPr>
                <w:rFonts w:ascii="Times New Roman" w:hAnsi="Times New Roman"/>
                <w:sz w:val="24"/>
                <w:szCs w:val="24"/>
              </w:rPr>
              <w:t>Number of Deaths</w:t>
            </w:r>
          </w:p>
        </w:tc>
        <w:tc>
          <w:tcPr>
            <w:tcW w:w="1728" w:type="dxa"/>
            <w:tcBorders>
              <w:bottom w:val="single" w:sz="4" w:space="0" w:color="auto"/>
            </w:tcBorders>
          </w:tcPr>
          <w:p w:rsidR="00F26026" w:rsidRDefault="002457E5">
            <w:pPr>
              <w:spacing w:line="276" w:lineRule="auto"/>
              <w:rPr>
                <w:rFonts w:ascii="Times New Roman" w:hAnsi="Times New Roman"/>
                <w:sz w:val="24"/>
                <w:szCs w:val="24"/>
              </w:rPr>
            </w:pPr>
            <w:r>
              <w:rPr>
                <w:rFonts w:ascii="Times New Roman" w:hAnsi="Times New Roman"/>
                <w:sz w:val="24"/>
                <w:szCs w:val="24"/>
              </w:rPr>
              <w:t>Observed Signs of Toxicity</w:t>
            </w:r>
          </w:p>
        </w:tc>
      </w:tr>
      <w:tr w:rsidR="00F26026">
        <w:tc>
          <w:tcPr>
            <w:tcW w:w="1384" w:type="dxa"/>
            <w:tcBorders>
              <w:top w:val="single" w:sz="4" w:space="0" w:color="auto"/>
            </w:tcBorders>
          </w:tcPr>
          <w:p w:rsidR="00F26026" w:rsidRDefault="00F26026">
            <w:pPr>
              <w:spacing w:line="276" w:lineRule="auto"/>
              <w:rPr>
                <w:rFonts w:ascii="Times New Roman" w:hAnsi="Times New Roman"/>
                <w:sz w:val="24"/>
                <w:szCs w:val="24"/>
              </w:rPr>
            </w:pPr>
          </w:p>
        </w:tc>
        <w:tc>
          <w:tcPr>
            <w:tcW w:w="2072" w:type="dxa"/>
            <w:tcBorders>
              <w:top w:val="single" w:sz="4" w:space="0" w:color="auto"/>
            </w:tcBorders>
          </w:tcPr>
          <w:p w:rsidR="00F26026" w:rsidRDefault="00F26026">
            <w:pPr>
              <w:spacing w:line="276" w:lineRule="auto"/>
              <w:rPr>
                <w:rFonts w:ascii="Times New Roman" w:hAnsi="Times New Roman"/>
                <w:sz w:val="24"/>
                <w:szCs w:val="24"/>
              </w:rPr>
            </w:pPr>
          </w:p>
        </w:tc>
        <w:tc>
          <w:tcPr>
            <w:tcW w:w="1728" w:type="dxa"/>
            <w:tcBorders>
              <w:top w:val="single" w:sz="4" w:space="0" w:color="auto"/>
            </w:tcBorders>
          </w:tcPr>
          <w:p w:rsidR="00F26026" w:rsidRDefault="00F26026">
            <w:pPr>
              <w:spacing w:line="276" w:lineRule="auto"/>
              <w:rPr>
                <w:rFonts w:ascii="Times New Roman" w:hAnsi="Times New Roman"/>
                <w:sz w:val="24"/>
                <w:szCs w:val="24"/>
              </w:rPr>
            </w:pPr>
          </w:p>
        </w:tc>
        <w:tc>
          <w:tcPr>
            <w:tcW w:w="1728" w:type="dxa"/>
            <w:tcBorders>
              <w:top w:val="single" w:sz="4" w:space="0" w:color="auto"/>
            </w:tcBorders>
          </w:tcPr>
          <w:p w:rsidR="00F26026" w:rsidRDefault="00F26026">
            <w:pPr>
              <w:spacing w:line="276" w:lineRule="auto"/>
              <w:rPr>
                <w:rFonts w:ascii="Times New Roman" w:hAnsi="Times New Roman"/>
                <w:sz w:val="24"/>
                <w:szCs w:val="24"/>
              </w:rPr>
            </w:pPr>
          </w:p>
        </w:tc>
        <w:tc>
          <w:tcPr>
            <w:tcW w:w="1728" w:type="dxa"/>
            <w:tcBorders>
              <w:top w:val="single" w:sz="4" w:space="0" w:color="auto"/>
            </w:tcBorders>
          </w:tcPr>
          <w:p w:rsidR="00F26026" w:rsidRDefault="00F26026">
            <w:pPr>
              <w:spacing w:line="276" w:lineRule="auto"/>
              <w:rPr>
                <w:rFonts w:ascii="Times New Roman" w:hAnsi="Times New Roman"/>
                <w:sz w:val="24"/>
                <w:szCs w:val="24"/>
              </w:rPr>
            </w:pPr>
          </w:p>
        </w:tc>
      </w:tr>
      <w:tr w:rsidR="00F26026">
        <w:tc>
          <w:tcPr>
            <w:tcW w:w="1384" w:type="dxa"/>
          </w:tcPr>
          <w:p w:rsidR="00F26026" w:rsidRDefault="002457E5">
            <w:pPr>
              <w:spacing w:line="276" w:lineRule="auto"/>
              <w:rPr>
                <w:rFonts w:ascii="Times New Roman" w:hAnsi="Times New Roman"/>
                <w:sz w:val="24"/>
                <w:szCs w:val="24"/>
              </w:rPr>
            </w:pPr>
            <w:r>
              <w:rPr>
                <w:rFonts w:ascii="Times New Roman" w:hAnsi="Times New Roman"/>
                <w:sz w:val="24"/>
                <w:szCs w:val="24"/>
              </w:rPr>
              <w:t>Phase I</w:t>
            </w:r>
          </w:p>
        </w:tc>
        <w:tc>
          <w:tcPr>
            <w:tcW w:w="2072" w:type="dxa"/>
          </w:tcPr>
          <w:p w:rsidR="00F26026" w:rsidRDefault="002457E5">
            <w:pPr>
              <w:spacing w:line="276" w:lineRule="auto"/>
              <w:rPr>
                <w:rFonts w:ascii="Times New Roman" w:hAnsi="Times New Roman"/>
                <w:sz w:val="24"/>
                <w:szCs w:val="24"/>
              </w:rPr>
            </w:pPr>
            <w:r>
              <w:rPr>
                <w:rFonts w:ascii="Times New Roman" w:hAnsi="Times New Roman"/>
                <w:sz w:val="24"/>
                <w:szCs w:val="24"/>
              </w:rPr>
              <w:t>10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3</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None observed</w:t>
            </w:r>
          </w:p>
        </w:tc>
      </w:tr>
      <w:tr w:rsidR="00F26026">
        <w:tc>
          <w:tcPr>
            <w:tcW w:w="1384" w:type="dxa"/>
          </w:tcPr>
          <w:p w:rsidR="00F26026" w:rsidRDefault="00F26026">
            <w:pPr>
              <w:spacing w:line="276" w:lineRule="auto"/>
              <w:rPr>
                <w:rFonts w:ascii="Times New Roman" w:hAnsi="Times New Roman"/>
                <w:sz w:val="24"/>
                <w:szCs w:val="24"/>
              </w:rPr>
            </w:pPr>
          </w:p>
        </w:tc>
        <w:tc>
          <w:tcPr>
            <w:tcW w:w="2072" w:type="dxa"/>
          </w:tcPr>
          <w:p w:rsidR="00F26026" w:rsidRDefault="002457E5">
            <w:pPr>
              <w:spacing w:line="276" w:lineRule="auto"/>
              <w:rPr>
                <w:rFonts w:ascii="Times New Roman" w:hAnsi="Times New Roman"/>
                <w:sz w:val="24"/>
                <w:szCs w:val="24"/>
              </w:rPr>
            </w:pPr>
            <w:r>
              <w:rPr>
                <w:rFonts w:ascii="Times New Roman" w:hAnsi="Times New Roman"/>
                <w:sz w:val="24"/>
                <w:szCs w:val="24"/>
              </w:rPr>
              <w:t>100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3</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None observed</w:t>
            </w:r>
          </w:p>
        </w:tc>
      </w:tr>
      <w:tr w:rsidR="00F26026">
        <w:tc>
          <w:tcPr>
            <w:tcW w:w="1384" w:type="dxa"/>
          </w:tcPr>
          <w:p w:rsidR="00F26026" w:rsidRDefault="00F26026">
            <w:pPr>
              <w:spacing w:line="276" w:lineRule="auto"/>
              <w:rPr>
                <w:rFonts w:ascii="Times New Roman" w:hAnsi="Times New Roman"/>
                <w:sz w:val="24"/>
                <w:szCs w:val="24"/>
              </w:rPr>
            </w:pPr>
          </w:p>
        </w:tc>
        <w:tc>
          <w:tcPr>
            <w:tcW w:w="2072" w:type="dxa"/>
          </w:tcPr>
          <w:p w:rsidR="00F26026" w:rsidRDefault="002457E5">
            <w:pPr>
              <w:spacing w:line="276" w:lineRule="auto"/>
              <w:rPr>
                <w:rFonts w:ascii="Times New Roman" w:hAnsi="Times New Roman"/>
                <w:sz w:val="24"/>
                <w:szCs w:val="24"/>
              </w:rPr>
            </w:pPr>
            <w:r>
              <w:rPr>
                <w:rFonts w:ascii="Times New Roman" w:hAnsi="Times New Roman"/>
                <w:sz w:val="24"/>
                <w:szCs w:val="24"/>
              </w:rPr>
              <w:t>1000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3</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None observed</w:t>
            </w:r>
          </w:p>
        </w:tc>
      </w:tr>
      <w:tr w:rsidR="00F26026">
        <w:tc>
          <w:tcPr>
            <w:tcW w:w="1384" w:type="dxa"/>
          </w:tcPr>
          <w:p w:rsidR="00F26026" w:rsidRDefault="002457E5">
            <w:pPr>
              <w:spacing w:line="276" w:lineRule="auto"/>
              <w:rPr>
                <w:rFonts w:ascii="Times New Roman" w:hAnsi="Times New Roman"/>
                <w:sz w:val="24"/>
                <w:szCs w:val="24"/>
              </w:rPr>
            </w:pPr>
            <w:r>
              <w:rPr>
                <w:rFonts w:ascii="Times New Roman" w:hAnsi="Times New Roman"/>
                <w:sz w:val="24"/>
                <w:szCs w:val="24"/>
              </w:rPr>
              <w:t>Phase II</w:t>
            </w:r>
          </w:p>
        </w:tc>
        <w:tc>
          <w:tcPr>
            <w:tcW w:w="2072" w:type="dxa"/>
          </w:tcPr>
          <w:p w:rsidR="00F26026" w:rsidRDefault="002457E5">
            <w:pPr>
              <w:spacing w:line="276" w:lineRule="auto"/>
              <w:rPr>
                <w:rFonts w:ascii="Times New Roman" w:hAnsi="Times New Roman"/>
                <w:sz w:val="24"/>
                <w:szCs w:val="24"/>
              </w:rPr>
            </w:pPr>
            <w:r>
              <w:rPr>
                <w:rFonts w:ascii="Times New Roman" w:hAnsi="Times New Roman"/>
                <w:sz w:val="24"/>
                <w:szCs w:val="24"/>
              </w:rPr>
              <w:t>2600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1</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None observed</w:t>
            </w:r>
          </w:p>
        </w:tc>
      </w:tr>
      <w:tr w:rsidR="00F26026">
        <w:tc>
          <w:tcPr>
            <w:tcW w:w="1384" w:type="dxa"/>
          </w:tcPr>
          <w:p w:rsidR="00F26026" w:rsidRDefault="00F26026">
            <w:pPr>
              <w:spacing w:line="276" w:lineRule="auto"/>
              <w:rPr>
                <w:rFonts w:ascii="Times New Roman" w:hAnsi="Times New Roman"/>
                <w:sz w:val="24"/>
                <w:szCs w:val="24"/>
              </w:rPr>
            </w:pPr>
          </w:p>
        </w:tc>
        <w:tc>
          <w:tcPr>
            <w:tcW w:w="2072" w:type="dxa"/>
          </w:tcPr>
          <w:p w:rsidR="00F26026" w:rsidRDefault="002457E5">
            <w:pPr>
              <w:spacing w:line="276" w:lineRule="auto"/>
              <w:rPr>
                <w:rFonts w:ascii="Times New Roman" w:hAnsi="Times New Roman"/>
                <w:sz w:val="24"/>
                <w:szCs w:val="24"/>
              </w:rPr>
            </w:pPr>
            <w:r>
              <w:rPr>
                <w:rFonts w:ascii="Times New Roman" w:hAnsi="Times New Roman"/>
                <w:sz w:val="24"/>
                <w:szCs w:val="24"/>
              </w:rPr>
              <w:t>3900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1</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None observed</w:t>
            </w:r>
          </w:p>
        </w:tc>
      </w:tr>
      <w:tr w:rsidR="00F26026">
        <w:tc>
          <w:tcPr>
            <w:tcW w:w="1384" w:type="dxa"/>
          </w:tcPr>
          <w:p w:rsidR="00F26026" w:rsidRDefault="00F26026">
            <w:pPr>
              <w:spacing w:line="276" w:lineRule="auto"/>
              <w:rPr>
                <w:rFonts w:ascii="Times New Roman" w:hAnsi="Times New Roman"/>
                <w:sz w:val="24"/>
                <w:szCs w:val="24"/>
              </w:rPr>
            </w:pPr>
          </w:p>
        </w:tc>
        <w:tc>
          <w:tcPr>
            <w:tcW w:w="2072" w:type="dxa"/>
          </w:tcPr>
          <w:p w:rsidR="00F26026" w:rsidRDefault="002457E5">
            <w:pPr>
              <w:spacing w:line="276" w:lineRule="auto"/>
              <w:rPr>
                <w:rFonts w:ascii="Times New Roman" w:hAnsi="Times New Roman"/>
                <w:sz w:val="24"/>
                <w:szCs w:val="24"/>
              </w:rPr>
            </w:pPr>
            <w:r>
              <w:rPr>
                <w:rFonts w:ascii="Times New Roman" w:hAnsi="Times New Roman"/>
                <w:sz w:val="24"/>
                <w:szCs w:val="24"/>
              </w:rPr>
              <w:t>5000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1</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0</w:t>
            </w:r>
          </w:p>
        </w:tc>
        <w:tc>
          <w:tcPr>
            <w:tcW w:w="1728" w:type="dxa"/>
          </w:tcPr>
          <w:p w:rsidR="00F26026" w:rsidRDefault="002457E5">
            <w:pPr>
              <w:spacing w:line="276" w:lineRule="auto"/>
              <w:rPr>
                <w:rFonts w:ascii="Times New Roman" w:hAnsi="Times New Roman"/>
                <w:sz w:val="24"/>
                <w:szCs w:val="24"/>
              </w:rPr>
            </w:pPr>
            <w:r>
              <w:rPr>
                <w:rFonts w:ascii="Times New Roman" w:hAnsi="Times New Roman"/>
                <w:sz w:val="24"/>
                <w:szCs w:val="24"/>
              </w:rPr>
              <w:t>None observed</w:t>
            </w:r>
          </w:p>
        </w:tc>
      </w:tr>
    </w:tbl>
    <w:p w:rsidR="00F26026" w:rsidRDefault="002457E5">
      <w:pPr>
        <w:spacing w:line="276" w:lineRule="auto"/>
        <w:rPr>
          <w:rFonts w:ascii="Times New Roman" w:hAnsi="Times New Roman" w:cs="Times New Roman"/>
          <w:sz w:val="24"/>
          <w:szCs w:val="24"/>
        </w:rPr>
      </w:pPr>
      <w:r>
        <w:rPr>
          <w:rFonts w:ascii="Times New Roman" w:hAnsi="Times New Roman" w:cs="Times New Roman"/>
          <w:sz w:val="24"/>
          <w:szCs w:val="24"/>
        </w:rPr>
        <w:t>*No mortality or adverse clinical signs were observed in any of the animals at all tested doses.</w:t>
      </w:r>
    </w:p>
    <w:p w:rsidR="00F26026" w:rsidRDefault="00F26026">
      <w:pPr>
        <w:spacing w:line="276" w:lineRule="auto"/>
        <w:rPr>
          <w:rFonts w:ascii="Times New Roman" w:hAnsi="Times New Roman" w:cs="Times New Roman"/>
          <w:sz w:val="24"/>
          <w:szCs w:val="24"/>
        </w:rPr>
      </w:pPr>
    </w:p>
    <w:p w:rsidR="00F26026" w:rsidRDefault="00F26026">
      <w:pPr>
        <w:spacing w:line="276" w:lineRule="auto"/>
        <w:rPr>
          <w:rFonts w:ascii="Times New Roman" w:hAnsi="Times New Roman" w:cs="Times New Roman"/>
          <w:sz w:val="24"/>
          <w:szCs w:val="24"/>
        </w:rPr>
      </w:pPr>
    </w:p>
    <w:p w:rsidR="00F26026" w:rsidRDefault="00F26026">
      <w:pPr>
        <w:spacing w:line="276" w:lineRule="auto"/>
        <w:rPr>
          <w:rFonts w:ascii="Times New Roman" w:hAnsi="Times New Roman" w:cs="Times New Roman"/>
          <w:sz w:val="24"/>
          <w:szCs w:val="24"/>
        </w:rPr>
      </w:pPr>
    </w:p>
    <w:p w:rsidR="00F26026" w:rsidRDefault="00F26026">
      <w:pPr>
        <w:tabs>
          <w:tab w:val="left" w:pos="9356"/>
        </w:tabs>
        <w:spacing w:line="276" w:lineRule="auto"/>
        <w:rPr>
          <w:rFonts w:ascii="Times New Roman" w:hAnsi="Times New Roman" w:cs="Times New Roman"/>
          <w:b/>
          <w:bCs/>
          <w:sz w:val="24"/>
          <w:szCs w:val="24"/>
        </w:rPr>
      </w:pPr>
    </w:p>
    <w:p w:rsidR="00F26026" w:rsidRDefault="002457E5">
      <w:pPr>
        <w:tabs>
          <w:tab w:val="left" w:pos="9356"/>
        </w:tabs>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2: Hormonal parameters of Wistar rats administered low and high doses of the herbal cocktails</w:t>
      </w:r>
    </w:p>
    <w:p w:rsidR="00F26026" w:rsidRDefault="00F26026">
      <w:pPr>
        <w:tabs>
          <w:tab w:val="left" w:pos="9356"/>
        </w:tabs>
        <w:spacing w:line="276" w:lineRule="auto"/>
        <w:rPr>
          <w:rFonts w:ascii="Times New Roman" w:hAnsi="Times New Roman" w:cs="Times New Roman"/>
          <w:b/>
          <w:bCs/>
          <w:sz w:val="24"/>
          <w:szCs w:val="24"/>
        </w:rPr>
      </w:pPr>
    </w:p>
    <w:tbl>
      <w:tblPr>
        <w:tblpPr w:leftFromText="180" w:rightFromText="180" w:vertAnchor="text" w:horzAnchor="margin" w:tblpY="-418"/>
        <w:tblW w:w="5528" w:type="pct"/>
        <w:tblBorders>
          <w:top w:val="single" w:sz="4" w:space="0" w:color="auto"/>
          <w:bottom w:val="single" w:sz="4" w:space="0" w:color="auto"/>
          <w:insideH w:val="single" w:sz="8" w:space="0" w:color="000000"/>
        </w:tblBorders>
        <w:tblLayout w:type="fixed"/>
        <w:tblCellMar>
          <w:left w:w="0" w:type="dxa"/>
          <w:right w:w="0" w:type="dxa"/>
        </w:tblCellMar>
        <w:tblLook w:val="04A0" w:firstRow="1" w:lastRow="0" w:firstColumn="1" w:lastColumn="0" w:noHBand="0" w:noVBand="1"/>
      </w:tblPr>
      <w:tblGrid>
        <w:gridCol w:w="1988"/>
        <w:gridCol w:w="1561"/>
        <w:gridCol w:w="143"/>
        <w:gridCol w:w="1416"/>
        <w:gridCol w:w="1699"/>
        <w:gridCol w:w="1558"/>
        <w:gridCol w:w="1983"/>
      </w:tblGrid>
      <w:tr w:rsidR="00F26026">
        <w:trPr>
          <w:trHeight w:val="968"/>
        </w:trPr>
        <w:tc>
          <w:tcPr>
            <w:tcW w:w="960"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Parameters</w:t>
            </w:r>
          </w:p>
          <w:p w:rsidR="00F26026" w:rsidRDefault="00F26026">
            <w:pPr>
              <w:spacing w:after="0" w:line="276" w:lineRule="auto"/>
              <w:rPr>
                <w:rFonts w:ascii="Times New Roman" w:hAnsi="Times New Roman" w:cs="Times New Roman"/>
                <w:b/>
                <w:bCs/>
                <w:sz w:val="24"/>
                <w:szCs w:val="24"/>
              </w:rPr>
            </w:pPr>
          </w:p>
          <w:p w:rsidR="00F26026" w:rsidRDefault="002457E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Groups</w:t>
            </w:r>
          </w:p>
        </w:tc>
        <w:tc>
          <w:tcPr>
            <w:tcW w:w="754"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b/>
                <w:bCs/>
                <w:sz w:val="24"/>
                <w:szCs w:val="24"/>
              </w:rPr>
              <w:t>Luteinizing Hormone</w:t>
            </w: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mIU</w:t>
            </w:r>
            <w:proofErr w:type="spellEnd"/>
            <w:r>
              <w:rPr>
                <w:rFonts w:ascii="Times New Roman" w:hAnsi="Times New Roman" w:cs="Times New Roman"/>
                <w:b/>
                <w:bCs/>
                <w:sz w:val="24"/>
                <w:szCs w:val="24"/>
              </w:rPr>
              <w:t>/ml)</w:t>
            </w:r>
          </w:p>
        </w:tc>
        <w:tc>
          <w:tcPr>
            <w:tcW w:w="753" w:type="pct"/>
            <w:gridSpan w:val="2"/>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b/>
                <w:bCs/>
                <w:sz w:val="24"/>
                <w:szCs w:val="24"/>
              </w:rPr>
              <w:t>Follicle- Stimulating Hormone</w:t>
            </w: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mIU</w:t>
            </w:r>
            <w:proofErr w:type="spellEnd"/>
            <w:r>
              <w:rPr>
                <w:rFonts w:ascii="Times New Roman" w:hAnsi="Times New Roman" w:cs="Times New Roman"/>
                <w:b/>
                <w:bCs/>
                <w:sz w:val="24"/>
                <w:szCs w:val="24"/>
              </w:rPr>
              <w:t>/ml)</w:t>
            </w:r>
          </w:p>
        </w:tc>
        <w:tc>
          <w:tcPr>
            <w:tcW w:w="821"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b/>
                <w:bCs/>
                <w:sz w:val="24"/>
                <w:szCs w:val="24"/>
              </w:rPr>
              <w:t>Progesterone</w:t>
            </w:r>
          </w:p>
          <w:p w:rsidR="00F26026" w:rsidRDefault="002457E5">
            <w:pPr>
              <w:spacing w:after="0" w:line="276" w:lineRule="auto"/>
              <w:rPr>
                <w:rFonts w:ascii="Times New Roman" w:hAnsi="Times New Roman" w:cs="Times New Roman"/>
                <w:sz w:val="24"/>
                <w:szCs w:val="24"/>
              </w:rPr>
            </w:pPr>
            <w:proofErr w:type="gramStart"/>
            <w:r>
              <w:rPr>
                <w:rFonts w:ascii="Times New Roman" w:hAnsi="Times New Roman" w:cs="Times New Roman"/>
                <w:b/>
                <w:bCs/>
                <w:sz w:val="24"/>
                <w:szCs w:val="24"/>
              </w:rPr>
              <w:t>( ng</w:t>
            </w:r>
            <w:proofErr w:type="gramEnd"/>
            <w:r>
              <w:rPr>
                <w:rFonts w:ascii="Times New Roman" w:hAnsi="Times New Roman" w:cs="Times New Roman"/>
                <w:b/>
                <w:bCs/>
                <w:sz w:val="24"/>
                <w:szCs w:val="24"/>
              </w:rPr>
              <w:t>/ml)</w:t>
            </w:r>
          </w:p>
        </w:tc>
        <w:tc>
          <w:tcPr>
            <w:tcW w:w="753"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b/>
                <w:bCs/>
                <w:sz w:val="24"/>
                <w:szCs w:val="24"/>
              </w:rPr>
              <w:t>Testosterone</w:t>
            </w: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b/>
                <w:bCs/>
                <w:sz w:val="24"/>
                <w:szCs w:val="24"/>
              </w:rPr>
              <w:t>(ng/ml)</w:t>
            </w:r>
          </w:p>
        </w:tc>
        <w:tc>
          <w:tcPr>
            <w:tcW w:w="958"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b/>
                <w:sz w:val="24"/>
                <w:szCs w:val="24"/>
              </w:rPr>
              <w:t>ESTROGEN</w:t>
            </w:r>
            <w:r>
              <w:rPr>
                <w:rFonts w:ascii="Times New Roman" w:hAnsi="Times New Roman" w:cs="Times New Roman"/>
                <w:b/>
                <w:bCs/>
                <w:sz w:val="24"/>
                <w:szCs w:val="24"/>
              </w:rPr>
              <w:t xml:space="preserve"> E2 (</w:t>
            </w:r>
            <w:proofErr w:type="spellStart"/>
            <w:r>
              <w:rPr>
                <w:rFonts w:ascii="Times New Roman" w:hAnsi="Times New Roman" w:cs="Times New Roman"/>
                <w:b/>
                <w:bCs/>
                <w:sz w:val="24"/>
                <w:szCs w:val="24"/>
              </w:rPr>
              <w:t>Estradiol</w:t>
            </w:r>
            <w:proofErr w:type="spellEnd"/>
            <w:r>
              <w:rPr>
                <w:rFonts w:ascii="Times New Roman" w:hAnsi="Times New Roman" w:cs="Times New Roman"/>
                <w:b/>
                <w:bCs/>
                <w:sz w:val="24"/>
                <w:szCs w:val="24"/>
              </w:rPr>
              <w:t>)</w:t>
            </w:r>
          </w:p>
          <w:p w:rsidR="00F26026" w:rsidRDefault="002457E5">
            <w:pPr>
              <w:spacing w:after="0" w:line="276" w:lineRule="auto"/>
              <w:rPr>
                <w:rFonts w:ascii="Times New Roman" w:hAnsi="Times New Roman" w:cs="Times New Roman"/>
                <w:sz w:val="24"/>
                <w:szCs w:val="24"/>
              </w:rPr>
            </w:pPr>
            <w:proofErr w:type="gramStart"/>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pg</w:t>
            </w:r>
            <w:proofErr w:type="spellEnd"/>
            <w:proofErr w:type="gramEnd"/>
            <w:r>
              <w:rPr>
                <w:rFonts w:ascii="Times New Roman" w:hAnsi="Times New Roman" w:cs="Times New Roman"/>
                <w:b/>
                <w:bCs/>
                <w:sz w:val="24"/>
                <w:szCs w:val="24"/>
              </w:rPr>
              <w:t>/ml)</w:t>
            </w:r>
          </w:p>
        </w:tc>
      </w:tr>
      <w:tr w:rsidR="00F26026">
        <w:trPr>
          <w:trHeight w:val="978"/>
        </w:trPr>
        <w:tc>
          <w:tcPr>
            <w:tcW w:w="960"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bCs/>
                <w:sz w:val="24"/>
                <w:szCs w:val="24"/>
              </w:rPr>
            </w:pPr>
            <w:r>
              <w:rPr>
                <w:rFonts w:ascii="Times New Roman" w:hAnsi="Times New Roman" w:cs="Times New Roman"/>
                <w:bCs/>
                <w:sz w:val="24"/>
                <w:szCs w:val="24"/>
              </w:rPr>
              <w:t>A</w:t>
            </w:r>
          </w:p>
          <w:p w:rsidR="00F26026" w:rsidRDefault="00F26026">
            <w:pPr>
              <w:spacing w:after="0" w:line="276" w:lineRule="auto"/>
              <w:rPr>
                <w:rFonts w:ascii="Times New Roman" w:hAnsi="Times New Roman" w:cs="Times New Roman"/>
                <w:bCs/>
                <w:sz w:val="24"/>
                <w:szCs w:val="24"/>
              </w:rPr>
            </w:pPr>
          </w:p>
          <w:p w:rsidR="00F26026" w:rsidRDefault="002457E5">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BL</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(500mg/kg)</w:t>
            </w:r>
          </w:p>
          <w:p w:rsidR="00F26026" w:rsidRDefault="00F26026">
            <w:pPr>
              <w:spacing w:after="0" w:line="276" w:lineRule="auto"/>
              <w:rPr>
                <w:rFonts w:ascii="Times New Roman" w:hAnsi="Times New Roman" w:cs="Times New Roman"/>
                <w:bCs/>
                <w:sz w:val="24"/>
                <w:szCs w:val="24"/>
              </w:rPr>
            </w:pPr>
          </w:p>
          <w:p w:rsidR="00F26026" w:rsidRDefault="002457E5">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BH</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(1500mg/kg)</w:t>
            </w:r>
          </w:p>
          <w:p w:rsidR="00F26026" w:rsidRDefault="00F26026">
            <w:pPr>
              <w:spacing w:after="0" w:line="276" w:lineRule="auto"/>
              <w:rPr>
                <w:rFonts w:ascii="Times New Roman" w:hAnsi="Times New Roman" w:cs="Times New Roman"/>
                <w:bCs/>
                <w:sz w:val="24"/>
                <w:szCs w:val="24"/>
              </w:rPr>
            </w:pPr>
          </w:p>
          <w:p w:rsidR="00F26026" w:rsidRDefault="002457E5">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CL</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(500mg/kg)</w:t>
            </w:r>
          </w:p>
          <w:p w:rsidR="00F26026" w:rsidRDefault="00F26026">
            <w:pPr>
              <w:spacing w:after="0" w:line="276" w:lineRule="auto"/>
              <w:rPr>
                <w:rFonts w:ascii="Times New Roman" w:hAnsi="Times New Roman" w:cs="Times New Roman"/>
                <w:bCs/>
                <w:sz w:val="24"/>
                <w:szCs w:val="24"/>
              </w:rPr>
            </w:pPr>
          </w:p>
          <w:p w:rsidR="00F26026" w:rsidRDefault="002457E5">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CH</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(1500mg/kg)</w:t>
            </w:r>
          </w:p>
          <w:p w:rsidR="00F26026" w:rsidRDefault="00F26026">
            <w:pPr>
              <w:spacing w:after="0" w:line="276" w:lineRule="auto"/>
              <w:rPr>
                <w:rFonts w:ascii="Times New Roman" w:hAnsi="Times New Roman" w:cs="Times New Roman"/>
                <w:bCs/>
                <w:sz w:val="24"/>
                <w:szCs w:val="24"/>
              </w:rPr>
            </w:pPr>
          </w:p>
          <w:p w:rsidR="00F26026" w:rsidRDefault="002457E5">
            <w:pPr>
              <w:spacing w:after="0" w:line="276" w:lineRule="auto"/>
              <w:rPr>
                <w:rFonts w:ascii="Times New Roman" w:hAnsi="Times New Roman" w:cs="Times New Roman"/>
                <w:bCs/>
                <w:sz w:val="24"/>
                <w:szCs w:val="24"/>
                <w:lang w:val="en-US"/>
              </w:rPr>
            </w:pPr>
            <w:proofErr w:type="gramStart"/>
            <w:r>
              <w:rPr>
                <w:rFonts w:ascii="Times New Roman" w:hAnsi="Times New Roman" w:cs="Times New Roman"/>
                <w:bCs/>
                <w:sz w:val="24"/>
                <w:szCs w:val="24"/>
              </w:rPr>
              <w:t>DL</w:t>
            </w:r>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500mg/kg)</w:t>
            </w:r>
          </w:p>
          <w:p w:rsidR="00F26026" w:rsidRDefault="00F26026">
            <w:pPr>
              <w:spacing w:after="0" w:line="276" w:lineRule="auto"/>
              <w:rPr>
                <w:rFonts w:ascii="Times New Roman" w:hAnsi="Times New Roman" w:cs="Times New Roman"/>
                <w:bCs/>
                <w:sz w:val="24"/>
                <w:szCs w:val="24"/>
              </w:rPr>
            </w:pPr>
          </w:p>
          <w:p w:rsidR="00F26026" w:rsidRDefault="002457E5">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DH</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(1500mg/kg)</w:t>
            </w:r>
          </w:p>
          <w:p w:rsidR="00F26026" w:rsidRDefault="00F26026">
            <w:pPr>
              <w:spacing w:after="0" w:line="276" w:lineRule="auto"/>
              <w:rPr>
                <w:rFonts w:ascii="Times New Roman" w:hAnsi="Times New Roman" w:cs="Times New Roman"/>
                <w:bCs/>
                <w:sz w:val="24"/>
                <w:szCs w:val="24"/>
              </w:rPr>
            </w:pPr>
          </w:p>
        </w:tc>
        <w:tc>
          <w:tcPr>
            <w:tcW w:w="823" w:type="pct"/>
            <w:gridSpan w:val="2"/>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4.13±0.01</w:t>
            </w:r>
            <w:r>
              <w:rPr>
                <w:rFonts w:ascii="Times New Roman" w:hAnsi="Times New Roman" w:cs="Times New Roman"/>
                <w:sz w:val="24"/>
                <w:szCs w:val="24"/>
                <w:vertAlign w:val="superscript"/>
              </w:rPr>
              <w:t>c</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3.97±0.02</w:t>
            </w:r>
            <w:r>
              <w:rPr>
                <w:rFonts w:ascii="Times New Roman" w:hAnsi="Times New Roman" w:cs="Times New Roman"/>
                <w:sz w:val="24"/>
                <w:szCs w:val="24"/>
                <w:vertAlign w:val="superscript"/>
              </w:rPr>
              <w:t>b</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vertAlign w:val="superscript"/>
              </w:rPr>
            </w:pPr>
            <w:r>
              <w:rPr>
                <w:rFonts w:ascii="Times New Roman" w:hAnsi="Times New Roman" w:cs="Times New Roman"/>
                <w:sz w:val="24"/>
                <w:szCs w:val="24"/>
              </w:rPr>
              <w:t>3.86</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0</w:t>
            </w:r>
            <w:proofErr w:type="gramEnd"/>
            <w:r>
              <w:rPr>
                <w:rFonts w:ascii="Times New Roman" w:hAnsi="Times New Roman" w:cs="Times New Roman"/>
                <w:sz w:val="24"/>
                <w:szCs w:val="24"/>
              </w:rPr>
              <w:t>.01</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4.05±0.06</w:t>
            </w:r>
            <w:r>
              <w:rPr>
                <w:rFonts w:ascii="Times New Roman" w:hAnsi="Times New Roman" w:cs="Times New Roman"/>
                <w:sz w:val="24"/>
                <w:szCs w:val="24"/>
                <w:vertAlign w:val="superscript"/>
              </w:rPr>
              <w:t xml:space="preserve"> c</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5.95±0.02</w:t>
            </w:r>
            <w:r>
              <w:rPr>
                <w:rFonts w:ascii="Times New Roman" w:hAnsi="Times New Roman" w:cs="Times New Roman"/>
                <w:sz w:val="24"/>
                <w:szCs w:val="24"/>
                <w:vertAlign w:val="superscript"/>
              </w:rPr>
              <w:t xml:space="preserve"> e</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4.96±0.04</w:t>
            </w:r>
            <w:r>
              <w:rPr>
                <w:rFonts w:ascii="Times New Roman" w:hAnsi="Times New Roman" w:cs="Times New Roman"/>
                <w:sz w:val="24"/>
                <w:szCs w:val="24"/>
                <w:vertAlign w:val="superscript"/>
              </w:rPr>
              <w:t xml:space="preserve"> d</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4.84±0.03</w:t>
            </w:r>
            <w:r>
              <w:rPr>
                <w:rFonts w:ascii="Times New Roman" w:hAnsi="Times New Roman" w:cs="Times New Roman"/>
                <w:sz w:val="24"/>
                <w:szCs w:val="24"/>
                <w:vertAlign w:val="superscript"/>
              </w:rPr>
              <w:t xml:space="preserve">d  </w:t>
            </w:r>
          </w:p>
          <w:p w:rsidR="00F26026" w:rsidRDefault="00F26026">
            <w:pPr>
              <w:spacing w:after="0" w:line="276" w:lineRule="auto"/>
              <w:rPr>
                <w:rFonts w:ascii="Times New Roman" w:hAnsi="Times New Roman" w:cs="Times New Roman"/>
                <w:sz w:val="24"/>
                <w:szCs w:val="24"/>
              </w:rPr>
            </w:pPr>
          </w:p>
        </w:tc>
        <w:tc>
          <w:tcPr>
            <w:tcW w:w="684"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3.46±1.44</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1.89±0.71</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3.11±0.78</w:t>
            </w:r>
            <w:r>
              <w:rPr>
                <w:rFonts w:ascii="Times New Roman" w:hAnsi="Times New Roman" w:cs="Times New Roman"/>
                <w:sz w:val="24"/>
                <w:szCs w:val="24"/>
                <w:vertAlign w:val="superscript"/>
              </w:rPr>
              <w:t xml:space="preserve"> 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2.55±0.05</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3.92±0.71</w:t>
            </w:r>
            <w:r>
              <w:rPr>
                <w:rFonts w:ascii="Times New Roman" w:hAnsi="Times New Roman" w:cs="Times New Roman"/>
                <w:sz w:val="24"/>
                <w:szCs w:val="24"/>
                <w:vertAlign w:val="superscript"/>
              </w:rPr>
              <w:t xml:space="preserve"> 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b/>
                <w:sz w:val="24"/>
                <w:szCs w:val="24"/>
              </w:rPr>
            </w:pPr>
            <w:r>
              <w:rPr>
                <w:rFonts w:ascii="Times New Roman" w:hAnsi="Times New Roman" w:cs="Times New Roman"/>
                <w:sz w:val="24"/>
                <w:szCs w:val="24"/>
              </w:rPr>
              <w:t>2.53±0.14</w:t>
            </w:r>
            <w:r>
              <w:rPr>
                <w:rFonts w:ascii="Times New Roman" w:hAnsi="Times New Roman" w:cs="Times New Roman"/>
                <w:sz w:val="24"/>
                <w:szCs w:val="24"/>
                <w:vertAlign w:val="superscript"/>
              </w:rPr>
              <w:t xml:space="preserve"> 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2.48±0.14</w:t>
            </w:r>
            <w:r>
              <w:rPr>
                <w:rFonts w:ascii="Times New Roman" w:hAnsi="Times New Roman" w:cs="Times New Roman"/>
                <w:sz w:val="24"/>
                <w:szCs w:val="24"/>
                <w:vertAlign w:val="superscript"/>
              </w:rPr>
              <w:t xml:space="preserve"> a</w:t>
            </w:r>
          </w:p>
          <w:p w:rsidR="00F26026" w:rsidRDefault="00F26026">
            <w:pPr>
              <w:spacing w:after="0" w:line="276" w:lineRule="auto"/>
              <w:rPr>
                <w:rFonts w:ascii="Times New Roman" w:hAnsi="Times New Roman" w:cs="Times New Roman"/>
                <w:sz w:val="24"/>
                <w:szCs w:val="24"/>
              </w:rPr>
            </w:pPr>
          </w:p>
        </w:tc>
        <w:tc>
          <w:tcPr>
            <w:tcW w:w="821"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13.80±0.14</w:t>
            </w:r>
            <w:r>
              <w:rPr>
                <w:rFonts w:ascii="Times New Roman" w:hAnsi="Times New Roman" w:cs="Times New Roman"/>
                <w:sz w:val="24"/>
                <w:szCs w:val="24"/>
                <w:vertAlign w:val="superscript"/>
              </w:rPr>
              <w:t>c</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2.03±0.04</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1.98±0.03</w:t>
            </w:r>
            <w:r>
              <w:rPr>
                <w:rFonts w:ascii="Times New Roman" w:hAnsi="Times New Roman" w:cs="Times New Roman"/>
                <w:sz w:val="24"/>
                <w:szCs w:val="24"/>
                <w:vertAlign w:val="superscript"/>
              </w:rPr>
              <w:t xml:space="preserve"> 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17.60±0.28</w:t>
            </w:r>
            <w:r>
              <w:rPr>
                <w:rFonts w:ascii="Times New Roman" w:hAnsi="Times New Roman" w:cs="Times New Roman"/>
                <w:sz w:val="24"/>
                <w:szCs w:val="24"/>
                <w:vertAlign w:val="superscript"/>
              </w:rPr>
              <w:t>d</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11.50±0.42</w:t>
            </w:r>
            <w:r>
              <w:rPr>
                <w:rFonts w:ascii="Times New Roman" w:hAnsi="Times New Roman" w:cs="Times New Roman"/>
                <w:sz w:val="24"/>
                <w:szCs w:val="24"/>
                <w:vertAlign w:val="superscript"/>
              </w:rPr>
              <w:t>b</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2.17±0.07</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20.50±0.42</w:t>
            </w:r>
            <w:r>
              <w:rPr>
                <w:rFonts w:ascii="Times New Roman" w:hAnsi="Times New Roman" w:cs="Times New Roman"/>
                <w:sz w:val="24"/>
                <w:szCs w:val="24"/>
                <w:vertAlign w:val="superscript"/>
              </w:rPr>
              <w:t>e</w:t>
            </w:r>
          </w:p>
          <w:p w:rsidR="00F26026" w:rsidRDefault="00F26026">
            <w:pPr>
              <w:spacing w:after="0" w:line="276" w:lineRule="auto"/>
              <w:rPr>
                <w:rFonts w:ascii="Times New Roman" w:hAnsi="Times New Roman" w:cs="Times New Roman"/>
                <w:sz w:val="24"/>
                <w:szCs w:val="24"/>
              </w:rPr>
            </w:pPr>
          </w:p>
        </w:tc>
        <w:tc>
          <w:tcPr>
            <w:tcW w:w="753"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0.24±0.04</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1.45±0.71</w:t>
            </w:r>
            <w:r>
              <w:rPr>
                <w:rFonts w:ascii="Times New Roman" w:hAnsi="Times New Roman" w:cs="Times New Roman"/>
                <w:sz w:val="24"/>
                <w:szCs w:val="24"/>
                <w:vertAlign w:val="superscript"/>
              </w:rPr>
              <w:t>c</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0.78±0.01</w:t>
            </w:r>
            <w:r>
              <w:rPr>
                <w:rFonts w:ascii="Times New Roman" w:hAnsi="Times New Roman" w:cs="Times New Roman"/>
                <w:sz w:val="24"/>
                <w:szCs w:val="24"/>
                <w:vertAlign w:val="superscript"/>
              </w:rPr>
              <w:t>b</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0.18±0.04</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0.23±0.02</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1.33±0.07</w:t>
            </w:r>
            <w:r>
              <w:rPr>
                <w:rFonts w:ascii="Times New Roman" w:hAnsi="Times New Roman" w:cs="Times New Roman"/>
                <w:sz w:val="24"/>
                <w:szCs w:val="24"/>
                <w:vertAlign w:val="superscript"/>
              </w:rPr>
              <w:t>c</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b/>
                <w:sz w:val="24"/>
                <w:szCs w:val="24"/>
              </w:rPr>
            </w:pPr>
            <w:r>
              <w:rPr>
                <w:rFonts w:ascii="Times New Roman" w:hAnsi="Times New Roman" w:cs="Times New Roman"/>
                <w:sz w:val="24"/>
                <w:szCs w:val="24"/>
              </w:rPr>
              <w:t>0.13±0.01</w:t>
            </w:r>
            <w:r>
              <w:rPr>
                <w:rFonts w:ascii="Times New Roman" w:hAnsi="Times New Roman" w:cs="Times New Roman"/>
                <w:sz w:val="24"/>
                <w:szCs w:val="24"/>
                <w:vertAlign w:val="superscript"/>
              </w:rPr>
              <w:t>a</w:t>
            </w:r>
          </w:p>
          <w:p w:rsidR="00F26026" w:rsidRDefault="00F26026">
            <w:pPr>
              <w:spacing w:after="0" w:line="276" w:lineRule="auto"/>
              <w:rPr>
                <w:rFonts w:ascii="Times New Roman" w:hAnsi="Times New Roman" w:cs="Times New Roman"/>
                <w:sz w:val="24"/>
                <w:szCs w:val="24"/>
              </w:rPr>
            </w:pPr>
          </w:p>
        </w:tc>
        <w:tc>
          <w:tcPr>
            <w:tcW w:w="958" w:type="pct"/>
            <w:tcMar>
              <w:top w:w="15" w:type="dxa"/>
              <w:left w:w="108" w:type="dxa"/>
              <w:bottom w:w="0" w:type="dxa"/>
              <w:right w:w="108" w:type="dxa"/>
            </w:tcMar>
            <w:hideMark/>
          </w:tcPr>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58.00±1.41</w:t>
            </w:r>
            <w:r>
              <w:rPr>
                <w:rFonts w:ascii="Times New Roman" w:hAnsi="Times New Roman" w:cs="Times New Roman"/>
                <w:sz w:val="24"/>
                <w:szCs w:val="24"/>
                <w:vertAlign w:val="superscript"/>
              </w:rPr>
              <w:t>c</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22.50±3.54</w:t>
            </w:r>
            <w:r>
              <w:rPr>
                <w:rFonts w:ascii="Times New Roman" w:hAnsi="Times New Roman" w:cs="Times New Roman"/>
                <w:sz w:val="24"/>
                <w:szCs w:val="24"/>
                <w:vertAlign w:val="superscript"/>
              </w:rPr>
              <w:t xml:space="preserve"> 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22.00±1.41</w:t>
            </w:r>
            <w:r>
              <w:rPr>
                <w:rFonts w:ascii="Times New Roman" w:hAnsi="Times New Roman" w:cs="Times New Roman"/>
                <w:sz w:val="24"/>
                <w:szCs w:val="24"/>
                <w:vertAlign w:val="superscript"/>
              </w:rPr>
              <w:t xml:space="preserve"> a</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60.00±7.07</w:t>
            </w:r>
            <w:r>
              <w:rPr>
                <w:rFonts w:ascii="Times New Roman" w:hAnsi="Times New Roman" w:cs="Times New Roman"/>
                <w:sz w:val="24"/>
                <w:szCs w:val="24"/>
                <w:vertAlign w:val="superscript"/>
              </w:rPr>
              <w:t>c</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65.00±4.24</w:t>
            </w:r>
            <w:r>
              <w:rPr>
                <w:rFonts w:ascii="Times New Roman" w:hAnsi="Times New Roman" w:cs="Times New Roman"/>
                <w:sz w:val="24"/>
                <w:szCs w:val="24"/>
                <w:vertAlign w:val="superscript"/>
              </w:rPr>
              <w:t>c</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b/>
                <w:sz w:val="24"/>
                <w:szCs w:val="24"/>
              </w:rPr>
            </w:pPr>
            <w:r>
              <w:rPr>
                <w:rFonts w:ascii="Times New Roman" w:hAnsi="Times New Roman" w:cs="Times New Roman"/>
                <w:sz w:val="24"/>
                <w:szCs w:val="24"/>
              </w:rPr>
              <w:t>34.00±7.07</w:t>
            </w:r>
            <w:r>
              <w:rPr>
                <w:rFonts w:ascii="Times New Roman" w:hAnsi="Times New Roman" w:cs="Times New Roman"/>
                <w:sz w:val="24"/>
                <w:szCs w:val="24"/>
                <w:vertAlign w:val="superscript"/>
              </w:rPr>
              <w:t>b</w:t>
            </w:r>
          </w:p>
          <w:p w:rsidR="00F26026" w:rsidRDefault="00F26026">
            <w:pPr>
              <w:spacing w:after="0" w:line="276" w:lineRule="auto"/>
              <w:rPr>
                <w:rFonts w:ascii="Times New Roman" w:hAnsi="Times New Roman" w:cs="Times New Roman"/>
                <w:sz w:val="24"/>
                <w:szCs w:val="24"/>
              </w:rPr>
            </w:pPr>
          </w:p>
          <w:p w:rsidR="00F26026" w:rsidRDefault="002457E5">
            <w:pPr>
              <w:spacing w:after="0" w:line="276" w:lineRule="auto"/>
              <w:rPr>
                <w:rFonts w:ascii="Times New Roman" w:hAnsi="Times New Roman" w:cs="Times New Roman"/>
                <w:sz w:val="24"/>
                <w:szCs w:val="24"/>
              </w:rPr>
            </w:pPr>
            <w:r>
              <w:rPr>
                <w:rFonts w:ascii="Times New Roman" w:hAnsi="Times New Roman" w:cs="Times New Roman"/>
                <w:sz w:val="24"/>
                <w:szCs w:val="24"/>
              </w:rPr>
              <w:t>77.00±4.24</w:t>
            </w:r>
            <w:r>
              <w:rPr>
                <w:rFonts w:ascii="Times New Roman" w:hAnsi="Times New Roman" w:cs="Times New Roman"/>
                <w:sz w:val="24"/>
                <w:szCs w:val="24"/>
                <w:vertAlign w:val="superscript"/>
              </w:rPr>
              <w:t>d</w:t>
            </w:r>
          </w:p>
          <w:p w:rsidR="00F26026" w:rsidRDefault="00F26026">
            <w:pPr>
              <w:spacing w:after="0" w:line="276" w:lineRule="auto"/>
              <w:rPr>
                <w:rFonts w:ascii="Times New Roman" w:hAnsi="Times New Roman" w:cs="Times New Roman"/>
                <w:sz w:val="24"/>
                <w:szCs w:val="24"/>
              </w:rPr>
            </w:pPr>
          </w:p>
        </w:tc>
      </w:tr>
    </w:tbl>
    <w:p w:rsidR="00F26026" w:rsidRDefault="002457E5">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Values are expressed as mean ± standard deviation. Values bearing different superscript letters across the columns are significantly different (p&lt; 0.05).</w:t>
      </w:r>
    </w:p>
    <w:p w:rsidR="00F26026" w:rsidRDefault="002457E5">
      <w:pPr>
        <w:tabs>
          <w:tab w:val="left" w:pos="3973"/>
        </w:tabs>
        <w:spacing w:after="0" w:line="276" w:lineRule="auto"/>
        <w:jc w:val="both"/>
        <w:rPr>
          <w:rFonts w:ascii="Times New Roman" w:hAnsi="Times New Roman" w:cs="Times New Roman"/>
          <w:bCs/>
          <w:i/>
          <w:sz w:val="24"/>
          <w:szCs w:val="24"/>
        </w:rPr>
      </w:pPr>
      <w:r>
        <w:rPr>
          <w:rFonts w:ascii="Times New Roman" w:hAnsi="Times New Roman" w:cs="Times New Roman"/>
          <w:i/>
          <w:sz w:val="24"/>
          <w:szCs w:val="24"/>
          <w:lang w:val="en-US"/>
        </w:rPr>
        <w:t>A- Control, BL-</w:t>
      </w:r>
      <w:r>
        <w:rPr>
          <w:rFonts w:ascii="Times New Roman" w:hAnsi="Times New Roman" w:cs="Times New Roman"/>
          <w:bCs/>
          <w:i/>
          <w:sz w:val="24"/>
          <w:szCs w:val="24"/>
        </w:rPr>
        <w:t xml:space="preserve"> Low dose of Sample A,</w:t>
      </w:r>
      <w:r>
        <w:rPr>
          <w:rFonts w:ascii="Times New Roman" w:hAnsi="Times New Roman" w:cs="Times New Roman"/>
          <w:i/>
          <w:sz w:val="24"/>
          <w:szCs w:val="24"/>
          <w:lang w:val="en-US"/>
        </w:rPr>
        <w:t xml:space="preserve"> BH-</w:t>
      </w:r>
      <w:r>
        <w:rPr>
          <w:rFonts w:ascii="Times New Roman" w:hAnsi="Times New Roman" w:cs="Times New Roman"/>
          <w:bCs/>
          <w:i/>
          <w:sz w:val="24"/>
          <w:szCs w:val="24"/>
        </w:rPr>
        <w:t xml:space="preserve"> High dose of Sample A,</w:t>
      </w:r>
      <w:r>
        <w:rPr>
          <w:rFonts w:ascii="Times New Roman" w:hAnsi="Times New Roman" w:cs="Times New Roman"/>
          <w:i/>
          <w:sz w:val="24"/>
          <w:szCs w:val="24"/>
          <w:lang w:val="en-US"/>
        </w:rPr>
        <w:t xml:space="preserve"> CL-</w:t>
      </w:r>
      <w:r>
        <w:rPr>
          <w:rFonts w:ascii="Times New Roman" w:hAnsi="Times New Roman" w:cs="Times New Roman"/>
          <w:bCs/>
          <w:i/>
          <w:sz w:val="24"/>
          <w:szCs w:val="24"/>
        </w:rPr>
        <w:t xml:space="preserve"> Low dose of Sample B, </w:t>
      </w:r>
      <w:r>
        <w:rPr>
          <w:rFonts w:ascii="Times New Roman" w:hAnsi="Times New Roman" w:cs="Times New Roman"/>
          <w:i/>
          <w:sz w:val="24"/>
          <w:szCs w:val="24"/>
          <w:lang w:val="en-US"/>
        </w:rPr>
        <w:t>CH-</w:t>
      </w:r>
      <w:r>
        <w:rPr>
          <w:rFonts w:ascii="Times New Roman" w:hAnsi="Times New Roman" w:cs="Times New Roman"/>
          <w:bCs/>
          <w:i/>
          <w:sz w:val="24"/>
          <w:szCs w:val="24"/>
        </w:rPr>
        <w:t xml:space="preserve"> High dose of Sample B</w:t>
      </w:r>
      <w:r>
        <w:rPr>
          <w:rFonts w:ascii="Times New Roman" w:hAnsi="Times New Roman" w:cs="Times New Roman"/>
          <w:i/>
          <w:sz w:val="24"/>
          <w:szCs w:val="24"/>
          <w:lang w:val="en-US"/>
        </w:rPr>
        <w:t>, DL-</w:t>
      </w:r>
      <w:r>
        <w:rPr>
          <w:rFonts w:ascii="Times New Roman" w:hAnsi="Times New Roman" w:cs="Times New Roman"/>
          <w:bCs/>
          <w:i/>
          <w:sz w:val="24"/>
          <w:szCs w:val="24"/>
        </w:rPr>
        <w:t xml:space="preserve"> Low dose of Sample C</w:t>
      </w:r>
      <w:r>
        <w:rPr>
          <w:rFonts w:ascii="Times New Roman" w:hAnsi="Times New Roman" w:cs="Times New Roman"/>
          <w:i/>
          <w:sz w:val="24"/>
          <w:szCs w:val="24"/>
          <w:lang w:val="en-US"/>
        </w:rPr>
        <w:t>, DH-</w:t>
      </w:r>
      <w:r>
        <w:rPr>
          <w:rFonts w:ascii="Times New Roman" w:hAnsi="Times New Roman" w:cs="Times New Roman"/>
          <w:bCs/>
          <w:i/>
          <w:sz w:val="24"/>
          <w:szCs w:val="24"/>
        </w:rPr>
        <w:t xml:space="preserve"> High dose of Sample C.</w:t>
      </w:r>
    </w:p>
    <w:p w:rsidR="00F26026" w:rsidRDefault="00F26026">
      <w:pPr>
        <w:tabs>
          <w:tab w:val="left" w:pos="3973"/>
        </w:tabs>
        <w:spacing w:after="0" w:line="276" w:lineRule="auto"/>
        <w:jc w:val="both"/>
        <w:rPr>
          <w:rFonts w:ascii="Times New Roman" w:hAnsi="Times New Roman" w:cs="Times New Roman"/>
          <w:bCs/>
          <w:sz w:val="24"/>
          <w:szCs w:val="24"/>
        </w:rPr>
      </w:pPr>
    </w:p>
    <w:p w:rsidR="00F26026" w:rsidRDefault="002457E5">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Table 1 presents the </w:t>
      </w:r>
      <w:r>
        <w:rPr>
          <w:rFonts w:ascii="Times New Roman" w:hAnsi="Times New Roman" w:cs="Times New Roman"/>
          <w:sz w:val="24"/>
          <w:szCs w:val="24"/>
        </w:rPr>
        <w:t xml:space="preserve">acute oral toxicity test of the </w:t>
      </w:r>
      <w:r>
        <w:rPr>
          <w:rFonts w:ascii="Times New Roman"/>
          <w:sz w:val="24"/>
          <w:szCs w:val="24"/>
        </w:rPr>
        <w:t>herbal cocktail</w:t>
      </w:r>
      <w:r>
        <w:rPr>
          <w:rFonts w:ascii="Times New Roman" w:hAnsi="Times New Roman" w:cs="Times New Roman"/>
          <w:sz w:val="24"/>
          <w:szCs w:val="24"/>
        </w:rPr>
        <w:t xml:space="preserve">s, which revealed no signs of toxicity or mortality in all test animals across both phases of the study. In Phase I, rats administered 10 mg/kg, 100 mg/kg, and 1000 mg/kg showed no observable adverse effects. Similarly, in Phase II, higher doses of 1600 mg/kg, 2900 mg/kg, and 5000 mg/kg body weight produced no deaths or clinical symptoms such as salivation, </w:t>
      </w:r>
      <w:proofErr w:type="spellStart"/>
      <w:r>
        <w:rPr>
          <w:rFonts w:ascii="Times New Roman" w:hAnsi="Times New Roman" w:cs="Times New Roman"/>
          <w:sz w:val="24"/>
          <w:szCs w:val="24"/>
        </w:rPr>
        <w:t>diarrhea</w:t>
      </w:r>
      <w:proofErr w:type="spellEnd"/>
      <w:r>
        <w:rPr>
          <w:rFonts w:ascii="Times New Roman" w:hAnsi="Times New Roman" w:cs="Times New Roman"/>
          <w:sz w:val="24"/>
          <w:szCs w:val="24"/>
        </w:rPr>
        <w:t>, restlessness, or convulsions during the 48-hour observation period. Based on these findings, the LD₅₀ of the herbal cocktail is considered to be greater than 5000 mg/kg body weight, indicating that the mixture has low acute toxicity when administered orally. In accordance with standard toxicological practice, sub-chronic treatment doses were selected as 10% and 30% of 5000 mg/kg, corresponding to 500 mg/kg and 1500 mg/kg body weight, respectively. These doses were subsequently used in the 40-day oral exposure study to evaluate histological and biochemical effects (</w:t>
      </w:r>
      <w:proofErr w:type="spellStart"/>
      <w:r>
        <w:rPr>
          <w:rFonts w:ascii="Times New Roman" w:hAnsi="Times New Roman" w:cs="Times New Roman"/>
          <w:sz w:val="24"/>
          <w:szCs w:val="24"/>
        </w:rPr>
        <w:t>Lorke</w:t>
      </w:r>
      <w:proofErr w:type="spellEnd"/>
      <w:r>
        <w:rPr>
          <w:rFonts w:ascii="Times New Roman" w:hAnsi="Times New Roman" w:cs="Times New Roman"/>
          <w:sz w:val="24"/>
          <w:szCs w:val="24"/>
        </w:rPr>
        <w:t>, 1983).</w:t>
      </w:r>
    </w:p>
    <w:p w:rsidR="00F26026" w:rsidRDefault="002457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Hormone levels recorded in Table 2, include Luteinizing Hormone </w:t>
      </w:r>
      <w:r>
        <w:rPr>
          <w:rFonts w:ascii="Times New Roman" w:hAnsi="Times New Roman" w:cs="Times New Roman"/>
          <w:sz w:val="24"/>
          <w:szCs w:val="24"/>
          <w:lang w:val="en-US"/>
        </w:rPr>
        <w:t>(LH)</w:t>
      </w:r>
      <w:r>
        <w:rPr>
          <w:rFonts w:ascii="Times New Roman" w:hAnsi="Times New Roman" w:cs="Times New Roman"/>
          <w:sz w:val="24"/>
          <w:szCs w:val="24"/>
        </w:rPr>
        <w:t xml:space="preserve">, Follicle-Stimulating Hormone (FSH), Progesterone, Testosterone, and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(ESTROGEN E2). </w:t>
      </w:r>
    </w:p>
    <w:p w:rsidR="00F26026" w:rsidRDefault="002457E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Luteinizing Hormone is critical in regulating gonadal function, including ovulation in females and testosterone production in males.  This hormone level was determined in male Wistar rats</w:t>
      </w:r>
      <w:r w:rsidR="007809BF">
        <w:rPr>
          <w:rFonts w:ascii="Times New Roman" w:hAnsi="Times New Roman" w:cs="Times New Roman"/>
          <w:sz w:val="24"/>
          <w:szCs w:val="24"/>
        </w:rPr>
        <w:t>,</w:t>
      </w:r>
      <w:r>
        <w:rPr>
          <w:rFonts w:ascii="Times New Roman" w:hAnsi="Times New Roman" w:cs="Times New Roman"/>
          <w:sz w:val="24"/>
          <w:szCs w:val="24"/>
        </w:rPr>
        <w:t xml:space="preserve"> and the highest level, recorded in Group CH (5.95 ± 0.02</w:t>
      </w:r>
      <w:r>
        <w:rPr>
          <w:rFonts w:ascii="Times New Roman" w:eastAsia="SimSun" w:hAnsi="Times New Roman" w:cs="Times New Roman"/>
          <w:bCs/>
          <w:color w:val="000000"/>
          <w:kern w:val="24"/>
          <w:sz w:val="24"/>
          <w:szCs w:val="24"/>
        </w:rPr>
        <w:t xml:space="preserve"> </w:t>
      </w:r>
      <w:proofErr w:type="spellStart"/>
      <w:r>
        <w:rPr>
          <w:rFonts w:ascii="Times New Roman" w:hAnsi="Times New Roman" w:cs="Times New Roman"/>
          <w:bCs/>
          <w:sz w:val="24"/>
          <w:szCs w:val="24"/>
        </w:rPr>
        <w:t>mIU</w:t>
      </w:r>
      <w:proofErr w:type="spellEnd"/>
      <w:r>
        <w:rPr>
          <w:rFonts w:ascii="Times New Roman" w:hAnsi="Times New Roman" w:cs="Times New Roman"/>
          <w:bCs/>
          <w:sz w:val="24"/>
          <w:szCs w:val="24"/>
        </w:rPr>
        <w:t>/ml</w:t>
      </w:r>
      <w:r>
        <w:rPr>
          <w:rFonts w:ascii="Times New Roman" w:hAnsi="Times New Roman" w:cs="Times New Roman"/>
          <w:bCs/>
          <w:sz w:val="24"/>
          <w:szCs w:val="24"/>
          <w:lang w:val="en-US"/>
        </w:rPr>
        <w:t>)</w:t>
      </w:r>
      <w:r>
        <w:rPr>
          <w:rFonts w:ascii="Times New Roman" w:hAnsi="Times New Roman" w:cs="Times New Roman"/>
          <w:sz w:val="24"/>
          <w:szCs w:val="24"/>
        </w:rPr>
        <w:t>, and the lowest level in Group BH (3.86 ± 0.01). The control group had an LH level of 4.13± 0.01</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mIU</w:t>
      </w:r>
      <w:proofErr w:type="spellEnd"/>
      <w:r>
        <w:rPr>
          <w:rFonts w:ascii="Times New Roman" w:hAnsi="Times New Roman" w:cs="Times New Roman"/>
          <w:bCs/>
          <w:sz w:val="24"/>
          <w:szCs w:val="24"/>
        </w:rPr>
        <w:t>/ml</w:t>
      </w:r>
      <w:r>
        <w:rPr>
          <w:rFonts w:ascii="Times New Roman" w:hAnsi="Times New Roman" w:cs="Times New Roman"/>
          <w:bCs/>
          <w:sz w:val="24"/>
          <w:szCs w:val="24"/>
          <w:lang w:val="en-US"/>
        </w:rPr>
        <w:t>.</w:t>
      </w:r>
      <w:r>
        <w:rPr>
          <w:rFonts w:ascii="Times New Roman" w:hAnsi="Times New Roman" w:cs="Times New Roman"/>
          <w:sz w:val="24"/>
          <w:szCs w:val="24"/>
        </w:rPr>
        <w:t xml:space="preserve"> The increased LH in Group CH, suggests that the mixture stimulates the hypothalamic-pituitary gonadal axis. This could lead to increased testosterone synthesis, enhanced libido and spermatogenesis. </w:t>
      </w:r>
      <w:r w:rsidR="007809BF">
        <w:rPr>
          <w:rFonts w:ascii="Times New Roman" w:hAnsi="Times New Roman" w:cs="Times New Roman"/>
          <w:sz w:val="24"/>
          <w:szCs w:val="24"/>
        </w:rPr>
        <w:t>T</w:t>
      </w:r>
      <w:r>
        <w:rPr>
          <w:rFonts w:ascii="Times New Roman" w:hAnsi="Times New Roman" w:cs="Times New Roman"/>
          <w:sz w:val="24"/>
          <w:szCs w:val="24"/>
        </w:rPr>
        <w:t xml:space="preserve">he low LH level in Group BH indicates a suppressive effect on the hypothalamic-pituitary gonadal axis. This may lead to reduced testosterone production, impaired spermatogenesis and reduced libido.  </w:t>
      </w:r>
      <w:r>
        <w:rPr>
          <w:rFonts w:ascii="Times New Roman" w:hAnsi="Times New Roman" w:cs="Times New Roman"/>
          <w:sz w:val="24"/>
          <w:szCs w:val="24"/>
          <w:lang w:val="en-US"/>
        </w:rPr>
        <w:t>Dubey</w:t>
      </w:r>
      <w:r>
        <w:rPr>
          <w:rFonts w:ascii="Times New Roman" w:hAnsi="Times New Roman" w:cs="Times New Roman"/>
          <w:sz w:val="24"/>
          <w:szCs w:val="24"/>
        </w:rPr>
        <w:t xml:space="preserve"> et al. (20</w:t>
      </w:r>
      <w:r>
        <w:rPr>
          <w:rFonts w:ascii="Times New Roman" w:hAnsi="Times New Roman" w:cs="Times New Roman"/>
          <w:sz w:val="24"/>
          <w:szCs w:val="24"/>
          <w:lang w:val="en-US"/>
        </w:rPr>
        <w:t>24</w:t>
      </w:r>
      <w:r>
        <w:rPr>
          <w:rFonts w:ascii="Times New Roman" w:hAnsi="Times New Roman" w:cs="Times New Roman"/>
          <w:sz w:val="24"/>
          <w:szCs w:val="24"/>
        </w:rPr>
        <w:t>) reported increased LH secretion in Wistar rats.</w:t>
      </w:r>
    </w:p>
    <w:p w:rsidR="00F26026" w:rsidRDefault="002457E5">
      <w:pPr>
        <w:spacing w:line="276" w:lineRule="auto"/>
        <w:jc w:val="both"/>
        <w:rPr>
          <w:rFonts w:ascii="Times New Roman" w:hAnsi="Times New Roman" w:cs="Times New Roman"/>
          <w:sz w:val="24"/>
          <w:szCs w:val="24"/>
        </w:rPr>
      </w:pPr>
      <w:r>
        <w:rPr>
          <w:rFonts w:ascii="Times New Roman" w:hAnsi="Times New Roman" w:cs="Times New Roman"/>
          <w:sz w:val="24"/>
          <w:szCs w:val="24"/>
        </w:rPr>
        <w:t>The highest Follicle-Stimulating Hormone (FSH) level in the male Wistar rats was in Group CH (3.92 ± 0.71</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mIU</w:t>
      </w:r>
      <w:proofErr w:type="spellEnd"/>
      <w:r>
        <w:rPr>
          <w:rFonts w:ascii="Times New Roman" w:hAnsi="Times New Roman" w:cs="Times New Roman"/>
          <w:bCs/>
          <w:sz w:val="24"/>
          <w:szCs w:val="24"/>
        </w:rPr>
        <w:t>/ml</w:t>
      </w:r>
      <w:r>
        <w:rPr>
          <w:rFonts w:ascii="Times New Roman" w:hAnsi="Times New Roman" w:cs="Times New Roman"/>
          <w:sz w:val="24"/>
          <w:szCs w:val="24"/>
        </w:rPr>
        <w:t>) and the lowest, in Group BL (1.89 ± 0.71</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mIU</w:t>
      </w:r>
      <w:proofErr w:type="spellEnd"/>
      <w:r>
        <w:rPr>
          <w:rFonts w:ascii="Times New Roman" w:hAnsi="Times New Roman" w:cs="Times New Roman"/>
          <w:bCs/>
          <w:sz w:val="24"/>
          <w:szCs w:val="24"/>
        </w:rPr>
        <w:t>/ml</w:t>
      </w:r>
      <w:r>
        <w:rPr>
          <w:rFonts w:ascii="Times New Roman" w:hAnsi="Times New Roman" w:cs="Times New Roman"/>
          <w:sz w:val="24"/>
          <w:szCs w:val="24"/>
        </w:rPr>
        <w:t>). The control group had an FSH level of 3.46 ± 1.44</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mIU</w:t>
      </w:r>
      <w:proofErr w:type="spellEnd"/>
      <w:r>
        <w:rPr>
          <w:rFonts w:ascii="Times New Roman" w:hAnsi="Times New Roman" w:cs="Times New Roman"/>
          <w:bCs/>
          <w:sz w:val="24"/>
          <w:szCs w:val="24"/>
        </w:rPr>
        <w:t>/ml</w:t>
      </w:r>
      <w:r>
        <w:rPr>
          <w:rFonts w:ascii="Times New Roman" w:hAnsi="Times New Roman" w:cs="Times New Roman"/>
          <w:sz w:val="24"/>
          <w:szCs w:val="24"/>
        </w:rPr>
        <w:t>.  FSH regulates follicular development in females and spermatogenesis in males (</w:t>
      </w:r>
      <w:proofErr w:type="spellStart"/>
      <w:r>
        <w:rPr>
          <w:rFonts w:ascii="Times New Roman" w:hAnsi="Times New Roman" w:cs="Times New Roman"/>
          <w:sz w:val="24"/>
          <w:szCs w:val="24"/>
        </w:rPr>
        <w:t>Gauthaman</w:t>
      </w:r>
      <w:proofErr w:type="spellEnd"/>
      <w:r>
        <w:rPr>
          <w:rFonts w:ascii="Times New Roman" w:hAnsi="Times New Roman" w:cs="Times New Roman"/>
          <w:sz w:val="24"/>
          <w:szCs w:val="24"/>
        </w:rPr>
        <w:t xml:space="preserve"> &amp; Ganesan 2008). From the result, there was no statistical difference in FSH levels</w:t>
      </w:r>
      <w:r w:rsidR="007809BF">
        <w:rPr>
          <w:rFonts w:ascii="Times New Roman" w:hAnsi="Times New Roman" w:cs="Times New Roman"/>
          <w:sz w:val="24"/>
          <w:szCs w:val="24"/>
        </w:rPr>
        <w:t>,</w:t>
      </w:r>
      <w:r>
        <w:rPr>
          <w:rFonts w:ascii="Times New Roman" w:hAnsi="Times New Roman" w:cs="Times New Roman"/>
          <w:sz w:val="24"/>
          <w:szCs w:val="24"/>
        </w:rPr>
        <w:t xml:space="preserve"> which implies that they were relatively stable. This study, deviates from findings by He et al. (2018). </w:t>
      </w:r>
    </w:p>
    <w:p w:rsidR="00422F8E" w:rsidRDefault="002457E5">
      <w:pPr>
        <w:spacing w:line="276" w:lineRule="auto"/>
        <w:jc w:val="both"/>
        <w:rPr>
          <w:rFonts w:ascii="Times New Roman" w:hAnsi="Times New Roman" w:cs="Times New Roman"/>
          <w:sz w:val="24"/>
          <w:szCs w:val="24"/>
        </w:rPr>
      </w:pPr>
      <w:r>
        <w:rPr>
          <w:rFonts w:ascii="Times New Roman" w:hAnsi="Times New Roman" w:cs="Times New Roman"/>
          <w:sz w:val="24"/>
          <w:szCs w:val="24"/>
        </w:rPr>
        <w:t>The highest progesterone level in the female Wistar rats was in Group DH (20.50± 0.42</w:t>
      </w:r>
      <w:r>
        <w:rPr>
          <w:rFonts w:ascii="Times New Roman" w:hAnsi="Times New Roman" w:cs="Times New Roman"/>
          <w:bCs/>
          <w:sz w:val="24"/>
          <w:szCs w:val="24"/>
        </w:rPr>
        <w:t xml:space="preserve"> ng/ml</w:t>
      </w:r>
      <w:r>
        <w:rPr>
          <w:rFonts w:ascii="Times New Roman" w:hAnsi="Times New Roman" w:cs="Times New Roman"/>
          <w:sz w:val="24"/>
          <w:szCs w:val="24"/>
        </w:rPr>
        <w:t>), and the lowest progesterone level was in Group BH (1.980 ± 0.03</w:t>
      </w:r>
      <w:r>
        <w:rPr>
          <w:rFonts w:ascii="Times New Roman" w:hAnsi="Times New Roman" w:cs="Times New Roman"/>
          <w:bCs/>
          <w:sz w:val="24"/>
          <w:szCs w:val="24"/>
          <w:lang w:val="en-US"/>
        </w:rPr>
        <w:t xml:space="preserve"> </w:t>
      </w:r>
      <w:r>
        <w:rPr>
          <w:rFonts w:ascii="Times New Roman" w:hAnsi="Times New Roman" w:cs="Times New Roman"/>
          <w:bCs/>
          <w:sz w:val="24"/>
          <w:szCs w:val="24"/>
        </w:rPr>
        <w:t>ng/ml</w:t>
      </w:r>
      <w:r>
        <w:rPr>
          <w:rFonts w:ascii="Times New Roman" w:hAnsi="Times New Roman" w:cs="Times New Roman"/>
          <w:sz w:val="24"/>
          <w:szCs w:val="24"/>
        </w:rPr>
        <w:t>). The control group had a progesterone level of 13.80± 0.14</w:t>
      </w:r>
      <w:r>
        <w:rPr>
          <w:rFonts w:ascii="Times New Roman" w:hAnsi="Times New Roman" w:cs="Times New Roman"/>
          <w:bCs/>
          <w:sz w:val="24"/>
          <w:szCs w:val="24"/>
          <w:lang w:val="en-US"/>
        </w:rPr>
        <w:t xml:space="preserve"> </w:t>
      </w:r>
      <w:r>
        <w:rPr>
          <w:rFonts w:ascii="Times New Roman" w:hAnsi="Times New Roman" w:cs="Times New Roman"/>
          <w:bCs/>
          <w:sz w:val="24"/>
          <w:szCs w:val="24"/>
        </w:rPr>
        <w:t>ng/ml</w:t>
      </w:r>
      <w:r>
        <w:rPr>
          <w:rFonts w:ascii="Times New Roman" w:hAnsi="Times New Roman" w:cs="Times New Roman"/>
          <w:sz w:val="24"/>
          <w:szCs w:val="24"/>
        </w:rPr>
        <w:t>. Progesterone plays a key role in reproductive function and maintaining pregnancy</w:t>
      </w:r>
      <w:r>
        <w:rPr>
          <w:rFonts w:ascii="Times New Roman" w:hAnsi="Times New Roman" w:cs="Times New Roman"/>
          <w:b/>
          <w:sz w:val="24"/>
          <w:szCs w:val="24"/>
        </w:rPr>
        <w:t xml:space="preserve"> (</w:t>
      </w:r>
      <w:proofErr w:type="spellStart"/>
      <w:r>
        <w:rPr>
          <w:rFonts w:ascii="Times New Roman" w:hAnsi="Times New Roman" w:cs="Times New Roman"/>
          <w:sz w:val="24"/>
          <w:szCs w:val="24"/>
        </w:rPr>
        <w:t>Patisaul</w:t>
      </w:r>
      <w:proofErr w:type="spellEnd"/>
      <w:r>
        <w:rPr>
          <w:rFonts w:ascii="Times New Roman" w:hAnsi="Times New Roman" w:cs="Times New Roman"/>
          <w:sz w:val="24"/>
          <w:szCs w:val="24"/>
        </w:rPr>
        <w:t xml:space="preserve"> &amp; Jefferson, 2010). The increase in progesterone in Group D</w:t>
      </w:r>
      <w:r>
        <w:rPr>
          <w:rFonts w:ascii="Times New Roman" w:hAnsi="Times New Roman" w:cs="Times New Roman"/>
          <w:sz w:val="24"/>
          <w:szCs w:val="24"/>
          <w:lang w:val="en-US"/>
        </w:rPr>
        <w:t>H</w:t>
      </w:r>
      <w:r>
        <w:rPr>
          <w:rFonts w:ascii="Times New Roman" w:hAnsi="Times New Roman" w:cs="Times New Roman"/>
          <w:sz w:val="24"/>
          <w:szCs w:val="24"/>
        </w:rPr>
        <w:t xml:space="preserve">, suggests a luteotropic effect, stimulating corpus luteum function. While the low progesterone in Group BH suggests an inhibitory effect at high doses, potentially due to altered steroidogenic enzyme activity. Both effects could lead to irregular menstrual cycles. </w:t>
      </w:r>
    </w:p>
    <w:p w:rsidR="00F26026" w:rsidRDefault="002457E5">
      <w:pPr>
        <w:spacing w:line="276" w:lineRule="auto"/>
        <w:jc w:val="both"/>
        <w:rPr>
          <w:rFonts w:ascii="Times New Roman" w:hAnsi="Times New Roman" w:cs="Times New Roman"/>
          <w:sz w:val="24"/>
          <w:szCs w:val="24"/>
        </w:rPr>
      </w:pPr>
      <w:r>
        <w:rPr>
          <w:rFonts w:ascii="Times New Roman" w:hAnsi="Times New Roman" w:cs="Times New Roman"/>
          <w:sz w:val="24"/>
          <w:szCs w:val="24"/>
        </w:rPr>
        <w:t>The highest testosterone level in male Wistar rats was in Group BL (1.45 ± 0.71</w:t>
      </w:r>
      <w:r>
        <w:rPr>
          <w:rFonts w:ascii="Times New Roman" w:hAnsi="Times New Roman" w:cs="Times New Roman"/>
          <w:bCs/>
          <w:sz w:val="24"/>
          <w:szCs w:val="24"/>
          <w:lang w:val="en-US"/>
        </w:rPr>
        <w:t xml:space="preserve"> </w:t>
      </w:r>
      <w:r>
        <w:rPr>
          <w:rFonts w:ascii="Times New Roman" w:hAnsi="Times New Roman" w:cs="Times New Roman"/>
          <w:bCs/>
          <w:sz w:val="24"/>
          <w:szCs w:val="24"/>
        </w:rPr>
        <w:t>ng/ml</w:t>
      </w:r>
      <w:r>
        <w:rPr>
          <w:rFonts w:ascii="Times New Roman" w:hAnsi="Times New Roman" w:cs="Times New Roman"/>
          <w:sz w:val="24"/>
          <w:szCs w:val="24"/>
        </w:rPr>
        <w:t>), the lowest testosterone level was in Group DH (0.13 ± 0.01</w:t>
      </w:r>
      <w:r>
        <w:rPr>
          <w:rFonts w:ascii="Times New Roman" w:hAnsi="Times New Roman" w:cs="Times New Roman"/>
          <w:bCs/>
          <w:sz w:val="24"/>
          <w:szCs w:val="24"/>
          <w:lang w:val="en-US"/>
        </w:rPr>
        <w:t xml:space="preserve"> </w:t>
      </w:r>
      <w:r>
        <w:rPr>
          <w:rFonts w:ascii="Times New Roman" w:hAnsi="Times New Roman" w:cs="Times New Roman"/>
          <w:bCs/>
          <w:sz w:val="24"/>
          <w:szCs w:val="24"/>
        </w:rPr>
        <w:t>ng/ml</w:t>
      </w:r>
      <w:r>
        <w:rPr>
          <w:rFonts w:ascii="Times New Roman" w:hAnsi="Times New Roman" w:cs="Times New Roman"/>
          <w:sz w:val="24"/>
          <w:szCs w:val="24"/>
        </w:rPr>
        <w:t>). The control group had a testosterone level of 0.24 ± 0.04</w:t>
      </w:r>
      <w:r>
        <w:rPr>
          <w:rFonts w:ascii="Times New Roman" w:hAnsi="Times New Roman" w:cs="Times New Roman"/>
          <w:bCs/>
          <w:sz w:val="24"/>
          <w:szCs w:val="24"/>
          <w:lang w:val="en-US"/>
        </w:rPr>
        <w:t xml:space="preserve"> </w:t>
      </w:r>
      <w:r>
        <w:rPr>
          <w:rFonts w:ascii="Times New Roman" w:hAnsi="Times New Roman" w:cs="Times New Roman"/>
          <w:bCs/>
          <w:sz w:val="24"/>
          <w:szCs w:val="24"/>
        </w:rPr>
        <w:t>ng/ml</w:t>
      </w:r>
      <w:r>
        <w:rPr>
          <w:rFonts w:ascii="Times New Roman" w:hAnsi="Times New Roman" w:cs="Times New Roman"/>
          <w:sz w:val="24"/>
          <w:szCs w:val="24"/>
        </w:rPr>
        <w:t xml:space="preserve">. Testosterone is essential for male reproductive function and secondary sexual characteristics. The high testosterone in Group BL may promote increased libido and sperm production. Also, the low testosterone in Group DH, suggests a strong anti-androgenic effect and may reduce male sexual characteristics. </w:t>
      </w:r>
      <w:proofErr w:type="spellStart"/>
      <w:r>
        <w:rPr>
          <w:rFonts w:ascii="Times New Roman" w:hAnsi="Times New Roman" w:cs="Times New Roman"/>
          <w:sz w:val="24"/>
          <w:szCs w:val="24"/>
        </w:rPr>
        <w:t>Ogbuewu</w:t>
      </w:r>
      <w:proofErr w:type="spellEnd"/>
      <w:r>
        <w:rPr>
          <w:rFonts w:ascii="Times New Roman" w:hAnsi="Times New Roman" w:cs="Times New Roman"/>
          <w:sz w:val="24"/>
          <w:szCs w:val="24"/>
        </w:rPr>
        <w:t xml:space="preserve"> et al. (2011) reported similar findings.</w:t>
      </w:r>
    </w:p>
    <w:p w:rsidR="00F26026" w:rsidRDefault="002457E5">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is the primary female sex hormone but is also present in males at lower levels. Its level, ranged from Group BH (22.00 ± 1.41</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pg</w:t>
      </w:r>
      <w:proofErr w:type="spellEnd"/>
      <w:r>
        <w:rPr>
          <w:rFonts w:ascii="Times New Roman" w:hAnsi="Times New Roman" w:cs="Times New Roman"/>
          <w:bCs/>
          <w:sz w:val="24"/>
          <w:szCs w:val="24"/>
        </w:rPr>
        <w:t>/ml</w:t>
      </w:r>
      <w:r>
        <w:rPr>
          <w:rFonts w:ascii="Times New Roman" w:hAnsi="Times New Roman" w:cs="Times New Roman"/>
          <w:sz w:val="24"/>
          <w:szCs w:val="24"/>
        </w:rPr>
        <w:t>) to Group DH (77.00 ± 4.24</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rPr>
        <w:t>pg</w:t>
      </w:r>
      <w:proofErr w:type="spellEnd"/>
      <w:r>
        <w:rPr>
          <w:rFonts w:ascii="Times New Roman" w:hAnsi="Times New Roman" w:cs="Times New Roman"/>
          <w:bCs/>
          <w:sz w:val="24"/>
          <w:szCs w:val="24"/>
        </w:rPr>
        <w:t>/ml</w:t>
      </w:r>
      <w:r>
        <w:rPr>
          <w:rFonts w:ascii="Times New Roman" w:hAnsi="Times New Roman" w:cs="Times New Roman"/>
          <w:sz w:val="24"/>
          <w:szCs w:val="24"/>
        </w:rPr>
        <w:t xml:space="preserve">). Control group had an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level of 58.00 ± 1.41</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pg</w:t>
      </w:r>
      <w:proofErr w:type="spellEnd"/>
      <w:r>
        <w:rPr>
          <w:rFonts w:ascii="Times New Roman" w:hAnsi="Times New Roman" w:cs="Times New Roman"/>
          <w:bCs/>
          <w:sz w:val="24"/>
          <w:szCs w:val="24"/>
        </w:rPr>
        <w:t>/ml</w:t>
      </w:r>
      <w:r>
        <w:rPr>
          <w:rFonts w:ascii="Times New Roman" w:hAnsi="Times New Roman" w:cs="Times New Roman"/>
          <w:sz w:val="24"/>
          <w:szCs w:val="24"/>
        </w:rPr>
        <w:t xml:space="preserve">. The high level of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in Group DH indicates a strong estrogenic effect, which could lead to enhanced estrogenic responses especially endometrial hyperplasia and irregular cycles. The low level in Group BH may result to hypoestrogenic effects such as reduced fertility. This outcome aligns with the study by </w:t>
      </w:r>
      <w:proofErr w:type="spellStart"/>
      <w:r>
        <w:rPr>
          <w:rFonts w:ascii="Times New Roman" w:hAnsi="Times New Roman" w:cs="Times New Roman"/>
          <w:sz w:val="24"/>
          <w:szCs w:val="24"/>
        </w:rPr>
        <w:t>Patisaul</w:t>
      </w:r>
      <w:proofErr w:type="spellEnd"/>
      <w:r>
        <w:rPr>
          <w:rFonts w:ascii="Times New Roman" w:hAnsi="Times New Roman" w:cs="Times New Roman"/>
          <w:sz w:val="24"/>
          <w:szCs w:val="24"/>
        </w:rPr>
        <w:t xml:space="preserve"> and Jefferson (2010).</w:t>
      </w:r>
    </w:p>
    <w:p w:rsidR="00F26026" w:rsidRDefault="002457E5">
      <w:pPr>
        <w:pStyle w:val="ListParagraph"/>
        <w:numPr>
          <w:ilvl w:val="0"/>
          <w:numId w:val="1"/>
        </w:numPr>
        <w:spacing w:after="0" w:line="276" w:lineRule="auto"/>
        <w:rPr>
          <w:rFonts w:ascii="Times New Roman"/>
          <w:b/>
          <w:sz w:val="24"/>
          <w:szCs w:val="24"/>
        </w:rPr>
      </w:pPr>
      <w:r>
        <w:rPr>
          <w:rFonts w:ascii="Times New Roman"/>
          <w:b/>
          <w:sz w:val="24"/>
          <w:szCs w:val="24"/>
        </w:rPr>
        <w:t>CONCLUSION</w:t>
      </w:r>
    </w:p>
    <w:p w:rsidR="00F26026" w:rsidRDefault="00F26026">
      <w:pPr>
        <w:spacing w:after="0" w:line="276" w:lineRule="auto"/>
        <w:ind w:left="-142"/>
        <w:rPr>
          <w:rFonts w:ascii="Times New Roman" w:eastAsia="TeX Gyre Bonum" w:hAnsi="Times New Roman" w:cs="Times New Roman"/>
          <w:sz w:val="24"/>
          <w:szCs w:val="24"/>
        </w:rPr>
      </w:pPr>
    </w:p>
    <w:p w:rsidR="00F26026" w:rsidRDefault="002457E5">
      <w:pPr>
        <w:spacing w:after="0" w:line="276" w:lineRule="auto"/>
        <w:ind w:left="-142"/>
        <w:jc w:val="both"/>
        <w:rPr>
          <w:rFonts w:ascii="Times New Roman" w:hAnsi="Times New Roman"/>
          <w:sz w:val="24"/>
          <w:szCs w:val="24"/>
        </w:rPr>
      </w:pPr>
      <w:r>
        <w:rPr>
          <w:rFonts w:ascii="Times New Roman" w:eastAsia="TeX Gyre Bonum" w:hAnsi="Times New Roman" w:cs="Times New Roman"/>
          <w:sz w:val="24"/>
          <w:szCs w:val="24"/>
        </w:rPr>
        <w:t xml:space="preserve">The </w:t>
      </w:r>
      <w:r>
        <w:rPr>
          <w:rFonts w:ascii="Times New Roman"/>
          <w:sz w:val="24"/>
          <w:szCs w:val="24"/>
        </w:rPr>
        <w:t>herbal cocktail</w:t>
      </w:r>
      <w:r>
        <w:rPr>
          <w:rFonts w:ascii="Times New Roman" w:hAnsi="Times New Roman" w:cs="Times New Roman"/>
          <w:sz w:val="24"/>
          <w:szCs w:val="24"/>
        </w:rPr>
        <w:t xml:space="preserve">s </w:t>
      </w:r>
      <w:r>
        <w:rPr>
          <w:rFonts w:ascii="Times New Roman" w:eastAsia="TeX Gyre Bonum" w:hAnsi="Times New Roman" w:cs="Times New Roman"/>
          <w:sz w:val="24"/>
          <w:szCs w:val="24"/>
        </w:rPr>
        <w:t xml:space="preserve">had significant effects on reproductive hormones. There was a significant difference in luteinizing hormone (LH), progesterone, testosterone and </w:t>
      </w:r>
      <w:proofErr w:type="spellStart"/>
      <w:r>
        <w:rPr>
          <w:rFonts w:ascii="Times New Roman" w:eastAsia="TeX Gyre Bonum" w:hAnsi="Times New Roman" w:cs="Times New Roman"/>
          <w:sz w:val="24"/>
          <w:szCs w:val="24"/>
        </w:rPr>
        <w:t>estrogen</w:t>
      </w:r>
      <w:proofErr w:type="spellEnd"/>
      <w:r>
        <w:rPr>
          <w:rFonts w:ascii="Times New Roman" w:eastAsia="TeX Gyre Bonum" w:hAnsi="Times New Roman" w:cs="Times New Roman"/>
          <w:sz w:val="24"/>
          <w:szCs w:val="24"/>
        </w:rPr>
        <w:t xml:space="preserve"> levels.</w:t>
      </w:r>
      <w:r>
        <w:rPr>
          <w:rFonts w:ascii="Times New Roman"/>
          <w:b/>
          <w:sz w:val="24"/>
          <w:szCs w:val="24"/>
        </w:rPr>
        <w:t xml:space="preserve"> </w:t>
      </w:r>
      <w:r>
        <w:rPr>
          <w:rFonts w:ascii="Times New Roman"/>
          <w:sz w:val="24"/>
          <w:szCs w:val="24"/>
        </w:rPr>
        <w:t xml:space="preserve">However, </w:t>
      </w:r>
      <w:r>
        <w:rPr>
          <w:rFonts w:ascii="Times New Roman"/>
          <w:sz w:val="24"/>
          <w:szCs w:val="24"/>
        </w:rPr>
        <w:lastRenderedPageBreak/>
        <w:t xml:space="preserve">there was no </w:t>
      </w:r>
      <w:r>
        <w:rPr>
          <w:rFonts w:ascii="Times New Roman" w:eastAsia="TeX Gyre Bonum" w:hAnsi="Times New Roman" w:cs="Times New Roman"/>
          <w:sz w:val="24"/>
          <w:szCs w:val="24"/>
        </w:rPr>
        <w:t xml:space="preserve">significant difference in </w:t>
      </w:r>
      <w:r>
        <w:rPr>
          <w:rFonts w:ascii="Times New Roman" w:hAnsi="Times New Roman" w:cs="Times New Roman"/>
          <w:sz w:val="24"/>
          <w:szCs w:val="24"/>
        </w:rPr>
        <w:t xml:space="preserve">follicle-stimulating hormone. The </w:t>
      </w:r>
      <w:r>
        <w:rPr>
          <w:rFonts w:ascii="Times New Roman" w:hAnsi="Times New Roman"/>
          <w:sz w:val="24"/>
          <w:szCs w:val="24"/>
        </w:rPr>
        <w:t>hormonal markers revealed significant modulations</w:t>
      </w:r>
      <w:r w:rsidR="007809BF">
        <w:rPr>
          <w:rFonts w:ascii="Times New Roman" w:hAnsi="Times New Roman"/>
          <w:sz w:val="24"/>
          <w:szCs w:val="24"/>
        </w:rPr>
        <w:t>,</w:t>
      </w:r>
      <w:r>
        <w:rPr>
          <w:rFonts w:ascii="Times New Roman" w:hAnsi="Times New Roman"/>
          <w:sz w:val="24"/>
          <w:szCs w:val="24"/>
        </w:rPr>
        <w:t xml:space="preserve"> including potential endocrine</w:t>
      </w:r>
      <w:r w:rsidR="007809BF">
        <w:rPr>
          <w:rFonts w:ascii="Times New Roman" w:hAnsi="Times New Roman"/>
          <w:sz w:val="24"/>
          <w:szCs w:val="24"/>
        </w:rPr>
        <w:t>-</w:t>
      </w:r>
      <w:r>
        <w:rPr>
          <w:rFonts w:ascii="Times New Roman" w:hAnsi="Times New Roman"/>
          <w:sz w:val="24"/>
          <w:szCs w:val="24"/>
        </w:rPr>
        <w:t>disrupting effects</w:t>
      </w:r>
      <w:r w:rsidR="007809BF">
        <w:rPr>
          <w:rFonts w:ascii="Times New Roman" w:hAnsi="Times New Roman"/>
          <w:sz w:val="24"/>
          <w:szCs w:val="24"/>
        </w:rPr>
        <w:t>,</w:t>
      </w:r>
      <w:r>
        <w:rPr>
          <w:rFonts w:ascii="Times New Roman" w:hAnsi="Times New Roman"/>
          <w:sz w:val="24"/>
          <w:szCs w:val="24"/>
        </w:rPr>
        <w:t xml:space="preserve"> particularly at higher doses. </w:t>
      </w:r>
    </w:p>
    <w:p w:rsidR="00F26026" w:rsidRDefault="002457E5">
      <w:pPr>
        <w:spacing w:after="0" w:line="276" w:lineRule="auto"/>
        <w:ind w:left="-142"/>
        <w:jc w:val="both"/>
        <w:rPr>
          <w:rFonts w:ascii="Times New Roman" w:hAnsi="Times New Roman"/>
          <w:sz w:val="24"/>
          <w:szCs w:val="24"/>
          <w:lang w:val="en-US"/>
        </w:rPr>
      </w:pPr>
      <w:r>
        <w:rPr>
          <w:rFonts w:ascii="Times New Roman" w:hAnsi="Times New Roman" w:cs="Times New Roman"/>
          <w:sz w:val="24"/>
          <w:szCs w:val="24"/>
        </w:rPr>
        <w:t>The increased LH in group CH could lead to increased testosterone synthesis, enhanced libido and spermatogenesis, while the low LH level in Group BH indicates a suppressive effect on the hypothalamic-pituitary gonadal axis. This may lead to reduced testosterone production, impaired spermatogenesis and reduced libido. The increase in progesterone in Group D</w:t>
      </w:r>
      <w:r>
        <w:rPr>
          <w:rFonts w:ascii="Times New Roman" w:hAnsi="Times New Roman" w:cs="Times New Roman"/>
          <w:sz w:val="24"/>
          <w:szCs w:val="24"/>
          <w:lang w:val="en-US"/>
        </w:rPr>
        <w:t>H</w:t>
      </w:r>
      <w:r>
        <w:rPr>
          <w:rFonts w:ascii="Times New Roman" w:hAnsi="Times New Roman" w:cs="Times New Roman"/>
          <w:sz w:val="24"/>
          <w:szCs w:val="24"/>
        </w:rPr>
        <w:t xml:space="preserve"> and low progesterone in Group BH could lead to irregular menstrual cycles. The high testosterone level in Group BL may promote increased libido and sperm production, while the low testosterone level in Group DH, may reduce male sexual characteristics. The high level of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in Group DH could lead to enhanced estrogenic responses</w:t>
      </w:r>
      <w:r w:rsidR="007809BF">
        <w:rPr>
          <w:rFonts w:ascii="Times New Roman" w:hAnsi="Times New Roman" w:cs="Times New Roman"/>
          <w:sz w:val="24"/>
          <w:szCs w:val="24"/>
        </w:rPr>
        <w:t>,</w:t>
      </w:r>
      <w:r>
        <w:rPr>
          <w:rFonts w:ascii="Times New Roman" w:hAnsi="Times New Roman" w:cs="Times New Roman"/>
          <w:sz w:val="24"/>
          <w:szCs w:val="24"/>
        </w:rPr>
        <w:t xml:space="preserve"> especially endometrial hyperplasia and irregular cycles. The low level in Group BH may result to hypoestrogenic effects such as reduced fertility.</w:t>
      </w:r>
      <w:r>
        <w:rPr>
          <w:rFonts w:ascii="Times New Roman" w:hAnsi="Times New Roman"/>
          <w:sz w:val="24"/>
          <w:szCs w:val="24"/>
        </w:rPr>
        <w:t xml:space="preserve"> </w:t>
      </w:r>
      <w:r>
        <w:rPr>
          <w:rFonts w:ascii="Times New Roman" w:hAnsi="Times New Roman"/>
          <w:sz w:val="24"/>
          <w:szCs w:val="24"/>
          <w:lang w:val="en-US"/>
        </w:rPr>
        <w:t>While the cocktails may enhance both male and female fertility, they could also lead to male and female infertility.</w:t>
      </w:r>
      <w:r>
        <w:rPr>
          <w:rFonts w:ascii="Times New Roman" w:hAnsi="Times New Roman"/>
          <w:b/>
          <w:sz w:val="24"/>
          <w:szCs w:val="24"/>
          <w:lang w:val="en-US"/>
        </w:rPr>
        <w:t xml:space="preserve"> </w:t>
      </w:r>
      <w:r>
        <w:rPr>
          <w:rFonts w:ascii="Times New Roman" w:hAnsi="Times New Roman"/>
          <w:sz w:val="24"/>
          <w:szCs w:val="24"/>
          <w:lang w:val="en-US"/>
        </w:rPr>
        <w:t>The observed hormonal alterations</w:t>
      </w:r>
      <w:r w:rsidR="007809BF">
        <w:rPr>
          <w:rFonts w:ascii="Times New Roman" w:hAnsi="Times New Roman"/>
          <w:sz w:val="24"/>
          <w:szCs w:val="24"/>
          <w:lang w:val="en-US"/>
        </w:rPr>
        <w:t>,</w:t>
      </w:r>
      <w:r>
        <w:rPr>
          <w:rFonts w:ascii="Times New Roman" w:hAnsi="Times New Roman"/>
          <w:sz w:val="24"/>
          <w:szCs w:val="24"/>
          <w:lang w:val="en-US"/>
        </w:rPr>
        <w:t xml:space="preserve"> both in the male and female reproductive hormones</w:t>
      </w:r>
      <w:r w:rsidR="007809BF">
        <w:rPr>
          <w:rFonts w:ascii="Times New Roman" w:hAnsi="Times New Roman"/>
          <w:sz w:val="24"/>
          <w:szCs w:val="24"/>
          <w:lang w:val="en-US"/>
        </w:rPr>
        <w:t>,</w:t>
      </w:r>
      <w:r>
        <w:rPr>
          <w:rFonts w:ascii="Times New Roman" w:hAnsi="Times New Roman"/>
          <w:sz w:val="24"/>
          <w:szCs w:val="24"/>
          <w:lang w:val="en-US"/>
        </w:rPr>
        <w:t xml:space="preserve"> highlight the need for product regulation and monitoring before market approval as well as post-market surveillance and further safety evaluation/toxicity monitoring by a regulatory body. </w:t>
      </w:r>
    </w:p>
    <w:p w:rsidR="00F26026" w:rsidRDefault="00F26026">
      <w:pPr>
        <w:spacing w:after="0" w:line="276" w:lineRule="auto"/>
        <w:ind w:left="-142"/>
        <w:jc w:val="both"/>
        <w:rPr>
          <w:rFonts w:ascii="Times New Roman"/>
          <w:b/>
          <w:sz w:val="24"/>
          <w:szCs w:val="24"/>
        </w:rPr>
      </w:pPr>
    </w:p>
    <w:p w:rsidR="00F26026" w:rsidRDefault="002457E5">
      <w:pPr>
        <w:rPr>
          <w:rFonts w:cs="Times New Roman"/>
          <w:kern w:val="2"/>
          <w:highlight w:val="yellow"/>
          <w:lang w:val="en-US"/>
        </w:rPr>
      </w:pPr>
      <w:bookmarkStart w:id="0" w:name="_Hlk197682619"/>
      <w:bookmarkStart w:id="1" w:name="_Hlk180402183"/>
      <w:bookmarkStart w:id="2" w:name="_Hlk183680988"/>
      <w:bookmarkStart w:id="3" w:name="_Hlk197351200"/>
      <w:r>
        <w:rPr>
          <w:rFonts w:cs="Times New Roman"/>
          <w:kern w:val="2"/>
          <w:highlight w:val="yellow"/>
          <w:lang w:val="en-US"/>
        </w:rPr>
        <w:t>Disclaimer (Artificial intelligence)</w:t>
      </w:r>
    </w:p>
    <w:p w:rsidR="00F26026" w:rsidRDefault="002457E5">
      <w:pPr>
        <w:rPr>
          <w:rFonts w:cs="Times New Roman"/>
          <w:kern w:val="2"/>
          <w:highlight w:val="yellow"/>
          <w:lang w:val="en-US"/>
        </w:rPr>
      </w:pPr>
      <w:r>
        <w:rPr>
          <w:rFonts w:cs="Times New Roman"/>
          <w:kern w:val="2"/>
          <w:highlight w:val="yellow"/>
          <w:lang w:val="en-US"/>
        </w:rPr>
        <w:t xml:space="preserve">Option 1: </w:t>
      </w:r>
    </w:p>
    <w:p w:rsidR="00F26026" w:rsidRDefault="002457E5">
      <w:pPr>
        <w:rPr>
          <w:rFonts w:cs="Times New Roman"/>
          <w:kern w:val="2"/>
          <w:highlight w:val="yellow"/>
          <w:lang w:val="en-US"/>
        </w:rPr>
      </w:pPr>
      <w:r>
        <w:rPr>
          <w:rFonts w:cs="Times New Roman"/>
          <w:kern w:val="2"/>
          <w:highlight w:val="yellow"/>
          <w:lang w:val="en-US"/>
        </w:rPr>
        <w:t>Author(s) hereby declare that NO generative AI technologies such as Large Language Models (</w:t>
      </w:r>
      <w:proofErr w:type="spellStart"/>
      <w:r>
        <w:rPr>
          <w:rFonts w:cs="Times New Roman"/>
          <w:kern w:val="2"/>
          <w:highlight w:val="yellow"/>
          <w:lang w:val="en-US"/>
        </w:rPr>
        <w:t>ChatGPT</w:t>
      </w:r>
      <w:proofErr w:type="spellEnd"/>
      <w:r>
        <w:rPr>
          <w:rFonts w:cs="Times New Roman"/>
          <w:kern w:val="2"/>
          <w:highlight w:val="yellow"/>
          <w:lang w:val="en-US"/>
        </w:rPr>
        <w:t xml:space="preserve">, COPILOT, etc.) and text-to-image generators have been used during the writing or editing of this manuscript. </w:t>
      </w:r>
    </w:p>
    <w:p w:rsidR="00F26026" w:rsidRDefault="002457E5">
      <w:pPr>
        <w:rPr>
          <w:rFonts w:cs="Times New Roman"/>
          <w:kern w:val="2"/>
          <w:highlight w:val="yellow"/>
          <w:lang w:val="en-US"/>
        </w:rPr>
      </w:pPr>
      <w:r>
        <w:rPr>
          <w:rFonts w:cs="Times New Roman"/>
          <w:kern w:val="2"/>
          <w:highlight w:val="yellow"/>
          <w:lang w:val="en-US"/>
        </w:rPr>
        <w:t xml:space="preserve">Option 2: </w:t>
      </w:r>
    </w:p>
    <w:p w:rsidR="00F26026" w:rsidRDefault="002457E5">
      <w:pPr>
        <w:rPr>
          <w:rFonts w:cs="Times New Roman"/>
          <w:kern w:val="2"/>
          <w:highlight w:val="yellow"/>
          <w:lang w:val="en-US"/>
        </w:rPr>
      </w:pPr>
      <w:r>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26026" w:rsidRDefault="002457E5">
      <w:pPr>
        <w:rPr>
          <w:rFonts w:cs="Times New Roman"/>
          <w:kern w:val="2"/>
          <w:highlight w:val="yellow"/>
          <w:lang w:val="en-US"/>
        </w:rPr>
      </w:pPr>
      <w:r>
        <w:rPr>
          <w:rFonts w:cs="Times New Roman"/>
          <w:kern w:val="2"/>
          <w:highlight w:val="yellow"/>
          <w:lang w:val="en-US"/>
        </w:rPr>
        <w:t>Details of the AI usage are given below:</w:t>
      </w:r>
    </w:p>
    <w:p w:rsidR="00F26026" w:rsidRDefault="002457E5">
      <w:pPr>
        <w:rPr>
          <w:rFonts w:cs="Times New Roman"/>
          <w:kern w:val="2"/>
          <w:highlight w:val="yellow"/>
          <w:lang w:val="en-US"/>
        </w:rPr>
      </w:pPr>
      <w:r>
        <w:rPr>
          <w:rFonts w:cs="Times New Roman"/>
          <w:kern w:val="2"/>
          <w:highlight w:val="yellow"/>
          <w:lang w:val="en-US"/>
        </w:rPr>
        <w:t>1.</w:t>
      </w:r>
    </w:p>
    <w:p w:rsidR="00F26026" w:rsidRDefault="002457E5">
      <w:pPr>
        <w:rPr>
          <w:rFonts w:cs="Times New Roman"/>
          <w:kern w:val="2"/>
          <w:highlight w:val="yellow"/>
          <w:lang w:val="en-US"/>
        </w:rPr>
      </w:pPr>
      <w:r>
        <w:rPr>
          <w:rFonts w:cs="Times New Roman"/>
          <w:kern w:val="2"/>
          <w:highlight w:val="yellow"/>
          <w:lang w:val="en-US"/>
        </w:rPr>
        <w:t>2.</w:t>
      </w:r>
    </w:p>
    <w:p w:rsidR="00F26026" w:rsidRDefault="002457E5">
      <w:pPr>
        <w:rPr>
          <w:rFonts w:cs="Times New Roman"/>
          <w:kern w:val="2"/>
          <w:lang w:val="en-US"/>
        </w:rPr>
      </w:pPr>
      <w:bookmarkStart w:id="4" w:name="_Hlk197682629"/>
      <w:bookmarkEnd w:id="0"/>
      <w:r>
        <w:rPr>
          <w:rFonts w:cs="Times New Roman"/>
          <w:kern w:val="2"/>
          <w:highlight w:val="yellow"/>
          <w:lang w:val="en-US"/>
        </w:rPr>
        <w:t>3.</w:t>
      </w:r>
      <w:bookmarkStart w:id="5" w:name="_Hlk187485061"/>
      <w:bookmarkEnd w:id="1"/>
      <w:bookmarkEnd w:id="2"/>
      <w:bookmarkEnd w:id="4"/>
    </w:p>
    <w:bookmarkEnd w:id="3"/>
    <w:bookmarkEnd w:id="5"/>
    <w:p w:rsidR="00F26026" w:rsidRDefault="00F26026">
      <w:pPr>
        <w:spacing w:after="0" w:line="276" w:lineRule="auto"/>
        <w:ind w:left="-142"/>
        <w:jc w:val="both"/>
        <w:rPr>
          <w:rFonts w:ascii="Times New Roman"/>
          <w:b/>
          <w:sz w:val="24"/>
          <w:szCs w:val="24"/>
        </w:rPr>
      </w:pPr>
    </w:p>
    <w:p w:rsidR="00F26026" w:rsidRDefault="00F26026">
      <w:pPr>
        <w:spacing w:after="0" w:line="276" w:lineRule="auto"/>
        <w:ind w:left="-142"/>
        <w:jc w:val="both"/>
        <w:rPr>
          <w:rFonts w:ascii="Times New Roman"/>
          <w:b/>
          <w:sz w:val="24"/>
          <w:szCs w:val="24"/>
        </w:rPr>
      </w:pPr>
    </w:p>
    <w:p w:rsidR="00F26026" w:rsidRDefault="00F26026">
      <w:pPr>
        <w:spacing w:after="0" w:line="276" w:lineRule="auto"/>
        <w:ind w:left="-142"/>
        <w:jc w:val="both"/>
        <w:rPr>
          <w:rFonts w:ascii="Times New Roman"/>
          <w:b/>
          <w:sz w:val="24"/>
          <w:szCs w:val="24"/>
        </w:rPr>
      </w:pPr>
    </w:p>
    <w:p w:rsidR="00F26026" w:rsidRDefault="002457E5">
      <w:pPr>
        <w:pStyle w:val="ListParagraph"/>
        <w:numPr>
          <w:ilvl w:val="0"/>
          <w:numId w:val="1"/>
        </w:numPr>
        <w:spacing w:after="0" w:line="276" w:lineRule="auto"/>
        <w:jc w:val="both"/>
        <w:rPr>
          <w:rFonts w:ascii="Times New Roman"/>
          <w:b/>
          <w:sz w:val="24"/>
          <w:szCs w:val="24"/>
        </w:rPr>
      </w:pPr>
      <w:r>
        <w:rPr>
          <w:rFonts w:ascii="Times New Roman"/>
          <w:b/>
          <w:sz w:val="24"/>
          <w:szCs w:val="24"/>
        </w:rPr>
        <w:t>REFERENCES</w:t>
      </w:r>
    </w:p>
    <w:p w:rsidR="00F26026" w:rsidRDefault="00F26026">
      <w:pPr>
        <w:pStyle w:val="ListParagraph"/>
        <w:spacing w:after="0" w:line="276" w:lineRule="auto"/>
        <w:ind w:left="218"/>
        <w:jc w:val="both"/>
        <w:rPr>
          <w:rFonts w:ascii="Times New Roman"/>
          <w:b/>
          <w:sz w:val="24"/>
          <w:szCs w:val="24"/>
        </w:rPr>
      </w:pPr>
    </w:p>
    <w:p w:rsidR="00F26026" w:rsidRPr="00FC3887" w:rsidRDefault="002457E5" w:rsidP="00FC3887">
      <w:pPr>
        <w:pStyle w:val="ListParagraph"/>
        <w:numPr>
          <w:ilvl w:val="0"/>
          <w:numId w:val="3"/>
        </w:numPr>
        <w:spacing w:line="240" w:lineRule="auto"/>
        <w:rPr>
          <w:rFonts w:ascii="Times New Roman" w:hAnsi="Times New Roman" w:cs="Times New Roman"/>
          <w:sz w:val="24"/>
          <w:szCs w:val="24"/>
        </w:rPr>
      </w:pPr>
      <w:r w:rsidRPr="00FC3887">
        <w:rPr>
          <w:rFonts w:ascii="Times New Roman" w:hAnsi="Times New Roman" w:cs="Times New Roman"/>
          <w:sz w:val="24"/>
          <w:szCs w:val="24"/>
        </w:rPr>
        <w:lastRenderedPageBreak/>
        <w:t xml:space="preserve">Dubey, R.S., Verma, N.K., Naidu, M.A., &amp; Shukla, A.K. (2024). Hepatoprotective activity of polyherbal formulation against paracetamol intoxication in Wistar rats. </w:t>
      </w:r>
      <w:r w:rsidRPr="00FC3887">
        <w:rPr>
          <w:rFonts w:ascii="Times New Roman" w:hAnsi="Times New Roman" w:cs="Times New Roman"/>
          <w:i/>
          <w:sz w:val="24"/>
          <w:szCs w:val="24"/>
        </w:rPr>
        <w:t>Research Journal of Pharmacy and Technology,</w:t>
      </w:r>
      <w:r w:rsidRPr="00FC3887">
        <w:rPr>
          <w:rFonts w:ascii="Times New Roman" w:hAnsi="Times New Roman" w:cs="Times New Roman"/>
          <w:sz w:val="24"/>
          <w:szCs w:val="24"/>
        </w:rPr>
        <w:t xml:space="preserve"> </w:t>
      </w:r>
      <w:r w:rsidRPr="00FC3887">
        <w:rPr>
          <w:rFonts w:ascii="Times New Roman" w:hAnsi="Times New Roman" w:cs="Times New Roman"/>
          <w:i/>
          <w:sz w:val="24"/>
          <w:szCs w:val="24"/>
        </w:rPr>
        <w:t>17</w:t>
      </w:r>
      <w:r w:rsidRPr="00FC3887">
        <w:rPr>
          <w:rFonts w:ascii="Times New Roman" w:hAnsi="Times New Roman" w:cs="Times New Roman"/>
          <w:sz w:val="24"/>
          <w:szCs w:val="24"/>
        </w:rPr>
        <w:t>(7), 3127–3131.</w:t>
      </w:r>
    </w:p>
    <w:p w:rsidR="00F26026" w:rsidRPr="00FC3887" w:rsidRDefault="002457E5" w:rsidP="00FC3887">
      <w:pPr>
        <w:pStyle w:val="ListParagraph"/>
        <w:numPr>
          <w:ilvl w:val="0"/>
          <w:numId w:val="3"/>
        </w:numPr>
        <w:rPr>
          <w:rFonts w:ascii="Times New Roman" w:hAnsi="Times New Roman" w:cs="Times New Roman"/>
          <w:sz w:val="24"/>
          <w:szCs w:val="24"/>
        </w:rPr>
      </w:pPr>
      <w:r w:rsidRPr="00FC3887">
        <w:rPr>
          <w:rFonts w:ascii="Times New Roman" w:hAnsi="Times New Roman" w:cs="Times New Roman"/>
          <w:sz w:val="24"/>
          <w:szCs w:val="24"/>
        </w:rPr>
        <w:t>He, J., Wei, C., Li, Y., Liu, Y., Wang, Y., Pan, J., Liu, J., Wu, Y., &amp; Cui, S. (2018). Zearalenone and alpha-</w:t>
      </w:r>
      <w:proofErr w:type="spellStart"/>
      <w:r w:rsidRPr="00FC3887">
        <w:rPr>
          <w:rFonts w:ascii="Times New Roman" w:hAnsi="Times New Roman" w:cs="Times New Roman"/>
          <w:sz w:val="24"/>
          <w:szCs w:val="24"/>
        </w:rPr>
        <w:t>zearalenol</w:t>
      </w:r>
      <w:proofErr w:type="spellEnd"/>
      <w:r w:rsidRPr="00FC3887">
        <w:rPr>
          <w:rFonts w:ascii="Times New Roman" w:hAnsi="Times New Roman" w:cs="Times New Roman"/>
          <w:sz w:val="24"/>
          <w:szCs w:val="24"/>
        </w:rPr>
        <w:t xml:space="preserve"> inhibit the synthesis and secretion of pig follicle-stimulating hormone via the non-classical </w:t>
      </w:r>
      <w:proofErr w:type="spellStart"/>
      <w:r w:rsidRPr="00FC3887">
        <w:rPr>
          <w:rFonts w:ascii="Times New Roman" w:hAnsi="Times New Roman" w:cs="Times New Roman"/>
          <w:sz w:val="24"/>
          <w:szCs w:val="24"/>
        </w:rPr>
        <w:t>estrogen</w:t>
      </w:r>
      <w:proofErr w:type="spellEnd"/>
      <w:r w:rsidRPr="00FC3887">
        <w:rPr>
          <w:rFonts w:ascii="Times New Roman" w:hAnsi="Times New Roman" w:cs="Times New Roman"/>
          <w:sz w:val="24"/>
          <w:szCs w:val="24"/>
        </w:rPr>
        <w:t xml:space="preserve"> membrane receptor GPR30. </w:t>
      </w:r>
      <w:r w:rsidRPr="00FC3887">
        <w:rPr>
          <w:rFonts w:ascii="Times New Roman" w:hAnsi="Times New Roman" w:cs="Times New Roman"/>
          <w:i/>
          <w:sz w:val="24"/>
          <w:szCs w:val="24"/>
        </w:rPr>
        <w:t>Journal of</w:t>
      </w:r>
      <w:r w:rsidRPr="00FC3887">
        <w:rPr>
          <w:rFonts w:ascii="Times New Roman" w:hAnsi="Times New Roman" w:cs="Times New Roman"/>
          <w:sz w:val="24"/>
          <w:szCs w:val="24"/>
        </w:rPr>
        <w:t xml:space="preserve"> </w:t>
      </w:r>
      <w:r w:rsidRPr="00FC3887">
        <w:rPr>
          <w:rFonts w:ascii="Times New Roman" w:hAnsi="Times New Roman" w:cs="Times New Roman"/>
          <w:i/>
          <w:sz w:val="24"/>
          <w:szCs w:val="24"/>
        </w:rPr>
        <w:t>Molecular and Cellular Endocrinology</w:t>
      </w:r>
      <w:r w:rsidRPr="00FC3887">
        <w:rPr>
          <w:rFonts w:ascii="Times New Roman" w:hAnsi="Times New Roman" w:cs="Times New Roman"/>
          <w:sz w:val="24"/>
          <w:szCs w:val="24"/>
        </w:rPr>
        <w:t xml:space="preserve">, </w:t>
      </w:r>
      <w:r w:rsidRPr="00FC3887">
        <w:rPr>
          <w:rFonts w:ascii="Times New Roman" w:hAnsi="Times New Roman" w:cs="Times New Roman"/>
          <w:i/>
          <w:sz w:val="24"/>
          <w:szCs w:val="24"/>
        </w:rPr>
        <w:t>46</w:t>
      </w:r>
      <w:r w:rsidRPr="00FC3887">
        <w:rPr>
          <w:rFonts w:ascii="Times New Roman" w:hAnsi="Times New Roman" w:cs="Times New Roman"/>
          <w:sz w:val="24"/>
          <w:szCs w:val="24"/>
        </w:rPr>
        <w:t xml:space="preserve">(1), 43–54. </w:t>
      </w:r>
    </w:p>
    <w:p w:rsidR="00F26026" w:rsidRPr="00FC3887" w:rsidRDefault="002457E5" w:rsidP="00FC3887">
      <w:pPr>
        <w:pStyle w:val="ListParagraph"/>
        <w:numPr>
          <w:ilvl w:val="0"/>
          <w:numId w:val="3"/>
        </w:numPr>
        <w:spacing w:line="240" w:lineRule="auto"/>
        <w:rPr>
          <w:rFonts w:ascii="Times New Roman" w:hAnsi="Times New Roman" w:cs="Times New Roman"/>
          <w:sz w:val="24"/>
          <w:szCs w:val="24"/>
        </w:rPr>
      </w:pPr>
      <w:proofErr w:type="spellStart"/>
      <w:r w:rsidRPr="00FC3887">
        <w:rPr>
          <w:rFonts w:ascii="Times New Roman" w:hAnsi="Times New Roman" w:cs="Times New Roman"/>
          <w:sz w:val="24"/>
          <w:szCs w:val="24"/>
        </w:rPr>
        <w:t>Lorke</w:t>
      </w:r>
      <w:proofErr w:type="spellEnd"/>
      <w:r w:rsidRPr="00FC3887">
        <w:rPr>
          <w:rFonts w:ascii="Times New Roman" w:hAnsi="Times New Roman" w:cs="Times New Roman"/>
          <w:sz w:val="24"/>
          <w:szCs w:val="24"/>
        </w:rPr>
        <w:t xml:space="preserve">, D. (1983). A new approach to practical acute toxicity testing. </w:t>
      </w:r>
      <w:r w:rsidRPr="00FC3887">
        <w:rPr>
          <w:rFonts w:ascii="Times New Roman" w:hAnsi="Times New Roman" w:cs="Times New Roman"/>
          <w:i/>
          <w:sz w:val="24"/>
          <w:szCs w:val="24"/>
        </w:rPr>
        <w:t>Archives of Toxicology</w:t>
      </w:r>
      <w:r w:rsidRPr="00FC3887">
        <w:rPr>
          <w:rFonts w:ascii="Times New Roman" w:hAnsi="Times New Roman" w:cs="Times New Roman"/>
          <w:sz w:val="24"/>
          <w:szCs w:val="24"/>
        </w:rPr>
        <w:t xml:space="preserve">, 54(4), 275–287. </w:t>
      </w:r>
    </w:p>
    <w:p w:rsidR="00F26026" w:rsidRPr="00FC3887" w:rsidRDefault="002457E5" w:rsidP="00FC3887">
      <w:pPr>
        <w:pStyle w:val="ListParagraph"/>
        <w:numPr>
          <w:ilvl w:val="0"/>
          <w:numId w:val="3"/>
        </w:numPr>
        <w:spacing w:after="0"/>
        <w:rPr>
          <w:rFonts w:ascii="Times New Roman" w:hAnsi="Times New Roman" w:cs="Times New Roman"/>
          <w:sz w:val="24"/>
          <w:szCs w:val="24"/>
        </w:rPr>
      </w:pPr>
      <w:proofErr w:type="spellStart"/>
      <w:r w:rsidRPr="00FC3887">
        <w:rPr>
          <w:rFonts w:ascii="Times New Roman" w:hAnsi="Times New Roman" w:cs="Times New Roman"/>
          <w:sz w:val="24"/>
          <w:szCs w:val="24"/>
        </w:rPr>
        <w:t>Markbere</w:t>
      </w:r>
      <w:proofErr w:type="spellEnd"/>
      <w:r w:rsidRPr="00FC3887">
        <w:rPr>
          <w:rFonts w:ascii="Times New Roman" w:hAnsi="Times New Roman" w:cs="Times New Roman"/>
          <w:sz w:val="24"/>
          <w:szCs w:val="24"/>
        </w:rPr>
        <w:t xml:space="preserve">, O. B., &amp; </w:t>
      </w:r>
      <w:proofErr w:type="spellStart"/>
      <w:r w:rsidRPr="00FC3887">
        <w:rPr>
          <w:rFonts w:ascii="Times New Roman" w:hAnsi="Times New Roman" w:cs="Times New Roman"/>
          <w:sz w:val="24"/>
          <w:szCs w:val="24"/>
        </w:rPr>
        <w:t>Ogoun</w:t>
      </w:r>
      <w:proofErr w:type="spellEnd"/>
      <w:r w:rsidRPr="00FC3887">
        <w:rPr>
          <w:rFonts w:ascii="Times New Roman" w:hAnsi="Times New Roman" w:cs="Times New Roman"/>
          <w:sz w:val="24"/>
          <w:szCs w:val="24"/>
        </w:rPr>
        <w:t xml:space="preserve">, T. R. (2022). Effect of Vino </w:t>
      </w:r>
      <w:proofErr w:type="spellStart"/>
      <w:r w:rsidRPr="00FC3887">
        <w:rPr>
          <w:rFonts w:ascii="Times New Roman" w:hAnsi="Times New Roman" w:cs="Times New Roman"/>
          <w:sz w:val="24"/>
          <w:szCs w:val="24"/>
        </w:rPr>
        <w:t>Gano</w:t>
      </w:r>
      <w:proofErr w:type="spellEnd"/>
      <w:r w:rsidRPr="00FC3887">
        <w:rPr>
          <w:rFonts w:ascii="Times New Roman" w:hAnsi="Times New Roman" w:cs="Times New Roman"/>
          <w:sz w:val="24"/>
          <w:szCs w:val="24"/>
        </w:rPr>
        <w:t xml:space="preserve"> Ginger and Herbal Liquor on the </w:t>
      </w:r>
      <w:proofErr w:type="spellStart"/>
      <w:r w:rsidRPr="00FC3887">
        <w:rPr>
          <w:rFonts w:ascii="Times New Roman" w:hAnsi="Times New Roman" w:cs="Times New Roman"/>
          <w:sz w:val="24"/>
          <w:szCs w:val="24"/>
        </w:rPr>
        <w:t>hematological</w:t>
      </w:r>
      <w:proofErr w:type="spellEnd"/>
      <w:r w:rsidRPr="00FC3887">
        <w:rPr>
          <w:rFonts w:ascii="Times New Roman" w:hAnsi="Times New Roman" w:cs="Times New Roman"/>
          <w:sz w:val="24"/>
          <w:szCs w:val="24"/>
        </w:rPr>
        <w:t xml:space="preserve"> parameters of the Wistar rats. </w:t>
      </w:r>
      <w:r w:rsidRPr="00FC3887">
        <w:rPr>
          <w:rFonts w:ascii="Times New Roman" w:hAnsi="Times New Roman" w:cs="Times New Roman"/>
          <w:i/>
          <w:sz w:val="24"/>
          <w:szCs w:val="24"/>
        </w:rPr>
        <w:t>International Journal of Innovative Science and Research Technology, 1</w:t>
      </w:r>
      <w:r w:rsidRPr="00FC3887">
        <w:rPr>
          <w:rFonts w:ascii="Times New Roman" w:hAnsi="Times New Roman" w:cs="Times New Roman"/>
          <w:sz w:val="24"/>
          <w:szCs w:val="24"/>
        </w:rPr>
        <w:t>(7), 773.</w:t>
      </w:r>
    </w:p>
    <w:p w:rsidR="00F26026" w:rsidRPr="00FC3887" w:rsidRDefault="002457E5" w:rsidP="00FC3887">
      <w:pPr>
        <w:pStyle w:val="ListParagraph"/>
        <w:numPr>
          <w:ilvl w:val="0"/>
          <w:numId w:val="3"/>
        </w:numPr>
        <w:rPr>
          <w:rFonts w:ascii="Times New Roman" w:hAnsi="Times New Roman" w:cs="Times New Roman"/>
          <w:sz w:val="24"/>
          <w:szCs w:val="24"/>
        </w:rPr>
      </w:pPr>
      <w:proofErr w:type="spellStart"/>
      <w:r w:rsidRPr="00FC3887">
        <w:rPr>
          <w:rFonts w:ascii="Times New Roman" w:hAnsi="Times New Roman" w:cs="Times New Roman"/>
          <w:sz w:val="24"/>
          <w:szCs w:val="24"/>
        </w:rPr>
        <w:t>Ogbuewu</w:t>
      </w:r>
      <w:proofErr w:type="spellEnd"/>
      <w:r w:rsidRPr="00FC3887">
        <w:rPr>
          <w:rFonts w:ascii="Times New Roman" w:hAnsi="Times New Roman" w:cs="Times New Roman"/>
          <w:sz w:val="24"/>
          <w:szCs w:val="24"/>
        </w:rPr>
        <w:t xml:space="preserve">, I. P., </w:t>
      </w:r>
      <w:proofErr w:type="spellStart"/>
      <w:r w:rsidRPr="00FC3887">
        <w:rPr>
          <w:rFonts w:ascii="Times New Roman" w:hAnsi="Times New Roman" w:cs="Times New Roman"/>
          <w:sz w:val="24"/>
          <w:szCs w:val="24"/>
        </w:rPr>
        <w:t>Emenalom</w:t>
      </w:r>
      <w:proofErr w:type="spellEnd"/>
      <w:r w:rsidRPr="00FC3887">
        <w:rPr>
          <w:rFonts w:ascii="Times New Roman" w:hAnsi="Times New Roman" w:cs="Times New Roman"/>
          <w:sz w:val="24"/>
          <w:szCs w:val="24"/>
        </w:rPr>
        <w:t xml:space="preserve">, O. O., &amp; </w:t>
      </w:r>
      <w:proofErr w:type="spellStart"/>
      <w:r w:rsidRPr="00FC3887">
        <w:rPr>
          <w:rFonts w:ascii="Times New Roman" w:hAnsi="Times New Roman" w:cs="Times New Roman"/>
          <w:sz w:val="24"/>
          <w:szCs w:val="24"/>
        </w:rPr>
        <w:t>Uchegbu</w:t>
      </w:r>
      <w:proofErr w:type="spellEnd"/>
      <w:r w:rsidRPr="00FC3887">
        <w:rPr>
          <w:rFonts w:ascii="Times New Roman" w:hAnsi="Times New Roman" w:cs="Times New Roman"/>
          <w:sz w:val="24"/>
          <w:szCs w:val="24"/>
        </w:rPr>
        <w:t xml:space="preserve">, M. C. (2011). The potentiality of medicinal plants as the source of new contraceptive principles in males. </w:t>
      </w:r>
      <w:r w:rsidRPr="00FC3887">
        <w:rPr>
          <w:rFonts w:ascii="Times New Roman" w:hAnsi="Times New Roman" w:cs="Times New Roman"/>
          <w:i/>
          <w:sz w:val="24"/>
          <w:szCs w:val="24"/>
        </w:rPr>
        <w:t>North American Journal of Medical Sciences</w:t>
      </w:r>
      <w:r w:rsidRPr="00FC3887">
        <w:rPr>
          <w:rFonts w:ascii="Times New Roman" w:hAnsi="Times New Roman" w:cs="Times New Roman"/>
          <w:sz w:val="24"/>
          <w:szCs w:val="24"/>
        </w:rPr>
        <w:t xml:space="preserve">, </w:t>
      </w:r>
      <w:r w:rsidRPr="00FC3887">
        <w:rPr>
          <w:rFonts w:ascii="Times New Roman" w:hAnsi="Times New Roman" w:cs="Times New Roman"/>
          <w:i/>
          <w:sz w:val="24"/>
          <w:szCs w:val="24"/>
        </w:rPr>
        <w:t>3</w:t>
      </w:r>
      <w:r w:rsidRPr="00FC3887">
        <w:rPr>
          <w:rFonts w:ascii="Times New Roman" w:hAnsi="Times New Roman" w:cs="Times New Roman"/>
          <w:sz w:val="24"/>
          <w:szCs w:val="24"/>
        </w:rPr>
        <w:t xml:space="preserve">(6), 255–263. </w:t>
      </w:r>
    </w:p>
    <w:p w:rsidR="00F26026" w:rsidRPr="00FC3887" w:rsidRDefault="002457E5" w:rsidP="00FC3887">
      <w:pPr>
        <w:pStyle w:val="ListParagraph"/>
        <w:numPr>
          <w:ilvl w:val="0"/>
          <w:numId w:val="3"/>
        </w:numPr>
        <w:rPr>
          <w:rFonts w:ascii="Times New Roman" w:hAnsi="Times New Roman" w:cs="Times New Roman"/>
          <w:sz w:val="24"/>
          <w:szCs w:val="24"/>
        </w:rPr>
      </w:pPr>
      <w:proofErr w:type="spellStart"/>
      <w:r w:rsidRPr="00FC3887">
        <w:rPr>
          <w:rFonts w:ascii="Times New Roman" w:hAnsi="Times New Roman" w:cs="Times New Roman"/>
          <w:sz w:val="24"/>
          <w:szCs w:val="24"/>
        </w:rPr>
        <w:t>Patisaul</w:t>
      </w:r>
      <w:proofErr w:type="spellEnd"/>
      <w:r w:rsidRPr="00FC3887">
        <w:rPr>
          <w:rFonts w:ascii="Times New Roman" w:hAnsi="Times New Roman" w:cs="Times New Roman"/>
          <w:sz w:val="24"/>
          <w:szCs w:val="24"/>
        </w:rPr>
        <w:t xml:space="preserve">, H. B., &amp; Jefferson, W. (2010). The pros and cons of phytoestrogens. </w:t>
      </w:r>
      <w:r w:rsidRPr="00FC3887">
        <w:rPr>
          <w:rFonts w:ascii="Times New Roman" w:hAnsi="Times New Roman" w:cs="Times New Roman"/>
          <w:i/>
          <w:sz w:val="24"/>
          <w:szCs w:val="24"/>
        </w:rPr>
        <w:t>Frontiers in Neuroendocrinology</w:t>
      </w:r>
      <w:r w:rsidRPr="00FC3887">
        <w:rPr>
          <w:rFonts w:ascii="Times New Roman" w:hAnsi="Times New Roman" w:cs="Times New Roman"/>
          <w:sz w:val="24"/>
          <w:szCs w:val="24"/>
        </w:rPr>
        <w:t xml:space="preserve">, </w:t>
      </w:r>
      <w:r w:rsidRPr="00FC3887">
        <w:rPr>
          <w:rFonts w:ascii="Times New Roman" w:hAnsi="Times New Roman" w:cs="Times New Roman"/>
          <w:i/>
          <w:sz w:val="24"/>
          <w:szCs w:val="24"/>
        </w:rPr>
        <w:t>31</w:t>
      </w:r>
      <w:r w:rsidRPr="00FC3887">
        <w:rPr>
          <w:rFonts w:ascii="Times New Roman" w:hAnsi="Times New Roman" w:cs="Times New Roman"/>
          <w:sz w:val="24"/>
          <w:szCs w:val="24"/>
        </w:rPr>
        <w:t xml:space="preserve">(4), 400–419. </w:t>
      </w:r>
    </w:p>
    <w:p w:rsidR="00F26026" w:rsidRPr="00FC3887" w:rsidRDefault="002457E5" w:rsidP="00FC3887">
      <w:pPr>
        <w:pStyle w:val="ListParagraph"/>
        <w:numPr>
          <w:ilvl w:val="0"/>
          <w:numId w:val="3"/>
        </w:numPr>
        <w:spacing w:after="0"/>
        <w:rPr>
          <w:rFonts w:ascii="Times New Roman" w:hAnsi="Times New Roman" w:cs="Times New Roman"/>
          <w:sz w:val="24"/>
          <w:szCs w:val="24"/>
        </w:rPr>
      </w:pPr>
      <w:r w:rsidRPr="00FC3887">
        <w:rPr>
          <w:rFonts w:ascii="Times New Roman" w:hAnsi="Times New Roman" w:cs="Times New Roman"/>
          <w:sz w:val="24"/>
          <w:szCs w:val="24"/>
        </w:rPr>
        <w:t xml:space="preserve">Rastogi, S., Pandey, M. M., &amp; Rawat, A. K. S. (2016). Traditional herbs: A remedy for cardiovascular disorders. </w:t>
      </w:r>
      <w:r w:rsidRPr="00FC3887">
        <w:rPr>
          <w:rFonts w:ascii="Times New Roman" w:hAnsi="Times New Roman" w:cs="Times New Roman"/>
          <w:i/>
          <w:sz w:val="24"/>
          <w:szCs w:val="24"/>
        </w:rPr>
        <w:t>Phytomedicine, 23</w:t>
      </w:r>
      <w:r w:rsidRPr="00FC3887">
        <w:rPr>
          <w:rFonts w:ascii="Times New Roman" w:hAnsi="Times New Roman" w:cs="Times New Roman"/>
          <w:sz w:val="24"/>
          <w:szCs w:val="24"/>
        </w:rPr>
        <w:t>(11), 1082-1089.</w:t>
      </w:r>
    </w:p>
    <w:p w:rsidR="00F26026" w:rsidRPr="00FC3887" w:rsidRDefault="002457E5" w:rsidP="00FC3887">
      <w:pPr>
        <w:pStyle w:val="ListParagraph"/>
        <w:numPr>
          <w:ilvl w:val="0"/>
          <w:numId w:val="3"/>
        </w:numPr>
        <w:spacing w:after="0"/>
        <w:rPr>
          <w:rFonts w:ascii="Times New Roman" w:hAnsi="Times New Roman" w:cs="Times New Roman"/>
          <w:sz w:val="24"/>
          <w:szCs w:val="24"/>
        </w:rPr>
      </w:pPr>
      <w:r w:rsidRPr="00FC3887">
        <w:rPr>
          <w:rFonts w:ascii="Times New Roman" w:hAnsi="Times New Roman" w:cs="Times New Roman"/>
          <w:sz w:val="24"/>
          <w:szCs w:val="24"/>
        </w:rPr>
        <w:t xml:space="preserve">Rickert, A., Khurana, A. S., Deshmukh, S. D., </w:t>
      </w:r>
      <w:proofErr w:type="spellStart"/>
      <w:r w:rsidRPr="00FC3887">
        <w:rPr>
          <w:rFonts w:ascii="Times New Roman" w:hAnsi="Times New Roman" w:cs="Times New Roman"/>
          <w:sz w:val="24"/>
          <w:szCs w:val="24"/>
        </w:rPr>
        <w:t>Kakrani</w:t>
      </w:r>
      <w:proofErr w:type="spellEnd"/>
      <w:r w:rsidRPr="00FC3887">
        <w:rPr>
          <w:rFonts w:ascii="Times New Roman" w:hAnsi="Times New Roman" w:cs="Times New Roman"/>
          <w:sz w:val="24"/>
          <w:szCs w:val="24"/>
        </w:rPr>
        <w:t xml:space="preserve">, A. L., </w:t>
      </w:r>
      <w:proofErr w:type="spellStart"/>
      <w:r w:rsidRPr="00FC3887">
        <w:rPr>
          <w:rFonts w:ascii="Times New Roman" w:hAnsi="Times New Roman" w:cs="Times New Roman"/>
          <w:sz w:val="24"/>
          <w:szCs w:val="24"/>
        </w:rPr>
        <w:t>Katdare</w:t>
      </w:r>
      <w:proofErr w:type="spellEnd"/>
      <w:r w:rsidRPr="00FC3887">
        <w:rPr>
          <w:rFonts w:ascii="Times New Roman" w:hAnsi="Times New Roman" w:cs="Times New Roman"/>
          <w:sz w:val="24"/>
          <w:szCs w:val="24"/>
        </w:rPr>
        <w:t xml:space="preserve">, A. D., &amp; Inamdar, A. K. (2000). Platelet volume indices in patients with coronary artery disease and acute myocardial infarction: An Indian scenario. </w:t>
      </w:r>
      <w:r w:rsidRPr="00FC3887">
        <w:rPr>
          <w:rFonts w:ascii="Times New Roman" w:hAnsi="Times New Roman" w:cs="Times New Roman"/>
          <w:i/>
          <w:sz w:val="24"/>
          <w:szCs w:val="24"/>
        </w:rPr>
        <w:t>Journal of Clinical Pathology, 59</w:t>
      </w:r>
      <w:r w:rsidRPr="00FC3887">
        <w:rPr>
          <w:rFonts w:ascii="Times New Roman" w:hAnsi="Times New Roman" w:cs="Times New Roman"/>
          <w:sz w:val="24"/>
          <w:szCs w:val="24"/>
        </w:rPr>
        <w:t>(2), 146-149.</w:t>
      </w:r>
    </w:p>
    <w:p w:rsidR="00F26026" w:rsidRPr="00FC3887" w:rsidRDefault="002457E5" w:rsidP="00FC3887">
      <w:pPr>
        <w:pStyle w:val="ListParagraph"/>
        <w:numPr>
          <w:ilvl w:val="0"/>
          <w:numId w:val="3"/>
        </w:numPr>
        <w:jc w:val="both"/>
        <w:rPr>
          <w:rFonts w:ascii="Times New Roman" w:hAnsi="Times New Roman" w:cs="Times New Roman"/>
          <w:sz w:val="24"/>
          <w:szCs w:val="24"/>
        </w:rPr>
      </w:pPr>
      <w:bookmarkStart w:id="6" w:name="_GoBack"/>
      <w:bookmarkEnd w:id="6"/>
      <w:proofErr w:type="spellStart"/>
      <w:r w:rsidRPr="00FC3887">
        <w:rPr>
          <w:rFonts w:ascii="Times New Roman" w:hAnsi="Times New Roman" w:cs="Times New Roman"/>
          <w:sz w:val="24"/>
          <w:szCs w:val="24"/>
        </w:rPr>
        <w:t>Udom</w:t>
      </w:r>
      <w:proofErr w:type="spellEnd"/>
      <w:r w:rsidRPr="00FC3887">
        <w:rPr>
          <w:rFonts w:ascii="Times New Roman" w:hAnsi="Times New Roman" w:cs="Times New Roman"/>
          <w:sz w:val="24"/>
          <w:szCs w:val="24"/>
        </w:rPr>
        <w:t xml:space="preserve">, G. J., </w:t>
      </w:r>
      <w:proofErr w:type="spellStart"/>
      <w:r w:rsidRPr="00FC3887">
        <w:rPr>
          <w:rFonts w:ascii="Times New Roman" w:hAnsi="Times New Roman" w:cs="Times New Roman"/>
          <w:sz w:val="24"/>
          <w:szCs w:val="24"/>
        </w:rPr>
        <w:t>Udobang</w:t>
      </w:r>
      <w:proofErr w:type="spellEnd"/>
      <w:r w:rsidRPr="00FC3887">
        <w:rPr>
          <w:rFonts w:ascii="Times New Roman" w:hAnsi="Times New Roman" w:cs="Times New Roman"/>
          <w:sz w:val="24"/>
          <w:szCs w:val="24"/>
        </w:rPr>
        <w:t xml:space="preserve">, J. A., </w:t>
      </w:r>
      <w:proofErr w:type="spellStart"/>
      <w:r w:rsidRPr="00FC3887">
        <w:rPr>
          <w:rFonts w:ascii="Times New Roman" w:hAnsi="Times New Roman" w:cs="Times New Roman"/>
          <w:sz w:val="24"/>
          <w:szCs w:val="24"/>
        </w:rPr>
        <w:t>Obot</w:t>
      </w:r>
      <w:proofErr w:type="spellEnd"/>
      <w:r w:rsidRPr="00FC3887">
        <w:rPr>
          <w:rFonts w:ascii="Times New Roman" w:hAnsi="Times New Roman" w:cs="Times New Roman"/>
          <w:sz w:val="24"/>
          <w:szCs w:val="24"/>
        </w:rPr>
        <w:t xml:space="preserve">, D. N., </w:t>
      </w:r>
      <w:proofErr w:type="spellStart"/>
      <w:r w:rsidRPr="00FC3887">
        <w:rPr>
          <w:rFonts w:ascii="Times New Roman" w:hAnsi="Times New Roman" w:cs="Times New Roman"/>
          <w:sz w:val="24"/>
          <w:szCs w:val="24"/>
        </w:rPr>
        <w:t>Onyeukwu</w:t>
      </w:r>
      <w:proofErr w:type="spellEnd"/>
      <w:r w:rsidRPr="00FC3887">
        <w:rPr>
          <w:rFonts w:ascii="Times New Roman" w:hAnsi="Times New Roman" w:cs="Times New Roman"/>
          <w:sz w:val="24"/>
          <w:szCs w:val="24"/>
        </w:rPr>
        <w:t xml:space="preserve">, N. J., </w:t>
      </w:r>
      <w:proofErr w:type="spellStart"/>
      <w:r w:rsidRPr="00FC3887">
        <w:rPr>
          <w:rFonts w:ascii="Times New Roman" w:hAnsi="Times New Roman" w:cs="Times New Roman"/>
          <w:sz w:val="24"/>
          <w:szCs w:val="24"/>
        </w:rPr>
        <w:t>Asuquo</w:t>
      </w:r>
      <w:proofErr w:type="spellEnd"/>
      <w:r w:rsidRPr="00FC3887">
        <w:rPr>
          <w:rFonts w:ascii="Times New Roman" w:hAnsi="Times New Roman" w:cs="Times New Roman"/>
          <w:sz w:val="24"/>
          <w:szCs w:val="24"/>
        </w:rPr>
        <w:t xml:space="preserve">, I. E., &amp; </w:t>
      </w:r>
      <w:proofErr w:type="spellStart"/>
      <w:r w:rsidRPr="00FC3887">
        <w:rPr>
          <w:rFonts w:ascii="Times New Roman" w:hAnsi="Times New Roman" w:cs="Times New Roman"/>
          <w:sz w:val="24"/>
          <w:szCs w:val="24"/>
        </w:rPr>
        <w:t>Okokon</w:t>
      </w:r>
      <w:proofErr w:type="spellEnd"/>
      <w:r w:rsidRPr="00FC3887">
        <w:rPr>
          <w:rFonts w:ascii="Times New Roman" w:hAnsi="Times New Roman" w:cs="Times New Roman"/>
          <w:sz w:val="24"/>
          <w:szCs w:val="24"/>
        </w:rPr>
        <w:t>, J. E. (2020</w:t>
      </w:r>
      <w:proofErr w:type="gramStart"/>
      <w:r w:rsidRPr="00FC3887">
        <w:rPr>
          <w:rFonts w:ascii="Times New Roman" w:hAnsi="Times New Roman" w:cs="Times New Roman"/>
          <w:sz w:val="24"/>
          <w:szCs w:val="24"/>
        </w:rPr>
        <w:t>).Toxicological</w:t>
      </w:r>
      <w:proofErr w:type="gramEnd"/>
      <w:r w:rsidRPr="00FC3887">
        <w:rPr>
          <w:rFonts w:ascii="Times New Roman" w:hAnsi="Times New Roman" w:cs="Times New Roman"/>
          <w:sz w:val="24"/>
          <w:szCs w:val="24"/>
        </w:rPr>
        <w:t xml:space="preserve"> assessment of a polyherbal mixture on organ weights and hormonal profile in Wistar rats. </w:t>
      </w:r>
      <w:r w:rsidRPr="00FC3887">
        <w:rPr>
          <w:rFonts w:ascii="Times New Roman" w:hAnsi="Times New Roman" w:cs="Times New Roman"/>
          <w:i/>
          <w:sz w:val="24"/>
          <w:szCs w:val="24"/>
        </w:rPr>
        <w:t>Asian Journal of Research and Reports in Endocrinology</w:t>
      </w:r>
      <w:r w:rsidRPr="00FC3887">
        <w:rPr>
          <w:rFonts w:ascii="Times New Roman" w:hAnsi="Times New Roman" w:cs="Times New Roman"/>
          <w:sz w:val="24"/>
          <w:szCs w:val="24"/>
        </w:rPr>
        <w:t xml:space="preserve">, </w:t>
      </w:r>
      <w:r w:rsidRPr="00FC3887">
        <w:rPr>
          <w:rFonts w:ascii="Times New Roman" w:hAnsi="Times New Roman" w:cs="Times New Roman"/>
          <w:i/>
          <w:sz w:val="24"/>
          <w:szCs w:val="24"/>
        </w:rPr>
        <w:t>3</w:t>
      </w:r>
      <w:r w:rsidRPr="00FC3887">
        <w:rPr>
          <w:rFonts w:ascii="Times New Roman" w:hAnsi="Times New Roman" w:cs="Times New Roman"/>
          <w:sz w:val="24"/>
          <w:szCs w:val="24"/>
        </w:rPr>
        <w:t>(1), 63–70.</w:t>
      </w:r>
    </w:p>
    <w:p w:rsidR="00F26026" w:rsidRPr="00FC3887" w:rsidRDefault="002457E5" w:rsidP="00FC3887">
      <w:pPr>
        <w:pStyle w:val="ListParagraph"/>
        <w:numPr>
          <w:ilvl w:val="0"/>
          <w:numId w:val="3"/>
        </w:numPr>
        <w:spacing w:after="0"/>
        <w:rPr>
          <w:rFonts w:ascii="Times New Roman" w:hAnsi="Times New Roman" w:cs="Times New Roman"/>
          <w:sz w:val="24"/>
          <w:szCs w:val="24"/>
        </w:rPr>
      </w:pPr>
      <w:r w:rsidRPr="00FC3887">
        <w:rPr>
          <w:rFonts w:ascii="Times New Roman" w:hAnsi="Times New Roman" w:cs="Times New Roman"/>
          <w:sz w:val="24"/>
          <w:szCs w:val="24"/>
        </w:rPr>
        <w:t xml:space="preserve">World Health Organization. (2005). </w:t>
      </w:r>
      <w:r w:rsidRPr="00FC3887">
        <w:rPr>
          <w:rFonts w:ascii="Times New Roman" w:hAnsi="Times New Roman" w:cs="Times New Roman"/>
          <w:i/>
          <w:sz w:val="24"/>
          <w:szCs w:val="24"/>
        </w:rPr>
        <w:t>National policy on traditional medicine and regulation of herbal medicines: Report of a WHO global survey</w:t>
      </w:r>
      <w:r w:rsidRPr="00FC3887">
        <w:rPr>
          <w:rFonts w:ascii="Times New Roman" w:hAnsi="Times New Roman" w:cs="Times New Roman"/>
          <w:sz w:val="24"/>
          <w:szCs w:val="24"/>
        </w:rPr>
        <w:t>. World Health Organization.</w:t>
      </w:r>
    </w:p>
    <w:p w:rsidR="00F26026" w:rsidRDefault="00F26026">
      <w:pPr>
        <w:pStyle w:val="ListParagraph"/>
        <w:spacing w:after="0" w:line="276" w:lineRule="auto"/>
        <w:ind w:left="218"/>
        <w:rPr>
          <w:rFonts w:ascii="Times New Roman"/>
          <w:b/>
          <w:sz w:val="24"/>
          <w:szCs w:val="24"/>
        </w:rPr>
      </w:pPr>
    </w:p>
    <w:sectPr w:rsidR="00F26026">
      <w:headerReference w:type="even" r:id="rId7"/>
      <w:headerReference w:type="default" r:id="rId8"/>
      <w:footerReference w:type="even" r:id="rId9"/>
      <w:foot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DFE" w:rsidRDefault="00362DFE">
      <w:pPr>
        <w:spacing w:after="0" w:line="240" w:lineRule="auto"/>
      </w:pPr>
      <w:r>
        <w:separator/>
      </w:r>
    </w:p>
  </w:endnote>
  <w:endnote w:type="continuationSeparator" w:id="0">
    <w:p w:rsidR="00362DFE" w:rsidRDefault="0036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eX Gyre Bon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26" w:rsidRDefault="00F26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26" w:rsidRDefault="002457E5">
    <w:pPr>
      <w:pStyle w:val="Footer"/>
      <w:jc w:val="right"/>
    </w:pPr>
    <w:r>
      <w:fldChar w:fldCharType="begin"/>
    </w:r>
    <w:r>
      <w:instrText xml:space="preserve"> PAGE   \* MERGEFORMAT </w:instrText>
    </w:r>
    <w:r>
      <w:fldChar w:fldCharType="separate"/>
    </w:r>
    <w:r>
      <w:rPr>
        <w:noProof/>
      </w:rPr>
      <w:t>2</w:t>
    </w:r>
    <w:r>
      <w:rPr>
        <w:noProof/>
      </w:rPr>
      <w:fldChar w:fldCharType="end"/>
    </w:r>
  </w:p>
  <w:p w:rsidR="00F26026" w:rsidRDefault="00F2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DFE" w:rsidRDefault="00362DFE">
      <w:pPr>
        <w:spacing w:after="0" w:line="240" w:lineRule="auto"/>
      </w:pPr>
      <w:r>
        <w:separator/>
      </w:r>
    </w:p>
  </w:footnote>
  <w:footnote w:type="continuationSeparator" w:id="0">
    <w:p w:rsidR="00362DFE" w:rsidRDefault="00362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26" w:rsidRDefault="00422F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26" w:rsidRDefault="00422F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026" w:rsidRDefault="00422F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9E0DA8"/>
    <w:lvl w:ilvl="0" w:tplc="79005F7E">
      <w:start w:val="1"/>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404422C7"/>
    <w:multiLevelType w:val="hybridMultilevel"/>
    <w:tmpl w:val="EB4669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DDF39D8"/>
    <w:multiLevelType w:val="multilevel"/>
    <w:tmpl w:val="01183094"/>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MDUyMTc3MbK0tDRX0lEKTi0uzszPAykwqgUAHOLAEiwAAAA="/>
  </w:docVars>
  <w:rsids>
    <w:rsidRoot w:val="00F26026"/>
    <w:rsid w:val="00096701"/>
    <w:rsid w:val="002457E5"/>
    <w:rsid w:val="00362DFE"/>
    <w:rsid w:val="00422F8E"/>
    <w:rsid w:val="007809BF"/>
    <w:rsid w:val="00B24FA6"/>
    <w:rsid w:val="00C473D8"/>
    <w:rsid w:val="00F26026"/>
    <w:rsid w:val="00FC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DAC2B4"/>
  <w15:docId w15:val="{EDA11722-9392-4D3B-B3E9-AB669DC5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13">
    <w:name w:val="CharAttribute13"/>
    <w:rPr>
      <w:rFonts w:ascii="Times New Roman" w:eastAsia="Calibri"/>
      <w:sz w:val="24"/>
    </w:rPr>
  </w:style>
  <w:style w:type="paragraph" w:styleId="NoSpacing">
    <w:name w:val="No Spacing"/>
    <w:link w:val="NoSpacingChar"/>
    <w:qFormat/>
    <w:pPr>
      <w:widowControl w:val="0"/>
      <w:wordWrap w:val="0"/>
      <w:autoSpaceDE w:val="0"/>
      <w:autoSpaceDN w:val="0"/>
      <w:spacing w:after="0" w:line="240" w:lineRule="auto"/>
      <w:jc w:val="both"/>
    </w:pPr>
    <w:rPr>
      <w:rFonts w:ascii="Batang" w:eastAsia="Batang" w:hAnsi="Times New Roman" w:cs="Times New Roman"/>
      <w:kern w:val="2"/>
      <w:sz w:val="20"/>
      <w:szCs w:val="20"/>
      <w:lang w:eastAsia="ko-KR"/>
    </w:rPr>
  </w:style>
  <w:style w:type="character" w:customStyle="1" w:styleId="NoSpacingChar">
    <w:name w:val="No Spacing Char"/>
    <w:link w:val="NoSpacing"/>
    <w:uiPriority w:val="1"/>
    <w:rPr>
      <w:rFonts w:ascii="Batang" w:eastAsia="Batang" w:hAnsi="Times New Roman" w:cs="Times New Roman"/>
      <w:kern w:val="2"/>
      <w:sz w:val="20"/>
      <w:szCs w:val="20"/>
      <w:lang w:eastAsia="ko-KR"/>
    </w:rPr>
  </w:style>
  <w:style w:type="paragraph" w:styleId="BodyText">
    <w:name w:val="Body Text"/>
    <w:basedOn w:val="Normal"/>
    <w:link w:val="BodyTextChar"/>
    <w:uiPriority w:val="1"/>
    <w:qFormat/>
    <w:pPr>
      <w:widowControl w:val="0"/>
      <w:autoSpaceDE w:val="0"/>
      <w:autoSpaceDN w:val="0"/>
      <w:spacing w:before="256" w:after="0" w:line="240" w:lineRule="auto"/>
      <w:ind w:left="1461" w:hanging="361"/>
    </w:pPr>
    <w:rPr>
      <w:rFonts w:ascii="TeX Gyre Bonum" w:eastAsia="TeX Gyre Bonum" w:hAnsi="TeX Gyre Bonum" w:cs="TeX Gyre Bonum"/>
      <w:sz w:val="28"/>
      <w:szCs w:val="28"/>
      <w:lang w:val="en-US"/>
    </w:rPr>
  </w:style>
  <w:style w:type="character" w:customStyle="1" w:styleId="BodyTextChar">
    <w:name w:val="Body Text Char"/>
    <w:basedOn w:val="DefaultParagraphFont"/>
    <w:link w:val="BodyText"/>
    <w:uiPriority w:val="1"/>
    <w:rPr>
      <w:rFonts w:ascii="TeX Gyre Bonum" w:eastAsia="TeX Gyre Bonum" w:hAnsi="TeX Gyre Bonum" w:cs="TeX Gyre Bonum"/>
      <w:sz w:val="28"/>
      <w:szCs w:val="28"/>
    </w:rPr>
  </w:style>
  <w:style w:type="character" w:styleId="BookTitle">
    <w:name w:val="Book Title"/>
    <w:uiPriority w:val="33"/>
    <w:qFormat/>
    <w:rPr>
      <w:rFonts w:ascii="Cambria" w:eastAsia="Times New Roman" w:hAnsi="Cambria"/>
      <w:b/>
      <w:i/>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SimSun"/>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lang w:val="en-GB"/>
    </w:rPr>
  </w:style>
  <w:style w:type="character" w:styleId="Hyperlink">
    <w:name w:val="Hyperlink"/>
    <w:rPr>
      <w:rFonts w:ascii="Calibri" w:eastAsia="SimSun" w:hAnsi="Calibri"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2601</Words>
  <Characters>14826</Characters>
  <Application>Microsoft Office Word</Application>
  <DocSecurity>0</DocSecurity>
  <Lines>123</Lines>
  <Paragraphs>34</Paragraphs>
  <ScaleCrop>false</ScaleCrop>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WOROMA</dc:creator>
  <cp:lastModifiedBy>SDI PC New 16</cp:lastModifiedBy>
  <cp:revision>217</cp:revision>
  <dcterms:created xsi:type="dcterms:W3CDTF">2025-11-03T18:27:00Z</dcterms:created>
  <dcterms:modified xsi:type="dcterms:W3CDTF">2025-11-21T07:14:00Z</dcterms:modified>
</cp:coreProperties>
</file>