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1BF" w:rsidRDefault="00973E74">
      <w:pPr>
        <w:spacing w:line="240" w:lineRule="auto"/>
        <w:jc w:val="both"/>
        <w:rPr>
          <w:rFonts w:ascii="Calibri" w:hAnsi="Calibri" w:cs="Calibri"/>
          <w:sz w:val="24"/>
          <w:szCs w:val="24"/>
        </w:rPr>
      </w:pPr>
      <w:r>
        <w:rPr>
          <w:rFonts w:ascii="Calibri" w:hAnsi="Calibri" w:cs="Calibri"/>
          <w:sz w:val="24"/>
          <w:szCs w:val="24"/>
        </w:rPr>
        <w:pict w14:anchorId="5AE486EA">
          <v:roundrect id="1026" o:spid="_x0000_s1026" style="position:absolute;left:0;text-align:left;margin-left:-19.25pt;margin-top:-5.65pt;width:501.5pt;height:52pt;z-index:251658240;mso-width-relative:page;mso-height-relative:page" arcsize="0">
            <v:path arrowok="t"/>
            <v:textbox>
              <w:txbxContent>
                <w:p w:rsidR="00D431BF" w:rsidRDefault="00437A57">
                  <w:pPr>
                    <w:jc w:val="both"/>
                    <w:rPr>
                      <w:rFonts w:ascii="Calibri" w:hAnsi="Calibri" w:cs="Calibri"/>
                      <w:b/>
                      <w:color w:val="FF0000"/>
                      <w:sz w:val="28"/>
                      <w:szCs w:val="28"/>
                    </w:rPr>
                  </w:pPr>
                  <w:r>
                    <w:rPr>
                      <w:rFonts w:ascii="Calibri" w:hAnsi="Calibri" w:cs="Calibri"/>
                      <w:b/>
                      <w:color w:val="FF0000"/>
                      <w:sz w:val="28"/>
                      <w:szCs w:val="28"/>
                    </w:rPr>
                    <w:t>Accidental</w:t>
                  </w:r>
                  <w:r>
                    <w:rPr>
                      <w:rFonts w:ascii="Calibri" w:hAnsi="Calibri" w:cs="Calibri"/>
                      <w:color w:val="FF0000"/>
                      <w:sz w:val="24"/>
                      <w:szCs w:val="28"/>
                    </w:rPr>
                    <w:t xml:space="preserve"> </w:t>
                  </w:r>
                  <w:proofErr w:type="gramStart"/>
                  <w:r>
                    <w:rPr>
                      <w:rFonts w:ascii="Calibri" w:hAnsi="Calibri" w:cs="Calibri"/>
                      <w:b/>
                      <w:color w:val="FF0000"/>
                      <w:sz w:val="28"/>
                      <w:szCs w:val="28"/>
                    </w:rPr>
                    <w:t>Ingestion</w:t>
                  </w:r>
                  <w:r>
                    <w:rPr>
                      <w:rFonts w:ascii="Calibri" w:hAnsi="Calibri" w:cs="Calibri"/>
                      <w:color w:val="FF0000"/>
                      <w:sz w:val="24"/>
                      <w:szCs w:val="28"/>
                    </w:rPr>
                    <w:t xml:space="preserve">  </w:t>
                  </w:r>
                  <w:r>
                    <w:rPr>
                      <w:rFonts w:ascii="Calibri" w:hAnsi="Calibri" w:cs="Calibri"/>
                      <w:b/>
                      <w:color w:val="FF0000"/>
                      <w:sz w:val="28"/>
                      <w:szCs w:val="28"/>
                    </w:rPr>
                    <w:t>of</w:t>
                  </w:r>
                  <w:proofErr w:type="gramEnd"/>
                  <w:r>
                    <w:rPr>
                      <w:rFonts w:ascii="Calibri" w:hAnsi="Calibri" w:cs="Calibri"/>
                      <w:color w:val="FF0000"/>
                      <w:sz w:val="24"/>
                      <w:szCs w:val="28"/>
                    </w:rPr>
                    <w:t xml:space="preserve">  </w:t>
                  </w:r>
                  <w:r>
                    <w:rPr>
                      <w:rFonts w:ascii="Calibri" w:hAnsi="Calibri" w:cs="Calibri"/>
                      <w:b/>
                      <w:color w:val="FF0000"/>
                      <w:sz w:val="28"/>
                      <w:szCs w:val="28"/>
                    </w:rPr>
                    <w:t>Naphthalene</w:t>
                  </w:r>
                  <w:r>
                    <w:rPr>
                      <w:rFonts w:ascii="Calibri" w:hAnsi="Calibri" w:cs="Calibri"/>
                      <w:color w:val="FF0000"/>
                      <w:sz w:val="24"/>
                      <w:szCs w:val="28"/>
                    </w:rPr>
                    <w:t xml:space="preserve">  </w:t>
                  </w:r>
                  <w:r>
                    <w:rPr>
                      <w:rFonts w:ascii="Calibri" w:hAnsi="Calibri" w:cs="Calibri"/>
                      <w:b/>
                      <w:color w:val="FF0000"/>
                      <w:sz w:val="28"/>
                      <w:szCs w:val="28"/>
                    </w:rPr>
                    <w:t>Induced</w:t>
                  </w:r>
                  <w:r>
                    <w:rPr>
                      <w:rFonts w:ascii="Calibri" w:hAnsi="Calibri" w:cs="Calibri"/>
                      <w:color w:val="FF0000"/>
                      <w:sz w:val="24"/>
                      <w:szCs w:val="28"/>
                    </w:rPr>
                    <w:t xml:space="preserve">  </w:t>
                  </w:r>
                  <w:r>
                    <w:rPr>
                      <w:rFonts w:ascii="Calibri" w:hAnsi="Calibri" w:cs="Calibri"/>
                      <w:b/>
                      <w:color w:val="FF0000"/>
                      <w:sz w:val="28"/>
                      <w:szCs w:val="28"/>
                    </w:rPr>
                    <w:t>Methemoglobinemia</w:t>
                  </w:r>
                  <w:r w:rsidR="00875BCE">
                    <w:rPr>
                      <w:rFonts w:ascii="Calibri" w:hAnsi="Calibri" w:cs="Calibri"/>
                      <w:color w:val="FF0000"/>
                      <w:sz w:val="24"/>
                      <w:szCs w:val="28"/>
                    </w:rPr>
                    <w:t xml:space="preserve">: </w:t>
                  </w:r>
                  <w:r>
                    <w:rPr>
                      <w:rFonts w:ascii="Calibri" w:hAnsi="Calibri" w:cs="Calibri"/>
                      <w:b/>
                      <w:color w:val="FF0000"/>
                      <w:sz w:val="28"/>
                      <w:szCs w:val="28"/>
                    </w:rPr>
                    <w:t>A</w:t>
                  </w:r>
                  <w:r>
                    <w:rPr>
                      <w:rFonts w:ascii="Calibri" w:hAnsi="Calibri" w:cs="Calibri"/>
                      <w:color w:val="FF0000"/>
                      <w:sz w:val="24"/>
                      <w:szCs w:val="28"/>
                    </w:rPr>
                    <w:t xml:space="preserve">  </w:t>
                  </w:r>
                  <w:r>
                    <w:rPr>
                      <w:rFonts w:ascii="Calibri" w:hAnsi="Calibri" w:cs="Calibri"/>
                      <w:b/>
                      <w:color w:val="FF0000"/>
                      <w:sz w:val="28"/>
                      <w:szCs w:val="28"/>
                    </w:rPr>
                    <w:t>Rare</w:t>
                  </w:r>
                  <w:r>
                    <w:rPr>
                      <w:rFonts w:ascii="Calibri" w:hAnsi="Calibri" w:cs="Calibri"/>
                      <w:color w:val="FF0000"/>
                      <w:sz w:val="24"/>
                      <w:szCs w:val="28"/>
                    </w:rPr>
                    <w:t xml:space="preserve">  </w:t>
                  </w:r>
                  <w:r>
                    <w:rPr>
                      <w:rFonts w:ascii="Calibri" w:hAnsi="Calibri" w:cs="Calibri"/>
                      <w:b/>
                      <w:color w:val="FF0000"/>
                      <w:sz w:val="28"/>
                      <w:szCs w:val="28"/>
                    </w:rPr>
                    <w:t>Case</w:t>
                  </w:r>
                  <w:r>
                    <w:rPr>
                      <w:rFonts w:ascii="Calibri" w:hAnsi="Calibri" w:cs="Calibri"/>
                      <w:color w:val="FF0000"/>
                      <w:sz w:val="24"/>
                      <w:szCs w:val="28"/>
                    </w:rPr>
                    <w:t xml:space="preserve">  </w:t>
                  </w:r>
                  <w:r>
                    <w:rPr>
                      <w:rFonts w:ascii="Calibri" w:hAnsi="Calibri" w:cs="Calibri"/>
                      <w:b/>
                      <w:color w:val="FF0000"/>
                      <w:sz w:val="28"/>
                      <w:szCs w:val="28"/>
                    </w:rPr>
                    <w:t>Report</w:t>
                  </w:r>
                </w:p>
              </w:txbxContent>
            </v:textbox>
          </v:roundrect>
        </w:pict>
      </w:r>
    </w:p>
    <w:p w:rsidR="00D431BF" w:rsidRDefault="00D431BF">
      <w:pPr>
        <w:spacing w:line="240" w:lineRule="auto"/>
        <w:jc w:val="both"/>
        <w:rPr>
          <w:rFonts w:ascii="Calibri" w:hAnsi="Calibri" w:cs="Calibri"/>
          <w:sz w:val="24"/>
          <w:szCs w:val="24"/>
        </w:rPr>
      </w:pPr>
    </w:p>
    <w:p w:rsidR="00D431BF" w:rsidRDefault="00D431BF">
      <w:pPr>
        <w:spacing w:line="240" w:lineRule="auto"/>
        <w:jc w:val="both"/>
        <w:rPr>
          <w:rFonts w:ascii="Calibri" w:hAnsi="Calibri" w:cs="Calibri"/>
          <w:sz w:val="24"/>
          <w:szCs w:val="24"/>
        </w:rPr>
      </w:pPr>
    </w:p>
    <w:p w:rsidR="00E7352B" w:rsidRDefault="00437A57">
      <w:pPr>
        <w:spacing w:line="240" w:lineRule="auto"/>
        <w:jc w:val="both"/>
        <w:rPr>
          <w:rFonts w:ascii="Calibri" w:hAnsi="Calibri" w:cs="Calibri"/>
          <w:b/>
          <w:color w:val="FF0000"/>
          <w:sz w:val="28"/>
          <w:szCs w:val="28"/>
        </w:rPr>
      </w:pPr>
      <w:r>
        <w:rPr>
          <w:rFonts w:ascii="Calibri" w:hAnsi="Calibri" w:cs="Calibri"/>
          <w:b/>
          <w:color w:val="FF0000"/>
          <w:sz w:val="28"/>
          <w:szCs w:val="28"/>
        </w:rPr>
        <w:t xml:space="preserve">Abstract:     </w:t>
      </w:r>
    </w:p>
    <w:p w:rsidR="00E7352B" w:rsidRDefault="00E7352B">
      <w:pPr>
        <w:spacing w:line="240" w:lineRule="auto"/>
        <w:jc w:val="both"/>
        <w:rPr>
          <w:rFonts w:ascii="Calibri" w:hAnsi="Calibri" w:cs="Calibri"/>
          <w:b/>
          <w:color w:val="36363D"/>
          <w:sz w:val="28"/>
          <w:szCs w:val="28"/>
        </w:rPr>
      </w:pPr>
    </w:p>
    <w:p w:rsidR="00875BCE" w:rsidRPr="00875BCE" w:rsidRDefault="00437A57" w:rsidP="00875BCE">
      <w:pPr>
        <w:spacing w:after="0" w:line="240" w:lineRule="auto"/>
        <w:jc w:val="both"/>
        <w:rPr>
          <w:rFonts w:ascii="Times New Roman" w:eastAsia="Times New Roman" w:hAnsi="Times New Roman" w:cs="Times New Roman"/>
          <w:sz w:val="24"/>
          <w:szCs w:val="24"/>
        </w:rPr>
      </w:pPr>
      <w:r>
        <w:rPr>
          <w:rFonts w:ascii="Calibri" w:hAnsi="Calibri" w:cs="Calibri"/>
          <w:b/>
          <w:color w:val="36363D"/>
          <w:sz w:val="28"/>
          <w:szCs w:val="28"/>
        </w:rPr>
        <w:t xml:space="preserve">Introduction:  </w:t>
      </w:r>
      <w:r w:rsidR="00875BCE" w:rsidRPr="00875BCE">
        <w:rPr>
          <w:rFonts w:ascii="Times New Roman" w:eastAsia="Times New Roman" w:hAnsi="Times New Roman" w:cs="Times New Roman"/>
          <w:sz w:val="24"/>
          <w:szCs w:val="24"/>
        </w:rPr>
        <w:t xml:space="preserve">Naphthalene poisoning is an uncommon type of toxicity and presents diagnostic and treatment difficulties owing to its complex clinical progression. It is readily absorbed through oral, dermal, and inhalation routes and is metabolized into reactive epoxides and quinone metabolites via cytochrome P450 oxidation. It is eliminated in urine as mercapturic acids, </w:t>
      </w:r>
      <w:proofErr w:type="spellStart"/>
      <w:r w:rsidR="00875BCE" w:rsidRPr="00875BCE">
        <w:rPr>
          <w:rFonts w:ascii="Times New Roman" w:eastAsia="Times New Roman" w:hAnsi="Times New Roman" w:cs="Times New Roman"/>
          <w:sz w:val="24"/>
          <w:szCs w:val="24"/>
        </w:rPr>
        <w:t>methylthio</w:t>
      </w:r>
      <w:proofErr w:type="spellEnd"/>
      <w:r w:rsidR="00875BCE" w:rsidRPr="00875BCE">
        <w:rPr>
          <w:rFonts w:ascii="Times New Roman" w:eastAsia="Times New Roman" w:hAnsi="Times New Roman" w:cs="Times New Roman"/>
          <w:sz w:val="24"/>
          <w:szCs w:val="24"/>
        </w:rPr>
        <w:t xml:space="preserve"> derivatives, and glucuronide conjugates. Following liver metabolism, the most active derivative, alpha-naphthol, leads to hemolysis and the formation of Heinz bodies. Exposure frequently leads to headache, changed mental state, nausea, diarrhea, stomach pain, and fever. It frequently leads to hemolytic anemia and methemoglobinemia</w:t>
      </w:r>
      <w:r w:rsidR="00875BCE">
        <w:rPr>
          <w:rFonts w:ascii="Times New Roman" w:eastAsia="Times New Roman" w:hAnsi="Times New Roman" w:cs="Times New Roman"/>
          <w:sz w:val="24"/>
          <w:szCs w:val="24"/>
        </w:rPr>
        <w:t>.</w:t>
      </w:r>
    </w:p>
    <w:p w:rsidR="00875BCE" w:rsidRDefault="00875BCE">
      <w:pPr>
        <w:spacing w:line="240" w:lineRule="auto"/>
        <w:jc w:val="both"/>
        <w:rPr>
          <w:rFonts w:ascii="Calibri" w:hAnsi="Calibri" w:cs="Calibri"/>
          <w:b/>
          <w:color w:val="36363D"/>
          <w:sz w:val="28"/>
          <w:szCs w:val="28"/>
        </w:rPr>
      </w:pPr>
    </w:p>
    <w:p w:rsidR="00D431BF" w:rsidRDefault="00437A57">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Case presentation: A 2 year 5 month old </w:t>
      </w:r>
      <w:proofErr w:type="spellStart"/>
      <w:r>
        <w:rPr>
          <w:rFonts w:ascii="Calibri" w:hAnsi="Calibri" w:cs="Calibri"/>
          <w:b/>
          <w:color w:val="36363D"/>
          <w:sz w:val="28"/>
          <w:szCs w:val="28"/>
        </w:rPr>
        <w:t>developmentaly</w:t>
      </w:r>
      <w:proofErr w:type="spellEnd"/>
      <w:r>
        <w:rPr>
          <w:rFonts w:ascii="Calibri" w:hAnsi="Calibri" w:cs="Calibri"/>
          <w:b/>
          <w:color w:val="36363D"/>
          <w:sz w:val="28"/>
          <w:szCs w:val="28"/>
        </w:rPr>
        <w:t xml:space="preserve"> normal male child was brought with complaints of fever for two days, high grade intermittent and not associated with chills and rigors, an alleged history of ingestion of approximately 1/4 of naphthalene ball (about 1 </w:t>
      </w:r>
      <w:proofErr w:type="gramStart"/>
      <w:r>
        <w:rPr>
          <w:rFonts w:ascii="Calibri" w:hAnsi="Calibri" w:cs="Calibri"/>
          <w:b/>
          <w:color w:val="36363D"/>
          <w:sz w:val="28"/>
          <w:szCs w:val="28"/>
        </w:rPr>
        <w:t>gm)  at</w:t>
      </w:r>
      <w:proofErr w:type="gramEnd"/>
      <w:r>
        <w:rPr>
          <w:rFonts w:ascii="Calibri" w:hAnsi="Calibri" w:cs="Calibri"/>
          <w:b/>
          <w:color w:val="36363D"/>
          <w:sz w:val="28"/>
          <w:szCs w:val="28"/>
        </w:rPr>
        <w:t xml:space="preserve"> home. History of vomiting and passing of dark </w:t>
      </w:r>
      <w:proofErr w:type="spellStart"/>
      <w:r>
        <w:rPr>
          <w:rFonts w:ascii="Calibri" w:hAnsi="Calibri" w:cs="Calibri"/>
          <w:b/>
          <w:color w:val="36363D"/>
          <w:sz w:val="28"/>
          <w:szCs w:val="28"/>
        </w:rPr>
        <w:t>coloured</w:t>
      </w:r>
      <w:proofErr w:type="spellEnd"/>
      <w:r>
        <w:rPr>
          <w:rFonts w:ascii="Calibri" w:hAnsi="Calibri" w:cs="Calibri"/>
          <w:b/>
          <w:color w:val="36363D"/>
          <w:sz w:val="28"/>
          <w:szCs w:val="28"/>
        </w:rPr>
        <w:t xml:space="preserve"> urine for the past one day.</w:t>
      </w:r>
    </w:p>
    <w:p w:rsidR="00D431BF" w:rsidRDefault="00437A57">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Blood investigation showed CRP positive, methemoglobin 7.6%, Hb 6.7gm%, Total count 29,140 cells/mm3, Hyperbilirubinemia with indirect fraction </w:t>
      </w:r>
      <w:proofErr w:type="spellStart"/>
      <w:r>
        <w:rPr>
          <w:rFonts w:ascii="Calibri" w:hAnsi="Calibri" w:cs="Calibri"/>
          <w:b/>
          <w:color w:val="36363D"/>
          <w:sz w:val="28"/>
          <w:szCs w:val="28"/>
        </w:rPr>
        <w:t>predominence</w:t>
      </w:r>
      <w:proofErr w:type="spellEnd"/>
      <w:r>
        <w:rPr>
          <w:rFonts w:ascii="Calibri" w:hAnsi="Calibri" w:cs="Calibri"/>
          <w:b/>
          <w:color w:val="36363D"/>
          <w:sz w:val="28"/>
          <w:szCs w:val="28"/>
        </w:rPr>
        <w:t xml:space="preserve">, elevated </w:t>
      </w:r>
      <w:proofErr w:type="gramStart"/>
      <w:r>
        <w:rPr>
          <w:rFonts w:ascii="Calibri" w:hAnsi="Calibri" w:cs="Calibri"/>
          <w:b/>
          <w:color w:val="36363D"/>
          <w:sz w:val="28"/>
          <w:szCs w:val="28"/>
        </w:rPr>
        <w:t>LDH,  Peripheral</w:t>
      </w:r>
      <w:proofErr w:type="gramEnd"/>
      <w:r>
        <w:rPr>
          <w:rFonts w:ascii="Calibri" w:hAnsi="Calibri" w:cs="Calibri"/>
          <w:b/>
          <w:color w:val="36363D"/>
          <w:sz w:val="28"/>
          <w:szCs w:val="28"/>
        </w:rPr>
        <w:t xml:space="preserve"> smear study showed severe anemia, with marked </w:t>
      </w:r>
      <w:proofErr w:type="spellStart"/>
      <w:r>
        <w:rPr>
          <w:rFonts w:ascii="Calibri" w:hAnsi="Calibri" w:cs="Calibri"/>
          <w:b/>
          <w:color w:val="36363D"/>
          <w:sz w:val="28"/>
          <w:szCs w:val="28"/>
        </w:rPr>
        <w:t>anisopoikilocytosis</w:t>
      </w:r>
      <w:proofErr w:type="spellEnd"/>
      <w:r>
        <w:rPr>
          <w:rFonts w:ascii="Calibri" w:hAnsi="Calibri" w:cs="Calibri"/>
          <w:b/>
          <w:color w:val="36363D"/>
          <w:sz w:val="28"/>
          <w:szCs w:val="28"/>
        </w:rPr>
        <w:t xml:space="preserve"> and occasional </w:t>
      </w:r>
      <w:proofErr w:type="spellStart"/>
      <w:r>
        <w:rPr>
          <w:rFonts w:ascii="Calibri" w:hAnsi="Calibri" w:cs="Calibri"/>
          <w:b/>
          <w:color w:val="36363D"/>
          <w:sz w:val="28"/>
          <w:szCs w:val="28"/>
        </w:rPr>
        <w:t>normoblast</w:t>
      </w:r>
      <w:proofErr w:type="spellEnd"/>
      <w:r>
        <w:rPr>
          <w:rFonts w:ascii="Calibri" w:hAnsi="Calibri" w:cs="Calibri"/>
          <w:b/>
          <w:color w:val="36363D"/>
          <w:sz w:val="28"/>
          <w:szCs w:val="28"/>
        </w:rPr>
        <w:t xml:space="preserve"> suggestive of hemolytic picture, neutrophilic </w:t>
      </w:r>
      <w:proofErr w:type="spellStart"/>
      <w:r>
        <w:rPr>
          <w:rFonts w:ascii="Calibri" w:hAnsi="Calibri" w:cs="Calibri"/>
          <w:b/>
          <w:color w:val="36363D"/>
          <w:sz w:val="28"/>
          <w:szCs w:val="28"/>
        </w:rPr>
        <w:t>leucocytosis</w:t>
      </w:r>
      <w:proofErr w:type="spellEnd"/>
      <w:r>
        <w:rPr>
          <w:rFonts w:ascii="Calibri" w:hAnsi="Calibri" w:cs="Calibri"/>
          <w:b/>
          <w:color w:val="36363D"/>
          <w:sz w:val="28"/>
          <w:szCs w:val="28"/>
        </w:rPr>
        <w:t xml:space="preserve"> with toxic changes, and reactive thrombocytosis. Dark </w:t>
      </w:r>
      <w:proofErr w:type="spellStart"/>
      <w:r>
        <w:rPr>
          <w:rFonts w:ascii="Calibri" w:hAnsi="Calibri" w:cs="Calibri"/>
          <w:b/>
          <w:color w:val="36363D"/>
          <w:sz w:val="28"/>
          <w:szCs w:val="28"/>
        </w:rPr>
        <w:t>coloured</w:t>
      </w:r>
      <w:proofErr w:type="spellEnd"/>
      <w:r>
        <w:rPr>
          <w:rFonts w:ascii="Calibri" w:hAnsi="Calibri" w:cs="Calibri"/>
          <w:b/>
          <w:color w:val="36363D"/>
          <w:sz w:val="28"/>
          <w:szCs w:val="28"/>
        </w:rPr>
        <w:t xml:space="preserve"> urine with albumin +++ noted.</w:t>
      </w:r>
    </w:p>
    <w:p w:rsidR="00D431BF" w:rsidRDefault="00437A57">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In view of anemia exchange transfusion was done and child was treated with oxygen via NRM, ascorbic acid, and NAC infusion further treatment given   symptomatically and appropriately for 6 days and discharged on </w:t>
      </w:r>
      <w:proofErr w:type="gramStart"/>
      <w:r>
        <w:rPr>
          <w:rFonts w:ascii="Calibri" w:hAnsi="Calibri" w:cs="Calibri"/>
          <w:b/>
          <w:color w:val="36363D"/>
          <w:sz w:val="28"/>
          <w:szCs w:val="28"/>
        </w:rPr>
        <w:t>recovery  with</w:t>
      </w:r>
      <w:proofErr w:type="gramEnd"/>
      <w:r>
        <w:rPr>
          <w:rFonts w:ascii="Calibri" w:hAnsi="Calibri" w:cs="Calibri"/>
          <w:b/>
          <w:color w:val="36363D"/>
          <w:sz w:val="28"/>
          <w:szCs w:val="28"/>
        </w:rPr>
        <w:t xml:space="preserve"> advice.</w:t>
      </w:r>
    </w:p>
    <w:p w:rsidR="00D431BF" w:rsidRDefault="00437A57">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Conclusion: This case highlights the importance of early recognition and prompt management of naphthalene - induced methemoglobinemia and hemolytic anemia. A thorough history, clinical examination, and appropriate laboratory investigation are essential for accurate diagnosis. Public awareness and </w:t>
      </w:r>
      <w:r>
        <w:rPr>
          <w:rFonts w:ascii="Calibri" w:hAnsi="Calibri" w:cs="Calibri"/>
          <w:b/>
          <w:color w:val="36363D"/>
          <w:sz w:val="28"/>
          <w:szCs w:val="28"/>
        </w:rPr>
        <w:lastRenderedPageBreak/>
        <w:t>preventive education about the potential toxicity of naphthalene-containing products in households with young children are very crucial.</w:t>
      </w:r>
    </w:p>
    <w:p w:rsidR="00D431BF" w:rsidRDefault="00437A57">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Keywords: Methemoglobinemia, Hemolytic anemia, Neutrophilic </w:t>
      </w:r>
      <w:proofErr w:type="spellStart"/>
      <w:r>
        <w:rPr>
          <w:rFonts w:ascii="Calibri" w:hAnsi="Calibri" w:cs="Calibri"/>
          <w:b/>
          <w:color w:val="36363D"/>
          <w:sz w:val="28"/>
          <w:szCs w:val="28"/>
        </w:rPr>
        <w:t>leucocytosis</w:t>
      </w:r>
      <w:proofErr w:type="spellEnd"/>
      <w:r>
        <w:rPr>
          <w:rFonts w:ascii="Calibri" w:hAnsi="Calibri" w:cs="Calibri"/>
          <w:b/>
          <w:color w:val="36363D"/>
          <w:sz w:val="28"/>
          <w:szCs w:val="28"/>
        </w:rPr>
        <w:t xml:space="preserve">, Hyperbilirubinemia, </w:t>
      </w:r>
      <w:proofErr w:type="spellStart"/>
      <w:r>
        <w:rPr>
          <w:rFonts w:ascii="Calibri" w:hAnsi="Calibri" w:cs="Calibri"/>
          <w:b/>
          <w:color w:val="36363D"/>
          <w:sz w:val="28"/>
          <w:szCs w:val="28"/>
        </w:rPr>
        <w:t>Anisopoikiocytosis</w:t>
      </w:r>
      <w:proofErr w:type="spellEnd"/>
      <w:r>
        <w:rPr>
          <w:rFonts w:ascii="Calibri" w:hAnsi="Calibri" w:cs="Calibri"/>
          <w:b/>
          <w:color w:val="36363D"/>
          <w:sz w:val="28"/>
          <w:szCs w:val="28"/>
        </w:rPr>
        <w:t>, Thrombocytosis.</w:t>
      </w:r>
    </w:p>
    <w:p w:rsidR="00D431BF" w:rsidRDefault="00437A57">
      <w:pPr>
        <w:spacing w:line="240" w:lineRule="auto"/>
        <w:jc w:val="both"/>
        <w:rPr>
          <w:rFonts w:ascii="Calibri" w:hAnsi="Calibri" w:cs="Calibri"/>
          <w:b/>
          <w:color w:val="FF0000"/>
          <w:sz w:val="28"/>
          <w:szCs w:val="28"/>
        </w:rPr>
      </w:pPr>
      <w:r>
        <w:rPr>
          <w:rFonts w:ascii="Calibri" w:hAnsi="Calibri" w:cs="Calibri"/>
          <w:b/>
          <w:color w:val="FF0000"/>
          <w:sz w:val="28"/>
          <w:szCs w:val="28"/>
        </w:rPr>
        <w:t>Introduction:</w:t>
      </w:r>
    </w:p>
    <w:p w:rsidR="00D431BF" w:rsidRDefault="00875BCE">
      <w:pPr>
        <w:spacing w:line="240" w:lineRule="auto"/>
        <w:jc w:val="both"/>
        <w:rPr>
          <w:rFonts w:ascii="Calibri" w:hAnsi="Calibri" w:cs="Calibri"/>
          <w:sz w:val="24"/>
          <w:szCs w:val="24"/>
        </w:rPr>
      </w:pPr>
      <w:r>
        <w:rPr>
          <w:rFonts w:ascii="Calibri" w:hAnsi="Calibri" w:cs="Calibri"/>
          <w:sz w:val="24"/>
          <w:szCs w:val="24"/>
        </w:rPr>
        <w:t>“</w:t>
      </w:r>
      <w:r w:rsidR="00437A57">
        <w:rPr>
          <w:rFonts w:ascii="Calibri" w:hAnsi="Calibri" w:cs="Calibri"/>
          <w:sz w:val="24"/>
          <w:szCs w:val="24"/>
        </w:rPr>
        <w:t>Naphthalene is commonly found in moth-repellent products such as mothballs in developing countries. It is well absorbed following oral, dermal, and inhalation exposure. As little as one mothball can result in toxicity in children, and deaths have been reported following its ingestion</w:t>
      </w:r>
      <w:r>
        <w:rPr>
          <w:rFonts w:ascii="Calibri" w:hAnsi="Calibri" w:cs="Calibri"/>
          <w:sz w:val="24"/>
          <w:szCs w:val="24"/>
        </w:rPr>
        <w:t>”</w:t>
      </w:r>
      <w:r w:rsidR="00437A57">
        <w:rPr>
          <w:rFonts w:ascii="Calibri" w:hAnsi="Calibri" w:cs="Calibri"/>
          <w:sz w:val="24"/>
          <w:szCs w:val="24"/>
        </w:rPr>
        <w:t xml:space="preserve"> (1,</w:t>
      </w:r>
      <w:proofErr w:type="gramStart"/>
      <w:r w:rsidR="00437A57">
        <w:rPr>
          <w:rFonts w:ascii="Calibri" w:hAnsi="Calibri" w:cs="Calibri"/>
          <w:sz w:val="24"/>
          <w:szCs w:val="24"/>
        </w:rPr>
        <w:t>2 )</w:t>
      </w:r>
      <w:proofErr w:type="gramEnd"/>
      <w:r w:rsidR="00437A57">
        <w:rPr>
          <w:rFonts w:ascii="Calibri" w:hAnsi="Calibri" w:cs="Calibri"/>
          <w:sz w:val="24"/>
          <w:szCs w:val="24"/>
        </w:rPr>
        <w:t xml:space="preserve">. </w:t>
      </w:r>
      <w:r>
        <w:rPr>
          <w:rFonts w:ascii="Calibri" w:hAnsi="Calibri" w:cs="Calibri"/>
          <w:sz w:val="24"/>
          <w:szCs w:val="24"/>
        </w:rPr>
        <w:t>“</w:t>
      </w:r>
      <w:r w:rsidR="00437A57">
        <w:rPr>
          <w:rFonts w:ascii="Calibri" w:hAnsi="Calibri" w:cs="Calibri"/>
          <w:sz w:val="24"/>
          <w:szCs w:val="24"/>
        </w:rPr>
        <w:t>Naphthalene toxicity is a rare form of poisoning and poses diagnostic and therapeutic challenges due to its complicated clinical course</w:t>
      </w:r>
      <w:r>
        <w:rPr>
          <w:rFonts w:ascii="Calibri" w:hAnsi="Calibri" w:cs="Calibri"/>
          <w:sz w:val="24"/>
          <w:szCs w:val="24"/>
        </w:rPr>
        <w:t>”</w:t>
      </w:r>
      <w:r w:rsidR="00437A57">
        <w:rPr>
          <w:rFonts w:ascii="Calibri" w:hAnsi="Calibri" w:cs="Calibri"/>
          <w:sz w:val="24"/>
          <w:szCs w:val="24"/>
        </w:rPr>
        <w:t xml:space="preserve"> (3). </w:t>
      </w:r>
      <w:r>
        <w:rPr>
          <w:rFonts w:ascii="Calibri" w:hAnsi="Calibri" w:cs="Calibri"/>
          <w:sz w:val="24"/>
          <w:szCs w:val="24"/>
        </w:rPr>
        <w:t>“</w:t>
      </w:r>
      <w:r w:rsidR="00437A57">
        <w:rPr>
          <w:rFonts w:ascii="Calibri" w:hAnsi="Calibri" w:cs="Calibri"/>
          <w:sz w:val="24"/>
          <w:szCs w:val="24"/>
        </w:rPr>
        <w:t>Lack of adequate history regarding the intake of toxic substances, especially in the pediatric age group, is a major hurdle in the management of these cases</w:t>
      </w:r>
      <w:r>
        <w:rPr>
          <w:rFonts w:ascii="Calibri" w:hAnsi="Calibri" w:cs="Calibri"/>
          <w:sz w:val="24"/>
          <w:szCs w:val="24"/>
        </w:rPr>
        <w:t>”</w:t>
      </w:r>
      <w:r w:rsidR="00437A57">
        <w:rPr>
          <w:rFonts w:ascii="Calibri" w:hAnsi="Calibri" w:cs="Calibri"/>
          <w:sz w:val="24"/>
          <w:szCs w:val="24"/>
        </w:rPr>
        <w:t xml:space="preserve"> (4).</w:t>
      </w:r>
      <w:r>
        <w:rPr>
          <w:rFonts w:ascii="Calibri" w:hAnsi="Calibri" w:cs="Calibri"/>
          <w:sz w:val="24"/>
          <w:szCs w:val="24"/>
        </w:rPr>
        <w:t xml:space="preserve"> “</w:t>
      </w:r>
      <w:r w:rsidR="00437A57">
        <w:rPr>
          <w:rFonts w:ascii="Calibri" w:hAnsi="Calibri" w:cs="Calibri"/>
          <w:sz w:val="24"/>
          <w:szCs w:val="24"/>
        </w:rPr>
        <w:t xml:space="preserve">In toddlers, the presentation is often vague, and risk of complication is much higher in children compared with adults following ingestion of the same dose due to altered </w:t>
      </w:r>
      <w:proofErr w:type="spellStart"/>
      <w:r w:rsidR="00437A57">
        <w:rPr>
          <w:rFonts w:ascii="Calibri" w:hAnsi="Calibri" w:cs="Calibri"/>
          <w:sz w:val="24"/>
          <w:szCs w:val="24"/>
        </w:rPr>
        <w:t>toxicokinetics</w:t>
      </w:r>
      <w:proofErr w:type="spellEnd"/>
      <w:proofErr w:type="gramStart"/>
      <w:r>
        <w:rPr>
          <w:rFonts w:ascii="Calibri" w:hAnsi="Calibri" w:cs="Calibri"/>
          <w:sz w:val="24"/>
          <w:szCs w:val="24"/>
        </w:rPr>
        <w:t>”</w:t>
      </w:r>
      <w:r w:rsidR="00437A57">
        <w:rPr>
          <w:rFonts w:ascii="Calibri" w:hAnsi="Calibri" w:cs="Calibri"/>
          <w:sz w:val="24"/>
          <w:szCs w:val="24"/>
        </w:rPr>
        <w:t>.(</w:t>
      </w:r>
      <w:proofErr w:type="gramEnd"/>
      <w:r w:rsidR="00437A57">
        <w:rPr>
          <w:rFonts w:ascii="Calibri" w:hAnsi="Calibri" w:cs="Calibri"/>
          <w:sz w:val="24"/>
          <w:szCs w:val="24"/>
        </w:rPr>
        <w:t xml:space="preserve">5).    </w:t>
      </w:r>
      <w:r>
        <w:rPr>
          <w:rFonts w:ascii="Calibri" w:hAnsi="Calibri" w:cs="Calibri"/>
          <w:sz w:val="24"/>
          <w:szCs w:val="24"/>
        </w:rPr>
        <w:t>“</w:t>
      </w:r>
      <w:r w:rsidR="00437A57">
        <w:rPr>
          <w:rFonts w:ascii="Calibri" w:hAnsi="Calibri" w:cs="Calibri"/>
          <w:sz w:val="24"/>
          <w:szCs w:val="24"/>
        </w:rPr>
        <w:t>Exposure often causes headache, altered mental status, vomiting, diarrhea, abdominal pain, and fever</w:t>
      </w:r>
      <w:r>
        <w:rPr>
          <w:rFonts w:ascii="Calibri" w:hAnsi="Calibri" w:cs="Calibri"/>
          <w:sz w:val="24"/>
          <w:szCs w:val="24"/>
        </w:rPr>
        <w:t>”</w:t>
      </w:r>
      <w:r w:rsidR="00437A57">
        <w:rPr>
          <w:rFonts w:ascii="Calibri" w:hAnsi="Calibri" w:cs="Calibri"/>
          <w:sz w:val="24"/>
          <w:szCs w:val="24"/>
        </w:rPr>
        <w:t xml:space="preserve"> (6). </w:t>
      </w:r>
      <w:r>
        <w:rPr>
          <w:rFonts w:ascii="Calibri" w:hAnsi="Calibri" w:cs="Calibri"/>
          <w:sz w:val="24"/>
          <w:szCs w:val="24"/>
        </w:rPr>
        <w:t>“</w:t>
      </w:r>
      <w:r w:rsidR="00437A57">
        <w:rPr>
          <w:rFonts w:ascii="Calibri" w:hAnsi="Calibri" w:cs="Calibri"/>
          <w:sz w:val="24"/>
          <w:szCs w:val="24"/>
        </w:rPr>
        <w:t xml:space="preserve">It commonly causes hemolytic anemia and </w:t>
      </w:r>
      <w:proofErr w:type="spellStart"/>
      <w:r w:rsidR="00437A57">
        <w:rPr>
          <w:rFonts w:ascii="Calibri" w:hAnsi="Calibri" w:cs="Calibri"/>
          <w:sz w:val="24"/>
          <w:szCs w:val="24"/>
        </w:rPr>
        <w:t>methemoglobinaemia</w:t>
      </w:r>
      <w:proofErr w:type="spellEnd"/>
      <w:r>
        <w:rPr>
          <w:rFonts w:ascii="Calibri" w:hAnsi="Calibri" w:cs="Calibri"/>
          <w:sz w:val="24"/>
          <w:szCs w:val="24"/>
        </w:rPr>
        <w:t>”</w:t>
      </w:r>
      <w:r w:rsidR="00437A57">
        <w:rPr>
          <w:rFonts w:ascii="Calibri" w:hAnsi="Calibri" w:cs="Calibri"/>
          <w:sz w:val="24"/>
          <w:szCs w:val="24"/>
        </w:rPr>
        <w:t xml:space="preserve"> (7). Acute intravascular hemolysis following naphthalene ingestion can lead to anemia, hematuria, and leukocytosis with neutrophil predominance. Laboratory workup demonstrates hyperbilirubinemia with indirect predominance, hemolytic anemia, methemoglobinemia, and renal dysfunction. We present a review and management of a case of accidental naphthalene ingestion in a 2-year-5-month-old developmentally normal male child    who presented with anemia, methemoglobinemia, and leukocytosis with informed consent from parents. </w:t>
      </w:r>
    </w:p>
    <w:p w:rsidR="00D431BF" w:rsidRDefault="00D431BF">
      <w:pPr>
        <w:spacing w:line="240" w:lineRule="auto"/>
        <w:jc w:val="both"/>
        <w:rPr>
          <w:rFonts w:ascii="Calibri" w:hAnsi="Calibri" w:cs="Calibri"/>
          <w:sz w:val="24"/>
          <w:szCs w:val="24"/>
        </w:rPr>
      </w:pPr>
    </w:p>
    <w:p w:rsidR="00D431BF" w:rsidRDefault="00D431BF">
      <w:pPr>
        <w:spacing w:line="240" w:lineRule="auto"/>
        <w:jc w:val="both"/>
        <w:rPr>
          <w:rFonts w:ascii="Calibri" w:hAnsi="Calibri" w:cs="Calibri"/>
          <w:b/>
          <w:color w:val="FF0000"/>
          <w:sz w:val="28"/>
          <w:szCs w:val="28"/>
        </w:rPr>
      </w:pPr>
    </w:p>
    <w:p w:rsidR="00D431BF" w:rsidRDefault="00437A57">
      <w:pPr>
        <w:spacing w:line="240" w:lineRule="auto"/>
        <w:jc w:val="both"/>
        <w:rPr>
          <w:rFonts w:ascii="Calibri" w:hAnsi="Calibri" w:cs="Calibri"/>
          <w:b/>
          <w:color w:val="FF0000"/>
          <w:sz w:val="28"/>
          <w:szCs w:val="28"/>
        </w:rPr>
      </w:pPr>
      <w:r>
        <w:rPr>
          <w:rFonts w:ascii="Calibri" w:hAnsi="Calibri" w:cs="Calibri"/>
          <w:b/>
          <w:color w:val="FF0000"/>
          <w:sz w:val="28"/>
          <w:szCs w:val="28"/>
        </w:rPr>
        <w:t>Case Report:</w:t>
      </w:r>
    </w:p>
    <w:p w:rsidR="00D431BF" w:rsidRDefault="00437A57">
      <w:pPr>
        <w:spacing w:line="240" w:lineRule="auto"/>
        <w:jc w:val="both"/>
        <w:rPr>
          <w:rFonts w:ascii="Calibri" w:hAnsi="Calibri" w:cs="Calibri"/>
          <w:sz w:val="24"/>
          <w:szCs w:val="24"/>
        </w:rPr>
      </w:pPr>
      <w:r>
        <w:rPr>
          <w:rFonts w:ascii="Calibri" w:hAnsi="Calibri" w:cs="Calibri"/>
          <w:sz w:val="24"/>
          <w:szCs w:val="24"/>
        </w:rPr>
        <w:t>A 2-year-5-month-old developmentally normal male child was brought with complaints of fever for two days, high-grade, intermittent, and not associated with chills and rigors. There was a history of one episode of non-bilious, non-projectile, blood-stained vomiting and passage of blood in urine (two episodes) over the past one day. There was an alleged history of ingestion of approximately ¼ of a naphthalene ball at home.</w:t>
      </w:r>
      <w:r>
        <w:rPr>
          <w:rFonts w:ascii="Calibri" w:hAnsi="Calibri" w:cs="Calibri"/>
          <w:sz w:val="24"/>
          <w:szCs w:val="24"/>
        </w:rPr>
        <w:br/>
        <w:t>There was no history of cough, cold, fast breathing, throat pain, abdominal pain, loose stools, ear discharge, rashes, urinary disturbances, altered level of consciousness, seizures, or bleeding manifestations. For the above complaints, the child was initially treated at an outside hospital, where investigations revealed anemia with elevated total count. He was referred to our hospital for further management.</w:t>
      </w:r>
      <w:r>
        <w:rPr>
          <w:rFonts w:ascii="Calibri" w:hAnsi="Calibri" w:cs="Calibri"/>
          <w:sz w:val="24"/>
          <w:szCs w:val="24"/>
        </w:rPr>
        <w:br/>
        <w:t xml:space="preserve">. On examination, the child was alert and febrile (T 100.5°F), HR 160/min, pulse well felt, CRT &lt;2 sec, </w:t>
      </w:r>
      <w:proofErr w:type="spellStart"/>
      <w:r>
        <w:rPr>
          <w:rFonts w:ascii="Calibri" w:hAnsi="Calibri" w:cs="Calibri"/>
          <w:sz w:val="24"/>
          <w:szCs w:val="24"/>
        </w:rPr>
        <w:t>SpO</w:t>
      </w:r>
      <w:proofErr w:type="spellEnd"/>
      <w:r>
        <w:rPr>
          <w:rFonts w:ascii="Calibri" w:hAnsi="Calibri" w:cs="Calibri"/>
          <w:sz w:val="24"/>
          <w:szCs w:val="24"/>
        </w:rPr>
        <w:t xml:space="preserve">₂ 78% in room air, (hypoxemia due to low Hb) BP 102/60 mmHg, CBG 172 mg/dL. Icterus and pallor were present. CVS: S1S2 (+), no murmur. RS: bilateral air entry present, no </w:t>
      </w:r>
      <w:r>
        <w:rPr>
          <w:rFonts w:ascii="Calibri" w:hAnsi="Calibri" w:cs="Calibri"/>
          <w:sz w:val="24"/>
          <w:szCs w:val="24"/>
        </w:rPr>
        <w:lastRenderedPageBreak/>
        <w:t>added sounds. P/A: soft, no organomegaly or distension. CNS: alert, normal tone, bilateral pupils equally reactive to light, no meningeal signs, no focal neurological deficit. Genitalia: no phimosis, bilateral testes descended.</w:t>
      </w:r>
      <w:r>
        <w:rPr>
          <w:rFonts w:ascii="Calibri" w:hAnsi="Calibri" w:cs="Calibri"/>
          <w:sz w:val="24"/>
          <w:szCs w:val="24"/>
        </w:rPr>
        <w:br/>
        <w:t>VBG with co-oximetry revealed methemoglobin 7.6%, pH 7.</w:t>
      </w:r>
      <w:proofErr w:type="gramStart"/>
      <w:r>
        <w:rPr>
          <w:rFonts w:ascii="Calibri" w:hAnsi="Calibri" w:cs="Calibri"/>
          <w:sz w:val="24"/>
          <w:szCs w:val="24"/>
        </w:rPr>
        <w:t>33.(</w:t>
      </w:r>
      <w:proofErr w:type="gramEnd"/>
      <w:r>
        <w:rPr>
          <w:rFonts w:ascii="Calibri" w:hAnsi="Calibri" w:cs="Calibri"/>
          <w:sz w:val="24"/>
          <w:szCs w:val="24"/>
        </w:rPr>
        <w:t xml:space="preserve">Table 1) The child was suspected to have methemoglobinemia secondary to naphthalene ball ingestion and was started on oxygen via NRM and shifted to PICU for further management. The child was kept NPO and started on IV fluids. A central venous line was secured in the right femoral vein. IV cefotaxime and high-flow oxygen (60% </w:t>
      </w:r>
      <w:proofErr w:type="spellStart"/>
      <w:r>
        <w:rPr>
          <w:rFonts w:ascii="Calibri" w:hAnsi="Calibri" w:cs="Calibri"/>
          <w:sz w:val="24"/>
          <w:szCs w:val="24"/>
        </w:rPr>
        <w:t>FiO</w:t>
      </w:r>
      <w:proofErr w:type="spellEnd"/>
      <w:r>
        <w:rPr>
          <w:rFonts w:ascii="Calibri" w:hAnsi="Calibri" w:cs="Calibri"/>
          <w:sz w:val="24"/>
          <w:szCs w:val="24"/>
        </w:rPr>
        <w:t>₂) were administered. Suspecting methemoglobinemia, the child was started on ascorbic acid injection and N-acetylcysteine infusion.</w:t>
      </w:r>
      <w:r>
        <w:rPr>
          <w:rFonts w:ascii="Calibri" w:hAnsi="Calibri" w:cs="Calibri"/>
          <w:sz w:val="24"/>
          <w:szCs w:val="24"/>
        </w:rPr>
        <w:br/>
        <w:t xml:space="preserve">Blood investigations showed CRP positive (15.07 mg/L), negative for ANA, dengue NS1, DCT, malarial parasite, and COVID-19. Peripheral smear showed severe anemia (Fig1) with marked </w:t>
      </w:r>
      <w:proofErr w:type="spellStart"/>
      <w:r>
        <w:rPr>
          <w:rFonts w:ascii="Calibri" w:hAnsi="Calibri" w:cs="Calibri"/>
          <w:sz w:val="24"/>
          <w:szCs w:val="24"/>
        </w:rPr>
        <w:t>anisopoikilocytosis</w:t>
      </w:r>
      <w:proofErr w:type="spellEnd"/>
      <w:r>
        <w:rPr>
          <w:rFonts w:ascii="Calibri" w:hAnsi="Calibri" w:cs="Calibri"/>
          <w:sz w:val="24"/>
          <w:szCs w:val="24"/>
        </w:rPr>
        <w:t xml:space="preserve"> and occasional </w:t>
      </w:r>
      <w:proofErr w:type="spellStart"/>
      <w:r>
        <w:rPr>
          <w:rFonts w:ascii="Calibri" w:hAnsi="Calibri" w:cs="Calibri"/>
          <w:sz w:val="24"/>
          <w:szCs w:val="24"/>
        </w:rPr>
        <w:t>normoblasts</w:t>
      </w:r>
      <w:proofErr w:type="spellEnd"/>
      <w:r>
        <w:rPr>
          <w:rFonts w:ascii="Calibri" w:hAnsi="Calibri" w:cs="Calibri"/>
          <w:sz w:val="24"/>
          <w:szCs w:val="24"/>
        </w:rPr>
        <w:t xml:space="preserve"> (Fig </w:t>
      </w:r>
      <w:proofErr w:type="gramStart"/>
      <w:r>
        <w:rPr>
          <w:rFonts w:ascii="Calibri" w:hAnsi="Calibri" w:cs="Calibri"/>
          <w:sz w:val="24"/>
          <w:szCs w:val="24"/>
        </w:rPr>
        <w:t>2)suggestive</w:t>
      </w:r>
      <w:proofErr w:type="gramEnd"/>
      <w:r>
        <w:rPr>
          <w:rFonts w:ascii="Calibri" w:hAnsi="Calibri" w:cs="Calibri"/>
          <w:sz w:val="24"/>
          <w:szCs w:val="24"/>
        </w:rPr>
        <w:t xml:space="preserve"> of a hemolytic picture, neutrophilic leukocytosis (Fig 3) with toxic changes, and reactive thrombocytosis. Dark-colored urine with albumin (+++) was noted.</w:t>
      </w:r>
      <w:r>
        <w:rPr>
          <w:rFonts w:ascii="Calibri" w:hAnsi="Calibri" w:cs="Calibri"/>
          <w:sz w:val="24"/>
          <w:szCs w:val="24"/>
        </w:rPr>
        <w:br/>
        <w:t>Ultrasound abdomen showed diffuse GB wall edema, mild splenomegaly, and minimal free fluid in the abdomen. ECHO showed mild pulmonary arterial hypertension, normal biventricular function, normal IVC, no pericardial effusion, EF 76%. Chest X-ray was normal.</w:t>
      </w:r>
      <w:r>
        <w:rPr>
          <w:rFonts w:ascii="Calibri" w:hAnsi="Calibri" w:cs="Calibri"/>
          <w:sz w:val="24"/>
          <w:szCs w:val="24"/>
        </w:rPr>
        <w:br/>
        <w:t xml:space="preserve">In view of anemia, one unit of PRBC transfused, and a single-volume exchange transfusion was done with three units of PRBC and one unit of FFP. Post-procedure course was uneventful. The child improved, with oxygen saturation of 98% on 40% </w:t>
      </w:r>
      <w:proofErr w:type="spellStart"/>
      <w:r>
        <w:rPr>
          <w:rFonts w:ascii="Calibri" w:hAnsi="Calibri" w:cs="Calibri"/>
          <w:sz w:val="24"/>
          <w:szCs w:val="24"/>
        </w:rPr>
        <w:t>FiO</w:t>
      </w:r>
      <w:proofErr w:type="spellEnd"/>
      <w:r>
        <w:rPr>
          <w:rFonts w:ascii="Calibri" w:hAnsi="Calibri" w:cs="Calibri"/>
          <w:sz w:val="24"/>
          <w:szCs w:val="24"/>
        </w:rPr>
        <w:t xml:space="preserve">₂. The hematologist advised high-dose ascorbic acid for five days, Tab. Riboflavin, and Tab. Folic acid, along with avoiding oxidizing agents and maintaining adequate hydration for </w:t>
      </w:r>
      <w:proofErr w:type="gramStart"/>
      <w:r>
        <w:rPr>
          <w:rFonts w:ascii="Calibri" w:hAnsi="Calibri" w:cs="Calibri"/>
          <w:sz w:val="24"/>
          <w:szCs w:val="24"/>
        </w:rPr>
        <w:t>intravascular  hemolysis</w:t>
      </w:r>
      <w:proofErr w:type="gramEnd"/>
      <w:r>
        <w:rPr>
          <w:rFonts w:ascii="Calibri" w:hAnsi="Calibri" w:cs="Calibri"/>
          <w:sz w:val="24"/>
          <w:szCs w:val="24"/>
        </w:rPr>
        <w:t>.</w:t>
      </w:r>
      <w:r>
        <w:rPr>
          <w:rFonts w:ascii="Calibri" w:hAnsi="Calibri" w:cs="Calibri"/>
          <w:sz w:val="24"/>
          <w:szCs w:val="24"/>
        </w:rPr>
        <w:br/>
      </w:r>
      <w:r>
        <w:rPr>
          <w:rFonts w:ascii="Calibri" w:hAnsi="Calibri" w:cs="Calibri"/>
          <w:sz w:val="24"/>
          <w:szCs w:val="24"/>
        </w:rPr>
        <w:br/>
        <w:t>The child improved clinically, was weaned off HNFC to room air after 36 hours,  NAC infusion was stopped after 48 hours. Full oral feeds were started, and the central venous line was removed on day 5 of admission. The child remained hemodynamically and neurologically stable and was shifted to the ward.</w:t>
      </w:r>
      <w:r>
        <w:rPr>
          <w:rFonts w:ascii="Calibri" w:hAnsi="Calibri" w:cs="Calibri"/>
          <w:sz w:val="24"/>
          <w:szCs w:val="24"/>
        </w:rPr>
        <w:br/>
      </w:r>
      <w:r>
        <w:rPr>
          <w:rFonts w:ascii="Calibri" w:hAnsi="Calibri" w:cs="Calibri"/>
          <w:sz w:val="24"/>
          <w:szCs w:val="24"/>
        </w:rPr>
        <w:br/>
        <w:t>Repeat investigations showed Hb 16 g/dl, PCV 47.2%, TC 10,200 cells/mm³, Platelets 1.58 lakhs/mm³, Urea 18 mg/dL, Creatinine 0.28 mg/dL, CRP negative, and normal peripheral smear. The child was afebrile, stable, tolerating oral feeds well, and discharged with advice to avoid oxidizing drugs and review after five days.</w:t>
      </w:r>
    </w:p>
    <w:p w:rsidR="00D431BF" w:rsidRDefault="00437A57">
      <w:pPr>
        <w:spacing w:line="240" w:lineRule="auto"/>
        <w:jc w:val="both"/>
        <w:rPr>
          <w:rFonts w:ascii="Calibri" w:hAnsi="Calibri" w:cs="Calibri"/>
          <w:sz w:val="24"/>
          <w:szCs w:val="24"/>
        </w:rPr>
      </w:pPr>
      <w:r>
        <w:rPr>
          <w:rFonts w:ascii="Calibri" w:hAnsi="Calibri" w:cs="Calibri"/>
          <w:sz w:val="24"/>
          <w:szCs w:val="24"/>
        </w:rPr>
        <w:t xml:space="preserve">Table 1: Laboratory Investigation on Admission to Discharge </w:t>
      </w:r>
    </w:p>
    <w:p w:rsidR="00D431BF" w:rsidRDefault="00437A57">
      <w:pPr>
        <w:spacing w:line="240" w:lineRule="auto"/>
        <w:jc w:val="both"/>
        <w:rPr>
          <w:rFonts w:ascii="Calibri" w:hAnsi="Calibri" w:cs="Calibri"/>
          <w:sz w:val="24"/>
          <w:szCs w:val="24"/>
        </w:rPr>
      </w:pPr>
      <w:r>
        <w:rPr>
          <w:rFonts w:ascii="Calibri" w:hAnsi="Calibri" w:cs="Calibri"/>
          <w:sz w:val="24"/>
          <w:szCs w:val="24"/>
        </w:rPr>
        <w:t xml:space="preserve">ND denotes Not done </w:t>
      </w:r>
    </w:p>
    <w:tbl>
      <w:tblPr>
        <w:tblW w:w="8325" w:type="dxa"/>
        <w:tblInd w:w="206" w:type="dxa"/>
        <w:tblLayout w:type="fixed"/>
        <w:tblLook w:val="04A0" w:firstRow="1" w:lastRow="0" w:firstColumn="1" w:lastColumn="0" w:noHBand="0" w:noVBand="1"/>
      </w:tblPr>
      <w:tblGrid>
        <w:gridCol w:w="2226"/>
        <w:gridCol w:w="1329"/>
        <w:gridCol w:w="1050"/>
        <w:gridCol w:w="1275"/>
        <w:gridCol w:w="900"/>
        <w:gridCol w:w="645"/>
        <w:gridCol w:w="900"/>
      </w:tblGrid>
      <w:tr w:rsidR="00D431BF">
        <w:trPr>
          <w:trHeight w:val="115"/>
        </w:trPr>
        <w:tc>
          <w:tcPr>
            <w:tcW w:w="2226" w:type="dxa"/>
            <w:tcBorders>
              <w:top w:val="single" w:sz="4" w:space="0" w:color="505050"/>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Parameter </w:t>
            </w:r>
          </w:p>
        </w:tc>
        <w:tc>
          <w:tcPr>
            <w:tcW w:w="1329" w:type="dxa"/>
            <w:tcBorders>
              <w:top w:val="single" w:sz="4" w:space="0" w:color="505050"/>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Normal Range</w:t>
            </w:r>
          </w:p>
        </w:tc>
        <w:tc>
          <w:tcPr>
            <w:tcW w:w="1050" w:type="dxa"/>
            <w:tcBorders>
              <w:top w:val="single" w:sz="4" w:space="0" w:color="505050"/>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1</w:t>
            </w:r>
          </w:p>
        </w:tc>
        <w:tc>
          <w:tcPr>
            <w:tcW w:w="1275" w:type="dxa"/>
            <w:tcBorders>
              <w:top w:val="single" w:sz="4" w:space="0" w:color="505050"/>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2</w:t>
            </w:r>
          </w:p>
        </w:tc>
        <w:tc>
          <w:tcPr>
            <w:tcW w:w="900" w:type="dxa"/>
            <w:tcBorders>
              <w:top w:val="single" w:sz="4" w:space="0" w:color="505050"/>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3</w:t>
            </w:r>
          </w:p>
        </w:tc>
        <w:tc>
          <w:tcPr>
            <w:tcW w:w="645" w:type="dxa"/>
            <w:tcBorders>
              <w:top w:val="single" w:sz="4" w:space="0" w:color="505050"/>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5</w:t>
            </w:r>
          </w:p>
        </w:tc>
        <w:tc>
          <w:tcPr>
            <w:tcW w:w="900" w:type="dxa"/>
            <w:tcBorders>
              <w:top w:val="single" w:sz="4" w:space="0" w:color="505050"/>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6</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Hb g/dl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11.1 </w:t>
            </w:r>
            <w:proofErr w:type="gramStart"/>
            <w:r>
              <w:rPr>
                <w:rFonts w:ascii="Calibri" w:eastAsia="Times New Roman" w:hAnsi="Calibri" w:cs="Calibri"/>
                <w:color w:val="000000"/>
                <w:sz w:val="24"/>
                <w:szCs w:val="24"/>
              </w:rPr>
              <w:t>-  14</w:t>
            </w:r>
            <w:proofErr w:type="gramEnd"/>
            <w:r>
              <w:rPr>
                <w:rFonts w:ascii="Calibri" w:eastAsia="Times New Roman" w:hAnsi="Calibri" w:cs="Calibri"/>
                <w:color w:val="000000"/>
                <w:sz w:val="24"/>
                <w:szCs w:val="24"/>
              </w:rPr>
              <w:t>.1</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5.4</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16.3</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12.8</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15.1</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16</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PCV%</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30   </w:t>
            </w:r>
            <w:proofErr w:type="gramStart"/>
            <w:r>
              <w:rPr>
                <w:rFonts w:ascii="Calibri" w:eastAsia="Times New Roman" w:hAnsi="Calibri" w:cs="Calibri"/>
                <w:color w:val="000000"/>
                <w:sz w:val="24"/>
                <w:szCs w:val="24"/>
              </w:rPr>
              <w:t>-  38</w:t>
            </w:r>
            <w:proofErr w:type="gramEnd"/>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17.3</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50.1</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38.9</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46.2</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47.2</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Total WBC million/mm</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proofErr w:type="gramStart"/>
            <w:r>
              <w:rPr>
                <w:rFonts w:ascii="Calibri" w:eastAsia="Times New Roman" w:hAnsi="Calibri" w:cs="Calibri"/>
                <w:color w:val="000000"/>
                <w:sz w:val="24"/>
                <w:szCs w:val="24"/>
              </w:rPr>
              <w:t>3.9  -</w:t>
            </w:r>
            <w:proofErr w:type="gramEnd"/>
            <w:r>
              <w:rPr>
                <w:rFonts w:ascii="Calibri" w:eastAsia="Times New Roman" w:hAnsi="Calibri" w:cs="Calibri"/>
                <w:color w:val="000000"/>
                <w:sz w:val="24"/>
                <w:szCs w:val="24"/>
              </w:rPr>
              <w:t xml:space="preserve">  5.1</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26</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21.83</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11.95</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8.82</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10.2</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Platlet10^3/ul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proofErr w:type="gramStart"/>
            <w:r>
              <w:rPr>
                <w:rFonts w:ascii="Calibri" w:eastAsia="Times New Roman" w:hAnsi="Calibri" w:cs="Calibri"/>
                <w:color w:val="000000"/>
                <w:sz w:val="24"/>
                <w:szCs w:val="24"/>
              </w:rPr>
              <w:t>200  -</w:t>
            </w:r>
            <w:proofErr w:type="gramEnd"/>
            <w:r>
              <w:rPr>
                <w:rFonts w:ascii="Calibri" w:eastAsia="Times New Roman" w:hAnsi="Calibri" w:cs="Calibri"/>
                <w:color w:val="000000"/>
                <w:sz w:val="24"/>
                <w:szCs w:val="24"/>
              </w:rPr>
              <w:t xml:space="preserve">  550</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628</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178</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98</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108</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158</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roofErr w:type="spellStart"/>
            <w:proofErr w:type="gramStart"/>
            <w:r>
              <w:rPr>
                <w:rFonts w:ascii="Calibri" w:eastAsia="Times New Roman" w:hAnsi="Calibri" w:cs="Calibri"/>
                <w:color w:val="000000"/>
                <w:sz w:val="24"/>
                <w:szCs w:val="24"/>
              </w:rPr>
              <w:t>T.Bilirubin</w:t>
            </w:r>
            <w:proofErr w:type="spellEnd"/>
            <w:proofErr w:type="gramEnd"/>
            <w:r>
              <w:rPr>
                <w:rFonts w:ascii="Calibri" w:eastAsia="Times New Roman" w:hAnsi="Calibri" w:cs="Calibri"/>
                <w:color w:val="000000"/>
                <w:sz w:val="24"/>
                <w:szCs w:val="24"/>
              </w:rPr>
              <w:t xml:space="preserve"> mg/dl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proofErr w:type="gramStart"/>
            <w:r>
              <w:rPr>
                <w:rFonts w:ascii="Calibri" w:eastAsia="Times New Roman" w:hAnsi="Calibri" w:cs="Calibri"/>
                <w:color w:val="000000"/>
                <w:sz w:val="24"/>
                <w:szCs w:val="24"/>
              </w:rPr>
              <w:t>0.1  -</w:t>
            </w:r>
            <w:proofErr w:type="gramEnd"/>
            <w:r>
              <w:rPr>
                <w:rFonts w:ascii="Calibri" w:eastAsia="Times New Roman" w:hAnsi="Calibri" w:cs="Calibri"/>
                <w:color w:val="000000"/>
                <w:sz w:val="24"/>
                <w:szCs w:val="24"/>
              </w:rPr>
              <w:t xml:space="preserve">  1.2</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3.67</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2.51</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1.07</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90"/>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 Bilirubin mg/dl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0.0   </w:t>
            </w:r>
            <w:proofErr w:type="gramStart"/>
            <w:r>
              <w:rPr>
                <w:rFonts w:ascii="Calibri" w:eastAsia="Times New Roman" w:hAnsi="Calibri" w:cs="Calibri"/>
                <w:color w:val="000000"/>
                <w:sz w:val="24"/>
                <w:szCs w:val="24"/>
              </w:rPr>
              <w:t>-  0</w:t>
            </w:r>
            <w:proofErr w:type="gramEnd"/>
            <w:r>
              <w:rPr>
                <w:rFonts w:ascii="Calibri" w:eastAsia="Times New Roman" w:hAnsi="Calibri" w:cs="Calibri"/>
                <w:color w:val="000000"/>
                <w:sz w:val="24"/>
                <w:szCs w:val="24"/>
              </w:rPr>
              <w:t>.2</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0.12</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0.42</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0.41</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ID. </w:t>
            </w:r>
            <w:proofErr w:type="spellStart"/>
            <w:r>
              <w:rPr>
                <w:rFonts w:ascii="Calibri" w:eastAsia="Times New Roman" w:hAnsi="Calibri" w:cs="Calibri"/>
                <w:color w:val="000000"/>
                <w:sz w:val="24"/>
                <w:szCs w:val="24"/>
              </w:rPr>
              <w:t>Bilrubin</w:t>
            </w:r>
            <w:proofErr w:type="spellEnd"/>
            <w:r>
              <w:rPr>
                <w:rFonts w:ascii="Calibri" w:eastAsia="Times New Roman" w:hAnsi="Calibri" w:cs="Calibri"/>
                <w:color w:val="000000"/>
                <w:sz w:val="24"/>
                <w:szCs w:val="24"/>
              </w:rPr>
              <w:t xml:space="preserve"> mg/dl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0.0   -   0.9</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3.55</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2.09</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0.66</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AST U/L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20   -   60</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99</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90</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ALT U/L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   -   45</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17</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LDH U/L</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85 </w:t>
            </w:r>
            <w:proofErr w:type="gramStart"/>
            <w:r>
              <w:rPr>
                <w:rFonts w:ascii="Calibri" w:eastAsia="Times New Roman" w:hAnsi="Calibri" w:cs="Calibri"/>
                <w:color w:val="000000"/>
                <w:sz w:val="24"/>
                <w:szCs w:val="24"/>
              </w:rPr>
              <w:t>-  222</w:t>
            </w:r>
            <w:proofErr w:type="gramEnd"/>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 ND</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ind w:left="120" w:hangingChars="50" w:hanging="120"/>
              <w:jc w:val="both"/>
              <w:rPr>
                <w:rFonts w:ascii="Calibri" w:eastAsia="Times New Roman" w:hAnsi="Calibri" w:cs="Calibri"/>
                <w:color w:val="000000"/>
                <w:sz w:val="24"/>
                <w:szCs w:val="24"/>
              </w:rPr>
            </w:pPr>
            <w:r>
              <w:rPr>
                <w:rFonts w:ascii="Calibri" w:eastAsia="Times New Roman" w:hAnsi="Calibri" w:cs="Calibri"/>
                <w:color w:val="000000"/>
                <w:sz w:val="24"/>
                <w:szCs w:val="24"/>
              </w:rPr>
              <w:t>1559-4am</w:t>
            </w:r>
          </w:p>
          <w:p w:rsidR="00D431BF" w:rsidRDefault="00437A57">
            <w:pPr>
              <w:spacing w:line="240" w:lineRule="auto"/>
              <w:ind w:left="120" w:hangingChars="50" w:hanging="120"/>
              <w:jc w:val="both"/>
              <w:rPr>
                <w:rFonts w:ascii="Calibri" w:eastAsia="Times New Roman" w:hAnsi="Calibri" w:cs="Calibri"/>
                <w:color w:val="000000"/>
                <w:sz w:val="24"/>
                <w:szCs w:val="24"/>
              </w:rPr>
            </w:pPr>
            <w:r>
              <w:rPr>
                <w:rFonts w:ascii="Calibri" w:eastAsia="Times New Roman" w:hAnsi="Calibri" w:cs="Calibri"/>
                <w:color w:val="000000"/>
                <w:sz w:val="24"/>
                <w:szCs w:val="24"/>
              </w:rPr>
              <w:t>1774-6am</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1434</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789</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Methemoglobin %</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proofErr w:type="gramStart"/>
            <w:r>
              <w:rPr>
                <w:rFonts w:ascii="Calibri" w:eastAsia="Times New Roman" w:hAnsi="Calibri" w:cs="Calibri"/>
                <w:color w:val="000000"/>
                <w:sz w:val="24"/>
                <w:szCs w:val="24"/>
              </w:rPr>
              <w:t>0.5  -</w:t>
            </w:r>
            <w:proofErr w:type="gramEnd"/>
            <w:r>
              <w:rPr>
                <w:rFonts w:ascii="Calibri" w:eastAsia="Times New Roman" w:hAnsi="Calibri" w:cs="Calibri"/>
                <w:color w:val="000000"/>
                <w:sz w:val="24"/>
                <w:szCs w:val="24"/>
              </w:rPr>
              <w:t xml:space="preserve">   1.0</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7.6</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3.9-1am </w:t>
            </w:r>
          </w:p>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1.2-6am</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0.8</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G6PD IU/million RBCs</w:t>
            </w:r>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202 </w:t>
            </w:r>
            <w:proofErr w:type="gramStart"/>
            <w:r>
              <w:rPr>
                <w:rFonts w:ascii="Calibri" w:eastAsia="Times New Roman" w:hAnsi="Calibri" w:cs="Calibri"/>
                <w:color w:val="000000"/>
                <w:sz w:val="24"/>
                <w:szCs w:val="24"/>
              </w:rPr>
              <w:t>-  522</w:t>
            </w:r>
            <w:proofErr w:type="gramEnd"/>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115</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D431BF">
        <w:trPr>
          <w:trHeight w:val="115"/>
        </w:trPr>
        <w:tc>
          <w:tcPr>
            <w:tcW w:w="2226" w:type="dxa"/>
            <w:tcBorders>
              <w:top w:val="nil"/>
              <w:left w:val="single" w:sz="4" w:space="0" w:color="505050"/>
              <w:bottom w:val="single" w:sz="4" w:space="0" w:color="505050"/>
              <w:right w:val="single" w:sz="4" w:space="0" w:color="505050"/>
            </w:tcBorders>
            <w:noWrap/>
            <w:vAlign w:val="center"/>
          </w:tcPr>
          <w:p w:rsidR="00D431BF" w:rsidRDefault="00437A57">
            <w:pPr>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Urine </w:t>
            </w:r>
            <w:proofErr w:type="spellStart"/>
            <w:r>
              <w:rPr>
                <w:rFonts w:ascii="Calibri" w:eastAsia="Times New Roman" w:hAnsi="Calibri" w:cs="Calibri"/>
                <w:color w:val="000000"/>
                <w:sz w:val="24"/>
                <w:szCs w:val="24"/>
              </w:rPr>
              <w:t>colour</w:t>
            </w:r>
            <w:proofErr w:type="spellEnd"/>
          </w:p>
        </w:tc>
        <w:tc>
          <w:tcPr>
            <w:tcW w:w="1329"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straw yellow</w:t>
            </w:r>
          </w:p>
        </w:tc>
        <w:tc>
          <w:tcPr>
            <w:tcW w:w="105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Dark brown</w:t>
            </w:r>
          </w:p>
        </w:tc>
        <w:tc>
          <w:tcPr>
            <w:tcW w:w="127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Brownish yellow</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Amber </w:t>
            </w:r>
          </w:p>
        </w:tc>
        <w:tc>
          <w:tcPr>
            <w:tcW w:w="645"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900" w:type="dxa"/>
            <w:tcBorders>
              <w:top w:val="nil"/>
              <w:left w:val="nil"/>
              <w:bottom w:val="single" w:sz="4" w:space="0" w:color="505050"/>
              <w:right w:val="single" w:sz="4" w:space="0" w:color="505050"/>
            </w:tcBorders>
            <w:noWrap/>
            <w:vAlign w:val="center"/>
          </w:tcPr>
          <w:p w:rsidR="00D431BF" w:rsidRDefault="00437A57">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bl>
    <w:p w:rsidR="00D431BF" w:rsidRDefault="00437A57">
      <w:pPr>
        <w:keepNext/>
        <w:spacing w:line="240" w:lineRule="auto"/>
        <w:jc w:val="center"/>
        <w:rPr>
          <w:rFonts w:ascii="Calibri" w:hAnsi="Calibri" w:cs="Calibri"/>
          <w:sz w:val="24"/>
          <w:szCs w:val="24"/>
        </w:rPr>
      </w:pPr>
      <w:r>
        <w:rPr>
          <w:rFonts w:ascii="Calibri" w:hAnsi="Calibri" w:cs="Calibri"/>
          <w:noProof/>
          <w:sz w:val="24"/>
          <w:szCs w:val="24"/>
        </w:rPr>
        <w:lastRenderedPageBreak/>
        <w:drawing>
          <wp:inline distT="0" distB="0" distL="0" distR="0">
            <wp:extent cx="1932940" cy="1627505"/>
            <wp:effectExtent l="152400" t="114300" r="352425" b="295925"/>
            <wp:docPr id="1027" name="Picture 4" descr="1+.jpg"/>
            <wp:cNvGraphicFramePr/>
            <a:graphic xmlns:a="http://schemas.openxmlformats.org/drawingml/2006/main">
              <a:graphicData uri="http://schemas.openxmlformats.org/drawingml/2006/picture">
                <pic:pic xmlns:pic="http://schemas.openxmlformats.org/drawingml/2006/picture">
                  <pic:nvPicPr>
                    <pic:cNvPr id="1027" name="Picture 4" descr="1+.jpg"/>
                    <pic:cNvPicPr/>
                  </pic:nvPicPr>
                  <pic:blipFill>
                    <a:blip r:embed="rId9" cstate="print">
                      <a:lum bright="4000" contrast="16000"/>
                    </a:blip>
                    <a:srcRect/>
                    <a:stretch>
                      <a:fillRect/>
                    </a:stretch>
                  </pic:blipFill>
                  <pic:spPr>
                    <a:xfrm>
                      <a:off x="0" y="0"/>
                      <a:ext cx="1933574" cy="1628125"/>
                    </a:xfrm>
                    <a:prstGeom prst="ellipse">
                      <a:avLst/>
                    </a:prstGeom>
                    <a:ln>
                      <a:noFill/>
                    </a:ln>
                    <a:effectLst>
                      <a:outerShdw blurRad="292100" dist="139700" dir="2700000" algn="tl" rotWithShape="0">
                        <a:srgbClr val="333333">
                          <a:alpha val="65000"/>
                        </a:srgbClr>
                      </a:outerShdw>
                    </a:effectLst>
                  </pic:spPr>
                </pic:pic>
              </a:graphicData>
            </a:graphic>
          </wp:inline>
        </w:drawing>
      </w:r>
    </w:p>
    <w:p w:rsidR="00D431BF" w:rsidRDefault="00437A57">
      <w:pPr>
        <w:keepNext/>
        <w:spacing w:line="240" w:lineRule="auto"/>
        <w:jc w:val="both"/>
        <w:rPr>
          <w:rFonts w:ascii="Calibri" w:hAnsi="Calibri" w:cs="Calibri"/>
        </w:rPr>
      </w:pPr>
      <w:r>
        <w:rPr>
          <w:rFonts w:ascii="Calibri" w:hAnsi="Calibri" w:cs="Calibri"/>
          <w:sz w:val="24"/>
          <w:szCs w:val="24"/>
        </w:rPr>
        <w:t xml:space="preserve">  Fig </w:t>
      </w:r>
      <w:r>
        <w:rPr>
          <w:rFonts w:ascii="Calibri" w:hAnsi="Calibri" w:cs="Calibri"/>
          <w:b/>
          <w:sz w:val="24"/>
          <w:szCs w:val="24"/>
        </w:rPr>
        <w:fldChar w:fldCharType="begin"/>
      </w:r>
      <w:r>
        <w:rPr>
          <w:rFonts w:ascii="Calibri" w:hAnsi="Calibri" w:cs="Calibri"/>
          <w:sz w:val="24"/>
          <w:szCs w:val="24"/>
        </w:rPr>
        <w:instrText xml:space="preserve"> SEQ Figure \* ARABIC </w:instrText>
      </w:r>
      <w:r>
        <w:rPr>
          <w:rFonts w:ascii="Calibri" w:hAnsi="Calibri" w:cs="Calibri"/>
          <w:b/>
          <w:sz w:val="24"/>
          <w:szCs w:val="24"/>
        </w:rPr>
        <w:fldChar w:fldCharType="separate"/>
      </w:r>
      <w:r>
        <w:rPr>
          <w:rFonts w:ascii="Calibri" w:hAnsi="Calibri" w:cs="Calibri"/>
          <w:sz w:val="24"/>
          <w:szCs w:val="24"/>
        </w:rPr>
        <w:t>1</w:t>
      </w:r>
      <w:r>
        <w:rPr>
          <w:rFonts w:ascii="Calibri" w:hAnsi="Calibri" w:cs="Calibri"/>
          <w:b/>
          <w:sz w:val="24"/>
          <w:szCs w:val="24"/>
        </w:rPr>
        <w:fldChar w:fldCharType="end"/>
      </w:r>
      <w:r>
        <w:rPr>
          <w:rFonts w:ascii="Calibri" w:hAnsi="Calibri" w:cs="Calibri"/>
          <w:sz w:val="24"/>
          <w:szCs w:val="24"/>
        </w:rPr>
        <w:t xml:space="preserve">:severe anemia with reduced RBC </w:t>
      </w:r>
      <w:proofErr w:type="gramStart"/>
      <w:r>
        <w:rPr>
          <w:rFonts w:ascii="Calibri" w:hAnsi="Calibri" w:cs="Calibri"/>
          <w:sz w:val="24"/>
          <w:szCs w:val="24"/>
        </w:rPr>
        <w:t>count ,teardrop</w:t>
      </w:r>
      <w:proofErr w:type="gramEnd"/>
      <w:r>
        <w:rPr>
          <w:rFonts w:ascii="Calibri" w:hAnsi="Calibri" w:cs="Calibri"/>
          <w:sz w:val="24"/>
          <w:szCs w:val="24"/>
        </w:rPr>
        <w:t xml:space="preserve"> cells , helmet cells and reactive thrombocytosis</w:t>
      </w:r>
    </w:p>
    <w:p w:rsidR="00D431BF" w:rsidRDefault="00437A57">
      <w:pPr>
        <w:pStyle w:val="Caption"/>
        <w:jc w:val="right"/>
        <w:rPr>
          <w:rFonts w:ascii="Calibri" w:hAnsi="Calibri" w:cs="Calibri"/>
        </w:rPr>
      </w:pPr>
      <w:r>
        <w:rPr>
          <w:rFonts w:ascii="Calibri" w:hAnsi="Calibri" w:cs="Calibri"/>
          <w:noProof/>
        </w:rPr>
        <w:drawing>
          <wp:anchor distT="0" distB="0" distL="114300" distR="114300" simplePos="0" relativeHeight="251657216" behindDoc="0" locked="0" layoutInCell="1" allowOverlap="1">
            <wp:simplePos x="0" y="0"/>
            <wp:positionH relativeFrom="column">
              <wp:align>left</wp:align>
            </wp:positionH>
            <wp:positionV relativeFrom="paragraph">
              <wp:align>top</wp:align>
            </wp:positionV>
            <wp:extent cx="1901825" cy="1644015"/>
            <wp:effectExtent l="152400" t="114300" r="327025" b="299085"/>
            <wp:wrapSquare wrapText="bothSides"/>
            <wp:docPr id="1028" name="Picture 5" descr="2+.jpg"/>
            <wp:cNvGraphicFramePr/>
            <a:graphic xmlns:a="http://schemas.openxmlformats.org/drawingml/2006/main">
              <a:graphicData uri="http://schemas.openxmlformats.org/drawingml/2006/picture">
                <pic:pic xmlns:pic="http://schemas.openxmlformats.org/drawingml/2006/picture">
                  <pic:nvPicPr>
                    <pic:cNvPr id="1028" name="Picture 5" descr="2+.jpg"/>
                    <pic:cNvPicPr/>
                  </pic:nvPicPr>
                  <pic:blipFill>
                    <a:blip r:embed="rId10" cstate="print"/>
                    <a:srcRect/>
                    <a:stretch>
                      <a:fillRect/>
                    </a:stretch>
                  </pic:blipFill>
                  <pic:spPr>
                    <a:xfrm>
                      <a:off x="0" y="0"/>
                      <a:ext cx="1901825" cy="1644015"/>
                    </a:xfrm>
                    <a:prstGeom prst="ellipse">
                      <a:avLst/>
                    </a:prstGeom>
                    <a:ln>
                      <a:noFill/>
                    </a:ln>
                    <a:effectLst>
                      <a:outerShdw blurRad="292100" dist="139700" dir="2700000" algn="tl" rotWithShape="0">
                        <a:srgbClr val="333333">
                          <a:alpha val="65000"/>
                        </a:srgbClr>
                      </a:outerShdw>
                    </a:effectLst>
                  </pic:spPr>
                </pic:pic>
              </a:graphicData>
            </a:graphic>
          </wp:anchor>
        </w:drawing>
      </w:r>
      <w:r>
        <w:rPr>
          <w:rFonts w:ascii="Calibri" w:hAnsi="Calibri" w:cs="Calibri"/>
          <w:noProof/>
        </w:rPr>
        <w:drawing>
          <wp:inline distT="0" distB="0" distL="0" distR="0">
            <wp:extent cx="2028825" cy="1643380"/>
            <wp:effectExtent l="152400" t="114300" r="314325" b="299590"/>
            <wp:docPr id="1029" name="Picture 6" descr="3+.jpg"/>
            <wp:cNvGraphicFramePr/>
            <a:graphic xmlns:a="http://schemas.openxmlformats.org/drawingml/2006/main">
              <a:graphicData uri="http://schemas.openxmlformats.org/drawingml/2006/picture">
                <pic:pic xmlns:pic="http://schemas.openxmlformats.org/drawingml/2006/picture">
                  <pic:nvPicPr>
                    <pic:cNvPr id="1029" name="Picture 6" descr="3+.jpg"/>
                    <pic:cNvPicPr/>
                  </pic:nvPicPr>
                  <pic:blipFill>
                    <a:blip r:embed="rId11" cstate="print"/>
                    <a:srcRect/>
                    <a:stretch>
                      <a:fillRect/>
                    </a:stretch>
                  </pic:blipFill>
                  <pic:spPr>
                    <a:xfrm>
                      <a:off x="0" y="0"/>
                      <a:ext cx="2028825" cy="1643510"/>
                    </a:xfrm>
                    <a:prstGeom prst="ellipse">
                      <a:avLst/>
                    </a:prstGeom>
                    <a:ln>
                      <a:noFill/>
                    </a:ln>
                    <a:effectLst>
                      <a:outerShdw blurRad="292100" dist="139700" dir="2700000" algn="tl" rotWithShape="0">
                        <a:srgbClr val="333333">
                          <a:alpha val="65000"/>
                        </a:srgbClr>
                      </a:outerShdw>
                    </a:effectLst>
                  </pic:spPr>
                </pic:pic>
              </a:graphicData>
            </a:graphic>
          </wp:inline>
        </w:drawing>
      </w:r>
      <w:r>
        <w:rPr>
          <w:rFonts w:ascii="Calibri" w:hAnsi="Calibri" w:cs="Calibri"/>
        </w:rPr>
        <w:br w:type="textWrapping" w:clear="all"/>
      </w:r>
    </w:p>
    <w:p w:rsidR="00D431BF" w:rsidRDefault="00437A57">
      <w:pPr>
        <w:pStyle w:val="Caption"/>
        <w:jc w:val="both"/>
        <w:rPr>
          <w:rFonts w:ascii="Calibri" w:hAnsi="Calibri" w:cs="Calibri"/>
          <w:b w:val="0"/>
          <w:sz w:val="24"/>
          <w:szCs w:val="24"/>
        </w:rPr>
      </w:pPr>
      <w:r>
        <w:tab/>
      </w:r>
      <w:r>
        <w:rPr>
          <w:rFonts w:ascii="Calibri" w:hAnsi="Calibri" w:cs="Calibri"/>
          <w:b w:val="0"/>
          <w:sz w:val="24"/>
          <w:szCs w:val="24"/>
        </w:rPr>
        <w:t xml:space="preserve">Fig. </w:t>
      </w:r>
      <w:r>
        <w:rPr>
          <w:rFonts w:ascii="Calibri" w:hAnsi="Calibri" w:cs="Calibri"/>
          <w:b w:val="0"/>
          <w:sz w:val="24"/>
          <w:szCs w:val="24"/>
        </w:rPr>
        <w:fldChar w:fldCharType="begin"/>
      </w:r>
      <w:r>
        <w:rPr>
          <w:rFonts w:ascii="Calibri" w:hAnsi="Calibri" w:cs="Calibri"/>
          <w:b w:val="0"/>
          <w:sz w:val="24"/>
          <w:szCs w:val="24"/>
        </w:rPr>
        <w:instrText xml:space="preserve"> SEQ Figure \* ARABIC </w:instrText>
      </w:r>
      <w:r>
        <w:rPr>
          <w:rFonts w:ascii="Calibri" w:hAnsi="Calibri" w:cs="Calibri"/>
          <w:b w:val="0"/>
          <w:sz w:val="24"/>
          <w:szCs w:val="24"/>
        </w:rPr>
        <w:fldChar w:fldCharType="separate"/>
      </w:r>
      <w:r>
        <w:rPr>
          <w:rFonts w:ascii="Calibri" w:hAnsi="Calibri" w:cs="Calibri"/>
          <w:b w:val="0"/>
          <w:sz w:val="24"/>
          <w:szCs w:val="24"/>
        </w:rPr>
        <w:t>2</w:t>
      </w:r>
      <w:r>
        <w:rPr>
          <w:rFonts w:ascii="Calibri" w:hAnsi="Calibri" w:cs="Calibri"/>
          <w:b w:val="0"/>
          <w:sz w:val="24"/>
          <w:szCs w:val="24"/>
        </w:rPr>
        <w:fldChar w:fldCharType="end"/>
      </w:r>
      <w:r>
        <w:rPr>
          <w:rFonts w:ascii="Calibri" w:hAnsi="Calibri" w:cs="Calibri"/>
          <w:b w:val="0"/>
          <w:sz w:val="24"/>
          <w:szCs w:val="24"/>
        </w:rPr>
        <w:t xml:space="preserve">: </w:t>
      </w:r>
      <w:proofErr w:type="spellStart"/>
      <w:r>
        <w:rPr>
          <w:rFonts w:ascii="Calibri" w:hAnsi="Calibri" w:cs="Calibri"/>
          <w:b w:val="0"/>
          <w:sz w:val="24"/>
          <w:szCs w:val="24"/>
        </w:rPr>
        <w:t>Normoblast</w:t>
      </w:r>
      <w:proofErr w:type="spellEnd"/>
      <w:r>
        <w:rPr>
          <w:rFonts w:ascii="Calibri" w:hAnsi="Calibri" w:cs="Calibri"/>
          <w:b w:val="0"/>
          <w:sz w:val="24"/>
          <w:szCs w:val="24"/>
        </w:rPr>
        <w:t xml:space="preserve">                                                      Fig </w:t>
      </w:r>
      <w:r>
        <w:rPr>
          <w:rFonts w:ascii="Calibri" w:hAnsi="Calibri" w:cs="Calibri"/>
          <w:b w:val="0"/>
          <w:sz w:val="24"/>
          <w:szCs w:val="24"/>
        </w:rPr>
        <w:fldChar w:fldCharType="begin"/>
      </w:r>
      <w:r>
        <w:rPr>
          <w:rFonts w:ascii="Calibri" w:hAnsi="Calibri" w:cs="Calibri"/>
          <w:b w:val="0"/>
          <w:sz w:val="24"/>
          <w:szCs w:val="24"/>
        </w:rPr>
        <w:instrText xml:space="preserve"> SEQ Figure \* ARABIC </w:instrText>
      </w:r>
      <w:r>
        <w:rPr>
          <w:rFonts w:ascii="Calibri" w:hAnsi="Calibri" w:cs="Calibri"/>
          <w:b w:val="0"/>
          <w:sz w:val="24"/>
          <w:szCs w:val="24"/>
        </w:rPr>
        <w:fldChar w:fldCharType="separate"/>
      </w:r>
      <w:r>
        <w:rPr>
          <w:rFonts w:ascii="Calibri" w:hAnsi="Calibri" w:cs="Calibri"/>
          <w:b w:val="0"/>
          <w:sz w:val="24"/>
          <w:szCs w:val="24"/>
        </w:rPr>
        <w:t>3</w:t>
      </w:r>
      <w:r>
        <w:rPr>
          <w:rFonts w:ascii="Calibri" w:hAnsi="Calibri" w:cs="Calibri"/>
          <w:b w:val="0"/>
          <w:sz w:val="24"/>
          <w:szCs w:val="24"/>
        </w:rPr>
        <w:fldChar w:fldCharType="end"/>
      </w:r>
      <w:r>
        <w:rPr>
          <w:rFonts w:ascii="Calibri" w:hAnsi="Calibri" w:cs="Calibri"/>
          <w:b w:val="0"/>
          <w:sz w:val="24"/>
          <w:szCs w:val="24"/>
        </w:rPr>
        <w:t xml:space="preserve"> : Neutrophilic leukocytosis</w:t>
      </w:r>
    </w:p>
    <w:p w:rsidR="00D431BF" w:rsidRDefault="00D431BF">
      <w:pPr>
        <w:pStyle w:val="Caption"/>
        <w:jc w:val="both"/>
      </w:pPr>
    </w:p>
    <w:p w:rsidR="00D431BF" w:rsidRDefault="00D431BF">
      <w:pPr>
        <w:pStyle w:val="Caption"/>
        <w:jc w:val="both"/>
        <w:rPr>
          <w:rFonts w:ascii="Calibri" w:hAnsi="Calibri" w:cs="Calibri"/>
        </w:rPr>
      </w:pPr>
    </w:p>
    <w:p w:rsidR="00D431BF" w:rsidRDefault="00D431BF">
      <w:pPr>
        <w:spacing w:line="240" w:lineRule="auto"/>
        <w:jc w:val="both"/>
        <w:rPr>
          <w:rFonts w:ascii="Calibri" w:hAnsi="Calibri" w:cs="Calibri"/>
          <w:sz w:val="24"/>
          <w:szCs w:val="24"/>
        </w:rPr>
      </w:pPr>
    </w:p>
    <w:p w:rsidR="00D431BF" w:rsidRDefault="00437A57">
      <w:pPr>
        <w:spacing w:line="240" w:lineRule="auto"/>
        <w:jc w:val="both"/>
        <w:rPr>
          <w:rFonts w:ascii="Calibri" w:hAnsi="Calibri" w:cs="Calibri"/>
          <w:b/>
          <w:color w:val="FF0000"/>
          <w:sz w:val="28"/>
          <w:szCs w:val="28"/>
        </w:rPr>
      </w:pPr>
      <w:r>
        <w:rPr>
          <w:rFonts w:ascii="Calibri" w:hAnsi="Calibri" w:cs="Calibri"/>
          <w:b/>
          <w:color w:val="FF0000"/>
          <w:sz w:val="28"/>
          <w:szCs w:val="28"/>
        </w:rPr>
        <w:t>Discussion:</w:t>
      </w:r>
    </w:p>
    <w:p w:rsidR="00D431BF" w:rsidRDefault="00875BCE">
      <w:pPr>
        <w:spacing w:line="240" w:lineRule="auto"/>
        <w:jc w:val="both"/>
        <w:rPr>
          <w:rFonts w:ascii="Calibri" w:hAnsi="Calibri" w:cs="Calibri"/>
          <w:sz w:val="24"/>
          <w:szCs w:val="24"/>
        </w:rPr>
      </w:pPr>
      <w:r>
        <w:rPr>
          <w:rFonts w:ascii="Calibri" w:hAnsi="Calibri" w:cs="Calibri"/>
          <w:sz w:val="24"/>
          <w:szCs w:val="24"/>
        </w:rPr>
        <w:t>“</w:t>
      </w:r>
      <w:r w:rsidR="00437A57">
        <w:rPr>
          <w:rFonts w:ascii="Calibri" w:hAnsi="Calibri" w:cs="Calibri"/>
          <w:sz w:val="24"/>
          <w:szCs w:val="24"/>
        </w:rPr>
        <w:t>Naphthalene is a bicyclic aromatic hydrocarbon that is poorly soluble in water. Depending on size, one mothball can contain between 0.5 to 5 g of naphthalene</w:t>
      </w:r>
      <w:r>
        <w:rPr>
          <w:rFonts w:ascii="Calibri" w:hAnsi="Calibri" w:cs="Calibri"/>
          <w:sz w:val="24"/>
          <w:szCs w:val="24"/>
        </w:rPr>
        <w:t>”</w:t>
      </w:r>
      <w:r w:rsidR="00437A57">
        <w:rPr>
          <w:rFonts w:ascii="Calibri" w:hAnsi="Calibri" w:cs="Calibri"/>
          <w:sz w:val="24"/>
          <w:szCs w:val="24"/>
        </w:rPr>
        <w:t xml:space="preserve"> (8). </w:t>
      </w:r>
      <w:r>
        <w:rPr>
          <w:rFonts w:ascii="Calibri" w:hAnsi="Calibri" w:cs="Calibri"/>
          <w:sz w:val="24"/>
          <w:szCs w:val="24"/>
        </w:rPr>
        <w:t>“</w:t>
      </w:r>
      <w:r w:rsidR="00437A57">
        <w:rPr>
          <w:rFonts w:ascii="Calibri" w:hAnsi="Calibri" w:cs="Calibri"/>
          <w:sz w:val="24"/>
          <w:szCs w:val="24"/>
        </w:rPr>
        <w:t xml:space="preserve">After exposure, it is readily absorbed and metabolized into reactive epoxides and quinone metabolites by cytochrome P450 oxidation. It is excreted in urine as mercapturic acids, </w:t>
      </w:r>
      <w:proofErr w:type="spellStart"/>
      <w:r w:rsidR="00437A57">
        <w:rPr>
          <w:rFonts w:ascii="Calibri" w:hAnsi="Calibri" w:cs="Calibri"/>
          <w:sz w:val="24"/>
          <w:szCs w:val="24"/>
        </w:rPr>
        <w:t>methylthio</w:t>
      </w:r>
      <w:proofErr w:type="spellEnd"/>
      <w:r w:rsidR="00437A57">
        <w:rPr>
          <w:rFonts w:ascii="Calibri" w:hAnsi="Calibri" w:cs="Calibri"/>
          <w:sz w:val="24"/>
          <w:szCs w:val="24"/>
        </w:rPr>
        <w:t xml:space="preserve"> derivatives, and glucuronide conjugates. After hepatic metabolism, the most potent derivative, α-naphthol, causes hemolysis and Heinz body formation.  Naphthalene causes oxidative stress by enhancing free radical production, resulting in lipid peroxidation and DNA damage</w:t>
      </w:r>
      <w:r>
        <w:rPr>
          <w:rFonts w:ascii="Calibri" w:hAnsi="Calibri" w:cs="Calibri"/>
          <w:sz w:val="24"/>
          <w:szCs w:val="24"/>
        </w:rPr>
        <w:t>”</w:t>
      </w:r>
      <w:r w:rsidR="00437A57">
        <w:rPr>
          <w:rFonts w:ascii="Calibri" w:hAnsi="Calibri" w:cs="Calibri"/>
          <w:sz w:val="24"/>
          <w:szCs w:val="24"/>
        </w:rPr>
        <w:t xml:space="preserve"> (9). </w:t>
      </w:r>
      <w:r>
        <w:rPr>
          <w:rFonts w:ascii="Calibri" w:hAnsi="Calibri" w:cs="Calibri"/>
          <w:sz w:val="24"/>
          <w:szCs w:val="24"/>
        </w:rPr>
        <w:t>“</w:t>
      </w:r>
      <w:r w:rsidR="00437A57">
        <w:rPr>
          <w:rFonts w:ascii="Calibri" w:hAnsi="Calibri" w:cs="Calibri"/>
          <w:sz w:val="24"/>
          <w:szCs w:val="24"/>
        </w:rPr>
        <w:t>Hemolysis is particularly seen in patients with low tolerance to oxidative stress, such as those with G6PD deficiency</w:t>
      </w:r>
      <w:r>
        <w:rPr>
          <w:rFonts w:ascii="Calibri" w:hAnsi="Calibri" w:cs="Calibri"/>
          <w:sz w:val="24"/>
          <w:szCs w:val="24"/>
        </w:rPr>
        <w:t>”</w:t>
      </w:r>
      <w:r w:rsidR="00437A57">
        <w:rPr>
          <w:rFonts w:ascii="Calibri" w:hAnsi="Calibri" w:cs="Calibri"/>
          <w:sz w:val="24"/>
          <w:szCs w:val="24"/>
        </w:rPr>
        <w:t xml:space="preserve"> (</w:t>
      </w:r>
      <w:proofErr w:type="gramStart"/>
      <w:r w:rsidR="00437A57">
        <w:rPr>
          <w:rFonts w:ascii="Calibri" w:hAnsi="Calibri" w:cs="Calibri"/>
          <w:sz w:val="24"/>
          <w:szCs w:val="24"/>
        </w:rPr>
        <w:t>9)(</w:t>
      </w:r>
      <w:proofErr w:type="gramEnd"/>
      <w:r w:rsidR="00437A57">
        <w:rPr>
          <w:rFonts w:ascii="Calibri" w:hAnsi="Calibri" w:cs="Calibri"/>
          <w:sz w:val="24"/>
          <w:szCs w:val="24"/>
        </w:rPr>
        <w:t xml:space="preserve">10). </w:t>
      </w:r>
      <w:r>
        <w:rPr>
          <w:rFonts w:ascii="Calibri" w:hAnsi="Calibri" w:cs="Calibri"/>
          <w:sz w:val="24"/>
          <w:szCs w:val="24"/>
        </w:rPr>
        <w:t>“</w:t>
      </w:r>
      <w:r w:rsidR="00437A57">
        <w:rPr>
          <w:rFonts w:ascii="Calibri" w:hAnsi="Calibri" w:cs="Calibri"/>
          <w:sz w:val="24"/>
          <w:szCs w:val="24"/>
        </w:rPr>
        <w:t xml:space="preserve">G6PD is essential in red cell metabolism due to its role in the pentose </w:t>
      </w:r>
      <w:r w:rsidR="00437A57">
        <w:rPr>
          <w:rFonts w:ascii="Calibri" w:hAnsi="Calibri" w:cs="Calibri"/>
          <w:sz w:val="24"/>
          <w:szCs w:val="24"/>
        </w:rPr>
        <w:lastRenderedPageBreak/>
        <w:t xml:space="preserve">phosphate pathway. It provides resistance to oxidative stress by generating the reduced form of </w:t>
      </w:r>
      <w:proofErr w:type="gramStart"/>
      <w:r w:rsidR="00437A57">
        <w:rPr>
          <w:rFonts w:ascii="Calibri" w:hAnsi="Calibri" w:cs="Calibri"/>
          <w:sz w:val="24"/>
          <w:szCs w:val="24"/>
        </w:rPr>
        <w:t>NADP</w:t>
      </w:r>
      <w:r>
        <w:rPr>
          <w:rFonts w:ascii="Calibri" w:hAnsi="Calibri" w:cs="Calibri"/>
          <w:sz w:val="24"/>
          <w:szCs w:val="24"/>
        </w:rPr>
        <w:t>”</w:t>
      </w:r>
      <w:r w:rsidR="00437A57">
        <w:rPr>
          <w:rFonts w:ascii="Calibri" w:hAnsi="Calibri" w:cs="Calibri"/>
          <w:sz w:val="24"/>
          <w:szCs w:val="24"/>
        </w:rPr>
        <w:t xml:space="preserve">  (</w:t>
      </w:r>
      <w:proofErr w:type="gramEnd"/>
      <w:r w:rsidR="00437A57">
        <w:rPr>
          <w:rFonts w:ascii="Calibri" w:hAnsi="Calibri" w:cs="Calibri"/>
          <w:sz w:val="24"/>
          <w:szCs w:val="24"/>
        </w:rPr>
        <w:t xml:space="preserve">11). </w:t>
      </w:r>
      <w:r>
        <w:rPr>
          <w:rFonts w:ascii="Calibri" w:hAnsi="Calibri" w:cs="Calibri"/>
          <w:sz w:val="24"/>
          <w:szCs w:val="24"/>
        </w:rPr>
        <w:t>“</w:t>
      </w:r>
      <w:r w:rsidR="00437A57">
        <w:rPr>
          <w:rFonts w:ascii="Calibri" w:hAnsi="Calibri" w:cs="Calibri"/>
          <w:sz w:val="24"/>
          <w:szCs w:val="24"/>
        </w:rPr>
        <w:t xml:space="preserve">The presence of G6PD likely reduces the severity of naphthalene </w:t>
      </w:r>
      <w:proofErr w:type="gramStart"/>
      <w:r w:rsidR="00437A57">
        <w:rPr>
          <w:rFonts w:ascii="Calibri" w:hAnsi="Calibri" w:cs="Calibri"/>
          <w:sz w:val="24"/>
          <w:szCs w:val="24"/>
        </w:rPr>
        <w:t>poisoning</w:t>
      </w:r>
      <w:r>
        <w:rPr>
          <w:rFonts w:ascii="Calibri" w:hAnsi="Calibri" w:cs="Calibri"/>
          <w:sz w:val="24"/>
          <w:szCs w:val="24"/>
        </w:rPr>
        <w:t>”</w:t>
      </w:r>
      <w:r w:rsidR="00437A57">
        <w:rPr>
          <w:rFonts w:ascii="Calibri" w:hAnsi="Calibri" w:cs="Calibri"/>
          <w:sz w:val="24"/>
          <w:szCs w:val="24"/>
        </w:rPr>
        <w:t xml:space="preserve">  (</w:t>
      </w:r>
      <w:proofErr w:type="gramEnd"/>
      <w:r w:rsidR="00437A57">
        <w:rPr>
          <w:rFonts w:ascii="Calibri" w:hAnsi="Calibri" w:cs="Calibri"/>
          <w:sz w:val="24"/>
          <w:szCs w:val="24"/>
        </w:rPr>
        <w:t>12).</w:t>
      </w:r>
      <w:r>
        <w:rPr>
          <w:rFonts w:ascii="Calibri" w:hAnsi="Calibri" w:cs="Calibri"/>
          <w:sz w:val="24"/>
          <w:szCs w:val="24"/>
        </w:rPr>
        <w:t xml:space="preserve"> “</w:t>
      </w:r>
      <w:r w:rsidR="00437A57">
        <w:rPr>
          <w:rFonts w:ascii="Calibri" w:hAnsi="Calibri" w:cs="Calibri"/>
          <w:sz w:val="24"/>
          <w:szCs w:val="24"/>
        </w:rPr>
        <w:t xml:space="preserve">The oxidative stress produced by naphthalene results in methemoglobinemia due to oxidation of Fe²⁺ to Fe³⁺ in hemoglobin, rendering it incapable of carrying oxygen and shifting the oxyhemoglobin curve to the </w:t>
      </w:r>
      <w:proofErr w:type="gramStart"/>
      <w:r w:rsidR="00437A57">
        <w:rPr>
          <w:rFonts w:ascii="Calibri" w:hAnsi="Calibri" w:cs="Calibri"/>
          <w:sz w:val="24"/>
          <w:szCs w:val="24"/>
        </w:rPr>
        <w:t>left</w:t>
      </w:r>
      <w:r>
        <w:rPr>
          <w:rFonts w:ascii="Calibri" w:hAnsi="Calibri" w:cs="Calibri"/>
          <w:sz w:val="24"/>
          <w:szCs w:val="24"/>
        </w:rPr>
        <w:t>”</w:t>
      </w:r>
      <w:r w:rsidR="00437A57">
        <w:rPr>
          <w:rFonts w:ascii="Calibri" w:hAnsi="Calibri" w:cs="Calibri"/>
          <w:sz w:val="24"/>
          <w:szCs w:val="24"/>
        </w:rPr>
        <w:t xml:space="preserve">  (</w:t>
      </w:r>
      <w:proofErr w:type="gramEnd"/>
      <w:r w:rsidR="00437A57">
        <w:rPr>
          <w:rFonts w:ascii="Calibri" w:hAnsi="Calibri" w:cs="Calibri"/>
          <w:sz w:val="24"/>
          <w:szCs w:val="24"/>
        </w:rPr>
        <w:t>13).</w:t>
      </w:r>
    </w:p>
    <w:p w:rsidR="00D431BF" w:rsidRDefault="00875BCE">
      <w:pPr>
        <w:spacing w:line="240" w:lineRule="auto"/>
        <w:jc w:val="both"/>
        <w:rPr>
          <w:rFonts w:ascii="Calibri" w:hAnsi="Calibri" w:cs="Calibri"/>
          <w:sz w:val="24"/>
          <w:szCs w:val="24"/>
        </w:rPr>
      </w:pPr>
      <w:r>
        <w:rPr>
          <w:rFonts w:ascii="Calibri" w:hAnsi="Calibri" w:cs="Calibri"/>
          <w:sz w:val="24"/>
          <w:szCs w:val="24"/>
        </w:rPr>
        <w:t>“</w:t>
      </w:r>
      <w:r w:rsidR="00437A57">
        <w:rPr>
          <w:rFonts w:ascii="Calibri" w:hAnsi="Calibri" w:cs="Calibri"/>
          <w:sz w:val="24"/>
          <w:szCs w:val="24"/>
        </w:rPr>
        <w:t xml:space="preserve">Naphthalene </w:t>
      </w:r>
      <w:proofErr w:type="gramStart"/>
      <w:r w:rsidR="00437A57">
        <w:rPr>
          <w:rFonts w:ascii="Calibri" w:hAnsi="Calibri" w:cs="Calibri"/>
          <w:sz w:val="24"/>
          <w:szCs w:val="24"/>
        </w:rPr>
        <w:t>poisoning  can</w:t>
      </w:r>
      <w:proofErr w:type="gramEnd"/>
      <w:r w:rsidR="00437A57">
        <w:rPr>
          <w:rFonts w:ascii="Calibri" w:hAnsi="Calibri" w:cs="Calibri"/>
          <w:sz w:val="24"/>
          <w:szCs w:val="24"/>
        </w:rPr>
        <w:t xml:space="preserve"> impact various organ systems,  including the nervous system, blood cells , respiratory system, and gastrointestinal tract (GIT).The degree of systemic damage depends on chemical absorption by small intestine and the functional state of the liver. Naphthalene itself has no hemolytic property, but its oxidative metabolite, alpha-</w:t>
      </w:r>
      <w:proofErr w:type="spellStart"/>
      <w:r w:rsidR="00437A57">
        <w:rPr>
          <w:rFonts w:ascii="Calibri" w:hAnsi="Calibri" w:cs="Calibri"/>
          <w:sz w:val="24"/>
          <w:szCs w:val="24"/>
        </w:rPr>
        <w:t>napthol</w:t>
      </w:r>
      <w:proofErr w:type="spellEnd"/>
      <w:r w:rsidR="00437A57">
        <w:rPr>
          <w:rFonts w:ascii="Calibri" w:hAnsi="Calibri" w:cs="Calibri"/>
          <w:sz w:val="24"/>
          <w:szCs w:val="24"/>
        </w:rPr>
        <w:t xml:space="preserve">, possess potent hemolytic properties. The toxicity of naphthalene arises from its generation of excessive oxygen free radicals, leading to lipid peroxidation and DNA damage. Naphthalene undergoes metabolism in the liver, and resulting </w:t>
      </w:r>
      <w:proofErr w:type="spellStart"/>
      <w:r w:rsidR="00437A57">
        <w:rPr>
          <w:rFonts w:ascii="Calibri" w:hAnsi="Calibri" w:cs="Calibri"/>
          <w:sz w:val="24"/>
          <w:szCs w:val="24"/>
        </w:rPr>
        <w:t>metabolities</w:t>
      </w:r>
      <w:proofErr w:type="spellEnd"/>
      <w:r w:rsidR="00437A57">
        <w:rPr>
          <w:rFonts w:ascii="Calibri" w:hAnsi="Calibri" w:cs="Calibri"/>
          <w:sz w:val="24"/>
          <w:szCs w:val="24"/>
        </w:rPr>
        <w:t xml:space="preserve"> such as alpha-</w:t>
      </w:r>
      <w:proofErr w:type="spellStart"/>
      <w:r w:rsidR="00437A57">
        <w:rPr>
          <w:rFonts w:ascii="Calibri" w:hAnsi="Calibri" w:cs="Calibri"/>
          <w:sz w:val="24"/>
          <w:szCs w:val="24"/>
        </w:rPr>
        <w:t>napthol</w:t>
      </w:r>
      <w:proofErr w:type="spellEnd"/>
      <w:r w:rsidR="00437A57">
        <w:rPr>
          <w:rFonts w:ascii="Calibri" w:hAnsi="Calibri" w:cs="Calibri"/>
          <w:sz w:val="24"/>
          <w:szCs w:val="24"/>
        </w:rPr>
        <w:t>, contribute to hemolysis and hemoglobinuria</w:t>
      </w:r>
      <w:r>
        <w:rPr>
          <w:rFonts w:ascii="Calibri" w:hAnsi="Calibri" w:cs="Calibri"/>
          <w:sz w:val="24"/>
          <w:szCs w:val="24"/>
        </w:rPr>
        <w:t>”</w:t>
      </w:r>
      <w:r w:rsidR="00437A57">
        <w:rPr>
          <w:rFonts w:ascii="Calibri" w:hAnsi="Calibri" w:cs="Calibri"/>
          <w:sz w:val="24"/>
          <w:szCs w:val="24"/>
        </w:rPr>
        <w:t xml:space="preserve"> (14)        </w:t>
      </w:r>
      <w:r w:rsidR="00437A57">
        <w:rPr>
          <w:rFonts w:ascii="Calibri" w:hAnsi="Calibri" w:cs="Calibri"/>
          <w:sz w:val="24"/>
          <w:szCs w:val="24"/>
        </w:rPr>
        <w:br/>
      </w:r>
      <w:r>
        <w:rPr>
          <w:rFonts w:ascii="Calibri" w:hAnsi="Calibri" w:cs="Calibri"/>
          <w:sz w:val="24"/>
          <w:szCs w:val="24"/>
        </w:rPr>
        <w:t>“</w:t>
      </w:r>
      <w:r w:rsidR="00437A57">
        <w:rPr>
          <w:rFonts w:ascii="Calibri" w:hAnsi="Calibri" w:cs="Calibri"/>
          <w:sz w:val="24"/>
          <w:szCs w:val="24"/>
        </w:rPr>
        <w:t>Several case studies on naphthalene toxicity suggest that patients initially present with recurrent vomiting, headache, and dark urine</w:t>
      </w:r>
      <w:r>
        <w:rPr>
          <w:rFonts w:ascii="Calibri" w:hAnsi="Calibri" w:cs="Calibri"/>
          <w:sz w:val="24"/>
          <w:szCs w:val="24"/>
        </w:rPr>
        <w:t>”</w:t>
      </w:r>
      <w:r w:rsidR="00437A57">
        <w:rPr>
          <w:rFonts w:ascii="Calibri" w:hAnsi="Calibri" w:cs="Calibri"/>
          <w:sz w:val="24"/>
          <w:szCs w:val="24"/>
        </w:rPr>
        <w:t xml:space="preserve"> (6). </w:t>
      </w:r>
      <w:r>
        <w:rPr>
          <w:rFonts w:ascii="Calibri" w:hAnsi="Calibri" w:cs="Calibri"/>
          <w:sz w:val="24"/>
          <w:szCs w:val="24"/>
        </w:rPr>
        <w:t>“</w:t>
      </w:r>
      <w:r w:rsidR="00437A57">
        <w:rPr>
          <w:rFonts w:ascii="Calibri" w:hAnsi="Calibri" w:cs="Calibri"/>
          <w:sz w:val="24"/>
          <w:szCs w:val="24"/>
        </w:rPr>
        <w:t xml:space="preserve">Hemolytic anemia and methemoglobinemia are characteristic of naphthalene poisoning; severe neutrophilic leukocytosis and acute kidney injury are also </w:t>
      </w:r>
      <w:proofErr w:type="gramStart"/>
      <w:r w:rsidR="00437A57">
        <w:rPr>
          <w:rFonts w:ascii="Calibri" w:hAnsi="Calibri" w:cs="Calibri"/>
          <w:sz w:val="24"/>
          <w:szCs w:val="24"/>
        </w:rPr>
        <w:t>observed</w:t>
      </w:r>
      <w:r>
        <w:rPr>
          <w:rFonts w:ascii="Calibri" w:hAnsi="Calibri" w:cs="Calibri"/>
          <w:sz w:val="24"/>
          <w:szCs w:val="24"/>
        </w:rPr>
        <w:t>”</w:t>
      </w:r>
      <w:r w:rsidR="00437A57">
        <w:rPr>
          <w:rFonts w:ascii="Calibri" w:hAnsi="Calibri" w:cs="Calibri"/>
          <w:sz w:val="24"/>
          <w:szCs w:val="24"/>
        </w:rPr>
        <w:t xml:space="preserve">  (</w:t>
      </w:r>
      <w:proofErr w:type="gramEnd"/>
      <w:r w:rsidR="00437A57">
        <w:rPr>
          <w:rFonts w:ascii="Calibri" w:hAnsi="Calibri" w:cs="Calibri"/>
          <w:sz w:val="24"/>
          <w:szCs w:val="24"/>
        </w:rPr>
        <w:t xml:space="preserve">15). </w:t>
      </w:r>
      <w:r>
        <w:rPr>
          <w:rFonts w:ascii="Calibri" w:hAnsi="Calibri" w:cs="Calibri"/>
          <w:sz w:val="24"/>
          <w:szCs w:val="24"/>
        </w:rPr>
        <w:t>“</w:t>
      </w:r>
      <w:r w:rsidR="00437A57">
        <w:rPr>
          <w:rFonts w:ascii="Calibri" w:hAnsi="Calibri" w:cs="Calibri"/>
          <w:sz w:val="24"/>
          <w:szCs w:val="24"/>
        </w:rPr>
        <w:t>Hyperbilirubinemia with indirect fraction predominance, elevated LDH, and decreased haptoglobin are common findings</w:t>
      </w:r>
      <w:r>
        <w:rPr>
          <w:rFonts w:ascii="Calibri" w:hAnsi="Calibri" w:cs="Calibri"/>
          <w:sz w:val="24"/>
          <w:szCs w:val="24"/>
        </w:rPr>
        <w:t>”</w:t>
      </w:r>
      <w:r w:rsidR="00437A57">
        <w:rPr>
          <w:rFonts w:ascii="Calibri" w:hAnsi="Calibri" w:cs="Calibri"/>
          <w:sz w:val="24"/>
          <w:szCs w:val="24"/>
        </w:rPr>
        <w:t xml:space="preserve"> (12). </w:t>
      </w:r>
      <w:r>
        <w:rPr>
          <w:rFonts w:ascii="Calibri" w:hAnsi="Calibri" w:cs="Calibri"/>
          <w:sz w:val="24"/>
          <w:szCs w:val="24"/>
        </w:rPr>
        <w:t>“</w:t>
      </w:r>
      <w:r w:rsidR="00437A57">
        <w:rPr>
          <w:rFonts w:ascii="Calibri" w:hAnsi="Calibri" w:cs="Calibri"/>
          <w:sz w:val="24"/>
          <w:szCs w:val="24"/>
        </w:rPr>
        <w:t xml:space="preserve">All these symptoms, clinical, and diagnostic features were observed in our case except AKI (probably due to lesser quantity ingestion and early treatment initiation). No clinical cyanosis was observed in our case (cyanosis is detectable when methemoglobin &gt;10%). also No intra vascular hemolysis and </w:t>
      </w:r>
      <w:proofErr w:type="spellStart"/>
      <w:r w:rsidR="00437A57">
        <w:rPr>
          <w:rFonts w:ascii="Calibri" w:hAnsi="Calibri" w:cs="Calibri"/>
          <w:sz w:val="24"/>
          <w:szCs w:val="24"/>
        </w:rPr>
        <w:t>hemaglobinuria</w:t>
      </w:r>
      <w:proofErr w:type="spellEnd"/>
      <w:r w:rsidR="00437A57">
        <w:rPr>
          <w:rFonts w:ascii="Calibri" w:hAnsi="Calibri" w:cs="Calibri"/>
          <w:sz w:val="24"/>
          <w:szCs w:val="24"/>
        </w:rPr>
        <w:t xml:space="preserve"> </w:t>
      </w:r>
      <w:proofErr w:type="gramStart"/>
      <w:r w:rsidR="00437A57">
        <w:rPr>
          <w:rFonts w:ascii="Calibri" w:hAnsi="Calibri" w:cs="Calibri"/>
          <w:sz w:val="24"/>
          <w:szCs w:val="24"/>
        </w:rPr>
        <w:t>( Dark</w:t>
      </w:r>
      <w:proofErr w:type="gramEnd"/>
      <w:r w:rsidR="00437A57">
        <w:rPr>
          <w:rFonts w:ascii="Calibri" w:hAnsi="Calibri" w:cs="Calibri"/>
          <w:sz w:val="24"/>
          <w:szCs w:val="24"/>
        </w:rPr>
        <w:t xml:space="preserve"> </w:t>
      </w:r>
      <w:proofErr w:type="spellStart"/>
      <w:r w:rsidR="00437A57">
        <w:rPr>
          <w:rFonts w:ascii="Calibri" w:hAnsi="Calibri" w:cs="Calibri"/>
          <w:sz w:val="24"/>
          <w:szCs w:val="24"/>
        </w:rPr>
        <w:t>coloured</w:t>
      </w:r>
      <w:proofErr w:type="spellEnd"/>
      <w:r w:rsidR="00437A57">
        <w:rPr>
          <w:rFonts w:ascii="Calibri" w:hAnsi="Calibri" w:cs="Calibri"/>
          <w:sz w:val="24"/>
          <w:szCs w:val="24"/>
        </w:rPr>
        <w:t xml:space="preserve"> urine probably due to excretion of Mercapturic acid and other metabolites of Naphthalene) Methemoglobin estimation by co-oximetry was very useful initially to start treatment protocols with oxygen via NRM, ascorbic acid, and NAC infusion. Ascorbic acid functions as an antioxidant that can help alleviate the oxidative stress caused by </w:t>
      </w:r>
      <w:proofErr w:type="spellStart"/>
      <w:r w:rsidR="00437A57">
        <w:rPr>
          <w:rFonts w:ascii="Calibri" w:hAnsi="Calibri" w:cs="Calibri"/>
          <w:sz w:val="24"/>
          <w:szCs w:val="24"/>
        </w:rPr>
        <w:t>naphthelene</w:t>
      </w:r>
      <w:proofErr w:type="spellEnd"/>
      <w:r w:rsidR="00437A57">
        <w:rPr>
          <w:rFonts w:ascii="Calibri" w:hAnsi="Calibri" w:cs="Calibri"/>
          <w:sz w:val="24"/>
          <w:szCs w:val="24"/>
        </w:rPr>
        <w:t xml:space="preserve">, NAC treatment should be used as a reducing agent to treat methemoglobinemia, especially in individuals with G6PD </w:t>
      </w:r>
      <w:r>
        <w:rPr>
          <w:rFonts w:ascii="Calibri" w:hAnsi="Calibri" w:cs="Calibri"/>
          <w:sz w:val="24"/>
          <w:szCs w:val="24"/>
        </w:rPr>
        <w:t>deficiency”</w:t>
      </w:r>
      <w:r w:rsidR="00437A57">
        <w:rPr>
          <w:rFonts w:ascii="Calibri" w:hAnsi="Calibri" w:cs="Calibri"/>
          <w:sz w:val="24"/>
          <w:szCs w:val="24"/>
        </w:rPr>
        <w:t xml:space="preserve"> (16)</w:t>
      </w:r>
      <w:r w:rsidR="00437A57">
        <w:rPr>
          <w:rFonts w:ascii="Calibri" w:hAnsi="Calibri" w:cs="Calibri"/>
          <w:sz w:val="24"/>
          <w:szCs w:val="24"/>
        </w:rPr>
        <w:br/>
      </w:r>
      <w:r>
        <w:rPr>
          <w:rFonts w:ascii="Calibri" w:hAnsi="Calibri" w:cs="Calibri"/>
          <w:sz w:val="24"/>
          <w:szCs w:val="24"/>
        </w:rPr>
        <w:t>“</w:t>
      </w:r>
      <w:r w:rsidR="00437A57">
        <w:rPr>
          <w:rFonts w:ascii="Calibri" w:hAnsi="Calibri" w:cs="Calibri"/>
          <w:sz w:val="24"/>
          <w:szCs w:val="24"/>
        </w:rPr>
        <w:t>In patients with methemoglobinemia, measurement by pulse oximetry is unreliable. Conventional pulse oximeters use two wavelengths of light, which cannot detect methemoglobin. Co-oximetry, however, measures methemoglobin by spectrophotometry using multiple wavelengths of light to simultaneously quantify different hemoglobin species in blood—oxyhemoglobin, deoxyhemoglobin, carboxyhemoglobin, and methemoglobin. This method is considered the gold standard for accurate measurement</w:t>
      </w:r>
      <w:r>
        <w:rPr>
          <w:rFonts w:ascii="Calibri" w:hAnsi="Calibri" w:cs="Calibri"/>
          <w:sz w:val="24"/>
          <w:szCs w:val="24"/>
        </w:rPr>
        <w:t>”</w:t>
      </w:r>
      <w:r w:rsidR="00437A57">
        <w:rPr>
          <w:rFonts w:ascii="Calibri" w:hAnsi="Calibri" w:cs="Calibri"/>
          <w:sz w:val="24"/>
          <w:szCs w:val="24"/>
        </w:rPr>
        <w:t xml:space="preserve"> (17). </w:t>
      </w:r>
      <w:r>
        <w:rPr>
          <w:rFonts w:ascii="Calibri" w:hAnsi="Calibri" w:cs="Calibri"/>
          <w:sz w:val="24"/>
          <w:szCs w:val="24"/>
        </w:rPr>
        <w:t>“</w:t>
      </w:r>
      <w:r w:rsidR="00437A57">
        <w:rPr>
          <w:rFonts w:ascii="Calibri" w:hAnsi="Calibri" w:cs="Calibri"/>
          <w:sz w:val="24"/>
          <w:szCs w:val="24"/>
        </w:rPr>
        <w:t>Specific treatment of methemoglobinemia includes methylene blue, which accelerates the reduction of methemoglobin to hemoglobin</w:t>
      </w:r>
      <w:r>
        <w:rPr>
          <w:rFonts w:ascii="Calibri" w:hAnsi="Calibri" w:cs="Calibri"/>
          <w:sz w:val="24"/>
          <w:szCs w:val="24"/>
        </w:rPr>
        <w:t>”</w:t>
      </w:r>
      <w:r w:rsidR="00437A57">
        <w:rPr>
          <w:rFonts w:ascii="Calibri" w:hAnsi="Calibri" w:cs="Calibri"/>
          <w:sz w:val="24"/>
          <w:szCs w:val="24"/>
        </w:rPr>
        <w:t xml:space="preserve"> (13). </w:t>
      </w:r>
      <w:r>
        <w:rPr>
          <w:rFonts w:ascii="Calibri" w:hAnsi="Calibri" w:cs="Calibri"/>
          <w:sz w:val="24"/>
          <w:szCs w:val="24"/>
        </w:rPr>
        <w:t>“</w:t>
      </w:r>
      <w:r w:rsidR="00437A57">
        <w:rPr>
          <w:rFonts w:ascii="Calibri" w:hAnsi="Calibri" w:cs="Calibri"/>
          <w:sz w:val="24"/>
          <w:szCs w:val="24"/>
        </w:rPr>
        <w:t xml:space="preserve">However, methylene blue can induce hemolysis in patients with G6PD deficiency. Methylene blue is reduced to </w:t>
      </w:r>
      <w:proofErr w:type="spellStart"/>
      <w:r w:rsidR="00437A57">
        <w:rPr>
          <w:rFonts w:ascii="Calibri" w:hAnsi="Calibri" w:cs="Calibri"/>
          <w:sz w:val="24"/>
          <w:szCs w:val="24"/>
        </w:rPr>
        <w:t>leucomethylene</w:t>
      </w:r>
      <w:proofErr w:type="spellEnd"/>
      <w:r w:rsidR="00437A57">
        <w:rPr>
          <w:rFonts w:ascii="Calibri" w:hAnsi="Calibri" w:cs="Calibri"/>
          <w:sz w:val="24"/>
          <w:szCs w:val="24"/>
        </w:rPr>
        <w:t xml:space="preserve"> blue by accepting electrons from NADPH, which then donates an electron to reduce methemoglobin to hemoglobin. G6PD-deficient individuals have low NADPH levels</w:t>
      </w:r>
      <w:r>
        <w:rPr>
          <w:rFonts w:ascii="Calibri" w:hAnsi="Calibri" w:cs="Calibri"/>
          <w:sz w:val="24"/>
          <w:szCs w:val="24"/>
        </w:rPr>
        <w:t xml:space="preserve">” </w:t>
      </w:r>
      <w:r w:rsidR="00437A57">
        <w:rPr>
          <w:rFonts w:ascii="Calibri" w:hAnsi="Calibri" w:cs="Calibri"/>
          <w:sz w:val="24"/>
          <w:szCs w:val="24"/>
        </w:rPr>
        <w:t>(18,19). Hence, G6PD testing should be performed before administering methylene blue.</w:t>
      </w:r>
      <w:r w:rsidR="00437A57">
        <w:rPr>
          <w:rFonts w:ascii="Calibri" w:hAnsi="Calibri" w:cs="Calibri"/>
          <w:sz w:val="24"/>
          <w:szCs w:val="24"/>
        </w:rPr>
        <w:br/>
      </w:r>
      <w:r w:rsidR="00437A57">
        <w:rPr>
          <w:rFonts w:ascii="Calibri" w:hAnsi="Calibri" w:cs="Calibri"/>
          <w:sz w:val="24"/>
          <w:szCs w:val="24"/>
        </w:rPr>
        <w:br/>
        <w:t>In our case, G6PD was low; therefore, supportive management with ascorbic acid (a free radical scavenger), NAC (a reducing agent), and exchange transfusion was adopted. The patient responded well and recovered quickly.</w:t>
      </w:r>
      <w:r w:rsidR="00437A57">
        <w:rPr>
          <w:rFonts w:ascii="Calibri" w:hAnsi="Calibri" w:cs="Calibri"/>
          <w:sz w:val="24"/>
          <w:szCs w:val="24"/>
        </w:rPr>
        <w:br/>
      </w:r>
      <w:r w:rsidR="00437A57">
        <w:rPr>
          <w:rFonts w:ascii="Calibri" w:hAnsi="Calibri" w:cs="Calibri"/>
          <w:sz w:val="24"/>
          <w:szCs w:val="24"/>
        </w:rPr>
        <w:lastRenderedPageBreak/>
        <w:br/>
        <w:t xml:space="preserve">This case study reinforces the importance of managing naphthalene toxicity with laboratory support through critical investigations such as methemoglobin, G6PD, peripheral smear, bilirubin, and urine analysis (Table 1). importance of early diagnosis and prompt </w:t>
      </w:r>
      <w:proofErr w:type="spellStart"/>
      <w:r w:rsidR="00437A57">
        <w:rPr>
          <w:rFonts w:ascii="Calibri" w:hAnsi="Calibri" w:cs="Calibri"/>
          <w:sz w:val="24"/>
          <w:szCs w:val="24"/>
        </w:rPr>
        <w:t>mangement</w:t>
      </w:r>
      <w:proofErr w:type="spellEnd"/>
      <w:r w:rsidR="00437A57">
        <w:rPr>
          <w:rFonts w:ascii="Calibri" w:hAnsi="Calibri" w:cs="Calibri"/>
          <w:sz w:val="24"/>
          <w:szCs w:val="24"/>
        </w:rPr>
        <w:t xml:space="preserve"> especially in children.   </w:t>
      </w:r>
    </w:p>
    <w:p w:rsidR="00D431BF" w:rsidRDefault="00437A57">
      <w:pPr>
        <w:spacing w:line="240" w:lineRule="auto"/>
        <w:jc w:val="both"/>
        <w:rPr>
          <w:rFonts w:ascii="Calibri" w:hAnsi="Calibri" w:cs="Calibri"/>
          <w:sz w:val="24"/>
          <w:szCs w:val="24"/>
        </w:rPr>
      </w:pPr>
      <w:r>
        <w:rPr>
          <w:rFonts w:ascii="Calibri" w:hAnsi="Calibri" w:cs="Calibri"/>
          <w:b/>
          <w:color w:val="FF0000"/>
          <w:sz w:val="28"/>
          <w:szCs w:val="28"/>
        </w:rPr>
        <w:t>Conclusion:</w:t>
      </w:r>
      <w:r>
        <w:rPr>
          <w:rFonts w:ascii="Calibri" w:hAnsi="Calibri" w:cs="Calibri"/>
          <w:b/>
          <w:color w:val="FF0000"/>
          <w:sz w:val="28"/>
          <w:szCs w:val="28"/>
        </w:rPr>
        <w:br/>
      </w:r>
      <w:r>
        <w:rPr>
          <w:rFonts w:ascii="Calibri" w:hAnsi="Calibri" w:cs="Calibri"/>
          <w:sz w:val="24"/>
          <w:szCs w:val="24"/>
        </w:rPr>
        <w:br/>
        <w:t xml:space="preserve">This case highlights the importance of early recognition and prompt management of naphthalene-induced methemoglobinemia and hemolytic anemia. A thorough history, clinical examination, and appropriate laboratory investigations are essential for accurate diagnosis. In patients with G6PD deficiency, methylene blue should be avoided, and alternative therapies such as ascorbic acid, N-acetylcysteine, and exchange transfusion should be considered. Supportive management and timely intervention can significantly improve patient outcomes and prevent severe complications. This case further emphasis the potential danger posed by mothballs, a common house hold item, when they are kept within </w:t>
      </w:r>
      <w:proofErr w:type="gramStart"/>
      <w:r>
        <w:rPr>
          <w:rFonts w:ascii="Calibri" w:hAnsi="Calibri" w:cs="Calibri"/>
          <w:sz w:val="24"/>
          <w:szCs w:val="24"/>
        </w:rPr>
        <w:t>the  reach</w:t>
      </w:r>
      <w:proofErr w:type="gramEnd"/>
      <w:r>
        <w:rPr>
          <w:rFonts w:ascii="Calibri" w:hAnsi="Calibri" w:cs="Calibri"/>
          <w:sz w:val="24"/>
          <w:szCs w:val="24"/>
        </w:rPr>
        <w:t xml:space="preserve"> of susceptible children.  It underscores the importance of taking utmost care and precaution to safety store guard these potentially hazardous household substances to prevent accidental ingestion by children, further public awareness and preventive education about the potential toxicity of naphthalene-containing products are crucial, especially in households with young children.</w:t>
      </w:r>
    </w:p>
    <w:p w:rsidR="00C51F55" w:rsidRDefault="00C51F55">
      <w:pPr>
        <w:spacing w:line="240" w:lineRule="auto"/>
        <w:jc w:val="both"/>
        <w:rPr>
          <w:rFonts w:ascii="Calibri" w:hAnsi="Calibri" w:cs="Calibri"/>
          <w:sz w:val="24"/>
          <w:szCs w:val="24"/>
        </w:rPr>
      </w:pPr>
    </w:p>
    <w:p w:rsidR="00570763" w:rsidRDefault="00570763">
      <w:pPr>
        <w:spacing w:line="240" w:lineRule="auto"/>
        <w:jc w:val="both"/>
        <w:rPr>
          <w:rFonts w:ascii="Calibri" w:hAnsi="Calibri" w:cs="Calibri"/>
          <w:sz w:val="24"/>
          <w:szCs w:val="24"/>
        </w:rPr>
      </w:pPr>
      <w:r>
        <w:rPr>
          <w:rFonts w:ascii="Calibri" w:hAnsi="Calibri" w:cs="Calibri"/>
          <w:sz w:val="24"/>
          <w:szCs w:val="24"/>
        </w:rPr>
        <w:t>Consent</w:t>
      </w:r>
      <w:bookmarkStart w:id="0" w:name="_GoBack"/>
      <w:bookmarkEnd w:id="0"/>
    </w:p>
    <w:p w:rsidR="00570763" w:rsidRDefault="00570763">
      <w:pPr>
        <w:spacing w:line="240" w:lineRule="auto"/>
        <w:jc w:val="both"/>
        <w:rPr>
          <w:rFonts w:ascii="Calibri" w:hAnsi="Calibri" w:cs="Calibri"/>
          <w:sz w:val="24"/>
          <w:szCs w:val="24"/>
        </w:rPr>
      </w:pPr>
      <w:r w:rsidRPr="00570763">
        <w:rPr>
          <w:rFonts w:ascii="Calibri" w:hAnsi="Calibri" w:cs="Calibri"/>
          <w:sz w:val="24"/>
          <w:szCs w:val="24"/>
        </w:rPr>
        <w:t>We present a review and management of a case of accidental naphthalene ingestion in a 2-year-5-month-old developmentally normal male child    who presented with anemia, methemoglobinemia, and leukocytosis with informed consent from parents.</w:t>
      </w:r>
    </w:p>
    <w:p w:rsidR="00570763" w:rsidRDefault="00570763">
      <w:pPr>
        <w:spacing w:line="240" w:lineRule="auto"/>
        <w:jc w:val="both"/>
        <w:rPr>
          <w:rFonts w:ascii="Calibri" w:hAnsi="Calibri" w:cs="Calibri"/>
          <w:sz w:val="24"/>
          <w:szCs w:val="24"/>
        </w:rPr>
      </w:pPr>
    </w:p>
    <w:p w:rsidR="00C51F55" w:rsidRDefault="00C51F55" w:rsidP="00C51F55">
      <w:r>
        <w:t>Disclaimer (Artificial intelligence)</w:t>
      </w:r>
    </w:p>
    <w:p w:rsidR="00C51F55" w:rsidRDefault="00C51F55" w:rsidP="00C51F55">
      <w:r>
        <w:t xml:space="preserve">Option 1: </w:t>
      </w:r>
    </w:p>
    <w:p w:rsidR="00C51F55" w:rsidRDefault="00C51F55" w:rsidP="00C51F5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C51F55" w:rsidRDefault="00C51F55" w:rsidP="00C51F55">
      <w:r>
        <w:t xml:space="preserve">Option 2: </w:t>
      </w:r>
    </w:p>
    <w:p w:rsidR="00C51F55" w:rsidRDefault="00C51F55" w:rsidP="00C51F5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51F55" w:rsidRDefault="00C51F55" w:rsidP="00C51F55">
      <w:r>
        <w:t>Details of the AI usage are given below:</w:t>
      </w:r>
    </w:p>
    <w:p w:rsidR="00C51F55" w:rsidRDefault="00C51F55" w:rsidP="00C51F55">
      <w:r>
        <w:lastRenderedPageBreak/>
        <w:t>1.</w:t>
      </w:r>
    </w:p>
    <w:p w:rsidR="00C51F55" w:rsidRDefault="00C51F55" w:rsidP="00C51F55">
      <w:r>
        <w:t>2.</w:t>
      </w:r>
    </w:p>
    <w:p w:rsidR="00C51F55" w:rsidRPr="00D047BB" w:rsidRDefault="00C51F55" w:rsidP="00C51F55">
      <w:r>
        <w:t>3.</w:t>
      </w:r>
    </w:p>
    <w:p w:rsidR="00C51F55" w:rsidRPr="0063354D" w:rsidRDefault="00C51F55" w:rsidP="00C51F55"/>
    <w:p w:rsidR="00C51F55" w:rsidRPr="00F7241A" w:rsidRDefault="00C51F55" w:rsidP="00C51F55"/>
    <w:p w:rsidR="00C51F55" w:rsidRDefault="00C51F55">
      <w:pPr>
        <w:spacing w:line="240" w:lineRule="auto"/>
        <w:jc w:val="both"/>
        <w:rPr>
          <w:rFonts w:ascii="Calibri" w:hAnsi="Calibri" w:cs="Calibri"/>
          <w:sz w:val="24"/>
          <w:szCs w:val="24"/>
        </w:rPr>
      </w:pPr>
    </w:p>
    <w:p w:rsidR="00D431BF" w:rsidRDefault="00437A57">
      <w:pPr>
        <w:ind w:firstLineChars="150" w:firstLine="422"/>
        <w:rPr>
          <w:rFonts w:ascii="Calibri" w:hAnsi="Calibri" w:cs="Calibri"/>
          <w:b/>
          <w:color w:val="FF0000"/>
          <w:sz w:val="28"/>
          <w:szCs w:val="28"/>
        </w:rPr>
      </w:pPr>
      <w:r>
        <w:rPr>
          <w:rFonts w:ascii="Calibri" w:hAnsi="Calibri" w:cs="Calibri"/>
          <w:b/>
          <w:color w:val="FF0000"/>
          <w:sz w:val="28"/>
          <w:szCs w:val="28"/>
        </w:rPr>
        <w:t xml:space="preserve"> References:</w:t>
      </w: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Earl Siegel, Suman </w:t>
      </w:r>
      <w:proofErr w:type="spellStart"/>
      <w:r>
        <w:rPr>
          <w:rFonts w:ascii="Calibri" w:hAnsi="Calibri" w:cs="Calibri"/>
          <w:sz w:val="24"/>
          <w:szCs w:val="24"/>
        </w:rPr>
        <w:t>Wason</w:t>
      </w:r>
      <w:proofErr w:type="spellEnd"/>
      <w:r>
        <w:rPr>
          <w:rFonts w:ascii="Calibri" w:hAnsi="Calibri" w:cs="Calibri"/>
          <w:sz w:val="24"/>
          <w:szCs w:val="24"/>
        </w:rPr>
        <w:t>, Mothball toxicity, Pediatric Clin N Am 1986;33:369-374.</w:t>
      </w: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Lim HC, Paulose V, Tan HH, Acute naphthalene poisoning following the non-accidental ingestion of mothballs, Singapore Med.J.2009;50(8) 298-301.</w:t>
      </w: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Sarangi R, Pradhan S, </w:t>
      </w:r>
      <w:proofErr w:type="spellStart"/>
      <w:r>
        <w:rPr>
          <w:rFonts w:ascii="Calibri" w:hAnsi="Calibri" w:cs="Calibri"/>
          <w:sz w:val="24"/>
          <w:szCs w:val="24"/>
        </w:rPr>
        <w:t>Prusty</w:t>
      </w:r>
      <w:proofErr w:type="spellEnd"/>
      <w:r>
        <w:rPr>
          <w:rFonts w:ascii="Calibri" w:hAnsi="Calibri" w:cs="Calibri"/>
          <w:sz w:val="24"/>
          <w:szCs w:val="24"/>
        </w:rPr>
        <w:t xml:space="preserve"> BK, Mahapatra S. Acute intravascular hemolysis following accidental ingestion of </w:t>
      </w:r>
      <w:proofErr w:type="spellStart"/>
      <w:proofErr w:type="gramStart"/>
      <w:r>
        <w:rPr>
          <w:rFonts w:ascii="Calibri" w:hAnsi="Calibri" w:cs="Calibri"/>
          <w:sz w:val="24"/>
          <w:szCs w:val="24"/>
        </w:rPr>
        <w:t>naphthelene</w:t>
      </w:r>
      <w:proofErr w:type="spellEnd"/>
      <w:r>
        <w:rPr>
          <w:rFonts w:ascii="Calibri" w:hAnsi="Calibri" w:cs="Calibri"/>
          <w:sz w:val="24"/>
          <w:szCs w:val="24"/>
        </w:rPr>
        <w:t xml:space="preserve"> :</w:t>
      </w:r>
      <w:proofErr w:type="gramEnd"/>
      <w:r>
        <w:rPr>
          <w:rFonts w:ascii="Calibri" w:hAnsi="Calibri" w:cs="Calibri"/>
          <w:sz w:val="24"/>
          <w:szCs w:val="24"/>
        </w:rPr>
        <w:t xml:space="preserve"> A rare case report. J Appl </w:t>
      </w:r>
      <w:proofErr w:type="spellStart"/>
      <w:r>
        <w:rPr>
          <w:rFonts w:ascii="Calibri" w:hAnsi="Calibri" w:cs="Calibri"/>
          <w:sz w:val="24"/>
          <w:szCs w:val="24"/>
        </w:rPr>
        <w:t>Hematol</w:t>
      </w:r>
      <w:proofErr w:type="spellEnd"/>
      <w:r>
        <w:rPr>
          <w:rFonts w:ascii="Calibri" w:hAnsi="Calibri" w:cs="Calibri"/>
          <w:sz w:val="24"/>
          <w:szCs w:val="24"/>
        </w:rPr>
        <w:t xml:space="preserve"> </w:t>
      </w:r>
      <w:proofErr w:type="gramStart"/>
      <w:r>
        <w:rPr>
          <w:rFonts w:ascii="Calibri" w:hAnsi="Calibri" w:cs="Calibri"/>
          <w:sz w:val="24"/>
          <w:szCs w:val="24"/>
        </w:rPr>
        <w:t>2016;7:76</w:t>
      </w:r>
      <w:proofErr w:type="gramEnd"/>
      <w:r>
        <w:rPr>
          <w:rFonts w:ascii="Calibri" w:hAnsi="Calibri" w:cs="Calibri"/>
          <w:sz w:val="24"/>
          <w:szCs w:val="24"/>
        </w:rPr>
        <w:t>-8.</w:t>
      </w: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Sekar</w:t>
      </w:r>
      <w:proofErr w:type="spellEnd"/>
      <w:r>
        <w:rPr>
          <w:rFonts w:ascii="Calibri" w:hAnsi="Calibri" w:cs="Calibri"/>
          <w:sz w:val="24"/>
          <w:szCs w:val="24"/>
        </w:rPr>
        <w:t xml:space="preserve"> A, </w:t>
      </w:r>
      <w:proofErr w:type="spellStart"/>
      <w:r>
        <w:rPr>
          <w:rFonts w:ascii="Calibri" w:hAnsi="Calibri" w:cs="Calibri"/>
          <w:sz w:val="24"/>
          <w:szCs w:val="24"/>
        </w:rPr>
        <w:t>Paudel</w:t>
      </w:r>
      <w:proofErr w:type="spellEnd"/>
      <w:r>
        <w:rPr>
          <w:rFonts w:ascii="Calibri" w:hAnsi="Calibri" w:cs="Calibri"/>
          <w:sz w:val="24"/>
          <w:szCs w:val="24"/>
        </w:rPr>
        <w:t xml:space="preserve"> S, Sivakumar SP, Verma A, Methemoglobinemia and uremia from an unusual poison. L, Clin </w:t>
      </w:r>
      <w:proofErr w:type="spellStart"/>
      <w:r>
        <w:rPr>
          <w:rFonts w:ascii="Calibri" w:hAnsi="Calibri" w:cs="Calibri"/>
          <w:sz w:val="24"/>
          <w:szCs w:val="24"/>
        </w:rPr>
        <w:t>Toxicol</w:t>
      </w:r>
      <w:proofErr w:type="spellEnd"/>
      <w:r>
        <w:rPr>
          <w:rFonts w:ascii="Calibri" w:hAnsi="Calibri" w:cs="Calibri"/>
          <w:sz w:val="24"/>
          <w:szCs w:val="24"/>
        </w:rPr>
        <w:t xml:space="preserve"> 2014;4 217.</w:t>
      </w: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Kavinda</w:t>
      </w:r>
      <w:proofErr w:type="spellEnd"/>
      <w:r>
        <w:rPr>
          <w:rFonts w:ascii="Calibri" w:hAnsi="Calibri" w:cs="Calibri"/>
          <w:sz w:val="24"/>
          <w:szCs w:val="24"/>
        </w:rPr>
        <w:t xml:space="preserve"> </w:t>
      </w:r>
      <w:proofErr w:type="spellStart"/>
      <w:r>
        <w:rPr>
          <w:rFonts w:ascii="Calibri" w:hAnsi="Calibri" w:cs="Calibri"/>
          <w:sz w:val="24"/>
          <w:szCs w:val="24"/>
        </w:rPr>
        <w:t>Dayasiri</w:t>
      </w:r>
      <w:proofErr w:type="spellEnd"/>
      <w:r>
        <w:rPr>
          <w:rFonts w:ascii="Calibri" w:hAnsi="Calibri" w:cs="Calibri"/>
          <w:sz w:val="24"/>
          <w:szCs w:val="24"/>
        </w:rPr>
        <w:t xml:space="preserve">, K </w:t>
      </w:r>
      <w:proofErr w:type="spellStart"/>
      <w:r>
        <w:rPr>
          <w:rFonts w:ascii="Calibri" w:hAnsi="Calibri" w:cs="Calibri"/>
          <w:sz w:val="24"/>
          <w:szCs w:val="24"/>
        </w:rPr>
        <w:t>Pathiraja</w:t>
      </w:r>
      <w:proofErr w:type="spellEnd"/>
      <w:r>
        <w:rPr>
          <w:rFonts w:ascii="Calibri" w:hAnsi="Calibri" w:cs="Calibri"/>
          <w:sz w:val="24"/>
          <w:szCs w:val="24"/>
        </w:rPr>
        <w:t xml:space="preserve">, H. &amp; </w:t>
      </w:r>
      <w:proofErr w:type="spellStart"/>
      <w:r>
        <w:rPr>
          <w:rFonts w:ascii="Calibri" w:hAnsi="Calibri" w:cs="Calibri"/>
          <w:sz w:val="24"/>
          <w:szCs w:val="24"/>
        </w:rPr>
        <w:t>Thadchanamoorthy</w:t>
      </w:r>
      <w:proofErr w:type="spellEnd"/>
      <w:r>
        <w:rPr>
          <w:rFonts w:ascii="Calibri" w:hAnsi="Calibri" w:cs="Calibri"/>
          <w:sz w:val="24"/>
          <w:szCs w:val="24"/>
        </w:rPr>
        <w:t xml:space="preserve"> V. Acute hemolytic crisis complicated with ischemic cardiac injury and </w:t>
      </w:r>
      <w:proofErr w:type="spellStart"/>
      <w:r>
        <w:rPr>
          <w:rFonts w:ascii="Calibri" w:hAnsi="Calibri" w:cs="Calibri"/>
          <w:sz w:val="24"/>
          <w:szCs w:val="24"/>
        </w:rPr>
        <w:t>methemoglobinaemia</w:t>
      </w:r>
      <w:proofErr w:type="spellEnd"/>
      <w:r>
        <w:rPr>
          <w:rFonts w:ascii="Calibri" w:hAnsi="Calibri" w:cs="Calibri"/>
          <w:sz w:val="24"/>
          <w:szCs w:val="24"/>
        </w:rPr>
        <w:t xml:space="preserve"> following ingestion of naphthalene:  a case report. J Med Case Reports 18,637 (2024). https://doi.org/10.1186/s13256-024-04980-8.</w:t>
      </w:r>
    </w:p>
    <w:p w:rsidR="00D431BF" w:rsidRDefault="00D431BF">
      <w:pPr>
        <w:pStyle w:val="ListParagraph"/>
        <w:spacing w:after="160" w:line="278" w:lineRule="auto"/>
        <w:ind w:left="440"/>
        <w:rPr>
          <w:rFonts w:ascii="Calibri" w:hAnsi="Calibri" w:cs="Calibri"/>
          <w:sz w:val="24"/>
          <w:szCs w:val="24"/>
        </w:rPr>
      </w:pP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Rahman MM, </w:t>
      </w:r>
      <w:proofErr w:type="spellStart"/>
      <w:r>
        <w:rPr>
          <w:rFonts w:ascii="Calibri" w:hAnsi="Calibri" w:cs="Calibri"/>
          <w:sz w:val="24"/>
          <w:szCs w:val="24"/>
        </w:rPr>
        <w:t>Mangni</w:t>
      </w:r>
      <w:proofErr w:type="spellEnd"/>
      <w:r>
        <w:rPr>
          <w:rFonts w:ascii="Calibri" w:hAnsi="Calibri" w:cs="Calibri"/>
          <w:sz w:val="24"/>
          <w:szCs w:val="24"/>
        </w:rPr>
        <w:t xml:space="preserve"> </w:t>
      </w:r>
      <w:proofErr w:type="spellStart"/>
      <w:r>
        <w:rPr>
          <w:rFonts w:ascii="Calibri" w:hAnsi="Calibri" w:cs="Calibri"/>
          <w:sz w:val="24"/>
          <w:szCs w:val="24"/>
        </w:rPr>
        <w:t>Mowla</w:t>
      </w:r>
      <w:proofErr w:type="spellEnd"/>
      <w:r>
        <w:rPr>
          <w:rFonts w:ascii="Calibri" w:hAnsi="Calibri" w:cs="Calibri"/>
          <w:sz w:val="24"/>
          <w:szCs w:val="24"/>
        </w:rPr>
        <w:t xml:space="preserve"> SG, Rahim A, Hasan MN: Severe </w:t>
      </w:r>
      <w:proofErr w:type="spellStart"/>
      <w:r>
        <w:rPr>
          <w:rFonts w:ascii="Calibri" w:hAnsi="Calibri" w:cs="Calibri"/>
          <w:sz w:val="24"/>
          <w:szCs w:val="24"/>
        </w:rPr>
        <w:t>haemolytic</w:t>
      </w:r>
      <w:proofErr w:type="spellEnd"/>
      <w:r>
        <w:rPr>
          <w:rFonts w:ascii="Calibri" w:hAnsi="Calibri" w:cs="Calibri"/>
          <w:sz w:val="24"/>
          <w:szCs w:val="24"/>
        </w:rPr>
        <w:t xml:space="preserve"> anemia due to ingestion of </w:t>
      </w:r>
      <w:proofErr w:type="spellStart"/>
      <w:proofErr w:type="gramStart"/>
      <w:r>
        <w:rPr>
          <w:rFonts w:ascii="Calibri" w:hAnsi="Calibri" w:cs="Calibri"/>
          <w:sz w:val="24"/>
          <w:szCs w:val="24"/>
        </w:rPr>
        <w:t>naphthelene</w:t>
      </w:r>
      <w:proofErr w:type="spellEnd"/>
      <w:r>
        <w:rPr>
          <w:rFonts w:ascii="Calibri" w:hAnsi="Calibri" w:cs="Calibri"/>
          <w:sz w:val="24"/>
          <w:szCs w:val="24"/>
        </w:rPr>
        <w:t xml:space="preserve">  (</w:t>
      </w:r>
      <w:proofErr w:type="gramEnd"/>
      <w:r>
        <w:rPr>
          <w:rFonts w:ascii="Calibri" w:hAnsi="Calibri" w:cs="Calibri"/>
          <w:sz w:val="24"/>
          <w:szCs w:val="24"/>
        </w:rPr>
        <w:t xml:space="preserve">mothball) containing coconut oil. J. Coll </w:t>
      </w:r>
      <w:proofErr w:type="spellStart"/>
      <w:r>
        <w:rPr>
          <w:rFonts w:ascii="Calibri" w:hAnsi="Calibri" w:cs="Calibri"/>
          <w:sz w:val="24"/>
          <w:szCs w:val="24"/>
        </w:rPr>
        <w:t>Phsicians</w:t>
      </w:r>
      <w:proofErr w:type="spellEnd"/>
      <w:r>
        <w:rPr>
          <w:rFonts w:ascii="Calibri" w:hAnsi="Calibri" w:cs="Calibri"/>
          <w:sz w:val="24"/>
          <w:szCs w:val="24"/>
        </w:rPr>
        <w:t xml:space="preserve"> Surg Pak 2012, 22:740-741</w:t>
      </w: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Sillery</w:t>
      </w:r>
      <w:proofErr w:type="spellEnd"/>
      <w:r>
        <w:rPr>
          <w:rFonts w:ascii="Calibri" w:hAnsi="Calibri" w:cs="Calibri"/>
          <w:sz w:val="24"/>
          <w:szCs w:val="24"/>
        </w:rPr>
        <w:t xml:space="preserve"> JJ, Lichen stein R, </w:t>
      </w:r>
      <w:proofErr w:type="spellStart"/>
      <w:r>
        <w:rPr>
          <w:rFonts w:ascii="Calibri" w:hAnsi="Calibri" w:cs="Calibri"/>
          <w:sz w:val="24"/>
          <w:szCs w:val="24"/>
        </w:rPr>
        <w:t>Barrueto</w:t>
      </w:r>
      <w:proofErr w:type="spellEnd"/>
      <w:r>
        <w:rPr>
          <w:rFonts w:ascii="Calibri" w:hAnsi="Calibri" w:cs="Calibri"/>
          <w:sz w:val="24"/>
          <w:szCs w:val="24"/>
        </w:rPr>
        <w:t xml:space="preserve"> FJ, Teshome G: Hemolytic anemia induced by ingestion of paradichlorobenzene mothballs. </w:t>
      </w:r>
      <w:proofErr w:type="spellStart"/>
      <w:r>
        <w:rPr>
          <w:rFonts w:ascii="Calibri" w:hAnsi="Calibri" w:cs="Calibri"/>
          <w:sz w:val="24"/>
          <w:szCs w:val="24"/>
        </w:rPr>
        <w:t>Pediar</w:t>
      </w:r>
      <w:proofErr w:type="spellEnd"/>
      <w:r>
        <w:rPr>
          <w:rFonts w:ascii="Calibri" w:hAnsi="Calibri" w:cs="Calibri"/>
          <w:sz w:val="24"/>
          <w:szCs w:val="24"/>
        </w:rPr>
        <w:t xml:space="preserve">. </w:t>
      </w:r>
      <w:proofErr w:type="spellStart"/>
      <w:r>
        <w:rPr>
          <w:rFonts w:ascii="Calibri" w:hAnsi="Calibri" w:cs="Calibri"/>
          <w:sz w:val="24"/>
          <w:szCs w:val="24"/>
        </w:rPr>
        <w:t>Emerg</w:t>
      </w:r>
      <w:proofErr w:type="spellEnd"/>
      <w:r>
        <w:rPr>
          <w:rFonts w:ascii="Calibri" w:hAnsi="Calibri" w:cs="Calibri"/>
          <w:sz w:val="24"/>
          <w:szCs w:val="24"/>
        </w:rPr>
        <w:t>. Care. 2009,25:252-254.</w:t>
      </w: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Sarangi, et, al, Acute intravascular hemolysis following </w:t>
      </w:r>
      <w:proofErr w:type="spellStart"/>
      <w:r>
        <w:rPr>
          <w:rFonts w:ascii="Calibri" w:hAnsi="Calibri" w:cs="Calibri"/>
          <w:sz w:val="24"/>
          <w:szCs w:val="24"/>
        </w:rPr>
        <w:t>naphthelene</w:t>
      </w:r>
      <w:proofErr w:type="spellEnd"/>
      <w:r>
        <w:rPr>
          <w:rFonts w:ascii="Calibri" w:hAnsi="Calibri" w:cs="Calibri"/>
          <w:sz w:val="24"/>
          <w:szCs w:val="24"/>
        </w:rPr>
        <w:t xml:space="preserve"> poisoning Journal of Applied </w:t>
      </w:r>
      <w:proofErr w:type="spellStart"/>
      <w:r>
        <w:rPr>
          <w:rFonts w:ascii="Calibri" w:hAnsi="Calibri" w:cs="Calibri"/>
          <w:sz w:val="24"/>
          <w:szCs w:val="24"/>
        </w:rPr>
        <w:t>Haematology</w:t>
      </w:r>
      <w:proofErr w:type="spellEnd"/>
      <w:r>
        <w:rPr>
          <w:rFonts w:ascii="Calibri" w:hAnsi="Calibri" w:cs="Calibri"/>
          <w:sz w:val="24"/>
          <w:szCs w:val="24"/>
        </w:rPr>
        <w:t xml:space="preserve"> Vol 7, Issue 2, April-June 2016.</w:t>
      </w: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Bagchi</w:t>
      </w:r>
      <w:proofErr w:type="spellEnd"/>
      <w:r>
        <w:rPr>
          <w:rFonts w:ascii="Calibri" w:hAnsi="Calibri" w:cs="Calibri"/>
          <w:sz w:val="24"/>
          <w:szCs w:val="24"/>
        </w:rPr>
        <w:t xml:space="preserve"> M, </w:t>
      </w:r>
      <w:proofErr w:type="spellStart"/>
      <w:r>
        <w:rPr>
          <w:rFonts w:ascii="Calibri" w:hAnsi="Calibri" w:cs="Calibri"/>
          <w:sz w:val="24"/>
          <w:szCs w:val="24"/>
        </w:rPr>
        <w:t>Bagachi</w:t>
      </w:r>
      <w:proofErr w:type="spellEnd"/>
      <w:r>
        <w:rPr>
          <w:rFonts w:ascii="Calibri" w:hAnsi="Calibri" w:cs="Calibri"/>
          <w:sz w:val="24"/>
          <w:szCs w:val="24"/>
        </w:rPr>
        <w:t xml:space="preserve"> D, </w:t>
      </w:r>
      <w:proofErr w:type="spellStart"/>
      <w:r>
        <w:rPr>
          <w:rFonts w:ascii="Calibri" w:hAnsi="Calibri" w:cs="Calibri"/>
          <w:sz w:val="24"/>
          <w:szCs w:val="24"/>
        </w:rPr>
        <w:t>Balmoori</w:t>
      </w:r>
      <w:proofErr w:type="spellEnd"/>
      <w:r>
        <w:rPr>
          <w:rFonts w:ascii="Calibri" w:hAnsi="Calibri" w:cs="Calibri"/>
          <w:sz w:val="24"/>
          <w:szCs w:val="24"/>
        </w:rPr>
        <w:t xml:space="preserve"> J, </w:t>
      </w:r>
      <w:proofErr w:type="spellStart"/>
      <w:r>
        <w:rPr>
          <w:rFonts w:ascii="Calibri" w:hAnsi="Calibri" w:cs="Calibri"/>
          <w:sz w:val="24"/>
          <w:szCs w:val="24"/>
        </w:rPr>
        <w:t>stohs</w:t>
      </w:r>
      <w:proofErr w:type="spellEnd"/>
      <w:r>
        <w:rPr>
          <w:rFonts w:ascii="Calibri" w:hAnsi="Calibri" w:cs="Calibri"/>
          <w:sz w:val="24"/>
          <w:szCs w:val="24"/>
        </w:rPr>
        <w:t xml:space="preserve"> SJ: </w:t>
      </w:r>
      <w:proofErr w:type="spellStart"/>
      <w:r>
        <w:rPr>
          <w:rFonts w:ascii="Calibri" w:hAnsi="Calibri" w:cs="Calibri"/>
          <w:sz w:val="24"/>
          <w:szCs w:val="24"/>
        </w:rPr>
        <w:t>Naphthelene</w:t>
      </w:r>
      <w:proofErr w:type="spellEnd"/>
      <w:r>
        <w:rPr>
          <w:rFonts w:ascii="Calibri" w:hAnsi="Calibri" w:cs="Calibri"/>
          <w:sz w:val="24"/>
          <w:szCs w:val="24"/>
        </w:rPr>
        <w:t xml:space="preserve"> induced oxidative stress and DNA damage in cultured macrophage J 744A.I Cells. Free </w:t>
      </w:r>
      <w:proofErr w:type="spellStart"/>
      <w:r>
        <w:rPr>
          <w:rFonts w:ascii="Calibri" w:hAnsi="Calibri" w:cs="Calibri"/>
          <w:sz w:val="24"/>
          <w:szCs w:val="24"/>
        </w:rPr>
        <w:t>Radic</w:t>
      </w:r>
      <w:proofErr w:type="spellEnd"/>
      <w:r>
        <w:rPr>
          <w:rFonts w:ascii="Calibri" w:hAnsi="Calibri" w:cs="Calibri"/>
          <w:sz w:val="24"/>
          <w:szCs w:val="24"/>
        </w:rPr>
        <w:t xml:space="preserve"> Biol Med. 19</w:t>
      </w:r>
      <w:r w:rsidR="005F1CD0">
        <w:rPr>
          <w:rFonts w:ascii="Calibri" w:hAnsi="Calibri" w:cs="Calibri"/>
          <w:sz w:val="24"/>
          <w:szCs w:val="24"/>
        </w:rPr>
        <w:t>9</w:t>
      </w:r>
      <w:r>
        <w:rPr>
          <w:rFonts w:ascii="Calibri" w:hAnsi="Calibri" w:cs="Calibri"/>
          <w:sz w:val="24"/>
          <w:szCs w:val="24"/>
        </w:rPr>
        <w:t>8, 25:137-43,</w:t>
      </w: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Chugh</w:t>
      </w:r>
      <w:proofErr w:type="spellEnd"/>
      <w:r>
        <w:rPr>
          <w:rFonts w:ascii="Calibri" w:hAnsi="Calibri" w:cs="Calibri"/>
          <w:sz w:val="24"/>
          <w:szCs w:val="24"/>
        </w:rPr>
        <w:t xml:space="preserve"> KS, </w:t>
      </w:r>
      <w:proofErr w:type="spellStart"/>
      <w:r>
        <w:rPr>
          <w:rFonts w:ascii="Calibri" w:hAnsi="Calibri" w:cs="Calibri"/>
          <w:sz w:val="24"/>
          <w:szCs w:val="24"/>
        </w:rPr>
        <w:t>Singhel</w:t>
      </w:r>
      <w:proofErr w:type="spellEnd"/>
      <w:r>
        <w:rPr>
          <w:rFonts w:ascii="Calibri" w:hAnsi="Calibri" w:cs="Calibri"/>
          <w:sz w:val="24"/>
          <w:szCs w:val="24"/>
        </w:rPr>
        <w:t xml:space="preserve"> PC, Sharma BK, </w:t>
      </w:r>
      <w:proofErr w:type="spellStart"/>
      <w:r>
        <w:rPr>
          <w:rFonts w:ascii="Calibri" w:hAnsi="Calibri" w:cs="Calibri"/>
          <w:sz w:val="24"/>
          <w:szCs w:val="24"/>
        </w:rPr>
        <w:t>Mahakur</w:t>
      </w:r>
      <w:proofErr w:type="spellEnd"/>
      <w:r>
        <w:rPr>
          <w:rFonts w:ascii="Calibri" w:hAnsi="Calibri" w:cs="Calibri"/>
          <w:sz w:val="24"/>
          <w:szCs w:val="24"/>
        </w:rPr>
        <w:t xml:space="preserve"> AC, Pal Y, Datta BN, Das KC: Acute renal failure due to intravascular hemolysis in the North Indian patients, Am. J. Med Sci. 1977, 274: 139-46.</w:t>
      </w: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lastRenderedPageBreak/>
        <w:t>Hassan KS, Al-</w:t>
      </w:r>
      <w:proofErr w:type="spellStart"/>
      <w:r>
        <w:rPr>
          <w:rFonts w:ascii="Calibri" w:hAnsi="Calibri" w:cs="Calibri"/>
          <w:sz w:val="24"/>
          <w:szCs w:val="24"/>
        </w:rPr>
        <w:t>Riyami</w:t>
      </w:r>
      <w:proofErr w:type="spellEnd"/>
      <w:r>
        <w:rPr>
          <w:rFonts w:ascii="Calibri" w:hAnsi="Calibri" w:cs="Calibri"/>
          <w:sz w:val="24"/>
          <w:szCs w:val="24"/>
        </w:rPr>
        <w:t xml:space="preserve"> AZ, Al-</w:t>
      </w:r>
      <w:proofErr w:type="spellStart"/>
      <w:r>
        <w:rPr>
          <w:rFonts w:ascii="Calibri" w:hAnsi="Calibri" w:cs="Calibri"/>
          <w:sz w:val="24"/>
          <w:szCs w:val="24"/>
        </w:rPr>
        <w:t>Haneini</w:t>
      </w:r>
      <w:proofErr w:type="spellEnd"/>
      <w:r>
        <w:rPr>
          <w:rFonts w:ascii="Calibri" w:hAnsi="Calibri" w:cs="Calibri"/>
          <w:sz w:val="24"/>
          <w:szCs w:val="24"/>
        </w:rPr>
        <w:t xml:space="preserve"> M, Al-Farsi K, Al- </w:t>
      </w:r>
      <w:proofErr w:type="spellStart"/>
      <w:r>
        <w:rPr>
          <w:rFonts w:ascii="Calibri" w:hAnsi="Calibri" w:cs="Calibri"/>
          <w:sz w:val="24"/>
          <w:szCs w:val="24"/>
        </w:rPr>
        <w:t>Khabori</w:t>
      </w:r>
      <w:proofErr w:type="spellEnd"/>
      <w:r>
        <w:rPr>
          <w:rFonts w:ascii="Calibri" w:hAnsi="Calibri" w:cs="Calibri"/>
          <w:sz w:val="24"/>
          <w:szCs w:val="24"/>
        </w:rPr>
        <w:t xml:space="preserve"> M: Methemoglobinemia in an elderly patient with glucose-6-phosphate </w:t>
      </w:r>
      <w:proofErr w:type="spellStart"/>
      <w:r>
        <w:rPr>
          <w:rFonts w:ascii="Calibri" w:hAnsi="Calibri" w:cs="Calibri"/>
          <w:sz w:val="24"/>
          <w:szCs w:val="24"/>
        </w:rPr>
        <w:t>dehydrogenese</w:t>
      </w:r>
      <w:proofErr w:type="spellEnd"/>
      <w:r>
        <w:rPr>
          <w:rFonts w:ascii="Calibri" w:hAnsi="Calibri" w:cs="Calibri"/>
          <w:sz w:val="24"/>
          <w:szCs w:val="24"/>
        </w:rPr>
        <w:t xml:space="preserve"> deficiency: a case report. Oman Med J. 2014, 29; 135-137.</w:t>
      </w: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Trecisan</w:t>
      </w:r>
      <w:proofErr w:type="spellEnd"/>
      <w:r>
        <w:rPr>
          <w:rFonts w:ascii="Calibri" w:hAnsi="Calibri" w:cs="Calibri"/>
          <w:sz w:val="24"/>
          <w:szCs w:val="24"/>
        </w:rPr>
        <w:t xml:space="preserve"> A, Rossi di </w:t>
      </w:r>
      <w:proofErr w:type="spellStart"/>
      <w:r>
        <w:rPr>
          <w:rFonts w:ascii="Calibri" w:hAnsi="Calibri" w:cs="Calibri"/>
          <w:sz w:val="24"/>
          <w:szCs w:val="24"/>
        </w:rPr>
        <w:t>Schio</w:t>
      </w:r>
      <w:proofErr w:type="spellEnd"/>
      <w:r>
        <w:rPr>
          <w:rFonts w:ascii="Calibri" w:hAnsi="Calibri" w:cs="Calibri"/>
          <w:sz w:val="24"/>
          <w:szCs w:val="24"/>
        </w:rPr>
        <w:t xml:space="preserve"> M, </w:t>
      </w:r>
      <w:proofErr w:type="spellStart"/>
      <w:r>
        <w:rPr>
          <w:rFonts w:ascii="Calibri" w:hAnsi="Calibri" w:cs="Calibri"/>
          <w:sz w:val="24"/>
          <w:szCs w:val="24"/>
        </w:rPr>
        <w:t>Pieno</w:t>
      </w:r>
      <w:proofErr w:type="spellEnd"/>
      <w:r>
        <w:rPr>
          <w:rFonts w:ascii="Calibri" w:hAnsi="Calibri" w:cs="Calibri"/>
          <w:sz w:val="24"/>
          <w:szCs w:val="24"/>
        </w:rPr>
        <w:t xml:space="preserve"> M: Hemolytic anemia after self-giving of </w:t>
      </w:r>
      <w:proofErr w:type="spellStart"/>
      <w:r>
        <w:rPr>
          <w:rFonts w:ascii="Calibri" w:hAnsi="Calibri" w:cs="Calibri"/>
          <w:sz w:val="24"/>
          <w:szCs w:val="24"/>
        </w:rPr>
        <w:t>naphthelene</w:t>
      </w:r>
      <w:proofErr w:type="spellEnd"/>
      <w:r>
        <w:rPr>
          <w:rFonts w:ascii="Calibri" w:hAnsi="Calibri" w:cs="Calibri"/>
          <w:sz w:val="24"/>
          <w:szCs w:val="24"/>
        </w:rPr>
        <w:t xml:space="preserve">- containing oil. J. Appl. </w:t>
      </w:r>
      <w:proofErr w:type="spellStart"/>
      <w:r>
        <w:rPr>
          <w:rFonts w:ascii="Calibri" w:hAnsi="Calibri" w:cs="Calibri"/>
          <w:sz w:val="24"/>
          <w:szCs w:val="24"/>
        </w:rPr>
        <w:t>Toxicol</w:t>
      </w:r>
      <w:proofErr w:type="spellEnd"/>
      <w:r>
        <w:rPr>
          <w:rFonts w:ascii="Calibri" w:hAnsi="Calibri" w:cs="Calibri"/>
          <w:sz w:val="24"/>
          <w:szCs w:val="24"/>
        </w:rPr>
        <w:t xml:space="preserve">. 2001, 21: 393-396. </w:t>
      </w: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Volney</w:t>
      </w:r>
      <w:proofErr w:type="spellEnd"/>
      <w:r>
        <w:rPr>
          <w:rFonts w:ascii="Calibri" w:hAnsi="Calibri" w:cs="Calibri"/>
          <w:sz w:val="24"/>
          <w:szCs w:val="24"/>
        </w:rPr>
        <w:t xml:space="preserve"> G, </w:t>
      </w:r>
      <w:proofErr w:type="spellStart"/>
      <w:r>
        <w:rPr>
          <w:rFonts w:ascii="Calibri" w:hAnsi="Calibri" w:cs="Calibri"/>
          <w:sz w:val="24"/>
          <w:szCs w:val="24"/>
        </w:rPr>
        <w:t>Tatusor</w:t>
      </w:r>
      <w:proofErr w:type="spellEnd"/>
      <w:r>
        <w:rPr>
          <w:rFonts w:ascii="Calibri" w:hAnsi="Calibri" w:cs="Calibri"/>
          <w:sz w:val="24"/>
          <w:szCs w:val="24"/>
        </w:rPr>
        <w:t xml:space="preserve"> M. Yen AC, et al., (August 15, </w:t>
      </w:r>
      <w:proofErr w:type="gramStart"/>
      <w:r>
        <w:rPr>
          <w:rFonts w:ascii="Calibri" w:hAnsi="Calibri" w:cs="Calibri"/>
          <w:sz w:val="24"/>
          <w:szCs w:val="24"/>
        </w:rPr>
        <w:t>2018 )</w:t>
      </w:r>
      <w:proofErr w:type="gramEnd"/>
      <w:r>
        <w:rPr>
          <w:rFonts w:ascii="Calibri" w:hAnsi="Calibri" w:cs="Calibri"/>
          <w:sz w:val="24"/>
          <w:szCs w:val="24"/>
        </w:rPr>
        <w:t xml:space="preserve"> </w:t>
      </w:r>
      <w:proofErr w:type="spellStart"/>
      <w:r>
        <w:rPr>
          <w:rFonts w:ascii="Calibri" w:hAnsi="Calibri" w:cs="Calibri"/>
          <w:sz w:val="24"/>
          <w:szCs w:val="24"/>
        </w:rPr>
        <w:t>Naphthelene</w:t>
      </w:r>
      <w:proofErr w:type="spellEnd"/>
      <w:r>
        <w:rPr>
          <w:rFonts w:ascii="Calibri" w:hAnsi="Calibri" w:cs="Calibri"/>
          <w:sz w:val="24"/>
          <w:szCs w:val="24"/>
        </w:rPr>
        <w:t xml:space="preserve"> Toxicity, Methemoglobinemia and Acute Intravascular Hemolysis. Cures 10 (8): e3147.DOI 10.7759/</w:t>
      </w:r>
      <w:proofErr w:type="spellStart"/>
      <w:r>
        <w:rPr>
          <w:rFonts w:ascii="Calibri" w:hAnsi="Calibri" w:cs="Calibri"/>
          <w:sz w:val="24"/>
          <w:szCs w:val="24"/>
        </w:rPr>
        <w:t>cureus</w:t>
      </w:r>
      <w:proofErr w:type="spellEnd"/>
      <w:r>
        <w:rPr>
          <w:rFonts w:ascii="Calibri" w:hAnsi="Calibri" w:cs="Calibri"/>
          <w:sz w:val="24"/>
          <w:szCs w:val="24"/>
        </w:rPr>
        <w:t>. 3147.</w:t>
      </w:r>
    </w:p>
    <w:p w:rsidR="00D431BF" w:rsidRDefault="00437A57">
      <w:pPr>
        <w:pStyle w:val="ListParagraph"/>
        <w:numPr>
          <w:ilvl w:val="0"/>
          <w:numId w:val="7"/>
        </w:numPr>
        <w:spacing w:after="160" w:line="240" w:lineRule="auto"/>
        <w:jc w:val="both"/>
        <w:rPr>
          <w:rFonts w:ascii="Calibri" w:hAnsi="Calibri" w:cs="Calibri"/>
          <w:sz w:val="24"/>
          <w:szCs w:val="24"/>
        </w:rPr>
      </w:pPr>
      <w:r>
        <w:rPr>
          <w:rFonts w:ascii="Calibri" w:hAnsi="Calibri" w:cs="Calibri"/>
          <w:sz w:val="24"/>
          <w:szCs w:val="24"/>
        </w:rPr>
        <w:t xml:space="preserve"> </w:t>
      </w:r>
      <w:proofErr w:type="spellStart"/>
      <w:r>
        <w:rPr>
          <w:rFonts w:ascii="Calibri" w:hAnsi="Calibri" w:cs="Calibri"/>
          <w:sz w:val="24"/>
          <w:szCs w:val="24"/>
        </w:rPr>
        <w:t>Sravanthi</w:t>
      </w:r>
      <w:proofErr w:type="spellEnd"/>
      <w:r>
        <w:rPr>
          <w:rFonts w:ascii="Calibri" w:hAnsi="Calibri" w:cs="Calibri"/>
          <w:sz w:val="24"/>
          <w:szCs w:val="24"/>
        </w:rPr>
        <w:t xml:space="preserve"> K, Patil MG, Mane S, et al. (May 29, 2024) Naphthalene Ball Ingestion Leading to </w:t>
      </w:r>
      <w:proofErr w:type="gramStart"/>
      <w:r>
        <w:rPr>
          <w:rFonts w:ascii="Calibri" w:hAnsi="Calibri" w:cs="Calibri"/>
          <w:sz w:val="24"/>
          <w:szCs w:val="24"/>
        </w:rPr>
        <w:t>Intravascular  Hemolysis</w:t>
      </w:r>
      <w:proofErr w:type="gramEnd"/>
      <w:r>
        <w:rPr>
          <w:rFonts w:ascii="Calibri" w:hAnsi="Calibri" w:cs="Calibri"/>
          <w:sz w:val="24"/>
          <w:szCs w:val="24"/>
        </w:rPr>
        <w:t xml:space="preserve"> and Acute Kidney Injury. </w:t>
      </w:r>
      <w:proofErr w:type="spellStart"/>
      <w:r>
        <w:rPr>
          <w:rFonts w:ascii="Calibri" w:hAnsi="Calibri" w:cs="Calibri"/>
          <w:sz w:val="24"/>
          <w:szCs w:val="24"/>
        </w:rPr>
        <w:t>Cureus</w:t>
      </w:r>
      <w:proofErr w:type="spellEnd"/>
      <w:r>
        <w:rPr>
          <w:rFonts w:ascii="Calibri" w:hAnsi="Calibri" w:cs="Calibri"/>
          <w:sz w:val="24"/>
          <w:szCs w:val="24"/>
        </w:rPr>
        <w:t xml:space="preserve"> 16(50: e61291. DOI10.7759/</w:t>
      </w:r>
      <w:proofErr w:type="spellStart"/>
      <w:r>
        <w:rPr>
          <w:rFonts w:ascii="Calibri" w:hAnsi="Calibri" w:cs="Calibri"/>
          <w:sz w:val="24"/>
          <w:szCs w:val="24"/>
        </w:rPr>
        <w:t>cureus</w:t>
      </w:r>
      <w:proofErr w:type="spellEnd"/>
      <w:r>
        <w:rPr>
          <w:rFonts w:ascii="Calibri" w:hAnsi="Calibri" w:cs="Calibri"/>
          <w:sz w:val="24"/>
          <w:szCs w:val="24"/>
        </w:rPr>
        <w:t>. 61291</w:t>
      </w:r>
    </w:p>
    <w:p w:rsidR="00D431BF" w:rsidRDefault="00D431BF">
      <w:pPr>
        <w:pStyle w:val="ListParagraph"/>
        <w:spacing w:after="160" w:line="278" w:lineRule="auto"/>
        <w:ind w:left="660"/>
        <w:rPr>
          <w:rFonts w:ascii="Calibri" w:hAnsi="Calibri" w:cs="Calibri"/>
          <w:sz w:val="24"/>
          <w:szCs w:val="24"/>
        </w:rPr>
      </w:pP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Kundra</w:t>
      </w:r>
      <w:proofErr w:type="spellEnd"/>
      <w:r>
        <w:rPr>
          <w:rFonts w:ascii="Calibri" w:hAnsi="Calibri" w:cs="Calibri"/>
          <w:sz w:val="24"/>
          <w:szCs w:val="24"/>
        </w:rPr>
        <w:t xml:space="preserve"> TS, </w:t>
      </w:r>
      <w:proofErr w:type="spellStart"/>
      <w:r>
        <w:rPr>
          <w:rFonts w:ascii="Calibri" w:hAnsi="Calibri" w:cs="Calibri"/>
          <w:sz w:val="24"/>
          <w:szCs w:val="24"/>
        </w:rPr>
        <w:t>Bhauttatani</w:t>
      </w:r>
      <w:proofErr w:type="spellEnd"/>
      <w:r>
        <w:rPr>
          <w:rFonts w:ascii="Calibri" w:hAnsi="Calibri" w:cs="Calibri"/>
          <w:sz w:val="24"/>
          <w:szCs w:val="24"/>
        </w:rPr>
        <w:t xml:space="preserve"> V, Gupta R, Kaur P: </w:t>
      </w:r>
      <w:proofErr w:type="spellStart"/>
      <w:r>
        <w:rPr>
          <w:rFonts w:ascii="Calibri" w:hAnsi="Calibri" w:cs="Calibri"/>
          <w:sz w:val="24"/>
          <w:szCs w:val="24"/>
        </w:rPr>
        <w:t>Naphthelene</w:t>
      </w:r>
      <w:proofErr w:type="spellEnd"/>
      <w:r>
        <w:rPr>
          <w:rFonts w:ascii="Calibri" w:hAnsi="Calibri" w:cs="Calibri"/>
          <w:sz w:val="24"/>
          <w:szCs w:val="24"/>
        </w:rPr>
        <w:t xml:space="preserve"> poisoning following ingestion of </w:t>
      </w:r>
      <w:proofErr w:type="spellStart"/>
      <w:r>
        <w:rPr>
          <w:rFonts w:ascii="Calibri" w:hAnsi="Calibri" w:cs="Calibri"/>
          <w:sz w:val="24"/>
          <w:szCs w:val="24"/>
        </w:rPr>
        <w:t>mothbolls</w:t>
      </w:r>
      <w:proofErr w:type="spellEnd"/>
      <w:r>
        <w:rPr>
          <w:rFonts w:ascii="Calibri" w:hAnsi="Calibri" w:cs="Calibri"/>
          <w:sz w:val="24"/>
          <w:szCs w:val="24"/>
        </w:rPr>
        <w:t xml:space="preserve">: a case report J. clin Diagn es. 2015, 9:01-02. </w:t>
      </w:r>
    </w:p>
    <w:p w:rsidR="00D431BF" w:rsidRDefault="00437A57">
      <w:pPr>
        <w:pStyle w:val="ListParagraph"/>
        <w:numPr>
          <w:ilvl w:val="0"/>
          <w:numId w:val="7"/>
        </w:numPr>
        <w:spacing w:after="160" w:line="240" w:lineRule="auto"/>
        <w:jc w:val="both"/>
        <w:rPr>
          <w:rFonts w:ascii="Calibri" w:hAnsi="Calibri" w:cs="Calibri"/>
          <w:sz w:val="24"/>
          <w:szCs w:val="24"/>
        </w:rPr>
      </w:pPr>
      <w:proofErr w:type="spellStart"/>
      <w:r>
        <w:rPr>
          <w:rFonts w:ascii="Calibri" w:hAnsi="Calibri" w:cs="Calibri"/>
          <w:sz w:val="24"/>
          <w:szCs w:val="24"/>
        </w:rPr>
        <w:t>Ghada</w:t>
      </w:r>
      <w:proofErr w:type="spellEnd"/>
      <w:r>
        <w:rPr>
          <w:rFonts w:ascii="Calibri" w:hAnsi="Calibri" w:cs="Calibri"/>
          <w:sz w:val="24"/>
          <w:szCs w:val="24"/>
        </w:rPr>
        <w:t xml:space="preserve"> </w:t>
      </w:r>
      <w:proofErr w:type="spellStart"/>
      <w:r>
        <w:rPr>
          <w:rFonts w:ascii="Calibri" w:hAnsi="Calibri" w:cs="Calibri"/>
          <w:sz w:val="24"/>
          <w:szCs w:val="24"/>
        </w:rPr>
        <w:t>Alqahtani</w:t>
      </w:r>
      <w:proofErr w:type="spellEnd"/>
      <w:r>
        <w:rPr>
          <w:rFonts w:ascii="Calibri" w:hAnsi="Calibri" w:cs="Calibri"/>
          <w:sz w:val="24"/>
          <w:szCs w:val="24"/>
        </w:rPr>
        <w:t xml:space="preserve"> et al. Saudi J </w:t>
      </w:r>
      <w:proofErr w:type="spellStart"/>
      <w:r>
        <w:rPr>
          <w:rFonts w:ascii="Calibri" w:hAnsi="Calibri" w:cs="Calibri"/>
          <w:sz w:val="24"/>
          <w:szCs w:val="24"/>
        </w:rPr>
        <w:t>Er</w:t>
      </w:r>
      <w:proofErr w:type="spellEnd"/>
      <w:r>
        <w:rPr>
          <w:rFonts w:ascii="Calibri" w:hAnsi="Calibri" w:cs="Calibri"/>
          <w:sz w:val="24"/>
          <w:szCs w:val="24"/>
        </w:rPr>
        <w:t xml:space="preserve"> Med. 2024(3):261-263 DOI: 10.24911/SJEMed.72-1710893584</w:t>
      </w:r>
    </w:p>
    <w:p w:rsidR="00D431BF" w:rsidRDefault="00D431BF">
      <w:pPr>
        <w:pStyle w:val="ListParagraph"/>
        <w:spacing w:after="160" w:line="278" w:lineRule="auto"/>
        <w:ind w:left="660"/>
        <w:rPr>
          <w:rFonts w:ascii="Calibri" w:hAnsi="Calibri" w:cs="Calibri"/>
          <w:sz w:val="24"/>
          <w:szCs w:val="24"/>
        </w:rPr>
      </w:pPr>
    </w:p>
    <w:p w:rsidR="00D431BF" w:rsidRDefault="00437A57">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Haematology</w:t>
      </w:r>
      <w:proofErr w:type="spellEnd"/>
      <w:r>
        <w:rPr>
          <w:rFonts w:ascii="Calibri" w:hAnsi="Calibri" w:cs="Calibri"/>
          <w:sz w:val="24"/>
          <w:szCs w:val="24"/>
        </w:rPr>
        <w:t xml:space="preserve"> Reference: Methemoglobinemia Workup </w:t>
      </w:r>
      <w:proofErr w:type="spellStart"/>
      <w:r>
        <w:rPr>
          <w:rFonts w:ascii="Calibri" w:hAnsi="Calibri" w:cs="Calibri"/>
          <w:sz w:val="24"/>
          <w:szCs w:val="24"/>
        </w:rPr>
        <w:t>Dipen</w:t>
      </w:r>
      <w:proofErr w:type="spellEnd"/>
      <w:r>
        <w:rPr>
          <w:rFonts w:ascii="Calibri" w:hAnsi="Calibri" w:cs="Calibri"/>
          <w:sz w:val="24"/>
          <w:szCs w:val="24"/>
        </w:rPr>
        <w:t xml:space="preserve"> B </w:t>
      </w:r>
      <w:proofErr w:type="spellStart"/>
      <w:r>
        <w:rPr>
          <w:rFonts w:ascii="Calibri" w:hAnsi="Calibri" w:cs="Calibri"/>
          <w:sz w:val="24"/>
          <w:szCs w:val="24"/>
        </w:rPr>
        <w:t>Khanapara</w:t>
      </w:r>
      <w:proofErr w:type="spellEnd"/>
      <w:r>
        <w:rPr>
          <w:rFonts w:ascii="Calibri" w:hAnsi="Calibri" w:cs="Calibri"/>
          <w:sz w:val="24"/>
          <w:szCs w:val="24"/>
        </w:rPr>
        <w:t xml:space="preserve">, MD, </w:t>
      </w:r>
      <w:proofErr w:type="spellStart"/>
      <w:r>
        <w:rPr>
          <w:rFonts w:ascii="Calibri" w:hAnsi="Calibri" w:cs="Calibri"/>
          <w:sz w:val="24"/>
          <w:szCs w:val="24"/>
        </w:rPr>
        <w:t>Emmmanuel</w:t>
      </w:r>
      <w:proofErr w:type="spellEnd"/>
      <w:r>
        <w:rPr>
          <w:rFonts w:ascii="Calibri" w:hAnsi="Calibri" w:cs="Calibri"/>
          <w:sz w:val="24"/>
          <w:szCs w:val="24"/>
        </w:rPr>
        <w:t xml:space="preserve"> C, </w:t>
      </w:r>
      <w:proofErr w:type="spellStart"/>
      <w:r>
        <w:rPr>
          <w:rFonts w:ascii="Calibri" w:hAnsi="Calibri" w:cs="Calibri"/>
          <w:sz w:val="24"/>
          <w:szCs w:val="24"/>
        </w:rPr>
        <w:t>Besa</w:t>
      </w:r>
      <w:proofErr w:type="spellEnd"/>
      <w:r>
        <w:rPr>
          <w:rFonts w:ascii="Calibri" w:hAnsi="Calibri" w:cs="Calibri"/>
          <w:sz w:val="24"/>
          <w:szCs w:val="24"/>
        </w:rPr>
        <w:t>, MD., updated: Dec 7, 2023.</w:t>
      </w: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Nascimento TS, Pereira ROL, Mello HLD, Costa J. Methemoglobinemia: From diagnosis to treatment. Rev Bras </w:t>
      </w:r>
      <w:proofErr w:type="spellStart"/>
      <w:r>
        <w:rPr>
          <w:rFonts w:ascii="Calibri" w:hAnsi="Calibri" w:cs="Calibri"/>
          <w:sz w:val="24"/>
          <w:szCs w:val="24"/>
        </w:rPr>
        <w:t>Anestesiol</w:t>
      </w:r>
      <w:proofErr w:type="spellEnd"/>
      <w:r>
        <w:rPr>
          <w:rFonts w:ascii="Calibri" w:hAnsi="Calibri" w:cs="Calibri"/>
          <w:sz w:val="24"/>
          <w:szCs w:val="24"/>
        </w:rPr>
        <w:t xml:space="preserve"> 2008;58;651-64.</w:t>
      </w:r>
    </w:p>
    <w:p w:rsidR="00D431BF" w:rsidRDefault="00D431BF">
      <w:pPr>
        <w:pStyle w:val="ListParagraph"/>
        <w:spacing w:after="160" w:line="240" w:lineRule="auto"/>
        <w:ind w:left="660"/>
        <w:jc w:val="both"/>
        <w:rPr>
          <w:rFonts w:ascii="Calibri" w:hAnsi="Calibri" w:cs="Calibri"/>
          <w:sz w:val="24"/>
          <w:szCs w:val="24"/>
        </w:rPr>
      </w:pPr>
    </w:p>
    <w:p w:rsidR="00D431BF" w:rsidRDefault="00437A57">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Wright RO, </w:t>
      </w:r>
      <w:proofErr w:type="spellStart"/>
      <w:r>
        <w:rPr>
          <w:rFonts w:ascii="Calibri" w:hAnsi="Calibri" w:cs="Calibri"/>
          <w:sz w:val="24"/>
          <w:szCs w:val="24"/>
        </w:rPr>
        <w:t>Lewander</w:t>
      </w:r>
      <w:proofErr w:type="spellEnd"/>
      <w:r>
        <w:rPr>
          <w:rFonts w:ascii="Calibri" w:hAnsi="Calibri" w:cs="Calibri"/>
          <w:sz w:val="24"/>
          <w:szCs w:val="24"/>
        </w:rPr>
        <w:t xml:space="preserve"> WJ, Woolf AD. Methemoglobinemia; Etiology, pharmacology and clinical </w:t>
      </w:r>
      <w:proofErr w:type="gramStart"/>
      <w:r>
        <w:rPr>
          <w:rFonts w:ascii="Calibri" w:hAnsi="Calibri" w:cs="Calibri"/>
          <w:sz w:val="24"/>
          <w:szCs w:val="24"/>
        </w:rPr>
        <w:t>management .</w:t>
      </w:r>
      <w:proofErr w:type="gramEnd"/>
      <w:r>
        <w:rPr>
          <w:rFonts w:ascii="Calibri" w:hAnsi="Calibri" w:cs="Calibri"/>
          <w:sz w:val="24"/>
          <w:szCs w:val="24"/>
        </w:rPr>
        <w:t xml:space="preserve"> Ann </w:t>
      </w:r>
      <w:proofErr w:type="spellStart"/>
      <w:r>
        <w:rPr>
          <w:rFonts w:ascii="Calibri" w:hAnsi="Calibri" w:cs="Calibri"/>
          <w:sz w:val="24"/>
          <w:szCs w:val="24"/>
        </w:rPr>
        <w:t>Emerg</w:t>
      </w:r>
      <w:proofErr w:type="spellEnd"/>
      <w:r>
        <w:rPr>
          <w:rFonts w:ascii="Calibri" w:hAnsi="Calibri" w:cs="Calibri"/>
          <w:sz w:val="24"/>
          <w:szCs w:val="24"/>
        </w:rPr>
        <w:t xml:space="preserve"> Med 1999; 34;646-56.</w:t>
      </w:r>
    </w:p>
    <w:p w:rsidR="00D431BF" w:rsidRDefault="00D431BF">
      <w:pPr>
        <w:pStyle w:val="ListParagraph"/>
        <w:spacing w:after="160" w:line="240" w:lineRule="auto"/>
        <w:ind w:left="660"/>
        <w:jc w:val="both"/>
        <w:rPr>
          <w:rFonts w:ascii="Calibri" w:hAnsi="Calibri" w:cs="Calibri"/>
          <w:sz w:val="24"/>
          <w:szCs w:val="24"/>
        </w:rPr>
      </w:pPr>
    </w:p>
    <w:p w:rsidR="00D431BF" w:rsidRDefault="00D431BF">
      <w:pPr>
        <w:spacing w:line="240" w:lineRule="auto"/>
        <w:jc w:val="both"/>
        <w:rPr>
          <w:rFonts w:ascii="Calibri" w:hAnsi="Calibri" w:cs="Calibri"/>
          <w:sz w:val="24"/>
          <w:szCs w:val="24"/>
        </w:rPr>
      </w:pPr>
    </w:p>
    <w:p w:rsidR="00D431BF" w:rsidRDefault="00D431BF">
      <w:pPr>
        <w:spacing w:line="240" w:lineRule="auto"/>
        <w:jc w:val="both"/>
        <w:rPr>
          <w:rFonts w:ascii="Calibri" w:hAnsi="Calibri" w:cs="Calibri"/>
          <w:sz w:val="24"/>
          <w:szCs w:val="24"/>
        </w:rPr>
      </w:pPr>
    </w:p>
    <w:p w:rsidR="00D431BF" w:rsidRDefault="00437A57">
      <w:pPr>
        <w:spacing w:line="240" w:lineRule="auto"/>
        <w:jc w:val="both"/>
        <w:rPr>
          <w:rFonts w:ascii="Calibri" w:hAnsi="Calibri" w:cs="Calibri"/>
          <w:sz w:val="24"/>
          <w:szCs w:val="24"/>
        </w:rPr>
      </w:pPr>
      <w:r>
        <w:rPr>
          <w:rFonts w:ascii="Calibri" w:hAnsi="Calibri" w:cs="Calibri"/>
          <w:sz w:val="24"/>
          <w:szCs w:val="24"/>
        </w:rPr>
        <w:br w:type="textWrapping" w:clear="all"/>
      </w:r>
    </w:p>
    <w:p w:rsidR="00D431BF" w:rsidRDefault="00D431BF">
      <w:pPr>
        <w:spacing w:line="240" w:lineRule="auto"/>
        <w:jc w:val="both"/>
        <w:rPr>
          <w:rFonts w:ascii="Calibri" w:hAnsi="Calibri" w:cs="Calibri"/>
          <w:sz w:val="24"/>
          <w:szCs w:val="24"/>
        </w:rPr>
      </w:pPr>
    </w:p>
    <w:p w:rsidR="00D431BF" w:rsidRDefault="00437A57">
      <w:pPr>
        <w:spacing w:line="240" w:lineRule="auto"/>
        <w:jc w:val="both"/>
        <w:rPr>
          <w:rFonts w:ascii="Calibri" w:hAnsi="Calibri" w:cs="Calibri"/>
          <w:sz w:val="24"/>
          <w:szCs w:val="24"/>
        </w:rPr>
      </w:pPr>
      <w:r>
        <w:rPr>
          <w:rFonts w:ascii="Calibri" w:hAnsi="Calibri" w:cs="Calibri"/>
          <w:sz w:val="24"/>
          <w:szCs w:val="24"/>
        </w:rPr>
        <w:br w:type="textWrapping" w:clear="all"/>
      </w:r>
    </w:p>
    <w:sectPr w:rsidR="00D431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E74" w:rsidRDefault="00973E74">
      <w:pPr>
        <w:spacing w:line="240" w:lineRule="auto"/>
      </w:pPr>
      <w:r>
        <w:separator/>
      </w:r>
    </w:p>
  </w:endnote>
  <w:endnote w:type="continuationSeparator" w:id="0">
    <w:p w:rsidR="00973E74" w:rsidRDefault="00973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E74" w:rsidRDefault="00973E74">
      <w:pPr>
        <w:spacing w:after="0"/>
      </w:pPr>
      <w:r>
        <w:separator/>
      </w:r>
    </w:p>
  </w:footnote>
  <w:footnote w:type="continuationSeparator" w:id="0">
    <w:p w:rsidR="00973E74" w:rsidRDefault="00973E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pStyle w:val="ListNumber2"/>
      <w:lvlText w:val="%1."/>
      <w:lvlJc w:val="left"/>
      <w:pPr>
        <w:tabs>
          <w:tab w:val="left" w:pos="720"/>
        </w:tabs>
        <w:ind w:left="720" w:hanging="360"/>
      </w:pPr>
    </w:lvl>
  </w:abstractNum>
  <w:abstractNum w:abstractNumId="1" w15:restartNumberingAfterBreak="0">
    <w:nsid w:val="00000002"/>
    <w:multiLevelType w:val="singleLevel"/>
    <w:tmpl w:val="00000002"/>
    <w:lvl w:ilvl="0">
      <w:start w:val="1"/>
      <w:numFmt w:val="bullet"/>
      <w:pStyle w:val="ListBullet3"/>
      <w:lvlText w:val=""/>
      <w:lvlJc w:val="left"/>
      <w:pPr>
        <w:tabs>
          <w:tab w:val="left" w:pos="1080"/>
        </w:tabs>
        <w:ind w:left="1080" w:hanging="360"/>
      </w:pPr>
      <w:rPr>
        <w:rFonts w:ascii="Symbol" w:hAnsi="Symbol" w:hint="default"/>
      </w:rPr>
    </w:lvl>
  </w:abstractNum>
  <w:abstractNum w:abstractNumId="2" w15:restartNumberingAfterBreak="0">
    <w:nsid w:val="00000003"/>
    <w:multiLevelType w:val="singleLevel"/>
    <w:tmpl w:val="0000000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00000004"/>
    <w:multiLevelType w:val="singleLevel"/>
    <w:tmpl w:val="00000004"/>
    <w:lvl w:ilvl="0">
      <w:start w:val="1"/>
      <w:numFmt w:val="decimal"/>
      <w:pStyle w:val="ListNumber"/>
      <w:lvlText w:val="%1."/>
      <w:lvlJc w:val="left"/>
      <w:pPr>
        <w:tabs>
          <w:tab w:val="left" w:pos="360"/>
        </w:tabs>
        <w:ind w:left="360" w:hanging="360"/>
      </w:pPr>
    </w:lvl>
  </w:abstractNum>
  <w:abstractNum w:abstractNumId="4" w15:restartNumberingAfterBreak="0">
    <w:nsid w:val="00000005"/>
    <w:multiLevelType w:val="singleLevel"/>
    <w:tmpl w:val="00000005"/>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000006"/>
    <w:multiLevelType w:val="multilevel"/>
    <w:tmpl w:val="00000006"/>
    <w:lvl w:ilvl="0">
      <w:start w:val="1"/>
      <w:numFmt w:val="decimal"/>
      <w:lvlText w:val="%1."/>
      <w:lvlJc w:val="left"/>
      <w:pPr>
        <w:ind w:left="10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A92675"/>
    <w:multiLevelType w:val="singleLevel"/>
    <w:tmpl w:val="00000000"/>
    <w:lvl w:ilvl="0">
      <w:start w:val="1"/>
      <w:numFmt w:val="decimal"/>
      <w:pStyle w:val="ListNumber3"/>
      <w:lvlText w:val="%1."/>
      <w:lvlJc w:val="left"/>
      <w:pPr>
        <w:tabs>
          <w:tab w:val="left" w:pos="1080"/>
        </w:tabs>
        <w:ind w:left="1080" w:hanging="36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431BF"/>
    <w:rsid w:val="0007154D"/>
    <w:rsid w:val="00171890"/>
    <w:rsid w:val="002D2E85"/>
    <w:rsid w:val="002E0D04"/>
    <w:rsid w:val="00437A57"/>
    <w:rsid w:val="00570763"/>
    <w:rsid w:val="005F1CD0"/>
    <w:rsid w:val="00875BCE"/>
    <w:rsid w:val="00973E74"/>
    <w:rsid w:val="00C5087D"/>
    <w:rsid w:val="00C51F55"/>
    <w:rsid w:val="00D431BF"/>
    <w:rsid w:val="00D464F0"/>
    <w:rsid w:val="00DF16A1"/>
    <w:rsid w:val="00E7352B"/>
    <w:rsid w:val="042F7652"/>
    <w:rsid w:val="079D5895"/>
    <w:rsid w:val="08A84AC3"/>
    <w:rsid w:val="146E3D45"/>
    <w:rsid w:val="147205E7"/>
    <w:rsid w:val="15942BF2"/>
    <w:rsid w:val="15E30B26"/>
    <w:rsid w:val="1784678E"/>
    <w:rsid w:val="1BD6378F"/>
    <w:rsid w:val="1ECE5416"/>
    <w:rsid w:val="20EC4A1B"/>
    <w:rsid w:val="21E51240"/>
    <w:rsid w:val="28BD6CE6"/>
    <w:rsid w:val="2AFA4FD2"/>
    <w:rsid w:val="2B0C7B71"/>
    <w:rsid w:val="2CB43036"/>
    <w:rsid w:val="2DA234D6"/>
    <w:rsid w:val="30CA028E"/>
    <w:rsid w:val="34050E8A"/>
    <w:rsid w:val="344D7ECD"/>
    <w:rsid w:val="380C5081"/>
    <w:rsid w:val="394E3863"/>
    <w:rsid w:val="398441BF"/>
    <w:rsid w:val="39C067DB"/>
    <w:rsid w:val="3A2F44D1"/>
    <w:rsid w:val="3AA775A5"/>
    <w:rsid w:val="3B193E11"/>
    <w:rsid w:val="413D1271"/>
    <w:rsid w:val="4D4C7342"/>
    <w:rsid w:val="4E027F57"/>
    <w:rsid w:val="505D59E6"/>
    <w:rsid w:val="540B7291"/>
    <w:rsid w:val="577B4F07"/>
    <w:rsid w:val="592E0E45"/>
    <w:rsid w:val="59823D3E"/>
    <w:rsid w:val="5BA13FD6"/>
    <w:rsid w:val="5BCC08D1"/>
    <w:rsid w:val="5CA93512"/>
    <w:rsid w:val="5CC5799F"/>
    <w:rsid w:val="5F8A1AAB"/>
    <w:rsid w:val="641B78D0"/>
    <w:rsid w:val="64EC08B6"/>
    <w:rsid w:val="66A937BF"/>
    <w:rsid w:val="68C973D2"/>
    <w:rsid w:val="6E32225B"/>
    <w:rsid w:val="752F75C8"/>
    <w:rsid w:val="75DB226C"/>
    <w:rsid w:val="7DC0642F"/>
    <w:rsid w:val="7DE9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fillcolor="white">
      <v:fill color="white"/>
    </o:shapedefaults>
    <o:shapelayout v:ext="edit">
      <o:idmap v:ext="edit" data="1"/>
    </o:shapelayout>
  </w:shapeDefaults>
  <w:decimalSymbol w:val="."/>
  <w:listSeparator w:val=","/>
  <w14:docId w14:val="41FC49B6"/>
  <w15:docId w15:val="{3E5CDB2B-ECBE-4D9B-97A7-20408796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SimSun"/>
        <w:lang w:val="en-IN" w:eastAsia="en-I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macro"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Bullet 2" w:uiPriority="99" w:qFormat="1"/>
    <w:lsdException w:name="List Bullet 3" w:uiPriority="99" w:qFormat="1"/>
    <w:lsdException w:name="List Number 2" w:uiPriority="99" w:qFormat="1"/>
    <w:lsdException w:name="List Number 3" w:uiPriority="99" w:qFormat="1"/>
    <w:lsdException w:name="Title" w:uiPriority="10" w:qFormat="1"/>
    <w:lsdException w:name="Default Paragraph Font" w:uiPriority="1" w:qFormat="1"/>
    <w:lsdException w:name="Body Text" w:uiPriority="99" w:qFormat="1"/>
    <w:lsdException w:name="List Continue" w:uiPriority="99" w:qFormat="1"/>
    <w:lsdException w:name="List Continue 2" w:uiPriority="99" w:qFormat="1"/>
    <w:lsdException w:name="List Continue 3" w:uiPriority="99" w:qFormat="1"/>
    <w:lsdException w:name="Subtitle" w:uiPriority="11" w:qFormat="1"/>
    <w:lsdException w:name="Body Text 2" w:uiPriority="99" w:qFormat="1"/>
    <w:lsdException w:name="Body Text 3" w:uiPriority="99"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hAnsi="Calibri"/>
      <w:color w:val="244061"/>
    </w:rPr>
  </w:style>
  <w:style w:type="paragraph" w:styleId="Heading6">
    <w:name w:val="heading 6"/>
    <w:basedOn w:val="Normal"/>
    <w:next w:val="Normal"/>
    <w:link w:val="Heading6Char"/>
    <w:uiPriority w:val="9"/>
    <w:qFormat/>
    <w:pPr>
      <w:keepNext/>
      <w:keepLines/>
      <w:spacing w:before="200" w:after="0"/>
      <w:outlineLvl w:val="5"/>
    </w:pPr>
    <w:rPr>
      <w:rFonts w:ascii="Calibri" w:hAnsi="Calibri"/>
      <w:i/>
      <w:iCs/>
      <w:color w:val="244061"/>
    </w:rPr>
  </w:style>
  <w:style w:type="paragraph" w:styleId="Heading7">
    <w:name w:val="heading 7"/>
    <w:basedOn w:val="Normal"/>
    <w:next w:val="Normal"/>
    <w:link w:val="Heading7Char"/>
    <w:uiPriority w:val="9"/>
    <w:qFormat/>
    <w:pPr>
      <w:keepNext/>
      <w:keepLines/>
      <w:spacing w:before="200" w:after="0"/>
      <w:outlineLvl w:val="6"/>
    </w:pPr>
    <w:rPr>
      <w:rFonts w:ascii="Calibri"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List">
    <w:name w:val="List"/>
    <w:basedOn w:val="Normal"/>
    <w:uiPriority w:val="99"/>
    <w:qFormat/>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qFormat/>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qFormat/>
    <w:pPr>
      <w:numPr>
        <w:numId w:val="2"/>
      </w:numPr>
      <w:contextualSpacing/>
    </w:pPr>
  </w:style>
  <w:style w:type="paragraph" w:styleId="ListBullet3">
    <w:name w:val="List Bullet 3"/>
    <w:basedOn w:val="Normal"/>
    <w:uiPriority w:val="99"/>
    <w:qFormat/>
    <w:pPr>
      <w:numPr>
        <w:numId w:val="3"/>
      </w:numPr>
      <w:contextualSpacing/>
    </w:pPr>
  </w:style>
  <w:style w:type="paragraph" w:styleId="ListContinue">
    <w:name w:val="List Continue"/>
    <w:basedOn w:val="Normal"/>
    <w:uiPriority w:val="99"/>
    <w:qFormat/>
    <w:pPr>
      <w:spacing w:after="120"/>
      <w:ind w:left="360"/>
      <w:contextualSpacing/>
    </w:pPr>
  </w:style>
  <w:style w:type="paragraph" w:styleId="ListContinue2">
    <w:name w:val="List Continue 2"/>
    <w:basedOn w:val="Normal"/>
    <w:uiPriority w:val="99"/>
    <w:qFormat/>
    <w:pPr>
      <w:spacing w:after="120"/>
      <w:ind w:left="720"/>
      <w:contextualSpacing/>
    </w:pPr>
  </w:style>
  <w:style w:type="paragraph" w:styleId="ListContinue3">
    <w:name w:val="List Continue 3"/>
    <w:basedOn w:val="Normal"/>
    <w:uiPriority w:val="99"/>
    <w:qFormat/>
    <w:pPr>
      <w:spacing w:after="120"/>
      <w:ind w:left="1080"/>
      <w:contextualSpacing/>
    </w:pPr>
  </w:style>
  <w:style w:type="paragraph" w:styleId="ListNumber">
    <w:name w:val="List Number"/>
    <w:basedOn w:val="Normal"/>
    <w:uiPriority w:val="99"/>
    <w:qFormat/>
    <w:pPr>
      <w:numPr>
        <w:numId w:val="4"/>
      </w:numPr>
      <w:contextualSpacing/>
    </w:pPr>
  </w:style>
  <w:style w:type="paragraph" w:styleId="ListNumber2">
    <w:name w:val="List Number 2"/>
    <w:basedOn w:val="Normal"/>
    <w:uiPriority w:val="99"/>
    <w:qFormat/>
    <w:pPr>
      <w:numPr>
        <w:numId w:val="5"/>
      </w:numPr>
      <w:contextualSpacing/>
    </w:pPr>
  </w:style>
  <w:style w:type="paragraph" w:styleId="ListNumber3">
    <w:name w:val="List Number 3"/>
    <w:basedOn w:val="Normal"/>
    <w:uiPriority w:val="99"/>
    <w:qFormat/>
    <w:pPr>
      <w:numPr>
        <w:numId w:val="6"/>
      </w:numPr>
      <w:contextualSpacing/>
    </w:pPr>
  </w:style>
  <w:style w:type="paragraph" w:styleId="MacroText">
    <w:name w:val="macro"/>
    <w:link w:val="MacroTextChar"/>
    <w:uiPriority w:val="99"/>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Calibri" w:hAnsi="Calibri"/>
      <w:i/>
      <w:iCs/>
      <w:color w:val="4F81BD"/>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hAnsi="Calibri"/>
      <w:color w:val="17365D"/>
      <w:spacing w:val="5"/>
      <w:kern w:val="28"/>
      <w:sz w:val="52"/>
      <w:szCs w:val="52"/>
    </w:r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SimSun"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SimSun"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SimSun"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SimSun"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SimSun"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ascii="Calibri" w:eastAsia="SimSun"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ascii="Calibri" w:eastAsia="SimSun"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ascii="Calibri" w:eastAsia="SimSun"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ascii="Calibri" w:eastAsia="SimSun"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ascii="Calibri" w:eastAsia="SimSun"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1">
    <w:name w:val="Medium List 2 Accent 1"/>
    <w:basedOn w:val="TableNormal"/>
    <w:uiPriority w:val="66"/>
    <w:qFormat/>
    <w:rPr>
      <w:rFonts w:ascii="Calibri"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Calibri"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Calibri"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Calibri"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Calibri"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Calibri"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1">
    <w:name w:val="Medium Grid 2 Accent 1"/>
    <w:basedOn w:val="TableNormal"/>
    <w:uiPriority w:val="68"/>
    <w:qFormat/>
    <w:rPr>
      <w:rFonts w:ascii="Calibri"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Calibri"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Calibri"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Calibri"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Calibri"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Calibri"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1">
    <w:name w:val="Dark List Accent 1"/>
    <w:basedOn w:val="TableNormal"/>
    <w:uiPriority w:val="70"/>
    <w:qFormat/>
    <w:rPr>
      <w:color w:val="FFFFFF"/>
    </w:rP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Pr>
      <w:color w:val="000000"/>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1">
    <w:name w:val="Light Shading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
    <w:name w:val="Light List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1">
    <w:name w:val="Light Grid1"/>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SimSun"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SimSun"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MediumShading11">
    <w:name w:val="Medium Shading 1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1">
    <w:name w:val="Medium Shading 2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qFormat/>
    <w:rPr>
      <w:color w:val="000000"/>
    </w:rPr>
    <w:tblPr>
      <w:tblBorders>
        <w:top w:val="single" w:sz="8" w:space="0" w:color="000000"/>
        <w:bottom w:val="single" w:sz="8" w:space="0" w:color="000000"/>
      </w:tblBorders>
    </w:tblPr>
    <w:tblStylePr w:type="firstRow">
      <w:rPr>
        <w:rFonts w:ascii="Calibri" w:eastAsia="SimSun"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Pr>
      <w:color w:val="000000"/>
    </w:rPr>
    <w:tblPr>
      <w:tblBorders>
        <w:top w:val="single" w:sz="8" w:space="0" w:color="4F81BD"/>
        <w:bottom w:val="single" w:sz="8" w:space="0" w:color="4F81BD"/>
      </w:tblBorders>
    </w:tblPr>
    <w:tblStylePr w:type="firstRow">
      <w:rPr>
        <w:rFonts w:ascii="Calibri" w:eastAsia="SimSun"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TableNormal"/>
    <w:uiPriority w:val="66"/>
    <w:qFormat/>
    <w:rPr>
      <w:rFonts w:ascii="Calibri"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uiPriority w:val="68"/>
    <w:qFormat/>
    <w:rPr>
      <w:rFonts w:ascii="Calibri"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MediumGrid31">
    <w:name w:val="Medium Grid 3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DarkList1">
    <w:name w:val="Dark List1"/>
    <w:basedOn w:val="TableNormal"/>
    <w:uiPriority w:val="70"/>
    <w:qFormat/>
    <w:rPr>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Pr>
      <w:color w:val="000000"/>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Calibri" w:eastAsia="SimSun"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SimSun" w:hAnsi="Calibri" w:cs="SimSun"/>
      <w:b/>
      <w:bCs/>
      <w:color w:val="4F81BD"/>
      <w:sz w:val="26"/>
      <w:szCs w:val="26"/>
    </w:rPr>
  </w:style>
  <w:style w:type="character" w:customStyle="1" w:styleId="Heading3Char">
    <w:name w:val="Heading 3 Char"/>
    <w:basedOn w:val="DefaultParagraphFont"/>
    <w:link w:val="Heading3"/>
    <w:uiPriority w:val="9"/>
    <w:qFormat/>
    <w:rPr>
      <w:rFonts w:ascii="Calibri" w:eastAsia="SimSun" w:hAnsi="Calibri" w:cs="SimSun"/>
      <w:b/>
      <w:bCs/>
      <w:color w:val="4F81BD"/>
    </w:rPr>
  </w:style>
  <w:style w:type="character" w:customStyle="1" w:styleId="TitleChar">
    <w:name w:val="Title Char"/>
    <w:basedOn w:val="DefaultParagraphFont"/>
    <w:link w:val="Title"/>
    <w:uiPriority w:val="10"/>
    <w:qFormat/>
    <w:rPr>
      <w:rFonts w:ascii="Calibri" w:eastAsia="SimSun" w:hAnsi="Calibri" w:cs="SimSun"/>
      <w:color w:val="17365D"/>
      <w:spacing w:val="5"/>
      <w:kern w:val="28"/>
      <w:sz w:val="52"/>
      <w:szCs w:val="52"/>
    </w:rPr>
  </w:style>
  <w:style w:type="character" w:customStyle="1" w:styleId="SubtitleChar">
    <w:name w:val="Subtitle Char"/>
    <w:basedOn w:val="DefaultParagraphFont"/>
    <w:link w:val="Subtitle"/>
    <w:uiPriority w:val="11"/>
    <w:qFormat/>
    <w:rPr>
      <w:rFonts w:ascii="Calibri" w:eastAsia="SimSun"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qFormat/>
    <w:rPr>
      <w:i/>
      <w:iCs/>
      <w:color w:val="000000"/>
    </w:rPr>
  </w:style>
  <w:style w:type="character" w:customStyle="1" w:styleId="Heading4Char">
    <w:name w:val="Heading 4 Char"/>
    <w:basedOn w:val="DefaultParagraphFont"/>
    <w:link w:val="Heading4"/>
    <w:uiPriority w:val="9"/>
    <w:qFormat/>
    <w:rPr>
      <w:rFonts w:ascii="Calibri" w:eastAsia="SimSun" w:hAnsi="Calibri" w:cs="SimSun"/>
      <w:b/>
      <w:bCs/>
      <w:i/>
      <w:iCs/>
      <w:color w:val="4F81BD"/>
    </w:rPr>
  </w:style>
  <w:style w:type="character" w:customStyle="1" w:styleId="Heading5Char">
    <w:name w:val="Heading 5 Char"/>
    <w:basedOn w:val="DefaultParagraphFont"/>
    <w:link w:val="Heading5"/>
    <w:uiPriority w:val="9"/>
    <w:qFormat/>
    <w:rPr>
      <w:rFonts w:ascii="Calibri" w:eastAsia="SimSun" w:hAnsi="Calibri" w:cs="SimSun"/>
      <w:color w:val="244061"/>
    </w:rPr>
  </w:style>
  <w:style w:type="character" w:customStyle="1" w:styleId="Heading6Char">
    <w:name w:val="Heading 6 Char"/>
    <w:basedOn w:val="DefaultParagraphFont"/>
    <w:link w:val="Heading6"/>
    <w:uiPriority w:val="9"/>
    <w:qFormat/>
    <w:rPr>
      <w:rFonts w:ascii="Calibri" w:eastAsia="SimSun" w:hAnsi="Calibri" w:cs="SimSun"/>
      <w:i/>
      <w:iCs/>
      <w:color w:val="244061"/>
    </w:rPr>
  </w:style>
  <w:style w:type="character" w:customStyle="1" w:styleId="Heading7Char">
    <w:name w:val="Heading 7 Char"/>
    <w:basedOn w:val="DefaultParagraphFont"/>
    <w:link w:val="Heading7"/>
    <w:uiPriority w:val="9"/>
    <w:qFormat/>
    <w:rPr>
      <w:rFonts w:ascii="Calibri" w:eastAsia="SimSun" w:hAnsi="Calibri" w:cs="SimSun"/>
      <w:i/>
      <w:iCs/>
      <w:color w:val="404040"/>
    </w:rPr>
  </w:style>
  <w:style w:type="character" w:customStyle="1" w:styleId="Heading8Char">
    <w:name w:val="Heading 8 Char"/>
    <w:basedOn w:val="DefaultParagraphFont"/>
    <w:link w:val="Heading8"/>
    <w:uiPriority w:val="9"/>
    <w:qFormat/>
    <w:rPr>
      <w:rFonts w:ascii="Calibri" w:eastAsia="SimSun" w:hAnsi="Calibri" w:cs="SimSun"/>
      <w:color w:val="4F81BD"/>
      <w:sz w:val="20"/>
      <w:szCs w:val="20"/>
    </w:rPr>
  </w:style>
  <w:style w:type="character" w:customStyle="1" w:styleId="Heading9Char">
    <w:name w:val="Heading 9 Char"/>
    <w:basedOn w:val="DefaultParagraphFont"/>
    <w:link w:val="Heading9"/>
    <w:uiPriority w:val="9"/>
    <w:qFormat/>
    <w:rPr>
      <w:rFonts w:ascii="Calibri" w:eastAsia="SimSun"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b/>
      <w:bCs/>
      <w:i/>
      <w:iCs/>
      <w:color w:val="4F81BD"/>
    </w:rPr>
  </w:style>
  <w:style w:type="character" w:customStyle="1" w:styleId="SubtleEmphasis1">
    <w:name w:val="Subtle Emphasis1"/>
    <w:basedOn w:val="DefaultParagraphFont"/>
    <w:uiPriority w:val="19"/>
    <w:qFormat/>
    <w:rPr>
      <w:i/>
      <w:iCs/>
      <w:color w:val="7F7F7F"/>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customStyle="1" w:styleId="BalloonTextChar">
    <w:name w:val="Balloon Text Char"/>
    <w:basedOn w:val="DefaultParagraphFont"/>
    <w:link w:val="BalloonText"/>
    <w:uiPriority w:val="99"/>
    <w:qFormat/>
    <w:rPr>
      <w:rFonts w:ascii="Tahoma" w:hAnsi="Tahoma" w:cs="Tahoma"/>
      <w:sz w:val="16"/>
      <w:szCs w:val="16"/>
      <w:lang w:val="en-US"/>
    </w:rPr>
  </w:style>
  <w:style w:type="character" w:customStyle="1" w:styleId="red">
    <w:name w:val="red"/>
    <w:basedOn w:val="DefaultParagraphFont"/>
    <w:rsid w:val="00875BCE"/>
  </w:style>
  <w:style w:type="character" w:customStyle="1" w:styleId="blue">
    <w:name w:val="blue"/>
    <w:basedOn w:val="DefaultParagraphFont"/>
    <w:rsid w:val="0087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45075">
      <w:bodyDiv w:val="1"/>
      <w:marLeft w:val="0"/>
      <w:marRight w:val="0"/>
      <w:marTop w:val="0"/>
      <w:marBottom w:val="0"/>
      <w:divBdr>
        <w:top w:val="none" w:sz="0" w:space="0" w:color="auto"/>
        <w:left w:val="none" w:sz="0" w:space="0" w:color="auto"/>
        <w:bottom w:val="none" w:sz="0" w:space="0" w:color="auto"/>
        <w:right w:val="none" w:sz="0" w:space="0" w:color="auto"/>
      </w:divBdr>
      <w:divsChild>
        <w:div w:id="16069615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A1F2C-0A53-4BC3-9AE0-F7703711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2722</Words>
  <Characters>15521</Characters>
  <Application>Microsoft Office Word</Application>
  <DocSecurity>0</DocSecurity>
  <Lines>129</Lines>
  <Paragraphs>36</Paragraphs>
  <ScaleCrop>false</ScaleCrop>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 GP 005</cp:lastModifiedBy>
  <cp:revision>14</cp:revision>
  <dcterms:created xsi:type="dcterms:W3CDTF">2025-11-20T11:22:00Z</dcterms:created>
  <dcterms:modified xsi:type="dcterms:W3CDTF">2025-12-02T13:25:00Z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fdd17b2de90c47dc87810625c5c12d82</vt:lpwstr>
  </property>
</Properties>
</file>