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E4802" w14:textId="77777777" w:rsidR="006076B9" w:rsidRDefault="006076B9">
      <w:pPr>
        <w:spacing w:line="240" w:lineRule="auto"/>
        <w:jc w:val="both"/>
        <w:rPr>
          <w:rFonts w:ascii="Arial Black" w:hAnsi="Arial Black"/>
          <w:b/>
          <w:bCs/>
          <w:i/>
          <w:iCs/>
          <w:sz w:val="24"/>
          <w:szCs w:val="24"/>
          <w:lang w:val="en-US" w:eastAsia="zh-CN"/>
        </w:rPr>
      </w:pPr>
    </w:p>
    <w:p w14:paraId="066D7635" w14:textId="77777777" w:rsidR="006076B9" w:rsidRPr="00426B9D" w:rsidRDefault="00030506">
      <w:pPr>
        <w:rPr>
          <w:rFonts w:ascii="Arial Black" w:hAnsi="Arial Black"/>
          <w:b/>
          <w:bCs/>
          <w:iCs/>
          <w:sz w:val="24"/>
          <w:szCs w:val="24"/>
          <w:lang w:val="en-IN"/>
        </w:rPr>
      </w:pPr>
      <w:bookmarkStart w:id="0" w:name="_GoBack"/>
      <w:r w:rsidRPr="00426B9D">
        <w:rPr>
          <w:rFonts w:ascii="Arial Black" w:hAnsi="Arial Black"/>
          <w:b/>
          <w:bCs/>
          <w:iCs/>
          <w:sz w:val="24"/>
          <w:szCs w:val="24"/>
        </w:rPr>
        <w:t xml:space="preserve">Etiological profiles and therapeutic challenges </w:t>
      </w:r>
      <w:r w:rsidRPr="00426B9D">
        <w:rPr>
          <w:rFonts w:ascii="Arial Black" w:hAnsi="Arial Black" w:cs="Arial Black"/>
          <w:b/>
          <w:bCs/>
          <w:iCs/>
          <w:sz w:val="24"/>
          <w:szCs w:val="24"/>
          <w:lang w:val="en-US"/>
        </w:rPr>
        <w:t>of Pediatric Shock</w:t>
      </w:r>
      <w:r w:rsidRPr="00426B9D">
        <w:rPr>
          <w:rFonts w:ascii="Times New Roman" w:hAnsi="Times New Roman" w:cs="Times New Roman"/>
          <w:sz w:val="24"/>
          <w:szCs w:val="24"/>
          <w:lang w:val="en-US"/>
        </w:rPr>
        <w:t xml:space="preserve"> </w:t>
      </w:r>
      <w:r w:rsidRPr="00426B9D">
        <w:rPr>
          <w:rFonts w:ascii="Arial Black" w:hAnsi="Arial Black"/>
          <w:b/>
          <w:bCs/>
          <w:iCs/>
          <w:sz w:val="24"/>
          <w:szCs w:val="24"/>
        </w:rPr>
        <w:t>in Senegal</w:t>
      </w:r>
    </w:p>
    <w:bookmarkEnd w:id="0"/>
    <w:p w14:paraId="305C7DEF" w14:textId="77777777" w:rsidR="006076B9" w:rsidRDefault="006076B9">
      <w:pPr>
        <w:rPr>
          <w:rFonts w:ascii="Arial Black" w:hAnsi="Arial Black"/>
          <w:b/>
          <w:bCs/>
          <w:i/>
          <w:iCs/>
          <w:sz w:val="24"/>
          <w:szCs w:val="24"/>
          <w:lang w:val="en-IN"/>
        </w:rPr>
      </w:pPr>
    </w:p>
    <w:p w14:paraId="675819E1" w14:textId="77777777" w:rsidR="006076B9" w:rsidRDefault="00030506">
      <w:pPr>
        <w:rPr>
          <w:rFonts w:ascii="Times New Roman" w:hAnsi="Times New Roman" w:cs="Times New Roman"/>
          <w:b/>
          <w:bCs/>
          <w:i/>
          <w:iCs/>
          <w:sz w:val="24"/>
          <w:szCs w:val="24"/>
          <w:lang w:val="en-IN"/>
        </w:rPr>
      </w:pPr>
      <w:r>
        <w:rPr>
          <w:rFonts w:ascii="Times New Roman" w:hAnsi="Times New Roman" w:cs="Times New Roman"/>
          <w:b/>
          <w:bCs/>
          <w:i/>
          <w:iCs/>
          <w:sz w:val="24"/>
          <w:szCs w:val="24"/>
          <w:lang w:val="en-IN"/>
        </w:rPr>
        <w:t>ABSTRACT</w:t>
      </w:r>
    </w:p>
    <w:p w14:paraId="39E5C7B2"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Introduction: </w:t>
      </w:r>
      <w:r>
        <w:rPr>
          <w:rFonts w:ascii="Times New Roman" w:eastAsia="Calibri" w:hAnsi="Times New Roman"/>
          <w:color w:val="000000"/>
          <w:sz w:val="24"/>
          <w:szCs w:val="24"/>
        </w:rPr>
        <w:t>Shock is a failure of the circulatory system, resulting in an imbalance between oxygen supply and tissue demand. The objective of this study was to evaluate the etiological profiles and therapeutic challenges of shock in children.</w:t>
      </w:r>
    </w:p>
    <w:p w14:paraId="3F2AD447" w14:textId="7777777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Patients and methods:</w:t>
      </w:r>
      <w:r>
        <w:rPr>
          <w:rFonts w:ascii="Times New Roman" w:eastAsia="Calibri" w:hAnsi="Times New Roman"/>
          <w:color w:val="000000"/>
          <w:sz w:val="24"/>
          <w:szCs w:val="24"/>
        </w:rPr>
        <w:t xml:space="preserve"> This was a prospective, descriptive, observational, and analytical study conducted from October 10, 2022, to October 23, 2023 (12 months), including all children hospitalized for shock in the emergency and pediatric intensive care units at the Albert Royer National Children's Hospital (CHNEAR).</w:t>
      </w:r>
    </w:p>
    <w:p w14:paraId="691E6EBF"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Results: </w:t>
      </w:r>
      <w:r>
        <w:rPr>
          <w:rFonts w:ascii="Times New Roman" w:eastAsia="Calibri" w:hAnsi="Times New Roman"/>
          <w:color w:val="000000"/>
          <w:sz w:val="24"/>
          <w:szCs w:val="24"/>
        </w:rPr>
        <w:t>During this period, 146 patients presented with shock, representing a hospital prevalence of 11.33%. The mean age was 43.12 months. The sex ratio was 0.82. Signs of tissue hypoperfusion were present in almost all patients. Arterial hypotension was found in 45.52% of cases. Septic shock was predominant (55.00%), followed by hypovolemic shock (31.43%) and cardiogenic shock (10%). The outcome was unfavorable in most cases, with 69.18% of deaths due mainly to septic shock (47.29%), the main causes of death being refractory shock (48.51%), renal failure (32.19%), and disseminated intravascular coagulation (15.07%).</w:t>
      </w:r>
    </w:p>
    <w:p w14:paraId="4F8B961D"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Conclusion: </w:t>
      </w:r>
      <w:r>
        <w:rPr>
          <w:rFonts w:ascii="Times New Roman" w:eastAsia="Calibri" w:hAnsi="Times New Roman"/>
          <w:color w:val="000000"/>
          <w:sz w:val="24"/>
          <w:szCs w:val="24"/>
        </w:rPr>
        <w:t>Shock is a diagnostic and therapeutic emergency in which the delay in treatment and the duration of shock are important factors in the prognosis.</w:t>
      </w:r>
    </w:p>
    <w:p w14:paraId="390AB29F" w14:textId="7777777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Keywords: shock, challenge, pediatrics, limited resources</w:t>
      </w:r>
    </w:p>
    <w:p w14:paraId="6A7360AA" w14:textId="77777777" w:rsidR="006076B9" w:rsidRDefault="006076B9">
      <w:pPr>
        <w:rPr>
          <w:rFonts w:ascii="Arial Black" w:hAnsi="Arial Black"/>
          <w:b/>
          <w:bCs/>
          <w:i/>
          <w:iCs/>
          <w:sz w:val="24"/>
          <w:szCs w:val="24"/>
          <w:lang w:val="en-IN"/>
        </w:rPr>
      </w:pPr>
    </w:p>
    <w:p w14:paraId="675050F7" w14:textId="77777777" w:rsidR="006076B9" w:rsidRDefault="006076B9">
      <w:pPr>
        <w:rPr>
          <w:rFonts w:ascii="Arial Black" w:hAnsi="Arial Black"/>
          <w:b/>
          <w:bCs/>
          <w:i/>
          <w:iCs/>
          <w:sz w:val="24"/>
          <w:szCs w:val="24"/>
          <w:lang w:val="en-IN"/>
        </w:rPr>
      </w:pPr>
    </w:p>
    <w:p w14:paraId="0F3F1390" w14:textId="77777777" w:rsidR="006076B9" w:rsidRDefault="006076B9">
      <w:pPr>
        <w:rPr>
          <w:rFonts w:ascii="Arial Black" w:hAnsi="Arial Black"/>
          <w:b/>
          <w:bCs/>
          <w:i/>
          <w:iCs/>
          <w:sz w:val="24"/>
          <w:szCs w:val="24"/>
          <w:lang w:val="en-IN"/>
        </w:rPr>
      </w:pPr>
    </w:p>
    <w:p w14:paraId="01DE2A26" w14:textId="77777777" w:rsidR="006076B9" w:rsidRDefault="006076B9">
      <w:pPr>
        <w:rPr>
          <w:rFonts w:ascii="Arial Black" w:hAnsi="Arial Black"/>
          <w:b/>
          <w:bCs/>
          <w:i/>
          <w:iCs/>
          <w:sz w:val="24"/>
          <w:szCs w:val="24"/>
          <w:lang w:val="en-IN"/>
        </w:rPr>
      </w:pPr>
    </w:p>
    <w:p w14:paraId="43039513" w14:textId="77777777" w:rsidR="006076B9" w:rsidRDefault="006076B9">
      <w:pPr>
        <w:rPr>
          <w:rFonts w:ascii="Arial Black" w:hAnsi="Arial Black"/>
          <w:b/>
          <w:bCs/>
          <w:i/>
          <w:iCs/>
          <w:sz w:val="24"/>
          <w:szCs w:val="24"/>
          <w:lang w:val="en-IN"/>
        </w:rPr>
      </w:pPr>
    </w:p>
    <w:p w14:paraId="7B7AC641" w14:textId="77777777" w:rsidR="006076B9" w:rsidRDefault="006076B9">
      <w:pPr>
        <w:rPr>
          <w:rFonts w:ascii="Arial Black" w:hAnsi="Arial Black"/>
          <w:b/>
          <w:bCs/>
          <w:i/>
          <w:iCs/>
          <w:sz w:val="24"/>
          <w:szCs w:val="24"/>
          <w:lang w:val="en-IN"/>
        </w:rPr>
      </w:pPr>
    </w:p>
    <w:p w14:paraId="0A8EA1D2" w14:textId="77777777" w:rsidR="000B7971" w:rsidRDefault="000B7971">
      <w:pPr>
        <w:spacing w:line="360" w:lineRule="auto"/>
        <w:jc w:val="both"/>
        <w:rPr>
          <w:rFonts w:ascii="Times New Roman" w:eastAsiaTheme="minorEastAsia" w:hAnsi="Times New Roman"/>
          <w:b/>
          <w:bCs/>
          <w:color w:val="000000"/>
          <w:sz w:val="24"/>
          <w:szCs w:val="24"/>
          <w:lang w:eastAsia="zh-CN"/>
        </w:rPr>
      </w:pPr>
    </w:p>
    <w:p w14:paraId="30149FFA" w14:textId="1FAB52A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Introduction</w:t>
      </w:r>
    </w:p>
    <w:p w14:paraId="224A171C" w14:textId="0521B2F8"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Shock is a diagnostic and therapeutic emergency, and delays in treatment lead to increased mortality. It is a failure of the circulatory system, resulting in an imbalance between oxygen supply and peripheral tissue demand. Rapid identification of the mechanisms involved, the etiology of shock, and its severity guides optimal therapeutic management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{"citationID":"iYLEfKGN","properties":{"formattedCitation":"(1)","plainCitation":"(1)","noteIndex":0},"citationItems":[{"id":39,"uris":["http://zotero.org/users/13480343/items/Q4DPACJZ"],"itemData":{"id":39,"type":"article-journal","container-title":"La Revue de Médecine Interne","DOI":"10.1016/j.revmed.2019.08.006","ISSN":"02488663","issue":"12","journalAbbreviation":"La Revue de Médecine Interne","language":"en","page":"799-807","source":"DOI.org (Crossref)","title":"États de choc : grands cadres étiologiques, prise en charge initiale","title-short":"États de choc","volume":"40","author":[{"family":"Durand","given":"A."},{"family":"Cartier","given":"L."},{"family":"Duburcq","given":"T."},{"family":"Onimus","given":"T."},{"family":"Favory","given":"R."},{"family":"Preau","given":"S."}],"issued":{"date-parts":[["2019",12]]}}}],"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(1)</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Shock accounts for one-third of diagnoses in patients admitted to intensive care units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{"citationID":"WfiBn0oY","properties":{"formattedCitation":"(2)","plainCitation":"(2)","noteIndex":0},"citationItems":[{"id":14,"uris":["http://zotero.org/users/13480343/items/RR8XABHD"],"itemData":{"id":14,"type":"article-journal","abstract":"CONTEXT: Early mechanical revascularization in patients with acute myocardial infarction (AMI) complicated by cardiogenic shock is a therapeutic strategy that reduces mortality. It has been a class I recommendation in guidelines from the American College of Cardiology and the American Heart Association since 1999 for patients younger than 75 years. However, little is known about implementation of these guidelines in practice.\nOBJECTIVES: To assess trends in early revascularization and mortality for patients with cardiogenic shock complicating AMI and to determine whether the national guidelines affect revascularization rates.\nDESIGN, SETTING, AND PATIENTS: Prospective, observational study of 293,633 patients with ST-elevation myocardial infarction (25,311 [8.6%] had cardiogenic shock; 7356 [29%] had cardiogenic shock at hospital presentation) enrolled in the National Registry of Myocardial Infarction (NRMI) from January 1995 to May 2004 at 775 US hospitals with revascularization capability (defined as the capability to perform cardiac catheterization, percutaneous coronary intervention [PCI], and open-heart surgery).\nMAIN OUTCOME MEASURES: Management patterns and in-hospital mortality rates.\nRESULTS: There was an increase in primary PCI rates from 27.4% to 54.4% (P&lt;.001) in hospitals with revascularization capability that paralleled the change in PCI for ST-elevation myocardial infarction. There was no significant change in rates of immediate coronary artery bypass graft surgery (from 2.1% to 3.2%). Propensity-adjusted multivariable analyses demonstrated that primary PCI was associated with a decreased odds of death during hospitalization (odds ratio, 0.46; 95% confidence interval, 0.40-0.53). There were no differences in the rates of change in revascularization rates based on the date when the guidelines were released regardless of patient age. Overall in-hospital cardiogenic shock mortality decreased from 60.3% in 1995 to 47.9% in 2004 (P&lt;.001).\nCONCLUSIONS: The use of PCI for patients with cardiogenic shock was associated with improved survival in a large group of hospitals with revascularization capability. The American College of Cardiology and American Heart Association guidelines had no detectable temporal impact on revascularization rates. These findings support the need for increased adherence to these guidelines.","container-title":"JAMA","DOI":"10.1001/jama.294.4.448","ISSN":"1538-3598","issue":"4","journalAbbreviation":"JAMA","language":"eng","note":"PMID: 16046651","page":"448-454","source":"PubMed","title":"Trends in management and outcomes of patients with acute myocardial infarction complicated by cardiogenic shock","volume":"294","author":[{"family":"Babaev","given":"Anvar"},{"family":"Frederick","given":"Paul D."},{"family":"Pasta","given":"David J."},{"family":"Every","given":"Nathan"},{"family":"Sichrovsky","given":"Tina"},{"family":"Hochman","given":"Judith S."},{"literal":"NRMI Investigators"}],"issued":{"date-parts":[["2005",7,27]]}}}],"schema":"https://github.com/citation-style-language/schema/raw/master/csl-citation.json"}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(2)</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Depending on the clinical situation, there may be quantitative (decreased cardiac output) or qualitative (abnormal distribution or extraction of oxygen) alterations in arterial oxygen transport, which can lead to cellular dysoxia</w:t>
      </w:r>
      <w:r w:rsidR="000B7971">
        <w:rPr>
          <w:rFonts w:ascii="Times New Roman" w:eastAsia="Calibri" w:hAnsi="Times New Roman"/>
          <w:color w:val="000000"/>
          <w:sz w:val="24"/>
          <w:szCs w:val="24"/>
          <w:lang w:val="fr-SN"/>
        </w:rPr>
        <w:t xml:space="preserve"> </w:t>
      </w:r>
      <w:r w:rsidR="000B7971">
        <w:rPr>
          <w:rFonts w:ascii="Times New Roman" w:eastAsia="Calibri" w:hAnsi="Times New Roman"/>
          <w:color w:val="000000"/>
          <w:sz w:val="24"/>
          <w:szCs w:val="24"/>
          <w:lang w:val="fr-SN"/>
        </w:rPr>
        <w:fldChar w:fldCharType="begin"/>
      </w:r>
      <w:r w:rsidR="000B7971">
        <w:rPr>
          <w:rFonts w:ascii="Times New Roman" w:eastAsia="Calibri" w:hAnsi="Times New Roman"/>
          <w:color w:val="000000"/>
          <w:sz w:val="24"/>
          <w:szCs w:val="24"/>
          <w:lang w:val="fr-SN"/>
        </w:rPr>
        <w:instrText xml:space="preserve"> ADDIN ZOTERO_ITEM CSL_CITATION {"citationID":"MNLeNadi","properties":{"formattedCitation":"(3)","plainCitation":"(3)","noteIndex":0},"citationItems":[{"id":79,"uris":["http://zotero.org/users/13480343/items/WJN6WX28"],"itemData":{"id":79,"type":"article-journal","abstract":"Background\nBoth hyperlactatemia and persistence of hyperlactatemia have been associated with bad outcome. We compared lactate and lactate-derived variables in outcome prediction.\n\nMethods\nRetrospective observational study. Case records from 2,251 consecutive intensive care unit (ICU) patients admitted between 2001 and 2007 were analyzed. Baseline characteristics, all lactate measurements, and in-hospital mortality were recorded. The time integral of arterial blood lactate levels above the upper normal threshold of 2.2 mmol/L (lactate-time-integral), maximum lactate (max-lactate), and time-to-first-normalization were calculated. Survivors and nonsurvivors were compared and receiver operating characteristic (ROC) analysis were applied.\n\nResults\nA total of 20,755 lactate measurements were analyzed. Data are srpehown as median [interquartile range]. In nonsurvivors (n = 405) lactate-time-integral (192 [0–1881] min·mmol/L) and time-to-first normalization (44.0 [0–427] min) were higher than in hospital survivors (n = 1846; 0 [0–134] min·mmol/L and 0 [0–75] min, respectively; all p &lt; 0.001). Normalization of lactate &lt;6 hours after ICU admission revealed better survival compared with normalization of lactate &gt;6 hours (mortality 16.6% vs. 24.4%; p &lt; 0.001). AUC of ROC curves to predict in-hospital mortality was the largest for max-lactate, whereas it was not different among all other lactate derived variables (all p &gt; 0.05). The area under the ROC curves for admission lactate and lactate-time-integral was not different (p = 0.36).\n\nConclusions\nHyperlactatemia is associated with in-hospital mortality in a heterogeneous ICU population. In our patients, lactate peak values predicted in-hospital mortality equally well as lactate-time-integral of arterial blood lactate levels above the upper normal threshold.","container-title":"Annals of Intensive Care","DOI":"10.1186/2110-5820-3-6","ISSN":"2110-5820","journalAbbreviation":"Ann Intensive Care","note":"PMID: 23446002\nPMCID: PMC3599274","page":"6","source":"PubMed Central","title":"Cumulative lactate and hospital mortality in ICU patients","volume":"3","author":[{"family":"Beest","given":"Paul A","non-dropping-particle":"van"},{"family":"Brander","given":"Lukas"},{"family":"Jansen","given":"Sebastiaan PA"},{"family":"Rommes","given":"Johannes H"},{"family":"Kuiper","given":"Michaël A"},{"family":"Spronk","given":"Peter E"}],"issued":{"date-parts":[["2013",2,27]]}}}],"schema":"https://github.com/citation-style-language/schema/raw/master/csl-citation.json"} </w:instrText>
      </w:r>
      <w:r w:rsidR="000B7971">
        <w:rPr>
          <w:rFonts w:ascii="Times New Roman" w:eastAsia="Calibri" w:hAnsi="Times New Roman"/>
          <w:color w:val="000000"/>
          <w:sz w:val="24"/>
          <w:szCs w:val="24"/>
          <w:lang w:val="fr-SN"/>
        </w:rPr>
        <w:fldChar w:fldCharType="separate"/>
      </w:r>
      <w:r w:rsidR="000B7971" w:rsidRPr="000B7971">
        <w:rPr>
          <w:rFonts w:ascii="Times New Roman" w:hAnsi="Times New Roman" w:cs="Times New Roman"/>
          <w:sz w:val="24"/>
        </w:rPr>
        <w:t>(3)</w:t>
      </w:r>
      <w:r w:rsidR="000B7971">
        <w:rPr>
          <w:rFonts w:ascii="Times New Roman" w:eastAsia="Calibri" w:hAnsi="Times New Roman"/>
          <w:color w:val="000000"/>
          <w:sz w:val="24"/>
          <w:szCs w:val="24"/>
          <w:lang w:val="fr-SN"/>
        </w:rPr>
        <w:fldChar w:fldCharType="end"/>
      </w:r>
      <w:r w:rsidR="000B7971">
        <w:rPr>
          <w:rFonts w:ascii="Times New Roman" w:eastAsia="Calibri" w:hAnsi="Times New Roman"/>
          <w:color w:val="000000"/>
          <w:sz w:val="24"/>
          <w:szCs w:val="24"/>
          <w:lang w:val="fr-SN"/>
        </w:rPr>
        <w:t>.</w:t>
      </w:r>
      <w:r>
        <w:rPr>
          <w:rFonts w:ascii="Times New Roman" w:eastAsia="Calibri" w:hAnsi="Times New Roman"/>
          <w:color w:val="000000"/>
          <w:sz w:val="24"/>
          <w:szCs w:val="24"/>
        </w:rPr>
        <w:t xml:space="preserve"> There are four pathophysiological mechanisms: hypovolemic (true and hemorrhagic shock), distributive shock (septic and anaphylactic), obstructive shock (tamponade, pneumothorax, pulmonary embolism), and cardiogenic shock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{"citationID":"QodHGNnh","properties":{"formattedCitation":"(4)","plainCitation":"(4)","noteIndex":0},"citationItems":[{"id":98,"uris":["http://zotero.org/users/13480343/items/AU4J2SQ4"],"itemData":{"id":98,"type":"article-journal","abstract":"BACKGROUND: The Institute of Medicine has called for the development of clinical guidelines and practice parameters to develop \"best practice\" and potentially improve patient outcome.\nOBJECTIVE: To provide American College of Critical Care Medicine clinical guidelines for hemodynamic support of neonates and children with septic shock.\nSETTING: Individual members of the Society of Critical Care Medicine with special interest in neonatal and pediatric septic shock were identified from literature review and general solicitation at Society of Critical Care Medicine Educational and Scientific Symposia (1998-2001).\nMETHODS: The MEDLINE literature database was searched with the following age-specific keywords: sepsis, septicemia, septic shock, endotoxemia, persistent pulmonary hypertension, nitric oxide, and extracorporeal membrane oxygenation. More than 30 experts graded literature and drafted specific recommendations by using a modified Delphi method. More than 30 more experts then reviewed the compiled recommendations. The task-force chairman modified the document until &lt;10% of experts disagreed with the recommendations.\nRESULTS: Only four randomized controlled trials in children with septic shock could be identified. None of these randomized trials led to a change in practice. Clinical practice has been based, for the most part, on physiologic experiments, case series, and cohort studies. Despite relatively low American College of Critical Care Medicine-graded evidence in the pediatric literature, outcomes in children have improved from 97% mortality in the 1960s to 60% in the 1980s and 9% mortality in 1999. U.S. hospital survival was three-fold better in children compared with adults (9% vs. 27% mortality) in 1999. Shock pathophysiology and response to therapies is age specific. For example, cardiac failure is a predominant cause of death in neonates and children, but vascular failure is a predominant cause of death in adults. Inotropes, vasodilators (children), inhaled nitric oxide (neonates), and extracorporeal membrane oxygenation can be more important contributors to survival in the pediatric populations, whereas vasopressors can be more important contributors to adult survival.\nCONCLUSION: American College of Critical Care Medicine adult guidelines for hemodynamic support of septic shock have little application to the management of pediatric or neonatal septic shock. Studies are required to determine whether American College of Critical Care Medicine guidelines for hemodynamic support of pediatric and neonatal septic shock will be implemented and associated with improved outcome.","container-title":"Critical Care Medicine","DOI":"10.1097/00003246-200206000-00040","ISSN":"0090-3493","issue":"6","journalAbbreviation":"Crit Care Med","language":"eng","note":"PMID: 12072696","page":"1365-1378","source":"PubMed","title":"Clinical practice parameters for hemodynamic support of pediatric and neonatal patients in septic shock","volume":"30","author":[{"family":"Carcillo","given":"Joseph A."},{"family":"Fields","given":"Alan I."},{"literal":"American College of Critical Care Medicine Task Force Committee Members"}],"issued":{"date-parts":[["2002",6]]}}}],"schema":"https://github.com/citation-style-language/schema/raw/master/csl-citation.json"}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(4)</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w:t>
      </w:r>
      <w:r>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Pediatric shock has some specific characteristics; questioning, medical history, clinical examination (looking for signs of tissue hypoperfusion), and cardiac ultrasound are important in determining the cause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{"citationID":"wzVaejHl","properties":{"formattedCitation":"(5)","plainCitation":"(5)","noteIndex":0},"citationItems":[{"id":10,"uris":["http://zotero.org/users/13480343/items/KQ5VNBDL"],"itemData":{"id":10,"type":"article-journal","container-title":"Emergency Medicine Clinics of North America","DOI":"10.1016/j.emc.2017.12.010","ISSN":"07338627","issue":"2","journalAbbreviation":"Emergency Medicine Clinics of North America","language":"en","page":"427-440","source":"DOI.org (Crossref)","title":"Emergency Department Management of Pediatric Shock","volume":"36","author":[{"family":"Mendelson","given":"Jenny"}],"issued":{"date-parts":[["2018",5]]}}}],"schema":"https://github.com/citation-style-language/schema/raw/master/csl-citation.json"}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(5)</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In developing countries, delayed diagnosis and difficult access to care are factors that contribute to poor prognosis. The objective of this study was therefore to evaluate the etiological profiles and therapeutic modalities of shock in children.</w:t>
      </w:r>
    </w:p>
    <w:p w14:paraId="0F65461F" w14:textId="77777777" w:rsidR="006076B9" w:rsidRDefault="00030506">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Materials and methods:</w:t>
      </w:r>
    </w:p>
    <w:p w14:paraId="3B3FC889"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We conducted a prospective, descriptive, observational, and analytical study over a one-year period (October 10, 2022, to October 23, 2023) in the emergency department and pediatric intensive care unit of the Albert Royer Children's Hospital. All children aged 0 to 18 years old who met the criteria for shock were included. The criteria for shock were: tachycardia, thready pulse, cold extremities, prolonged skin recoloration time (TRC greater than 2 seconds), and possibly low blood pressure. In addition to the signs of shock, the type of shock was defined by a set of criteria. Hypovolemic shock was diagnosed based on medical history (diarrhea, vomiting, hemorrhage, extensive burns, diabetic ketoacidosis, etc.) and the disappearance of signs of shock after fluid resuscitation. Septic shock was diagnosed when signs of shock persisted despite adequate fluid resuscitation, an infectious focus (gastroenteritis, pneumonia, meningitis, etc.) and abnormal infectious test results. The anaphylactic shock following exposure to an allergen, skin and mucous membrane reactions (hives, edema, pruritus, erythema, etc.) or respiratory reactions (dyspnea, bronchospasm, etc.). Cardiogenic shock was diagnosed in the presence of signs of heart failure, heart disease (congenital, rheumatic, or hypokinetic dilated cardiomyopathy, etc.) and impaired LVEF on cardiac ultrasound. Obstructive shock was considered in the presence of ultrasound signs of tamponade, </w:t>
      </w:r>
      <w:r>
        <w:rPr>
          <w:rFonts w:ascii="Times New Roman" w:eastAsia="Calibri" w:hAnsi="Times New Roman"/>
          <w:color w:val="000000"/>
          <w:sz w:val="24"/>
          <w:szCs w:val="24"/>
        </w:rPr>
        <w:lastRenderedPageBreak/>
        <w:t>pneumothorax on chest X-ray, or signs of pulmonary embolism (chest pain, desaturation, S1Q3 pattern on ECG).</w:t>
      </w:r>
    </w:p>
    <w:p w14:paraId="18FD0F3B" w14:textId="77777777" w:rsidR="006076B9" w:rsidRDefault="00030506">
      <w:pPr>
        <w:spacing w:line="360" w:lineRule="auto"/>
        <w:jc w:val="both"/>
        <w:rPr>
          <w:rFonts w:ascii="Times New Roman" w:eastAsia="Calibri" w:hAnsi="Times New Roman"/>
          <w:b/>
          <w:bCs/>
          <w:color w:val="000000"/>
          <w:sz w:val="24"/>
          <w:szCs w:val="24"/>
          <w:lang w:val="en-US"/>
        </w:rPr>
      </w:pPr>
      <w:r>
        <w:rPr>
          <w:rFonts w:ascii="Times New Roman" w:eastAsia="Calibri" w:hAnsi="Times New Roman"/>
          <w:b/>
          <w:bCs/>
          <w:color w:val="000000"/>
          <w:sz w:val="24"/>
          <w:szCs w:val="24"/>
        </w:rPr>
        <w:t>Results</w:t>
      </w:r>
    </w:p>
    <w:p w14:paraId="3F3E0DA5" w14:textId="77777777" w:rsidR="006076B9" w:rsidRDefault="00030506">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Epidemiological data</w:t>
      </w:r>
    </w:p>
    <w:p w14:paraId="4A9E4A28"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During this period, 146 patients presented with shock, representing a hospital prevalence of 11.33%. The average age was 43.12 months, with a slight predominance of females (sex ratio of 0.82). The most representative age groups were between 7 and 48 months, followed by those under 6 months. Figure 1 illustrates the distribution by age group.</w:t>
      </w:r>
    </w:p>
    <w:p w14:paraId="358FCADB" w14:textId="77777777" w:rsidR="006076B9" w:rsidRDefault="00030506">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Clinical data</w:t>
      </w:r>
    </w:p>
    <w:p w14:paraId="686603BB" w14:textId="77777777" w:rsidR="006076B9" w:rsidRDefault="00030506">
      <w:pPr>
        <w:pStyle w:val="ListParagraph"/>
        <w:numPr>
          <w:ilvl w:val="0"/>
          <w:numId w:val="2"/>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Signs of shock: </w:t>
      </w:r>
    </w:p>
    <w:p w14:paraId="2CAA0469"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Tachycardia (92.46%), cold extremities (98.63%), prolonged TRC (97.26%), thready pulse (78.76%). Low blood pressure was found in 45.52% of our patients and could not be measured in 24.83% of cases. Oligoanuria was present in 33.56% of cases.</w:t>
      </w:r>
    </w:p>
    <w:p w14:paraId="11780411" w14:textId="77777777" w:rsidR="006076B9" w:rsidRDefault="00030506">
      <w:pPr>
        <w:pStyle w:val="ListParagraph"/>
        <w:numPr>
          <w:ilvl w:val="0"/>
          <w:numId w:val="2"/>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Associated signs: </w:t>
      </w:r>
    </w:p>
    <w:p w14:paraId="4440C46F"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Neurological: impaired consciousness (54.11%), convulsions (23.97%), meningeal syndrome (12.33%), intracranial hypertension (8.22%). Respiratory: respiratory distress (49.32%) with hypoxemia (36.30%), pulmonary condensation syndrome (17.12%). Other: heart failure (10.96%), severe dehydration</w:t>
      </w:r>
      <w:r>
        <w:rPr>
          <w:rFonts w:ascii="Times New Roman" w:eastAsia="Calibri" w:hAnsi="Times New Roman"/>
          <w:color w:val="FF0000"/>
          <w:sz w:val="24"/>
          <w:szCs w:val="24"/>
        </w:rPr>
        <w:t xml:space="preserve"> </w:t>
      </w:r>
      <w:r>
        <w:rPr>
          <w:rFonts w:ascii="Times New Roman" w:eastAsia="Calibri" w:hAnsi="Times New Roman"/>
          <w:sz w:val="24"/>
          <w:szCs w:val="24"/>
        </w:rPr>
        <w:t>(7patients)</w:t>
      </w:r>
      <w:r>
        <w:rPr>
          <w:rFonts w:ascii="Times New Roman" w:eastAsia="Calibri" w:hAnsi="Times New Roman"/>
          <w:color w:val="000000"/>
          <w:sz w:val="24"/>
          <w:szCs w:val="24"/>
        </w:rPr>
        <w:t>, hemorrhagic syndrome (5 patients).</w:t>
      </w:r>
    </w:p>
    <w:p w14:paraId="03BCC260" w14:textId="77777777" w:rsidR="006076B9" w:rsidRDefault="00030506">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Etiological data</w:t>
      </w:r>
    </w:p>
    <w:p w14:paraId="7B798D80" w14:textId="77777777" w:rsidR="006076B9" w:rsidRDefault="00030506">
      <w:pPr>
        <w:spacing w:line="360" w:lineRule="auto"/>
        <w:jc w:val="both"/>
        <w:rPr>
          <w:rFonts w:ascii="Times New Roman" w:eastAsia="Calibri" w:hAnsi="Times New Roman"/>
          <w:color w:val="000000"/>
          <w:sz w:val="24"/>
          <w:szCs w:val="24"/>
          <w:lang w:val="en-US"/>
        </w:rPr>
      </w:pPr>
      <w:r>
        <w:rPr>
          <w:rFonts w:ascii="Times New Roman" w:eastAsia="Calibri" w:hAnsi="Times New Roman"/>
          <w:color w:val="000000"/>
          <w:sz w:val="24"/>
          <w:szCs w:val="24"/>
        </w:rPr>
        <w:t>Distributive shock was the most common type of shock, accounting for 55.00% of cases, followed by hypovolemic shock (31.43%) and cardiogenic shock (10%). The different etiological types of shock are illustrated in Figure 2.</w:t>
      </w:r>
    </w:p>
    <w:p w14:paraId="01366349" w14:textId="77777777" w:rsidR="006076B9" w:rsidRDefault="00030506">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Distributive shock:</w:t>
      </w:r>
    </w:p>
    <w:p w14:paraId="1E8B9DB2" w14:textId="7777777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color w:val="000000"/>
          <w:sz w:val="24"/>
          <w:szCs w:val="24"/>
        </w:rPr>
        <w:t xml:space="preserve">Among the distributive shocks observed in our study, no cases of anaphylactic shock were recorded; all cases were exclusively septic shock. The most common causes were meningitis (38.27%), followed by pneumonia (22.22%) and acute gastroenteritis (6.84%). Germs were isolated in 23 cases (15.75%) by blood culture (15 cases), CSF (4 cases), viral testing in stool samples (4 cases), skin swabs (1 case), and nasopharyngeal viral PCR (1 case). The most commonly found germs were S. aureus (8 cases), K. pneumoniae (5 cases), pneumococcus (2 </w:t>
      </w:r>
      <w:r>
        <w:rPr>
          <w:rFonts w:ascii="Times New Roman" w:eastAsia="Calibri" w:hAnsi="Times New Roman"/>
          <w:color w:val="000000"/>
          <w:sz w:val="24"/>
          <w:szCs w:val="24"/>
        </w:rPr>
        <w:lastRenderedPageBreak/>
        <w:t>cases), and E. coli (2 cases). Other causes included severe malaria (2 cases), subperiosteal abscess (1 case), and healthcare-associated infections (4 cases).</w:t>
      </w:r>
    </w:p>
    <w:p w14:paraId="6D2D75A7" w14:textId="77777777" w:rsidR="006076B9" w:rsidRDefault="00030506">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Hypovolemic shock</w:t>
      </w:r>
    </w:p>
    <w:p w14:paraId="040771A8" w14:textId="77777777"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Acute gastroenteritis was the most common cause, accounting for 76% of cases of hypovolemic shock. It was mainly viral (71.42%). Other causes of acute dehydration: severe burns (2 cases), dehydration due to insufficient intake in newborns (2 cases), diabetic ketoacidosis (2 cases), and salt-wasting syndrome in the context of congenital adrenal hyperplasia (1 case). Causes of hemorrhagic shock (3 cases) included massive gastrointestinal hemorrhage secondary to abdominal trauma and a gastroduodenal ulcer, and 1 case of acute toxic hepatitis in the context of liver disease.</w:t>
      </w:r>
    </w:p>
    <w:p w14:paraId="2C9FFE25" w14:textId="77777777" w:rsidR="006076B9" w:rsidRDefault="00030506">
      <w:pPr>
        <w:pStyle w:val="ListParagraph"/>
        <w:numPr>
          <w:ilvl w:val="0"/>
          <w:numId w:val="3"/>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Cardiogenic shock</w:t>
      </w:r>
    </w:p>
    <w:p w14:paraId="10E58931" w14:textId="7777777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color w:val="000000"/>
          <w:sz w:val="24"/>
          <w:szCs w:val="24"/>
        </w:rPr>
        <w:t>The most common underlying heart conditions were congenital heart disease (71.42%), rheumatic heart disease (14.28%), and hypokinetic dilated cardiomyopathy (9.5%). Several decompensating factors, mainly infectious in nature (94.11%), were identified</w:t>
      </w:r>
      <w:r>
        <w:rPr>
          <w:rFonts w:ascii="Times New Roman" w:eastAsia="Calibri" w:hAnsi="Times New Roman"/>
          <w:b/>
          <w:bCs/>
          <w:color w:val="000000"/>
          <w:sz w:val="24"/>
          <w:szCs w:val="24"/>
        </w:rPr>
        <w:t>.</w:t>
      </w:r>
    </w:p>
    <w:p w14:paraId="50CCD5AC" w14:textId="77777777" w:rsidR="006076B9" w:rsidRDefault="00030506">
      <w:pPr>
        <w:pStyle w:val="ListParagraph"/>
        <w:numPr>
          <w:ilvl w:val="0"/>
          <w:numId w:val="3"/>
        </w:numPr>
        <w:spacing w:line="360" w:lineRule="auto"/>
        <w:jc w:val="both"/>
        <w:rPr>
          <w:rFonts w:ascii="Times New Roman" w:eastAsia="Calibri" w:hAnsi="Times New Roman"/>
          <w:color w:val="000000"/>
          <w:sz w:val="24"/>
          <w:szCs w:val="24"/>
        </w:rPr>
      </w:pPr>
      <w:r>
        <w:rPr>
          <w:rFonts w:ascii="Times New Roman" w:eastAsia="Calibri" w:hAnsi="Times New Roman"/>
          <w:b/>
          <w:bCs/>
          <w:color w:val="000000"/>
          <w:sz w:val="24"/>
          <w:szCs w:val="24"/>
        </w:rPr>
        <w:t xml:space="preserve">Obstructive shock: </w:t>
      </w:r>
      <w:r>
        <w:rPr>
          <w:rFonts w:ascii="Times New Roman" w:eastAsia="Calibri" w:hAnsi="Times New Roman"/>
          <w:color w:val="000000"/>
          <w:sz w:val="24"/>
          <w:szCs w:val="24"/>
        </w:rPr>
        <w:t>no cases of obstructive shock were reported.</w:t>
      </w:r>
    </w:p>
    <w:p w14:paraId="5D2DFC27" w14:textId="77777777" w:rsidR="006076B9" w:rsidRDefault="00030506">
      <w:p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Therapeutic approach</w:t>
      </w:r>
    </w:p>
    <w:p w14:paraId="482F47BF" w14:textId="2B71E086" w:rsidR="006076B9" w:rsidRDefault="000064B1">
      <w:pPr>
        <w:pStyle w:val="ListParagraph"/>
        <w:numPr>
          <w:ilvl w:val="0"/>
          <w:numId w:val="4"/>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lang w:val="fr-SN"/>
        </w:rPr>
        <w:t>U</w:t>
      </w:r>
      <w:r w:rsidRPr="000064B1">
        <w:rPr>
          <w:rFonts w:ascii="Times New Roman" w:eastAsia="Calibri" w:hAnsi="Times New Roman"/>
          <w:b/>
          <w:bCs/>
          <w:color w:val="000000"/>
          <w:sz w:val="24"/>
          <w:szCs w:val="24"/>
        </w:rPr>
        <w:t>nspecified measures</w:t>
      </w:r>
    </w:p>
    <w:p w14:paraId="5B6909B5" w14:textId="395E1218" w:rsidR="000064B1" w:rsidRPr="000B7971" w:rsidRDefault="00030506" w:rsidP="000064B1">
      <w:pPr>
        <w:spacing w:line="360" w:lineRule="auto"/>
        <w:jc w:val="both"/>
        <w:rPr>
          <w:rFonts w:ascii="Times New Roman" w:eastAsia="Calibri" w:hAnsi="Times New Roman"/>
          <w:color w:val="000000"/>
          <w:sz w:val="24"/>
          <w:szCs w:val="24"/>
          <w:lang w:val="fr-SN"/>
        </w:rPr>
      </w:pPr>
      <w:r>
        <w:rPr>
          <w:rFonts w:ascii="Times New Roman" w:eastAsia="Calibri" w:hAnsi="Times New Roman"/>
          <w:color w:val="000000"/>
          <w:sz w:val="24"/>
          <w:szCs w:val="24"/>
        </w:rPr>
        <w:t>Resuscitation measures were effective in almost all patients: label sheet (97.26%), monitoring (97.26%), urinary catheter (62.33%), nasogastric tube (40.41%), central venous access (17.12%), performed without ultrasound guidance, mainly in the femoral vein, which was used in 22 patients (88%), oxygen therapy (91.78%). Vascular filling (82.19%) was performed in all patients in hypovolemic or septic shock with crystalloid boluses of 10 to 20 ml/kg.</w:t>
      </w:r>
      <w:r w:rsidR="005F0361">
        <w:rPr>
          <w:rFonts w:ascii="Times New Roman" w:eastAsia="Calibri" w:hAnsi="Times New Roman"/>
          <w:color w:val="000000"/>
          <w:sz w:val="24"/>
          <w:szCs w:val="24"/>
          <w:lang w:val="fr-SN"/>
        </w:rPr>
        <w:t xml:space="preserve"> </w:t>
      </w:r>
      <w:proofErr w:type="spellStart"/>
      <w:r w:rsidR="005F0361" w:rsidRPr="005F0361">
        <w:rPr>
          <w:rFonts w:ascii="Times New Roman" w:eastAsia="Calibri" w:hAnsi="Times New Roman"/>
          <w:color w:val="000000"/>
          <w:sz w:val="24"/>
          <w:szCs w:val="24"/>
          <w:lang w:val="fr-SN"/>
        </w:rPr>
        <w:t>Crystalloids</w:t>
      </w:r>
      <w:proofErr w:type="spellEnd"/>
      <w:r w:rsidR="005F0361" w:rsidRPr="005F0361">
        <w:rPr>
          <w:rFonts w:ascii="Times New Roman" w:eastAsia="Calibri" w:hAnsi="Times New Roman"/>
          <w:color w:val="000000"/>
          <w:sz w:val="24"/>
          <w:szCs w:val="24"/>
          <w:lang w:val="fr-SN"/>
        </w:rPr>
        <w:t xml:space="preserve"> </w:t>
      </w:r>
      <w:proofErr w:type="spellStart"/>
      <w:r w:rsidR="005F0361" w:rsidRPr="005F0361">
        <w:rPr>
          <w:rFonts w:ascii="Times New Roman" w:eastAsia="Calibri" w:hAnsi="Times New Roman"/>
          <w:color w:val="000000"/>
          <w:sz w:val="24"/>
          <w:szCs w:val="24"/>
          <w:lang w:val="fr-SN"/>
        </w:rPr>
        <w:t>were</w:t>
      </w:r>
      <w:proofErr w:type="spellEnd"/>
      <w:r w:rsidR="005F0361" w:rsidRPr="005F0361">
        <w:rPr>
          <w:rFonts w:ascii="Times New Roman" w:eastAsia="Calibri" w:hAnsi="Times New Roman"/>
          <w:color w:val="000000"/>
          <w:sz w:val="24"/>
          <w:szCs w:val="24"/>
          <w:lang w:val="fr-SN"/>
        </w:rPr>
        <w:t xml:space="preserve"> the first-line </w:t>
      </w:r>
      <w:proofErr w:type="spellStart"/>
      <w:r w:rsidR="005F0361" w:rsidRPr="005F0361">
        <w:rPr>
          <w:rFonts w:ascii="Times New Roman" w:eastAsia="Calibri" w:hAnsi="Times New Roman"/>
          <w:color w:val="000000"/>
          <w:sz w:val="24"/>
          <w:szCs w:val="24"/>
          <w:lang w:val="fr-SN"/>
        </w:rPr>
        <w:t>fluid</w:t>
      </w:r>
      <w:proofErr w:type="spellEnd"/>
      <w:r w:rsidR="005F0361" w:rsidRPr="005F0361">
        <w:rPr>
          <w:rFonts w:ascii="Times New Roman" w:eastAsia="Calibri" w:hAnsi="Times New Roman"/>
          <w:color w:val="000000"/>
          <w:sz w:val="24"/>
          <w:szCs w:val="24"/>
          <w:lang w:val="fr-SN"/>
        </w:rPr>
        <w:t xml:space="preserve"> replacement solution (82.19%), </w:t>
      </w:r>
      <w:proofErr w:type="spellStart"/>
      <w:r w:rsidR="005F0361" w:rsidRPr="005F0361">
        <w:rPr>
          <w:rFonts w:ascii="Times New Roman" w:eastAsia="Calibri" w:hAnsi="Times New Roman"/>
          <w:color w:val="000000"/>
          <w:sz w:val="24"/>
          <w:szCs w:val="24"/>
          <w:lang w:val="fr-SN"/>
        </w:rPr>
        <w:t>mainly</w:t>
      </w:r>
      <w:proofErr w:type="spellEnd"/>
      <w:r w:rsidR="005F0361" w:rsidRPr="005F0361">
        <w:rPr>
          <w:rFonts w:ascii="Times New Roman" w:eastAsia="Calibri" w:hAnsi="Times New Roman"/>
          <w:color w:val="000000"/>
          <w:sz w:val="24"/>
          <w:szCs w:val="24"/>
          <w:lang w:val="fr-SN"/>
        </w:rPr>
        <w:t xml:space="preserve"> </w:t>
      </w:r>
      <w:proofErr w:type="spellStart"/>
      <w:r w:rsidR="005F0361" w:rsidRPr="005F0361">
        <w:rPr>
          <w:rFonts w:ascii="Times New Roman" w:eastAsia="Calibri" w:hAnsi="Times New Roman"/>
          <w:color w:val="000000"/>
          <w:sz w:val="24"/>
          <w:szCs w:val="24"/>
          <w:lang w:val="fr-SN"/>
        </w:rPr>
        <w:t>consisting</w:t>
      </w:r>
      <w:proofErr w:type="spellEnd"/>
      <w:r w:rsidR="005F0361" w:rsidRPr="005F0361">
        <w:rPr>
          <w:rFonts w:ascii="Times New Roman" w:eastAsia="Calibri" w:hAnsi="Times New Roman"/>
          <w:color w:val="000000"/>
          <w:sz w:val="24"/>
          <w:szCs w:val="24"/>
          <w:lang w:val="fr-SN"/>
        </w:rPr>
        <w:t xml:space="preserve"> of 0.9% </w:t>
      </w:r>
      <w:proofErr w:type="spellStart"/>
      <w:r w:rsidR="005F0361" w:rsidRPr="005F0361">
        <w:rPr>
          <w:rFonts w:ascii="Times New Roman" w:eastAsia="Calibri" w:hAnsi="Times New Roman"/>
          <w:color w:val="000000"/>
          <w:sz w:val="24"/>
          <w:szCs w:val="24"/>
          <w:lang w:val="fr-SN"/>
        </w:rPr>
        <w:t>NaCl</w:t>
      </w:r>
      <w:proofErr w:type="spellEnd"/>
      <w:r w:rsidR="005F0361" w:rsidRPr="005F0361">
        <w:rPr>
          <w:rFonts w:ascii="Times New Roman" w:eastAsia="Calibri" w:hAnsi="Times New Roman"/>
          <w:color w:val="000000"/>
          <w:sz w:val="24"/>
          <w:szCs w:val="24"/>
          <w:lang w:val="fr-SN"/>
        </w:rPr>
        <w:t xml:space="preserve"> (95.83% of cases).</w:t>
      </w:r>
      <w:r w:rsidR="000064B1" w:rsidRPr="000064B1">
        <w:t xml:space="preserve"> </w:t>
      </w:r>
      <w:proofErr w:type="spellStart"/>
      <w:r w:rsidR="000064B1" w:rsidRPr="000064B1">
        <w:rPr>
          <w:rFonts w:ascii="Times New Roman" w:eastAsia="Calibri" w:hAnsi="Times New Roman"/>
          <w:color w:val="000000"/>
          <w:sz w:val="24"/>
          <w:szCs w:val="24"/>
          <w:lang w:val="fr-SN"/>
        </w:rPr>
        <w:t>Antibiotic</w:t>
      </w:r>
      <w:proofErr w:type="spellEnd"/>
      <w:r w:rsidR="000064B1" w:rsidRPr="000064B1">
        <w:rPr>
          <w:rFonts w:ascii="Times New Roman" w:eastAsia="Calibri" w:hAnsi="Times New Roman"/>
          <w:color w:val="000000"/>
          <w:sz w:val="24"/>
          <w:szCs w:val="24"/>
          <w:lang w:val="fr-SN"/>
        </w:rPr>
        <w:t xml:space="preserve"> </w:t>
      </w:r>
      <w:proofErr w:type="spellStart"/>
      <w:r w:rsidR="000064B1" w:rsidRPr="000064B1">
        <w:rPr>
          <w:rFonts w:ascii="Times New Roman" w:eastAsia="Calibri" w:hAnsi="Times New Roman"/>
          <w:color w:val="000000"/>
          <w:sz w:val="24"/>
          <w:szCs w:val="24"/>
          <w:lang w:val="fr-SN"/>
        </w:rPr>
        <w:t>therapy</w:t>
      </w:r>
      <w:proofErr w:type="spellEnd"/>
      <w:r w:rsidR="000064B1" w:rsidRPr="000064B1">
        <w:rPr>
          <w:rFonts w:ascii="Times New Roman" w:eastAsia="Calibri" w:hAnsi="Times New Roman"/>
          <w:color w:val="000000"/>
          <w:sz w:val="24"/>
          <w:szCs w:val="24"/>
          <w:lang w:val="fr-SN"/>
        </w:rPr>
        <w:t xml:space="preserve"> </w:t>
      </w:r>
      <w:proofErr w:type="spellStart"/>
      <w:r w:rsidR="000064B1" w:rsidRPr="000064B1">
        <w:rPr>
          <w:rFonts w:ascii="Times New Roman" w:eastAsia="Calibri" w:hAnsi="Times New Roman"/>
          <w:color w:val="000000"/>
          <w:sz w:val="24"/>
          <w:szCs w:val="24"/>
          <w:lang w:val="fr-SN"/>
        </w:rPr>
        <w:t>was</w:t>
      </w:r>
      <w:proofErr w:type="spellEnd"/>
      <w:r w:rsidR="000064B1" w:rsidRPr="000064B1">
        <w:rPr>
          <w:rFonts w:ascii="Times New Roman" w:eastAsia="Calibri" w:hAnsi="Times New Roman"/>
          <w:color w:val="000000"/>
          <w:sz w:val="24"/>
          <w:szCs w:val="24"/>
          <w:lang w:val="fr-SN"/>
        </w:rPr>
        <w:t xml:space="preserve"> </w:t>
      </w:r>
      <w:proofErr w:type="spellStart"/>
      <w:r w:rsidR="000064B1" w:rsidRPr="000064B1">
        <w:rPr>
          <w:rFonts w:ascii="Times New Roman" w:eastAsia="Calibri" w:hAnsi="Times New Roman"/>
          <w:color w:val="000000"/>
          <w:sz w:val="24"/>
          <w:szCs w:val="24"/>
          <w:lang w:val="fr-SN"/>
        </w:rPr>
        <w:t>used</w:t>
      </w:r>
      <w:proofErr w:type="spellEnd"/>
      <w:r w:rsidR="000064B1" w:rsidRPr="000064B1">
        <w:rPr>
          <w:rFonts w:ascii="Times New Roman" w:eastAsia="Calibri" w:hAnsi="Times New Roman"/>
          <w:color w:val="000000"/>
          <w:sz w:val="24"/>
          <w:szCs w:val="24"/>
          <w:lang w:val="fr-SN"/>
        </w:rPr>
        <w:t xml:space="preserve"> in</w:t>
      </w:r>
      <w:r w:rsidR="000064B1">
        <w:rPr>
          <w:rFonts w:ascii="Times New Roman" w:eastAsia="Calibri" w:hAnsi="Times New Roman"/>
          <w:color w:val="000000"/>
          <w:sz w:val="24"/>
          <w:szCs w:val="24"/>
        </w:rPr>
        <w:t xml:space="preserve"> 84.24% </w:t>
      </w:r>
      <w:r w:rsidR="000064B1" w:rsidRPr="000064B1">
        <w:rPr>
          <w:rFonts w:ascii="Times New Roman" w:eastAsia="Calibri" w:hAnsi="Times New Roman"/>
          <w:color w:val="000000"/>
          <w:sz w:val="24"/>
          <w:szCs w:val="24"/>
          <w:lang w:val="fr-SN"/>
        </w:rPr>
        <w:t xml:space="preserve">of cases. </w:t>
      </w:r>
      <w:r w:rsidR="000064B1" w:rsidRPr="000B7971">
        <w:rPr>
          <w:rFonts w:ascii="Times New Roman" w:eastAsia="Calibri" w:hAnsi="Times New Roman"/>
          <w:color w:val="000000"/>
          <w:sz w:val="24"/>
          <w:szCs w:val="24"/>
          <w:lang w:val="fr-SN"/>
        </w:rPr>
        <w:t xml:space="preserve">Figure 3 </w:t>
      </w:r>
      <w:proofErr w:type="spellStart"/>
      <w:r w:rsidR="000064B1" w:rsidRPr="000B7971">
        <w:rPr>
          <w:rFonts w:ascii="Times New Roman" w:eastAsia="Calibri" w:hAnsi="Times New Roman"/>
          <w:color w:val="000000"/>
          <w:sz w:val="24"/>
          <w:szCs w:val="24"/>
          <w:lang w:val="fr-SN"/>
        </w:rPr>
        <w:t>illustrates</w:t>
      </w:r>
      <w:proofErr w:type="spellEnd"/>
      <w:r w:rsidR="000064B1" w:rsidRPr="000B7971">
        <w:rPr>
          <w:rFonts w:ascii="Times New Roman" w:eastAsia="Calibri" w:hAnsi="Times New Roman"/>
          <w:color w:val="000000"/>
          <w:sz w:val="24"/>
          <w:szCs w:val="24"/>
          <w:lang w:val="fr-SN"/>
        </w:rPr>
        <w:t xml:space="preserve"> the distribution of patients </w:t>
      </w:r>
      <w:proofErr w:type="spellStart"/>
      <w:r w:rsidR="000064B1" w:rsidRPr="000B7971">
        <w:rPr>
          <w:rFonts w:ascii="Times New Roman" w:eastAsia="Calibri" w:hAnsi="Times New Roman"/>
          <w:color w:val="000000"/>
          <w:sz w:val="24"/>
          <w:szCs w:val="24"/>
          <w:lang w:val="fr-SN"/>
        </w:rPr>
        <w:t>according</w:t>
      </w:r>
      <w:proofErr w:type="spellEnd"/>
      <w:r w:rsidR="000064B1" w:rsidRPr="000B7971">
        <w:rPr>
          <w:rFonts w:ascii="Times New Roman" w:eastAsia="Calibri" w:hAnsi="Times New Roman"/>
          <w:color w:val="000000"/>
          <w:sz w:val="24"/>
          <w:szCs w:val="24"/>
          <w:lang w:val="fr-SN"/>
        </w:rPr>
        <w:t xml:space="preserve"> to </w:t>
      </w:r>
      <w:proofErr w:type="spellStart"/>
      <w:r w:rsidR="000064B1" w:rsidRPr="000B7971">
        <w:rPr>
          <w:rFonts w:ascii="Times New Roman" w:eastAsia="Calibri" w:hAnsi="Times New Roman"/>
          <w:color w:val="000000"/>
          <w:sz w:val="24"/>
          <w:szCs w:val="24"/>
          <w:lang w:val="fr-SN"/>
        </w:rPr>
        <w:t>antibiotic</w:t>
      </w:r>
      <w:proofErr w:type="spellEnd"/>
      <w:r w:rsidR="000064B1" w:rsidRPr="000B7971">
        <w:rPr>
          <w:rFonts w:ascii="Times New Roman" w:eastAsia="Calibri" w:hAnsi="Times New Roman"/>
          <w:color w:val="000000"/>
          <w:sz w:val="24"/>
          <w:szCs w:val="24"/>
          <w:lang w:val="fr-SN"/>
        </w:rPr>
        <w:t xml:space="preserve"> </w:t>
      </w:r>
      <w:proofErr w:type="spellStart"/>
      <w:r w:rsidR="000064B1" w:rsidRPr="000B7971">
        <w:rPr>
          <w:rFonts w:ascii="Times New Roman" w:eastAsia="Calibri" w:hAnsi="Times New Roman"/>
          <w:color w:val="000000"/>
          <w:sz w:val="24"/>
          <w:szCs w:val="24"/>
          <w:lang w:val="fr-SN"/>
        </w:rPr>
        <w:t>therapy</w:t>
      </w:r>
      <w:proofErr w:type="spellEnd"/>
      <w:r w:rsidR="000064B1" w:rsidRPr="000B7971">
        <w:rPr>
          <w:rFonts w:ascii="Times New Roman" w:eastAsia="Calibri" w:hAnsi="Times New Roman"/>
          <w:color w:val="000000"/>
          <w:sz w:val="24"/>
          <w:szCs w:val="24"/>
          <w:lang w:val="fr-SN"/>
        </w:rPr>
        <w:t>.</w:t>
      </w:r>
    </w:p>
    <w:p w14:paraId="58E05396" w14:textId="67A63CB8" w:rsidR="006076B9" w:rsidRPr="005F0361" w:rsidRDefault="006076B9">
      <w:pPr>
        <w:spacing w:line="360" w:lineRule="auto"/>
        <w:jc w:val="both"/>
        <w:rPr>
          <w:rFonts w:ascii="Times New Roman" w:eastAsia="Calibri" w:hAnsi="Times New Roman"/>
          <w:color w:val="000000"/>
          <w:sz w:val="24"/>
          <w:szCs w:val="24"/>
          <w:lang w:val="fr-SN"/>
        </w:rPr>
      </w:pPr>
    </w:p>
    <w:p w14:paraId="30F37C3B" w14:textId="77777777" w:rsidR="006076B9" w:rsidRDefault="00030506">
      <w:pPr>
        <w:pStyle w:val="ListParagraph"/>
        <w:numPr>
          <w:ilvl w:val="0"/>
          <w:numId w:val="4"/>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Specific measures</w:t>
      </w:r>
    </w:p>
    <w:p w14:paraId="07F1BC01" w14:textId="77777777" w:rsidR="006076B9" w:rsidRDefault="00030506">
      <w:pPr>
        <w:pStyle w:val="ListParagraph"/>
        <w:numPr>
          <w:ilvl w:val="0"/>
          <w:numId w:val="1"/>
        </w:numPr>
        <w:spacing w:line="360" w:lineRule="auto"/>
        <w:jc w:val="both"/>
        <w:rPr>
          <w:rFonts w:ascii="Times New Roman" w:eastAsia="Calibri" w:hAnsi="Times New Roman"/>
          <w:b/>
          <w:bCs/>
          <w:color w:val="000000"/>
          <w:sz w:val="24"/>
          <w:szCs w:val="24"/>
        </w:rPr>
      </w:pPr>
      <w:r>
        <w:rPr>
          <w:rFonts w:ascii="Times New Roman" w:eastAsia="Calibri" w:hAnsi="Times New Roman"/>
          <w:b/>
          <w:bCs/>
          <w:color w:val="000000"/>
          <w:sz w:val="24"/>
          <w:szCs w:val="24"/>
        </w:rPr>
        <w:t>Septic shock</w:t>
      </w:r>
    </w:p>
    <w:p w14:paraId="21742590" w14:textId="7E77E2CF" w:rsidR="000064B1" w:rsidRDefault="00030506" w:rsidP="000064B1">
      <w:pPr>
        <w:spacing w:line="360" w:lineRule="auto"/>
        <w:jc w:val="both"/>
        <w:rPr>
          <w:rFonts w:ascii="Times New Roman" w:eastAsia="Calibri" w:hAnsi="Times New Roman"/>
          <w:color w:val="000000"/>
          <w:sz w:val="24"/>
          <w:szCs w:val="24"/>
          <w:lang w:val="fr-SN"/>
        </w:rPr>
      </w:pPr>
      <w:r>
        <w:rPr>
          <w:rFonts w:ascii="Times New Roman" w:eastAsia="Calibri" w:hAnsi="Times New Roman"/>
          <w:color w:val="000000"/>
          <w:sz w:val="24"/>
          <w:szCs w:val="24"/>
        </w:rPr>
        <w:lastRenderedPageBreak/>
        <w:t xml:space="preserve">Regarding vasopressor amines, norepinephrine was the most commonly used amine (36.98%), followed by epinephrine (24.64%) and dopamine (2.05%). </w:t>
      </w:r>
      <w:r w:rsidR="000064B1" w:rsidRPr="000064B1">
        <w:rPr>
          <w:rFonts w:ascii="Times New Roman" w:eastAsia="Calibri" w:hAnsi="Times New Roman"/>
          <w:color w:val="000000"/>
          <w:sz w:val="24"/>
          <w:szCs w:val="24"/>
        </w:rPr>
        <w:t>Antibiotic therapy was systematic in septic shock and was administered as soon as the diagnosis was made.</w:t>
      </w:r>
      <w:r w:rsidR="000064B1">
        <w:rPr>
          <w:rFonts w:ascii="Times New Roman" w:eastAsia="Calibri" w:hAnsi="Times New Roman"/>
          <w:color w:val="000000"/>
          <w:sz w:val="24"/>
          <w:szCs w:val="24"/>
          <w:lang w:val="fr-SN"/>
        </w:rPr>
        <w:t xml:space="preserve"> </w:t>
      </w:r>
      <w:r>
        <w:rPr>
          <w:rFonts w:ascii="Times New Roman" w:eastAsia="Calibri" w:hAnsi="Times New Roman"/>
          <w:color w:val="000000"/>
          <w:sz w:val="24"/>
          <w:szCs w:val="24"/>
        </w:rPr>
        <w:t>Corticosteroid therapy was used in refractory septic shock in 40.41% of patients.</w:t>
      </w:r>
      <w:r w:rsidR="000B7971">
        <w:rPr>
          <w:rFonts w:ascii="Times New Roman" w:eastAsia="Calibri" w:hAnsi="Times New Roman"/>
          <w:color w:val="000000"/>
          <w:sz w:val="24"/>
          <w:szCs w:val="24"/>
          <w:lang w:val="fr-SN"/>
        </w:rPr>
        <w:t xml:space="preserve"> </w:t>
      </w:r>
    </w:p>
    <w:p w14:paraId="4DEBCEB1" w14:textId="699F5B08" w:rsidR="006076B9" w:rsidRPr="000064B1" w:rsidRDefault="00030506" w:rsidP="000064B1">
      <w:pPr>
        <w:pStyle w:val="ListParagraph"/>
        <w:numPr>
          <w:ilvl w:val="0"/>
          <w:numId w:val="5"/>
        </w:numPr>
        <w:spacing w:line="360" w:lineRule="auto"/>
        <w:jc w:val="both"/>
        <w:rPr>
          <w:rFonts w:ascii="Times New Roman" w:eastAsia="Calibri" w:hAnsi="Times New Roman"/>
          <w:b/>
          <w:bCs/>
          <w:color w:val="000000"/>
          <w:sz w:val="24"/>
          <w:szCs w:val="24"/>
        </w:rPr>
      </w:pPr>
      <w:r w:rsidRPr="000064B1">
        <w:rPr>
          <w:rFonts w:ascii="Times New Roman" w:eastAsia="Calibri" w:hAnsi="Times New Roman"/>
          <w:b/>
          <w:bCs/>
          <w:color w:val="000000"/>
          <w:sz w:val="24"/>
          <w:szCs w:val="24"/>
        </w:rPr>
        <w:t>Cardiogenic shock</w:t>
      </w:r>
    </w:p>
    <w:p w14:paraId="53491DA5" w14:textId="0CE14807" w:rsidR="00B13A7D" w:rsidRDefault="00030506">
      <w:pPr>
        <w:spacing w:line="360" w:lineRule="auto"/>
        <w:jc w:val="both"/>
        <w:rPr>
          <w:rFonts w:ascii="Times New Roman" w:eastAsiaTheme="minorEastAsia" w:hAnsi="Times New Roman"/>
          <w:color w:val="000000"/>
          <w:sz w:val="24"/>
          <w:szCs w:val="24"/>
          <w:lang w:eastAsia="zh-CN"/>
        </w:rPr>
      </w:pPr>
      <w:r>
        <w:rPr>
          <w:rFonts w:ascii="Times New Roman" w:eastAsia="Calibri" w:hAnsi="Times New Roman"/>
          <w:color w:val="000000"/>
          <w:sz w:val="24"/>
          <w:szCs w:val="24"/>
        </w:rPr>
        <w:t xml:space="preserve">For cardiogenic shock, dobutamine was used in 12.33% of cases, diuretics in 16.44% and conversion enzyme inhibitors in 6.85%. </w:t>
      </w:r>
    </w:p>
    <w:p w14:paraId="3994EF36" w14:textId="7F538ED2" w:rsidR="00B13A7D" w:rsidRPr="00B13A7D" w:rsidRDefault="00B13A7D">
      <w:pPr>
        <w:spacing w:line="360" w:lineRule="auto"/>
        <w:jc w:val="both"/>
        <w:rPr>
          <w:rFonts w:ascii="Times New Roman" w:eastAsiaTheme="minorEastAsia" w:hAnsi="Times New Roman"/>
          <w:b/>
          <w:bCs/>
          <w:color w:val="000000"/>
          <w:sz w:val="24"/>
          <w:szCs w:val="24"/>
          <w:lang w:val="fr-SN" w:eastAsia="zh-CN"/>
        </w:rPr>
      </w:pPr>
      <w:r>
        <w:rPr>
          <w:rFonts w:ascii="Times New Roman" w:eastAsiaTheme="minorEastAsia" w:hAnsi="Times New Roman"/>
          <w:b/>
          <w:bCs/>
          <w:color w:val="000000"/>
          <w:sz w:val="24"/>
          <w:szCs w:val="24"/>
          <w:lang w:val="fr-SN" w:eastAsia="zh-CN"/>
        </w:rPr>
        <w:t>P</w:t>
      </w:r>
      <w:r w:rsidRPr="00B13A7D">
        <w:rPr>
          <w:rFonts w:ascii="Times New Roman" w:eastAsiaTheme="minorEastAsia" w:hAnsi="Times New Roman"/>
          <w:b/>
          <w:bCs/>
          <w:color w:val="000000"/>
          <w:sz w:val="24"/>
          <w:szCs w:val="24"/>
          <w:lang w:val="fr-SN" w:eastAsia="zh-CN"/>
        </w:rPr>
        <w:t xml:space="preserve">rogression and </w:t>
      </w:r>
      <w:proofErr w:type="spellStart"/>
      <w:r w:rsidRPr="00B13A7D">
        <w:rPr>
          <w:rFonts w:ascii="Times New Roman" w:eastAsiaTheme="minorEastAsia" w:hAnsi="Times New Roman"/>
          <w:b/>
          <w:bCs/>
          <w:color w:val="000000"/>
          <w:sz w:val="24"/>
          <w:szCs w:val="24"/>
          <w:lang w:val="fr-SN" w:eastAsia="zh-CN"/>
        </w:rPr>
        <w:t>prognosis</w:t>
      </w:r>
      <w:proofErr w:type="spellEnd"/>
    </w:p>
    <w:p w14:paraId="6A654A85" w14:textId="55E99705" w:rsidR="006076B9" w:rsidRPr="00B13A7D" w:rsidRDefault="00030506">
      <w:pPr>
        <w:spacing w:line="360" w:lineRule="auto"/>
        <w:jc w:val="both"/>
        <w:rPr>
          <w:rFonts w:ascii="Times New Roman" w:eastAsiaTheme="minorEastAsia" w:hAnsi="Times New Roman"/>
          <w:color w:val="000000"/>
          <w:sz w:val="24"/>
          <w:szCs w:val="24"/>
          <w:lang w:eastAsia="zh-CN"/>
        </w:rPr>
      </w:pPr>
      <w:r>
        <w:rPr>
          <w:rFonts w:ascii="Times New Roman" w:eastAsia="Calibri" w:hAnsi="Times New Roman"/>
          <w:color w:val="000000"/>
          <w:sz w:val="24"/>
          <w:szCs w:val="24"/>
        </w:rPr>
        <w:t xml:space="preserve">Progression was unfavorable in most cases, with 69.18% of deaths due mainly to septic shock (47.29%), the main causes of death being refractory shock (48.51%), renal failure (32.19%), and </w:t>
      </w:r>
      <w:r w:rsidR="00B13A7D" w:rsidRPr="00B13A7D">
        <w:rPr>
          <w:rFonts w:ascii="Times New Roman" w:eastAsia="Calibri" w:hAnsi="Times New Roman"/>
          <w:color w:val="000000"/>
          <w:sz w:val="24"/>
          <w:szCs w:val="24"/>
        </w:rPr>
        <w:t>disseminated intravascular coagulation</w:t>
      </w:r>
      <w:r>
        <w:rPr>
          <w:rFonts w:ascii="Times New Roman" w:eastAsia="Calibri" w:hAnsi="Times New Roman"/>
          <w:color w:val="000000"/>
          <w:sz w:val="24"/>
          <w:szCs w:val="24"/>
        </w:rPr>
        <w:t xml:space="preserve"> (15.07%). Statistically, data analysis showed a significant association between death and septic shock, with a highly significant p-value (Table 1).</w:t>
      </w:r>
    </w:p>
    <w:p w14:paraId="4AE8B193" w14:textId="77777777" w:rsidR="006076B9" w:rsidRDefault="00030506">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Discussion</w:t>
      </w:r>
    </w:p>
    <w:p w14:paraId="5BF12566" w14:textId="04F01E12"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The most representative age groups were between 7 and 48 months, followed by under 6 months. However, it is lower in Malawi, with an average age of 15 months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{"citationID":"OtNvYEI9","properties":{"formattedCitation":"(6)","plainCitation":"(6)","noteIndex":0},"citationItems":[{"id":253,"uris":["http://zotero.org/users/13480343/items/UHDNCE22"],"itemData":{"id":253,"type":"webpage","title":"Impact of HIV infection and exposure on survival in critically ill children who attend a paediatric emergency department in a resource-constrained setting - PubMed","URL":"https://pubmed.ncbi.nlm.nih.gov/20515902/","accessed":{"date-parts":[["2024",3,15]]}}}],"schema":"https://github.com/citation-style-language/schema/raw/master/csl-citation.json"}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(6)</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and in Egypt, with an average age of 18 months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{"citationID":"exjtJuhM","properties":{"formattedCitation":"(7)","plainCitation":"(7)","noteIndex":0},"citationItems":[{"id":254,"uris":["http://zotero.org/users/13480343/items/EIMHLQCY"],"itemData":{"id":254,"type":"article-journal","abstract":"BACKGROUND: Early identification of septic patients at risk of mortality is important in their prognosis.\nOBJECTIVE: Identification of septic patients at risk of mortality in Pediatric Intensive Care Units (PICUs) at Cairo University Hospitals, through measuring the levels of certain immunological parameters.\nMETHODS: A hospital-based prospective cohort study was conducted in two PICUs at Cairo University Hospitals; all patients with diagnosis of severe sepsis or septic shock on admission were included. A total of 57 patients were prospectively followed at the selected PICUs and their demographic and clinical data were recorded. Microbiological and immunological workup (at days 1 and 7) was conducted for all patients to detect the causative organism of sepsis and to measure the levels of immunoglobulins (IgG, IgM and IgA), complement factors (C3 and C4), mature lymphocyte subpopulations (CD3+) and natural killer (NK) cells (CD3-CD16+CD56+), respectively.\nRESULTS: Mortality rate was 24.6%; the most frequent causes of death were multi-organ dysfunction and refractory shock. PELOD and PRISM III scores were significantly higher among non-survivors. At day 1, non-survivors had significantly higher levels of IgG, C4 and NK cells than survivors. However, from day 1 to day 7, survivors had a progressive increase in most of the immunological parameters (IgG, IgM, C4and CD3+ T lymphocytes). Survival curve analysis revealed the significant predictive ability of NK cells to detect early mortality.\nCONCLUSION: Monitoring the levels of cellular and humoral immunological parameters together with assessing PELOD and PRISM III scores can significantly affect prognosis and survival of septic children.","container-title":"Allergologia Et Immunopathologia","DOI":"10.1016/j.aller.2015.07.005","ISSN":"1578-1267","issue":"1","journalAbbreviation":"Allergol Immunopathol (Madr)","language":"eng","note":"PMID: 26657169","page":"46-53","source":"PubMed","title":"Prognostic markers among Egyptian children with sepsis in the Intensive Care Units, Cairo University Hospitals","volume":"44","author":[{"family":"Ibrahiem","given":"S. K."},{"family":"Galal","given":"Y. S."},{"family":"Youssef","given":"M. R. L."},{"family":"Sedrak","given":"A. S."},{"family":"El Khateeb","given":"E. M."},{"family":"Abdel-Hameed","given":"N. D."}],"issued":{"date-parts":[["2016"]]}}}],"schema":"https://github.com/citation-style-language/schema/raw/master/csl-citation.json"}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(7)</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The young age could be explained by the prevalence of congenital heart disease, the high number of viral gastroenteritis cases in infants, overcrowding, and low socioeconomic status in our contexts. Tachycardia is the most common finding on physical examination in children in shock. Persistent tachycardia in a calm, febrile child should raise concern in the physician and prompt a search for signs of tissue hypoperfusion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{"citationID":"NS59IpL5","properties":{"formattedCitation":"(5)","plainCitation":"(5)","noteIndex":0},"citationItems":[{"id":10,"uris":["http://zotero.org/users/13480343/items/KQ5VNBDL"],"itemData":{"id":10,"type":"article-journal","container-title":"Emergency Medicine Clinics of North America","DOI":"10.1016/j.emc.2017.12.010","ISSN":"07338627","issue":"2","journalAbbreviation":"Emergency Medicine Clinics of North America","language":"en","page":"427-440","source":"DOI.org (Crossref)","title":"Emergency Department Management of Pediatric Shock","volume":"36","author":[{"family":"Mendelson","given":"Jenny"}],"issued":{"date-parts":[["2018",5]]}}}],"schema":"https://github.com/citation-style-language/schema/raw/master/csl-citation.json"}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(5)</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w:t>
      </w:r>
    </w:p>
    <w:p w14:paraId="0CBD9A98" w14:textId="5B9D6DA0" w:rsidR="00DB1FEF" w:rsidRPr="00DB1FEF" w:rsidRDefault="00030506">
      <w:pPr>
        <w:spacing w:line="360" w:lineRule="auto"/>
        <w:jc w:val="both"/>
        <w:rPr>
          <w:rFonts w:ascii="Times New Roman" w:eastAsiaTheme="minorEastAsia" w:hAnsi="Times New Roman"/>
          <w:color w:val="000000"/>
          <w:sz w:val="24"/>
          <w:szCs w:val="24"/>
          <w:lang w:val="fr-SN" w:eastAsia="zh-CN"/>
        </w:rPr>
      </w:pPr>
      <w:r>
        <w:rPr>
          <w:rFonts w:ascii="Times New Roman" w:eastAsia="Calibri" w:hAnsi="Times New Roman"/>
          <w:color w:val="000000"/>
          <w:sz w:val="24"/>
          <w:szCs w:val="24"/>
        </w:rPr>
        <w:t xml:space="preserve">In countries with limited resources, diagnosing shock is a real challenge. The lack of key tools such as cardiac ultrasound, blood gas analysis, and lactate testing significantly limits the hemodynamic and metabolic assessment of patients. As a result, clinicians often rely on purely clinical criteria and basic laboratory tests, which can sometimes delay rapid and appropriate management. In our series, the diagnosis was based primarily on clinical signs of tissue hypoperfusion (cold extremities, prolonged skin recoloration time, tachycardia) and signs of cellular hypoxia (impaired consciousness, oligoanuria). Septic shock was the most common, followed by hypovolemic shock and cardiogenic shock. This high prevalence could be explained by the low socioeconomic status of most of our patients, which is the cause of delayed diagnosis. Similar results have been found in the literature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{"citationID":"WAI835DJ","properties":{"formattedCitation":"(1,8)","plainCitation":"(1,8)","noteIndex":0},"citationItems":[{"id":39,"uris":["http://zotero.org/users/13480343/items/Q4DPACJZ"],"itemData":{"id":39,"type":"article-journal","container-title":"La Revue de Médecine Interne","DOI":"10.1016/j.revmed.2019.08.006","ISSN":"02488663","issue":"12","journalAbbreviation":"La Revue de Médecine Interne","language":"en","page":"799-807","source":"DOI.org (Crossref)","title":"États de choc : grands cadres étiologiques, prise en charge initiale","title-short":"États de choc","volume":"40","author":[{"family":"Durand","given":"A."},{"family":"Cartier","given":"L."},{"family":"Duburcq","given":"T."},{"family":"Onimus","given":"T."},{"family":"Favory","given":"R."},{"family":"Preau","given":"S."}],"issued":{"date-parts":[["2019",12]]}},"label":"page"},{"id":8,"uris":["http://zotero.org/users/13480343/items/CR5D7V9A"],"itemData":{"id":8,"type":"article-journal","container-title":"Intensive Care Medicine","DOI":"10.1007/s00134-014-3525-z","ISSN":"0342-4642, 1432-1238","issue":"12","journalAbbreviation":"Intensive Care Med","language":"en","page":"1795-1815","source":"DOI.org (Crossref)","title":"Consensus on circulatory shock and hemodynamic monitoring. Task force of the European Society of Intensive Care Medicine","volume":"40","author":[{"family":"Cecconi","given":"Maurizio"},{"family":"De Backer","given":"Daniel"},{"family":"Antonelli","given":"Massimo"},{"family":"Beale","given":"Richard"},{"family":"Bakker","given":"Jan"},{"family":"Hofer","given":"Christoph"},{"family":"Jaeschke","given":"Roman"},{"family":"Mebazaa","given":"Alexandre"},{"family":"Pinsky","given":"Michael R."},{"family":"Teboul","given":"Jean Louis"},{"family":"Vincent","given":"Jean Louis"},{"family":"Rhodes","given":"Andrew"}],"issued":{"date-parts":[["2014",12]]}},"label":"page"}],"schema":"https://github.com/citation-style-language/schema/raw/master/csl-citation.json"}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(1,8)</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The etiologies vary depending </w:t>
      </w:r>
      <w:r>
        <w:rPr>
          <w:rFonts w:ascii="Times New Roman" w:eastAsia="Calibri" w:hAnsi="Times New Roman"/>
          <w:color w:val="000000"/>
          <w:sz w:val="24"/>
          <w:szCs w:val="24"/>
        </w:rPr>
        <w:lastRenderedPageBreak/>
        <w:t xml:space="preserve">on the type of shock, but sepsis remains a major cause of morbidity and mortality in children worldwide </w:t>
      </w:r>
      <w:r w:rsidR="000B7971">
        <w:rPr>
          <w:rFonts w:ascii="Times New Roman" w:eastAsia="Calibri" w:hAnsi="Times New Roman"/>
          <w:color w:val="000000"/>
          <w:sz w:val="24"/>
          <w:szCs w:val="24"/>
        </w:rPr>
        <w:fldChar w:fldCharType="begin"/>
      </w:r>
      <w:r w:rsidR="000B7971">
        <w:rPr>
          <w:rFonts w:ascii="Times New Roman" w:eastAsia="Calibri" w:hAnsi="Times New Roman"/>
          <w:color w:val="000000"/>
          <w:sz w:val="24"/>
          <w:szCs w:val="24"/>
        </w:rPr>
        <w:instrText xml:space="preserve"> ADDIN ZOTERO_ITEM CSL_CITATION {"citationID":"Lsxf8eIu","properties":{"formattedCitation":"(5)","plainCitation":"(5)","noteIndex":0},"citationItems":[{"id":10,"uris":["http://zotero.org/users/13480343/items/KQ5VNBDL"],"itemData":{"id":10,"type":"article-journal","container-title":"Emergency Medicine Clinics of North America","DOI":"10.1016/j.emc.2017.12.010","ISSN":"07338627","issue":"2","journalAbbreviation":"Emergency Medicine Clinics of North America","language":"en","page":"427-440","source":"DOI.org (Crossref)","title":"Emergency Department Management of Pediatric Shock","volume":"36","author":[{"family":"Mendelson","given":"Jenny"}],"issued":{"date-parts":[["2018",5]]}}}],"schema":"https://github.com/citation-style-language/schema/raw/master/csl-citation.json"} </w:instrText>
      </w:r>
      <w:r w:rsidR="000B7971">
        <w:rPr>
          <w:rFonts w:ascii="Times New Roman" w:eastAsia="Calibri" w:hAnsi="Times New Roman"/>
          <w:color w:val="000000"/>
          <w:sz w:val="24"/>
          <w:szCs w:val="24"/>
        </w:rPr>
        <w:fldChar w:fldCharType="separate"/>
      </w:r>
      <w:r w:rsidR="000B7971" w:rsidRPr="000B7971">
        <w:rPr>
          <w:rFonts w:ascii="Times New Roman" w:hAnsi="Times New Roman" w:cs="Times New Roman"/>
          <w:sz w:val="24"/>
        </w:rPr>
        <w:t>(5)</w:t>
      </w:r>
      <w:r w:rsidR="000B7971">
        <w:rPr>
          <w:rFonts w:ascii="Times New Roman" w:eastAsia="Calibri" w:hAnsi="Times New Roman"/>
          <w:color w:val="000000"/>
          <w:sz w:val="24"/>
          <w:szCs w:val="24"/>
        </w:rPr>
        <w:fldChar w:fldCharType="end"/>
      </w:r>
      <w:r>
        <w:rPr>
          <w:rFonts w:ascii="Times New Roman" w:eastAsia="Calibri" w:hAnsi="Times New Roman"/>
          <w:color w:val="000000"/>
          <w:sz w:val="24"/>
          <w:szCs w:val="24"/>
        </w:rPr>
        <w:t>. Rapid identification of the pathogen and the source of infection is essential for appropriate antibiotic therapy, but remains a challenge in our settings. Pathogens were isolated in 23 cases (15.75%) by blood culture. This low isolation rate can be explained by several factors: logistical difficulties (shortage of reagents, long delays between sampling and culture, contamination of samples, insufficient blood volumes, etc.), prior antibiotic therapy, and lack of automated culture techniques.</w:t>
      </w:r>
      <w:r>
        <w:rPr>
          <w:rFonts w:ascii="Times New Roman" w:eastAsia="Calibri" w:hAnsi="Times New Roman"/>
          <w:color w:val="000000"/>
          <w:sz w:val="24"/>
          <w:szCs w:val="24"/>
          <w:lang w:val="en-US"/>
        </w:rPr>
        <w:t xml:space="preserve"> </w:t>
      </w:r>
      <w:r>
        <w:rPr>
          <w:rFonts w:ascii="Times New Roman" w:eastAsia="Calibri" w:hAnsi="Times New Roman"/>
          <w:color w:val="000000"/>
          <w:sz w:val="24"/>
          <w:szCs w:val="24"/>
        </w:rPr>
        <w:t xml:space="preserve">Vascular filling is titrated according to hemodynamic status and signs of fluid overload, in boluses of 10 to 20 mL/kg. Crystalloids are the solutes of choice, with a theoretical advantage of balanced solutions over 9‰ NaCl in terms of the onset of hyperchloremic acidosis </w:t>
      </w:r>
      <w:r w:rsidR="00C872F1">
        <w:rPr>
          <w:rFonts w:ascii="Times New Roman" w:eastAsia="Calibri" w:hAnsi="Times New Roman"/>
          <w:color w:val="000000"/>
          <w:sz w:val="24"/>
          <w:szCs w:val="24"/>
        </w:rPr>
        <w:fldChar w:fldCharType="begin"/>
      </w:r>
      <w:r w:rsidR="00C872F1">
        <w:rPr>
          <w:rFonts w:ascii="Times New Roman" w:eastAsia="Calibri" w:hAnsi="Times New Roman"/>
          <w:color w:val="000000"/>
          <w:sz w:val="24"/>
          <w:szCs w:val="24"/>
        </w:rPr>
        <w:instrText xml:space="preserve"> ADDIN ZOTERO_ITEM CSL_CITATION {"citationID":"XhPXnjw5","properties":{"formattedCitation":"(9\\uc0\\u8211{}11)","plainCitation":"(9–11)","noteIndex":0},"citationItems":[{"id":55,"uris":["http://zotero.org/users/13480343/items/VGVNXL5B"],"itemData":{"id":55,"type":"article-journal","abstract":"OBJECTIVES: To develop evidence-based recommendations for clinicians caring for children (including infants, school-aged children, and adolescents) with septic shock and other sepsis-associated organ dysfunction.\nDESIGN: A panel of 49 international experts, representing 12 international organizations, as well as three methodologists and three public members was convened. Panel members assembled at key international meetings (for those panel members attending the conference), and a stand-alone meeting was held for all panel members in November 2018. A formal conflict-of-interest policy was developed at the onset of the process and enforced throughout. Teleconferences and electronic-based discussion among the chairs, co-chairs, methodologists, and group heads, as well as within subgroups, served as an integral part of the guideline development process.\nMETHODS: The panel consisted of six subgroups: recognition and management of infection, hemodynamics and resuscitation, ventilation, endocrine and metabolic therapies, adjunctive therapies, and research priorities. We conducted a systematic review for each Population, Intervention, Control, and Outcomes question to identify the best available evidence, statistically summarized the evidence, and then assessed the quality of evidence using the Grading of Recommendations Assessment, Development, and Evaluation approach. We used the evidence-to-decision framework to formulate recommendations as strong or weak, or as a best practice statement. In addition, \"in our practice\" statements were included when evidence was inconclusive to issue a recommendation, but the panel felt that some guidance based on practice patterns may be appropriate.\nRESULTS: The panel provided 77 statements on the management and resuscitation of children with septic shock and other sepsis-associated organ dysfunction. Overall, six were strong recommendations, 52 were weak recommendations, and nine were best-practice statements. For 13 questions, no recommendations could be made; but, for 10 of these, \"in our practice\" statements were provided. In addition, 49 research priorities were identified.\nCONCLUSIONS: A large cohort of international experts was able to achieve consensus regarding many recommendations for the best care of children with sepsis, acknowledging that most aspects of care had relatively low quality of evidence resulting in the frequent issuance of weak recommendations. Despite this challenge, these recommendations regarding the management of children with septic shock and other sepsis-associated organ dysfunction provide a foundation for consistent care to improve outcomes and inform future research.","container-title":"Pediatric Critical Care Medicine: A Journal of the Society of Critical Care Medicine and the World Federation of Pediatric Intensive and Critical Care Societies","DOI":"10.1097/PCC.0000000000002198","ISSN":"1529-7535","issue":"2","journalAbbreviation":"Pediatr Crit Care Med","language":"eng","note":"PMID: 32032273","page":"e52-e106","source":"PubMed","title":"Surviving Sepsis Campaign International Guidelines for the Management of Septic Shock and Sepsis-Associated Organ Dysfunction in Children","volume":"21","author":[{"family":"Weiss","given":"Scott L."},{"family":"Peters","given":"Mark J."},{"family":"Alhazzani","given":"Waleed"},{"family":"Agus","given":"Michael S. D."},{"family":"Flori","given":"Heidi R."},{"family":"Inwald","given":"David P."},{"family":"Nadel","given":"Simon"},{"family":"Schlapbach","given":"Luregn J."},{"family":"Tasker","given":"Robert C."},{"family":"Argent","given":"Andrew C."},{"family":"Brierley","given":"Joe"},{"family":"Carcillo","given":"Joseph"},{"family":"Carrol","given":"Enitan D."},{"family":"Carroll","given":"Christopher L."},{"family":"Cheifetz","given":"Ira M."},{"family":"Choong","given":"Karen"},{"family":"Cies","given":"Jeffry J."},{"family":"Cruz","given":"Andrea T."},{"family":"De Luca","given":"Daniele"},{"family":"Deep","given":"Akash"},{"family":"Faust","given":"Saul N."},{"family":"De Oliveira","given":"Claudio Flauzino"},{"family":"Hall","given":"Mark W."},{"family":"Ishimine","given":"Paul"},{"family":"Javouhey","given":"Etienne"},{"family":"Joosten","given":"Koen F. M."},{"family":"Joshi","given":"Poonam"},{"family":"Karam","given":"Oliver"},{"family":"Kneyber","given":"Martin C. J."},{"family":"Lemson","given":"Joris"},{"family":"MacLaren","given":"Graeme"},{"family":"Mehta","given":"Nilesh M."},{"family":"Møller","given":"Morten Hylander"},{"family":"Newth","given":"Christopher J. L."},{"family":"Nguyen","given":"Trung C."},{"family":"Nishisaki","given":"Akira"},{"family":"Nunnally","given":"Mark E."},{"family":"Parker","given":"Margaret M."},{"family":"Paul","given":"Raina M."},{"family":"Randolph","given":"Adrienne G."},{"family":"Ranjit","given":"Suchitra"},{"family":"Romer","given":"Lewis H."},{"family":"Scott","given":"Halden F."},{"family":"Tume","given":"Lyvonne N."},{"family":"Verger","given":"Judy T."},{"family":"Williams","given":"Eric A."},{"family":"Wolf","given":"Joshua"},{"family":"Wong","given":"Hector R."},{"family":"Zimmerman","given":"Jerry J."},{"family":"Kissoon","given":"Niranjan"},{"family":"Tissieres","given":"Pierre"}],"issued":{"date-parts":[["2020",2]]}},"label":"page"},{"id":266,"uris":["http://zotero.org/users/13480343/items/IX86YBY2"],"itemData":{"id":266,"type":"article-journal","abstract":"The association of cardiopulmonary variables with outcome was investigated in 42 pediatric patients (18 survivors) with septic shock. All cardiopulmonary variables were obtained during active BP support. The variable distributions were separated into ranges by two empiric cutoff methods: normal ranges and the survivor median values. The proportion of survivors with normal values of wedge pressure and cardiac index was significantly (p less than .05) higher than the proportion of survivors outside the normal range. The percentage of survival also significantly (p less than .05) increased with above-normal values of oxygen consumption, arteriovenous O2 content difference, O2 extraction, pH, and core temperature. There were significantly (p less than .05) more nonsurvivors with wedge pressure, pulmonary shunt, and pH values below the survivor medians. Therapeutic goals based on the distributions of these eight variables isolated patient groups with survival rates of 59% to 75%, compared to the overall survival rate of 43%.","container-title":"Critical Care Medicine","DOI":"10.1097/00003246-198506000-00002","ISSN":"0090-3493","issue":"6","journalAbbreviation":"Crit Care Med","language":"eng","note":"PMID: 3995997","page":"454-459","source":"PubMed","title":"Distributions of cardiopulmonary variables in pediatric survivors and nonsurvivors of septic shock","volume":"13","author":[{"family":"Pollack","given":"M. M."},{"family":"Fields","given":"A. I."},{"family":"Ruttimann","given":"U. E."}],"issued":{"date-parts":[["1985",6]]}},"label":"page"},{"id":264,"uris":["http://zotero.org/users/13480343/items/93YDIVVK"],"itemData":{"id":264,"type":"article-journal","abstract":"OBJECTIVE: To evaluate outcomes in patients receiving balanced fluids for resuscitation in pediatric severe sepsis.\nDESIGN: Observational cohort review of prospectively collected data from a large administrative database.\nSETTING: PICUs from 43 children's hospitals.\nPATIENTS: PICU patients diagnosed with severe sepsis.\nINTERVENTIONS: None.\nMEASUREMENTS AND MAIN RESULTS: We reviewed data from the Pediatric Health Information System database from 2004 to 2012. Children with pediatric severe sepsis receiving balanced fluids for resuscitation in the first 24 and 72 hours of treatment were compared to those receiving unbalanced fluids. Thirty-six thousand nine hundred eight patients met entry criteria for analysis. Two thousand three hundred ninety-eight patients received exclusively balanced fluids at 24 hours and 1,641 at 72 hours. After propensity matching, the 72-hour balanced fluids group had lower mortality (12.5% vs 15.9%; p = 0.007; odds ratio, 0.76; 95% CI, 0.62-0.93), lower prevalence of acute kidney injury (16.0% vs 19.2%; p = 0.028; odds ratio, 0.82; 95% CI, 0.68-0.98), and fewer vasoactive infusion days (3.0 vs 3.3 d; p &lt; 0.001) when compared with the unbalanced fluids group.\nCONCLUSIONS: In this retrospective analysis carried out by propensity matching, exclusive use of balanced fluids in pediatric severe sepsis patients for the first 72 hours of resuscitation was associated with improved survival, decreased prevalence of acute kidney injury, and shorter duration of vasoactive infusions when compared with exclusive use of unbalanced fluids.","container-title":"Critical Care Medicine","DOI":"10.1097/CCM.0000000000002365","ISSN":"1530-0293","issue":"7","journalAbbreviation":"Crit Care Med","language":"eng","note":"PMID: 28437373","page":"1177-1183","source":"PubMed","title":"Resuscitation With Balanced Fluids Is Associated With Improved Survival in Pediatric Severe Sepsis","volume":"45","author":[{"family":"Emrath","given":"Elizabeth T."},{"family":"Fortenberry","given":"James D."},{"family":"Travers","given":"Curtis"},{"family":"McCracken","given":"Courtney E."},{"family":"Hebbar","given":"Kiran B."}],"issued":{"date-parts":[["2017",7]]}},"label":"page"}],"schema":"https://github.com/citation-style-language/schema/raw/master/csl-citation.json"} </w:instrText>
      </w:r>
      <w:r w:rsidR="00C872F1">
        <w:rPr>
          <w:rFonts w:ascii="Times New Roman" w:eastAsia="Calibri" w:hAnsi="Times New Roman"/>
          <w:color w:val="000000"/>
          <w:sz w:val="24"/>
          <w:szCs w:val="24"/>
        </w:rPr>
        <w:fldChar w:fldCharType="separate"/>
      </w:r>
      <w:r w:rsidR="00C872F1" w:rsidRPr="00C872F1">
        <w:rPr>
          <w:rFonts w:ascii="Times New Roman" w:hAnsi="Times New Roman" w:cs="Times New Roman"/>
          <w:sz w:val="24"/>
          <w:szCs w:val="24"/>
        </w:rPr>
        <w:t>(9–11)</w:t>
      </w:r>
      <w:r w:rsidR="00C872F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The child must be reevaluated regularly after each fluid bolus to assess the response and check for signs of fluid overload </w:t>
      </w:r>
      <w:r w:rsidR="00C872F1">
        <w:rPr>
          <w:rFonts w:ascii="Times New Roman" w:eastAsia="Calibri" w:hAnsi="Times New Roman"/>
          <w:color w:val="000000"/>
          <w:sz w:val="24"/>
          <w:szCs w:val="24"/>
        </w:rPr>
        <w:fldChar w:fldCharType="begin"/>
      </w:r>
      <w:r w:rsidR="00C872F1">
        <w:rPr>
          <w:rFonts w:ascii="Times New Roman" w:eastAsia="Calibri" w:hAnsi="Times New Roman"/>
          <w:color w:val="000000"/>
          <w:sz w:val="24"/>
          <w:szCs w:val="24"/>
        </w:rPr>
        <w:instrText xml:space="preserve"> ADDIN ZOTERO_ITEM CSL_CITATION {"citationID":"4iCdByrL","properties":{"formattedCitation":"(12,13)","plainCitation":"(12,13)","noteIndex":0},"citationItems":[{"id":104,"uris":["http://zotero.org/users/13480343/items/NQG8MHTX"],"itemData":{"id":104,"type":"article-journal","abstract":"Cardiogenic shock is a high-acuity, potentially complex, and hemodynamically diverse state of end-organ hypoperfusion that is frequently associated with multisystem organ failure. Despite improving survival in recent years, patient morbidity and mortality remain high, and there are few evidence-based therapeutic interventions known to clearly improve patient outcomes. This scientific statement on cardiogenic shock summarizes the epidemiology, pathophysiology, causes, and outcomes of cardiogenic shock; reviews contemporary best medical, surgical, mechanical circulatory support, and palliative care practices; advocates for the development of regionalized systems of care; and outlines future research priorities.","container-title":"Circulation","DOI":"10.1161/CIR.0000000000000525","ISSN":"1524-4539","issue":"16","journalAbbreviation":"Circulation","language":"eng","note":"PMID: 28923988","page":"e232-e268","source":"PubMed","title":"Contemporary Management of Cardiogenic Shock: A Scientific Statement From the American Heart Association","title-short":"Contemporary Management of Cardiogenic Shock","volume":"136","author":[{"family":"Diepen","given":"Sean","non-dropping-particle":"van"},{"family":"Katz","given":"Jason N."},{"family":"Albert","given":"Nancy M."},{"family":"Henry","given":"Timothy D."},{"family":"Jacobs","given":"Alice K."},{"family":"Kapur","given":"Navin K."},{"family":"Kilic","given":"Ahmet"},{"family":"Menon","given":"Venu"},{"family":"Ohman","given":"E. Magnus"},{"family":"Sweitzer","given":"Nancy K."},{"family":"Thiele","given":"Holger"},{"family":"Washam","given":"Jeffrey B."},{"family":"Cohen","given":"Mauricio G."},{"literal":"American Heart Association Council on Clinical Cardiology; Council on Cardiovascular and Stroke Nursing; Council on Quality of Care and Outcomes Research; and Mission: Lifeline"}],"issued":{"date-parts":[["2017",10,17]]}},"label":"page"},{"id":101,"uris":["http://zotero.org/users/13480343/items/63RTLRUL"],"itemData":{"id":101,"type":"article-journal","container-title":"European Heart Journal","DOI":"10.1093/eurheartj/ehw128","ISSN":"1522-9645","issue":"27","journalAbbreviation":"Eur Heart J","language":"eng","note":"PMID: 27206819","page":"2129-2200","source":"PubMed","title":"2016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der"},{"literal":"ESC Scientific Document Group"}],"issued":{"date-parts":[["2016",7,14]]}},"label":"page"}],"schema":"https://github.com/citation-style-language/schema/raw/master/csl-citation.json"} </w:instrText>
      </w:r>
      <w:r w:rsidR="00C872F1">
        <w:rPr>
          <w:rFonts w:ascii="Times New Roman" w:eastAsia="Calibri" w:hAnsi="Times New Roman"/>
          <w:color w:val="000000"/>
          <w:sz w:val="24"/>
          <w:szCs w:val="24"/>
        </w:rPr>
        <w:fldChar w:fldCharType="separate"/>
      </w:r>
      <w:r w:rsidR="00C872F1" w:rsidRPr="00C872F1">
        <w:rPr>
          <w:rFonts w:ascii="Times New Roman" w:hAnsi="Times New Roman" w:cs="Times New Roman"/>
          <w:sz w:val="24"/>
        </w:rPr>
        <w:t>(12,13)</w:t>
      </w:r>
      <w:r w:rsidR="00C872F1">
        <w:rPr>
          <w:rFonts w:ascii="Times New Roman" w:eastAsia="Calibri" w:hAnsi="Times New Roman"/>
          <w:color w:val="000000"/>
          <w:sz w:val="24"/>
          <w:szCs w:val="24"/>
        </w:rPr>
        <w:fldChar w:fldCharType="end"/>
      </w:r>
      <w:r>
        <w:rPr>
          <w:rFonts w:ascii="Times New Roman" w:eastAsia="Calibri" w:hAnsi="Times New Roman"/>
          <w:color w:val="000000"/>
          <w:sz w:val="24"/>
          <w:szCs w:val="24"/>
        </w:rPr>
        <w:t xml:space="preserve">. With regard to vasopressor amines, no clinically relevant advantage of </w:t>
      </w:r>
      <w:r w:rsidR="005F6473" w:rsidRPr="005F6473">
        <w:rPr>
          <w:rFonts w:ascii="Times New Roman" w:eastAsia="Calibri" w:hAnsi="Times New Roman"/>
          <w:color w:val="000000"/>
          <w:sz w:val="24"/>
          <w:szCs w:val="24"/>
        </w:rPr>
        <w:t>adrenaline</w:t>
      </w:r>
      <w:r>
        <w:rPr>
          <w:rFonts w:ascii="Times New Roman" w:eastAsia="Calibri" w:hAnsi="Times New Roman"/>
          <w:color w:val="000000"/>
          <w:sz w:val="24"/>
          <w:szCs w:val="24"/>
        </w:rPr>
        <w:t xml:space="preserve"> over </w:t>
      </w:r>
      <w:r w:rsidR="005F6473">
        <w:rPr>
          <w:rFonts w:ascii="Times New Roman" w:eastAsia="Calibri" w:hAnsi="Times New Roman"/>
          <w:color w:val="000000"/>
          <w:sz w:val="24"/>
          <w:szCs w:val="24"/>
          <w:lang w:val="fr-SN"/>
        </w:rPr>
        <w:t>n</w:t>
      </w:r>
      <w:r w:rsidR="005F6473" w:rsidRPr="005F6473">
        <w:rPr>
          <w:rFonts w:ascii="Times New Roman" w:eastAsia="Calibri" w:hAnsi="Times New Roman"/>
          <w:color w:val="000000"/>
          <w:sz w:val="24"/>
          <w:szCs w:val="24"/>
        </w:rPr>
        <w:t>oradrenaline</w:t>
      </w:r>
      <w:r>
        <w:rPr>
          <w:rFonts w:ascii="Times New Roman" w:eastAsia="Calibri" w:hAnsi="Times New Roman"/>
          <w:color w:val="000000"/>
          <w:sz w:val="24"/>
          <w:szCs w:val="24"/>
        </w:rPr>
        <w:t xml:space="preserve"> has been found in the literature </w:t>
      </w:r>
      <w:r w:rsidR="00C872F1">
        <w:rPr>
          <w:rFonts w:ascii="Times New Roman" w:eastAsia="Calibri" w:hAnsi="Times New Roman"/>
          <w:color w:val="000000"/>
          <w:sz w:val="24"/>
          <w:szCs w:val="24"/>
        </w:rPr>
        <w:fldChar w:fldCharType="begin"/>
      </w:r>
      <w:r w:rsidR="00C872F1">
        <w:rPr>
          <w:rFonts w:ascii="Times New Roman" w:eastAsia="Calibri" w:hAnsi="Times New Roman"/>
          <w:color w:val="000000"/>
          <w:sz w:val="24"/>
          <w:szCs w:val="24"/>
        </w:rPr>
        <w:instrText xml:space="preserve"> ADDIN ZOTERO_ITEM CSL_CITATION {"citationID":"9GaBL9eB","properties":{"formattedCitation":"(14\\uc0\\u8211{}16)","plainCitation":"(14–16)","noteIndex":0},"citationItems":[{"id":58,"uris":["http://zotero.org/users/13480343/items/V8SWBMVK"],"itemData":{"id":58,"type":"article-journal","abstract":"BACKGROUND: We conducted this study to investigate whether norepinephrine increases cardiac contractility when administered during the early phase of septic shock.\nMETHODS: We studied 38 patients with septic shock who had been resuscitated for &lt;3 h and whose mean arterial pressure (MAP) remained &lt;65 mm Hg. Echocardiographic variables were obtained before (T0) and after either initiation or an increase in the dose of a norepinephrine infusion to increase MAP to ≥ 65 mm Hg (T1). We collected left ventricular ejection fraction (LVEF), velocity-time integral of the left ventricular outflow tract (VTI), tissue Doppler imaging of mean systolic velocity of the lateral tricuspid annulus (Sa) and of the lateral mitral annulus (Sm), and tricuspid annular plane systolic excursion (TAPSE).\nRESULTS: There were significant (P&lt;0.05) increases from T0 to T1 in MAP [mean (sd): from 56 (7) to 80 (9) mm Hg], LVEF [from 49 (13) to 56 (13)%], VTI [from 18 (5) to 20 (6) cm], Sm [from 10.8 (5.1) to 12.1 (5.0) cm s-1], TAPSE [from 1.8 (0.5) to 2.0 (0.5) cm], and Sa [from 13.0 (5.6) to 15.1 (6.4) cm s-1]. In the subgroup of 15 patients with LVEF ≤45%, significant increases in VTI [from 16 (8) to 18 (7) cm] and in LVEF [from 36 (7) to 44 (10)%] were observed.\nCONCLUSIONS: Norepinephrine administration during early resuscitation in patients with septic shock increased the cardiac systolic function despite the presumed increase in left ventricular afterload secondary to the increased arterial pressure. Whether such an effect persists over time remains to be evaluated.\nCLINICAL TRIAL REGISTRATION: NCT02750683.","container-title":"British Journal of Anaesthesia","DOI":"10.1016/j.bja.2017.11.065","ISSN":"1471-6771","issue":"3","journalAbbreviation":"Br J Anaesth","language":"eng","note":"PMID: 29452808","page":"517-524","source":"PubMed","title":"Norepinephrine exerts an inotropic effect during the early phase of human septic shock","volume":"120","author":[{"family":"Hamzaoui","given":"O."},{"family":"Jozwiak","given":"M."},{"family":"Geffriaud","given":"T."},{"family":"Sztrymf","given":"B."},{"family":"Prat","given":"D."},{"family":"Jacobs","given":"F."},{"family":"Monnet","given":"X."},{"family":"Trouiller","given":"P."},{"family":"Richard","given":"C."},{"family":"Teboul","given":"J. L."}],"issued":{"date-parts":[["2018",3]]}},"label":"page"},{"id":67,"uris":["http://zotero.org/users/13480343/items/Q75THJLV"],"itemData":{"id":67,"type":"article-journal","abstract":"OBJECTIVE: To provide an update to \"Surviving Sepsis Campaign Guidelines for Management of Sepsis and Septic Shock: 2012\".\nDESIGN: A consensus committee of 55 international experts representing 25 international organizations was convened. Nominal groups were assembled at key international meetings (for those committee members attending the conference). A formal conflict-of-interest (COI) policy was developed at the onset of the process and enforced throughout. A stand-alone meeting was held for all panel members in December 2015. Teleconferences and electronic-based discussion among subgroups and among the entire committee served as an integral part of the development.\nMETHODS: The panel consisted of five sections: hemodynamics, infection, adjunctive therapies, metabolic, and ventilation. Population, intervention, comparison, and outcomes (PICO) questions were reviewed and updated as needed, and evidence profiles were generated. Each subgroup generated a list of questions, searched for best available evidence, and then followed the principles of the Grading of Recommendations Assessment, Development, and Evaluation (GRADE) system to assess the quality of evidence from high to very low, and to formulate recommendations as strong or weak, or best practice statement when applicable.\nRESULTS: The Surviving Sepsis Guideline panel provided 93 statements on early management and resuscitation of patients with sepsis or septic shock. Overall, 32 were strong recommendations, 39 were weak recommendations, and 18 were best-practice statements. No recommendation was provided for four questions.\nCONCLUSIONS: Substantial agreement exists among a large cohort of international experts regarding many strong recommendations for the best care of patients with sepsis. Although a significant number of aspects of care have relatively weak support, evidence-based recommendations regarding the acute management of sepsis and septic shock are the foundation of improved outcomes for these critically ill patients with high mortality.","container-title":"Intensive Care Medicine","DOI":"10.1007/s00134-017-4683-6","ISSN":"1432-1238","issue":"3","journalAbbreviation":"Intensive Care Med","language":"eng","note":"PMID: 28101605","page":"304-377","source":"PubMed","title":"Surviving Sepsis Campaign: International Guidelines for Management of Sepsis and Septic Shock: 2016","title-short":"Surviving Sepsis Campaign","volume":"43","author":[{"family":"Rhodes","given":"Andrew"},{"family":"Evans","given":"Laura E."},{"family":"Alhazzani","given":"Waleed"},{"family":"Levy","given":"Mitchell M."},{"family":"Antonelli","given":"Massimo"},{"family":"Ferrer","given":"Ricard"},{"family":"Kumar","given":"Anand"},{"family":"Sevransky","given":"Jonathan E."},{"family":"Sprung","given":"Charles L."},{"family":"Nunnally","given":"Mark E."},{"family":"Rochwerg","given":"Bram"},{"family":"Rubenfeld","given":"Gordon D."},{"family":"Angus","given":"Derek C."},{"family":"Annane","given":"Djillali"},{"family":"Beale","given":"Richard J."},{"family":"Bellinghan","given":"Geoffrey J."},{"family":"Bernard","given":"Gordon R."},{"family":"Chiche","given":"Jean-Daniel"},{"family":"Coopersmith","given":"Craig"},{"family":"De Backer","given":"Daniel P."},{"family":"French","given":"Craig J."},{"family":"Fujishima","given":"Seitaro"},{"family":"Gerlach","given":"Herwig"},{"family":"Hidalgo","given":"Jorge Luis"},{"family":"Hollenberg","given":"Steven M."},{"family":"Jones","given":"Alan E."},{"family":"Karnad","given":"Dilip R."},{"family":"Kleinpell","given":"Ruth M."},{"family":"Koh","given":"Younsuk"},{"family":"Lisboa","given":"Thiago Costa"},{"family":"Machado","given":"Flavia R."},{"family":"Marini","given":"John J."},{"family":"Marshall","given":"John C."},{"family":"Mazuski","given":"John E."},{"family":"McIntyre","given":"Lauralyn A."},{"family":"McLean","given":"Anthony S."},{"family":"Mehta","given":"Sangeeta"},{"family":"Moreno","given":"Rui P."},{"family":"Myburgh","given":"John"},{"family":"Navalesi","given":"Paolo"},{"family":"Nishida","given":"Osamu"},{"family":"Osborn","given":"Tiffany M."},{"family":"Perner","given":"Anders"},{"family":"Plunkett","given":"Colleen M."},{"family":"Ranieri","given":"Marco"},{"family":"Schorr","given":"Christa A."},{"family":"Seckel","given":"Maureen A."},{"family":"Seymour","given":"Christopher W."},{"family":"Shieh","given":"Lisa"},{"family":"Shukri","given":"Khalid A."},{"family":"Simpson","given":"Steven Q."},{"family":"Singer","given":"Mervyn"},{"family":"Thompson","given":"B. Taylor"},{"family":"Townsend","given":"Sean R."},{"family":"Van der Poll","given":"Thomas"},{"family":"Vincent","given":"Jean-Louis"},{"family":"Wiersinga","given":"W. Joost"},{"family":"Zimmerman","given":"Janice L."},{"family":"Dellinger","given":"R. Phillip"}],"issued":{"date-parts":[["2017",3]]}},"label":"page"},{"id":70,"uris":["http://zotero.org/users/13480343/items/65PVFETI"],"itemData":{"id":70,"type":"article-journal","abstract":"OBJECTIVE: To determine whether there was a difference between epinephrine and norepinephrine in achieving a mean arterial pressure (MAP) goal in intensive care (ICU) patients.\nDESIGN: Prospective, double-blind, randomised-controlled trial.\nSETTING: Four Australian university-affiliated multidisciplinary ICUs.\nPATIENTS AND PARTICIPANTS: Patients who required vasopressors for any cause at randomisation. Patients with septic shock and acute circulatory failure were analysed separately.\nINTERVENTIONS: Blinded infusions of epinephrine or norepinephrine to achieve a MAP &gt;or=70 mmHg for the duration of ICU admission.\nMEASUREMENTS: Primary outcome was achievement of MAP goal &gt;24 h without vasopressors. Secondary outcomes were 28 and 90-day mortality. Two hundred and eighty patients were randomised to receive either epinephrine or norepinephrine. Median time to achieve the MAP goal was 35.1 h (interquartile range (IQR) 13.8-70.4 h) with epinephrine compared to 40.0 h (IQR 14.5-120 h) with norepinephrine (relative risk (RR) 0.88; 95% confidence interval (CI) 0.69-1.12; P = 0.26). There was no difference in the time to achieve MAP goals in the subgroups of patients with severe sepsis (n = 158; RR 0.81; 95% CI 0.59-1.12; P = 0.18) or those with acute circulatory failure (n = 192; RR 0.89; 95% CI 0.62-1.27; P = 0.49) between epinephrine and norepinephrine. Epinephrine was associated with the development of significant but transient metabolic effects that prompted the withdrawal of 18/139 (12.9%) patients from the study by attending clinicians. There was no difference in 28 and 90-day mortality.\nCONCLUSIONS: Despite the development of potential drug-related effects with epinephrine, there was no difference in the achievement of a MAP goal between epinephrine and norepinephrine in a heterogenous population of ICU patients.","container-title":"Intensive Care Medicine","DOI":"10.1007/s00134-008-1219-0","ISSN":"0342-4642","issue":"12","journalAbbreviation":"Intensive Care Med","language":"eng","note":"PMID: 18654759","page":"2226-2234","source":"PubMed","title":"A comparison of epinephrine and norepinephrine in critically ill patients","volume":"34","author":[{"family":"Myburgh","given":"John A."},{"family":"Higgins","given":"Alisa"},{"family":"Jovanovska","given":"Alina"},{"family":"Lipman","given":"Jeffrey"},{"family":"Ramakrishnan","given":"Naresh"},{"family":"Santamaria","given":"John"},{"literal":"CAT Study investigators"}],"issued":{"date-parts":[["2008",12]]}},"label":"page"}],"schema":"https://github.com/citation-style-language/schema/raw/master/csl-citation.json"} </w:instrText>
      </w:r>
      <w:r w:rsidR="00C872F1">
        <w:rPr>
          <w:rFonts w:ascii="Times New Roman" w:eastAsia="Calibri" w:hAnsi="Times New Roman"/>
          <w:color w:val="000000"/>
          <w:sz w:val="24"/>
          <w:szCs w:val="24"/>
        </w:rPr>
        <w:fldChar w:fldCharType="separate"/>
      </w:r>
      <w:r w:rsidR="00C872F1" w:rsidRPr="00C872F1">
        <w:rPr>
          <w:rFonts w:ascii="Times New Roman" w:hAnsi="Times New Roman" w:cs="Times New Roman"/>
          <w:sz w:val="24"/>
          <w:szCs w:val="24"/>
        </w:rPr>
        <w:t>(14–16)</w:t>
      </w:r>
      <w:r w:rsidR="00C872F1">
        <w:rPr>
          <w:rFonts w:ascii="Times New Roman" w:eastAsia="Calibri" w:hAnsi="Times New Roman"/>
          <w:color w:val="000000"/>
          <w:sz w:val="24"/>
          <w:szCs w:val="24"/>
        </w:rPr>
        <w:fldChar w:fldCharType="end"/>
      </w:r>
      <w:r>
        <w:rPr>
          <w:rFonts w:ascii="Times New Roman" w:eastAsia="Calibri" w:hAnsi="Times New Roman"/>
          <w:color w:val="000000"/>
          <w:sz w:val="24"/>
          <w:szCs w:val="24"/>
        </w:rPr>
        <w:t>.</w:t>
      </w:r>
      <w:r w:rsidR="0028213B">
        <w:rPr>
          <w:rFonts w:ascii="Times New Roman" w:eastAsia="Calibri" w:hAnsi="Times New Roman"/>
          <w:color w:val="000000"/>
          <w:sz w:val="24"/>
          <w:szCs w:val="24"/>
          <w:lang w:val="fr-SN"/>
        </w:rPr>
        <w:t xml:space="preserve"> </w:t>
      </w:r>
      <w:proofErr w:type="spellStart"/>
      <w:r w:rsidR="005F6473">
        <w:rPr>
          <w:rFonts w:ascii="Times New Roman" w:eastAsia="Calibri" w:hAnsi="Times New Roman"/>
          <w:color w:val="000000"/>
          <w:sz w:val="24"/>
          <w:szCs w:val="24"/>
          <w:lang w:val="fr-SN"/>
        </w:rPr>
        <w:t>They</w:t>
      </w:r>
      <w:proofErr w:type="spellEnd"/>
      <w:r w:rsidR="005F6473" w:rsidRPr="005F6473">
        <w:rPr>
          <w:rFonts w:ascii="Times New Roman" w:eastAsia="Calibri" w:hAnsi="Times New Roman"/>
          <w:color w:val="000000"/>
          <w:sz w:val="24"/>
          <w:szCs w:val="24"/>
        </w:rPr>
        <w:t xml:space="preserve"> are both inotropic and vasopressive drugs, with noradrenaline having a predominantly vasopressive effect and adrenaline having a predominantly inotropic effect. While the new recommendations are clear on the superiority of these two agents over dopamine, they do not specify which vasoactive agent should be used as first-line treatment. Noradrenaline is preferred to increase vascular resistance in the absence of myocardial dysfunction, and adrenaline in cases of myocardial dysfunction, but it has been shown that the clinical distinction is not always easy and may</w:t>
      </w:r>
      <w:r w:rsidR="005F6473">
        <w:rPr>
          <w:rFonts w:ascii="Times New Roman" w:eastAsia="Calibri" w:hAnsi="Times New Roman"/>
          <w:color w:val="000000"/>
          <w:sz w:val="24"/>
          <w:szCs w:val="24"/>
          <w:lang w:val="fr-SN"/>
        </w:rPr>
        <w:t xml:space="preserve"> </w:t>
      </w:r>
      <w:r w:rsidR="005F6473">
        <w:rPr>
          <w:rFonts w:ascii="Times New Roman" w:eastAsia="Calibri" w:hAnsi="Times New Roman"/>
          <w:color w:val="000000"/>
          <w:sz w:val="24"/>
          <w:szCs w:val="24"/>
          <w:lang w:val="fr-SN"/>
        </w:rPr>
        <w:fldChar w:fldCharType="begin"/>
      </w:r>
      <w:r w:rsidR="005F6473">
        <w:rPr>
          <w:rFonts w:ascii="Times New Roman" w:eastAsia="Calibri" w:hAnsi="Times New Roman"/>
          <w:color w:val="000000"/>
          <w:sz w:val="24"/>
          <w:szCs w:val="24"/>
          <w:lang w:val="fr-SN"/>
        </w:rPr>
        <w:instrText xml:space="preserve"> ADDIN ZOTERO_ITEM CSL_CITATION {"citationID":"dhh0jorr","properties":{"formattedCitation":"(9)","plainCitation":"(9)","noteIndex":0},"citationItems":[{"id":55,"uris":["http://zotero.org/users/13480343/items/VGVNXL5B"],"itemData":{"id":55,"type":"article-journal","abstract":"OBJECTIVES: To develop evidence-based recommendations for clinicians caring for children (including infants, school-aged children, and adolescents) with septic shock and other sepsis-associated organ dysfunction.\nDESIGN: A panel of 49 international experts, representing 12 international organizations, as well as three methodologists and three public members was convened. Panel members assembled at key international meetings (for those panel members attending the conference), and a stand-alone meeting was held for all panel members in November 2018. A formal conflict-of-interest policy was developed at the onset of the process and enforced throughout. Teleconferences and electronic-based discussion among the chairs, co-chairs, methodologists, and group heads, as well as within subgroups, served as an integral part of the guideline development process.\nMETHODS: The panel consisted of six subgroups: recognition and management of infection, hemodynamics and resuscitation, ventilation, endocrine and metabolic therapies, adjunctive therapies, and research priorities. We conducted a systematic review for each Population, Intervention, Control, and Outcomes question to identify the best available evidence, statistically summarized the evidence, and then assessed the quality of evidence using the Grading of Recommendations Assessment, Development, and Evaluation approach. We used the evidence-to-decision framework to formulate recommendations as strong or weak, or as a best practice statement. In addition, \"in our practice\" statements were included when evidence was inconclusive to issue a recommendation, but the panel felt that some guidance based on practice patterns may be appropriate.\nRESULTS: The panel provided 77 statements on the management and resuscitation of children with septic shock and other sepsis-associated organ dysfunction. Overall, six were strong recommendations, 52 were weak recommendations, and nine were best-practice statements. For 13 questions, no recommendations could be made; but, for 10 of these, \"in our practice\" statements were provided. In addition, 49 research priorities were identified.\nCONCLUSIONS: A large cohort of international experts was able to achieve consensus regarding many recommendations for the best care of children with sepsis, acknowledging that most aspects of care had relatively low quality of evidence resulting in the frequent issuance of weak recommendations. Despite this challenge, these recommendations regarding the management of children with septic shock and other sepsis-associated organ dysfunction provide a foundation for consistent care to improve outcomes and inform future research.","container-title":"Pediatric Critical Care Medicine: A Journal of the Society of Critical Care Medicine and the World Federation of Pediatric Intensive and Critical Care Societies","DOI":"10.1097/PCC.0000000000002198","ISSN":"1529-7535","issue":"2","journalAbbreviation":"Pediatr Crit Care Med","language":"eng","note":"PMID: 32032273","page":"e52-e106","source":"PubMed","title":"Surviving Sepsis Campaign International Guidelines for the Management of Septic Shock and Sepsis-Associated Organ Dysfunction in Children","volume":"21","author":[{"family":"Weiss","given":"Scott L."},{"family":"Peters","given":"Mark J."},{"family":"Alhazzani","given":"Waleed"},{"family":"Agus","given":"Michael S. D."},{"family":"Flori","given":"Heidi R."},{"family":"Inwald","given":"David P."},{"family":"Nadel","given":"Simon"},{"family":"Schlapbach","given":"Luregn J."},{"family":"Tasker","given":"Robert C."},{"family":"Argent","given":"Andrew C."},{"family":"Brierley","given":"Joe"},{"family":"Carcillo","given":"Joseph"},{"family":"Carrol","given":"Enitan D."},{"family":"Carroll","given":"Christopher L."},{"family":"Cheifetz","given":"Ira M."},{"family":"Choong","given":"Karen"},{"family":"Cies","given":"Jeffry J."},{"family":"Cruz","given":"Andrea T."},{"family":"De Luca","given":"Daniele"},{"family":"Deep","given":"Akash"},{"family":"Faust","given":"Saul N."},{"family":"De Oliveira","given":"Claudio Flauzino"},{"family":"Hall","given":"Mark W."},{"family":"Ishimine","given":"Paul"},{"family":"Javouhey","given":"Etienne"},{"family":"Joosten","given":"Koen F. M."},{"family":"Joshi","given":"Poonam"},{"family":"Karam","given":"Oliver"},{"family":"Kneyber","given":"Martin C. J."},{"family":"Lemson","given":"Joris"},{"family":"MacLaren","given":"Graeme"},{"family":"Mehta","given":"Nilesh M."},{"family":"Møller","given":"Morten Hylander"},{"family":"Newth","given":"Christopher J. L."},{"family":"Nguyen","given":"Trung C."},{"family":"Nishisaki","given":"Akira"},{"family":"Nunnally","given":"Mark E."},{"family":"Parker","given":"Margaret M."},{"family":"Paul","given":"Raina M."},{"family":"Randolph","given":"Adrienne G."},{"family":"Ranjit","given":"Suchitra"},{"family":"Romer","given":"Lewis H."},{"family":"Scott","given":"Halden F."},{"family":"Tume","given":"Lyvonne N."},{"family":"Verger","given":"Judy T."},{"family":"Williams","given":"Eric A."},{"family":"Wolf","given":"Joshua"},{"family":"Wong","given":"Hector R."},{"family":"Zimmerman","given":"Jerry J."},{"family":"Kissoon","given":"Niranjan"},{"family":"Tissieres","given":"Pierre"}],"issued":{"date-parts":[["2020",2]]}}}],"schema":"https://github.com/citation-style-language/schema/raw/master/csl-citation.json"} </w:instrText>
      </w:r>
      <w:r w:rsidR="005F6473">
        <w:rPr>
          <w:rFonts w:ascii="Times New Roman" w:eastAsia="Calibri" w:hAnsi="Times New Roman"/>
          <w:color w:val="000000"/>
          <w:sz w:val="24"/>
          <w:szCs w:val="24"/>
          <w:lang w:val="fr-SN"/>
        </w:rPr>
        <w:fldChar w:fldCharType="separate"/>
      </w:r>
      <w:r w:rsidR="005F6473" w:rsidRPr="005F6473">
        <w:rPr>
          <w:rFonts w:ascii="Times New Roman" w:hAnsi="Times New Roman" w:cs="Times New Roman"/>
          <w:sz w:val="24"/>
        </w:rPr>
        <w:t>(9)</w:t>
      </w:r>
      <w:r w:rsidR="005F6473">
        <w:rPr>
          <w:rFonts w:ascii="Times New Roman" w:eastAsia="Calibri" w:hAnsi="Times New Roman"/>
          <w:color w:val="000000"/>
          <w:sz w:val="24"/>
          <w:szCs w:val="24"/>
          <w:lang w:val="fr-SN"/>
        </w:rPr>
        <w:fldChar w:fldCharType="end"/>
      </w:r>
      <w:r>
        <w:rPr>
          <w:rFonts w:ascii="Times New Roman" w:eastAsia="Calibri" w:hAnsi="Times New Roman"/>
          <w:color w:val="000000"/>
          <w:sz w:val="24"/>
          <w:szCs w:val="24"/>
        </w:rPr>
        <w:t xml:space="preserve">. </w:t>
      </w:r>
      <w:r w:rsidR="00AD77A4" w:rsidRPr="00AD77A4">
        <w:rPr>
          <w:rFonts w:ascii="Times New Roman" w:eastAsia="Calibri" w:hAnsi="Times New Roman"/>
          <w:color w:val="000000"/>
          <w:sz w:val="24"/>
          <w:szCs w:val="24"/>
        </w:rPr>
        <w:t>The new recommendations are clear on the urgency of starting probabilistic antibiotic therapy within one hour of clinical suspicion of severe sepsis, along with rapid identification and treatment of the site(s) of infection. Blood cultures should be obtained before starting antibiotic therapy and without delaying its administration. It is recommended to start broad-spectrum antibiotic therapy with one or more antimicrobials to cover the likely pathogens. For children with no history of severe community-acquired sepsis, a third-generation cephalosporin may be sufficient, but an aminoglycoside may be added to broaden the spectrum. Vancomycin should be added in settings where methicillin-resistant Staphylococcus aureus or third-generation cephalosporin-resistant pneumococci are common. For immunocompromised patients or hospital-acquired sepsis, antimicrobial treatment should begin with a higher-generation cephalosporin (cefepime), a combination of penicillin and a broad-spectrum beta-lactamase inhibitor (piperacillin/tazobactam), or a broad-spectrum carbapenem (meropenem)</w:t>
      </w:r>
      <w:r w:rsidR="00AD77A4">
        <w:rPr>
          <w:rFonts w:ascii="Times New Roman" w:eastAsia="Calibri" w:hAnsi="Times New Roman"/>
          <w:color w:val="000000"/>
          <w:sz w:val="24"/>
          <w:szCs w:val="24"/>
          <w:lang w:val="fr-SN"/>
        </w:rPr>
        <w:t xml:space="preserve"> </w:t>
      </w:r>
      <w:r w:rsidR="002515BA">
        <w:rPr>
          <w:rFonts w:ascii="Times New Roman" w:eastAsia="Calibri" w:hAnsi="Times New Roman"/>
          <w:color w:val="000000"/>
          <w:sz w:val="24"/>
          <w:szCs w:val="24"/>
          <w:lang w:val="fr-SN"/>
        </w:rPr>
        <w:fldChar w:fldCharType="begin"/>
      </w:r>
      <w:r w:rsidR="002515BA">
        <w:rPr>
          <w:rFonts w:ascii="Times New Roman" w:eastAsia="Calibri" w:hAnsi="Times New Roman"/>
          <w:color w:val="000000"/>
          <w:sz w:val="24"/>
          <w:szCs w:val="24"/>
          <w:lang w:val="fr-SN"/>
        </w:rPr>
        <w:instrText xml:space="preserve"> ADDIN ZOTERO_ITEM CSL_CITATION {"citationID":"zy5fUkur","properties":{"formattedCitation":"(17)","plainCitation":"(17)","noteIndex":0},"citationItems":[{"id":340,"uris":["http://zotero.org/users/13480343/items/8QLXQAHU"],"itemData":{"id":340,"type":"article-journal","abstract":"Severe sepsis in children is an absolute medical emergency and early management is essential to improve prognosis. The diagnosis is clinical and is based on the presence of signs of shock together with a documented or suspected infection. Clinical assessment is done systematically according to the ABCDE (Airways – Breathing – Circulation – Disability – Exposition/Environnement) approach and should be repeated regularly, at least after each therapeutic intervention. Arterial hypotension is a late sign in children and its absence does not rule out the diagnosis. In more than half of cases, severe sepsis occurs in children with comorbidities. The main sites of infection are pneumonia, central nervous system infections, intra-abdominal infections and bacteremia of unknown origin. Although in almost half of the cases there is no microbiological documentation, early blood cultures, when clinically appropriate, are essential. Management (guidelines were updated in 2020) is based on high-concentration oxygen therapy, peripheral or intraosseous access, urgent administration of antibiotics, ﬂuid boluses of 10–20 mL/kg of crystalloids (balanced crystalloids as ﬁrst choice) to be renewed up to 40–60 mL/kg in the event of persistent signs of shock and in the absence of signs of increased pre-load. Early use of vasopressors (noradrenaline or adrenaline) is essential. This should be done within 1 hour of the suspected diagnosis. The patient should be transferred as soon as possible to a pediatric critical care unit for speciﬁc and individualized management guided by multimodal monitoring.","container-title":"Perfectionnement en Pédiatrie","DOI":"10.1016/j.perped.2023.04.001","ISSN":"2588932X","issue":"2","journalAbbreviation":"Perfectionnement en Pédiatrie","language":"fr","page":"134-142","source":"DOI.org (Crossref)","title":"Sepsis sévère chez l’enfant","volume":"6","author":[{"family":"Levy","given":"Michael"},{"family":"Lacarra","given":"Boris"},{"family":"Naudin","given":"Jérôme"},{"family":"Dauger","given":"Stéphane"}],"issued":{"date-parts":[["2023",6]]}}}],"schema":"https://github.com/citation-style-language/schema/raw/master/csl-citation.json"} </w:instrText>
      </w:r>
      <w:r w:rsidR="002515BA">
        <w:rPr>
          <w:rFonts w:ascii="Times New Roman" w:eastAsia="Calibri" w:hAnsi="Times New Roman"/>
          <w:color w:val="000000"/>
          <w:sz w:val="24"/>
          <w:szCs w:val="24"/>
          <w:lang w:val="fr-SN"/>
        </w:rPr>
        <w:fldChar w:fldCharType="separate"/>
      </w:r>
      <w:r w:rsidR="002515BA" w:rsidRPr="002515BA">
        <w:rPr>
          <w:rFonts w:ascii="Times New Roman" w:hAnsi="Times New Roman" w:cs="Times New Roman"/>
          <w:sz w:val="24"/>
        </w:rPr>
        <w:t>(17)</w:t>
      </w:r>
      <w:r w:rsidR="002515BA">
        <w:rPr>
          <w:rFonts w:ascii="Times New Roman" w:eastAsia="Calibri" w:hAnsi="Times New Roman"/>
          <w:color w:val="000000"/>
          <w:sz w:val="24"/>
          <w:szCs w:val="24"/>
          <w:lang w:val="fr-SN"/>
        </w:rPr>
        <w:fldChar w:fldCharType="end"/>
      </w:r>
      <w:r w:rsidR="00AD77A4" w:rsidRPr="00AD77A4">
        <w:rPr>
          <w:rFonts w:ascii="Times New Roman" w:eastAsia="Calibri" w:hAnsi="Times New Roman"/>
          <w:color w:val="000000"/>
          <w:sz w:val="24"/>
          <w:szCs w:val="24"/>
        </w:rPr>
        <w:t>.</w:t>
      </w:r>
      <w:r w:rsidR="00AD77A4">
        <w:rPr>
          <w:rFonts w:ascii="Times New Roman" w:eastAsia="Calibri" w:hAnsi="Times New Roman"/>
          <w:color w:val="000000"/>
          <w:sz w:val="24"/>
          <w:szCs w:val="24"/>
          <w:lang w:val="fr-SN"/>
        </w:rPr>
        <w:t xml:space="preserve"> </w:t>
      </w:r>
      <w:r w:rsidR="00DB1FEF" w:rsidRPr="00DB1FEF">
        <w:rPr>
          <w:rFonts w:ascii="Times New Roman" w:eastAsia="Calibri" w:hAnsi="Times New Roman"/>
          <w:color w:val="000000"/>
          <w:sz w:val="24"/>
          <w:szCs w:val="24"/>
        </w:rPr>
        <w:t xml:space="preserve">Evidence for the use of steroids in pediatric shock is limited and yields conflicting results. One study showed that children with septic shock who received corticosteroids did not experience an improvement in mortality, the number of days on vasoactive infusion, or length of hospital stay </w:t>
      </w:r>
      <w:r w:rsidR="000E2C61">
        <w:rPr>
          <w:rFonts w:ascii="Times New Roman" w:eastAsia="Calibri" w:hAnsi="Times New Roman"/>
          <w:color w:val="000000"/>
          <w:sz w:val="24"/>
          <w:szCs w:val="24"/>
        </w:rPr>
        <w:fldChar w:fldCharType="begin"/>
      </w:r>
      <w:r w:rsidR="002515BA">
        <w:rPr>
          <w:rFonts w:ascii="Times New Roman" w:eastAsia="Calibri" w:hAnsi="Times New Roman"/>
          <w:color w:val="000000"/>
          <w:sz w:val="24"/>
          <w:szCs w:val="24"/>
        </w:rPr>
        <w:instrText xml:space="preserve"> ADDIN ZOTERO_ITEM CSL_CITATION {"citationID":"6m0X381F","properties":{"formattedCitation":"(18)","plainCitation":"(18)","noteIndex":0},"citationItems":[{"id":72,"uris":["http://zotero.org/users/13480343/items/BGT8QIBX"],"itemData":{"id":72,"type":"article-journal","abstract":"Objective: \n          To assess whether corticosteroids, used as adjunctive therapy for pediatric severe sepsis, is associated with improved outcomes.\n          Design: \n          Retrospective cohort study examining the clinical database derived from the RESOLVE (REsearching severe Sepsis and Organ dysfunction in children: a gLobal perspective, F1K-MC-EVBP) trial of activated protein C for pediatric severe sepsis.\n          Setting: \n          A total of 104 pediatric centers in 18 countries from which data were originally gathered.\n          Subjects: \n          Children with severe sepsis (n = 477), requiring both vasoactive-inotropic infusions and mechanical ventilation. Within this cohort, 193 children received corticosteroids during their septic episode and 284 did not.\n          Interventions: \n          None.\n          Measurements and Main Results: \n          Baseline summary characteristics demonstrated that children receiving or not receiving corticosteroids had similar demographics and disease severity as indicated by age, gender, mean Pediatric Risk of Mortality scores, and mean number of organ dysfunctions. Use of adjunctive corticosteroids increased during the F1K-MC-EVBP trial. Indications for corticosteroid prescription were therapeutic (89%, mostly shock) and prophylactic (13%). All cause 28-day mortality among children receiving and not receiving corticosteroids was 15.1% and 18.8%, respectively, p = .30. There was no difference in mean vasoactive-inotropic infusion days between the corticosteroid and no corticosteroid groups, 4.5 days vs. 4.3 days, respectively, p = .59. Similarly there was no difference in mean ventilator days between the corticosteroid and no corticosteroid groups, 8.3 days vs. 7.7 days, respectively, p = .38.\n          Conclusions: \n          Children with severe sepsis who received adjunctive corticosteroid therapy exhibited similar illness severity compared with those who did not. No definitive improvement in outcomes can be attributable to adjunctive corticosteroid therapy in the largest pediatric sepsis trial conducted to date.","container-title":"Pediatric Critical Care Medicine","DOI":"10.1097/PCC.0b013e3181d903f6","ISSN":"1529-7535","issue":"1","language":"en-US","page":"2","source":"journals.lww.com","title":"Adjunctive corticosteroid therapy in pediatric severe sepsis: Observations from the RESOLVE study*","title-short":"Adjunctive corticosteroid therapy in pediatric severe sepsis","volume":"12","author":[{"family":"Zimmerman","given":"Jerry J."},{"family":"Williams","given":"Mark D."}],"issued":{"date-parts":[["2011",1]]}}}],"schema":"https://github.com/citation-style-language/schema/raw/master/csl-citation.json"} </w:instrText>
      </w:r>
      <w:r w:rsidR="000E2C61">
        <w:rPr>
          <w:rFonts w:ascii="Times New Roman" w:eastAsia="Calibri" w:hAnsi="Times New Roman"/>
          <w:color w:val="000000"/>
          <w:sz w:val="24"/>
          <w:szCs w:val="24"/>
        </w:rPr>
        <w:fldChar w:fldCharType="separate"/>
      </w:r>
      <w:r w:rsidR="002515BA" w:rsidRPr="002515BA">
        <w:rPr>
          <w:rFonts w:ascii="Times New Roman" w:hAnsi="Times New Roman" w:cs="Times New Roman"/>
          <w:sz w:val="24"/>
        </w:rPr>
        <w:t>(18)</w:t>
      </w:r>
      <w:r w:rsidR="000E2C61">
        <w:rPr>
          <w:rFonts w:ascii="Times New Roman" w:eastAsia="Calibri" w:hAnsi="Times New Roman"/>
          <w:color w:val="000000"/>
          <w:sz w:val="24"/>
          <w:szCs w:val="24"/>
        </w:rPr>
        <w:fldChar w:fldCharType="end"/>
      </w:r>
      <w:r w:rsidR="00DB1FEF" w:rsidRPr="00DB1FEF">
        <w:rPr>
          <w:rFonts w:ascii="Times New Roman" w:eastAsia="Calibri" w:hAnsi="Times New Roman"/>
          <w:color w:val="000000"/>
          <w:sz w:val="24"/>
          <w:szCs w:val="24"/>
        </w:rPr>
        <w:t xml:space="preserve">. Similarly, a recent meta-analysis showed </w:t>
      </w:r>
      <w:r w:rsidR="00DB1FEF" w:rsidRPr="00DB1FEF">
        <w:rPr>
          <w:rFonts w:ascii="Times New Roman" w:eastAsia="Calibri" w:hAnsi="Times New Roman"/>
          <w:color w:val="000000"/>
          <w:sz w:val="24"/>
          <w:szCs w:val="24"/>
        </w:rPr>
        <w:lastRenderedPageBreak/>
        <w:t>no difference in mortality rates between those who received steroids and those who did not</w:t>
      </w:r>
      <w:r w:rsidR="000E2C61">
        <w:rPr>
          <w:rFonts w:ascii="Times New Roman" w:eastAsia="Calibri" w:hAnsi="Times New Roman"/>
          <w:color w:val="000000"/>
          <w:sz w:val="24"/>
          <w:szCs w:val="24"/>
          <w:lang w:val="fr-SN"/>
        </w:rPr>
        <w:t xml:space="preserve"> </w:t>
      </w:r>
      <w:r w:rsidR="000E2C61">
        <w:rPr>
          <w:rFonts w:ascii="Times New Roman" w:eastAsia="Calibri" w:hAnsi="Times New Roman"/>
          <w:color w:val="000000"/>
          <w:sz w:val="24"/>
          <w:szCs w:val="24"/>
          <w:lang w:val="fr-SN"/>
        </w:rPr>
        <w:fldChar w:fldCharType="begin"/>
      </w:r>
      <w:r w:rsidR="002515BA">
        <w:rPr>
          <w:rFonts w:ascii="Times New Roman" w:eastAsia="Calibri" w:hAnsi="Times New Roman"/>
          <w:color w:val="000000"/>
          <w:sz w:val="24"/>
          <w:szCs w:val="24"/>
          <w:lang w:val="fr-SN"/>
        </w:rPr>
        <w:instrText xml:space="preserve"> ADDIN ZOTERO_ITEM CSL_CITATION {"citationID":"sgUSWXwi","properties":{"formattedCitation":"(19)","plainCitation":"(19)","noteIndex":0},"citationItems":[{"id":73,"uris":["http://zotero.org/users/13480343/items/VSBC8SV8"],"itemData":{"id":73,"type":"article-journal","abstract":"Objective: \n          To systematically review randomized controlled trials (RCTs) of steroids conducted in children with fluid and/or vasoactive medication-dependent shock and evaluate and report on the quality and clinical and methodological heterogeneity of included trials.\n          Data Sources: \n          MEDLINE (1946 to January Week 2, 2012), Embase (1947–January 20, 2012), Cochrane Central Register of Controlled Trials (through January 2012), and reference lists of retrieved publications. No language restrictions were applied.\n          Study Selection: \n          We included only RCTs reporting on steroid use and clinical outcomes in pediatric shock.\n          Data Extraction: \n          Study characteristics, interventions, and outcomes were retrieved by three independent reviewers. Pooled relative risks and 95% CIs were calculated using a random effects model.\n          Data Synthesis: \n          We identified 535 citations from which 13 full-text articles were retrieved for assessment. Eight articles evaluating a total of 447 children were selected for review. The median trial size was 67 patients (range, 28–98). Seven of the eight trials were published prior to 1996, and all trials were conducted in the developing world, and six of eight trials were in the setting of dengue shock. We found methodological issues related to allocation concealment, blinding and reporting of co-interventions, and outcome data among the included trials along with varying types, doses, timings, and duration of steroids making it difficult to compare outcomes. The overall meta-analysis showed no difference in mortality rates between those who did and did not receive steroids (relative risks, 0.744 [95% CI, 0.475–1.165]; p = 0.197).\n          Conclusions: \n          The literature on the use of steroids in pediatric shock is limited in amount and methodological quality and demonstrates conflicting results. The limited evidence on which current guidelines are based strongly supports the need for a well-designed, pragmatic randomized controlled trial on the use of steroids in pediatric shock to inform future guidelines.","container-title":"Pediatric Critical Care Medicine","DOI":"10.1097/PCC.0b013e31828a8125","ISSN":"1529-7535","issue":"5","language":"en-US","page":"474","source":"journals.lww.com","title":"A Systematic Review and Meta-Analysis on the Effect of Steroids in Pediatric Shock","volume":"14","author":[{"family":"Menon","given":"Kusum"},{"family":"McNally","given":"Dayre"},{"family":"Choong","given":"Karen"},{"family":"Sampson","given":"Margaret"}],"issued":{"date-parts":[["2013",6]]}}}],"schema":"https://github.com/citation-style-language/schema/raw/master/csl-citation.json"} </w:instrText>
      </w:r>
      <w:r w:rsidR="000E2C61">
        <w:rPr>
          <w:rFonts w:ascii="Times New Roman" w:eastAsia="Calibri" w:hAnsi="Times New Roman"/>
          <w:color w:val="000000"/>
          <w:sz w:val="24"/>
          <w:szCs w:val="24"/>
          <w:lang w:val="fr-SN"/>
        </w:rPr>
        <w:fldChar w:fldCharType="separate"/>
      </w:r>
      <w:r w:rsidR="002515BA" w:rsidRPr="002515BA">
        <w:rPr>
          <w:rFonts w:ascii="Times New Roman" w:hAnsi="Times New Roman" w:cs="Times New Roman"/>
          <w:sz w:val="24"/>
        </w:rPr>
        <w:t>(19)</w:t>
      </w:r>
      <w:r w:rsidR="000E2C61">
        <w:rPr>
          <w:rFonts w:ascii="Times New Roman" w:eastAsia="Calibri" w:hAnsi="Times New Roman"/>
          <w:color w:val="000000"/>
          <w:sz w:val="24"/>
          <w:szCs w:val="24"/>
          <w:lang w:val="fr-SN"/>
        </w:rPr>
        <w:fldChar w:fldCharType="end"/>
      </w:r>
      <w:r w:rsidR="00DB1FEF" w:rsidRPr="00DB1FEF">
        <w:rPr>
          <w:rFonts w:ascii="Times New Roman" w:eastAsia="Calibri" w:hAnsi="Times New Roman"/>
          <w:color w:val="000000"/>
          <w:sz w:val="24"/>
          <w:szCs w:val="24"/>
        </w:rPr>
        <w:t xml:space="preserve">. However, some studies have nevertheless demonstrated the potential benefit of corticosteroids in a comparative study of two groups of patients, one using vasopressins alone and the other combining vasopressins with corticosteroids </w:t>
      </w:r>
      <w:r w:rsidR="000E2C61">
        <w:rPr>
          <w:rFonts w:ascii="Times New Roman" w:eastAsia="Calibri" w:hAnsi="Times New Roman"/>
          <w:color w:val="000000"/>
          <w:sz w:val="24"/>
          <w:szCs w:val="24"/>
        </w:rPr>
        <w:fldChar w:fldCharType="begin"/>
      </w:r>
      <w:r w:rsidR="002515BA">
        <w:rPr>
          <w:rFonts w:ascii="Times New Roman" w:eastAsia="Calibri" w:hAnsi="Times New Roman"/>
          <w:color w:val="000000"/>
          <w:sz w:val="24"/>
          <w:szCs w:val="24"/>
        </w:rPr>
        <w:instrText xml:space="preserve"> ADDIN ZOTERO_ITEM CSL_CITATION {"citationID":"fLsOKDKK","properties":{"formattedCitation":"(20)","plainCitation":"(20)","noteIndex":0},"citationItems":[{"id":77,"uris":["http://zotero.org/users/13480343/items/ZB87V5GI"],"itemData":{"id":77,"type":"article-journal","abstract":"OBJECTIVES: Vasopressin and corticosteroids are both commonly used adjunctive therapies in septic shock. Retrospective analyses have suggested that there may be an interaction between these drugs, with higher circulating vasopressin levels and improved outcomes in patients treated with both vasopressin and corticosteroids. We aimed to test for an interaction between vasopressin and corticosteroids in septic shock.\nDESIGN: Prospective open-label randomized controlled pilot trial.\nSETTING: Four adult ICUs in London teaching hospitals.\nPATIENTS: Sixty-one adult patients who had septic shock.\nINTERVENTIONS: Initial vasopressin IV infusion titrated up to 0.06 U/min and then IV hydrocortisone (50 mg 6 hourly) or placebo. Plasma vasopressin levels were measured at 6-12 and 24-36 hours after hydrocortisone/placebo administration.\nMEASUREMENTS AND MAIN RESULTS: Thirty-one patients were allocated to vasopressin + hydrocortisone and 30 patients to vasopressin + placebo. The hydrocortisone group required a shorter duration of vasopressin therapy (3.1 d; 95% CI, 1.1-5.1; shorter in hydrocortisone group) and required a lower total dose of vasopressin (ratio, 0.47; 95% CI, 0.32-0.71) compared with the placebo group. Plasma vasopressin levels were not higher in the hydrocortisone group compared with the placebo group (64 pmol/L difference at 6- to 12-hour time point; 95% CI, -32 to 160 pmol/L). Early vasopressin use was well tolerated with only one serious adverse event possibly related to study drug administration reported. There were no differences in mortality rates (23% 28-day mortality in both groups) or organ failure assessments between the two treatment groups.\nCONCLUSIONS: Hydrocortisone spared vasopressin requirements, reduced duration, and reduced dose, when used together in the treatment of septic shock, but it did not alter plasma vasopressin levels. Further trials are needed to assess the clinical effectiveness of vasopressin as the initial vasopressor therapy with or without corticosteroids.","container-title":"Critical Care Medicine","DOI":"10.1097/CCM.0000000000000212","ISSN":"1530-0293","issue":"6","journalAbbreviation":"Crit Care Med","language":"eng","note":"PMID: 24557425","page":"1325-1333","source":"PubMed","title":"The interaction of vasopressin and corticosteroids in septic shock: a pilot randomized controlled trial","title-short":"The interaction of vasopressin and corticosteroids in septic shock","volume":"42","author":[{"family":"Gordon","given":"Anthony C."},{"family":"Mason","given":"Alexina J."},{"family":"Perkins","given":"Gavin D."},{"family":"Stotz","given":"Martin"},{"family":"Terblanche","given":"Marius"},{"family":"Ashby","given":"Deborah"},{"family":"Brett","given":"Stephen J."}],"issued":{"date-parts":[["2014",6]]}}}],"schema":"https://github.com/citation-style-language/schema/raw/master/csl-citation.json"} </w:instrText>
      </w:r>
      <w:r w:rsidR="000E2C61">
        <w:rPr>
          <w:rFonts w:ascii="Times New Roman" w:eastAsia="Calibri" w:hAnsi="Times New Roman"/>
          <w:color w:val="000000"/>
          <w:sz w:val="24"/>
          <w:szCs w:val="24"/>
        </w:rPr>
        <w:fldChar w:fldCharType="separate"/>
      </w:r>
      <w:r w:rsidR="002515BA" w:rsidRPr="002515BA">
        <w:rPr>
          <w:rFonts w:ascii="Times New Roman" w:hAnsi="Times New Roman" w:cs="Times New Roman"/>
          <w:sz w:val="24"/>
        </w:rPr>
        <w:t>(20)</w:t>
      </w:r>
      <w:r w:rsidR="000E2C61">
        <w:rPr>
          <w:rFonts w:ascii="Times New Roman" w:eastAsia="Calibri" w:hAnsi="Times New Roman"/>
          <w:color w:val="000000"/>
          <w:sz w:val="24"/>
          <w:szCs w:val="24"/>
        </w:rPr>
        <w:fldChar w:fldCharType="end"/>
      </w:r>
      <w:r w:rsidR="00DB1FEF" w:rsidRPr="00DB1FEF">
        <w:rPr>
          <w:rFonts w:ascii="Times New Roman" w:eastAsia="Calibri" w:hAnsi="Times New Roman"/>
          <w:color w:val="000000"/>
          <w:sz w:val="24"/>
          <w:szCs w:val="24"/>
        </w:rPr>
        <w:t>.</w:t>
      </w:r>
      <w:r w:rsidR="00DB1FEF">
        <w:rPr>
          <w:rFonts w:ascii="Times New Roman" w:eastAsia="Calibri" w:hAnsi="Times New Roman"/>
          <w:color w:val="000000"/>
          <w:sz w:val="24"/>
          <w:szCs w:val="24"/>
          <w:lang w:val="fr-SN"/>
        </w:rPr>
        <w:t xml:space="preserve"> </w:t>
      </w:r>
      <w:r w:rsidR="00DB1FEF" w:rsidRPr="00DB1FEF">
        <w:rPr>
          <w:rFonts w:ascii="Times New Roman" w:eastAsia="Calibri" w:hAnsi="Times New Roman"/>
          <w:color w:val="000000"/>
          <w:sz w:val="24"/>
          <w:szCs w:val="24"/>
          <w:lang w:val="fr-SN"/>
        </w:rPr>
        <w:t xml:space="preserve">In </w:t>
      </w:r>
      <w:proofErr w:type="spellStart"/>
      <w:r w:rsidR="00DB1FEF" w:rsidRPr="00DB1FEF">
        <w:rPr>
          <w:rFonts w:ascii="Times New Roman" w:eastAsia="Calibri" w:hAnsi="Times New Roman"/>
          <w:color w:val="000000"/>
          <w:sz w:val="24"/>
          <w:szCs w:val="24"/>
          <w:lang w:val="fr-SN"/>
        </w:rPr>
        <w:t>our</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series</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corticosteroid</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therapy</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was</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used</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only</w:t>
      </w:r>
      <w:proofErr w:type="spellEnd"/>
      <w:r w:rsidR="00DB1FEF" w:rsidRPr="00DB1FEF">
        <w:rPr>
          <w:rFonts w:ascii="Times New Roman" w:eastAsia="Calibri" w:hAnsi="Times New Roman"/>
          <w:color w:val="000000"/>
          <w:sz w:val="24"/>
          <w:szCs w:val="24"/>
          <w:lang w:val="fr-SN"/>
        </w:rPr>
        <w:t xml:space="preserve"> in patients </w:t>
      </w:r>
      <w:proofErr w:type="spellStart"/>
      <w:r w:rsidR="00DB1FEF" w:rsidRPr="00DB1FEF">
        <w:rPr>
          <w:rFonts w:ascii="Times New Roman" w:eastAsia="Calibri" w:hAnsi="Times New Roman"/>
          <w:color w:val="000000"/>
          <w:sz w:val="24"/>
          <w:szCs w:val="24"/>
          <w:lang w:val="fr-SN"/>
        </w:rPr>
        <w:t>with</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refractory</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septic</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shock</w:t>
      </w:r>
      <w:proofErr w:type="spellEnd"/>
      <w:r w:rsidR="00DB1FEF" w:rsidRPr="00DB1FEF">
        <w:rPr>
          <w:rFonts w:ascii="Times New Roman" w:eastAsia="Calibri" w:hAnsi="Times New Roman"/>
          <w:color w:val="000000"/>
          <w:sz w:val="24"/>
          <w:szCs w:val="24"/>
          <w:lang w:val="fr-SN"/>
        </w:rPr>
        <w:t xml:space="preserve"> (40.71%), </w:t>
      </w:r>
      <w:proofErr w:type="spellStart"/>
      <w:r w:rsidR="00DB1FEF" w:rsidRPr="00DB1FEF">
        <w:rPr>
          <w:rFonts w:ascii="Times New Roman" w:eastAsia="Calibri" w:hAnsi="Times New Roman"/>
          <w:color w:val="000000"/>
          <w:sz w:val="24"/>
          <w:szCs w:val="24"/>
          <w:lang w:val="fr-SN"/>
        </w:rPr>
        <w:t>mainly</w:t>
      </w:r>
      <w:proofErr w:type="spellEnd"/>
      <w:r w:rsidR="00DB1FEF" w:rsidRPr="00DB1FEF">
        <w:rPr>
          <w:rFonts w:ascii="Times New Roman" w:eastAsia="Calibri" w:hAnsi="Times New Roman"/>
          <w:color w:val="000000"/>
          <w:sz w:val="24"/>
          <w:szCs w:val="24"/>
          <w:lang w:val="fr-SN"/>
        </w:rPr>
        <w:t xml:space="preserve"> </w:t>
      </w:r>
      <w:proofErr w:type="spellStart"/>
      <w:r w:rsidR="00DB1FEF" w:rsidRPr="00DB1FEF">
        <w:rPr>
          <w:rFonts w:ascii="Times New Roman" w:eastAsia="Calibri" w:hAnsi="Times New Roman"/>
          <w:color w:val="000000"/>
          <w:sz w:val="24"/>
          <w:szCs w:val="24"/>
          <w:lang w:val="fr-SN"/>
        </w:rPr>
        <w:t>with</w:t>
      </w:r>
      <w:proofErr w:type="spellEnd"/>
      <w:r w:rsidR="00DB1FEF" w:rsidRPr="00DB1FEF">
        <w:rPr>
          <w:rFonts w:ascii="Times New Roman" w:eastAsia="Calibri" w:hAnsi="Times New Roman"/>
          <w:color w:val="000000"/>
          <w:sz w:val="24"/>
          <w:szCs w:val="24"/>
          <w:lang w:val="fr-SN"/>
        </w:rPr>
        <w:t xml:space="preserve"> hydrocortisone.</w:t>
      </w:r>
    </w:p>
    <w:p w14:paraId="4D34A175" w14:textId="3B67809B" w:rsidR="006076B9" w:rsidRDefault="00D77596">
      <w:pPr>
        <w:spacing w:line="360" w:lineRule="auto"/>
        <w:jc w:val="both"/>
        <w:rPr>
          <w:rFonts w:ascii="Times New Roman" w:eastAsia="Calibri" w:hAnsi="Times New Roman"/>
          <w:color w:val="000000"/>
          <w:sz w:val="24"/>
          <w:szCs w:val="24"/>
        </w:rPr>
      </w:pPr>
      <w:r w:rsidRPr="00D77596">
        <w:rPr>
          <w:rFonts w:ascii="Times New Roman" w:eastAsia="Calibri" w:hAnsi="Times New Roman"/>
          <w:color w:val="000000"/>
          <w:sz w:val="24"/>
          <w:szCs w:val="24"/>
        </w:rPr>
        <w:t>Dobutamine is the most commonly used inotropic agent in heart failure and cardiogenic shock, but there are other positive inotropes such as milrinone, enoximone, and levosimendan</w:t>
      </w:r>
      <w:r>
        <w:rPr>
          <w:rFonts w:ascii="Times New Roman" w:eastAsia="Calibri" w:hAnsi="Times New Roman"/>
          <w:color w:val="000000"/>
          <w:sz w:val="24"/>
          <w:szCs w:val="24"/>
          <w:lang w:val="fr-SN"/>
        </w:rPr>
        <w:t xml:space="preserve"> </w:t>
      </w:r>
      <w:r>
        <w:rPr>
          <w:rFonts w:ascii="Times New Roman" w:eastAsia="Calibri" w:hAnsi="Times New Roman"/>
          <w:color w:val="000000"/>
          <w:sz w:val="24"/>
          <w:szCs w:val="24"/>
          <w:lang w:val="fr-SN"/>
        </w:rPr>
        <w:fldChar w:fldCharType="begin"/>
      </w:r>
      <w:r w:rsidR="00C872F1">
        <w:rPr>
          <w:rFonts w:ascii="Times New Roman" w:eastAsia="Calibri" w:hAnsi="Times New Roman"/>
          <w:color w:val="000000"/>
          <w:sz w:val="24"/>
          <w:szCs w:val="24"/>
          <w:lang w:val="fr-SN"/>
        </w:rPr>
        <w:instrText xml:space="preserve"> ADDIN ZOTERO_ITEM CSL_CITATION {"citationID":"ty7lYWvs","properties":{"formattedCitation":"(13)","plainCitation":"(13)","noteIndex":0},"citationItems":[{"id":101,"uris":["http://zotero.org/users/13480343/items/63RTLRUL"],"itemData":{"id":101,"type":"article-journal","container-title":"European Heart Journal","DOI":"10.1093/eurheartj/ehw128","ISSN":"1522-9645","issue":"27","journalAbbreviation":"Eur Heart J","language":"eng","note":"PMID: 27206819","page":"2129-2200","source":"PubMed","title":"2016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ESC","title-short":"2016 ESC Guidelines for the diagnosis and treatment of acute and chronic heart failure","volume":"37","author":[{"family":"Ponikowski","given":"Piotr"},{"family":"Voors","given":"Adriaan A."},{"family":"Anker","given":"Stefan D."},{"family":"Bueno","given":"Héctor"},{"family":"Cleland","given":"John G. F."},{"family":"Coats","given":"Andrew J. S."},{"family":"Falk","given":"Volkmar"},{"family":"González-Juanatey","given":"José Ramón"},{"family":"Harjola","given":"Veli-Pekka"},{"family":"Jankowska","given":"Ewa A."},{"family":"Jessup","given":"Mariell"},{"family":"Linde","given":"Cecilia"},{"family":"Nihoyannopoulos","given":"Petros"},{"family":"Parissis","given":"John T."},{"family":"Pieske","given":"Burkert"},{"family":"Riley","given":"Jillian P."},{"family":"Rosano","given":"Giuseppe M. C."},{"family":"Ruilope","given":"Luis M."},{"family":"Ruschitzka","given":"Frank"},{"family":"Rutten","given":"Frans H."},{"family":"Meer","given":"Peter","non-dropping-particle":"van der"},{"literal":"ESC Scientific Document Group"}],"issued":{"date-parts":[["2016",7,14]]}}}],"schema":"https://github.com/citation-style-language/schema/raw/master/csl-citation.json"} </w:instrText>
      </w:r>
      <w:r>
        <w:rPr>
          <w:rFonts w:ascii="Times New Roman" w:eastAsia="Calibri" w:hAnsi="Times New Roman"/>
          <w:color w:val="000000"/>
          <w:sz w:val="24"/>
          <w:szCs w:val="24"/>
          <w:lang w:val="fr-SN"/>
        </w:rPr>
        <w:fldChar w:fldCharType="separate"/>
      </w:r>
      <w:r w:rsidR="00C872F1" w:rsidRPr="00C872F1">
        <w:rPr>
          <w:rFonts w:ascii="Times New Roman" w:hAnsi="Times New Roman" w:cs="Times New Roman"/>
          <w:sz w:val="24"/>
        </w:rPr>
        <w:t>(13)</w:t>
      </w:r>
      <w:r>
        <w:rPr>
          <w:rFonts w:ascii="Times New Roman" w:eastAsia="Calibri" w:hAnsi="Times New Roman"/>
          <w:color w:val="000000"/>
          <w:sz w:val="24"/>
          <w:szCs w:val="24"/>
          <w:lang w:val="fr-SN"/>
        </w:rPr>
        <w:fldChar w:fldCharType="end"/>
      </w:r>
      <w:r w:rsidRPr="00D77596">
        <w:rPr>
          <w:rFonts w:ascii="Times New Roman" w:eastAsia="Calibri" w:hAnsi="Times New Roman"/>
          <w:color w:val="000000"/>
          <w:sz w:val="24"/>
          <w:szCs w:val="24"/>
        </w:rPr>
        <w:t>.</w:t>
      </w:r>
    </w:p>
    <w:p w14:paraId="7722D274" w14:textId="1B193E96" w:rsidR="006076B9" w:rsidRDefault="00030506">
      <w:pPr>
        <w:spacing w:line="36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 xml:space="preserve">The death rate in our series was 69.17% and was mainly due to septic shock, which accounted for 47.29%. Mortality during septic shock is equally high in the literature </w:t>
      </w:r>
      <w:r w:rsidR="00C872F1">
        <w:rPr>
          <w:rFonts w:ascii="Times New Roman" w:eastAsia="Calibri" w:hAnsi="Times New Roman"/>
          <w:color w:val="000000"/>
          <w:sz w:val="24"/>
          <w:szCs w:val="24"/>
        </w:rPr>
        <w:fldChar w:fldCharType="begin"/>
      </w:r>
      <w:r w:rsidR="002515BA">
        <w:rPr>
          <w:rFonts w:ascii="Times New Roman" w:eastAsia="Calibri" w:hAnsi="Times New Roman"/>
          <w:color w:val="000000"/>
          <w:sz w:val="24"/>
          <w:szCs w:val="24"/>
        </w:rPr>
        <w:instrText xml:space="preserve"> ADDIN ZOTERO_ITEM CSL_CITATION {"citationID":"1MGjXSzN","properties":{"formattedCitation":"(1,7,21,22)","plainCitation":"(1,7,21,22)","noteIndex":0},"citationItems":[{"id":39,"uris":["http://zotero.org/users/13480343/items/Q4DPACJZ"],"itemData":{"id":39,"type":"article-journal","container-title":"La Revue de Médecine Interne","DOI":"10.1016/j.revmed.2019.08.006","ISSN":"02488663","issue":"12","journalAbbreviation":"La Revue de Médecine Interne","language":"en","page":"799-807","source":"DOI.org (Crossref)","title":"États de choc : grands cadres étiologiques, prise en charge initiale","title-short":"États de choc","volume":"40","author":[{"family":"Durand","given":"A."},{"family":"Cartier","given":"L."},{"family":"Duburcq","given":"T."},{"family":"Onimus","given":"T."},{"family":"Favory","given":"R."},{"family":"Preau","given":"S."}],"issued":{"date-parts":[["2019",12]]}},"label":"page"},{"id":254,"uris":["http://zotero.org/users/13480343/items/EIMHLQCY"],"itemData":{"id":254,"type":"article-journal","abstract":"BACKGROUND: Early identification of septic patients at risk of mortality is important in their prognosis.\nOBJECTIVE: Identification of septic patients at risk of mortality in Pediatric Intensive Care Units (PICUs) at Cairo University Hospitals, through measuring the levels of certain immunological parameters.\nMETHODS: A hospital-based prospective cohort study was conducted in two PICUs at Cairo University Hospitals; all patients with diagnosis of severe sepsis or septic shock on admission were included. A total of 57 patients were prospectively followed at the selected PICUs and their demographic and clinical data were recorded. Microbiological and immunological workup (at days 1 and 7) was conducted for all patients to detect the causative organism of sepsis and to measure the levels of immunoglobulins (IgG, IgM and IgA), complement factors (C3 and C4), mature lymphocyte subpopulations (CD3+) and natural killer (NK) cells (CD3-CD16+CD56+), respectively.\nRESULTS: Mortality rate was 24.6%; the most frequent causes of death were multi-organ dysfunction and refractory shock. PELOD and PRISM III scores were significantly higher among non-survivors. At day 1, non-survivors had significantly higher levels of IgG, C4 and NK cells than survivors. However, from day 1 to day 7, survivors had a progressive increase in most of the immunological parameters (IgG, IgM, C4and CD3+ T lymphocytes). Survival curve analysis revealed the significant predictive ability of NK cells to detect early mortality.\nCONCLUSION: Monitoring the levels of cellular and humoral immunological parameters together with assessing PELOD and PRISM III scores can significantly affect prognosis and survival of septic children.","container-title":"Allergologia Et Immunopathologia","DOI":"10.1016/j.aller.2015.07.005","ISSN":"1578-1267","issue":"1","journalAbbreviation":"Allergol Immunopathol (Madr)","language":"eng","note":"PMID: 26657169","page":"46-53","source":"PubMed","title":"Prognostic markers among Egyptian children with sepsis in the Intensive Care Units, Cairo University Hospitals","volume":"44","author":[{"family":"Ibrahiem","given":"S. K."},{"family":"Galal","given":"Y. S."},{"family":"Youssef","given":"M. R. L."},{"family":"Sedrak","given":"A. S."},{"family":"El Khateeb","given":"E. M."},{"family":"Abdel-Hameed","given":"N. D."}],"issued":{"date-parts":[["2016"]]}},"label":"page"},{"id":22,"uris":["http://zotero.org/users/13480343/items/MRFD9V6T"],"itemData":{"id":22,"type":"article-journal","language":"fr","source":"Zotero","title":"Analyse de la mortalité au service de réanimation pédiatrique du CHU Mohammed VI de Marrakech"},"label":"page"},{"id":262,"uris":["http://zotero.org/users/13480343/items/C5WHB78K"],"itemData":{"id":262,"type":"article-journal","abstract":"BACKGROUND: The pediatric septic shock mortality in Tunisia remains high (50%) and was markedly higher than in western countries (10%). The decrease in septic shock mortality has been obtained with the advent of the early goal directed therapy.\nAIM: The aim of this paper is to propose to the first line practitioners in Tunisia, during the first hour after establishing the diagnosis of septic shock practical clinical guidelines based on earlier consensus recommendations.\nMETHODS: Literature review.\nRESULTS: Septic shock must be rapidly suspected and early recognized. Adequate oxygenation and prompt correction of hemodynamic derangements has been shown to improve outcome through aggressive volume resuscitation, early empiric antibiotherapy and early initiation of vasopressor agents. Frequent reassessment has been emphasized to ensure appropriate management. This treatment must take into consideration the resources available in our area. We can reasonably hope to decrease mortality of patients with septic shock if the first line physicians keep in mind specific therapeutic goals.","container-title":"La Tunisie Medicale","ISSN":"0041-4131","issue":"2","journalAbbreviation":"Tunis Med","language":"fre","note":"PMID: 21308619","page":"132-135","source":"PubMed","title":"[Management of the first hour of the pediatric septic shock patient]","volume":"89","author":[{"family":"Menif","given":"Khaled"},{"family":"Bouziri","given":"Asma"},{"family":"Ben Jaballah","given":"Najla"}],"issued":{"date-parts":[["2011",2]]}},"label":"page"}],"schema":"https://github.com/citation-style-language/schema/raw/master/csl-citation.json"} </w:instrText>
      </w:r>
      <w:r w:rsidR="00C872F1">
        <w:rPr>
          <w:rFonts w:ascii="Times New Roman" w:eastAsia="Calibri" w:hAnsi="Times New Roman"/>
          <w:color w:val="000000"/>
          <w:sz w:val="24"/>
          <w:szCs w:val="24"/>
        </w:rPr>
        <w:fldChar w:fldCharType="separate"/>
      </w:r>
      <w:r w:rsidR="002515BA" w:rsidRPr="002515BA">
        <w:rPr>
          <w:rFonts w:ascii="Times New Roman" w:hAnsi="Times New Roman" w:cs="Times New Roman"/>
          <w:sz w:val="24"/>
        </w:rPr>
        <w:t>(1,7,21,22)</w:t>
      </w:r>
      <w:r w:rsidR="00C872F1">
        <w:rPr>
          <w:rFonts w:ascii="Times New Roman" w:eastAsia="Calibri" w:hAnsi="Times New Roman"/>
          <w:color w:val="000000"/>
          <w:sz w:val="24"/>
          <w:szCs w:val="24"/>
        </w:rPr>
        <w:fldChar w:fldCharType="end"/>
      </w:r>
      <w:r>
        <w:rPr>
          <w:rFonts w:ascii="Times New Roman" w:eastAsia="Calibri" w:hAnsi="Times New Roman"/>
          <w:color w:val="000000"/>
          <w:sz w:val="24"/>
          <w:szCs w:val="24"/>
        </w:rPr>
        <w:t>. The most common causes of death were refractory shock, renal failure, and DIC. The same etiologies were found in the literature</w:t>
      </w:r>
      <w:r w:rsidR="00D76AC9">
        <w:rPr>
          <w:rFonts w:ascii="Times New Roman" w:eastAsia="Calibri" w:hAnsi="Times New Roman"/>
          <w:color w:val="000000"/>
          <w:sz w:val="24"/>
          <w:szCs w:val="24"/>
          <w:lang w:val="fr-SN"/>
        </w:rPr>
        <w:t xml:space="preserve"> </w:t>
      </w:r>
      <w:r w:rsidR="00D76AC9">
        <w:rPr>
          <w:rFonts w:ascii="Times New Roman" w:eastAsia="Calibri" w:hAnsi="Times New Roman"/>
          <w:color w:val="000000"/>
          <w:sz w:val="24"/>
          <w:szCs w:val="24"/>
          <w:lang w:val="fr-SN"/>
        </w:rPr>
        <w:fldChar w:fldCharType="begin"/>
      </w:r>
      <w:r w:rsidR="002515BA">
        <w:rPr>
          <w:rFonts w:ascii="Times New Roman" w:eastAsia="Calibri" w:hAnsi="Times New Roman"/>
          <w:color w:val="000000"/>
          <w:sz w:val="24"/>
          <w:szCs w:val="24"/>
          <w:lang w:val="fr-SN"/>
        </w:rPr>
        <w:instrText xml:space="preserve"> ADDIN ZOTERO_ITEM CSL_CITATION {"citationID":"qo4yPT0Q","properties":{"formattedCitation":"(10,23)","plainCitation":"(10,23)","noteIndex":0},"citationItems":[{"id":266,"uris":["http://zotero.org/users/13480343/items/IX86YBY2"],"itemData":{"id":266,"type":"article-journal","abstract":"The association of cardiopulmonary variables with outcome was investigated in 42 pediatric patients (18 survivors) with septic shock. All cardiopulmonary variables were obtained during active BP support. The variable distributions were separated into ranges by two empiric cutoff methods: normal ranges and the survivor median values. The proportion of survivors with normal values of wedge pressure and cardiac index was significantly (p less than .05) higher than the proportion of survivors outside the normal range. The percentage of survival also significantly (p less than .05) increased with above-normal values of oxygen consumption, arteriovenous O2 content difference, O2 extraction, pH, and core temperature. There were significantly (p less than .05) more nonsurvivors with wedge pressure, pulmonary shunt, and pH values below the survivor medians. Therapeutic goals based on the distributions of these eight variables isolated patient groups with survival rates of 59% to 75%, compared to the overall survival rate of 43%.","container-title":"Critical Care Medicine","DOI":"10.1097/00003246-198506000-00002","ISSN":"0090-3493","issue":"6","journalAbbreviation":"Crit Care Med","language":"eng","note":"PMID: 3995997","page":"454-459","source":"PubMed","title":"Distributions of cardiopulmonary variables in pediatric survivors and nonsurvivors of septic shock","volume":"13","author":[{"family":"Pollack","given":"M. M."},{"family":"Fields","given":"A. I."},{"family":"Ruttimann","given":"U. E."}],"issued":{"date-parts":[["1985",6]]}},"label":"page"},{"id":231,"uris":["http://zotero.org/users/13480343/items/626F3CRF"],"itemData":{"id":231,"type":"article-journal","abstract":"IMPORTANCE: Sepsis is a leading cause of death among children worldwide. Current pediatric-specific criteria for sepsis were published in 2005 based on expert opinion. In 2016, the Third International Consensus Definitions for Sepsis and Septic Shock (Sepsis-3) defined sepsis as life-threatening organ dysfunction caused by a dysregulated host response to infection, but it excluded children.\nOBJECTIVE: To update and evaluate criteria for sepsis and septic shock in children.\nEVIDENCE REVIEW: The Society of Critical Care Medicine (SCCM) convened a task force of 35 pediatric experts in critical care, emergency medicine, infectious diseases, general pediatrics, nursing, public health, and neonatology from 6 continents. Using evidence from an international survey, systematic review and meta-analysis, and a new organ dysfunction score developed based on more than 3 million electronic health record encounters from 10 sites on 4 continents, a modified Delphi consensus process was employed to develop criteria.\nFINDINGS: Based on survey data, most pediatric clinicians used sepsis to refer to infection with life-threatening organ dysfunction, which differed from prior pediatric sepsis criteria that used systemic inflammatory response syndrome (SIRS) criteria, which have poor predictive properties, and included the redundant term, severe sepsis. The SCCM task force recommends that sepsis in children be identified by a Phoenix Sepsis Score of at least 2 points in children with suspected infection, which indicates potentially life-threatening dysfunction of the respiratory, cardiovascular, coagulation, and/or neurological systems. Children with a Phoenix Sepsis Score of at least 2 points had in-hospital mortality of 7.1% in higher-resource settings and 28.5% in lower-resource settings, more than 8 times that of children with suspected infection not meeting these criteria. Mortality was higher in children who had organ dysfunction in at least 1 of 4-respiratory, cardiovascular, coagulation, and/or neurological-organ systems that was not the primary site of infection. Septic shock was defined as children with sepsis who had cardiovascular dysfunction, indicated by at least 1 cardiovascular point in the Phoenix Sepsis Score, which included severe hypotension for age, blood lactate exceeding 5 mmol/L, or need for vasoactive medication. Children with septic shock had an in-hospital mortality rate of 10.8% and 33.5% in higher- and lower-resource settings, respectively.\nCONCLUSIONS AND RELEVANCE: The Phoenix sepsis criteria for sepsis and septic shock in children were derived and validated by the international SCCM Pediatric Sepsis Definition Task Force using a large international database and survey, systematic review and meta-analysis, and modified Delphi consensus approach. A Phoenix Sepsis Score of at least 2 identified potentially life-threatening organ dysfunction in children younger than 18 years with infection, and its use has the potential to improve clinical care, epidemiological assessment, and research in pediatric sepsis and septic shock around the world.","container-title":"JAMA","DOI":"10.1001/jama.2024.0179","ISSN":"1538-3598","issue":"8","journalAbbreviation":"JAMA","language":"eng","note":"PMID: 38245889\nPMCID: PMC10900966","page":"665-674","source":"PubMed","title":"International Consensus Criteria for Pediatric Sepsis and Septic Shock","volume":"331","author":[{"family":"Schlapbach","given":"Luregn J."},{"family":"Watson","given":"R. Scott"},{"family":"Sorce","given":"Lauren R."},{"family":"Argent","given":"Andrew C."},{"family":"Menon","given":"Kusum"},{"family":"Hall","given":"Mark W."},{"family":"Akech","given":"Samuel"},{"family":"Albers","given":"David J."},{"family":"Alpern","given":"Elizabeth R."},{"family":"Balamuth","given":"Fran"},{"family":"Bembea","given":"Melania"},{"family":"Biban","given":"Paolo"},{"family":"Carrol","given":"Enitan D."},{"family":"Chiotos","given":"Kathleen"},{"family":"Chisti","given":"Mohammod Jobayer"},{"family":"DeWitt","given":"Peter E."},{"family":"Evans","given":"Idris"},{"family":"Flauzino de Oliveira","given":"Cláudio"},{"family":"Horvat","given":"Christopher M."},{"family":"Inwald","given":"David"},{"family":"Ishimine","given":"Paul"},{"family":"Jaramillo-Bustamante","given":"Juan Camilo"},{"family":"Levin","given":"Michael"},{"family":"Lodha","given":"Rakesh"},{"family":"Martin","given":"Blake"},{"family":"Nadel","given":"Simon"},{"family":"Nakagawa","given":"Satoshi"},{"family":"Peters","given":"Mark J."},{"family":"Randolph","given":"Adrienne G."},{"family":"Ranjit","given":"Suchitra"},{"family":"Rebull","given":"Margaret N."},{"family":"Russell","given":"Seth"},{"family":"Scott","given":"Halden F."},{"family":"Souza","given":"Daniela Carla","non-dropping-particle":"de"},{"family":"Tissieres","given":"Pierre"},{"family":"Weiss","given":"Scott L."},{"family":"Wiens","given":"Matthew O."},{"family":"Wynn","given":"James L."},{"family":"Kissoon","given":"Niranjan"},{"family":"Zimmerman","given":"Jerry J."},{"family":"Sanchez-Pinto","given":"L. Nelson"},{"family":"Bennett","given":"Tellen D."},{"literal":"Society of Critical Care Medicine Pediatric Sepsis Definition Task Force"}],"issued":{"date-parts":[["2024",2,27]]}},"label":"page"}],"schema":"https://github.com/citation-style-language/schema/raw/master/csl-citation.json"} </w:instrText>
      </w:r>
      <w:r w:rsidR="00D76AC9">
        <w:rPr>
          <w:rFonts w:ascii="Times New Roman" w:eastAsia="Calibri" w:hAnsi="Times New Roman"/>
          <w:color w:val="000000"/>
          <w:sz w:val="24"/>
          <w:szCs w:val="24"/>
          <w:lang w:val="fr-SN"/>
        </w:rPr>
        <w:fldChar w:fldCharType="separate"/>
      </w:r>
      <w:r w:rsidR="002515BA" w:rsidRPr="002515BA">
        <w:rPr>
          <w:rFonts w:ascii="Times New Roman" w:hAnsi="Times New Roman" w:cs="Times New Roman"/>
          <w:sz w:val="24"/>
        </w:rPr>
        <w:t>(10,23)</w:t>
      </w:r>
      <w:r w:rsidR="00D76AC9">
        <w:rPr>
          <w:rFonts w:ascii="Times New Roman" w:eastAsia="Calibri" w:hAnsi="Times New Roman"/>
          <w:color w:val="000000"/>
          <w:sz w:val="24"/>
          <w:szCs w:val="24"/>
          <w:lang w:val="fr-SN"/>
        </w:rPr>
        <w:fldChar w:fldCharType="end"/>
      </w:r>
      <w:r>
        <w:rPr>
          <w:rFonts w:ascii="Times New Roman" w:eastAsia="Calibri" w:hAnsi="Times New Roman"/>
          <w:color w:val="000000"/>
          <w:sz w:val="24"/>
          <w:szCs w:val="24"/>
        </w:rPr>
        <w:t>. The lack of resources such as diagnostic and therapeutic means (blood gas analysis, bedside cardiac ultrasound, non-invasive ventilation, lack of monitoring equipment and human resources) contributes to the increase in mortality and thus constitutes an obstacle to optimal care.</w:t>
      </w:r>
    </w:p>
    <w:p w14:paraId="0DF09AE3" w14:textId="77777777" w:rsidR="006076B9" w:rsidRDefault="00030506">
      <w:pPr>
        <w:spacing w:line="36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Conclusion</w:t>
      </w:r>
    </w:p>
    <w:p w14:paraId="6272BBEC" w14:textId="77777777" w:rsidR="006076B9" w:rsidRDefault="00030506">
      <w:pPr>
        <w:spacing w:line="360" w:lineRule="auto"/>
        <w:rPr>
          <w:rFonts w:ascii="Times New Roman" w:eastAsiaTheme="minorEastAsia" w:hAnsi="Times New Roman"/>
          <w:color w:val="000000"/>
          <w:sz w:val="24"/>
          <w:szCs w:val="24"/>
          <w:lang w:eastAsia="zh-CN"/>
        </w:rPr>
      </w:pPr>
      <w:r>
        <w:rPr>
          <w:rFonts w:ascii="Times New Roman" w:eastAsia="Calibri" w:hAnsi="Times New Roman"/>
          <w:color w:val="000000"/>
          <w:sz w:val="24"/>
          <w:szCs w:val="24"/>
        </w:rPr>
        <w:t>Shock is a common condition in pediatric hospitals, with significant morbidity and mortality. Early identification through tachycardia and other signs of tissue hypoperfusion, as well as blood pressure measurement, is essential for rapid initiation of appropriate treatment and referral to specialists for possible transfer. The main challenge in our settings remains access to treatment, especially in cases of late diagnosis.</w:t>
      </w:r>
    </w:p>
    <w:p w14:paraId="66A0352F" w14:textId="77777777" w:rsidR="006076B9" w:rsidRDefault="006076B9">
      <w:pPr>
        <w:spacing w:line="360" w:lineRule="auto"/>
        <w:rPr>
          <w:rFonts w:ascii="Times New Roman" w:eastAsiaTheme="minorEastAsia" w:hAnsi="Times New Roman"/>
          <w:color w:val="000000"/>
          <w:sz w:val="24"/>
          <w:szCs w:val="24"/>
          <w:lang w:eastAsia="zh-CN"/>
        </w:rPr>
      </w:pPr>
    </w:p>
    <w:p w14:paraId="2B252DDB" w14:textId="77777777" w:rsidR="006076B9" w:rsidRDefault="006076B9">
      <w:pPr>
        <w:spacing w:line="360" w:lineRule="auto"/>
        <w:rPr>
          <w:rFonts w:ascii="Times New Roman" w:eastAsiaTheme="minorEastAsia" w:hAnsi="Times New Roman"/>
          <w:color w:val="000000"/>
          <w:sz w:val="24"/>
          <w:szCs w:val="24"/>
          <w:lang w:eastAsia="zh-CN"/>
        </w:rPr>
      </w:pPr>
    </w:p>
    <w:p w14:paraId="4C5D05F8" w14:textId="77777777" w:rsidR="006076B9" w:rsidRDefault="00030506">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48FCFEAA" w14:textId="77777777" w:rsidR="006076B9" w:rsidRDefault="00030506">
      <w:pPr>
        <w:rPr>
          <w:rFonts w:ascii="Calibri" w:eastAsia="Calibri" w:hAnsi="Calibri" w:cs="Times New Roman"/>
          <w:kern w:val="2"/>
          <w:highlight w:val="yellow"/>
          <w:lang w:val="en-US"/>
        </w:rPr>
      </w:pPr>
      <w:r>
        <w:rPr>
          <w:rFonts w:ascii="Calibri" w:eastAsia="Calibri" w:hAnsi="Calibri" w:cs="Times New Roman"/>
          <w:kern w:val="2"/>
          <w:highlight w:val="yellow"/>
          <w:lang w:val="en-US"/>
        </w:rPr>
        <w:t>Author(s) hereby declare that NO generative AI technologies such as Large Language Models (</w:t>
      </w:r>
      <w:proofErr w:type="spellStart"/>
      <w:r>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560FD077" w14:textId="77777777" w:rsidR="006076B9" w:rsidRDefault="006076B9">
      <w:pPr>
        <w:spacing w:line="360" w:lineRule="auto"/>
        <w:rPr>
          <w:rFonts w:ascii="Times New Roman" w:eastAsiaTheme="minorEastAsia" w:hAnsi="Times New Roman"/>
          <w:color w:val="000000"/>
          <w:sz w:val="24"/>
          <w:szCs w:val="24"/>
          <w:lang w:val="en-GB" w:eastAsia="zh-CN"/>
        </w:rPr>
      </w:pPr>
    </w:p>
    <w:p w14:paraId="37BD4ECE" w14:textId="77777777" w:rsidR="006076B9" w:rsidRDefault="00030506">
      <w:pPr>
        <w:spacing w:line="360" w:lineRule="auto"/>
        <w:rPr>
          <w:b/>
          <w:bCs/>
          <w:sz w:val="24"/>
          <w:szCs w:val="24"/>
          <w:lang w:val="en-US"/>
        </w:rPr>
      </w:pPr>
      <w:r>
        <w:rPr>
          <w:rFonts w:ascii="Times New Roman" w:eastAsia="Calibri" w:hAnsi="Times New Roman"/>
          <w:b/>
          <w:bCs/>
          <w:color w:val="000000"/>
          <w:sz w:val="24"/>
          <w:szCs w:val="24"/>
        </w:rPr>
        <w:t>R</w:t>
      </w:r>
      <w:proofErr w:type="spellStart"/>
      <w:r>
        <w:rPr>
          <w:rFonts w:ascii="Times New Roman" w:eastAsia="Calibri" w:hAnsi="Times New Roman"/>
          <w:b/>
          <w:bCs/>
          <w:color w:val="000000"/>
          <w:sz w:val="24"/>
          <w:szCs w:val="24"/>
          <w:lang w:val="en-US"/>
        </w:rPr>
        <w:t>eferences</w:t>
      </w:r>
      <w:proofErr w:type="spellEnd"/>
    </w:p>
    <w:p w14:paraId="07611F5C" w14:textId="77777777" w:rsidR="002515BA" w:rsidRPr="002515BA" w:rsidRDefault="00030506" w:rsidP="002515BA">
      <w:pPr>
        <w:pStyle w:val="Bibliography"/>
        <w:rPr>
          <w:rFonts w:ascii="Times New Roman" w:hAnsi="Times New Roman" w:cs="Times New Roman"/>
          <w:sz w:val="24"/>
        </w:rPr>
      </w:pPr>
      <w:r>
        <w:rPr>
          <w:rFonts w:eastAsia="Calibri"/>
          <w:color w:val="000000"/>
        </w:rPr>
        <w:fldChar w:fldCharType="begin"/>
      </w:r>
      <w:r>
        <w:rPr>
          <w:rFonts w:eastAsia="Calibri"/>
          <w:color w:val="000000"/>
        </w:rPr>
        <w:instrText xml:space="preserve"> ADDIN ZOTERO_BIBL {"uncited":[],"omitted":[],"custom":[]} CSL_BIBLIOGRAPHY </w:instrText>
      </w:r>
      <w:r>
        <w:rPr>
          <w:rFonts w:eastAsia="Calibri"/>
          <w:color w:val="000000"/>
        </w:rPr>
        <w:fldChar w:fldCharType="separate"/>
      </w:r>
      <w:r w:rsidR="002515BA" w:rsidRPr="002515BA">
        <w:rPr>
          <w:rFonts w:ascii="Times New Roman" w:hAnsi="Times New Roman" w:cs="Times New Roman"/>
          <w:sz w:val="24"/>
        </w:rPr>
        <w:t>1.</w:t>
      </w:r>
      <w:r w:rsidR="002515BA" w:rsidRPr="002515BA">
        <w:rPr>
          <w:rFonts w:ascii="Times New Roman" w:hAnsi="Times New Roman" w:cs="Times New Roman"/>
          <w:sz w:val="24"/>
        </w:rPr>
        <w:tab/>
        <w:t xml:space="preserve">Durand A, Cartier L, Duburcq T, Onimus T, Favory R, Preau S. États de choc : grands cadres </w:t>
      </w:r>
      <w:r w:rsidR="002515BA" w:rsidRPr="002515BA">
        <w:rPr>
          <w:rFonts w:ascii="Times New Roman" w:eastAsia="DengXian" w:hAnsi="Times New Roman" w:cs="Times New Roman" w:hint="eastAsia"/>
          <w:sz w:val="24"/>
        </w:rPr>
        <w:t>é</w:t>
      </w:r>
      <w:r w:rsidR="002515BA" w:rsidRPr="002515BA">
        <w:rPr>
          <w:rFonts w:ascii="Times New Roman" w:hAnsi="Times New Roman" w:cs="Times New Roman"/>
          <w:sz w:val="24"/>
        </w:rPr>
        <w:t>tiologiques, prise en charge initiale. La Revue de M</w:t>
      </w:r>
      <w:r w:rsidR="002515BA" w:rsidRPr="002515BA">
        <w:rPr>
          <w:rFonts w:ascii="Times New Roman" w:eastAsia="DengXian" w:hAnsi="Times New Roman" w:cs="Times New Roman" w:hint="eastAsia"/>
          <w:sz w:val="24"/>
        </w:rPr>
        <w:t>é</w:t>
      </w:r>
      <w:r w:rsidR="002515BA" w:rsidRPr="002515BA">
        <w:rPr>
          <w:rFonts w:ascii="Times New Roman" w:hAnsi="Times New Roman" w:cs="Times New Roman"/>
          <w:sz w:val="24"/>
        </w:rPr>
        <w:t>decine Interne. d</w:t>
      </w:r>
      <w:r w:rsidR="002515BA" w:rsidRPr="002515BA">
        <w:rPr>
          <w:rFonts w:ascii="Times New Roman" w:eastAsia="DengXian" w:hAnsi="Times New Roman" w:cs="Times New Roman" w:hint="eastAsia"/>
          <w:sz w:val="24"/>
        </w:rPr>
        <w:t>é</w:t>
      </w:r>
      <w:r w:rsidR="002515BA" w:rsidRPr="002515BA">
        <w:rPr>
          <w:rFonts w:ascii="Times New Roman" w:hAnsi="Times New Roman" w:cs="Times New Roman"/>
          <w:sz w:val="24"/>
        </w:rPr>
        <w:t xml:space="preserve">c 2019;40(12):799‑807. </w:t>
      </w:r>
    </w:p>
    <w:p w14:paraId="33FCBE53"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lastRenderedPageBreak/>
        <w:t>2.</w:t>
      </w:r>
      <w:r w:rsidRPr="002515BA">
        <w:rPr>
          <w:rFonts w:ascii="Times New Roman" w:hAnsi="Times New Roman" w:cs="Times New Roman"/>
          <w:sz w:val="24"/>
        </w:rPr>
        <w:tab/>
        <w:t xml:space="preserve">Babaev A, Frederick PD, Pasta DJ, Every N, Sichrovsky T, Hochman JS, et al. Trends in management and outcomes of patients with acute myocardial infarction complicated by cardiogenic shock. JAMA. 27 juill 2005;294(4):448‑54. </w:t>
      </w:r>
    </w:p>
    <w:p w14:paraId="021E4EF2"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3.</w:t>
      </w:r>
      <w:r w:rsidRPr="002515BA">
        <w:rPr>
          <w:rFonts w:ascii="Times New Roman" w:hAnsi="Times New Roman" w:cs="Times New Roman"/>
          <w:sz w:val="24"/>
        </w:rPr>
        <w:tab/>
        <w:t xml:space="preserve">van Beest PA, Brander L, Jansen SP, Rommes JH, Kuiper MA, Spronk PE. Cumulative lactate and hospital mortality in ICU patients. Ann Intensive Care. 27 févr 2013;3:6. </w:t>
      </w:r>
    </w:p>
    <w:p w14:paraId="5FC756C1"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4.</w:t>
      </w:r>
      <w:r w:rsidRPr="002515BA">
        <w:rPr>
          <w:rFonts w:ascii="Times New Roman" w:hAnsi="Times New Roman" w:cs="Times New Roman"/>
          <w:sz w:val="24"/>
        </w:rPr>
        <w:tab/>
        <w:t xml:space="preserve">Carcillo JA, Fields AI, American College of Critical Care Medicine Task Force Committee Members. Clinical practice parameters for hemodynamic support of pediatric and neonatal patients in septic shock. Crit Care Med. juin 2002;30(6):1365‑78. </w:t>
      </w:r>
    </w:p>
    <w:p w14:paraId="7D5816D5"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5.</w:t>
      </w:r>
      <w:r w:rsidRPr="002515BA">
        <w:rPr>
          <w:rFonts w:ascii="Times New Roman" w:hAnsi="Times New Roman" w:cs="Times New Roman"/>
          <w:sz w:val="24"/>
        </w:rPr>
        <w:tab/>
        <w:t xml:space="preserve">Mendelson J. Emergency Department Management of Pediatric Shock. Emergency Medicine Clinics of North America. mai 2018;36(2):427‑40. </w:t>
      </w:r>
    </w:p>
    <w:p w14:paraId="3770EFBA"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6.</w:t>
      </w:r>
      <w:r w:rsidRPr="002515BA">
        <w:rPr>
          <w:rFonts w:ascii="Times New Roman" w:hAnsi="Times New Roman" w:cs="Times New Roman"/>
          <w:sz w:val="24"/>
        </w:rPr>
        <w:tab/>
        <w:t>Impact of HIV infection and exposure on survival in critically ill children who attend a paediatric emergency department in a resource-constrained setting - PubMed [Internet]. [cité 15 mars 2024]. Disponible sur: https://pubmed.ncbi.nlm.nih.gov/20515902/</w:t>
      </w:r>
    </w:p>
    <w:p w14:paraId="02A98046"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7.</w:t>
      </w:r>
      <w:r w:rsidRPr="002515BA">
        <w:rPr>
          <w:rFonts w:ascii="Times New Roman" w:hAnsi="Times New Roman" w:cs="Times New Roman"/>
          <w:sz w:val="24"/>
        </w:rPr>
        <w:tab/>
        <w:t xml:space="preserve">Ibrahiem SK, Galal YS, Youssef MRL, Sedrak AS, El Khateeb EM, Abdel-Hameed ND. Prognostic markers among Egyptian children with sepsis in the Intensive Care Units, Cairo University Hospitals. Allergol Immunopathol (Madr). 2016;44(1):46‑53. </w:t>
      </w:r>
    </w:p>
    <w:p w14:paraId="3BAABEC5"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8.</w:t>
      </w:r>
      <w:r w:rsidRPr="002515BA">
        <w:rPr>
          <w:rFonts w:ascii="Times New Roman" w:hAnsi="Times New Roman" w:cs="Times New Roman"/>
          <w:sz w:val="24"/>
        </w:rPr>
        <w:tab/>
        <w:t xml:space="preserve">Cecconi M, De Backer D, Antonelli M, Beale R, Bakker J, Hofer C, et al. Consensus on circulatory shock and hemodynamic monitoring. Task force of the European Society of Intensive Care Medicine. Intensive Care Med. déc 2014;40(12):1795‑815. </w:t>
      </w:r>
    </w:p>
    <w:p w14:paraId="20654E08"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9.</w:t>
      </w:r>
      <w:r w:rsidRPr="002515BA">
        <w:rPr>
          <w:rFonts w:ascii="Times New Roman" w:hAnsi="Times New Roman" w:cs="Times New Roman"/>
          <w:sz w:val="24"/>
        </w:rPr>
        <w:tab/>
        <w:t xml:space="preserve">Weiss SL, Peters MJ, Alhazzani W, Agus MSD, Flori HR, Inwald DP, et al. Surviving Sepsis Campaign International Guidelines for the Management of Septic Shock and Sepsis-Associated Organ Dysfunction in Children. Pediatr Crit Care Med. févr 2020;21(2):e52‑106. </w:t>
      </w:r>
    </w:p>
    <w:p w14:paraId="696F57CE"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10.</w:t>
      </w:r>
      <w:r w:rsidRPr="002515BA">
        <w:rPr>
          <w:rFonts w:ascii="Times New Roman" w:hAnsi="Times New Roman" w:cs="Times New Roman"/>
          <w:sz w:val="24"/>
        </w:rPr>
        <w:tab/>
        <w:t xml:space="preserve">Pollack MM, Fields AI, Ruttimann UE. Distributions of cardiopulmonary variables in pediatric survivors and nonsurvivors of septic shock. Crit Care Med. juin 1985;13(6):454‑9. </w:t>
      </w:r>
    </w:p>
    <w:p w14:paraId="6F885DF0"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11.</w:t>
      </w:r>
      <w:r w:rsidRPr="002515BA">
        <w:rPr>
          <w:rFonts w:ascii="Times New Roman" w:hAnsi="Times New Roman" w:cs="Times New Roman"/>
          <w:sz w:val="24"/>
        </w:rPr>
        <w:tab/>
        <w:t xml:space="preserve">Emrath ET, Fortenberry JD, Travers C, McCracken CE, Hebbar KB. Resuscitation With Balanced Fluids Is Associated With Improved Survival in Pediatric Severe Sepsis. Crit Care Med. juill 2017;45(7):1177‑83. </w:t>
      </w:r>
    </w:p>
    <w:p w14:paraId="5D88B3CD"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12.</w:t>
      </w:r>
      <w:r w:rsidRPr="002515BA">
        <w:rPr>
          <w:rFonts w:ascii="Times New Roman" w:hAnsi="Times New Roman" w:cs="Times New Roman"/>
          <w:sz w:val="24"/>
        </w:rPr>
        <w:tab/>
        <w:t xml:space="preserve">van Diepen S, Katz JN, Albert NM, Henry TD, Jacobs AK, Kapur NK, et al. Contemporary Management of Cardiogenic Shock: A Scientific Statement From the American Heart Association. Circulation. 17 oct 2017;136(16):e232‑68. </w:t>
      </w:r>
    </w:p>
    <w:p w14:paraId="6066A3CD"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13.</w:t>
      </w:r>
      <w:r w:rsidRPr="002515BA">
        <w:rPr>
          <w:rFonts w:ascii="Times New Roman" w:hAnsi="Times New Roman" w:cs="Times New Roman"/>
          <w:sz w:val="24"/>
        </w:rPr>
        <w:tab/>
        <w:t xml:space="preserve">Ponikowski P, Voors AA, Anker SD, Bueno H, Cleland JGF, Coats AJS, et al. 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 Eur Heart J. 14 juill 2016;37(27):2129‑200. </w:t>
      </w:r>
    </w:p>
    <w:p w14:paraId="5CA6D1A1"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14.</w:t>
      </w:r>
      <w:r w:rsidRPr="002515BA">
        <w:rPr>
          <w:rFonts w:ascii="Times New Roman" w:hAnsi="Times New Roman" w:cs="Times New Roman"/>
          <w:sz w:val="24"/>
        </w:rPr>
        <w:tab/>
        <w:t xml:space="preserve">Hamzaoui O, Jozwiak M, Geffriaud T, Sztrymf B, Prat D, Jacobs F, et al. Norepinephrine exerts an inotropic effect during the early phase of human septic shock. Br J Anaesth. mars 2018;120(3):517‑24. </w:t>
      </w:r>
    </w:p>
    <w:p w14:paraId="06C4E562"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lastRenderedPageBreak/>
        <w:t>15.</w:t>
      </w:r>
      <w:r w:rsidRPr="002515BA">
        <w:rPr>
          <w:rFonts w:ascii="Times New Roman" w:hAnsi="Times New Roman" w:cs="Times New Roman"/>
          <w:sz w:val="24"/>
        </w:rPr>
        <w:tab/>
        <w:t xml:space="preserve">Rhodes A, Evans LE, Alhazzani W, Levy MM, Antonelli M, Ferrer R, et al. Surviving Sepsis Campaign: International Guidelines for Management of Sepsis and Septic Shock: 2016. Intensive Care Med. mars 2017;43(3):304‑77. </w:t>
      </w:r>
    </w:p>
    <w:p w14:paraId="4AA0968D"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16.</w:t>
      </w:r>
      <w:r w:rsidRPr="002515BA">
        <w:rPr>
          <w:rFonts w:ascii="Times New Roman" w:hAnsi="Times New Roman" w:cs="Times New Roman"/>
          <w:sz w:val="24"/>
        </w:rPr>
        <w:tab/>
        <w:t xml:space="preserve">Myburgh JA, Higgins A, Jovanovska A, Lipman J, Ramakrishnan N, Santamaria J, et al. A comparison of epinephrine and norepinephrine in critically ill patients. Intensive Care Med. déc 2008;34(12):2226‑34. </w:t>
      </w:r>
    </w:p>
    <w:p w14:paraId="0DBC70AC"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17.</w:t>
      </w:r>
      <w:r w:rsidRPr="002515BA">
        <w:rPr>
          <w:rFonts w:ascii="Times New Roman" w:hAnsi="Times New Roman" w:cs="Times New Roman"/>
          <w:sz w:val="24"/>
        </w:rPr>
        <w:tab/>
        <w:t xml:space="preserve">Levy M, Lacarra B, Naudin J, Dauger S. Sepsis sévère chez l’enfant. Perfectionnement en Pédiatrie. juin 2023;6(2):134‑42. </w:t>
      </w:r>
    </w:p>
    <w:p w14:paraId="113B3AF9"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18.</w:t>
      </w:r>
      <w:r w:rsidRPr="002515BA">
        <w:rPr>
          <w:rFonts w:ascii="Times New Roman" w:hAnsi="Times New Roman" w:cs="Times New Roman"/>
          <w:sz w:val="24"/>
        </w:rPr>
        <w:tab/>
        <w:t xml:space="preserve">Zimmerman JJ, Williams MD. Adjunctive corticosteroid therapy in pediatric severe sepsis: Observations from the RESOLVE study*. Pediatric Critical Care Medicine. janv 2011;12(1):2. </w:t>
      </w:r>
    </w:p>
    <w:p w14:paraId="285216AF"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19.</w:t>
      </w:r>
      <w:r w:rsidRPr="002515BA">
        <w:rPr>
          <w:rFonts w:ascii="Times New Roman" w:hAnsi="Times New Roman" w:cs="Times New Roman"/>
          <w:sz w:val="24"/>
        </w:rPr>
        <w:tab/>
        <w:t xml:space="preserve">Menon K, McNally D, Choong K, Sampson M. A Systematic Review and Meta-Analysis on the Effect of Steroids in Pediatric Shock. Pediatric Critical Care Medicine. juin 2013;14(5):474. </w:t>
      </w:r>
    </w:p>
    <w:p w14:paraId="703D0233"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20.</w:t>
      </w:r>
      <w:r w:rsidRPr="002515BA">
        <w:rPr>
          <w:rFonts w:ascii="Times New Roman" w:hAnsi="Times New Roman" w:cs="Times New Roman"/>
          <w:sz w:val="24"/>
        </w:rPr>
        <w:tab/>
        <w:t xml:space="preserve">Gordon AC, Mason AJ, Perkins GD, Stotz M, Terblanche M, Ashby D, et al. The interaction of vasopressin and corticosteroids in septic shock: a pilot randomized controlled trial. Crit Care Med. juin 2014;42(6):1325‑33. </w:t>
      </w:r>
    </w:p>
    <w:p w14:paraId="6F8A5B6E"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21.</w:t>
      </w:r>
      <w:r w:rsidRPr="002515BA">
        <w:rPr>
          <w:rFonts w:ascii="Times New Roman" w:hAnsi="Times New Roman" w:cs="Times New Roman"/>
          <w:sz w:val="24"/>
        </w:rPr>
        <w:tab/>
        <w:t xml:space="preserve">Analyse de la mortalité au service de réanimation pédiatrique du CHU Mohammed VI de Marrakech. </w:t>
      </w:r>
    </w:p>
    <w:p w14:paraId="29E2835F"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22.</w:t>
      </w:r>
      <w:r w:rsidRPr="002515BA">
        <w:rPr>
          <w:rFonts w:ascii="Times New Roman" w:hAnsi="Times New Roman" w:cs="Times New Roman"/>
          <w:sz w:val="24"/>
        </w:rPr>
        <w:tab/>
        <w:t xml:space="preserve">Menif K, Bouziri A, Ben Jaballah N. [Management of the first hour of the pediatric septic shock patient]. Tunis Med. févr 2011;89(2):132‑5. </w:t>
      </w:r>
    </w:p>
    <w:p w14:paraId="71D6A974" w14:textId="77777777" w:rsidR="002515BA" w:rsidRPr="002515BA" w:rsidRDefault="002515BA" w:rsidP="002515BA">
      <w:pPr>
        <w:pStyle w:val="Bibliography"/>
        <w:rPr>
          <w:rFonts w:ascii="Times New Roman" w:hAnsi="Times New Roman" w:cs="Times New Roman"/>
          <w:sz w:val="24"/>
        </w:rPr>
      </w:pPr>
      <w:r w:rsidRPr="002515BA">
        <w:rPr>
          <w:rFonts w:ascii="Times New Roman" w:hAnsi="Times New Roman" w:cs="Times New Roman"/>
          <w:sz w:val="24"/>
        </w:rPr>
        <w:t>23.</w:t>
      </w:r>
      <w:r w:rsidRPr="002515BA">
        <w:rPr>
          <w:rFonts w:ascii="Times New Roman" w:hAnsi="Times New Roman" w:cs="Times New Roman"/>
          <w:sz w:val="24"/>
        </w:rPr>
        <w:tab/>
        <w:t xml:space="preserve">Schlapbach LJ, Watson RS, Sorce LR, Argent AC, Menon K, Hall MW, et al. International Consensus Criteria for Pediatric Sepsis and Septic Shock. JAMA. 27 févr 2024;331(8):665‑74. </w:t>
      </w:r>
    </w:p>
    <w:p w14:paraId="6B110BA7" w14:textId="3480638E" w:rsidR="006076B9" w:rsidRDefault="00030506">
      <w:pPr>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fldChar w:fldCharType="end"/>
      </w:r>
    </w:p>
    <w:p w14:paraId="07F90799" w14:textId="77777777" w:rsidR="006076B9" w:rsidRDefault="006076B9">
      <w:pPr>
        <w:rPr>
          <w:sz w:val="24"/>
          <w:szCs w:val="24"/>
          <w:lang w:val="en-US"/>
        </w:rPr>
      </w:pPr>
    </w:p>
    <w:p w14:paraId="77A52ADB" w14:textId="77777777" w:rsidR="006076B9" w:rsidRDefault="006076B9">
      <w:pPr>
        <w:rPr>
          <w:sz w:val="24"/>
          <w:szCs w:val="24"/>
          <w:lang w:val="en-US"/>
        </w:rPr>
      </w:pPr>
    </w:p>
    <w:p w14:paraId="166A0F31" w14:textId="77777777" w:rsidR="006076B9" w:rsidRDefault="00030506">
      <w:pPr>
        <w:spacing w:line="360" w:lineRule="auto"/>
        <w:jc w:val="center"/>
        <w:rPr>
          <w:rFonts w:ascii="Times New Roman" w:eastAsia="SimSun" w:hAnsi="Times New Roman" w:cs="Times New Roman"/>
          <w:color w:val="4472C4" w:themeColor="accent1"/>
          <w:sz w:val="24"/>
          <w:szCs w:val="24"/>
        </w:rPr>
      </w:pPr>
      <w:r>
        <w:rPr>
          <w:noProof/>
        </w:rPr>
        <w:lastRenderedPageBreak/>
        <w:drawing>
          <wp:inline distT="0" distB="0" distL="114300" distR="114300" wp14:anchorId="7CA1CFE6" wp14:editId="66B1A942">
            <wp:extent cx="5589905" cy="2797810"/>
            <wp:effectExtent l="0" t="0" r="3175" b="6350"/>
            <wp:docPr id="1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7"/>
                    <pic:cNvPicPr>
                      <a:picLocks noChangeAspect="1"/>
                    </pic:cNvPicPr>
                  </pic:nvPicPr>
                  <pic:blipFill>
                    <a:blip r:embed="rId8"/>
                    <a:stretch>
                      <a:fillRect/>
                    </a:stretch>
                  </pic:blipFill>
                  <pic:spPr>
                    <a:xfrm>
                      <a:off x="0" y="0"/>
                      <a:ext cx="5589905" cy="2797810"/>
                    </a:xfrm>
                    <a:prstGeom prst="rect">
                      <a:avLst/>
                    </a:prstGeom>
                    <a:noFill/>
                    <a:ln>
                      <a:noFill/>
                    </a:ln>
                  </pic:spPr>
                </pic:pic>
              </a:graphicData>
            </a:graphic>
          </wp:inline>
        </w:drawing>
      </w:r>
    </w:p>
    <w:p w14:paraId="7DD5998C" w14:textId="77777777" w:rsidR="006076B9" w:rsidRDefault="00030506">
      <w:pPr>
        <w:spacing w:line="360" w:lineRule="auto"/>
        <w:jc w:val="center"/>
        <w:rPr>
          <w:rFonts w:ascii="Times New Roman" w:eastAsia="SimSun" w:hAnsi="Times New Roman" w:cs="Times New Roman"/>
          <w:b/>
          <w:bCs/>
          <w:color w:val="000000" w:themeColor="text1"/>
          <w:sz w:val="24"/>
          <w:szCs w:val="24"/>
        </w:rPr>
      </w:pPr>
      <w:r>
        <w:rPr>
          <w:rFonts w:ascii="Times New Roman" w:eastAsia="SimSun" w:hAnsi="Times New Roman"/>
          <w:b/>
          <w:bCs/>
          <w:color w:val="000000" w:themeColor="text1"/>
          <w:sz w:val="24"/>
          <w:szCs w:val="24"/>
        </w:rPr>
        <w:t>Figure 1: Breakdown by age group</w:t>
      </w:r>
    </w:p>
    <w:p w14:paraId="06708C65" w14:textId="77777777" w:rsidR="006076B9" w:rsidRDefault="006076B9">
      <w:pPr>
        <w:spacing w:line="360" w:lineRule="auto"/>
        <w:jc w:val="center"/>
        <w:rPr>
          <w:rFonts w:ascii="Times New Roman" w:eastAsia="SimSun" w:hAnsi="Times New Roman" w:cs="Times New Roman"/>
          <w:color w:val="4472C4" w:themeColor="accent1"/>
          <w:sz w:val="24"/>
          <w:szCs w:val="24"/>
        </w:rPr>
      </w:pPr>
    </w:p>
    <w:p w14:paraId="26C6ADF9"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2F0CF489"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1F0E05C3"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77FFC315"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29EBF424"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5C01D820"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4DCD35AA"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5490A621"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4C4224FE" w14:textId="77777777" w:rsidR="006076B9" w:rsidRDefault="006076B9">
      <w:pPr>
        <w:spacing w:line="360" w:lineRule="auto"/>
        <w:jc w:val="center"/>
        <w:rPr>
          <w:rFonts w:ascii="Times New Roman" w:eastAsia="SimSun" w:hAnsi="Times New Roman" w:cs="Times New Roman"/>
          <w:color w:val="4472C4" w:themeColor="accent1"/>
          <w:sz w:val="24"/>
          <w:szCs w:val="24"/>
          <w:lang w:val="en-US"/>
        </w:rPr>
      </w:pPr>
    </w:p>
    <w:p w14:paraId="2091F86C" w14:textId="77777777" w:rsidR="006076B9" w:rsidRDefault="00030506">
      <w:pPr>
        <w:rPr>
          <w:lang w:val="fr-FR" w:eastAsia="zh-CN"/>
        </w:rPr>
      </w:pPr>
      <w:r>
        <w:rPr>
          <w:noProof/>
        </w:rPr>
        <w:lastRenderedPageBreak/>
        <w:drawing>
          <wp:inline distT="0" distB="0" distL="114300" distR="114300" wp14:anchorId="48B728CF" wp14:editId="35A57341">
            <wp:extent cx="5824220" cy="3029585"/>
            <wp:effectExtent l="0" t="0" r="12700" b="3175"/>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9"/>
                    <pic:cNvPicPr>
                      <a:picLocks noChangeAspect="1"/>
                    </pic:cNvPicPr>
                  </pic:nvPicPr>
                  <pic:blipFill>
                    <a:blip r:embed="rId9"/>
                    <a:stretch>
                      <a:fillRect/>
                    </a:stretch>
                  </pic:blipFill>
                  <pic:spPr>
                    <a:xfrm>
                      <a:off x="0" y="0"/>
                      <a:ext cx="5824220" cy="3029585"/>
                    </a:xfrm>
                    <a:prstGeom prst="rect">
                      <a:avLst/>
                    </a:prstGeom>
                    <a:noFill/>
                    <a:ln>
                      <a:noFill/>
                    </a:ln>
                  </pic:spPr>
                </pic:pic>
              </a:graphicData>
            </a:graphic>
          </wp:inline>
        </w:drawing>
      </w:r>
    </w:p>
    <w:p w14:paraId="1AF3FA0A" w14:textId="77777777" w:rsidR="006076B9" w:rsidRDefault="00030506">
      <w:pPr>
        <w:jc w:val="center"/>
        <w:rPr>
          <w:b/>
          <w:bCs/>
          <w:color w:val="000000" w:themeColor="text1"/>
          <w:lang w:val="en-US" w:eastAsia="zh-CN"/>
        </w:rPr>
      </w:pPr>
      <w:r>
        <w:rPr>
          <w:b/>
          <w:bCs/>
          <w:color w:val="000000" w:themeColor="text1"/>
          <w:lang w:val="en-US" w:eastAsia="zh-CN"/>
        </w:rPr>
        <w:t>Figure 2: Breakdown by type of shock</w:t>
      </w:r>
    </w:p>
    <w:p w14:paraId="1CCC0AF5" w14:textId="77777777" w:rsidR="006076B9" w:rsidRDefault="006076B9">
      <w:pPr>
        <w:rPr>
          <w:lang w:val="en-US" w:eastAsia="zh-CN"/>
        </w:rPr>
      </w:pPr>
    </w:p>
    <w:p w14:paraId="5ACD0AC1" w14:textId="77777777" w:rsidR="006076B9" w:rsidRDefault="006076B9">
      <w:pPr>
        <w:rPr>
          <w:lang w:val="en-US" w:eastAsia="zh-CN"/>
        </w:rPr>
      </w:pPr>
    </w:p>
    <w:p w14:paraId="07227F55" w14:textId="77777777" w:rsidR="006076B9" w:rsidRDefault="006076B9">
      <w:pPr>
        <w:rPr>
          <w:lang w:val="en-US" w:eastAsia="zh-CN"/>
        </w:rPr>
      </w:pPr>
    </w:p>
    <w:p w14:paraId="517BA4F6" w14:textId="77777777" w:rsidR="006076B9" w:rsidRDefault="006076B9">
      <w:pPr>
        <w:rPr>
          <w:lang w:val="en-US" w:eastAsia="zh-CN"/>
        </w:rPr>
      </w:pPr>
    </w:p>
    <w:p w14:paraId="0F745D58" w14:textId="77777777" w:rsidR="006076B9" w:rsidRDefault="006076B9">
      <w:pPr>
        <w:rPr>
          <w:lang w:val="en-US" w:eastAsia="zh-CN"/>
        </w:rPr>
      </w:pPr>
    </w:p>
    <w:p w14:paraId="7E2DA2A0" w14:textId="77777777" w:rsidR="006076B9" w:rsidRDefault="006076B9">
      <w:pPr>
        <w:rPr>
          <w:lang w:val="en-US" w:eastAsia="zh-CN"/>
        </w:rPr>
      </w:pPr>
    </w:p>
    <w:p w14:paraId="37C4D407" w14:textId="77777777" w:rsidR="006076B9" w:rsidRDefault="006076B9">
      <w:pPr>
        <w:rPr>
          <w:lang w:val="en-US" w:eastAsia="zh-CN"/>
        </w:rPr>
      </w:pPr>
    </w:p>
    <w:p w14:paraId="1506ECC8" w14:textId="77777777" w:rsidR="006076B9" w:rsidRDefault="006076B9">
      <w:pPr>
        <w:rPr>
          <w:lang w:val="en-US" w:eastAsia="zh-CN"/>
        </w:rPr>
      </w:pPr>
    </w:p>
    <w:p w14:paraId="45B67F23" w14:textId="77777777" w:rsidR="006076B9" w:rsidRDefault="006076B9">
      <w:pPr>
        <w:rPr>
          <w:lang w:val="en-US" w:eastAsia="zh-CN"/>
        </w:rPr>
      </w:pPr>
    </w:p>
    <w:p w14:paraId="05382A53" w14:textId="77777777" w:rsidR="006076B9" w:rsidRDefault="006076B9">
      <w:pPr>
        <w:rPr>
          <w:lang w:val="en-US" w:eastAsia="zh-CN"/>
        </w:rPr>
      </w:pPr>
    </w:p>
    <w:p w14:paraId="56BC6600" w14:textId="77777777" w:rsidR="006076B9" w:rsidRDefault="006076B9">
      <w:pPr>
        <w:rPr>
          <w:lang w:val="en-US" w:eastAsia="zh-CN"/>
        </w:rPr>
      </w:pPr>
    </w:p>
    <w:p w14:paraId="14A20284" w14:textId="77777777" w:rsidR="006076B9" w:rsidRDefault="006076B9">
      <w:pPr>
        <w:rPr>
          <w:lang w:val="en-US" w:eastAsia="zh-CN"/>
        </w:rPr>
      </w:pPr>
    </w:p>
    <w:p w14:paraId="264746BD" w14:textId="77777777" w:rsidR="006076B9" w:rsidRDefault="006076B9">
      <w:pPr>
        <w:rPr>
          <w:lang w:val="en-US" w:eastAsia="zh-CN"/>
        </w:rPr>
      </w:pPr>
    </w:p>
    <w:p w14:paraId="177190C3" w14:textId="77777777" w:rsidR="006076B9" w:rsidRDefault="006076B9">
      <w:pPr>
        <w:rPr>
          <w:lang w:val="en-US" w:eastAsia="zh-CN"/>
        </w:rPr>
      </w:pPr>
    </w:p>
    <w:p w14:paraId="7ACB42FB" w14:textId="77777777" w:rsidR="006076B9" w:rsidRDefault="006076B9">
      <w:pPr>
        <w:rPr>
          <w:lang w:val="en-US" w:eastAsia="zh-CN"/>
        </w:rPr>
      </w:pPr>
    </w:p>
    <w:p w14:paraId="62D59596" w14:textId="77777777" w:rsidR="006076B9" w:rsidRDefault="006076B9">
      <w:pPr>
        <w:rPr>
          <w:lang w:val="en-US" w:eastAsia="zh-CN"/>
        </w:rPr>
      </w:pPr>
    </w:p>
    <w:p w14:paraId="36D885D1" w14:textId="77777777" w:rsidR="006076B9" w:rsidRDefault="006076B9">
      <w:pPr>
        <w:rPr>
          <w:lang w:val="en-US" w:eastAsia="zh-CN"/>
        </w:rPr>
      </w:pPr>
    </w:p>
    <w:p w14:paraId="2B92731A" w14:textId="7FEE84B8" w:rsidR="00A73BD6" w:rsidRDefault="00A73BD6">
      <w:pPr>
        <w:rPr>
          <w:lang w:val="en-US" w:eastAsia="zh-CN"/>
        </w:rPr>
      </w:pPr>
    </w:p>
    <w:p w14:paraId="7C668D7D" w14:textId="281E34F6" w:rsidR="00A73BD6" w:rsidRDefault="00A73BD6">
      <w:pPr>
        <w:spacing w:after="0" w:line="240" w:lineRule="auto"/>
        <w:rPr>
          <w:lang w:val="en-US" w:eastAsia="zh-CN"/>
        </w:rPr>
      </w:pPr>
      <w:r>
        <w:rPr>
          <w:lang w:val="en-US" w:eastAsia="zh-CN"/>
        </w:rPr>
        <w:br w:type="page"/>
      </w:r>
      <w:r w:rsidR="00FC75B5">
        <w:rPr>
          <w:noProof/>
        </w:rPr>
        <w:lastRenderedPageBreak/>
        <w:drawing>
          <wp:inline distT="0" distB="0" distL="0" distR="0" wp14:anchorId="29E28DF2" wp14:editId="7C042DA2">
            <wp:extent cx="5891980" cy="3214370"/>
            <wp:effectExtent l="0" t="0" r="13970" b="5080"/>
            <wp:docPr id="1" name="Graphique 1">
              <a:extLst xmlns:a="http://schemas.openxmlformats.org/drawingml/2006/main">
                <a:ext uri="{FF2B5EF4-FFF2-40B4-BE49-F238E27FC236}">
                  <a16:creationId xmlns:a16="http://schemas.microsoft.com/office/drawing/2014/main" id="{14E1B734-42B7-C43A-74CC-68440CF54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C80C70" w14:textId="3D91F084" w:rsidR="00A73BD6" w:rsidRDefault="00A73BD6">
      <w:pPr>
        <w:spacing w:after="0" w:line="240" w:lineRule="auto"/>
        <w:rPr>
          <w:lang w:val="en-US" w:eastAsia="zh-CN"/>
        </w:rPr>
      </w:pPr>
    </w:p>
    <w:p w14:paraId="22C4CAE7" w14:textId="72A8B650" w:rsidR="00A73BD6" w:rsidRDefault="00A73BD6">
      <w:pPr>
        <w:spacing w:after="0" w:line="240" w:lineRule="auto"/>
        <w:rPr>
          <w:lang w:val="en-US" w:eastAsia="zh-CN"/>
        </w:rPr>
      </w:pPr>
    </w:p>
    <w:p w14:paraId="4D671652" w14:textId="2423A070" w:rsidR="00A73BD6" w:rsidRPr="00A73BD6" w:rsidRDefault="00A73BD6" w:rsidP="00A73BD6">
      <w:pPr>
        <w:spacing w:after="0" w:line="240" w:lineRule="auto"/>
        <w:jc w:val="center"/>
        <w:rPr>
          <w:b/>
          <w:bCs/>
          <w:lang w:val="en-US" w:eastAsia="zh-CN"/>
        </w:rPr>
      </w:pPr>
      <w:r w:rsidRPr="00A73BD6">
        <w:rPr>
          <w:b/>
          <w:bCs/>
          <w:lang w:val="en-US" w:eastAsia="zh-CN"/>
        </w:rPr>
        <w:t>Figure 3: Distribution according to antibiotic therapy</w:t>
      </w:r>
    </w:p>
    <w:p w14:paraId="78E83963" w14:textId="77777777" w:rsidR="006076B9" w:rsidRDefault="006076B9">
      <w:pPr>
        <w:rPr>
          <w:lang w:val="en-US" w:eastAsia="zh-CN"/>
        </w:rPr>
      </w:pPr>
    </w:p>
    <w:p w14:paraId="0EB37614"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8349059"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8908F88"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AA7656B"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CB5B8D7"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66E0B77B"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3146231"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89487CC"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B2D4269"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73796B3F"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69E9D8C1"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27A4E6A4"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7DDC6D08"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6BB52729"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2BDAF6D6"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40F78351"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23612AE7"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EEE29B3"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54A1526F"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1197F196" w14:textId="77777777" w:rsidR="00A73BD6" w:rsidRDefault="00A73BD6">
      <w:pPr>
        <w:tabs>
          <w:tab w:val="left" w:pos="3230"/>
        </w:tabs>
        <w:jc w:val="center"/>
        <w:rPr>
          <w:rFonts w:ascii="Times New Roman" w:hAnsi="Times New Roman" w:cs="Times New Roman"/>
          <w:b/>
          <w:bCs/>
          <w:color w:val="000000" w:themeColor="text1"/>
          <w:sz w:val="24"/>
          <w:szCs w:val="24"/>
          <w:lang w:val="en-US"/>
        </w:rPr>
      </w:pPr>
    </w:p>
    <w:p w14:paraId="2C566D8F" w14:textId="4BE454D9" w:rsidR="006076B9" w:rsidRDefault="00030506">
      <w:pPr>
        <w:tabs>
          <w:tab w:val="left" w:pos="3230"/>
        </w:tabs>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Table 1: Relationship between type of shock and death</w:t>
      </w:r>
    </w:p>
    <w:tbl>
      <w:tblPr>
        <w:tblStyle w:val="Tableausimple27"/>
        <w:tblW w:w="0" w:type="auto"/>
        <w:jc w:val="center"/>
        <w:tblCellMar>
          <w:top w:w="15" w:type="dxa"/>
          <w:left w:w="15" w:type="dxa"/>
          <w:bottom w:w="15" w:type="dxa"/>
          <w:right w:w="15" w:type="dxa"/>
        </w:tblCellMar>
        <w:tblLook w:val="04A0" w:firstRow="1" w:lastRow="0" w:firstColumn="1" w:lastColumn="0" w:noHBand="0" w:noVBand="1"/>
      </w:tblPr>
      <w:tblGrid>
        <w:gridCol w:w="2133"/>
        <w:gridCol w:w="783"/>
        <w:gridCol w:w="1349"/>
        <w:gridCol w:w="1349"/>
        <w:gridCol w:w="925"/>
        <w:gridCol w:w="934"/>
        <w:gridCol w:w="730"/>
        <w:gridCol w:w="869"/>
      </w:tblGrid>
      <w:tr w:rsidR="006076B9" w14:paraId="7DA825B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33" w:type="dxa"/>
            <w:tcBorders>
              <w:top w:val="outset" w:sz="6" w:space="0" w:color="auto"/>
              <w:left w:val="nil"/>
              <w:bottom w:val="outset" w:sz="6" w:space="0" w:color="auto"/>
              <w:right w:val="nil"/>
            </w:tcBorders>
          </w:tcPr>
          <w:p w14:paraId="0AB5DADF" w14:textId="77777777" w:rsidR="006076B9" w:rsidRDefault="00030506">
            <w:pPr>
              <w:spacing w:after="0" w:line="360" w:lineRule="auto"/>
              <w:jc w:val="both"/>
              <w:rPr>
                <w:rFonts w:eastAsia="Calibri"/>
                <w:b w:val="0"/>
                <w:bCs w:val="0"/>
                <w:sz w:val="24"/>
                <w:szCs w:val="24"/>
                <w:lang w:eastAsia="zh-CN"/>
              </w:rPr>
            </w:pPr>
            <w:r>
              <w:rPr>
                <w:rFonts w:eastAsia="Calibri"/>
                <w:b w:val="0"/>
                <w:bCs w:val="0"/>
                <w:sz w:val="24"/>
                <w:szCs w:val="24"/>
                <w:lang w:eastAsia="zh-CN"/>
              </w:rPr>
              <w:t>Characteristic</w:t>
            </w:r>
          </w:p>
        </w:tc>
        <w:tc>
          <w:tcPr>
            <w:tcW w:w="783" w:type="dxa"/>
            <w:tcBorders>
              <w:top w:val="outset" w:sz="6" w:space="0" w:color="auto"/>
              <w:left w:val="nil"/>
              <w:bottom w:val="outset" w:sz="6" w:space="0" w:color="auto"/>
              <w:right w:val="nil"/>
            </w:tcBorders>
          </w:tcPr>
          <w:p w14:paraId="7D9A6145" w14:textId="77777777" w:rsidR="006076B9" w:rsidRDefault="006076B9">
            <w:pPr>
              <w:spacing w:after="0" w:line="360" w:lineRule="auto"/>
              <w:jc w:val="both"/>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p>
        </w:tc>
        <w:tc>
          <w:tcPr>
            <w:tcW w:w="2698" w:type="dxa"/>
            <w:gridSpan w:val="2"/>
            <w:tcBorders>
              <w:top w:val="outset" w:sz="6" w:space="0" w:color="auto"/>
              <w:left w:val="nil"/>
              <w:bottom w:val="outset" w:sz="6" w:space="0" w:color="auto"/>
              <w:right w:val="nil"/>
            </w:tcBorders>
          </w:tcPr>
          <w:p w14:paraId="2692801D" w14:textId="77777777" w:rsidR="006076B9" w:rsidRDefault="0003050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b w:val="0"/>
                <w:bCs w:val="0"/>
                <w:sz w:val="24"/>
                <w:szCs w:val="24"/>
                <w:lang w:eastAsia="zh-CN"/>
              </w:rPr>
              <w:t>Death</w:t>
            </w:r>
          </w:p>
        </w:tc>
        <w:tc>
          <w:tcPr>
            <w:tcW w:w="925" w:type="dxa"/>
            <w:vMerge w:val="restart"/>
            <w:tcBorders>
              <w:top w:val="outset" w:sz="6" w:space="0" w:color="auto"/>
              <w:left w:val="nil"/>
              <w:bottom w:val="outset" w:sz="6" w:space="0" w:color="auto"/>
              <w:right w:val="nil"/>
            </w:tcBorders>
          </w:tcPr>
          <w:p w14:paraId="5D49AFAD" w14:textId="77777777" w:rsidR="006076B9" w:rsidRDefault="0003050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b w:val="0"/>
                <w:bCs w:val="0"/>
                <w:sz w:val="24"/>
                <w:szCs w:val="24"/>
                <w:lang w:eastAsia="zh-CN"/>
              </w:rPr>
              <w:t>Chi²</w:t>
            </w:r>
          </w:p>
        </w:tc>
        <w:tc>
          <w:tcPr>
            <w:tcW w:w="934" w:type="dxa"/>
            <w:vMerge w:val="restart"/>
            <w:tcBorders>
              <w:top w:val="outset" w:sz="6" w:space="0" w:color="auto"/>
              <w:left w:val="nil"/>
              <w:bottom w:val="outset" w:sz="6" w:space="0" w:color="auto"/>
              <w:right w:val="nil"/>
            </w:tcBorders>
          </w:tcPr>
          <w:p w14:paraId="6EE56333" w14:textId="77777777" w:rsidR="006076B9" w:rsidRDefault="0003050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b w:val="0"/>
                <w:bCs w:val="0"/>
                <w:sz w:val="24"/>
                <w:szCs w:val="24"/>
                <w:lang w:eastAsia="zh-CN"/>
              </w:rPr>
              <w:t>p-value</w:t>
            </w:r>
          </w:p>
        </w:tc>
        <w:tc>
          <w:tcPr>
            <w:tcW w:w="730" w:type="dxa"/>
            <w:vMerge w:val="restart"/>
            <w:tcBorders>
              <w:top w:val="outset" w:sz="6" w:space="0" w:color="auto"/>
              <w:left w:val="nil"/>
              <w:bottom w:val="outset" w:sz="6" w:space="0" w:color="auto"/>
              <w:right w:val="nil"/>
            </w:tcBorders>
          </w:tcPr>
          <w:p w14:paraId="711B962F" w14:textId="77777777" w:rsidR="006076B9" w:rsidRDefault="0003050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b w:val="0"/>
                <w:bCs w:val="0"/>
                <w:sz w:val="24"/>
                <w:szCs w:val="24"/>
                <w:lang w:eastAsia="zh-CN"/>
              </w:rPr>
              <w:t>OR</w:t>
            </w:r>
          </w:p>
        </w:tc>
        <w:tc>
          <w:tcPr>
            <w:tcW w:w="869" w:type="dxa"/>
            <w:vMerge w:val="restart"/>
            <w:tcBorders>
              <w:top w:val="outset" w:sz="6" w:space="0" w:color="auto"/>
              <w:left w:val="nil"/>
              <w:bottom w:val="outset" w:sz="6" w:space="0" w:color="auto"/>
              <w:right w:val="nil"/>
            </w:tcBorders>
          </w:tcPr>
          <w:p w14:paraId="4A5D7040" w14:textId="77777777" w:rsidR="006076B9" w:rsidRDefault="00030506">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b w:val="0"/>
                <w:bCs w:val="0"/>
                <w:sz w:val="24"/>
                <w:szCs w:val="24"/>
                <w:lang w:eastAsia="zh-CN"/>
              </w:rPr>
              <w:t>IC 95%</w:t>
            </w:r>
          </w:p>
        </w:tc>
      </w:tr>
      <w:tr w:rsidR="006076B9" w14:paraId="79213044"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tcBorders>
              <w:top w:val="nil"/>
              <w:left w:val="nil"/>
              <w:bottom w:val="outset" w:sz="6" w:space="0" w:color="auto"/>
              <w:right w:val="nil"/>
            </w:tcBorders>
          </w:tcPr>
          <w:p w14:paraId="36BC7903" w14:textId="77777777" w:rsidR="006076B9" w:rsidRDefault="006076B9">
            <w:pPr>
              <w:spacing w:after="0" w:line="360" w:lineRule="auto"/>
              <w:jc w:val="both"/>
              <w:rPr>
                <w:rFonts w:eastAsia="Calibri"/>
                <w:sz w:val="24"/>
                <w:szCs w:val="24"/>
                <w:lang w:eastAsia="zh-CN"/>
              </w:rPr>
            </w:pPr>
          </w:p>
        </w:tc>
        <w:tc>
          <w:tcPr>
            <w:tcW w:w="783" w:type="dxa"/>
            <w:tcBorders>
              <w:top w:val="nil"/>
              <w:left w:val="nil"/>
              <w:bottom w:val="outset" w:sz="6" w:space="0" w:color="auto"/>
              <w:right w:val="nil"/>
            </w:tcBorders>
          </w:tcPr>
          <w:p w14:paraId="777B2827" w14:textId="77777777" w:rsidR="006076B9" w:rsidRDefault="006076B9">
            <w:pPr>
              <w:spacing w:after="0"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1349" w:type="dxa"/>
            <w:tcBorders>
              <w:top w:val="nil"/>
              <w:left w:val="nil"/>
              <w:bottom w:val="outset" w:sz="6" w:space="0" w:color="auto"/>
              <w:right w:val="nil"/>
            </w:tcBorders>
            <w:vAlign w:val="center"/>
          </w:tcPr>
          <w:p w14:paraId="4AC0459F"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 (%)</w:t>
            </w:r>
          </w:p>
        </w:tc>
        <w:tc>
          <w:tcPr>
            <w:tcW w:w="1349" w:type="dxa"/>
            <w:tcBorders>
              <w:top w:val="nil"/>
              <w:left w:val="nil"/>
              <w:bottom w:val="outset" w:sz="6" w:space="0" w:color="auto"/>
              <w:right w:val="nil"/>
            </w:tcBorders>
            <w:vAlign w:val="center"/>
          </w:tcPr>
          <w:p w14:paraId="4D3BBC81"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 (%)</w:t>
            </w:r>
          </w:p>
        </w:tc>
        <w:tc>
          <w:tcPr>
            <w:tcW w:w="0" w:type="auto"/>
            <w:vMerge/>
            <w:tcBorders>
              <w:top w:val="outset" w:sz="6" w:space="0" w:color="auto"/>
              <w:left w:val="nil"/>
              <w:bottom w:val="outset" w:sz="6" w:space="0" w:color="auto"/>
              <w:right w:val="nil"/>
            </w:tcBorders>
            <w:vAlign w:val="center"/>
          </w:tcPr>
          <w:p w14:paraId="07BB6F3E"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3CA750DA"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79D57EED"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outset" w:sz="6" w:space="0" w:color="auto"/>
              <w:left w:val="nil"/>
              <w:bottom w:val="outset" w:sz="6" w:space="0" w:color="auto"/>
              <w:right w:val="nil"/>
            </w:tcBorders>
            <w:vAlign w:val="center"/>
          </w:tcPr>
          <w:p w14:paraId="0E735219"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6076B9" w14:paraId="09032A62"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0945A0D6" w14:textId="77777777" w:rsidR="006076B9" w:rsidRDefault="00030506">
            <w:pPr>
              <w:spacing w:after="0" w:line="360" w:lineRule="auto"/>
              <w:jc w:val="both"/>
              <w:rPr>
                <w:rFonts w:eastAsia="Calibri"/>
                <w:sz w:val="24"/>
                <w:szCs w:val="24"/>
                <w:lang w:eastAsia="zh-CN"/>
              </w:rPr>
            </w:pPr>
            <w:r>
              <w:rPr>
                <w:rFonts w:eastAsia="Calibri"/>
                <w:b w:val="0"/>
                <w:bCs w:val="0"/>
                <w:sz w:val="24"/>
                <w:szCs w:val="24"/>
                <w:lang w:eastAsia="zh-CN"/>
              </w:rPr>
              <w:t>Cardiogenic shock</w:t>
            </w:r>
          </w:p>
        </w:tc>
        <w:tc>
          <w:tcPr>
            <w:tcW w:w="783" w:type="dxa"/>
            <w:tcBorders>
              <w:top w:val="nil"/>
              <w:left w:val="nil"/>
              <w:bottom w:val="nil"/>
              <w:right w:val="nil"/>
            </w:tcBorders>
            <w:vAlign w:val="center"/>
          </w:tcPr>
          <w:p w14:paraId="4F37D63B"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2C2280E2"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11(78,57)</w:t>
            </w:r>
          </w:p>
        </w:tc>
        <w:tc>
          <w:tcPr>
            <w:tcW w:w="1349" w:type="dxa"/>
            <w:tcBorders>
              <w:top w:val="nil"/>
              <w:left w:val="nil"/>
              <w:bottom w:val="nil"/>
              <w:right w:val="nil"/>
            </w:tcBorders>
            <w:vAlign w:val="center"/>
          </w:tcPr>
          <w:p w14:paraId="42B723B6"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3(21,43)</w:t>
            </w:r>
          </w:p>
        </w:tc>
        <w:tc>
          <w:tcPr>
            <w:tcW w:w="925" w:type="dxa"/>
            <w:vMerge w:val="restart"/>
            <w:tcBorders>
              <w:top w:val="nil"/>
              <w:left w:val="nil"/>
              <w:bottom w:val="nil"/>
              <w:right w:val="nil"/>
            </w:tcBorders>
            <w:vAlign w:val="center"/>
          </w:tcPr>
          <w:p w14:paraId="06E1CD25"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0,64</w:t>
            </w:r>
          </w:p>
        </w:tc>
        <w:tc>
          <w:tcPr>
            <w:tcW w:w="934" w:type="dxa"/>
            <w:vMerge w:val="restart"/>
            <w:tcBorders>
              <w:top w:val="nil"/>
              <w:left w:val="nil"/>
              <w:bottom w:val="nil"/>
              <w:right w:val="nil"/>
            </w:tcBorders>
            <w:vAlign w:val="center"/>
          </w:tcPr>
          <w:p w14:paraId="1F87B79F"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0,4</w:t>
            </w:r>
          </w:p>
        </w:tc>
        <w:tc>
          <w:tcPr>
            <w:tcW w:w="730" w:type="dxa"/>
            <w:vMerge w:val="restart"/>
            <w:tcBorders>
              <w:top w:val="nil"/>
              <w:left w:val="nil"/>
              <w:bottom w:val="nil"/>
              <w:right w:val="nil"/>
            </w:tcBorders>
            <w:vAlign w:val="center"/>
          </w:tcPr>
          <w:p w14:paraId="349C0490"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1,71</w:t>
            </w:r>
          </w:p>
        </w:tc>
        <w:tc>
          <w:tcPr>
            <w:tcW w:w="869" w:type="dxa"/>
            <w:vMerge w:val="restart"/>
            <w:tcBorders>
              <w:top w:val="nil"/>
              <w:left w:val="nil"/>
              <w:bottom w:val="nil"/>
              <w:right w:val="nil"/>
            </w:tcBorders>
            <w:vAlign w:val="center"/>
          </w:tcPr>
          <w:p w14:paraId="6067CBD2"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sz w:val="24"/>
                <w:szCs w:val="24"/>
                <w:lang w:eastAsia="zh-CN"/>
              </w:rPr>
              <w:t>0,45-6,46</w:t>
            </w:r>
          </w:p>
        </w:tc>
      </w:tr>
      <w:tr w:rsidR="006076B9" w14:paraId="094C760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597DA513" w14:textId="77777777" w:rsidR="006076B9" w:rsidRDefault="006076B9">
            <w:pPr>
              <w:spacing w:after="0" w:line="240" w:lineRule="auto"/>
              <w:rPr>
                <w:rFonts w:eastAsia="Calibri"/>
                <w:b w:val="0"/>
                <w:bCs w:val="0"/>
                <w:sz w:val="24"/>
                <w:szCs w:val="24"/>
                <w:lang w:eastAsia="zh-CN"/>
              </w:rPr>
            </w:pPr>
          </w:p>
        </w:tc>
        <w:tc>
          <w:tcPr>
            <w:tcW w:w="783" w:type="dxa"/>
            <w:tcBorders>
              <w:top w:val="nil"/>
              <w:left w:val="nil"/>
              <w:bottom w:val="outset" w:sz="6" w:space="0" w:color="auto"/>
              <w:right w:val="nil"/>
            </w:tcBorders>
            <w:vAlign w:val="center"/>
          </w:tcPr>
          <w:p w14:paraId="4432C1F0"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6A46ED93"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90(68,18)</w:t>
            </w:r>
          </w:p>
        </w:tc>
        <w:tc>
          <w:tcPr>
            <w:tcW w:w="1349" w:type="dxa"/>
            <w:tcBorders>
              <w:top w:val="nil"/>
              <w:left w:val="nil"/>
              <w:bottom w:val="outset" w:sz="6" w:space="0" w:color="auto"/>
              <w:right w:val="nil"/>
            </w:tcBorders>
            <w:vAlign w:val="center"/>
          </w:tcPr>
          <w:p w14:paraId="3E1514FE"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42(31,82)</w:t>
            </w:r>
          </w:p>
        </w:tc>
        <w:tc>
          <w:tcPr>
            <w:tcW w:w="0" w:type="auto"/>
            <w:vMerge/>
            <w:tcBorders>
              <w:top w:val="nil"/>
              <w:left w:val="nil"/>
              <w:bottom w:val="nil"/>
              <w:right w:val="nil"/>
            </w:tcBorders>
            <w:vAlign w:val="center"/>
          </w:tcPr>
          <w:p w14:paraId="49D32007"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43807885"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329C6733"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352FE40C"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6076B9" w14:paraId="0A608CF5"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5557CF71" w14:textId="77777777" w:rsidR="006076B9" w:rsidRDefault="00030506">
            <w:pPr>
              <w:spacing w:after="0" w:line="360" w:lineRule="auto"/>
              <w:jc w:val="both"/>
              <w:rPr>
                <w:rFonts w:eastAsia="Calibri"/>
                <w:sz w:val="24"/>
                <w:szCs w:val="24"/>
                <w:lang w:eastAsia="zh-CN"/>
              </w:rPr>
            </w:pPr>
            <w:r>
              <w:rPr>
                <w:rFonts w:eastAsia="Calibri"/>
                <w:b w:val="0"/>
                <w:bCs w:val="0"/>
                <w:sz w:val="24"/>
                <w:szCs w:val="24"/>
                <w:lang w:eastAsia="zh-CN"/>
              </w:rPr>
              <w:t>Hypovolemic shock</w:t>
            </w:r>
          </w:p>
        </w:tc>
        <w:tc>
          <w:tcPr>
            <w:tcW w:w="783" w:type="dxa"/>
            <w:tcBorders>
              <w:top w:val="nil"/>
              <w:left w:val="nil"/>
              <w:bottom w:val="nil"/>
              <w:right w:val="nil"/>
            </w:tcBorders>
            <w:vAlign w:val="center"/>
          </w:tcPr>
          <w:p w14:paraId="24BDFC0B"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277AEB3E"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16(36,36)</w:t>
            </w:r>
          </w:p>
        </w:tc>
        <w:tc>
          <w:tcPr>
            <w:tcW w:w="1349" w:type="dxa"/>
            <w:tcBorders>
              <w:top w:val="nil"/>
              <w:left w:val="nil"/>
              <w:bottom w:val="nil"/>
              <w:right w:val="nil"/>
            </w:tcBorders>
            <w:vAlign w:val="center"/>
          </w:tcPr>
          <w:p w14:paraId="319F7AAC"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28(63,64)</w:t>
            </w:r>
          </w:p>
        </w:tc>
        <w:tc>
          <w:tcPr>
            <w:tcW w:w="925" w:type="dxa"/>
            <w:vMerge w:val="restart"/>
            <w:tcBorders>
              <w:top w:val="nil"/>
              <w:left w:val="nil"/>
              <w:bottom w:val="nil"/>
              <w:right w:val="nil"/>
            </w:tcBorders>
            <w:vAlign w:val="center"/>
          </w:tcPr>
          <w:p w14:paraId="4E31E775"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31,80</w:t>
            </w:r>
          </w:p>
        </w:tc>
        <w:tc>
          <w:tcPr>
            <w:tcW w:w="934" w:type="dxa"/>
            <w:vMerge w:val="restart"/>
            <w:tcBorders>
              <w:top w:val="nil"/>
              <w:left w:val="nil"/>
              <w:bottom w:val="nil"/>
              <w:right w:val="nil"/>
            </w:tcBorders>
            <w:vAlign w:val="center"/>
          </w:tcPr>
          <w:p w14:paraId="6B895E93"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0,000</w:t>
            </w:r>
          </w:p>
        </w:tc>
        <w:tc>
          <w:tcPr>
            <w:tcW w:w="730" w:type="dxa"/>
            <w:vMerge w:val="restart"/>
            <w:tcBorders>
              <w:top w:val="nil"/>
              <w:left w:val="nil"/>
              <w:bottom w:val="nil"/>
              <w:right w:val="nil"/>
            </w:tcBorders>
            <w:vAlign w:val="center"/>
          </w:tcPr>
          <w:p w14:paraId="0FFE1CE6"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0,11</w:t>
            </w:r>
          </w:p>
        </w:tc>
        <w:tc>
          <w:tcPr>
            <w:tcW w:w="869" w:type="dxa"/>
            <w:vMerge w:val="restart"/>
            <w:tcBorders>
              <w:top w:val="nil"/>
              <w:left w:val="nil"/>
              <w:bottom w:val="nil"/>
              <w:right w:val="nil"/>
            </w:tcBorders>
            <w:vAlign w:val="center"/>
          </w:tcPr>
          <w:p w14:paraId="22A761D2"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0,05-0,25</w:t>
            </w:r>
          </w:p>
        </w:tc>
      </w:tr>
      <w:tr w:rsidR="006076B9" w14:paraId="5C84A600"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350C5A69" w14:textId="77777777" w:rsidR="006076B9" w:rsidRDefault="006076B9">
            <w:pPr>
              <w:spacing w:after="0" w:line="240" w:lineRule="auto"/>
              <w:rPr>
                <w:rFonts w:eastAsia="Calibri"/>
                <w:b w:val="0"/>
                <w:bCs w:val="0"/>
                <w:sz w:val="24"/>
                <w:szCs w:val="24"/>
                <w:lang w:eastAsia="zh-CN"/>
              </w:rPr>
            </w:pPr>
          </w:p>
        </w:tc>
        <w:tc>
          <w:tcPr>
            <w:tcW w:w="783" w:type="dxa"/>
            <w:tcBorders>
              <w:top w:val="nil"/>
              <w:left w:val="nil"/>
              <w:bottom w:val="outset" w:sz="6" w:space="0" w:color="auto"/>
              <w:right w:val="nil"/>
            </w:tcBorders>
            <w:vAlign w:val="center"/>
          </w:tcPr>
          <w:p w14:paraId="35F54BF5"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1E6FB95E"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85(83,33)</w:t>
            </w:r>
          </w:p>
        </w:tc>
        <w:tc>
          <w:tcPr>
            <w:tcW w:w="1349" w:type="dxa"/>
            <w:tcBorders>
              <w:top w:val="nil"/>
              <w:left w:val="nil"/>
              <w:bottom w:val="outset" w:sz="6" w:space="0" w:color="auto"/>
              <w:right w:val="nil"/>
            </w:tcBorders>
            <w:vAlign w:val="center"/>
          </w:tcPr>
          <w:p w14:paraId="3F2709F0"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17(16,67)</w:t>
            </w:r>
          </w:p>
        </w:tc>
        <w:tc>
          <w:tcPr>
            <w:tcW w:w="0" w:type="auto"/>
            <w:vMerge/>
            <w:tcBorders>
              <w:top w:val="nil"/>
              <w:left w:val="nil"/>
              <w:bottom w:val="nil"/>
              <w:right w:val="nil"/>
            </w:tcBorders>
            <w:vAlign w:val="center"/>
          </w:tcPr>
          <w:p w14:paraId="57B51E44"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5A570DFD"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58C08357"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6C7B980A"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6076B9" w14:paraId="56CCD4B0"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67E13D44" w14:textId="77777777" w:rsidR="006076B9" w:rsidRDefault="00030506">
            <w:pPr>
              <w:spacing w:after="0" w:line="360" w:lineRule="auto"/>
              <w:jc w:val="both"/>
              <w:rPr>
                <w:rFonts w:eastAsia="Calibri"/>
                <w:sz w:val="24"/>
                <w:szCs w:val="24"/>
                <w:lang w:eastAsia="zh-CN"/>
              </w:rPr>
            </w:pPr>
            <w:r>
              <w:rPr>
                <w:rFonts w:eastAsia="Calibri"/>
                <w:b w:val="0"/>
                <w:bCs w:val="0"/>
                <w:sz w:val="24"/>
                <w:szCs w:val="24"/>
                <w:lang w:eastAsia="zh-CN"/>
              </w:rPr>
              <w:t>Septic shock</w:t>
            </w:r>
          </w:p>
        </w:tc>
        <w:tc>
          <w:tcPr>
            <w:tcW w:w="783" w:type="dxa"/>
            <w:tcBorders>
              <w:top w:val="nil"/>
              <w:left w:val="nil"/>
              <w:bottom w:val="nil"/>
              <w:right w:val="nil"/>
            </w:tcBorders>
            <w:vAlign w:val="center"/>
          </w:tcPr>
          <w:p w14:paraId="46F84FCA"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3F19DC6A"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64(83,12)</w:t>
            </w:r>
          </w:p>
        </w:tc>
        <w:tc>
          <w:tcPr>
            <w:tcW w:w="1349" w:type="dxa"/>
            <w:tcBorders>
              <w:top w:val="nil"/>
              <w:left w:val="nil"/>
              <w:bottom w:val="nil"/>
              <w:right w:val="nil"/>
            </w:tcBorders>
            <w:vAlign w:val="center"/>
          </w:tcPr>
          <w:p w14:paraId="5E2994CA"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13(16,88)</w:t>
            </w:r>
          </w:p>
        </w:tc>
        <w:tc>
          <w:tcPr>
            <w:tcW w:w="925" w:type="dxa"/>
            <w:vMerge w:val="restart"/>
            <w:tcBorders>
              <w:top w:val="nil"/>
              <w:left w:val="nil"/>
              <w:bottom w:val="nil"/>
              <w:right w:val="nil"/>
            </w:tcBorders>
            <w:vAlign w:val="center"/>
          </w:tcPr>
          <w:p w14:paraId="7C3DF1C1"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14,84</w:t>
            </w:r>
          </w:p>
        </w:tc>
        <w:tc>
          <w:tcPr>
            <w:tcW w:w="934" w:type="dxa"/>
            <w:vMerge w:val="restart"/>
            <w:tcBorders>
              <w:top w:val="nil"/>
              <w:left w:val="nil"/>
              <w:bottom w:val="nil"/>
              <w:right w:val="nil"/>
            </w:tcBorders>
            <w:vAlign w:val="center"/>
          </w:tcPr>
          <w:p w14:paraId="6F707A49"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0,00</w:t>
            </w:r>
          </w:p>
        </w:tc>
        <w:tc>
          <w:tcPr>
            <w:tcW w:w="730" w:type="dxa"/>
            <w:vMerge w:val="restart"/>
            <w:tcBorders>
              <w:top w:val="nil"/>
              <w:left w:val="nil"/>
              <w:bottom w:val="nil"/>
              <w:right w:val="nil"/>
            </w:tcBorders>
            <w:vAlign w:val="center"/>
          </w:tcPr>
          <w:p w14:paraId="4910486B"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4,36</w:t>
            </w:r>
          </w:p>
        </w:tc>
        <w:tc>
          <w:tcPr>
            <w:tcW w:w="869" w:type="dxa"/>
            <w:vMerge w:val="restart"/>
            <w:tcBorders>
              <w:top w:val="nil"/>
              <w:left w:val="nil"/>
              <w:bottom w:val="nil"/>
              <w:right w:val="nil"/>
            </w:tcBorders>
            <w:vAlign w:val="center"/>
          </w:tcPr>
          <w:p w14:paraId="10B6FB21"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1,99-9,11)</w:t>
            </w:r>
          </w:p>
        </w:tc>
      </w:tr>
      <w:tr w:rsidR="006076B9" w14:paraId="1685706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0B084A85" w14:textId="77777777" w:rsidR="006076B9" w:rsidRDefault="006076B9">
            <w:pPr>
              <w:spacing w:after="0" w:line="240" w:lineRule="auto"/>
              <w:rPr>
                <w:rFonts w:eastAsia="Calibri"/>
                <w:b w:val="0"/>
                <w:bCs w:val="0"/>
                <w:sz w:val="24"/>
                <w:szCs w:val="24"/>
                <w:lang w:eastAsia="zh-CN"/>
              </w:rPr>
            </w:pPr>
          </w:p>
        </w:tc>
        <w:tc>
          <w:tcPr>
            <w:tcW w:w="783" w:type="dxa"/>
            <w:tcBorders>
              <w:top w:val="nil"/>
              <w:left w:val="nil"/>
              <w:bottom w:val="outset" w:sz="6" w:space="0" w:color="auto"/>
              <w:right w:val="nil"/>
            </w:tcBorders>
            <w:vAlign w:val="center"/>
          </w:tcPr>
          <w:p w14:paraId="581F76FA"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Non</w:t>
            </w:r>
          </w:p>
        </w:tc>
        <w:tc>
          <w:tcPr>
            <w:tcW w:w="1349" w:type="dxa"/>
            <w:tcBorders>
              <w:top w:val="nil"/>
              <w:left w:val="nil"/>
              <w:bottom w:val="outset" w:sz="6" w:space="0" w:color="auto"/>
              <w:right w:val="nil"/>
            </w:tcBorders>
            <w:vAlign w:val="center"/>
          </w:tcPr>
          <w:p w14:paraId="4A244A88"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37(53,62)</w:t>
            </w:r>
          </w:p>
        </w:tc>
        <w:tc>
          <w:tcPr>
            <w:tcW w:w="1349" w:type="dxa"/>
            <w:tcBorders>
              <w:top w:val="nil"/>
              <w:left w:val="nil"/>
              <w:bottom w:val="outset" w:sz="6" w:space="0" w:color="auto"/>
              <w:right w:val="nil"/>
            </w:tcBorders>
            <w:vAlign w:val="center"/>
          </w:tcPr>
          <w:p w14:paraId="6D4C2AF4"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Times New Roman"/>
                <w:sz w:val="24"/>
                <w:szCs w:val="24"/>
                <w:lang w:eastAsia="zh-CN"/>
              </w:rPr>
              <w:t>32(46,38)</w:t>
            </w:r>
          </w:p>
        </w:tc>
        <w:tc>
          <w:tcPr>
            <w:tcW w:w="0" w:type="auto"/>
            <w:vMerge/>
            <w:tcBorders>
              <w:top w:val="nil"/>
              <w:left w:val="nil"/>
              <w:bottom w:val="nil"/>
              <w:right w:val="nil"/>
            </w:tcBorders>
            <w:vAlign w:val="center"/>
          </w:tcPr>
          <w:p w14:paraId="1E18D3E5"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3985B868"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5A003ACE"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c>
          <w:tcPr>
            <w:tcW w:w="0" w:type="auto"/>
            <w:vMerge/>
            <w:tcBorders>
              <w:top w:val="nil"/>
              <w:left w:val="nil"/>
              <w:bottom w:val="nil"/>
              <w:right w:val="nil"/>
            </w:tcBorders>
            <w:vAlign w:val="center"/>
          </w:tcPr>
          <w:p w14:paraId="55DCE68C"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p>
        </w:tc>
      </w:tr>
      <w:tr w:rsidR="006076B9" w14:paraId="5796A5E0" w14:textId="77777777">
        <w:trPr>
          <w:jc w:val="center"/>
        </w:trPr>
        <w:tc>
          <w:tcPr>
            <w:cnfStyle w:val="001000000000" w:firstRow="0" w:lastRow="0" w:firstColumn="1" w:lastColumn="0" w:oddVBand="0" w:evenVBand="0" w:oddHBand="0" w:evenHBand="0" w:firstRowFirstColumn="0" w:firstRowLastColumn="0" w:lastRowFirstColumn="0" w:lastRowLastColumn="0"/>
            <w:tcW w:w="2133" w:type="dxa"/>
            <w:vMerge w:val="restart"/>
            <w:tcBorders>
              <w:top w:val="nil"/>
              <w:left w:val="nil"/>
              <w:bottom w:val="nil"/>
              <w:right w:val="nil"/>
            </w:tcBorders>
          </w:tcPr>
          <w:p w14:paraId="18364709" w14:textId="77777777" w:rsidR="006076B9" w:rsidRDefault="00030506">
            <w:pPr>
              <w:spacing w:after="0" w:line="360" w:lineRule="auto"/>
              <w:jc w:val="both"/>
              <w:rPr>
                <w:rFonts w:eastAsiaTheme="minorEastAsia"/>
                <w:sz w:val="24"/>
                <w:szCs w:val="24"/>
                <w:lang w:eastAsia="zh-CN"/>
              </w:rPr>
            </w:pPr>
            <w:r>
              <w:rPr>
                <w:rFonts w:eastAsia="Calibri"/>
                <w:b w:val="0"/>
                <w:bCs w:val="0"/>
                <w:sz w:val="24"/>
                <w:szCs w:val="24"/>
                <w:lang w:eastAsia="zh-CN"/>
              </w:rPr>
              <w:t>Septic shock with cardiac failure</w:t>
            </w:r>
          </w:p>
        </w:tc>
        <w:tc>
          <w:tcPr>
            <w:tcW w:w="783" w:type="dxa"/>
            <w:tcBorders>
              <w:top w:val="nil"/>
              <w:left w:val="nil"/>
              <w:bottom w:val="nil"/>
              <w:right w:val="nil"/>
            </w:tcBorders>
            <w:vAlign w:val="center"/>
          </w:tcPr>
          <w:p w14:paraId="754FE468"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Yes</w:t>
            </w:r>
          </w:p>
        </w:tc>
        <w:tc>
          <w:tcPr>
            <w:tcW w:w="1349" w:type="dxa"/>
            <w:tcBorders>
              <w:top w:val="nil"/>
              <w:left w:val="nil"/>
              <w:bottom w:val="nil"/>
              <w:right w:val="nil"/>
            </w:tcBorders>
            <w:vAlign w:val="center"/>
          </w:tcPr>
          <w:p w14:paraId="14FA5635"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5(100)</w:t>
            </w:r>
          </w:p>
        </w:tc>
        <w:tc>
          <w:tcPr>
            <w:tcW w:w="1349" w:type="dxa"/>
            <w:tcBorders>
              <w:top w:val="nil"/>
              <w:left w:val="nil"/>
              <w:bottom w:val="nil"/>
              <w:right w:val="nil"/>
            </w:tcBorders>
            <w:vAlign w:val="center"/>
          </w:tcPr>
          <w:p w14:paraId="62C9DC6F"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0(0)</w:t>
            </w:r>
          </w:p>
        </w:tc>
        <w:tc>
          <w:tcPr>
            <w:tcW w:w="925" w:type="dxa"/>
            <w:vMerge w:val="restart"/>
            <w:tcBorders>
              <w:top w:val="nil"/>
              <w:left w:val="nil"/>
              <w:bottom w:val="nil"/>
              <w:right w:val="nil"/>
            </w:tcBorders>
            <w:vAlign w:val="center"/>
          </w:tcPr>
          <w:p w14:paraId="751A7C77"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2,31</w:t>
            </w:r>
          </w:p>
        </w:tc>
        <w:tc>
          <w:tcPr>
            <w:tcW w:w="934" w:type="dxa"/>
            <w:vMerge w:val="restart"/>
            <w:tcBorders>
              <w:top w:val="nil"/>
              <w:left w:val="nil"/>
              <w:bottom w:val="nil"/>
              <w:right w:val="nil"/>
            </w:tcBorders>
            <w:vAlign w:val="center"/>
          </w:tcPr>
          <w:p w14:paraId="1425E1E3"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0,13</w:t>
            </w:r>
          </w:p>
        </w:tc>
        <w:tc>
          <w:tcPr>
            <w:tcW w:w="730" w:type="dxa"/>
            <w:vMerge w:val="restart"/>
            <w:tcBorders>
              <w:top w:val="nil"/>
              <w:left w:val="nil"/>
              <w:bottom w:val="nil"/>
              <w:right w:val="nil"/>
            </w:tcBorders>
            <w:vAlign w:val="center"/>
          </w:tcPr>
          <w:p w14:paraId="0C57704C"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ND</w:t>
            </w:r>
          </w:p>
        </w:tc>
        <w:tc>
          <w:tcPr>
            <w:tcW w:w="869" w:type="dxa"/>
            <w:vMerge w:val="restart"/>
            <w:tcBorders>
              <w:top w:val="nil"/>
              <w:left w:val="nil"/>
              <w:bottom w:val="nil"/>
              <w:right w:val="nil"/>
            </w:tcBorders>
            <w:vAlign w:val="center"/>
          </w:tcPr>
          <w:p w14:paraId="117BDB3E"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ND</w:t>
            </w:r>
          </w:p>
        </w:tc>
      </w:tr>
      <w:tr w:rsidR="006076B9" w14:paraId="2D04BBA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nil"/>
              <w:right w:val="nil"/>
            </w:tcBorders>
            <w:vAlign w:val="center"/>
          </w:tcPr>
          <w:p w14:paraId="49665FBC" w14:textId="77777777" w:rsidR="006076B9" w:rsidRDefault="006076B9">
            <w:pPr>
              <w:spacing w:after="0" w:line="240" w:lineRule="auto"/>
              <w:rPr>
                <w:rFonts w:eastAsia="Calibri"/>
                <w:b w:val="0"/>
                <w:bCs w:val="0"/>
                <w:sz w:val="24"/>
                <w:szCs w:val="24"/>
                <w:lang w:eastAsia="zh-CN"/>
              </w:rPr>
            </w:pPr>
          </w:p>
        </w:tc>
        <w:tc>
          <w:tcPr>
            <w:tcW w:w="783" w:type="dxa"/>
            <w:tcBorders>
              <w:top w:val="nil"/>
              <w:left w:val="nil"/>
              <w:bottom w:val="outset" w:sz="6" w:space="0" w:color="auto"/>
              <w:right w:val="nil"/>
            </w:tcBorders>
            <w:vAlign w:val="center"/>
          </w:tcPr>
          <w:p w14:paraId="77739592" w14:textId="77777777" w:rsidR="006076B9" w:rsidRDefault="00030506">
            <w:pPr>
              <w:spacing w:after="0" w:line="360" w:lineRule="auto"/>
              <w:cnfStyle w:val="000000000000" w:firstRow="0" w:lastRow="0" w:firstColumn="0" w:lastColumn="0" w:oddVBand="0" w:evenVBand="0" w:oddHBand="0" w:evenHBand="0" w:firstRowFirstColumn="0" w:firstRowLastColumn="0" w:lastRowFirstColumn="0" w:lastRowLastColumn="0"/>
              <w:rPr>
                <w:rFonts w:eastAsia="Calibri"/>
                <w:b/>
                <w:bCs/>
                <w:sz w:val="24"/>
                <w:szCs w:val="24"/>
                <w:lang w:eastAsia="zh-CN"/>
              </w:rPr>
            </w:pPr>
            <w:r>
              <w:rPr>
                <w:rFonts w:eastAsia="Calibri"/>
                <w:b/>
                <w:bCs/>
                <w:sz w:val="24"/>
                <w:szCs w:val="24"/>
                <w:lang w:eastAsia="zh-CN"/>
              </w:rPr>
              <w:t>No</w:t>
            </w:r>
          </w:p>
        </w:tc>
        <w:tc>
          <w:tcPr>
            <w:tcW w:w="1349" w:type="dxa"/>
            <w:tcBorders>
              <w:top w:val="nil"/>
              <w:left w:val="nil"/>
              <w:bottom w:val="outset" w:sz="6" w:space="0" w:color="auto"/>
              <w:right w:val="nil"/>
            </w:tcBorders>
            <w:vAlign w:val="center"/>
          </w:tcPr>
          <w:p w14:paraId="283DFFEC"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96(68,09)</w:t>
            </w:r>
          </w:p>
        </w:tc>
        <w:tc>
          <w:tcPr>
            <w:tcW w:w="1349" w:type="dxa"/>
            <w:tcBorders>
              <w:top w:val="nil"/>
              <w:left w:val="nil"/>
              <w:bottom w:val="outset" w:sz="6" w:space="0" w:color="auto"/>
              <w:right w:val="nil"/>
            </w:tcBorders>
            <w:vAlign w:val="center"/>
          </w:tcPr>
          <w:p w14:paraId="6D8FBA34" w14:textId="77777777" w:rsidR="006076B9" w:rsidRDefault="0003050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r>
              <w:rPr>
                <w:rFonts w:eastAsia="Calibri"/>
                <w:sz w:val="24"/>
                <w:szCs w:val="24"/>
                <w:lang w:eastAsia="zh-CN"/>
              </w:rPr>
              <w:t>45(31,91)</w:t>
            </w:r>
          </w:p>
        </w:tc>
        <w:tc>
          <w:tcPr>
            <w:tcW w:w="0" w:type="auto"/>
            <w:vMerge/>
            <w:tcBorders>
              <w:top w:val="nil"/>
              <w:left w:val="nil"/>
              <w:bottom w:val="nil"/>
              <w:right w:val="nil"/>
            </w:tcBorders>
            <w:vAlign w:val="center"/>
          </w:tcPr>
          <w:p w14:paraId="3DE742F2"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6C0000AC"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5726C09E"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c>
          <w:tcPr>
            <w:tcW w:w="0" w:type="auto"/>
            <w:vMerge/>
            <w:tcBorders>
              <w:top w:val="nil"/>
              <w:left w:val="nil"/>
              <w:bottom w:val="nil"/>
              <w:right w:val="nil"/>
            </w:tcBorders>
            <w:vAlign w:val="center"/>
          </w:tcPr>
          <w:p w14:paraId="04B84A3D" w14:textId="77777777" w:rsidR="006076B9" w:rsidRDefault="006076B9">
            <w:pPr>
              <w:spacing w:after="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lang w:eastAsia="zh-CN"/>
              </w:rPr>
            </w:pPr>
          </w:p>
        </w:tc>
      </w:tr>
    </w:tbl>
    <w:p w14:paraId="29A01066" w14:textId="77777777" w:rsidR="006076B9" w:rsidRDefault="006076B9">
      <w:pPr>
        <w:tabs>
          <w:tab w:val="left" w:pos="3230"/>
        </w:tabs>
        <w:rPr>
          <w:sz w:val="24"/>
          <w:szCs w:val="24"/>
          <w:lang w:val="fr-FR"/>
        </w:rPr>
      </w:pPr>
    </w:p>
    <w:sectPr w:rsidR="006076B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DCDC5" w14:textId="77777777" w:rsidR="00001F06" w:rsidRDefault="00001F06">
      <w:pPr>
        <w:spacing w:line="240" w:lineRule="auto"/>
      </w:pPr>
      <w:r>
        <w:separator/>
      </w:r>
    </w:p>
  </w:endnote>
  <w:endnote w:type="continuationSeparator" w:id="0">
    <w:p w14:paraId="7F0DA346" w14:textId="77777777" w:rsidR="00001F06" w:rsidRDefault="00001F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6978" w14:textId="77777777" w:rsidR="006076B9" w:rsidRDefault="00607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E1A60" w14:textId="77777777" w:rsidR="006076B9" w:rsidRDefault="00607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78A9" w14:textId="77777777" w:rsidR="006076B9" w:rsidRDefault="006076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D4838" w14:textId="77777777" w:rsidR="00001F06" w:rsidRDefault="00001F06">
      <w:pPr>
        <w:spacing w:after="0"/>
      </w:pPr>
      <w:r>
        <w:separator/>
      </w:r>
    </w:p>
  </w:footnote>
  <w:footnote w:type="continuationSeparator" w:id="0">
    <w:p w14:paraId="73BF7C05" w14:textId="77777777" w:rsidR="00001F06" w:rsidRDefault="00001F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0C60D" w14:textId="77777777" w:rsidR="006076B9" w:rsidRDefault="00001F06">
    <w:pPr>
      <w:pStyle w:val="Header"/>
    </w:pPr>
    <w:r>
      <w:pict w14:anchorId="2B6360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6" o:spid="_x0000_s2050" type="#_x0000_t136" style="position:absolute;margin-left:0;margin-top:0;width:575.5pt;height:63.9pt;rotation:315;z-index:-251656192;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5C82" w14:textId="77777777" w:rsidR="006076B9" w:rsidRDefault="00001F06">
    <w:pPr>
      <w:pStyle w:val="Header"/>
    </w:pPr>
    <w:r>
      <w:pict w14:anchorId="1E6DE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7" o:spid="_x0000_s2051" type="#_x0000_t136" style="position:absolute;margin-left:0;margin-top:0;width:575.5pt;height:63.9pt;rotation:315;z-index:-251655168;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F5A6" w14:textId="77777777" w:rsidR="006076B9" w:rsidRDefault="00001F06">
    <w:pPr>
      <w:pStyle w:val="Header"/>
    </w:pPr>
    <w:r>
      <w:pict w14:anchorId="7971F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685515" o:spid="_x0000_s2049" type="#_x0000_t136" style="position:absolute;margin-left:0;margin-top:0;width:575.5pt;height:63.9pt;rotation:315;z-index:-251657216;mso-position-horizontal:center;mso-position-horizontal-relative:margin;mso-position-vertical:center;mso-position-vertical-relative:margin;mso-width-relative:page;mso-height-relative:page" o:allowincell="f" fillcolor="silver" stroked="f">
          <v:fill opacity=".5"/>
          <v:textpath style="font-family:&quot;DengXi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70BEF"/>
    <w:multiLevelType w:val="multilevel"/>
    <w:tmpl w:val="30670BEF"/>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F44B32"/>
    <w:multiLevelType w:val="multilevel"/>
    <w:tmpl w:val="58F44B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B36E16"/>
    <w:multiLevelType w:val="hybridMultilevel"/>
    <w:tmpl w:val="3716B73A"/>
    <w:lvl w:ilvl="0" w:tplc="280C000D">
      <w:start w:val="1"/>
      <w:numFmt w:val="bullet"/>
      <w:lvlText w:val=""/>
      <w:lvlJc w:val="left"/>
      <w:pPr>
        <w:ind w:left="72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3" w15:restartNumberingAfterBreak="0">
    <w:nsid w:val="70BB1462"/>
    <w:multiLevelType w:val="multilevel"/>
    <w:tmpl w:val="70BB146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1BA2B10"/>
    <w:multiLevelType w:val="multilevel"/>
    <w:tmpl w:val="71BA2B1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CB"/>
    <w:rsid w:val="00000401"/>
    <w:rsid w:val="00001F06"/>
    <w:rsid w:val="000064B1"/>
    <w:rsid w:val="00014A37"/>
    <w:rsid w:val="00030506"/>
    <w:rsid w:val="00037BF6"/>
    <w:rsid w:val="000406D8"/>
    <w:rsid w:val="0004432C"/>
    <w:rsid w:val="0006087B"/>
    <w:rsid w:val="00071DA0"/>
    <w:rsid w:val="0008055D"/>
    <w:rsid w:val="00092A98"/>
    <w:rsid w:val="000957CB"/>
    <w:rsid w:val="000A207C"/>
    <w:rsid w:val="000B7971"/>
    <w:rsid w:val="000C0A9D"/>
    <w:rsid w:val="000E2C61"/>
    <w:rsid w:val="000E4E2E"/>
    <w:rsid w:val="000F19F5"/>
    <w:rsid w:val="00111DCB"/>
    <w:rsid w:val="00127713"/>
    <w:rsid w:val="00140940"/>
    <w:rsid w:val="001410BE"/>
    <w:rsid w:val="0014378E"/>
    <w:rsid w:val="00143BEB"/>
    <w:rsid w:val="0014413F"/>
    <w:rsid w:val="00157E84"/>
    <w:rsid w:val="001743C0"/>
    <w:rsid w:val="00186CA4"/>
    <w:rsid w:val="00187848"/>
    <w:rsid w:val="001A11ED"/>
    <w:rsid w:val="001A5DB2"/>
    <w:rsid w:val="001B220F"/>
    <w:rsid w:val="001B2324"/>
    <w:rsid w:val="001C51E1"/>
    <w:rsid w:val="001D15A7"/>
    <w:rsid w:val="001D6E27"/>
    <w:rsid w:val="001E1326"/>
    <w:rsid w:val="001E5DA8"/>
    <w:rsid w:val="001F0EBF"/>
    <w:rsid w:val="001F2D36"/>
    <w:rsid w:val="00212377"/>
    <w:rsid w:val="00243FBC"/>
    <w:rsid w:val="00247815"/>
    <w:rsid w:val="002515BA"/>
    <w:rsid w:val="00256377"/>
    <w:rsid w:val="002632C1"/>
    <w:rsid w:val="0028213B"/>
    <w:rsid w:val="002A2848"/>
    <w:rsid w:val="002A38B7"/>
    <w:rsid w:val="002B5605"/>
    <w:rsid w:val="002B792B"/>
    <w:rsid w:val="002D0215"/>
    <w:rsid w:val="002D295B"/>
    <w:rsid w:val="002E4481"/>
    <w:rsid w:val="002F28A5"/>
    <w:rsid w:val="002F6637"/>
    <w:rsid w:val="00300F00"/>
    <w:rsid w:val="0030508C"/>
    <w:rsid w:val="0030600E"/>
    <w:rsid w:val="00306082"/>
    <w:rsid w:val="003160A6"/>
    <w:rsid w:val="00344373"/>
    <w:rsid w:val="00356C3F"/>
    <w:rsid w:val="00362A96"/>
    <w:rsid w:val="003632EB"/>
    <w:rsid w:val="003644F9"/>
    <w:rsid w:val="00373165"/>
    <w:rsid w:val="00390656"/>
    <w:rsid w:val="003A2A5D"/>
    <w:rsid w:val="003A768D"/>
    <w:rsid w:val="003B19B7"/>
    <w:rsid w:val="003B6A0E"/>
    <w:rsid w:val="003E0CCC"/>
    <w:rsid w:val="003E3C96"/>
    <w:rsid w:val="003E455A"/>
    <w:rsid w:val="004016D4"/>
    <w:rsid w:val="00402557"/>
    <w:rsid w:val="004041D1"/>
    <w:rsid w:val="0041218F"/>
    <w:rsid w:val="00413143"/>
    <w:rsid w:val="00420B8A"/>
    <w:rsid w:val="00426B9D"/>
    <w:rsid w:val="00444A96"/>
    <w:rsid w:val="00462EC1"/>
    <w:rsid w:val="00471DC6"/>
    <w:rsid w:val="00482C41"/>
    <w:rsid w:val="004979F3"/>
    <w:rsid w:val="004A1451"/>
    <w:rsid w:val="004B6BF7"/>
    <w:rsid w:val="004C0C91"/>
    <w:rsid w:val="004C10E2"/>
    <w:rsid w:val="004D6E1F"/>
    <w:rsid w:val="004E21C9"/>
    <w:rsid w:val="004E2D71"/>
    <w:rsid w:val="004F0AD4"/>
    <w:rsid w:val="0050031D"/>
    <w:rsid w:val="005014B4"/>
    <w:rsid w:val="005025F6"/>
    <w:rsid w:val="0051341C"/>
    <w:rsid w:val="00514DEB"/>
    <w:rsid w:val="00522C9A"/>
    <w:rsid w:val="00526920"/>
    <w:rsid w:val="0053130B"/>
    <w:rsid w:val="00542589"/>
    <w:rsid w:val="00573F7A"/>
    <w:rsid w:val="00574AE4"/>
    <w:rsid w:val="0059434D"/>
    <w:rsid w:val="005C1F41"/>
    <w:rsid w:val="005D47AE"/>
    <w:rsid w:val="005E4ABB"/>
    <w:rsid w:val="005F0361"/>
    <w:rsid w:val="005F3900"/>
    <w:rsid w:val="005F5900"/>
    <w:rsid w:val="005F6473"/>
    <w:rsid w:val="006012C5"/>
    <w:rsid w:val="006076A0"/>
    <w:rsid w:val="006076B9"/>
    <w:rsid w:val="0061299E"/>
    <w:rsid w:val="006215CE"/>
    <w:rsid w:val="006311E1"/>
    <w:rsid w:val="00657A3B"/>
    <w:rsid w:val="0067150B"/>
    <w:rsid w:val="00673E8F"/>
    <w:rsid w:val="0067433A"/>
    <w:rsid w:val="006758BC"/>
    <w:rsid w:val="00682318"/>
    <w:rsid w:val="006B085B"/>
    <w:rsid w:val="006B1F58"/>
    <w:rsid w:val="006E2379"/>
    <w:rsid w:val="006E3A63"/>
    <w:rsid w:val="00723823"/>
    <w:rsid w:val="00732ECF"/>
    <w:rsid w:val="00737A43"/>
    <w:rsid w:val="00741CA8"/>
    <w:rsid w:val="00752DDE"/>
    <w:rsid w:val="007603CB"/>
    <w:rsid w:val="00770690"/>
    <w:rsid w:val="00773E91"/>
    <w:rsid w:val="00776964"/>
    <w:rsid w:val="00786B06"/>
    <w:rsid w:val="007A2031"/>
    <w:rsid w:val="007A5EB6"/>
    <w:rsid w:val="007B75D9"/>
    <w:rsid w:val="007C4052"/>
    <w:rsid w:val="007C438C"/>
    <w:rsid w:val="007D118D"/>
    <w:rsid w:val="007D18E0"/>
    <w:rsid w:val="007D4774"/>
    <w:rsid w:val="007E6F88"/>
    <w:rsid w:val="007E78E9"/>
    <w:rsid w:val="007F5445"/>
    <w:rsid w:val="00804590"/>
    <w:rsid w:val="00812F99"/>
    <w:rsid w:val="008162F1"/>
    <w:rsid w:val="0081670F"/>
    <w:rsid w:val="00820A56"/>
    <w:rsid w:val="00823324"/>
    <w:rsid w:val="00827997"/>
    <w:rsid w:val="00841ED6"/>
    <w:rsid w:val="00842C99"/>
    <w:rsid w:val="0084334F"/>
    <w:rsid w:val="00851FEE"/>
    <w:rsid w:val="00852A92"/>
    <w:rsid w:val="00853215"/>
    <w:rsid w:val="0086498C"/>
    <w:rsid w:val="008A1762"/>
    <w:rsid w:val="008A3DC8"/>
    <w:rsid w:val="008A5B4E"/>
    <w:rsid w:val="008E6E2F"/>
    <w:rsid w:val="008F05F4"/>
    <w:rsid w:val="008F3040"/>
    <w:rsid w:val="008F6050"/>
    <w:rsid w:val="00901E6C"/>
    <w:rsid w:val="009155A5"/>
    <w:rsid w:val="00916FC3"/>
    <w:rsid w:val="00924AD3"/>
    <w:rsid w:val="00932EDF"/>
    <w:rsid w:val="009454B2"/>
    <w:rsid w:val="009542FF"/>
    <w:rsid w:val="00962B8D"/>
    <w:rsid w:val="00973136"/>
    <w:rsid w:val="00976FAA"/>
    <w:rsid w:val="00980339"/>
    <w:rsid w:val="0098244C"/>
    <w:rsid w:val="0098370D"/>
    <w:rsid w:val="00984E8D"/>
    <w:rsid w:val="00992CF6"/>
    <w:rsid w:val="00993A63"/>
    <w:rsid w:val="009946CA"/>
    <w:rsid w:val="009A1CCA"/>
    <w:rsid w:val="009B7C64"/>
    <w:rsid w:val="009B7EFC"/>
    <w:rsid w:val="009D1197"/>
    <w:rsid w:val="009E69BD"/>
    <w:rsid w:val="009F57A0"/>
    <w:rsid w:val="00A15089"/>
    <w:rsid w:val="00A24663"/>
    <w:rsid w:val="00A26ED9"/>
    <w:rsid w:val="00A571E8"/>
    <w:rsid w:val="00A578D2"/>
    <w:rsid w:val="00A656CC"/>
    <w:rsid w:val="00A73BD6"/>
    <w:rsid w:val="00A74DE2"/>
    <w:rsid w:val="00A86307"/>
    <w:rsid w:val="00A87640"/>
    <w:rsid w:val="00A97862"/>
    <w:rsid w:val="00AC1DFF"/>
    <w:rsid w:val="00AC27B7"/>
    <w:rsid w:val="00AC5D61"/>
    <w:rsid w:val="00AD1D68"/>
    <w:rsid w:val="00AD77A4"/>
    <w:rsid w:val="00AE54CC"/>
    <w:rsid w:val="00B13A7D"/>
    <w:rsid w:val="00B2217F"/>
    <w:rsid w:val="00B310E6"/>
    <w:rsid w:val="00B328C7"/>
    <w:rsid w:val="00B520DF"/>
    <w:rsid w:val="00B53497"/>
    <w:rsid w:val="00B634D9"/>
    <w:rsid w:val="00B64B54"/>
    <w:rsid w:val="00B7225B"/>
    <w:rsid w:val="00B83C03"/>
    <w:rsid w:val="00B84355"/>
    <w:rsid w:val="00B94578"/>
    <w:rsid w:val="00BA5C78"/>
    <w:rsid w:val="00BA6A7D"/>
    <w:rsid w:val="00BC3FEA"/>
    <w:rsid w:val="00BC5979"/>
    <w:rsid w:val="00BD52DD"/>
    <w:rsid w:val="00BD586D"/>
    <w:rsid w:val="00C2037F"/>
    <w:rsid w:val="00C24367"/>
    <w:rsid w:val="00C312A1"/>
    <w:rsid w:val="00C3177D"/>
    <w:rsid w:val="00C40212"/>
    <w:rsid w:val="00C40A76"/>
    <w:rsid w:val="00C53E53"/>
    <w:rsid w:val="00C574AD"/>
    <w:rsid w:val="00C67734"/>
    <w:rsid w:val="00C84776"/>
    <w:rsid w:val="00C872F1"/>
    <w:rsid w:val="00C93DDE"/>
    <w:rsid w:val="00CA11C2"/>
    <w:rsid w:val="00CA4E8E"/>
    <w:rsid w:val="00CC2F6F"/>
    <w:rsid w:val="00CD73F4"/>
    <w:rsid w:val="00CE208C"/>
    <w:rsid w:val="00CE444C"/>
    <w:rsid w:val="00CF5D79"/>
    <w:rsid w:val="00D116B8"/>
    <w:rsid w:val="00D14D62"/>
    <w:rsid w:val="00D15BB0"/>
    <w:rsid w:val="00D24DF4"/>
    <w:rsid w:val="00D31598"/>
    <w:rsid w:val="00D31A94"/>
    <w:rsid w:val="00D377E7"/>
    <w:rsid w:val="00D42FB6"/>
    <w:rsid w:val="00D46DB4"/>
    <w:rsid w:val="00D65BBF"/>
    <w:rsid w:val="00D67807"/>
    <w:rsid w:val="00D74BA3"/>
    <w:rsid w:val="00D76AC9"/>
    <w:rsid w:val="00D77596"/>
    <w:rsid w:val="00D8410C"/>
    <w:rsid w:val="00D84E54"/>
    <w:rsid w:val="00D860D6"/>
    <w:rsid w:val="00D863CF"/>
    <w:rsid w:val="00DA1255"/>
    <w:rsid w:val="00DB1FEF"/>
    <w:rsid w:val="00DD1F94"/>
    <w:rsid w:val="00DE4D99"/>
    <w:rsid w:val="00DE5DC1"/>
    <w:rsid w:val="00DE7F37"/>
    <w:rsid w:val="00DF6B68"/>
    <w:rsid w:val="00DF7A6E"/>
    <w:rsid w:val="00E068EE"/>
    <w:rsid w:val="00E07FF9"/>
    <w:rsid w:val="00E12779"/>
    <w:rsid w:val="00E207AF"/>
    <w:rsid w:val="00E41569"/>
    <w:rsid w:val="00E51E13"/>
    <w:rsid w:val="00E717AA"/>
    <w:rsid w:val="00E812DD"/>
    <w:rsid w:val="00EA234E"/>
    <w:rsid w:val="00EA5E53"/>
    <w:rsid w:val="00EA5E90"/>
    <w:rsid w:val="00EA614C"/>
    <w:rsid w:val="00EA653D"/>
    <w:rsid w:val="00EB50F5"/>
    <w:rsid w:val="00EF7FD9"/>
    <w:rsid w:val="00F024D8"/>
    <w:rsid w:val="00F039F8"/>
    <w:rsid w:val="00F05234"/>
    <w:rsid w:val="00F05E04"/>
    <w:rsid w:val="00F07EB1"/>
    <w:rsid w:val="00F10051"/>
    <w:rsid w:val="00F117BE"/>
    <w:rsid w:val="00F1545B"/>
    <w:rsid w:val="00F2577F"/>
    <w:rsid w:val="00F31581"/>
    <w:rsid w:val="00F365A1"/>
    <w:rsid w:val="00F36893"/>
    <w:rsid w:val="00F41C7F"/>
    <w:rsid w:val="00F50693"/>
    <w:rsid w:val="00F5074F"/>
    <w:rsid w:val="00F5607B"/>
    <w:rsid w:val="00F5794D"/>
    <w:rsid w:val="00F75B66"/>
    <w:rsid w:val="00F82758"/>
    <w:rsid w:val="00F960D6"/>
    <w:rsid w:val="00F97589"/>
    <w:rsid w:val="00FB1009"/>
    <w:rsid w:val="00FB381C"/>
    <w:rsid w:val="00FB3957"/>
    <w:rsid w:val="00FC1FE4"/>
    <w:rsid w:val="00FC2DEC"/>
    <w:rsid w:val="00FC3566"/>
    <w:rsid w:val="00FC75B5"/>
    <w:rsid w:val="00FD0155"/>
    <w:rsid w:val="00FD6997"/>
    <w:rsid w:val="00FE5F56"/>
    <w:rsid w:val="00FF6C1D"/>
    <w:rsid w:val="016E793D"/>
    <w:rsid w:val="08E07CB0"/>
    <w:rsid w:val="0C985BE0"/>
    <w:rsid w:val="0C9F46C4"/>
    <w:rsid w:val="114C747E"/>
    <w:rsid w:val="1B073719"/>
    <w:rsid w:val="1BF84A03"/>
    <w:rsid w:val="247F3A70"/>
    <w:rsid w:val="26BD1E62"/>
    <w:rsid w:val="307E1AB6"/>
    <w:rsid w:val="327D69E4"/>
    <w:rsid w:val="370C60DD"/>
    <w:rsid w:val="484808A4"/>
    <w:rsid w:val="4A0F0210"/>
    <w:rsid w:val="53311C03"/>
    <w:rsid w:val="5C23656C"/>
    <w:rsid w:val="664D45E3"/>
    <w:rsid w:val="680E348C"/>
    <w:rsid w:val="68660E87"/>
    <w:rsid w:val="71236D2A"/>
    <w:rsid w:val="74587860"/>
    <w:rsid w:val="7D6C135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6E73AD"/>
  <w15:docId w15:val="{16E96A53-31F5-4527-BDF3-0849BD23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SN" w:eastAsia="fr-S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HAnsi"/>
      <w:sz w:val="22"/>
      <w:szCs w:val="22"/>
      <w:lang w:val="zh-CN"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9"/>
    <w:qFormat/>
    <w:pPr>
      <w:keepNext/>
      <w:keepLines/>
      <w:widowControl w:val="0"/>
      <w:spacing w:before="100" w:beforeAutospacing="1" w:after="100" w:afterAutospacing="1" w:line="273" w:lineRule="auto"/>
      <w:outlineLvl w:val="3"/>
    </w:pPr>
    <w:rPr>
      <w:rFonts w:ascii="Cambria" w:eastAsia="SimSun" w:hAnsi="Cambria" w:cs="Times New Roman"/>
      <w:i/>
      <w:iCs/>
      <w:color w:val="366091"/>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aption">
    <w:name w:val="caption"/>
    <w:basedOn w:val="Normal"/>
    <w:next w:val="Normal"/>
    <w:uiPriority w:val="99"/>
    <w:qFormat/>
    <w:pPr>
      <w:spacing w:before="100" w:beforeAutospacing="1" w:after="100" w:afterAutospacing="1" w:line="240" w:lineRule="auto"/>
    </w:pPr>
    <w:rPr>
      <w:rFonts w:ascii="Calibri" w:eastAsia="Times New Roman" w:hAnsi="Calibri" w:cs="Times New Roman"/>
      <w:i/>
      <w:iCs/>
      <w:color w:val="1F497D"/>
      <w:sz w:val="24"/>
      <w:szCs w:val="24"/>
      <w:lang w:eastAsia="zh-CN"/>
    </w:rPr>
  </w:style>
  <w:style w:type="paragraph" w:styleId="BodyText">
    <w:name w:val="Body Text"/>
    <w:basedOn w:val="Normal"/>
    <w:link w:val="BodyTextChar"/>
    <w:uiPriority w:val="99"/>
    <w:unhideWhenUsed/>
    <w:pPr>
      <w:spacing w:before="100" w:beforeAutospacing="1" w:after="100" w:afterAutospacing="1" w:line="273" w:lineRule="auto"/>
    </w:pPr>
    <w:rPr>
      <w:rFonts w:ascii="Calibri" w:eastAsia="Times New Roman" w:hAnsi="Calibri" w:cs="Times New Roman"/>
      <w:sz w:val="24"/>
      <w:szCs w:val="24"/>
      <w:lang w:eastAsia="zh-CN"/>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9"/>
    <w:qFormat/>
    <w:rPr>
      <w:rFonts w:ascii="Cambria" w:eastAsia="SimSun" w:hAnsi="Cambria" w:cs="Times New Roman"/>
      <w:i/>
      <w:iCs/>
      <w:color w:val="366091"/>
      <w:sz w:val="24"/>
      <w:szCs w:val="24"/>
      <w:lang w:eastAsia="zh-CN"/>
    </w:rPr>
  </w:style>
  <w:style w:type="character" w:customStyle="1" w:styleId="BodyTextChar">
    <w:name w:val="Body Text Char"/>
    <w:basedOn w:val="DefaultParagraphFont"/>
    <w:link w:val="BodyText"/>
    <w:uiPriority w:val="99"/>
    <w:qFormat/>
    <w:rPr>
      <w:rFonts w:ascii="Calibri" w:eastAsia="Times New Roman" w:hAnsi="Calibri" w:cs="Times New Roman"/>
      <w:sz w:val="24"/>
      <w:szCs w:val="24"/>
      <w:lang w:eastAsia="zh-C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paragraph" w:customStyle="1" w:styleId="Bibliographie1">
    <w:name w:val="Bibliographie1"/>
    <w:basedOn w:val="Normal"/>
    <w:next w:val="Normal"/>
    <w:uiPriority w:val="37"/>
    <w:unhideWhenUsed/>
    <w:qFormat/>
  </w:style>
  <w:style w:type="paragraph" w:customStyle="1" w:styleId="Paragraphedeliste1">
    <w:name w:val="Paragraphe de liste1"/>
    <w:basedOn w:val="Normal"/>
    <w:qFormat/>
    <w:pPr>
      <w:spacing w:before="100" w:beforeAutospacing="1" w:after="100" w:afterAutospacing="1" w:line="273" w:lineRule="auto"/>
      <w:contextualSpacing/>
    </w:pPr>
    <w:rPr>
      <w:rFonts w:ascii="Calibri" w:eastAsia="Times New Roman" w:hAnsi="Calibri" w:cs="Times New Roman"/>
      <w:sz w:val="24"/>
      <w:szCs w:val="24"/>
      <w:lang w:eastAsia="zh-CN"/>
    </w:rPr>
  </w:style>
  <w:style w:type="table" w:customStyle="1" w:styleId="Grilledutableau3">
    <w:name w:val="Grille du tableau3"/>
    <w:basedOn w:val="TableNormal"/>
    <w:qFormat/>
    <w:rPr>
      <w:rFonts w:ascii="Times New Roman" w:eastAsia="SimSun" w:hAnsi="Times New Roman" w:cs="Times New Roman"/>
      <w:lang w:eastAsia="zh-CN"/>
    </w:rPr>
    <w:tblPr>
      <w:tblCellMar>
        <w:left w:w="0" w:type="dxa"/>
        <w:right w:w="0" w:type="dxa"/>
      </w:tblCellMar>
    </w:tblPr>
  </w:style>
  <w:style w:type="paragraph" w:customStyle="1" w:styleId="ListParagraph1">
    <w:name w:val="List Paragraph1"/>
    <w:basedOn w:val="Normal"/>
    <w:qFormat/>
    <w:pPr>
      <w:spacing w:before="100" w:beforeAutospacing="1" w:after="100" w:afterAutospacing="1" w:line="273" w:lineRule="auto"/>
      <w:contextualSpacing/>
    </w:pPr>
    <w:rPr>
      <w:rFonts w:ascii="Calibri" w:eastAsia="Times New Roman" w:hAnsi="Calibri" w:cs="Times New Roman"/>
      <w:sz w:val="24"/>
      <w:szCs w:val="24"/>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NormalTable1">
    <w:name w:val="Normal Table1"/>
    <w:semiHidden/>
    <w:qFormat/>
    <w:rPr>
      <w:rFonts w:ascii="Times New Roman" w:eastAsia="Times New Roman" w:hAnsi="Times New Roman" w:cs="Times New Roman"/>
      <w:lang w:eastAsia="zh-CN"/>
    </w:rPr>
    <w:tblPr>
      <w:tblCellMar>
        <w:top w:w="0" w:type="dxa"/>
        <w:left w:w="0" w:type="dxa"/>
        <w:bottom w:w="0" w:type="dxa"/>
        <w:right w:w="0" w:type="dxa"/>
      </w:tblCellMar>
    </w:tblPr>
  </w:style>
  <w:style w:type="table" w:customStyle="1" w:styleId="Tableausimple27">
    <w:name w:val="Tableau simple 27"/>
    <w:basedOn w:val="TableNormal"/>
    <w:qFormat/>
    <w:rPr>
      <w:rFonts w:ascii="Times New Roman" w:eastAsia="Times New Roman" w:hAnsi="Times New Roman" w:cs="Times New Roman"/>
      <w:lang w:eastAsia="zh-CN"/>
    </w:rPr>
    <w:tblPr>
      <w:tblCellMar>
        <w:left w:w="0" w:type="dxa"/>
        <w:right w:w="0" w:type="dxa"/>
      </w:tblCellMar>
    </w:tblPr>
    <w:tblStylePr w:type="firstRow">
      <w:rPr>
        <w:rFonts w:ascii="Times New Roman" w:hAnsi="Times New Roman" w:cs="Times New Roman" w:hint="default"/>
        <w:b/>
        <w:bCs/>
      </w:rPr>
    </w:tblStylePr>
    <w:tblStylePr w:type="lastRow">
      <w:rPr>
        <w:rFonts w:ascii="Times New Roman" w:hAnsi="Times New Roman" w:cs="Times New Roman" w:hint="default"/>
        <w:b/>
        <w:bCs/>
      </w:r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style>
  <w:style w:type="character" w:customStyle="1" w:styleId="CommentTextChar">
    <w:name w:val="Comment Text Char"/>
    <w:basedOn w:val="DefaultParagraphFont"/>
    <w:link w:val="CommentText"/>
    <w:uiPriority w:val="99"/>
    <w:semiHidden/>
    <w:qFormat/>
    <w:rPr>
      <w:rFonts w:eastAsiaTheme="minorHAnsi"/>
      <w:lang w:val="zh-CN" w:eastAsia="en-US"/>
    </w:rPr>
  </w:style>
  <w:style w:type="character" w:customStyle="1" w:styleId="CommentSubjectChar">
    <w:name w:val="Comment Subject Char"/>
    <w:basedOn w:val="CommentTextChar"/>
    <w:link w:val="CommentSubject"/>
    <w:uiPriority w:val="99"/>
    <w:semiHidden/>
    <w:qFormat/>
    <w:rPr>
      <w:rFonts w:eastAsiaTheme="minorHAnsi"/>
      <w:b/>
      <w:bCs/>
      <w:lang w:val="zh-CN"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2">
    <w:name w:val="Bibliographie2"/>
    <w:basedOn w:val="Normal"/>
    <w:next w:val="Normal"/>
    <w:uiPriority w:val="37"/>
    <w:unhideWhenUsed/>
  </w:style>
  <w:style w:type="paragraph" w:styleId="Bibliography">
    <w:name w:val="Bibliography"/>
    <w:basedOn w:val="Normal"/>
    <w:next w:val="Normal"/>
    <w:uiPriority w:val="37"/>
    <w:unhideWhenUsed/>
    <w:rsid w:val="00D7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ownloads\Classeur11%20(1)(R&#233;cup&#233;ration%20automatiqu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Feuil1!$J$6019</c:f>
              <c:strCache>
                <c:ptCount val="1"/>
                <c:pt idx="0">
                  <c:v>Pourccentage</c:v>
                </c:pt>
              </c:strCache>
            </c:strRef>
          </c:tx>
          <c:spPr>
            <a:solidFill>
              <a:srgbClr val="ED7D31">
                <a:lumMod val="75000"/>
              </a:srgbClr>
            </a:solidFill>
            <a:ln>
              <a:noFill/>
            </a:ln>
            <a:effectLst/>
            <a:scene3d>
              <a:camera prst="orthographicFront"/>
              <a:lightRig rig="threePt" dir="t"/>
            </a:scene3d>
            <a:sp3d>
              <a:bevelT w="152400" h="50800" prst="softRound"/>
              <a:bevelB w="152400" h="50800" prst="softRound"/>
            </a:sp3d>
          </c:spPr>
          <c:invertIfNegative val="0"/>
          <c:dPt>
            <c:idx val="0"/>
            <c:invertIfNegative val="0"/>
            <c:bubble3D val="0"/>
            <c:extLst>
              <c:ext xmlns:c16="http://schemas.microsoft.com/office/drawing/2014/chart" uri="{C3380CC4-5D6E-409C-BE32-E72D297353CC}">
                <c16:uniqueId val="{00000000-44D1-4158-9B5E-AAF3007DD891}"/>
              </c:ext>
            </c:extLst>
          </c:dPt>
          <c:dPt>
            <c:idx val="4"/>
            <c:invertIfNegative val="0"/>
            <c:bubble3D val="0"/>
            <c:extLst>
              <c:ext xmlns:c16="http://schemas.microsoft.com/office/drawing/2014/chart" uri="{C3380CC4-5D6E-409C-BE32-E72D297353CC}">
                <c16:uniqueId val="{00000001-44D1-4158-9B5E-AAF3007DD891}"/>
              </c:ext>
            </c:extLst>
          </c:dPt>
          <c:dLbls>
            <c:dLbl>
              <c:idx val="0"/>
              <c:layout>
                <c:manualLayout>
                  <c:x val="5.7388759310246305E-2"/>
                  <c:y val="-1.4035087719298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D1-4158-9B5E-AAF3007DD891}"/>
                </c:ext>
              </c:extLst>
            </c:dLbl>
            <c:dLbl>
              <c:idx val="1"/>
              <c:layout>
                <c:manualLayout>
                  <c:x val="7.1830914903158363E-2"/>
                  <c:y val="-4.39756872496201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D1-4158-9B5E-AAF3007DD891}"/>
                </c:ext>
              </c:extLst>
            </c:dLbl>
            <c:dLbl>
              <c:idx val="2"/>
              <c:layout>
                <c:manualLayout>
                  <c:x val="8.439818166786503E-2"/>
                  <c:y val="-1.49937836717785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D1-4158-9B5E-AAF3007DD891}"/>
                </c:ext>
              </c:extLst>
            </c:dLbl>
            <c:dLbl>
              <c:idx val="3"/>
              <c:layout>
                <c:manualLayout>
                  <c:x val="7.9293987077766387E-2"/>
                  <c:y val="-1.3060367454068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D1-4158-9B5E-AAF3007DD891}"/>
                </c:ext>
              </c:extLst>
            </c:dLbl>
            <c:dLbl>
              <c:idx val="4"/>
              <c:layout>
                <c:manualLayout>
                  <c:x val="7.05018639282287E-2"/>
                  <c:y val="-7.50656167979002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D1-4158-9B5E-AAF3007DD891}"/>
                </c:ext>
              </c:extLst>
            </c:dLbl>
            <c:dLbl>
              <c:idx val="5"/>
              <c:layout>
                <c:manualLayout>
                  <c:x val="0.16090895938189734"/>
                  <c:y val="-9.0269374222958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D1-4158-9B5E-AAF3007DD891}"/>
                </c:ext>
              </c:extLst>
            </c:dLbl>
            <c:dLbl>
              <c:idx val="6"/>
              <c:layout>
                <c:manualLayout>
                  <c:x val="0.35894522706604154"/>
                  <c:y val="-1.68476308882442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D1-4158-9B5E-AAF3007DD891}"/>
                </c:ext>
              </c:extLst>
            </c:dLbl>
            <c:dLbl>
              <c:idx val="7"/>
              <c:layout>
                <c:manualLayout>
                  <c:x val="0.36654311786308713"/>
                  <c:y val="-3.27676954819150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D1-4158-9B5E-AAF3007DD891}"/>
                </c:ext>
              </c:extLst>
            </c:dLbl>
            <c:dLbl>
              <c:idx val="11"/>
              <c:layout>
                <c:manualLayout>
                  <c:x val="0.19166666666666668"/>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D1-4158-9B5E-AAF3007DD891}"/>
                </c:ext>
              </c:extLst>
            </c:dLbl>
            <c:dLbl>
              <c:idx val="12"/>
              <c:layout>
                <c:manualLayout>
                  <c:x val="0.26388888888888878"/>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D1-4158-9B5E-AAF3007DD891}"/>
                </c:ext>
              </c:extLst>
            </c:dLbl>
            <c:dLbl>
              <c:idx val="13"/>
              <c:layout>
                <c:manualLayout>
                  <c:x val="0.34693316681139763"/>
                  <c:y val="-4.62953344552247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D1-4158-9B5E-AAF3007DD891}"/>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Feuil1!$H$6020:$H$6027</c:f>
              <c:strCache>
                <c:ptCount val="8"/>
                <c:pt idx="0">
                  <c:v>Macrolide</c:v>
                </c:pt>
                <c:pt idx="1">
                  <c:v>Métronidazole</c:v>
                </c:pt>
                <c:pt idx="2">
                  <c:v>carbapenem</c:v>
                </c:pt>
                <c:pt idx="3">
                  <c:v>Fluoroquinolone</c:v>
                </c:pt>
                <c:pt idx="4">
                  <c:v>Amoxicillin clavulanic acid</c:v>
                </c:pt>
                <c:pt idx="5">
                  <c:v>Glycopeptide</c:v>
                </c:pt>
                <c:pt idx="6">
                  <c:v>Third-generation cephalosporin</c:v>
                </c:pt>
                <c:pt idx="7">
                  <c:v>Aminoglycoside</c:v>
                </c:pt>
              </c:strCache>
            </c:strRef>
          </c:cat>
          <c:val>
            <c:numRef>
              <c:f>Feuil1!$J$6020:$J$6027</c:f>
              <c:numCache>
                <c:formatCode>0.00%</c:formatCode>
                <c:ptCount val="8"/>
                <c:pt idx="0">
                  <c:v>8.130081300813009E-3</c:v>
                </c:pt>
                <c:pt idx="1">
                  <c:v>5.6910569105691054E-2</c:v>
                </c:pt>
                <c:pt idx="2">
                  <c:v>8.1300813008130079E-2</c:v>
                </c:pt>
                <c:pt idx="3">
                  <c:v>8.1300813008130079E-2</c:v>
                </c:pt>
                <c:pt idx="4">
                  <c:v>8.943089430894309E-2</c:v>
                </c:pt>
                <c:pt idx="5">
                  <c:v>0.25203252032520324</c:v>
                </c:pt>
                <c:pt idx="6">
                  <c:v>0.73983739837398377</c:v>
                </c:pt>
                <c:pt idx="7">
                  <c:v>0.75609756097560976</c:v>
                </c:pt>
              </c:numCache>
            </c:numRef>
          </c:val>
          <c:extLst>
            <c:ext xmlns:c16="http://schemas.microsoft.com/office/drawing/2014/chart" uri="{C3380CC4-5D6E-409C-BE32-E72D297353CC}">
              <c16:uniqueId val="{0000000B-44D1-4158-9B5E-AAF3007DD891}"/>
            </c:ext>
          </c:extLst>
        </c:ser>
        <c:dLbls>
          <c:showLegendKey val="0"/>
          <c:showVal val="1"/>
          <c:showCatName val="0"/>
          <c:showSerName val="0"/>
          <c:showPercent val="0"/>
          <c:showBubbleSize val="0"/>
        </c:dLbls>
        <c:gapWidth val="150"/>
        <c:shape val="cylinder"/>
        <c:axId val="1318940767"/>
        <c:axId val="1542072783"/>
        <c:axId val="0"/>
      </c:bar3DChart>
      <c:catAx>
        <c:axId val="1318940767"/>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Antibiotic</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42072783"/>
        <c:crosses val="autoZero"/>
        <c:auto val="1"/>
        <c:lblAlgn val="ctr"/>
        <c:lblOffset val="100"/>
        <c:noMultiLvlLbl val="0"/>
      </c:catAx>
      <c:valAx>
        <c:axId val="1542072783"/>
        <c:scaling>
          <c:orientation val="minMax"/>
          <c:max val="0.78"/>
          <c:min val="0"/>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Percentage</a:t>
                </a:r>
              </a:p>
            </c:rich>
          </c:tx>
          <c:layout>
            <c:manualLayout>
              <c:xMode val="edge"/>
              <c:yMode val="edge"/>
              <c:x val="0.62764633710726991"/>
              <c:y val="0.87795275590551181"/>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rgbClr val="4472C4"/>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8940767"/>
        <c:crosses val="autoZero"/>
        <c:crossBetween val="between"/>
      </c:valAx>
      <c:spPr>
        <a:noFill/>
        <a:ln>
          <a:noFill/>
        </a:ln>
        <a:effectLst/>
      </c:spPr>
    </c:plotArea>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13</Pages>
  <Words>14338</Words>
  <Characters>81730</Characters>
  <Application>Microsoft Office Word</Application>
  <DocSecurity>0</DocSecurity>
  <Lines>681</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dione</dc:creator>
  <cp:lastModifiedBy>Editor GP 005</cp:lastModifiedBy>
  <cp:revision>60</cp:revision>
  <dcterms:created xsi:type="dcterms:W3CDTF">2025-11-09T23:00:00Z</dcterms:created>
  <dcterms:modified xsi:type="dcterms:W3CDTF">2025-12-02T13:04:00Z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id="7nqRAHcS"/&gt;&lt;style id="http://www.zotero.org/styles/vancouver" locale="fr-FR" hasBibliography="1" bibliographyStyleHasBeenSet="1"/&gt;&lt;prefs&gt;&lt;pref name="fieldType" value="Field"/&gt;&lt;/prefs&gt;&lt;/data&gt;</vt:lpwstr>
  </property>
  <property fmtid="{D5CDD505-2E9C-101B-9397-08002B2CF9AE}" pid="3" name="KSOProductBuildVer">
    <vt:lpwstr>1036-12.2.0.23155</vt:lpwstr>
  </property>
  <property fmtid="{D5CDD505-2E9C-101B-9397-08002B2CF9AE}" pid="4" name="ICV">
    <vt:lpwstr>861290F254EB44A6B5327468014F9D49_12</vt:lpwstr>
  </property>
</Properties>
</file>