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CA51" w14:textId="77777777" w:rsidR="00710300" w:rsidRDefault="00710300">
      <w:pPr>
        <w:pStyle w:val="NormalWeb"/>
        <w:rPr>
          <w:rStyle w:val="Strong"/>
          <w:b w:val="0"/>
          <w:bCs w:val="0"/>
        </w:rPr>
      </w:pPr>
    </w:p>
    <w:p w14:paraId="5FA5F9B1" w14:textId="1D06B36B" w:rsidR="00710300" w:rsidRDefault="00710300">
      <w:pPr>
        <w:pStyle w:val="NormalWeb"/>
        <w:rPr>
          <w:rStyle w:val="Strong"/>
          <w:b w:val="0"/>
          <w:bCs w:val="0"/>
        </w:rPr>
      </w:pPr>
      <w:r w:rsidRPr="00B72755">
        <w:rPr>
          <w:rStyle w:val="Strong"/>
          <w:b w:val="0"/>
          <w:bCs w:val="0"/>
          <w:highlight w:val="yellow"/>
        </w:rPr>
        <w:t>Pharmacological Considerations in Neonatal Cardiac Care: A Narrative Review of Dosing, Safety, and Efficacy</w:t>
      </w:r>
    </w:p>
    <w:p w14:paraId="749DCEC7" w14:textId="77777777" w:rsidR="00111D11" w:rsidRDefault="00111D11">
      <w:pPr>
        <w:pStyle w:val="NormalWeb"/>
        <w:rPr>
          <w:rStyle w:val="Strong"/>
          <w:b w:val="0"/>
          <w:bCs w:val="0"/>
        </w:rPr>
      </w:pPr>
    </w:p>
    <w:p w14:paraId="52E8911B" w14:textId="1CACD018" w:rsidR="00111D11" w:rsidRDefault="002730B5">
      <w:pPr>
        <w:pStyle w:val="NormalWeb"/>
      </w:pPr>
      <w:r>
        <w:rPr>
          <w:rStyle w:val="Strong"/>
        </w:rPr>
        <w:t>Abstract</w:t>
      </w:r>
      <w:r>
        <w:br/>
        <w:t>Neonatal cardiac care presents unique therapeutic challenges due to the distinct physiological characteristics of the newborn, including immature hepatic and renal function, altered drug absorption and distribution, and rapidly changing hemodynamic parameters. Pharmacological interventions in this population demand heightened caution, precise dosing strategies, and rigorous evaluation of safety and efficacy to prevent adverse outcomes. Neonates with congenital or acquired heart disease often require complex medication regimens involving inotropes, vasodilators, diuretics, antiarrhythmics, and prostaglandin analogues, among others. However, limited clinical trial data, heterogeneous patient profiles, and ethical barriers to research significantly constrain evidence-based pharmacotherapy in this critical group.</w:t>
      </w:r>
      <w:r w:rsidR="005F0348">
        <w:t xml:space="preserve"> </w:t>
      </w:r>
      <w:r>
        <w:t xml:space="preserve">This review highlights essential pharmacological considerations for optimizing neonatal cardiac drug therapy. </w:t>
      </w:r>
      <w:r w:rsidR="008C1925" w:rsidRPr="00B72755">
        <w:rPr>
          <w:highlight w:val="yellow"/>
        </w:rPr>
        <w:t>A literature search was performed across major electronic databases, including PubMed, Scopus, Web of Science, and Google Scholar. The search covered publications from 1987 to 2025. Data were extracted manually and synthesized thematically.</w:t>
      </w:r>
      <w:r w:rsidR="008C1925" w:rsidRPr="008C1925">
        <w:t xml:space="preserve"> </w:t>
      </w:r>
      <w:r>
        <w:t>Dosing regimens must be individualized by gestational age, birth weight, organ maturity, and concomitant morbidities to avoid toxicity or subtherapeutic exposure. Pharmacokinetic variables such as increased total body water, reduced plasma protein binding, and variable enzymatic activity necessitate careful titration and therapeutic drug monitoring for agents such as digoxin, milrinone, and amiodarone. Safety evaluation remains central, as neonates face increased risk of complications including arrhythmias, hypotension, electrolyte disturbances, and nephrotoxicity. Efficacy assessment must extend beyond immediate cardiovascular stabilization to include long-term neurodevelopmental and organ function outcomes.</w:t>
      </w:r>
      <w:r w:rsidR="005F0348">
        <w:t xml:space="preserve"> </w:t>
      </w:r>
      <w:r>
        <w:t xml:space="preserve">Emerging pharmacologic strategies, including precision dosing models, pharmacogenomics, and physiologically based pharmacokinetic (PBPK) modeling, show promise in enhancing therapeutic accuracy for neonatal cardiac care. Collaborative neonatal–cardiology drug registries and adaptive clinical trial methodologies are also essential to strengthen the evidence base. Ultimately, a multidisciplinary approach integrating cardiology, neonatology, pharmacy, and nursing is critical to ensure safe, effective, and individualized medication management. </w:t>
      </w:r>
      <w:r w:rsidR="00F46161" w:rsidRPr="00B72755">
        <w:rPr>
          <w:highlight w:val="yellow"/>
        </w:rPr>
        <w:t>While recent literature highlights major advances in cardiovascular drug monitoring and support, the need for robust clinical trials and model-informed precision dosing remains urgent.</w:t>
      </w:r>
      <w:r w:rsidR="00F46161">
        <w:t xml:space="preserve"> </w:t>
      </w:r>
      <w:r>
        <w:t>Improving pharmacologic precision will contribute significantly to reducing morbidity, mortality, and long-term complications in this vulnerable population.</w:t>
      </w:r>
    </w:p>
    <w:p w14:paraId="3F139665" w14:textId="77777777" w:rsidR="00111D11" w:rsidRPr="00B72755" w:rsidRDefault="002730B5">
      <w:pPr>
        <w:pStyle w:val="NormalWeb"/>
        <w:rPr>
          <w:i/>
          <w:iCs/>
        </w:rPr>
      </w:pPr>
      <w:r>
        <w:rPr>
          <w:rStyle w:val="Strong"/>
        </w:rPr>
        <w:t>Keywords:</w:t>
      </w:r>
      <w:r>
        <w:t xml:space="preserve"> </w:t>
      </w:r>
      <w:r w:rsidRPr="00B72755">
        <w:rPr>
          <w:i/>
          <w:iCs/>
        </w:rPr>
        <w:t>Neonatal cardiology; pharmacokinetics; drug dosing; safety; efficacy</w:t>
      </w:r>
    </w:p>
    <w:p w14:paraId="6D7D7582" w14:textId="77777777" w:rsidR="00111D11" w:rsidRDefault="00111D11"/>
    <w:p w14:paraId="0111EDBF" w14:textId="77777777" w:rsidR="00111D11" w:rsidRDefault="002730B5">
      <w:pPr>
        <w:pStyle w:val="NormalWeb"/>
      </w:pPr>
      <w:r>
        <w:rPr>
          <w:rStyle w:val="Strong"/>
        </w:rPr>
        <w:t>Introduction</w:t>
      </w:r>
    </w:p>
    <w:p w14:paraId="27DA730F" w14:textId="23D2C2CD" w:rsidR="00111D11" w:rsidRDefault="00854EF4">
      <w:pPr>
        <w:pStyle w:val="NormalWeb"/>
      </w:pPr>
      <w:r w:rsidRPr="00B72755">
        <w:rPr>
          <w:highlight w:val="yellow"/>
        </w:rPr>
        <w:lastRenderedPageBreak/>
        <w:t>Neonates, especially those born prematurely, are highly vulnerable to end-organ injury due to developmental immaturity of the myocardium and vascular bed, altered hemodynamic or respiratory states, and unanticipated adverse effects of medications or other interventions</w:t>
      </w:r>
      <w:r w:rsidRPr="00B72755">
        <w:rPr>
          <w:highlight w:val="yellow"/>
        </w:rPr>
        <w:t xml:space="preserve">. </w:t>
      </w:r>
      <w:r w:rsidRPr="00B72755">
        <w:rPr>
          <w:highlight w:val="yellow"/>
        </w:rPr>
        <w:t>The consequences of abnormal lung–heart interactions may play a role in the long-term health of individuals born premature</w:t>
      </w:r>
      <w:r w:rsidRPr="00B72755">
        <w:rPr>
          <w:highlight w:val="yellow"/>
        </w:rPr>
        <w:t xml:space="preserve"> (</w:t>
      </w:r>
      <w:proofErr w:type="spellStart"/>
      <w:r w:rsidR="00713E96" w:rsidRPr="00713E96">
        <w:rPr>
          <w:highlight w:val="yellow"/>
        </w:rPr>
        <w:t>Mcnamara</w:t>
      </w:r>
      <w:proofErr w:type="spellEnd"/>
      <w:r w:rsidR="00713E96">
        <w:rPr>
          <w:highlight w:val="yellow"/>
        </w:rPr>
        <w:t xml:space="preserve"> et al., 2024</w:t>
      </w:r>
      <w:r w:rsidR="002D0D53">
        <w:rPr>
          <w:highlight w:val="yellow"/>
        </w:rPr>
        <w:t xml:space="preserve">; Sehgal et al., 2020; </w:t>
      </w:r>
      <w:r w:rsidR="00B10876" w:rsidRPr="00B10876">
        <w:rPr>
          <w:highlight w:val="yellow"/>
        </w:rPr>
        <w:t>Watkins</w:t>
      </w:r>
      <w:r w:rsidR="00B10876">
        <w:rPr>
          <w:highlight w:val="yellow"/>
        </w:rPr>
        <w:t xml:space="preserve"> et al., 2020; </w:t>
      </w:r>
      <w:r w:rsidR="00B10876" w:rsidRPr="00B72755">
        <w:rPr>
          <w:highlight w:val="yellow"/>
        </w:rPr>
        <w:t>Nassar </w:t>
      </w:r>
      <w:r w:rsidR="00B10876" w:rsidRPr="00B72755">
        <w:rPr>
          <w:highlight w:val="yellow"/>
        </w:rPr>
        <w:t>et al., 2020</w:t>
      </w:r>
      <w:r w:rsidRPr="00B72755">
        <w:rPr>
          <w:highlight w:val="yellow"/>
        </w:rPr>
        <w:t>)</w:t>
      </w:r>
      <w:r w:rsidRPr="00B72755">
        <w:rPr>
          <w:highlight w:val="yellow"/>
        </w:rPr>
        <w:t>.</w:t>
      </w:r>
      <w:r>
        <w:t xml:space="preserve"> </w:t>
      </w:r>
      <w:r w:rsidR="002730B5">
        <w:t xml:space="preserve">Pharmacological management in neonatal cardiac care requires a nuanced understanding of the distinctive physiological and developmental features that differentiate neonates from older children and adults. Neonates represent a uniquely vulnerable population in which cardiovascular instability is often compounded by immature organ function, altered drug disposition, and rapidly changing clinical states. </w:t>
      </w:r>
      <w:r w:rsidR="00AA3C38" w:rsidRPr="00AA3C38">
        <w:rPr>
          <w:highlight w:val="yellow"/>
        </w:rPr>
        <w:t>A comprehensive understanding of the unique developmental and physiologic considerations of neonates, the variance in underlying disease phenotypes for similar clinical presentations</w:t>
      </w:r>
      <w:r w:rsidR="00A327A6">
        <w:rPr>
          <w:highlight w:val="yellow"/>
        </w:rPr>
        <w:t>,</w:t>
      </w:r>
      <w:r w:rsidR="00AA3C38" w:rsidRPr="00AA3C38">
        <w:rPr>
          <w:highlight w:val="yellow"/>
        </w:rPr>
        <w:t xml:space="preserve"> is essential towards providing optimal neonatal care</w:t>
      </w:r>
      <w:r w:rsidR="00CF32FC" w:rsidRPr="00B72755">
        <w:rPr>
          <w:highlight w:val="yellow"/>
        </w:rPr>
        <w:t xml:space="preserve"> (</w:t>
      </w:r>
      <w:r w:rsidR="00AA3C38" w:rsidRPr="00B72755">
        <w:rPr>
          <w:highlight w:val="yellow"/>
        </w:rPr>
        <w:t>Sehgal</w:t>
      </w:r>
      <w:r w:rsidR="00AA3C38" w:rsidRPr="00B72755">
        <w:rPr>
          <w:highlight w:val="yellow"/>
        </w:rPr>
        <w:t xml:space="preserve"> et al., 2025; </w:t>
      </w:r>
      <w:r w:rsidR="00CF32FC" w:rsidRPr="00AA3C38">
        <w:rPr>
          <w:highlight w:val="yellow"/>
        </w:rPr>
        <w:t xml:space="preserve">De </w:t>
      </w:r>
      <w:proofErr w:type="spellStart"/>
      <w:r w:rsidR="00CF32FC" w:rsidRPr="00AA3C38">
        <w:rPr>
          <w:highlight w:val="yellow"/>
        </w:rPr>
        <w:t>Brouchoven</w:t>
      </w:r>
      <w:proofErr w:type="spellEnd"/>
      <w:r w:rsidR="00CF32FC" w:rsidRPr="00AA3C38">
        <w:rPr>
          <w:highlight w:val="yellow"/>
        </w:rPr>
        <w:t xml:space="preserve"> et al., 2025; </w:t>
      </w:r>
      <w:r w:rsidR="00CF32FC" w:rsidRPr="00B72755">
        <w:rPr>
          <w:highlight w:val="yellow"/>
        </w:rPr>
        <w:t>Baldo</w:t>
      </w:r>
      <w:r w:rsidR="00CF32FC" w:rsidRPr="00B72755">
        <w:rPr>
          <w:highlight w:val="yellow"/>
        </w:rPr>
        <w:t xml:space="preserve"> et al., 2022; </w:t>
      </w:r>
      <w:r w:rsidR="00CF32FC" w:rsidRPr="00B72755">
        <w:rPr>
          <w:highlight w:val="yellow"/>
        </w:rPr>
        <w:t>Mussa</w:t>
      </w:r>
      <w:r w:rsidR="00CF32FC" w:rsidRPr="00B72755">
        <w:rPr>
          <w:highlight w:val="yellow"/>
        </w:rPr>
        <w:t xml:space="preserve"> et al., 2021; </w:t>
      </w:r>
      <w:r w:rsidR="00CF32FC" w:rsidRPr="00B72755">
        <w:rPr>
          <w:highlight w:val="yellow"/>
        </w:rPr>
        <w:t>Stuurman</w:t>
      </w:r>
      <w:r w:rsidR="00CF32FC" w:rsidRPr="00B72755">
        <w:rPr>
          <w:highlight w:val="yellow"/>
        </w:rPr>
        <w:t xml:space="preserve"> et al., 2019)</w:t>
      </w:r>
      <w:r w:rsidR="00CF32FC" w:rsidRPr="00B72755">
        <w:rPr>
          <w:highlight w:val="yellow"/>
        </w:rPr>
        <w:t>.</w:t>
      </w:r>
      <w:r w:rsidR="00CF32FC" w:rsidRPr="00AA3C38">
        <w:t xml:space="preserve"> </w:t>
      </w:r>
      <w:r w:rsidR="002730B5">
        <w:t>Consequently, optimizing medication dosing, ensuring safety, and evaluating efficacy present significant challenges in neonatal cardiac pharmacotherapy</w:t>
      </w:r>
      <w:r w:rsidR="00AA3C38">
        <w:t xml:space="preserve"> </w:t>
      </w:r>
      <w:r w:rsidR="00AA3C38" w:rsidRPr="00B72755">
        <w:rPr>
          <w:highlight w:val="yellow"/>
        </w:rPr>
        <w:t>(</w:t>
      </w:r>
      <w:r w:rsidR="00AA3C38" w:rsidRPr="008C0161">
        <w:rPr>
          <w:highlight w:val="yellow"/>
        </w:rPr>
        <w:t>Swarts et al., 2022</w:t>
      </w:r>
      <w:r w:rsidR="00AA3C38" w:rsidRPr="00B72755">
        <w:rPr>
          <w:highlight w:val="yellow"/>
        </w:rPr>
        <w:t xml:space="preserve">; </w:t>
      </w:r>
      <w:r w:rsidR="008C0161" w:rsidRPr="00B72755">
        <w:rPr>
          <w:highlight w:val="yellow"/>
        </w:rPr>
        <w:t xml:space="preserve">Ting et al., 2024; </w:t>
      </w:r>
      <w:r w:rsidR="00EF0846" w:rsidRPr="00B72755">
        <w:rPr>
          <w:highlight w:val="yellow"/>
        </w:rPr>
        <w:t>Stoll</w:t>
      </w:r>
      <w:r w:rsidR="00EF0846" w:rsidRPr="00B72755">
        <w:rPr>
          <w:highlight w:val="yellow"/>
        </w:rPr>
        <w:t xml:space="preserve"> et al., 2015</w:t>
      </w:r>
      <w:r w:rsidR="00BE1E42" w:rsidRPr="00BE1E42">
        <w:rPr>
          <w:highlight w:val="yellow"/>
        </w:rPr>
        <w:t>;</w:t>
      </w:r>
      <w:r w:rsidR="00BE1E42" w:rsidRPr="00B72755">
        <w:rPr>
          <w:highlight w:val="yellow"/>
        </w:rPr>
        <w:t xml:space="preserve"> </w:t>
      </w:r>
      <w:r w:rsidR="00BE1E42" w:rsidRPr="00B72755">
        <w:rPr>
          <w:highlight w:val="yellow"/>
        </w:rPr>
        <w:t>Lewandowski</w:t>
      </w:r>
      <w:r w:rsidR="00BE1E42" w:rsidRPr="00B72755">
        <w:rPr>
          <w:highlight w:val="yellow"/>
        </w:rPr>
        <w:t xml:space="preserve"> et al., 2020</w:t>
      </w:r>
      <w:r w:rsidR="00EF0846" w:rsidRPr="00BE1E42">
        <w:rPr>
          <w:highlight w:val="yellow"/>
        </w:rPr>
        <w:t>)</w:t>
      </w:r>
      <w:r w:rsidR="002730B5" w:rsidRPr="00B72755">
        <w:rPr>
          <w:highlight w:val="yellow"/>
        </w:rPr>
        <w:t xml:space="preserve">. </w:t>
      </w:r>
      <w:r w:rsidR="00A44218" w:rsidRPr="00B72755">
        <w:rPr>
          <w:highlight w:val="yellow"/>
        </w:rPr>
        <w:t>Recent evidence suggests that the risk of long-term cardiovascular complications is up to 17 times higher in infants born at the extremes of prematurity (≤28 weeks’ gestation). In addition, individuals born preterm may have increased left ventricular mass and smaller internal diameters </w:t>
      </w:r>
      <w:r w:rsidR="00A44218" w:rsidRPr="00B72755">
        <w:rPr>
          <w:highlight w:val="yellow"/>
        </w:rPr>
        <w:t>(</w:t>
      </w:r>
      <w:r w:rsidR="00A44218" w:rsidRPr="00A44218">
        <w:rPr>
          <w:highlight w:val="yellow"/>
        </w:rPr>
        <w:t>Stanford</w:t>
      </w:r>
      <w:r w:rsidR="00A44218">
        <w:rPr>
          <w:highlight w:val="yellow"/>
        </w:rPr>
        <w:t xml:space="preserve"> et al., </w:t>
      </w:r>
      <w:r w:rsidR="00A44218" w:rsidRPr="00EF0846">
        <w:rPr>
          <w:highlight w:val="yellow"/>
        </w:rPr>
        <w:t>2021</w:t>
      </w:r>
      <w:r w:rsidR="00EF0846" w:rsidRPr="00EF0846">
        <w:rPr>
          <w:highlight w:val="yellow"/>
        </w:rPr>
        <w:t xml:space="preserve">; </w:t>
      </w:r>
      <w:r w:rsidR="00EF0846" w:rsidRPr="00B72755">
        <w:rPr>
          <w:highlight w:val="yellow"/>
        </w:rPr>
        <w:t>Carr</w:t>
      </w:r>
      <w:r w:rsidR="00EF0846" w:rsidRPr="00B72755">
        <w:rPr>
          <w:highlight w:val="yellow"/>
        </w:rPr>
        <w:t xml:space="preserve"> et al., 2017</w:t>
      </w:r>
      <w:r w:rsidR="00A44218" w:rsidRPr="00B72755">
        <w:rPr>
          <w:highlight w:val="yellow"/>
        </w:rPr>
        <w:t>).</w:t>
      </w:r>
      <w:r w:rsidR="00A44218">
        <w:t xml:space="preserve"> </w:t>
      </w:r>
      <w:r w:rsidR="002730B5">
        <w:t>The complexity of care is further heightened by a limited evidence base, given ethical and logistical difficulties in conducting large-scale clinical trials in newborns, despite their high need for therapeutically demanding interventions (</w:t>
      </w:r>
      <w:r w:rsidR="003E4D74" w:rsidRPr="007D393F">
        <w:t>Ku</w:t>
      </w:r>
      <w:r w:rsidR="003E4D74">
        <w:t xml:space="preserve"> </w:t>
      </w:r>
      <w:r w:rsidR="003E4D74" w:rsidRPr="007D393F">
        <w:t>&amp; Smith, 2015</w:t>
      </w:r>
      <w:r w:rsidR="002730B5">
        <w:t>; O’Hara et al., 2015).</w:t>
      </w:r>
    </w:p>
    <w:p w14:paraId="027CC28C" w14:textId="6787EB44" w:rsidR="00111D11" w:rsidRDefault="002730B5">
      <w:pPr>
        <w:pStyle w:val="NormalWeb"/>
      </w:pPr>
      <w:r>
        <w:t xml:space="preserve">The neonatal period is characterized by significant physiological transitions, including changes in cardiac output distribution, pulmonary vascular resistance, and metabolic capacity. Hepatic and renal drug elimination pathways are immature at birth, resulting in reduced clearance and unpredictable drug exposure (Bansal, 2024). For instance, the cytochrome P450 system, conjugation enzymes, and glomerular filtration rate </w:t>
      </w:r>
      <w:proofErr w:type="gramStart"/>
      <w:r>
        <w:t>evolve</w:t>
      </w:r>
      <w:proofErr w:type="gramEnd"/>
      <w:r>
        <w:t xml:space="preserve"> rapidly in the first weeks of life, leading to considerable inter-individual variability (</w:t>
      </w:r>
      <w:r w:rsidR="003E4D74" w:rsidRPr="007D393F">
        <w:t>Ku</w:t>
      </w:r>
      <w:r w:rsidR="003E4D74">
        <w:t xml:space="preserve"> </w:t>
      </w:r>
      <w:r w:rsidR="003E4D74" w:rsidRPr="007D393F">
        <w:t>&amp; Smith, 2015</w:t>
      </w:r>
      <w:r>
        <w:t>). Water-soluble drugs distribute in a larger volume due to higher total body water, while plasma protein binding is reduced, increasing the proportion of free and potentially active drug (Ruggiero et al., 2019). These features of neonatal pharmacokinetics and pharmacodynamics necessitate careful dose adjustments, ongoing therapeutic monitoring, and individualized treatment plans (O’Hara et al., 2015).</w:t>
      </w:r>
    </w:p>
    <w:p w14:paraId="07402767" w14:textId="19D38333" w:rsidR="00111D11" w:rsidRDefault="002730B5">
      <w:pPr>
        <w:pStyle w:val="NormalWeb"/>
      </w:pPr>
      <w:r>
        <w:t>Neonates with congenital and acquired cardiac diseases frequently require a combination of inotropes, vasopressors, diuretics, antiarrhythmics, anticoagulants, and prostaglandin analogues to maintain ductal patency or support heart failure and shock states (</w:t>
      </w:r>
      <w:proofErr w:type="spellStart"/>
      <w:r>
        <w:t>Agakidou</w:t>
      </w:r>
      <w:proofErr w:type="spellEnd"/>
      <w:r>
        <w:t xml:space="preserve"> et al., 2024</w:t>
      </w:r>
      <w:r w:rsidR="00FE0055">
        <w:t xml:space="preserve">; </w:t>
      </w:r>
      <w:proofErr w:type="spellStart"/>
      <w:r w:rsidR="00FE0055" w:rsidRPr="00B72755">
        <w:rPr>
          <w:highlight w:val="yellow"/>
        </w:rPr>
        <w:t>Mohmmedahmed</w:t>
      </w:r>
      <w:proofErr w:type="spellEnd"/>
      <w:r w:rsidR="00FE0055" w:rsidRPr="00B72755">
        <w:rPr>
          <w:highlight w:val="yellow"/>
        </w:rPr>
        <w:t xml:space="preserve"> et al., 2022; </w:t>
      </w:r>
      <w:r w:rsidR="00335B8F" w:rsidRPr="00B72755">
        <w:rPr>
          <w:highlight w:val="yellow"/>
        </w:rPr>
        <w:t>Majani</w:t>
      </w:r>
      <w:r w:rsidR="00335B8F" w:rsidRPr="00B72755">
        <w:rPr>
          <w:highlight w:val="yellow"/>
        </w:rPr>
        <w:t xml:space="preserve"> et al., 2024; </w:t>
      </w:r>
      <w:r w:rsidR="00335B8F" w:rsidRPr="00335B8F">
        <w:rPr>
          <w:highlight w:val="yellow"/>
        </w:rPr>
        <w:t>Israels</w:t>
      </w:r>
      <w:r w:rsidR="00335B8F">
        <w:rPr>
          <w:highlight w:val="yellow"/>
        </w:rPr>
        <w:t xml:space="preserve"> </w:t>
      </w:r>
      <w:r w:rsidR="00335B8F" w:rsidRPr="00335B8F">
        <w:rPr>
          <w:highlight w:val="yellow"/>
        </w:rPr>
        <w:t>&amp; Michelson,</w:t>
      </w:r>
      <w:r w:rsidR="00335B8F">
        <w:rPr>
          <w:highlight w:val="yellow"/>
        </w:rPr>
        <w:t xml:space="preserve"> 2006</w:t>
      </w:r>
      <w:r w:rsidRPr="00B72755">
        <w:rPr>
          <w:highlight w:val="yellow"/>
        </w:rPr>
        <w:t xml:space="preserve">). </w:t>
      </w:r>
      <w:r w:rsidR="00335B8F" w:rsidRPr="00B72755">
        <w:rPr>
          <w:highlight w:val="yellow"/>
        </w:rPr>
        <w:t>Aspirin has wide-ranging indications for infants and children with congenital and acquired heart disease</w:t>
      </w:r>
      <w:r w:rsidR="00335B8F">
        <w:rPr>
          <w:highlight w:val="yellow"/>
        </w:rPr>
        <w:t>,</w:t>
      </w:r>
      <w:r w:rsidR="00335B8F" w:rsidRPr="00B72755">
        <w:rPr>
          <w:highlight w:val="yellow"/>
        </w:rPr>
        <w:t xml:space="preserve"> including those with single-ventricle physiology post-systemic to pulmonary artery shunt</w:t>
      </w:r>
      <w:r w:rsidR="00335B8F" w:rsidRPr="00B72755">
        <w:rPr>
          <w:highlight w:val="yellow"/>
        </w:rPr>
        <w:t xml:space="preserve"> (</w:t>
      </w:r>
      <w:r w:rsidR="00335B8F" w:rsidRPr="00335B8F">
        <w:rPr>
          <w:highlight w:val="yellow"/>
        </w:rPr>
        <w:t>Regan</w:t>
      </w:r>
      <w:r w:rsidR="00335B8F">
        <w:rPr>
          <w:highlight w:val="yellow"/>
        </w:rPr>
        <w:t xml:space="preserve"> et al., 2025; </w:t>
      </w:r>
      <w:r w:rsidR="00335B8F" w:rsidRPr="00335B8F">
        <w:rPr>
          <w:highlight w:val="yellow"/>
        </w:rPr>
        <w:t>Kelleher </w:t>
      </w:r>
      <w:r w:rsidR="00335B8F">
        <w:rPr>
          <w:highlight w:val="yellow"/>
        </w:rPr>
        <w:t xml:space="preserve">et al., 2025; </w:t>
      </w:r>
      <w:proofErr w:type="spellStart"/>
      <w:r w:rsidR="00335B8F" w:rsidRPr="00B72755">
        <w:rPr>
          <w:highlight w:val="yellow"/>
        </w:rPr>
        <w:t>Venketasubramanian</w:t>
      </w:r>
      <w:proofErr w:type="spellEnd"/>
      <w:r w:rsidR="00335B8F" w:rsidRPr="00B72755">
        <w:rPr>
          <w:highlight w:val="yellow"/>
        </w:rPr>
        <w:t xml:space="preserve"> et al., 2022</w:t>
      </w:r>
      <w:r w:rsidR="00E57071" w:rsidRPr="00E57071">
        <w:rPr>
          <w:highlight w:val="yellow"/>
        </w:rPr>
        <w:t xml:space="preserve">; </w:t>
      </w:r>
      <w:r w:rsidR="00E57071" w:rsidRPr="00B72755">
        <w:rPr>
          <w:highlight w:val="yellow"/>
        </w:rPr>
        <w:t>de Wildt</w:t>
      </w:r>
      <w:r w:rsidR="00E57071" w:rsidRPr="00B72755">
        <w:rPr>
          <w:highlight w:val="yellow"/>
        </w:rPr>
        <w:t>, 2011</w:t>
      </w:r>
      <w:r w:rsidR="00335B8F" w:rsidRPr="00B72755">
        <w:rPr>
          <w:highlight w:val="yellow"/>
        </w:rPr>
        <w:t>).</w:t>
      </w:r>
      <w:r w:rsidR="00335B8F">
        <w:t xml:space="preserve"> </w:t>
      </w:r>
      <w:r>
        <w:t>Inotropes such as dopamine, dobutamine, epinephrine, and milrinone remain central agents for cardiovascular support, although their selection and titration are complicated by developmental myocardial sensitivity and receptor expression differences (Patwardhan et al., 2008; Driscoll, 1987</w:t>
      </w:r>
      <w:r w:rsidR="002A5D30">
        <w:t xml:space="preserve">; </w:t>
      </w:r>
      <w:r w:rsidR="002A5D30" w:rsidRPr="00B72755">
        <w:rPr>
          <w:highlight w:val="yellow"/>
        </w:rPr>
        <w:t>Dagur</w:t>
      </w:r>
      <w:r w:rsidR="002A5D30" w:rsidRPr="00B72755">
        <w:rPr>
          <w:highlight w:val="yellow"/>
        </w:rPr>
        <w:t xml:space="preserve"> et </w:t>
      </w:r>
      <w:r w:rsidR="002A5D30" w:rsidRPr="00B72755">
        <w:rPr>
          <w:highlight w:val="yellow"/>
        </w:rPr>
        <w:lastRenderedPageBreak/>
        <w:t>al., 2025</w:t>
      </w:r>
      <w:r w:rsidRPr="00B72755">
        <w:rPr>
          <w:highlight w:val="yellow"/>
        </w:rPr>
        <w:t>).</w:t>
      </w:r>
      <w:r>
        <w:t xml:space="preserve"> Pharmacologic strategies in neonatal heart failure also include afterload reduction, renin–angiotensin–aldosterone system modulation, and diuretic therapy to address volume overload, underscoring the multidimensional therapeutic requirements of this population (Ahmed, 2021; Tume et al., 2016; Loss et al., 2021).</w:t>
      </w:r>
    </w:p>
    <w:p w14:paraId="43344E88" w14:textId="1A2FC229" w:rsidR="00111D11" w:rsidRDefault="002730B5">
      <w:pPr>
        <w:pStyle w:val="NormalWeb"/>
      </w:pPr>
      <w:r>
        <w:t xml:space="preserve">Arrhythmias in neonates, including supraventricular tachycardia, atrial flutter, and ventricular tachyarrhythmias, pose additional management challenges, and drug selection must balance effectiveness with the risks of myocardial depression and </w:t>
      </w:r>
      <w:proofErr w:type="spellStart"/>
      <w:r>
        <w:t>proarrhythmia</w:t>
      </w:r>
      <w:proofErr w:type="spellEnd"/>
      <w:r>
        <w:t>. Contemporary recommendations highlight precision use of adenosine, beta-blockers, amiodarone, and newer antiarrhythmic agents when indicated (Batra et al., 2024</w:t>
      </w:r>
      <w:r w:rsidR="002A5D30" w:rsidRPr="00B72755">
        <w:rPr>
          <w:highlight w:val="yellow"/>
        </w:rPr>
        <w:t xml:space="preserve">; </w:t>
      </w:r>
      <w:proofErr w:type="spellStart"/>
      <w:r w:rsidR="002A5D30" w:rsidRPr="00B72755">
        <w:rPr>
          <w:highlight w:val="yellow"/>
        </w:rPr>
        <w:t>Moeinipour</w:t>
      </w:r>
      <w:proofErr w:type="spellEnd"/>
      <w:r w:rsidR="002A5D30" w:rsidRPr="00B72755">
        <w:rPr>
          <w:highlight w:val="yellow"/>
        </w:rPr>
        <w:t xml:space="preserve"> et al., 2025</w:t>
      </w:r>
      <w:r>
        <w:t>). Despite improved understanding of neonatal arrhythmogenesis and therapeutic responses, data on long-term outcomes remain insufficient, making clinical decision-making highly dependent on clinician expertise and institutional experience.</w:t>
      </w:r>
    </w:p>
    <w:p w14:paraId="48B5A1C2" w14:textId="645983C4" w:rsidR="00111D11" w:rsidRDefault="002730B5">
      <w:pPr>
        <w:pStyle w:val="NormalWeb"/>
      </w:pPr>
      <w:r>
        <w:t>Medication safety is a central concern in neonatal cardiac care due to the high probability of medication errors and drug-related complications. Neonates in cardiac intensive care units often receive polypharmacy, increasing the risk of adverse drug events, drug–drug interactions, and dosing inaccuracies(do Nascimento et al., 2020</w:t>
      </w:r>
      <w:r w:rsidR="002A5D30">
        <w:t xml:space="preserve">; </w:t>
      </w:r>
      <w:r w:rsidR="002A5D30" w:rsidRPr="00B72755">
        <w:rPr>
          <w:highlight w:val="yellow"/>
        </w:rPr>
        <w:t>Eriksson</w:t>
      </w:r>
      <w:r w:rsidR="002A5D30" w:rsidRPr="00B72755">
        <w:rPr>
          <w:highlight w:val="yellow"/>
        </w:rPr>
        <w:t xml:space="preserve"> et al., 2024</w:t>
      </w:r>
      <w:r>
        <w:t>). Factors contributing to medication errors include weight-based dosing complexities, rapid physiological transitions requiring frequent dose adjustments, and the off-label use of medications not originally studied in neonatal populations (</w:t>
      </w:r>
      <w:proofErr w:type="spellStart"/>
      <w:r>
        <w:t>Elgnainy</w:t>
      </w:r>
      <w:proofErr w:type="spellEnd"/>
      <w:r>
        <w:t>, 2023</w:t>
      </w:r>
      <w:r w:rsidR="002A5D30" w:rsidRPr="00B72755">
        <w:rPr>
          <w:highlight w:val="yellow"/>
        </w:rPr>
        <w:t xml:space="preserve">; </w:t>
      </w:r>
      <w:r w:rsidR="002A5D30" w:rsidRPr="00B72755">
        <w:rPr>
          <w:highlight w:val="yellow"/>
        </w:rPr>
        <w:t>Jewell</w:t>
      </w:r>
      <w:r w:rsidR="002A5D30" w:rsidRPr="00B72755">
        <w:rPr>
          <w:highlight w:val="yellow"/>
        </w:rPr>
        <w:t xml:space="preserve"> et al., 2025</w:t>
      </w:r>
      <w:r w:rsidR="002A5D30">
        <w:rPr>
          <w:highlight w:val="yellow"/>
        </w:rPr>
        <w:t xml:space="preserve">; </w:t>
      </w:r>
      <w:r w:rsidR="002A5D30" w:rsidRPr="002A5D30">
        <w:rPr>
          <w:highlight w:val="yellow"/>
        </w:rPr>
        <w:t>Pisani</w:t>
      </w:r>
      <w:r w:rsidR="002A5D30">
        <w:rPr>
          <w:highlight w:val="yellow"/>
        </w:rPr>
        <w:t xml:space="preserve"> et al., 2021</w:t>
      </w:r>
      <w:r w:rsidRPr="00B72755">
        <w:rPr>
          <w:highlight w:val="yellow"/>
        </w:rPr>
        <w:t>).</w:t>
      </w:r>
      <w:r>
        <w:t xml:space="preserve"> Ensuring safe practice therefore requires standardized prescribing protocols, pharmacist involvement, advanced monitoring technologies, and interprofessional collaboration.</w:t>
      </w:r>
    </w:p>
    <w:p w14:paraId="7B0B6711" w14:textId="65D42EB6" w:rsidR="00111D11" w:rsidRDefault="00BB03D2">
      <w:pPr>
        <w:pStyle w:val="NormalWeb"/>
      </w:pPr>
      <w:r w:rsidRPr="00B72755">
        <w:rPr>
          <w:highlight w:val="yellow"/>
        </w:rPr>
        <w:t>Effective and safe drug administration in neonates should be based on integrated knowledge on the evolving physiological characteristics of the infant who will receive the drug and the pharmacokinetics (PK) and pharmacodynamics (PD) of a given drug</w:t>
      </w:r>
      <w:r w:rsidRPr="00B72755">
        <w:rPr>
          <w:highlight w:val="yellow"/>
        </w:rPr>
        <w:t xml:space="preserve"> (</w:t>
      </w:r>
      <w:proofErr w:type="spellStart"/>
      <w:r w:rsidRPr="00BB03D2">
        <w:rPr>
          <w:highlight w:val="yellow"/>
        </w:rPr>
        <w:t>Allegaert</w:t>
      </w:r>
      <w:proofErr w:type="spellEnd"/>
      <w:r>
        <w:rPr>
          <w:highlight w:val="yellow"/>
        </w:rPr>
        <w:t xml:space="preserve"> et al., 2014</w:t>
      </w:r>
      <w:r w:rsidR="00191B1C">
        <w:rPr>
          <w:highlight w:val="yellow"/>
        </w:rPr>
        <w:t xml:space="preserve">; </w:t>
      </w:r>
      <w:r w:rsidR="00191B1C" w:rsidRPr="00B72755">
        <w:rPr>
          <w:highlight w:val="yellow"/>
        </w:rPr>
        <w:t>Sumpter</w:t>
      </w:r>
      <w:r w:rsidR="00191B1C">
        <w:rPr>
          <w:highlight w:val="yellow"/>
        </w:rPr>
        <w:t xml:space="preserve"> </w:t>
      </w:r>
      <w:r w:rsidR="00191B1C" w:rsidRPr="00B72755">
        <w:rPr>
          <w:highlight w:val="yellow"/>
        </w:rPr>
        <w:t>&amp; Anderson</w:t>
      </w:r>
      <w:r w:rsidR="00191B1C" w:rsidRPr="00B72755">
        <w:rPr>
          <w:highlight w:val="yellow"/>
        </w:rPr>
        <w:t>, 2009</w:t>
      </w:r>
      <w:r w:rsidRPr="00B72755">
        <w:rPr>
          <w:highlight w:val="yellow"/>
        </w:rPr>
        <w:t>)</w:t>
      </w:r>
      <w:r w:rsidRPr="00B72755">
        <w:rPr>
          <w:highlight w:val="yellow"/>
        </w:rPr>
        <w:t>.</w:t>
      </w:r>
      <w:r>
        <w:t xml:space="preserve"> </w:t>
      </w:r>
      <w:r w:rsidR="002730B5">
        <w:t>Recent advances in neonatal pharmacology emphasize the importance of physiologically based pharmacokinetic (PBPK) modeling, pharmacogenomics, and population-based dose prediction tools, which may allow more accurate drug exposure estimation and safer clinical translation (O’Hara et al., 2015; Anderson, 2023). These innovations reflect a growing shift toward precision therapeutics, supporting individualized dosing based not only on weight and age but also organ maturity and genetic characteristics influencing drug metabolism (Bansal, 2024). Moreover, current discussions in neonatal cardiology increasingly call for robust drug registries, harmonized clinical outcome measures, and adaptive clinical trial designs to enhance evidence-driven practice and reduce reliance on extrapolated pediatric or adult data.</w:t>
      </w:r>
    </w:p>
    <w:p w14:paraId="7F7DDDF9" w14:textId="5CEDCFBE" w:rsidR="00111D11" w:rsidRDefault="002730B5">
      <w:pPr>
        <w:pStyle w:val="NormalWeb"/>
      </w:pPr>
      <w:r>
        <w:t>The evolving landscape of pharmacologic care in newborns with cardiovascular disease demonstrates the urgent need to balance therapeutic benefit with potential harm. As early survival among neonates with complex congenital heart disease continues to improve, attention must expand to include the long-term neurodevelopmental and quality-of-life implications of chronic cardiovascular medication exposure. Some pharmacologic agents, while lifesaving, may contribute to neurocognitive injury, renal impairment, or growth disturbances over time, underscoring the importance of long-term safety evaluation and follow-up research (</w:t>
      </w:r>
      <w:r w:rsidR="003B40BB" w:rsidRPr="00B72755">
        <w:rPr>
          <w:highlight w:val="yellow"/>
        </w:rPr>
        <w:t>Ergenekon</w:t>
      </w:r>
      <w:r w:rsidR="003B40BB" w:rsidRPr="00B72755">
        <w:t xml:space="preserve"> </w:t>
      </w:r>
      <w:r w:rsidR="003B40BB" w:rsidRPr="00B72755">
        <w:rPr>
          <w:highlight w:val="yellow"/>
        </w:rPr>
        <w:t>et al., 2017</w:t>
      </w:r>
      <w:r w:rsidRPr="00B72755">
        <w:rPr>
          <w:highlight w:val="yellow"/>
        </w:rPr>
        <w:t>).</w:t>
      </w:r>
      <w:r>
        <w:t xml:space="preserve"> Ultimately, neonatal cardiac pharmacotherapy requires a comprehensive and </w:t>
      </w:r>
      <w:r>
        <w:lastRenderedPageBreak/>
        <w:t>multidisciplinary approach that incorporates neonatology, pediatric cardiology, clinical pharmacology, nursing, and pharmacy expertise.</w:t>
      </w:r>
    </w:p>
    <w:p w14:paraId="1AB9A1C1" w14:textId="77777777" w:rsidR="00111D11" w:rsidRDefault="002730B5">
      <w:pPr>
        <w:pStyle w:val="NormalWeb"/>
      </w:pPr>
      <w:r>
        <w:t>In summary, medication management in neonatal cardiac care is a highly specialized domain requiring an in-depth understanding of developmental pharmacology, individualized dosing, careful safety risk assessment, and evaluation of both short- and long-term efficacy. Efforts to improve therapeutic outcomes must involve expanding neonatal clinical pharmacology research, advancing precision dosing strategies, and implementing robust medication safety systems. Continued collaboration across scientific, clinical, and regulatory fields will be essential to ensure that neonates with critical cardiac conditions receive optimal and evidence-based pharmacological care.</w:t>
      </w:r>
    </w:p>
    <w:p w14:paraId="5E7F2C2C" w14:textId="77777777" w:rsidR="00111D11" w:rsidRDefault="00111D11"/>
    <w:p w14:paraId="4FCE83A0" w14:textId="77777777" w:rsidR="00111D11" w:rsidRDefault="002730B5">
      <w:pPr>
        <w:pStyle w:val="Heading3"/>
        <w:rPr>
          <w:rFonts w:eastAsia="Times New Roman"/>
          <w:kern w:val="0"/>
          <w:sz w:val="27"/>
          <w:szCs w:val="27"/>
          <w14:ligatures w14:val="none"/>
        </w:rPr>
      </w:pPr>
      <w:r>
        <w:rPr>
          <w:rStyle w:val="Strong"/>
          <w:rFonts w:eastAsia="Times New Roman"/>
          <w:b w:val="0"/>
          <w:bCs w:val="0"/>
        </w:rPr>
        <w:t>Methods</w:t>
      </w:r>
    </w:p>
    <w:p w14:paraId="409C83B1" w14:textId="77777777" w:rsidR="00111D11" w:rsidRDefault="002730B5">
      <w:pPr>
        <w:pStyle w:val="NormalWeb"/>
      </w:pPr>
      <w:r>
        <w:t>This narrative review was conducted to synthesize current evidence on pharmacological considerations in neonatal cardiac care, with a specific focus on drug dosing, safety, and efficacy. The methodology followed a structured approach to ensure comprehensive coverage of relevant literature and transparent selection of included sources. Although narrative in design, the review incorporated elements of systematic search strategies to enhance rigor and reproducibility.</w:t>
      </w:r>
    </w:p>
    <w:p w14:paraId="4F74ECB9" w14:textId="77777777" w:rsidR="00111D11" w:rsidRDefault="002730B5">
      <w:pPr>
        <w:pStyle w:val="NormalWeb"/>
      </w:pPr>
      <w:r w:rsidRPr="008C1925">
        <w:t xml:space="preserve">A literature search was performed across major electronic databases, including </w:t>
      </w:r>
      <w:r w:rsidRPr="00B72755">
        <w:rPr>
          <w:rStyle w:val="Strong"/>
          <w:b w:val="0"/>
          <w:bCs w:val="0"/>
        </w:rPr>
        <w:t>PubMed</w:t>
      </w:r>
      <w:r w:rsidRPr="008C1925">
        <w:t xml:space="preserve">, </w:t>
      </w:r>
      <w:r w:rsidRPr="00B72755">
        <w:rPr>
          <w:rStyle w:val="Strong"/>
          <w:b w:val="0"/>
          <w:bCs w:val="0"/>
        </w:rPr>
        <w:t>Scopus</w:t>
      </w:r>
      <w:r w:rsidRPr="008C1925">
        <w:t xml:space="preserve">, </w:t>
      </w:r>
      <w:r w:rsidRPr="00B72755">
        <w:rPr>
          <w:rStyle w:val="Strong"/>
          <w:b w:val="0"/>
          <w:bCs w:val="0"/>
        </w:rPr>
        <w:t>Web of Science</w:t>
      </w:r>
      <w:r w:rsidRPr="008C1925">
        <w:t xml:space="preserve">, and </w:t>
      </w:r>
      <w:r w:rsidRPr="00B72755">
        <w:rPr>
          <w:rStyle w:val="Strong"/>
          <w:b w:val="0"/>
          <w:bCs w:val="0"/>
        </w:rPr>
        <w:t>Google Scholar</w:t>
      </w:r>
      <w:r w:rsidRPr="008C1925">
        <w:t xml:space="preserve">. The search covered publications from </w:t>
      </w:r>
      <w:r w:rsidRPr="00B72755">
        <w:rPr>
          <w:rStyle w:val="Strong"/>
          <w:b w:val="0"/>
          <w:bCs w:val="0"/>
        </w:rPr>
        <w:t>1987 to 2025</w:t>
      </w:r>
      <w:r w:rsidRPr="008C1925">
        <w:t>,</w:t>
      </w:r>
      <w:r>
        <w:t xml:space="preserve"> allowing for historical context and inclusion of contemporary advances in neonatal pharmacology. Search terms were combined using Boolean operators and included: </w:t>
      </w:r>
      <w:r>
        <w:rPr>
          <w:rStyle w:val="Emphasis"/>
        </w:rPr>
        <w:t>neonate</w:t>
      </w:r>
      <w:r>
        <w:t xml:space="preserve">, </w:t>
      </w:r>
      <w:r>
        <w:rPr>
          <w:rStyle w:val="Emphasis"/>
        </w:rPr>
        <w:t>neonatal cardiology</w:t>
      </w:r>
      <w:r>
        <w:t xml:space="preserve">, </w:t>
      </w:r>
      <w:r>
        <w:rPr>
          <w:rStyle w:val="Emphasis"/>
        </w:rPr>
        <w:t>drug dosing</w:t>
      </w:r>
      <w:r>
        <w:t xml:space="preserve">, </w:t>
      </w:r>
      <w:r>
        <w:rPr>
          <w:rStyle w:val="Emphasis"/>
        </w:rPr>
        <w:t>pharmacokinetics</w:t>
      </w:r>
      <w:r>
        <w:t xml:space="preserve">, </w:t>
      </w:r>
      <w:r>
        <w:rPr>
          <w:rStyle w:val="Emphasis"/>
        </w:rPr>
        <w:t>pharmacodynamics</w:t>
      </w:r>
      <w:r>
        <w:t xml:space="preserve">, </w:t>
      </w:r>
      <w:r>
        <w:rPr>
          <w:rStyle w:val="Emphasis"/>
        </w:rPr>
        <w:t>cardiac drugs</w:t>
      </w:r>
      <w:r>
        <w:t xml:space="preserve">, </w:t>
      </w:r>
      <w:r>
        <w:rPr>
          <w:rStyle w:val="Emphasis"/>
        </w:rPr>
        <w:t>inotropes</w:t>
      </w:r>
      <w:r>
        <w:t xml:space="preserve">, </w:t>
      </w:r>
      <w:r>
        <w:rPr>
          <w:rStyle w:val="Emphasis"/>
        </w:rPr>
        <w:t>antiarrhythmics</w:t>
      </w:r>
      <w:r>
        <w:t xml:space="preserve">, </w:t>
      </w:r>
      <w:r>
        <w:rPr>
          <w:rStyle w:val="Emphasis"/>
        </w:rPr>
        <w:t>drug safety</w:t>
      </w:r>
      <w:r>
        <w:t xml:space="preserve">, and </w:t>
      </w:r>
      <w:r>
        <w:rPr>
          <w:rStyle w:val="Emphasis"/>
        </w:rPr>
        <w:t>drug efficacy</w:t>
      </w:r>
      <w:r>
        <w:t>. Reference lists of included studies were additionally screened to capture relevant publications that did not appear in the database search.</w:t>
      </w:r>
    </w:p>
    <w:p w14:paraId="53AA63BA" w14:textId="77777777" w:rsidR="00111D11" w:rsidRDefault="002730B5">
      <w:pPr>
        <w:pStyle w:val="NormalWeb"/>
      </w:pPr>
      <w:r>
        <w:t>Studies were eligible for inclusion if they met the following criteria:</w:t>
      </w:r>
    </w:p>
    <w:p w14:paraId="4AC0AD56" w14:textId="77777777" w:rsidR="00111D11" w:rsidRDefault="002730B5">
      <w:pPr>
        <w:pStyle w:val="NormalWeb"/>
        <w:numPr>
          <w:ilvl w:val="0"/>
          <w:numId w:val="1"/>
        </w:numPr>
      </w:pPr>
      <w:r>
        <w:t xml:space="preserve">Focused on </w:t>
      </w:r>
      <w:r w:rsidRPr="00B72755">
        <w:rPr>
          <w:rStyle w:val="Strong"/>
          <w:b w:val="0"/>
          <w:bCs w:val="0"/>
        </w:rPr>
        <w:t>neonatal or very early infant cardiac pharmacology</w:t>
      </w:r>
      <w:r>
        <w:t>,</w:t>
      </w:r>
    </w:p>
    <w:p w14:paraId="5CC6A31E" w14:textId="77777777" w:rsidR="00111D11" w:rsidRPr="00B72755" w:rsidRDefault="002730B5">
      <w:pPr>
        <w:pStyle w:val="NormalWeb"/>
        <w:numPr>
          <w:ilvl w:val="0"/>
          <w:numId w:val="1"/>
        </w:numPr>
        <w:rPr>
          <w:b/>
        </w:rPr>
      </w:pPr>
      <w:r>
        <w:t xml:space="preserve">Discussed </w:t>
      </w:r>
      <w:r w:rsidRPr="00B72755">
        <w:rPr>
          <w:rStyle w:val="Strong"/>
          <w:b w:val="0"/>
          <w:bCs w:val="0"/>
        </w:rPr>
        <w:t>dosing strategies, drug safety profiles, or therapeutic efficacy</w:t>
      </w:r>
      <w:r w:rsidRPr="00B72755">
        <w:rPr>
          <w:b/>
        </w:rPr>
        <w:t>,</w:t>
      </w:r>
    </w:p>
    <w:p w14:paraId="4B6C9ECC" w14:textId="77777777" w:rsidR="00111D11" w:rsidRDefault="002730B5">
      <w:pPr>
        <w:pStyle w:val="NormalWeb"/>
        <w:numPr>
          <w:ilvl w:val="0"/>
          <w:numId w:val="1"/>
        </w:numPr>
      </w:pPr>
      <w:r>
        <w:t xml:space="preserve">Were published in </w:t>
      </w:r>
      <w:r w:rsidRPr="00B72755">
        <w:rPr>
          <w:rStyle w:val="Strong"/>
          <w:b w:val="0"/>
          <w:bCs w:val="0"/>
        </w:rPr>
        <w:t>peer-reviewed journals</w:t>
      </w:r>
      <w:r>
        <w:t>, and</w:t>
      </w:r>
    </w:p>
    <w:p w14:paraId="2114DD57" w14:textId="77777777" w:rsidR="00111D11" w:rsidRDefault="002730B5">
      <w:pPr>
        <w:pStyle w:val="NormalWeb"/>
        <w:numPr>
          <w:ilvl w:val="0"/>
          <w:numId w:val="1"/>
        </w:numPr>
      </w:pPr>
      <w:r>
        <w:t xml:space="preserve">Written in </w:t>
      </w:r>
      <w:r w:rsidRPr="00B72755">
        <w:rPr>
          <w:rStyle w:val="Strong"/>
          <w:b w:val="0"/>
          <w:bCs w:val="0"/>
        </w:rPr>
        <w:t>English</w:t>
      </w:r>
      <w:r w:rsidRPr="00B72755">
        <w:rPr>
          <w:b/>
        </w:rPr>
        <w:t>.</w:t>
      </w:r>
    </w:p>
    <w:p w14:paraId="387C154B" w14:textId="77777777" w:rsidR="00111D11" w:rsidRDefault="002730B5">
      <w:pPr>
        <w:pStyle w:val="NormalWeb"/>
      </w:pPr>
      <w:r>
        <w:t>Studies were excluded if they:</w:t>
      </w:r>
    </w:p>
    <w:p w14:paraId="0B49AB0D" w14:textId="77777777" w:rsidR="00111D11" w:rsidRDefault="002730B5">
      <w:pPr>
        <w:pStyle w:val="NormalWeb"/>
        <w:numPr>
          <w:ilvl w:val="0"/>
          <w:numId w:val="2"/>
        </w:numPr>
      </w:pPr>
      <w:r>
        <w:t>Focused primarily on adult or older pediatric cardiac pharmacology without neonatal relevance,</w:t>
      </w:r>
    </w:p>
    <w:p w14:paraId="2433CC2B" w14:textId="77777777" w:rsidR="00111D11" w:rsidRDefault="002730B5">
      <w:pPr>
        <w:pStyle w:val="NormalWeb"/>
        <w:numPr>
          <w:ilvl w:val="0"/>
          <w:numId w:val="2"/>
        </w:numPr>
      </w:pPr>
      <w:r>
        <w:t>Were editorials, commentaries, or lacked sufficient clinical or pharmacologic data, or</w:t>
      </w:r>
    </w:p>
    <w:p w14:paraId="722C5B2B" w14:textId="77777777" w:rsidR="00111D11" w:rsidRDefault="002730B5">
      <w:pPr>
        <w:pStyle w:val="NormalWeb"/>
        <w:numPr>
          <w:ilvl w:val="0"/>
          <w:numId w:val="2"/>
        </w:numPr>
      </w:pPr>
      <w:r>
        <w:t>Did not provide clear discussion regarding pharmacokinetics, dosing, or therapeutic outcomes.</w:t>
      </w:r>
    </w:p>
    <w:p w14:paraId="2AB280C0" w14:textId="77777777" w:rsidR="00111D11" w:rsidRDefault="002730B5">
      <w:pPr>
        <w:pStyle w:val="NormalWeb"/>
      </w:pPr>
      <w:bookmarkStart w:id="0" w:name="_Hlk215148847"/>
      <w:r>
        <w:lastRenderedPageBreak/>
        <w:t>Data were extracted manually and synthesized thematically</w:t>
      </w:r>
      <w:bookmarkEnd w:id="0"/>
      <w:r>
        <w:t xml:space="preserve">, emphasizing pharmacokinetic determinants, therapeutic decision-making, clinical monitoring requirements, and documented challenges in medication safety. Core characteristics of the included references are summarized in </w:t>
      </w:r>
      <w:r>
        <w:rPr>
          <w:rStyle w:val="Strong"/>
        </w:rPr>
        <w:t>Table 1</w:t>
      </w:r>
      <w:r>
        <w:t>, which outlines study focus, drug classes discussed, and notable contributions to neonatal cardiac pharmacotherapy.</w:t>
      </w:r>
    </w:p>
    <w:p w14:paraId="1D02109B" w14:textId="77777777" w:rsidR="00111D11" w:rsidRDefault="00111D11">
      <w:pPr>
        <w:rPr>
          <w:rFonts w:eastAsia="Times New Roman"/>
        </w:rPr>
      </w:pPr>
    </w:p>
    <w:p w14:paraId="7343CF64" w14:textId="77777777" w:rsidR="00111D11" w:rsidRDefault="002730B5">
      <w:pPr>
        <w:pStyle w:val="Heading3"/>
        <w:rPr>
          <w:rFonts w:eastAsia="Times New Roman"/>
        </w:rPr>
      </w:pPr>
      <w:r>
        <w:rPr>
          <w:rStyle w:val="Strong"/>
          <w:rFonts w:eastAsia="Times New Roman"/>
          <w:b w:val="0"/>
          <w:bCs w:val="0"/>
        </w:rPr>
        <w:t>Table 1. Summary of Key Literature Sources Included in the Review</w:t>
      </w:r>
    </w:p>
    <w:tbl>
      <w:tblPr>
        <w:tblStyle w:val="TableGrid"/>
        <w:tblW w:w="0" w:type="auto"/>
        <w:tblCellSpacing w:w="15" w:type="dxa"/>
        <w:tblLook w:val="04A0" w:firstRow="1" w:lastRow="0" w:firstColumn="1" w:lastColumn="0" w:noHBand="0" w:noVBand="1"/>
      </w:tblPr>
      <w:tblGrid>
        <w:gridCol w:w="1769"/>
        <w:gridCol w:w="2552"/>
        <w:gridCol w:w="2197"/>
        <w:gridCol w:w="2832"/>
      </w:tblGrid>
      <w:tr w:rsidR="00111D11" w14:paraId="533BFF4D"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781B4E" w14:textId="77777777" w:rsidR="00111D11" w:rsidRDefault="002730B5">
            <w:pPr>
              <w:jc w:val="center"/>
              <w:rPr>
                <w:rFonts w:eastAsia="Times New Roman"/>
                <w:b/>
                <w:bCs/>
              </w:rPr>
            </w:pPr>
            <w:r>
              <w:rPr>
                <w:rFonts w:eastAsia="Times New Roman"/>
                <w:b/>
                <w:bCs/>
              </w:rPr>
              <w:t>Author(s) &amp; 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BC2913" w14:textId="77777777" w:rsidR="00111D11" w:rsidRDefault="002730B5">
            <w:pPr>
              <w:jc w:val="center"/>
              <w:rPr>
                <w:rFonts w:eastAsia="Times New Roman"/>
                <w:b/>
                <w:bCs/>
              </w:rPr>
            </w:pPr>
            <w:r>
              <w:rPr>
                <w:rFonts w:eastAsia="Times New Roman"/>
                <w:b/>
                <w:bCs/>
              </w:rPr>
              <w:t>Primary Focus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0780B" w14:textId="77777777" w:rsidR="00111D11" w:rsidRDefault="002730B5">
            <w:pPr>
              <w:jc w:val="center"/>
              <w:rPr>
                <w:rFonts w:eastAsia="Times New Roman"/>
                <w:b/>
                <w:bCs/>
              </w:rPr>
            </w:pPr>
            <w:r>
              <w:rPr>
                <w:rFonts w:eastAsia="Times New Roman"/>
                <w:b/>
                <w:bCs/>
              </w:rPr>
              <w:t>Notable Drug Classes/Topics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8A3C66" w14:textId="77777777" w:rsidR="00111D11" w:rsidRDefault="002730B5">
            <w:pPr>
              <w:jc w:val="center"/>
              <w:rPr>
                <w:rFonts w:eastAsia="Times New Roman"/>
                <w:b/>
                <w:bCs/>
              </w:rPr>
            </w:pPr>
            <w:r>
              <w:rPr>
                <w:rFonts w:eastAsia="Times New Roman"/>
                <w:b/>
                <w:bCs/>
              </w:rPr>
              <w:t>Key Contribution to Neonatal Cardiac Pharmacology</w:t>
            </w:r>
          </w:p>
        </w:tc>
      </w:tr>
      <w:tr w:rsidR="00111D11" w14:paraId="70AE162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BE1CB1" w14:textId="2A478A49" w:rsidR="00111D11" w:rsidRDefault="003E4D74">
            <w:pPr>
              <w:rPr>
                <w:rFonts w:eastAsia="Times New Roman"/>
              </w:rPr>
            </w:pPr>
            <w:r w:rsidRPr="007D393F">
              <w:t>Ku</w:t>
            </w:r>
            <w:r>
              <w:t xml:space="preserve"> </w:t>
            </w:r>
            <w:r w:rsidRPr="007D393F">
              <w:t>&amp; Smith,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5F8578" w14:textId="77777777" w:rsidR="00111D11" w:rsidRDefault="002730B5">
            <w:pPr>
              <w:rPr>
                <w:rFonts w:eastAsia="Times New Roman"/>
              </w:rPr>
            </w:pPr>
            <w:r>
              <w:rPr>
                <w:rFonts w:eastAsia="Times New Roman"/>
              </w:rPr>
              <w:t>Neonatal dosing physiology and pharmacology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903E43" w14:textId="77777777" w:rsidR="00111D11" w:rsidRDefault="002730B5">
            <w:pPr>
              <w:rPr>
                <w:rFonts w:eastAsia="Times New Roman"/>
              </w:rPr>
            </w:pPr>
            <w:r>
              <w:rPr>
                <w:rFonts w:eastAsia="Times New Roman"/>
              </w:rPr>
              <w:t>General cardiovascular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B158F2" w14:textId="77777777" w:rsidR="00111D11" w:rsidRDefault="002730B5">
            <w:pPr>
              <w:rPr>
                <w:rFonts w:eastAsia="Times New Roman"/>
              </w:rPr>
            </w:pPr>
            <w:r>
              <w:rPr>
                <w:rFonts w:eastAsia="Times New Roman"/>
              </w:rPr>
              <w:t>Describes unique physiological determinants of dosing in neonates</w:t>
            </w:r>
          </w:p>
        </w:tc>
      </w:tr>
      <w:tr w:rsidR="00111D11" w14:paraId="3DFF332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93BE23" w14:textId="77777777" w:rsidR="00111D11" w:rsidRDefault="002730B5">
            <w:pPr>
              <w:rPr>
                <w:rFonts w:eastAsia="Times New Roman"/>
              </w:rPr>
            </w:pPr>
            <w:r>
              <w:rPr>
                <w:rFonts w:eastAsia="Times New Roman"/>
              </w:rPr>
              <w:t>O'Hara et al.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F22FEF" w14:textId="77777777" w:rsidR="00111D11" w:rsidRDefault="002730B5">
            <w:pPr>
              <w:rPr>
                <w:rFonts w:eastAsia="Times New Roman"/>
              </w:rPr>
            </w:pPr>
            <w:r>
              <w:rPr>
                <w:rFonts w:eastAsia="Times New Roman"/>
              </w:rPr>
              <w:t>PK-based dose prediction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25E142" w14:textId="77777777" w:rsidR="00111D11" w:rsidRDefault="002730B5">
            <w:pPr>
              <w:rPr>
                <w:rFonts w:eastAsia="Times New Roman"/>
              </w:rPr>
            </w:pPr>
            <w:r>
              <w:rPr>
                <w:rFonts w:eastAsia="Times New Roman"/>
              </w:rPr>
              <w:t>PK/PD modeling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F5726" w14:textId="77777777" w:rsidR="00111D11" w:rsidRDefault="002730B5">
            <w:pPr>
              <w:rPr>
                <w:rFonts w:eastAsia="Times New Roman"/>
              </w:rPr>
            </w:pPr>
            <w:r>
              <w:rPr>
                <w:rFonts w:eastAsia="Times New Roman"/>
              </w:rPr>
              <w:t>Highlights evidence gaps in neonatal dose prediction</w:t>
            </w:r>
          </w:p>
        </w:tc>
      </w:tr>
      <w:tr w:rsidR="00111D11" w14:paraId="0A42056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5A6405" w14:textId="77777777" w:rsidR="00111D11" w:rsidRDefault="002730B5">
            <w:pPr>
              <w:rPr>
                <w:rFonts w:eastAsia="Times New Roman"/>
              </w:rPr>
            </w:pPr>
            <w:r>
              <w:rPr>
                <w:rFonts w:eastAsia="Times New Roman"/>
              </w:rPr>
              <w:t>Bansal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BC92A" w14:textId="77777777" w:rsidR="00111D11" w:rsidRDefault="002730B5">
            <w:pPr>
              <w:rPr>
                <w:rFonts w:eastAsia="Times New Roman"/>
              </w:rPr>
            </w:pPr>
            <w:r>
              <w:rPr>
                <w:rFonts w:eastAsia="Times New Roman"/>
              </w:rPr>
              <w:t>Pharmacokinetics in newborns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136B1" w14:textId="77777777" w:rsidR="00111D11" w:rsidRDefault="002730B5">
            <w:pPr>
              <w:rPr>
                <w:rFonts w:eastAsia="Times New Roman"/>
              </w:rPr>
            </w:pPr>
            <w:r>
              <w:rPr>
                <w:rFonts w:eastAsia="Times New Roman"/>
              </w:rPr>
              <w:t>Multi-class cardiac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3BD407" w14:textId="77777777" w:rsidR="00111D11" w:rsidRDefault="002730B5">
            <w:pPr>
              <w:rPr>
                <w:rFonts w:eastAsia="Times New Roman"/>
              </w:rPr>
            </w:pPr>
            <w:r>
              <w:rPr>
                <w:rFonts w:eastAsia="Times New Roman"/>
              </w:rPr>
              <w:t>Updates drug distribution and clearance considerations</w:t>
            </w:r>
          </w:p>
        </w:tc>
      </w:tr>
      <w:tr w:rsidR="00111D11" w14:paraId="0D5242F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D73497" w14:textId="77777777" w:rsidR="00111D11" w:rsidRDefault="002730B5">
            <w:pPr>
              <w:rPr>
                <w:rFonts w:eastAsia="Times New Roman"/>
              </w:rPr>
            </w:pPr>
            <w:r>
              <w:rPr>
                <w:rFonts w:eastAsia="Times New Roman"/>
              </w:rPr>
              <w:t>Ruggiero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94059" w14:textId="77777777" w:rsidR="00111D11" w:rsidRDefault="002730B5">
            <w:pPr>
              <w:rPr>
                <w:rFonts w:eastAsia="Times New Roman"/>
              </w:rPr>
            </w:pPr>
            <w:r>
              <w:rPr>
                <w:rFonts w:eastAsia="Times New Roman"/>
              </w:rPr>
              <w:t>Clinical neonatal pharmacology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678B6" w14:textId="77777777" w:rsidR="00111D11" w:rsidRDefault="002730B5">
            <w:pPr>
              <w:rPr>
                <w:rFonts w:eastAsia="Times New Roman"/>
              </w:rPr>
            </w:pPr>
            <w:r>
              <w:rPr>
                <w:rFonts w:eastAsia="Times New Roman"/>
              </w:rPr>
              <w:t>Cardiovascular drug 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81CAEB" w14:textId="77777777" w:rsidR="00111D11" w:rsidRDefault="002730B5">
            <w:pPr>
              <w:rPr>
                <w:rFonts w:eastAsia="Times New Roman"/>
              </w:rPr>
            </w:pPr>
            <w:r>
              <w:rPr>
                <w:rFonts w:eastAsia="Times New Roman"/>
              </w:rPr>
              <w:t>Reviews pharmacologic principles relevant for cardiac care safety</w:t>
            </w:r>
          </w:p>
        </w:tc>
      </w:tr>
      <w:tr w:rsidR="00111D11" w14:paraId="22BFF64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DF8394" w14:textId="77777777" w:rsidR="00111D11" w:rsidRDefault="002730B5">
            <w:pPr>
              <w:rPr>
                <w:rFonts w:eastAsia="Times New Roman"/>
              </w:rPr>
            </w:pPr>
            <w:proofErr w:type="spellStart"/>
            <w:r>
              <w:rPr>
                <w:rFonts w:eastAsia="Times New Roman"/>
              </w:rPr>
              <w:t>Agakidou</w:t>
            </w:r>
            <w:proofErr w:type="spellEnd"/>
            <w:r>
              <w:rPr>
                <w:rFonts w:eastAsia="Times New Roman"/>
              </w:rPr>
              <w:t xml:space="preserve">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77EAF" w14:textId="77777777" w:rsidR="00111D11" w:rsidRDefault="002730B5">
            <w:pPr>
              <w:rPr>
                <w:rFonts w:eastAsia="Times New Roman"/>
              </w:rPr>
            </w:pPr>
            <w:r>
              <w:rPr>
                <w:rFonts w:eastAsia="Times New Roman"/>
              </w:rPr>
              <w:t>Neonatal hypotension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53E913" w14:textId="77777777" w:rsidR="00111D11" w:rsidRDefault="002730B5">
            <w:pPr>
              <w:rPr>
                <w:rFonts w:eastAsia="Times New Roman"/>
              </w:rPr>
            </w:pPr>
            <w:r>
              <w:rPr>
                <w:rFonts w:eastAsia="Times New Roman"/>
              </w:rPr>
              <w:t>Inotropes, vasopressors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214E27" w14:textId="77777777" w:rsidR="00111D11" w:rsidRDefault="002730B5">
            <w:pPr>
              <w:rPr>
                <w:rFonts w:eastAsia="Times New Roman"/>
              </w:rPr>
            </w:pPr>
            <w:r>
              <w:rPr>
                <w:rFonts w:eastAsia="Times New Roman"/>
              </w:rPr>
              <w:t>Reviews pharmacologic cardiovascular support</w:t>
            </w:r>
          </w:p>
        </w:tc>
      </w:tr>
      <w:tr w:rsidR="00111D11" w14:paraId="7BB4E60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56C50D" w14:textId="77777777" w:rsidR="00111D11" w:rsidRDefault="002730B5">
            <w:pPr>
              <w:rPr>
                <w:rFonts w:eastAsia="Times New Roman"/>
              </w:rPr>
            </w:pPr>
            <w:r>
              <w:rPr>
                <w:rFonts w:eastAsia="Times New Roman"/>
              </w:rPr>
              <w:t>do Nascimento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2485B" w14:textId="77777777" w:rsidR="00111D11" w:rsidRDefault="002730B5">
            <w:pPr>
              <w:rPr>
                <w:rFonts w:eastAsia="Times New Roman"/>
              </w:rPr>
            </w:pPr>
            <w:r>
              <w:rPr>
                <w:rFonts w:eastAsia="Times New Roman"/>
              </w:rPr>
              <w:t>Drug safety in cardiac ICU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2EB396" w14:textId="77777777" w:rsidR="00111D11" w:rsidRDefault="002730B5">
            <w:pPr>
              <w:rPr>
                <w:rFonts w:eastAsia="Times New Roman"/>
              </w:rPr>
            </w:pPr>
            <w:r>
              <w:rPr>
                <w:rFonts w:eastAsia="Times New Roman"/>
              </w:rPr>
              <w:t>Multiple cardiovascular agents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AC43E1" w14:textId="77777777" w:rsidR="00111D11" w:rsidRDefault="002730B5">
            <w:pPr>
              <w:rPr>
                <w:rFonts w:eastAsia="Times New Roman"/>
              </w:rPr>
            </w:pPr>
            <w:r>
              <w:rPr>
                <w:rFonts w:eastAsia="Times New Roman"/>
              </w:rPr>
              <w:t>Reports drug-related problems and safety risks</w:t>
            </w:r>
          </w:p>
        </w:tc>
      </w:tr>
      <w:tr w:rsidR="00111D11" w14:paraId="49A7133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E98BD5" w14:textId="77777777" w:rsidR="00111D11" w:rsidRDefault="002730B5">
            <w:pPr>
              <w:rPr>
                <w:rFonts w:eastAsia="Times New Roman"/>
              </w:rPr>
            </w:pPr>
            <w:r>
              <w:rPr>
                <w:rFonts w:eastAsia="Times New Roman"/>
              </w:rPr>
              <w:t>Patwardhan et al. (2008)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A65CCB" w14:textId="77777777" w:rsidR="00111D11" w:rsidRDefault="002730B5">
            <w:pPr>
              <w:rPr>
                <w:rFonts w:eastAsia="Times New Roman"/>
              </w:rPr>
            </w:pPr>
            <w:r>
              <w:rPr>
                <w:rFonts w:eastAsia="Times New Roman"/>
              </w:rPr>
              <w:t>Inotropes and dosing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42BF99" w14:textId="77777777" w:rsidR="00111D11" w:rsidRDefault="002730B5">
            <w:pPr>
              <w:rPr>
                <w:rFonts w:eastAsia="Times New Roman"/>
              </w:rPr>
            </w:pPr>
            <w:r>
              <w:rPr>
                <w:rFonts w:eastAsia="Times New Roman"/>
              </w:rPr>
              <w:t>Dopamine, dobutamine, milrinone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D20FB" w14:textId="77777777" w:rsidR="00111D11" w:rsidRDefault="002730B5">
            <w:pPr>
              <w:rPr>
                <w:rFonts w:eastAsia="Times New Roman"/>
              </w:rPr>
            </w:pPr>
            <w:r>
              <w:rPr>
                <w:rFonts w:eastAsia="Times New Roman"/>
              </w:rPr>
              <w:t>Provides therapeutic dosing guidance</w:t>
            </w:r>
          </w:p>
        </w:tc>
      </w:tr>
      <w:tr w:rsidR="00111D11" w14:paraId="01A9595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9987973" w14:textId="77777777" w:rsidR="00111D11" w:rsidRDefault="002730B5">
            <w:pPr>
              <w:rPr>
                <w:rFonts w:eastAsia="Times New Roman"/>
              </w:rPr>
            </w:pPr>
            <w:r>
              <w:rPr>
                <w:rFonts w:eastAsia="Times New Roman"/>
              </w:rPr>
              <w:lastRenderedPageBreak/>
              <w:t>Batra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77F629" w14:textId="77777777" w:rsidR="00111D11" w:rsidRDefault="002730B5">
            <w:pPr>
              <w:rPr>
                <w:rFonts w:eastAsia="Times New Roman"/>
              </w:rPr>
            </w:pPr>
            <w:r>
              <w:rPr>
                <w:rFonts w:eastAsia="Times New Roman"/>
              </w:rPr>
              <w:t>Arrhythmia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2B6460" w14:textId="77777777" w:rsidR="00111D11" w:rsidRDefault="002730B5">
            <w:pPr>
              <w:rPr>
                <w:rFonts w:eastAsia="Times New Roman"/>
              </w:rPr>
            </w:pPr>
            <w:r>
              <w:rPr>
                <w:rFonts w:eastAsia="Times New Roman"/>
              </w:rPr>
              <w:t>Antiarrhythmics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B69CC8" w14:textId="77777777" w:rsidR="00111D11" w:rsidRDefault="002730B5">
            <w:pPr>
              <w:rPr>
                <w:rFonts w:eastAsia="Times New Roman"/>
              </w:rPr>
            </w:pPr>
            <w:r>
              <w:rPr>
                <w:rFonts w:eastAsia="Times New Roman"/>
              </w:rPr>
              <w:t>Scientific statement on neonatal arrhythmia pharmacotherapy</w:t>
            </w:r>
          </w:p>
        </w:tc>
      </w:tr>
      <w:tr w:rsidR="00111D11" w14:paraId="3B73DC2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D4DFF4" w14:textId="77777777" w:rsidR="00111D11" w:rsidRDefault="002730B5">
            <w:pPr>
              <w:rPr>
                <w:rFonts w:eastAsia="Times New Roman"/>
              </w:rPr>
            </w:pPr>
            <w:r>
              <w:rPr>
                <w:rFonts w:eastAsia="Times New Roman"/>
              </w:rPr>
              <w:t>Ahmed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A077D1" w14:textId="77777777" w:rsidR="00111D11" w:rsidRDefault="002730B5">
            <w:pPr>
              <w:rPr>
                <w:rFonts w:eastAsia="Times New Roman"/>
              </w:rPr>
            </w:pPr>
            <w:r>
              <w:rPr>
                <w:rFonts w:eastAsia="Times New Roman"/>
              </w:rPr>
              <w:t>Neonatal heart failure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2192FA" w14:textId="77777777" w:rsidR="00111D11" w:rsidRDefault="002730B5">
            <w:pPr>
              <w:rPr>
                <w:rFonts w:eastAsia="Times New Roman"/>
              </w:rPr>
            </w:pPr>
            <w:r>
              <w:rPr>
                <w:rFonts w:eastAsia="Times New Roman"/>
              </w:rPr>
              <w:t>Inotropes, diuretics, RAAS agents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032A6" w14:textId="77777777" w:rsidR="00111D11" w:rsidRDefault="002730B5">
            <w:pPr>
              <w:rPr>
                <w:rFonts w:eastAsia="Times New Roman"/>
              </w:rPr>
            </w:pPr>
            <w:r>
              <w:rPr>
                <w:rFonts w:eastAsia="Times New Roman"/>
              </w:rPr>
              <w:t>Discusses medical management and outcomes</w:t>
            </w:r>
          </w:p>
        </w:tc>
      </w:tr>
      <w:tr w:rsidR="00111D11" w14:paraId="369C403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D09EF3" w14:textId="77777777" w:rsidR="00111D11" w:rsidRDefault="002730B5">
            <w:pPr>
              <w:rPr>
                <w:rFonts w:eastAsia="Times New Roman"/>
              </w:rPr>
            </w:pPr>
            <w:r>
              <w:rPr>
                <w:rFonts w:eastAsia="Times New Roman"/>
              </w:rPr>
              <w:t>Anderson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6EBC9F" w14:textId="77777777" w:rsidR="00111D11" w:rsidRDefault="002730B5">
            <w:pPr>
              <w:rPr>
                <w:rFonts w:eastAsia="Times New Roman"/>
              </w:rPr>
            </w:pPr>
            <w:r>
              <w:rPr>
                <w:rFonts w:eastAsia="Times New Roman"/>
              </w:rPr>
              <w:t>Precision dosing in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4712A0" w14:textId="77777777" w:rsidR="00111D11" w:rsidRDefault="002730B5">
            <w:pPr>
              <w:rPr>
                <w:rFonts w:eastAsia="Times New Roman"/>
              </w:rPr>
            </w:pPr>
            <w:r>
              <w:rPr>
                <w:rFonts w:eastAsia="Times New Roman"/>
              </w:rPr>
              <w:t>Anesthesia &amp; cardiovascular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26F80" w14:textId="77777777" w:rsidR="00111D11" w:rsidRDefault="002730B5">
            <w:pPr>
              <w:rPr>
                <w:rFonts w:eastAsia="Times New Roman"/>
              </w:rPr>
            </w:pPr>
            <w:r>
              <w:rPr>
                <w:rFonts w:eastAsia="Times New Roman"/>
              </w:rPr>
              <w:t>Presents PBPK and individualized dosing strategies</w:t>
            </w:r>
          </w:p>
        </w:tc>
      </w:tr>
    </w:tbl>
    <w:p w14:paraId="23585918" w14:textId="77777777" w:rsidR="00111D11" w:rsidRDefault="00111D11">
      <w:pPr>
        <w:rPr>
          <w:rFonts w:eastAsia="Times New Roman"/>
        </w:rPr>
      </w:pPr>
    </w:p>
    <w:p w14:paraId="0F5EC2C4" w14:textId="77777777" w:rsidR="00111D11" w:rsidRDefault="00111D11">
      <w:pPr>
        <w:rPr>
          <w:rFonts w:eastAsia="Times New Roman"/>
        </w:rPr>
      </w:pPr>
    </w:p>
    <w:p w14:paraId="416292E6" w14:textId="77777777" w:rsidR="00111D11" w:rsidRDefault="002730B5">
      <w:pPr>
        <w:pStyle w:val="Heading3"/>
        <w:rPr>
          <w:rFonts w:eastAsia="Times New Roman"/>
          <w:kern w:val="0"/>
          <w:sz w:val="27"/>
          <w:szCs w:val="27"/>
          <w14:ligatures w14:val="none"/>
        </w:rPr>
      </w:pPr>
      <w:r>
        <w:rPr>
          <w:rStyle w:val="Strong"/>
          <w:rFonts w:eastAsia="Times New Roman"/>
          <w:b w:val="0"/>
          <w:bCs w:val="0"/>
        </w:rPr>
        <w:t>Results</w:t>
      </w:r>
    </w:p>
    <w:p w14:paraId="7DAA5625" w14:textId="77777777" w:rsidR="00111D11" w:rsidRDefault="002730B5">
      <w:pPr>
        <w:pStyle w:val="NormalWeb"/>
      </w:pPr>
      <w:r>
        <w:rPr>
          <w:rStyle w:val="Strong"/>
        </w:rPr>
        <w:t>Table 2. Summary of Key Pharmacokinetic (PK) Determinants Influencing Drug Response in Neonates</w:t>
      </w:r>
    </w:p>
    <w:tbl>
      <w:tblPr>
        <w:tblStyle w:val="TableGrid"/>
        <w:tblW w:w="0" w:type="auto"/>
        <w:tblCellSpacing w:w="15" w:type="dxa"/>
        <w:tblLook w:val="04A0" w:firstRow="1" w:lastRow="0" w:firstColumn="1" w:lastColumn="0" w:noHBand="0" w:noVBand="1"/>
      </w:tblPr>
      <w:tblGrid>
        <w:gridCol w:w="3412"/>
        <w:gridCol w:w="5938"/>
      </w:tblGrid>
      <w:tr w:rsidR="00111D11" w14:paraId="0B48FE62"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B7CC6B" w14:textId="77777777" w:rsidR="00111D11" w:rsidRDefault="002730B5">
            <w:pPr>
              <w:jc w:val="center"/>
              <w:rPr>
                <w:rFonts w:eastAsia="Times New Roman"/>
                <w:b/>
                <w:bCs/>
              </w:rPr>
            </w:pPr>
            <w:r>
              <w:rPr>
                <w:rFonts w:eastAsia="Times New Roman"/>
                <w:b/>
                <w:bCs/>
              </w:rPr>
              <w:t>Determinant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29EBD4" w14:textId="77777777" w:rsidR="00111D11" w:rsidRDefault="002730B5">
            <w:pPr>
              <w:jc w:val="center"/>
              <w:rPr>
                <w:rFonts w:eastAsia="Times New Roman"/>
                <w:b/>
                <w:bCs/>
              </w:rPr>
            </w:pPr>
            <w:r>
              <w:rPr>
                <w:rFonts w:eastAsia="Times New Roman"/>
                <w:b/>
                <w:bCs/>
              </w:rPr>
              <w:t>Clinical Implication</w:t>
            </w:r>
          </w:p>
        </w:tc>
      </w:tr>
      <w:tr w:rsidR="00111D11" w14:paraId="2B847A4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53AB54" w14:textId="77777777" w:rsidR="00111D11" w:rsidRDefault="002730B5">
            <w:pPr>
              <w:rPr>
                <w:rFonts w:eastAsia="Times New Roman"/>
              </w:rPr>
            </w:pPr>
            <w:r>
              <w:rPr>
                <w:rFonts w:eastAsia="Times New Roman"/>
              </w:rPr>
              <w:t>High total body water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E0720F" w14:textId="1590D954" w:rsidR="00111D11" w:rsidRDefault="002730B5">
            <w:pPr>
              <w:rPr>
                <w:rFonts w:eastAsia="Times New Roman"/>
              </w:rPr>
            </w:pPr>
            <w:r>
              <w:rPr>
                <w:rFonts w:eastAsia="Times New Roman"/>
              </w:rPr>
              <w:t>Larger volume of distribution for hydrophilic drugs, requiring higher mg/kg doses (</w:t>
            </w:r>
            <w:r w:rsidR="003E4D74" w:rsidRPr="007D393F">
              <w:t>Ku</w:t>
            </w:r>
            <w:r w:rsidR="003E4D74">
              <w:t xml:space="preserve"> </w:t>
            </w:r>
            <w:r w:rsidR="003E4D74" w:rsidRPr="007D393F">
              <w:t>&amp; Smith, 2015</w:t>
            </w:r>
            <w:r>
              <w:rPr>
                <w:rFonts w:eastAsia="Times New Roman"/>
              </w:rPr>
              <w:t>)</w:t>
            </w:r>
          </w:p>
        </w:tc>
      </w:tr>
      <w:tr w:rsidR="00111D11" w14:paraId="588E03B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548F14" w14:textId="77777777" w:rsidR="00111D11" w:rsidRDefault="002730B5">
            <w:pPr>
              <w:rPr>
                <w:rFonts w:eastAsia="Times New Roman"/>
              </w:rPr>
            </w:pPr>
            <w:r>
              <w:rPr>
                <w:rFonts w:eastAsia="Times New Roman"/>
              </w:rPr>
              <w:t>Reduced plasma protein binding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01A119" w14:textId="77777777" w:rsidR="00111D11" w:rsidRDefault="002730B5">
            <w:pPr>
              <w:rPr>
                <w:rFonts w:eastAsia="Times New Roman"/>
              </w:rPr>
            </w:pPr>
            <w:r>
              <w:rPr>
                <w:rFonts w:eastAsia="Times New Roman"/>
              </w:rPr>
              <w:t>Higher free drug fraction and potential toxicity (O’Hara et al., 2015)</w:t>
            </w:r>
          </w:p>
        </w:tc>
      </w:tr>
      <w:tr w:rsidR="00111D11" w14:paraId="1227E7F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314FD5" w14:textId="77777777" w:rsidR="00111D11" w:rsidRDefault="002730B5">
            <w:pPr>
              <w:rPr>
                <w:rFonts w:eastAsia="Times New Roman"/>
              </w:rPr>
            </w:pPr>
            <w:r>
              <w:rPr>
                <w:rFonts w:eastAsia="Times New Roman"/>
              </w:rPr>
              <w:t>Immature hepatic metabolism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D07BBE" w14:textId="77777777" w:rsidR="00111D11" w:rsidRDefault="002730B5">
            <w:pPr>
              <w:rPr>
                <w:rFonts w:eastAsia="Times New Roman"/>
              </w:rPr>
            </w:pPr>
            <w:r>
              <w:rPr>
                <w:rFonts w:eastAsia="Times New Roman"/>
              </w:rPr>
              <w:t>Reduced drug clearance, dosing interval adjustments required (Bansal, 2024)</w:t>
            </w:r>
          </w:p>
        </w:tc>
      </w:tr>
      <w:tr w:rsidR="00111D11" w14:paraId="626C86C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F9B9B5" w14:textId="77777777" w:rsidR="00111D11" w:rsidRDefault="002730B5">
            <w:pPr>
              <w:rPr>
                <w:rFonts w:eastAsia="Times New Roman"/>
              </w:rPr>
            </w:pPr>
            <w:r>
              <w:rPr>
                <w:rFonts w:eastAsia="Times New Roman"/>
              </w:rPr>
              <w:t>Variable renal 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560E39" w14:textId="77777777" w:rsidR="00111D11" w:rsidRDefault="002730B5">
            <w:pPr>
              <w:rPr>
                <w:rFonts w:eastAsia="Times New Roman"/>
              </w:rPr>
            </w:pPr>
            <w:r>
              <w:rPr>
                <w:rFonts w:eastAsia="Times New Roman"/>
              </w:rPr>
              <w:t>Impaired elimination of renally cleared drugs (Ruggiero et al., 2019)</w:t>
            </w:r>
          </w:p>
        </w:tc>
      </w:tr>
      <w:tr w:rsidR="00111D11" w14:paraId="2D04116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7AA973" w14:textId="77777777" w:rsidR="00111D11" w:rsidRDefault="002730B5">
            <w:pPr>
              <w:rPr>
                <w:rFonts w:eastAsia="Times New Roman"/>
              </w:rPr>
            </w:pPr>
            <w:r>
              <w:rPr>
                <w:rFonts w:eastAsia="Times New Roman"/>
              </w:rPr>
              <w:t>Rapid hemodynamic and maturational changes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38CFA" w14:textId="77777777" w:rsidR="00111D11" w:rsidRDefault="002730B5">
            <w:pPr>
              <w:rPr>
                <w:rFonts w:eastAsia="Times New Roman"/>
              </w:rPr>
            </w:pPr>
            <w:r>
              <w:rPr>
                <w:rFonts w:eastAsia="Times New Roman"/>
              </w:rPr>
              <w:t>Necessity for frequent reassessment of dosing (</w:t>
            </w:r>
            <w:proofErr w:type="spellStart"/>
            <w:r>
              <w:rPr>
                <w:rFonts w:eastAsia="Times New Roman"/>
              </w:rPr>
              <w:t>Agakidou</w:t>
            </w:r>
            <w:proofErr w:type="spellEnd"/>
            <w:r>
              <w:rPr>
                <w:rFonts w:eastAsia="Times New Roman"/>
              </w:rPr>
              <w:t xml:space="preserve"> et al., 2024)</w:t>
            </w:r>
          </w:p>
        </w:tc>
      </w:tr>
    </w:tbl>
    <w:p w14:paraId="101BD025" w14:textId="70EE37F1" w:rsidR="00111D11" w:rsidRDefault="002730B5">
      <w:pPr>
        <w:pStyle w:val="NormalWeb"/>
      </w:pPr>
      <w:r>
        <w:lastRenderedPageBreak/>
        <w:t>Neonates with congenital or acquired cardiac disease demonstrated wide pharmacokinetic variability, consistent with prior research showing that dosing cannot be extrapolated directly from older children or adults due to distinct physiological characteristics (</w:t>
      </w:r>
      <w:r w:rsidR="003E4D74" w:rsidRPr="007D393F">
        <w:t>Ku</w:t>
      </w:r>
      <w:r w:rsidR="003E4D74">
        <w:t xml:space="preserve"> </w:t>
      </w:r>
      <w:r w:rsidR="003E4D74" w:rsidRPr="007D393F">
        <w:t>&amp; Smith, 2015</w:t>
      </w:r>
      <w:r>
        <w:t>; O’Hara et al., 2015). Increased total body water in preterm and term neonates resulted in larger volume of distribution for hydrophilic cardiovascular drugs such as milrinone and dopamine, frequently necessitating higher initial loading doses per kilogram to achieve therapeutic concentrations (Bansal, 2024). Reduced plasma protein binding was associated with increased circulating free fractions of drugs including digoxin and amiodarone, requiring close therapeutic monitoring to prevent arrhythmogenic or conduction-related toxicity (Ruggiero et al., 2019) see table 2.</w:t>
      </w:r>
    </w:p>
    <w:p w14:paraId="160CD25E" w14:textId="77777777" w:rsidR="00111D11" w:rsidRDefault="002730B5">
      <w:pPr>
        <w:pStyle w:val="NormalWeb"/>
      </w:pPr>
      <w:r>
        <w:t>Immature hepatic metabolic pathways, particularly cytochrome P450 isoenzymes, contributed to reduced clearance of agents such as lidocaine and propranolol, and required elongation of dosing intervals to avoid accumulation (Anderson, 2023). Renal maturation influenced clearance of diuretics and angiotensin-converting enzyme inhibitors, and clinical monitoring of urine output and serum electrolytes was routinely indicated (</w:t>
      </w:r>
      <w:proofErr w:type="spellStart"/>
      <w:r>
        <w:t>Agakidou</w:t>
      </w:r>
      <w:proofErr w:type="spellEnd"/>
      <w:r>
        <w:t xml:space="preserve"> et al., 2024). Physiologically based pharmacokinetic modeling continued to demonstrate value in estimating dose exposure and improving safety, especially in hemodynamically unstable neonates unable to undergo repeated blood sampling (O’Hara et al., 2015; Bansal, 2024) see table 3.</w:t>
      </w:r>
    </w:p>
    <w:p w14:paraId="04EF1919" w14:textId="77777777" w:rsidR="00111D11" w:rsidRDefault="002730B5">
      <w:pPr>
        <w:pStyle w:val="NormalWeb"/>
      </w:pPr>
      <w:r>
        <w:rPr>
          <w:rStyle w:val="Strong"/>
        </w:rPr>
        <w:t>Table 3. Frequency and Types of Drug-Related Problems in Neonatal Cardiac ICU Patients (Adapted from do Nascimento et al., 2020)</w:t>
      </w:r>
    </w:p>
    <w:tbl>
      <w:tblPr>
        <w:tblStyle w:val="TableGrid"/>
        <w:tblW w:w="0" w:type="auto"/>
        <w:tblCellSpacing w:w="15" w:type="dxa"/>
        <w:tblLook w:val="04A0" w:firstRow="1" w:lastRow="0" w:firstColumn="1" w:lastColumn="0" w:noHBand="0" w:noVBand="1"/>
      </w:tblPr>
      <w:tblGrid>
        <w:gridCol w:w="4397"/>
        <w:gridCol w:w="1821"/>
      </w:tblGrid>
      <w:tr w:rsidR="00111D11" w14:paraId="53D07C87"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A2895B" w14:textId="77777777" w:rsidR="00111D11" w:rsidRDefault="002730B5">
            <w:pPr>
              <w:jc w:val="center"/>
              <w:rPr>
                <w:rFonts w:eastAsia="Times New Roman"/>
                <w:b/>
                <w:bCs/>
              </w:rPr>
            </w:pPr>
            <w:r>
              <w:rPr>
                <w:rFonts w:eastAsia="Times New Roman"/>
                <w:b/>
                <w:bCs/>
              </w:rPr>
              <w:t>Drug-Related Problem (DRP) 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7C4784" w14:textId="77777777" w:rsidR="00111D11" w:rsidRDefault="002730B5">
            <w:pPr>
              <w:jc w:val="center"/>
              <w:rPr>
                <w:rFonts w:eastAsia="Times New Roman"/>
                <w:b/>
                <w:bCs/>
              </w:rPr>
            </w:pPr>
            <w:r>
              <w:rPr>
                <w:rFonts w:eastAsia="Times New Roman"/>
                <w:b/>
                <w:bCs/>
              </w:rPr>
              <w:t>Frequency (%)</w:t>
            </w:r>
          </w:p>
        </w:tc>
      </w:tr>
      <w:tr w:rsidR="00111D11" w14:paraId="206F280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461E57" w14:textId="77777777" w:rsidR="00111D11" w:rsidRDefault="002730B5">
            <w:pPr>
              <w:rPr>
                <w:rFonts w:eastAsia="Times New Roman"/>
              </w:rPr>
            </w:pPr>
            <w:r>
              <w:rPr>
                <w:rFonts w:eastAsia="Times New Roman"/>
              </w:rPr>
              <w:t>Incorrect dose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06942C" w14:textId="77777777" w:rsidR="00111D11" w:rsidRDefault="002730B5">
            <w:pPr>
              <w:rPr>
                <w:rFonts w:eastAsia="Times New Roman"/>
              </w:rPr>
            </w:pPr>
            <w:r>
              <w:rPr>
                <w:rFonts w:eastAsia="Times New Roman"/>
              </w:rPr>
              <w:t>31%</w:t>
            </w:r>
          </w:p>
        </w:tc>
      </w:tr>
      <w:tr w:rsidR="00111D11" w14:paraId="7144E66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5FD781" w14:textId="77777777" w:rsidR="00111D11" w:rsidRDefault="002730B5">
            <w:pPr>
              <w:rPr>
                <w:rFonts w:eastAsia="Times New Roman"/>
              </w:rPr>
            </w:pPr>
            <w:r>
              <w:rPr>
                <w:rFonts w:eastAsia="Times New Roman"/>
              </w:rPr>
              <w:t>Drug–drug interactions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B61D4" w14:textId="77777777" w:rsidR="00111D11" w:rsidRDefault="002730B5">
            <w:pPr>
              <w:rPr>
                <w:rFonts w:eastAsia="Times New Roman"/>
              </w:rPr>
            </w:pPr>
            <w:r>
              <w:rPr>
                <w:rFonts w:eastAsia="Times New Roman"/>
              </w:rPr>
              <w:t>24%</w:t>
            </w:r>
          </w:p>
        </w:tc>
      </w:tr>
      <w:tr w:rsidR="00111D11" w14:paraId="22D4AB6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487FFE" w14:textId="77777777" w:rsidR="00111D11" w:rsidRDefault="002730B5">
            <w:pPr>
              <w:rPr>
                <w:rFonts w:eastAsia="Times New Roman"/>
              </w:rPr>
            </w:pPr>
            <w:r>
              <w:rPr>
                <w:rFonts w:eastAsia="Times New Roman"/>
              </w:rPr>
              <w:t>Inappropriate drug selection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632D7C" w14:textId="77777777" w:rsidR="00111D11" w:rsidRDefault="002730B5">
            <w:pPr>
              <w:rPr>
                <w:rFonts w:eastAsia="Times New Roman"/>
              </w:rPr>
            </w:pPr>
            <w:r>
              <w:rPr>
                <w:rFonts w:eastAsia="Times New Roman"/>
              </w:rPr>
              <w:t>18%</w:t>
            </w:r>
          </w:p>
        </w:tc>
      </w:tr>
      <w:tr w:rsidR="00111D11" w14:paraId="3F506DF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C0D248" w14:textId="77777777" w:rsidR="00111D11" w:rsidRDefault="002730B5">
            <w:pPr>
              <w:rPr>
                <w:rFonts w:eastAsia="Times New Roman"/>
              </w:rPr>
            </w:pPr>
            <w:r>
              <w:rPr>
                <w:rFonts w:eastAsia="Times New Roman"/>
              </w:rPr>
              <w:t>Adverse drug reaction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4FE6A7" w14:textId="77777777" w:rsidR="00111D11" w:rsidRDefault="002730B5">
            <w:pPr>
              <w:rPr>
                <w:rFonts w:eastAsia="Times New Roman"/>
              </w:rPr>
            </w:pPr>
            <w:r>
              <w:rPr>
                <w:rFonts w:eastAsia="Times New Roman"/>
              </w:rPr>
              <w:t>14%</w:t>
            </w:r>
          </w:p>
        </w:tc>
      </w:tr>
      <w:tr w:rsidR="00111D11" w14:paraId="7F24C2B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9823CF" w14:textId="77777777" w:rsidR="00111D11" w:rsidRDefault="002730B5">
            <w:pPr>
              <w:rPr>
                <w:rFonts w:eastAsia="Times New Roman"/>
              </w:rPr>
            </w:pPr>
            <w:r>
              <w:rPr>
                <w:rFonts w:eastAsia="Times New Roman"/>
              </w:rPr>
              <w:t>Monitoring omission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A265B5" w14:textId="77777777" w:rsidR="00111D11" w:rsidRDefault="002730B5">
            <w:pPr>
              <w:rPr>
                <w:rFonts w:eastAsia="Times New Roman"/>
              </w:rPr>
            </w:pPr>
            <w:r>
              <w:rPr>
                <w:rFonts w:eastAsia="Times New Roman"/>
              </w:rPr>
              <w:t>13%</w:t>
            </w:r>
          </w:p>
        </w:tc>
      </w:tr>
    </w:tbl>
    <w:p w14:paraId="404EF13F" w14:textId="77777777" w:rsidR="00111D11" w:rsidRDefault="002730B5">
      <w:pPr>
        <w:pStyle w:val="NormalWeb"/>
      </w:pPr>
      <w:r>
        <w:t>A high burden of drug-related problems (DRPs) was observed, particularly incorrect dosing and clinically significant drug–drug interactions, representing 31% and 24% of errors respectively (do Nascimento et al., 2020). Adverse drug reactions most frequently involved arrhythmias, hypotension, and electrolyte disturbances associated with inotropes and diuretics, consistent with the established complication profile (Patwardhan et al., 2008; Driscoll, 1987). The results reaffirmed that neonatal cardiac pharmacotherapy remains highly vulnerable to safety issues, especially in high-intensity ICU settings where polypharmacy is common (</w:t>
      </w:r>
      <w:proofErr w:type="spellStart"/>
      <w:r>
        <w:t>Elgnainy</w:t>
      </w:r>
      <w:proofErr w:type="spellEnd"/>
      <w:r>
        <w:t>, 2023).</w:t>
      </w:r>
    </w:p>
    <w:p w14:paraId="2F89E703" w14:textId="77777777" w:rsidR="00111D11" w:rsidRDefault="002730B5">
      <w:pPr>
        <w:pStyle w:val="NormalWeb"/>
      </w:pPr>
      <w:r>
        <w:t xml:space="preserve">Inotropic agents such as dopamine, dobutamine, epinephrine, and milrinone remained frontline therapy for acute cardiac dysfunction, although evidence to guide optimal dosing remained </w:t>
      </w:r>
      <w:r>
        <w:lastRenderedPageBreak/>
        <w:t>limited and derived largely from small observational studies (Patwardhan et al., 2008; Ahmed, 2021). Milrinone showed benefits in enhancing cardiac output in postoperative congenital heart repair, yet hypotension and thrombocytopenia required monitored infusion adjustments (Tume et al., 2016). Dosing regimens continued to rely on weight-based calculations and titration based on changes in systemic blood pressure, urine output, and lactate clearance.</w:t>
      </w:r>
    </w:p>
    <w:p w14:paraId="587031DC" w14:textId="77777777" w:rsidR="00111D11" w:rsidRDefault="002730B5">
      <w:pPr>
        <w:pStyle w:val="NormalWeb"/>
      </w:pPr>
      <w:r>
        <w:t>Management of heart failure in neonates included a combination of diuretics, ACE inhibitors, and beta-blockers, although current data guiding use of agents such as carvedilol in the neonatal population remained insufficient (Loss et al., 2021; Ahmed, 2021). New pharmacologic candidates under pediatric investigation, including sacubitril/valsartan and ivabradine, were identified but lacked dosing consensus for neonates (Loss et al., 2021).</w:t>
      </w:r>
    </w:p>
    <w:p w14:paraId="6335A19B" w14:textId="77777777" w:rsidR="00111D11" w:rsidRDefault="002730B5">
      <w:pPr>
        <w:pStyle w:val="NormalWeb"/>
      </w:pPr>
      <w:r>
        <w:t>Arrhythmia management commonly required amiodarone, propranolol, and adenosine, with dosing adjusted according to hemodynamic tolerance (Batra et al., 2024). Oral flecainide showed promise for certain arrhythmias, though narrow therapeutic index and PK variability necessitated drug-level monitoring (Batra et al., 2024).</w:t>
      </w:r>
    </w:p>
    <w:p w14:paraId="1B85AB9A" w14:textId="77777777" w:rsidR="00111D11" w:rsidRDefault="002730B5">
      <w:pPr>
        <w:pStyle w:val="NormalWeb"/>
      </w:pPr>
      <w:r>
        <w:t>Safeguards for medication safety emphasized structured prescribing protocols, double-checking systems, and pharmacist–clinician integration (</w:t>
      </w:r>
      <w:proofErr w:type="spellStart"/>
      <w:r>
        <w:t>Elgnainy</w:t>
      </w:r>
      <w:proofErr w:type="spellEnd"/>
      <w:r>
        <w:t>, 2023). Electronic prescribing with neonatal-specific algorithms reduced adverse medication events and dose calculation errors, reinforcing the need for advanced decision-support systems targeted to neonatal pharmacotherapy (Ruggiero et al., 2019).</w:t>
      </w:r>
    </w:p>
    <w:p w14:paraId="7214E2D2" w14:textId="77777777" w:rsidR="00111D11" w:rsidRDefault="002730B5">
      <w:pPr>
        <w:pStyle w:val="NormalWeb"/>
      </w:pPr>
      <w:r>
        <w:t>Across all studies synthesized, results supported a multidisciplinary model incorporating neonatology, pediatric cardiology, pharmacy, and intensive care nursing as critical for ensuring dosing accuracy and efficacy. Clinical outcomes also improved when therapeutic drug monitoring was applied for digoxin, milrinone, aminophylline, and antiarrhythmics, and when individualized pharmacokinetic modeling guided dose adjustments (O’Hara et al., 2015; Anderson, 2023).</w:t>
      </w:r>
    </w:p>
    <w:p w14:paraId="264E951E" w14:textId="77777777" w:rsidR="00111D11" w:rsidRDefault="002730B5">
      <w:pPr>
        <w:pStyle w:val="NormalWeb"/>
      </w:pPr>
      <w:r>
        <w:t>Collectively, the findings demonstrated that pharmacologic therapy in neonatal cardiac care is feasible and clinically beneficial but requires precision, vigilant monitoring, and system-level safeguards. Improvements in clinical outcomes are increasingly linked to adaptive dosing strategies, use of pharmacokinetic prediction tools, and continuous interdisciplinary evaluation of risk–benefit profiles.</w:t>
      </w:r>
    </w:p>
    <w:p w14:paraId="2FBB5912" w14:textId="77777777" w:rsidR="00111D11" w:rsidRDefault="00111D11">
      <w:pPr>
        <w:rPr>
          <w:rFonts w:eastAsia="Times New Roman"/>
        </w:rPr>
      </w:pPr>
    </w:p>
    <w:p w14:paraId="4154D1B8" w14:textId="77777777" w:rsidR="00111D11" w:rsidRDefault="002730B5">
      <w:pPr>
        <w:pStyle w:val="Heading3"/>
        <w:rPr>
          <w:rFonts w:eastAsia="Times New Roman"/>
          <w:kern w:val="0"/>
          <w:sz w:val="27"/>
          <w:szCs w:val="27"/>
          <w14:ligatures w14:val="none"/>
        </w:rPr>
      </w:pPr>
      <w:r>
        <w:rPr>
          <w:rStyle w:val="Strong"/>
          <w:rFonts w:eastAsia="Times New Roman"/>
          <w:b w:val="0"/>
          <w:bCs w:val="0"/>
        </w:rPr>
        <w:t>Discussion</w:t>
      </w:r>
    </w:p>
    <w:p w14:paraId="6DFE52F0" w14:textId="7DE4FCE0" w:rsidR="00111D11" w:rsidRDefault="002730B5">
      <w:pPr>
        <w:pStyle w:val="NormalWeb"/>
      </w:pPr>
      <w:r>
        <w:t>Pharmacological management in neonatal cardiac care remains a critical and evolving field due to significant physiological and pharmacokinetic differences between neonates and older pediatric populations. Evidence consistently demonstrates that neonates exhibit altered drug absorption, distribution, metabolism, and excretion, necessitating individualized dosing to ensure therapeutic effectiveness and prevent toxicity (</w:t>
      </w:r>
      <w:r w:rsidR="003E4D74" w:rsidRPr="007D393F">
        <w:t>Ku</w:t>
      </w:r>
      <w:r w:rsidR="003E4D74">
        <w:t xml:space="preserve"> </w:t>
      </w:r>
      <w:r w:rsidR="003E4D74" w:rsidRPr="007D393F">
        <w:t>&amp; Smith, 2015</w:t>
      </w:r>
      <w:r>
        <w:t xml:space="preserve">). The complex interplay between immature organ systems and rapidly changing developmental physiology greatly </w:t>
      </w:r>
      <w:r>
        <w:lastRenderedPageBreak/>
        <w:t>complicates pharmacotherapy in neonatal cardiac conditions. Although literature shows increasing attention to precision dosing, major knowledge gaps persist regarding optimal exposure, safety, and drug response in this vulnerable population.</w:t>
      </w:r>
    </w:p>
    <w:p w14:paraId="50C0ABE2" w14:textId="54C625F8" w:rsidR="00111D11" w:rsidRDefault="002730B5">
      <w:pPr>
        <w:pStyle w:val="NormalWeb"/>
      </w:pPr>
      <w:r>
        <w:t xml:space="preserve">The importance of understanding neonatal pharmacokinetics is emphasized across multiple studies. </w:t>
      </w:r>
      <w:r w:rsidR="003E4D74" w:rsidRPr="007D393F">
        <w:t>Ku</w:t>
      </w:r>
      <w:r w:rsidR="003E4D74">
        <w:t xml:space="preserve"> </w:t>
      </w:r>
      <w:r w:rsidR="003E4D74" w:rsidRPr="007D393F">
        <w:t xml:space="preserve">&amp; Smith, </w:t>
      </w:r>
      <w:r w:rsidR="003E4D74">
        <w:t>(</w:t>
      </w:r>
      <w:r w:rsidR="003E4D74" w:rsidRPr="007D393F">
        <w:t>2015</w:t>
      </w:r>
      <w:r w:rsidR="003E4D74">
        <w:t xml:space="preserve">) </w:t>
      </w:r>
      <w:r>
        <w:t>explains that reduced hepatic enzyme activity, higher total body water, and diminished protein binding influence dosing accuracy and drug half-life in neonates. O’Hara et al. (2015) add that dose prediction remains challenging due to heterogeneous developmental trajectories. Bansal (2024) further recognizes that renal clearance is frequently unpredictable, resulting in variable elimination patterns for cardiovascular medications. Collectively, these studies underscore the need for physiologically based pharmacokinetic (PBPK) models to guide neonatal dose optimization.</w:t>
      </w:r>
    </w:p>
    <w:p w14:paraId="0A8EF01F" w14:textId="77777777" w:rsidR="00111D11" w:rsidRDefault="002730B5">
      <w:pPr>
        <w:pStyle w:val="NormalWeb"/>
      </w:pPr>
      <w:r>
        <w:t xml:space="preserve">Cardiovascular support is often required in critically ill neonates with congenital or acquired heart disease. Inotropes, vasopressors, and vasodilators remain central components of therapy. Classic guidance from Driscoll (1987) and Patwardhan et al. (2008) established early pharmacotherapeutic strategies; however, more recent evidence reveals that medication selection should be based not only on hemodynamic parameters but also on neurodevelopmental and end-organ safety. </w:t>
      </w:r>
      <w:proofErr w:type="spellStart"/>
      <w:r>
        <w:t>Agakidou</w:t>
      </w:r>
      <w:proofErr w:type="spellEnd"/>
      <w:r>
        <w:t xml:space="preserve"> et al. (2024) advocate for stepwise escalation in hypotension therapy, emphasizing dopamine, dobutamine, epinephrine, and milrinone, guided by functional echocardiography. Anderson (2023) also stresses the need for careful titration to maintain organ perfusion without precipitating arrhythmias or metabolic derangements.</w:t>
      </w:r>
    </w:p>
    <w:p w14:paraId="289E81C5" w14:textId="77777777" w:rsidR="00111D11" w:rsidRDefault="002730B5">
      <w:pPr>
        <w:pStyle w:val="NormalWeb"/>
      </w:pPr>
      <w:r>
        <w:t xml:space="preserve">Medication-related morbidity remains an ongoing problem in neonatal cardiac care. do Nascimento et al. (2020) demonstrated a substantial burden of drug-related problems in neonatal cardiac intensive care units, including dosing errors, drug interactions, and adverse drug events. The study supports heightened medication surveillance and pharmacist participation in cardiac neonatal teams. Similarly, </w:t>
      </w:r>
      <w:proofErr w:type="spellStart"/>
      <w:r>
        <w:t>Elgnainy</w:t>
      </w:r>
      <w:proofErr w:type="spellEnd"/>
      <w:r>
        <w:t xml:space="preserve"> (2023) emphasizes the critical importance of neonatal medication safety protocols, standardized drug concentration charts, and multidisciplinary review to reduce preventable harm.</w:t>
      </w:r>
    </w:p>
    <w:p w14:paraId="63E5385C" w14:textId="77777777" w:rsidR="00111D11" w:rsidRDefault="002730B5">
      <w:pPr>
        <w:pStyle w:val="NormalWeb"/>
      </w:pPr>
      <w:r>
        <w:t>Treatment of neonatal heart failure continues to evolve with greater focus on evidence-based drug selection. Tume et al. (2016) and Ahmed (2021) note that diuretics like furosemide remain the cornerstone of therapy, while angiotensin-converting enzyme inhibitors and beta-blockers are increasingly incorporated when renal status and clinical stability permit. Loss et al. (2021) report emerging therapies, including sacubitril-valsartan and novel inotropes, although neonatal trials remain limited. More robust research is required to determine long-term cardiovascular and neurodevelopmental outcomes associated with these therapies.</w:t>
      </w:r>
    </w:p>
    <w:p w14:paraId="6BAFFA6F" w14:textId="77777777" w:rsidR="00111D11" w:rsidRDefault="002730B5">
      <w:pPr>
        <w:pStyle w:val="NormalWeb"/>
      </w:pPr>
      <w:r>
        <w:t>Neonatal cardiac arrhythmia management has also undergone substantial refinement. Batra et al. (2024) present consensus recommendations highlighting the use of amiodarone, esmolol, and flecainide, emphasizing continuous monitoring and specific attention to electrolyte abnormalities. Safety concerns such as amiodarone-related thyroid and hepatic effects reinforce the need for individualized risk–benefit assessment.</w:t>
      </w:r>
    </w:p>
    <w:p w14:paraId="59276C6F" w14:textId="77777777" w:rsidR="00111D11" w:rsidRDefault="002730B5">
      <w:pPr>
        <w:pStyle w:val="NormalWeb"/>
      </w:pPr>
      <w:r>
        <w:lastRenderedPageBreak/>
        <w:t>Overall, across the studies reviewed, three dominant themes emerged: (1) the significant impact of developmental pharmacology on cardiovascular drug therapy, (2) persistent evidence gaps and limited trial data for neonatal dosing, and (3) a growing movement toward precision dosing through PBPK modeling, pharmacogenomics, and national neonatal drug registries (see table 4-6).</w:t>
      </w:r>
    </w:p>
    <w:p w14:paraId="5877BEC1" w14:textId="77777777" w:rsidR="00111D11" w:rsidRDefault="00111D11">
      <w:pPr>
        <w:rPr>
          <w:rFonts w:eastAsia="Times New Roman"/>
        </w:rPr>
      </w:pPr>
    </w:p>
    <w:p w14:paraId="04DDE98E" w14:textId="77777777" w:rsidR="00111D11" w:rsidRDefault="002730B5">
      <w:pPr>
        <w:pStyle w:val="Heading3"/>
        <w:rPr>
          <w:rFonts w:eastAsia="Times New Roman"/>
        </w:rPr>
      </w:pPr>
      <w:r>
        <w:rPr>
          <w:rStyle w:val="Strong"/>
          <w:rFonts w:eastAsia="Times New Roman"/>
          <w:b w:val="0"/>
          <w:bCs w:val="0"/>
        </w:rPr>
        <w:t>Table 4. Summary of Key Pharmacokinetic Considerations in Neonates</w:t>
      </w:r>
    </w:p>
    <w:tbl>
      <w:tblPr>
        <w:tblStyle w:val="TableGrid"/>
        <w:tblW w:w="0" w:type="auto"/>
        <w:tblCellSpacing w:w="15" w:type="dxa"/>
        <w:tblLook w:val="04A0" w:firstRow="1" w:lastRow="0" w:firstColumn="1" w:lastColumn="0" w:noHBand="0" w:noVBand="1"/>
      </w:tblPr>
      <w:tblGrid>
        <w:gridCol w:w="1896"/>
        <w:gridCol w:w="7454"/>
      </w:tblGrid>
      <w:tr w:rsidR="00111D11" w14:paraId="56B49775"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558E3A" w14:textId="77777777" w:rsidR="00111D11" w:rsidRDefault="002730B5">
            <w:pPr>
              <w:jc w:val="center"/>
              <w:rPr>
                <w:rFonts w:eastAsia="Times New Roman"/>
                <w:b/>
                <w:bCs/>
              </w:rPr>
            </w:pPr>
            <w:r>
              <w:rPr>
                <w:rFonts w:eastAsia="Times New Roman"/>
                <w:b/>
                <w:bCs/>
              </w:rPr>
              <w:t>Reference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3E3643" w14:textId="77777777" w:rsidR="00111D11" w:rsidRDefault="002730B5">
            <w:pPr>
              <w:jc w:val="center"/>
              <w:rPr>
                <w:rFonts w:eastAsia="Times New Roman"/>
                <w:b/>
                <w:bCs/>
              </w:rPr>
            </w:pPr>
            <w:r>
              <w:rPr>
                <w:rFonts w:eastAsia="Times New Roman"/>
                <w:b/>
                <w:bCs/>
              </w:rPr>
              <w:t>Key Pharmacokinetic Findings</w:t>
            </w:r>
          </w:p>
        </w:tc>
      </w:tr>
      <w:tr w:rsidR="00111D11" w14:paraId="184119F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234BBA" w14:textId="50AB7A07" w:rsidR="00111D11" w:rsidRDefault="003E4D74">
            <w:pPr>
              <w:rPr>
                <w:rFonts w:eastAsia="Times New Roman"/>
              </w:rPr>
            </w:pPr>
            <w:r w:rsidRPr="007D393F">
              <w:t>Ku</w:t>
            </w:r>
            <w:r>
              <w:t xml:space="preserve"> </w:t>
            </w:r>
            <w:r w:rsidRPr="007D393F">
              <w:t>&amp; Smith</w:t>
            </w:r>
            <w:r>
              <w:t xml:space="preserve"> (</w:t>
            </w:r>
            <w:r w:rsidRPr="007D393F">
              <w:t>2015</w:t>
            </w:r>
            <w: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1D11D0" w14:textId="77777777" w:rsidR="00111D11" w:rsidRDefault="002730B5">
            <w:pPr>
              <w:rPr>
                <w:rFonts w:eastAsia="Times New Roman"/>
              </w:rPr>
            </w:pPr>
            <w:r>
              <w:rPr>
                <w:rFonts w:eastAsia="Times New Roman"/>
              </w:rPr>
              <w:t xml:space="preserve">Reduced hepatic and renal function </w:t>
            </w:r>
            <w:proofErr w:type="gramStart"/>
            <w:r>
              <w:rPr>
                <w:rFonts w:eastAsia="Times New Roman"/>
              </w:rPr>
              <w:t>leads</w:t>
            </w:r>
            <w:proofErr w:type="gramEnd"/>
            <w:r>
              <w:rPr>
                <w:rFonts w:eastAsia="Times New Roman"/>
              </w:rPr>
              <w:t xml:space="preserve"> to prolonged drug half-life and need for individualized dosing.</w:t>
            </w:r>
          </w:p>
        </w:tc>
      </w:tr>
      <w:tr w:rsidR="00111D11" w14:paraId="6A8A8D8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8E5541" w14:textId="77777777" w:rsidR="00111D11" w:rsidRDefault="002730B5">
            <w:pPr>
              <w:rPr>
                <w:rFonts w:eastAsia="Times New Roman"/>
              </w:rPr>
            </w:pPr>
            <w:r>
              <w:rPr>
                <w:rFonts w:eastAsia="Times New Roman"/>
              </w:rPr>
              <w:t>O’Hara et al.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95264" w14:textId="77777777" w:rsidR="00111D11" w:rsidRDefault="002730B5">
            <w:pPr>
              <w:rPr>
                <w:rFonts w:eastAsia="Times New Roman"/>
              </w:rPr>
            </w:pPr>
            <w:r>
              <w:rPr>
                <w:rFonts w:eastAsia="Times New Roman"/>
              </w:rPr>
              <w:t>Dose prediction complicated by developmental variability; stronger PK evidence needed for dosing algorithms.</w:t>
            </w:r>
          </w:p>
        </w:tc>
      </w:tr>
      <w:tr w:rsidR="00111D11" w14:paraId="0A3AF1F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63A37E" w14:textId="77777777" w:rsidR="00111D11" w:rsidRDefault="002730B5">
            <w:pPr>
              <w:rPr>
                <w:rFonts w:eastAsia="Times New Roman"/>
              </w:rPr>
            </w:pPr>
            <w:r>
              <w:rPr>
                <w:rFonts w:eastAsia="Times New Roman"/>
              </w:rPr>
              <w:t>Bansal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840EDC" w14:textId="77777777" w:rsidR="00111D11" w:rsidRDefault="002730B5">
            <w:pPr>
              <w:rPr>
                <w:rFonts w:eastAsia="Times New Roman"/>
              </w:rPr>
            </w:pPr>
            <w:r>
              <w:rPr>
                <w:rFonts w:eastAsia="Times New Roman"/>
              </w:rPr>
              <w:t>High total body water and immature glomerular filtration result in altered clearance of cardiovascular agents.</w:t>
            </w:r>
          </w:p>
        </w:tc>
      </w:tr>
      <w:tr w:rsidR="00111D11" w14:paraId="78A7B5F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60E3ED" w14:textId="77777777" w:rsidR="00111D11" w:rsidRDefault="002730B5">
            <w:pPr>
              <w:rPr>
                <w:rFonts w:eastAsia="Times New Roman"/>
              </w:rPr>
            </w:pPr>
            <w:r>
              <w:rPr>
                <w:rFonts w:eastAsia="Times New Roman"/>
              </w:rPr>
              <w:t>Anderson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14BD1C" w14:textId="77777777" w:rsidR="00111D11" w:rsidRDefault="002730B5">
            <w:pPr>
              <w:rPr>
                <w:rFonts w:eastAsia="Times New Roman"/>
              </w:rPr>
            </w:pPr>
            <w:r>
              <w:rPr>
                <w:rFonts w:eastAsia="Times New Roman"/>
              </w:rPr>
              <w:t>Emphasizes anesthesia and cardiovascular drug dosing adjustments to prevent toxicity.</w:t>
            </w:r>
          </w:p>
        </w:tc>
      </w:tr>
    </w:tbl>
    <w:p w14:paraId="54FD6414" w14:textId="77777777" w:rsidR="00111D11" w:rsidRDefault="00111D11">
      <w:pPr>
        <w:rPr>
          <w:rFonts w:eastAsia="Times New Roman"/>
        </w:rPr>
      </w:pPr>
    </w:p>
    <w:p w14:paraId="17F543E3" w14:textId="77777777" w:rsidR="00111D11" w:rsidRDefault="002730B5">
      <w:pPr>
        <w:pStyle w:val="Heading3"/>
        <w:rPr>
          <w:rFonts w:eastAsia="Times New Roman"/>
        </w:rPr>
      </w:pPr>
      <w:r>
        <w:rPr>
          <w:rStyle w:val="Strong"/>
          <w:rFonts w:eastAsia="Times New Roman"/>
          <w:b w:val="0"/>
          <w:bCs w:val="0"/>
        </w:rPr>
        <w:t>Table 5. Common Cardiovascular Drug Classes and Safety Concerns in Neonates</w:t>
      </w:r>
    </w:p>
    <w:tbl>
      <w:tblPr>
        <w:tblStyle w:val="TableGrid"/>
        <w:tblW w:w="0" w:type="auto"/>
        <w:tblCellSpacing w:w="15" w:type="dxa"/>
        <w:tblLook w:val="04A0" w:firstRow="1" w:lastRow="0" w:firstColumn="1" w:lastColumn="0" w:noHBand="0" w:noVBand="1"/>
      </w:tblPr>
      <w:tblGrid>
        <w:gridCol w:w="2895"/>
        <w:gridCol w:w="2488"/>
        <w:gridCol w:w="3967"/>
      </w:tblGrid>
      <w:tr w:rsidR="00111D11" w14:paraId="6C83BEEA"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3A0F2B" w14:textId="77777777" w:rsidR="00111D11" w:rsidRDefault="002730B5">
            <w:pPr>
              <w:jc w:val="center"/>
              <w:rPr>
                <w:rFonts w:eastAsia="Times New Roman"/>
                <w:b/>
                <w:bCs/>
              </w:rPr>
            </w:pPr>
            <w:r>
              <w:rPr>
                <w:rFonts w:eastAsia="Times New Roman"/>
                <w:b/>
                <w:bCs/>
              </w:rPr>
              <w:t>Drug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64A4D6" w14:textId="77777777" w:rsidR="00111D11" w:rsidRDefault="002730B5">
            <w:pPr>
              <w:jc w:val="center"/>
              <w:rPr>
                <w:rFonts w:eastAsia="Times New Roman"/>
                <w:b/>
                <w:bCs/>
              </w:rPr>
            </w:pPr>
            <w:r>
              <w:rPr>
                <w:rFonts w:eastAsia="Times New Roman"/>
                <w:b/>
                <w:bCs/>
              </w:rPr>
              <w:t>Clinical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1472C5" w14:textId="77777777" w:rsidR="00111D11" w:rsidRDefault="002730B5">
            <w:pPr>
              <w:jc w:val="center"/>
              <w:rPr>
                <w:rFonts w:eastAsia="Times New Roman"/>
                <w:b/>
                <w:bCs/>
              </w:rPr>
            </w:pPr>
            <w:r>
              <w:rPr>
                <w:rFonts w:eastAsia="Times New Roman"/>
                <w:b/>
                <w:bCs/>
              </w:rPr>
              <w:t>Key Neonatal Safety Considerations</w:t>
            </w:r>
          </w:p>
        </w:tc>
      </w:tr>
      <w:tr w:rsidR="00111D11" w14:paraId="1B8BA0B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3FFE90" w14:textId="77777777" w:rsidR="00111D11" w:rsidRDefault="002730B5">
            <w:pPr>
              <w:rPr>
                <w:rFonts w:eastAsia="Times New Roman"/>
              </w:rPr>
            </w:pPr>
            <w:r>
              <w:rPr>
                <w:rFonts w:eastAsia="Times New Roman"/>
              </w:rPr>
              <w:t>Inotropes (dopamine, dobutamine, epinephrine)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158EFC" w14:textId="77777777" w:rsidR="00111D11" w:rsidRDefault="002730B5">
            <w:pPr>
              <w:rPr>
                <w:rFonts w:eastAsia="Times New Roman"/>
              </w:rPr>
            </w:pPr>
            <w:r>
              <w:rPr>
                <w:rFonts w:eastAsia="Times New Roman"/>
              </w:rPr>
              <w:t>Hypotension, heart failure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B4DFB" w14:textId="77777777" w:rsidR="00111D11" w:rsidRDefault="002730B5">
            <w:pPr>
              <w:rPr>
                <w:rFonts w:eastAsia="Times New Roman"/>
              </w:rPr>
            </w:pPr>
            <w:r>
              <w:rPr>
                <w:rFonts w:eastAsia="Times New Roman"/>
              </w:rPr>
              <w:t>Risk of arrhythmias, tachycardia, metabolic acidosis (</w:t>
            </w:r>
            <w:proofErr w:type="spellStart"/>
            <w:r>
              <w:rPr>
                <w:rFonts w:eastAsia="Times New Roman"/>
              </w:rPr>
              <w:t>Agakidou</w:t>
            </w:r>
            <w:proofErr w:type="spellEnd"/>
            <w:r>
              <w:rPr>
                <w:rFonts w:eastAsia="Times New Roman"/>
              </w:rPr>
              <w:t xml:space="preserve"> et al., 2024).</w:t>
            </w:r>
          </w:p>
        </w:tc>
      </w:tr>
      <w:tr w:rsidR="00111D11" w14:paraId="22AC53A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A1D3DD" w14:textId="77777777" w:rsidR="00111D11" w:rsidRDefault="002730B5">
            <w:pPr>
              <w:rPr>
                <w:rFonts w:eastAsia="Times New Roman"/>
              </w:rPr>
            </w:pPr>
            <w:r>
              <w:rPr>
                <w:rFonts w:eastAsia="Times New Roman"/>
              </w:rPr>
              <w:t>Vasodilators (milrinone)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9AC64" w14:textId="77777777" w:rsidR="00111D11" w:rsidRDefault="002730B5">
            <w:pPr>
              <w:rPr>
                <w:rFonts w:eastAsia="Times New Roman"/>
              </w:rPr>
            </w:pPr>
            <w:r>
              <w:rPr>
                <w:rFonts w:eastAsia="Times New Roman"/>
              </w:rPr>
              <w:t>Low cardiac output syndrome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672968" w14:textId="77777777" w:rsidR="00111D11" w:rsidRDefault="002730B5">
            <w:pPr>
              <w:rPr>
                <w:rFonts w:eastAsia="Times New Roman"/>
              </w:rPr>
            </w:pPr>
            <w:r>
              <w:rPr>
                <w:rFonts w:eastAsia="Times New Roman"/>
              </w:rPr>
              <w:t>Hypotension, thrombocytopenia, variable renal clearance (Anderson, 2023).</w:t>
            </w:r>
          </w:p>
        </w:tc>
      </w:tr>
      <w:tr w:rsidR="00111D11" w14:paraId="3A466DC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811CB1D" w14:textId="77777777" w:rsidR="00111D11" w:rsidRDefault="002730B5">
            <w:pPr>
              <w:rPr>
                <w:rFonts w:eastAsia="Times New Roman"/>
              </w:rPr>
            </w:pPr>
            <w:r>
              <w:rPr>
                <w:rFonts w:eastAsia="Times New Roman"/>
              </w:rPr>
              <w:t>Diuretics (furosemide)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AA0022" w14:textId="77777777" w:rsidR="00111D11" w:rsidRDefault="002730B5">
            <w:pPr>
              <w:rPr>
                <w:rFonts w:eastAsia="Times New Roman"/>
              </w:rPr>
            </w:pPr>
            <w:r>
              <w:rPr>
                <w:rFonts w:eastAsia="Times New Roman"/>
              </w:rPr>
              <w:t>Heart failure fluid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D40812" w14:textId="77777777" w:rsidR="00111D11" w:rsidRDefault="002730B5">
            <w:pPr>
              <w:rPr>
                <w:rFonts w:eastAsia="Times New Roman"/>
              </w:rPr>
            </w:pPr>
            <w:r>
              <w:rPr>
                <w:rFonts w:eastAsia="Times New Roman"/>
              </w:rPr>
              <w:t>Electrolyte imbalance, ototoxicity (Tume et al., 2016).</w:t>
            </w:r>
          </w:p>
        </w:tc>
      </w:tr>
      <w:tr w:rsidR="00111D11" w14:paraId="1A02506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EE8A4B" w14:textId="77777777" w:rsidR="00111D11" w:rsidRDefault="002730B5">
            <w:pPr>
              <w:rPr>
                <w:rFonts w:eastAsia="Times New Roman"/>
              </w:rPr>
            </w:pPr>
            <w:r>
              <w:rPr>
                <w:rFonts w:eastAsia="Times New Roman"/>
              </w:rPr>
              <w:lastRenderedPageBreak/>
              <w:t>Antiarrhythmics (amiodarone, flecainide)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C23A7" w14:textId="77777777" w:rsidR="00111D11" w:rsidRDefault="002730B5">
            <w:pPr>
              <w:rPr>
                <w:rFonts w:eastAsia="Times New Roman"/>
              </w:rPr>
            </w:pPr>
            <w:r>
              <w:rPr>
                <w:rFonts w:eastAsia="Times New Roman"/>
              </w:rPr>
              <w:t>Neonatal tachyarrhythmias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30B7A6" w14:textId="77777777" w:rsidR="00111D11" w:rsidRDefault="002730B5">
            <w:pPr>
              <w:rPr>
                <w:rFonts w:eastAsia="Times New Roman"/>
              </w:rPr>
            </w:pPr>
            <w:r>
              <w:rPr>
                <w:rFonts w:eastAsia="Times New Roman"/>
              </w:rPr>
              <w:t>Thyroid, hepatic toxicity and pro-arrhythmia risk (Batra et al., 2024).</w:t>
            </w:r>
          </w:p>
        </w:tc>
      </w:tr>
    </w:tbl>
    <w:p w14:paraId="65D3EF09" w14:textId="77777777" w:rsidR="00111D11" w:rsidRDefault="00111D11">
      <w:pPr>
        <w:rPr>
          <w:rFonts w:eastAsia="Times New Roman"/>
        </w:rPr>
      </w:pPr>
    </w:p>
    <w:p w14:paraId="0E862821" w14:textId="77777777" w:rsidR="00111D11" w:rsidRDefault="002730B5">
      <w:pPr>
        <w:pStyle w:val="Heading3"/>
        <w:rPr>
          <w:rFonts w:eastAsia="Times New Roman"/>
        </w:rPr>
      </w:pPr>
      <w:r>
        <w:rPr>
          <w:rStyle w:val="Strong"/>
          <w:rFonts w:eastAsia="Times New Roman"/>
          <w:b w:val="0"/>
          <w:bCs w:val="0"/>
        </w:rPr>
        <w:t>Table 6. Identified Gaps and Future Directions</w:t>
      </w:r>
    </w:p>
    <w:tbl>
      <w:tblPr>
        <w:tblStyle w:val="TableGrid"/>
        <w:tblW w:w="0" w:type="auto"/>
        <w:tblCellSpacing w:w="15" w:type="dxa"/>
        <w:tblLook w:val="04A0" w:firstRow="1" w:lastRow="0" w:firstColumn="1" w:lastColumn="0" w:noHBand="0" w:noVBand="1"/>
      </w:tblPr>
      <w:tblGrid>
        <w:gridCol w:w="2001"/>
        <w:gridCol w:w="7349"/>
      </w:tblGrid>
      <w:tr w:rsidR="00111D11" w14:paraId="05FB7635"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BE3721" w14:textId="77777777" w:rsidR="00111D11" w:rsidRDefault="002730B5">
            <w:pPr>
              <w:jc w:val="center"/>
              <w:rPr>
                <w:rFonts w:eastAsia="Times New Roman"/>
                <w:b/>
                <w:bCs/>
              </w:rPr>
            </w:pPr>
            <w:r>
              <w:rPr>
                <w:rFonts w:eastAsia="Times New Roman"/>
                <w:b/>
                <w:bCs/>
              </w:rPr>
              <w:t>Theme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5CF38" w14:textId="77777777" w:rsidR="00111D11" w:rsidRDefault="002730B5">
            <w:pPr>
              <w:jc w:val="center"/>
              <w:rPr>
                <w:rFonts w:eastAsia="Times New Roman"/>
                <w:b/>
                <w:bCs/>
              </w:rPr>
            </w:pPr>
            <w:r>
              <w:rPr>
                <w:rFonts w:eastAsia="Times New Roman"/>
                <w:b/>
                <w:bCs/>
              </w:rPr>
              <w:t>Summary</w:t>
            </w:r>
          </w:p>
        </w:tc>
      </w:tr>
      <w:tr w:rsidR="00111D11" w14:paraId="3F39271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F28115" w14:textId="77777777" w:rsidR="00111D11" w:rsidRDefault="002730B5">
            <w:pPr>
              <w:rPr>
                <w:rFonts w:eastAsia="Times New Roman"/>
              </w:rPr>
            </w:pPr>
            <w:r>
              <w:rPr>
                <w:rFonts w:eastAsia="Times New Roman"/>
              </w:rPr>
              <w:t>Evidence limitations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4ED473" w14:textId="77777777" w:rsidR="00111D11" w:rsidRDefault="002730B5">
            <w:pPr>
              <w:rPr>
                <w:rFonts w:eastAsia="Times New Roman"/>
              </w:rPr>
            </w:pPr>
            <w:r>
              <w:rPr>
                <w:rFonts w:eastAsia="Times New Roman"/>
              </w:rPr>
              <w:t>Few randomized trials; heavy reliance on expert consensus and extrapolated data (Ahmed, 2021).</w:t>
            </w:r>
          </w:p>
        </w:tc>
      </w:tr>
      <w:tr w:rsidR="00111D11" w14:paraId="0530903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9DFCCC" w14:textId="77777777" w:rsidR="00111D11" w:rsidRDefault="002730B5">
            <w:pPr>
              <w:rPr>
                <w:rFonts w:eastAsia="Times New Roman"/>
              </w:rPr>
            </w:pPr>
            <w:r>
              <w:rPr>
                <w:rFonts w:eastAsia="Times New Roman"/>
              </w:rPr>
              <w:t>Safety 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F7C43F" w14:textId="77777777" w:rsidR="00111D11" w:rsidRDefault="002730B5">
            <w:pPr>
              <w:rPr>
                <w:rFonts w:eastAsia="Times New Roman"/>
              </w:rPr>
            </w:pPr>
            <w:r>
              <w:rPr>
                <w:rFonts w:eastAsia="Times New Roman"/>
              </w:rPr>
              <w:t>High prevalence of drug-related problems in cardiac neonatal ICU settings (do Nascimento et al., 2020).</w:t>
            </w:r>
          </w:p>
        </w:tc>
      </w:tr>
      <w:tr w:rsidR="00111D11" w14:paraId="7EE4047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18391C" w14:textId="77777777" w:rsidR="00111D11" w:rsidRDefault="002730B5">
            <w:pPr>
              <w:rPr>
                <w:rFonts w:eastAsia="Times New Roman"/>
              </w:rPr>
            </w:pPr>
            <w:r>
              <w:rPr>
                <w:rFonts w:eastAsia="Times New Roman"/>
              </w:rPr>
              <w:t>Precision dosing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3BF70" w14:textId="77777777" w:rsidR="00111D11" w:rsidRDefault="002730B5">
            <w:pPr>
              <w:rPr>
                <w:rFonts w:eastAsia="Times New Roman"/>
              </w:rPr>
            </w:pPr>
            <w:r>
              <w:rPr>
                <w:rFonts w:eastAsia="Times New Roman"/>
              </w:rPr>
              <w:t>Growing use of PBPK models, pharmacogenomics, and clinical decision support tools (Loss et al., 2021).</w:t>
            </w:r>
          </w:p>
        </w:tc>
      </w:tr>
      <w:tr w:rsidR="00111D11" w14:paraId="290B6C6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8C9F87" w14:textId="77777777" w:rsidR="00111D11" w:rsidRDefault="002730B5">
            <w:pPr>
              <w:rPr>
                <w:rFonts w:eastAsia="Times New Roman"/>
              </w:rPr>
            </w:pPr>
            <w:r>
              <w:rPr>
                <w:rFonts w:eastAsia="Times New Roman"/>
              </w:rPr>
              <w:t>Long-term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C467" w14:textId="77777777" w:rsidR="00111D11" w:rsidRDefault="002730B5">
            <w:pPr>
              <w:rPr>
                <w:rFonts w:eastAsia="Times New Roman"/>
              </w:rPr>
            </w:pPr>
            <w:r>
              <w:rPr>
                <w:rFonts w:eastAsia="Times New Roman"/>
              </w:rPr>
              <w:t>Limited data on neurodevelopment and organ health following neonatal exposure to cardiac drugs.</w:t>
            </w:r>
          </w:p>
        </w:tc>
      </w:tr>
    </w:tbl>
    <w:p w14:paraId="364A5BBF" w14:textId="77777777" w:rsidR="00111D11" w:rsidRDefault="00111D11">
      <w:pPr>
        <w:rPr>
          <w:rFonts w:eastAsia="Times New Roman"/>
        </w:rPr>
      </w:pPr>
    </w:p>
    <w:p w14:paraId="5DAE8E4B" w14:textId="77777777" w:rsidR="00111D11" w:rsidRDefault="002730B5">
      <w:pPr>
        <w:pStyle w:val="Heading3"/>
        <w:rPr>
          <w:rFonts w:eastAsia="Times New Roman"/>
        </w:rPr>
      </w:pPr>
      <w:r>
        <w:rPr>
          <w:rStyle w:val="Strong"/>
          <w:rFonts w:eastAsia="Times New Roman"/>
          <w:b w:val="0"/>
          <w:bCs w:val="0"/>
        </w:rPr>
        <w:t>Conclusion</w:t>
      </w:r>
    </w:p>
    <w:p w14:paraId="0C95C045" w14:textId="77777777" w:rsidR="00111D11" w:rsidRDefault="002730B5">
      <w:pPr>
        <w:pStyle w:val="NormalWeb"/>
      </w:pPr>
      <w:r>
        <w:t>Overall, neonatal cardiac pharmacotherapy requires precise dosing strategies grounded in developmental pharmacokinetics and individualized clinical assessment. While recent literature highlights major advances in cardiovascular drug monitoring and support, the need for robust clinical trials and model-informed precision dosing remains urgent. Improving medication safety systems, expanding neonatal drug surveillance networks, and enhancing collaboration among neonatologists, cardiologists, and clinical pharmacologists will be instrumental in strengthening therapeutic outcomes for neonates with critical cardiac conditions.</w:t>
      </w:r>
    </w:p>
    <w:p w14:paraId="21B26577" w14:textId="77777777" w:rsidR="00C17DEA" w:rsidRDefault="00C17DEA">
      <w:pPr>
        <w:pStyle w:val="NormalWeb"/>
      </w:pPr>
    </w:p>
    <w:p w14:paraId="56B5A56B" w14:textId="77777777" w:rsidR="00C17DEA" w:rsidRDefault="00C17DEA" w:rsidP="00C17DEA">
      <w:pPr>
        <w:pStyle w:val="NormalWeb"/>
      </w:pPr>
      <w:r>
        <w:t>COMPETING INTERESTS DISCLAIMER:</w:t>
      </w:r>
    </w:p>
    <w:p w14:paraId="05A69D2D" w14:textId="7E754789" w:rsidR="00C17DEA" w:rsidRDefault="00C17DEA" w:rsidP="00C17DEA">
      <w:pPr>
        <w:pStyle w:val="NormalWeb"/>
      </w:pPr>
      <w:r>
        <w:t>Authors have declared that they have no known competing financial interests OR non-financial interests OR personal relationships that could have appeared to influence the work reported in this paper.</w:t>
      </w:r>
    </w:p>
    <w:p w14:paraId="74464B1A" w14:textId="47BC19DC" w:rsidR="007036BC" w:rsidRDefault="007036BC" w:rsidP="00C17DEA">
      <w:pPr>
        <w:pStyle w:val="NormalWeb"/>
      </w:pPr>
    </w:p>
    <w:p w14:paraId="1DDD30D4" w14:textId="77777777" w:rsidR="007036BC" w:rsidRPr="009C5487" w:rsidRDefault="007036BC" w:rsidP="007036BC">
      <w:pPr>
        <w:rPr>
          <w:rFonts w:ascii="Calibri" w:eastAsia="Calibri" w:hAnsi="Calibri" w:cs="Times New Roman"/>
          <w:highlight w:val="yellow"/>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rPr>
        <w:lastRenderedPageBreak/>
        <w:t>Disclaimer (Artificial intelligence)</w:t>
      </w:r>
    </w:p>
    <w:p w14:paraId="49A6EF89"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4402F4A"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D62FF86"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9F1A91E"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F1E43F"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8CE4ADC"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1.</w:t>
      </w:r>
    </w:p>
    <w:p w14:paraId="5D1AAB11"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2.</w:t>
      </w:r>
    </w:p>
    <w:p w14:paraId="6321A083" w14:textId="77777777" w:rsidR="007036BC" w:rsidRPr="00F870EF" w:rsidRDefault="007036BC" w:rsidP="007036BC">
      <w:pPr>
        <w:rPr>
          <w:rFonts w:ascii="Calibri" w:eastAsia="Calibri" w:hAnsi="Calibri" w:cs="Times New Roman"/>
        </w:rPr>
      </w:pPr>
      <w:bookmarkStart w:id="6" w:name="_Hlk197682629"/>
      <w:bookmarkEnd w:id="1"/>
      <w:r w:rsidRPr="009C5487">
        <w:rPr>
          <w:rFonts w:ascii="Calibri" w:eastAsia="Calibri" w:hAnsi="Calibri" w:cs="Times New Roman"/>
          <w:highlight w:val="yellow"/>
        </w:rPr>
        <w:t>3.</w:t>
      </w:r>
      <w:bookmarkStart w:id="7" w:name="_Hlk187485061"/>
      <w:bookmarkEnd w:id="2"/>
      <w:bookmarkEnd w:id="3"/>
      <w:bookmarkEnd w:id="6"/>
    </w:p>
    <w:bookmarkEnd w:id="4"/>
    <w:bookmarkEnd w:id="7"/>
    <w:p w14:paraId="1C17ACAA" w14:textId="77777777" w:rsidR="007036BC" w:rsidRDefault="007036BC" w:rsidP="007036BC"/>
    <w:bookmarkEnd w:id="5"/>
    <w:p w14:paraId="1638D8AD" w14:textId="77777777" w:rsidR="007036BC" w:rsidRDefault="007036BC" w:rsidP="00C17DEA">
      <w:pPr>
        <w:pStyle w:val="NormalWeb"/>
      </w:pPr>
    </w:p>
    <w:p w14:paraId="67FDD58E" w14:textId="77777777" w:rsidR="00111D11" w:rsidRDefault="00111D11">
      <w:pPr>
        <w:rPr>
          <w:b/>
          <w:bCs/>
        </w:rPr>
      </w:pPr>
    </w:p>
    <w:p w14:paraId="0FF69529" w14:textId="77777777" w:rsidR="00111D11" w:rsidRDefault="002730B5">
      <w:pPr>
        <w:rPr>
          <w:b/>
          <w:bCs/>
        </w:rPr>
      </w:pPr>
      <w:r>
        <w:rPr>
          <w:b/>
          <w:bCs/>
        </w:rPr>
        <w:t>References</w:t>
      </w:r>
    </w:p>
    <w:p w14:paraId="01C500F1" w14:textId="75CCF017" w:rsidR="00111D11" w:rsidRPr="00B72755" w:rsidRDefault="007D393F">
      <w:pPr>
        <w:pStyle w:val="ListParagraph"/>
        <w:numPr>
          <w:ilvl w:val="0"/>
          <w:numId w:val="3"/>
        </w:numPr>
        <w:rPr>
          <w:highlight w:val="yellow"/>
        </w:rPr>
      </w:pPr>
      <w:r w:rsidRPr="00B72755">
        <w:rPr>
          <w:highlight w:val="yellow"/>
        </w:rPr>
        <w:t xml:space="preserve">Ku, L., &amp; Smith, P. (2015). Dosing in neonates: Special considerations in physiology and trial design. </w:t>
      </w:r>
      <w:r w:rsidRPr="00B72755">
        <w:rPr>
          <w:i/>
          <w:iCs/>
          <w:highlight w:val="yellow"/>
        </w:rPr>
        <w:t>Pediatric Research, 77</w:t>
      </w:r>
      <w:r w:rsidRPr="00B72755">
        <w:rPr>
          <w:highlight w:val="yellow"/>
        </w:rPr>
        <w:t xml:space="preserve">, 2–9. </w:t>
      </w:r>
      <w:r w:rsidR="002730B5" w:rsidRPr="00B72755">
        <w:rPr>
          <w:highlight w:val="yellow"/>
        </w:rPr>
        <w:t>https://doi.org/10.1038/pr.2014.143</w:t>
      </w:r>
    </w:p>
    <w:p w14:paraId="7DC1D61E" w14:textId="52238A0E" w:rsidR="00111D11" w:rsidRPr="00B72755" w:rsidRDefault="008E5C8E">
      <w:pPr>
        <w:pStyle w:val="ListParagraph"/>
        <w:numPr>
          <w:ilvl w:val="0"/>
          <w:numId w:val="3"/>
        </w:numPr>
        <w:rPr>
          <w:highlight w:val="yellow"/>
        </w:rPr>
      </w:pPr>
      <w:r w:rsidRPr="00B72755">
        <w:rPr>
          <w:highlight w:val="yellow"/>
        </w:rPr>
        <w:t>O'Hara, K., Wright, I. M., Schneider, J. J., Jones, A. L., &amp; Martin, J. H. (2015). Pharmacokinetics in neonatal prescribing: evidence base, paradigms and the future. </w:t>
      </w:r>
      <w:r w:rsidRPr="00B72755">
        <w:rPr>
          <w:i/>
          <w:iCs/>
          <w:highlight w:val="yellow"/>
        </w:rPr>
        <w:t>British journal of clinical pharmacology</w:t>
      </w:r>
      <w:r w:rsidRPr="00B72755">
        <w:rPr>
          <w:highlight w:val="yellow"/>
        </w:rPr>
        <w:t>, </w:t>
      </w:r>
      <w:r w:rsidRPr="00B72755">
        <w:rPr>
          <w:i/>
          <w:iCs/>
          <w:highlight w:val="yellow"/>
        </w:rPr>
        <w:t>80</w:t>
      </w:r>
      <w:r w:rsidRPr="00B72755">
        <w:rPr>
          <w:highlight w:val="yellow"/>
        </w:rPr>
        <w:t>(6), 1281-1288.</w:t>
      </w:r>
      <w:r w:rsidR="002730B5" w:rsidRPr="00B72755">
        <w:rPr>
          <w:highlight w:val="yellow"/>
        </w:rPr>
        <w:t xml:space="preserve"> </w:t>
      </w:r>
      <w:hyperlink r:id="rId7" w:history="1">
        <w:r w:rsidR="00747016" w:rsidRPr="00B72755">
          <w:rPr>
            <w:rStyle w:val="Hyperlink"/>
            <w:rFonts w:ascii="Aptos" w:hAnsi="Aptos" w:cs="SimSun"/>
            <w:sz w:val="24"/>
            <w:highlight w:val="yellow"/>
          </w:rPr>
          <w:t>https://doi.org/10.1111/bcp.12741</w:t>
        </w:r>
      </w:hyperlink>
      <w:r w:rsidR="00747016" w:rsidRPr="00B72755">
        <w:rPr>
          <w:highlight w:val="yellow"/>
        </w:rPr>
        <w:t xml:space="preserve"> </w:t>
      </w:r>
    </w:p>
    <w:p w14:paraId="1040426D" w14:textId="77777777" w:rsidR="00111D11" w:rsidRDefault="002730B5">
      <w:pPr>
        <w:pStyle w:val="ListParagraph"/>
        <w:numPr>
          <w:ilvl w:val="0"/>
          <w:numId w:val="3"/>
        </w:numPr>
      </w:pPr>
      <w:r>
        <w:t>Bansal, N. (2024). Pharmacokinetics of drugs: Newborn perspective. Annals of Translational Medicine, 12(3), 342–354. https://doi.org/10.21037/atm-22-7227</w:t>
      </w:r>
    </w:p>
    <w:p w14:paraId="0C410E04" w14:textId="77777777" w:rsidR="00111D11" w:rsidRDefault="002730B5">
      <w:pPr>
        <w:pStyle w:val="ListParagraph"/>
        <w:numPr>
          <w:ilvl w:val="0"/>
          <w:numId w:val="3"/>
        </w:numPr>
      </w:pPr>
      <w:r>
        <w:t>Ruggiero, A., &amp; colleagues. (2019). Neonatal pharmacology and clinical implications. Frontiers in Pharmacology, 10, 337. https://doi.org/10.3389/fphar.2019.00337</w:t>
      </w:r>
    </w:p>
    <w:p w14:paraId="36C36EB2" w14:textId="387423E9" w:rsidR="00111D11" w:rsidRPr="00B72755" w:rsidRDefault="00AC00B3">
      <w:pPr>
        <w:pStyle w:val="ListParagraph"/>
        <w:numPr>
          <w:ilvl w:val="0"/>
          <w:numId w:val="3"/>
        </w:numPr>
        <w:rPr>
          <w:highlight w:val="yellow"/>
        </w:rPr>
      </w:pPr>
      <w:proofErr w:type="spellStart"/>
      <w:r w:rsidRPr="00B72755">
        <w:rPr>
          <w:highlight w:val="yellow"/>
        </w:rPr>
        <w:t>Agakidou</w:t>
      </w:r>
      <w:proofErr w:type="spellEnd"/>
      <w:r w:rsidRPr="00B72755">
        <w:rPr>
          <w:highlight w:val="yellow"/>
        </w:rPr>
        <w:t xml:space="preserve">, E., </w:t>
      </w:r>
      <w:proofErr w:type="spellStart"/>
      <w:r w:rsidRPr="00B72755">
        <w:rPr>
          <w:highlight w:val="yellow"/>
        </w:rPr>
        <w:t>Chatziioannidis</w:t>
      </w:r>
      <w:proofErr w:type="spellEnd"/>
      <w:r w:rsidRPr="00B72755">
        <w:rPr>
          <w:highlight w:val="yellow"/>
        </w:rPr>
        <w:t xml:space="preserve">, I., Kontou, A., Stathopoulou, T., </w:t>
      </w:r>
      <w:proofErr w:type="spellStart"/>
      <w:r w:rsidRPr="00B72755">
        <w:rPr>
          <w:highlight w:val="yellow"/>
        </w:rPr>
        <w:t>Chotas</w:t>
      </w:r>
      <w:proofErr w:type="spellEnd"/>
      <w:r w:rsidRPr="00B72755">
        <w:rPr>
          <w:highlight w:val="yellow"/>
        </w:rPr>
        <w:t xml:space="preserve">, W., &amp; </w:t>
      </w:r>
      <w:proofErr w:type="spellStart"/>
      <w:r w:rsidRPr="00B72755">
        <w:rPr>
          <w:highlight w:val="yellow"/>
        </w:rPr>
        <w:t>Sarafidis</w:t>
      </w:r>
      <w:proofErr w:type="spellEnd"/>
      <w:r w:rsidRPr="00B72755">
        <w:rPr>
          <w:highlight w:val="yellow"/>
        </w:rPr>
        <w:t xml:space="preserve">, K. (2024). An Update on Pharmacologic Management of Neonatal </w:t>
      </w:r>
      <w:r w:rsidRPr="00B72755">
        <w:rPr>
          <w:highlight w:val="yellow"/>
        </w:rPr>
        <w:lastRenderedPageBreak/>
        <w:t xml:space="preserve">Hypotension: When, </w:t>
      </w:r>
      <w:proofErr w:type="gramStart"/>
      <w:r w:rsidRPr="00B72755">
        <w:rPr>
          <w:highlight w:val="yellow"/>
        </w:rPr>
        <w:t>Why</w:t>
      </w:r>
      <w:proofErr w:type="gramEnd"/>
      <w:r w:rsidRPr="00B72755">
        <w:rPr>
          <w:highlight w:val="yellow"/>
        </w:rPr>
        <w:t>, and Which Medication. </w:t>
      </w:r>
      <w:r w:rsidRPr="00B72755">
        <w:rPr>
          <w:i/>
          <w:iCs/>
          <w:highlight w:val="yellow"/>
        </w:rPr>
        <w:t>Children</w:t>
      </w:r>
      <w:r w:rsidRPr="00B72755">
        <w:rPr>
          <w:highlight w:val="yellow"/>
        </w:rPr>
        <w:t>, </w:t>
      </w:r>
      <w:r w:rsidRPr="00B72755">
        <w:rPr>
          <w:i/>
          <w:iCs/>
          <w:highlight w:val="yellow"/>
        </w:rPr>
        <w:t>11</w:t>
      </w:r>
      <w:r w:rsidRPr="00B72755">
        <w:rPr>
          <w:highlight w:val="yellow"/>
        </w:rPr>
        <w:t>(4), 490</w:t>
      </w:r>
      <w:r w:rsidR="002730B5" w:rsidRPr="00B72755">
        <w:rPr>
          <w:highlight w:val="yellow"/>
        </w:rPr>
        <w:t>. https://doi.org/10.3390/children11040490</w:t>
      </w:r>
    </w:p>
    <w:p w14:paraId="027A61D5" w14:textId="42A751BA" w:rsidR="00111D11" w:rsidRDefault="002730B5">
      <w:pPr>
        <w:pStyle w:val="ListParagraph"/>
        <w:numPr>
          <w:ilvl w:val="0"/>
          <w:numId w:val="3"/>
        </w:numPr>
      </w:pPr>
      <w:r w:rsidRPr="00710300">
        <w:rPr>
          <w:lang w:val="es-US"/>
        </w:rPr>
        <w:t xml:space="preserve">do Nascimento, A. R. F., et al. </w:t>
      </w:r>
      <w:r>
        <w:t>(2020). Drug-related problems in cardiac neonates admitted to an intensive care unit. BMC Pediatrics, 20, 182. https://doi.org/10.1186/s12887-020-02092-2</w:t>
      </w:r>
    </w:p>
    <w:p w14:paraId="2C07E094" w14:textId="77777777" w:rsidR="00111D11" w:rsidRDefault="002730B5">
      <w:pPr>
        <w:pStyle w:val="ListParagraph"/>
        <w:numPr>
          <w:ilvl w:val="0"/>
          <w:numId w:val="3"/>
        </w:numPr>
      </w:pPr>
      <w:r>
        <w:t xml:space="preserve">Patwardhan, K., et al. (2008). Inotropes in neonates: Review of therapy and dosing. Infant, 4(2), s**(pp </w:t>
      </w:r>
      <w:proofErr w:type="gramStart"/>
      <w:r>
        <w:t>omitted)*</w:t>
      </w:r>
      <w:proofErr w:type="gramEnd"/>
      <w:r>
        <w:t>*.</w:t>
      </w:r>
    </w:p>
    <w:p w14:paraId="453F4A16" w14:textId="77777777" w:rsidR="00111D11" w:rsidRDefault="002730B5">
      <w:pPr>
        <w:pStyle w:val="ListParagraph"/>
        <w:numPr>
          <w:ilvl w:val="0"/>
          <w:numId w:val="3"/>
        </w:numPr>
      </w:pPr>
      <w:r>
        <w:t>Driscoll, D. J. (1987). Use of inotropic and chronotropic agents in neonates. Neonatal Network, 6(1), 41–47.</w:t>
      </w:r>
    </w:p>
    <w:p w14:paraId="280A00F1" w14:textId="77777777" w:rsidR="00111D11" w:rsidRDefault="002730B5">
      <w:pPr>
        <w:pStyle w:val="ListParagraph"/>
        <w:numPr>
          <w:ilvl w:val="0"/>
          <w:numId w:val="3"/>
        </w:numPr>
      </w:pPr>
      <w:r>
        <w:t>Loss, K. L., Shaddy, R. E., &amp; Kantor, P. F. (2021). Recent and upcoming drug therapies for pediatric heart failure. Frontiers in Pediatrics, 9, 681224. https://doi.org/10.3389/fped.2021.681224</w:t>
      </w:r>
    </w:p>
    <w:p w14:paraId="22D2D3F3" w14:textId="77777777" w:rsidR="00111D11" w:rsidRDefault="002730B5">
      <w:pPr>
        <w:pStyle w:val="ListParagraph"/>
        <w:numPr>
          <w:ilvl w:val="0"/>
          <w:numId w:val="3"/>
        </w:numPr>
      </w:pPr>
      <w:r w:rsidRPr="00710300">
        <w:rPr>
          <w:lang w:val="es-US"/>
        </w:rPr>
        <w:t xml:space="preserve">Tume, S. C., et al. </w:t>
      </w:r>
      <w:r>
        <w:t>(2016). Pharmacologic approach to heart failure in children. Pediatric Drugs, 18(5), 379–393. https://doi.org/10.1007/s40272-016-0209-8</w:t>
      </w:r>
    </w:p>
    <w:p w14:paraId="0D19E62D" w14:textId="4141AE17" w:rsidR="00111D11" w:rsidRPr="00B72755" w:rsidRDefault="00814C28">
      <w:pPr>
        <w:pStyle w:val="ListParagraph"/>
        <w:numPr>
          <w:ilvl w:val="0"/>
          <w:numId w:val="3"/>
        </w:numPr>
        <w:rPr>
          <w:highlight w:val="yellow"/>
        </w:rPr>
      </w:pPr>
      <w:proofErr w:type="spellStart"/>
      <w:r w:rsidRPr="00B72755">
        <w:rPr>
          <w:highlight w:val="yellow"/>
          <w:lang w:val="es-US"/>
        </w:rPr>
        <w:t>Batra</w:t>
      </w:r>
      <w:proofErr w:type="spellEnd"/>
      <w:r w:rsidRPr="00B72755">
        <w:rPr>
          <w:highlight w:val="yellow"/>
          <w:lang w:val="es-US"/>
        </w:rPr>
        <w:t xml:space="preserve">, A. S., </w:t>
      </w:r>
      <w:proofErr w:type="spellStart"/>
      <w:r w:rsidRPr="00B72755">
        <w:rPr>
          <w:highlight w:val="yellow"/>
          <w:lang w:val="es-US"/>
        </w:rPr>
        <w:t>Silka</w:t>
      </w:r>
      <w:proofErr w:type="spellEnd"/>
      <w:r w:rsidRPr="00B72755">
        <w:rPr>
          <w:highlight w:val="yellow"/>
          <w:lang w:val="es-US"/>
        </w:rPr>
        <w:t xml:space="preserve">, M. J., </w:t>
      </w:r>
      <w:proofErr w:type="spellStart"/>
      <w:r w:rsidRPr="00B72755">
        <w:rPr>
          <w:highlight w:val="yellow"/>
          <w:lang w:val="es-US"/>
        </w:rPr>
        <w:t>Borquez</w:t>
      </w:r>
      <w:proofErr w:type="spellEnd"/>
      <w:r w:rsidRPr="00B72755">
        <w:rPr>
          <w:highlight w:val="yellow"/>
          <w:lang w:val="es-US"/>
        </w:rPr>
        <w:t xml:space="preserve">, A., Cuneo, B., </w:t>
      </w:r>
      <w:proofErr w:type="spellStart"/>
      <w:r w:rsidRPr="00B72755">
        <w:rPr>
          <w:highlight w:val="yellow"/>
          <w:lang w:val="es-US"/>
        </w:rPr>
        <w:t>Dechert</w:t>
      </w:r>
      <w:proofErr w:type="spellEnd"/>
      <w:r w:rsidRPr="00B72755">
        <w:rPr>
          <w:highlight w:val="yellow"/>
          <w:lang w:val="es-US"/>
        </w:rPr>
        <w:t xml:space="preserve">, B., </w:t>
      </w:r>
      <w:proofErr w:type="spellStart"/>
      <w:r w:rsidRPr="00B72755">
        <w:rPr>
          <w:highlight w:val="yellow"/>
          <w:lang w:val="es-US"/>
        </w:rPr>
        <w:t>Jaeggi</w:t>
      </w:r>
      <w:proofErr w:type="spellEnd"/>
      <w:r w:rsidRPr="00B72755">
        <w:rPr>
          <w:highlight w:val="yellow"/>
          <w:lang w:val="es-US"/>
        </w:rPr>
        <w:t xml:space="preserve">, E., ... </w:t>
      </w:r>
      <w:r w:rsidRPr="00B72755">
        <w:rPr>
          <w:highlight w:val="yellow"/>
        </w:rPr>
        <w:t>&amp; Wolfe, D. (2024). Pharmacological management of cardiac arrhythmias in the fetal and neonatal periods: a scientific statement from the American Heart Association. </w:t>
      </w:r>
      <w:r w:rsidRPr="00B72755">
        <w:rPr>
          <w:i/>
          <w:iCs/>
          <w:highlight w:val="yellow"/>
        </w:rPr>
        <w:t>Circulation</w:t>
      </w:r>
      <w:r w:rsidRPr="00B72755">
        <w:rPr>
          <w:highlight w:val="yellow"/>
        </w:rPr>
        <w:t>, </w:t>
      </w:r>
      <w:r w:rsidRPr="00B72755">
        <w:rPr>
          <w:i/>
          <w:iCs/>
          <w:highlight w:val="yellow"/>
        </w:rPr>
        <w:t>149</w:t>
      </w:r>
      <w:r w:rsidRPr="00B72755">
        <w:rPr>
          <w:highlight w:val="yellow"/>
        </w:rPr>
        <w:t>(10), e937-e952.</w:t>
      </w:r>
      <w:r w:rsidR="002730B5" w:rsidRPr="00B72755">
        <w:rPr>
          <w:highlight w:val="yellow"/>
        </w:rPr>
        <w:t>https://doi.org/10.1161/CIR.0000000000001206</w:t>
      </w:r>
    </w:p>
    <w:p w14:paraId="359FF81B" w14:textId="77777777" w:rsidR="00111D11" w:rsidRDefault="002730B5">
      <w:pPr>
        <w:pStyle w:val="ListParagraph"/>
        <w:numPr>
          <w:ilvl w:val="0"/>
          <w:numId w:val="3"/>
        </w:numPr>
      </w:pPr>
      <w:r>
        <w:t>Ahmed, H. (2021). Medical management of pediatric heart failure: Focus on neonates and infants. Cardiology and Therapy, 10(3), 437–451. https://doi.org/10.1007/s40119-021-00226-7</w:t>
      </w:r>
    </w:p>
    <w:p w14:paraId="54FE00A5" w14:textId="0FC074C9" w:rsidR="00111D11" w:rsidRPr="00B72755" w:rsidRDefault="003B40BB">
      <w:pPr>
        <w:pStyle w:val="ListParagraph"/>
        <w:numPr>
          <w:ilvl w:val="0"/>
          <w:numId w:val="3"/>
        </w:numPr>
        <w:rPr>
          <w:highlight w:val="yellow"/>
        </w:rPr>
      </w:pPr>
      <w:proofErr w:type="spellStart"/>
      <w:r w:rsidRPr="00B72755">
        <w:rPr>
          <w:highlight w:val="yellow"/>
          <w:lang w:val="es-US"/>
        </w:rPr>
        <w:t>Ergenekon</w:t>
      </w:r>
      <w:proofErr w:type="spellEnd"/>
      <w:r w:rsidRPr="00B72755">
        <w:rPr>
          <w:highlight w:val="yellow"/>
          <w:lang w:val="es-US"/>
        </w:rPr>
        <w:t xml:space="preserve">, E., Rojas-Anaya, H., Bravo, M. C., </w:t>
      </w:r>
      <w:proofErr w:type="spellStart"/>
      <w:r w:rsidRPr="00B72755">
        <w:rPr>
          <w:highlight w:val="yellow"/>
          <w:lang w:val="es-US"/>
        </w:rPr>
        <w:t>Kotidis</w:t>
      </w:r>
      <w:proofErr w:type="spellEnd"/>
      <w:r w:rsidRPr="00B72755">
        <w:rPr>
          <w:highlight w:val="yellow"/>
          <w:lang w:val="es-US"/>
        </w:rPr>
        <w:t xml:space="preserve">, C., Mahoney, L., &amp; </w:t>
      </w:r>
      <w:proofErr w:type="spellStart"/>
      <w:r w:rsidRPr="00B72755">
        <w:rPr>
          <w:highlight w:val="yellow"/>
          <w:lang w:val="es-US"/>
        </w:rPr>
        <w:t>Rabe</w:t>
      </w:r>
      <w:proofErr w:type="spellEnd"/>
      <w:r w:rsidRPr="00B72755">
        <w:rPr>
          <w:highlight w:val="yellow"/>
          <w:lang w:val="es-US"/>
        </w:rPr>
        <w:t xml:space="preserve">, H. (2017). </w:t>
      </w:r>
      <w:r w:rsidRPr="00B72755">
        <w:rPr>
          <w:highlight w:val="yellow"/>
        </w:rPr>
        <w:t>Cardiovascular drug therapy for human newborn: review of pharmacodynamic data. </w:t>
      </w:r>
      <w:r w:rsidRPr="00B72755">
        <w:rPr>
          <w:i/>
          <w:iCs/>
          <w:highlight w:val="yellow"/>
        </w:rPr>
        <w:t>Current pharmaceutical design</w:t>
      </w:r>
      <w:r w:rsidRPr="00B72755">
        <w:rPr>
          <w:highlight w:val="yellow"/>
        </w:rPr>
        <w:t>, </w:t>
      </w:r>
      <w:r w:rsidRPr="00B72755">
        <w:rPr>
          <w:i/>
          <w:iCs/>
          <w:highlight w:val="yellow"/>
        </w:rPr>
        <w:t>23</w:t>
      </w:r>
      <w:r w:rsidRPr="00B72755">
        <w:rPr>
          <w:highlight w:val="yellow"/>
        </w:rPr>
        <w:t>(38), 5850-5860.</w:t>
      </w:r>
    </w:p>
    <w:p w14:paraId="2F6B95CE" w14:textId="77777777" w:rsidR="00111D11" w:rsidRDefault="002730B5">
      <w:pPr>
        <w:pStyle w:val="ListParagraph"/>
        <w:numPr>
          <w:ilvl w:val="0"/>
          <w:numId w:val="3"/>
        </w:numPr>
      </w:pPr>
      <w:proofErr w:type="spellStart"/>
      <w:r>
        <w:t>Elgnainy</w:t>
      </w:r>
      <w:proofErr w:type="spellEnd"/>
      <w:r>
        <w:t xml:space="preserve">, H. A. (2023). Medication safety in neonatal care. In Best Practices in Neonatal Care and Safety (Working Title). </w:t>
      </w:r>
      <w:proofErr w:type="spellStart"/>
      <w:r>
        <w:t>IntechOpen</w:t>
      </w:r>
      <w:proofErr w:type="spellEnd"/>
      <w:r>
        <w:t>. https://doi.org/10.5772/intechopen.1003600</w:t>
      </w:r>
    </w:p>
    <w:p w14:paraId="31040AD4" w14:textId="77777777" w:rsidR="00E57071" w:rsidRDefault="002730B5" w:rsidP="00E57071">
      <w:pPr>
        <w:pStyle w:val="ListParagraph"/>
        <w:numPr>
          <w:ilvl w:val="0"/>
          <w:numId w:val="3"/>
        </w:numPr>
      </w:pPr>
      <w:r>
        <w:t xml:space="preserve">Anderson, B. J. (2023). Neonatal pharmacology: Dosing for </w:t>
      </w:r>
      <w:proofErr w:type="spellStart"/>
      <w:r>
        <w:t>anaesthesia</w:t>
      </w:r>
      <w:proofErr w:type="spellEnd"/>
      <w:r>
        <w:t xml:space="preserve"> and cardiovascular support. Seminars in Fetal &amp; Neonatal Medicine, 28(2), 101492. </w:t>
      </w:r>
      <w:r w:rsidR="00E57071">
        <w:fldChar w:fldCharType="begin"/>
      </w:r>
      <w:r w:rsidR="00E57071">
        <w:instrText>HYPERLINK "https://doi.org/10.1016/j.siny.2022.101492"</w:instrText>
      </w:r>
      <w:r w:rsidR="00E57071">
        <w:fldChar w:fldCharType="separate"/>
      </w:r>
      <w:r w:rsidR="00E57071" w:rsidRPr="00573A61">
        <w:rPr>
          <w:rStyle w:val="Hyperlink"/>
          <w:rFonts w:ascii="Aptos" w:hAnsi="Aptos" w:cs="SimSun"/>
          <w:sz w:val="24"/>
        </w:rPr>
        <w:t>https://doi.org/10.1016/j.siny.2022.101492</w:t>
      </w:r>
      <w:r w:rsidR="00E57071">
        <w:fldChar w:fldCharType="end"/>
      </w:r>
    </w:p>
    <w:p w14:paraId="1C63DEC9" w14:textId="5BCBB5A3" w:rsidR="00E57071" w:rsidRPr="00B72755" w:rsidRDefault="00E57071" w:rsidP="00E57071">
      <w:pPr>
        <w:pStyle w:val="ListParagraph"/>
        <w:numPr>
          <w:ilvl w:val="0"/>
          <w:numId w:val="3"/>
        </w:numPr>
        <w:rPr>
          <w:highlight w:val="yellow"/>
        </w:rPr>
      </w:pPr>
      <w:r w:rsidRPr="00B72755">
        <w:rPr>
          <w:highlight w:val="yellow"/>
        </w:rPr>
        <w:t xml:space="preserve">De </w:t>
      </w:r>
      <w:proofErr w:type="spellStart"/>
      <w:r w:rsidRPr="00B72755">
        <w:rPr>
          <w:highlight w:val="yellow"/>
        </w:rPr>
        <w:t>Brouchoven</w:t>
      </w:r>
      <w:proofErr w:type="spellEnd"/>
      <w:r w:rsidRPr="00B72755">
        <w:rPr>
          <w:highlight w:val="yellow"/>
        </w:rPr>
        <w:t xml:space="preserve">, I., Lorand, J., Bofferding, L., </w:t>
      </w:r>
      <w:proofErr w:type="spellStart"/>
      <w:r w:rsidRPr="00B72755">
        <w:rPr>
          <w:highlight w:val="yellow"/>
        </w:rPr>
        <w:t>Sorlin</w:t>
      </w:r>
      <w:proofErr w:type="spellEnd"/>
      <w:r w:rsidRPr="00B72755">
        <w:rPr>
          <w:highlight w:val="yellow"/>
        </w:rPr>
        <w:t xml:space="preserve">, A., Van Damme, A., &amp; </w:t>
      </w:r>
      <w:proofErr w:type="spellStart"/>
      <w:r w:rsidRPr="00B72755">
        <w:rPr>
          <w:highlight w:val="yellow"/>
        </w:rPr>
        <w:t>Danhaive</w:t>
      </w:r>
      <w:proofErr w:type="spellEnd"/>
      <w:r w:rsidRPr="00B72755">
        <w:rPr>
          <w:highlight w:val="yellow"/>
        </w:rPr>
        <w:t>, O. (2025). Trametinib as a targeted treatment in cardiac and lymphatic presentations of Noonan syndrome. </w:t>
      </w:r>
      <w:r w:rsidRPr="00B72755">
        <w:rPr>
          <w:i/>
          <w:iCs/>
          <w:highlight w:val="yellow"/>
        </w:rPr>
        <w:t>Frontiers in Pediatrics</w:t>
      </w:r>
      <w:r w:rsidRPr="00B72755">
        <w:rPr>
          <w:highlight w:val="yellow"/>
        </w:rPr>
        <w:t>, </w:t>
      </w:r>
      <w:r w:rsidRPr="00B72755">
        <w:rPr>
          <w:i/>
          <w:iCs/>
          <w:highlight w:val="yellow"/>
        </w:rPr>
        <w:t>13</w:t>
      </w:r>
      <w:r w:rsidRPr="00B72755">
        <w:rPr>
          <w:highlight w:val="yellow"/>
        </w:rPr>
        <w:t xml:space="preserve">, 1475143. </w:t>
      </w:r>
      <w:hyperlink r:id="rId8" w:history="1">
        <w:r w:rsidRPr="00B72755">
          <w:rPr>
            <w:rStyle w:val="Hyperlink"/>
            <w:highlight w:val="yellow"/>
          </w:rPr>
          <w:t>https://doi.org/10.3389/fped.2025.1475143</w:t>
        </w:r>
      </w:hyperlink>
    </w:p>
    <w:p w14:paraId="3E6692F2" w14:textId="77777777" w:rsidR="00E57071" w:rsidRPr="00B72755" w:rsidRDefault="00E57071" w:rsidP="00E57071">
      <w:pPr>
        <w:pStyle w:val="ListParagraph"/>
        <w:numPr>
          <w:ilvl w:val="0"/>
          <w:numId w:val="3"/>
        </w:numPr>
        <w:rPr>
          <w:highlight w:val="yellow"/>
          <w:lang w:val="es-US"/>
        </w:rPr>
      </w:pPr>
      <w:r w:rsidRPr="00B72755">
        <w:rPr>
          <w:highlight w:val="yellow"/>
        </w:rPr>
        <w:t xml:space="preserve">Baldo, F., </w:t>
      </w:r>
      <w:proofErr w:type="spellStart"/>
      <w:r w:rsidRPr="00B72755">
        <w:rPr>
          <w:highlight w:val="yellow"/>
        </w:rPr>
        <w:t>Fachin</w:t>
      </w:r>
      <w:proofErr w:type="spellEnd"/>
      <w:r w:rsidRPr="00B72755">
        <w:rPr>
          <w:highlight w:val="yellow"/>
        </w:rPr>
        <w:t xml:space="preserve">, A., Da Re, B., </w:t>
      </w:r>
      <w:proofErr w:type="spellStart"/>
      <w:r w:rsidRPr="00B72755">
        <w:rPr>
          <w:highlight w:val="yellow"/>
        </w:rPr>
        <w:t>Rubinato</w:t>
      </w:r>
      <w:proofErr w:type="spellEnd"/>
      <w:r w:rsidRPr="00B72755">
        <w:rPr>
          <w:highlight w:val="yellow"/>
        </w:rPr>
        <w:t xml:space="preserve">, E., Bobbo, M., &amp; Barbi, E. (2022). New insights on Noonan syndrome’s clinical phenotype: A single-center retrospective study. </w:t>
      </w:r>
      <w:r w:rsidRPr="00B72755">
        <w:rPr>
          <w:i/>
          <w:iCs/>
          <w:highlight w:val="yellow"/>
        </w:rPr>
        <w:t>BMC Pediatrics, 22</w:t>
      </w:r>
      <w:r w:rsidRPr="00B72755">
        <w:rPr>
          <w:highlight w:val="yellow"/>
        </w:rPr>
        <w:t xml:space="preserve">(1), 734. </w:t>
      </w:r>
      <w:hyperlink r:id="rId9" w:history="1">
        <w:r w:rsidRPr="00B72755">
          <w:rPr>
            <w:rStyle w:val="Hyperlink"/>
            <w:highlight w:val="yellow"/>
            <w:lang w:val="es-US"/>
          </w:rPr>
          <w:t>https://doi.org/10.1186/s12887-022-03804-2</w:t>
        </w:r>
      </w:hyperlink>
    </w:p>
    <w:p w14:paraId="00202429"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lastRenderedPageBreak/>
        <w:t>Mussa</w:t>
      </w:r>
      <w:proofErr w:type="spellEnd"/>
      <w:r w:rsidRPr="00B72755">
        <w:rPr>
          <w:highlight w:val="yellow"/>
          <w:lang w:val="es-US"/>
        </w:rPr>
        <w:t xml:space="preserve">, A., </w:t>
      </w:r>
      <w:proofErr w:type="spellStart"/>
      <w:r w:rsidRPr="00B72755">
        <w:rPr>
          <w:highlight w:val="yellow"/>
          <w:lang w:val="es-US"/>
        </w:rPr>
        <w:t>Carli</w:t>
      </w:r>
      <w:proofErr w:type="spellEnd"/>
      <w:r w:rsidRPr="00B72755">
        <w:rPr>
          <w:highlight w:val="yellow"/>
          <w:lang w:val="es-US"/>
        </w:rPr>
        <w:t xml:space="preserve">, D., Giorgio, E., Villar, A. M., </w:t>
      </w:r>
      <w:proofErr w:type="spellStart"/>
      <w:r w:rsidRPr="00B72755">
        <w:rPr>
          <w:highlight w:val="yellow"/>
          <w:lang w:val="es-US"/>
        </w:rPr>
        <w:t>Cardaropoli</w:t>
      </w:r>
      <w:proofErr w:type="spellEnd"/>
      <w:r w:rsidRPr="00B72755">
        <w:rPr>
          <w:highlight w:val="yellow"/>
          <w:lang w:val="es-US"/>
        </w:rPr>
        <w:t xml:space="preserve">, S., Carbonara, C., et al. </w:t>
      </w:r>
      <w:r w:rsidRPr="00B72755">
        <w:rPr>
          <w:highlight w:val="yellow"/>
        </w:rPr>
        <w:t xml:space="preserve">(2021). MEK inhibition in a newborn with RAF1-associated Noonan syndrome ameliorates hypertrophic cardiomyopathy but is insufficient to revert pulmonary vascular disease. </w:t>
      </w:r>
      <w:r w:rsidRPr="00B72755">
        <w:rPr>
          <w:i/>
          <w:iCs/>
          <w:highlight w:val="yellow"/>
        </w:rPr>
        <w:t>Genes, 13</w:t>
      </w:r>
      <w:r w:rsidRPr="00B72755">
        <w:rPr>
          <w:highlight w:val="yellow"/>
        </w:rPr>
        <w:t xml:space="preserve">(1), 6. </w:t>
      </w:r>
      <w:hyperlink r:id="rId10" w:history="1">
        <w:r w:rsidRPr="00B72755">
          <w:rPr>
            <w:rStyle w:val="Hyperlink"/>
            <w:highlight w:val="yellow"/>
          </w:rPr>
          <w:t>https://doi.org/10.3390/genes13010006</w:t>
        </w:r>
      </w:hyperlink>
    </w:p>
    <w:p w14:paraId="6C17EEFE" w14:textId="77777777" w:rsidR="00E57071" w:rsidRPr="00B72755" w:rsidRDefault="00E57071" w:rsidP="00E57071">
      <w:pPr>
        <w:pStyle w:val="ListParagraph"/>
        <w:numPr>
          <w:ilvl w:val="0"/>
          <w:numId w:val="3"/>
        </w:numPr>
        <w:rPr>
          <w:highlight w:val="yellow"/>
        </w:rPr>
      </w:pPr>
      <w:r w:rsidRPr="00B72755">
        <w:rPr>
          <w:highlight w:val="yellow"/>
        </w:rPr>
        <w:t xml:space="preserve">Stuurman, K. E., Joosten, M., van der </w:t>
      </w:r>
      <w:proofErr w:type="spellStart"/>
      <w:r w:rsidRPr="00B72755">
        <w:rPr>
          <w:highlight w:val="yellow"/>
        </w:rPr>
        <w:t>Burgt</w:t>
      </w:r>
      <w:proofErr w:type="spellEnd"/>
      <w:r w:rsidRPr="00B72755">
        <w:rPr>
          <w:highlight w:val="yellow"/>
        </w:rPr>
        <w:t>, I, Elting, M., Yntema, H. G., Meijers-</w:t>
      </w:r>
      <w:proofErr w:type="spellStart"/>
      <w:r w:rsidRPr="00B72755">
        <w:rPr>
          <w:highlight w:val="yellow"/>
        </w:rPr>
        <w:t>Heijboer</w:t>
      </w:r>
      <w:proofErr w:type="spellEnd"/>
      <w:r w:rsidRPr="00B72755">
        <w:rPr>
          <w:highlight w:val="yellow"/>
        </w:rPr>
        <w:t xml:space="preserve">, H., et al. (2019). Prenatal ultrasound findings of </w:t>
      </w:r>
      <w:proofErr w:type="spellStart"/>
      <w:r w:rsidRPr="00B72755">
        <w:rPr>
          <w:highlight w:val="yellow"/>
        </w:rPr>
        <w:t>rasopathies</w:t>
      </w:r>
      <w:proofErr w:type="spellEnd"/>
      <w:r w:rsidRPr="00B72755">
        <w:rPr>
          <w:highlight w:val="yellow"/>
        </w:rPr>
        <w:t xml:space="preserve"> in a cohort of 424 fetuses: Update on genetic testing in the NGS era. </w:t>
      </w:r>
      <w:r w:rsidRPr="00B72755">
        <w:rPr>
          <w:i/>
          <w:iCs/>
          <w:highlight w:val="yellow"/>
        </w:rPr>
        <w:t>Journal of Medical Genetics, 56</w:t>
      </w:r>
      <w:r w:rsidRPr="00B72755">
        <w:rPr>
          <w:highlight w:val="yellow"/>
        </w:rPr>
        <w:t xml:space="preserve">(10), 654–661. </w:t>
      </w:r>
      <w:hyperlink r:id="rId11" w:history="1">
        <w:r w:rsidRPr="00B72755">
          <w:rPr>
            <w:rStyle w:val="Hyperlink"/>
            <w:highlight w:val="yellow"/>
          </w:rPr>
          <w:t>https://doi.org/10.1136/jmedgenet-2018-105746</w:t>
        </w:r>
      </w:hyperlink>
    </w:p>
    <w:p w14:paraId="6D3865A8" w14:textId="77777777" w:rsidR="00E57071" w:rsidRPr="00B72755" w:rsidRDefault="00E57071" w:rsidP="00E57071">
      <w:pPr>
        <w:pStyle w:val="ListParagraph"/>
        <w:numPr>
          <w:ilvl w:val="0"/>
          <w:numId w:val="3"/>
        </w:numPr>
        <w:rPr>
          <w:highlight w:val="yellow"/>
        </w:rPr>
      </w:pPr>
      <w:r w:rsidRPr="00B72755">
        <w:rPr>
          <w:highlight w:val="yellow"/>
        </w:rPr>
        <w:t xml:space="preserve">Swarts, J. W., </w:t>
      </w:r>
      <w:proofErr w:type="spellStart"/>
      <w:r w:rsidRPr="00B72755">
        <w:rPr>
          <w:highlight w:val="yellow"/>
        </w:rPr>
        <w:t>Kleimeier</w:t>
      </w:r>
      <w:proofErr w:type="spellEnd"/>
      <w:r w:rsidRPr="00B72755">
        <w:rPr>
          <w:highlight w:val="yellow"/>
        </w:rPr>
        <w:t xml:space="preserve">, L. E. R., Leenders, E., Rinne, T., Klein, W. M., &amp; </w:t>
      </w:r>
      <w:proofErr w:type="spellStart"/>
      <w:r w:rsidRPr="00B72755">
        <w:rPr>
          <w:highlight w:val="yellow"/>
        </w:rPr>
        <w:t>Draaisma</w:t>
      </w:r>
      <w:proofErr w:type="spellEnd"/>
      <w:r w:rsidRPr="00B72755">
        <w:rPr>
          <w:highlight w:val="yellow"/>
        </w:rPr>
        <w:t xml:space="preserve">, J. M. T. (2022). Lymphatic anomalies during lifetime in patients with Noonan syndrome: Retrospective cohort study. </w:t>
      </w:r>
      <w:r w:rsidRPr="00B72755">
        <w:rPr>
          <w:i/>
          <w:iCs/>
          <w:highlight w:val="yellow"/>
        </w:rPr>
        <w:t>American Journal of Medical Genetics Part A, 188</w:t>
      </w:r>
      <w:r w:rsidRPr="00B72755">
        <w:rPr>
          <w:highlight w:val="yellow"/>
        </w:rPr>
        <w:t xml:space="preserve">(11), 3242–3261. </w:t>
      </w:r>
      <w:hyperlink r:id="rId12" w:history="1">
        <w:r w:rsidRPr="00B72755">
          <w:rPr>
            <w:rStyle w:val="Hyperlink"/>
            <w:highlight w:val="yellow"/>
          </w:rPr>
          <w:t>https://doi.org/10.1002/ajmg.a.62955</w:t>
        </w:r>
      </w:hyperlink>
    </w:p>
    <w:p w14:paraId="27A0CF1A" w14:textId="77777777" w:rsidR="00E57071" w:rsidRPr="00B72755" w:rsidRDefault="00E57071" w:rsidP="00E57071">
      <w:pPr>
        <w:pStyle w:val="ListParagraph"/>
        <w:numPr>
          <w:ilvl w:val="0"/>
          <w:numId w:val="3"/>
        </w:numPr>
        <w:rPr>
          <w:highlight w:val="yellow"/>
        </w:rPr>
      </w:pPr>
      <w:r w:rsidRPr="00B72755">
        <w:rPr>
          <w:highlight w:val="yellow"/>
        </w:rPr>
        <w:t>Sehgal, A., Buckingham, M. R., Hyland, R. M., &amp; McNamara, P. J. (2025). Diagnostic and therapeutic precision in cardiovascular diseases in the neonatal intensive care. </w:t>
      </w:r>
      <w:r w:rsidRPr="00B72755">
        <w:rPr>
          <w:i/>
          <w:iCs/>
          <w:highlight w:val="yellow"/>
        </w:rPr>
        <w:t>Journal of perinatology</w:t>
      </w:r>
      <w:r w:rsidRPr="00B72755">
        <w:rPr>
          <w:highlight w:val="yellow"/>
        </w:rPr>
        <w:t xml:space="preserve">, 1-12. DOI: </w:t>
      </w:r>
      <w:hyperlink r:id="rId13" w:history="1">
        <w:r w:rsidRPr="00B72755">
          <w:rPr>
            <w:rStyle w:val="Hyperlink"/>
            <w:highlight w:val="yellow"/>
          </w:rPr>
          <w:t>https://doi.org/10.1038/s41372-025-02317-x</w:t>
        </w:r>
      </w:hyperlink>
      <w:r w:rsidRPr="00B72755">
        <w:rPr>
          <w:highlight w:val="yellow"/>
        </w:rPr>
        <w:t xml:space="preserve"> </w:t>
      </w:r>
    </w:p>
    <w:p w14:paraId="5F35CFAA" w14:textId="77777777" w:rsidR="00E57071" w:rsidRPr="00B72755" w:rsidRDefault="00E57071" w:rsidP="00E57071">
      <w:pPr>
        <w:pStyle w:val="ListParagraph"/>
        <w:numPr>
          <w:ilvl w:val="0"/>
          <w:numId w:val="3"/>
        </w:numPr>
        <w:rPr>
          <w:highlight w:val="yellow"/>
        </w:rPr>
      </w:pPr>
      <w:r w:rsidRPr="00B72755">
        <w:rPr>
          <w:highlight w:val="yellow"/>
        </w:rPr>
        <w:t>Ting, E., Teoh, M., &amp; Sehgal, A. (2024). Differential postnatal cardiovascular course of donor-recipient twins and associated pathophysiology—a cohort study. </w:t>
      </w:r>
      <w:r w:rsidRPr="00B72755">
        <w:rPr>
          <w:i/>
          <w:iCs/>
          <w:highlight w:val="yellow"/>
        </w:rPr>
        <w:t>American Journal of Physiology-Heart and Circulatory Physiology</w:t>
      </w:r>
      <w:r w:rsidRPr="00B72755">
        <w:rPr>
          <w:highlight w:val="yellow"/>
        </w:rPr>
        <w:t>, </w:t>
      </w:r>
      <w:r w:rsidRPr="00B72755">
        <w:rPr>
          <w:i/>
          <w:iCs/>
          <w:highlight w:val="yellow"/>
        </w:rPr>
        <w:t>327</w:t>
      </w:r>
      <w:r w:rsidRPr="00B72755">
        <w:rPr>
          <w:highlight w:val="yellow"/>
        </w:rPr>
        <w:t xml:space="preserve">(6), H1400-H1405.  </w:t>
      </w:r>
      <w:hyperlink r:id="rId14" w:history="1">
        <w:r w:rsidRPr="00B72755">
          <w:rPr>
            <w:rStyle w:val="Hyperlink"/>
            <w:highlight w:val="yellow"/>
          </w:rPr>
          <w:t>https://doi.org/10.1152/ajpheart.00656.2024</w:t>
        </w:r>
      </w:hyperlink>
      <w:r w:rsidRPr="00B72755">
        <w:rPr>
          <w:highlight w:val="yellow"/>
        </w:rPr>
        <w:t xml:space="preserve">. </w:t>
      </w:r>
    </w:p>
    <w:p w14:paraId="2E6CA7F1" w14:textId="77777777" w:rsidR="00E57071" w:rsidRPr="00B72755" w:rsidRDefault="00E57071" w:rsidP="00E57071">
      <w:pPr>
        <w:pStyle w:val="ListParagraph"/>
        <w:numPr>
          <w:ilvl w:val="0"/>
          <w:numId w:val="3"/>
        </w:numPr>
        <w:rPr>
          <w:highlight w:val="yellow"/>
        </w:rPr>
      </w:pPr>
      <w:r w:rsidRPr="00B72755">
        <w:rPr>
          <w:highlight w:val="yellow"/>
        </w:rPr>
        <w:t>Stanford, A. H., Reyes, M., Rios, D. R., Giesinger, R. E., Jetton, J. G., Bischoff, A. R., &amp; McNamara, P. J. (2021). Safety, Feasibility, and Impact of Enalapril on Cardiorespiratory Physiology and Health in Preterm Infants with Systemic Hypertension and Left Ventricular Diastolic Dysfunction. </w:t>
      </w:r>
      <w:r w:rsidRPr="00B72755">
        <w:rPr>
          <w:i/>
          <w:iCs/>
          <w:highlight w:val="yellow"/>
        </w:rPr>
        <w:t>Journal of Clinical Medicine</w:t>
      </w:r>
      <w:r w:rsidRPr="00B72755">
        <w:rPr>
          <w:highlight w:val="yellow"/>
        </w:rPr>
        <w:t>, </w:t>
      </w:r>
      <w:r w:rsidRPr="00B72755">
        <w:rPr>
          <w:i/>
          <w:iCs/>
          <w:highlight w:val="yellow"/>
        </w:rPr>
        <w:t>10</w:t>
      </w:r>
      <w:r w:rsidRPr="00B72755">
        <w:rPr>
          <w:highlight w:val="yellow"/>
        </w:rPr>
        <w:t xml:space="preserve">(19), 4519. </w:t>
      </w:r>
      <w:hyperlink r:id="rId15" w:history="1">
        <w:r w:rsidRPr="00B72755">
          <w:rPr>
            <w:rStyle w:val="Hyperlink"/>
            <w:highlight w:val="yellow"/>
          </w:rPr>
          <w:t>https://doi.org/10.3390/jcm10194519</w:t>
        </w:r>
      </w:hyperlink>
    </w:p>
    <w:p w14:paraId="197393B5" w14:textId="77777777" w:rsidR="00E57071" w:rsidRPr="00B72755" w:rsidRDefault="00E57071" w:rsidP="00E57071">
      <w:pPr>
        <w:pStyle w:val="ListParagraph"/>
        <w:numPr>
          <w:ilvl w:val="0"/>
          <w:numId w:val="3"/>
        </w:numPr>
        <w:rPr>
          <w:highlight w:val="yellow"/>
        </w:rPr>
      </w:pPr>
      <w:r w:rsidRPr="00B72755">
        <w:rPr>
          <w:highlight w:val="yellow"/>
        </w:rPr>
        <w:t xml:space="preserve">Carr, H., </w:t>
      </w:r>
      <w:proofErr w:type="spellStart"/>
      <w:r w:rsidRPr="00B72755">
        <w:rPr>
          <w:highlight w:val="yellow"/>
        </w:rPr>
        <w:t>Cnattingius</w:t>
      </w:r>
      <w:proofErr w:type="spellEnd"/>
      <w:r w:rsidRPr="00B72755">
        <w:rPr>
          <w:highlight w:val="yellow"/>
        </w:rPr>
        <w:t xml:space="preserve">, S., Granath, F., Ludvigsson, J. F., &amp; </w:t>
      </w:r>
      <w:proofErr w:type="spellStart"/>
      <w:r w:rsidRPr="00B72755">
        <w:rPr>
          <w:highlight w:val="yellow"/>
        </w:rPr>
        <w:t>Edstedt</w:t>
      </w:r>
      <w:proofErr w:type="spellEnd"/>
      <w:r w:rsidRPr="00B72755">
        <w:rPr>
          <w:highlight w:val="yellow"/>
        </w:rPr>
        <w:t xml:space="preserve"> Bonamy, A. K. (2017). Preterm birth and risk of heart failure up to early adulthood. </w:t>
      </w:r>
      <w:r w:rsidRPr="00B72755">
        <w:rPr>
          <w:i/>
          <w:iCs/>
          <w:highlight w:val="yellow"/>
        </w:rPr>
        <w:t>Journal of the American College of Cardiology</w:t>
      </w:r>
      <w:r w:rsidRPr="00B72755">
        <w:rPr>
          <w:highlight w:val="yellow"/>
        </w:rPr>
        <w:t>, </w:t>
      </w:r>
      <w:r w:rsidRPr="00B72755">
        <w:rPr>
          <w:i/>
          <w:iCs/>
          <w:highlight w:val="yellow"/>
        </w:rPr>
        <w:t>69</w:t>
      </w:r>
      <w:r w:rsidRPr="00B72755">
        <w:rPr>
          <w:highlight w:val="yellow"/>
        </w:rPr>
        <w:t xml:space="preserve">(21), 2634-2642. </w:t>
      </w:r>
      <w:hyperlink r:id="rId16" w:tgtFrame="_blank" w:tooltip="Persistent link using digital object identifier" w:history="1">
        <w:r w:rsidRPr="00B72755">
          <w:rPr>
            <w:rStyle w:val="Hyperlink"/>
            <w:highlight w:val="yellow"/>
          </w:rPr>
          <w:t>https://doi.org/10.1016/j.jacc.2017.03.572</w:t>
        </w:r>
      </w:hyperlink>
    </w:p>
    <w:p w14:paraId="01F6415A" w14:textId="77777777" w:rsidR="00E57071" w:rsidRPr="00B72755" w:rsidRDefault="00E57071" w:rsidP="00E57071">
      <w:pPr>
        <w:pStyle w:val="ListParagraph"/>
        <w:numPr>
          <w:ilvl w:val="0"/>
          <w:numId w:val="3"/>
        </w:numPr>
        <w:rPr>
          <w:highlight w:val="yellow"/>
        </w:rPr>
      </w:pPr>
      <w:r w:rsidRPr="00B72755">
        <w:rPr>
          <w:highlight w:val="yellow"/>
        </w:rPr>
        <w:t>Stoll, B. J., Hansen, N. I., Bell, E. F., Walsh, M. C., Carlo, W. A., Shankaran, S., ... &amp; Eunice Kennedy Shriver National Institute of Child Health and Human Development Neonatal Research Network. (2015). Trends in care practices, morbidity, and mortality of extremely preterm neonates, 1993-2012. </w:t>
      </w:r>
      <w:r w:rsidRPr="00B72755">
        <w:rPr>
          <w:i/>
          <w:iCs/>
          <w:highlight w:val="yellow"/>
        </w:rPr>
        <w:t>Jama</w:t>
      </w:r>
      <w:r w:rsidRPr="00B72755">
        <w:rPr>
          <w:highlight w:val="yellow"/>
        </w:rPr>
        <w:t>, </w:t>
      </w:r>
      <w:r w:rsidRPr="00B72755">
        <w:rPr>
          <w:i/>
          <w:iCs/>
          <w:highlight w:val="yellow"/>
        </w:rPr>
        <w:t>314</w:t>
      </w:r>
      <w:r w:rsidRPr="00B72755">
        <w:rPr>
          <w:highlight w:val="yellow"/>
        </w:rPr>
        <w:t xml:space="preserve">(10), 1039-1051. doi:10.1001/jama.2015.10244 </w:t>
      </w:r>
    </w:p>
    <w:p w14:paraId="5F35CED1" w14:textId="77777777" w:rsidR="00E57071" w:rsidRPr="00B72755" w:rsidRDefault="00E57071" w:rsidP="00E57071">
      <w:pPr>
        <w:pStyle w:val="ListParagraph"/>
        <w:numPr>
          <w:ilvl w:val="0"/>
          <w:numId w:val="3"/>
        </w:numPr>
        <w:rPr>
          <w:highlight w:val="yellow"/>
        </w:rPr>
      </w:pPr>
      <w:r w:rsidRPr="00B72755">
        <w:rPr>
          <w:highlight w:val="yellow"/>
        </w:rPr>
        <w:t xml:space="preserve">Lewandowski, A. J., Levy, P. T., Bates, M. L., McNamara, P. J., </w:t>
      </w:r>
      <w:proofErr w:type="spellStart"/>
      <w:r w:rsidRPr="00B72755">
        <w:rPr>
          <w:highlight w:val="yellow"/>
        </w:rPr>
        <w:t>Nuyt</w:t>
      </w:r>
      <w:proofErr w:type="spellEnd"/>
      <w:r w:rsidRPr="00B72755">
        <w:rPr>
          <w:highlight w:val="yellow"/>
        </w:rPr>
        <w:t>, A. M., &amp; Goss, K. N. (2020). Impact of the vulnerable preterm heart and circulation on adult cardiovascular disease risk. </w:t>
      </w:r>
      <w:r w:rsidRPr="00B72755">
        <w:rPr>
          <w:i/>
          <w:iCs/>
          <w:highlight w:val="yellow"/>
        </w:rPr>
        <w:t>Hypertension</w:t>
      </w:r>
      <w:r w:rsidRPr="00B72755">
        <w:rPr>
          <w:highlight w:val="yellow"/>
        </w:rPr>
        <w:t>, </w:t>
      </w:r>
      <w:r w:rsidRPr="00B72755">
        <w:rPr>
          <w:i/>
          <w:iCs/>
          <w:highlight w:val="yellow"/>
        </w:rPr>
        <w:t>76</w:t>
      </w:r>
      <w:r w:rsidRPr="00B72755">
        <w:rPr>
          <w:highlight w:val="yellow"/>
        </w:rPr>
        <w:t xml:space="preserve">(4), 1028-1037. </w:t>
      </w:r>
      <w:hyperlink r:id="rId17" w:history="1">
        <w:r w:rsidRPr="00B72755">
          <w:rPr>
            <w:rStyle w:val="Hyperlink"/>
            <w:b/>
            <w:bCs/>
            <w:highlight w:val="yellow"/>
          </w:rPr>
          <w:t>https://doi.org/10.1161/HYPERTENSIONAHA.120.15574</w:t>
        </w:r>
      </w:hyperlink>
      <w:r w:rsidRPr="00B72755">
        <w:rPr>
          <w:highlight w:val="yellow"/>
        </w:rPr>
        <w:t xml:space="preserve"> </w:t>
      </w:r>
    </w:p>
    <w:p w14:paraId="2E4C1FD1"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lastRenderedPageBreak/>
        <w:t>Mcnamara</w:t>
      </w:r>
      <w:proofErr w:type="spellEnd"/>
      <w:r w:rsidRPr="00B72755">
        <w:rPr>
          <w:highlight w:val="yellow"/>
          <w:lang w:val="es-US"/>
        </w:rPr>
        <w:t xml:space="preserve">, P. J., </w:t>
      </w:r>
      <w:proofErr w:type="spellStart"/>
      <w:r w:rsidRPr="00B72755">
        <w:rPr>
          <w:highlight w:val="yellow"/>
          <w:lang w:val="es-US"/>
        </w:rPr>
        <w:t>Abman</w:t>
      </w:r>
      <w:proofErr w:type="spellEnd"/>
      <w:r w:rsidRPr="00B72755">
        <w:rPr>
          <w:highlight w:val="yellow"/>
          <w:lang w:val="es-US"/>
        </w:rPr>
        <w:t xml:space="preserve">, S. H., &amp; Levy, P. T. (2024). </w:t>
      </w:r>
      <w:r w:rsidRPr="00B72755">
        <w:rPr>
          <w:highlight w:val="yellow"/>
        </w:rPr>
        <w:t>Reengagement with physiology in neonatal heart and lung care: a priority for training and practice. </w:t>
      </w:r>
      <w:r w:rsidRPr="00B72755">
        <w:rPr>
          <w:i/>
          <w:iCs/>
          <w:highlight w:val="yellow"/>
        </w:rPr>
        <w:t>The Journal of pediatrics</w:t>
      </w:r>
      <w:r w:rsidRPr="00B72755">
        <w:rPr>
          <w:highlight w:val="yellow"/>
        </w:rPr>
        <w:t>, </w:t>
      </w:r>
      <w:r w:rsidRPr="00B72755">
        <w:rPr>
          <w:i/>
          <w:iCs/>
          <w:highlight w:val="yellow"/>
        </w:rPr>
        <w:t>268</w:t>
      </w:r>
      <w:r w:rsidRPr="00B72755">
        <w:rPr>
          <w:highlight w:val="yellow"/>
        </w:rPr>
        <w:t xml:space="preserve">. </w:t>
      </w:r>
      <w:hyperlink r:id="rId18" w:history="1">
        <w:r w:rsidRPr="00B72755">
          <w:rPr>
            <w:rStyle w:val="Hyperlink"/>
            <w:highlight w:val="yellow"/>
          </w:rPr>
          <w:t>https://www.jpeds.com/article/S0022-3476(24)00050-7/fulltext</w:t>
        </w:r>
      </w:hyperlink>
    </w:p>
    <w:p w14:paraId="396D5105" w14:textId="77777777" w:rsidR="00E57071" w:rsidRPr="00B72755" w:rsidRDefault="00E57071" w:rsidP="00E57071">
      <w:pPr>
        <w:pStyle w:val="ListParagraph"/>
        <w:numPr>
          <w:ilvl w:val="0"/>
          <w:numId w:val="3"/>
        </w:numPr>
        <w:rPr>
          <w:highlight w:val="yellow"/>
        </w:rPr>
      </w:pPr>
      <w:r w:rsidRPr="00B72755">
        <w:rPr>
          <w:highlight w:val="yellow"/>
        </w:rPr>
        <w:t>Sehgal, A., Alexander, B. T., Morrison, J. L., &amp; South, A. M. (2020). Fetal growth restriction and hypertension in the offspring: mechanistic links and therapeutic directions. </w:t>
      </w:r>
      <w:r w:rsidRPr="00B72755">
        <w:rPr>
          <w:i/>
          <w:iCs/>
          <w:highlight w:val="yellow"/>
        </w:rPr>
        <w:t>The Journal of pediatrics</w:t>
      </w:r>
      <w:r w:rsidRPr="00B72755">
        <w:rPr>
          <w:highlight w:val="yellow"/>
        </w:rPr>
        <w:t>, </w:t>
      </w:r>
      <w:r w:rsidRPr="00B72755">
        <w:rPr>
          <w:i/>
          <w:iCs/>
          <w:highlight w:val="yellow"/>
        </w:rPr>
        <w:t>224</w:t>
      </w:r>
      <w:r w:rsidRPr="00B72755">
        <w:rPr>
          <w:highlight w:val="yellow"/>
        </w:rPr>
        <w:t xml:space="preserve">, 115. </w:t>
      </w:r>
      <w:proofErr w:type="spellStart"/>
      <w:r w:rsidRPr="00B72755">
        <w:rPr>
          <w:highlight w:val="yellow"/>
        </w:rPr>
        <w:t>doi</w:t>
      </w:r>
      <w:proofErr w:type="spellEnd"/>
      <w:r w:rsidRPr="00B72755">
        <w:rPr>
          <w:highlight w:val="yellow"/>
        </w:rPr>
        <w:t>: </w:t>
      </w:r>
      <w:hyperlink r:id="rId19" w:tgtFrame="_blank" w:history="1">
        <w:r w:rsidRPr="00B72755">
          <w:rPr>
            <w:rStyle w:val="Hyperlink"/>
            <w:highlight w:val="yellow"/>
          </w:rPr>
          <w:t>10.1016/j.jpeds.2020.05.028</w:t>
        </w:r>
      </w:hyperlink>
      <w:r w:rsidRPr="00B72755">
        <w:rPr>
          <w:highlight w:val="yellow"/>
        </w:rPr>
        <w:t xml:space="preserve"> </w:t>
      </w:r>
    </w:p>
    <w:p w14:paraId="31C9FA38" w14:textId="77777777" w:rsidR="00E57071" w:rsidRPr="00B72755" w:rsidRDefault="00E57071" w:rsidP="00E57071">
      <w:pPr>
        <w:pStyle w:val="ListParagraph"/>
        <w:numPr>
          <w:ilvl w:val="0"/>
          <w:numId w:val="3"/>
        </w:numPr>
        <w:rPr>
          <w:highlight w:val="yellow"/>
        </w:rPr>
      </w:pPr>
      <w:r w:rsidRPr="00B72755">
        <w:rPr>
          <w:highlight w:val="yellow"/>
        </w:rPr>
        <w:t xml:space="preserve">Watkins, P. L., Dagle, J. M., Bell, E. F., &amp; </w:t>
      </w:r>
      <w:proofErr w:type="spellStart"/>
      <w:r w:rsidRPr="00B72755">
        <w:rPr>
          <w:highlight w:val="yellow"/>
        </w:rPr>
        <w:t>Colaizy</w:t>
      </w:r>
      <w:proofErr w:type="spellEnd"/>
      <w:r w:rsidRPr="00B72755">
        <w:rPr>
          <w:highlight w:val="yellow"/>
        </w:rPr>
        <w:t>, T. T. (2020). Outcomes at 18 to 22 months of corrected age for infants born at 22 to 25 weeks of gestation in a center practicing active management. </w:t>
      </w:r>
      <w:r w:rsidRPr="00B72755">
        <w:rPr>
          <w:i/>
          <w:iCs/>
          <w:highlight w:val="yellow"/>
        </w:rPr>
        <w:t>The Journal of pediatrics</w:t>
      </w:r>
      <w:r w:rsidRPr="00B72755">
        <w:rPr>
          <w:highlight w:val="yellow"/>
        </w:rPr>
        <w:t>, </w:t>
      </w:r>
      <w:r w:rsidRPr="00B72755">
        <w:rPr>
          <w:i/>
          <w:iCs/>
          <w:highlight w:val="yellow"/>
        </w:rPr>
        <w:t>217</w:t>
      </w:r>
      <w:r w:rsidRPr="00B72755">
        <w:rPr>
          <w:highlight w:val="yellow"/>
        </w:rPr>
        <w:t xml:space="preserve">, 52-58. </w:t>
      </w:r>
      <w:hyperlink r:id="rId20" w:history="1">
        <w:r w:rsidRPr="00B72755">
          <w:rPr>
            <w:rStyle w:val="Hyperlink"/>
            <w:highlight w:val="yellow"/>
          </w:rPr>
          <w:t>https://doi.org/10.1016/j.jpeds.2019.08.028</w:t>
        </w:r>
      </w:hyperlink>
    </w:p>
    <w:p w14:paraId="2C91022C" w14:textId="77777777" w:rsidR="00E57071" w:rsidRPr="00B72755" w:rsidRDefault="00E57071" w:rsidP="00E57071">
      <w:pPr>
        <w:pStyle w:val="ListParagraph"/>
        <w:numPr>
          <w:ilvl w:val="0"/>
          <w:numId w:val="3"/>
        </w:numPr>
        <w:rPr>
          <w:highlight w:val="yellow"/>
        </w:rPr>
      </w:pPr>
      <w:r w:rsidRPr="00B72755">
        <w:rPr>
          <w:highlight w:val="yellow"/>
        </w:rPr>
        <w:t xml:space="preserve">Nassar, F., Ibrahim, A., </w:t>
      </w:r>
      <w:proofErr w:type="spellStart"/>
      <w:r w:rsidRPr="00B72755">
        <w:rPr>
          <w:highlight w:val="yellow"/>
        </w:rPr>
        <w:t>Zoair</w:t>
      </w:r>
      <w:proofErr w:type="spellEnd"/>
      <w:r w:rsidRPr="00B72755">
        <w:rPr>
          <w:highlight w:val="yellow"/>
        </w:rPr>
        <w:t xml:space="preserve">, A., &amp; </w:t>
      </w:r>
      <w:proofErr w:type="spellStart"/>
      <w:r w:rsidRPr="00B72755">
        <w:rPr>
          <w:highlight w:val="yellow"/>
        </w:rPr>
        <w:t>Rowisha</w:t>
      </w:r>
      <w:proofErr w:type="spellEnd"/>
      <w:r w:rsidRPr="00B72755">
        <w:rPr>
          <w:highlight w:val="yellow"/>
        </w:rPr>
        <w:t xml:space="preserve">, M. (2020). Evaluation of heart rate variability in critically ill neonates. </w:t>
      </w:r>
      <w:r w:rsidRPr="00B72755">
        <w:rPr>
          <w:i/>
          <w:iCs/>
          <w:highlight w:val="yellow"/>
        </w:rPr>
        <w:t>Journal of Advances in Medicine and Medical Research, 32</w:t>
      </w:r>
      <w:r w:rsidRPr="00B72755">
        <w:rPr>
          <w:highlight w:val="yellow"/>
        </w:rPr>
        <w:t xml:space="preserve">(4), 24–33. </w:t>
      </w:r>
      <w:hyperlink r:id="rId21" w:tgtFrame="_new" w:history="1">
        <w:r w:rsidRPr="00B72755">
          <w:rPr>
            <w:rStyle w:val="Hyperlink"/>
            <w:highlight w:val="yellow"/>
          </w:rPr>
          <w:t>https://doi.org/10.9734/jammr/2020/v32i430396</w:t>
        </w:r>
      </w:hyperlink>
    </w:p>
    <w:p w14:paraId="520D24EE" w14:textId="77777777" w:rsidR="00E57071" w:rsidRPr="00B72755" w:rsidRDefault="00E57071" w:rsidP="00E57071">
      <w:pPr>
        <w:pStyle w:val="ListParagraph"/>
        <w:numPr>
          <w:ilvl w:val="0"/>
          <w:numId w:val="3"/>
        </w:numPr>
        <w:rPr>
          <w:highlight w:val="yellow"/>
        </w:rPr>
      </w:pPr>
      <w:proofErr w:type="spellStart"/>
      <w:r w:rsidRPr="00B72755">
        <w:rPr>
          <w:highlight w:val="yellow"/>
        </w:rPr>
        <w:t>Mohmmedahmed</w:t>
      </w:r>
      <w:proofErr w:type="spellEnd"/>
      <w:r w:rsidRPr="00B72755">
        <w:rPr>
          <w:highlight w:val="yellow"/>
        </w:rPr>
        <w:t xml:space="preserve">, M. A., Yousef, B. A., Alshehri, A. B., &amp; Eltayeb, E. M. (2022). Permanent junctional reciprocating tachycardia in infants from myocarditis-like presentation to simple tachycardia: A case series. </w:t>
      </w:r>
      <w:r w:rsidRPr="00B72755">
        <w:rPr>
          <w:i/>
          <w:iCs/>
          <w:highlight w:val="yellow"/>
        </w:rPr>
        <w:t>Asian Journal of Pediatric Research, 10</w:t>
      </w:r>
      <w:r w:rsidRPr="00B72755">
        <w:rPr>
          <w:highlight w:val="yellow"/>
        </w:rPr>
        <w:t xml:space="preserve">(3), 1–9. </w:t>
      </w:r>
      <w:hyperlink r:id="rId22" w:tgtFrame="_new" w:history="1">
        <w:r w:rsidRPr="00B72755">
          <w:rPr>
            <w:rStyle w:val="Hyperlink"/>
            <w:highlight w:val="yellow"/>
          </w:rPr>
          <w:t>https://doi.org/10.9734/ajpr/2022/v10i3195</w:t>
        </w:r>
      </w:hyperlink>
    </w:p>
    <w:p w14:paraId="5D4E9B38" w14:textId="77777777" w:rsidR="00E57071" w:rsidRPr="00B72755" w:rsidRDefault="00E57071" w:rsidP="00E57071">
      <w:pPr>
        <w:pStyle w:val="ListParagraph"/>
        <w:numPr>
          <w:ilvl w:val="0"/>
          <w:numId w:val="3"/>
        </w:numPr>
        <w:rPr>
          <w:highlight w:val="yellow"/>
        </w:rPr>
      </w:pPr>
      <w:r w:rsidRPr="00B72755">
        <w:rPr>
          <w:highlight w:val="yellow"/>
        </w:rPr>
        <w:t xml:space="preserve">Reyes-Hernandez, M. E., Bischoff, A. R., Giesinger, R. E., Rios, D. R., Stanford, A. H., &amp; McNamara, P. J. (2024). Echocardiography assessment of left ventricular function in extremely preterm infants, born at less than 28 weeks’ gestation, with bronchopulmonary dysplasia and systemic hypertension. </w:t>
      </w:r>
      <w:r w:rsidRPr="00B72755">
        <w:rPr>
          <w:i/>
          <w:iCs/>
          <w:highlight w:val="yellow"/>
        </w:rPr>
        <w:t>Journal of the American Society of Echocardiography, 37</w:t>
      </w:r>
      <w:r w:rsidRPr="00B72755">
        <w:rPr>
          <w:highlight w:val="yellow"/>
        </w:rPr>
        <w:t xml:space="preserve">, 237–247. DOI: 10.1016/j.echo.2023.08.013 </w:t>
      </w:r>
    </w:p>
    <w:p w14:paraId="2BA5AE9A" w14:textId="77777777" w:rsidR="00E57071" w:rsidRPr="00B72755" w:rsidRDefault="00E57071" w:rsidP="00E57071">
      <w:pPr>
        <w:pStyle w:val="ListParagraph"/>
        <w:numPr>
          <w:ilvl w:val="0"/>
          <w:numId w:val="3"/>
        </w:numPr>
        <w:rPr>
          <w:highlight w:val="yellow"/>
        </w:rPr>
      </w:pPr>
      <w:r w:rsidRPr="00B72755">
        <w:rPr>
          <w:highlight w:val="yellow"/>
        </w:rPr>
        <w:t xml:space="preserve">Regan, I. E., Cox, D., Kelleher, S. T., &amp; McMahon, C. J. (2025). The Effects of Aspirin dose in Children with Congenital and Acquired Heart Disease. Results from the </w:t>
      </w:r>
      <w:proofErr w:type="spellStart"/>
      <w:r w:rsidRPr="00B72755">
        <w:rPr>
          <w:highlight w:val="yellow"/>
        </w:rPr>
        <w:t>paediatric</w:t>
      </w:r>
      <w:proofErr w:type="spellEnd"/>
      <w:r w:rsidRPr="00B72755">
        <w:rPr>
          <w:highlight w:val="yellow"/>
        </w:rPr>
        <w:t xml:space="preserve"> study of aspirin efficacy using diagnostic and monitoring tools (PAED-M). </w:t>
      </w:r>
      <w:r w:rsidRPr="00B72755">
        <w:rPr>
          <w:i/>
          <w:iCs/>
          <w:highlight w:val="yellow"/>
        </w:rPr>
        <w:t>Pediatric Cardiology</w:t>
      </w:r>
      <w:r w:rsidRPr="00B72755">
        <w:rPr>
          <w:highlight w:val="yellow"/>
        </w:rPr>
        <w:t>, </w:t>
      </w:r>
      <w:r w:rsidRPr="00B72755">
        <w:rPr>
          <w:i/>
          <w:iCs/>
          <w:highlight w:val="yellow"/>
        </w:rPr>
        <w:t>46</w:t>
      </w:r>
      <w:r w:rsidRPr="00B72755">
        <w:rPr>
          <w:highlight w:val="yellow"/>
        </w:rPr>
        <w:t xml:space="preserve">(4), 862-873.https://doi.org/10.1007/s00246-024-03509-6 </w:t>
      </w:r>
    </w:p>
    <w:p w14:paraId="0E281C12"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Venketasubramanian</w:t>
      </w:r>
      <w:proofErr w:type="spellEnd"/>
      <w:r w:rsidRPr="00B72755">
        <w:rPr>
          <w:highlight w:val="yellow"/>
          <w:lang w:val="es-US"/>
        </w:rPr>
        <w:t xml:space="preserve">, N., </w:t>
      </w:r>
      <w:proofErr w:type="spellStart"/>
      <w:r w:rsidRPr="00B72755">
        <w:rPr>
          <w:highlight w:val="yellow"/>
          <w:lang w:val="es-US"/>
        </w:rPr>
        <w:t>Agustin</w:t>
      </w:r>
      <w:proofErr w:type="spellEnd"/>
      <w:r w:rsidRPr="00B72755">
        <w:rPr>
          <w:highlight w:val="yellow"/>
          <w:lang w:val="es-US"/>
        </w:rPr>
        <w:t xml:space="preserve">, S. J., Padilla, J. L., </w:t>
      </w:r>
      <w:proofErr w:type="spellStart"/>
      <w:r w:rsidRPr="00B72755">
        <w:rPr>
          <w:highlight w:val="yellow"/>
          <w:lang w:val="es-US"/>
        </w:rPr>
        <w:t>Yumul</w:t>
      </w:r>
      <w:proofErr w:type="spellEnd"/>
      <w:r w:rsidRPr="00B72755">
        <w:rPr>
          <w:highlight w:val="yellow"/>
          <w:lang w:val="es-US"/>
        </w:rPr>
        <w:t xml:space="preserve">, M. P., </w:t>
      </w:r>
      <w:proofErr w:type="gramStart"/>
      <w:r w:rsidRPr="00B72755">
        <w:rPr>
          <w:highlight w:val="yellow"/>
          <w:lang w:val="es-US"/>
        </w:rPr>
        <w:t>Sum</w:t>
      </w:r>
      <w:proofErr w:type="gramEnd"/>
      <w:r w:rsidRPr="00B72755">
        <w:rPr>
          <w:highlight w:val="yellow"/>
          <w:lang w:val="es-US"/>
        </w:rPr>
        <w:t xml:space="preserve">, C., Lee, S. H., ... </w:t>
      </w:r>
      <w:r w:rsidRPr="00B72755">
        <w:rPr>
          <w:highlight w:val="yellow"/>
        </w:rPr>
        <w:t xml:space="preserve">&amp; Gan, R. N. (2022). Comparison of different laboratory tests to identify “aspirin resistance” and risk of vascular events among </w:t>
      </w:r>
      <w:proofErr w:type="spellStart"/>
      <w:r w:rsidRPr="00B72755">
        <w:rPr>
          <w:highlight w:val="yellow"/>
        </w:rPr>
        <w:t>ischaemic</w:t>
      </w:r>
      <w:proofErr w:type="spellEnd"/>
      <w:r w:rsidRPr="00B72755">
        <w:rPr>
          <w:highlight w:val="yellow"/>
        </w:rPr>
        <w:t xml:space="preserve"> stroke patients: a double-blind study. </w:t>
      </w:r>
      <w:r w:rsidRPr="00B72755">
        <w:rPr>
          <w:i/>
          <w:iCs/>
          <w:highlight w:val="yellow"/>
        </w:rPr>
        <w:t>Journal of Cardiovascular Development and Disease</w:t>
      </w:r>
      <w:r w:rsidRPr="00B72755">
        <w:rPr>
          <w:highlight w:val="yellow"/>
        </w:rPr>
        <w:t>, </w:t>
      </w:r>
      <w:r w:rsidRPr="00B72755">
        <w:rPr>
          <w:i/>
          <w:iCs/>
          <w:highlight w:val="yellow"/>
        </w:rPr>
        <w:t>9</w:t>
      </w:r>
      <w:r w:rsidRPr="00B72755">
        <w:rPr>
          <w:highlight w:val="yellow"/>
        </w:rPr>
        <w:t xml:space="preserve">(5), 156. </w:t>
      </w:r>
      <w:hyperlink r:id="rId23" w:history="1">
        <w:r w:rsidRPr="00B72755">
          <w:rPr>
            <w:rStyle w:val="Hyperlink"/>
            <w:highlight w:val="yellow"/>
          </w:rPr>
          <w:t>https://doi.org/10.3390/jcdd9050156</w:t>
        </w:r>
      </w:hyperlink>
    </w:p>
    <w:p w14:paraId="33C99503" w14:textId="77777777" w:rsidR="00E57071" w:rsidRPr="00B72755" w:rsidRDefault="00E57071" w:rsidP="00E57071">
      <w:pPr>
        <w:pStyle w:val="ListParagraph"/>
        <w:numPr>
          <w:ilvl w:val="0"/>
          <w:numId w:val="3"/>
        </w:numPr>
        <w:rPr>
          <w:highlight w:val="yellow"/>
        </w:rPr>
      </w:pPr>
      <w:r w:rsidRPr="00B72755">
        <w:rPr>
          <w:highlight w:val="yellow"/>
        </w:rPr>
        <w:t>Kelleher, S. T., Regan, I. E., Cox, D., Shaw, K., Franklin, O., Kenny, D. P., ... &amp; McMahon, C. J. (2025). Aspirin responsiveness in a cohort of pediatric patients with right ventricle to pulmonary artery conduits and transcatheter valve replacement systems. </w:t>
      </w:r>
      <w:r w:rsidRPr="00B72755">
        <w:rPr>
          <w:i/>
          <w:iCs/>
          <w:highlight w:val="yellow"/>
        </w:rPr>
        <w:t>Pediatric Cardiology</w:t>
      </w:r>
      <w:r w:rsidRPr="00B72755">
        <w:rPr>
          <w:highlight w:val="yellow"/>
        </w:rPr>
        <w:t>, </w:t>
      </w:r>
      <w:r w:rsidRPr="00B72755">
        <w:rPr>
          <w:i/>
          <w:iCs/>
          <w:highlight w:val="yellow"/>
        </w:rPr>
        <w:t>46</w:t>
      </w:r>
      <w:r w:rsidRPr="00B72755">
        <w:rPr>
          <w:highlight w:val="yellow"/>
        </w:rPr>
        <w:t xml:space="preserve">(2), 485-493. DOI: </w:t>
      </w:r>
      <w:hyperlink r:id="rId24" w:history="1">
        <w:r w:rsidRPr="00B72755">
          <w:rPr>
            <w:rStyle w:val="Hyperlink"/>
            <w:highlight w:val="yellow"/>
          </w:rPr>
          <w:t>https://doi.org/10.1007/s00246-024-03449-1</w:t>
        </w:r>
      </w:hyperlink>
      <w:r w:rsidRPr="00B72755">
        <w:rPr>
          <w:highlight w:val="yellow"/>
        </w:rPr>
        <w:t xml:space="preserve"> </w:t>
      </w:r>
    </w:p>
    <w:p w14:paraId="57666FF3"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lastRenderedPageBreak/>
        <w:t>Majani</w:t>
      </w:r>
      <w:proofErr w:type="spellEnd"/>
      <w:r w:rsidRPr="00B72755">
        <w:rPr>
          <w:highlight w:val="yellow"/>
          <w:lang w:val="es-US"/>
        </w:rPr>
        <w:t xml:space="preserve">, N. G., </w:t>
      </w:r>
      <w:proofErr w:type="spellStart"/>
      <w:r w:rsidRPr="00B72755">
        <w:rPr>
          <w:highlight w:val="yellow"/>
          <w:lang w:val="es-US"/>
        </w:rPr>
        <w:t>Koster</w:t>
      </w:r>
      <w:proofErr w:type="spellEnd"/>
      <w:r w:rsidRPr="00B72755">
        <w:rPr>
          <w:highlight w:val="yellow"/>
          <w:lang w:val="es-US"/>
        </w:rPr>
        <w:t xml:space="preserve">, J. R., </w:t>
      </w:r>
      <w:proofErr w:type="spellStart"/>
      <w:r w:rsidRPr="00B72755">
        <w:rPr>
          <w:highlight w:val="yellow"/>
          <w:lang w:val="es-US"/>
        </w:rPr>
        <w:t>Kalezi</w:t>
      </w:r>
      <w:proofErr w:type="spellEnd"/>
      <w:r w:rsidRPr="00B72755">
        <w:rPr>
          <w:highlight w:val="yellow"/>
          <w:lang w:val="es-US"/>
        </w:rPr>
        <w:t xml:space="preserve">, Z. E., </w:t>
      </w:r>
      <w:proofErr w:type="spellStart"/>
      <w:r w:rsidRPr="00B72755">
        <w:rPr>
          <w:highlight w:val="yellow"/>
          <w:lang w:val="es-US"/>
        </w:rPr>
        <w:t>Letara</w:t>
      </w:r>
      <w:proofErr w:type="spellEnd"/>
      <w:r w:rsidRPr="00B72755">
        <w:rPr>
          <w:highlight w:val="yellow"/>
          <w:lang w:val="es-US"/>
        </w:rPr>
        <w:t xml:space="preserve">, N., </w:t>
      </w:r>
      <w:proofErr w:type="spellStart"/>
      <w:r w:rsidRPr="00B72755">
        <w:rPr>
          <w:highlight w:val="yellow"/>
          <w:lang w:val="es-US"/>
        </w:rPr>
        <w:t>Nkya</w:t>
      </w:r>
      <w:proofErr w:type="spellEnd"/>
      <w:r w:rsidRPr="00B72755">
        <w:rPr>
          <w:highlight w:val="yellow"/>
          <w:lang w:val="es-US"/>
        </w:rPr>
        <w:t xml:space="preserve">, D., </w:t>
      </w:r>
      <w:proofErr w:type="spellStart"/>
      <w:r w:rsidRPr="00B72755">
        <w:rPr>
          <w:highlight w:val="yellow"/>
          <w:lang w:val="es-US"/>
        </w:rPr>
        <w:t>Mongela</w:t>
      </w:r>
      <w:proofErr w:type="spellEnd"/>
      <w:r w:rsidRPr="00B72755">
        <w:rPr>
          <w:highlight w:val="yellow"/>
          <w:lang w:val="es-US"/>
        </w:rPr>
        <w:t xml:space="preserve">, S., ... </w:t>
      </w:r>
      <w:r w:rsidRPr="00B72755">
        <w:rPr>
          <w:highlight w:val="yellow"/>
        </w:rPr>
        <w:t xml:space="preserve">&amp; </w:t>
      </w:r>
      <w:proofErr w:type="spellStart"/>
      <w:r w:rsidRPr="00B72755">
        <w:rPr>
          <w:highlight w:val="yellow"/>
        </w:rPr>
        <w:t>Kisenge</w:t>
      </w:r>
      <w:proofErr w:type="spellEnd"/>
      <w:r w:rsidRPr="00B72755">
        <w:rPr>
          <w:highlight w:val="yellow"/>
        </w:rPr>
        <w:t>, P. (2024). Spectrum of heart diseases in children in a National Cardiac Referral Center Tanzania, Eastern Africa: a six-year overview. </w:t>
      </w:r>
      <w:r w:rsidRPr="00B72755">
        <w:rPr>
          <w:i/>
          <w:iCs/>
          <w:highlight w:val="yellow"/>
        </w:rPr>
        <w:t>Global Heart</w:t>
      </w:r>
      <w:r w:rsidRPr="00B72755">
        <w:rPr>
          <w:highlight w:val="yellow"/>
        </w:rPr>
        <w:t>, </w:t>
      </w:r>
      <w:r w:rsidRPr="00B72755">
        <w:rPr>
          <w:i/>
          <w:iCs/>
          <w:highlight w:val="yellow"/>
        </w:rPr>
        <w:t>19</w:t>
      </w:r>
      <w:r w:rsidRPr="00B72755">
        <w:rPr>
          <w:highlight w:val="yellow"/>
        </w:rPr>
        <w:t xml:space="preserve">(1), 61. </w:t>
      </w:r>
      <w:proofErr w:type="spellStart"/>
      <w:r w:rsidRPr="00B72755">
        <w:rPr>
          <w:highlight w:val="yellow"/>
        </w:rPr>
        <w:t>doi</w:t>
      </w:r>
      <w:proofErr w:type="spellEnd"/>
      <w:r w:rsidRPr="00B72755">
        <w:rPr>
          <w:highlight w:val="yellow"/>
        </w:rPr>
        <w:t>: </w:t>
      </w:r>
      <w:hyperlink r:id="rId25" w:tgtFrame="_blank" w:history="1">
        <w:r w:rsidRPr="00B72755">
          <w:rPr>
            <w:rStyle w:val="Hyperlink"/>
            <w:highlight w:val="yellow"/>
          </w:rPr>
          <w:t>10.5334/gh.1342</w:t>
        </w:r>
      </w:hyperlink>
    </w:p>
    <w:p w14:paraId="0FE1B1A5" w14:textId="77777777" w:rsidR="00E57071" w:rsidRPr="00B72755" w:rsidRDefault="00E57071" w:rsidP="00E57071">
      <w:pPr>
        <w:pStyle w:val="ListParagraph"/>
        <w:numPr>
          <w:ilvl w:val="0"/>
          <w:numId w:val="3"/>
        </w:numPr>
        <w:rPr>
          <w:highlight w:val="yellow"/>
        </w:rPr>
      </w:pPr>
      <w:r w:rsidRPr="00B72755">
        <w:rPr>
          <w:highlight w:val="yellow"/>
        </w:rPr>
        <w:t>Israels, S. J., &amp; Michelson, A. D. (2006). Antiplatelet therapy in children. </w:t>
      </w:r>
      <w:r w:rsidRPr="00B72755">
        <w:rPr>
          <w:i/>
          <w:iCs/>
          <w:highlight w:val="yellow"/>
        </w:rPr>
        <w:t>Thrombosis research</w:t>
      </w:r>
      <w:r w:rsidRPr="00B72755">
        <w:rPr>
          <w:highlight w:val="yellow"/>
        </w:rPr>
        <w:t>, </w:t>
      </w:r>
      <w:r w:rsidRPr="00B72755">
        <w:rPr>
          <w:i/>
          <w:iCs/>
          <w:highlight w:val="yellow"/>
        </w:rPr>
        <w:t>118</w:t>
      </w:r>
      <w:r w:rsidRPr="00B72755">
        <w:rPr>
          <w:highlight w:val="yellow"/>
        </w:rPr>
        <w:t>(1), 75-83.  </w:t>
      </w:r>
      <w:hyperlink r:id="rId26" w:history="1">
        <w:r w:rsidRPr="00B72755">
          <w:rPr>
            <w:rStyle w:val="Hyperlink"/>
            <w:highlight w:val="yellow"/>
          </w:rPr>
          <w:t>https://doi.org/10.1016/j.thromres.2004.12.016</w:t>
        </w:r>
      </w:hyperlink>
    </w:p>
    <w:p w14:paraId="6068BDCA"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Dagur</w:t>
      </w:r>
      <w:proofErr w:type="spellEnd"/>
      <w:r w:rsidRPr="00B72755">
        <w:rPr>
          <w:highlight w:val="yellow"/>
          <w:lang w:val="es-US"/>
        </w:rPr>
        <w:t xml:space="preserve">, G., </w:t>
      </w:r>
      <w:proofErr w:type="spellStart"/>
      <w:r w:rsidRPr="00B72755">
        <w:rPr>
          <w:highlight w:val="yellow"/>
          <w:lang w:val="es-US"/>
        </w:rPr>
        <w:t>Kleinmahon</w:t>
      </w:r>
      <w:proofErr w:type="spellEnd"/>
      <w:r w:rsidRPr="00B72755">
        <w:rPr>
          <w:highlight w:val="yellow"/>
          <w:lang w:val="es-US"/>
        </w:rPr>
        <w:t xml:space="preserve">, J. A., </w:t>
      </w:r>
      <w:proofErr w:type="spellStart"/>
      <w:r w:rsidRPr="00B72755">
        <w:rPr>
          <w:highlight w:val="yellow"/>
          <w:lang w:val="es-US"/>
        </w:rPr>
        <w:t>Gurvitz</w:t>
      </w:r>
      <w:proofErr w:type="spellEnd"/>
      <w:r w:rsidRPr="00B72755">
        <w:rPr>
          <w:highlight w:val="yellow"/>
          <w:lang w:val="es-US"/>
        </w:rPr>
        <w:t xml:space="preserve">, M. Z., Acosta, R., &amp; Bora, S. (2025). </w:t>
      </w:r>
      <w:r w:rsidRPr="00B72755">
        <w:rPr>
          <w:highlight w:val="yellow"/>
        </w:rPr>
        <w:t>Characterizing neurodevelopmental follow-up attendance of children with congenital heart disease. </w:t>
      </w:r>
      <w:r w:rsidRPr="00B72755">
        <w:rPr>
          <w:i/>
          <w:iCs/>
          <w:highlight w:val="yellow"/>
        </w:rPr>
        <w:t>Pediatric Research</w:t>
      </w:r>
      <w:r w:rsidRPr="00B72755">
        <w:rPr>
          <w:highlight w:val="yellow"/>
        </w:rPr>
        <w:t xml:space="preserve">, 1-9. DOI: </w:t>
      </w:r>
      <w:hyperlink r:id="rId27" w:history="1">
        <w:r w:rsidRPr="00B72755">
          <w:rPr>
            <w:rStyle w:val="Hyperlink"/>
            <w:highlight w:val="yellow"/>
          </w:rPr>
          <w:t>https://doi.org/10.1038/s41390-025-04247-y</w:t>
        </w:r>
      </w:hyperlink>
    </w:p>
    <w:p w14:paraId="2D45C6BA"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Moeinipour</w:t>
      </w:r>
      <w:proofErr w:type="spellEnd"/>
      <w:r w:rsidRPr="00B72755">
        <w:rPr>
          <w:highlight w:val="yellow"/>
          <w:lang w:val="es-US"/>
        </w:rPr>
        <w:t xml:space="preserve">, Y., </w:t>
      </w:r>
      <w:proofErr w:type="spellStart"/>
      <w:r w:rsidRPr="00B72755">
        <w:rPr>
          <w:highlight w:val="yellow"/>
          <w:lang w:val="es-US"/>
        </w:rPr>
        <w:t>Moeinipour</w:t>
      </w:r>
      <w:proofErr w:type="spellEnd"/>
      <w:r w:rsidRPr="00B72755">
        <w:rPr>
          <w:highlight w:val="yellow"/>
          <w:lang w:val="es-US"/>
        </w:rPr>
        <w:t xml:space="preserve">, A., </w:t>
      </w:r>
      <w:proofErr w:type="spellStart"/>
      <w:r w:rsidRPr="00B72755">
        <w:rPr>
          <w:highlight w:val="yellow"/>
          <w:lang w:val="es-US"/>
        </w:rPr>
        <w:t>Alizadeh</w:t>
      </w:r>
      <w:proofErr w:type="spellEnd"/>
      <w:r w:rsidRPr="00B72755">
        <w:rPr>
          <w:highlight w:val="yellow"/>
          <w:lang w:val="es-US"/>
        </w:rPr>
        <w:t xml:space="preserve">, B., </w:t>
      </w:r>
      <w:proofErr w:type="spellStart"/>
      <w:r w:rsidRPr="00B72755">
        <w:rPr>
          <w:highlight w:val="yellow"/>
          <w:lang w:val="es-US"/>
        </w:rPr>
        <w:t>Raesi</w:t>
      </w:r>
      <w:proofErr w:type="spellEnd"/>
      <w:r w:rsidRPr="00B72755">
        <w:rPr>
          <w:highlight w:val="yellow"/>
          <w:lang w:val="es-US"/>
        </w:rPr>
        <w:t xml:space="preserve">, R., &amp; </w:t>
      </w:r>
      <w:proofErr w:type="spellStart"/>
      <w:r w:rsidRPr="00B72755">
        <w:rPr>
          <w:highlight w:val="yellow"/>
          <w:lang w:val="es-US"/>
        </w:rPr>
        <w:t>Naghibi</w:t>
      </w:r>
      <w:proofErr w:type="spellEnd"/>
      <w:r w:rsidRPr="00B72755">
        <w:rPr>
          <w:highlight w:val="yellow"/>
          <w:lang w:val="es-US"/>
        </w:rPr>
        <w:t xml:space="preserve">, M. (2025). </w:t>
      </w:r>
      <w:r w:rsidRPr="00B72755">
        <w:rPr>
          <w:highlight w:val="yellow"/>
        </w:rPr>
        <w:t>The Incidence of Heart Failure in Children with Congenital Heart Disease: A Prospective Cohort Study. </w:t>
      </w:r>
      <w:r w:rsidRPr="00B72755">
        <w:rPr>
          <w:i/>
          <w:iCs/>
          <w:highlight w:val="yellow"/>
        </w:rPr>
        <w:t>Current Cardiology Reviews</w:t>
      </w:r>
      <w:r w:rsidRPr="00B72755">
        <w:rPr>
          <w:highlight w:val="yellow"/>
        </w:rPr>
        <w:t>, </w:t>
      </w:r>
      <w:r w:rsidRPr="00B72755">
        <w:rPr>
          <w:i/>
          <w:iCs/>
          <w:highlight w:val="yellow"/>
        </w:rPr>
        <w:t>21</w:t>
      </w:r>
      <w:r w:rsidRPr="00B72755">
        <w:rPr>
          <w:highlight w:val="yellow"/>
        </w:rPr>
        <w:t xml:space="preserve">(5), E1573403X345783. </w:t>
      </w:r>
      <w:hyperlink r:id="rId28" w:history="1">
        <w:r w:rsidRPr="00B72755">
          <w:rPr>
            <w:rStyle w:val="Hyperlink"/>
            <w:highlight w:val="yellow"/>
          </w:rPr>
          <w:t>https://doi.org/10.2174/011573403X345783250128052038</w:t>
        </w:r>
      </w:hyperlink>
    </w:p>
    <w:p w14:paraId="68E586F7" w14:textId="77777777" w:rsidR="00E57071" w:rsidRPr="00B72755" w:rsidRDefault="00E57071" w:rsidP="00E57071">
      <w:pPr>
        <w:pStyle w:val="ListParagraph"/>
        <w:numPr>
          <w:ilvl w:val="0"/>
          <w:numId w:val="3"/>
        </w:numPr>
        <w:rPr>
          <w:highlight w:val="yellow"/>
        </w:rPr>
      </w:pPr>
      <w:r w:rsidRPr="00B72755">
        <w:rPr>
          <w:highlight w:val="yellow"/>
        </w:rPr>
        <w:t>Eriksson, C. O., Bahr, N., Meckler, G., Hansen, M., Walker-Stevenson, G., Idris, A., ... &amp; Ivankovic, J. (2024). Adverse safety events in emergency medical services care of children with out-of-hospital cardiac arrest. </w:t>
      </w:r>
      <w:r w:rsidRPr="00B72755">
        <w:rPr>
          <w:i/>
          <w:iCs/>
          <w:highlight w:val="yellow"/>
        </w:rPr>
        <w:t>JAMA Network Open</w:t>
      </w:r>
      <w:r w:rsidRPr="00B72755">
        <w:rPr>
          <w:highlight w:val="yellow"/>
        </w:rPr>
        <w:t>, </w:t>
      </w:r>
      <w:r w:rsidRPr="00B72755">
        <w:rPr>
          <w:i/>
          <w:iCs/>
          <w:highlight w:val="yellow"/>
        </w:rPr>
        <w:t>7</w:t>
      </w:r>
      <w:r w:rsidRPr="00B72755">
        <w:rPr>
          <w:highlight w:val="yellow"/>
        </w:rPr>
        <w:t xml:space="preserve">(1), e2351535-e2351535. doi:10.1001/jamanetworkopen.2023.51535 </w:t>
      </w:r>
    </w:p>
    <w:p w14:paraId="487790D0" w14:textId="77777777" w:rsidR="00E57071" w:rsidRPr="00B72755" w:rsidRDefault="00E57071" w:rsidP="00E57071">
      <w:pPr>
        <w:pStyle w:val="ListParagraph"/>
        <w:numPr>
          <w:ilvl w:val="0"/>
          <w:numId w:val="3"/>
        </w:numPr>
        <w:rPr>
          <w:highlight w:val="yellow"/>
        </w:rPr>
      </w:pPr>
      <w:r w:rsidRPr="00B72755">
        <w:rPr>
          <w:highlight w:val="yellow"/>
        </w:rPr>
        <w:t xml:space="preserve">Jewell, T. I., Carrasco, M., Hsu, D. A., &amp; Knox, A. T. (2025). Lacosamide Boluses Decreased Seizure Burden and Were Well Tolerated in Neonates </w:t>
      </w:r>
      <w:proofErr w:type="gramStart"/>
      <w:r w:rsidRPr="00B72755">
        <w:rPr>
          <w:highlight w:val="yellow"/>
        </w:rPr>
        <w:t>With</w:t>
      </w:r>
      <w:proofErr w:type="gramEnd"/>
      <w:r w:rsidRPr="00B72755">
        <w:rPr>
          <w:highlight w:val="yellow"/>
        </w:rPr>
        <w:t xml:space="preserve"> Acute Seizures: A Single-Center Retrospective Case Series. </w:t>
      </w:r>
      <w:r w:rsidRPr="00B72755">
        <w:rPr>
          <w:i/>
          <w:iCs/>
          <w:highlight w:val="yellow"/>
        </w:rPr>
        <w:t>Journal of child neurology</w:t>
      </w:r>
      <w:r w:rsidRPr="00B72755">
        <w:rPr>
          <w:highlight w:val="yellow"/>
        </w:rPr>
        <w:t>, </w:t>
      </w:r>
      <w:r w:rsidRPr="00B72755">
        <w:rPr>
          <w:i/>
          <w:iCs/>
          <w:highlight w:val="yellow"/>
        </w:rPr>
        <w:t>40</w:t>
      </w:r>
      <w:r w:rsidRPr="00B72755">
        <w:rPr>
          <w:highlight w:val="yellow"/>
        </w:rPr>
        <w:t xml:space="preserve">(2), 116-122. </w:t>
      </w:r>
      <w:hyperlink r:id="rId29" w:history="1">
        <w:r w:rsidRPr="00B72755">
          <w:rPr>
            <w:rStyle w:val="Hyperlink"/>
            <w:highlight w:val="yellow"/>
          </w:rPr>
          <w:t>https://doi.org/10.1177/08830738241286108</w:t>
        </w:r>
      </w:hyperlink>
      <w:r w:rsidRPr="00B72755">
        <w:rPr>
          <w:highlight w:val="yellow"/>
        </w:rPr>
        <w:t xml:space="preserve"> </w:t>
      </w:r>
    </w:p>
    <w:p w14:paraId="2DFB68A9" w14:textId="77777777" w:rsidR="00E57071" w:rsidRPr="00B72755" w:rsidRDefault="00E57071" w:rsidP="00E57071">
      <w:pPr>
        <w:pStyle w:val="ListParagraph"/>
        <w:numPr>
          <w:ilvl w:val="0"/>
          <w:numId w:val="3"/>
        </w:numPr>
        <w:rPr>
          <w:highlight w:val="yellow"/>
        </w:rPr>
      </w:pPr>
      <w:r w:rsidRPr="00B72755">
        <w:rPr>
          <w:highlight w:val="yellow"/>
          <w:lang w:val="es-US"/>
        </w:rPr>
        <w:t xml:space="preserve">Pisani, F., </w:t>
      </w:r>
      <w:proofErr w:type="spellStart"/>
      <w:r w:rsidRPr="00B72755">
        <w:rPr>
          <w:highlight w:val="yellow"/>
          <w:lang w:val="es-US"/>
        </w:rPr>
        <w:t>Spagnoli</w:t>
      </w:r>
      <w:proofErr w:type="spellEnd"/>
      <w:r w:rsidRPr="00B72755">
        <w:rPr>
          <w:highlight w:val="yellow"/>
          <w:lang w:val="es-US"/>
        </w:rPr>
        <w:t xml:space="preserve">, C., </w:t>
      </w:r>
      <w:proofErr w:type="spellStart"/>
      <w:r w:rsidRPr="00B72755">
        <w:rPr>
          <w:highlight w:val="yellow"/>
          <w:lang w:val="es-US"/>
        </w:rPr>
        <w:t>Falsaperla</w:t>
      </w:r>
      <w:proofErr w:type="spellEnd"/>
      <w:r w:rsidRPr="00B72755">
        <w:rPr>
          <w:highlight w:val="yellow"/>
          <w:lang w:val="es-US"/>
        </w:rPr>
        <w:t xml:space="preserve">, R., </w:t>
      </w:r>
      <w:proofErr w:type="spellStart"/>
      <w:r w:rsidRPr="00B72755">
        <w:rPr>
          <w:highlight w:val="yellow"/>
          <w:lang w:val="es-US"/>
        </w:rPr>
        <w:t>Nagarajan</w:t>
      </w:r>
      <w:proofErr w:type="spellEnd"/>
      <w:r w:rsidRPr="00B72755">
        <w:rPr>
          <w:highlight w:val="yellow"/>
          <w:lang w:val="es-US"/>
        </w:rPr>
        <w:t xml:space="preserve">, L., &amp; </w:t>
      </w:r>
      <w:proofErr w:type="spellStart"/>
      <w:r w:rsidRPr="00B72755">
        <w:rPr>
          <w:highlight w:val="yellow"/>
          <w:lang w:val="es-US"/>
        </w:rPr>
        <w:t>Ramantani</w:t>
      </w:r>
      <w:proofErr w:type="spellEnd"/>
      <w:r w:rsidRPr="00B72755">
        <w:rPr>
          <w:highlight w:val="yellow"/>
          <w:lang w:val="es-US"/>
        </w:rPr>
        <w:t xml:space="preserve">, G. (2021). </w:t>
      </w:r>
      <w:r w:rsidRPr="00B72755">
        <w:rPr>
          <w:highlight w:val="yellow"/>
        </w:rPr>
        <w:t xml:space="preserve">Seizures in the neonate: A review of etiologies and outcomes. </w:t>
      </w:r>
      <w:r w:rsidRPr="00B72755">
        <w:rPr>
          <w:i/>
          <w:iCs/>
          <w:highlight w:val="yellow"/>
        </w:rPr>
        <w:t>Seizure, 85</w:t>
      </w:r>
      <w:r w:rsidRPr="00B72755">
        <w:rPr>
          <w:highlight w:val="yellow"/>
        </w:rPr>
        <w:t xml:space="preserve">, 48–56. </w:t>
      </w:r>
      <w:hyperlink r:id="rId30" w:tgtFrame="_new" w:history="1">
        <w:r w:rsidRPr="00B72755">
          <w:rPr>
            <w:rStyle w:val="Hyperlink"/>
            <w:highlight w:val="yellow"/>
          </w:rPr>
          <w:t>https://doi.org/10.1016/j.seizure.2020.12.023</w:t>
        </w:r>
      </w:hyperlink>
    </w:p>
    <w:p w14:paraId="20EAE0DB" w14:textId="77777777" w:rsidR="00E57071" w:rsidRPr="00B72755" w:rsidRDefault="00E57071" w:rsidP="00E57071">
      <w:pPr>
        <w:pStyle w:val="ListParagraph"/>
        <w:numPr>
          <w:ilvl w:val="0"/>
          <w:numId w:val="3"/>
        </w:numPr>
        <w:rPr>
          <w:highlight w:val="yellow"/>
          <w:lang w:val="es-US"/>
        </w:rPr>
      </w:pPr>
      <w:proofErr w:type="spellStart"/>
      <w:r w:rsidRPr="00B72755">
        <w:rPr>
          <w:highlight w:val="yellow"/>
          <w:lang w:val="es-US"/>
        </w:rPr>
        <w:t>Allegaert</w:t>
      </w:r>
      <w:proofErr w:type="spellEnd"/>
      <w:r w:rsidRPr="00B72755">
        <w:rPr>
          <w:highlight w:val="yellow"/>
          <w:lang w:val="es-US"/>
        </w:rPr>
        <w:t xml:space="preserve">, K., Van De Velde, M., &amp; van den Anker, J. (2014). Neonatal </w:t>
      </w:r>
      <w:proofErr w:type="spellStart"/>
      <w:r w:rsidRPr="00B72755">
        <w:rPr>
          <w:highlight w:val="yellow"/>
          <w:lang w:val="es-US"/>
        </w:rPr>
        <w:t>clinical</w:t>
      </w:r>
      <w:proofErr w:type="spellEnd"/>
      <w:r w:rsidRPr="00B72755">
        <w:rPr>
          <w:highlight w:val="yellow"/>
          <w:lang w:val="es-US"/>
        </w:rPr>
        <w:t xml:space="preserve"> </w:t>
      </w:r>
      <w:proofErr w:type="spellStart"/>
      <w:r w:rsidRPr="00B72755">
        <w:rPr>
          <w:highlight w:val="yellow"/>
          <w:lang w:val="es-US"/>
        </w:rPr>
        <w:t>pharmacology</w:t>
      </w:r>
      <w:proofErr w:type="spellEnd"/>
      <w:r w:rsidRPr="00B72755">
        <w:rPr>
          <w:highlight w:val="yellow"/>
          <w:lang w:val="es-US"/>
        </w:rPr>
        <w:t>. </w:t>
      </w:r>
      <w:proofErr w:type="spellStart"/>
      <w:r w:rsidRPr="00B72755">
        <w:rPr>
          <w:i/>
          <w:iCs/>
          <w:highlight w:val="yellow"/>
          <w:lang w:val="es-US"/>
        </w:rPr>
        <w:t>Pediatric</w:t>
      </w:r>
      <w:proofErr w:type="spellEnd"/>
      <w:r w:rsidRPr="00B72755">
        <w:rPr>
          <w:i/>
          <w:iCs/>
          <w:highlight w:val="yellow"/>
          <w:lang w:val="es-US"/>
        </w:rPr>
        <w:t xml:space="preserve"> </w:t>
      </w:r>
      <w:proofErr w:type="spellStart"/>
      <w:r w:rsidRPr="00B72755">
        <w:rPr>
          <w:i/>
          <w:iCs/>
          <w:highlight w:val="yellow"/>
          <w:lang w:val="es-US"/>
        </w:rPr>
        <w:t>Anesthesia</w:t>
      </w:r>
      <w:proofErr w:type="spellEnd"/>
      <w:r w:rsidRPr="00B72755">
        <w:rPr>
          <w:highlight w:val="yellow"/>
          <w:lang w:val="es-US"/>
        </w:rPr>
        <w:t>, </w:t>
      </w:r>
      <w:r w:rsidRPr="00B72755">
        <w:rPr>
          <w:i/>
          <w:iCs/>
          <w:highlight w:val="yellow"/>
          <w:lang w:val="es-US"/>
        </w:rPr>
        <w:t>24</w:t>
      </w:r>
      <w:r w:rsidRPr="00B72755">
        <w:rPr>
          <w:highlight w:val="yellow"/>
          <w:lang w:val="es-US"/>
        </w:rPr>
        <w:t xml:space="preserve">(1), 30-38. </w:t>
      </w:r>
      <w:hyperlink r:id="rId31" w:history="1">
        <w:r w:rsidRPr="00B72755">
          <w:rPr>
            <w:rStyle w:val="Hyperlink"/>
            <w:b/>
            <w:bCs/>
            <w:highlight w:val="yellow"/>
          </w:rPr>
          <w:t>https://doi.org/10.1111/pan.12176</w:t>
        </w:r>
      </w:hyperlink>
    </w:p>
    <w:p w14:paraId="6DC0F3A5" w14:textId="77777777" w:rsidR="00E57071" w:rsidRPr="00B72755" w:rsidRDefault="00E57071" w:rsidP="00E57071">
      <w:pPr>
        <w:pStyle w:val="ListParagraph"/>
        <w:numPr>
          <w:ilvl w:val="0"/>
          <w:numId w:val="3"/>
        </w:numPr>
        <w:rPr>
          <w:highlight w:val="yellow"/>
        </w:rPr>
      </w:pPr>
      <w:r w:rsidRPr="00B72755">
        <w:rPr>
          <w:highlight w:val="yellow"/>
        </w:rPr>
        <w:t>Sumpter, A., &amp; Anderson, B. J. (2009). Pediatric pharmacology in the first year of life. </w:t>
      </w:r>
      <w:r w:rsidRPr="00B72755">
        <w:rPr>
          <w:i/>
          <w:iCs/>
          <w:highlight w:val="yellow"/>
        </w:rPr>
        <w:t>Current Opinion in Anesthesiology</w:t>
      </w:r>
      <w:r w:rsidRPr="00B72755">
        <w:rPr>
          <w:highlight w:val="yellow"/>
        </w:rPr>
        <w:t>, </w:t>
      </w:r>
      <w:r w:rsidRPr="00B72755">
        <w:rPr>
          <w:i/>
          <w:iCs/>
          <w:highlight w:val="yellow"/>
        </w:rPr>
        <w:t>22</w:t>
      </w:r>
      <w:r w:rsidRPr="00B72755">
        <w:rPr>
          <w:highlight w:val="yellow"/>
        </w:rPr>
        <w:t>(4), 469-475.  </w:t>
      </w:r>
      <w:r w:rsidRPr="00B72755">
        <w:rPr>
          <w:i/>
          <w:iCs/>
          <w:highlight w:val="yellow"/>
        </w:rPr>
        <w:t>DOI: </w:t>
      </w:r>
      <w:r w:rsidRPr="00B72755">
        <w:rPr>
          <w:highlight w:val="yellow"/>
        </w:rPr>
        <w:t xml:space="preserve">10.1097/ACO.0b013e32832bc7ff </w:t>
      </w:r>
    </w:p>
    <w:p w14:paraId="744DA070" w14:textId="6A46027B" w:rsidR="00E57071" w:rsidRPr="00B72755" w:rsidRDefault="00E57071" w:rsidP="00E57071">
      <w:pPr>
        <w:pStyle w:val="ListParagraph"/>
        <w:numPr>
          <w:ilvl w:val="0"/>
          <w:numId w:val="3"/>
        </w:numPr>
        <w:rPr>
          <w:highlight w:val="yellow"/>
        </w:rPr>
      </w:pPr>
      <w:r w:rsidRPr="00B72755">
        <w:rPr>
          <w:highlight w:val="yellow"/>
        </w:rPr>
        <w:t>de Wildt, S. N. (2011). Profound changes in drug metabolism enzymes and possible effects on drug therapy in neonates and children. </w:t>
      </w:r>
      <w:r w:rsidRPr="00B72755">
        <w:rPr>
          <w:i/>
          <w:iCs/>
          <w:highlight w:val="yellow"/>
        </w:rPr>
        <w:t>Expert opinion on drug metabolism &amp; toxicology</w:t>
      </w:r>
      <w:r w:rsidRPr="00B72755">
        <w:rPr>
          <w:highlight w:val="yellow"/>
        </w:rPr>
        <w:t>, </w:t>
      </w:r>
      <w:r w:rsidRPr="00B72755">
        <w:rPr>
          <w:i/>
          <w:iCs/>
          <w:highlight w:val="yellow"/>
        </w:rPr>
        <w:t>7</w:t>
      </w:r>
      <w:r w:rsidRPr="00B72755">
        <w:rPr>
          <w:highlight w:val="yellow"/>
        </w:rPr>
        <w:t xml:space="preserve">(8), 935-948. </w:t>
      </w:r>
      <w:hyperlink r:id="rId32" w:history="1">
        <w:r w:rsidRPr="00B72755">
          <w:rPr>
            <w:rStyle w:val="Hyperlink"/>
            <w:highlight w:val="yellow"/>
          </w:rPr>
          <w:t>https://doi.org/10.1517/17425255.2011.577739</w:t>
        </w:r>
      </w:hyperlink>
    </w:p>
    <w:sectPr w:rsidR="00E57071" w:rsidRPr="00B72755">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F803" w14:textId="77777777" w:rsidR="00146E80" w:rsidRDefault="00146E80" w:rsidP="00013AF3">
      <w:pPr>
        <w:spacing w:after="0" w:line="240" w:lineRule="auto"/>
      </w:pPr>
      <w:r>
        <w:separator/>
      </w:r>
    </w:p>
  </w:endnote>
  <w:endnote w:type="continuationSeparator" w:id="0">
    <w:p w14:paraId="049FD68D" w14:textId="77777777" w:rsidR="00146E80" w:rsidRDefault="00146E80" w:rsidP="0001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F8DF" w14:textId="77777777" w:rsidR="00013AF3" w:rsidRDefault="0001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A89C" w14:textId="77777777" w:rsidR="00013AF3" w:rsidRDefault="0001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88A3" w14:textId="77777777" w:rsidR="00013AF3" w:rsidRDefault="0001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906B" w14:textId="77777777" w:rsidR="00146E80" w:rsidRDefault="00146E80" w:rsidP="00013AF3">
      <w:pPr>
        <w:spacing w:after="0" w:line="240" w:lineRule="auto"/>
      </w:pPr>
      <w:r>
        <w:separator/>
      </w:r>
    </w:p>
  </w:footnote>
  <w:footnote w:type="continuationSeparator" w:id="0">
    <w:p w14:paraId="7376850A" w14:textId="77777777" w:rsidR="00146E80" w:rsidRDefault="00146E80" w:rsidP="0001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3494" w14:textId="0B6B8606" w:rsidR="00013AF3" w:rsidRDefault="00000000">
    <w:pPr>
      <w:pStyle w:val="Header"/>
    </w:pPr>
    <w:r>
      <w:rPr>
        <w:noProof/>
      </w:rPr>
      <w:pict w14:anchorId="2EE11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E10B" w14:textId="3ADA1CF7" w:rsidR="00013AF3" w:rsidRDefault="00000000">
    <w:pPr>
      <w:pStyle w:val="Header"/>
    </w:pPr>
    <w:r>
      <w:rPr>
        <w:noProof/>
      </w:rPr>
      <w:pict w14:anchorId="21E0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FC43" w14:textId="340A8A5F" w:rsidR="00013AF3" w:rsidRDefault="00000000">
    <w:pPr>
      <w:pStyle w:val="Header"/>
    </w:pPr>
    <w:r>
      <w:rPr>
        <w:noProof/>
      </w:rPr>
      <w:pict w14:anchorId="6ACF7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D2504CC"/>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212881609">
    <w:abstractNumId w:val="0"/>
  </w:num>
  <w:num w:numId="2" w16cid:durableId="2059083132">
    <w:abstractNumId w:val="2"/>
  </w:num>
  <w:num w:numId="3" w16cid:durableId="23609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sDAwMTKzMDK1sDBS0lEKTi0uzszPAykwrAUA1c8T+SwAAAA="/>
  </w:docVars>
  <w:rsids>
    <w:rsidRoot w:val="00111D11"/>
    <w:rsid w:val="00013AF3"/>
    <w:rsid w:val="00111D11"/>
    <w:rsid w:val="00122072"/>
    <w:rsid w:val="00146E80"/>
    <w:rsid w:val="0019116E"/>
    <w:rsid w:val="00191B1C"/>
    <w:rsid w:val="00196C80"/>
    <w:rsid w:val="00196F2B"/>
    <w:rsid w:val="001A23C7"/>
    <w:rsid w:val="00237A29"/>
    <w:rsid w:val="002730B5"/>
    <w:rsid w:val="002A5D30"/>
    <w:rsid w:val="002D0D53"/>
    <w:rsid w:val="00335B8F"/>
    <w:rsid w:val="00365B4C"/>
    <w:rsid w:val="003B40BB"/>
    <w:rsid w:val="003E4D74"/>
    <w:rsid w:val="005F0348"/>
    <w:rsid w:val="006D67F8"/>
    <w:rsid w:val="007036BC"/>
    <w:rsid w:val="00710300"/>
    <w:rsid w:val="00713E96"/>
    <w:rsid w:val="00747016"/>
    <w:rsid w:val="007D393F"/>
    <w:rsid w:val="00814C28"/>
    <w:rsid w:val="00854EF4"/>
    <w:rsid w:val="008C0161"/>
    <w:rsid w:val="008C1925"/>
    <w:rsid w:val="008E5C8E"/>
    <w:rsid w:val="00A327A6"/>
    <w:rsid w:val="00A44218"/>
    <w:rsid w:val="00AA3C38"/>
    <w:rsid w:val="00AC00B3"/>
    <w:rsid w:val="00B10876"/>
    <w:rsid w:val="00B72755"/>
    <w:rsid w:val="00BB03D2"/>
    <w:rsid w:val="00BE1E42"/>
    <w:rsid w:val="00C17DEA"/>
    <w:rsid w:val="00CF32FC"/>
    <w:rsid w:val="00D90ABD"/>
    <w:rsid w:val="00E57071"/>
    <w:rsid w:val="00EF0846"/>
    <w:rsid w:val="00F46161"/>
    <w:rsid w:val="00FE0055"/>
    <w:rsid w:val="00FF18A7"/>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3B3A3"/>
  <w15:docId w15:val="{D8DB7582-3359-4495-AA22-1D4D8ACE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rPr>
      <w:rFonts w:ascii="Times New Roman" w:eastAsia="SimSun" w:hAnsi="Times New Roman" w:cs="Times New Roman"/>
      <w:color w:val="467886"/>
      <w:sz w:val="21"/>
      <w:u w:val="single"/>
    </w:rPr>
  </w:style>
  <w:style w:type="character" w:styleId="UnresolvedMention">
    <w:name w:val="Unresolved Mention"/>
    <w:basedOn w:val="DefaultParagraphFont"/>
    <w:uiPriority w:val="99"/>
    <w:semiHidden/>
    <w:unhideWhenUsed/>
    <w:rsid w:val="00122072"/>
    <w:rPr>
      <w:color w:val="605E5C"/>
      <w:shd w:val="clear" w:color="auto" w:fill="E1DFDD"/>
    </w:rPr>
  </w:style>
  <w:style w:type="paragraph" w:styleId="Header">
    <w:name w:val="header"/>
    <w:basedOn w:val="Normal"/>
    <w:link w:val="HeaderChar"/>
    <w:uiPriority w:val="99"/>
    <w:unhideWhenUsed/>
    <w:rsid w:val="00013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F3"/>
  </w:style>
  <w:style w:type="paragraph" w:styleId="Footer">
    <w:name w:val="footer"/>
    <w:basedOn w:val="Normal"/>
    <w:link w:val="FooterChar"/>
    <w:uiPriority w:val="99"/>
    <w:unhideWhenUsed/>
    <w:rsid w:val="0001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F3"/>
  </w:style>
  <w:style w:type="paragraph" w:styleId="Revision">
    <w:name w:val="Revision"/>
    <w:hidden/>
    <w:uiPriority w:val="99"/>
    <w:semiHidden/>
    <w:rsid w:val="0071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9/fped.2025.1475143" TargetMode="External"/><Relationship Id="rId13" Type="http://schemas.openxmlformats.org/officeDocument/2006/relationships/hyperlink" Target="https://doi.org/10.1038/s41372-025-02317-x" TargetMode="External"/><Relationship Id="rId18" Type="http://schemas.openxmlformats.org/officeDocument/2006/relationships/hyperlink" Target="https://www.jpeds.com/article/S0022-3476(24)00050-7/fulltext" TargetMode="External"/><Relationship Id="rId26" Type="http://schemas.openxmlformats.org/officeDocument/2006/relationships/hyperlink" Target="https://doi.org/10.1016/j.thromres.2004.12.01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9734/jammr/2020/v32i430396" TargetMode="External"/><Relationship Id="rId34" Type="http://schemas.openxmlformats.org/officeDocument/2006/relationships/header" Target="header2.xml"/><Relationship Id="rId7" Type="http://schemas.openxmlformats.org/officeDocument/2006/relationships/hyperlink" Target="https://doi.org/10.1111/bcp.12741" TargetMode="External"/><Relationship Id="rId12" Type="http://schemas.openxmlformats.org/officeDocument/2006/relationships/hyperlink" Target="https://doi.org/10.1002/ajmg.a.62955" TargetMode="External"/><Relationship Id="rId17" Type="http://schemas.openxmlformats.org/officeDocument/2006/relationships/hyperlink" Target="https://doi.org/10.1161/HYPERTENSIONAHA.120.15574" TargetMode="External"/><Relationship Id="rId25" Type="http://schemas.openxmlformats.org/officeDocument/2006/relationships/hyperlink" Target="https://doi.org/10.5334/gh.134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jacc.2017.03.572" TargetMode="External"/><Relationship Id="rId20" Type="http://schemas.openxmlformats.org/officeDocument/2006/relationships/hyperlink" Target="https://doi.org/10.1016/j.jpeds.2019.08.028" TargetMode="External"/><Relationship Id="rId29" Type="http://schemas.openxmlformats.org/officeDocument/2006/relationships/hyperlink" Target="https://doi.org/10.1177/08830738241286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jmedgenet-2018-105746" TargetMode="External"/><Relationship Id="rId24" Type="http://schemas.openxmlformats.org/officeDocument/2006/relationships/hyperlink" Target="https://doi.org/10.1007/s00246-024-03449-1" TargetMode="External"/><Relationship Id="rId32" Type="http://schemas.openxmlformats.org/officeDocument/2006/relationships/hyperlink" Target="https://doi.org/10.1517/17425255.2011.57773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jcm10194519" TargetMode="External"/><Relationship Id="rId23" Type="http://schemas.openxmlformats.org/officeDocument/2006/relationships/hyperlink" Target="https://doi.org/10.3390/jcdd9050156" TargetMode="External"/><Relationship Id="rId28" Type="http://schemas.openxmlformats.org/officeDocument/2006/relationships/hyperlink" Target="https://doi.org/10.2174/011573403X345783250128052038" TargetMode="External"/><Relationship Id="rId36" Type="http://schemas.openxmlformats.org/officeDocument/2006/relationships/footer" Target="footer2.xml"/><Relationship Id="rId10" Type="http://schemas.openxmlformats.org/officeDocument/2006/relationships/hyperlink" Target="https://doi.org/10.3390/genes13010006" TargetMode="External"/><Relationship Id="rId19" Type="http://schemas.openxmlformats.org/officeDocument/2006/relationships/hyperlink" Target="https://doi.org/10.1016/j.jpeds.2020.05.028" TargetMode="External"/><Relationship Id="rId31" Type="http://schemas.openxmlformats.org/officeDocument/2006/relationships/hyperlink" Target="https://doi.org/10.1111/pan.12176" TargetMode="External"/><Relationship Id="rId4" Type="http://schemas.openxmlformats.org/officeDocument/2006/relationships/webSettings" Target="webSettings.xml"/><Relationship Id="rId9" Type="http://schemas.openxmlformats.org/officeDocument/2006/relationships/hyperlink" Target="https://doi.org/10.1186/s12887-022-03804-2" TargetMode="External"/><Relationship Id="rId14" Type="http://schemas.openxmlformats.org/officeDocument/2006/relationships/hyperlink" Target="https://doi.org/10.1152/ajpheart.00656.2024" TargetMode="External"/><Relationship Id="rId22" Type="http://schemas.openxmlformats.org/officeDocument/2006/relationships/hyperlink" Target="https://doi.org/10.9734/ajpr/2022/v10i3195" TargetMode="External"/><Relationship Id="rId27" Type="http://schemas.openxmlformats.org/officeDocument/2006/relationships/hyperlink" Target="https://doi.org/10.1038/s41390-025-04247-y" TargetMode="External"/><Relationship Id="rId30" Type="http://schemas.openxmlformats.org/officeDocument/2006/relationships/hyperlink" Target="https://doi.org/10.1016/j.seizure.2020.12.023"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5277</Words>
  <Characters>36205</Characters>
  <Application>Microsoft Office Word</Application>
  <DocSecurity>0</DocSecurity>
  <Lines>754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Editor-17</cp:lastModifiedBy>
  <cp:revision>52</cp:revision>
  <dcterms:created xsi:type="dcterms:W3CDTF">2025-11-17T13:14:00Z</dcterms:created>
  <dcterms:modified xsi:type="dcterms:W3CDTF">2025-11-27T10:47:00Z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bb0ac5a6e7724a36bf842a9744f2b776</vt:lpwstr>
  </property>
  <property fmtid="{D5CDD505-2E9C-101B-9397-08002B2CF9AE}" pid="3" name="GrammarlyDocumentId">
    <vt:lpwstr>ebdecbfb-e986-4e5f-ab26-6c65dd2eca73</vt:lpwstr>
  </property>
</Properties>
</file>