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9E04A" w14:textId="2E08B0C9" w:rsidR="00586588" w:rsidRDefault="00432AB0" w:rsidP="00D15A48">
      <w:pPr>
        <w:pStyle w:val="Title"/>
        <w:spacing w:after="0"/>
        <w:jc w:val="center"/>
        <w:rPr>
          <w:rFonts w:ascii="Arial" w:hAnsi="Arial" w:cs="Arial"/>
        </w:rPr>
      </w:pPr>
      <w:r w:rsidRPr="00432AB0">
        <w:rPr>
          <w:rFonts w:ascii="Arial" w:hAnsi="Arial" w:cs="Arial"/>
        </w:rPr>
        <w:t>Original Research Article</w:t>
      </w:r>
    </w:p>
    <w:p w14:paraId="1DD96B4A" w14:textId="77777777" w:rsidR="00432AB0" w:rsidRDefault="00432AB0" w:rsidP="00D15A48">
      <w:pPr>
        <w:pStyle w:val="Title"/>
        <w:spacing w:after="0"/>
        <w:jc w:val="center"/>
        <w:rPr>
          <w:rFonts w:ascii="Arial" w:hAnsi="Arial" w:cs="Arial"/>
        </w:rPr>
      </w:pPr>
    </w:p>
    <w:p w14:paraId="45E4E115" w14:textId="77777777" w:rsidR="000068AA" w:rsidRDefault="000068AA" w:rsidP="00441B6F">
      <w:pPr>
        <w:pStyle w:val="Author"/>
        <w:spacing w:line="240" w:lineRule="auto"/>
        <w:rPr>
          <w:rFonts w:ascii="Arial" w:hAnsi="Arial" w:cs="Arial"/>
        </w:rPr>
      </w:pPr>
      <w:r w:rsidRPr="008A0BC7">
        <w:rPr>
          <w:rFonts w:ascii="Times New Roman" w:hAnsi="Times New Roman"/>
          <w:bCs/>
        </w:rPr>
        <w:t>Evaluating Climate-Rainfall-Temperature Interactions and Their Effects on Water Resource Sustainability (SDG 6) Using ARIMA and ARIMAX Models</w:t>
      </w:r>
      <w:r>
        <w:rPr>
          <w:rFonts w:ascii="Arial" w:hAnsi="Arial" w:cs="Arial"/>
        </w:rPr>
        <w:t xml:space="preserve"> </w:t>
      </w:r>
    </w:p>
    <w:p w14:paraId="77558109" w14:textId="547402D1" w:rsidR="00DA08F4" w:rsidRDefault="00DA08F4" w:rsidP="002E1148">
      <w:pPr>
        <w:pStyle w:val="Affiliation"/>
        <w:spacing w:after="0" w:line="240" w:lineRule="auto"/>
      </w:pPr>
    </w:p>
    <w:p w14:paraId="019CEB17" w14:textId="77777777" w:rsidR="00E838D8" w:rsidRDefault="00E838D8" w:rsidP="002E1148">
      <w:pPr>
        <w:pStyle w:val="Affiliation"/>
        <w:spacing w:after="0" w:line="240" w:lineRule="auto"/>
      </w:pPr>
    </w:p>
    <w:p w14:paraId="6CE36776" w14:textId="77777777" w:rsidR="00DA08F4" w:rsidRDefault="00DA08F4" w:rsidP="002E1148">
      <w:pPr>
        <w:pStyle w:val="Affiliation"/>
        <w:spacing w:after="0" w:line="240" w:lineRule="auto"/>
      </w:pPr>
    </w:p>
    <w:p w14:paraId="2C98A223" w14:textId="38A6AA63" w:rsidR="002E1148" w:rsidRPr="002E1148" w:rsidRDefault="004E1FE2" w:rsidP="002E1148">
      <w:pPr>
        <w:pStyle w:val="Affiliation"/>
        <w:spacing w:after="0" w:line="240" w:lineRule="auto"/>
        <w:rPr>
          <w:rFonts w:ascii="Arial" w:hAnsi="Arial" w:cs="Arial"/>
        </w:rPr>
      </w:pPr>
      <w:r>
        <w:rPr>
          <w:rFonts w:ascii="Arial" w:hAnsi="Arial" w:cs="Arial"/>
          <w:bCs/>
        </w:rPr>
        <w:t xml:space="preserve"> </w:t>
      </w:r>
      <w:r w:rsidR="002E1148" w:rsidRPr="002E1148">
        <w:rPr>
          <w:rFonts w:ascii="Arial" w:hAnsi="Arial" w:cs="Arial"/>
          <w:b/>
          <w:vertAlign w:val="superscript"/>
        </w:rPr>
        <w:br/>
      </w:r>
    </w:p>
    <w:p w14:paraId="06F2234B" w14:textId="77777777" w:rsidR="00B01FCD" w:rsidRPr="00FB3A86" w:rsidRDefault="006E35DE" w:rsidP="00441B6F">
      <w:pPr>
        <w:pStyle w:val="Copyright"/>
        <w:spacing w:after="0" w:line="240" w:lineRule="auto"/>
        <w:jc w:val="both"/>
        <w:rPr>
          <w:rFonts w:ascii="Arial" w:hAnsi="Arial" w:cs="Arial"/>
        </w:rPr>
        <w:sectPr w:rsidR="00B01FCD" w:rsidRPr="00FB3A86" w:rsidSect="00E838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D3A3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40AA6C" w14:textId="311D90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D6B1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6B72FC" w14:textId="77777777" w:rsidTr="001E44FE">
        <w:tc>
          <w:tcPr>
            <w:tcW w:w="9576" w:type="dxa"/>
            <w:shd w:val="clear" w:color="auto" w:fill="F2F2F2"/>
          </w:tcPr>
          <w:p w14:paraId="0BA620F8" w14:textId="77777777" w:rsidR="00767F9F" w:rsidRPr="00767F9F" w:rsidRDefault="00BA1B01" w:rsidP="00441B6F">
            <w:pPr>
              <w:pStyle w:val="Body"/>
              <w:spacing w:after="0"/>
              <w:rPr>
                <w:rFonts w:ascii="Arial" w:hAnsi="Arial" w:cs="Arial"/>
                <w:sz w:val="22"/>
                <w:szCs w:val="22"/>
              </w:rPr>
            </w:pPr>
            <w:r w:rsidRPr="00767F9F">
              <w:rPr>
                <w:rFonts w:ascii="Arial" w:eastAsia="Calibri" w:hAnsi="Arial" w:cs="Arial"/>
                <w:b/>
                <w:sz w:val="22"/>
                <w:szCs w:val="22"/>
              </w:rPr>
              <w:t xml:space="preserve">Aims: </w:t>
            </w:r>
            <w:r w:rsidR="00767F9F" w:rsidRPr="00767F9F">
              <w:rPr>
                <w:rFonts w:ascii="Arial" w:hAnsi="Arial" w:cs="Arial"/>
                <w:sz w:val="22"/>
                <w:szCs w:val="22"/>
              </w:rPr>
              <w:t xml:space="preserve">This study evaluated the interactions among climate, rainfall, and temperature and their implications for water resource sustainability in the Northern Region of Ghana, in line with Sustainable Development Goal 6 (SDG 6). </w:t>
            </w:r>
          </w:p>
          <w:p w14:paraId="64A7F280" w14:textId="6057A757" w:rsidR="00767F9F" w:rsidRPr="00767F9F" w:rsidRDefault="00BA1B01" w:rsidP="00441B6F">
            <w:pPr>
              <w:pStyle w:val="Body"/>
              <w:spacing w:after="0"/>
              <w:rPr>
                <w:rFonts w:ascii="Arial" w:eastAsia="Calibri" w:hAnsi="Arial" w:cs="Arial"/>
                <w:b/>
                <w:sz w:val="22"/>
                <w:szCs w:val="22"/>
              </w:rPr>
            </w:pPr>
            <w:r w:rsidRPr="00767F9F">
              <w:rPr>
                <w:rFonts w:ascii="Arial" w:eastAsia="Calibri" w:hAnsi="Arial" w:cs="Arial"/>
                <w:b/>
                <w:sz w:val="22"/>
                <w:szCs w:val="22"/>
              </w:rPr>
              <w:t>Study design:</w:t>
            </w:r>
            <w:r w:rsidRPr="00767F9F">
              <w:rPr>
                <w:rFonts w:ascii="Arial" w:eastAsia="Calibri" w:hAnsi="Arial" w:cs="Arial"/>
                <w:sz w:val="22"/>
                <w:szCs w:val="22"/>
              </w:rPr>
              <w:t xml:space="preserve">  </w:t>
            </w:r>
            <w:r w:rsidR="002218FE" w:rsidRPr="002218FE">
              <w:rPr>
                <w:rFonts w:ascii="Arial" w:eastAsia="Calibri" w:hAnsi="Arial" w:cs="Arial"/>
                <w:sz w:val="22"/>
                <w:szCs w:val="22"/>
              </w:rPr>
              <w:t>The study employed a retrospective time series design</w:t>
            </w:r>
          </w:p>
          <w:p w14:paraId="51069101" w14:textId="7FDF04E4" w:rsidR="00767F9F" w:rsidRPr="00767F9F" w:rsidRDefault="00BA1B01" w:rsidP="00441B6F">
            <w:pPr>
              <w:pStyle w:val="Body"/>
              <w:spacing w:after="0"/>
              <w:rPr>
                <w:rFonts w:ascii="Arial" w:hAnsi="Arial" w:cs="Arial"/>
                <w:sz w:val="22"/>
                <w:szCs w:val="22"/>
              </w:rPr>
            </w:pPr>
            <w:r w:rsidRPr="00767F9F">
              <w:rPr>
                <w:rFonts w:ascii="Arial" w:eastAsia="Calibri" w:hAnsi="Arial" w:cs="Arial"/>
                <w:b/>
                <w:bCs/>
                <w:sz w:val="22"/>
                <w:szCs w:val="22"/>
              </w:rPr>
              <w:t>Methodology:</w:t>
            </w:r>
            <w:r w:rsidRPr="00767F9F">
              <w:rPr>
                <w:rFonts w:ascii="Arial" w:eastAsia="Calibri" w:hAnsi="Arial" w:cs="Arial"/>
                <w:sz w:val="22"/>
                <w:szCs w:val="22"/>
              </w:rPr>
              <w:t xml:space="preserve"> </w:t>
            </w:r>
            <w:r w:rsidR="000255A8">
              <w:rPr>
                <w:rFonts w:ascii="Arial" w:eastAsia="Calibri" w:hAnsi="Arial" w:cs="Arial"/>
                <w:sz w:val="22"/>
                <w:szCs w:val="22"/>
              </w:rPr>
              <w:t>A</w:t>
            </w:r>
            <w:r w:rsidR="000255A8" w:rsidRPr="000255A8">
              <w:rPr>
                <w:rFonts w:ascii="Arial" w:eastAsia="Calibri" w:hAnsi="Arial" w:cs="Arial"/>
                <w:sz w:val="22"/>
                <w:szCs w:val="22"/>
              </w:rPr>
              <w:t>nnual average time series</w:t>
            </w:r>
            <w:r w:rsidR="00767F9F" w:rsidRPr="00767F9F">
              <w:rPr>
                <w:rFonts w:ascii="Arial" w:hAnsi="Arial" w:cs="Arial"/>
                <w:sz w:val="22"/>
                <w:szCs w:val="22"/>
              </w:rPr>
              <w:t xml:space="preserve"> data from </w:t>
            </w:r>
            <w:r w:rsidR="00C32384">
              <w:rPr>
                <w:rFonts w:ascii="Arial" w:hAnsi="Arial" w:cs="Arial"/>
                <w:sz w:val="22"/>
                <w:szCs w:val="22"/>
              </w:rPr>
              <w:t>2000</w:t>
            </w:r>
            <w:r w:rsidR="00767F9F" w:rsidRPr="00767F9F">
              <w:rPr>
                <w:rFonts w:ascii="Arial" w:hAnsi="Arial" w:cs="Arial"/>
                <w:sz w:val="22"/>
                <w:szCs w:val="22"/>
              </w:rPr>
              <w:t xml:space="preserve"> to 2024 were analyzed using Autoregressive Integrated Moving Average (ARIMA) and Autoregressive Integrated Moving Average with Exogenous Variables (ARIMAX) models, with rainfall variability serving as the primary proxy for water resource availability. </w:t>
            </w:r>
          </w:p>
          <w:p w14:paraId="445E7B9A" w14:textId="300DE62C" w:rsidR="00767F9F" w:rsidRPr="00767F9F" w:rsidRDefault="00BA1B01" w:rsidP="00441B6F">
            <w:pPr>
              <w:pStyle w:val="Body"/>
              <w:spacing w:after="0"/>
              <w:rPr>
                <w:rFonts w:ascii="Arial" w:hAnsi="Arial" w:cs="Arial"/>
                <w:sz w:val="22"/>
                <w:szCs w:val="22"/>
              </w:rPr>
            </w:pPr>
            <w:r w:rsidRPr="00767F9F">
              <w:rPr>
                <w:rFonts w:ascii="Arial" w:eastAsia="Calibri" w:hAnsi="Arial" w:cs="Arial"/>
                <w:b/>
                <w:bCs/>
                <w:sz w:val="22"/>
                <w:szCs w:val="22"/>
              </w:rPr>
              <w:t>Results:</w:t>
            </w:r>
            <w:r w:rsidRPr="00767F9F">
              <w:rPr>
                <w:rFonts w:ascii="Arial" w:eastAsia="Calibri" w:hAnsi="Arial" w:cs="Arial"/>
                <w:sz w:val="22"/>
                <w:szCs w:val="22"/>
              </w:rPr>
              <w:t xml:space="preserve"> </w:t>
            </w:r>
            <w:r w:rsidR="00767F9F" w:rsidRPr="00767F9F">
              <w:rPr>
                <w:rFonts w:ascii="Arial" w:hAnsi="Arial" w:cs="Arial"/>
                <w:sz w:val="22"/>
                <w:szCs w:val="22"/>
              </w:rPr>
              <w:t xml:space="preserve">The ARIMA (0,1,0) with drift model was identified as the best univariate fit for </w:t>
            </w:r>
            <w:r w:rsidR="004B5F73">
              <w:rPr>
                <w:rFonts w:ascii="Arial" w:hAnsi="Arial" w:cs="Arial"/>
                <w:sz w:val="22"/>
                <w:szCs w:val="22"/>
              </w:rPr>
              <w:t xml:space="preserve">the </w:t>
            </w:r>
            <w:r w:rsidR="00767F9F" w:rsidRPr="00767F9F">
              <w:rPr>
                <w:rFonts w:ascii="Arial" w:hAnsi="Arial" w:cs="Arial"/>
                <w:sz w:val="22"/>
                <w:szCs w:val="22"/>
              </w:rPr>
              <w:t>rainfall series, while the ARIMAX model</w:t>
            </w:r>
            <w:r w:rsidR="00B5734E">
              <w:rPr>
                <w:rFonts w:ascii="Arial" w:hAnsi="Arial" w:cs="Arial"/>
                <w:sz w:val="22"/>
                <w:szCs w:val="22"/>
              </w:rPr>
              <w:t xml:space="preserve"> </w:t>
            </w:r>
            <w:r w:rsidR="00B5734E" w:rsidRPr="00767F9F">
              <w:rPr>
                <w:rFonts w:ascii="Arial" w:hAnsi="Arial" w:cs="Arial"/>
                <w:sz w:val="22"/>
                <w:szCs w:val="22"/>
              </w:rPr>
              <w:t>(0,1,</w:t>
            </w:r>
            <w:r w:rsidR="00B5734E">
              <w:rPr>
                <w:rFonts w:ascii="Arial" w:hAnsi="Arial" w:cs="Arial"/>
                <w:sz w:val="22"/>
                <w:szCs w:val="22"/>
              </w:rPr>
              <w:t>1</w:t>
            </w:r>
            <w:r w:rsidR="00B5734E" w:rsidRPr="00767F9F">
              <w:rPr>
                <w:rFonts w:ascii="Arial" w:hAnsi="Arial" w:cs="Arial"/>
                <w:sz w:val="22"/>
                <w:szCs w:val="22"/>
              </w:rPr>
              <w:t>)</w:t>
            </w:r>
            <w:r w:rsidR="00767F9F" w:rsidRPr="00767F9F">
              <w:rPr>
                <w:rFonts w:ascii="Arial" w:hAnsi="Arial" w:cs="Arial"/>
                <w:sz w:val="22"/>
                <w:szCs w:val="22"/>
              </w:rPr>
              <w:t>, which incorporated temperature and climate indices as exogenous variables, demonstrated superior predictive accuracy based on Root Mean Squared Error (RMSE), Mean Absolute Error (MAE), and Mean Absolute Percentage Error (MAPE). Results revealed that climate variables exerted a stronger and statistically significant influence on rainfall variability compared to temperature, with climate indices showing significant positive coefficients (β = 4.278, p = 0.012) in the ARIMAX</w:t>
            </w:r>
            <w:r w:rsidR="00121E20">
              <w:rPr>
                <w:rFonts w:ascii="Arial" w:hAnsi="Arial" w:cs="Arial"/>
                <w:sz w:val="22"/>
                <w:szCs w:val="22"/>
              </w:rPr>
              <w:t xml:space="preserve"> </w:t>
            </w:r>
            <w:r w:rsidR="00121E20" w:rsidRPr="00767F9F">
              <w:rPr>
                <w:rFonts w:ascii="Arial" w:hAnsi="Arial" w:cs="Arial"/>
                <w:sz w:val="22"/>
                <w:szCs w:val="22"/>
              </w:rPr>
              <w:t>(0,1,</w:t>
            </w:r>
            <w:r w:rsidR="00121E20">
              <w:rPr>
                <w:rFonts w:ascii="Arial" w:hAnsi="Arial" w:cs="Arial"/>
                <w:sz w:val="22"/>
                <w:szCs w:val="22"/>
              </w:rPr>
              <w:t>1</w:t>
            </w:r>
            <w:r w:rsidR="00121E20" w:rsidRPr="00767F9F">
              <w:rPr>
                <w:rFonts w:ascii="Arial" w:hAnsi="Arial" w:cs="Arial"/>
                <w:sz w:val="22"/>
                <w:szCs w:val="22"/>
              </w:rPr>
              <w:t>)</w:t>
            </w:r>
            <w:r w:rsidR="00767F9F" w:rsidRPr="00767F9F">
              <w:rPr>
                <w:rFonts w:ascii="Arial" w:hAnsi="Arial" w:cs="Arial"/>
                <w:sz w:val="22"/>
                <w:szCs w:val="22"/>
              </w:rPr>
              <w:t xml:space="preserve"> framework. Forecasts from 2025 to 2034 indicated modest but consistent increases in rainfall and temperature, with a projected 10.91% rise in rainfall under a +1°C temperature scenario, signifying low climatic risk to water availability.</w:t>
            </w:r>
          </w:p>
          <w:p w14:paraId="4454B944" w14:textId="77777777" w:rsidR="00767F9F" w:rsidRPr="00767F9F" w:rsidRDefault="00BA1B01" w:rsidP="00767F9F">
            <w:pPr>
              <w:jc w:val="both"/>
              <w:rPr>
                <w:rFonts w:ascii="Arial" w:hAnsi="Arial" w:cs="Arial"/>
                <w:sz w:val="22"/>
                <w:szCs w:val="22"/>
              </w:rPr>
            </w:pPr>
            <w:r w:rsidRPr="00767F9F">
              <w:rPr>
                <w:rFonts w:ascii="Arial" w:eastAsia="Calibri" w:hAnsi="Arial" w:cs="Arial"/>
                <w:b/>
                <w:bCs/>
                <w:sz w:val="22"/>
                <w:szCs w:val="22"/>
              </w:rPr>
              <w:t>Conclusion:</w:t>
            </w:r>
            <w:r w:rsidRPr="00767F9F">
              <w:rPr>
                <w:rFonts w:ascii="Arial" w:eastAsia="Calibri" w:hAnsi="Arial" w:cs="Arial"/>
                <w:sz w:val="22"/>
                <w:szCs w:val="22"/>
              </w:rPr>
              <w:t xml:space="preserve"> </w:t>
            </w:r>
            <w:r w:rsidR="00767F9F" w:rsidRPr="00767F9F">
              <w:rPr>
                <w:rFonts w:ascii="Arial" w:hAnsi="Arial" w:cs="Arial"/>
                <w:sz w:val="22"/>
                <w:szCs w:val="22"/>
              </w:rPr>
              <w:t>The study concludes that climatic factors, particularly composite climate indices, are the dominant drivers of rainfall variability and consequently water resource conditions in northern Ghana. The ARIMAX (0,1,1) model's superior performance underscores the importance of integrating exogenous climate variables into time-series frameworks for reliable hydrological forecasting and sustainable water resource planning.</w:t>
            </w:r>
          </w:p>
          <w:p w14:paraId="1A875242" w14:textId="0154429E" w:rsidR="00505F06" w:rsidRPr="00BA1B01" w:rsidRDefault="00505F06" w:rsidP="00441B6F">
            <w:pPr>
              <w:pStyle w:val="Body"/>
              <w:spacing w:after="0"/>
              <w:rPr>
                <w:rFonts w:ascii="Arial" w:eastAsia="Calibri" w:hAnsi="Arial" w:cs="Arial"/>
                <w:szCs w:val="22"/>
              </w:rPr>
            </w:pPr>
          </w:p>
        </w:tc>
      </w:tr>
    </w:tbl>
    <w:p w14:paraId="3927128D" w14:textId="77777777" w:rsidR="00636EB2" w:rsidRDefault="00636EB2" w:rsidP="00441B6F">
      <w:pPr>
        <w:pStyle w:val="Body"/>
        <w:spacing w:after="0"/>
        <w:rPr>
          <w:rFonts w:ascii="Arial" w:hAnsi="Arial" w:cs="Arial"/>
          <w:i/>
        </w:rPr>
      </w:pPr>
    </w:p>
    <w:p w14:paraId="2AFF7F5E" w14:textId="1B4184C5" w:rsidR="00A24E7E" w:rsidRPr="009B7615" w:rsidRDefault="00A24E7E" w:rsidP="00441B6F">
      <w:pPr>
        <w:pStyle w:val="Body"/>
        <w:spacing w:after="0"/>
        <w:rPr>
          <w:rFonts w:ascii="Arial" w:hAnsi="Arial" w:cs="Arial"/>
          <w:i/>
        </w:rPr>
      </w:pPr>
      <w:r>
        <w:rPr>
          <w:rFonts w:ascii="Arial" w:hAnsi="Arial" w:cs="Arial"/>
          <w:i/>
        </w:rPr>
        <w:t xml:space="preserve">Keywords: </w:t>
      </w:r>
      <w:r w:rsidR="009B7615" w:rsidRPr="009B7615">
        <w:rPr>
          <w:rFonts w:ascii="Arial" w:hAnsi="Arial" w:cs="Arial"/>
          <w:b/>
          <w:bCs/>
        </w:rPr>
        <w:t>ARIMA, ARIMAX, Time series, Sustainable Development Goal 6</w:t>
      </w:r>
    </w:p>
    <w:p w14:paraId="26C61251" w14:textId="77777777" w:rsidR="00790ADA" w:rsidRDefault="00790ADA" w:rsidP="00441B6F">
      <w:pPr>
        <w:pStyle w:val="Body"/>
        <w:spacing w:after="0"/>
        <w:rPr>
          <w:rFonts w:ascii="Arial" w:hAnsi="Arial" w:cs="Arial"/>
          <w:i/>
        </w:rPr>
      </w:pPr>
    </w:p>
    <w:p w14:paraId="520AFB12" w14:textId="77777777" w:rsidR="00505F06" w:rsidRPr="00A24E7E" w:rsidRDefault="00505F06" w:rsidP="00441B6F">
      <w:pPr>
        <w:pStyle w:val="Body"/>
        <w:spacing w:after="0"/>
        <w:rPr>
          <w:rFonts w:ascii="Arial" w:hAnsi="Arial" w:cs="Arial"/>
          <w:i/>
        </w:rPr>
      </w:pPr>
    </w:p>
    <w:p w14:paraId="0A4EB191" w14:textId="7CB6C78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FEBADB" w14:textId="77777777" w:rsidR="00790ADA" w:rsidRPr="00FB3A86" w:rsidRDefault="00790ADA" w:rsidP="00441B6F">
      <w:pPr>
        <w:pStyle w:val="AbstHead"/>
        <w:spacing w:after="0"/>
        <w:jc w:val="both"/>
        <w:rPr>
          <w:rFonts w:ascii="Arial" w:hAnsi="Arial" w:cs="Arial"/>
        </w:rPr>
      </w:pPr>
    </w:p>
    <w:p w14:paraId="781A896D" w14:textId="423B4F08"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Modern evidence highlights that the issue of climate change is actively transforming hydro-regimes globally and, as a result, has both direct and indirect effects on water </w:t>
      </w:r>
      <w:r w:rsidRPr="009B7615">
        <w:rPr>
          <w:rFonts w:ascii="Arial" w:hAnsi="Arial" w:cs="Arial"/>
          <w:sz w:val="22"/>
          <w:szCs w:val="22"/>
        </w:rPr>
        <w:lastRenderedPageBreak/>
        <w:t xml:space="preserve">availability and the achievement of Sustainable Development Goal 6. Global evaluations and recent reports indicate that there is an </w:t>
      </w:r>
      <w:r w:rsidR="004B5F73">
        <w:rPr>
          <w:rFonts w:ascii="Arial" w:hAnsi="Arial" w:cs="Arial"/>
          <w:sz w:val="22"/>
          <w:szCs w:val="22"/>
        </w:rPr>
        <w:t>increasingly</w:t>
      </w:r>
      <w:r w:rsidRPr="009B7615">
        <w:rPr>
          <w:rFonts w:ascii="Arial" w:hAnsi="Arial" w:cs="Arial"/>
          <w:sz w:val="22"/>
          <w:szCs w:val="22"/>
        </w:rPr>
        <w:t xml:space="preserve"> erratic </w:t>
      </w:r>
      <w:proofErr w:type="spellStart"/>
      <w:r w:rsidRPr="009B7615">
        <w:rPr>
          <w:rFonts w:ascii="Arial" w:hAnsi="Arial" w:cs="Arial"/>
          <w:sz w:val="22"/>
          <w:szCs w:val="22"/>
        </w:rPr>
        <w:t>behaviour</w:t>
      </w:r>
      <w:proofErr w:type="spellEnd"/>
      <w:r w:rsidRPr="009B7615">
        <w:rPr>
          <w:rFonts w:ascii="Arial" w:hAnsi="Arial" w:cs="Arial"/>
          <w:sz w:val="22"/>
          <w:szCs w:val="22"/>
        </w:rPr>
        <w:t xml:space="preserve"> of the river basin</w:t>
      </w:r>
      <w:r w:rsidR="004B5F73">
        <w:rPr>
          <w:rFonts w:ascii="Arial" w:hAnsi="Arial" w:cs="Arial"/>
          <w:sz w:val="22"/>
          <w:szCs w:val="22"/>
        </w:rPr>
        <w:t>,</w:t>
      </w:r>
      <w:r w:rsidRPr="009B7615">
        <w:rPr>
          <w:rFonts w:ascii="Arial" w:hAnsi="Arial" w:cs="Arial"/>
          <w:sz w:val="22"/>
          <w:szCs w:val="22"/>
        </w:rPr>
        <w:t xml:space="preserve"> whose extremes are more frequent in the forms of drought and flood</w:t>
      </w:r>
      <w:r w:rsidR="004B5F73">
        <w:rPr>
          <w:rFonts w:ascii="Arial" w:hAnsi="Arial" w:cs="Arial"/>
          <w:sz w:val="22"/>
          <w:szCs w:val="22"/>
        </w:rPr>
        <w:t>,</w:t>
      </w:r>
      <w:r w:rsidRPr="009B7615">
        <w:rPr>
          <w:rFonts w:ascii="Arial" w:hAnsi="Arial" w:cs="Arial"/>
          <w:sz w:val="22"/>
          <w:szCs w:val="22"/>
        </w:rPr>
        <w:t xml:space="preserve"> and that freshwater systems are under increasing pressure. These trends introduce a significant need to have powerful monitoring and forecasting technologies (Stringer, 2021). The interrelation between rainfall, temperature and human water use generates non-linear water security impacts and, therefore, addressing the climatic variables separately is likely to omit important joint impacts on supply, demand and storage (Haque, 2023; Ge, 2024). Time-series modelling is currently one of the most pragmatically implemented avenues of creating actionable hydrological predictions. ARIMA and exponential smoothing frameworks, with their seasonal extensions, have been demonstrated to be useful in water-level and climate variables, providing clear diagnostics and well-understood model-selection criteria (</w:t>
      </w:r>
      <w:proofErr w:type="spellStart"/>
      <w:r w:rsidRPr="009B7615">
        <w:rPr>
          <w:rFonts w:ascii="Arial" w:hAnsi="Arial" w:cs="Arial"/>
          <w:sz w:val="22"/>
          <w:szCs w:val="22"/>
        </w:rPr>
        <w:t>Agaj</w:t>
      </w:r>
      <w:proofErr w:type="spellEnd"/>
      <w:r w:rsidRPr="009B7615">
        <w:rPr>
          <w:rFonts w:ascii="Arial" w:hAnsi="Arial" w:cs="Arial"/>
          <w:sz w:val="22"/>
          <w:szCs w:val="22"/>
        </w:rPr>
        <w:t xml:space="preserve">, 2024; Hyndman and </w:t>
      </w:r>
      <w:proofErr w:type="spellStart"/>
      <w:r w:rsidRPr="009B7615">
        <w:rPr>
          <w:rFonts w:ascii="Arial" w:hAnsi="Arial" w:cs="Arial"/>
          <w:sz w:val="22"/>
          <w:szCs w:val="22"/>
        </w:rPr>
        <w:t>Athanasopoulos</w:t>
      </w:r>
      <w:proofErr w:type="spellEnd"/>
      <w:r w:rsidRPr="009B7615">
        <w:rPr>
          <w:rFonts w:ascii="Arial" w:hAnsi="Arial" w:cs="Arial"/>
          <w:sz w:val="22"/>
          <w:szCs w:val="22"/>
        </w:rPr>
        <w:t xml:space="preserve">, 2021). Recent work on regional climatic forecasting also highlights the usefulness of ARIMA/ARIMAX models in monthly rainfall and temperature time-series, specifically due to their explicit modeling of seasonal structure and allowing exogenous predictors like temperature, evapotranspiration or climate index (Yavuz, 2025; Hyndman and </w:t>
      </w:r>
      <w:proofErr w:type="spellStart"/>
      <w:r w:rsidRPr="009B7615">
        <w:rPr>
          <w:rFonts w:ascii="Arial" w:hAnsi="Arial" w:cs="Arial"/>
          <w:sz w:val="22"/>
          <w:szCs w:val="22"/>
        </w:rPr>
        <w:t>Athanasopoulos</w:t>
      </w:r>
      <w:proofErr w:type="spellEnd"/>
      <w:r w:rsidRPr="009B7615">
        <w:rPr>
          <w:rFonts w:ascii="Arial" w:hAnsi="Arial" w:cs="Arial"/>
          <w:sz w:val="22"/>
          <w:szCs w:val="22"/>
        </w:rPr>
        <w:t>, 2021). Over the last thirty years, Ghana has been experiencing significant changes in major climate types such as rainfall and temperature</w:t>
      </w:r>
      <w:r w:rsidR="004B5F73">
        <w:rPr>
          <w:rFonts w:ascii="Arial" w:hAnsi="Arial" w:cs="Arial"/>
          <w:sz w:val="22"/>
          <w:szCs w:val="22"/>
        </w:rPr>
        <w:t>,</w:t>
      </w:r>
      <w:r w:rsidRPr="009B7615">
        <w:rPr>
          <w:rFonts w:ascii="Arial" w:hAnsi="Arial" w:cs="Arial"/>
          <w:sz w:val="22"/>
          <w:szCs w:val="22"/>
        </w:rPr>
        <w:t xml:space="preserve"> which present increasingly hard challenges to sustainable water-resource management within SDG 6. According to </w:t>
      </w:r>
      <w:proofErr w:type="spellStart"/>
      <w:r w:rsidRPr="009B7615">
        <w:rPr>
          <w:rFonts w:ascii="Arial" w:hAnsi="Arial" w:cs="Arial"/>
          <w:sz w:val="22"/>
          <w:szCs w:val="22"/>
        </w:rPr>
        <w:t>Klutse</w:t>
      </w:r>
      <w:proofErr w:type="spellEnd"/>
      <w:r w:rsidRPr="009B7615">
        <w:rPr>
          <w:rFonts w:ascii="Arial" w:hAnsi="Arial" w:cs="Arial"/>
          <w:sz w:val="22"/>
          <w:szCs w:val="22"/>
        </w:rPr>
        <w:t>, Owusu</w:t>
      </w:r>
      <w:r w:rsidR="004B5F73">
        <w:rPr>
          <w:rFonts w:ascii="Arial" w:hAnsi="Arial" w:cs="Arial"/>
          <w:sz w:val="22"/>
          <w:szCs w:val="22"/>
        </w:rPr>
        <w:t>,</w:t>
      </w:r>
      <w:r w:rsidRPr="009B7615">
        <w:rPr>
          <w:rFonts w:ascii="Arial" w:hAnsi="Arial" w:cs="Arial"/>
          <w:sz w:val="22"/>
          <w:szCs w:val="22"/>
        </w:rPr>
        <w:t xml:space="preserve"> and Boafo (2020), the mean annual temperature of Ghana increased by about 1.0</w:t>
      </w:r>
      <m:oMath>
        <m:r>
          <w:rPr>
            <w:rFonts w:ascii="Cambria Math" w:hAnsi="Cambria Math" w:cs="Arial"/>
            <w:sz w:val="22"/>
            <w:szCs w:val="22"/>
          </w:rPr>
          <m:t>℃</m:t>
        </m:r>
      </m:oMath>
      <w:r w:rsidRPr="009B7615">
        <w:rPr>
          <w:rFonts w:ascii="Arial" w:hAnsi="Arial" w:cs="Arial"/>
          <w:sz w:val="22"/>
          <w:szCs w:val="22"/>
        </w:rPr>
        <w:t xml:space="preserve"> within the period of 1961</w:t>
      </w:r>
      <w:r w:rsidR="00EC0707">
        <w:rPr>
          <w:rFonts w:ascii="Arial" w:hAnsi="Arial" w:cs="Arial"/>
          <w:sz w:val="22"/>
          <w:szCs w:val="22"/>
        </w:rPr>
        <w:t>-</w:t>
      </w:r>
      <w:r w:rsidRPr="009B7615">
        <w:rPr>
          <w:rFonts w:ascii="Arial" w:hAnsi="Arial" w:cs="Arial"/>
          <w:sz w:val="22"/>
          <w:szCs w:val="22"/>
        </w:rPr>
        <w:t>2000</w:t>
      </w:r>
      <w:r w:rsidR="004B5F73">
        <w:rPr>
          <w:rFonts w:ascii="Arial" w:hAnsi="Arial" w:cs="Arial"/>
          <w:sz w:val="22"/>
          <w:szCs w:val="22"/>
        </w:rPr>
        <w:t>,</w:t>
      </w:r>
      <w:r w:rsidRPr="009B7615">
        <w:rPr>
          <w:rFonts w:ascii="Arial" w:hAnsi="Arial" w:cs="Arial"/>
          <w:sz w:val="22"/>
          <w:szCs w:val="22"/>
        </w:rPr>
        <w:t xml:space="preserve"> with the highest warming rates in the </w:t>
      </w:r>
      <w:r w:rsidR="004B5F73">
        <w:rPr>
          <w:rFonts w:ascii="Arial" w:hAnsi="Arial" w:cs="Arial"/>
          <w:sz w:val="22"/>
          <w:szCs w:val="22"/>
        </w:rPr>
        <w:t>north-eastern</w:t>
      </w:r>
      <w:r w:rsidRPr="009B7615">
        <w:rPr>
          <w:rFonts w:ascii="Arial" w:hAnsi="Arial" w:cs="Arial"/>
          <w:sz w:val="22"/>
          <w:szCs w:val="22"/>
        </w:rPr>
        <w:t xml:space="preserve"> parts. The </w:t>
      </w:r>
      <w:r w:rsidRPr="009B7615">
        <w:rPr>
          <w:rFonts w:ascii="Arial" w:hAnsi="Arial" w:cs="Arial"/>
          <w:sz w:val="22"/>
          <w:szCs w:val="22"/>
        </w:rPr>
        <w:lastRenderedPageBreak/>
        <w:t>trends in rainfall are more complicated: some areas experience decline in total amounts of rainfall and increased vagaries, whereas other areas experience positive or insignificant shifts (</w:t>
      </w:r>
      <w:proofErr w:type="spellStart"/>
      <w:r w:rsidRPr="009B7615">
        <w:rPr>
          <w:rFonts w:ascii="Arial" w:hAnsi="Arial" w:cs="Arial"/>
          <w:sz w:val="22"/>
          <w:szCs w:val="22"/>
        </w:rPr>
        <w:t>Arku</w:t>
      </w:r>
      <w:proofErr w:type="spellEnd"/>
      <w:r w:rsidRPr="009B7615">
        <w:rPr>
          <w:rFonts w:ascii="Arial" w:hAnsi="Arial" w:cs="Arial"/>
          <w:sz w:val="22"/>
          <w:szCs w:val="22"/>
        </w:rPr>
        <w:t xml:space="preserve">, 2013). The strong spatial heterogeneity of the trends especially between northern and southern Ghana, also adds to the difficulty of planning water supply, agriculture and ecosystem resilience. </w:t>
      </w:r>
      <w:proofErr w:type="spellStart"/>
      <w:r w:rsidRPr="009B7615">
        <w:rPr>
          <w:rFonts w:ascii="Arial" w:hAnsi="Arial" w:cs="Arial"/>
          <w:sz w:val="22"/>
          <w:szCs w:val="22"/>
        </w:rPr>
        <w:t>Nyatuame</w:t>
      </w:r>
      <w:proofErr w:type="spellEnd"/>
      <w:r w:rsidRPr="009B7615">
        <w:rPr>
          <w:rFonts w:ascii="Arial" w:hAnsi="Arial" w:cs="Arial"/>
          <w:sz w:val="22"/>
          <w:szCs w:val="22"/>
        </w:rPr>
        <w:t xml:space="preserve"> and </w:t>
      </w:r>
      <w:proofErr w:type="spellStart"/>
      <w:r w:rsidRPr="009B7615">
        <w:rPr>
          <w:rFonts w:ascii="Arial" w:hAnsi="Arial" w:cs="Arial"/>
          <w:sz w:val="22"/>
          <w:szCs w:val="22"/>
        </w:rPr>
        <w:t>Agodzo</w:t>
      </w:r>
      <w:proofErr w:type="spellEnd"/>
      <w:r w:rsidRPr="009B7615">
        <w:rPr>
          <w:rFonts w:ascii="Arial" w:hAnsi="Arial" w:cs="Arial"/>
          <w:sz w:val="22"/>
          <w:szCs w:val="22"/>
        </w:rPr>
        <w:t xml:space="preserve"> (2018) have used ARIMA by implementing the conventional tests of stationarity to predict the changes in rainfall and temperature in the </w:t>
      </w:r>
      <w:proofErr w:type="spellStart"/>
      <w:r w:rsidRPr="009B7615">
        <w:rPr>
          <w:rFonts w:ascii="Arial" w:hAnsi="Arial" w:cs="Arial"/>
          <w:sz w:val="22"/>
          <w:szCs w:val="22"/>
        </w:rPr>
        <w:t>Tordzie</w:t>
      </w:r>
      <w:proofErr w:type="spellEnd"/>
      <w:r w:rsidRPr="009B7615">
        <w:rPr>
          <w:rFonts w:ascii="Arial" w:hAnsi="Arial" w:cs="Arial"/>
          <w:sz w:val="22"/>
          <w:szCs w:val="22"/>
        </w:rPr>
        <w:t xml:space="preserve"> watershed, which contributed to the interplay of climate variables in influencing hydrological </w:t>
      </w:r>
      <w:proofErr w:type="spellStart"/>
      <w:r w:rsidRPr="009B7615">
        <w:rPr>
          <w:rFonts w:ascii="Arial" w:hAnsi="Arial" w:cs="Arial"/>
          <w:sz w:val="22"/>
          <w:szCs w:val="22"/>
        </w:rPr>
        <w:t>behaviour</w:t>
      </w:r>
      <w:proofErr w:type="spellEnd"/>
      <w:r w:rsidRPr="009B7615">
        <w:rPr>
          <w:rFonts w:ascii="Arial" w:hAnsi="Arial" w:cs="Arial"/>
          <w:sz w:val="22"/>
          <w:szCs w:val="22"/>
        </w:rPr>
        <w:t xml:space="preserve">. These synergetic models of rainfall and temperature provide a helpful framework on which to evaluate climate and water interactions of the climate, which are a less well-represented element in several regional analyses. In the savannah belt of Ghana, the trends in temperature change seem to be somewhat stable as compared to the change in rainfall, with major consequences on the water security. An example case was in </w:t>
      </w:r>
      <w:proofErr w:type="spellStart"/>
      <w:r w:rsidRPr="009B7615">
        <w:rPr>
          <w:rFonts w:ascii="Arial" w:hAnsi="Arial" w:cs="Arial"/>
          <w:sz w:val="22"/>
          <w:szCs w:val="22"/>
        </w:rPr>
        <w:t>Garu</w:t>
      </w:r>
      <w:proofErr w:type="spellEnd"/>
      <w:r w:rsidRPr="009B7615">
        <w:rPr>
          <w:rFonts w:ascii="Arial" w:hAnsi="Arial" w:cs="Arial"/>
          <w:sz w:val="22"/>
          <w:szCs w:val="22"/>
        </w:rPr>
        <w:t xml:space="preserve"> </w:t>
      </w:r>
      <w:proofErr w:type="spellStart"/>
      <w:r w:rsidRPr="009B7615">
        <w:rPr>
          <w:rFonts w:ascii="Arial" w:hAnsi="Arial" w:cs="Arial"/>
          <w:sz w:val="22"/>
          <w:szCs w:val="22"/>
        </w:rPr>
        <w:t>Tempane</w:t>
      </w:r>
      <w:proofErr w:type="spellEnd"/>
      <w:r w:rsidRPr="009B7615">
        <w:rPr>
          <w:rFonts w:ascii="Arial" w:hAnsi="Arial" w:cs="Arial"/>
          <w:sz w:val="22"/>
          <w:szCs w:val="22"/>
        </w:rPr>
        <w:t xml:space="preserve"> region (1983</w:t>
      </w:r>
      <w:r w:rsidR="008111CF">
        <w:rPr>
          <w:rFonts w:ascii="Arial" w:hAnsi="Arial" w:cs="Arial"/>
          <w:sz w:val="22"/>
          <w:szCs w:val="22"/>
        </w:rPr>
        <w:t>-</w:t>
      </w:r>
      <w:r w:rsidRPr="009B7615">
        <w:rPr>
          <w:rFonts w:ascii="Arial" w:hAnsi="Arial" w:cs="Arial"/>
          <w:sz w:val="22"/>
          <w:szCs w:val="22"/>
        </w:rPr>
        <w:t>2013) where it was reported that over thirty years, the temperature increased by an approximate of 2</w:t>
      </w:r>
      <m:oMath>
        <m:r>
          <w:rPr>
            <w:rFonts w:ascii="Cambria Math" w:hAnsi="Cambria Math" w:cs="Arial"/>
            <w:sz w:val="22"/>
            <w:szCs w:val="22"/>
          </w:rPr>
          <m:t>℃</m:t>
        </m:r>
      </m:oMath>
      <w:r w:rsidRPr="009B7615">
        <w:rPr>
          <w:rFonts w:ascii="Arial" w:hAnsi="Arial" w:cs="Arial"/>
          <w:sz w:val="22"/>
          <w:szCs w:val="22"/>
        </w:rPr>
        <w:t>, during which there were years of severe drought; the rainfall in the area was more erratic and less predictable hence adding significantly to water insecurity (</w:t>
      </w:r>
      <w:proofErr w:type="spellStart"/>
      <w:r w:rsidRPr="009B7615">
        <w:rPr>
          <w:rFonts w:ascii="Arial" w:hAnsi="Arial" w:cs="Arial"/>
          <w:sz w:val="22"/>
          <w:szCs w:val="22"/>
        </w:rPr>
        <w:t>Dinko</w:t>
      </w:r>
      <w:proofErr w:type="spellEnd"/>
      <w:r w:rsidRPr="009B7615">
        <w:rPr>
          <w:rFonts w:ascii="Arial" w:hAnsi="Arial" w:cs="Arial"/>
          <w:sz w:val="22"/>
          <w:szCs w:val="22"/>
        </w:rPr>
        <w:t xml:space="preserve">, 2017). </w:t>
      </w:r>
      <w:proofErr w:type="spellStart"/>
      <w:r w:rsidRPr="009B7615">
        <w:rPr>
          <w:rFonts w:ascii="Arial" w:hAnsi="Arial" w:cs="Arial"/>
          <w:sz w:val="22"/>
          <w:szCs w:val="22"/>
        </w:rPr>
        <w:t>Atiah</w:t>
      </w:r>
      <w:proofErr w:type="spellEnd"/>
      <w:r w:rsidRPr="009B7615">
        <w:rPr>
          <w:rFonts w:ascii="Arial" w:hAnsi="Arial" w:cs="Arial"/>
          <w:sz w:val="22"/>
          <w:szCs w:val="22"/>
        </w:rPr>
        <w:t xml:space="preserve">, </w:t>
      </w:r>
      <w:proofErr w:type="spellStart"/>
      <w:r w:rsidRPr="009B7615">
        <w:rPr>
          <w:rFonts w:ascii="Arial" w:hAnsi="Arial" w:cs="Arial"/>
          <w:sz w:val="22"/>
          <w:szCs w:val="22"/>
        </w:rPr>
        <w:t>Amekudzi</w:t>
      </w:r>
      <w:proofErr w:type="spellEnd"/>
      <w:r w:rsidRPr="009B7615">
        <w:rPr>
          <w:rFonts w:ascii="Arial" w:hAnsi="Arial" w:cs="Arial"/>
          <w:sz w:val="22"/>
          <w:szCs w:val="22"/>
        </w:rPr>
        <w:t xml:space="preserve"> and Quansah (2019) used CHIRPS V2 rainfall time series across ecological zones between 1981 and 2015, and the results showed significant variability in rainfall climatology and intensity: high seasonal rainfall is predominant in the southwest, and the percentage of days without rainfall are increasing in number and rainfall intensity is decreasing in some areas. Nkrumah et al. (2014) substantiated the diminishing trends of annual rainfall occurrences in most localities when comparing model outputs to observed station data. This spatial-seasonal </w:t>
      </w:r>
      <w:r w:rsidRPr="009B7615">
        <w:rPr>
          <w:rFonts w:ascii="Arial" w:hAnsi="Arial" w:cs="Arial"/>
          <w:sz w:val="22"/>
          <w:szCs w:val="22"/>
        </w:rPr>
        <w:lastRenderedPageBreak/>
        <w:t xml:space="preserve">heterogeneity highlights the need of models that are able to account for trend and seasonality, and also exogenous drivers. However, there is still a range of substantive gaps in terms of SDG 6: a significant number of studies have focused on trends or, on the other hand, the forecasting of climatic variables, but not on how both variables jointly affect water supply or quality; numerous studies have focused solely on the trends or on the forecasting of individual variables, but not on both together. The study by </w:t>
      </w:r>
      <w:proofErr w:type="spellStart"/>
      <w:r w:rsidRPr="009B7615">
        <w:rPr>
          <w:rFonts w:ascii="Arial" w:hAnsi="Arial" w:cs="Arial"/>
          <w:sz w:val="22"/>
          <w:szCs w:val="22"/>
        </w:rPr>
        <w:t>Nyatuame</w:t>
      </w:r>
      <w:proofErr w:type="spellEnd"/>
      <w:r w:rsidRPr="009B7615">
        <w:rPr>
          <w:rFonts w:ascii="Arial" w:hAnsi="Arial" w:cs="Arial"/>
          <w:sz w:val="22"/>
          <w:szCs w:val="22"/>
        </w:rPr>
        <w:t xml:space="preserve"> and </w:t>
      </w:r>
      <w:proofErr w:type="spellStart"/>
      <w:r w:rsidRPr="009B7615">
        <w:rPr>
          <w:rFonts w:ascii="Arial" w:hAnsi="Arial" w:cs="Arial"/>
          <w:sz w:val="22"/>
          <w:szCs w:val="22"/>
        </w:rPr>
        <w:t>Agodzo</w:t>
      </w:r>
      <w:proofErr w:type="spellEnd"/>
      <w:r w:rsidRPr="009B7615">
        <w:rPr>
          <w:rFonts w:ascii="Arial" w:hAnsi="Arial" w:cs="Arial"/>
          <w:sz w:val="22"/>
          <w:szCs w:val="22"/>
        </w:rPr>
        <w:t xml:space="preserve"> (2018) is an exception</w:t>
      </w:r>
      <w:r w:rsidR="004B5F73">
        <w:rPr>
          <w:rFonts w:ascii="Arial" w:hAnsi="Arial" w:cs="Arial"/>
          <w:sz w:val="22"/>
          <w:szCs w:val="22"/>
        </w:rPr>
        <w:t>,</w:t>
      </w:r>
      <w:r w:rsidRPr="009B7615">
        <w:rPr>
          <w:rFonts w:ascii="Arial" w:hAnsi="Arial" w:cs="Arial"/>
          <w:sz w:val="22"/>
          <w:szCs w:val="22"/>
        </w:rPr>
        <w:t xml:space="preserve"> but </w:t>
      </w:r>
      <w:r w:rsidR="004B5F73">
        <w:rPr>
          <w:rFonts w:ascii="Arial" w:hAnsi="Arial" w:cs="Arial"/>
          <w:sz w:val="22"/>
          <w:szCs w:val="22"/>
        </w:rPr>
        <w:t xml:space="preserve">it </w:t>
      </w:r>
      <w:r w:rsidRPr="009B7615">
        <w:rPr>
          <w:rFonts w:ascii="Arial" w:hAnsi="Arial" w:cs="Arial"/>
          <w:sz w:val="22"/>
          <w:szCs w:val="22"/>
        </w:rPr>
        <w:t>still does not estimate the implications on the water-supply infrastructure or water-access indicators. Hence</w:t>
      </w:r>
      <w:r w:rsidR="004B5F73">
        <w:rPr>
          <w:rFonts w:ascii="Arial" w:hAnsi="Arial" w:cs="Arial"/>
          <w:sz w:val="22"/>
          <w:szCs w:val="22"/>
        </w:rPr>
        <w:t>,</w:t>
      </w:r>
      <w:r w:rsidRPr="009B7615">
        <w:rPr>
          <w:rFonts w:ascii="Arial" w:hAnsi="Arial" w:cs="Arial"/>
          <w:sz w:val="22"/>
          <w:szCs w:val="22"/>
        </w:rPr>
        <w:t xml:space="preserve"> this study aims to quantitatively evaluate the interactions between rainfall, temperature, and broader climate dynamics, and to assess their combined implications for water resource sustainability in Northern Ghana</w:t>
      </w:r>
    </w:p>
    <w:p w14:paraId="2A746D10" w14:textId="77777777" w:rsidR="00790ADA" w:rsidRPr="00FB3A86" w:rsidRDefault="00790ADA" w:rsidP="00441B6F">
      <w:pPr>
        <w:pStyle w:val="Body"/>
        <w:spacing w:after="0"/>
        <w:rPr>
          <w:rFonts w:ascii="Arial" w:hAnsi="Arial" w:cs="Arial"/>
        </w:rPr>
      </w:pPr>
    </w:p>
    <w:p w14:paraId="24CA2465" w14:textId="644A274D" w:rsidR="00E66E10" w:rsidRDefault="00902823" w:rsidP="009B7615">
      <w:pPr>
        <w:pStyle w:val="AbstHead"/>
        <w:spacing w:after="0"/>
        <w:jc w:val="both"/>
        <w:rPr>
          <w:rFonts w:ascii="Arial" w:hAnsi="Arial" w:cs="Arial"/>
        </w:rPr>
      </w:pPr>
      <w:r>
        <w:rPr>
          <w:rFonts w:ascii="Arial" w:hAnsi="Arial" w:cs="Arial"/>
        </w:rPr>
        <w:t xml:space="preserve">2. </w:t>
      </w:r>
      <w:r w:rsidR="004B5F73">
        <w:rPr>
          <w:rFonts w:ascii="Arial" w:hAnsi="Arial" w:cs="Arial"/>
        </w:rPr>
        <w:t>Materials</w:t>
      </w:r>
      <w:r>
        <w:rPr>
          <w:rFonts w:ascii="Arial" w:hAnsi="Arial" w:cs="Arial"/>
        </w:rPr>
        <w:t xml:space="preserve"> and method</w:t>
      </w:r>
      <w:r w:rsidR="00000F8F">
        <w:rPr>
          <w:rFonts w:ascii="Arial" w:hAnsi="Arial" w:cs="Arial"/>
        </w:rPr>
        <w:t xml:space="preserve">s </w:t>
      </w:r>
    </w:p>
    <w:p w14:paraId="4F4A38EC" w14:textId="5E88C8FC" w:rsidR="002218FE" w:rsidRDefault="002218FE" w:rsidP="002218FE">
      <w:pPr>
        <w:pStyle w:val="Body"/>
        <w:spacing w:after="0" w:line="480" w:lineRule="auto"/>
        <w:rPr>
          <w:rFonts w:ascii="Arial" w:eastAsia="Calibri" w:hAnsi="Arial" w:cs="Arial"/>
          <w:sz w:val="22"/>
          <w:szCs w:val="22"/>
        </w:rPr>
      </w:pPr>
      <w:r>
        <w:rPr>
          <w:rFonts w:ascii="Arial" w:eastAsia="Calibri" w:hAnsi="Arial" w:cs="Arial"/>
          <w:b/>
          <w:sz w:val="22"/>
          <w:szCs w:val="22"/>
        </w:rPr>
        <w:t xml:space="preserve">2.1 </w:t>
      </w:r>
      <w:r w:rsidRPr="00767F9F">
        <w:rPr>
          <w:rFonts w:ascii="Arial" w:eastAsia="Calibri" w:hAnsi="Arial" w:cs="Arial"/>
          <w:b/>
          <w:sz w:val="22"/>
          <w:szCs w:val="22"/>
        </w:rPr>
        <w:t>Study design</w:t>
      </w:r>
      <w:r w:rsidRPr="00767F9F">
        <w:rPr>
          <w:rFonts w:ascii="Arial" w:eastAsia="Calibri" w:hAnsi="Arial" w:cs="Arial"/>
          <w:sz w:val="22"/>
          <w:szCs w:val="22"/>
        </w:rPr>
        <w:t xml:space="preserve">  </w:t>
      </w:r>
    </w:p>
    <w:p w14:paraId="24DCBCDF" w14:textId="4CBFDC35" w:rsidR="002218FE" w:rsidRPr="002218FE" w:rsidRDefault="002218FE" w:rsidP="002218FE">
      <w:pPr>
        <w:pStyle w:val="Body"/>
        <w:spacing w:after="0" w:line="480" w:lineRule="auto"/>
        <w:rPr>
          <w:rFonts w:ascii="Arial" w:eastAsia="Calibri" w:hAnsi="Arial" w:cs="Arial"/>
          <w:b/>
          <w:sz w:val="22"/>
          <w:szCs w:val="22"/>
        </w:rPr>
      </w:pPr>
      <w:r w:rsidRPr="002218FE">
        <w:rPr>
          <w:rFonts w:ascii="Arial" w:eastAsia="Calibri" w:hAnsi="Arial" w:cs="Arial"/>
          <w:sz w:val="22"/>
          <w:szCs w:val="22"/>
        </w:rPr>
        <w:t>The study employed a retrospective time series design</w:t>
      </w:r>
      <w:r>
        <w:rPr>
          <w:rFonts w:ascii="Arial" w:eastAsia="Calibri" w:hAnsi="Arial" w:cs="Arial"/>
          <w:sz w:val="22"/>
          <w:szCs w:val="22"/>
        </w:rPr>
        <w:t>.</w:t>
      </w:r>
    </w:p>
    <w:p w14:paraId="43B12331" w14:textId="717BCBC9"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w:t>
      </w:r>
      <w:r w:rsidR="00C55C96">
        <w:rPr>
          <w:rFonts w:ascii="Arial" w:hAnsi="Arial" w:cs="Arial"/>
          <w:b/>
          <w:bCs/>
          <w:sz w:val="22"/>
          <w:szCs w:val="22"/>
        </w:rPr>
        <w:t>2</w:t>
      </w:r>
      <w:r w:rsidRPr="009B7615">
        <w:rPr>
          <w:rFonts w:ascii="Arial" w:hAnsi="Arial" w:cs="Arial"/>
          <w:b/>
          <w:bCs/>
          <w:sz w:val="22"/>
          <w:szCs w:val="22"/>
        </w:rPr>
        <w:t xml:space="preserve"> Data Collection and Pre-Processing</w:t>
      </w:r>
    </w:p>
    <w:p w14:paraId="53CFEC3A" w14:textId="2B1244D5" w:rsidR="00807B1E" w:rsidRDefault="00807B1E" w:rsidP="009B7615">
      <w:pPr>
        <w:spacing w:line="480" w:lineRule="auto"/>
        <w:jc w:val="both"/>
        <w:rPr>
          <w:rFonts w:ascii="Arial" w:hAnsi="Arial" w:cs="Arial"/>
          <w:sz w:val="22"/>
          <w:szCs w:val="22"/>
        </w:rPr>
      </w:pPr>
      <w:r w:rsidRPr="00807B1E">
        <w:rPr>
          <w:rFonts w:ascii="Arial" w:hAnsi="Arial" w:cs="Arial"/>
          <w:sz w:val="22"/>
          <w:szCs w:val="22"/>
        </w:rPr>
        <w:t xml:space="preserve">The annual time series data from 2000-2024 in the Northern Region of Ghana </w:t>
      </w:r>
      <w:r w:rsidR="004B5F73">
        <w:rPr>
          <w:rFonts w:ascii="Arial" w:hAnsi="Arial" w:cs="Arial"/>
          <w:sz w:val="22"/>
          <w:szCs w:val="22"/>
        </w:rPr>
        <w:t>were</w:t>
      </w:r>
      <w:r w:rsidRPr="00807B1E">
        <w:rPr>
          <w:rFonts w:ascii="Arial" w:hAnsi="Arial" w:cs="Arial"/>
          <w:sz w:val="22"/>
          <w:szCs w:val="22"/>
        </w:rPr>
        <w:t xml:space="preserve"> collected from the Ghana Meteorological Agency (</w:t>
      </w:r>
      <w:proofErr w:type="spellStart"/>
      <w:r w:rsidRPr="00807B1E">
        <w:rPr>
          <w:rFonts w:ascii="Arial" w:hAnsi="Arial" w:cs="Arial"/>
          <w:sz w:val="22"/>
          <w:szCs w:val="22"/>
        </w:rPr>
        <w:t>GMet</w:t>
      </w:r>
      <w:proofErr w:type="spellEnd"/>
      <w:r w:rsidRPr="00807B1E">
        <w:rPr>
          <w:rFonts w:ascii="Arial" w:hAnsi="Arial" w:cs="Arial"/>
          <w:sz w:val="22"/>
          <w:szCs w:val="22"/>
        </w:rPr>
        <w:t xml:space="preserve">) and supplemented with gridded climate information from the Climate Hazards Group InfraRed Precipitation with Station (CHIRPS) dataset and ERA5 data. For each variable, the annual average was calculated and taken as the representative </w:t>
      </w:r>
      <w:r w:rsidR="004B5F73">
        <w:rPr>
          <w:rFonts w:ascii="Arial" w:hAnsi="Arial" w:cs="Arial"/>
          <w:sz w:val="22"/>
          <w:szCs w:val="22"/>
        </w:rPr>
        <w:t>observation</w:t>
      </w:r>
      <w:r w:rsidRPr="00807B1E">
        <w:rPr>
          <w:rFonts w:ascii="Arial" w:hAnsi="Arial" w:cs="Arial"/>
          <w:sz w:val="22"/>
          <w:szCs w:val="22"/>
        </w:rPr>
        <w:t xml:space="preserve"> in such a way that the annual averages of climate, rainfall, and temperature were the data input for analysis.</w:t>
      </w:r>
    </w:p>
    <w:p w14:paraId="77C9EE7C" w14:textId="6C0696B1"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w:t>
      </w:r>
      <w:r w:rsidR="00C55C96">
        <w:rPr>
          <w:rFonts w:ascii="Arial" w:hAnsi="Arial" w:cs="Arial"/>
          <w:b/>
          <w:bCs/>
          <w:sz w:val="22"/>
          <w:szCs w:val="22"/>
        </w:rPr>
        <w:t>3</w:t>
      </w:r>
      <w:r w:rsidRPr="009B7615">
        <w:rPr>
          <w:rFonts w:ascii="Arial" w:hAnsi="Arial" w:cs="Arial"/>
          <w:b/>
          <w:bCs/>
          <w:sz w:val="22"/>
          <w:szCs w:val="22"/>
        </w:rPr>
        <w:t xml:space="preserve"> Model Specification: ARIMA and ARIMAX</w:t>
      </w:r>
    </w:p>
    <w:p w14:paraId="18CEFBD1" w14:textId="649D0821"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The major time-series models used included ARIMA and ARIMAX</w:t>
      </w:r>
      <w:r w:rsidR="004B5F73">
        <w:rPr>
          <w:rFonts w:ascii="Arial" w:hAnsi="Arial" w:cs="Arial"/>
          <w:sz w:val="22"/>
          <w:szCs w:val="22"/>
        </w:rPr>
        <w:t>,</w:t>
      </w:r>
      <w:r w:rsidRPr="009B7615">
        <w:rPr>
          <w:rFonts w:ascii="Arial" w:hAnsi="Arial" w:cs="Arial"/>
          <w:sz w:val="22"/>
          <w:szCs w:val="22"/>
        </w:rPr>
        <w:t xml:space="preserve"> </w:t>
      </w:r>
      <w:r w:rsidR="004B5F73">
        <w:rPr>
          <w:rFonts w:ascii="Arial" w:hAnsi="Arial" w:cs="Arial"/>
          <w:sz w:val="22"/>
          <w:szCs w:val="22"/>
        </w:rPr>
        <w:t>which</w:t>
      </w:r>
      <w:r w:rsidRPr="009B7615">
        <w:rPr>
          <w:rFonts w:ascii="Arial" w:hAnsi="Arial" w:cs="Arial"/>
          <w:sz w:val="22"/>
          <w:szCs w:val="22"/>
        </w:rPr>
        <w:t xml:space="preserve"> were defined and estimated to determine the relationship existing between climatic </w:t>
      </w:r>
      <w:r w:rsidRPr="009B7615">
        <w:rPr>
          <w:rFonts w:ascii="Arial" w:hAnsi="Arial" w:cs="Arial"/>
          <w:sz w:val="22"/>
          <w:szCs w:val="22"/>
        </w:rPr>
        <w:lastRenderedPageBreak/>
        <w:t xml:space="preserve">variables and their effect on the sustainability of </w:t>
      </w:r>
      <w:r w:rsidR="004B5F73">
        <w:rPr>
          <w:rFonts w:ascii="Arial" w:hAnsi="Arial" w:cs="Arial"/>
          <w:sz w:val="22"/>
          <w:szCs w:val="22"/>
        </w:rPr>
        <w:t>water resources</w:t>
      </w:r>
      <w:r w:rsidRPr="009B7615">
        <w:rPr>
          <w:rFonts w:ascii="Arial" w:hAnsi="Arial" w:cs="Arial"/>
          <w:sz w:val="22"/>
          <w:szCs w:val="22"/>
        </w:rPr>
        <w:t xml:space="preserve"> in the Northern Region of Ghana. To start with, the Autoregressive Integrated Moving Average (ARIMA) was fitted on each of the univariate series (rainfall, temperature</w:t>
      </w:r>
      <w:r w:rsidR="004B5F73">
        <w:rPr>
          <w:rFonts w:ascii="Arial" w:hAnsi="Arial" w:cs="Arial"/>
          <w:sz w:val="22"/>
          <w:szCs w:val="22"/>
        </w:rPr>
        <w:t>,</w:t>
      </w:r>
      <w:r w:rsidRPr="009B7615">
        <w:rPr>
          <w:rFonts w:ascii="Arial" w:hAnsi="Arial" w:cs="Arial"/>
          <w:sz w:val="22"/>
          <w:szCs w:val="22"/>
        </w:rPr>
        <w:t xml:space="preserve"> and climate). In </w:t>
      </w:r>
      <w:r w:rsidR="004B5F73" w:rsidRPr="009B7615">
        <w:rPr>
          <w:rFonts w:ascii="Arial" w:hAnsi="Arial" w:cs="Arial"/>
          <w:sz w:val="22"/>
          <w:szCs w:val="22"/>
        </w:rPr>
        <w:t>ARIMA (</w:t>
      </w:r>
      <w:r w:rsidRPr="009B7615">
        <w:rPr>
          <w:rFonts w:ascii="Arial" w:hAnsi="Arial" w:cs="Arial"/>
          <w:sz w:val="22"/>
          <w:szCs w:val="22"/>
        </w:rPr>
        <w:t xml:space="preserve">p, d, q) form, this model is a combination of the autoregressive (AR), differencing (I), and moving-average (MA) terms to explain the </w:t>
      </w:r>
      <w:r w:rsidR="004B5F73">
        <w:rPr>
          <w:rFonts w:ascii="Arial" w:hAnsi="Arial" w:cs="Arial"/>
          <w:sz w:val="22"/>
          <w:szCs w:val="22"/>
        </w:rPr>
        <w:t>short-term</w:t>
      </w:r>
      <w:r w:rsidRPr="009B7615">
        <w:rPr>
          <w:rFonts w:ascii="Arial" w:hAnsi="Arial" w:cs="Arial"/>
          <w:sz w:val="22"/>
          <w:szCs w:val="22"/>
        </w:rPr>
        <w:t xml:space="preserve"> dependencies and trend dynamics. Orders p, d</w:t>
      </w:r>
      <w:r w:rsidR="004B5F73">
        <w:rPr>
          <w:rFonts w:ascii="Arial" w:hAnsi="Arial" w:cs="Arial"/>
          <w:sz w:val="22"/>
          <w:szCs w:val="22"/>
        </w:rPr>
        <w:t>,</w:t>
      </w:r>
      <w:r w:rsidRPr="009B7615">
        <w:rPr>
          <w:rFonts w:ascii="Arial" w:hAnsi="Arial" w:cs="Arial"/>
          <w:sz w:val="22"/>
          <w:szCs w:val="22"/>
        </w:rPr>
        <w:t xml:space="preserve"> and q were identified through Autocorrelation Function (ACF) and Partial Autocorrelation Function (PACF) </w:t>
      </w:r>
      <w:r w:rsidR="004B5F73" w:rsidRPr="009B7615">
        <w:rPr>
          <w:rFonts w:ascii="Arial" w:hAnsi="Arial" w:cs="Arial"/>
          <w:sz w:val="22"/>
          <w:szCs w:val="22"/>
        </w:rPr>
        <w:t>plots,</w:t>
      </w:r>
      <w:r w:rsidRPr="009B7615">
        <w:rPr>
          <w:rFonts w:ascii="Arial" w:hAnsi="Arial" w:cs="Arial"/>
          <w:sz w:val="22"/>
          <w:szCs w:val="22"/>
        </w:rPr>
        <w:t xml:space="preserve"> and the optimal models were selected based on Akaike Information Criterion (AIC), which is in line with the selection process described in Yavuz (2025) and </w:t>
      </w:r>
      <w:proofErr w:type="spellStart"/>
      <w:r w:rsidRPr="009B7615">
        <w:rPr>
          <w:rFonts w:ascii="Arial" w:hAnsi="Arial" w:cs="Arial"/>
          <w:sz w:val="22"/>
          <w:szCs w:val="22"/>
        </w:rPr>
        <w:t>Agaj</w:t>
      </w:r>
      <w:proofErr w:type="spellEnd"/>
      <w:r w:rsidRPr="009B7615">
        <w:rPr>
          <w:rFonts w:ascii="Arial" w:hAnsi="Arial" w:cs="Arial"/>
          <w:sz w:val="22"/>
          <w:szCs w:val="22"/>
        </w:rPr>
        <w:t xml:space="preserve"> et al. (2024). The inclusion of exogenous variables increased </w:t>
      </w:r>
      <w:r w:rsidR="004B5F73" w:rsidRPr="009B7615">
        <w:rPr>
          <w:rFonts w:ascii="Arial" w:hAnsi="Arial" w:cs="Arial"/>
          <w:sz w:val="22"/>
          <w:szCs w:val="22"/>
        </w:rPr>
        <w:t>the</w:t>
      </w:r>
      <w:r w:rsidRPr="009B7615">
        <w:rPr>
          <w:rFonts w:ascii="Arial" w:hAnsi="Arial" w:cs="Arial"/>
          <w:sz w:val="22"/>
          <w:szCs w:val="22"/>
        </w:rPr>
        <w:t xml:space="preserve"> predictive accuracy of the model by reflecting cross-variable interactions.</w:t>
      </w:r>
    </w:p>
    <w:p w14:paraId="579F42A3" w14:textId="063A6282"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w:t>
      </w:r>
      <w:r w:rsidR="00C55C96">
        <w:rPr>
          <w:rFonts w:ascii="Arial" w:hAnsi="Arial" w:cs="Arial"/>
          <w:b/>
          <w:bCs/>
          <w:sz w:val="22"/>
          <w:szCs w:val="22"/>
        </w:rPr>
        <w:t>4</w:t>
      </w:r>
      <w:r w:rsidRPr="009B7615">
        <w:rPr>
          <w:rFonts w:ascii="Arial" w:hAnsi="Arial" w:cs="Arial"/>
          <w:b/>
          <w:bCs/>
          <w:sz w:val="22"/>
          <w:szCs w:val="22"/>
        </w:rPr>
        <w:t xml:space="preserve"> Model Estimation and Diagnostics</w:t>
      </w:r>
    </w:p>
    <w:p w14:paraId="13CC4C85" w14:textId="78669186" w:rsidR="009B7615" w:rsidRDefault="009B7615" w:rsidP="009B7615">
      <w:pPr>
        <w:spacing w:line="480" w:lineRule="auto"/>
        <w:jc w:val="both"/>
        <w:rPr>
          <w:rFonts w:ascii="Arial" w:hAnsi="Arial" w:cs="Arial"/>
          <w:sz w:val="22"/>
          <w:szCs w:val="22"/>
        </w:rPr>
      </w:pPr>
      <w:r w:rsidRPr="009B7615">
        <w:rPr>
          <w:rFonts w:ascii="Arial" w:hAnsi="Arial" w:cs="Arial"/>
          <w:sz w:val="22"/>
          <w:szCs w:val="22"/>
        </w:rPr>
        <w:t>All the models were estimated using Maximum Likelihood Estimation (MLE). The fitting timeframe was between 200</w:t>
      </w:r>
      <w:r w:rsidR="007F11C5">
        <w:rPr>
          <w:rFonts w:ascii="Arial" w:hAnsi="Arial" w:cs="Arial"/>
          <w:sz w:val="22"/>
          <w:szCs w:val="22"/>
        </w:rPr>
        <w:t>0</w:t>
      </w:r>
      <w:r w:rsidRPr="009B7615">
        <w:rPr>
          <w:rFonts w:ascii="Arial" w:hAnsi="Arial" w:cs="Arial"/>
          <w:sz w:val="22"/>
          <w:szCs w:val="22"/>
        </w:rPr>
        <w:t xml:space="preserve"> and 2024</w:t>
      </w:r>
      <w:r w:rsidR="004B5F73">
        <w:rPr>
          <w:rFonts w:ascii="Arial" w:hAnsi="Arial" w:cs="Arial"/>
          <w:sz w:val="22"/>
          <w:szCs w:val="22"/>
        </w:rPr>
        <w:t>,</w:t>
      </w:r>
      <w:r w:rsidRPr="009B7615">
        <w:rPr>
          <w:rFonts w:ascii="Arial" w:hAnsi="Arial" w:cs="Arial"/>
          <w:sz w:val="22"/>
          <w:szCs w:val="22"/>
        </w:rPr>
        <w:t xml:space="preserve"> and the latest three years of information (2022-2024) </w:t>
      </w:r>
      <w:r w:rsidR="004B5F73">
        <w:rPr>
          <w:rFonts w:ascii="Arial" w:hAnsi="Arial" w:cs="Arial"/>
          <w:sz w:val="22"/>
          <w:szCs w:val="22"/>
        </w:rPr>
        <w:t>were</w:t>
      </w:r>
      <w:r w:rsidRPr="009B7615">
        <w:rPr>
          <w:rFonts w:ascii="Arial" w:hAnsi="Arial" w:cs="Arial"/>
          <w:sz w:val="22"/>
          <w:szCs w:val="22"/>
        </w:rPr>
        <w:t xml:space="preserve"> saved </w:t>
      </w:r>
      <w:r w:rsidR="004B5F73">
        <w:rPr>
          <w:rFonts w:ascii="Arial" w:hAnsi="Arial" w:cs="Arial"/>
          <w:sz w:val="22"/>
          <w:szCs w:val="22"/>
        </w:rPr>
        <w:t>for</w:t>
      </w:r>
      <w:r w:rsidRPr="009B7615">
        <w:rPr>
          <w:rFonts w:ascii="Arial" w:hAnsi="Arial" w:cs="Arial"/>
          <w:sz w:val="22"/>
          <w:szCs w:val="22"/>
        </w:rPr>
        <w:t xml:space="preserve"> out-of-sample prediction and confirmation. Diagnostic tests had evaluated the model adequacy: residual tests were performed to determine that the model behaved </w:t>
      </w:r>
      <w:r w:rsidR="004B5F73">
        <w:rPr>
          <w:rFonts w:ascii="Arial" w:hAnsi="Arial" w:cs="Arial"/>
          <w:sz w:val="22"/>
          <w:szCs w:val="22"/>
        </w:rPr>
        <w:t xml:space="preserve">as </w:t>
      </w:r>
      <w:r w:rsidRPr="009B7615">
        <w:rPr>
          <w:rFonts w:ascii="Arial" w:hAnsi="Arial" w:cs="Arial"/>
          <w:sz w:val="22"/>
          <w:szCs w:val="22"/>
        </w:rPr>
        <w:t>white-noise</w:t>
      </w:r>
      <w:r w:rsidR="004B5F73">
        <w:rPr>
          <w:rFonts w:ascii="Arial" w:hAnsi="Arial" w:cs="Arial"/>
          <w:sz w:val="22"/>
          <w:szCs w:val="22"/>
        </w:rPr>
        <w:t>,</w:t>
      </w:r>
      <w:r w:rsidRPr="009B7615">
        <w:rPr>
          <w:rFonts w:ascii="Arial" w:hAnsi="Arial" w:cs="Arial"/>
          <w:sz w:val="22"/>
          <w:szCs w:val="22"/>
        </w:rPr>
        <w:t xml:space="preserve"> and residual </w:t>
      </w:r>
      <w:r w:rsidR="004B5F73">
        <w:rPr>
          <w:rFonts w:ascii="Arial" w:hAnsi="Arial" w:cs="Arial"/>
          <w:sz w:val="22"/>
          <w:szCs w:val="22"/>
        </w:rPr>
        <w:t>tests</w:t>
      </w:r>
      <w:r w:rsidRPr="009B7615">
        <w:rPr>
          <w:rFonts w:ascii="Arial" w:hAnsi="Arial" w:cs="Arial"/>
          <w:sz w:val="22"/>
          <w:szCs w:val="22"/>
        </w:rPr>
        <w:t xml:space="preserve"> were verified through the </w:t>
      </w:r>
      <w:proofErr w:type="spellStart"/>
      <w:r w:rsidR="004B5F73">
        <w:rPr>
          <w:rFonts w:ascii="Arial" w:hAnsi="Arial" w:cs="Arial"/>
          <w:sz w:val="22"/>
          <w:szCs w:val="22"/>
        </w:rPr>
        <w:t>Ljung</w:t>
      </w:r>
      <w:proofErr w:type="spellEnd"/>
      <w:r w:rsidR="004B5F73">
        <w:rPr>
          <w:rFonts w:ascii="Arial" w:hAnsi="Arial" w:cs="Arial"/>
          <w:sz w:val="22"/>
          <w:szCs w:val="22"/>
        </w:rPr>
        <w:t>-Box</w:t>
      </w:r>
      <w:r w:rsidRPr="009B7615">
        <w:rPr>
          <w:rFonts w:ascii="Arial" w:hAnsi="Arial" w:cs="Arial"/>
          <w:sz w:val="22"/>
          <w:szCs w:val="22"/>
        </w:rPr>
        <w:t xml:space="preserve"> Q test, and normality and homoscedasticity </w:t>
      </w:r>
      <w:r w:rsidR="004B5F73">
        <w:rPr>
          <w:rFonts w:ascii="Arial" w:hAnsi="Arial" w:cs="Arial"/>
          <w:sz w:val="22"/>
          <w:szCs w:val="22"/>
        </w:rPr>
        <w:t>tests</w:t>
      </w:r>
      <w:r w:rsidRPr="009B7615">
        <w:rPr>
          <w:rFonts w:ascii="Arial" w:hAnsi="Arial" w:cs="Arial"/>
          <w:sz w:val="22"/>
          <w:szCs w:val="22"/>
        </w:rPr>
        <w:t xml:space="preserve">. Root Mean Square error (RMSE), </w:t>
      </w:r>
      <w:r w:rsidR="004B5F73">
        <w:rPr>
          <w:rFonts w:ascii="Arial" w:hAnsi="Arial" w:cs="Arial"/>
          <w:sz w:val="22"/>
          <w:szCs w:val="22"/>
        </w:rPr>
        <w:t>Mean</w:t>
      </w:r>
      <w:r w:rsidRPr="009B7615">
        <w:rPr>
          <w:rFonts w:ascii="Arial" w:hAnsi="Arial" w:cs="Arial"/>
          <w:sz w:val="22"/>
          <w:szCs w:val="22"/>
        </w:rPr>
        <w:t xml:space="preserve"> Absolute error (MAE), and Means Absolute Percentage Error (MAPE) were considered as performance measures. The short and </w:t>
      </w:r>
      <w:r w:rsidR="004B5F73">
        <w:rPr>
          <w:rFonts w:ascii="Arial" w:hAnsi="Arial" w:cs="Arial"/>
          <w:sz w:val="22"/>
          <w:szCs w:val="22"/>
        </w:rPr>
        <w:t>medium-term</w:t>
      </w:r>
      <w:r w:rsidRPr="009B7615">
        <w:rPr>
          <w:rFonts w:ascii="Arial" w:hAnsi="Arial" w:cs="Arial"/>
          <w:sz w:val="22"/>
          <w:szCs w:val="22"/>
        </w:rPr>
        <w:t xml:space="preserve"> </w:t>
      </w:r>
      <w:r w:rsidR="004B5F73">
        <w:rPr>
          <w:rFonts w:ascii="Arial" w:hAnsi="Arial" w:cs="Arial"/>
          <w:sz w:val="22"/>
          <w:szCs w:val="22"/>
        </w:rPr>
        <w:t>horizons</w:t>
      </w:r>
      <w:r w:rsidRPr="009B7615">
        <w:rPr>
          <w:rFonts w:ascii="Arial" w:hAnsi="Arial" w:cs="Arial"/>
          <w:sz w:val="22"/>
          <w:szCs w:val="22"/>
        </w:rPr>
        <w:t xml:space="preserve"> were forecasted to test the model accuracy and its strength. Comparative evaluation of the ARIMA and ARIMAX models used both in-sample fit metrics and </w:t>
      </w:r>
      <w:r w:rsidR="004B5F73">
        <w:rPr>
          <w:rFonts w:ascii="Arial" w:hAnsi="Arial" w:cs="Arial"/>
          <w:sz w:val="22"/>
          <w:szCs w:val="22"/>
        </w:rPr>
        <w:t>out-of-sample</w:t>
      </w:r>
      <w:r w:rsidRPr="009B7615">
        <w:rPr>
          <w:rFonts w:ascii="Arial" w:hAnsi="Arial" w:cs="Arial"/>
          <w:sz w:val="22"/>
          <w:szCs w:val="22"/>
        </w:rPr>
        <w:t xml:space="preserve"> forecast models.</w:t>
      </w:r>
    </w:p>
    <w:p w14:paraId="45D261CC" w14:textId="505825EB" w:rsidR="004B78C0" w:rsidRDefault="004B78C0" w:rsidP="009B7615">
      <w:pPr>
        <w:spacing w:line="480" w:lineRule="auto"/>
        <w:jc w:val="both"/>
        <w:rPr>
          <w:rFonts w:ascii="Arial" w:hAnsi="Arial" w:cs="Arial"/>
          <w:sz w:val="22"/>
          <w:szCs w:val="22"/>
        </w:rPr>
      </w:pPr>
      <w:r>
        <w:rPr>
          <w:rFonts w:ascii="Arial" w:hAnsi="Arial" w:cs="Arial"/>
          <w:sz w:val="22"/>
          <w:szCs w:val="22"/>
        </w:rPr>
        <w:lastRenderedPageBreak/>
        <w:t xml:space="preserve">The equations for </w:t>
      </w:r>
      <w:r w:rsidRPr="009B7615">
        <w:rPr>
          <w:rFonts w:ascii="Arial" w:hAnsi="Arial" w:cs="Arial"/>
          <w:sz w:val="22"/>
          <w:szCs w:val="22"/>
        </w:rPr>
        <w:t xml:space="preserve">Root Mean Square error (RMSE), </w:t>
      </w:r>
      <w:r w:rsidR="004B5F73">
        <w:rPr>
          <w:rFonts w:ascii="Arial" w:hAnsi="Arial" w:cs="Arial"/>
          <w:sz w:val="22"/>
          <w:szCs w:val="22"/>
        </w:rPr>
        <w:t>Mean</w:t>
      </w:r>
      <w:r w:rsidRPr="009B7615">
        <w:rPr>
          <w:rFonts w:ascii="Arial" w:hAnsi="Arial" w:cs="Arial"/>
          <w:sz w:val="22"/>
          <w:szCs w:val="22"/>
        </w:rPr>
        <w:t xml:space="preserve"> Absolute error (MAE), and Means Absolute Percentage Error (MAPE)</w:t>
      </w:r>
      <w:r>
        <w:rPr>
          <w:rFonts w:ascii="Arial" w:hAnsi="Arial" w:cs="Arial"/>
          <w:sz w:val="22"/>
          <w:szCs w:val="22"/>
        </w:rPr>
        <w:t xml:space="preserve"> are shown below:</w:t>
      </w:r>
    </w:p>
    <w:p w14:paraId="1C542CA8" w14:textId="4C4878C1" w:rsidR="004B78C0" w:rsidRDefault="004B78C0" w:rsidP="009B7615">
      <w:pPr>
        <w:spacing w:line="480" w:lineRule="auto"/>
        <w:jc w:val="both"/>
        <w:rPr>
          <w:rFonts w:ascii="Arial" w:hAnsi="Arial" w:cs="Arial"/>
          <w:sz w:val="22"/>
          <w:szCs w:val="22"/>
        </w:rPr>
      </w:pPr>
      <w:r w:rsidRPr="004B78C0">
        <w:rPr>
          <w:rFonts w:ascii="Arial" w:hAnsi="Arial" w:cs="Arial"/>
          <w:sz w:val="22"/>
          <w:szCs w:val="22"/>
        </w:rPr>
        <w:t xml:space="preserve">Let </w:t>
      </w:r>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oMath>
      <w:r w:rsidRPr="004B78C0">
        <w:rPr>
          <w:rFonts w:ascii="Arial" w:hAnsi="Arial" w:cs="Arial"/>
          <w:sz w:val="22"/>
          <w:szCs w:val="22"/>
        </w:rPr>
        <w:t xml:space="preserve">denote the observed value at time </w:t>
      </w:r>
      <m:oMath>
        <m:r>
          <w:rPr>
            <w:rFonts w:ascii="Cambria Math" w:hAnsi="Cambria Math" w:cs="Arial"/>
            <w:sz w:val="22"/>
            <w:szCs w:val="22"/>
          </w:rPr>
          <m:t>t</m:t>
        </m:r>
      </m:oMath>
      <w:r w:rsidRPr="004B78C0">
        <w:rPr>
          <w:rFonts w:ascii="Arial" w:hAnsi="Arial" w:cs="Arial"/>
          <w:sz w:val="22"/>
          <w:szCs w:val="22"/>
        </w:rPr>
        <w:t xml:space="preserve">, and </w:t>
      </w:r>
      <m:oMath>
        <m:sSub>
          <m:sSubPr>
            <m:ctrlPr>
              <w:rPr>
                <w:rFonts w:ascii="Cambria Math" w:hAnsi="Cambria Math" w:cs="Arial"/>
                <w:sz w:val="22"/>
                <w:szCs w:val="22"/>
              </w:rPr>
            </m:ctrlPr>
          </m:sSubPr>
          <m:e>
            <m:acc>
              <m:accPr>
                <m:ctrlPr>
                  <w:rPr>
                    <w:rFonts w:ascii="Cambria Math" w:hAnsi="Cambria Math" w:cs="Arial"/>
                    <w:sz w:val="22"/>
                    <w:szCs w:val="22"/>
                  </w:rPr>
                </m:ctrlPr>
              </m:accPr>
              <m:e>
                <m:r>
                  <w:rPr>
                    <w:rFonts w:ascii="Cambria Math" w:hAnsi="Cambria Math" w:cs="Arial"/>
                    <w:sz w:val="22"/>
                    <w:szCs w:val="22"/>
                  </w:rPr>
                  <m:t>y</m:t>
                </m:r>
              </m:e>
            </m:acc>
          </m:e>
          <m:sub>
            <m:r>
              <w:rPr>
                <w:rFonts w:ascii="Cambria Math" w:hAnsi="Cambria Math" w:cs="Arial"/>
                <w:sz w:val="22"/>
                <w:szCs w:val="22"/>
              </w:rPr>
              <m:t>t</m:t>
            </m:r>
          </m:sub>
        </m:sSub>
      </m:oMath>
      <w:r w:rsidRPr="004B78C0">
        <w:rPr>
          <w:rFonts w:ascii="Arial" w:hAnsi="Arial" w:cs="Arial"/>
          <w:sz w:val="22"/>
          <w:szCs w:val="22"/>
        </w:rPr>
        <w:t xml:space="preserve">denote the predicted (forecasted) value at time </w:t>
      </w:r>
      <m:oMath>
        <m:r>
          <w:rPr>
            <w:rFonts w:ascii="Cambria Math" w:hAnsi="Cambria Math" w:cs="Arial"/>
            <w:sz w:val="22"/>
            <w:szCs w:val="22"/>
          </w:rPr>
          <m:t>t</m:t>
        </m:r>
      </m:oMath>
      <w:r w:rsidRPr="004B78C0">
        <w:rPr>
          <w:rFonts w:ascii="Arial" w:hAnsi="Arial" w:cs="Arial"/>
          <w:sz w:val="22"/>
          <w:szCs w:val="22"/>
        </w:rPr>
        <w:t xml:space="preserve">, for </w:t>
      </w:r>
      <m:oMath>
        <m:r>
          <w:rPr>
            <w:rFonts w:ascii="Cambria Math" w:hAnsi="Cambria Math" w:cs="Arial"/>
            <w:sz w:val="22"/>
            <w:szCs w:val="22"/>
          </w:rPr>
          <m:t>t=1,2,…,n</m:t>
        </m:r>
      </m:oMath>
      <w:r w:rsidRPr="004B78C0">
        <w:rPr>
          <w:rFonts w:ascii="Arial" w:hAnsi="Arial" w:cs="Arial"/>
          <w:sz w:val="22"/>
          <w:szCs w:val="22"/>
        </w:rPr>
        <w:t>.</w:t>
      </w:r>
    </w:p>
    <w:p w14:paraId="532DB153" w14:textId="52C554F2" w:rsidR="004B78C0" w:rsidRPr="004B78C0" w:rsidRDefault="004B78C0" w:rsidP="004B78C0">
      <w:pPr>
        <w:pStyle w:val="ListParagraph"/>
        <w:numPr>
          <w:ilvl w:val="0"/>
          <w:numId w:val="34"/>
        </w:numPr>
        <w:spacing w:line="480" w:lineRule="auto"/>
        <w:jc w:val="both"/>
        <w:rPr>
          <w:rFonts w:ascii="Arial" w:hAnsi="Arial" w:cs="Arial"/>
          <w:sz w:val="22"/>
          <w:szCs w:val="22"/>
        </w:rPr>
      </w:pPr>
      <w:r w:rsidRPr="004B78C0">
        <w:rPr>
          <w:rFonts w:ascii="Arial" w:hAnsi="Arial" w:cs="Arial"/>
          <w:sz w:val="22"/>
          <w:szCs w:val="22"/>
        </w:rPr>
        <w:t>Root Mean Square Error (RMSE):</w:t>
      </w:r>
    </w:p>
    <w:p w14:paraId="095A4A2B" w14:textId="77777777" w:rsidR="004B78C0" w:rsidRPr="004B78C0" w:rsidRDefault="004B78C0" w:rsidP="004B78C0">
      <w:pPr>
        <w:spacing w:line="480" w:lineRule="auto"/>
        <w:jc w:val="both"/>
        <w:rPr>
          <w:rFonts w:ascii="Arial" w:hAnsi="Arial" w:cs="Arial"/>
          <w:sz w:val="22"/>
          <w:szCs w:val="22"/>
        </w:rPr>
      </w:pPr>
      <m:oMathPara>
        <m:oMath>
          <m:r>
            <m:rPr>
              <m:nor/>
            </m:rPr>
            <w:rPr>
              <w:rFonts w:ascii="Arial" w:hAnsi="Arial" w:cs="Arial"/>
              <w:sz w:val="22"/>
              <w:szCs w:val="22"/>
            </w:rPr>
            <m:t>RMSE</m:t>
          </m:r>
          <m:r>
            <w:rPr>
              <w:rFonts w:ascii="Cambria Math" w:hAnsi="Cambria Math" w:cs="Arial"/>
              <w:sz w:val="22"/>
              <w:szCs w:val="22"/>
            </w:rPr>
            <m:t>=</m:t>
          </m:r>
          <m:rad>
            <m:radPr>
              <m:degHide m:val="1"/>
              <m:ctrlPr>
                <w:rPr>
                  <w:rFonts w:ascii="Cambria Math" w:hAnsi="Cambria Math" w:cs="Arial"/>
                  <w:sz w:val="22"/>
                  <w:szCs w:val="22"/>
                </w:rPr>
              </m:ctrlPr>
            </m:radPr>
            <m:deg/>
            <m:e>
              <m:f>
                <m:fPr>
                  <m:ctrlPr>
                    <w:rPr>
                      <w:rFonts w:ascii="Cambria Math" w:hAnsi="Cambria Math" w:cs="Arial"/>
                      <w:sz w:val="22"/>
                      <w:szCs w:val="22"/>
                    </w:rPr>
                  </m:ctrlPr>
                </m:fPr>
                <m:num>
                  <m:r>
                    <w:rPr>
                      <w:rFonts w:ascii="Cambria Math" w:hAnsi="Cambria Math" w:cs="Arial"/>
                      <w:sz w:val="22"/>
                      <w:szCs w:val="22"/>
                    </w:rPr>
                    <m:t>1</m:t>
                  </m:r>
                </m:num>
                <m:den>
                  <m:r>
                    <w:rPr>
                      <w:rFonts w:ascii="Cambria Math" w:hAnsi="Cambria Math" w:cs="Arial"/>
                      <w:sz w:val="22"/>
                      <w:szCs w:val="22"/>
                    </w:rPr>
                    <m:t>n</m:t>
                  </m:r>
                </m:den>
              </m:f>
              <m:nary>
                <m:naryPr>
                  <m:chr m:val="∑"/>
                  <m:limLoc m:val="undOvr"/>
                  <m:grow m:val="1"/>
                  <m:ctrlPr>
                    <w:rPr>
                      <w:rFonts w:ascii="Cambria Math" w:hAnsi="Cambria Math" w:cs="Arial"/>
                      <w:sz w:val="22"/>
                      <w:szCs w:val="22"/>
                    </w:rPr>
                  </m:ctrlPr>
                </m:naryPr>
                <m:sub>
                  <m:r>
                    <w:rPr>
                      <w:rFonts w:ascii="Cambria Math" w:hAnsi="Cambria Math" w:cs="Arial"/>
                      <w:sz w:val="22"/>
                      <w:szCs w:val="22"/>
                    </w:rPr>
                    <m:t>t=1</m:t>
                  </m:r>
                </m:sub>
                <m:sup>
                  <m:r>
                    <w:rPr>
                      <w:rFonts w:ascii="Cambria Math" w:hAnsi="Cambria Math" w:cs="Arial"/>
                      <w:sz w:val="22"/>
                      <w:szCs w:val="22"/>
                    </w:rPr>
                    <m:t>n</m:t>
                  </m:r>
                </m:sup>
                <m:e>
                  <m:sSup>
                    <m:sSupPr>
                      <m:ctrlPr>
                        <w:rPr>
                          <w:rFonts w:ascii="Cambria Math" w:hAnsi="Cambria Math" w:cs="Arial"/>
                          <w:sz w:val="22"/>
                          <w:szCs w:val="22"/>
                        </w:rPr>
                      </m:ctrlPr>
                    </m:sSupPr>
                    <m:e>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sz w:val="22"/>
                              <w:szCs w:val="22"/>
                            </w:rPr>
                          </m:ctrlPr>
                        </m:sSubPr>
                        <m:e>
                          <m:acc>
                            <m:accPr>
                              <m:ctrlPr>
                                <w:rPr>
                                  <w:rFonts w:ascii="Cambria Math" w:hAnsi="Cambria Math" w:cs="Arial"/>
                                  <w:sz w:val="22"/>
                                  <w:szCs w:val="22"/>
                                </w:rPr>
                              </m:ctrlPr>
                            </m:accPr>
                            <m:e>
                              <m:r>
                                <w:rPr>
                                  <w:rFonts w:ascii="Cambria Math" w:hAnsi="Cambria Math" w:cs="Arial"/>
                                  <w:sz w:val="22"/>
                                  <w:szCs w:val="22"/>
                                </w:rPr>
                                <m:t>y</m:t>
                              </m:r>
                            </m:e>
                          </m:acc>
                        </m:e>
                        <m:sub>
                          <m:r>
                            <w:rPr>
                              <w:rFonts w:ascii="Cambria Math" w:hAnsi="Cambria Math" w:cs="Arial"/>
                              <w:sz w:val="22"/>
                              <w:szCs w:val="22"/>
                            </w:rPr>
                            <m:t>t</m:t>
                          </m:r>
                        </m:sub>
                      </m:sSub>
                      <m:r>
                        <w:rPr>
                          <w:rFonts w:ascii="Cambria Math" w:hAnsi="Cambria Math" w:cs="Arial"/>
                          <w:sz w:val="22"/>
                          <w:szCs w:val="22"/>
                        </w:rPr>
                        <m:t>)</m:t>
                      </m:r>
                    </m:e>
                    <m:sup>
                      <m:r>
                        <w:rPr>
                          <w:rFonts w:ascii="Cambria Math" w:hAnsi="Cambria Math" w:cs="Arial"/>
                          <w:sz w:val="22"/>
                          <w:szCs w:val="22"/>
                        </w:rPr>
                        <m:t>2</m:t>
                      </m:r>
                    </m:sup>
                  </m:sSup>
                </m:e>
              </m:nary>
            </m:e>
          </m:rad>
        </m:oMath>
      </m:oMathPara>
    </w:p>
    <w:p w14:paraId="118AD517" w14:textId="585776AC" w:rsidR="004B78C0" w:rsidRPr="004B78C0" w:rsidRDefault="004B78C0" w:rsidP="004B78C0">
      <w:pPr>
        <w:pStyle w:val="ListParagraph"/>
        <w:numPr>
          <w:ilvl w:val="0"/>
          <w:numId w:val="34"/>
        </w:numPr>
        <w:spacing w:line="480" w:lineRule="auto"/>
        <w:jc w:val="both"/>
        <w:rPr>
          <w:rFonts w:ascii="Arial" w:hAnsi="Arial" w:cs="Arial"/>
          <w:sz w:val="22"/>
          <w:szCs w:val="22"/>
        </w:rPr>
      </w:pPr>
      <w:r w:rsidRPr="004B78C0">
        <w:rPr>
          <w:rFonts w:ascii="Arial" w:hAnsi="Arial" w:cs="Arial"/>
          <w:bCs/>
          <w:sz w:val="22"/>
          <w:szCs w:val="22"/>
        </w:rPr>
        <w:t>. Mean Absolute Error (MAE):</w:t>
      </w:r>
    </w:p>
    <w:p w14:paraId="3A72B503" w14:textId="136CD579" w:rsidR="004B78C0" w:rsidRPr="004B78C0" w:rsidRDefault="004B78C0" w:rsidP="004B78C0">
      <w:pPr>
        <w:spacing w:line="480" w:lineRule="auto"/>
        <w:jc w:val="both"/>
        <w:rPr>
          <w:rFonts w:ascii="Arial" w:hAnsi="Arial" w:cs="Arial"/>
          <w:sz w:val="22"/>
          <w:szCs w:val="22"/>
        </w:rPr>
      </w:pPr>
      <m:oMathPara>
        <m:oMath>
          <m:r>
            <m:rPr>
              <m:nor/>
            </m:rPr>
            <w:rPr>
              <w:rFonts w:ascii="Arial" w:hAnsi="Arial" w:cs="Arial"/>
              <w:sz w:val="22"/>
              <w:szCs w:val="22"/>
            </w:rPr>
            <m:t>MAE</m:t>
          </m:r>
          <m:r>
            <w:rPr>
              <w:rFonts w:ascii="Cambria Math" w:hAnsi="Cambria Math" w:cs="Arial"/>
              <w:sz w:val="22"/>
              <w:szCs w:val="22"/>
            </w:rPr>
            <m:t>=</m:t>
          </m:r>
          <m:f>
            <m:fPr>
              <m:ctrlPr>
                <w:rPr>
                  <w:rFonts w:ascii="Cambria Math" w:hAnsi="Cambria Math" w:cs="Arial"/>
                  <w:sz w:val="22"/>
                  <w:szCs w:val="22"/>
                </w:rPr>
              </m:ctrlPr>
            </m:fPr>
            <m:num>
              <m:r>
                <w:rPr>
                  <w:rFonts w:ascii="Cambria Math" w:hAnsi="Cambria Math" w:cs="Arial"/>
                  <w:sz w:val="22"/>
                  <w:szCs w:val="22"/>
                </w:rPr>
                <m:t>1</m:t>
              </m:r>
            </m:num>
            <m:den>
              <m:r>
                <w:rPr>
                  <w:rFonts w:ascii="Cambria Math" w:hAnsi="Cambria Math" w:cs="Arial"/>
                  <w:sz w:val="22"/>
                  <w:szCs w:val="22"/>
                </w:rPr>
                <m:t>n</m:t>
              </m:r>
            </m:den>
          </m:f>
          <m:nary>
            <m:naryPr>
              <m:chr m:val="∑"/>
              <m:limLoc m:val="undOvr"/>
              <m:grow m:val="1"/>
              <m:ctrlPr>
                <w:rPr>
                  <w:rFonts w:ascii="Cambria Math" w:hAnsi="Cambria Math" w:cs="Arial"/>
                  <w:sz w:val="22"/>
                  <w:szCs w:val="22"/>
                </w:rPr>
              </m:ctrlPr>
            </m:naryPr>
            <m:sub>
              <m:r>
                <w:rPr>
                  <w:rFonts w:ascii="Cambria Math" w:hAnsi="Cambria Math" w:cs="Arial"/>
                  <w:sz w:val="22"/>
                  <w:szCs w:val="22"/>
                </w:rPr>
                <m:t>t=1</m:t>
              </m:r>
            </m:sub>
            <m:sup>
              <m:r>
                <w:rPr>
                  <w:rFonts w:ascii="Cambria Math" w:hAnsi="Cambria Math" w:cs="Arial"/>
                  <w:sz w:val="22"/>
                  <w:szCs w:val="22"/>
                </w:rPr>
                <m:t>n</m:t>
              </m:r>
            </m:sup>
            <m:e>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sz w:val="22"/>
                      <w:szCs w:val="22"/>
                    </w:rPr>
                  </m:ctrlPr>
                </m:sSubPr>
                <m:e>
                  <m:acc>
                    <m:accPr>
                      <m:ctrlPr>
                        <w:rPr>
                          <w:rFonts w:ascii="Cambria Math" w:hAnsi="Cambria Math" w:cs="Arial"/>
                          <w:sz w:val="22"/>
                          <w:szCs w:val="22"/>
                        </w:rPr>
                      </m:ctrlPr>
                    </m:accPr>
                    <m:e>
                      <m:r>
                        <w:rPr>
                          <w:rFonts w:ascii="Cambria Math" w:hAnsi="Cambria Math" w:cs="Arial"/>
                          <w:sz w:val="22"/>
                          <w:szCs w:val="22"/>
                        </w:rPr>
                        <m:t>y</m:t>
                      </m:r>
                    </m:e>
                  </m:acc>
                </m:e>
                <m:sub>
                  <m:r>
                    <w:rPr>
                      <w:rFonts w:ascii="Cambria Math" w:hAnsi="Cambria Math" w:cs="Arial"/>
                      <w:sz w:val="22"/>
                      <w:szCs w:val="22"/>
                    </w:rPr>
                    <m:t>t</m:t>
                  </m:r>
                </m:sub>
              </m:sSub>
              <m:r>
                <w:rPr>
                  <w:rFonts w:ascii="Cambria Math" w:hAnsi="Cambria Math" w:cs="Arial"/>
                  <w:sz w:val="22"/>
                  <w:szCs w:val="22"/>
                </w:rPr>
                <m:t>∣</m:t>
              </m:r>
            </m:e>
          </m:nary>
          <m:r>
            <m:rPr>
              <m:sty m:val="p"/>
            </m:rPr>
            <w:rPr>
              <w:rFonts w:ascii="Arial" w:hAnsi="Arial" w:cs="Arial"/>
              <w:sz w:val="22"/>
              <w:szCs w:val="22"/>
            </w:rPr>
            <w:br/>
          </m:r>
        </m:oMath>
        <m:oMath>
          <m:r>
            <m:rPr>
              <m:sty m:val="p"/>
            </m:rPr>
            <w:rPr>
              <w:rFonts w:ascii="Arial" w:hAnsi="Arial" w:cs="Arial"/>
              <w:sz w:val="22"/>
              <w:szCs w:val="22"/>
            </w:rPr>
            <w:br/>
          </m:r>
          <m:r>
            <m:rPr>
              <m:sty m:val="p"/>
            </m:rPr>
            <w:rPr>
              <w:rFonts w:ascii="Arial" w:hAnsi="Arial" w:cs="Arial"/>
              <w:sz w:val="22"/>
              <w:szCs w:val="22"/>
            </w:rPr>
            <m:t>​</m:t>
          </m:r>
        </m:oMath>
      </m:oMathPara>
      <w:r>
        <w:rPr>
          <w:rFonts w:ascii="Arial" w:hAnsi="Arial" w:cs="Arial"/>
          <w:sz w:val="22"/>
          <w:szCs w:val="22"/>
        </w:rPr>
        <w:t xml:space="preserve">      iii. </w:t>
      </w:r>
      <w:r w:rsidRPr="004B78C0">
        <w:rPr>
          <w:rFonts w:ascii="Arial" w:hAnsi="Arial" w:cs="Arial"/>
          <w:bCs/>
          <w:sz w:val="22"/>
          <w:szCs w:val="22"/>
        </w:rPr>
        <w:t>Mean Absolute Percentage Error (MAPE):</w:t>
      </w:r>
    </w:p>
    <w:p w14:paraId="7A2716BE" w14:textId="76864892" w:rsidR="004B78C0" w:rsidRPr="009B7615" w:rsidRDefault="004B78C0" w:rsidP="009B7615">
      <w:pPr>
        <w:spacing w:line="480" w:lineRule="auto"/>
        <w:jc w:val="both"/>
        <w:rPr>
          <w:rFonts w:ascii="Arial" w:hAnsi="Arial" w:cs="Arial"/>
          <w:sz w:val="22"/>
          <w:szCs w:val="22"/>
        </w:rPr>
      </w:pPr>
      <m:oMathPara>
        <m:oMath>
          <m:r>
            <m:rPr>
              <m:nor/>
            </m:rPr>
            <w:rPr>
              <w:rFonts w:ascii="Arial" w:hAnsi="Arial" w:cs="Arial"/>
              <w:sz w:val="22"/>
              <w:szCs w:val="22"/>
            </w:rPr>
            <m:t>MAPE</m:t>
          </m:r>
          <m:r>
            <w:rPr>
              <w:rFonts w:ascii="Cambria Math" w:hAnsi="Cambria Math" w:cs="Arial"/>
              <w:sz w:val="22"/>
              <w:szCs w:val="22"/>
            </w:rPr>
            <m:t>=</m:t>
          </m:r>
          <m:f>
            <m:fPr>
              <m:ctrlPr>
                <w:rPr>
                  <w:rFonts w:ascii="Cambria Math" w:hAnsi="Cambria Math" w:cs="Arial"/>
                  <w:sz w:val="22"/>
                  <w:szCs w:val="22"/>
                </w:rPr>
              </m:ctrlPr>
            </m:fPr>
            <m:num>
              <m:r>
                <w:rPr>
                  <w:rFonts w:ascii="Cambria Math" w:hAnsi="Cambria Math" w:cs="Arial"/>
                  <w:sz w:val="22"/>
                  <w:szCs w:val="22"/>
                </w:rPr>
                <m:t>100</m:t>
              </m:r>
              <m:r>
                <m:rPr>
                  <m:sty m:val="p"/>
                </m:rPr>
                <w:rPr>
                  <w:rFonts w:ascii="Cambria Math" w:hAnsi="Cambria Math" w:cs="Arial"/>
                  <w:sz w:val="22"/>
                  <w:szCs w:val="22"/>
                </w:rPr>
                <m:t>%</m:t>
              </m:r>
            </m:num>
            <m:den>
              <m:r>
                <w:rPr>
                  <w:rFonts w:ascii="Cambria Math" w:hAnsi="Cambria Math" w:cs="Arial"/>
                  <w:sz w:val="22"/>
                  <w:szCs w:val="22"/>
                </w:rPr>
                <m:t>n</m:t>
              </m:r>
            </m:den>
          </m:f>
          <m:nary>
            <m:naryPr>
              <m:chr m:val="∑"/>
              <m:limLoc m:val="undOvr"/>
              <m:grow m:val="1"/>
              <m:ctrlPr>
                <w:rPr>
                  <w:rFonts w:ascii="Cambria Math" w:hAnsi="Cambria Math" w:cs="Arial"/>
                  <w:sz w:val="22"/>
                  <w:szCs w:val="22"/>
                </w:rPr>
              </m:ctrlPr>
            </m:naryPr>
            <m:sub>
              <m:r>
                <w:rPr>
                  <w:rFonts w:ascii="Cambria Math" w:hAnsi="Cambria Math" w:cs="Arial"/>
                  <w:sz w:val="22"/>
                  <w:szCs w:val="22"/>
                </w:rPr>
                <m:t>t=1</m:t>
              </m:r>
            </m:sub>
            <m:sup>
              <m:r>
                <w:rPr>
                  <w:rFonts w:ascii="Cambria Math" w:hAnsi="Cambria Math" w:cs="Arial"/>
                  <w:sz w:val="22"/>
                  <w:szCs w:val="22"/>
                </w:rPr>
                <m:t>n</m:t>
              </m:r>
            </m:sup>
            <m:e>
              <m:r>
                <w:rPr>
                  <w:rFonts w:ascii="Cambria Math" w:hAnsi="Cambria Math" w:cs="Arial"/>
                  <w:sz w:val="22"/>
                  <w:szCs w:val="22"/>
                </w:rPr>
                <m:t>∣</m:t>
              </m:r>
              <m:f>
                <m:fPr>
                  <m:ctrlPr>
                    <w:rPr>
                      <w:rFonts w:ascii="Cambria Math" w:hAnsi="Cambria Math" w:cs="Arial"/>
                      <w:sz w:val="22"/>
                      <w:szCs w:val="22"/>
                    </w:rPr>
                  </m:ctrlPr>
                </m:fPr>
                <m:num>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sz w:val="22"/>
                          <w:szCs w:val="22"/>
                        </w:rPr>
                      </m:ctrlPr>
                    </m:sSubPr>
                    <m:e>
                      <m:acc>
                        <m:accPr>
                          <m:ctrlPr>
                            <w:rPr>
                              <w:rFonts w:ascii="Cambria Math" w:hAnsi="Cambria Math" w:cs="Arial"/>
                              <w:sz w:val="22"/>
                              <w:szCs w:val="22"/>
                            </w:rPr>
                          </m:ctrlPr>
                        </m:accPr>
                        <m:e>
                          <m:r>
                            <w:rPr>
                              <w:rFonts w:ascii="Cambria Math" w:hAnsi="Cambria Math" w:cs="Arial"/>
                              <w:sz w:val="22"/>
                              <w:szCs w:val="22"/>
                            </w:rPr>
                            <m:t>y</m:t>
                          </m:r>
                        </m:e>
                      </m:acc>
                    </m:e>
                    <m:sub>
                      <m:r>
                        <w:rPr>
                          <w:rFonts w:ascii="Cambria Math" w:hAnsi="Cambria Math" w:cs="Arial"/>
                          <w:sz w:val="22"/>
                          <w:szCs w:val="22"/>
                        </w:rPr>
                        <m:t>t</m:t>
                      </m:r>
                    </m:sub>
                  </m:sSub>
                </m:num>
                <m:den>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den>
              </m:f>
              <m:r>
                <w:rPr>
                  <w:rFonts w:ascii="Cambria Math" w:hAnsi="Cambria Math" w:cs="Arial"/>
                  <w:sz w:val="22"/>
                  <w:szCs w:val="22"/>
                </w:rPr>
                <m:t>∣</m:t>
              </m:r>
            </m:e>
          </m:nary>
          <m:r>
            <m:rPr>
              <m:sty m:val="p"/>
            </m:rPr>
            <w:rPr>
              <w:rFonts w:ascii="Arial" w:hAnsi="Arial" w:cs="Arial"/>
              <w:sz w:val="22"/>
              <w:szCs w:val="22"/>
            </w:rPr>
            <w:br/>
          </m:r>
        </m:oMath>
      </m:oMathPara>
    </w:p>
    <w:p w14:paraId="1FA053F9" w14:textId="56622FA4"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w:t>
      </w:r>
      <w:r w:rsidR="00C55C96">
        <w:rPr>
          <w:rFonts w:ascii="Arial" w:hAnsi="Arial" w:cs="Arial"/>
          <w:b/>
          <w:bCs/>
          <w:sz w:val="22"/>
          <w:szCs w:val="22"/>
        </w:rPr>
        <w:t>5</w:t>
      </w:r>
      <w:r w:rsidRPr="009B7615">
        <w:rPr>
          <w:rFonts w:ascii="Arial" w:hAnsi="Arial" w:cs="Arial"/>
          <w:b/>
          <w:bCs/>
          <w:sz w:val="22"/>
          <w:szCs w:val="22"/>
        </w:rPr>
        <w:t xml:space="preserve"> Model Description</w:t>
      </w:r>
    </w:p>
    <w:p w14:paraId="64C24023" w14:textId="6ADD8A4D" w:rsidR="009B7615" w:rsidRPr="009B7615" w:rsidRDefault="009B7615" w:rsidP="009B7615">
      <w:pPr>
        <w:spacing w:line="480" w:lineRule="auto"/>
        <w:jc w:val="both"/>
        <w:rPr>
          <w:rFonts w:ascii="Arial" w:hAnsi="Arial" w:cs="Arial"/>
          <w:sz w:val="22"/>
          <w:szCs w:val="22"/>
        </w:rPr>
      </w:pPr>
      <w:r w:rsidRPr="009B7615">
        <w:rPr>
          <w:rFonts w:ascii="Arial" w:hAnsi="Arial" w:cs="Arial"/>
          <w:b/>
          <w:bCs/>
          <w:sz w:val="22"/>
          <w:szCs w:val="22"/>
        </w:rPr>
        <w:t>2.</w:t>
      </w:r>
      <w:r w:rsidR="00C55C96">
        <w:rPr>
          <w:rFonts w:ascii="Arial" w:hAnsi="Arial" w:cs="Arial"/>
          <w:b/>
          <w:bCs/>
          <w:sz w:val="22"/>
          <w:szCs w:val="22"/>
        </w:rPr>
        <w:t>5</w:t>
      </w:r>
      <w:r w:rsidRPr="009B7615">
        <w:rPr>
          <w:rFonts w:ascii="Arial" w:hAnsi="Arial" w:cs="Arial"/>
          <w:b/>
          <w:bCs/>
          <w:sz w:val="22"/>
          <w:szCs w:val="22"/>
        </w:rPr>
        <w:t>.1 Autoregressive Integrated Moving Average (ARIMA) Model</w:t>
      </w:r>
    </w:p>
    <w:p w14:paraId="0B235FE6" w14:textId="63492FC2"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The Autoregressive Integrated Moving Average (ARIMA) model was first applied to capture the temporal structure of each climatic variable: rainfall, mean temperature, and climate indicators</w:t>
      </w:r>
      <w:r w:rsidR="004B5F73">
        <w:rPr>
          <w:rFonts w:ascii="Arial" w:hAnsi="Arial" w:cs="Arial"/>
          <w:sz w:val="22"/>
          <w:szCs w:val="22"/>
        </w:rPr>
        <w:t>,</w:t>
      </w:r>
      <w:r w:rsidRPr="009B7615">
        <w:rPr>
          <w:rFonts w:ascii="Arial" w:hAnsi="Arial" w:cs="Arial"/>
          <w:sz w:val="22"/>
          <w:szCs w:val="22"/>
        </w:rPr>
        <w:t xml:space="preserve"> before accounting for exogenous effects. The ARIMA model was denoted as ARIMA (p, d, q), where </w:t>
      </w:r>
      <w:r w:rsidRPr="009B7615">
        <w:rPr>
          <w:rFonts w:ascii="Arial" w:hAnsi="Arial" w:cs="Arial"/>
          <w:i/>
          <w:iCs/>
          <w:sz w:val="22"/>
          <w:szCs w:val="22"/>
        </w:rPr>
        <w:t>p</w:t>
      </w:r>
      <w:r w:rsidRPr="009B7615">
        <w:rPr>
          <w:rFonts w:ascii="Arial" w:hAnsi="Arial" w:cs="Arial"/>
          <w:sz w:val="22"/>
          <w:szCs w:val="22"/>
        </w:rPr>
        <w:t xml:space="preserve"> represented the order of the autoregressive process, </w:t>
      </w:r>
      <w:r w:rsidRPr="009B7615">
        <w:rPr>
          <w:rFonts w:ascii="Arial" w:hAnsi="Arial" w:cs="Arial"/>
          <w:i/>
          <w:iCs/>
          <w:sz w:val="22"/>
          <w:szCs w:val="22"/>
        </w:rPr>
        <w:t>d</w:t>
      </w:r>
      <w:r w:rsidRPr="009B7615">
        <w:rPr>
          <w:rFonts w:ascii="Arial" w:hAnsi="Arial" w:cs="Arial"/>
          <w:sz w:val="22"/>
          <w:szCs w:val="22"/>
        </w:rPr>
        <w:t xml:space="preserve"> denoted the degree of differencing required to achieve stationarity, and </w:t>
      </w:r>
      <w:r w:rsidRPr="009B7615">
        <w:rPr>
          <w:rFonts w:ascii="Arial" w:hAnsi="Arial" w:cs="Arial"/>
          <w:i/>
          <w:iCs/>
          <w:sz w:val="22"/>
          <w:szCs w:val="22"/>
        </w:rPr>
        <w:t>q</w:t>
      </w:r>
      <w:r w:rsidRPr="009B7615">
        <w:rPr>
          <w:rFonts w:ascii="Arial" w:hAnsi="Arial" w:cs="Arial"/>
          <w:sz w:val="22"/>
          <w:szCs w:val="22"/>
        </w:rPr>
        <w:t xml:space="preserve"> indicated the order of the moving average process.</w:t>
      </w:r>
    </w:p>
    <w:p w14:paraId="6722C495"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The general form of an ARIMA (p, d, q) model was expressed as:</w:t>
      </w:r>
    </w:p>
    <w:p w14:paraId="3BDC73A7" w14:textId="77777777" w:rsidR="009B7615" w:rsidRPr="009B7615" w:rsidRDefault="009B7615" w:rsidP="009B7615">
      <w:pPr>
        <w:spacing w:line="480" w:lineRule="auto"/>
        <w:jc w:val="both"/>
        <w:rPr>
          <w:rFonts w:ascii="Arial" w:hAnsi="Arial" w:cs="Arial"/>
          <w:sz w:val="22"/>
          <w:szCs w:val="22"/>
        </w:rPr>
      </w:pPr>
      <m:oMathPara>
        <m:oMath>
          <m:r>
            <w:rPr>
              <w:rFonts w:ascii="Cambria Math" w:hAnsi="Cambria Math" w:cs="Arial"/>
              <w:sz w:val="22"/>
              <w:szCs w:val="22"/>
            </w:rPr>
            <w:lastRenderedPageBreak/>
            <m:t>ϕ(B)(1-B</m:t>
          </m:r>
          <m:sSup>
            <m:sSupPr>
              <m:ctrlPr>
                <w:rPr>
                  <w:rFonts w:ascii="Cambria Math" w:hAnsi="Cambria Math" w:cs="Arial"/>
                  <w:sz w:val="22"/>
                  <w:szCs w:val="22"/>
                </w:rPr>
              </m:ctrlPr>
            </m:sSupPr>
            <m:e>
              <m:r>
                <w:rPr>
                  <w:rFonts w:ascii="Cambria Math" w:hAnsi="Cambria Math" w:cs="Arial"/>
                  <w:sz w:val="22"/>
                  <w:szCs w:val="22"/>
                </w:rPr>
                <m:t>)</m:t>
              </m:r>
            </m:e>
            <m:sup>
              <m:r>
                <w:rPr>
                  <w:rFonts w:ascii="Cambria Math" w:hAnsi="Cambria Math" w:cs="Arial"/>
                  <w:sz w:val="22"/>
                  <w:szCs w:val="22"/>
                </w:rPr>
                <m:t>d</m:t>
              </m:r>
            </m:sup>
          </m:sSup>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=θ(B)</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r>
            <m:rPr>
              <m:sty m:val="p"/>
            </m:rPr>
            <w:rPr>
              <w:rFonts w:ascii="Cambria Math" w:hAnsi="Cambria Math" w:cs="Arial"/>
              <w:sz w:val="22"/>
              <w:szCs w:val="22"/>
            </w:rPr>
            <w:br/>
          </m:r>
        </m:oMath>
      </m:oMathPara>
      <w:r w:rsidRPr="009B7615">
        <w:rPr>
          <w:rFonts w:ascii="Arial" w:hAnsi="Arial" w:cs="Arial"/>
          <w:sz w:val="22"/>
          <w:szCs w:val="22"/>
        </w:rPr>
        <w:t xml:space="preserve">where </w:t>
      </w:r>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oMath>
      <w:r w:rsidRPr="009B7615">
        <w:rPr>
          <w:rFonts w:ascii="Arial" w:hAnsi="Arial" w:cs="Arial"/>
          <w:sz w:val="22"/>
          <w:szCs w:val="22"/>
        </w:rPr>
        <w:t xml:space="preserve">represented the observed value of the time series at time </w:t>
      </w:r>
      <w:r w:rsidRPr="009B7615">
        <w:rPr>
          <w:rFonts w:ascii="Arial" w:hAnsi="Arial" w:cs="Arial"/>
          <w:i/>
          <w:iCs/>
          <w:sz w:val="22"/>
          <w:szCs w:val="22"/>
        </w:rPr>
        <w:t>t</w:t>
      </w:r>
      <w:r w:rsidRPr="009B7615">
        <w:rPr>
          <w:rFonts w:ascii="Arial" w:hAnsi="Arial" w:cs="Arial"/>
          <w:sz w:val="22"/>
          <w:szCs w:val="22"/>
        </w:rPr>
        <w:t xml:space="preserve">, </w:t>
      </w:r>
      <m:oMath>
        <m:r>
          <w:rPr>
            <w:rFonts w:ascii="Cambria Math" w:hAnsi="Cambria Math" w:cs="Arial"/>
            <w:sz w:val="22"/>
            <w:szCs w:val="22"/>
          </w:rPr>
          <m:t>B</m:t>
        </m:r>
      </m:oMath>
      <w:r w:rsidRPr="009B7615">
        <w:rPr>
          <w:rFonts w:ascii="Arial" w:hAnsi="Arial" w:cs="Arial"/>
          <w:sz w:val="22"/>
          <w:szCs w:val="22"/>
        </w:rPr>
        <w:t xml:space="preserve">was the backward shift operator such that </w:t>
      </w:r>
      <m:oMath>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t-1</m:t>
            </m:r>
          </m:sub>
        </m:sSub>
      </m:oMath>
      <w:r w:rsidRPr="009B7615">
        <w:rPr>
          <w:rFonts w:ascii="Arial" w:hAnsi="Arial" w:cs="Arial"/>
          <w:sz w:val="22"/>
          <w:szCs w:val="22"/>
        </w:rPr>
        <w:t xml:space="preserve">, and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oMath>
      <w:r w:rsidRPr="009B7615">
        <w:rPr>
          <w:rFonts w:ascii="Arial" w:hAnsi="Arial" w:cs="Arial"/>
          <w:sz w:val="22"/>
          <w:szCs w:val="22"/>
        </w:rPr>
        <w:t xml:space="preserve">denoted a white noise error term with zero mean and constant variance. The autoregressive (AR) component was captured by </w:t>
      </w:r>
      <m:oMath>
        <m:r>
          <w:rPr>
            <w:rFonts w:ascii="Cambria Math" w:hAnsi="Cambria Math" w:cs="Arial"/>
            <w:sz w:val="22"/>
            <w:szCs w:val="22"/>
          </w:rPr>
          <m:t>ϕ(B)=1-</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1</m:t>
            </m:r>
          </m:sub>
        </m:sSub>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2</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m:t>
        </m:r>
        <m:r>
          <m:rPr>
            <m:sty m:val="p"/>
          </m:rPr>
          <w:rPr>
            <w:rFonts w:ascii="Cambria Math" w:hAnsi="Cambria Math" w:cs="Arial"/>
            <w:sz w:val="22"/>
            <w:szCs w:val="22"/>
          </w:rPr>
          <m:t>...</m:t>
        </m:r>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p</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p</m:t>
            </m:r>
          </m:sup>
        </m:sSup>
      </m:oMath>
      <w:r w:rsidRPr="009B7615">
        <w:rPr>
          <w:rFonts w:ascii="Arial" w:hAnsi="Arial" w:cs="Arial"/>
          <w:sz w:val="22"/>
          <w:szCs w:val="22"/>
        </w:rPr>
        <w:t xml:space="preserve">, and the moving average (MA) component by </w:t>
      </w:r>
      <m:oMath>
        <m:r>
          <w:rPr>
            <w:rFonts w:ascii="Cambria Math" w:hAnsi="Cambria Math" w:cs="Arial"/>
            <w:sz w:val="22"/>
            <w:szCs w:val="22"/>
          </w:rPr>
          <m:t>θ(B)=1+</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1</m:t>
            </m:r>
          </m:sub>
        </m:sSub>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2</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m:t>
        </m:r>
        <m:r>
          <m:rPr>
            <m:sty m:val="p"/>
          </m:rPr>
          <w:rPr>
            <w:rFonts w:ascii="Cambria Math" w:hAnsi="Cambria Math" w:cs="Arial"/>
            <w:sz w:val="22"/>
            <w:szCs w:val="22"/>
          </w:rPr>
          <m:t>...</m:t>
        </m:r>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q</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q</m:t>
            </m:r>
          </m:sup>
        </m:sSup>
      </m:oMath>
      <w:r w:rsidRPr="009B7615">
        <w:rPr>
          <w:rFonts w:ascii="Arial" w:hAnsi="Arial" w:cs="Arial"/>
          <w:sz w:val="22"/>
          <w:szCs w:val="22"/>
        </w:rPr>
        <w:t>.</w:t>
      </w:r>
    </w:p>
    <w:p w14:paraId="134D9A3F"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Expanding this equation gave:</w:t>
      </w:r>
    </w:p>
    <w:p w14:paraId="23232ECB" w14:textId="77777777" w:rsidR="009B7615" w:rsidRPr="009B7615" w:rsidRDefault="006E35DE" w:rsidP="009B7615">
      <w:pPr>
        <w:spacing w:line="480" w:lineRule="auto"/>
        <w:jc w:val="both"/>
        <w:rPr>
          <w:rFonts w:ascii="Arial" w:hAnsi="Arial" w:cs="Arial"/>
          <w:sz w:val="22"/>
          <w:szCs w:val="22"/>
        </w:rPr>
      </w:pPr>
      <m:oMathPara>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=α+</m:t>
          </m:r>
          <m:nary>
            <m:naryPr>
              <m:chr m:val="∑"/>
              <m:limLoc m:val="undOvr"/>
              <m:grow m:val="1"/>
              <m:ctrlPr>
                <w:rPr>
                  <w:rFonts w:ascii="Cambria Math" w:hAnsi="Cambria Math" w:cs="Arial"/>
                  <w:sz w:val="22"/>
                  <w:szCs w:val="22"/>
                </w:rPr>
              </m:ctrlPr>
            </m:naryPr>
            <m:sub>
              <m:r>
                <w:rPr>
                  <w:rFonts w:ascii="Cambria Math" w:hAnsi="Cambria Math" w:cs="Arial"/>
                  <w:sz w:val="22"/>
                  <w:szCs w:val="22"/>
                </w:rPr>
                <m:t>i=1</m:t>
              </m:r>
            </m:sub>
            <m:sup>
              <m:r>
                <w:rPr>
                  <w:rFonts w:ascii="Cambria Math" w:hAnsi="Cambria Math" w:cs="Arial"/>
                  <w:sz w:val="22"/>
                  <w:szCs w:val="22"/>
                </w:rPr>
                <m:t>p</m:t>
              </m:r>
            </m:sup>
            <m:e>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i</m:t>
                  </m:r>
                </m:sub>
              </m:sSub>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t-i</m:t>
                  </m:r>
                </m:sub>
              </m:sSub>
            </m:e>
          </m:nary>
          <m:r>
            <w:rPr>
              <w:rFonts w:ascii="Cambria Math" w:hAnsi="Cambria Math" w:cs="Arial"/>
              <w:sz w:val="22"/>
              <w:szCs w:val="22"/>
            </w:rPr>
            <m:t>+</m:t>
          </m:r>
          <m:nary>
            <m:naryPr>
              <m:chr m:val="∑"/>
              <m:limLoc m:val="undOvr"/>
              <m:grow m:val="1"/>
              <m:ctrlPr>
                <w:rPr>
                  <w:rFonts w:ascii="Cambria Math" w:hAnsi="Cambria Math" w:cs="Arial"/>
                  <w:sz w:val="22"/>
                  <w:szCs w:val="22"/>
                </w:rPr>
              </m:ctrlPr>
            </m:naryPr>
            <m:sub>
              <m:r>
                <w:rPr>
                  <w:rFonts w:ascii="Cambria Math" w:hAnsi="Cambria Math" w:cs="Arial"/>
                  <w:sz w:val="22"/>
                  <w:szCs w:val="22"/>
                </w:rPr>
                <m:t>j=1</m:t>
              </m:r>
            </m:sub>
            <m:sup>
              <m:r>
                <w:rPr>
                  <w:rFonts w:ascii="Cambria Math" w:hAnsi="Cambria Math" w:cs="Arial"/>
                  <w:sz w:val="22"/>
                  <w:szCs w:val="22"/>
                </w:rPr>
                <m:t>q</m:t>
              </m:r>
            </m:sup>
            <m:e>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t-j</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e>
          </m:nary>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t-j</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r>
            <m:rPr>
              <m:sty m:val="p"/>
            </m:rPr>
            <w:rPr>
              <w:rFonts w:ascii="Cambria Math" w:hAnsi="Cambria Math" w:cs="Arial"/>
              <w:sz w:val="22"/>
              <w:szCs w:val="22"/>
            </w:rPr>
            <w:br/>
          </m:r>
        </m:oMath>
      </m:oMathPara>
    </w:p>
    <w:p w14:paraId="17C6D54D"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where </w:t>
      </w:r>
      <m:oMath>
        <m:r>
          <w:rPr>
            <w:rFonts w:ascii="Cambria Math" w:hAnsi="Cambria Math" w:cs="Arial"/>
            <w:sz w:val="22"/>
            <w:szCs w:val="22"/>
          </w:rPr>
          <m:t>α</m:t>
        </m:r>
      </m:oMath>
      <w:r w:rsidRPr="009B7615">
        <w:rPr>
          <w:rFonts w:ascii="Arial" w:hAnsi="Arial" w:cs="Arial"/>
          <w:sz w:val="22"/>
          <w:szCs w:val="22"/>
        </w:rPr>
        <w:t xml:space="preserve">was the intercept, </w:t>
      </w:r>
      <m:oMath>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i</m:t>
            </m:r>
          </m:sub>
        </m:sSub>
      </m:oMath>
      <w:r w:rsidRPr="009B7615">
        <w:rPr>
          <w:rFonts w:ascii="Arial" w:hAnsi="Arial" w:cs="Arial"/>
          <w:sz w:val="22"/>
          <w:szCs w:val="22"/>
        </w:rPr>
        <w:t xml:space="preserve">and </w:t>
      </w:r>
      <m:oMath>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oMath>
      <w:r w:rsidRPr="009B7615">
        <w:rPr>
          <w:rFonts w:ascii="Arial" w:hAnsi="Arial" w:cs="Arial"/>
          <w:sz w:val="22"/>
          <w:szCs w:val="22"/>
        </w:rPr>
        <w:t xml:space="preserve">were the model coefficients, and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oMath>
      <w:r w:rsidRPr="009B7615">
        <w:rPr>
          <w:rFonts w:ascii="Arial" w:hAnsi="Arial" w:cs="Arial"/>
          <w:sz w:val="22"/>
          <w:szCs w:val="22"/>
        </w:rPr>
        <w:t xml:space="preserve">was the random disturbance </w:t>
      </w:r>
      <w:proofErr w:type="gramStart"/>
      <w:r w:rsidRPr="009B7615">
        <w:rPr>
          <w:rFonts w:ascii="Arial" w:hAnsi="Arial" w:cs="Arial"/>
          <w:sz w:val="22"/>
          <w:szCs w:val="22"/>
        </w:rPr>
        <w:t>term.</w:t>
      </w:r>
      <w:proofErr w:type="gramEnd"/>
    </w:p>
    <w:p w14:paraId="41F19D40" w14:textId="03D7317A"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w:t>
      </w:r>
      <w:r w:rsidR="00C55C96">
        <w:rPr>
          <w:rFonts w:ascii="Arial" w:hAnsi="Arial" w:cs="Arial"/>
          <w:b/>
          <w:bCs/>
          <w:sz w:val="22"/>
          <w:szCs w:val="22"/>
        </w:rPr>
        <w:t>5</w:t>
      </w:r>
      <w:r w:rsidRPr="009B7615">
        <w:rPr>
          <w:rFonts w:ascii="Arial" w:hAnsi="Arial" w:cs="Arial"/>
          <w:b/>
          <w:bCs/>
          <w:sz w:val="22"/>
          <w:szCs w:val="22"/>
        </w:rPr>
        <w:t>.2 Autoregressive Integrated Moving Average with Exogenous Variables (ARIMAX) Model</w:t>
      </w:r>
    </w:p>
    <w:p w14:paraId="6D2A7584"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The general ARIMAX model employed in this study is expressed mathematically as:</w:t>
      </w:r>
    </w:p>
    <w:p w14:paraId="10EB3DEB" w14:textId="77777777" w:rsidR="009B7615" w:rsidRPr="009B7615" w:rsidRDefault="006E35DE" w:rsidP="009B7615">
      <w:pPr>
        <w:spacing w:line="480" w:lineRule="auto"/>
        <w:jc w:val="both"/>
        <w:rPr>
          <w:rFonts w:ascii="Arial" w:eastAsiaTheme="minorEastAsia" w:hAnsi="Arial" w:cs="Arial"/>
          <w:sz w:val="22"/>
          <w:szCs w:val="22"/>
        </w:rPr>
      </w:pPr>
      <m:oMathPara>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=α+</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i=1</m:t>
              </m:r>
            </m:sub>
            <m:sup>
              <m:r>
                <w:rPr>
                  <w:rFonts w:ascii="Cambria Math" w:eastAsiaTheme="minorEastAsia" w:hAnsi="Cambria Math" w:cs="Arial"/>
                  <w:sz w:val="22"/>
                  <w:szCs w:val="22"/>
                </w:rPr>
                <m:t>p</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ϕ</m:t>
                  </m:r>
                </m:e>
                <m:sub>
                  <m:r>
                    <w:rPr>
                      <w:rFonts w:ascii="Cambria Math" w:eastAsiaTheme="minorEastAsia" w:hAnsi="Cambria Math" w:cs="Arial"/>
                      <w:sz w:val="22"/>
                      <w:szCs w:val="22"/>
                    </w:rPr>
                    <m:t>i</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t-i</m:t>
                  </m:r>
                </m:sub>
              </m:sSub>
            </m:e>
          </m:nary>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j=1</m:t>
              </m:r>
            </m:sub>
            <m:sup>
              <m:r>
                <w:rPr>
                  <w:rFonts w:ascii="Cambria Math" w:eastAsiaTheme="minorEastAsia" w:hAnsi="Cambria Math" w:cs="Arial"/>
                  <w:sz w:val="22"/>
                  <w:szCs w:val="22"/>
                </w:rPr>
                <m:t>q</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t-j</m:t>
                  </m:r>
                </m:sub>
              </m:sSub>
            </m:e>
          </m:nary>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m</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m,t</m:t>
                  </m:r>
                </m:sub>
              </m:sSub>
            </m:e>
          </m:nary>
          <m: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sub>
          </m:sSub>
        </m:oMath>
      </m:oMathPara>
    </w:p>
    <w:p w14:paraId="2BB328AE"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Where:</w:t>
      </w:r>
    </w:p>
    <w:p w14:paraId="132C598E" w14:textId="77777777" w:rsidR="009B7615" w:rsidRPr="009B7615" w:rsidRDefault="006E35DE"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 xml:space="preserve">denotes the dependent variable, rainfall, at time </w:t>
      </w:r>
      <m:oMath>
        <m:r>
          <w:rPr>
            <w:rFonts w:ascii="Cambria Math" w:eastAsiaTheme="minorEastAsia" w:hAnsi="Cambria Math" w:cs="Arial"/>
            <w:sz w:val="22"/>
            <w:szCs w:val="22"/>
          </w:rPr>
          <m:t>t</m:t>
        </m:r>
      </m:oMath>
    </w:p>
    <w:p w14:paraId="277454DC" w14:textId="77777777" w:rsidR="009B7615" w:rsidRPr="009B7615" w:rsidRDefault="006E35DE"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m,t</m:t>
            </m:r>
          </m:sub>
        </m:sSub>
      </m:oMath>
      <w:r w:rsidR="009B7615" w:rsidRPr="009B7615">
        <w:rPr>
          <w:rFonts w:ascii="Arial" w:eastAsiaTheme="minorEastAsia" w:hAnsi="Arial" w:cs="Arial"/>
          <w:sz w:val="22"/>
          <w:szCs w:val="22"/>
        </w:rPr>
        <w:t>represents the exogenous regressors included in the model, specifically:</w:t>
      </w:r>
      <w:r w:rsidR="009B7615" w:rsidRPr="009B7615">
        <w:rPr>
          <w:rFonts w:ascii="Arial" w:eastAsiaTheme="minorEastAsia" w:hAnsi="Arial" w:cs="Arial"/>
          <w:sz w:val="22"/>
          <w:szCs w:val="22"/>
        </w:rPr>
        <w:br/>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1,t</m:t>
            </m:r>
          </m:sub>
        </m:sSub>
      </m:oMath>
      <w:r w:rsidR="009B7615" w:rsidRPr="009B7615">
        <w:rPr>
          <w:rFonts w:ascii="Arial" w:eastAsiaTheme="minorEastAsia" w:hAnsi="Arial" w:cs="Arial"/>
          <w:sz w:val="22"/>
          <w:szCs w:val="22"/>
        </w:rPr>
        <w:t>:Temperature,</w:t>
      </w:r>
      <w:r w:rsidR="009B7615" w:rsidRPr="009B7615">
        <w:rPr>
          <w:rFonts w:ascii="Arial" w:eastAsiaTheme="minorEastAsia" w:hAnsi="Arial" w:cs="Arial"/>
          <w:sz w:val="22"/>
          <w:szCs w:val="22"/>
        </w:rPr>
        <w:br/>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2,t</m:t>
            </m:r>
          </m:sub>
        </m:sSub>
      </m:oMath>
      <w:r w:rsidR="009B7615" w:rsidRPr="009B7615">
        <w:rPr>
          <w:rFonts w:ascii="Arial" w:eastAsiaTheme="minorEastAsia" w:hAnsi="Arial" w:cs="Arial"/>
          <w:sz w:val="22"/>
          <w:szCs w:val="22"/>
        </w:rPr>
        <w:t>: Climate Index</w:t>
      </w:r>
    </w:p>
    <w:p w14:paraId="34E83F35" w14:textId="77777777" w:rsidR="009B7615" w:rsidRPr="009B7615" w:rsidRDefault="006E35DE"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ϕ</m:t>
            </m:r>
          </m:e>
          <m:sub>
            <m:r>
              <w:rPr>
                <w:rFonts w:ascii="Cambria Math" w:eastAsiaTheme="minorEastAsia" w:hAnsi="Cambria Math" w:cs="Arial"/>
                <w:sz w:val="22"/>
                <w:szCs w:val="22"/>
              </w:rPr>
              <m:t>i</m:t>
            </m:r>
          </m:sub>
        </m:sSub>
      </m:oMath>
      <w:r w:rsidR="009B7615" w:rsidRPr="009B7615">
        <w:rPr>
          <w:rFonts w:ascii="Arial" w:eastAsiaTheme="minorEastAsia" w:hAnsi="Arial" w:cs="Arial"/>
          <w:sz w:val="22"/>
          <w:szCs w:val="22"/>
        </w:rPr>
        <w:t xml:space="preserve">are the autoregressive parameters of order </w:t>
      </w:r>
      <m:oMath>
        <m:r>
          <w:rPr>
            <w:rFonts w:ascii="Cambria Math" w:eastAsiaTheme="minorEastAsia" w:hAnsi="Cambria Math" w:cs="Arial"/>
            <w:sz w:val="22"/>
            <w:szCs w:val="22"/>
          </w:rPr>
          <m:t>p</m:t>
        </m:r>
      </m:oMath>
    </w:p>
    <w:p w14:paraId="4CCDB270" w14:textId="77777777" w:rsidR="009B7615" w:rsidRPr="009B7615" w:rsidRDefault="006E35DE"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oMath>
      <w:r w:rsidR="009B7615" w:rsidRPr="009B7615">
        <w:rPr>
          <w:rFonts w:ascii="Arial" w:eastAsiaTheme="minorEastAsia" w:hAnsi="Arial" w:cs="Arial"/>
          <w:sz w:val="22"/>
          <w:szCs w:val="22"/>
        </w:rPr>
        <w:t xml:space="preserve">are the moving average parameters of order </w:t>
      </w:r>
      <m:oMath>
        <m:r>
          <w:rPr>
            <w:rFonts w:ascii="Cambria Math" w:eastAsiaTheme="minorEastAsia" w:hAnsi="Cambria Math" w:cs="Arial"/>
            <w:sz w:val="22"/>
            <w:szCs w:val="22"/>
          </w:rPr>
          <m:t>q</m:t>
        </m:r>
      </m:oMath>
    </w:p>
    <w:p w14:paraId="0A4358E5" w14:textId="09BA1CC4" w:rsidR="009B7615" w:rsidRPr="009B7615" w:rsidRDefault="009B7615" w:rsidP="009B7615">
      <w:pPr>
        <w:numPr>
          <w:ilvl w:val="0"/>
          <w:numId w:val="31"/>
        </w:numPr>
        <w:spacing w:after="160" w:line="480" w:lineRule="auto"/>
        <w:jc w:val="both"/>
        <w:rPr>
          <w:rFonts w:ascii="Arial" w:eastAsiaTheme="minorEastAsia" w:hAnsi="Arial" w:cs="Arial"/>
          <w:sz w:val="22"/>
          <w:szCs w:val="22"/>
        </w:rPr>
      </w:pPr>
      <m:oMath>
        <m:r>
          <w:rPr>
            <w:rFonts w:ascii="Cambria Math" w:eastAsiaTheme="minorEastAsia" w:hAnsi="Cambria Math" w:cs="Arial"/>
            <w:sz w:val="22"/>
            <w:szCs w:val="22"/>
          </w:rPr>
          <m:t>p,d,q</m:t>
        </m:r>
      </m:oMath>
      <w:r w:rsidRPr="009B7615">
        <w:rPr>
          <w:rFonts w:ascii="Arial" w:eastAsiaTheme="minorEastAsia" w:hAnsi="Arial" w:cs="Arial"/>
          <w:sz w:val="22"/>
          <w:szCs w:val="22"/>
        </w:rPr>
        <w:t>represent the autoregressive order, the differencing order, and the moving average order</w:t>
      </w:r>
      <w:r w:rsidR="004B5F73">
        <w:rPr>
          <w:rFonts w:ascii="Arial" w:eastAsiaTheme="minorEastAsia" w:hAnsi="Arial" w:cs="Arial"/>
          <w:sz w:val="22"/>
          <w:szCs w:val="22"/>
        </w:rPr>
        <w:t>,</w:t>
      </w:r>
      <w:r w:rsidRPr="009B7615">
        <w:rPr>
          <w:rFonts w:ascii="Arial" w:eastAsiaTheme="minorEastAsia" w:hAnsi="Arial" w:cs="Arial"/>
          <w:sz w:val="22"/>
          <w:szCs w:val="22"/>
        </w:rPr>
        <w:t xml:space="preserve"> respectively</w:t>
      </w:r>
    </w:p>
    <w:p w14:paraId="54B5F360" w14:textId="77777777" w:rsidR="009B7615" w:rsidRPr="009B7615" w:rsidRDefault="006E35DE"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m</m:t>
            </m:r>
          </m:sub>
        </m:sSub>
      </m:oMath>
      <w:r w:rsidR="009B7615" w:rsidRPr="009B7615">
        <w:rPr>
          <w:rFonts w:ascii="Arial" w:eastAsiaTheme="minorEastAsia" w:hAnsi="Arial" w:cs="Arial"/>
          <w:sz w:val="22"/>
          <w:szCs w:val="22"/>
        </w:rPr>
        <w:t xml:space="preserve">are the coefficients of the exogenous variables </w:t>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m,t</m:t>
            </m:r>
          </m:sub>
        </m:sSub>
      </m:oMath>
    </w:p>
    <w:p w14:paraId="63468DD4" w14:textId="77777777" w:rsidR="009B7615" w:rsidRPr="009B7615" w:rsidRDefault="006E35DE"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denotes the random error term, assumed to follow a white noise process</w:t>
      </w:r>
    </w:p>
    <w:p w14:paraId="24BBE3B2"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Model parameters were estimated by optimizing the likelihood function, which ensured minimum residual variance and improved forecast performance. The final ARIMAX models were evaluated through forecast accuracy measures and residual diagnostics to verify adequacy and stability.</w:t>
      </w:r>
    </w:p>
    <w:p w14:paraId="571AE9CC" w14:textId="7F69BBF2" w:rsidR="009B7615" w:rsidRPr="009B7615" w:rsidRDefault="009B7615" w:rsidP="009B7615">
      <w:pPr>
        <w:keepNext/>
        <w:keepLines/>
        <w:spacing w:before="160" w:after="80" w:line="480" w:lineRule="auto"/>
        <w:jc w:val="both"/>
        <w:outlineLvl w:val="1"/>
        <w:rPr>
          <w:rFonts w:ascii="Arial" w:eastAsiaTheme="majorEastAsia" w:hAnsi="Arial" w:cs="Arial"/>
          <w:b/>
          <w:bCs/>
          <w:sz w:val="22"/>
          <w:szCs w:val="22"/>
        </w:rPr>
      </w:pPr>
      <w:r w:rsidRPr="009B7615">
        <w:rPr>
          <w:rFonts w:ascii="Arial" w:eastAsiaTheme="majorEastAsia" w:hAnsi="Arial" w:cs="Arial"/>
          <w:b/>
          <w:bCs/>
          <w:sz w:val="22"/>
          <w:szCs w:val="22"/>
        </w:rPr>
        <w:t>2.</w:t>
      </w:r>
      <w:r w:rsidR="00C55C96">
        <w:rPr>
          <w:rFonts w:ascii="Arial" w:eastAsiaTheme="majorEastAsia" w:hAnsi="Arial" w:cs="Arial"/>
          <w:b/>
          <w:bCs/>
          <w:sz w:val="22"/>
          <w:szCs w:val="22"/>
        </w:rPr>
        <w:t>6</w:t>
      </w:r>
      <w:r w:rsidRPr="009B7615">
        <w:rPr>
          <w:rFonts w:ascii="Arial" w:eastAsiaTheme="majorEastAsia" w:hAnsi="Arial" w:cs="Arial"/>
          <w:b/>
          <w:bCs/>
          <w:sz w:val="22"/>
          <w:szCs w:val="22"/>
        </w:rPr>
        <w:t xml:space="preserve"> Information Criteria </w:t>
      </w:r>
    </w:p>
    <w:p w14:paraId="3E88118C" w14:textId="682FFE10"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The criteria used to select the most suitable model out of a group of proposed models </w:t>
      </w:r>
      <w:r w:rsidR="004B5F73">
        <w:rPr>
          <w:rFonts w:ascii="Arial" w:hAnsi="Arial" w:cs="Arial"/>
          <w:sz w:val="22"/>
          <w:szCs w:val="22"/>
        </w:rPr>
        <w:t>are</w:t>
      </w:r>
      <w:r w:rsidRPr="009B7615">
        <w:rPr>
          <w:rFonts w:ascii="Arial" w:hAnsi="Arial" w:cs="Arial"/>
          <w:sz w:val="22"/>
          <w:szCs w:val="22"/>
        </w:rPr>
        <w:t xml:space="preserve"> as follows</w:t>
      </w:r>
      <w:r w:rsidR="004B5F73">
        <w:rPr>
          <w:rFonts w:ascii="Arial" w:hAnsi="Arial" w:cs="Arial"/>
          <w:sz w:val="22"/>
          <w:szCs w:val="22"/>
        </w:rPr>
        <w:t>:</w:t>
      </w:r>
      <w:r w:rsidRPr="009B7615">
        <w:rPr>
          <w:rFonts w:ascii="Arial" w:hAnsi="Arial" w:cs="Arial"/>
          <w:sz w:val="22"/>
          <w:szCs w:val="22"/>
        </w:rPr>
        <w:t xml:space="preserve"> a model that resulted in the lowest value is considered the optimum. Akaike Information Criterion (AIC) is based on the maximum likelihood estimation. Practically, a set of candidate ARMA models </w:t>
      </w:r>
      <w:r w:rsidR="004B5F73">
        <w:rPr>
          <w:rFonts w:ascii="Arial" w:hAnsi="Arial" w:cs="Arial"/>
          <w:sz w:val="22"/>
          <w:szCs w:val="22"/>
        </w:rPr>
        <w:t>is</w:t>
      </w:r>
      <w:r w:rsidRPr="009B7615">
        <w:rPr>
          <w:rFonts w:ascii="Arial" w:hAnsi="Arial" w:cs="Arial"/>
          <w:sz w:val="22"/>
          <w:szCs w:val="22"/>
        </w:rPr>
        <w:t xml:space="preserve"> fit under this method</w:t>
      </w:r>
      <w:r w:rsidR="004B5F73">
        <w:rPr>
          <w:rFonts w:ascii="Arial" w:hAnsi="Arial" w:cs="Arial"/>
          <w:sz w:val="22"/>
          <w:szCs w:val="22"/>
        </w:rPr>
        <w:t>,</w:t>
      </w:r>
      <w:r w:rsidRPr="009B7615">
        <w:rPr>
          <w:rFonts w:ascii="Arial" w:hAnsi="Arial" w:cs="Arial"/>
          <w:sz w:val="22"/>
          <w:szCs w:val="22"/>
        </w:rPr>
        <w:t xml:space="preserve"> and in the case of each model</w:t>
      </w:r>
      <w:r w:rsidR="004B5F73">
        <w:rPr>
          <w:rFonts w:ascii="Arial" w:hAnsi="Arial" w:cs="Arial"/>
          <w:sz w:val="22"/>
          <w:szCs w:val="22"/>
        </w:rPr>
        <w:t>,</w:t>
      </w:r>
      <w:r w:rsidRPr="009B7615">
        <w:rPr>
          <w:rFonts w:ascii="Arial" w:hAnsi="Arial" w:cs="Arial"/>
          <w:sz w:val="22"/>
          <w:szCs w:val="22"/>
        </w:rPr>
        <w:t xml:space="preserve"> the AIC is calculated in the form: </w:t>
      </w:r>
      <m:oMath>
        <m:r>
          <w:rPr>
            <w:rFonts w:ascii="Cambria Math" w:hAnsi="Cambria Math" w:cs="Arial"/>
            <w:sz w:val="22"/>
            <w:szCs w:val="22"/>
          </w:rPr>
          <m:t>AIC</m:t>
        </m:r>
        <m:d>
          <m:dPr>
            <m:ctrlPr>
              <w:rPr>
                <w:rFonts w:ascii="Cambria Math" w:hAnsi="Cambria Math" w:cs="Arial"/>
                <w:i/>
                <w:sz w:val="22"/>
                <w:szCs w:val="22"/>
              </w:rPr>
            </m:ctrlPr>
          </m:dPr>
          <m:e>
            <m:r>
              <w:rPr>
                <w:rFonts w:ascii="Cambria Math" w:hAnsi="Cambria Math" w:cs="Arial"/>
                <w:sz w:val="22"/>
                <w:szCs w:val="22"/>
              </w:rPr>
              <m:t>p,q</m:t>
            </m:r>
          </m:e>
        </m:d>
        <m:r>
          <w:rPr>
            <w:rFonts w:ascii="Cambria Math" w:hAnsi="Cambria Math" w:cs="Arial"/>
            <w:sz w:val="22"/>
            <w:szCs w:val="22"/>
          </w:rPr>
          <m:t>=ln</m:t>
        </m:r>
        <m:d>
          <m:dPr>
            <m:ctrlPr>
              <w:rPr>
                <w:rFonts w:ascii="Cambria Math" w:hAnsi="Cambria Math" w:cs="Arial"/>
                <w:i/>
                <w:sz w:val="22"/>
                <w:szCs w:val="22"/>
              </w:rPr>
            </m:ctrlPr>
          </m:dPr>
          <m:e>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e>
        </m:d>
        <m:r>
          <w:rPr>
            <w:rFonts w:ascii="Cambria Math" w:hAnsi="Cambria Math" w:cs="Arial"/>
            <w:sz w:val="22"/>
            <w:szCs w:val="22"/>
          </w:rPr>
          <m:t>+r</m:t>
        </m:r>
        <m:f>
          <m:fPr>
            <m:ctrlPr>
              <w:rPr>
                <w:rFonts w:ascii="Cambria Math" w:hAnsi="Cambria Math" w:cs="Arial"/>
                <w:i/>
                <w:sz w:val="22"/>
                <w:szCs w:val="22"/>
              </w:rPr>
            </m:ctrlPr>
          </m:fPr>
          <m:num>
            <m:r>
              <w:rPr>
                <w:rFonts w:ascii="Cambria Math" w:hAnsi="Cambria Math" w:cs="Arial"/>
                <w:sz w:val="22"/>
                <w:szCs w:val="22"/>
              </w:rPr>
              <m:t>2</m:t>
            </m:r>
          </m:num>
          <m:den>
            <m:r>
              <w:rPr>
                <w:rFonts w:ascii="Cambria Math" w:hAnsi="Cambria Math" w:cs="Arial"/>
                <w:sz w:val="22"/>
                <w:szCs w:val="22"/>
              </w:rPr>
              <m:t>n</m:t>
            </m:r>
          </m:den>
        </m:f>
        <m:r>
          <w:rPr>
            <w:rFonts w:ascii="Cambria Math" w:hAnsi="Cambria Math" w:cs="Arial"/>
            <w:sz w:val="22"/>
            <w:szCs w:val="22"/>
          </w:rPr>
          <m:t xml:space="preserve">+constant                                            </m:t>
        </m:r>
      </m:oMath>
      <w:r w:rsidRPr="009B7615">
        <w:rPr>
          <w:rFonts w:ascii="Arial" w:hAnsi="Arial" w:cs="Arial"/>
          <w:sz w:val="22"/>
          <w:szCs w:val="22"/>
        </w:rPr>
        <w:t xml:space="preserve">                                                         </w:t>
      </w:r>
    </w:p>
    <w:p w14:paraId="05160AEB"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Where n is the observation count in the historical series data, </w:t>
      </w: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oMath>
      <w:r w:rsidRPr="009B7615">
        <w:rPr>
          <w:rFonts w:ascii="Arial" w:hAnsi="Arial" w:cs="Arial"/>
          <w:sz w:val="22"/>
          <w:szCs w:val="22"/>
        </w:rPr>
        <w:t xml:space="preserve"> is the maximum likelihood estimate of </w:t>
      </w: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oMath>
      <w:r w:rsidRPr="009B7615">
        <w:rPr>
          <w:rFonts w:ascii="Arial" w:hAnsi="Arial" w:cs="Arial"/>
          <w:sz w:val="22"/>
          <w:szCs w:val="22"/>
        </w:rPr>
        <w:t xml:space="preserve">, and </w:t>
      </w:r>
      <m:oMath>
        <m:r>
          <w:rPr>
            <w:rFonts w:ascii="Cambria Math" w:hAnsi="Cambria Math" w:cs="Arial"/>
            <w:sz w:val="22"/>
            <w:szCs w:val="22"/>
          </w:rPr>
          <m:t>r=p+q+</m:t>
        </m:r>
      </m:oMath>
      <w:r w:rsidRPr="009B7615">
        <w:rPr>
          <w:rFonts w:ascii="Arial" w:hAnsi="Arial" w:cs="Arial"/>
          <w:sz w:val="22"/>
          <w:szCs w:val="22"/>
        </w:rPr>
        <w:t>1 is the parameter estimated in the model. If there are two or more competing models, then the model with the lowest AIC value will be selected.</w:t>
      </w:r>
    </w:p>
    <w:p w14:paraId="2F2E2EAD" w14:textId="77777777" w:rsidR="00790ADA" w:rsidRPr="00FB3A86" w:rsidRDefault="00790ADA" w:rsidP="00441B6F">
      <w:pPr>
        <w:pStyle w:val="Body"/>
        <w:spacing w:after="0"/>
        <w:rPr>
          <w:rFonts w:ascii="Arial" w:hAnsi="Arial" w:cs="Arial"/>
        </w:rPr>
      </w:pPr>
    </w:p>
    <w:p w14:paraId="19C1714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6D41888" w14:textId="4D885EBC"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Summary statistics for Year, Average Temperature, Annual Rainfall, and Climate Index from 200</w:t>
      </w:r>
      <w:r w:rsidR="004423A5">
        <w:rPr>
          <w:rFonts w:ascii="Arial" w:eastAsiaTheme="minorEastAsia" w:hAnsi="Arial" w:cs="Arial"/>
          <w:b/>
          <w:bCs/>
          <w:sz w:val="22"/>
          <w:szCs w:val="22"/>
        </w:rPr>
        <w:t>0</w:t>
      </w:r>
      <w:r w:rsidRPr="009C1AAD">
        <w:rPr>
          <w:rFonts w:ascii="Arial" w:eastAsiaTheme="minorEastAsia" w:hAnsi="Arial" w:cs="Arial"/>
          <w:b/>
          <w:bCs/>
          <w:sz w:val="22"/>
          <w:szCs w:val="22"/>
        </w:rPr>
        <w:t xml:space="preserve"> to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gridCol w:w="915"/>
        <w:gridCol w:w="1966"/>
        <w:gridCol w:w="2279"/>
        <w:gridCol w:w="2109"/>
      </w:tblGrid>
      <w:tr w:rsidR="009C1AAD" w:rsidRPr="009C1AAD" w14:paraId="579A64FF" w14:textId="77777777" w:rsidTr="00DB522D">
        <w:trPr>
          <w:tblHeader/>
          <w:tblCellSpacing w:w="15" w:type="dxa"/>
        </w:trPr>
        <w:tc>
          <w:tcPr>
            <w:tcW w:w="0" w:type="auto"/>
            <w:tcBorders>
              <w:top w:val="single" w:sz="4" w:space="0" w:color="auto"/>
            </w:tcBorders>
            <w:vAlign w:val="center"/>
            <w:hideMark/>
          </w:tcPr>
          <w:p w14:paraId="31BDE1CA"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Statistic</w:t>
            </w:r>
          </w:p>
        </w:tc>
        <w:tc>
          <w:tcPr>
            <w:tcW w:w="953" w:type="dxa"/>
            <w:tcBorders>
              <w:top w:val="single" w:sz="4" w:space="0" w:color="auto"/>
            </w:tcBorders>
            <w:vAlign w:val="center"/>
            <w:hideMark/>
          </w:tcPr>
          <w:p w14:paraId="5C8BC7B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Year</w:t>
            </w:r>
          </w:p>
        </w:tc>
        <w:tc>
          <w:tcPr>
            <w:tcW w:w="2130" w:type="dxa"/>
            <w:tcBorders>
              <w:top w:val="single" w:sz="4" w:space="0" w:color="auto"/>
            </w:tcBorders>
            <w:vAlign w:val="center"/>
            <w:hideMark/>
          </w:tcPr>
          <w:p w14:paraId="7978ABD0"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Average Temp (°C)</w:t>
            </w:r>
          </w:p>
        </w:tc>
        <w:tc>
          <w:tcPr>
            <w:tcW w:w="2515" w:type="dxa"/>
            <w:tcBorders>
              <w:top w:val="single" w:sz="4" w:space="0" w:color="auto"/>
            </w:tcBorders>
            <w:vAlign w:val="center"/>
            <w:hideMark/>
          </w:tcPr>
          <w:p w14:paraId="2564349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Annual Rainfall (mm)</w:t>
            </w:r>
          </w:p>
        </w:tc>
        <w:tc>
          <w:tcPr>
            <w:tcW w:w="2295" w:type="dxa"/>
            <w:tcBorders>
              <w:top w:val="single" w:sz="4" w:space="0" w:color="auto"/>
            </w:tcBorders>
            <w:vAlign w:val="center"/>
            <w:hideMark/>
          </w:tcPr>
          <w:p w14:paraId="1042393C"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Climate </w:t>
            </w:r>
          </w:p>
        </w:tc>
      </w:tr>
      <w:tr w:rsidR="009C1AAD" w:rsidRPr="009C1AAD" w14:paraId="59438C58" w14:textId="77777777" w:rsidTr="00DB522D">
        <w:trPr>
          <w:tblCellSpacing w:w="15" w:type="dxa"/>
        </w:trPr>
        <w:tc>
          <w:tcPr>
            <w:tcW w:w="0" w:type="auto"/>
            <w:tcBorders>
              <w:top w:val="single" w:sz="4" w:space="0" w:color="auto"/>
            </w:tcBorders>
            <w:vAlign w:val="center"/>
            <w:hideMark/>
          </w:tcPr>
          <w:p w14:paraId="59217F4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Minimum</w:t>
            </w:r>
          </w:p>
        </w:tc>
        <w:tc>
          <w:tcPr>
            <w:tcW w:w="953" w:type="dxa"/>
            <w:tcBorders>
              <w:top w:val="single" w:sz="4" w:space="0" w:color="auto"/>
            </w:tcBorders>
            <w:vAlign w:val="center"/>
            <w:hideMark/>
          </w:tcPr>
          <w:p w14:paraId="751D7FB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2001</w:t>
            </w:r>
          </w:p>
        </w:tc>
        <w:tc>
          <w:tcPr>
            <w:tcW w:w="2130" w:type="dxa"/>
            <w:tcBorders>
              <w:top w:val="single" w:sz="4" w:space="0" w:color="auto"/>
            </w:tcBorders>
            <w:vAlign w:val="center"/>
            <w:hideMark/>
          </w:tcPr>
          <w:p w14:paraId="07B8978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28.20</w:t>
            </w:r>
          </w:p>
        </w:tc>
        <w:tc>
          <w:tcPr>
            <w:tcW w:w="2515" w:type="dxa"/>
            <w:tcBorders>
              <w:top w:val="single" w:sz="4" w:space="0" w:color="auto"/>
            </w:tcBorders>
            <w:vAlign w:val="center"/>
            <w:hideMark/>
          </w:tcPr>
          <w:p w14:paraId="4F99AAA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35.20</w:t>
            </w:r>
          </w:p>
        </w:tc>
        <w:tc>
          <w:tcPr>
            <w:tcW w:w="2295" w:type="dxa"/>
            <w:tcBorders>
              <w:top w:val="single" w:sz="4" w:space="0" w:color="auto"/>
            </w:tcBorders>
            <w:vAlign w:val="center"/>
            <w:hideMark/>
          </w:tcPr>
          <w:p w14:paraId="55347A4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60.00</w:t>
            </w:r>
          </w:p>
        </w:tc>
      </w:tr>
      <w:tr w:rsidR="009C1AAD" w:rsidRPr="009C1AAD" w14:paraId="3485E45D" w14:textId="77777777" w:rsidTr="00DB522D">
        <w:trPr>
          <w:tblCellSpacing w:w="15" w:type="dxa"/>
        </w:trPr>
        <w:tc>
          <w:tcPr>
            <w:tcW w:w="0" w:type="auto"/>
            <w:vAlign w:val="center"/>
            <w:hideMark/>
          </w:tcPr>
          <w:p w14:paraId="0F6BFFA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1st Quartile</w:t>
            </w:r>
          </w:p>
        </w:tc>
        <w:tc>
          <w:tcPr>
            <w:tcW w:w="953" w:type="dxa"/>
            <w:vAlign w:val="center"/>
            <w:hideMark/>
          </w:tcPr>
          <w:p w14:paraId="3D3BBB4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2007</w:t>
            </w:r>
          </w:p>
        </w:tc>
        <w:tc>
          <w:tcPr>
            <w:tcW w:w="2130" w:type="dxa"/>
            <w:vAlign w:val="center"/>
            <w:hideMark/>
          </w:tcPr>
          <w:p w14:paraId="378B83A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28.57</w:t>
            </w:r>
          </w:p>
        </w:tc>
        <w:tc>
          <w:tcPr>
            <w:tcW w:w="2515" w:type="dxa"/>
            <w:vAlign w:val="center"/>
            <w:hideMark/>
          </w:tcPr>
          <w:p w14:paraId="7E47869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38.75</w:t>
            </w:r>
          </w:p>
        </w:tc>
        <w:tc>
          <w:tcPr>
            <w:tcW w:w="2295" w:type="dxa"/>
            <w:vAlign w:val="center"/>
            <w:hideMark/>
          </w:tcPr>
          <w:p w14:paraId="1903740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60.58</w:t>
            </w:r>
          </w:p>
        </w:tc>
      </w:tr>
      <w:tr w:rsidR="009C1AAD" w:rsidRPr="009C1AAD" w14:paraId="684E2DAB" w14:textId="77777777" w:rsidTr="00DB522D">
        <w:trPr>
          <w:tblCellSpacing w:w="15" w:type="dxa"/>
        </w:trPr>
        <w:tc>
          <w:tcPr>
            <w:tcW w:w="0" w:type="auto"/>
            <w:vAlign w:val="center"/>
            <w:hideMark/>
          </w:tcPr>
          <w:p w14:paraId="0F969EC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Median</w:t>
            </w:r>
          </w:p>
        </w:tc>
        <w:tc>
          <w:tcPr>
            <w:tcW w:w="953" w:type="dxa"/>
            <w:vAlign w:val="center"/>
            <w:hideMark/>
          </w:tcPr>
          <w:p w14:paraId="2054F2D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2012</w:t>
            </w:r>
          </w:p>
        </w:tc>
        <w:tc>
          <w:tcPr>
            <w:tcW w:w="2130" w:type="dxa"/>
            <w:vAlign w:val="center"/>
            <w:hideMark/>
          </w:tcPr>
          <w:p w14:paraId="75F5A3D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28.85</w:t>
            </w:r>
          </w:p>
        </w:tc>
        <w:tc>
          <w:tcPr>
            <w:tcW w:w="2515" w:type="dxa"/>
            <w:vAlign w:val="center"/>
            <w:hideMark/>
          </w:tcPr>
          <w:p w14:paraId="6B9C02C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41.50</w:t>
            </w:r>
          </w:p>
        </w:tc>
        <w:tc>
          <w:tcPr>
            <w:tcW w:w="2295" w:type="dxa"/>
            <w:vAlign w:val="center"/>
            <w:hideMark/>
          </w:tcPr>
          <w:p w14:paraId="5B22FCE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61.15</w:t>
            </w:r>
          </w:p>
        </w:tc>
      </w:tr>
      <w:tr w:rsidR="009C1AAD" w:rsidRPr="009C1AAD" w14:paraId="147B4C30" w14:textId="77777777" w:rsidTr="00DB522D">
        <w:trPr>
          <w:tblCellSpacing w:w="15" w:type="dxa"/>
        </w:trPr>
        <w:tc>
          <w:tcPr>
            <w:tcW w:w="0" w:type="auto"/>
            <w:vAlign w:val="center"/>
            <w:hideMark/>
          </w:tcPr>
          <w:p w14:paraId="1A3AF8F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Mean</w:t>
            </w:r>
          </w:p>
        </w:tc>
        <w:tc>
          <w:tcPr>
            <w:tcW w:w="953" w:type="dxa"/>
            <w:vAlign w:val="center"/>
            <w:hideMark/>
          </w:tcPr>
          <w:p w14:paraId="636D577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2012</w:t>
            </w:r>
          </w:p>
        </w:tc>
        <w:tc>
          <w:tcPr>
            <w:tcW w:w="2130" w:type="dxa"/>
            <w:vAlign w:val="center"/>
            <w:hideMark/>
          </w:tcPr>
          <w:p w14:paraId="74C1849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28.85</w:t>
            </w:r>
          </w:p>
        </w:tc>
        <w:tc>
          <w:tcPr>
            <w:tcW w:w="2515" w:type="dxa"/>
            <w:vAlign w:val="center"/>
            <w:hideMark/>
          </w:tcPr>
          <w:p w14:paraId="3F08613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40.49</w:t>
            </w:r>
          </w:p>
        </w:tc>
        <w:tc>
          <w:tcPr>
            <w:tcW w:w="2295" w:type="dxa"/>
            <w:vAlign w:val="center"/>
            <w:hideMark/>
          </w:tcPr>
          <w:p w14:paraId="3F860BB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61.15</w:t>
            </w:r>
          </w:p>
        </w:tc>
      </w:tr>
      <w:tr w:rsidR="009C1AAD" w:rsidRPr="009C1AAD" w14:paraId="63646B6C" w14:textId="77777777" w:rsidTr="00DB522D">
        <w:trPr>
          <w:tblCellSpacing w:w="15" w:type="dxa"/>
        </w:trPr>
        <w:tc>
          <w:tcPr>
            <w:tcW w:w="0" w:type="auto"/>
            <w:vAlign w:val="center"/>
            <w:hideMark/>
          </w:tcPr>
          <w:p w14:paraId="59267A7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3rd Quartile</w:t>
            </w:r>
          </w:p>
        </w:tc>
        <w:tc>
          <w:tcPr>
            <w:tcW w:w="953" w:type="dxa"/>
            <w:vAlign w:val="center"/>
            <w:hideMark/>
          </w:tcPr>
          <w:p w14:paraId="34352DC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2018</w:t>
            </w:r>
          </w:p>
        </w:tc>
        <w:tc>
          <w:tcPr>
            <w:tcW w:w="2130" w:type="dxa"/>
            <w:vAlign w:val="center"/>
            <w:hideMark/>
          </w:tcPr>
          <w:p w14:paraId="772AF400"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29.12</w:t>
            </w:r>
          </w:p>
        </w:tc>
        <w:tc>
          <w:tcPr>
            <w:tcW w:w="2515" w:type="dxa"/>
            <w:vAlign w:val="center"/>
            <w:hideMark/>
          </w:tcPr>
          <w:p w14:paraId="45DF9EB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42.90</w:t>
            </w:r>
          </w:p>
        </w:tc>
        <w:tc>
          <w:tcPr>
            <w:tcW w:w="2295" w:type="dxa"/>
            <w:vAlign w:val="center"/>
            <w:hideMark/>
          </w:tcPr>
          <w:p w14:paraId="2ED95A2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61.73</w:t>
            </w:r>
          </w:p>
        </w:tc>
      </w:tr>
      <w:tr w:rsidR="009C1AAD" w:rsidRPr="009C1AAD" w14:paraId="17F2C759" w14:textId="77777777" w:rsidTr="00DB522D">
        <w:trPr>
          <w:tblCellSpacing w:w="15" w:type="dxa"/>
        </w:trPr>
        <w:tc>
          <w:tcPr>
            <w:tcW w:w="0" w:type="auto"/>
            <w:tcBorders>
              <w:bottom w:val="single" w:sz="4" w:space="0" w:color="auto"/>
            </w:tcBorders>
            <w:vAlign w:val="center"/>
            <w:hideMark/>
          </w:tcPr>
          <w:p w14:paraId="1E7A059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Maximum</w:t>
            </w:r>
          </w:p>
        </w:tc>
        <w:tc>
          <w:tcPr>
            <w:tcW w:w="953" w:type="dxa"/>
            <w:tcBorders>
              <w:bottom w:val="single" w:sz="4" w:space="0" w:color="auto"/>
            </w:tcBorders>
            <w:vAlign w:val="center"/>
            <w:hideMark/>
          </w:tcPr>
          <w:p w14:paraId="4A357F9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2024</w:t>
            </w:r>
          </w:p>
        </w:tc>
        <w:tc>
          <w:tcPr>
            <w:tcW w:w="2130" w:type="dxa"/>
            <w:tcBorders>
              <w:bottom w:val="single" w:sz="4" w:space="0" w:color="auto"/>
            </w:tcBorders>
            <w:vAlign w:val="center"/>
            <w:hideMark/>
          </w:tcPr>
          <w:p w14:paraId="016DC3B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29.40</w:t>
            </w:r>
          </w:p>
        </w:tc>
        <w:tc>
          <w:tcPr>
            <w:tcW w:w="2515" w:type="dxa"/>
            <w:tcBorders>
              <w:bottom w:val="single" w:sz="4" w:space="0" w:color="auto"/>
            </w:tcBorders>
            <w:vAlign w:val="center"/>
            <w:hideMark/>
          </w:tcPr>
          <w:p w14:paraId="6AFA0BD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42.90</w:t>
            </w:r>
          </w:p>
        </w:tc>
        <w:tc>
          <w:tcPr>
            <w:tcW w:w="2295" w:type="dxa"/>
            <w:tcBorders>
              <w:bottom w:val="single" w:sz="4" w:space="0" w:color="auto"/>
            </w:tcBorders>
            <w:vAlign w:val="center"/>
            <w:hideMark/>
          </w:tcPr>
          <w:p w14:paraId="15A5E29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62.30</w:t>
            </w:r>
          </w:p>
        </w:tc>
      </w:tr>
    </w:tbl>
    <w:p w14:paraId="57D66AE9" w14:textId="77777777" w:rsidR="009C1AAD" w:rsidRPr="009C1AAD" w:rsidRDefault="009C1AAD" w:rsidP="009C1AAD">
      <w:pPr>
        <w:spacing w:line="480" w:lineRule="auto"/>
        <w:jc w:val="both"/>
        <w:rPr>
          <w:rFonts w:ascii="Arial" w:eastAsiaTheme="minorEastAsia" w:hAnsi="Arial" w:cs="Arial"/>
          <w:sz w:val="22"/>
          <w:szCs w:val="22"/>
        </w:rPr>
      </w:pPr>
    </w:p>
    <w:p w14:paraId="57D054B8" w14:textId="71D3A29D"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summary statistics for the period 200</w:t>
      </w:r>
      <w:r w:rsidR="004423A5">
        <w:rPr>
          <w:rFonts w:ascii="Arial" w:eastAsiaTheme="minorEastAsia" w:hAnsi="Arial" w:cs="Arial"/>
          <w:sz w:val="22"/>
          <w:szCs w:val="22"/>
        </w:rPr>
        <w:t>0</w:t>
      </w:r>
      <w:r w:rsidRPr="009C1AAD">
        <w:rPr>
          <w:rFonts w:ascii="Arial" w:eastAsiaTheme="minorEastAsia" w:hAnsi="Arial" w:cs="Arial"/>
          <w:sz w:val="22"/>
          <w:szCs w:val="22"/>
        </w:rPr>
        <w:t xml:space="preserve">–2024 in </w:t>
      </w:r>
      <w:r w:rsidR="004B5F73">
        <w:rPr>
          <w:rFonts w:ascii="Arial" w:eastAsiaTheme="minorEastAsia" w:hAnsi="Arial" w:cs="Arial"/>
          <w:sz w:val="22"/>
          <w:szCs w:val="22"/>
        </w:rPr>
        <w:t>Table 1</w:t>
      </w:r>
      <w:r w:rsidRPr="009C1AAD">
        <w:rPr>
          <w:rFonts w:ascii="Arial" w:eastAsiaTheme="minorEastAsia" w:hAnsi="Arial" w:cs="Arial"/>
          <w:sz w:val="22"/>
          <w:szCs w:val="22"/>
        </w:rPr>
        <w:t xml:space="preserve"> indicate that the average annual temperature ranged from 28.20 °C to 29.40 °C, with a median and mean of 28.85 °C, suggesting a relatively stable temperature pattern over the period. Annual rainfall varied between 35.20 mm and 42.90 mm, with a mean of 40.49 mm and a median of 41.50 mm, indicating a slight positive skew in the distribution. The climate index ranged from 60.00 to 62.30, with both the mean and median at 61.15, suggesting moderate consistency in overall climatic conditions. The interquartile ranges for temperature (28.57–29.12 °C), rainfall (38.75–42.90 mm), and climate index (60.58–61.73) reflect moderate variability around the central tendency for each variable.</w:t>
      </w:r>
    </w:p>
    <w:p w14:paraId="6E4EFC25" w14:textId="3FD879DD" w:rsidR="009C1AAD" w:rsidRDefault="00E1214A" w:rsidP="009C1AAD">
      <w:pPr>
        <w:spacing w:line="480" w:lineRule="auto"/>
        <w:jc w:val="both"/>
        <w:rPr>
          <w:rFonts w:ascii="Arial" w:eastAsiaTheme="minorEastAsia" w:hAnsi="Arial" w:cs="Arial"/>
          <w:b/>
          <w:bCs/>
          <w:sz w:val="22"/>
          <w:szCs w:val="22"/>
        </w:rPr>
      </w:pPr>
      <w:r>
        <w:rPr>
          <w:rFonts w:ascii="Arial" w:eastAsiaTheme="minorEastAsia" w:hAnsi="Arial" w:cs="Arial"/>
          <w:b/>
          <w:bCs/>
          <w:noProof/>
          <w:sz w:val="22"/>
          <w:szCs w:val="22"/>
        </w:rPr>
        <w:lastRenderedPageBreak/>
        <w:drawing>
          <wp:inline distT="0" distB="0" distL="0" distR="0" wp14:anchorId="6C25439F" wp14:editId="4C8906D8">
            <wp:extent cx="5553075" cy="3362325"/>
            <wp:effectExtent l="0" t="0" r="0" b="0"/>
            <wp:docPr id="1418928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075" cy="3362325"/>
                    </a:xfrm>
                    <a:prstGeom prst="rect">
                      <a:avLst/>
                    </a:prstGeom>
                    <a:noFill/>
                  </pic:spPr>
                </pic:pic>
              </a:graphicData>
            </a:graphic>
          </wp:inline>
        </w:drawing>
      </w:r>
    </w:p>
    <w:p w14:paraId="2955BA81" w14:textId="700242B6" w:rsidR="00E1214A" w:rsidRDefault="00E1214A" w:rsidP="009C1AAD">
      <w:pPr>
        <w:spacing w:line="480" w:lineRule="auto"/>
        <w:jc w:val="both"/>
        <w:rPr>
          <w:rFonts w:ascii="Arial" w:eastAsiaTheme="minorEastAsia" w:hAnsi="Arial" w:cs="Arial"/>
          <w:b/>
          <w:bCs/>
          <w:sz w:val="22"/>
          <w:szCs w:val="22"/>
        </w:rPr>
      </w:pPr>
      <w:r>
        <w:rPr>
          <w:rFonts w:ascii="Arial" w:eastAsiaTheme="minorEastAsia" w:hAnsi="Arial" w:cs="Arial"/>
          <w:b/>
          <w:bCs/>
          <w:sz w:val="22"/>
          <w:szCs w:val="22"/>
        </w:rPr>
        <w:t>Figure 1: Seasonal Plot for Rainfall, Temperature and Climate</w:t>
      </w:r>
    </w:p>
    <w:p w14:paraId="7EB548D1" w14:textId="77777777" w:rsidR="00E1214A" w:rsidRPr="00E1214A" w:rsidRDefault="00E1214A" w:rsidP="009C1AAD">
      <w:pPr>
        <w:spacing w:line="480" w:lineRule="auto"/>
        <w:jc w:val="both"/>
        <w:rPr>
          <w:rFonts w:ascii="Arial" w:eastAsiaTheme="minorEastAsia" w:hAnsi="Arial" w:cs="Arial"/>
          <w:sz w:val="22"/>
          <w:szCs w:val="22"/>
        </w:rPr>
      </w:pPr>
    </w:p>
    <w:p w14:paraId="49CC14CF" w14:textId="375DC40C" w:rsidR="00E1214A" w:rsidRDefault="00E1214A" w:rsidP="009C1AAD">
      <w:pPr>
        <w:spacing w:line="480" w:lineRule="auto"/>
        <w:jc w:val="both"/>
        <w:rPr>
          <w:rFonts w:ascii="Arial" w:eastAsiaTheme="minorEastAsia" w:hAnsi="Arial" w:cs="Arial"/>
          <w:b/>
          <w:bCs/>
          <w:sz w:val="22"/>
          <w:szCs w:val="22"/>
        </w:rPr>
      </w:pPr>
      <w:r>
        <w:rPr>
          <w:rFonts w:ascii="Arial" w:eastAsiaTheme="minorEastAsia" w:hAnsi="Arial" w:cs="Arial"/>
          <w:b/>
          <w:bCs/>
          <w:noProof/>
          <w:sz w:val="22"/>
          <w:szCs w:val="22"/>
        </w:rPr>
        <w:drawing>
          <wp:inline distT="0" distB="0" distL="0" distR="0" wp14:anchorId="0DF03F52" wp14:editId="4F742FE2">
            <wp:extent cx="5553710" cy="3365500"/>
            <wp:effectExtent l="0" t="0" r="0" b="0"/>
            <wp:docPr id="346651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710" cy="3365500"/>
                    </a:xfrm>
                    <a:prstGeom prst="rect">
                      <a:avLst/>
                    </a:prstGeom>
                    <a:noFill/>
                  </pic:spPr>
                </pic:pic>
              </a:graphicData>
            </a:graphic>
          </wp:inline>
        </w:drawing>
      </w:r>
    </w:p>
    <w:p w14:paraId="3AD82758" w14:textId="69830034" w:rsidR="00E1214A" w:rsidRDefault="00FE1D4D" w:rsidP="009C1AAD">
      <w:pPr>
        <w:spacing w:line="480" w:lineRule="auto"/>
        <w:jc w:val="both"/>
        <w:rPr>
          <w:rFonts w:ascii="Arial" w:eastAsiaTheme="minorEastAsia" w:hAnsi="Arial" w:cs="Arial"/>
          <w:b/>
          <w:bCs/>
          <w:sz w:val="22"/>
          <w:szCs w:val="22"/>
        </w:rPr>
      </w:pPr>
      <w:r w:rsidRPr="00FE1D4D">
        <w:rPr>
          <w:rFonts w:ascii="Arial" w:eastAsiaTheme="minorEastAsia" w:hAnsi="Arial" w:cs="Arial"/>
          <w:b/>
          <w:bCs/>
          <w:sz w:val="22"/>
          <w:szCs w:val="22"/>
        </w:rPr>
        <w:t>Figure</w:t>
      </w:r>
      <w:r w:rsidR="00E1214A">
        <w:rPr>
          <w:rFonts w:ascii="Arial" w:eastAsiaTheme="minorEastAsia" w:hAnsi="Arial" w:cs="Arial"/>
          <w:b/>
          <w:bCs/>
          <w:sz w:val="22"/>
          <w:szCs w:val="22"/>
        </w:rPr>
        <w:t xml:space="preserve"> 2: ACF and PACF plot for Rainfall</w:t>
      </w:r>
    </w:p>
    <w:p w14:paraId="6403B492" w14:textId="77777777" w:rsidR="007E1677" w:rsidRDefault="007E1677" w:rsidP="009C1AAD">
      <w:pPr>
        <w:spacing w:line="480" w:lineRule="auto"/>
        <w:jc w:val="both"/>
        <w:rPr>
          <w:rFonts w:ascii="Arial" w:eastAsiaTheme="minorEastAsia" w:hAnsi="Arial" w:cs="Arial"/>
          <w:b/>
          <w:bCs/>
          <w:sz w:val="22"/>
          <w:szCs w:val="22"/>
        </w:rPr>
      </w:pPr>
    </w:p>
    <w:p w14:paraId="6352510C" w14:textId="73D5A689" w:rsidR="007E1677" w:rsidRDefault="007E1677" w:rsidP="009C1AAD">
      <w:pPr>
        <w:spacing w:line="480" w:lineRule="auto"/>
        <w:jc w:val="both"/>
        <w:rPr>
          <w:rFonts w:ascii="Arial" w:eastAsiaTheme="minorEastAsia" w:hAnsi="Arial" w:cs="Arial"/>
          <w:b/>
          <w:bCs/>
          <w:sz w:val="22"/>
          <w:szCs w:val="22"/>
        </w:rPr>
      </w:pPr>
      <w:r>
        <w:rPr>
          <w:rFonts w:ascii="Arial" w:eastAsiaTheme="minorEastAsia" w:hAnsi="Arial" w:cs="Arial"/>
          <w:b/>
          <w:bCs/>
          <w:noProof/>
          <w:sz w:val="22"/>
          <w:szCs w:val="22"/>
        </w:rPr>
        <w:drawing>
          <wp:inline distT="0" distB="0" distL="0" distR="0" wp14:anchorId="531E78CB" wp14:editId="38FA6725">
            <wp:extent cx="5553710" cy="2800350"/>
            <wp:effectExtent l="0" t="0" r="0" b="0"/>
            <wp:docPr id="20260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710" cy="2800350"/>
                    </a:xfrm>
                    <a:prstGeom prst="rect">
                      <a:avLst/>
                    </a:prstGeom>
                    <a:noFill/>
                  </pic:spPr>
                </pic:pic>
              </a:graphicData>
            </a:graphic>
          </wp:inline>
        </w:drawing>
      </w:r>
      <w:r w:rsidR="00233D8B">
        <w:rPr>
          <w:rFonts w:ascii="Arial" w:eastAsiaTheme="minorEastAsia" w:hAnsi="Arial" w:cs="Arial"/>
          <w:b/>
          <w:bCs/>
          <w:sz w:val="22"/>
          <w:szCs w:val="22"/>
        </w:rPr>
        <w:t>Figure</w:t>
      </w:r>
      <w:r>
        <w:rPr>
          <w:rFonts w:ascii="Arial" w:eastAsiaTheme="minorEastAsia" w:hAnsi="Arial" w:cs="Arial"/>
          <w:b/>
          <w:bCs/>
          <w:sz w:val="22"/>
          <w:szCs w:val="22"/>
        </w:rPr>
        <w:t xml:space="preserve"> 3: </w:t>
      </w:r>
      <w:r w:rsidRPr="007E1677">
        <w:rPr>
          <w:rFonts w:ascii="Arial" w:eastAsiaTheme="minorEastAsia" w:hAnsi="Arial" w:cs="Arial"/>
          <w:b/>
          <w:bCs/>
          <w:sz w:val="22"/>
          <w:szCs w:val="22"/>
        </w:rPr>
        <w:t>Detrended Climate Index Residual Plot</w:t>
      </w:r>
    </w:p>
    <w:p w14:paraId="3D208125" w14:textId="77777777" w:rsidR="00E1214A" w:rsidRPr="009C1AAD" w:rsidRDefault="00E1214A" w:rsidP="009C1AAD">
      <w:pPr>
        <w:spacing w:line="480" w:lineRule="auto"/>
        <w:jc w:val="both"/>
        <w:rPr>
          <w:rFonts w:ascii="Arial" w:eastAsiaTheme="minorEastAsia" w:hAnsi="Arial" w:cs="Arial"/>
          <w:b/>
          <w:bCs/>
          <w:sz w:val="22"/>
          <w:szCs w:val="22"/>
        </w:rPr>
      </w:pPr>
    </w:p>
    <w:p w14:paraId="672C0775"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2:</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Augmented Dickey-Fuller test for stationarity of the temperature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1430"/>
        <w:gridCol w:w="1112"/>
        <w:gridCol w:w="831"/>
        <w:gridCol w:w="1273"/>
      </w:tblGrid>
      <w:tr w:rsidR="009C1AAD" w:rsidRPr="009C1AAD" w14:paraId="45F488E7" w14:textId="77777777" w:rsidTr="00DB522D">
        <w:trPr>
          <w:tblHeader/>
          <w:tblCellSpacing w:w="15" w:type="dxa"/>
        </w:trPr>
        <w:tc>
          <w:tcPr>
            <w:tcW w:w="0" w:type="auto"/>
            <w:tcBorders>
              <w:top w:val="single" w:sz="4" w:space="0" w:color="auto"/>
              <w:bottom w:val="single" w:sz="4" w:space="0" w:color="auto"/>
            </w:tcBorders>
            <w:vAlign w:val="center"/>
            <w:hideMark/>
          </w:tcPr>
          <w:p w14:paraId="1F2702A0"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369C75EA"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2B6457EB"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38D97E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2A09685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0026C912" w14:textId="77777777" w:rsidTr="00DB522D">
        <w:trPr>
          <w:tblCellSpacing w:w="15" w:type="dxa"/>
        </w:trPr>
        <w:tc>
          <w:tcPr>
            <w:tcW w:w="0" w:type="auto"/>
            <w:tcBorders>
              <w:bottom w:val="single" w:sz="4" w:space="0" w:color="auto"/>
            </w:tcBorders>
            <w:vAlign w:val="center"/>
            <w:hideMark/>
          </w:tcPr>
          <w:p w14:paraId="5134E1B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74C3A3C8"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-4.92</w:t>
            </w:r>
          </w:p>
        </w:tc>
        <w:tc>
          <w:tcPr>
            <w:tcW w:w="0" w:type="auto"/>
            <w:tcBorders>
              <w:bottom w:val="single" w:sz="4" w:space="0" w:color="auto"/>
            </w:tcBorders>
            <w:vAlign w:val="center"/>
            <w:hideMark/>
          </w:tcPr>
          <w:p w14:paraId="106F375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15AB4FB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0.01</w:t>
            </w:r>
          </w:p>
        </w:tc>
        <w:tc>
          <w:tcPr>
            <w:tcW w:w="0" w:type="auto"/>
            <w:tcBorders>
              <w:bottom w:val="single" w:sz="4" w:space="0" w:color="auto"/>
            </w:tcBorders>
            <w:vAlign w:val="center"/>
            <w:hideMark/>
          </w:tcPr>
          <w:p w14:paraId="681EC98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Stationary</w:t>
            </w:r>
          </w:p>
        </w:tc>
      </w:tr>
    </w:tbl>
    <w:p w14:paraId="6AFC5668" w14:textId="77777777" w:rsidR="009C1AAD" w:rsidRPr="009C1AAD" w:rsidRDefault="009C1AAD" w:rsidP="009C1AAD">
      <w:pPr>
        <w:spacing w:line="480" w:lineRule="auto"/>
        <w:jc w:val="both"/>
        <w:rPr>
          <w:rFonts w:ascii="Arial" w:eastAsiaTheme="minorEastAsia" w:hAnsi="Arial" w:cs="Arial"/>
          <w:sz w:val="22"/>
          <w:szCs w:val="22"/>
        </w:rPr>
      </w:pPr>
    </w:p>
    <w:p w14:paraId="6D8BCDB0" w14:textId="5F124A4F"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2 shows </w:t>
      </w:r>
      <w:r w:rsidR="004B5F73">
        <w:rPr>
          <w:rFonts w:ascii="Arial" w:eastAsiaTheme="minorEastAsia" w:hAnsi="Arial" w:cs="Arial"/>
          <w:sz w:val="22"/>
          <w:szCs w:val="22"/>
        </w:rPr>
        <w:t xml:space="preserve">that </w:t>
      </w:r>
      <w:r w:rsidRPr="009C1AAD">
        <w:rPr>
          <w:rFonts w:ascii="Arial" w:eastAsiaTheme="minorEastAsia" w:hAnsi="Arial" w:cs="Arial"/>
          <w:sz w:val="22"/>
          <w:szCs w:val="22"/>
        </w:rPr>
        <w:t xml:space="preserve">the temperature series was stationary (ADF statistic = -4.92, p = 0.01). </w:t>
      </w:r>
    </w:p>
    <w:p w14:paraId="275ED58C"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3: Augmented Dickey-Fuller test for stationarity of the rainfall time series.</w:t>
      </w:r>
      <w:r w:rsidRPr="009C1AAD">
        <w:rPr>
          <w:rFonts w:ascii="Arial" w:eastAsiaTheme="minorEastAsia" w:hAnsi="Arial" w:cs="Arial"/>
          <w:sz w:val="22"/>
          <w:szCs w:val="22"/>
        </w:rPr>
        <w:tab/>
      </w:r>
    </w:p>
    <w:tbl>
      <w:tblPr>
        <w:tblW w:w="9557" w:type="dxa"/>
        <w:tblCellSpacing w:w="15" w:type="dxa"/>
        <w:tblCellMar>
          <w:top w:w="15" w:type="dxa"/>
          <w:left w:w="15" w:type="dxa"/>
          <w:bottom w:w="15" w:type="dxa"/>
          <w:right w:w="15" w:type="dxa"/>
        </w:tblCellMar>
        <w:tblLook w:val="04A0" w:firstRow="1" w:lastRow="0" w:firstColumn="1" w:lastColumn="0" w:noHBand="0" w:noVBand="1"/>
      </w:tblPr>
      <w:tblGrid>
        <w:gridCol w:w="3785"/>
        <w:gridCol w:w="1693"/>
        <w:gridCol w:w="1316"/>
        <w:gridCol w:w="982"/>
        <w:gridCol w:w="1781"/>
      </w:tblGrid>
      <w:tr w:rsidR="009C1AAD" w:rsidRPr="009C1AAD" w14:paraId="4F5258A9" w14:textId="77777777" w:rsidTr="00DB522D">
        <w:trPr>
          <w:trHeight w:val="811"/>
          <w:tblHeader/>
          <w:tblCellSpacing w:w="15" w:type="dxa"/>
        </w:trPr>
        <w:tc>
          <w:tcPr>
            <w:tcW w:w="0" w:type="auto"/>
            <w:tcBorders>
              <w:top w:val="single" w:sz="4" w:space="0" w:color="auto"/>
              <w:bottom w:val="single" w:sz="4" w:space="0" w:color="auto"/>
            </w:tcBorders>
            <w:vAlign w:val="center"/>
            <w:hideMark/>
          </w:tcPr>
          <w:p w14:paraId="7C33120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4E47A34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2D4EF99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9CABF5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021A8AF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43985B6F" w14:textId="77777777" w:rsidTr="00DB522D">
        <w:trPr>
          <w:trHeight w:val="811"/>
          <w:tblCellSpacing w:w="15" w:type="dxa"/>
        </w:trPr>
        <w:tc>
          <w:tcPr>
            <w:tcW w:w="0" w:type="auto"/>
            <w:tcBorders>
              <w:bottom w:val="single" w:sz="4" w:space="0" w:color="auto"/>
            </w:tcBorders>
            <w:vAlign w:val="center"/>
            <w:hideMark/>
          </w:tcPr>
          <w:p w14:paraId="25201BF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Augmented Dickey-Fuller (ADF)</w:t>
            </w:r>
          </w:p>
        </w:tc>
        <w:tc>
          <w:tcPr>
            <w:tcW w:w="0" w:type="auto"/>
            <w:tcBorders>
              <w:bottom w:val="single" w:sz="4" w:space="0" w:color="auto"/>
            </w:tcBorders>
            <w:vAlign w:val="center"/>
            <w:hideMark/>
          </w:tcPr>
          <w:p w14:paraId="5BDCE78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-2.3803</w:t>
            </w:r>
          </w:p>
        </w:tc>
        <w:tc>
          <w:tcPr>
            <w:tcW w:w="0" w:type="auto"/>
            <w:tcBorders>
              <w:bottom w:val="single" w:sz="4" w:space="0" w:color="auto"/>
            </w:tcBorders>
            <w:vAlign w:val="center"/>
            <w:hideMark/>
          </w:tcPr>
          <w:p w14:paraId="44AA42D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52D2F91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0.4275</w:t>
            </w:r>
          </w:p>
        </w:tc>
        <w:tc>
          <w:tcPr>
            <w:tcW w:w="0" w:type="auto"/>
            <w:tcBorders>
              <w:bottom w:val="single" w:sz="4" w:space="0" w:color="auto"/>
            </w:tcBorders>
            <w:vAlign w:val="center"/>
            <w:hideMark/>
          </w:tcPr>
          <w:p w14:paraId="02A9B52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Non-stationary</w:t>
            </w:r>
          </w:p>
        </w:tc>
      </w:tr>
    </w:tbl>
    <w:p w14:paraId="46F8943B" w14:textId="77777777" w:rsidR="009C1AAD" w:rsidRPr="009C1AAD" w:rsidRDefault="009C1AAD" w:rsidP="009C1AAD">
      <w:pPr>
        <w:spacing w:line="480" w:lineRule="auto"/>
        <w:jc w:val="both"/>
        <w:rPr>
          <w:rFonts w:ascii="Arial" w:eastAsiaTheme="minorEastAsia" w:hAnsi="Arial" w:cs="Arial"/>
          <w:sz w:val="22"/>
          <w:szCs w:val="22"/>
        </w:rPr>
      </w:pPr>
    </w:p>
    <w:p w14:paraId="495B8349" w14:textId="1C3014BD" w:rsidR="009C1AAD" w:rsidRPr="009C1AAD" w:rsidRDefault="009C1AAD" w:rsidP="009C1AAD">
      <w:pPr>
        <w:spacing w:line="480" w:lineRule="auto"/>
        <w:rPr>
          <w:rFonts w:ascii="Arial" w:eastAsiaTheme="minorEastAsia" w:hAnsi="Arial" w:cs="Arial"/>
          <w:sz w:val="22"/>
          <w:szCs w:val="22"/>
        </w:rPr>
      </w:pPr>
      <w:r w:rsidRPr="009C1AAD">
        <w:rPr>
          <w:rFonts w:ascii="Arial" w:eastAsiaTheme="minorEastAsia" w:hAnsi="Arial" w:cs="Arial"/>
          <w:sz w:val="22"/>
          <w:szCs w:val="22"/>
        </w:rPr>
        <w:t>The Augmented Dickey-Fuller (ADF) test</w:t>
      </w:r>
      <w:r w:rsidR="004B5F73">
        <w:rPr>
          <w:rFonts w:ascii="Arial" w:eastAsiaTheme="minorEastAsia" w:hAnsi="Arial" w:cs="Arial"/>
          <w:sz w:val="22"/>
          <w:szCs w:val="22"/>
        </w:rPr>
        <w:t>,</w:t>
      </w:r>
      <w:r w:rsidRPr="009C1AAD">
        <w:rPr>
          <w:rFonts w:ascii="Arial" w:eastAsiaTheme="minorEastAsia" w:hAnsi="Arial" w:cs="Arial"/>
          <w:sz w:val="22"/>
          <w:szCs w:val="22"/>
        </w:rPr>
        <w:t xml:space="preserve"> as seen in Table 3</w:t>
      </w:r>
      <w:r w:rsidR="004B5F73">
        <w:rPr>
          <w:rFonts w:ascii="Arial" w:eastAsiaTheme="minorEastAsia" w:hAnsi="Arial" w:cs="Arial"/>
          <w:sz w:val="22"/>
          <w:szCs w:val="22"/>
        </w:rPr>
        <w:t>,</w:t>
      </w:r>
      <w:r w:rsidRPr="009C1AAD">
        <w:rPr>
          <w:rFonts w:ascii="Arial" w:eastAsiaTheme="minorEastAsia" w:hAnsi="Arial" w:cs="Arial"/>
          <w:sz w:val="22"/>
          <w:szCs w:val="22"/>
        </w:rPr>
        <w:t xml:space="preserve"> </w:t>
      </w:r>
      <w:r w:rsidR="004B5F73">
        <w:rPr>
          <w:rFonts w:ascii="Arial" w:eastAsiaTheme="minorEastAsia" w:hAnsi="Arial" w:cs="Arial"/>
          <w:sz w:val="22"/>
          <w:szCs w:val="22"/>
        </w:rPr>
        <w:t>confirms</w:t>
      </w:r>
      <w:r w:rsidRPr="009C1AAD">
        <w:rPr>
          <w:rFonts w:ascii="Arial" w:eastAsiaTheme="minorEastAsia" w:hAnsi="Arial" w:cs="Arial"/>
          <w:sz w:val="22"/>
          <w:szCs w:val="22"/>
        </w:rPr>
        <w:t xml:space="preserve"> that rainfall (ADF = -2.38, p = 0.43) is non-stationary and </w:t>
      </w:r>
      <w:r w:rsidR="004B5F73">
        <w:rPr>
          <w:rFonts w:ascii="Arial" w:eastAsiaTheme="minorEastAsia" w:hAnsi="Arial" w:cs="Arial"/>
          <w:sz w:val="22"/>
          <w:szCs w:val="22"/>
        </w:rPr>
        <w:t>requires</w:t>
      </w:r>
      <w:r w:rsidRPr="009C1AAD">
        <w:rPr>
          <w:rFonts w:ascii="Arial" w:eastAsiaTheme="minorEastAsia" w:hAnsi="Arial" w:cs="Arial"/>
          <w:sz w:val="22"/>
          <w:szCs w:val="22"/>
        </w:rPr>
        <w:t xml:space="preserve"> first-order differencing to achieve stationarity.</w:t>
      </w:r>
    </w:p>
    <w:p w14:paraId="56C857EB"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4: Augmented Dickey-Fuller test for stationarity of the climate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1430"/>
        <w:gridCol w:w="1112"/>
        <w:gridCol w:w="831"/>
        <w:gridCol w:w="1506"/>
      </w:tblGrid>
      <w:tr w:rsidR="009C1AAD" w:rsidRPr="009C1AAD" w14:paraId="4514B6C5" w14:textId="77777777" w:rsidTr="00DB522D">
        <w:trPr>
          <w:tblHeader/>
          <w:tblCellSpacing w:w="15" w:type="dxa"/>
        </w:trPr>
        <w:tc>
          <w:tcPr>
            <w:tcW w:w="0" w:type="auto"/>
            <w:tcBorders>
              <w:top w:val="single" w:sz="4" w:space="0" w:color="auto"/>
              <w:bottom w:val="single" w:sz="4" w:space="0" w:color="auto"/>
            </w:tcBorders>
            <w:vAlign w:val="center"/>
            <w:hideMark/>
          </w:tcPr>
          <w:p w14:paraId="5EE1A863"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1205CBE3"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036B88D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F6DCE50"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4290B8F7"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1C856621" w14:textId="77777777" w:rsidTr="00DB522D">
        <w:trPr>
          <w:tblCellSpacing w:w="15" w:type="dxa"/>
        </w:trPr>
        <w:tc>
          <w:tcPr>
            <w:tcW w:w="0" w:type="auto"/>
            <w:tcBorders>
              <w:bottom w:val="single" w:sz="4" w:space="0" w:color="auto"/>
            </w:tcBorders>
            <w:vAlign w:val="center"/>
            <w:hideMark/>
          </w:tcPr>
          <w:p w14:paraId="46B471A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137884C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0.0015694</w:t>
            </w:r>
          </w:p>
        </w:tc>
        <w:tc>
          <w:tcPr>
            <w:tcW w:w="0" w:type="auto"/>
            <w:tcBorders>
              <w:bottom w:val="single" w:sz="4" w:space="0" w:color="auto"/>
            </w:tcBorders>
            <w:vAlign w:val="center"/>
            <w:hideMark/>
          </w:tcPr>
          <w:p w14:paraId="1189DAB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7097BEC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0.99</w:t>
            </w:r>
          </w:p>
        </w:tc>
        <w:tc>
          <w:tcPr>
            <w:tcW w:w="0" w:type="auto"/>
            <w:tcBorders>
              <w:bottom w:val="single" w:sz="4" w:space="0" w:color="auto"/>
            </w:tcBorders>
            <w:vAlign w:val="center"/>
            <w:hideMark/>
          </w:tcPr>
          <w:p w14:paraId="087F73A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Non-stationary</w:t>
            </w:r>
          </w:p>
        </w:tc>
      </w:tr>
    </w:tbl>
    <w:p w14:paraId="44ABAEE5" w14:textId="77777777" w:rsidR="009C1AAD" w:rsidRPr="009C1AAD" w:rsidRDefault="009C1AAD" w:rsidP="009C1AAD">
      <w:pPr>
        <w:spacing w:line="480" w:lineRule="auto"/>
        <w:jc w:val="both"/>
        <w:rPr>
          <w:rFonts w:ascii="Arial" w:eastAsiaTheme="minorEastAsia" w:hAnsi="Arial" w:cs="Arial"/>
          <w:sz w:val="22"/>
          <w:szCs w:val="22"/>
        </w:rPr>
      </w:pPr>
    </w:p>
    <w:p w14:paraId="530D006A" w14:textId="7B98585E" w:rsidR="00AF5D7E"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4 depicts </w:t>
      </w:r>
      <w:r w:rsidR="004B5F73">
        <w:rPr>
          <w:rFonts w:ascii="Arial" w:eastAsiaTheme="minorEastAsia" w:hAnsi="Arial" w:cs="Arial"/>
          <w:sz w:val="22"/>
          <w:szCs w:val="22"/>
        </w:rPr>
        <w:t xml:space="preserve">the </w:t>
      </w:r>
      <w:r w:rsidRPr="009C1AAD">
        <w:rPr>
          <w:rFonts w:ascii="Arial" w:eastAsiaTheme="minorEastAsia" w:hAnsi="Arial" w:cs="Arial"/>
          <w:sz w:val="22"/>
          <w:szCs w:val="22"/>
        </w:rPr>
        <w:t>Augmented Dickey-Fuller (ADF) test conducted on the climate series to assess stationarity. The test produced an ADF statistic of 0.0015694 with a lag order of 2 and a corresponding p-value of 0.99. Given that the p-value is substantially greater than the conventional 0.05 significance level, there is insufficient evidence to reject the null hypothesis of a unit root, indicating that the climate index series is non-stationary.</w:t>
      </w:r>
    </w:p>
    <w:p w14:paraId="09567519" w14:textId="163BD7AE" w:rsidR="00AF5D7E" w:rsidRPr="00AF5D7E" w:rsidRDefault="00AF5D7E" w:rsidP="009C1AAD">
      <w:pPr>
        <w:spacing w:line="480" w:lineRule="auto"/>
        <w:jc w:val="both"/>
        <w:rPr>
          <w:rFonts w:ascii="Arial" w:eastAsiaTheme="minorEastAsia" w:hAnsi="Arial" w:cs="Arial"/>
          <w:b/>
          <w:bCs/>
          <w:sz w:val="22"/>
          <w:szCs w:val="22"/>
        </w:rPr>
      </w:pPr>
      <w:r w:rsidRPr="00AF5D7E">
        <w:rPr>
          <w:rFonts w:ascii="Arial" w:eastAsiaTheme="minorEastAsia" w:hAnsi="Arial" w:cs="Arial"/>
          <w:b/>
          <w:bCs/>
          <w:sz w:val="22"/>
          <w:szCs w:val="22"/>
        </w:rPr>
        <w:t>Table 5: Stationarity Test</w:t>
      </w:r>
      <w:r w:rsidR="00233D8B">
        <w:rPr>
          <w:rFonts w:ascii="Arial" w:eastAsiaTheme="minorEastAsia" w:hAnsi="Arial" w:cs="Arial"/>
          <w:b/>
          <w:bCs/>
          <w:sz w:val="22"/>
          <w:szCs w:val="22"/>
        </w:rPr>
        <w:t xml:space="preserve"> for Climate and Rainfall after </w:t>
      </w:r>
      <w:r w:rsidR="003129A6" w:rsidRPr="00AF5D7E">
        <w:rPr>
          <w:rFonts w:ascii="Arial" w:eastAsiaTheme="minorEastAsia" w:hAnsi="Arial" w:cs="Arial"/>
          <w:b/>
          <w:bCs/>
          <w:sz w:val="22"/>
          <w:szCs w:val="22"/>
        </w:rPr>
        <w:t>Detrended</w:t>
      </w:r>
      <w:r w:rsidR="003129A6">
        <w:rPr>
          <w:rFonts w:ascii="Arial" w:eastAsiaTheme="minorEastAsia" w:hAnsi="Arial" w:cs="Arial"/>
          <w:b/>
          <w:bCs/>
          <w:sz w:val="22"/>
          <w:szCs w:val="22"/>
        </w:rPr>
        <w:t xml:space="preserve"> and </w:t>
      </w:r>
      <w:r w:rsidR="00233D8B">
        <w:rPr>
          <w:rFonts w:ascii="Arial" w:eastAsiaTheme="minorEastAsia" w:hAnsi="Arial" w:cs="Arial"/>
          <w:b/>
          <w:bCs/>
          <w:sz w:val="22"/>
          <w:szCs w:val="22"/>
        </w:rPr>
        <w:t>differenced</w:t>
      </w:r>
      <w:r w:rsidR="003129A6">
        <w:rPr>
          <w:rFonts w:ascii="Arial" w:eastAsiaTheme="minorEastAsia" w:hAnsi="Arial" w:cs="Arial"/>
          <w:b/>
          <w:bCs/>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6"/>
        <w:gridCol w:w="3237"/>
        <w:gridCol w:w="1406"/>
        <w:gridCol w:w="856"/>
        <w:gridCol w:w="1273"/>
      </w:tblGrid>
      <w:tr w:rsidR="00AF5D7E" w:rsidRPr="00AF5D7E" w14:paraId="0B2AE34D" w14:textId="77777777" w:rsidTr="00AF5D7E">
        <w:trPr>
          <w:tblHeader/>
          <w:tblCellSpacing w:w="15" w:type="dxa"/>
        </w:trPr>
        <w:tc>
          <w:tcPr>
            <w:tcW w:w="0" w:type="auto"/>
            <w:tcBorders>
              <w:top w:val="single" w:sz="4" w:space="0" w:color="auto"/>
              <w:bottom w:val="single" w:sz="4" w:space="0" w:color="auto"/>
            </w:tcBorders>
            <w:vAlign w:val="center"/>
            <w:hideMark/>
          </w:tcPr>
          <w:p w14:paraId="7C1219CC" w14:textId="77777777" w:rsidR="00AF5D7E" w:rsidRPr="00AF5D7E" w:rsidRDefault="00AF5D7E" w:rsidP="00AF5D7E">
            <w:pPr>
              <w:spacing w:line="480" w:lineRule="auto"/>
              <w:jc w:val="both"/>
              <w:rPr>
                <w:rFonts w:ascii="Arial" w:eastAsiaTheme="minorEastAsia" w:hAnsi="Arial" w:cs="Arial"/>
                <w:b/>
                <w:bCs/>
                <w:sz w:val="22"/>
                <w:szCs w:val="22"/>
              </w:rPr>
            </w:pPr>
            <w:r w:rsidRPr="00AF5D7E">
              <w:rPr>
                <w:rFonts w:ascii="Arial" w:eastAsiaTheme="minorEastAsia" w:hAnsi="Arial" w:cs="Arial"/>
                <w:b/>
                <w:bCs/>
                <w:sz w:val="22"/>
                <w:szCs w:val="22"/>
              </w:rPr>
              <w:t>Variable</w:t>
            </w:r>
          </w:p>
        </w:tc>
        <w:tc>
          <w:tcPr>
            <w:tcW w:w="0" w:type="auto"/>
            <w:tcBorders>
              <w:top w:val="single" w:sz="4" w:space="0" w:color="auto"/>
              <w:bottom w:val="single" w:sz="4" w:space="0" w:color="auto"/>
            </w:tcBorders>
            <w:vAlign w:val="center"/>
            <w:hideMark/>
          </w:tcPr>
          <w:p w14:paraId="5D7497A6" w14:textId="77777777" w:rsidR="00AF5D7E" w:rsidRPr="00AF5D7E" w:rsidRDefault="00AF5D7E" w:rsidP="00AF5D7E">
            <w:pPr>
              <w:spacing w:line="480" w:lineRule="auto"/>
              <w:jc w:val="both"/>
              <w:rPr>
                <w:rFonts w:ascii="Arial" w:eastAsiaTheme="minorEastAsia" w:hAnsi="Arial" w:cs="Arial"/>
                <w:b/>
                <w:bCs/>
                <w:sz w:val="22"/>
                <w:szCs w:val="22"/>
              </w:rPr>
            </w:pPr>
            <w:r w:rsidRPr="00AF5D7E">
              <w:rPr>
                <w:rFonts w:ascii="Arial" w:eastAsiaTheme="minorEastAsia" w:hAnsi="Arial" w:cs="Arial"/>
                <w:b/>
                <w:bCs/>
                <w:sz w:val="22"/>
                <w:szCs w:val="22"/>
              </w:rPr>
              <w:t>Transformation Applied</w:t>
            </w:r>
          </w:p>
        </w:tc>
        <w:tc>
          <w:tcPr>
            <w:tcW w:w="0" w:type="auto"/>
            <w:tcBorders>
              <w:top w:val="single" w:sz="4" w:space="0" w:color="auto"/>
              <w:bottom w:val="single" w:sz="4" w:space="0" w:color="auto"/>
            </w:tcBorders>
            <w:vAlign w:val="center"/>
            <w:hideMark/>
          </w:tcPr>
          <w:p w14:paraId="5CEAB4E9" w14:textId="77777777" w:rsidR="00AF5D7E" w:rsidRPr="00AF5D7E" w:rsidRDefault="00AF5D7E" w:rsidP="00AF5D7E">
            <w:pPr>
              <w:spacing w:line="480" w:lineRule="auto"/>
              <w:jc w:val="both"/>
              <w:rPr>
                <w:rFonts w:ascii="Arial" w:eastAsiaTheme="minorEastAsia" w:hAnsi="Arial" w:cs="Arial"/>
                <w:b/>
                <w:bCs/>
                <w:sz w:val="22"/>
                <w:szCs w:val="22"/>
              </w:rPr>
            </w:pPr>
            <w:r w:rsidRPr="00AF5D7E">
              <w:rPr>
                <w:rFonts w:ascii="Arial" w:eastAsiaTheme="minorEastAsia" w:hAnsi="Arial" w:cs="Arial"/>
                <w:b/>
                <w:bCs/>
                <w:sz w:val="22"/>
                <w:szCs w:val="22"/>
              </w:rPr>
              <w:t>ADF Statistic</w:t>
            </w:r>
          </w:p>
        </w:tc>
        <w:tc>
          <w:tcPr>
            <w:tcW w:w="0" w:type="auto"/>
            <w:tcBorders>
              <w:top w:val="single" w:sz="4" w:space="0" w:color="auto"/>
              <w:bottom w:val="single" w:sz="4" w:space="0" w:color="auto"/>
            </w:tcBorders>
            <w:vAlign w:val="center"/>
            <w:hideMark/>
          </w:tcPr>
          <w:p w14:paraId="332B4748" w14:textId="77777777" w:rsidR="00AF5D7E" w:rsidRPr="00AF5D7E" w:rsidRDefault="00AF5D7E" w:rsidP="00AF5D7E">
            <w:pPr>
              <w:spacing w:line="480" w:lineRule="auto"/>
              <w:jc w:val="both"/>
              <w:rPr>
                <w:rFonts w:ascii="Arial" w:eastAsiaTheme="minorEastAsia" w:hAnsi="Arial" w:cs="Arial"/>
                <w:b/>
                <w:bCs/>
                <w:sz w:val="22"/>
                <w:szCs w:val="22"/>
              </w:rPr>
            </w:pPr>
            <w:r w:rsidRPr="00AF5D7E">
              <w:rPr>
                <w:rFonts w:ascii="Arial" w:eastAsiaTheme="minorEastAsia" w:hAnsi="Arial" w:cs="Arial"/>
                <w:b/>
                <w:bCs/>
                <w:sz w:val="22"/>
                <w:szCs w:val="22"/>
              </w:rPr>
              <w:t>p value</w:t>
            </w:r>
          </w:p>
        </w:tc>
        <w:tc>
          <w:tcPr>
            <w:tcW w:w="0" w:type="auto"/>
            <w:tcBorders>
              <w:top w:val="single" w:sz="4" w:space="0" w:color="auto"/>
              <w:bottom w:val="single" w:sz="4" w:space="0" w:color="auto"/>
            </w:tcBorders>
            <w:vAlign w:val="center"/>
            <w:hideMark/>
          </w:tcPr>
          <w:p w14:paraId="1E5A5991" w14:textId="77777777" w:rsidR="00AF5D7E" w:rsidRPr="00AF5D7E" w:rsidRDefault="00AF5D7E" w:rsidP="00AF5D7E">
            <w:pPr>
              <w:spacing w:line="480" w:lineRule="auto"/>
              <w:jc w:val="both"/>
              <w:rPr>
                <w:rFonts w:ascii="Arial" w:eastAsiaTheme="minorEastAsia" w:hAnsi="Arial" w:cs="Arial"/>
                <w:b/>
                <w:bCs/>
                <w:sz w:val="22"/>
                <w:szCs w:val="22"/>
              </w:rPr>
            </w:pPr>
            <w:r w:rsidRPr="00AF5D7E">
              <w:rPr>
                <w:rFonts w:ascii="Arial" w:eastAsiaTheme="minorEastAsia" w:hAnsi="Arial" w:cs="Arial"/>
                <w:b/>
                <w:bCs/>
                <w:sz w:val="22"/>
                <w:szCs w:val="22"/>
              </w:rPr>
              <w:t>Conclusion</w:t>
            </w:r>
          </w:p>
        </w:tc>
      </w:tr>
      <w:tr w:rsidR="00AF5D7E" w:rsidRPr="00AF5D7E" w14:paraId="3A98C951" w14:textId="77777777">
        <w:trPr>
          <w:tblCellSpacing w:w="15" w:type="dxa"/>
        </w:trPr>
        <w:tc>
          <w:tcPr>
            <w:tcW w:w="0" w:type="auto"/>
            <w:vAlign w:val="center"/>
            <w:hideMark/>
          </w:tcPr>
          <w:p w14:paraId="075EA95D" w14:textId="5784E68D" w:rsidR="00AF5D7E" w:rsidRPr="00AF5D7E" w:rsidRDefault="00AF5D7E" w:rsidP="00AF5D7E">
            <w:pPr>
              <w:spacing w:line="480" w:lineRule="auto"/>
              <w:jc w:val="both"/>
              <w:rPr>
                <w:rFonts w:ascii="Arial" w:eastAsiaTheme="minorEastAsia" w:hAnsi="Arial" w:cs="Arial"/>
                <w:sz w:val="22"/>
                <w:szCs w:val="22"/>
              </w:rPr>
            </w:pPr>
            <w:r w:rsidRPr="00AF5D7E">
              <w:rPr>
                <w:rFonts w:ascii="Arial" w:eastAsiaTheme="minorEastAsia" w:hAnsi="Arial" w:cs="Arial"/>
                <w:sz w:val="22"/>
                <w:szCs w:val="22"/>
              </w:rPr>
              <w:t xml:space="preserve">Climate </w:t>
            </w:r>
          </w:p>
        </w:tc>
        <w:tc>
          <w:tcPr>
            <w:tcW w:w="0" w:type="auto"/>
            <w:vAlign w:val="center"/>
            <w:hideMark/>
          </w:tcPr>
          <w:p w14:paraId="55940497"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 xml:space="preserve">Detrended (linear trend </w:t>
            </w:r>
            <w:r w:rsidRPr="00AF5D7E">
              <w:rPr>
                <w:rFonts w:ascii="Arial" w:eastAsiaTheme="minorEastAsia" w:hAnsi="Arial" w:cs="Arial"/>
                <w:sz w:val="22"/>
                <w:szCs w:val="22"/>
              </w:rPr>
              <w:lastRenderedPageBreak/>
              <w:t>removed)</w:t>
            </w:r>
          </w:p>
        </w:tc>
        <w:tc>
          <w:tcPr>
            <w:tcW w:w="0" w:type="auto"/>
            <w:vAlign w:val="center"/>
            <w:hideMark/>
          </w:tcPr>
          <w:p w14:paraId="2A80EA5A"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lastRenderedPageBreak/>
              <w:t>-4.3337</w:t>
            </w:r>
          </w:p>
        </w:tc>
        <w:tc>
          <w:tcPr>
            <w:tcW w:w="0" w:type="auto"/>
            <w:vAlign w:val="center"/>
            <w:hideMark/>
          </w:tcPr>
          <w:p w14:paraId="2EAB3BD7"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0.01161</w:t>
            </w:r>
          </w:p>
        </w:tc>
        <w:tc>
          <w:tcPr>
            <w:tcW w:w="0" w:type="auto"/>
            <w:vAlign w:val="center"/>
            <w:hideMark/>
          </w:tcPr>
          <w:p w14:paraId="7A2362F8"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Stationary</w:t>
            </w:r>
          </w:p>
        </w:tc>
      </w:tr>
      <w:tr w:rsidR="00AF5D7E" w:rsidRPr="00AF5D7E" w14:paraId="45392DB9" w14:textId="77777777" w:rsidTr="00AF5D7E">
        <w:trPr>
          <w:tblCellSpacing w:w="15" w:type="dxa"/>
        </w:trPr>
        <w:tc>
          <w:tcPr>
            <w:tcW w:w="0" w:type="auto"/>
            <w:tcBorders>
              <w:bottom w:val="single" w:sz="4" w:space="0" w:color="auto"/>
            </w:tcBorders>
            <w:vAlign w:val="center"/>
            <w:hideMark/>
          </w:tcPr>
          <w:p w14:paraId="127000C5" w14:textId="77777777" w:rsidR="00AF5D7E" w:rsidRPr="00AF5D7E" w:rsidRDefault="00AF5D7E" w:rsidP="00AF5D7E">
            <w:pPr>
              <w:spacing w:line="480" w:lineRule="auto"/>
              <w:jc w:val="both"/>
              <w:rPr>
                <w:rFonts w:ascii="Arial" w:eastAsiaTheme="minorEastAsia" w:hAnsi="Arial" w:cs="Arial"/>
                <w:sz w:val="22"/>
                <w:szCs w:val="22"/>
              </w:rPr>
            </w:pPr>
            <w:r w:rsidRPr="00AF5D7E">
              <w:rPr>
                <w:rFonts w:ascii="Arial" w:eastAsiaTheme="minorEastAsia" w:hAnsi="Arial" w:cs="Arial"/>
                <w:sz w:val="22"/>
                <w:szCs w:val="22"/>
              </w:rPr>
              <w:t>Annual Rainfall</w:t>
            </w:r>
          </w:p>
        </w:tc>
        <w:tc>
          <w:tcPr>
            <w:tcW w:w="0" w:type="auto"/>
            <w:tcBorders>
              <w:bottom w:val="single" w:sz="4" w:space="0" w:color="auto"/>
            </w:tcBorders>
            <w:vAlign w:val="center"/>
            <w:hideMark/>
          </w:tcPr>
          <w:p w14:paraId="6DDA3EF6"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First Difference</w:t>
            </w:r>
          </w:p>
        </w:tc>
        <w:tc>
          <w:tcPr>
            <w:tcW w:w="0" w:type="auto"/>
            <w:tcBorders>
              <w:bottom w:val="single" w:sz="4" w:space="0" w:color="auto"/>
            </w:tcBorders>
            <w:vAlign w:val="center"/>
            <w:hideMark/>
          </w:tcPr>
          <w:p w14:paraId="68AE4273"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-6.6961</w:t>
            </w:r>
          </w:p>
        </w:tc>
        <w:tc>
          <w:tcPr>
            <w:tcW w:w="0" w:type="auto"/>
            <w:tcBorders>
              <w:bottom w:val="single" w:sz="4" w:space="0" w:color="auto"/>
            </w:tcBorders>
            <w:vAlign w:val="center"/>
            <w:hideMark/>
          </w:tcPr>
          <w:p w14:paraId="003822F4"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0.01</w:t>
            </w:r>
          </w:p>
        </w:tc>
        <w:tc>
          <w:tcPr>
            <w:tcW w:w="0" w:type="auto"/>
            <w:tcBorders>
              <w:bottom w:val="single" w:sz="4" w:space="0" w:color="auto"/>
            </w:tcBorders>
            <w:vAlign w:val="center"/>
            <w:hideMark/>
          </w:tcPr>
          <w:p w14:paraId="04A190B5" w14:textId="77777777" w:rsidR="00AF5D7E" w:rsidRPr="00AF5D7E" w:rsidRDefault="00AF5D7E" w:rsidP="00AF5D7E">
            <w:pPr>
              <w:spacing w:line="480" w:lineRule="auto"/>
              <w:jc w:val="center"/>
              <w:rPr>
                <w:rFonts w:ascii="Arial" w:eastAsiaTheme="minorEastAsia" w:hAnsi="Arial" w:cs="Arial"/>
                <w:sz w:val="22"/>
                <w:szCs w:val="22"/>
              </w:rPr>
            </w:pPr>
            <w:r w:rsidRPr="00AF5D7E">
              <w:rPr>
                <w:rFonts w:ascii="Arial" w:eastAsiaTheme="minorEastAsia" w:hAnsi="Arial" w:cs="Arial"/>
                <w:sz w:val="22"/>
                <w:szCs w:val="22"/>
              </w:rPr>
              <w:t>Stationary</w:t>
            </w:r>
          </w:p>
        </w:tc>
      </w:tr>
    </w:tbl>
    <w:p w14:paraId="571951CC" w14:textId="2279F3B5" w:rsidR="00AF5D7E" w:rsidRPr="009C1AAD" w:rsidRDefault="00AF5D7E" w:rsidP="009C1AAD">
      <w:pPr>
        <w:spacing w:line="480" w:lineRule="auto"/>
        <w:jc w:val="both"/>
        <w:rPr>
          <w:rFonts w:ascii="Arial" w:eastAsiaTheme="minorEastAsia" w:hAnsi="Arial" w:cs="Arial"/>
          <w:sz w:val="22"/>
          <w:szCs w:val="22"/>
        </w:rPr>
      </w:pPr>
      <w:r w:rsidRPr="00AF5D7E">
        <w:rPr>
          <w:rFonts w:ascii="Arial" w:eastAsiaTheme="minorEastAsia" w:hAnsi="Arial" w:cs="Arial"/>
          <w:sz w:val="22"/>
          <w:szCs w:val="22"/>
        </w:rPr>
        <w:t xml:space="preserve">The Augmented Dickey Fuller stationarity assessment </w:t>
      </w:r>
      <w:r w:rsidR="00C371E2">
        <w:rPr>
          <w:rFonts w:ascii="Arial" w:eastAsiaTheme="minorEastAsia" w:hAnsi="Arial" w:cs="Arial"/>
          <w:sz w:val="22"/>
          <w:szCs w:val="22"/>
        </w:rPr>
        <w:t xml:space="preserve">in Table 5 </w:t>
      </w:r>
      <w:r w:rsidRPr="00AF5D7E">
        <w:rPr>
          <w:rFonts w:ascii="Arial" w:eastAsiaTheme="minorEastAsia" w:hAnsi="Arial" w:cs="Arial"/>
          <w:sz w:val="22"/>
          <w:szCs w:val="22"/>
        </w:rPr>
        <w:t xml:space="preserve">shows that the detrended Climate exhibited a statistically significant improvement in stationarity with an ADF statistic of -4.3337 and a </w:t>
      </w:r>
      <w:r w:rsidR="004B5F73">
        <w:rPr>
          <w:rFonts w:ascii="Arial" w:eastAsiaTheme="minorEastAsia" w:hAnsi="Arial" w:cs="Arial"/>
          <w:sz w:val="22"/>
          <w:szCs w:val="22"/>
        </w:rPr>
        <w:t>p-value</w:t>
      </w:r>
      <w:r w:rsidRPr="00AF5D7E">
        <w:rPr>
          <w:rFonts w:ascii="Arial" w:eastAsiaTheme="minorEastAsia" w:hAnsi="Arial" w:cs="Arial"/>
          <w:sz w:val="22"/>
          <w:szCs w:val="22"/>
        </w:rPr>
        <w:t xml:space="preserve"> of 0.01161</w:t>
      </w:r>
      <w:r w:rsidR="004B5F73">
        <w:rPr>
          <w:rFonts w:ascii="Arial" w:eastAsiaTheme="minorEastAsia" w:hAnsi="Arial" w:cs="Arial"/>
          <w:sz w:val="22"/>
          <w:szCs w:val="22"/>
        </w:rPr>
        <w:t>,</w:t>
      </w:r>
      <w:r w:rsidRPr="00AF5D7E">
        <w:rPr>
          <w:rFonts w:ascii="Arial" w:eastAsiaTheme="minorEastAsia" w:hAnsi="Arial" w:cs="Arial"/>
          <w:sz w:val="22"/>
          <w:szCs w:val="22"/>
        </w:rPr>
        <w:t xml:space="preserve"> indicating that the series is stationary after linear trend removal. Likewise, the first differenced Annual Rainfall series produced an even stronger ADF statistic of -6.6961 with a p</w:t>
      </w:r>
      <w:r w:rsidR="004B5F73">
        <w:rPr>
          <w:rFonts w:ascii="Arial" w:eastAsiaTheme="minorEastAsia" w:hAnsi="Arial" w:cs="Arial"/>
          <w:sz w:val="22"/>
          <w:szCs w:val="22"/>
        </w:rPr>
        <w:t>-</w:t>
      </w:r>
      <w:r w:rsidRPr="00AF5D7E">
        <w:rPr>
          <w:rFonts w:ascii="Arial" w:eastAsiaTheme="minorEastAsia" w:hAnsi="Arial" w:cs="Arial"/>
          <w:sz w:val="22"/>
          <w:szCs w:val="22"/>
        </w:rPr>
        <w:t xml:space="preserve">value of 0.01, confirming stationarity and validating the adequacy of first order differencing for variance </w:t>
      </w:r>
      <w:proofErr w:type="spellStart"/>
      <w:r w:rsidRPr="00AF5D7E">
        <w:rPr>
          <w:rFonts w:ascii="Arial" w:eastAsiaTheme="minorEastAsia" w:hAnsi="Arial" w:cs="Arial"/>
          <w:sz w:val="22"/>
          <w:szCs w:val="22"/>
        </w:rPr>
        <w:t>stabilisation</w:t>
      </w:r>
      <w:proofErr w:type="spellEnd"/>
      <w:r w:rsidRPr="00AF5D7E">
        <w:rPr>
          <w:rFonts w:ascii="Arial" w:eastAsiaTheme="minorEastAsia" w:hAnsi="Arial" w:cs="Arial"/>
          <w:sz w:val="22"/>
          <w:szCs w:val="22"/>
        </w:rPr>
        <w:t xml:space="preserve"> and trend elimination.</w:t>
      </w:r>
    </w:p>
    <w:p w14:paraId="762514F9" w14:textId="54205E3E"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 xml:space="preserve">Table </w:t>
      </w:r>
      <w:r w:rsidR="001C76E4">
        <w:rPr>
          <w:rFonts w:ascii="Arial" w:eastAsiaTheme="minorEastAsia" w:hAnsi="Arial" w:cs="Arial"/>
          <w:b/>
          <w:bCs/>
          <w:sz w:val="22"/>
          <w:szCs w:val="22"/>
        </w:rPr>
        <w:t>6</w:t>
      </w:r>
      <w:r w:rsidRPr="009C1AAD">
        <w:rPr>
          <w:rFonts w:ascii="Arial" w:eastAsiaTheme="minorEastAsia" w:hAnsi="Arial" w:cs="Arial"/>
          <w:b/>
          <w:bCs/>
          <w:sz w:val="22"/>
          <w:szCs w:val="22"/>
        </w:rPr>
        <w:t>:</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Comparison of ARIMA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5"/>
        <w:gridCol w:w="4860"/>
      </w:tblGrid>
      <w:tr w:rsidR="009C1AAD" w:rsidRPr="009C1AAD" w14:paraId="79A36CBF" w14:textId="77777777" w:rsidTr="00DB522D">
        <w:trPr>
          <w:tblHeader/>
          <w:tblCellSpacing w:w="15" w:type="dxa"/>
        </w:trPr>
        <w:tc>
          <w:tcPr>
            <w:tcW w:w="3190" w:type="dxa"/>
            <w:tcBorders>
              <w:top w:val="single" w:sz="4" w:space="0" w:color="auto"/>
              <w:bottom w:val="single" w:sz="4" w:space="0" w:color="auto"/>
            </w:tcBorders>
            <w:vAlign w:val="center"/>
            <w:hideMark/>
          </w:tcPr>
          <w:p w14:paraId="07A2988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4815" w:type="dxa"/>
            <w:tcBorders>
              <w:top w:val="single" w:sz="4" w:space="0" w:color="auto"/>
              <w:bottom w:val="single" w:sz="4" w:space="0" w:color="auto"/>
            </w:tcBorders>
            <w:vAlign w:val="center"/>
            <w:hideMark/>
          </w:tcPr>
          <w:p w14:paraId="03C3626C"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r>
      <w:tr w:rsidR="009C1AAD" w:rsidRPr="009C1AAD" w14:paraId="0352FFD7" w14:textId="77777777" w:rsidTr="00DB522D">
        <w:trPr>
          <w:tblCellSpacing w:w="15" w:type="dxa"/>
        </w:trPr>
        <w:tc>
          <w:tcPr>
            <w:tcW w:w="3190" w:type="dxa"/>
            <w:vAlign w:val="center"/>
            <w:hideMark/>
          </w:tcPr>
          <w:p w14:paraId="0D8FDF57"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2,1,2) with drift</w:t>
            </w:r>
          </w:p>
        </w:tc>
        <w:tc>
          <w:tcPr>
            <w:tcW w:w="4815" w:type="dxa"/>
            <w:vAlign w:val="center"/>
            <w:hideMark/>
          </w:tcPr>
          <w:p w14:paraId="6377BB2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Inf</w:t>
            </w:r>
          </w:p>
        </w:tc>
      </w:tr>
      <w:tr w:rsidR="009C1AAD" w:rsidRPr="009C1AAD" w14:paraId="5309237E" w14:textId="77777777" w:rsidTr="00DB522D">
        <w:trPr>
          <w:tblCellSpacing w:w="15" w:type="dxa"/>
        </w:trPr>
        <w:tc>
          <w:tcPr>
            <w:tcW w:w="3190" w:type="dxa"/>
            <w:vAlign w:val="center"/>
            <w:hideMark/>
          </w:tcPr>
          <w:p w14:paraId="222D9195"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 with drift</w:t>
            </w:r>
          </w:p>
        </w:tc>
        <w:tc>
          <w:tcPr>
            <w:tcW w:w="4815" w:type="dxa"/>
            <w:vAlign w:val="center"/>
            <w:hideMark/>
          </w:tcPr>
          <w:p w14:paraId="4936B6A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44.10363</w:t>
            </w:r>
          </w:p>
        </w:tc>
      </w:tr>
      <w:tr w:rsidR="009C1AAD" w:rsidRPr="009C1AAD" w14:paraId="79030373" w14:textId="77777777" w:rsidTr="00DB522D">
        <w:trPr>
          <w:tblCellSpacing w:w="15" w:type="dxa"/>
        </w:trPr>
        <w:tc>
          <w:tcPr>
            <w:tcW w:w="3190" w:type="dxa"/>
            <w:vAlign w:val="center"/>
            <w:hideMark/>
          </w:tcPr>
          <w:p w14:paraId="20A36CEC"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1,1,0) with drift</w:t>
            </w:r>
          </w:p>
        </w:tc>
        <w:tc>
          <w:tcPr>
            <w:tcW w:w="4815" w:type="dxa"/>
            <w:vAlign w:val="center"/>
            <w:hideMark/>
          </w:tcPr>
          <w:p w14:paraId="38964C8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45.72327</w:t>
            </w:r>
          </w:p>
        </w:tc>
      </w:tr>
      <w:tr w:rsidR="009C1AAD" w:rsidRPr="009C1AAD" w14:paraId="62327F76" w14:textId="77777777" w:rsidTr="00DB522D">
        <w:trPr>
          <w:tblCellSpacing w:w="15" w:type="dxa"/>
        </w:trPr>
        <w:tc>
          <w:tcPr>
            <w:tcW w:w="3190" w:type="dxa"/>
            <w:vAlign w:val="center"/>
            <w:hideMark/>
          </w:tcPr>
          <w:p w14:paraId="03A85143"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0,1,1) with drift</w:t>
            </w:r>
          </w:p>
        </w:tc>
        <w:tc>
          <w:tcPr>
            <w:tcW w:w="4815" w:type="dxa"/>
            <w:vAlign w:val="center"/>
            <w:hideMark/>
          </w:tcPr>
          <w:p w14:paraId="6B421BD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44.35454</w:t>
            </w:r>
          </w:p>
        </w:tc>
      </w:tr>
      <w:tr w:rsidR="009C1AAD" w:rsidRPr="009C1AAD" w14:paraId="5A17EC4F" w14:textId="77777777" w:rsidTr="00DB522D">
        <w:trPr>
          <w:tblCellSpacing w:w="15" w:type="dxa"/>
        </w:trPr>
        <w:tc>
          <w:tcPr>
            <w:tcW w:w="3190" w:type="dxa"/>
            <w:vAlign w:val="center"/>
            <w:hideMark/>
          </w:tcPr>
          <w:p w14:paraId="4650BDFD"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w:t>
            </w:r>
          </w:p>
        </w:tc>
        <w:tc>
          <w:tcPr>
            <w:tcW w:w="4815" w:type="dxa"/>
            <w:vAlign w:val="center"/>
            <w:hideMark/>
          </w:tcPr>
          <w:p w14:paraId="229570DF"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46.98293</w:t>
            </w:r>
          </w:p>
        </w:tc>
      </w:tr>
      <w:tr w:rsidR="009C1AAD" w:rsidRPr="009C1AAD" w14:paraId="5FA19CBE" w14:textId="77777777" w:rsidTr="00DB522D">
        <w:trPr>
          <w:tblCellSpacing w:w="15" w:type="dxa"/>
        </w:trPr>
        <w:tc>
          <w:tcPr>
            <w:tcW w:w="3190" w:type="dxa"/>
            <w:tcBorders>
              <w:bottom w:val="single" w:sz="4" w:space="0" w:color="auto"/>
            </w:tcBorders>
            <w:vAlign w:val="center"/>
            <w:hideMark/>
          </w:tcPr>
          <w:p w14:paraId="62D16F9C"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1,1,1) with drift</w:t>
            </w:r>
          </w:p>
        </w:tc>
        <w:tc>
          <w:tcPr>
            <w:tcW w:w="4815" w:type="dxa"/>
            <w:tcBorders>
              <w:bottom w:val="single" w:sz="4" w:space="0" w:color="auto"/>
            </w:tcBorders>
            <w:vAlign w:val="center"/>
            <w:hideMark/>
          </w:tcPr>
          <w:p w14:paraId="17B3968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47.66063</w:t>
            </w:r>
          </w:p>
        </w:tc>
      </w:tr>
    </w:tbl>
    <w:p w14:paraId="5607029C" w14:textId="77777777" w:rsidR="009C1AAD" w:rsidRPr="009C1AAD" w:rsidRDefault="009C1AAD" w:rsidP="009C1AAD">
      <w:pPr>
        <w:spacing w:line="480" w:lineRule="auto"/>
        <w:jc w:val="both"/>
        <w:rPr>
          <w:rFonts w:ascii="Arial" w:eastAsiaTheme="minorEastAsia" w:hAnsi="Arial" w:cs="Arial"/>
          <w:sz w:val="22"/>
          <w:szCs w:val="22"/>
        </w:rPr>
      </w:pPr>
    </w:p>
    <w:p w14:paraId="65FBEF7D" w14:textId="3B8732E2"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w:t>
      </w:r>
      <w:r w:rsidR="001C76E4">
        <w:rPr>
          <w:rFonts w:ascii="Arial" w:eastAsiaTheme="minorEastAsia" w:hAnsi="Arial" w:cs="Arial"/>
          <w:sz w:val="22"/>
          <w:szCs w:val="22"/>
        </w:rPr>
        <w:t>6</w:t>
      </w:r>
      <w:r w:rsidRPr="009C1AAD">
        <w:rPr>
          <w:rFonts w:ascii="Arial" w:eastAsiaTheme="minorEastAsia" w:hAnsi="Arial" w:cs="Arial"/>
          <w:sz w:val="22"/>
          <w:szCs w:val="22"/>
        </w:rPr>
        <w:t xml:space="preserve"> shows the comparison of ARIMA models based on the Akaike Information Criterion (AIC), which indicates that ARIMA (0,1,0) with drift achieved the lowest AIC </w:t>
      </w:r>
      <w:r w:rsidRPr="009C1AAD">
        <w:rPr>
          <w:rFonts w:ascii="Arial" w:eastAsiaTheme="minorEastAsia" w:hAnsi="Arial" w:cs="Arial"/>
          <w:sz w:val="22"/>
          <w:szCs w:val="22"/>
        </w:rPr>
        <w:lastRenderedPageBreak/>
        <w:t xml:space="preserve">value of 44.10, suggesting it provides the best balance between model fit and complexity among the models considered. Models such as ARIMA (1,1,0) with drift (AIC = 45.72) and ARIMA (0,1,1) with drift (AIC = 44.35) had slightly higher AIC values, indicating </w:t>
      </w:r>
      <w:r w:rsidR="004B5F73">
        <w:rPr>
          <w:rFonts w:ascii="Arial" w:eastAsiaTheme="minorEastAsia" w:hAnsi="Arial" w:cs="Arial"/>
          <w:sz w:val="22"/>
          <w:szCs w:val="22"/>
        </w:rPr>
        <w:t xml:space="preserve">a </w:t>
      </w:r>
      <w:r w:rsidRPr="009C1AAD">
        <w:rPr>
          <w:rFonts w:ascii="Arial" w:eastAsiaTheme="minorEastAsia" w:hAnsi="Arial" w:cs="Arial"/>
          <w:sz w:val="22"/>
          <w:szCs w:val="22"/>
        </w:rPr>
        <w:t>comparatively poorer fit. The ARIMA (2,1,2) with drift model returned an infinite AIC, indicating estimation issues or over-parameterization.</w:t>
      </w:r>
    </w:p>
    <w:p w14:paraId="0D1F7FEE" w14:textId="42E02CBA"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 xml:space="preserve">Table </w:t>
      </w:r>
      <w:r w:rsidR="001C76E4">
        <w:rPr>
          <w:rFonts w:ascii="Arial" w:eastAsiaTheme="minorEastAsia" w:hAnsi="Arial" w:cs="Arial"/>
          <w:b/>
          <w:bCs/>
          <w:sz w:val="22"/>
          <w:szCs w:val="22"/>
        </w:rPr>
        <w:t>7</w:t>
      </w:r>
      <w:r w:rsidRPr="009C1AAD">
        <w:rPr>
          <w:rFonts w:ascii="Arial" w:eastAsiaTheme="minorEastAsia" w:hAnsi="Arial" w:cs="Arial"/>
          <w:b/>
          <w:bCs/>
          <w:sz w:val="22"/>
          <w:szCs w:val="22"/>
        </w:rPr>
        <w:t>:</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Parameter estimates and fit statistics of the best ARIMA (0,1,0)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1332"/>
        <w:gridCol w:w="975"/>
        <w:gridCol w:w="794"/>
        <w:gridCol w:w="1489"/>
        <w:gridCol w:w="489"/>
        <w:gridCol w:w="562"/>
        <w:gridCol w:w="626"/>
      </w:tblGrid>
      <w:tr w:rsidR="009C1AAD" w:rsidRPr="009C1AAD" w14:paraId="6A6AA227" w14:textId="77777777" w:rsidTr="00DB522D">
        <w:trPr>
          <w:tblHeader/>
          <w:tblCellSpacing w:w="15" w:type="dxa"/>
        </w:trPr>
        <w:tc>
          <w:tcPr>
            <w:tcW w:w="0" w:type="auto"/>
            <w:tcBorders>
              <w:top w:val="single" w:sz="4" w:space="0" w:color="auto"/>
              <w:bottom w:val="single" w:sz="4" w:space="0" w:color="auto"/>
            </w:tcBorders>
            <w:vAlign w:val="center"/>
            <w:hideMark/>
          </w:tcPr>
          <w:p w14:paraId="0C7B880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bottom w:val="single" w:sz="4" w:space="0" w:color="auto"/>
            </w:tcBorders>
            <w:vAlign w:val="center"/>
            <w:hideMark/>
          </w:tcPr>
          <w:p w14:paraId="7A1F5C9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0" w:type="auto"/>
            <w:tcBorders>
              <w:top w:val="single" w:sz="4" w:space="0" w:color="auto"/>
              <w:bottom w:val="single" w:sz="4" w:space="0" w:color="auto"/>
            </w:tcBorders>
            <w:vAlign w:val="center"/>
            <w:hideMark/>
          </w:tcPr>
          <w:p w14:paraId="202F44E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Std. Error</w:t>
            </w:r>
          </w:p>
        </w:tc>
        <w:tc>
          <w:tcPr>
            <w:tcW w:w="0" w:type="auto"/>
            <w:tcBorders>
              <w:top w:val="single" w:sz="4" w:space="0" w:color="auto"/>
              <w:bottom w:val="single" w:sz="4" w:space="0" w:color="auto"/>
            </w:tcBorders>
            <w:vAlign w:val="center"/>
            <w:hideMark/>
          </w:tcPr>
          <w:p w14:paraId="5074038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Sigma²</w:t>
            </w:r>
          </w:p>
        </w:tc>
        <w:tc>
          <w:tcPr>
            <w:tcW w:w="0" w:type="auto"/>
            <w:tcBorders>
              <w:top w:val="single" w:sz="4" w:space="0" w:color="auto"/>
              <w:bottom w:val="single" w:sz="4" w:space="0" w:color="auto"/>
            </w:tcBorders>
            <w:vAlign w:val="center"/>
            <w:hideMark/>
          </w:tcPr>
          <w:p w14:paraId="0DB90EB1"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Log Likelihood</w:t>
            </w:r>
          </w:p>
        </w:tc>
        <w:tc>
          <w:tcPr>
            <w:tcW w:w="0" w:type="auto"/>
            <w:tcBorders>
              <w:top w:val="single" w:sz="4" w:space="0" w:color="auto"/>
              <w:bottom w:val="single" w:sz="4" w:space="0" w:color="auto"/>
            </w:tcBorders>
            <w:vAlign w:val="center"/>
            <w:hideMark/>
          </w:tcPr>
          <w:p w14:paraId="0F75674F"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0" w:type="auto"/>
            <w:tcBorders>
              <w:top w:val="single" w:sz="4" w:space="0" w:color="auto"/>
              <w:bottom w:val="single" w:sz="4" w:space="0" w:color="auto"/>
            </w:tcBorders>
            <w:vAlign w:val="center"/>
            <w:hideMark/>
          </w:tcPr>
          <w:p w14:paraId="2608EE5C" w14:textId="77777777" w:rsidR="009C1AAD" w:rsidRPr="009C1AAD" w:rsidRDefault="009C1AAD" w:rsidP="00DB522D">
            <w:pPr>
              <w:spacing w:line="480" w:lineRule="auto"/>
              <w:jc w:val="center"/>
              <w:rPr>
                <w:rFonts w:ascii="Arial" w:eastAsiaTheme="minorEastAsia" w:hAnsi="Arial" w:cs="Arial"/>
                <w:b/>
                <w:bCs/>
                <w:sz w:val="22"/>
                <w:szCs w:val="22"/>
              </w:rPr>
            </w:pPr>
            <w:proofErr w:type="spellStart"/>
            <w:r w:rsidRPr="009C1AAD">
              <w:rPr>
                <w:rFonts w:ascii="Arial" w:eastAsiaTheme="minorEastAsia" w:hAnsi="Arial" w:cs="Arial"/>
                <w:b/>
                <w:bCs/>
                <w:sz w:val="22"/>
                <w:szCs w:val="22"/>
              </w:rPr>
              <w:t>AICc</w:t>
            </w:r>
            <w:proofErr w:type="spellEnd"/>
          </w:p>
        </w:tc>
        <w:tc>
          <w:tcPr>
            <w:tcW w:w="0" w:type="auto"/>
            <w:tcBorders>
              <w:top w:val="single" w:sz="4" w:space="0" w:color="auto"/>
              <w:bottom w:val="single" w:sz="4" w:space="0" w:color="auto"/>
            </w:tcBorders>
            <w:vAlign w:val="center"/>
            <w:hideMark/>
          </w:tcPr>
          <w:p w14:paraId="3FACFCC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BIC</w:t>
            </w:r>
          </w:p>
        </w:tc>
      </w:tr>
      <w:tr w:rsidR="009C1AAD" w:rsidRPr="009C1AAD" w14:paraId="0B71B098" w14:textId="77777777" w:rsidTr="00DB522D">
        <w:trPr>
          <w:tblCellSpacing w:w="15" w:type="dxa"/>
        </w:trPr>
        <w:tc>
          <w:tcPr>
            <w:tcW w:w="0" w:type="auto"/>
            <w:tcBorders>
              <w:bottom w:val="single" w:sz="4" w:space="0" w:color="auto"/>
            </w:tcBorders>
            <w:vAlign w:val="center"/>
            <w:hideMark/>
          </w:tcPr>
          <w:p w14:paraId="17DBAB08" w14:textId="77777777" w:rsidR="009C1AAD" w:rsidRPr="009C1AAD" w:rsidRDefault="009C1AAD" w:rsidP="00DB522D">
            <w:pPr>
              <w:spacing w:line="480" w:lineRule="auto"/>
              <w:jc w:val="both"/>
              <w:rPr>
                <w:rFonts w:ascii="Arial" w:eastAsiaTheme="minorEastAsia" w:hAnsi="Arial" w:cs="Arial"/>
                <w:sz w:val="22"/>
                <w:szCs w:val="22"/>
              </w:rPr>
            </w:pPr>
            <w:proofErr w:type="gramStart"/>
            <w:r w:rsidRPr="009C1AAD">
              <w:rPr>
                <w:rFonts w:ascii="Arial" w:eastAsiaTheme="minorEastAsia" w:hAnsi="Arial" w:cs="Arial"/>
                <w:sz w:val="22"/>
                <w:szCs w:val="22"/>
              </w:rPr>
              <w:t>ARIMA(</w:t>
            </w:r>
            <w:proofErr w:type="gramEnd"/>
            <w:r w:rsidRPr="009C1AAD">
              <w:rPr>
                <w:rFonts w:ascii="Arial" w:eastAsiaTheme="minorEastAsia" w:hAnsi="Arial" w:cs="Arial"/>
                <w:sz w:val="22"/>
                <w:szCs w:val="22"/>
              </w:rPr>
              <w:t>0,1,0) with drift</w:t>
            </w:r>
          </w:p>
        </w:tc>
        <w:tc>
          <w:tcPr>
            <w:tcW w:w="0" w:type="auto"/>
            <w:tcBorders>
              <w:bottom w:val="single" w:sz="4" w:space="0" w:color="auto"/>
            </w:tcBorders>
            <w:vAlign w:val="center"/>
            <w:hideMark/>
          </w:tcPr>
          <w:p w14:paraId="613D04D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Drift = 0.4278</w:t>
            </w:r>
          </w:p>
        </w:tc>
        <w:tc>
          <w:tcPr>
            <w:tcW w:w="0" w:type="auto"/>
            <w:tcBorders>
              <w:bottom w:val="single" w:sz="4" w:space="0" w:color="auto"/>
            </w:tcBorders>
            <w:vAlign w:val="center"/>
            <w:hideMark/>
          </w:tcPr>
          <w:p w14:paraId="7CF0332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0.1699</w:t>
            </w:r>
          </w:p>
        </w:tc>
        <w:tc>
          <w:tcPr>
            <w:tcW w:w="0" w:type="auto"/>
            <w:tcBorders>
              <w:bottom w:val="single" w:sz="4" w:space="0" w:color="auto"/>
            </w:tcBorders>
            <w:vAlign w:val="center"/>
            <w:hideMark/>
          </w:tcPr>
          <w:p w14:paraId="25E83B96"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0.5504</w:t>
            </w:r>
          </w:p>
        </w:tc>
        <w:tc>
          <w:tcPr>
            <w:tcW w:w="0" w:type="auto"/>
            <w:tcBorders>
              <w:bottom w:val="single" w:sz="4" w:space="0" w:color="auto"/>
            </w:tcBorders>
            <w:vAlign w:val="center"/>
            <w:hideMark/>
          </w:tcPr>
          <w:p w14:paraId="5942B53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-19.65</w:t>
            </w:r>
          </w:p>
        </w:tc>
        <w:tc>
          <w:tcPr>
            <w:tcW w:w="0" w:type="auto"/>
            <w:tcBorders>
              <w:bottom w:val="single" w:sz="4" w:space="0" w:color="auto"/>
            </w:tcBorders>
            <w:vAlign w:val="center"/>
            <w:hideMark/>
          </w:tcPr>
          <w:p w14:paraId="6F2FFDD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43.3</w:t>
            </w:r>
          </w:p>
        </w:tc>
        <w:tc>
          <w:tcPr>
            <w:tcW w:w="0" w:type="auto"/>
            <w:tcBorders>
              <w:bottom w:val="single" w:sz="4" w:space="0" w:color="auto"/>
            </w:tcBorders>
            <w:vAlign w:val="center"/>
            <w:hideMark/>
          </w:tcPr>
          <w:p w14:paraId="1F2AE82B"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44.1</w:t>
            </w:r>
          </w:p>
        </w:tc>
        <w:tc>
          <w:tcPr>
            <w:tcW w:w="0" w:type="auto"/>
            <w:tcBorders>
              <w:bottom w:val="single" w:sz="4" w:space="0" w:color="auto"/>
            </w:tcBorders>
            <w:vAlign w:val="center"/>
            <w:hideMark/>
          </w:tcPr>
          <w:p w14:paraId="4C198E3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45.08</w:t>
            </w:r>
          </w:p>
        </w:tc>
      </w:tr>
    </w:tbl>
    <w:p w14:paraId="23907E2E" w14:textId="77777777" w:rsidR="009C1AAD" w:rsidRPr="009C1AAD" w:rsidRDefault="009C1AAD" w:rsidP="009C1AAD">
      <w:pPr>
        <w:spacing w:line="480" w:lineRule="auto"/>
        <w:jc w:val="both"/>
        <w:rPr>
          <w:rFonts w:ascii="Arial" w:eastAsiaTheme="minorEastAsia" w:hAnsi="Arial" w:cs="Arial"/>
          <w:sz w:val="22"/>
          <w:szCs w:val="22"/>
        </w:rPr>
      </w:pPr>
    </w:p>
    <w:p w14:paraId="79455EB5" w14:textId="4CB7D08F"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w:t>
      </w:r>
      <w:r w:rsidR="001C76E4">
        <w:rPr>
          <w:rFonts w:ascii="Arial" w:eastAsiaTheme="minorEastAsia" w:hAnsi="Arial" w:cs="Arial"/>
          <w:sz w:val="22"/>
          <w:szCs w:val="22"/>
        </w:rPr>
        <w:t>7</w:t>
      </w:r>
      <w:r w:rsidRPr="009C1AAD">
        <w:rPr>
          <w:rFonts w:ascii="Arial" w:eastAsiaTheme="minorEastAsia" w:hAnsi="Arial" w:cs="Arial"/>
          <w:sz w:val="22"/>
          <w:szCs w:val="22"/>
        </w:rPr>
        <w:t xml:space="preserve"> shows the ARIMA (0,1,0) model with drift fitted to the time series, yielding a drift coefficient of 0.4278 with a standard error of 0.1699, indicating a positive average change per period in the series. The estimated variance of the residuals (σ²) was 0.5504, and the log-likelihood of the model was -19.65. Model selection criteria indicate </w:t>
      </w:r>
      <w:r w:rsidR="004B5F73">
        <w:rPr>
          <w:rFonts w:ascii="Arial" w:eastAsiaTheme="minorEastAsia" w:hAnsi="Arial" w:cs="Arial"/>
          <w:sz w:val="22"/>
          <w:szCs w:val="22"/>
        </w:rPr>
        <w:t xml:space="preserve">a </w:t>
      </w:r>
      <w:r w:rsidRPr="009C1AAD">
        <w:rPr>
          <w:rFonts w:ascii="Arial" w:eastAsiaTheme="minorEastAsia" w:hAnsi="Arial" w:cs="Arial"/>
          <w:sz w:val="22"/>
          <w:szCs w:val="22"/>
        </w:rPr>
        <w:t xml:space="preserve">good fit, with an AIC of 43.3, </w:t>
      </w:r>
      <w:proofErr w:type="spellStart"/>
      <w:r w:rsidRPr="009C1AAD">
        <w:rPr>
          <w:rFonts w:ascii="Arial" w:eastAsiaTheme="minorEastAsia" w:hAnsi="Arial" w:cs="Arial"/>
          <w:sz w:val="22"/>
          <w:szCs w:val="22"/>
        </w:rPr>
        <w:t>AICc</w:t>
      </w:r>
      <w:proofErr w:type="spellEnd"/>
      <w:r w:rsidRPr="009C1AAD">
        <w:rPr>
          <w:rFonts w:ascii="Arial" w:eastAsiaTheme="minorEastAsia" w:hAnsi="Arial" w:cs="Arial"/>
          <w:sz w:val="22"/>
          <w:szCs w:val="22"/>
        </w:rPr>
        <w:t xml:space="preserve"> of 44.1, and BIC of 45.08.</w:t>
      </w:r>
    </w:p>
    <w:p w14:paraId="22474F82" w14:textId="77777777" w:rsidR="002B46B7" w:rsidRDefault="002B46B7" w:rsidP="009C1AAD">
      <w:pPr>
        <w:spacing w:line="480" w:lineRule="auto"/>
        <w:jc w:val="both"/>
        <w:rPr>
          <w:rFonts w:ascii="Arial" w:eastAsiaTheme="minorEastAsia" w:hAnsi="Arial" w:cs="Arial"/>
          <w:b/>
          <w:bCs/>
          <w:sz w:val="22"/>
          <w:szCs w:val="22"/>
        </w:rPr>
      </w:pPr>
    </w:p>
    <w:p w14:paraId="754F4833" w14:textId="6C054C26"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 xml:space="preserve">Table </w:t>
      </w:r>
      <w:r w:rsidR="001C76E4">
        <w:rPr>
          <w:rFonts w:ascii="Arial" w:eastAsiaTheme="minorEastAsia" w:hAnsi="Arial" w:cs="Arial"/>
          <w:b/>
          <w:bCs/>
          <w:sz w:val="22"/>
          <w:szCs w:val="22"/>
        </w:rPr>
        <w:t>8</w:t>
      </w:r>
      <w:r w:rsidRPr="009C1AAD">
        <w:rPr>
          <w:rFonts w:ascii="Arial" w:eastAsiaTheme="minorEastAsia" w:hAnsi="Arial" w:cs="Arial"/>
          <w:b/>
          <w:bCs/>
          <w:sz w:val="22"/>
          <w:szCs w:val="22"/>
        </w:rPr>
        <w:t>:</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Error measures for the selected ARIMA model</w:t>
      </w:r>
      <w:r w:rsidRPr="009C1AAD">
        <w:rPr>
          <w:rFonts w:ascii="Arial" w:eastAsiaTheme="minorEastAsia" w:hAnsi="Arial" w:cs="Aria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856"/>
        <w:gridCol w:w="856"/>
        <w:gridCol w:w="856"/>
        <w:gridCol w:w="856"/>
        <w:gridCol w:w="856"/>
        <w:gridCol w:w="944"/>
      </w:tblGrid>
      <w:tr w:rsidR="009C1AAD" w:rsidRPr="009C1AAD" w14:paraId="7E87196C" w14:textId="77777777" w:rsidTr="00DB522D">
        <w:trPr>
          <w:tblHeader/>
          <w:tblCellSpacing w:w="15" w:type="dxa"/>
        </w:trPr>
        <w:tc>
          <w:tcPr>
            <w:tcW w:w="0" w:type="auto"/>
            <w:tcBorders>
              <w:top w:val="single" w:sz="4" w:space="0" w:color="auto"/>
            </w:tcBorders>
            <w:vAlign w:val="center"/>
            <w:hideMark/>
          </w:tcPr>
          <w:p w14:paraId="7D91D5D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ME</w:t>
            </w:r>
          </w:p>
        </w:tc>
        <w:tc>
          <w:tcPr>
            <w:tcW w:w="0" w:type="auto"/>
            <w:tcBorders>
              <w:top w:val="single" w:sz="4" w:space="0" w:color="auto"/>
            </w:tcBorders>
            <w:vAlign w:val="center"/>
            <w:hideMark/>
          </w:tcPr>
          <w:p w14:paraId="5EC6A3E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tcBorders>
            <w:vAlign w:val="center"/>
            <w:hideMark/>
          </w:tcPr>
          <w:p w14:paraId="058AB14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0" w:type="auto"/>
            <w:tcBorders>
              <w:top w:val="single" w:sz="4" w:space="0" w:color="auto"/>
            </w:tcBorders>
            <w:vAlign w:val="center"/>
            <w:hideMark/>
          </w:tcPr>
          <w:p w14:paraId="34C0D5C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MPE</w:t>
            </w:r>
          </w:p>
        </w:tc>
        <w:tc>
          <w:tcPr>
            <w:tcW w:w="0" w:type="auto"/>
            <w:tcBorders>
              <w:top w:val="single" w:sz="4" w:space="0" w:color="auto"/>
            </w:tcBorders>
            <w:vAlign w:val="center"/>
            <w:hideMark/>
          </w:tcPr>
          <w:p w14:paraId="64D50D7A"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MAPE</w:t>
            </w:r>
          </w:p>
        </w:tc>
        <w:tc>
          <w:tcPr>
            <w:tcW w:w="0" w:type="auto"/>
            <w:tcBorders>
              <w:top w:val="single" w:sz="4" w:space="0" w:color="auto"/>
            </w:tcBorders>
            <w:vAlign w:val="center"/>
            <w:hideMark/>
          </w:tcPr>
          <w:p w14:paraId="5C72DC4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MASE</w:t>
            </w:r>
          </w:p>
        </w:tc>
        <w:tc>
          <w:tcPr>
            <w:tcW w:w="0" w:type="auto"/>
            <w:tcBorders>
              <w:top w:val="single" w:sz="4" w:space="0" w:color="auto"/>
            </w:tcBorders>
            <w:vAlign w:val="center"/>
            <w:hideMark/>
          </w:tcPr>
          <w:p w14:paraId="3D79A3A1"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ACF1</w:t>
            </w:r>
          </w:p>
        </w:tc>
      </w:tr>
      <w:tr w:rsidR="009C1AAD" w:rsidRPr="009C1AAD" w14:paraId="0438F0C6" w14:textId="77777777" w:rsidTr="00DB522D">
        <w:trPr>
          <w:tblCellSpacing w:w="15" w:type="dxa"/>
        </w:trPr>
        <w:tc>
          <w:tcPr>
            <w:tcW w:w="0" w:type="auto"/>
            <w:tcBorders>
              <w:top w:val="single" w:sz="4" w:space="0" w:color="auto"/>
              <w:bottom w:val="single" w:sz="4" w:space="0" w:color="auto"/>
            </w:tcBorders>
            <w:vAlign w:val="center"/>
            <w:hideMark/>
          </w:tcPr>
          <w:p w14:paraId="1FE73E7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0.00183</w:t>
            </w:r>
          </w:p>
        </w:tc>
        <w:tc>
          <w:tcPr>
            <w:tcW w:w="0" w:type="auto"/>
            <w:tcBorders>
              <w:top w:val="single" w:sz="4" w:space="0" w:color="auto"/>
              <w:bottom w:val="single" w:sz="4" w:space="0" w:color="auto"/>
            </w:tcBorders>
            <w:vAlign w:val="center"/>
            <w:hideMark/>
          </w:tcPr>
          <w:p w14:paraId="055358C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0.70178</w:t>
            </w:r>
          </w:p>
        </w:tc>
        <w:tc>
          <w:tcPr>
            <w:tcW w:w="0" w:type="auto"/>
            <w:tcBorders>
              <w:top w:val="single" w:sz="4" w:space="0" w:color="auto"/>
              <w:bottom w:val="single" w:sz="4" w:space="0" w:color="auto"/>
            </w:tcBorders>
            <w:vAlign w:val="center"/>
            <w:hideMark/>
          </w:tcPr>
          <w:p w14:paraId="6981C16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0.54218</w:t>
            </w:r>
          </w:p>
        </w:tc>
        <w:tc>
          <w:tcPr>
            <w:tcW w:w="0" w:type="auto"/>
            <w:tcBorders>
              <w:top w:val="single" w:sz="4" w:space="0" w:color="auto"/>
              <w:bottom w:val="single" w:sz="4" w:space="0" w:color="auto"/>
            </w:tcBorders>
            <w:vAlign w:val="center"/>
            <w:hideMark/>
          </w:tcPr>
          <w:p w14:paraId="31E66B7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0.00968</w:t>
            </w:r>
          </w:p>
        </w:tc>
        <w:tc>
          <w:tcPr>
            <w:tcW w:w="0" w:type="auto"/>
            <w:tcBorders>
              <w:top w:val="single" w:sz="4" w:space="0" w:color="auto"/>
              <w:bottom w:val="single" w:sz="4" w:space="0" w:color="auto"/>
            </w:tcBorders>
            <w:vAlign w:val="center"/>
            <w:hideMark/>
          </w:tcPr>
          <w:p w14:paraId="6FB540D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1.36907</w:t>
            </w:r>
          </w:p>
        </w:tc>
        <w:tc>
          <w:tcPr>
            <w:tcW w:w="0" w:type="auto"/>
            <w:tcBorders>
              <w:top w:val="single" w:sz="4" w:space="0" w:color="auto"/>
              <w:bottom w:val="single" w:sz="4" w:space="0" w:color="auto"/>
            </w:tcBorders>
            <w:vAlign w:val="center"/>
            <w:hideMark/>
          </w:tcPr>
          <w:p w14:paraId="17847F8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1.26744</w:t>
            </w:r>
          </w:p>
        </w:tc>
        <w:tc>
          <w:tcPr>
            <w:tcW w:w="0" w:type="auto"/>
            <w:tcBorders>
              <w:top w:val="single" w:sz="4" w:space="0" w:color="auto"/>
              <w:bottom w:val="single" w:sz="4" w:space="0" w:color="auto"/>
            </w:tcBorders>
            <w:vAlign w:val="center"/>
            <w:hideMark/>
          </w:tcPr>
          <w:p w14:paraId="511DEDC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-0.26638</w:t>
            </w:r>
          </w:p>
        </w:tc>
      </w:tr>
    </w:tbl>
    <w:p w14:paraId="177995DA" w14:textId="77777777" w:rsidR="009C1AAD" w:rsidRPr="002B46B7" w:rsidRDefault="009C1AAD" w:rsidP="009C1AAD">
      <w:pPr>
        <w:spacing w:line="480" w:lineRule="auto"/>
        <w:jc w:val="both"/>
        <w:rPr>
          <w:rFonts w:ascii="Arial" w:eastAsiaTheme="minorEastAsia" w:hAnsi="Arial" w:cs="Arial"/>
          <w:sz w:val="12"/>
          <w:szCs w:val="12"/>
        </w:rPr>
      </w:pPr>
    </w:p>
    <w:p w14:paraId="2E768F55" w14:textId="2C02E9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error measures for the selected ARIMA (0,1,0) with drift model indicate satisfactory model performance</w:t>
      </w:r>
      <w:r w:rsidR="004B5F73">
        <w:rPr>
          <w:rFonts w:ascii="Arial" w:eastAsiaTheme="minorEastAsia" w:hAnsi="Arial" w:cs="Arial"/>
          <w:sz w:val="22"/>
          <w:szCs w:val="22"/>
        </w:rPr>
        <w:t>,</w:t>
      </w:r>
      <w:r w:rsidRPr="009C1AAD">
        <w:rPr>
          <w:rFonts w:ascii="Arial" w:eastAsiaTheme="minorEastAsia" w:hAnsi="Arial" w:cs="Arial"/>
          <w:sz w:val="22"/>
          <w:szCs w:val="22"/>
        </w:rPr>
        <w:t xml:space="preserve"> as shown in Table </w:t>
      </w:r>
      <w:r w:rsidR="001C76E4">
        <w:rPr>
          <w:rFonts w:ascii="Arial" w:eastAsiaTheme="minorEastAsia" w:hAnsi="Arial" w:cs="Arial"/>
          <w:sz w:val="22"/>
          <w:szCs w:val="22"/>
        </w:rPr>
        <w:t>8</w:t>
      </w:r>
      <w:r w:rsidRPr="009C1AAD">
        <w:rPr>
          <w:rFonts w:ascii="Arial" w:eastAsiaTheme="minorEastAsia" w:hAnsi="Arial" w:cs="Arial"/>
          <w:sz w:val="22"/>
          <w:szCs w:val="22"/>
        </w:rPr>
        <w:t xml:space="preserve">. The mean error (ME) is 0.00183, suggesting minimal bias in predictions. The Root Mean Squared Error </w:t>
      </w:r>
      <w:r w:rsidRPr="009C1AAD">
        <w:rPr>
          <w:rFonts w:ascii="Arial" w:eastAsiaTheme="minorEastAsia" w:hAnsi="Arial" w:cs="Arial"/>
          <w:sz w:val="22"/>
          <w:szCs w:val="22"/>
        </w:rPr>
        <w:lastRenderedPageBreak/>
        <w:t xml:space="preserve">(RMSE) and Mean Absolute Error (MAE) are 0.70178 and 0.54218, respectively, indicating moderate deviations between observed and fitted values. The Mean Percentage Error (MPE) of 0.00968 and </w:t>
      </w:r>
      <w:r w:rsidR="004B5F73">
        <w:rPr>
          <w:rFonts w:ascii="Arial" w:eastAsiaTheme="minorEastAsia" w:hAnsi="Arial" w:cs="Arial"/>
          <w:sz w:val="22"/>
          <w:szCs w:val="22"/>
        </w:rPr>
        <w:t xml:space="preserve">the </w:t>
      </w:r>
      <w:r w:rsidRPr="009C1AAD">
        <w:rPr>
          <w:rFonts w:ascii="Arial" w:eastAsiaTheme="minorEastAsia" w:hAnsi="Arial" w:cs="Arial"/>
          <w:sz w:val="22"/>
          <w:szCs w:val="22"/>
        </w:rPr>
        <w:t>Mean Absolute Percentage Error (MAPE) of 1.36907 reflect low relative error. The Mean Absolute Scaled Error (MASE) is 1.26744, and the first-order autocorrelation of residuals (ACF1) is -0.26638, suggesting no strong residual autocorrelation.</w:t>
      </w:r>
    </w:p>
    <w:p w14:paraId="201847D6" w14:textId="3ECE8341"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Table </w:t>
      </w:r>
      <w:r w:rsidR="002B46B7">
        <w:rPr>
          <w:rFonts w:ascii="Arial" w:eastAsiaTheme="minorEastAsia" w:hAnsi="Arial" w:cs="Arial"/>
          <w:b/>
          <w:bCs/>
          <w:sz w:val="22"/>
          <w:szCs w:val="22"/>
        </w:rPr>
        <w:t>9</w:t>
      </w:r>
      <w:r w:rsidRPr="009C1AAD">
        <w:rPr>
          <w:rFonts w:ascii="Arial" w:eastAsiaTheme="minorEastAsia" w:hAnsi="Arial" w:cs="Arial"/>
          <w:b/>
          <w:bCs/>
          <w:sz w:val="22"/>
          <w:szCs w:val="22"/>
        </w:rPr>
        <w:t xml:space="preserve">: Model specification and diagnostic metrics for </w:t>
      </w:r>
      <w:r w:rsidR="002B46B7" w:rsidRPr="002B46B7">
        <w:rPr>
          <w:rFonts w:ascii="Arial" w:eastAsiaTheme="minorEastAsia" w:hAnsi="Arial" w:cs="Arial"/>
          <w:b/>
          <w:bCs/>
          <w:sz w:val="22"/>
          <w:szCs w:val="22"/>
        </w:rPr>
        <w:t>ARIMAX (0,1,1)</w:t>
      </w:r>
      <w:r w:rsidRPr="009C1AAD">
        <w:rPr>
          <w:rFonts w:ascii="Arial" w:eastAsiaTheme="minorEastAsia" w:hAnsi="Arial" w:cs="Arial"/>
          <w:b/>
          <w:bCs/>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5"/>
        <w:gridCol w:w="1333"/>
        <w:gridCol w:w="968"/>
        <w:gridCol w:w="794"/>
        <w:gridCol w:w="1160"/>
        <w:gridCol w:w="611"/>
        <w:gridCol w:w="611"/>
        <w:gridCol w:w="626"/>
      </w:tblGrid>
      <w:tr w:rsidR="009C1AAD" w:rsidRPr="009C1AAD" w14:paraId="53B8A012" w14:textId="77777777" w:rsidTr="00DB522D">
        <w:trPr>
          <w:tblHeader/>
          <w:tblCellSpacing w:w="15" w:type="dxa"/>
        </w:trPr>
        <w:tc>
          <w:tcPr>
            <w:tcW w:w="2655" w:type="dxa"/>
            <w:tcBorders>
              <w:top w:val="single" w:sz="4" w:space="0" w:color="auto"/>
            </w:tcBorders>
            <w:vAlign w:val="center"/>
            <w:hideMark/>
          </w:tcPr>
          <w:p w14:paraId="5E889B15"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1410" w:type="dxa"/>
            <w:tcBorders>
              <w:top w:val="single" w:sz="4" w:space="0" w:color="auto"/>
            </w:tcBorders>
            <w:vAlign w:val="center"/>
            <w:hideMark/>
          </w:tcPr>
          <w:p w14:paraId="39B25344"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1123" w:type="dxa"/>
            <w:tcBorders>
              <w:top w:val="single" w:sz="4" w:space="0" w:color="auto"/>
            </w:tcBorders>
            <w:vAlign w:val="center"/>
            <w:hideMark/>
          </w:tcPr>
          <w:p w14:paraId="09311AF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Std. Error</w:t>
            </w:r>
          </w:p>
        </w:tc>
        <w:tc>
          <w:tcPr>
            <w:tcW w:w="0" w:type="auto"/>
            <w:tcBorders>
              <w:top w:val="single" w:sz="4" w:space="0" w:color="auto"/>
            </w:tcBorders>
            <w:vAlign w:val="center"/>
            <w:hideMark/>
          </w:tcPr>
          <w:p w14:paraId="3BE53A1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Sigma²</w:t>
            </w:r>
          </w:p>
        </w:tc>
        <w:tc>
          <w:tcPr>
            <w:tcW w:w="0" w:type="auto"/>
            <w:tcBorders>
              <w:top w:val="single" w:sz="4" w:space="0" w:color="auto"/>
            </w:tcBorders>
            <w:vAlign w:val="center"/>
            <w:hideMark/>
          </w:tcPr>
          <w:p w14:paraId="63F290EB"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Log Likelihood</w:t>
            </w:r>
          </w:p>
        </w:tc>
        <w:tc>
          <w:tcPr>
            <w:tcW w:w="0" w:type="auto"/>
            <w:tcBorders>
              <w:top w:val="single" w:sz="4" w:space="0" w:color="auto"/>
            </w:tcBorders>
            <w:vAlign w:val="center"/>
            <w:hideMark/>
          </w:tcPr>
          <w:p w14:paraId="6BAE7E48"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0" w:type="auto"/>
            <w:tcBorders>
              <w:top w:val="single" w:sz="4" w:space="0" w:color="auto"/>
            </w:tcBorders>
            <w:vAlign w:val="center"/>
            <w:hideMark/>
          </w:tcPr>
          <w:p w14:paraId="202F741D" w14:textId="77777777" w:rsidR="009C1AAD" w:rsidRPr="009C1AAD" w:rsidRDefault="009C1AAD" w:rsidP="00DB522D">
            <w:pPr>
              <w:spacing w:line="480" w:lineRule="auto"/>
              <w:jc w:val="both"/>
              <w:rPr>
                <w:rFonts w:ascii="Arial" w:eastAsiaTheme="minorEastAsia" w:hAnsi="Arial" w:cs="Arial"/>
                <w:b/>
                <w:bCs/>
                <w:sz w:val="22"/>
                <w:szCs w:val="22"/>
              </w:rPr>
            </w:pPr>
            <w:proofErr w:type="spellStart"/>
            <w:r w:rsidRPr="009C1AAD">
              <w:rPr>
                <w:rFonts w:ascii="Arial" w:eastAsiaTheme="minorEastAsia" w:hAnsi="Arial" w:cs="Arial"/>
                <w:b/>
                <w:bCs/>
                <w:sz w:val="22"/>
                <w:szCs w:val="22"/>
              </w:rPr>
              <w:t>AICc</w:t>
            </w:r>
            <w:proofErr w:type="spellEnd"/>
          </w:p>
        </w:tc>
        <w:tc>
          <w:tcPr>
            <w:tcW w:w="0" w:type="auto"/>
            <w:tcBorders>
              <w:top w:val="single" w:sz="4" w:space="0" w:color="auto"/>
            </w:tcBorders>
            <w:vAlign w:val="center"/>
            <w:hideMark/>
          </w:tcPr>
          <w:p w14:paraId="57863C00"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BIC</w:t>
            </w:r>
          </w:p>
        </w:tc>
      </w:tr>
      <w:tr w:rsidR="009C1AAD" w:rsidRPr="009C1AAD" w14:paraId="051AC967" w14:textId="77777777" w:rsidTr="00DB522D">
        <w:trPr>
          <w:tblCellSpacing w:w="15" w:type="dxa"/>
        </w:trPr>
        <w:tc>
          <w:tcPr>
            <w:tcW w:w="2655" w:type="dxa"/>
            <w:tcBorders>
              <w:top w:val="single" w:sz="4" w:space="0" w:color="auto"/>
              <w:bottom w:val="single" w:sz="4" w:space="0" w:color="auto"/>
            </w:tcBorders>
            <w:vAlign w:val="center"/>
            <w:hideMark/>
          </w:tcPr>
          <w:p w14:paraId="6CE1A4BC" w14:textId="5E793DC6"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 xml:space="preserve">Regression with </w:t>
            </w:r>
            <w:proofErr w:type="gramStart"/>
            <w:r w:rsidRPr="009C1AAD">
              <w:rPr>
                <w:rFonts w:ascii="Arial" w:eastAsiaTheme="minorEastAsia" w:hAnsi="Arial" w:cs="Arial"/>
                <w:sz w:val="22"/>
                <w:szCs w:val="22"/>
              </w:rPr>
              <w:t>ARIMA</w:t>
            </w:r>
            <w:r w:rsidR="002B46B7">
              <w:rPr>
                <w:rFonts w:ascii="Arial" w:eastAsiaTheme="minorEastAsia" w:hAnsi="Arial" w:cs="Arial"/>
                <w:sz w:val="22"/>
                <w:szCs w:val="22"/>
              </w:rPr>
              <w:t>X</w:t>
            </w:r>
            <w:r w:rsidRPr="009C1AAD">
              <w:rPr>
                <w:rFonts w:ascii="Arial" w:eastAsiaTheme="minorEastAsia" w:hAnsi="Arial" w:cs="Arial"/>
                <w:sz w:val="22"/>
                <w:szCs w:val="22"/>
              </w:rPr>
              <w:t>(</w:t>
            </w:r>
            <w:proofErr w:type="gramEnd"/>
            <w:r w:rsidRPr="009C1AAD">
              <w:rPr>
                <w:rFonts w:ascii="Arial" w:eastAsiaTheme="minorEastAsia" w:hAnsi="Arial" w:cs="Arial"/>
                <w:sz w:val="22"/>
                <w:szCs w:val="22"/>
              </w:rPr>
              <w:t>0,1,</w:t>
            </w:r>
            <w:r w:rsidR="002B46B7">
              <w:rPr>
                <w:rFonts w:ascii="Arial" w:eastAsiaTheme="minorEastAsia" w:hAnsi="Arial" w:cs="Arial"/>
                <w:sz w:val="22"/>
                <w:szCs w:val="22"/>
              </w:rPr>
              <w:t>1</w:t>
            </w:r>
            <w:r w:rsidRPr="009C1AAD">
              <w:rPr>
                <w:rFonts w:ascii="Arial" w:eastAsiaTheme="minorEastAsia" w:hAnsi="Arial" w:cs="Arial"/>
                <w:sz w:val="22"/>
                <w:szCs w:val="22"/>
              </w:rPr>
              <w:t>) errors</w:t>
            </w:r>
          </w:p>
        </w:tc>
        <w:tc>
          <w:tcPr>
            <w:tcW w:w="1410" w:type="dxa"/>
            <w:tcBorders>
              <w:top w:val="single" w:sz="4" w:space="0" w:color="auto"/>
              <w:bottom w:val="single" w:sz="4" w:space="0" w:color="auto"/>
            </w:tcBorders>
            <w:vAlign w:val="center"/>
            <w:hideMark/>
          </w:tcPr>
          <w:p w14:paraId="2779A41A" w14:textId="77777777" w:rsidR="009C1AAD" w:rsidRPr="009C1AAD" w:rsidRDefault="009C1AAD" w:rsidP="00DB522D">
            <w:pPr>
              <w:spacing w:line="480" w:lineRule="auto"/>
              <w:jc w:val="center"/>
              <w:rPr>
                <w:rFonts w:ascii="Arial" w:eastAsiaTheme="minorEastAsia" w:hAnsi="Arial" w:cs="Arial"/>
                <w:sz w:val="22"/>
                <w:szCs w:val="22"/>
              </w:rPr>
            </w:pPr>
            <w:proofErr w:type="spellStart"/>
            <w:r w:rsidRPr="009C1AAD">
              <w:rPr>
                <w:rFonts w:ascii="Arial" w:eastAsiaTheme="minorEastAsia" w:hAnsi="Arial" w:cs="Arial"/>
                <w:sz w:val="22"/>
                <w:szCs w:val="22"/>
              </w:rPr>
              <w:t>xreg</w:t>
            </w:r>
            <w:proofErr w:type="spellEnd"/>
            <w:r w:rsidRPr="009C1AAD">
              <w:rPr>
                <w:rFonts w:ascii="Arial" w:eastAsiaTheme="minorEastAsia" w:hAnsi="Arial" w:cs="Arial"/>
                <w:sz w:val="22"/>
                <w:szCs w:val="22"/>
              </w:rPr>
              <w:t xml:space="preserve"> = 3.9000</w:t>
            </w:r>
          </w:p>
        </w:tc>
        <w:tc>
          <w:tcPr>
            <w:tcW w:w="1123" w:type="dxa"/>
            <w:tcBorders>
              <w:top w:val="single" w:sz="4" w:space="0" w:color="auto"/>
              <w:bottom w:val="single" w:sz="4" w:space="0" w:color="auto"/>
            </w:tcBorders>
            <w:vAlign w:val="center"/>
            <w:hideMark/>
          </w:tcPr>
          <w:p w14:paraId="0099513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2.4865</w:t>
            </w:r>
          </w:p>
        </w:tc>
        <w:tc>
          <w:tcPr>
            <w:tcW w:w="0" w:type="auto"/>
            <w:tcBorders>
              <w:top w:val="single" w:sz="4" w:space="0" w:color="auto"/>
              <w:bottom w:val="single" w:sz="4" w:space="0" w:color="auto"/>
            </w:tcBorders>
            <w:vAlign w:val="center"/>
            <w:hideMark/>
          </w:tcPr>
          <w:p w14:paraId="14CC6CD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0.655</w:t>
            </w:r>
          </w:p>
        </w:tc>
        <w:tc>
          <w:tcPr>
            <w:tcW w:w="0" w:type="auto"/>
            <w:tcBorders>
              <w:top w:val="single" w:sz="4" w:space="0" w:color="auto"/>
              <w:bottom w:val="single" w:sz="4" w:space="0" w:color="auto"/>
            </w:tcBorders>
            <w:vAlign w:val="center"/>
            <w:hideMark/>
          </w:tcPr>
          <w:p w14:paraId="0177414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-21.21</w:t>
            </w:r>
          </w:p>
        </w:tc>
        <w:tc>
          <w:tcPr>
            <w:tcW w:w="0" w:type="auto"/>
            <w:tcBorders>
              <w:top w:val="single" w:sz="4" w:space="0" w:color="auto"/>
              <w:bottom w:val="single" w:sz="4" w:space="0" w:color="auto"/>
            </w:tcBorders>
            <w:vAlign w:val="center"/>
            <w:hideMark/>
          </w:tcPr>
          <w:p w14:paraId="570F29D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46.43</w:t>
            </w:r>
          </w:p>
        </w:tc>
        <w:tc>
          <w:tcPr>
            <w:tcW w:w="0" w:type="auto"/>
            <w:tcBorders>
              <w:top w:val="single" w:sz="4" w:space="0" w:color="auto"/>
              <w:bottom w:val="single" w:sz="4" w:space="0" w:color="auto"/>
            </w:tcBorders>
            <w:vAlign w:val="center"/>
            <w:hideMark/>
          </w:tcPr>
          <w:p w14:paraId="7BC55A1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47.23</w:t>
            </w:r>
          </w:p>
        </w:tc>
        <w:tc>
          <w:tcPr>
            <w:tcW w:w="0" w:type="auto"/>
            <w:tcBorders>
              <w:top w:val="single" w:sz="4" w:space="0" w:color="auto"/>
              <w:bottom w:val="single" w:sz="4" w:space="0" w:color="auto"/>
            </w:tcBorders>
            <w:vAlign w:val="center"/>
            <w:hideMark/>
          </w:tcPr>
          <w:p w14:paraId="5D1EE3E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48.21</w:t>
            </w:r>
          </w:p>
        </w:tc>
      </w:tr>
    </w:tbl>
    <w:p w14:paraId="6FAD20C6" w14:textId="77777777" w:rsidR="009C1AAD" w:rsidRPr="009C1AAD" w:rsidRDefault="009C1AAD" w:rsidP="009C1AAD">
      <w:pPr>
        <w:spacing w:line="480" w:lineRule="auto"/>
        <w:jc w:val="both"/>
        <w:rPr>
          <w:rFonts w:ascii="Arial" w:eastAsiaTheme="minorEastAsia" w:hAnsi="Arial" w:cs="Arial"/>
          <w:sz w:val="22"/>
          <w:szCs w:val="22"/>
        </w:rPr>
      </w:pPr>
    </w:p>
    <w:p w14:paraId="5FCF3A26" w14:textId="06C33E45"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w:t>
      </w:r>
      <w:r w:rsidRPr="009C1AAD">
        <w:rPr>
          <w:rFonts w:ascii="Arial" w:eastAsiaTheme="minorEastAsia" w:hAnsi="Arial" w:cs="Arial"/>
          <w:b/>
          <w:bCs/>
          <w:sz w:val="22"/>
          <w:szCs w:val="22"/>
        </w:rPr>
        <w:t xml:space="preserve"> </w:t>
      </w:r>
      <w:r w:rsidRPr="009C1AAD">
        <w:rPr>
          <w:rFonts w:ascii="Arial" w:eastAsiaTheme="minorEastAsia" w:hAnsi="Arial" w:cs="Arial"/>
          <w:sz w:val="22"/>
          <w:szCs w:val="22"/>
        </w:rPr>
        <w:t xml:space="preserve">coefficient estimates with standard errors, residual variance (σ² = 0.655), and information criteria (AIC = 46.43, </w:t>
      </w:r>
      <w:proofErr w:type="spellStart"/>
      <w:r w:rsidRPr="009C1AAD">
        <w:rPr>
          <w:rFonts w:ascii="Arial" w:eastAsiaTheme="minorEastAsia" w:hAnsi="Arial" w:cs="Arial"/>
          <w:sz w:val="22"/>
          <w:szCs w:val="22"/>
        </w:rPr>
        <w:t>AICc</w:t>
      </w:r>
      <w:proofErr w:type="spellEnd"/>
      <w:r w:rsidRPr="009C1AAD">
        <w:rPr>
          <w:rFonts w:ascii="Arial" w:eastAsiaTheme="minorEastAsia" w:hAnsi="Arial" w:cs="Arial"/>
          <w:sz w:val="22"/>
          <w:szCs w:val="22"/>
        </w:rPr>
        <w:t xml:space="preserve"> = 47.23, BIC = 48.21) in Table 9 indicate moderate model fit with the exogenous variable coefficient of 3.900 (SE = 2.487)</w:t>
      </w:r>
      <w:r w:rsidR="004B5F73">
        <w:rPr>
          <w:rFonts w:ascii="Arial" w:eastAsiaTheme="minorEastAsia" w:hAnsi="Arial" w:cs="Arial"/>
          <w:sz w:val="22"/>
          <w:szCs w:val="22"/>
        </w:rPr>
        <w:t>,</w:t>
      </w:r>
      <w:r w:rsidRPr="009C1AAD">
        <w:rPr>
          <w:rFonts w:ascii="Arial" w:eastAsiaTheme="minorEastAsia" w:hAnsi="Arial" w:cs="Arial"/>
          <w:sz w:val="22"/>
          <w:szCs w:val="22"/>
        </w:rPr>
        <w:t xml:space="preserve"> suggesting a positive but statistically non-significant relationship (p &gt; 0.05) with the dependent variable.</w:t>
      </w:r>
    </w:p>
    <w:p w14:paraId="296B06B3" w14:textId="77777777" w:rsidR="001C76E4" w:rsidRDefault="001C76E4" w:rsidP="009C1AAD">
      <w:pPr>
        <w:spacing w:line="480" w:lineRule="auto"/>
        <w:jc w:val="both"/>
        <w:rPr>
          <w:rFonts w:ascii="Arial" w:eastAsiaTheme="minorEastAsia" w:hAnsi="Arial" w:cs="Arial"/>
          <w:b/>
          <w:bCs/>
          <w:sz w:val="22"/>
          <w:szCs w:val="22"/>
        </w:rPr>
      </w:pPr>
    </w:p>
    <w:p w14:paraId="2BF6A523" w14:textId="7C2FC640"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w:t>
      </w:r>
      <w:r w:rsidR="002B46B7">
        <w:rPr>
          <w:rFonts w:ascii="Arial" w:eastAsiaTheme="minorEastAsia" w:hAnsi="Arial" w:cs="Arial"/>
          <w:b/>
          <w:bCs/>
          <w:sz w:val="22"/>
          <w:szCs w:val="22"/>
        </w:rPr>
        <w:t>0</w:t>
      </w:r>
      <w:r w:rsidRPr="009C1AAD">
        <w:rPr>
          <w:rFonts w:ascii="Arial" w:eastAsiaTheme="minorEastAsia" w:hAnsi="Arial" w:cs="Arial"/>
          <w:b/>
          <w:bCs/>
          <w:sz w:val="22"/>
          <w:szCs w:val="22"/>
        </w:rPr>
        <w:t xml:space="preserve">: </w:t>
      </w:r>
      <w:r w:rsidR="003D5428" w:rsidRPr="003D5428">
        <w:rPr>
          <w:rFonts w:ascii="Arial" w:eastAsiaTheme="minorEastAsia" w:hAnsi="Arial" w:cs="Arial"/>
          <w:b/>
          <w:bCs/>
          <w:sz w:val="22"/>
          <w:szCs w:val="22"/>
        </w:rPr>
        <w:t>ARIMAX (0,1,1)</w:t>
      </w:r>
      <w:r w:rsidRPr="009C1AAD">
        <w:rPr>
          <w:rFonts w:ascii="Arial" w:eastAsiaTheme="minorEastAsia" w:hAnsi="Arial" w:cs="Arial"/>
          <w:b/>
          <w:bCs/>
          <w:sz w:val="22"/>
          <w:szCs w:val="22"/>
        </w:rPr>
        <w:t xml:space="preserve"> Model Coefficients and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1320"/>
        <w:gridCol w:w="1197"/>
        <w:gridCol w:w="1377"/>
        <w:gridCol w:w="712"/>
        <w:gridCol w:w="749"/>
        <w:gridCol w:w="1201"/>
      </w:tblGrid>
      <w:tr w:rsidR="009C1AAD" w:rsidRPr="009C1AAD" w14:paraId="76D0C4D8" w14:textId="77777777" w:rsidTr="00DB522D">
        <w:trPr>
          <w:tblHeader/>
          <w:tblCellSpacing w:w="15" w:type="dxa"/>
        </w:trPr>
        <w:tc>
          <w:tcPr>
            <w:tcW w:w="0" w:type="auto"/>
            <w:tcBorders>
              <w:top w:val="single" w:sz="4" w:space="0" w:color="auto"/>
            </w:tcBorders>
            <w:vAlign w:val="center"/>
            <w:hideMark/>
          </w:tcPr>
          <w:p w14:paraId="302A07A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tcBorders>
            <w:vAlign w:val="center"/>
            <w:hideMark/>
          </w:tcPr>
          <w:p w14:paraId="5775817D"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Variable</w:t>
            </w:r>
          </w:p>
        </w:tc>
        <w:tc>
          <w:tcPr>
            <w:tcW w:w="0" w:type="auto"/>
            <w:tcBorders>
              <w:top w:val="single" w:sz="4" w:space="0" w:color="auto"/>
            </w:tcBorders>
            <w:vAlign w:val="center"/>
            <w:hideMark/>
          </w:tcPr>
          <w:p w14:paraId="51F58C19"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0" w:type="auto"/>
            <w:tcBorders>
              <w:top w:val="single" w:sz="4" w:space="0" w:color="auto"/>
            </w:tcBorders>
            <w:vAlign w:val="center"/>
            <w:hideMark/>
          </w:tcPr>
          <w:p w14:paraId="540C864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Standard Error</w:t>
            </w:r>
          </w:p>
        </w:tc>
        <w:tc>
          <w:tcPr>
            <w:tcW w:w="0" w:type="auto"/>
            <w:tcBorders>
              <w:top w:val="single" w:sz="4" w:space="0" w:color="auto"/>
            </w:tcBorders>
            <w:vAlign w:val="center"/>
            <w:hideMark/>
          </w:tcPr>
          <w:p w14:paraId="7F893566"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t-value</w:t>
            </w:r>
          </w:p>
        </w:tc>
        <w:tc>
          <w:tcPr>
            <w:tcW w:w="0" w:type="auto"/>
            <w:tcBorders>
              <w:top w:val="single" w:sz="4" w:space="0" w:color="auto"/>
            </w:tcBorders>
            <w:vAlign w:val="center"/>
            <w:hideMark/>
          </w:tcPr>
          <w:p w14:paraId="4DD28CCE"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tcBorders>
            <w:vAlign w:val="center"/>
            <w:hideMark/>
          </w:tcPr>
          <w:p w14:paraId="21709354"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95% CI</w:t>
            </w:r>
          </w:p>
        </w:tc>
      </w:tr>
      <w:tr w:rsidR="009C1AAD" w:rsidRPr="009C1AAD" w14:paraId="3A2D04BF" w14:textId="77777777" w:rsidTr="00DB522D">
        <w:trPr>
          <w:tblCellSpacing w:w="15" w:type="dxa"/>
        </w:trPr>
        <w:tc>
          <w:tcPr>
            <w:tcW w:w="0" w:type="auto"/>
            <w:tcBorders>
              <w:top w:val="single" w:sz="4" w:space="0" w:color="auto"/>
            </w:tcBorders>
            <w:vAlign w:val="center"/>
            <w:hideMark/>
          </w:tcPr>
          <w:p w14:paraId="421C8FA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Temperature Only</w:t>
            </w:r>
          </w:p>
        </w:tc>
        <w:tc>
          <w:tcPr>
            <w:tcW w:w="0" w:type="auto"/>
            <w:tcBorders>
              <w:top w:val="single" w:sz="4" w:space="0" w:color="auto"/>
            </w:tcBorders>
            <w:vAlign w:val="center"/>
            <w:hideMark/>
          </w:tcPr>
          <w:p w14:paraId="5CC0A76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tcBorders>
              <w:top w:val="single" w:sz="4" w:space="0" w:color="auto"/>
            </w:tcBorders>
            <w:vAlign w:val="center"/>
            <w:hideMark/>
          </w:tcPr>
          <w:p w14:paraId="65E3062A"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3.900</w:t>
            </w:r>
          </w:p>
        </w:tc>
        <w:tc>
          <w:tcPr>
            <w:tcW w:w="0" w:type="auto"/>
            <w:tcBorders>
              <w:top w:val="single" w:sz="4" w:space="0" w:color="auto"/>
            </w:tcBorders>
            <w:vAlign w:val="center"/>
            <w:hideMark/>
          </w:tcPr>
          <w:p w14:paraId="51705ABD"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2.487</w:t>
            </w:r>
          </w:p>
        </w:tc>
        <w:tc>
          <w:tcPr>
            <w:tcW w:w="0" w:type="auto"/>
            <w:tcBorders>
              <w:top w:val="single" w:sz="4" w:space="0" w:color="auto"/>
            </w:tcBorders>
            <w:vAlign w:val="center"/>
            <w:hideMark/>
          </w:tcPr>
          <w:p w14:paraId="5E55EA9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1.568</w:t>
            </w:r>
          </w:p>
        </w:tc>
        <w:tc>
          <w:tcPr>
            <w:tcW w:w="0" w:type="auto"/>
            <w:tcBorders>
              <w:top w:val="single" w:sz="4" w:space="0" w:color="auto"/>
            </w:tcBorders>
            <w:vAlign w:val="center"/>
            <w:hideMark/>
          </w:tcPr>
          <w:p w14:paraId="2114715A"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0.117</w:t>
            </w:r>
          </w:p>
        </w:tc>
        <w:tc>
          <w:tcPr>
            <w:tcW w:w="0" w:type="auto"/>
            <w:tcBorders>
              <w:top w:val="single" w:sz="4" w:space="0" w:color="auto"/>
            </w:tcBorders>
            <w:vAlign w:val="center"/>
            <w:hideMark/>
          </w:tcPr>
          <w:p w14:paraId="284D57C6"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[-0.974, 8.774]</w:t>
            </w:r>
          </w:p>
        </w:tc>
      </w:tr>
      <w:tr w:rsidR="009C1AAD" w:rsidRPr="009C1AAD" w14:paraId="083E22D7" w14:textId="77777777" w:rsidTr="00DB522D">
        <w:trPr>
          <w:tblCellSpacing w:w="15" w:type="dxa"/>
        </w:trPr>
        <w:tc>
          <w:tcPr>
            <w:tcW w:w="0" w:type="auto"/>
            <w:vAlign w:val="center"/>
            <w:hideMark/>
          </w:tcPr>
          <w:p w14:paraId="6C1BE79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lastRenderedPageBreak/>
              <w:t>Climate Only</w:t>
            </w:r>
          </w:p>
        </w:tc>
        <w:tc>
          <w:tcPr>
            <w:tcW w:w="0" w:type="auto"/>
            <w:vAlign w:val="center"/>
            <w:hideMark/>
          </w:tcPr>
          <w:p w14:paraId="05910572"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278A9BB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4.278</w:t>
            </w:r>
          </w:p>
        </w:tc>
        <w:tc>
          <w:tcPr>
            <w:tcW w:w="0" w:type="auto"/>
            <w:vAlign w:val="center"/>
            <w:hideMark/>
          </w:tcPr>
          <w:p w14:paraId="0B838E66"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1.699</w:t>
            </w:r>
          </w:p>
        </w:tc>
        <w:tc>
          <w:tcPr>
            <w:tcW w:w="0" w:type="auto"/>
            <w:vAlign w:val="center"/>
            <w:hideMark/>
          </w:tcPr>
          <w:p w14:paraId="50FAA24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2.517</w:t>
            </w:r>
          </w:p>
        </w:tc>
        <w:tc>
          <w:tcPr>
            <w:tcW w:w="0" w:type="auto"/>
            <w:vAlign w:val="center"/>
            <w:hideMark/>
          </w:tcPr>
          <w:p w14:paraId="3A2FE1EC"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0.012</w:t>
            </w:r>
          </w:p>
        </w:tc>
        <w:tc>
          <w:tcPr>
            <w:tcW w:w="0" w:type="auto"/>
            <w:vAlign w:val="center"/>
            <w:hideMark/>
          </w:tcPr>
          <w:p w14:paraId="59FADEB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[0.948, 7.608]</w:t>
            </w:r>
          </w:p>
        </w:tc>
      </w:tr>
      <w:tr w:rsidR="009C1AAD" w:rsidRPr="009C1AAD" w14:paraId="52013786" w14:textId="77777777" w:rsidTr="00DB522D">
        <w:trPr>
          <w:tblCellSpacing w:w="15" w:type="dxa"/>
        </w:trPr>
        <w:tc>
          <w:tcPr>
            <w:tcW w:w="0" w:type="auto"/>
            <w:vAlign w:val="center"/>
            <w:hideMark/>
          </w:tcPr>
          <w:p w14:paraId="52CB533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Both Variables</w:t>
            </w:r>
          </w:p>
        </w:tc>
        <w:tc>
          <w:tcPr>
            <w:tcW w:w="0" w:type="auto"/>
            <w:vAlign w:val="center"/>
            <w:hideMark/>
          </w:tcPr>
          <w:p w14:paraId="5D445F4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230777F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-0.850</w:t>
            </w:r>
          </w:p>
        </w:tc>
        <w:tc>
          <w:tcPr>
            <w:tcW w:w="0" w:type="auto"/>
            <w:vAlign w:val="center"/>
            <w:hideMark/>
          </w:tcPr>
          <w:p w14:paraId="7092046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3.414</w:t>
            </w:r>
          </w:p>
        </w:tc>
        <w:tc>
          <w:tcPr>
            <w:tcW w:w="0" w:type="auto"/>
            <w:vAlign w:val="center"/>
            <w:hideMark/>
          </w:tcPr>
          <w:p w14:paraId="2CC02D8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-0.249</w:t>
            </w:r>
          </w:p>
        </w:tc>
        <w:tc>
          <w:tcPr>
            <w:tcW w:w="0" w:type="auto"/>
            <w:vAlign w:val="center"/>
            <w:hideMark/>
          </w:tcPr>
          <w:p w14:paraId="639E5CF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0.803</w:t>
            </w:r>
          </w:p>
        </w:tc>
        <w:tc>
          <w:tcPr>
            <w:tcW w:w="0" w:type="auto"/>
            <w:vAlign w:val="center"/>
            <w:hideMark/>
          </w:tcPr>
          <w:p w14:paraId="4D625FC7"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[-7.541, 5.841]</w:t>
            </w:r>
          </w:p>
        </w:tc>
      </w:tr>
      <w:tr w:rsidR="009C1AAD" w:rsidRPr="009C1AAD" w14:paraId="2A078209" w14:textId="77777777" w:rsidTr="00DB522D">
        <w:trPr>
          <w:tblCellSpacing w:w="15" w:type="dxa"/>
        </w:trPr>
        <w:tc>
          <w:tcPr>
            <w:tcW w:w="0" w:type="auto"/>
            <w:tcBorders>
              <w:bottom w:val="single" w:sz="4" w:space="0" w:color="auto"/>
            </w:tcBorders>
            <w:vAlign w:val="center"/>
            <w:hideMark/>
          </w:tcPr>
          <w:p w14:paraId="13BBEE8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Both Variables</w:t>
            </w:r>
          </w:p>
        </w:tc>
        <w:tc>
          <w:tcPr>
            <w:tcW w:w="0" w:type="auto"/>
            <w:tcBorders>
              <w:bottom w:val="single" w:sz="4" w:space="0" w:color="auto"/>
            </w:tcBorders>
            <w:vAlign w:val="center"/>
            <w:hideMark/>
          </w:tcPr>
          <w:p w14:paraId="2BBAFC53"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tcBorders>
              <w:bottom w:val="single" w:sz="4" w:space="0" w:color="auto"/>
            </w:tcBorders>
            <w:vAlign w:val="center"/>
            <w:hideMark/>
          </w:tcPr>
          <w:p w14:paraId="3F6ECDF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4.750</w:t>
            </w:r>
          </w:p>
        </w:tc>
        <w:tc>
          <w:tcPr>
            <w:tcW w:w="0" w:type="auto"/>
            <w:tcBorders>
              <w:bottom w:val="single" w:sz="4" w:space="0" w:color="auto"/>
            </w:tcBorders>
            <w:vAlign w:val="center"/>
            <w:hideMark/>
          </w:tcPr>
          <w:p w14:paraId="18E0B0C9"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2.545</w:t>
            </w:r>
          </w:p>
        </w:tc>
        <w:tc>
          <w:tcPr>
            <w:tcW w:w="0" w:type="auto"/>
            <w:tcBorders>
              <w:bottom w:val="single" w:sz="4" w:space="0" w:color="auto"/>
            </w:tcBorders>
            <w:vAlign w:val="center"/>
            <w:hideMark/>
          </w:tcPr>
          <w:p w14:paraId="7EEAD500"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1.866</w:t>
            </w:r>
          </w:p>
        </w:tc>
        <w:tc>
          <w:tcPr>
            <w:tcW w:w="0" w:type="auto"/>
            <w:tcBorders>
              <w:bottom w:val="single" w:sz="4" w:space="0" w:color="auto"/>
            </w:tcBorders>
            <w:vAlign w:val="center"/>
            <w:hideMark/>
          </w:tcPr>
          <w:p w14:paraId="11FA53D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0.062</w:t>
            </w:r>
          </w:p>
        </w:tc>
        <w:tc>
          <w:tcPr>
            <w:tcW w:w="0" w:type="auto"/>
            <w:tcBorders>
              <w:bottom w:val="single" w:sz="4" w:space="0" w:color="auto"/>
            </w:tcBorders>
            <w:vAlign w:val="center"/>
            <w:hideMark/>
          </w:tcPr>
          <w:p w14:paraId="4B7030A8"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[-0.239, 9.739]</w:t>
            </w:r>
          </w:p>
        </w:tc>
      </w:tr>
    </w:tbl>
    <w:p w14:paraId="7D146769" w14:textId="77777777" w:rsidR="009C1AAD" w:rsidRPr="009C1AAD" w:rsidRDefault="009C1AAD" w:rsidP="009C1AAD">
      <w:pPr>
        <w:spacing w:line="480" w:lineRule="auto"/>
        <w:jc w:val="both"/>
        <w:rPr>
          <w:rFonts w:ascii="Arial" w:eastAsiaTheme="minorEastAsia" w:hAnsi="Arial" w:cs="Arial"/>
          <w:sz w:val="22"/>
          <w:szCs w:val="22"/>
        </w:rPr>
      </w:pPr>
    </w:p>
    <w:p w14:paraId="12D026AD" w14:textId="4E817879"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ARIMAX model results in Table 1</w:t>
      </w:r>
      <w:r w:rsidR="002B46B7">
        <w:rPr>
          <w:rFonts w:ascii="Arial" w:eastAsiaTheme="minorEastAsia" w:hAnsi="Arial" w:cs="Arial"/>
          <w:sz w:val="22"/>
          <w:szCs w:val="22"/>
        </w:rPr>
        <w:t>0</w:t>
      </w:r>
      <w:r w:rsidRPr="009C1AAD">
        <w:rPr>
          <w:rFonts w:ascii="Arial" w:eastAsiaTheme="minorEastAsia" w:hAnsi="Arial" w:cs="Arial"/>
          <w:sz w:val="22"/>
          <w:szCs w:val="22"/>
        </w:rPr>
        <w:t xml:space="preserve"> indicate that when temperature is considered alone, its coefficient is 3.900 with a p-value of 0.117, suggesting a positive but statistically insignificant effect on rainfall at the 5% significance level. For the climate-only model, the coefficient is 4.278 with a p-value of 0.012, which is statistically significant, indicating that climate factors have a positive and meaningful impact on rainfall. In the combined model, temperature shows a negative coefficient of -0.850 with a p-value of 0.803, implying no significant contribution when climate is included. Conversely, climate retains a positive coefficient of 4.750 with a p-value of 0.062, which is marginally significant at the 10% level, suggesting that climate remains the dominant predictor influencing rainfall variability when both variables are jointly modeled.</w:t>
      </w:r>
    </w:p>
    <w:p w14:paraId="56687451" w14:textId="77777777" w:rsidR="009C1AAD" w:rsidRDefault="009C1AAD" w:rsidP="009C1AAD">
      <w:pPr>
        <w:spacing w:line="480" w:lineRule="auto"/>
        <w:jc w:val="both"/>
        <w:rPr>
          <w:rFonts w:ascii="Arial" w:eastAsiaTheme="minorEastAsia" w:hAnsi="Arial" w:cs="Arial"/>
          <w:b/>
          <w:bCs/>
          <w:sz w:val="22"/>
          <w:szCs w:val="22"/>
        </w:rPr>
      </w:pPr>
    </w:p>
    <w:p w14:paraId="1F562A05" w14:textId="17D553B8" w:rsidR="003D5428" w:rsidRPr="009C1AAD" w:rsidRDefault="003D5428" w:rsidP="003D5428">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Table </w:t>
      </w:r>
      <w:r w:rsidR="00E36E41">
        <w:rPr>
          <w:rFonts w:ascii="Arial" w:eastAsiaTheme="minorEastAsia" w:hAnsi="Arial" w:cs="Arial"/>
          <w:b/>
          <w:bCs/>
          <w:sz w:val="22"/>
          <w:szCs w:val="22"/>
        </w:rPr>
        <w:t>11</w:t>
      </w:r>
      <w:r w:rsidRPr="009C1AAD">
        <w:rPr>
          <w:rFonts w:ascii="Arial" w:eastAsiaTheme="minorEastAsia" w:hAnsi="Arial" w:cs="Arial"/>
          <w:b/>
          <w:bCs/>
          <w:sz w:val="22"/>
          <w:szCs w:val="22"/>
        </w:rPr>
        <w:t>: Forecasts for Climate, Rainfall, and Temperature from 2025 to 2034</w:t>
      </w:r>
      <w:r>
        <w:rPr>
          <w:rFonts w:ascii="Arial" w:eastAsiaTheme="minorEastAsia" w:hAnsi="Arial" w:cs="Arial"/>
          <w:b/>
          <w:bCs/>
          <w:sz w:val="22"/>
          <w:szCs w:val="22"/>
        </w:rPr>
        <w:t xml:space="preserve"> using </w:t>
      </w:r>
      <w:r w:rsidRPr="003D5428">
        <w:rPr>
          <w:rFonts w:ascii="Arial" w:eastAsiaTheme="minorEastAsia" w:hAnsi="Arial" w:cs="Arial"/>
          <w:b/>
          <w:bCs/>
          <w:sz w:val="22"/>
          <w:szCs w:val="22"/>
        </w:rPr>
        <w:t>ARIMAX (0,1,1)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6"/>
        <w:gridCol w:w="1320"/>
        <w:gridCol w:w="978"/>
        <w:gridCol w:w="1075"/>
        <w:gridCol w:w="1063"/>
        <w:gridCol w:w="1075"/>
        <w:gridCol w:w="1078"/>
      </w:tblGrid>
      <w:tr w:rsidR="003D5428" w:rsidRPr="009C1AAD" w14:paraId="434C7855" w14:textId="77777777" w:rsidTr="00D32377">
        <w:trPr>
          <w:tblHeader/>
          <w:tblCellSpacing w:w="15" w:type="dxa"/>
        </w:trPr>
        <w:tc>
          <w:tcPr>
            <w:tcW w:w="0" w:type="auto"/>
            <w:tcBorders>
              <w:top w:val="single" w:sz="4" w:space="0" w:color="auto"/>
            </w:tcBorders>
            <w:vAlign w:val="center"/>
            <w:hideMark/>
          </w:tcPr>
          <w:p w14:paraId="4796BD4F"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Year</w:t>
            </w:r>
          </w:p>
        </w:tc>
        <w:tc>
          <w:tcPr>
            <w:tcW w:w="0" w:type="auto"/>
            <w:tcBorders>
              <w:top w:val="single" w:sz="4" w:space="0" w:color="auto"/>
            </w:tcBorders>
            <w:vAlign w:val="center"/>
            <w:hideMark/>
          </w:tcPr>
          <w:p w14:paraId="7CE96214"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Variable</w:t>
            </w:r>
          </w:p>
        </w:tc>
        <w:tc>
          <w:tcPr>
            <w:tcW w:w="0" w:type="auto"/>
            <w:tcBorders>
              <w:top w:val="single" w:sz="4" w:space="0" w:color="auto"/>
            </w:tcBorders>
            <w:vAlign w:val="center"/>
            <w:hideMark/>
          </w:tcPr>
          <w:p w14:paraId="20648610"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Forecast</w:t>
            </w:r>
          </w:p>
        </w:tc>
        <w:tc>
          <w:tcPr>
            <w:tcW w:w="0" w:type="auto"/>
            <w:tcBorders>
              <w:top w:val="single" w:sz="4" w:space="0" w:color="auto"/>
            </w:tcBorders>
            <w:vAlign w:val="center"/>
            <w:hideMark/>
          </w:tcPr>
          <w:p w14:paraId="4B77E3C3"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Lower_80</w:t>
            </w:r>
          </w:p>
        </w:tc>
        <w:tc>
          <w:tcPr>
            <w:tcW w:w="0" w:type="auto"/>
            <w:tcBorders>
              <w:top w:val="single" w:sz="4" w:space="0" w:color="auto"/>
            </w:tcBorders>
            <w:vAlign w:val="center"/>
            <w:hideMark/>
          </w:tcPr>
          <w:p w14:paraId="51698269"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Upper_80</w:t>
            </w:r>
          </w:p>
        </w:tc>
        <w:tc>
          <w:tcPr>
            <w:tcW w:w="0" w:type="auto"/>
            <w:tcBorders>
              <w:top w:val="single" w:sz="4" w:space="0" w:color="auto"/>
            </w:tcBorders>
            <w:vAlign w:val="center"/>
            <w:hideMark/>
          </w:tcPr>
          <w:p w14:paraId="57BCD66D"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Lower_95</w:t>
            </w:r>
          </w:p>
        </w:tc>
        <w:tc>
          <w:tcPr>
            <w:tcW w:w="0" w:type="auto"/>
            <w:tcBorders>
              <w:top w:val="single" w:sz="4" w:space="0" w:color="auto"/>
            </w:tcBorders>
            <w:vAlign w:val="center"/>
            <w:hideMark/>
          </w:tcPr>
          <w:p w14:paraId="027AFD1A" w14:textId="77777777" w:rsidR="003D5428" w:rsidRPr="009C1AAD" w:rsidRDefault="003D5428" w:rsidP="00D32377">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Upper_95</w:t>
            </w:r>
          </w:p>
        </w:tc>
      </w:tr>
      <w:tr w:rsidR="003D5428" w:rsidRPr="009C1AAD" w14:paraId="7FDBC38B" w14:textId="77777777" w:rsidTr="00D32377">
        <w:trPr>
          <w:tblCellSpacing w:w="15" w:type="dxa"/>
        </w:trPr>
        <w:tc>
          <w:tcPr>
            <w:tcW w:w="0" w:type="auto"/>
            <w:tcBorders>
              <w:top w:val="single" w:sz="4" w:space="0" w:color="auto"/>
            </w:tcBorders>
            <w:vAlign w:val="center"/>
            <w:hideMark/>
          </w:tcPr>
          <w:p w14:paraId="67B11CF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tcBorders>
              <w:top w:val="single" w:sz="4" w:space="0" w:color="auto"/>
            </w:tcBorders>
            <w:vAlign w:val="center"/>
            <w:hideMark/>
          </w:tcPr>
          <w:p w14:paraId="10B0F02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tcBorders>
              <w:top w:val="single" w:sz="4" w:space="0" w:color="auto"/>
            </w:tcBorders>
            <w:vAlign w:val="center"/>
            <w:hideMark/>
          </w:tcPr>
          <w:p w14:paraId="6EFA838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62.400</w:t>
            </w:r>
          </w:p>
        </w:tc>
        <w:tc>
          <w:tcPr>
            <w:tcW w:w="0" w:type="auto"/>
            <w:tcBorders>
              <w:top w:val="single" w:sz="4" w:space="0" w:color="auto"/>
            </w:tcBorders>
            <w:vAlign w:val="center"/>
            <w:hideMark/>
          </w:tcPr>
          <w:p w14:paraId="1B95A19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62.384</w:t>
            </w:r>
          </w:p>
        </w:tc>
        <w:tc>
          <w:tcPr>
            <w:tcW w:w="0" w:type="auto"/>
            <w:tcBorders>
              <w:top w:val="single" w:sz="4" w:space="0" w:color="auto"/>
            </w:tcBorders>
            <w:vAlign w:val="center"/>
            <w:hideMark/>
          </w:tcPr>
          <w:p w14:paraId="566446D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62.416</w:t>
            </w:r>
          </w:p>
        </w:tc>
        <w:tc>
          <w:tcPr>
            <w:tcW w:w="0" w:type="auto"/>
            <w:tcBorders>
              <w:top w:val="single" w:sz="4" w:space="0" w:color="auto"/>
            </w:tcBorders>
            <w:vAlign w:val="center"/>
            <w:hideMark/>
          </w:tcPr>
          <w:p w14:paraId="5FFF6A8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62.376</w:t>
            </w:r>
          </w:p>
        </w:tc>
        <w:tc>
          <w:tcPr>
            <w:tcW w:w="0" w:type="auto"/>
            <w:tcBorders>
              <w:top w:val="single" w:sz="4" w:space="0" w:color="auto"/>
            </w:tcBorders>
            <w:vAlign w:val="center"/>
            <w:hideMark/>
          </w:tcPr>
          <w:p w14:paraId="64A743A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62.424</w:t>
            </w:r>
          </w:p>
        </w:tc>
      </w:tr>
      <w:tr w:rsidR="003D5428" w:rsidRPr="009C1AAD" w14:paraId="313ED17B" w14:textId="77777777" w:rsidTr="00D32377">
        <w:trPr>
          <w:tblCellSpacing w:w="15" w:type="dxa"/>
        </w:trPr>
        <w:tc>
          <w:tcPr>
            <w:tcW w:w="0" w:type="auto"/>
            <w:vAlign w:val="center"/>
            <w:hideMark/>
          </w:tcPr>
          <w:p w14:paraId="2CE9B63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1CFF31A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05214BF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62.500</w:t>
            </w:r>
          </w:p>
        </w:tc>
        <w:tc>
          <w:tcPr>
            <w:tcW w:w="0" w:type="auto"/>
            <w:vAlign w:val="center"/>
            <w:hideMark/>
          </w:tcPr>
          <w:p w14:paraId="696CB45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62.477</w:t>
            </w:r>
          </w:p>
        </w:tc>
        <w:tc>
          <w:tcPr>
            <w:tcW w:w="0" w:type="auto"/>
            <w:vAlign w:val="center"/>
            <w:hideMark/>
          </w:tcPr>
          <w:p w14:paraId="0A5098B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62.523</w:t>
            </w:r>
          </w:p>
        </w:tc>
        <w:tc>
          <w:tcPr>
            <w:tcW w:w="0" w:type="auto"/>
            <w:vAlign w:val="center"/>
            <w:hideMark/>
          </w:tcPr>
          <w:p w14:paraId="50FECBF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62.465</w:t>
            </w:r>
          </w:p>
        </w:tc>
        <w:tc>
          <w:tcPr>
            <w:tcW w:w="0" w:type="auto"/>
            <w:vAlign w:val="center"/>
            <w:hideMark/>
          </w:tcPr>
          <w:p w14:paraId="59E4954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62.535</w:t>
            </w:r>
          </w:p>
        </w:tc>
      </w:tr>
      <w:tr w:rsidR="003D5428" w:rsidRPr="009C1AAD" w14:paraId="47A675DA" w14:textId="77777777" w:rsidTr="00D32377">
        <w:trPr>
          <w:tblCellSpacing w:w="15" w:type="dxa"/>
        </w:trPr>
        <w:tc>
          <w:tcPr>
            <w:tcW w:w="0" w:type="auto"/>
            <w:vAlign w:val="center"/>
            <w:hideMark/>
          </w:tcPr>
          <w:p w14:paraId="51F7209E"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10AB2B7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11AE199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62.600</w:t>
            </w:r>
          </w:p>
        </w:tc>
        <w:tc>
          <w:tcPr>
            <w:tcW w:w="0" w:type="auto"/>
            <w:vAlign w:val="center"/>
            <w:hideMark/>
          </w:tcPr>
          <w:p w14:paraId="5F188EA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62.572</w:t>
            </w:r>
          </w:p>
        </w:tc>
        <w:tc>
          <w:tcPr>
            <w:tcW w:w="0" w:type="auto"/>
            <w:vAlign w:val="center"/>
            <w:hideMark/>
          </w:tcPr>
          <w:p w14:paraId="4C25332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62.628</w:t>
            </w:r>
          </w:p>
        </w:tc>
        <w:tc>
          <w:tcPr>
            <w:tcW w:w="0" w:type="auto"/>
            <w:vAlign w:val="center"/>
            <w:hideMark/>
          </w:tcPr>
          <w:p w14:paraId="4A27FF2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62.558</w:t>
            </w:r>
          </w:p>
        </w:tc>
        <w:tc>
          <w:tcPr>
            <w:tcW w:w="0" w:type="auto"/>
            <w:vAlign w:val="center"/>
            <w:hideMark/>
          </w:tcPr>
          <w:p w14:paraId="7B74B73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62.642</w:t>
            </w:r>
          </w:p>
        </w:tc>
      </w:tr>
      <w:tr w:rsidR="003D5428" w:rsidRPr="009C1AAD" w14:paraId="50A6D6D7" w14:textId="77777777" w:rsidTr="00D32377">
        <w:trPr>
          <w:tblCellSpacing w:w="15" w:type="dxa"/>
        </w:trPr>
        <w:tc>
          <w:tcPr>
            <w:tcW w:w="0" w:type="auto"/>
            <w:vAlign w:val="center"/>
            <w:hideMark/>
          </w:tcPr>
          <w:p w14:paraId="58040C2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2E540E5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69B6D9F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62.700</w:t>
            </w:r>
          </w:p>
        </w:tc>
        <w:tc>
          <w:tcPr>
            <w:tcW w:w="0" w:type="auto"/>
            <w:vAlign w:val="center"/>
            <w:hideMark/>
          </w:tcPr>
          <w:p w14:paraId="26D5126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62.668</w:t>
            </w:r>
          </w:p>
        </w:tc>
        <w:tc>
          <w:tcPr>
            <w:tcW w:w="0" w:type="auto"/>
            <w:vAlign w:val="center"/>
            <w:hideMark/>
          </w:tcPr>
          <w:p w14:paraId="572FD74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62.732</w:t>
            </w:r>
          </w:p>
        </w:tc>
        <w:tc>
          <w:tcPr>
            <w:tcW w:w="0" w:type="auto"/>
            <w:vAlign w:val="center"/>
            <w:hideMark/>
          </w:tcPr>
          <w:p w14:paraId="616395A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62.651</w:t>
            </w:r>
          </w:p>
        </w:tc>
        <w:tc>
          <w:tcPr>
            <w:tcW w:w="0" w:type="auto"/>
            <w:vAlign w:val="center"/>
            <w:hideMark/>
          </w:tcPr>
          <w:p w14:paraId="44717BC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62.749</w:t>
            </w:r>
          </w:p>
        </w:tc>
      </w:tr>
      <w:tr w:rsidR="003D5428" w:rsidRPr="009C1AAD" w14:paraId="6F7EC918" w14:textId="77777777" w:rsidTr="00D32377">
        <w:trPr>
          <w:tblCellSpacing w:w="15" w:type="dxa"/>
        </w:trPr>
        <w:tc>
          <w:tcPr>
            <w:tcW w:w="0" w:type="auto"/>
            <w:vAlign w:val="center"/>
            <w:hideMark/>
          </w:tcPr>
          <w:p w14:paraId="2B8CC38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52351E0E"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ACED20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62.800</w:t>
            </w:r>
          </w:p>
        </w:tc>
        <w:tc>
          <w:tcPr>
            <w:tcW w:w="0" w:type="auto"/>
            <w:vAlign w:val="center"/>
            <w:hideMark/>
          </w:tcPr>
          <w:p w14:paraId="4B5C59A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62.764</w:t>
            </w:r>
          </w:p>
        </w:tc>
        <w:tc>
          <w:tcPr>
            <w:tcW w:w="0" w:type="auto"/>
            <w:vAlign w:val="center"/>
            <w:hideMark/>
          </w:tcPr>
          <w:p w14:paraId="30E8CA0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62.836</w:t>
            </w:r>
          </w:p>
        </w:tc>
        <w:tc>
          <w:tcPr>
            <w:tcW w:w="0" w:type="auto"/>
            <w:vAlign w:val="center"/>
            <w:hideMark/>
          </w:tcPr>
          <w:p w14:paraId="6D9ACD9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62.745</w:t>
            </w:r>
          </w:p>
        </w:tc>
        <w:tc>
          <w:tcPr>
            <w:tcW w:w="0" w:type="auto"/>
            <w:vAlign w:val="center"/>
            <w:hideMark/>
          </w:tcPr>
          <w:p w14:paraId="66CD5D3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62.855</w:t>
            </w:r>
          </w:p>
        </w:tc>
      </w:tr>
      <w:tr w:rsidR="003D5428" w:rsidRPr="009C1AAD" w14:paraId="14374F82" w14:textId="77777777" w:rsidTr="00D32377">
        <w:trPr>
          <w:tblCellSpacing w:w="15" w:type="dxa"/>
        </w:trPr>
        <w:tc>
          <w:tcPr>
            <w:tcW w:w="0" w:type="auto"/>
            <w:vAlign w:val="center"/>
            <w:hideMark/>
          </w:tcPr>
          <w:p w14:paraId="6DF5990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01FD60F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707DA41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62.900</w:t>
            </w:r>
          </w:p>
        </w:tc>
        <w:tc>
          <w:tcPr>
            <w:tcW w:w="0" w:type="auto"/>
            <w:vAlign w:val="center"/>
            <w:hideMark/>
          </w:tcPr>
          <w:p w14:paraId="1F0D07B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62.861</w:t>
            </w:r>
          </w:p>
        </w:tc>
        <w:tc>
          <w:tcPr>
            <w:tcW w:w="0" w:type="auto"/>
            <w:vAlign w:val="center"/>
            <w:hideMark/>
          </w:tcPr>
          <w:p w14:paraId="51ECA2C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62.939</w:t>
            </w:r>
          </w:p>
        </w:tc>
        <w:tc>
          <w:tcPr>
            <w:tcW w:w="0" w:type="auto"/>
            <w:vAlign w:val="center"/>
            <w:hideMark/>
          </w:tcPr>
          <w:p w14:paraId="7E2CD2A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62.840</w:t>
            </w:r>
          </w:p>
        </w:tc>
        <w:tc>
          <w:tcPr>
            <w:tcW w:w="0" w:type="auto"/>
            <w:vAlign w:val="center"/>
            <w:hideMark/>
          </w:tcPr>
          <w:p w14:paraId="189B2DC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62.960</w:t>
            </w:r>
          </w:p>
        </w:tc>
      </w:tr>
      <w:tr w:rsidR="003D5428" w:rsidRPr="009C1AAD" w14:paraId="20CCC8DF" w14:textId="77777777" w:rsidTr="00D32377">
        <w:trPr>
          <w:tblCellSpacing w:w="15" w:type="dxa"/>
        </w:trPr>
        <w:tc>
          <w:tcPr>
            <w:tcW w:w="0" w:type="auto"/>
            <w:vAlign w:val="center"/>
            <w:hideMark/>
          </w:tcPr>
          <w:p w14:paraId="28F1F48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653E079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17B679C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63.000</w:t>
            </w:r>
          </w:p>
        </w:tc>
        <w:tc>
          <w:tcPr>
            <w:tcW w:w="0" w:type="auto"/>
            <w:vAlign w:val="center"/>
            <w:hideMark/>
          </w:tcPr>
          <w:p w14:paraId="4E69E70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62.958</w:t>
            </w:r>
          </w:p>
        </w:tc>
        <w:tc>
          <w:tcPr>
            <w:tcW w:w="0" w:type="auto"/>
            <w:vAlign w:val="center"/>
            <w:hideMark/>
          </w:tcPr>
          <w:p w14:paraId="4FD0284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63.042</w:t>
            </w:r>
          </w:p>
        </w:tc>
        <w:tc>
          <w:tcPr>
            <w:tcW w:w="0" w:type="auto"/>
            <w:vAlign w:val="center"/>
            <w:hideMark/>
          </w:tcPr>
          <w:p w14:paraId="7FA5B22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62.935</w:t>
            </w:r>
          </w:p>
        </w:tc>
        <w:tc>
          <w:tcPr>
            <w:tcW w:w="0" w:type="auto"/>
            <w:vAlign w:val="center"/>
            <w:hideMark/>
          </w:tcPr>
          <w:p w14:paraId="12B0B99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63.065</w:t>
            </w:r>
          </w:p>
        </w:tc>
      </w:tr>
      <w:tr w:rsidR="003D5428" w:rsidRPr="009C1AAD" w14:paraId="20D5415F" w14:textId="77777777" w:rsidTr="00D32377">
        <w:trPr>
          <w:tblCellSpacing w:w="15" w:type="dxa"/>
        </w:trPr>
        <w:tc>
          <w:tcPr>
            <w:tcW w:w="0" w:type="auto"/>
            <w:vAlign w:val="center"/>
            <w:hideMark/>
          </w:tcPr>
          <w:p w14:paraId="6B42E5E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0079E4E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F4EFE4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63.100</w:t>
            </w:r>
          </w:p>
        </w:tc>
        <w:tc>
          <w:tcPr>
            <w:tcW w:w="0" w:type="auto"/>
            <w:vAlign w:val="center"/>
            <w:hideMark/>
          </w:tcPr>
          <w:p w14:paraId="747DE8D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63.055</w:t>
            </w:r>
          </w:p>
        </w:tc>
        <w:tc>
          <w:tcPr>
            <w:tcW w:w="0" w:type="auto"/>
            <w:vAlign w:val="center"/>
            <w:hideMark/>
          </w:tcPr>
          <w:p w14:paraId="1D5B9AB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63.145</w:t>
            </w:r>
          </w:p>
        </w:tc>
        <w:tc>
          <w:tcPr>
            <w:tcW w:w="0" w:type="auto"/>
            <w:vAlign w:val="center"/>
            <w:hideMark/>
          </w:tcPr>
          <w:p w14:paraId="5E4B20F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63.031</w:t>
            </w:r>
          </w:p>
        </w:tc>
        <w:tc>
          <w:tcPr>
            <w:tcW w:w="0" w:type="auto"/>
            <w:vAlign w:val="center"/>
            <w:hideMark/>
          </w:tcPr>
          <w:p w14:paraId="033B9BD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63.169</w:t>
            </w:r>
          </w:p>
        </w:tc>
      </w:tr>
      <w:tr w:rsidR="003D5428" w:rsidRPr="009C1AAD" w14:paraId="51F1300C" w14:textId="77777777" w:rsidTr="00D32377">
        <w:trPr>
          <w:tblCellSpacing w:w="15" w:type="dxa"/>
        </w:trPr>
        <w:tc>
          <w:tcPr>
            <w:tcW w:w="0" w:type="auto"/>
            <w:vAlign w:val="center"/>
            <w:hideMark/>
          </w:tcPr>
          <w:p w14:paraId="3039A5F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2E9FE38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46E83E6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63.200</w:t>
            </w:r>
          </w:p>
        </w:tc>
        <w:tc>
          <w:tcPr>
            <w:tcW w:w="0" w:type="auto"/>
            <w:vAlign w:val="center"/>
            <w:hideMark/>
          </w:tcPr>
          <w:p w14:paraId="56AEF47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63.152</w:t>
            </w:r>
          </w:p>
        </w:tc>
        <w:tc>
          <w:tcPr>
            <w:tcW w:w="0" w:type="auto"/>
            <w:vAlign w:val="center"/>
            <w:hideMark/>
          </w:tcPr>
          <w:p w14:paraId="10E6886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63.248</w:t>
            </w:r>
          </w:p>
        </w:tc>
        <w:tc>
          <w:tcPr>
            <w:tcW w:w="0" w:type="auto"/>
            <w:vAlign w:val="center"/>
            <w:hideMark/>
          </w:tcPr>
          <w:p w14:paraId="770A955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63.127</w:t>
            </w:r>
          </w:p>
        </w:tc>
        <w:tc>
          <w:tcPr>
            <w:tcW w:w="0" w:type="auto"/>
            <w:vAlign w:val="center"/>
            <w:hideMark/>
          </w:tcPr>
          <w:p w14:paraId="6C108CA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63.273</w:t>
            </w:r>
          </w:p>
        </w:tc>
      </w:tr>
      <w:tr w:rsidR="003D5428" w:rsidRPr="009C1AAD" w14:paraId="6750DB6E" w14:textId="77777777" w:rsidTr="00D32377">
        <w:trPr>
          <w:tblCellSpacing w:w="15" w:type="dxa"/>
        </w:trPr>
        <w:tc>
          <w:tcPr>
            <w:tcW w:w="0" w:type="auto"/>
            <w:vAlign w:val="center"/>
            <w:hideMark/>
          </w:tcPr>
          <w:p w14:paraId="2CCD118E"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vAlign w:val="center"/>
            <w:hideMark/>
          </w:tcPr>
          <w:p w14:paraId="52273C3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463DFCB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63.300</w:t>
            </w:r>
          </w:p>
        </w:tc>
        <w:tc>
          <w:tcPr>
            <w:tcW w:w="0" w:type="auto"/>
            <w:vAlign w:val="center"/>
            <w:hideMark/>
          </w:tcPr>
          <w:p w14:paraId="5314160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63.249</w:t>
            </w:r>
          </w:p>
        </w:tc>
        <w:tc>
          <w:tcPr>
            <w:tcW w:w="0" w:type="auto"/>
            <w:vAlign w:val="center"/>
            <w:hideMark/>
          </w:tcPr>
          <w:p w14:paraId="449DCA7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63.351</w:t>
            </w:r>
          </w:p>
        </w:tc>
        <w:tc>
          <w:tcPr>
            <w:tcW w:w="0" w:type="auto"/>
            <w:vAlign w:val="center"/>
            <w:hideMark/>
          </w:tcPr>
          <w:p w14:paraId="746CC20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63.223</w:t>
            </w:r>
          </w:p>
        </w:tc>
        <w:tc>
          <w:tcPr>
            <w:tcW w:w="0" w:type="auto"/>
            <w:vAlign w:val="center"/>
            <w:hideMark/>
          </w:tcPr>
          <w:p w14:paraId="0B5C19A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63.377</w:t>
            </w:r>
          </w:p>
        </w:tc>
      </w:tr>
      <w:tr w:rsidR="003D5428" w:rsidRPr="009C1AAD" w14:paraId="31075969" w14:textId="77777777" w:rsidTr="00D32377">
        <w:trPr>
          <w:tblCellSpacing w:w="15" w:type="dxa"/>
        </w:trPr>
        <w:tc>
          <w:tcPr>
            <w:tcW w:w="0" w:type="auto"/>
            <w:vAlign w:val="center"/>
            <w:hideMark/>
          </w:tcPr>
          <w:p w14:paraId="23FEFAE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vAlign w:val="center"/>
            <w:hideMark/>
          </w:tcPr>
          <w:p w14:paraId="07EC57F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10F8909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43.235</w:t>
            </w:r>
          </w:p>
        </w:tc>
        <w:tc>
          <w:tcPr>
            <w:tcW w:w="0" w:type="auto"/>
            <w:vAlign w:val="center"/>
            <w:hideMark/>
          </w:tcPr>
          <w:p w14:paraId="2ACF476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42.368</w:t>
            </w:r>
          </w:p>
        </w:tc>
        <w:tc>
          <w:tcPr>
            <w:tcW w:w="0" w:type="auto"/>
            <w:vAlign w:val="center"/>
            <w:hideMark/>
          </w:tcPr>
          <w:p w14:paraId="6CF3C2E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44.102</w:t>
            </w:r>
          </w:p>
        </w:tc>
        <w:tc>
          <w:tcPr>
            <w:tcW w:w="0" w:type="auto"/>
            <w:vAlign w:val="center"/>
            <w:hideMark/>
          </w:tcPr>
          <w:p w14:paraId="5E896C3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41.909</w:t>
            </w:r>
          </w:p>
        </w:tc>
        <w:tc>
          <w:tcPr>
            <w:tcW w:w="0" w:type="auto"/>
            <w:vAlign w:val="center"/>
            <w:hideMark/>
          </w:tcPr>
          <w:p w14:paraId="59085DE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44.561</w:t>
            </w:r>
          </w:p>
        </w:tc>
      </w:tr>
      <w:tr w:rsidR="003D5428" w:rsidRPr="009C1AAD" w14:paraId="3CED6BDA" w14:textId="77777777" w:rsidTr="00D32377">
        <w:trPr>
          <w:tblCellSpacing w:w="15" w:type="dxa"/>
        </w:trPr>
        <w:tc>
          <w:tcPr>
            <w:tcW w:w="0" w:type="auto"/>
            <w:vAlign w:val="center"/>
            <w:hideMark/>
          </w:tcPr>
          <w:p w14:paraId="01FDD99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0291B53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2AE2221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43.570</w:t>
            </w:r>
          </w:p>
        </w:tc>
        <w:tc>
          <w:tcPr>
            <w:tcW w:w="0" w:type="auto"/>
            <w:vAlign w:val="center"/>
            <w:hideMark/>
          </w:tcPr>
          <w:p w14:paraId="40431A7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42.343</w:t>
            </w:r>
          </w:p>
        </w:tc>
        <w:tc>
          <w:tcPr>
            <w:tcW w:w="0" w:type="auto"/>
            <w:vAlign w:val="center"/>
            <w:hideMark/>
          </w:tcPr>
          <w:p w14:paraId="695BA71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44.796</w:t>
            </w:r>
          </w:p>
        </w:tc>
        <w:tc>
          <w:tcPr>
            <w:tcW w:w="0" w:type="auto"/>
            <w:vAlign w:val="center"/>
            <w:hideMark/>
          </w:tcPr>
          <w:p w14:paraId="7C26F9D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41.694</w:t>
            </w:r>
          </w:p>
        </w:tc>
        <w:tc>
          <w:tcPr>
            <w:tcW w:w="0" w:type="auto"/>
            <w:vAlign w:val="center"/>
            <w:hideMark/>
          </w:tcPr>
          <w:p w14:paraId="7E4BCC6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45.445</w:t>
            </w:r>
          </w:p>
        </w:tc>
      </w:tr>
      <w:tr w:rsidR="003D5428" w:rsidRPr="009C1AAD" w14:paraId="7A8453E0" w14:textId="77777777" w:rsidTr="00D32377">
        <w:trPr>
          <w:tblCellSpacing w:w="15" w:type="dxa"/>
        </w:trPr>
        <w:tc>
          <w:tcPr>
            <w:tcW w:w="0" w:type="auto"/>
            <w:vAlign w:val="center"/>
            <w:hideMark/>
          </w:tcPr>
          <w:p w14:paraId="7B4F5B5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2E700DF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1BD3C1C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43.904</w:t>
            </w:r>
          </w:p>
        </w:tc>
        <w:tc>
          <w:tcPr>
            <w:tcW w:w="0" w:type="auto"/>
            <w:vAlign w:val="center"/>
            <w:hideMark/>
          </w:tcPr>
          <w:p w14:paraId="25BDA00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42.402</w:t>
            </w:r>
          </w:p>
        </w:tc>
        <w:tc>
          <w:tcPr>
            <w:tcW w:w="0" w:type="auto"/>
            <w:vAlign w:val="center"/>
            <w:hideMark/>
          </w:tcPr>
          <w:p w14:paraId="76AFD60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45.406</w:t>
            </w:r>
          </w:p>
        </w:tc>
        <w:tc>
          <w:tcPr>
            <w:tcW w:w="0" w:type="auto"/>
            <w:vAlign w:val="center"/>
            <w:hideMark/>
          </w:tcPr>
          <w:p w14:paraId="52B27C9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41.607</w:t>
            </w:r>
          </w:p>
        </w:tc>
        <w:tc>
          <w:tcPr>
            <w:tcW w:w="0" w:type="auto"/>
            <w:vAlign w:val="center"/>
            <w:hideMark/>
          </w:tcPr>
          <w:p w14:paraId="2462B9F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46.201</w:t>
            </w:r>
          </w:p>
        </w:tc>
      </w:tr>
      <w:tr w:rsidR="003D5428" w:rsidRPr="009C1AAD" w14:paraId="2DB7BECC" w14:textId="77777777" w:rsidTr="00D32377">
        <w:trPr>
          <w:tblCellSpacing w:w="15" w:type="dxa"/>
        </w:trPr>
        <w:tc>
          <w:tcPr>
            <w:tcW w:w="0" w:type="auto"/>
            <w:vAlign w:val="center"/>
            <w:hideMark/>
          </w:tcPr>
          <w:p w14:paraId="4192A5D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31F137D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0DF8344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44.239</w:t>
            </w:r>
          </w:p>
        </w:tc>
        <w:tc>
          <w:tcPr>
            <w:tcW w:w="0" w:type="auto"/>
            <w:vAlign w:val="center"/>
            <w:hideMark/>
          </w:tcPr>
          <w:p w14:paraId="05FA8DB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42.505</w:t>
            </w:r>
          </w:p>
        </w:tc>
        <w:tc>
          <w:tcPr>
            <w:tcW w:w="0" w:type="auto"/>
            <w:vAlign w:val="center"/>
            <w:hideMark/>
          </w:tcPr>
          <w:p w14:paraId="781A897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45.974</w:t>
            </w:r>
          </w:p>
        </w:tc>
        <w:tc>
          <w:tcPr>
            <w:tcW w:w="0" w:type="auto"/>
            <w:vAlign w:val="center"/>
            <w:hideMark/>
          </w:tcPr>
          <w:p w14:paraId="2D1906C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41.587</w:t>
            </w:r>
          </w:p>
        </w:tc>
        <w:tc>
          <w:tcPr>
            <w:tcW w:w="0" w:type="auto"/>
            <w:vAlign w:val="center"/>
            <w:hideMark/>
          </w:tcPr>
          <w:p w14:paraId="3425EB1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46.892</w:t>
            </w:r>
          </w:p>
        </w:tc>
      </w:tr>
      <w:tr w:rsidR="003D5428" w:rsidRPr="009C1AAD" w14:paraId="61EB1088" w14:textId="77777777" w:rsidTr="00D32377">
        <w:trPr>
          <w:tblCellSpacing w:w="15" w:type="dxa"/>
        </w:trPr>
        <w:tc>
          <w:tcPr>
            <w:tcW w:w="0" w:type="auto"/>
            <w:vAlign w:val="center"/>
            <w:hideMark/>
          </w:tcPr>
          <w:p w14:paraId="7D1F66D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38B9DC1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4D3D33F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44.574</w:t>
            </w:r>
          </w:p>
        </w:tc>
        <w:tc>
          <w:tcPr>
            <w:tcW w:w="0" w:type="auto"/>
            <w:vAlign w:val="center"/>
            <w:hideMark/>
          </w:tcPr>
          <w:p w14:paraId="4000AF1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42.635</w:t>
            </w:r>
          </w:p>
        </w:tc>
        <w:tc>
          <w:tcPr>
            <w:tcW w:w="0" w:type="auto"/>
            <w:vAlign w:val="center"/>
            <w:hideMark/>
          </w:tcPr>
          <w:p w14:paraId="75496C4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46.513</w:t>
            </w:r>
          </w:p>
        </w:tc>
        <w:tc>
          <w:tcPr>
            <w:tcW w:w="0" w:type="auto"/>
            <w:vAlign w:val="center"/>
            <w:hideMark/>
          </w:tcPr>
          <w:p w14:paraId="1CCAD93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41.608</w:t>
            </w:r>
          </w:p>
        </w:tc>
        <w:tc>
          <w:tcPr>
            <w:tcW w:w="0" w:type="auto"/>
            <w:vAlign w:val="center"/>
            <w:hideMark/>
          </w:tcPr>
          <w:p w14:paraId="2CFC30D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47.539</w:t>
            </w:r>
          </w:p>
        </w:tc>
      </w:tr>
      <w:tr w:rsidR="003D5428" w:rsidRPr="009C1AAD" w14:paraId="7C75874A" w14:textId="77777777" w:rsidTr="00D32377">
        <w:trPr>
          <w:tblCellSpacing w:w="15" w:type="dxa"/>
        </w:trPr>
        <w:tc>
          <w:tcPr>
            <w:tcW w:w="0" w:type="auto"/>
            <w:vAlign w:val="center"/>
            <w:hideMark/>
          </w:tcPr>
          <w:p w14:paraId="11E61C7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43DF63D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6C05073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44.909</w:t>
            </w:r>
          </w:p>
        </w:tc>
        <w:tc>
          <w:tcPr>
            <w:tcW w:w="0" w:type="auto"/>
            <w:vAlign w:val="center"/>
            <w:hideMark/>
          </w:tcPr>
          <w:p w14:paraId="17F1BA7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42.785</w:t>
            </w:r>
          </w:p>
        </w:tc>
        <w:tc>
          <w:tcPr>
            <w:tcW w:w="0" w:type="auto"/>
            <w:vAlign w:val="center"/>
            <w:hideMark/>
          </w:tcPr>
          <w:p w14:paraId="2F8B552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47.033</w:t>
            </w:r>
          </w:p>
        </w:tc>
        <w:tc>
          <w:tcPr>
            <w:tcW w:w="0" w:type="auto"/>
            <w:vAlign w:val="center"/>
            <w:hideMark/>
          </w:tcPr>
          <w:p w14:paraId="0F4E7E8E"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41.660</w:t>
            </w:r>
          </w:p>
        </w:tc>
        <w:tc>
          <w:tcPr>
            <w:tcW w:w="0" w:type="auto"/>
            <w:vAlign w:val="center"/>
            <w:hideMark/>
          </w:tcPr>
          <w:p w14:paraId="5159C8B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48.157</w:t>
            </w:r>
          </w:p>
        </w:tc>
      </w:tr>
      <w:tr w:rsidR="003D5428" w:rsidRPr="009C1AAD" w14:paraId="2137A257" w14:textId="77777777" w:rsidTr="00D32377">
        <w:trPr>
          <w:tblCellSpacing w:w="15" w:type="dxa"/>
        </w:trPr>
        <w:tc>
          <w:tcPr>
            <w:tcW w:w="0" w:type="auto"/>
            <w:vAlign w:val="center"/>
            <w:hideMark/>
          </w:tcPr>
          <w:p w14:paraId="43D4234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3C5A75A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75610C4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45.243</w:t>
            </w:r>
          </w:p>
        </w:tc>
        <w:tc>
          <w:tcPr>
            <w:tcW w:w="0" w:type="auto"/>
            <w:vAlign w:val="center"/>
            <w:hideMark/>
          </w:tcPr>
          <w:p w14:paraId="2720832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42.949</w:t>
            </w:r>
          </w:p>
        </w:tc>
        <w:tc>
          <w:tcPr>
            <w:tcW w:w="0" w:type="auto"/>
            <w:vAlign w:val="center"/>
            <w:hideMark/>
          </w:tcPr>
          <w:p w14:paraId="2554C2D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47.538</w:t>
            </w:r>
          </w:p>
        </w:tc>
        <w:tc>
          <w:tcPr>
            <w:tcW w:w="0" w:type="auto"/>
            <w:vAlign w:val="center"/>
            <w:hideMark/>
          </w:tcPr>
          <w:p w14:paraId="3FC3911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41.735</w:t>
            </w:r>
          </w:p>
        </w:tc>
        <w:tc>
          <w:tcPr>
            <w:tcW w:w="0" w:type="auto"/>
            <w:vAlign w:val="center"/>
            <w:hideMark/>
          </w:tcPr>
          <w:p w14:paraId="4CA2EBA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48.752</w:t>
            </w:r>
          </w:p>
        </w:tc>
      </w:tr>
      <w:tr w:rsidR="003D5428" w:rsidRPr="009C1AAD" w14:paraId="49ED30BB" w14:textId="77777777" w:rsidTr="00D32377">
        <w:trPr>
          <w:tblCellSpacing w:w="15" w:type="dxa"/>
        </w:trPr>
        <w:tc>
          <w:tcPr>
            <w:tcW w:w="0" w:type="auto"/>
            <w:vAlign w:val="center"/>
            <w:hideMark/>
          </w:tcPr>
          <w:p w14:paraId="6E5BA55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4CE1F9B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1436449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45.578</w:t>
            </w:r>
          </w:p>
        </w:tc>
        <w:tc>
          <w:tcPr>
            <w:tcW w:w="0" w:type="auto"/>
            <w:vAlign w:val="center"/>
            <w:hideMark/>
          </w:tcPr>
          <w:p w14:paraId="00F21D8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43.125</w:t>
            </w:r>
          </w:p>
        </w:tc>
        <w:tc>
          <w:tcPr>
            <w:tcW w:w="0" w:type="auto"/>
            <w:vAlign w:val="center"/>
            <w:hideMark/>
          </w:tcPr>
          <w:p w14:paraId="6363F1F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48.031</w:t>
            </w:r>
          </w:p>
        </w:tc>
        <w:tc>
          <w:tcPr>
            <w:tcW w:w="0" w:type="auto"/>
            <w:vAlign w:val="center"/>
            <w:hideMark/>
          </w:tcPr>
          <w:p w14:paraId="0C45E7A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41.827</w:t>
            </w:r>
          </w:p>
        </w:tc>
        <w:tc>
          <w:tcPr>
            <w:tcW w:w="0" w:type="auto"/>
            <w:vAlign w:val="center"/>
            <w:hideMark/>
          </w:tcPr>
          <w:p w14:paraId="70D5821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49.329</w:t>
            </w:r>
          </w:p>
        </w:tc>
      </w:tr>
      <w:tr w:rsidR="003D5428" w:rsidRPr="009C1AAD" w14:paraId="0BE640E7" w14:textId="77777777" w:rsidTr="00D32377">
        <w:trPr>
          <w:tblCellSpacing w:w="15" w:type="dxa"/>
        </w:trPr>
        <w:tc>
          <w:tcPr>
            <w:tcW w:w="0" w:type="auto"/>
            <w:vAlign w:val="center"/>
            <w:hideMark/>
          </w:tcPr>
          <w:p w14:paraId="2B73579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02F3232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449861F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45.913</w:t>
            </w:r>
          </w:p>
        </w:tc>
        <w:tc>
          <w:tcPr>
            <w:tcW w:w="0" w:type="auto"/>
            <w:vAlign w:val="center"/>
            <w:hideMark/>
          </w:tcPr>
          <w:p w14:paraId="24F30F8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43.311</w:t>
            </w:r>
          </w:p>
        </w:tc>
        <w:tc>
          <w:tcPr>
            <w:tcW w:w="0" w:type="auto"/>
            <w:vAlign w:val="center"/>
            <w:hideMark/>
          </w:tcPr>
          <w:p w14:paraId="1BA8AEB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48.515</w:t>
            </w:r>
          </w:p>
        </w:tc>
        <w:tc>
          <w:tcPr>
            <w:tcW w:w="0" w:type="auto"/>
            <w:vAlign w:val="center"/>
            <w:hideMark/>
          </w:tcPr>
          <w:p w14:paraId="3143DDE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41.934</w:t>
            </w:r>
          </w:p>
        </w:tc>
        <w:tc>
          <w:tcPr>
            <w:tcW w:w="0" w:type="auto"/>
            <w:vAlign w:val="center"/>
            <w:hideMark/>
          </w:tcPr>
          <w:p w14:paraId="13A3BF1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49.892</w:t>
            </w:r>
          </w:p>
        </w:tc>
      </w:tr>
      <w:tr w:rsidR="003D5428" w:rsidRPr="009C1AAD" w14:paraId="6E29CC77" w14:textId="77777777" w:rsidTr="00D32377">
        <w:trPr>
          <w:tblCellSpacing w:w="15" w:type="dxa"/>
        </w:trPr>
        <w:tc>
          <w:tcPr>
            <w:tcW w:w="0" w:type="auto"/>
            <w:vAlign w:val="center"/>
            <w:hideMark/>
          </w:tcPr>
          <w:p w14:paraId="1B54A13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vAlign w:val="center"/>
            <w:hideMark/>
          </w:tcPr>
          <w:p w14:paraId="18B9261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11F68D1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46.248</w:t>
            </w:r>
          </w:p>
        </w:tc>
        <w:tc>
          <w:tcPr>
            <w:tcW w:w="0" w:type="auto"/>
            <w:vAlign w:val="center"/>
            <w:hideMark/>
          </w:tcPr>
          <w:p w14:paraId="3A90155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43.506</w:t>
            </w:r>
          </w:p>
        </w:tc>
        <w:tc>
          <w:tcPr>
            <w:tcW w:w="0" w:type="auto"/>
            <w:vAlign w:val="center"/>
            <w:hideMark/>
          </w:tcPr>
          <w:p w14:paraId="4490280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48.990</w:t>
            </w:r>
          </w:p>
        </w:tc>
        <w:tc>
          <w:tcPr>
            <w:tcW w:w="0" w:type="auto"/>
            <w:vAlign w:val="center"/>
            <w:hideMark/>
          </w:tcPr>
          <w:p w14:paraId="695BE0C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42.054</w:t>
            </w:r>
          </w:p>
        </w:tc>
        <w:tc>
          <w:tcPr>
            <w:tcW w:w="0" w:type="auto"/>
            <w:vAlign w:val="center"/>
            <w:hideMark/>
          </w:tcPr>
          <w:p w14:paraId="04CAABB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50.442</w:t>
            </w:r>
          </w:p>
        </w:tc>
      </w:tr>
      <w:tr w:rsidR="003D5428" w:rsidRPr="009C1AAD" w14:paraId="7595F9BB" w14:textId="77777777" w:rsidTr="00D32377">
        <w:trPr>
          <w:tblCellSpacing w:w="15" w:type="dxa"/>
        </w:trPr>
        <w:tc>
          <w:tcPr>
            <w:tcW w:w="0" w:type="auto"/>
            <w:vAlign w:val="center"/>
            <w:hideMark/>
          </w:tcPr>
          <w:p w14:paraId="5495D44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2025</w:t>
            </w:r>
          </w:p>
        </w:tc>
        <w:tc>
          <w:tcPr>
            <w:tcW w:w="0" w:type="auto"/>
            <w:vAlign w:val="center"/>
            <w:hideMark/>
          </w:tcPr>
          <w:p w14:paraId="12FDD37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2EA5E84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29.500</w:t>
            </w:r>
          </w:p>
        </w:tc>
        <w:tc>
          <w:tcPr>
            <w:tcW w:w="0" w:type="auto"/>
            <w:vAlign w:val="center"/>
            <w:hideMark/>
          </w:tcPr>
          <w:p w14:paraId="2DCD9FA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29.472</w:t>
            </w:r>
          </w:p>
        </w:tc>
        <w:tc>
          <w:tcPr>
            <w:tcW w:w="0" w:type="auto"/>
            <w:vAlign w:val="center"/>
            <w:hideMark/>
          </w:tcPr>
          <w:p w14:paraId="4473712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29.528</w:t>
            </w:r>
          </w:p>
        </w:tc>
        <w:tc>
          <w:tcPr>
            <w:tcW w:w="0" w:type="auto"/>
            <w:vAlign w:val="center"/>
            <w:hideMark/>
          </w:tcPr>
          <w:p w14:paraId="1BCA00E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29.457</w:t>
            </w:r>
          </w:p>
        </w:tc>
        <w:tc>
          <w:tcPr>
            <w:tcW w:w="0" w:type="auto"/>
            <w:vAlign w:val="center"/>
            <w:hideMark/>
          </w:tcPr>
          <w:p w14:paraId="2F9155D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29.543</w:t>
            </w:r>
          </w:p>
        </w:tc>
      </w:tr>
      <w:tr w:rsidR="003D5428" w:rsidRPr="009C1AAD" w14:paraId="7C262B0A" w14:textId="77777777" w:rsidTr="00D32377">
        <w:trPr>
          <w:tblCellSpacing w:w="15" w:type="dxa"/>
        </w:trPr>
        <w:tc>
          <w:tcPr>
            <w:tcW w:w="0" w:type="auto"/>
            <w:vAlign w:val="center"/>
            <w:hideMark/>
          </w:tcPr>
          <w:p w14:paraId="159A6DB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6070368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BE907E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29.509</w:t>
            </w:r>
          </w:p>
        </w:tc>
        <w:tc>
          <w:tcPr>
            <w:tcW w:w="0" w:type="auto"/>
            <w:vAlign w:val="center"/>
            <w:hideMark/>
          </w:tcPr>
          <w:p w14:paraId="45E1E6F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29.480</w:t>
            </w:r>
          </w:p>
        </w:tc>
        <w:tc>
          <w:tcPr>
            <w:tcW w:w="0" w:type="auto"/>
            <w:vAlign w:val="center"/>
            <w:hideMark/>
          </w:tcPr>
          <w:p w14:paraId="0667543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29.537</w:t>
            </w:r>
          </w:p>
        </w:tc>
        <w:tc>
          <w:tcPr>
            <w:tcW w:w="0" w:type="auto"/>
            <w:vAlign w:val="center"/>
            <w:hideMark/>
          </w:tcPr>
          <w:p w14:paraId="4516E02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29.465</w:t>
            </w:r>
          </w:p>
        </w:tc>
        <w:tc>
          <w:tcPr>
            <w:tcW w:w="0" w:type="auto"/>
            <w:vAlign w:val="center"/>
            <w:hideMark/>
          </w:tcPr>
          <w:p w14:paraId="19A2230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29.552</w:t>
            </w:r>
          </w:p>
        </w:tc>
      </w:tr>
      <w:tr w:rsidR="003D5428" w:rsidRPr="009C1AAD" w14:paraId="72717F70" w14:textId="77777777" w:rsidTr="00D32377">
        <w:trPr>
          <w:tblCellSpacing w:w="15" w:type="dxa"/>
        </w:trPr>
        <w:tc>
          <w:tcPr>
            <w:tcW w:w="0" w:type="auto"/>
            <w:vAlign w:val="center"/>
            <w:hideMark/>
          </w:tcPr>
          <w:p w14:paraId="5F4E0FA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50BA43A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14C2C918"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29.601</w:t>
            </w:r>
          </w:p>
        </w:tc>
        <w:tc>
          <w:tcPr>
            <w:tcW w:w="0" w:type="auto"/>
            <w:vAlign w:val="center"/>
            <w:hideMark/>
          </w:tcPr>
          <w:p w14:paraId="0FA96C9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29.562</w:t>
            </w:r>
          </w:p>
        </w:tc>
        <w:tc>
          <w:tcPr>
            <w:tcW w:w="0" w:type="auto"/>
            <w:vAlign w:val="center"/>
            <w:hideMark/>
          </w:tcPr>
          <w:p w14:paraId="71B8CD8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29.639</w:t>
            </w:r>
          </w:p>
        </w:tc>
        <w:tc>
          <w:tcPr>
            <w:tcW w:w="0" w:type="auto"/>
            <w:vAlign w:val="center"/>
            <w:hideMark/>
          </w:tcPr>
          <w:p w14:paraId="59B09B1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29.542</w:t>
            </w:r>
          </w:p>
        </w:tc>
        <w:tc>
          <w:tcPr>
            <w:tcW w:w="0" w:type="auto"/>
            <w:vAlign w:val="center"/>
            <w:hideMark/>
          </w:tcPr>
          <w:p w14:paraId="673B8BD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29.660</w:t>
            </w:r>
          </w:p>
        </w:tc>
      </w:tr>
      <w:tr w:rsidR="003D5428" w:rsidRPr="009C1AAD" w14:paraId="55F2E70B" w14:textId="77777777" w:rsidTr="00D32377">
        <w:trPr>
          <w:tblCellSpacing w:w="15" w:type="dxa"/>
        </w:trPr>
        <w:tc>
          <w:tcPr>
            <w:tcW w:w="0" w:type="auto"/>
            <w:vAlign w:val="center"/>
            <w:hideMark/>
          </w:tcPr>
          <w:p w14:paraId="0732E9F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47459EF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54EF359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29.617</w:t>
            </w:r>
          </w:p>
        </w:tc>
        <w:tc>
          <w:tcPr>
            <w:tcW w:w="0" w:type="auto"/>
            <w:vAlign w:val="center"/>
            <w:hideMark/>
          </w:tcPr>
          <w:p w14:paraId="77E83BA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29.578</w:t>
            </w:r>
          </w:p>
        </w:tc>
        <w:tc>
          <w:tcPr>
            <w:tcW w:w="0" w:type="auto"/>
            <w:vAlign w:val="center"/>
            <w:hideMark/>
          </w:tcPr>
          <w:p w14:paraId="2346107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29.656</w:t>
            </w:r>
          </w:p>
        </w:tc>
        <w:tc>
          <w:tcPr>
            <w:tcW w:w="0" w:type="auto"/>
            <w:vAlign w:val="center"/>
            <w:hideMark/>
          </w:tcPr>
          <w:p w14:paraId="51F1D30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29.557</w:t>
            </w:r>
          </w:p>
        </w:tc>
        <w:tc>
          <w:tcPr>
            <w:tcW w:w="0" w:type="auto"/>
            <w:vAlign w:val="center"/>
            <w:hideMark/>
          </w:tcPr>
          <w:p w14:paraId="4539D02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29.676</w:t>
            </w:r>
          </w:p>
        </w:tc>
      </w:tr>
      <w:tr w:rsidR="003D5428" w:rsidRPr="009C1AAD" w14:paraId="672D8965" w14:textId="77777777" w:rsidTr="00D32377">
        <w:trPr>
          <w:tblCellSpacing w:w="15" w:type="dxa"/>
        </w:trPr>
        <w:tc>
          <w:tcPr>
            <w:tcW w:w="0" w:type="auto"/>
            <w:vAlign w:val="center"/>
            <w:hideMark/>
          </w:tcPr>
          <w:p w14:paraId="6296756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4122B32E"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6B40BF7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29.702</w:t>
            </w:r>
          </w:p>
        </w:tc>
        <w:tc>
          <w:tcPr>
            <w:tcW w:w="0" w:type="auto"/>
            <w:vAlign w:val="center"/>
            <w:hideMark/>
          </w:tcPr>
          <w:p w14:paraId="2DFEAE5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29.656</w:t>
            </w:r>
          </w:p>
        </w:tc>
        <w:tc>
          <w:tcPr>
            <w:tcW w:w="0" w:type="auto"/>
            <w:vAlign w:val="center"/>
            <w:hideMark/>
          </w:tcPr>
          <w:p w14:paraId="1E74408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29.748</w:t>
            </w:r>
          </w:p>
        </w:tc>
        <w:tc>
          <w:tcPr>
            <w:tcW w:w="0" w:type="auto"/>
            <w:vAlign w:val="center"/>
            <w:hideMark/>
          </w:tcPr>
          <w:p w14:paraId="6CDBBECC"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29.632</w:t>
            </w:r>
          </w:p>
        </w:tc>
        <w:tc>
          <w:tcPr>
            <w:tcW w:w="0" w:type="auto"/>
            <w:vAlign w:val="center"/>
            <w:hideMark/>
          </w:tcPr>
          <w:p w14:paraId="453396D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29.772</w:t>
            </w:r>
          </w:p>
        </w:tc>
      </w:tr>
      <w:tr w:rsidR="003D5428" w:rsidRPr="009C1AAD" w14:paraId="7D602006" w14:textId="77777777" w:rsidTr="00D32377">
        <w:trPr>
          <w:tblCellSpacing w:w="15" w:type="dxa"/>
        </w:trPr>
        <w:tc>
          <w:tcPr>
            <w:tcW w:w="0" w:type="auto"/>
            <w:vAlign w:val="center"/>
            <w:hideMark/>
          </w:tcPr>
          <w:p w14:paraId="58FCCDBE"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756DDAF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127754D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29.724</w:t>
            </w:r>
          </w:p>
        </w:tc>
        <w:tc>
          <w:tcPr>
            <w:tcW w:w="0" w:type="auto"/>
            <w:vAlign w:val="center"/>
            <w:hideMark/>
          </w:tcPr>
          <w:p w14:paraId="06FE545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29.678</w:t>
            </w:r>
          </w:p>
        </w:tc>
        <w:tc>
          <w:tcPr>
            <w:tcW w:w="0" w:type="auto"/>
            <w:vAlign w:val="center"/>
            <w:hideMark/>
          </w:tcPr>
          <w:p w14:paraId="65F527E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29.770</w:t>
            </w:r>
          </w:p>
        </w:tc>
        <w:tc>
          <w:tcPr>
            <w:tcW w:w="0" w:type="auto"/>
            <w:vAlign w:val="center"/>
            <w:hideMark/>
          </w:tcPr>
          <w:p w14:paraId="090799A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29.653</w:t>
            </w:r>
          </w:p>
        </w:tc>
        <w:tc>
          <w:tcPr>
            <w:tcW w:w="0" w:type="auto"/>
            <w:vAlign w:val="center"/>
            <w:hideMark/>
          </w:tcPr>
          <w:p w14:paraId="039EC7B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29.795</w:t>
            </w:r>
          </w:p>
        </w:tc>
      </w:tr>
      <w:tr w:rsidR="003D5428" w:rsidRPr="009C1AAD" w14:paraId="0FC7DDE5" w14:textId="77777777" w:rsidTr="00D32377">
        <w:trPr>
          <w:tblCellSpacing w:w="15" w:type="dxa"/>
        </w:trPr>
        <w:tc>
          <w:tcPr>
            <w:tcW w:w="0" w:type="auto"/>
            <w:vAlign w:val="center"/>
            <w:hideMark/>
          </w:tcPr>
          <w:p w14:paraId="6BB98C0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483CC5B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5E7A2F6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29.804</w:t>
            </w:r>
          </w:p>
        </w:tc>
        <w:tc>
          <w:tcPr>
            <w:tcW w:w="0" w:type="auto"/>
            <w:vAlign w:val="center"/>
            <w:hideMark/>
          </w:tcPr>
          <w:p w14:paraId="107A9E60"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29.752</w:t>
            </w:r>
          </w:p>
        </w:tc>
        <w:tc>
          <w:tcPr>
            <w:tcW w:w="0" w:type="auto"/>
            <w:vAlign w:val="center"/>
            <w:hideMark/>
          </w:tcPr>
          <w:p w14:paraId="4B1A95AD"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29.856</w:t>
            </w:r>
          </w:p>
        </w:tc>
        <w:tc>
          <w:tcPr>
            <w:tcW w:w="0" w:type="auto"/>
            <w:vAlign w:val="center"/>
            <w:hideMark/>
          </w:tcPr>
          <w:p w14:paraId="55ECEEA7"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29.725</w:t>
            </w:r>
          </w:p>
        </w:tc>
        <w:tc>
          <w:tcPr>
            <w:tcW w:w="0" w:type="auto"/>
            <w:vAlign w:val="center"/>
            <w:hideMark/>
          </w:tcPr>
          <w:p w14:paraId="7D8C709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29.883</w:t>
            </w:r>
          </w:p>
        </w:tc>
      </w:tr>
      <w:tr w:rsidR="003D5428" w:rsidRPr="009C1AAD" w14:paraId="2521C8E6" w14:textId="77777777" w:rsidTr="00D32377">
        <w:trPr>
          <w:tblCellSpacing w:w="15" w:type="dxa"/>
        </w:trPr>
        <w:tc>
          <w:tcPr>
            <w:tcW w:w="0" w:type="auto"/>
            <w:vAlign w:val="center"/>
            <w:hideMark/>
          </w:tcPr>
          <w:p w14:paraId="0198650D" w14:textId="2BBD384D" w:rsidR="003D5428" w:rsidRPr="009C1AAD" w:rsidRDefault="00A05E81" w:rsidP="00D32377">
            <w:pPr>
              <w:spacing w:line="480" w:lineRule="auto"/>
              <w:jc w:val="both"/>
              <w:rPr>
                <w:rFonts w:ascii="Arial" w:eastAsiaTheme="minorEastAsia" w:hAnsi="Arial" w:cs="Arial"/>
                <w:sz w:val="22"/>
                <w:szCs w:val="22"/>
              </w:rPr>
            </w:pPr>
            <w:r>
              <w:rPr>
                <w:rFonts w:ascii="Arial" w:eastAsiaTheme="minorEastAsia" w:hAnsi="Arial" w:cs="Arial"/>
                <w:sz w:val="22"/>
                <w:szCs w:val="22"/>
              </w:rPr>
              <w:t xml:space="preserve"> </w:t>
            </w:r>
            <w:r w:rsidR="003D5428" w:rsidRPr="009C1AAD">
              <w:rPr>
                <w:rFonts w:ascii="Arial" w:eastAsiaTheme="minorEastAsia" w:hAnsi="Arial" w:cs="Arial"/>
                <w:sz w:val="22"/>
                <w:szCs w:val="22"/>
              </w:rPr>
              <w:t>2032</w:t>
            </w:r>
          </w:p>
        </w:tc>
        <w:tc>
          <w:tcPr>
            <w:tcW w:w="0" w:type="auto"/>
            <w:vAlign w:val="center"/>
            <w:hideMark/>
          </w:tcPr>
          <w:p w14:paraId="4E69427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3726D50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29.831</w:t>
            </w:r>
          </w:p>
        </w:tc>
        <w:tc>
          <w:tcPr>
            <w:tcW w:w="0" w:type="auto"/>
            <w:vAlign w:val="center"/>
            <w:hideMark/>
          </w:tcPr>
          <w:p w14:paraId="67C722A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29.779</w:t>
            </w:r>
          </w:p>
        </w:tc>
        <w:tc>
          <w:tcPr>
            <w:tcW w:w="0" w:type="auto"/>
            <w:vAlign w:val="center"/>
            <w:hideMark/>
          </w:tcPr>
          <w:p w14:paraId="5D89CBA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29.883</w:t>
            </w:r>
          </w:p>
        </w:tc>
        <w:tc>
          <w:tcPr>
            <w:tcW w:w="0" w:type="auto"/>
            <w:vAlign w:val="center"/>
            <w:hideMark/>
          </w:tcPr>
          <w:p w14:paraId="0A56446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29.751</w:t>
            </w:r>
          </w:p>
        </w:tc>
        <w:tc>
          <w:tcPr>
            <w:tcW w:w="0" w:type="auto"/>
            <w:vAlign w:val="center"/>
            <w:hideMark/>
          </w:tcPr>
          <w:p w14:paraId="2A8AAD29"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29.911</w:t>
            </w:r>
          </w:p>
        </w:tc>
      </w:tr>
      <w:tr w:rsidR="003D5428" w:rsidRPr="009C1AAD" w14:paraId="42DF35A2" w14:textId="77777777" w:rsidTr="00D32377">
        <w:trPr>
          <w:tblCellSpacing w:w="15" w:type="dxa"/>
        </w:trPr>
        <w:tc>
          <w:tcPr>
            <w:tcW w:w="0" w:type="auto"/>
            <w:vAlign w:val="center"/>
            <w:hideMark/>
          </w:tcPr>
          <w:p w14:paraId="1C24F294"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507AD522"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134F4A2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29.906</w:t>
            </w:r>
          </w:p>
        </w:tc>
        <w:tc>
          <w:tcPr>
            <w:tcW w:w="0" w:type="auto"/>
            <w:vAlign w:val="center"/>
            <w:hideMark/>
          </w:tcPr>
          <w:p w14:paraId="63DB801F"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29.850</w:t>
            </w:r>
          </w:p>
        </w:tc>
        <w:tc>
          <w:tcPr>
            <w:tcW w:w="0" w:type="auto"/>
            <w:vAlign w:val="center"/>
            <w:hideMark/>
          </w:tcPr>
          <w:p w14:paraId="76CEFE9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29.963</w:t>
            </w:r>
          </w:p>
        </w:tc>
        <w:tc>
          <w:tcPr>
            <w:tcW w:w="0" w:type="auto"/>
            <w:vAlign w:val="center"/>
            <w:hideMark/>
          </w:tcPr>
          <w:p w14:paraId="7E093B0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29.820</w:t>
            </w:r>
          </w:p>
        </w:tc>
        <w:tc>
          <w:tcPr>
            <w:tcW w:w="0" w:type="auto"/>
            <w:vAlign w:val="center"/>
            <w:hideMark/>
          </w:tcPr>
          <w:p w14:paraId="432A252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29.993</w:t>
            </w:r>
          </w:p>
        </w:tc>
      </w:tr>
      <w:tr w:rsidR="003D5428" w:rsidRPr="009C1AAD" w14:paraId="632D8D17" w14:textId="77777777" w:rsidTr="00D32377">
        <w:trPr>
          <w:tblCellSpacing w:w="15" w:type="dxa"/>
        </w:trPr>
        <w:tc>
          <w:tcPr>
            <w:tcW w:w="0" w:type="auto"/>
            <w:tcBorders>
              <w:bottom w:val="single" w:sz="4" w:space="0" w:color="auto"/>
            </w:tcBorders>
            <w:vAlign w:val="center"/>
            <w:hideMark/>
          </w:tcPr>
          <w:p w14:paraId="08196F1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tcBorders>
              <w:bottom w:val="single" w:sz="4" w:space="0" w:color="auto"/>
            </w:tcBorders>
            <w:vAlign w:val="center"/>
            <w:hideMark/>
          </w:tcPr>
          <w:p w14:paraId="52C81DD3"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tcBorders>
              <w:bottom w:val="single" w:sz="4" w:space="0" w:color="auto"/>
            </w:tcBorders>
            <w:vAlign w:val="center"/>
            <w:hideMark/>
          </w:tcPr>
          <w:p w14:paraId="622CF846"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29.938</w:t>
            </w:r>
          </w:p>
        </w:tc>
        <w:tc>
          <w:tcPr>
            <w:tcW w:w="0" w:type="auto"/>
            <w:tcBorders>
              <w:bottom w:val="single" w:sz="4" w:space="0" w:color="auto"/>
            </w:tcBorders>
            <w:vAlign w:val="center"/>
            <w:hideMark/>
          </w:tcPr>
          <w:p w14:paraId="723D805A"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29.880</w:t>
            </w:r>
          </w:p>
        </w:tc>
        <w:tc>
          <w:tcPr>
            <w:tcW w:w="0" w:type="auto"/>
            <w:tcBorders>
              <w:bottom w:val="single" w:sz="4" w:space="0" w:color="auto"/>
            </w:tcBorders>
            <w:vAlign w:val="center"/>
            <w:hideMark/>
          </w:tcPr>
          <w:p w14:paraId="3C71DE41"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29.995</w:t>
            </w:r>
          </w:p>
        </w:tc>
        <w:tc>
          <w:tcPr>
            <w:tcW w:w="0" w:type="auto"/>
            <w:tcBorders>
              <w:bottom w:val="single" w:sz="4" w:space="0" w:color="auto"/>
            </w:tcBorders>
            <w:vAlign w:val="center"/>
            <w:hideMark/>
          </w:tcPr>
          <w:p w14:paraId="77682A45"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29.850</w:t>
            </w:r>
          </w:p>
        </w:tc>
        <w:tc>
          <w:tcPr>
            <w:tcW w:w="0" w:type="auto"/>
            <w:tcBorders>
              <w:bottom w:val="single" w:sz="4" w:space="0" w:color="auto"/>
            </w:tcBorders>
            <w:vAlign w:val="center"/>
            <w:hideMark/>
          </w:tcPr>
          <w:p w14:paraId="722A7DEB" w14:textId="77777777" w:rsidR="003D5428" w:rsidRPr="009C1AAD" w:rsidRDefault="003D5428" w:rsidP="00D32377">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30.025</w:t>
            </w:r>
          </w:p>
        </w:tc>
      </w:tr>
    </w:tbl>
    <w:p w14:paraId="658A9AC6" w14:textId="77777777" w:rsidR="003D5428" w:rsidRPr="009C1AAD" w:rsidRDefault="003D5428" w:rsidP="003D5428">
      <w:pPr>
        <w:spacing w:line="480" w:lineRule="auto"/>
        <w:jc w:val="both"/>
        <w:rPr>
          <w:rFonts w:ascii="Arial" w:eastAsiaTheme="minorEastAsia" w:hAnsi="Arial" w:cs="Arial"/>
          <w:sz w:val="22"/>
          <w:szCs w:val="22"/>
        </w:rPr>
      </w:pPr>
    </w:p>
    <w:p w14:paraId="123E6A50" w14:textId="46C0974C" w:rsidR="003D5428" w:rsidRPr="003D5428" w:rsidRDefault="003D5428"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w:t>
      </w:r>
      <w:r w:rsidR="00E36E41">
        <w:rPr>
          <w:rFonts w:ascii="Arial" w:eastAsiaTheme="minorEastAsia" w:hAnsi="Arial" w:cs="Arial"/>
          <w:sz w:val="22"/>
          <w:szCs w:val="22"/>
        </w:rPr>
        <w:t>11</w:t>
      </w:r>
      <w:r w:rsidRPr="009C1AAD">
        <w:rPr>
          <w:rFonts w:ascii="Arial" w:eastAsiaTheme="minorEastAsia" w:hAnsi="Arial" w:cs="Arial"/>
          <w:sz w:val="22"/>
          <w:szCs w:val="22"/>
        </w:rPr>
        <w:t xml:space="preserve"> shows that the forecasts for the period 2025–2034 indicate gradual upward trends in the climate index, annual rainfall, and average temperature. The climate index is projected to increase from 62.40 in 2025 to 63.30 in 2034, with narrow 80% and 95% prediction intervals, reflecting high confidence in the forecasted values. Annual rainfall is expected to rise from 43.24 mm in 2025 to 46.25 mm in 2034, with wider prediction intervals (e.g., 80% interval 42.37–44.10 mm in 2025) indicating greater uncertainty relative to the climate index. Average temperature is projected to increase modestly from 29.50 °C in 2025 to 29.94 °C in 2034, with consistently narrow confidence intervals (e.g., 95% interval 29.457–29.543 °C in 2025), suggesting precise forecasts.</w:t>
      </w:r>
    </w:p>
    <w:p w14:paraId="1E50DDB5" w14:textId="77777777" w:rsidR="003D5428" w:rsidRPr="009C1AAD" w:rsidRDefault="003D5428" w:rsidP="009C1AAD">
      <w:pPr>
        <w:spacing w:line="480" w:lineRule="auto"/>
        <w:jc w:val="both"/>
        <w:rPr>
          <w:rFonts w:ascii="Arial" w:eastAsiaTheme="minorEastAsia" w:hAnsi="Arial" w:cs="Arial"/>
          <w:b/>
          <w:bCs/>
          <w:sz w:val="22"/>
          <w:szCs w:val="22"/>
        </w:rPr>
      </w:pPr>
    </w:p>
    <w:p w14:paraId="00432D7B" w14:textId="78E88582"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Table 1</w:t>
      </w:r>
      <w:r w:rsidR="001C76E4">
        <w:rPr>
          <w:rFonts w:ascii="Arial" w:eastAsiaTheme="minorEastAsia" w:hAnsi="Arial" w:cs="Arial"/>
          <w:b/>
          <w:bCs/>
          <w:sz w:val="22"/>
          <w:szCs w:val="22"/>
        </w:rPr>
        <w:t>2</w:t>
      </w:r>
      <w:r w:rsidRPr="009C1AAD">
        <w:rPr>
          <w:rFonts w:ascii="Arial" w:eastAsiaTheme="minorEastAsia" w:hAnsi="Arial" w:cs="Arial"/>
          <w:b/>
          <w:bCs/>
          <w:sz w:val="22"/>
          <w:szCs w:val="22"/>
        </w:rPr>
        <w:t xml:space="preserve">: Comparative Performance of ARIMAX Models for Rainfall Forecasting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1932"/>
        <w:gridCol w:w="1253"/>
        <w:gridCol w:w="900"/>
        <w:gridCol w:w="630"/>
        <w:gridCol w:w="1391"/>
        <w:gridCol w:w="733"/>
        <w:gridCol w:w="748"/>
      </w:tblGrid>
      <w:tr w:rsidR="009C1AAD" w:rsidRPr="009C1AAD" w14:paraId="231F3C2D" w14:textId="77777777" w:rsidTr="00DB522D">
        <w:trPr>
          <w:tblHeader/>
          <w:tblCellSpacing w:w="15" w:type="dxa"/>
        </w:trPr>
        <w:tc>
          <w:tcPr>
            <w:tcW w:w="0" w:type="auto"/>
            <w:tcBorders>
              <w:top w:val="single" w:sz="4" w:space="0" w:color="auto"/>
              <w:bottom w:val="single" w:sz="4" w:space="0" w:color="auto"/>
            </w:tcBorders>
            <w:vAlign w:val="center"/>
            <w:hideMark/>
          </w:tcPr>
          <w:p w14:paraId="2C348A4C"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bottom w:val="single" w:sz="4" w:space="0" w:color="auto"/>
            </w:tcBorders>
            <w:vAlign w:val="center"/>
            <w:hideMark/>
          </w:tcPr>
          <w:p w14:paraId="76AA4B71"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Description</w:t>
            </w:r>
          </w:p>
        </w:tc>
        <w:tc>
          <w:tcPr>
            <w:tcW w:w="1223" w:type="dxa"/>
            <w:tcBorders>
              <w:top w:val="single" w:sz="4" w:space="0" w:color="auto"/>
              <w:bottom w:val="single" w:sz="4" w:space="0" w:color="auto"/>
            </w:tcBorders>
            <w:vAlign w:val="center"/>
            <w:hideMark/>
          </w:tcPr>
          <w:p w14:paraId="7E1D215D"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Order (</w:t>
            </w:r>
            <w:proofErr w:type="spellStart"/>
            <w:proofErr w:type="gramStart"/>
            <w:r w:rsidRPr="009C1AAD">
              <w:rPr>
                <w:rFonts w:ascii="Arial" w:eastAsiaTheme="minorEastAsia" w:hAnsi="Arial" w:cs="Arial"/>
                <w:b/>
                <w:bCs/>
                <w:sz w:val="22"/>
                <w:szCs w:val="22"/>
              </w:rPr>
              <w:t>p,d</w:t>
            </w:r>
            <w:proofErr w:type="gramEnd"/>
            <w:r w:rsidRPr="009C1AAD">
              <w:rPr>
                <w:rFonts w:ascii="Arial" w:eastAsiaTheme="minorEastAsia" w:hAnsi="Arial" w:cs="Arial"/>
                <w:b/>
                <w:bCs/>
                <w:sz w:val="22"/>
                <w:szCs w:val="22"/>
              </w:rPr>
              <w:t>,q</w:t>
            </w:r>
            <w:proofErr w:type="spellEnd"/>
            <w:r w:rsidRPr="009C1AAD">
              <w:rPr>
                <w:rFonts w:ascii="Arial" w:eastAsiaTheme="minorEastAsia" w:hAnsi="Arial" w:cs="Arial"/>
                <w:b/>
                <w:bCs/>
                <w:sz w:val="22"/>
                <w:szCs w:val="22"/>
              </w:rPr>
              <w:t>)</w:t>
            </w:r>
          </w:p>
        </w:tc>
        <w:tc>
          <w:tcPr>
            <w:tcW w:w="870" w:type="dxa"/>
            <w:tcBorders>
              <w:top w:val="single" w:sz="4" w:space="0" w:color="auto"/>
              <w:bottom w:val="single" w:sz="4" w:space="0" w:color="auto"/>
            </w:tcBorders>
            <w:vAlign w:val="center"/>
            <w:hideMark/>
          </w:tcPr>
          <w:p w14:paraId="3E95DB9B"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600" w:type="dxa"/>
            <w:tcBorders>
              <w:top w:val="single" w:sz="4" w:space="0" w:color="auto"/>
              <w:bottom w:val="single" w:sz="4" w:space="0" w:color="auto"/>
            </w:tcBorders>
            <w:vAlign w:val="center"/>
            <w:hideMark/>
          </w:tcPr>
          <w:p w14:paraId="161695AA"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BIC</w:t>
            </w:r>
          </w:p>
        </w:tc>
        <w:tc>
          <w:tcPr>
            <w:tcW w:w="1361" w:type="dxa"/>
            <w:tcBorders>
              <w:top w:val="single" w:sz="4" w:space="0" w:color="auto"/>
              <w:bottom w:val="single" w:sz="4" w:space="0" w:color="auto"/>
            </w:tcBorders>
            <w:vAlign w:val="center"/>
            <w:hideMark/>
          </w:tcPr>
          <w:p w14:paraId="7B7851C0"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Log-Likelihood</w:t>
            </w:r>
          </w:p>
        </w:tc>
        <w:tc>
          <w:tcPr>
            <w:tcW w:w="0" w:type="auto"/>
            <w:tcBorders>
              <w:top w:val="single" w:sz="4" w:space="0" w:color="auto"/>
              <w:bottom w:val="single" w:sz="4" w:space="0" w:color="auto"/>
            </w:tcBorders>
            <w:vAlign w:val="center"/>
            <w:hideMark/>
          </w:tcPr>
          <w:p w14:paraId="51E53F64"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bottom w:val="single" w:sz="4" w:space="0" w:color="auto"/>
            </w:tcBorders>
            <w:vAlign w:val="center"/>
            <w:hideMark/>
          </w:tcPr>
          <w:p w14:paraId="62BDB6EB"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MAE</w:t>
            </w:r>
          </w:p>
        </w:tc>
      </w:tr>
      <w:tr w:rsidR="009C1AAD" w:rsidRPr="009C1AAD" w14:paraId="566DCE53" w14:textId="77777777" w:rsidTr="00DB522D">
        <w:trPr>
          <w:tblCellSpacing w:w="15" w:type="dxa"/>
        </w:trPr>
        <w:tc>
          <w:tcPr>
            <w:tcW w:w="0" w:type="auto"/>
            <w:vAlign w:val="center"/>
            <w:hideMark/>
          </w:tcPr>
          <w:p w14:paraId="005445E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w:t>
            </w:r>
          </w:p>
        </w:tc>
        <w:tc>
          <w:tcPr>
            <w:tcW w:w="0" w:type="auto"/>
            <w:vAlign w:val="center"/>
            <w:hideMark/>
          </w:tcPr>
          <w:p w14:paraId="3C0B0B5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(Temperature Only)</w:t>
            </w:r>
          </w:p>
        </w:tc>
        <w:tc>
          <w:tcPr>
            <w:tcW w:w="1223" w:type="dxa"/>
            <w:vAlign w:val="center"/>
            <w:hideMark/>
          </w:tcPr>
          <w:p w14:paraId="0EBF8AB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653A2D0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58.36</w:t>
            </w:r>
          </w:p>
        </w:tc>
        <w:tc>
          <w:tcPr>
            <w:tcW w:w="600" w:type="dxa"/>
            <w:vAlign w:val="center"/>
            <w:hideMark/>
          </w:tcPr>
          <w:p w14:paraId="03DD6FF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63.08</w:t>
            </w:r>
          </w:p>
        </w:tc>
        <w:tc>
          <w:tcPr>
            <w:tcW w:w="1361" w:type="dxa"/>
            <w:vAlign w:val="center"/>
            <w:hideMark/>
          </w:tcPr>
          <w:p w14:paraId="611DCA3F"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-25.18</w:t>
            </w:r>
          </w:p>
        </w:tc>
        <w:tc>
          <w:tcPr>
            <w:tcW w:w="0" w:type="auto"/>
            <w:vAlign w:val="center"/>
            <w:hideMark/>
          </w:tcPr>
          <w:p w14:paraId="4EE4B97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0.6802</w:t>
            </w:r>
          </w:p>
        </w:tc>
        <w:tc>
          <w:tcPr>
            <w:tcW w:w="0" w:type="auto"/>
            <w:vAlign w:val="center"/>
            <w:hideMark/>
          </w:tcPr>
          <w:p w14:paraId="37ABD742"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0.5114</w:t>
            </w:r>
          </w:p>
        </w:tc>
      </w:tr>
      <w:tr w:rsidR="009C1AAD" w:rsidRPr="009C1AAD" w14:paraId="7504782B" w14:textId="77777777" w:rsidTr="00DB522D">
        <w:trPr>
          <w:tblCellSpacing w:w="15" w:type="dxa"/>
        </w:trPr>
        <w:tc>
          <w:tcPr>
            <w:tcW w:w="0" w:type="auto"/>
            <w:vAlign w:val="center"/>
            <w:hideMark/>
          </w:tcPr>
          <w:p w14:paraId="4D912DB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w:t>
            </w:r>
          </w:p>
        </w:tc>
        <w:tc>
          <w:tcPr>
            <w:tcW w:w="0" w:type="auto"/>
            <w:vAlign w:val="center"/>
            <w:hideMark/>
          </w:tcPr>
          <w:p w14:paraId="55932D4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(Climate Only)</w:t>
            </w:r>
          </w:p>
        </w:tc>
        <w:tc>
          <w:tcPr>
            <w:tcW w:w="1223" w:type="dxa"/>
            <w:vAlign w:val="center"/>
            <w:hideMark/>
          </w:tcPr>
          <w:p w14:paraId="0A3CE34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5CE8A0A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54.69</w:t>
            </w:r>
          </w:p>
        </w:tc>
        <w:tc>
          <w:tcPr>
            <w:tcW w:w="600" w:type="dxa"/>
            <w:vAlign w:val="center"/>
            <w:hideMark/>
          </w:tcPr>
          <w:p w14:paraId="6368939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59.40</w:t>
            </w:r>
          </w:p>
        </w:tc>
        <w:tc>
          <w:tcPr>
            <w:tcW w:w="1361" w:type="dxa"/>
            <w:vAlign w:val="center"/>
            <w:hideMark/>
          </w:tcPr>
          <w:p w14:paraId="3DF2EF0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-23.34</w:t>
            </w:r>
          </w:p>
        </w:tc>
        <w:tc>
          <w:tcPr>
            <w:tcW w:w="0" w:type="auto"/>
            <w:vAlign w:val="center"/>
            <w:hideMark/>
          </w:tcPr>
          <w:p w14:paraId="2BC8E45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0.6272</w:t>
            </w:r>
          </w:p>
        </w:tc>
        <w:tc>
          <w:tcPr>
            <w:tcW w:w="0" w:type="auto"/>
            <w:vAlign w:val="center"/>
            <w:hideMark/>
          </w:tcPr>
          <w:p w14:paraId="54EBCC2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0.4478</w:t>
            </w:r>
          </w:p>
        </w:tc>
      </w:tr>
      <w:tr w:rsidR="009C1AAD" w:rsidRPr="009C1AAD" w14:paraId="46CBB43C" w14:textId="77777777" w:rsidTr="00DB522D">
        <w:trPr>
          <w:tblCellSpacing w:w="15" w:type="dxa"/>
        </w:trPr>
        <w:tc>
          <w:tcPr>
            <w:tcW w:w="0" w:type="auto"/>
            <w:vAlign w:val="center"/>
            <w:hideMark/>
          </w:tcPr>
          <w:p w14:paraId="4782EEB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w:t>
            </w:r>
          </w:p>
        </w:tc>
        <w:tc>
          <w:tcPr>
            <w:tcW w:w="0" w:type="auto"/>
            <w:vAlign w:val="center"/>
            <w:hideMark/>
          </w:tcPr>
          <w:p w14:paraId="050C243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(Both Variables)</w:t>
            </w:r>
          </w:p>
        </w:tc>
        <w:tc>
          <w:tcPr>
            <w:tcW w:w="1223" w:type="dxa"/>
            <w:vAlign w:val="center"/>
            <w:hideMark/>
          </w:tcPr>
          <w:p w14:paraId="3DD62DF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5CAF453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56.68</w:t>
            </w:r>
          </w:p>
        </w:tc>
        <w:tc>
          <w:tcPr>
            <w:tcW w:w="600" w:type="dxa"/>
            <w:vAlign w:val="center"/>
            <w:hideMark/>
          </w:tcPr>
          <w:p w14:paraId="4AFEFD9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62.57</w:t>
            </w:r>
          </w:p>
        </w:tc>
        <w:tc>
          <w:tcPr>
            <w:tcW w:w="1361" w:type="dxa"/>
            <w:vAlign w:val="center"/>
            <w:hideMark/>
          </w:tcPr>
          <w:p w14:paraId="33533C9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-23.34</w:t>
            </w:r>
          </w:p>
        </w:tc>
        <w:tc>
          <w:tcPr>
            <w:tcW w:w="0" w:type="auto"/>
            <w:vAlign w:val="center"/>
            <w:hideMark/>
          </w:tcPr>
          <w:p w14:paraId="1B47F8D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0.6271</w:t>
            </w:r>
          </w:p>
        </w:tc>
        <w:tc>
          <w:tcPr>
            <w:tcW w:w="0" w:type="auto"/>
            <w:vAlign w:val="center"/>
            <w:hideMark/>
          </w:tcPr>
          <w:p w14:paraId="332252B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0.4471</w:t>
            </w:r>
          </w:p>
        </w:tc>
      </w:tr>
      <w:tr w:rsidR="009C1AAD" w:rsidRPr="009C1AAD" w14:paraId="3EAA9B58" w14:textId="77777777" w:rsidTr="00DB522D">
        <w:trPr>
          <w:tblCellSpacing w:w="15" w:type="dxa"/>
        </w:trPr>
        <w:tc>
          <w:tcPr>
            <w:tcW w:w="0" w:type="auto"/>
            <w:vAlign w:val="center"/>
            <w:hideMark/>
          </w:tcPr>
          <w:p w14:paraId="0FCE2A6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w:t>
            </w:r>
          </w:p>
        </w:tc>
        <w:tc>
          <w:tcPr>
            <w:tcW w:w="0" w:type="auto"/>
            <w:vAlign w:val="center"/>
            <w:hideMark/>
          </w:tcPr>
          <w:p w14:paraId="733D8BA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vAlign w:val="center"/>
            <w:hideMark/>
          </w:tcPr>
          <w:p w14:paraId="1B22940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(1,1,1)</w:t>
            </w:r>
          </w:p>
        </w:tc>
        <w:tc>
          <w:tcPr>
            <w:tcW w:w="870" w:type="dxa"/>
            <w:vAlign w:val="center"/>
            <w:hideMark/>
          </w:tcPr>
          <w:p w14:paraId="1894AF3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55.33</w:t>
            </w:r>
          </w:p>
        </w:tc>
        <w:tc>
          <w:tcPr>
            <w:tcW w:w="600" w:type="dxa"/>
            <w:vAlign w:val="center"/>
            <w:hideMark/>
          </w:tcPr>
          <w:p w14:paraId="1B12F4C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61.00</w:t>
            </w:r>
          </w:p>
        </w:tc>
        <w:tc>
          <w:tcPr>
            <w:tcW w:w="1361" w:type="dxa"/>
            <w:vAlign w:val="center"/>
            <w:hideMark/>
          </w:tcPr>
          <w:p w14:paraId="41452C5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-22.66</w:t>
            </w:r>
          </w:p>
        </w:tc>
        <w:tc>
          <w:tcPr>
            <w:tcW w:w="0" w:type="auto"/>
            <w:vAlign w:val="center"/>
            <w:hideMark/>
          </w:tcPr>
          <w:p w14:paraId="15C1F7D8"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0.6349</w:t>
            </w:r>
          </w:p>
        </w:tc>
        <w:tc>
          <w:tcPr>
            <w:tcW w:w="0" w:type="auto"/>
            <w:vAlign w:val="center"/>
            <w:hideMark/>
          </w:tcPr>
          <w:p w14:paraId="4D4DD9D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0.4741</w:t>
            </w:r>
          </w:p>
        </w:tc>
      </w:tr>
      <w:tr w:rsidR="009C1AAD" w:rsidRPr="009C1AAD" w14:paraId="60D8973E" w14:textId="77777777" w:rsidTr="00DB522D">
        <w:trPr>
          <w:tblCellSpacing w:w="15" w:type="dxa"/>
        </w:trPr>
        <w:tc>
          <w:tcPr>
            <w:tcW w:w="0" w:type="auto"/>
            <w:vAlign w:val="center"/>
            <w:hideMark/>
          </w:tcPr>
          <w:p w14:paraId="3216461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w:t>
            </w:r>
          </w:p>
        </w:tc>
        <w:tc>
          <w:tcPr>
            <w:tcW w:w="0" w:type="auto"/>
            <w:vAlign w:val="center"/>
            <w:hideMark/>
          </w:tcPr>
          <w:p w14:paraId="1B8B2F34"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vAlign w:val="center"/>
            <w:hideMark/>
          </w:tcPr>
          <w:p w14:paraId="459EB1B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(0,1,1)</w:t>
            </w:r>
          </w:p>
        </w:tc>
        <w:tc>
          <w:tcPr>
            <w:tcW w:w="870" w:type="dxa"/>
            <w:vAlign w:val="center"/>
            <w:hideMark/>
          </w:tcPr>
          <w:p w14:paraId="74155CF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53.35</w:t>
            </w:r>
          </w:p>
        </w:tc>
        <w:tc>
          <w:tcPr>
            <w:tcW w:w="600" w:type="dxa"/>
            <w:vAlign w:val="center"/>
            <w:hideMark/>
          </w:tcPr>
          <w:p w14:paraId="729BC671"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57.90</w:t>
            </w:r>
          </w:p>
        </w:tc>
        <w:tc>
          <w:tcPr>
            <w:tcW w:w="1361" w:type="dxa"/>
            <w:vAlign w:val="center"/>
            <w:hideMark/>
          </w:tcPr>
          <w:p w14:paraId="5D18DA1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-22.68</w:t>
            </w:r>
          </w:p>
        </w:tc>
        <w:tc>
          <w:tcPr>
            <w:tcW w:w="0" w:type="auto"/>
            <w:vAlign w:val="center"/>
            <w:hideMark/>
          </w:tcPr>
          <w:p w14:paraId="1D741DCB" w14:textId="45DCA49A" w:rsidR="009C1AAD" w:rsidRPr="009C1AAD" w:rsidRDefault="00A05E81"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0.7655</w:t>
            </w:r>
          </w:p>
        </w:tc>
        <w:tc>
          <w:tcPr>
            <w:tcW w:w="0" w:type="auto"/>
            <w:vAlign w:val="center"/>
            <w:hideMark/>
          </w:tcPr>
          <w:p w14:paraId="0AA7C260" w14:textId="66E430F3" w:rsidR="009C1AAD" w:rsidRPr="009C1AAD" w:rsidRDefault="00A05E81"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0.4502</w:t>
            </w:r>
          </w:p>
        </w:tc>
      </w:tr>
      <w:tr w:rsidR="009C1AAD" w:rsidRPr="009C1AAD" w14:paraId="498F504B" w14:textId="77777777" w:rsidTr="00DB522D">
        <w:trPr>
          <w:tblCellSpacing w:w="15" w:type="dxa"/>
        </w:trPr>
        <w:tc>
          <w:tcPr>
            <w:tcW w:w="0" w:type="auto"/>
            <w:tcBorders>
              <w:bottom w:val="single" w:sz="4" w:space="0" w:color="auto"/>
            </w:tcBorders>
            <w:vAlign w:val="center"/>
            <w:hideMark/>
          </w:tcPr>
          <w:p w14:paraId="702F127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w:t>
            </w:r>
          </w:p>
        </w:tc>
        <w:tc>
          <w:tcPr>
            <w:tcW w:w="0" w:type="auto"/>
            <w:tcBorders>
              <w:bottom w:val="single" w:sz="4" w:space="0" w:color="auto"/>
            </w:tcBorders>
            <w:vAlign w:val="center"/>
            <w:hideMark/>
          </w:tcPr>
          <w:p w14:paraId="58E4637A"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tcBorders>
              <w:bottom w:val="single" w:sz="4" w:space="0" w:color="auto"/>
            </w:tcBorders>
            <w:vAlign w:val="center"/>
            <w:hideMark/>
          </w:tcPr>
          <w:p w14:paraId="4CC9301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(1,1,0)</w:t>
            </w:r>
          </w:p>
        </w:tc>
        <w:tc>
          <w:tcPr>
            <w:tcW w:w="870" w:type="dxa"/>
            <w:tcBorders>
              <w:bottom w:val="single" w:sz="4" w:space="0" w:color="auto"/>
            </w:tcBorders>
            <w:vAlign w:val="center"/>
            <w:hideMark/>
          </w:tcPr>
          <w:p w14:paraId="5D46A3FE"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53.61</w:t>
            </w:r>
          </w:p>
        </w:tc>
        <w:tc>
          <w:tcPr>
            <w:tcW w:w="600" w:type="dxa"/>
            <w:tcBorders>
              <w:bottom w:val="single" w:sz="4" w:space="0" w:color="auto"/>
            </w:tcBorders>
            <w:vAlign w:val="center"/>
            <w:hideMark/>
          </w:tcPr>
          <w:p w14:paraId="7A0E259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58.16</w:t>
            </w:r>
          </w:p>
        </w:tc>
        <w:tc>
          <w:tcPr>
            <w:tcW w:w="1361" w:type="dxa"/>
            <w:tcBorders>
              <w:bottom w:val="single" w:sz="4" w:space="0" w:color="auto"/>
            </w:tcBorders>
            <w:vAlign w:val="center"/>
            <w:hideMark/>
          </w:tcPr>
          <w:p w14:paraId="0BC59F7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-22.81</w:t>
            </w:r>
          </w:p>
        </w:tc>
        <w:tc>
          <w:tcPr>
            <w:tcW w:w="0" w:type="auto"/>
            <w:tcBorders>
              <w:bottom w:val="single" w:sz="4" w:space="0" w:color="auto"/>
            </w:tcBorders>
            <w:vAlign w:val="center"/>
            <w:hideMark/>
          </w:tcPr>
          <w:p w14:paraId="3782C73C"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0.6391</w:t>
            </w:r>
          </w:p>
        </w:tc>
        <w:tc>
          <w:tcPr>
            <w:tcW w:w="0" w:type="auto"/>
            <w:tcBorders>
              <w:bottom w:val="single" w:sz="4" w:space="0" w:color="auto"/>
            </w:tcBorders>
            <w:vAlign w:val="center"/>
            <w:hideMark/>
          </w:tcPr>
          <w:p w14:paraId="2F221513"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0.4771</w:t>
            </w:r>
          </w:p>
        </w:tc>
      </w:tr>
    </w:tbl>
    <w:p w14:paraId="1A0837A6" w14:textId="77777777" w:rsidR="009C1AAD" w:rsidRPr="009C1AAD" w:rsidRDefault="009C1AAD" w:rsidP="009C1AAD">
      <w:pPr>
        <w:spacing w:line="480" w:lineRule="auto"/>
        <w:jc w:val="both"/>
        <w:rPr>
          <w:rFonts w:ascii="Arial" w:eastAsiaTheme="minorEastAsia" w:hAnsi="Arial" w:cs="Arial"/>
          <w:sz w:val="22"/>
          <w:szCs w:val="22"/>
        </w:rPr>
      </w:pPr>
    </w:p>
    <w:p w14:paraId="484B8C15" w14:textId="1907CB14"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1</w:t>
      </w:r>
      <w:r w:rsidR="001C76E4">
        <w:rPr>
          <w:rFonts w:ascii="Arial" w:eastAsiaTheme="minorEastAsia" w:hAnsi="Arial" w:cs="Arial"/>
          <w:sz w:val="22"/>
          <w:szCs w:val="22"/>
        </w:rPr>
        <w:t>2</w:t>
      </w:r>
      <w:r w:rsidRPr="009C1AAD">
        <w:rPr>
          <w:rFonts w:ascii="Arial" w:eastAsiaTheme="minorEastAsia" w:hAnsi="Arial" w:cs="Arial"/>
          <w:sz w:val="22"/>
          <w:szCs w:val="22"/>
        </w:rPr>
        <w:t xml:space="preserve"> presents a comparative analysis of ARIMAX model performances for rainfall forecasting. The results show that the ARIMAX (0,1,1) model achieved the lowest AIC (53.35) and BIC (57.90), indicating the best overall model fit and parsimony among the alternatives. Although the ARIMAX (Climate Only) model recorded slightly lower RMSE (0.6272) and MAE (0.4478), suggesting better predictive accuracy, its higher AIC and BIC values imply a less optimal balance between model fit and complexity. The ARIMAX (1,1,0) model also performed competitively with similar AIC and residual statistics.</w:t>
      </w:r>
    </w:p>
    <w:p w14:paraId="209CBF54" w14:textId="77777777" w:rsidR="001C76E4" w:rsidRDefault="001C76E4" w:rsidP="009C1AAD">
      <w:pPr>
        <w:spacing w:line="480" w:lineRule="auto"/>
        <w:jc w:val="both"/>
        <w:rPr>
          <w:rFonts w:ascii="Arial" w:eastAsiaTheme="minorEastAsia" w:hAnsi="Arial" w:cs="Arial"/>
          <w:b/>
          <w:bCs/>
          <w:sz w:val="22"/>
          <w:szCs w:val="22"/>
        </w:rPr>
      </w:pPr>
    </w:p>
    <w:p w14:paraId="1549E4FD" w14:textId="73C54D43"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Table 1</w:t>
      </w:r>
      <w:r w:rsidR="001C76E4">
        <w:rPr>
          <w:rFonts w:ascii="Arial" w:eastAsiaTheme="minorEastAsia" w:hAnsi="Arial" w:cs="Arial"/>
          <w:b/>
          <w:bCs/>
          <w:sz w:val="22"/>
          <w:szCs w:val="22"/>
        </w:rPr>
        <w:t>3</w:t>
      </w:r>
      <w:r w:rsidRPr="009C1AAD">
        <w:rPr>
          <w:rFonts w:ascii="Arial" w:eastAsiaTheme="minorEastAsia" w:hAnsi="Arial" w:cs="Arial"/>
          <w:b/>
          <w:bCs/>
          <w:sz w:val="22"/>
          <w:szCs w:val="22"/>
        </w:rPr>
        <w:t>: Error measures</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 xml:space="preserve">of the </w:t>
      </w:r>
      <w:r w:rsidR="00E36E41" w:rsidRPr="00E36E41">
        <w:rPr>
          <w:rFonts w:ascii="Arial" w:eastAsiaTheme="minorEastAsia" w:hAnsi="Arial" w:cs="Arial"/>
          <w:b/>
          <w:bCs/>
          <w:sz w:val="22"/>
          <w:szCs w:val="22"/>
        </w:rPr>
        <w:t>ARIMAX (0,1,1)</w:t>
      </w:r>
      <w:r w:rsidRPr="009C1AAD">
        <w:rPr>
          <w:rFonts w:ascii="Arial" w:eastAsiaTheme="minorEastAsia" w:hAnsi="Arial" w:cs="Arial"/>
          <w:b/>
          <w:bCs/>
          <w:sz w:val="22"/>
          <w:szCs w:val="22"/>
        </w:rPr>
        <w:t xml:space="preserve">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856"/>
        <w:gridCol w:w="856"/>
        <w:gridCol w:w="856"/>
        <w:gridCol w:w="856"/>
        <w:gridCol w:w="856"/>
        <w:gridCol w:w="944"/>
      </w:tblGrid>
      <w:tr w:rsidR="009C1AAD" w:rsidRPr="009C1AAD" w14:paraId="7BBF751B" w14:textId="77777777" w:rsidTr="00DB522D">
        <w:trPr>
          <w:tblHeader/>
          <w:tblCellSpacing w:w="15" w:type="dxa"/>
        </w:trPr>
        <w:tc>
          <w:tcPr>
            <w:tcW w:w="0" w:type="auto"/>
            <w:tcBorders>
              <w:top w:val="single" w:sz="4" w:space="0" w:color="auto"/>
              <w:bottom w:val="single" w:sz="4" w:space="0" w:color="auto"/>
            </w:tcBorders>
            <w:vAlign w:val="center"/>
            <w:hideMark/>
          </w:tcPr>
          <w:p w14:paraId="4EE26BD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ME</w:t>
            </w:r>
          </w:p>
        </w:tc>
        <w:tc>
          <w:tcPr>
            <w:tcW w:w="0" w:type="auto"/>
            <w:tcBorders>
              <w:top w:val="single" w:sz="4" w:space="0" w:color="auto"/>
              <w:bottom w:val="single" w:sz="4" w:space="0" w:color="auto"/>
            </w:tcBorders>
            <w:vAlign w:val="center"/>
            <w:hideMark/>
          </w:tcPr>
          <w:p w14:paraId="5F4FFE35"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bottom w:val="single" w:sz="4" w:space="0" w:color="auto"/>
            </w:tcBorders>
            <w:vAlign w:val="center"/>
            <w:hideMark/>
          </w:tcPr>
          <w:p w14:paraId="1AD80EB3"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0" w:type="auto"/>
            <w:tcBorders>
              <w:top w:val="single" w:sz="4" w:space="0" w:color="auto"/>
              <w:bottom w:val="single" w:sz="4" w:space="0" w:color="auto"/>
            </w:tcBorders>
            <w:vAlign w:val="center"/>
            <w:hideMark/>
          </w:tcPr>
          <w:p w14:paraId="6DB89B8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MPE</w:t>
            </w:r>
          </w:p>
        </w:tc>
        <w:tc>
          <w:tcPr>
            <w:tcW w:w="0" w:type="auto"/>
            <w:tcBorders>
              <w:top w:val="single" w:sz="4" w:space="0" w:color="auto"/>
              <w:bottom w:val="single" w:sz="4" w:space="0" w:color="auto"/>
            </w:tcBorders>
            <w:vAlign w:val="center"/>
            <w:hideMark/>
          </w:tcPr>
          <w:p w14:paraId="5E33743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MAPE</w:t>
            </w:r>
          </w:p>
        </w:tc>
        <w:tc>
          <w:tcPr>
            <w:tcW w:w="0" w:type="auto"/>
            <w:tcBorders>
              <w:top w:val="single" w:sz="4" w:space="0" w:color="auto"/>
              <w:bottom w:val="single" w:sz="4" w:space="0" w:color="auto"/>
            </w:tcBorders>
            <w:vAlign w:val="center"/>
            <w:hideMark/>
          </w:tcPr>
          <w:p w14:paraId="76FE4AA7"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MASE</w:t>
            </w:r>
          </w:p>
        </w:tc>
        <w:tc>
          <w:tcPr>
            <w:tcW w:w="0" w:type="auto"/>
            <w:tcBorders>
              <w:top w:val="single" w:sz="4" w:space="0" w:color="auto"/>
              <w:bottom w:val="single" w:sz="4" w:space="0" w:color="auto"/>
            </w:tcBorders>
            <w:vAlign w:val="center"/>
            <w:hideMark/>
          </w:tcPr>
          <w:p w14:paraId="1482DF5B"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ACF1</w:t>
            </w:r>
          </w:p>
        </w:tc>
      </w:tr>
      <w:tr w:rsidR="009C1AAD" w:rsidRPr="009C1AAD" w14:paraId="30A8C467" w14:textId="77777777" w:rsidTr="00DB522D">
        <w:trPr>
          <w:tblCellSpacing w:w="15" w:type="dxa"/>
        </w:trPr>
        <w:tc>
          <w:tcPr>
            <w:tcW w:w="0" w:type="auto"/>
            <w:tcBorders>
              <w:bottom w:val="single" w:sz="4" w:space="0" w:color="auto"/>
            </w:tcBorders>
            <w:vAlign w:val="center"/>
            <w:hideMark/>
          </w:tcPr>
          <w:p w14:paraId="7AFC7ED9"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0.19606</w:t>
            </w:r>
          </w:p>
        </w:tc>
        <w:tc>
          <w:tcPr>
            <w:tcW w:w="0" w:type="auto"/>
            <w:tcBorders>
              <w:bottom w:val="single" w:sz="4" w:space="0" w:color="auto"/>
            </w:tcBorders>
            <w:vAlign w:val="center"/>
            <w:hideMark/>
          </w:tcPr>
          <w:p w14:paraId="439B365B"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0.76553</w:t>
            </w:r>
          </w:p>
        </w:tc>
        <w:tc>
          <w:tcPr>
            <w:tcW w:w="0" w:type="auto"/>
            <w:tcBorders>
              <w:bottom w:val="single" w:sz="4" w:space="0" w:color="auto"/>
            </w:tcBorders>
            <w:vAlign w:val="center"/>
            <w:hideMark/>
          </w:tcPr>
          <w:p w14:paraId="34810DB6"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0.45025</w:t>
            </w:r>
          </w:p>
        </w:tc>
        <w:tc>
          <w:tcPr>
            <w:tcW w:w="0" w:type="auto"/>
            <w:tcBorders>
              <w:bottom w:val="single" w:sz="4" w:space="0" w:color="auto"/>
            </w:tcBorders>
            <w:vAlign w:val="center"/>
            <w:hideMark/>
          </w:tcPr>
          <w:p w14:paraId="55F7D1FD"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0.48917</w:t>
            </w:r>
          </w:p>
        </w:tc>
        <w:tc>
          <w:tcPr>
            <w:tcW w:w="0" w:type="auto"/>
            <w:tcBorders>
              <w:bottom w:val="single" w:sz="4" w:space="0" w:color="auto"/>
            </w:tcBorders>
            <w:vAlign w:val="center"/>
            <w:hideMark/>
          </w:tcPr>
          <w:p w14:paraId="1F3FACB5"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1.14889</w:t>
            </w:r>
          </w:p>
        </w:tc>
        <w:tc>
          <w:tcPr>
            <w:tcW w:w="0" w:type="auto"/>
            <w:tcBorders>
              <w:bottom w:val="single" w:sz="4" w:space="0" w:color="auto"/>
            </w:tcBorders>
            <w:vAlign w:val="center"/>
            <w:hideMark/>
          </w:tcPr>
          <w:p w14:paraId="68D14E6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1.05254</w:t>
            </w:r>
          </w:p>
        </w:tc>
        <w:tc>
          <w:tcPr>
            <w:tcW w:w="0" w:type="auto"/>
            <w:tcBorders>
              <w:bottom w:val="single" w:sz="4" w:space="0" w:color="auto"/>
            </w:tcBorders>
            <w:vAlign w:val="center"/>
            <w:hideMark/>
          </w:tcPr>
          <w:p w14:paraId="40B9BD87" w14:textId="77777777" w:rsidR="009C1AAD" w:rsidRPr="009C1AAD" w:rsidRDefault="009C1AAD" w:rsidP="00DB522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-0.25400</w:t>
            </w:r>
          </w:p>
        </w:tc>
      </w:tr>
    </w:tbl>
    <w:p w14:paraId="55836D85" w14:textId="77777777" w:rsidR="009C1AAD" w:rsidRPr="009C1AAD" w:rsidRDefault="009C1AAD" w:rsidP="009C1AAD">
      <w:pPr>
        <w:spacing w:line="480" w:lineRule="auto"/>
        <w:jc w:val="both"/>
        <w:rPr>
          <w:rFonts w:ascii="Arial" w:eastAsiaTheme="minorEastAsia" w:hAnsi="Arial" w:cs="Arial"/>
          <w:sz w:val="22"/>
          <w:szCs w:val="22"/>
        </w:rPr>
      </w:pPr>
    </w:p>
    <w:p w14:paraId="2E0D79CF" w14:textId="3B6D5E6C"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error measures for the ARIMAX model in Table 1</w:t>
      </w:r>
      <w:r w:rsidR="001C76E4">
        <w:rPr>
          <w:rFonts w:ascii="Arial" w:eastAsiaTheme="minorEastAsia" w:hAnsi="Arial" w:cs="Arial"/>
          <w:sz w:val="22"/>
          <w:szCs w:val="22"/>
        </w:rPr>
        <w:t>3</w:t>
      </w:r>
      <w:r w:rsidRPr="009C1AAD">
        <w:rPr>
          <w:rFonts w:ascii="Arial" w:eastAsiaTheme="minorEastAsia" w:hAnsi="Arial" w:cs="Arial"/>
          <w:sz w:val="22"/>
          <w:szCs w:val="22"/>
        </w:rPr>
        <w:t xml:space="preserve"> indicate an overall satisfactory fit. The mean error (ME) of 0.19606 suggests a small positive bias in the predictions. The Root Mean Squared Error (RMSE) and Mean Absolute Error (MAE) are 0.76553 and 0.45025, respectively, indicating moderate deviations between observed and fitted values. The Mean Percentage Error (MPE) of 0.48917 and Mean Absolute Percentage Error (MAPE) of 1.14889 reflect low relative errors. The Mean Absolute Scaled Error (MASE) of 1.05254 indicates acceptable predictive accuracy relative to a naïve benchmark, and the first-order autocorrelation of residuals (ACF1) at -0.25400 suggests minimal residual autocorrelation</w:t>
      </w:r>
    </w:p>
    <w:p w14:paraId="5606C2A7" w14:textId="2D6FBAA5"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w:t>
      </w:r>
      <w:r w:rsidR="001C76E4">
        <w:rPr>
          <w:rFonts w:ascii="Arial" w:eastAsiaTheme="minorEastAsia" w:hAnsi="Arial" w:cs="Arial"/>
          <w:b/>
          <w:bCs/>
          <w:sz w:val="22"/>
          <w:szCs w:val="22"/>
        </w:rPr>
        <w:t>4</w:t>
      </w:r>
      <w:r w:rsidRPr="009C1AAD">
        <w:rPr>
          <w:rFonts w:ascii="Arial" w:eastAsiaTheme="minorEastAsia" w:hAnsi="Arial" w:cs="Arial"/>
          <w:b/>
          <w:bCs/>
          <w:sz w:val="22"/>
          <w:szCs w:val="22"/>
        </w:rPr>
        <w:t>:</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Comparative performance metrics of ARIMA</w:t>
      </w:r>
      <w:r w:rsidR="00722157">
        <w:rPr>
          <w:rFonts w:ascii="Arial" w:eastAsiaTheme="minorEastAsia" w:hAnsi="Arial" w:cs="Arial"/>
          <w:b/>
          <w:bCs/>
          <w:sz w:val="22"/>
          <w:szCs w:val="22"/>
        </w:rPr>
        <w:t xml:space="preserve"> (0,1,0)</w:t>
      </w:r>
      <w:r w:rsidRPr="009C1AAD">
        <w:rPr>
          <w:rFonts w:ascii="Arial" w:eastAsiaTheme="minorEastAsia" w:hAnsi="Arial" w:cs="Arial"/>
          <w:b/>
          <w:bCs/>
          <w:sz w:val="22"/>
          <w:szCs w:val="22"/>
        </w:rPr>
        <w:t xml:space="preserve"> and ARIMAX </w:t>
      </w:r>
      <w:r w:rsidR="00722157">
        <w:rPr>
          <w:rFonts w:ascii="Arial" w:eastAsiaTheme="minorEastAsia" w:hAnsi="Arial" w:cs="Arial"/>
          <w:b/>
          <w:bCs/>
          <w:sz w:val="22"/>
          <w:szCs w:val="22"/>
        </w:rPr>
        <w:t xml:space="preserve">(0,1,1) </w:t>
      </w:r>
      <w:r w:rsidRPr="009C1AAD">
        <w:rPr>
          <w:rFonts w:ascii="Arial" w:eastAsiaTheme="minorEastAsia" w:hAnsi="Arial" w:cs="Arial"/>
          <w:b/>
          <w:bCs/>
          <w:sz w:val="22"/>
          <w:szCs w:val="22"/>
        </w:rPr>
        <w:t>models for the rainfall and temperature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6"/>
        <w:gridCol w:w="2123"/>
        <w:gridCol w:w="1800"/>
        <w:gridCol w:w="2430"/>
      </w:tblGrid>
      <w:tr w:rsidR="009C1AAD" w:rsidRPr="009C1AAD" w14:paraId="1184F7F9" w14:textId="77777777" w:rsidTr="00DB522D">
        <w:trPr>
          <w:tblHeader/>
          <w:tblCellSpacing w:w="15" w:type="dxa"/>
        </w:trPr>
        <w:tc>
          <w:tcPr>
            <w:tcW w:w="0" w:type="auto"/>
            <w:tcBorders>
              <w:top w:val="single" w:sz="4" w:space="0" w:color="auto"/>
            </w:tcBorders>
            <w:vAlign w:val="center"/>
            <w:hideMark/>
          </w:tcPr>
          <w:p w14:paraId="5C66734F" w14:textId="77777777" w:rsidR="009C1AAD" w:rsidRPr="009C1AAD" w:rsidRDefault="009C1AAD" w:rsidP="00DB522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2093" w:type="dxa"/>
            <w:tcBorders>
              <w:top w:val="single" w:sz="4" w:space="0" w:color="auto"/>
            </w:tcBorders>
            <w:vAlign w:val="center"/>
            <w:hideMark/>
          </w:tcPr>
          <w:p w14:paraId="61627417"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1770" w:type="dxa"/>
            <w:tcBorders>
              <w:top w:val="single" w:sz="4" w:space="0" w:color="auto"/>
            </w:tcBorders>
            <w:vAlign w:val="center"/>
            <w:hideMark/>
          </w:tcPr>
          <w:p w14:paraId="190C80C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2385" w:type="dxa"/>
            <w:tcBorders>
              <w:top w:val="single" w:sz="4" w:space="0" w:color="auto"/>
            </w:tcBorders>
            <w:vAlign w:val="center"/>
            <w:hideMark/>
          </w:tcPr>
          <w:p w14:paraId="0FB44342" w14:textId="77777777" w:rsidR="009C1AAD" w:rsidRPr="009C1AAD" w:rsidRDefault="009C1AAD" w:rsidP="00DB522D">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MAPE</w:t>
            </w:r>
          </w:p>
        </w:tc>
      </w:tr>
      <w:tr w:rsidR="009C1AAD" w:rsidRPr="009C1AAD" w14:paraId="261D1784" w14:textId="77777777" w:rsidTr="00DB522D">
        <w:trPr>
          <w:tblCellSpacing w:w="15" w:type="dxa"/>
        </w:trPr>
        <w:tc>
          <w:tcPr>
            <w:tcW w:w="0" w:type="auto"/>
            <w:tcBorders>
              <w:top w:val="single" w:sz="4" w:space="0" w:color="auto"/>
            </w:tcBorders>
            <w:vAlign w:val="center"/>
            <w:hideMark/>
          </w:tcPr>
          <w:p w14:paraId="3529B964" w14:textId="0D45574B" w:rsidR="009C1AAD" w:rsidRPr="00722157" w:rsidRDefault="009C1AAD" w:rsidP="00DB522D">
            <w:pPr>
              <w:spacing w:line="480" w:lineRule="auto"/>
              <w:jc w:val="both"/>
              <w:rPr>
                <w:rFonts w:ascii="Arial" w:eastAsiaTheme="minorEastAsia" w:hAnsi="Arial" w:cs="Arial"/>
                <w:sz w:val="22"/>
                <w:szCs w:val="22"/>
              </w:rPr>
            </w:pPr>
            <w:r w:rsidRPr="00722157">
              <w:rPr>
                <w:rFonts w:ascii="Arial" w:eastAsiaTheme="minorEastAsia" w:hAnsi="Arial" w:cs="Arial"/>
                <w:sz w:val="22"/>
                <w:szCs w:val="22"/>
              </w:rPr>
              <w:t>ARIMA</w:t>
            </w:r>
            <w:r w:rsidR="00722157" w:rsidRPr="00722157">
              <w:rPr>
                <w:rFonts w:ascii="Arial" w:eastAsiaTheme="minorEastAsia" w:hAnsi="Arial" w:cs="Arial"/>
                <w:sz w:val="22"/>
                <w:szCs w:val="22"/>
              </w:rPr>
              <w:t xml:space="preserve"> (0,1,0)</w:t>
            </w:r>
          </w:p>
        </w:tc>
        <w:tc>
          <w:tcPr>
            <w:tcW w:w="2093" w:type="dxa"/>
            <w:tcBorders>
              <w:top w:val="single" w:sz="4" w:space="0" w:color="auto"/>
            </w:tcBorders>
            <w:vAlign w:val="center"/>
            <w:hideMark/>
          </w:tcPr>
          <w:p w14:paraId="1CB9F212" w14:textId="77777777" w:rsidR="009C1AAD" w:rsidRPr="00722157" w:rsidRDefault="009C1AAD" w:rsidP="00DB522D">
            <w:pPr>
              <w:spacing w:line="480" w:lineRule="auto"/>
              <w:jc w:val="center"/>
              <w:rPr>
                <w:rFonts w:ascii="Arial" w:eastAsiaTheme="minorEastAsia" w:hAnsi="Arial" w:cs="Arial"/>
                <w:sz w:val="22"/>
                <w:szCs w:val="22"/>
              </w:rPr>
            </w:pPr>
            <w:r w:rsidRPr="00722157">
              <w:rPr>
                <w:rFonts w:ascii="Arial" w:eastAsiaTheme="minorEastAsia" w:hAnsi="Arial" w:cs="Arial"/>
                <w:sz w:val="22"/>
                <w:szCs w:val="22"/>
              </w:rPr>
              <w:t>1.41878</w:t>
            </w:r>
          </w:p>
        </w:tc>
        <w:tc>
          <w:tcPr>
            <w:tcW w:w="1770" w:type="dxa"/>
            <w:tcBorders>
              <w:top w:val="single" w:sz="4" w:space="0" w:color="auto"/>
            </w:tcBorders>
            <w:vAlign w:val="center"/>
            <w:hideMark/>
          </w:tcPr>
          <w:p w14:paraId="24884D9E"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1.28333</w:t>
            </w:r>
          </w:p>
        </w:tc>
        <w:tc>
          <w:tcPr>
            <w:tcW w:w="2385" w:type="dxa"/>
            <w:tcBorders>
              <w:top w:val="single" w:sz="4" w:space="0" w:color="auto"/>
            </w:tcBorders>
            <w:vAlign w:val="center"/>
            <w:hideMark/>
          </w:tcPr>
          <w:p w14:paraId="1C167F4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2.99145</w:t>
            </w:r>
          </w:p>
        </w:tc>
      </w:tr>
      <w:tr w:rsidR="009C1AAD" w:rsidRPr="009C1AAD" w14:paraId="2DDA5C32" w14:textId="77777777" w:rsidTr="00DB522D">
        <w:trPr>
          <w:tblCellSpacing w:w="15" w:type="dxa"/>
        </w:trPr>
        <w:tc>
          <w:tcPr>
            <w:tcW w:w="0" w:type="auto"/>
            <w:tcBorders>
              <w:bottom w:val="single" w:sz="4" w:space="0" w:color="auto"/>
            </w:tcBorders>
            <w:vAlign w:val="center"/>
            <w:hideMark/>
          </w:tcPr>
          <w:p w14:paraId="451BE531" w14:textId="37BD54F1" w:rsidR="009C1AAD" w:rsidRPr="00722157" w:rsidRDefault="009C1AAD" w:rsidP="00DB522D">
            <w:pPr>
              <w:spacing w:line="480" w:lineRule="auto"/>
              <w:jc w:val="both"/>
              <w:rPr>
                <w:rFonts w:ascii="Arial" w:eastAsiaTheme="minorEastAsia" w:hAnsi="Arial" w:cs="Arial"/>
                <w:sz w:val="22"/>
                <w:szCs w:val="22"/>
              </w:rPr>
            </w:pPr>
            <w:r w:rsidRPr="00722157">
              <w:rPr>
                <w:rFonts w:ascii="Arial" w:eastAsiaTheme="minorEastAsia" w:hAnsi="Arial" w:cs="Arial"/>
                <w:sz w:val="22"/>
                <w:szCs w:val="22"/>
              </w:rPr>
              <w:t>ARIMAX</w:t>
            </w:r>
            <w:r w:rsidR="00722157" w:rsidRPr="00722157">
              <w:rPr>
                <w:rFonts w:ascii="Arial" w:eastAsiaTheme="minorEastAsia" w:hAnsi="Arial" w:cs="Arial"/>
                <w:sz w:val="22"/>
                <w:szCs w:val="22"/>
              </w:rPr>
              <w:t xml:space="preserve"> (0,1,1)</w:t>
            </w:r>
          </w:p>
        </w:tc>
        <w:tc>
          <w:tcPr>
            <w:tcW w:w="2093" w:type="dxa"/>
            <w:tcBorders>
              <w:bottom w:val="single" w:sz="4" w:space="0" w:color="auto"/>
            </w:tcBorders>
            <w:vAlign w:val="center"/>
            <w:hideMark/>
          </w:tcPr>
          <w:p w14:paraId="5A345228" w14:textId="77777777" w:rsidR="009C1AAD" w:rsidRPr="00722157" w:rsidRDefault="009C1AAD" w:rsidP="00DB522D">
            <w:pPr>
              <w:spacing w:line="480" w:lineRule="auto"/>
              <w:jc w:val="center"/>
              <w:rPr>
                <w:rFonts w:ascii="Arial" w:eastAsiaTheme="minorEastAsia" w:hAnsi="Arial" w:cs="Arial"/>
                <w:sz w:val="22"/>
                <w:szCs w:val="22"/>
              </w:rPr>
            </w:pPr>
            <w:r w:rsidRPr="00722157">
              <w:rPr>
                <w:rFonts w:ascii="Arial" w:eastAsiaTheme="minorEastAsia" w:hAnsi="Arial" w:cs="Arial"/>
                <w:sz w:val="22"/>
                <w:szCs w:val="22"/>
              </w:rPr>
              <w:t>0.55154</w:t>
            </w:r>
          </w:p>
        </w:tc>
        <w:tc>
          <w:tcPr>
            <w:tcW w:w="1770" w:type="dxa"/>
            <w:tcBorders>
              <w:bottom w:val="single" w:sz="4" w:space="0" w:color="auto"/>
            </w:tcBorders>
            <w:vAlign w:val="center"/>
            <w:hideMark/>
          </w:tcPr>
          <w:p w14:paraId="24409BB4"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0.46800</w:t>
            </w:r>
          </w:p>
        </w:tc>
        <w:tc>
          <w:tcPr>
            <w:tcW w:w="2385" w:type="dxa"/>
            <w:tcBorders>
              <w:bottom w:val="single" w:sz="4" w:space="0" w:color="auto"/>
            </w:tcBorders>
            <w:vAlign w:val="center"/>
            <w:hideMark/>
          </w:tcPr>
          <w:p w14:paraId="5DA213B1" w14:textId="77777777" w:rsidR="009C1AAD" w:rsidRPr="009C1AAD" w:rsidRDefault="009C1AAD" w:rsidP="00DB522D">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1.09091</w:t>
            </w:r>
          </w:p>
        </w:tc>
      </w:tr>
    </w:tbl>
    <w:p w14:paraId="2D0FBD69" w14:textId="77777777" w:rsidR="009C1AAD" w:rsidRPr="009C1AAD" w:rsidRDefault="009C1AAD" w:rsidP="009C1AAD">
      <w:pPr>
        <w:spacing w:line="480" w:lineRule="auto"/>
        <w:jc w:val="both"/>
        <w:rPr>
          <w:rFonts w:ascii="Arial" w:eastAsiaTheme="minorEastAsia" w:hAnsi="Arial" w:cs="Arial"/>
          <w:sz w:val="22"/>
          <w:szCs w:val="22"/>
        </w:rPr>
      </w:pPr>
    </w:p>
    <w:p w14:paraId="4FE2376A" w14:textId="6F0A5F03" w:rsidR="009C1AAD" w:rsidRPr="009C1AAD" w:rsidRDefault="009C1AAD" w:rsidP="009C1AAD">
      <w:pPr>
        <w:spacing w:line="480" w:lineRule="auto"/>
        <w:jc w:val="both"/>
        <w:rPr>
          <w:rFonts w:ascii="Arial" w:eastAsiaTheme="minorEastAsia" w:hAnsi="Arial" w:cs="Arial"/>
          <w:sz w:val="22"/>
          <w:szCs w:val="22"/>
          <w:highlight w:val="yellow"/>
        </w:rPr>
      </w:pPr>
      <w:r w:rsidRPr="009C1AAD">
        <w:rPr>
          <w:rFonts w:ascii="Arial" w:eastAsiaTheme="minorEastAsia" w:hAnsi="Arial" w:cs="Arial"/>
          <w:sz w:val="22"/>
          <w:szCs w:val="22"/>
        </w:rPr>
        <w:t>A comparative analysis of the rainfall and temperature time series</w:t>
      </w:r>
      <w:r w:rsidR="001C76E4">
        <w:rPr>
          <w:rFonts w:ascii="Arial" w:eastAsiaTheme="minorEastAsia" w:hAnsi="Arial" w:cs="Arial"/>
          <w:sz w:val="22"/>
          <w:szCs w:val="22"/>
        </w:rPr>
        <w:t xml:space="preserve"> in Table 14</w:t>
      </w:r>
      <w:r w:rsidRPr="009C1AAD">
        <w:rPr>
          <w:rFonts w:ascii="Arial" w:eastAsiaTheme="minorEastAsia" w:hAnsi="Arial" w:cs="Arial"/>
          <w:sz w:val="22"/>
          <w:szCs w:val="22"/>
        </w:rPr>
        <w:t xml:space="preserve"> shows that the ARIMAX</w:t>
      </w:r>
      <w:r w:rsidR="00722157">
        <w:rPr>
          <w:rFonts w:ascii="Arial" w:eastAsiaTheme="minorEastAsia" w:hAnsi="Arial" w:cs="Arial"/>
          <w:sz w:val="22"/>
          <w:szCs w:val="22"/>
        </w:rPr>
        <w:t xml:space="preserve"> </w:t>
      </w:r>
      <w:r w:rsidR="00722157" w:rsidRPr="00722157">
        <w:rPr>
          <w:rFonts w:ascii="Arial" w:eastAsiaTheme="minorEastAsia" w:hAnsi="Arial" w:cs="Arial"/>
          <w:sz w:val="22"/>
          <w:szCs w:val="22"/>
        </w:rPr>
        <w:t>(0,1,1)</w:t>
      </w:r>
      <w:r w:rsidRPr="009C1AAD">
        <w:rPr>
          <w:rFonts w:ascii="Arial" w:eastAsiaTheme="minorEastAsia" w:hAnsi="Arial" w:cs="Arial"/>
          <w:sz w:val="22"/>
          <w:szCs w:val="22"/>
        </w:rPr>
        <w:t xml:space="preserve"> specification performs better in all the performance indicators as compared to the conventional ARIMA</w:t>
      </w:r>
      <w:r w:rsidR="00722157">
        <w:rPr>
          <w:rFonts w:ascii="Arial" w:eastAsiaTheme="minorEastAsia" w:hAnsi="Arial" w:cs="Arial"/>
          <w:sz w:val="22"/>
          <w:szCs w:val="22"/>
        </w:rPr>
        <w:t xml:space="preserve"> </w:t>
      </w:r>
      <w:r w:rsidR="00722157" w:rsidRPr="00722157">
        <w:rPr>
          <w:rFonts w:ascii="Arial" w:eastAsiaTheme="minorEastAsia" w:hAnsi="Arial" w:cs="Arial"/>
          <w:sz w:val="22"/>
          <w:szCs w:val="22"/>
        </w:rPr>
        <w:t>(0,1,</w:t>
      </w:r>
      <w:r w:rsidR="00722157">
        <w:rPr>
          <w:rFonts w:ascii="Arial" w:eastAsiaTheme="minorEastAsia" w:hAnsi="Arial" w:cs="Arial"/>
          <w:sz w:val="22"/>
          <w:szCs w:val="22"/>
        </w:rPr>
        <w:t>0</w:t>
      </w:r>
      <w:r w:rsidR="00722157" w:rsidRPr="00722157">
        <w:rPr>
          <w:rFonts w:ascii="Arial" w:eastAsiaTheme="minorEastAsia" w:hAnsi="Arial" w:cs="Arial"/>
          <w:sz w:val="22"/>
          <w:szCs w:val="22"/>
        </w:rPr>
        <w:t>)</w:t>
      </w:r>
      <w:r w:rsidRPr="009C1AAD">
        <w:rPr>
          <w:rFonts w:ascii="Arial" w:eastAsiaTheme="minorEastAsia" w:hAnsi="Arial" w:cs="Arial"/>
          <w:sz w:val="22"/>
          <w:szCs w:val="22"/>
        </w:rPr>
        <w:t xml:space="preserve"> model. Root-mean-square error of ARIMAX is 0.55154 compared to 1.41878 of ARIMA</w:t>
      </w:r>
      <w:r w:rsidR="00722157">
        <w:rPr>
          <w:rFonts w:ascii="Arial" w:eastAsiaTheme="minorEastAsia" w:hAnsi="Arial" w:cs="Arial"/>
          <w:sz w:val="22"/>
          <w:szCs w:val="22"/>
        </w:rPr>
        <w:t xml:space="preserve"> </w:t>
      </w:r>
      <w:r w:rsidR="00722157" w:rsidRPr="00722157">
        <w:rPr>
          <w:rFonts w:ascii="Arial" w:eastAsiaTheme="minorEastAsia" w:hAnsi="Arial" w:cs="Arial"/>
          <w:sz w:val="22"/>
          <w:szCs w:val="22"/>
        </w:rPr>
        <w:t>(0,1,</w:t>
      </w:r>
      <w:r w:rsidR="00722157">
        <w:rPr>
          <w:rFonts w:ascii="Arial" w:eastAsiaTheme="minorEastAsia" w:hAnsi="Arial" w:cs="Arial"/>
          <w:sz w:val="22"/>
          <w:szCs w:val="22"/>
        </w:rPr>
        <w:t>0</w:t>
      </w:r>
      <w:r w:rsidR="00722157" w:rsidRPr="00722157">
        <w:rPr>
          <w:rFonts w:ascii="Arial" w:eastAsiaTheme="minorEastAsia" w:hAnsi="Arial" w:cs="Arial"/>
          <w:sz w:val="22"/>
          <w:szCs w:val="22"/>
        </w:rPr>
        <w:t>)</w:t>
      </w:r>
      <w:r w:rsidRPr="009C1AAD">
        <w:rPr>
          <w:rFonts w:ascii="Arial" w:eastAsiaTheme="minorEastAsia" w:hAnsi="Arial" w:cs="Arial"/>
          <w:sz w:val="22"/>
          <w:szCs w:val="22"/>
        </w:rPr>
        <w:t xml:space="preserve"> and therefore the total error of prediction is lower. The Mean Absolute Error (MAE) of </w:t>
      </w:r>
      <w:r w:rsidRPr="009C1AAD">
        <w:rPr>
          <w:rFonts w:ascii="Arial" w:eastAsiaTheme="minorEastAsia" w:hAnsi="Arial" w:cs="Arial"/>
          <w:sz w:val="22"/>
          <w:szCs w:val="22"/>
        </w:rPr>
        <w:lastRenderedPageBreak/>
        <w:t xml:space="preserve">ARIMAX </w:t>
      </w:r>
      <w:r w:rsidR="00722157" w:rsidRPr="00722157">
        <w:rPr>
          <w:rFonts w:ascii="Arial" w:eastAsiaTheme="minorEastAsia" w:hAnsi="Arial" w:cs="Arial"/>
          <w:sz w:val="22"/>
          <w:szCs w:val="22"/>
        </w:rPr>
        <w:t>(0,1,1)</w:t>
      </w:r>
      <w:r w:rsidR="00722157">
        <w:rPr>
          <w:rFonts w:ascii="Arial" w:eastAsiaTheme="minorEastAsia" w:hAnsi="Arial" w:cs="Arial"/>
          <w:sz w:val="22"/>
          <w:szCs w:val="22"/>
        </w:rPr>
        <w:t xml:space="preserve"> </w:t>
      </w:r>
      <w:r w:rsidRPr="009C1AAD">
        <w:rPr>
          <w:rFonts w:ascii="Arial" w:eastAsiaTheme="minorEastAsia" w:hAnsi="Arial" w:cs="Arial"/>
          <w:sz w:val="22"/>
          <w:szCs w:val="22"/>
        </w:rPr>
        <w:t xml:space="preserve">of 0.46800 is significantly lower than 1.28333 achieved in </w:t>
      </w:r>
      <w:r w:rsidR="00722157" w:rsidRPr="009C1AAD">
        <w:rPr>
          <w:rFonts w:ascii="Arial" w:eastAsiaTheme="minorEastAsia" w:hAnsi="Arial" w:cs="Arial"/>
          <w:sz w:val="22"/>
          <w:szCs w:val="22"/>
        </w:rPr>
        <w:t>ARIMA</w:t>
      </w:r>
      <w:r w:rsidR="00722157">
        <w:rPr>
          <w:rFonts w:ascii="Arial" w:eastAsiaTheme="minorEastAsia" w:hAnsi="Arial" w:cs="Arial"/>
          <w:sz w:val="22"/>
          <w:szCs w:val="22"/>
        </w:rPr>
        <w:t xml:space="preserve"> </w:t>
      </w:r>
      <w:r w:rsidR="00722157" w:rsidRPr="00722157">
        <w:rPr>
          <w:rFonts w:ascii="Arial" w:eastAsiaTheme="minorEastAsia" w:hAnsi="Arial" w:cs="Arial"/>
          <w:sz w:val="22"/>
          <w:szCs w:val="22"/>
        </w:rPr>
        <w:t>(0,1,</w:t>
      </w:r>
      <w:r w:rsidR="00722157">
        <w:rPr>
          <w:rFonts w:ascii="Arial" w:eastAsiaTheme="minorEastAsia" w:hAnsi="Arial" w:cs="Arial"/>
          <w:sz w:val="22"/>
          <w:szCs w:val="22"/>
        </w:rPr>
        <w:t>0</w:t>
      </w:r>
      <w:r w:rsidR="00722157" w:rsidRPr="00722157">
        <w:rPr>
          <w:rFonts w:ascii="Arial" w:eastAsiaTheme="minorEastAsia" w:hAnsi="Arial" w:cs="Arial"/>
          <w:sz w:val="22"/>
          <w:szCs w:val="22"/>
        </w:rPr>
        <w:t>)</w:t>
      </w:r>
      <w:r w:rsidRPr="009C1AAD">
        <w:rPr>
          <w:rFonts w:ascii="Arial" w:eastAsiaTheme="minorEastAsia" w:hAnsi="Arial" w:cs="Arial"/>
          <w:sz w:val="22"/>
          <w:szCs w:val="22"/>
        </w:rPr>
        <w:t xml:space="preserve">, which indicates more accuracy at the absolute level. </w:t>
      </w:r>
      <w:r w:rsidR="00722157" w:rsidRPr="009C1AAD">
        <w:rPr>
          <w:rFonts w:ascii="Arial" w:eastAsiaTheme="minorEastAsia" w:hAnsi="Arial" w:cs="Arial"/>
          <w:sz w:val="22"/>
          <w:szCs w:val="22"/>
        </w:rPr>
        <w:t xml:space="preserve">ARIMAX </w:t>
      </w:r>
      <w:r w:rsidR="00722157" w:rsidRPr="00722157">
        <w:rPr>
          <w:rFonts w:ascii="Arial" w:eastAsiaTheme="minorEastAsia" w:hAnsi="Arial" w:cs="Arial"/>
          <w:sz w:val="22"/>
          <w:szCs w:val="22"/>
        </w:rPr>
        <w:t>(0,1,1</w:t>
      </w:r>
      <w:proofErr w:type="gramStart"/>
      <w:r w:rsidR="00722157" w:rsidRPr="00722157">
        <w:rPr>
          <w:rFonts w:ascii="Arial" w:eastAsiaTheme="minorEastAsia" w:hAnsi="Arial" w:cs="Arial"/>
          <w:sz w:val="22"/>
          <w:szCs w:val="22"/>
        </w:rPr>
        <w:t>)</w:t>
      </w:r>
      <w:r w:rsidR="00722157">
        <w:rPr>
          <w:rFonts w:ascii="Arial" w:eastAsiaTheme="minorEastAsia" w:hAnsi="Arial" w:cs="Arial"/>
          <w:sz w:val="22"/>
          <w:szCs w:val="22"/>
        </w:rPr>
        <w:t xml:space="preserve"> </w:t>
      </w:r>
      <w:r w:rsidRPr="009C1AAD">
        <w:rPr>
          <w:rFonts w:ascii="Arial" w:eastAsiaTheme="minorEastAsia" w:hAnsi="Arial" w:cs="Arial"/>
          <w:sz w:val="22"/>
          <w:szCs w:val="22"/>
        </w:rPr>
        <w:t xml:space="preserve"> has</w:t>
      </w:r>
      <w:proofErr w:type="gramEnd"/>
      <w:r w:rsidRPr="009C1AAD">
        <w:rPr>
          <w:rFonts w:ascii="Arial" w:eastAsiaTheme="minorEastAsia" w:hAnsi="Arial" w:cs="Arial"/>
          <w:sz w:val="22"/>
          <w:szCs w:val="22"/>
        </w:rPr>
        <w:t xml:space="preserve"> an error of 1.09091 mean (MAPE) versus </w:t>
      </w:r>
      <w:r w:rsidR="00722157" w:rsidRPr="009C1AAD">
        <w:rPr>
          <w:rFonts w:ascii="Arial" w:eastAsiaTheme="minorEastAsia" w:hAnsi="Arial" w:cs="Arial"/>
          <w:sz w:val="22"/>
          <w:szCs w:val="22"/>
        </w:rPr>
        <w:t>ARIMA</w:t>
      </w:r>
      <w:r w:rsidR="00722157">
        <w:rPr>
          <w:rFonts w:ascii="Arial" w:eastAsiaTheme="minorEastAsia" w:hAnsi="Arial" w:cs="Arial"/>
          <w:sz w:val="22"/>
          <w:szCs w:val="22"/>
        </w:rPr>
        <w:t xml:space="preserve"> </w:t>
      </w:r>
      <w:r w:rsidR="00722157" w:rsidRPr="00722157">
        <w:rPr>
          <w:rFonts w:ascii="Arial" w:eastAsiaTheme="minorEastAsia" w:hAnsi="Arial" w:cs="Arial"/>
          <w:sz w:val="22"/>
          <w:szCs w:val="22"/>
        </w:rPr>
        <w:t>(0,1,</w:t>
      </w:r>
      <w:r w:rsidR="00722157">
        <w:rPr>
          <w:rFonts w:ascii="Arial" w:eastAsiaTheme="minorEastAsia" w:hAnsi="Arial" w:cs="Arial"/>
          <w:sz w:val="22"/>
          <w:szCs w:val="22"/>
        </w:rPr>
        <w:t>0</w:t>
      </w:r>
      <w:r w:rsidR="00722157" w:rsidRPr="00722157">
        <w:rPr>
          <w:rFonts w:ascii="Arial" w:eastAsiaTheme="minorEastAsia" w:hAnsi="Arial" w:cs="Arial"/>
          <w:sz w:val="22"/>
          <w:szCs w:val="22"/>
        </w:rPr>
        <w:t>)</w:t>
      </w:r>
      <w:r w:rsidRPr="009C1AAD">
        <w:rPr>
          <w:rFonts w:ascii="Arial" w:eastAsiaTheme="minorEastAsia" w:hAnsi="Arial" w:cs="Arial"/>
          <w:sz w:val="22"/>
          <w:szCs w:val="22"/>
        </w:rPr>
        <w:t xml:space="preserve"> with 2.99145, which is also evidence that the </w:t>
      </w:r>
      <w:r w:rsidR="00722157" w:rsidRPr="009C1AAD">
        <w:rPr>
          <w:rFonts w:ascii="Arial" w:eastAsiaTheme="minorEastAsia" w:hAnsi="Arial" w:cs="Arial"/>
          <w:sz w:val="22"/>
          <w:szCs w:val="22"/>
        </w:rPr>
        <w:t xml:space="preserve">ARIMAX </w:t>
      </w:r>
      <w:r w:rsidR="00722157" w:rsidRPr="00722157">
        <w:rPr>
          <w:rFonts w:ascii="Arial" w:eastAsiaTheme="minorEastAsia" w:hAnsi="Arial" w:cs="Arial"/>
          <w:sz w:val="22"/>
          <w:szCs w:val="22"/>
        </w:rPr>
        <w:t>(0,1,1</w:t>
      </w:r>
      <w:r w:rsidR="004B5F73" w:rsidRPr="00722157">
        <w:rPr>
          <w:rFonts w:ascii="Arial" w:eastAsiaTheme="minorEastAsia" w:hAnsi="Arial" w:cs="Arial"/>
          <w:sz w:val="22"/>
          <w:szCs w:val="22"/>
        </w:rPr>
        <w:t>)</w:t>
      </w:r>
      <w:r w:rsidR="004B5F73">
        <w:rPr>
          <w:rFonts w:ascii="Arial" w:eastAsiaTheme="minorEastAsia" w:hAnsi="Arial" w:cs="Arial"/>
          <w:sz w:val="22"/>
          <w:szCs w:val="22"/>
        </w:rPr>
        <w:t xml:space="preserve"> </w:t>
      </w:r>
      <w:r w:rsidR="004B5F73" w:rsidRPr="009C1AAD">
        <w:rPr>
          <w:rFonts w:ascii="Arial" w:eastAsiaTheme="minorEastAsia" w:hAnsi="Arial" w:cs="Arial"/>
          <w:sz w:val="22"/>
          <w:szCs w:val="22"/>
        </w:rPr>
        <w:t>is</w:t>
      </w:r>
      <w:r w:rsidRPr="009C1AAD">
        <w:rPr>
          <w:rFonts w:ascii="Arial" w:eastAsiaTheme="minorEastAsia" w:hAnsi="Arial" w:cs="Arial"/>
          <w:sz w:val="22"/>
          <w:szCs w:val="22"/>
        </w:rPr>
        <w:t xml:space="preserve"> a more accurate forecast than the observed values.</w:t>
      </w:r>
    </w:p>
    <w:p w14:paraId="3474C848" w14:textId="7199DCFF" w:rsidR="009C1AAD" w:rsidRPr="009C1AAD" w:rsidRDefault="009C1AAD" w:rsidP="009C1AAD">
      <w:pPr>
        <w:tabs>
          <w:tab w:val="left" w:pos="1035"/>
        </w:tabs>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1</w:t>
      </w:r>
      <w:r w:rsidR="001C76E4">
        <w:rPr>
          <w:rFonts w:ascii="Arial" w:eastAsiaTheme="minorEastAsia" w:hAnsi="Arial" w:cs="Arial"/>
          <w:b/>
          <w:bCs/>
          <w:sz w:val="22"/>
          <w:szCs w:val="22"/>
        </w:rPr>
        <w:t>5</w:t>
      </w:r>
      <w:r w:rsidRPr="009C1AAD">
        <w:rPr>
          <w:rFonts w:ascii="Arial" w:eastAsiaTheme="minorEastAsia" w:hAnsi="Arial" w:cs="Arial"/>
          <w:b/>
          <w:bCs/>
          <w:sz w:val="22"/>
          <w:szCs w:val="22"/>
        </w:rPr>
        <w:t>: Summary of Current and Projected Rainfall with Associated Climate and Temperature Impacts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5"/>
        <w:gridCol w:w="2250"/>
      </w:tblGrid>
      <w:tr w:rsidR="009C1AAD" w:rsidRPr="009C1AAD" w14:paraId="3F6C263D" w14:textId="77777777" w:rsidTr="00DB522D">
        <w:trPr>
          <w:tblHeader/>
          <w:tblCellSpacing w:w="15" w:type="dxa"/>
        </w:trPr>
        <w:tc>
          <w:tcPr>
            <w:tcW w:w="4810" w:type="dxa"/>
            <w:tcBorders>
              <w:top w:val="single" w:sz="4" w:space="0" w:color="auto"/>
              <w:bottom w:val="single" w:sz="4" w:space="0" w:color="auto"/>
            </w:tcBorders>
            <w:vAlign w:val="center"/>
            <w:hideMark/>
          </w:tcPr>
          <w:p w14:paraId="7F3445C6" w14:textId="77777777" w:rsidR="009C1AAD" w:rsidRPr="009C1AAD" w:rsidRDefault="009C1AAD" w:rsidP="00DB522D">
            <w:pPr>
              <w:tabs>
                <w:tab w:val="left" w:pos="1035"/>
              </w:tabs>
              <w:jc w:val="both"/>
              <w:rPr>
                <w:rFonts w:ascii="Arial" w:eastAsiaTheme="minorEastAsia" w:hAnsi="Arial" w:cs="Arial"/>
                <w:b/>
                <w:bCs/>
                <w:sz w:val="22"/>
                <w:szCs w:val="22"/>
              </w:rPr>
            </w:pPr>
            <w:r w:rsidRPr="009C1AAD">
              <w:rPr>
                <w:rFonts w:ascii="Arial" w:eastAsiaTheme="minorEastAsia" w:hAnsi="Arial" w:cs="Arial"/>
                <w:b/>
                <w:bCs/>
                <w:sz w:val="22"/>
                <w:szCs w:val="22"/>
              </w:rPr>
              <w:t>Metric</w:t>
            </w:r>
          </w:p>
        </w:tc>
        <w:tc>
          <w:tcPr>
            <w:tcW w:w="2205" w:type="dxa"/>
            <w:tcBorders>
              <w:top w:val="single" w:sz="4" w:space="0" w:color="auto"/>
              <w:bottom w:val="single" w:sz="4" w:space="0" w:color="auto"/>
            </w:tcBorders>
            <w:vAlign w:val="center"/>
            <w:hideMark/>
          </w:tcPr>
          <w:p w14:paraId="1365B20C" w14:textId="77777777" w:rsidR="009C1AAD" w:rsidRPr="009C1AAD" w:rsidRDefault="009C1AAD" w:rsidP="00DB522D">
            <w:pPr>
              <w:tabs>
                <w:tab w:val="left" w:pos="1035"/>
              </w:tabs>
              <w:jc w:val="both"/>
              <w:rPr>
                <w:rFonts w:ascii="Arial" w:eastAsiaTheme="minorEastAsia" w:hAnsi="Arial" w:cs="Arial"/>
                <w:b/>
                <w:bCs/>
                <w:sz w:val="22"/>
                <w:szCs w:val="22"/>
              </w:rPr>
            </w:pPr>
            <w:r w:rsidRPr="009C1AAD">
              <w:rPr>
                <w:rFonts w:ascii="Arial" w:eastAsiaTheme="minorEastAsia" w:hAnsi="Arial" w:cs="Arial"/>
                <w:b/>
                <w:bCs/>
                <w:sz w:val="22"/>
                <w:szCs w:val="22"/>
              </w:rPr>
              <w:t>Value</w:t>
            </w:r>
          </w:p>
        </w:tc>
      </w:tr>
      <w:tr w:rsidR="009C1AAD" w:rsidRPr="009C1AAD" w14:paraId="790C330B" w14:textId="77777777" w:rsidTr="00DB522D">
        <w:trPr>
          <w:tblCellSpacing w:w="15" w:type="dxa"/>
        </w:trPr>
        <w:tc>
          <w:tcPr>
            <w:tcW w:w="4810" w:type="dxa"/>
            <w:vAlign w:val="center"/>
            <w:hideMark/>
          </w:tcPr>
          <w:p w14:paraId="3303CE9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Current Avg Rainfall</w:t>
            </w:r>
          </w:p>
        </w:tc>
        <w:tc>
          <w:tcPr>
            <w:tcW w:w="2205" w:type="dxa"/>
            <w:vAlign w:val="center"/>
            <w:hideMark/>
          </w:tcPr>
          <w:p w14:paraId="341A8926"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42.9</w:t>
            </w:r>
          </w:p>
        </w:tc>
      </w:tr>
      <w:tr w:rsidR="009C1AAD" w:rsidRPr="009C1AAD" w14:paraId="6FADD699" w14:textId="77777777" w:rsidTr="00DB522D">
        <w:trPr>
          <w:tblCellSpacing w:w="15" w:type="dxa"/>
        </w:trPr>
        <w:tc>
          <w:tcPr>
            <w:tcW w:w="4810" w:type="dxa"/>
            <w:vAlign w:val="center"/>
            <w:hideMark/>
          </w:tcPr>
          <w:p w14:paraId="640F2EB2"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Projected Avg Rainfall (+1°C)</w:t>
            </w:r>
          </w:p>
        </w:tc>
        <w:tc>
          <w:tcPr>
            <w:tcW w:w="2205" w:type="dxa"/>
            <w:vAlign w:val="center"/>
            <w:hideMark/>
          </w:tcPr>
          <w:p w14:paraId="357F4CB0"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47.58</w:t>
            </w:r>
          </w:p>
        </w:tc>
      </w:tr>
      <w:tr w:rsidR="009C1AAD" w:rsidRPr="009C1AAD" w14:paraId="7EE532A9" w14:textId="77777777" w:rsidTr="00DB522D">
        <w:trPr>
          <w:tblCellSpacing w:w="15" w:type="dxa"/>
        </w:trPr>
        <w:tc>
          <w:tcPr>
            <w:tcW w:w="4810" w:type="dxa"/>
            <w:vAlign w:val="center"/>
            <w:hideMark/>
          </w:tcPr>
          <w:p w14:paraId="7B0EA38A"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Percentage Change</w:t>
            </w:r>
          </w:p>
        </w:tc>
        <w:tc>
          <w:tcPr>
            <w:tcW w:w="2205" w:type="dxa"/>
            <w:vAlign w:val="center"/>
            <w:hideMark/>
          </w:tcPr>
          <w:p w14:paraId="7BA4DDFD"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10.91%</w:t>
            </w:r>
          </w:p>
        </w:tc>
      </w:tr>
      <w:tr w:rsidR="009C1AAD" w:rsidRPr="009C1AAD" w14:paraId="37FC4BB6" w14:textId="77777777" w:rsidTr="00DB522D">
        <w:trPr>
          <w:tblCellSpacing w:w="15" w:type="dxa"/>
        </w:trPr>
        <w:tc>
          <w:tcPr>
            <w:tcW w:w="4810" w:type="dxa"/>
            <w:vAlign w:val="center"/>
            <w:hideMark/>
          </w:tcPr>
          <w:p w14:paraId="39D5720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Risk Level</w:t>
            </w:r>
          </w:p>
        </w:tc>
        <w:tc>
          <w:tcPr>
            <w:tcW w:w="2205" w:type="dxa"/>
            <w:vAlign w:val="center"/>
            <w:hideMark/>
          </w:tcPr>
          <w:p w14:paraId="4C857C3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LOW RISK</w:t>
            </w:r>
          </w:p>
        </w:tc>
      </w:tr>
      <w:tr w:rsidR="009C1AAD" w:rsidRPr="009C1AAD" w14:paraId="60582F6D" w14:textId="77777777" w:rsidTr="00DB522D">
        <w:trPr>
          <w:tblCellSpacing w:w="15" w:type="dxa"/>
        </w:trPr>
        <w:tc>
          <w:tcPr>
            <w:tcW w:w="4810" w:type="dxa"/>
            <w:vAlign w:val="center"/>
            <w:hideMark/>
          </w:tcPr>
          <w:p w14:paraId="64F16240"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Temperature Impact</w:t>
            </w:r>
          </w:p>
        </w:tc>
        <w:tc>
          <w:tcPr>
            <w:tcW w:w="2205" w:type="dxa"/>
            <w:vAlign w:val="center"/>
            <w:hideMark/>
          </w:tcPr>
          <w:p w14:paraId="1B5328FD"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1.95</w:t>
            </w:r>
          </w:p>
        </w:tc>
      </w:tr>
      <w:tr w:rsidR="009C1AAD" w:rsidRPr="009C1AAD" w14:paraId="43A649B4" w14:textId="77777777" w:rsidTr="00DB522D">
        <w:trPr>
          <w:tblCellSpacing w:w="15" w:type="dxa"/>
        </w:trPr>
        <w:tc>
          <w:tcPr>
            <w:tcW w:w="4810" w:type="dxa"/>
            <w:tcBorders>
              <w:bottom w:val="single" w:sz="4" w:space="0" w:color="auto"/>
            </w:tcBorders>
            <w:vAlign w:val="center"/>
            <w:hideMark/>
          </w:tcPr>
          <w:p w14:paraId="3220474F"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Climate Impact</w:t>
            </w:r>
          </w:p>
        </w:tc>
        <w:tc>
          <w:tcPr>
            <w:tcW w:w="2205" w:type="dxa"/>
            <w:tcBorders>
              <w:bottom w:val="single" w:sz="4" w:space="0" w:color="auto"/>
            </w:tcBorders>
            <w:vAlign w:val="center"/>
            <w:hideMark/>
          </w:tcPr>
          <w:p w14:paraId="1B5C6BF5" w14:textId="77777777" w:rsidR="009C1AAD" w:rsidRPr="009C1AAD" w:rsidRDefault="009C1AAD" w:rsidP="00DB522D">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3.9</w:t>
            </w:r>
          </w:p>
        </w:tc>
      </w:tr>
    </w:tbl>
    <w:p w14:paraId="5D6664F7" w14:textId="77777777" w:rsidR="009C1AAD" w:rsidRPr="009C1AAD" w:rsidRDefault="009C1AAD" w:rsidP="009C1AAD">
      <w:pPr>
        <w:tabs>
          <w:tab w:val="left" w:pos="1035"/>
        </w:tabs>
        <w:spacing w:line="480" w:lineRule="auto"/>
        <w:jc w:val="both"/>
        <w:rPr>
          <w:rFonts w:ascii="Arial" w:eastAsiaTheme="minorEastAsia" w:hAnsi="Arial" w:cs="Arial"/>
          <w:sz w:val="22"/>
          <w:szCs w:val="22"/>
        </w:rPr>
      </w:pPr>
    </w:p>
    <w:p w14:paraId="3C3C4B1F" w14:textId="77777777" w:rsidR="009C1AAD" w:rsidRPr="009C1AAD" w:rsidRDefault="009C1AAD" w:rsidP="009C1AAD">
      <w:pPr>
        <w:tabs>
          <w:tab w:val="left" w:pos="1035"/>
        </w:tabs>
        <w:spacing w:line="480" w:lineRule="auto"/>
        <w:jc w:val="both"/>
        <w:rPr>
          <w:rFonts w:ascii="Arial" w:eastAsiaTheme="minorEastAsia" w:hAnsi="Arial" w:cs="Arial"/>
          <w:noProof/>
          <w:sz w:val="22"/>
          <w:szCs w:val="22"/>
        </w:rPr>
      </w:pPr>
      <w:r w:rsidRPr="009C1AAD">
        <w:rPr>
          <w:rFonts w:ascii="Arial" w:eastAsiaTheme="minorEastAsia" w:hAnsi="Arial" w:cs="Arial"/>
          <w:sz w:val="22"/>
          <w:szCs w:val="22"/>
        </w:rPr>
        <w:t>Table 14 presents a comparative analysis of current and projected rainfall under a +1°C temperature scenario. The current average rainfall is 42.9 mm, with a projected increase to 47.58 mm, corresponding to a percentage change of 10.91%, indicating a moderate rise. The associated risk level is classified as LOW RISK. The quantified temperature impact is 1.95, while the overall climate impact is 3.9, suggesting that temperature contributes moderately to the observed change in rainfall, with broader climate factors exerting a relatively higher effect.</w:t>
      </w:r>
    </w:p>
    <w:p w14:paraId="35FB893B" w14:textId="77777777" w:rsidR="009C1AAD" w:rsidRDefault="009C1AAD" w:rsidP="00441B6F">
      <w:pPr>
        <w:pStyle w:val="Body"/>
        <w:spacing w:after="0"/>
        <w:rPr>
          <w:rFonts w:ascii="Arial" w:hAnsi="Arial" w:cs="Arial"/>
        </w:rPr>
      </w:pPr>
    </w:p>
    <w:p w14:paraId="4A5B9BCE" w14:textId="77777777" w:rsidR="009C1AAD" w:rsidRDefault="009C1AAD" w:rsidP="00441B6F">
      <w:pPr>
        <w:pStyle w:val="Body"/>
        <w:spacing w:after="0"/>
        <w:rPr>
          <w:rFonts w:ascii="Arial" w:hAnsi="Arial" w:cs="Arial"/>
        </w:rPr>
      </w:pPr>
    </w:p>
    <w:p w14:paraId="257EF797" w14:textId="77777777" w:rsidR="009C1AAD" w:rsidRDefault="009C1AAD" w:rsidP="00441B6F">
      <w:pPr>
        <w:pStyle w:val="Body"/>
        <w:spacing w:after="0"/>
        <w:rPr>
          <w:rFonts w:ascii="Arial" w:hAnsi="Arial" w:cs="Arial"/>
        </w:rPr>
      </w:pPr>
    </w:p>
    <w:p w14:paraId="402BF5DB" w14:textId="77777777" w:rsidR="009C1AAD" w:rsidRPr="00FB3A86" w:rsidRDefault="009C1AAD" w:rsidP="00441B6F">
      <w:pPr>
        <w:pStyle w:val="Body"/>
        <w:spacing w:after="0"/>
        <w:rPr>
          <w:rFonts w:ascii="Arial" w:hAnsi="Arial" w:cs="Arial"/>
        </w:rPr>
      </w:pPr>
    </w:p>
    <w:p w14:paraId="56214D1D" w14:textId="08DA87C8" w:rsidR="003500C3" w:rsidRPr="003500C3" w:rsidRDefault="00000F8F" w:rsidP="00ED1AA4">
      <w:pPr>
        <w:pStyle w:val="ConcHead"/>
        <w:spacing w:after="0"/>
        <w:jc w:val="both"/>
        <w:rPr>
          <w:rFonts w:ascii="Arial" w:eastAsiaTheme="minorEastAsia" w:hAnsi="Arial" w:cs="Arial"/>
          <w:b w:val="0"/>
          <w:bCs/>
          <w:szCs w:val="22"/>
        </w:rPr>
      </w:pPr>
      <w:r w:rsidRPr="003500C3">
        <w:rPr>
          <w:rFonts w:ascii="Arial" w:hAnsi="Arial" w:cs="Arial"/>
          <w:szCs w:val="22"/>
        </w:rPr>
        <w:t xml:space="preserve">4. </w:t>
      </w:r>
      <w:r w:rsidR="003500C3" w:rsidRPr="003500C3">
        <w:rPr>
          <w:rFonts w:ascii="Arial" w:eastAsiaTheme="minorEastAsia" w:hAnsi="Arial" w:cs="Arial"/>
          <w:bCs/>
          <w:szCs w:val="22"/>
        </w:rPr>
        <w:t>DISCUSSION</w:t>
      </w:r>
    </w:p>
    <w:p w14:paraId="56982258" w14:textId="0FCBCC3B" w:rsidR="003500C3" w:rsidRPr="003500C3" w:rsidRDefault="003500C3" w:rsidP="003500C3">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This study demonstrates the superior predictive performance of ARIMAX models over univariate ARIMA in forecasting rainfall in Northern Ghana, confirming the significant influence of climatic drivers on hydrological patterns. The finding that the </w:t>
      </w:r>
      <w:r w:rsidRPr="003500C3">
        <w:rPr>
          <w:rFonts w:ascii="Arial" w:eastAsiaTheme="minorEastAsia" w:hAnsi="Arial" w:cs="Arial"/>
          <w:sz w:val="22"/>
          <w:szCs w:val="22"/>
        </w:rPr>
        <w:lastRenderedPageBreak/>
        <w:t>climate exhibits a stronger statistical relationship with rainfall than temperature alone aligns with the complex, multi-factorial nature of climate-rainfall interactions. This underscores that water availability is not merely a function of temperature increase but of the overall climatic water balance.</w:t>
      </w:r>
    </w:p>
    <w:p w14:paraId="256A732C" w14:textId="23611AE8" w:rsidR="003500C3" w:rsidRDefault="003500C3" w:rsidP="003500C3">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The findings are in line with previous studies by </w:t>
      </w:r>
      <w:proofErr w:type="spellStart"/>
      <w:r w:rsidRPr="003500C3">
        <w:rPr>
          <w:rFonts w:ascii="Arial" w:eastAsiaTheme="minorEastAsia" w:hAnsi="Arial" w:cs="Arial"/>
          <w:sz w:val="22"/>
          <w:szCs w:val="22"/>
        </w:rPr>
        <w:t>Nyatuame</w:t>
      </w:r>
      <w:proofErr w:type="spellEnd"/>
      <w:r w:rsidRPr="003500C3">
        <w:rPr>
          <w:rFonts w:ascii="Arial" w:eastAsiaTheme="minorEastAsia" w:hAnsi="Arial" w:cs="Arial"/>
          <w:sz w:val="22"/>
          <w:szCs w:val="22"/>
        </w:rPr>
        <w:t xml:space="preserve"> and </w:t>
      </w:r>
      <w:proofErr w:type="spellStart"/>
      <w:r w:rsidRPr="003500C3">
        <w:rPr>
          <w:rFonts w:ascii="Arial" w:eastAsiaTheme="minorEastAsia" w:hAnsi="Arial" w:cs="Arial"/>
          <w:sz w:val="22"/>
          <w:szCs w:val="22"/>
        </w:rPr>
        <w:t>Agodzo</w:t>
      </w:r>
      <w:proofErr w:type="spellEnd"/>
      <w:r w:rsidRPr="003500C3">
        <w:rPr>
          <w:rFonts w:ascii="Arial" w:eastAsiaTheme="minorEastAsia" w:hAnsi="Arial" w:cs="Arial"/>
          <w:sz w:val="22"/>
          <w:szCs w:val="22"/>
        </w:rPr>
        <w:t xml:space="preserve"> (2018), which demonstrated how rainfall and temperature variability depend on each other through ARIMA modelling. Similarly, the temperature </w:t>
      </w:r>
      <w:proofErr w:type="gramStart"/>
      <w:r w:rsidRPr="003500C3">
        <w:rPr>
          <w:rFonts w:ascii="Arial" w:eastAsiaTheme="minorEastAsia" w:hAnsi="Arial" w:cs="Arial"/>
          <w:sz w:val="22"/>
          <w:szCs w:val="22"/>
        </w:rPr>
        <w:t>rise</w:t>
      </w:r>
      <w:proofErr w:type="gramEnd"/>
      <w:r w:rsidRPr="003500C3">
        <w:rPr>
          <w:rFonts w:ascii="Arial" w:eastAsiaTheme="minorEastAsia" w:hAnsi="Arial" w:cs="Arial"/>
          <w:sz w:val="22"/>
          <w:szCs w:val="22"/>
        </w:rPr>
        <w:t xml:space="preserve"> and abnormal rain distribution patterns are consistent with </w:t>
      </w:r>
      <w:proofErr w:type="spellStart"/>
      <w:r w:rsidRPr="003500C3">
        <w:rPr>
          <w:rFonts w:ascii="Arial" w:eastAsiaTheme="minorEastAsia" w:hAnsi="Arial" w:cs="Arial"/>
          <w:sz w:val="22"/>
          <w:szCs w:val="22"/>
        </w:rPr>
        <w:t>Dinko</w:t>
      </w:r>
      <w:proofErr w:type="spellEnd"/>
      <w:r w:rsidRPr="003500C3">
        <w:rPr>
          <w:rFonts w:ascii="Arial" w:eastAsiaTheme="minorEastAsia" w:hAnsi="Arial" w:cs="Arial"/>
          <w:sz w:val="22"/>
          <w:szCs w:val="22"/>
        </w:rPr>
        <w:t xml:space="preserve"> (2017) and </w:t>
      </w:r>
      <w:proofErr w:type="spellStart"/>
      <w:r w:rsidRPr="003500C3">
        <w:rPr>
          <w:rFonts w:ascii="Arial" w:eastAsiaTheme="minorEastAsia" w:hAnsi="Arial" w:cs="Arial"/>
          <w:sz w:val="22"/>
          <w:szCs w:val="22"/>
        </w:rPr>
        <w:t>Klutse</w:t>
      </w:r>
      <w:proofErr w:type="spellEnd"/>
      <w:r w:rsidRPr="003500C3">
        <w:rPr>
          <w:rFonts w:ascii="Arial" w:eastAsiaTheme="minorEastAsia" w:hAnsi="Arial" w:cs="Arial"/>
          <w:sz w:val="22"/>
          <w:szCs w:val="22"/>
        </w:rPr>
        <w:t xml:space="preserve"> et al. (2020), who reported that there are consistent warming tendencies and not uniform rainfall distribution over the northern part of Ghana. The average positive precipitation forecast corresponds to </w:t>
      </w:r>
      <w:r w:rsidR="004B5F73">
        <w:rPr>
          <w:rFonts w:ascii="Arial" w:eastAsiaTheme="minorEastAsia" w:hAnsi="Arial" w:cs="Arial"/>
          <w:sz w:val="22"/>
          <w:szCs w:val="22"/>
        </w:rPr>
        <w:t xml:space="preserve">the </w:t>
      </w:r>
      <w:r w:rsidRPr="003500C3">
        <w:rPr>
          <w:rFonts w:ascii="Arial" w:eastAsiaTheme="minorEastAsia" w:hAnsi="Arial" w:cs="Arial"/>
          <w:sz w:val="22"/>
          <w:szCs w:val="22"/>
        </w:rPr>
        <w:t xml:space="preserve">spatial heterogeneity mentioned by </w:t>
      </w:r>
      <w:proofErr w:type="spellStart"/>
      <w:r w:rsidRPr="003500C3">
        <w:rPr>
          <w:rFonts w:ascii="Arial" w:eastAsiaTheme="minorEastAsia" w:hAnsi="Arial" w:cs="Arial"/>
          <w:sz w:val="22"/>
          <w:szCs w:val="22"/>
        </w:rPr>
        <w:t>Atiah</w:t>
      </w:r>
      <w:proofErr w:type="spellEnd"/>
      <w:r w:rsidRPr="003500C3">
        <w:rPr>
          <w:rFonts w:ascii="Arial" w:eastAsiaTheme="minorEastAsia" w:hAnsi="Arial" w:cs="Arial"/>
          <w:sz w:val="22"/>
          <w:szCs w:val="22"/>
        </w:rPr>
        <w:t xml:space="preserve"> et al. (2019) and Nkrumah et al. (2014), which suggests that</w:t>
      </w:r>
      <w:r w:rsidR="004B5F73">
        <w:rPr>
          <w:rFonts w:ascii="Arial" w:eastAsiaTheme="minorEastAsia" w:hAnsi="Arial" w:cs="Arial"/>
          <w:sz w:val="22"/>
          <w:szCs w:val="22"/>
        </w:rPr>
        <w:t>,</w:t>
      </w:r>
      <w:r w:rsidRPr="003500C3">
        <w:rPr>
          <w:rFonts w:ascii="Arial" w:eastAsiaTheme="minorEastAsia" w:hAnsi="Arial" w:cs="Arial"/>
          <w:sz w:val="22"/>
          <w:szCs w:val="22"/>
        </w:rPr>
        <w:t xml:space="preserve"> on the one hand, certain areas will have an expanded rainfall, and on the other hand, some regions will face a decrease or uneven distribution. This research proposes the deterministic relationship between temperature and climate indices as exogenous variables, expanding previous regional studies, which quantify the combined effect of these factors on the changes in rainfall and the state of water resources. As a result, the ARIMAX model not only </w:t>
      </w:r>
      <w:r w:rsidR="004B5F73">
        <w:rPr>
          <w:rFonts w:ascii="Arial" w:eastAsiaTheme="minorEastAsia" w:hAnsi="Arial" w:cs="Arial"/>
          <w:sz w:val="22"/>
          <w:szCs w:val="22"/>
        </w:rPr>
        <w:t>confirms</w:t>
      </w:r>
      <w:r w:rsidRPr="003500C3">
        <w:rPr>
          <w:rFonts w:ascii="Arial" w:eastAsiaTheme="minorEastAsia" w:hAnsi="Arial" w:cs="Arial"/>
          <w:sz w:val="22"/>
          <w:szCs w:val="22"/>
        </w:rPr>
        <w:t xml:space="preserve"> the prediction ability of time-series integration approaches but also provides empirical data that contributes to achieving SDG 6 in terms of improved climate-water prediction in data-sparse situations.</w:t>
      </w:r>
    </w:p>
    <w:p w14:paraId="7156E8C7" w14:textId="77777777" w:rsidR="00ED1AA4" w:rsidRDefault="00ED1AA4" w:rsidP="003500C3">
      <w:pPr>
        <w:tabs>
          <w:tab w:val="left" w:pos="8025"/>
        </w:tabs>
        <w:spacing w:line="480" w:lineRule="auto"/>
        <w:jc w:val="both"/>
        <w:rPr>
          <w:rFonts w:ascii="Arial" w:eastAsiaTheme="minorEastAsia" w:hAnsi="Arial" w:cs="Arial"/>
          <w:sz w:val="22"/>
          <w:szCs w:val="22"/>
        </w:rPr>
      </w:pPr>
    </w:p>
    <w:p w14:paraId="0D3C66EF" w14:textId="77777777" w:rsidR="00ED1AA4" w:rsidRDefault="00ED1AA4" w:rsidP="003500C3">
      <w:pPr>
        <w:tabs>
          <w:tab w:val="left" w:pos="8025"/>
        </w:tabs>
        <w:spacing w:line="480" w:lineRule="auto"/>
        <w:jc w:val="both"/>
        <w:rPr>
          <w:rFonts w:ascii="Arial" w:eastAsiaTheme="minorEastAsia" w:hAnsi="Arial" w:cs="Arial"/>
          <w:sz w:val="22"/>
          <w:szCs w:val="22"/>
        </w:rPr>
      </w:pPr>
    </w:p>
    <w:p w14:paraId="61EDA6BD" w14:textId="77777777" w:rsidR="00ED1AA4" w:rsidRPr="003500C3" w:rsidRDefault="00ED1AA4" w:rsidP="00ED1AA4">
      <w:pPr>
        <w:pStyle w:val="ConcHead"/>
        <w:spacing w:after="0"/>
        <w:jc w:val="both"/>
        <w:rPr>
          <w:rFonts w:ascii="Arial" w:hAnsi="Arial" w:cs="Arial"/>
          <w:szCs w:val="22"/>
        </w:rPr>
      </w:pPr>
      <w:r w:rsidRPr="003500C3">
        <w:rPr>
          <w:rFonts w:ascii="Arial" w:hAnsi="Arial" w:cs="Arial"/>
          <w:szCs w:val="22"/>
        </w:rPr>
        <w:lastRenderedPageBreak/>
        <w:t>Conclusion</w:t>
      </w:r>
    </w:p>
    <w:p w14:paraId="752299BE" w14:textId="77777777" w:rsidR="00ED1AA4" w:rsidRPr="003500C3" w:rsidRDefault="00ED1AA4" w:rsidP="00ED1AA4">
      <w:pPr>
        <w:pStyle w:val="ConcHead"/>
        <w:spacing w:after="0"/>
        <w:jc w:val="both"/>
        <w:rPr>
          <w:rFonts w:ascii="Arial" w:hAnsi="Arial" w:cs="Arial"/>
          <w:szCs w:val="22"/>
        </w:rPr>
      </w:pPr>
    </w:p>
    <w:p w14:paraId="4B70FC3E" w14:textId="64DAA523" w:rsidR="00ED1AA4" w:rsidRPr="003500C3" w:rsidRDefault="00ED1AA4" w:rsidP="00ED1AA4">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This study concludes that integrating exogenous climate </w:t>
      </w:r>
      <w:r w:rsidR="004B5F73">
        <w:rPr>
          <w:rFonts w:ascii="Arial" w:eastAsiaTheme="minorEastAsia" w:hAnsi="Arial" w:cs="Arial"/>
          <w:sz w:val="22"/>
          <w:szCs w:val="22"/>
        </w:rPr>
        <w:t>variables</w:t>
      </w:r>
      <w:r w:rsidRPr="003500C3">
        <w:rPr>
          <w:rFonts w:ascii="Arial" w:eastAsiaTheme="minorEastAsia" w:hAnsi="Arial" w:cs="Arial"/>
          <w:sz w:val="22"/>
          <w:szCs w:val="22"/>
        </w:rPr>
        <w:t xml:space="preserve"> into time-series models significantly enhances the accuracy of rainfall forecasts in Northern Ghana. The ARIMAX (0,1,1) model provides a robust framework for understanding the dominant role of broader climate conditions, beyond temperature alone, in driving rainfall variability.</w:t>
      </w:r>
    </w:p>
    <w:p w14:paraId="4889B7DB" w14:textId="77777777" w:rsidR="00ED1AA4" w:rsidRPr="003500C3" w:rsidRDefault="00ED1AA4" w:rsidP="00ED1AA4">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The findings offer concrete, data-driven strategies for advancing SDG 6 (Clean Water and Sanitation) in the region:</w:t>
      </w:r>
    </w:p>
    <w:p w14:paraId="665F2486"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Water resource managers at agencies like the Water Resources Commission of Ghana and the Ghana Irrigation Development Authority can use these medium-term forecasts (2025-2034) to inform operational plans. The projected modest increase in rainfall suggests a potential for enhanced reservoir storage and groundwater recharge, but this must be balanced against the forecasted temperature rise, which would increase evaporation losses. Planning for conjunctive use of surface and groundwater can be optimized using these insights.</w:t>
      </w:r>
    </w:p>
    <w:p w14:paraId="6B090BF5"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The Ministry of Food and Agriculture can leverage these forecasts to develop early warning systems and tailored advisories for farmers. Knowing the likely trajectory of the rainy season can guide recommendations on optimal planting dates, crop variety selection (e.g., drought-tolerant vs. high-water-demand varieties), and irrigation scheduling, thereby enhancing crop productivity and food security (directly supporting SDG 2 and SDG 6).</w:t>
      </w:r>
    </w:p>
    <w:p w14:paraId="551CA9B1"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The model’s identification of climate as a key driver pinpoints water balance as the critical risk factor. This argues for policy priorities and investments that </w:t>
      </w:r>
      <w:r w:rsidRPr="003500C3">
        <w:rPr>
          <w:rFonts w:ascii="Arial" w:eastAsiaTheme="minorEastAsia" w:hAnsi="Arial" w:cs="Arial"/>
          <w:sz w:val="22"/>
          <w:szCs w:val="22"/>
        </w:rPr>
        <w:lastRenderedPageBreak/>
        <w:t>enhance water retention and reduce evaporation, such as constructing small-scale reservoirs (dams), promoting soil moisture conservation techniques, and protecting watersheds, rather than focusing solely on temperature-mitigation strategies.</w:t>
      </w:r>
    </w:p>
    <w:p w14:paraId="4F6C2C48" w14:textId="77777777" w:rsidR="00DB503A" w:rsidRPr="000B5708" w:rsidRDefault="00DB503A" w:rsidP="000B5708">
      <w:pPr>
        <w:pStyle w:val="ListParagraph"/>
        <w:ind w:left="630"/>
        <w:rPr>
          <w:b/>
          <w:bCs/>
        </w:rPr>
      </w:pPr>
      <w:r w:rsidRPr="000B5708">
        <w:rPr>
          <w:b/>
          <w:bCs/>
        </w:rPr>
        <w:t>Disclaimer (Artificial intelligence)</w:t>
      </w:r>
    </w:p>
    <w:p w14:paraId="019F48BA" w14:textId="35B0FB62" w:rsidR="00DB503A" w:rsidRPr="000B5708" w:rsidRDefault="00DB503A" w:rsidP="000B5708">
      <w:pPr>
        <w:pStyle w:val="ListParagraph"/>
        <w:spacing w:line="480" w:lineRule="auto"/>
        <w:ind w:left="630"/>
        <w:jc w:val="both"/>
      </w:pPr>
      <w:r w:rsidRPr="000B5708">
        <w:t>Author</w:t>
      </w:r>
      <w:r w:rsidR="000B5708">
        <w:t>s</w:t>
      </w:r>
      <w:r w:rsidRPr="000B5708">
        <w:t xml:space="preserve"> hereby declare that NO generative AI technologies such as Large Language Models (</w:t>
      </w:r>
      <w:proofErr w:type="spellStart"/>
      <w:r w:rsidRPr="000B5708">
        <w:t>ChatGPT</w:t>
      </w:r>
      <w:proofErr w:type="spellEnd"/>
      <w:r w:rsidRPr="000B5708">
        <w:t xml:space="preserve">, COPILOT, etc.) and text-to-image generators have been used during the writing or editing of this manuscript. </w:t>
      </w:r>
    </w:p>
    <w:p w14:paraId="34519620" w14:textId="77777777" w:rsidR="00ED1AA4" w:rsidRPr="003500C3" w:rsidRDefault="00ED1AA4" w:rsidP="003500C3">
      <w:pPr>
        <w:tabs>
          <w:tab w:val="left" w:pos="8025"/>
        </w:tabs>
        <w:spacing w:line="480" w:lineRule="auto"/>
        <w:jc w:val="both"/>
        <w:rPr>
          <w:rFonts w:ascii="Arial" w:eastAsiaTheme="minorEastAsia" w:hAnsi="Arial" w:cs="Arial"/>
          <w:sz w:val="22"/>
          <w:szCs w:val="22"/>
        </w:rPr>
      </w:pPr>
    </w:p>
    <w:p w14:paraId="79F72B58" w14:textId="77777777" w:rsidR="003500C3" w:rsidRDefault="003500C3" w:rsidP="00441B6F">
      <w:pPr>
        <w:pStyle w:val="AcknHead"/>
        <w:spacing w:after="0"/>
        <w:jc w:val="both"/>
        <w:rPr>
          <w:rFonts w:ascii="Arial" w:hAnsi="Arial" w:cs="Arial"/>
        </w:rPr>
      </w:pPr>
    </w:p>
    <w:p w14:paraId="001C6192" w14:textId="77777777" w:rsidR="00860000" w:rsidRDefault="00860000" w:rsidP="00441B6F">
      <w:pPr>
        <w:pStyle w:val="ReferHead"/>
        <w:spacing w:after="0"/>
        <w:jc w:val="both"/>
        <w:rPr>
          <w:rFonts w:ascii="Arial" w:hAnsi="Arial" w:cs="Arial"/>
        </w:rPr>
      </w:pPr>
    </w:p>
    <w:p w14:paraId="5BD7CB2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9931A0" w14:textId="77777777" w:rsidR="00790ADA" w:rsidRDefault="00790ADA" w:rsidP="00441B6F">
      <w:pPr>
        <w:pStyle w:val="ReferHead"/>
        <w:spacing w:after="0"/>
        <w:jc w:val="both"/>
        <w:rPr>
          <w:rFonts w:ascii="Arial" w:hAnsi="Arial" w:cs="Arial"/>
        </w:rPr>
      </w:pPr>
    </w:p>
    <w:p w14:paraId="2EA90823"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bookmarkStart w:id="0" w:name="_GoBack"/>
      <w:proofErr w:type="spellStart"/>
      <w:r w:rsidRPr="005A1F41">
        <w:rPr>
          <w:rFonts w:ascii="Arial" w:hAnsi="Arial" w:cs="Arial"/>
          <w:sz w:val="22"/>
          <w:szCs w:val="22"/>
        </w:rPr>
        <w:t>Agaj</w:t>
      </w:r>
      <w:proofErr w:type="spellEnd"/>
      <w:r w:rsidRPr="005A1F41">
        <w:rPr>
          <w:rFonts w:ascii="Arial" w:hAnsi="Arial" w:cs="Arial"/>
          <w:sz w:val="22"/>
          <w:szCs w:val="22"/>
        </w:rPr>
        <w:t xml:space="preserve">, T., </w:t>
      </w:r>
      <w:proofErr w:type="spellStart"/>
      <w:r w:rsidRPr="005A1F41">
        <w:rPr>
          <w:rFonts w:ascii="Arial" w:hAnsi="Arial" w:cs="Arial"/>
          <w:sz w:val="22"/>
          <w:szCs w:val="22"/>
        </w:rPr>
        <w:t>Budka</w:t>
      </w:r>
      <w:proofErr w:type="spellEnd"/>
      <w:r w:rsidRPr="005A1F41">
        <w:rPr>
          <w:rFonts w:ascii="Arial" w:hAnsi="Arial" w:cs="Arial"/>
          <w:sz w:val="22"/>
          <w:szCs w:val="22"/>
        </w:rPr>
        <w:t xml:space="preserve">, A., </w:t>
      </w:r>
      <w:proofErr w:type="spellStart"/>
      <w:r w:rsidRPr="005A1F41">
        <w:rPr>
          <w:rFonts w:ascii="Arial" w:hAnsi="Arial" w:cs="Arial"/>
          <w:sz w:val="22"/>
          <w:szCs w:val="22"/>
        </w:rPr>
        <w:t>Janicka</w:t>
      </w:r>
      <w:proofErr w:type="spellEnd"/>
      <w:r w:rsidRPr="005A1F41">
        <w:rPr>
          <w:rFonts w:ascii="Arial" w:hAnsi="Arial" w:cs="Arial"/>
          <w:sz w:val="22"/>
          <w:szCs w:val="22"/>
        </w:rPr>
        <w:t xml:space="preserve">, E., &amp; </w:t>
      </w:r>
      <w:proofErr w:type="spellStart"/>
      <w:r w:rsidRPr="005A1F41">
        <w:rPr>
          <w:rFonts w:ascii="Arial" w:hAnsi="Arial" w:cs="Arial"/>
          <w:sz w:val="22"/>
          <w:szCs w:val="22"/>
        </w:rPr>
        <w:t>Bytyqi</w:t>
      </w:r>
      <w:proofErr w:type="spellEnd"/>
      <w:r w:rsidRPr="005A1F41">
        <w:rPr>
          <w:rFonts w:ascii="Arial" w:hAnsi="Arial" w:cs="Arial"/>
          <w:sz w:val="22"/>
          <w:szCs w:val="22"/>
        </w:rPr>
        <w:t xml:space="preserve">, V. (2024). Using ARIMA and ETS models for forecasting water level changes for sustainable environmental management. Scientific Reports, 14, Article 22444. </w:t>
      </w:r>
      <w:hyperlink r:id="rId17" w:history="1">
        <w:r w:rsidRPr="005A1F41">
          <w:rPr>
            <w:rStyle w:val="Hyperlink"/>
            <w:rFonts w:ascii="Arial" w:hAnsi="Arial" w:cs="Arial"/>
            <w:sz w:val="22"/>
            <w:szCs w:val="22"/>
          </w:rPr>
          <w:t>https://doi.org/10.1038/s41598-024-73405-9</w:t>
        </w:r>
      </w:hyperlink>
    </w:p>
    <w:p w14:paraId="25A9ECDA"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Atiah</w:t>
      </w:r>
      <w:proofErr w:type="spellEnd"/>
      <w:r w:rsidRPr="005A1F41">
        <w:rPr>
          <w:rFonts w:ascii="Arial" w:hAnsi="Arial" w:cs="Arial"/>
          <w:sz w:val="22"/>
          <w:szCs w:val="22"/>
        </w:rPr>
        <w:t xml:space="preserve">, </w:t>
      </w:r>
      <w:proofErr w:type="gramStart"/>
      <w:r w:rsidRPr="005A1F41">
        <w:rPr>
          <w:rFonts w:ascii="Arial" w:hAnsi="Arial" w:cs="Arial"/>
          <w:sz w:val="22"/>
          <w:szCs w:val="22"/>
        </w:rPr>
        <w:t>W. ,</w:t>
      </w:r>
      <w:proofErr w:type="gramEnd"/>
      <w:r w:rsidRPr="005A1F41">
        <w:rPr>
          <w:rFonts w:ascii="Arial" w:hAnsi="Arial" w:cs="Arial"/>
          <w:sz w:val="22"/>
          <w:szCs w:val="22"/>
        </w:rPr>
        <w:t xml:space="preserve"> </w:t>
      </w:r>
      <w:proofErr w:type="spellStart"/>
      <w:r w:rsidRPr="005A1F41">
        <w:rPr>
          <w:rFonts w:ascii="Arial" w:hAnsi="Arial" w:cs="Arial"/>
          <w:sz w:val="22"/>
          <w:szCs w:val="22"/>
        </w:rPr>
        <w:t>Amekudzi</w:t>
      </w:r>
      <w:proofErr w:type="spellEnd"/>
      <w:r w:rsidRPr="005A1F41">
        <w:rPr>
          <w:rFonts w:ascii="Arial" w:hAnsi="Arial" w:cs="Arial"/>
          <w:sz w:val="22"/>
          <w:szCs w:val="22"/>
        </w:rPr>
        <w:t xml:space="preserve">, L. , Quansah, E. and </w:t>
      </w:r>
      <w:proofErr w:type="spellStart"/>
      <w:r w:rsidRPr="005A1F41">
        <w:rPr>
          <w:rFonts w:ascii="Arial" w:hAnsi="Arial" w:cs="Arial"/>
          <w:sz w:val="22"/>
          <w:szCs w:val="22"/>
        </w:rPr>
        <w:t>Preko</w:t>
      </w:r>
      <w:proofErr w:type="spellEnd"/>
      <w:r w:rsidRPr="005A1F41">
        <w:rPr>
          <w:rFonts w:ascii="Arial" w:hAnsi="Arial" w:cs="Arial"/>
          <w:sz w:val="22"/>
          <w:szCs w:val="22"/>
        </w:rPr>
        <w:t xml:space="preserve">, K. (2019) The </w:t>
      </w:r>
      <w:proofErr w:type="spellStart"/>
      <w:r w:rsidRPr="005A1F41">
        <w:rPr>
          <w:rFonts w:ascii="Arial" w:hAnsi="Arial" w:cs="Arial"/>
          <w:sz w:val="22"/>
          <w:szCs w:val="22"/>
        </w:rPr>
        <w:t>Spatio</w:t>
      </w:r>
      <w:proofErr w:type="spellEnd"/>
      <w:r w:rsidRPr="005A1F41">
        <w:rPr>
          <w:rFonts w:ascii="Arial" w:hAnsi="Arial" w:cs="Arial"/>
          <w:sz w:val="22"/>
          <w:szCs w:val="22"/>
        </w:rPr>
        <w:t xml:space="preserve">-Temporal Variability of Rainfall over the </w:t>
      </w:r>
      <w:proofErr w:type="spellStart"/>
      <w:r w:rsidRPr="005A1F41">
        <w:rPr>
          <w:rFonts w:ascii="Arial" w:hAnsi="Arial" w:cs="Arial"/>
          <w:sz w:val="22"/>
          <w:szCs w:val="22"/>
        </w:rPr>
        <w:t>Agro</w:t>
      </w:r>
      <w:proofErr w:type="spellEnd"/>
      <w:r w:rsidRPr="005A1F41">
        <w:rPr>
          <w:rFonts w:ascii="Arial" w:hAnsi="Arial" w:cs="Arial"/>
          <w:sz w:val="22"/>
          <w:szCs w:val="22"/>
        </w:rPr>
        <w:t xml:space="preserve">-Ecological Zones of Ghana. </w:t>
      </w:r>
      <w:r w:rsidRPr="005A1F41">
        <w:rPr>
          <w:rFonts w:ascii="Arial" w:hAnsi="Arial" w:cs="Arial"/>
          <w:i/>
          <w:iCs/>
          <w:sz w:val="22"/>
          <w:szCs w:val="22"/>
        </w:rPr>
        <w:t>Atmospheric and Climate Sciences</w:t>
      </w:r>
      <w:r w:rsidRPr="005A1F41">
        <w:rPr>
          <w:rFonts w:ascii="Arial" w:hAnsi="Arial" w:cs="Arial"/>
          <w:sz w:val="22"/>
          <w:szCs w:val="22"/>
        </w:rPr>
        <w:t xml:space="preserve">, </w:t>
      </w:r>
      <w:r w:rsidRPr="005A1F41">
        <w:rPr>
          <w:rFonts w:ascii="Arial" w:hAnsi="Arial" w:cs="Arial"/>
          <w:b/>
          <w:bCs/>
          <w:sz w:val="22"/>
          <w:szCs w:val="22"/>
        </w:rPr>
        <w:t>9</w:t>
      </w:r>
      <w:r w:rsidRPr="005A1F41">
        <w:rPr>
          <w:rFonts w:ascii="Arial" w:hAnsi="Arial" w:cs="Arial"/>
          <w:sz w:val="22"/>
          <w:szCs w:val="22"/>
        </w:rPr>
        <w:t xml:space="preserve">, 527-544. </w:t>
      </w:r>
      <w:proofErr w:type="spellStart"/>
      <w:r w:rsidRPr="005A1F41">
        <w:rPr>
          <w:rFonts w:ascii="Arial" w:hAnsi="Arial" w:cs="Arial"/>
          <w:sz w:val="22"/>
          <w:szCs w:val="22"/>
        </w:rPr>
        <w:t>doi</w:t>
      </w:r>
      <w:proofErr w:type="spellEnd"/>
      <w:r w:rsidRPr="005A1F41">
        <w:rPr>
          <w:rFonts w:ascii="Arial" w:hAnsi="Arial" w:cs="Arial"/>
          <w:sz w:val="22"/>
          <w:szCs w:val="22"/>
        </w:rPr>
        <w:t xml:space="preserve">: </w:t>
      </w:r>
      <w:hyperlink r:id="rId18" w:tgtFrame="_blank" w:history="1">
        <w:r w:rsidRPr="005A1F41">
          <w:rPr>
            <w:rStyle w:val="Hyperlink"/>
            <w:rFonts w:ascii="Arial" w:hAnsi="Arial" w:cs="Arial"/>
            <w:sz w:val="22"/>
            <w:szCs w:val="22"/>
          </w:rPr>
          <w:t>10.4236/acs.2019.93034</w:t>
        </w:r>
      </w:hyperlink>
      <w:r w:rsidRPr="005A1F41">
        <w:rPr>
          <w:rFonts w:ascii="Arial" w:hAnsi="Arial" w:cs="Arial"/>
          <w:sz w:val="22"/>
          <w:szCs w:val="22"/>
        </w:rPr>
        <w:t>.</w:t>
      </w:r>
    </w:p>
    <w:p w14:paraId="02F01B46"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Ayitey</w:t>
      </w:r>
      <w:proofErr w:type="spellEnd"/>
      <w:r w:rsidRPr="005A1F41">
        <w:rPr>
          <w:rFonts w:ascii="Arial" w:hAnsi="Arial" w:cs="Arial"/>
          <w:sz w:val="22"/>
          <w:szCs w:val="22"/>
        </w:rPr>
        <w:t xml:space="preserve">, E., </w:t>
      </w:r>
      <w:proofErr w:type="spellStart"/>
      <w:r w:rsidRPr="005A1F41">
        <w:rPr>
          <w:rFonts w:ascii="Arial" w:hAnsi="Arial" w:cs="Arial"/>
          <w:sz w:val="22"/>
          <w:szCs w:val="22"/>
        </w:rPr>
        <w:t>Kangah</w:t>
      </w:r>
      <w:proofErr w:type="spellEnd"/>
      <w:r w:rsidRPr="005A1F41">
        <w:rPr>
          <w:rFonts w:ascii="Arial" w:hAnsi="Arial" w:cs="Arial"/>
          <w:sz w:val="22"/>
          <w:szCs w:val="22"/>
        </w:rPr>
        <w:t xml:space="preserve">, J., &amp; </w:t>
      </w:r>
      <w:proofErr w:type="spellStart"/>
      <w:r w:rsidRPr="005A1F41">
        <w:rPr>
          <w:rFonts w:ascii="Arial" w:hAnsi="Arial" w:cs="Arial"/>
          <w:sz w:val="22"/>
          <w:szCs w:val="22"/>
        </w:rPr>
        <w:t>Twenefour</w:t>
      </w:r>
      <w:proofErr w:type="spellEnd"/>
      <w:r w:rsidRPr="005A1F41">
        <w:rPr>
          <w:rFonts w:ascii="Arial" w:hAnsi="Arial" w:cs="Arial"/>
          <w:sz w:val="22"/>
          <w:szCs w:val="22"/>
        </w:rPr>
        <w:t xml:space="preserve">, F. B. K. (2021). SARIMA modeling of monthly temperature in the Northern part of Ghana. Asian Journal of Probability and Statistics, 12(3), 37–45. </w:t>
      </w:r>
      <w:hyperlink r:id="rId19" w:history="1">
        <w:r w:rsidRPr="005A1F41">
          <w:rPr>
            <w:rStyle w:val="Hyperlink"/>
            <w:rFonts w:ascii="Arial" w:hAnsi="Arial" w:cs="Arial"/>
            <w:sz w:val="22"/>
            <w:szCs w:val="22"/>
          </w:rPr>
          <w:t>https://doi.org/10.9734/AJPAS/2021/v12i330287</w:t>
        </w:r>
      </w:hyperlink>
    </w:p>
    <w:p w14:paraId="5053091F"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Bosson-Amedenu</w:t>
      </w:r>
      <w:proofErr w:type="spellEnd"/>
      <w:r w:rsidRPr="005A1F41">
        <w:rPr>
          <w:rFonts w:ascii="Arial" w:hAnsi="Arial" w:cs="Arial"/>
          <w:sz w:val="22"/>
          <w:szCs w:val="22"/>
        </w:rPr>
        <w:t xml:space="preserve">, S., </w:t>
      </w:r>
      <w:proofErr w:type="spellStart"/>
      <w:r w:rsidRPr="005A1F41">
        <w:rPr>
          <w:rFonts w:ascii="Arial" w:hAnsi="Arial" w:cs="Arial"/>
          <w:sz w:val="22"/>
          <w:szCs w:val="22"/>
        </w:rPr>
        <w:t>Baah</w:t>
      </w:r>
      <w:proofErr w:type="spellEnd"/>
      <w:r w:rsidRPr="005A1F41">
        <w:rPr>
          <w:rFonts w:ascii="Arial" w:hAnsi="Arial" w:cs="Arial"/>
          <w:sz w:val="22"/>
          <w:szCs w:val="22"/>
        </w:rPr>
        <w:t xml:space="preserve">, E. M., </w:t>
      </w:r>
      <w:proofErr w:type="spellStart"/>
      <w:r w:rsidRPr="005A1F41">
        <w:rPr>
          <w:rFonts w:ascii="Arial" w:hAnsi="Arial" w:cs="Arial"/>
          <w:sz w:val="22"/>
          <w:szCs w:val="22"/>
        </w:rPr>
        <w:t>Ayiah</w:t>
      </w:r>
      <w:proofErr w:type="spellEnd"/>
      <w:r w:rsidRPr="005A1F41">
        <w:rPr>
          <w:rFonts w:ascii="Arial" w:hAnsi="Arial" w:cs="Arial"/>
          <w:sz w:val="22"/>
          <w:szCs w:val="22"/>
        </w:rPr>
        <w:t xml:space="preserve">-Mensah, F., &amp; </w:t>
      </w:r>
      <w:proofErr w:type="spellStart"/>
      <w:r w:rsidRPr="005A1F41">
        <w:rPr>
          <w:rFonts w:ascii="Arial" w:hAnsi="Arial" w:cs="Arial"/>
          <w:sz w:val="22"/>
          <w:szCs w:val="22"/>
        </w:rPr>
        <w:t>Addor</w:t>
      </w:r>
      <w:proofErr w:type="spellEnd"/>
      <w:r w:rsidRPr="005A1F41">
        <w:rPr>
          <w:rFonts w:ascii="Arial" w:hAnsi="Arial" w:cs="Arial"/>
          <w:sz w:val="22"/>
          <w:szCs w:val="22"/>
        </w:rPr>
        <w:t>, J. A. (2025). Advanced time series modelling to address seasonal variability and extreme rainfall in Ghana. BMC Environmental Science, 2(1), 8.</w:t>
      </w:r>
    </w:p>
    <w:p w14:paraId="1C91C90D"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Dankwa</w:t>
      </w:r>
      <w:proofErr w:type="spellEnd"/>
      <w:r w:rsidRPr="005A1F41">
        <w:rPr>
          <w:rFonts w:ascii="Arial" w:hAnsi="Arial" w:cs="Arial"/>
          <w:sz w:val="22"/>
          <w:szCs w:val="22"/>
        </w:rPr>
        <w:t xml:space="preserve">, P., Cudjoe, E., </w:t>
      </w:r>
      <w:proofErr w:type="spellStart"/>
      <w:r w:rsidRPr="005A1F41">
        <w:rPr>
          <w:rFonts w:ascii="Arial" w:hAnsi="Arial" w:cs="Arial"/>
          <w:sz w:val="22"/>
          <w:szCs w:val="22"/>
        </w:rPr>
        <w:t>Amuah</w:t>
      </w:r>
      <w:proofErr w:type="spellEnd"/>
      <w:r w:rsidRPr="005A1F41">
        <w:rPr>
          <w:rFonts w:ascii="Arial" w:hAnsi="Arial" w:cs="Arial"/>
          <w:sz w:val="22"/>
          <w:szCs w:val="22"/>
        </w:rPr>
        <w:t xml:space="preserve">, E. E. Y., et al. (2021). Analyzing and forecasting rainfall patterns in the Manga-Bawku area, northeastern Ghana: </w:t>
      </w:r>
      <w:r w:rsidRPr="005A1F41">
        <w:rPr>
          <w:rFonts w:ascii="Arial" w:hAnsi="Arial" w:cs="Arial"/>
          <w:sz w:val="22"/>
          <w:szCs w:val="22"/>
        </w:rPr>
        <w:lastRenderedPageBreak/>
        <w:t xml:space="preserve">Possible implication of climate change. Environmental Challenges, 5, Article 100354. </w:t>
      </w:r>
      <w:hyperlink r:id="rId20" w:history="1">
        <w:r w:rsidRPr="005A1F41">
          <w:rPr>
            <w:rStyle w:val="Hyperlink"/>
            <w:rFonts w:ascii="Arial" w:hAnsi="Arial" w:cs="Arial"/>
            <w:sz w:val="22"/>
            <w:szCs w:val="22"/>
          </w:rPr>
          <w:t>https://doi.org/10.1016/j.envc.2021.100354</w:t>
        </w:r>
      </w:hyperlink>
    </w:p>
    <w:p w14:paraId="1FDAB996"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Dinko</w:t>
      </w:r>
      <w:proofErr w:type="spellEnd"/>
      <w:r w:rsidRPr="005A1F41">
        <w:rPr>
          <w:rFonts w:ascii="Arial" w:hAnsi="Arial" w:cs="Arial"/>
          <w:sz w:val="22"/>
          <w:szCs w:val="22"/>
        </w:rPr>
        <w:t xml:space="preserve">, D. H. (2017). </w:t>
      </w:r>
      <w:r w:rsidRPr="005A1F41">
        <w:rPr>
          <w:rFonts w:ascii="Arial" w:hAnsi="Arial" w:cs="Arial"/>
          <w:i/>
          <w:iCs/>
          <w:sz w:val="22"/>
          <w:szCs w:val="22"/>
        </w:rPr>
        <w:t xml:space="preserve">Climate change and variability and water insecurity in the Sudan savannah zone of Ghana: The case of </w:t>
      </w:r>
      <w:proofErr w:type="spellStart"/>
      <w:r w:rsidRPr="005A1F41">
        <w:rPr>
          <w:rFonts w:ascii="Arial" w:hAnsi="Arial" w:cs="Arial"/>
          <w:i/>
          <w:iCs/>
          <w:sz w:val="22"/>
          <w:szCs w:val="22"/>
        </w:rPr>
        <w:t>Garu-Tempane</w:t>
      </w:r>
      <w:proofErr w:type="spellEnd"/>
      <w:r w:rsidRPr="005A1F41">
        <w:rPr>
          <w:rFonts w:ascii="Arial" w:hAnsi="Arial" w:cs="Arial"/>
          <w:sz w:val="22"/>
          <w:szCs w:val="22"/>
        </w:rPr>
        <w:t xml:space="preserve"> (Doctoral dissertation, University </w:t>
      </w:r>
      <w:proofErr w:type="gramStart"/>
      <w:r w:rsidRPr="005A1F41">
        <w:rPr>
          <w:rFonts w:ascii="Arial" w:hAnsi="Arial" w:cs="Arial"/>
          <w:sz w:val="22"/>
          <w:szCs w:val="22"/>
        </w:rPr>
        <w:t>Of</w:t>
      </w:r>
      <w:proofErr w:type="gramEnd"/>
      <w:r w:rsidRPr="005A1F41">
        <w:rPr>
          <w:rFonts w:ascii="Arial" w:hAnsi="Arial" w:cs="Arial"/>
          <w:sz w:val="22"/>
          <w:szCs w:val="22"/>
        </w:rPr>
        <w:t xml:space="preserve"> Ghana).</w:t>
      </w:r>
    </w:p>
    <w:p w14:paraId="250E7C5F"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t xml:space="preserve">Ge, Y., Wang, J., &amp; co-authors. (2024). The water resources rebound effect threatening the achievement of SDG 6. Sustainability, 16(10), 4155. </w:t>
      </w:r>
      <w:hyperlink r:id="rId21" w:history="1">
        <w:r w:rsidRPr="005A1F41">
          <w:rPr>
            <w:rStyle w:val="Hyperlink"/>
            <w:rFonts w:ascii="Arial" w:hAnsi="Arial" w:cs="Arial"/>
            <w:sz w:val="22"/>
            <w:szCs w:val="22"/>
          </w:rPr>
          <w:t>https://doi.org/10.3390/su16104155</w:t>
        </w:r>
      </w:hyperlink>
    </w:p>
    <w:p w14:paraId="37C609ED"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Gibrilla</w:t>
      </w:r>
      <w:proofErr w:type="spellEnd"/>
      <w:r w:rsidRPr="005A1F41">
        <w:rPr>
          <w:rFonts w:ascii="Arial" w:hAnsi="Arial" w:cs="Arial"/>
          <w:sz w:val="22"/>
          <w:szCs w:val="22"/>
        </w:rPr>
        <w:t xml:space="preserve">, A., </w:t>
      </w:r>
      <w:proofErr w:type="spellStart"/>
      <w:r w:rsidRPr="005A1F41">
        <w:rPr>
          <w:rFonts w:ascii="Arial" w:hAnsi="Arial" w:cs="Arial"/>
          <w:sz w:val="22"/>
          <w:szCs w:val="22"/>
        </w:rPr>
        <w:t>Anornu</w:t>
      </w:r>
      <w:proofErr w:type="spellEnd"/>
      <w:r w:rsidRPr="005A1F41">
        <w:rPr>
          <w:rFonts w:ascii="Arial" w:hAnsi="Arial" w:cs="Arial"/>
          <w:sz w:val="22"/>
          <w:szCs w:val="22"/>
        </w:rPr>
        <w:t>, G., &amp; Adomako, D. (2018). Trend analysis and ARIMA modelling of recent groundwater levels in the White Volta River basin of Ghana. Groundwater for Sustainable Development, 6, 150-163.</w:t>
      </w:r>
    </w:p>
    <w:p w14:paraId="43779287"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t xml:space="preserve">Haque, S. E. (2023). The effects of climate variability on Florida’s major water resources. Sustainability, 15(14), 11364. </w:t>
      </w:r>
      <w:hyperlink r:id="rId22" w:history="1">
        <w:r w:rsidRPr="005A1F41">
          <w:rPr>
            <w:rStyle w:val="Hyperlink"/>
            <w:rFonts w:ascii="Arial" w:hAnsi="Arial" w:cs="Arial"/>
            <w:sz w:val="22"/>
            <w:szCs w:val="22"/>
          </w:rPr>
          <w:t>https://doi.org/10.3390/su151411364</w:t>
        </w:r>
      </w:hyperlink>
    </w:p>
    <w:p w14:paraId="5D3D1F2E"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t xml:space="preserve">Hyndman, R. J., &amp; </w:t>
      </w:r>
      <w:proofErr w:type="spellStart"/>
      <w:r w:rsidRPr="005A1F41">
        <w:rPr>
          <w:rFonts w:ascii="Arial" w:hAnsi="Arial" w:cs="Arial"/>
          <w:sz w:val="22"/>
          <w:szCs w:val="22"/>
        </w:rPr>
        <w:t>Athanasopoulos</w:t>
      </w:r>
      <w:proofErr w:type="spellEnd"/>
      <w:r w:rsidRPr="005A1F41">
        <w:rPr>
          <w:rFonts w:ascii="Arial" w:hAnsi="Arial" w:cs="Arial"/>
          <w:sz w:val="22"/>
          <w:szCs w:val="22"/>
        </w:rPr>
        <w:t xml:space="preserve">, G. (2021). Forecasting: Principles and Practice (3rd ed.). </w:t>
      </w:r>
      <w:proofErr w:type="spellStart"/>
      <w:r w:rsidRPr="005A1F41">
        <w:rPr>
          <w:rFonts w:ascii="Arial" w:hAnsi="Arial" w:cs="Arial"/>
          <w:sz w:val="22"/>
          <w:szCs w:val="22"/>
        </w:rPr>
        <w:t>OTexts</w:t>
      </w:r>
      <w:proofErr w:type="spellEnd"/>
      <w:r w:rsidRPr="005A1F41">
        <w:rPr>
          <w:rFonts w:ascii="Arial" w:hAnsi="Arial" w:cs="Arial"/>
          <w:sz w:val="22"/>
          <w:szCs w:val="22"/>
        </w:rPr>
        <w:t xml:space="preserve">. </w:t>
      </w:r>
      <w:hyperlink r:id="rId23" w:tgtFrame="_new" w:history="1">
        <w:r w:rsidRPr="005A1F41">
          <w:rPr>
            <w:rStyle w:val="Hyperlink"/>
            <w:rFonts w:ascii="Arial" w:hAnsi="Arial" w:cs="Arial"/>
            <w:sz w:val="22"/>
            <w:szCs w:val="22"/>
          </w:rPr>
          <w:t>https://otexts.com/fpp3</w:t>
        </w:r>
      </w:hyperlink>
    </w:p>
    <w:bookmarkEnd w:id="0"/>
    <w:p w14:paraId="0CE21542"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Klutse</w:t>
      </w:r>
      <w:proofErr w:type="spellEnd"/>
      <w:r w:rsidRPr="005A1F41">
        <w:rPr>
          <w:rFonts w:ascii="Arial" w:hAnsi="Arial" w:cs="Arial"/>
          <w:sz w:val="22"/>
          <w:szCs w:val="22"/>
        </w:rPr>
        <w:t xml:space="preserve">, N. A. B., Owusu, K., &amp; Boafo, Y. A. (2020). Projected temperature increases over northern Ghana. </w:t>
      </w:r>
      <w:r w:rsidRPr="005A1F41">
        <w:rPr>
          <w:rFonts w:ascii="Arial" w:hAnsi="Arial" w:cs="Arial"/>
          <w:i/>
          <w:iCs/>
          <w:sz w:val="22"/>
          <w:szCs w:val="22"/>
        </w:rPr>
        <w:t>SN Applied Sciences</w:t>
      </w:r>
      <w:r w:rsidRPr="005A1F41">
        <w:rPr>
          <w:rFonts w:ascii="Arial" w:hAnsi="Arial" w:cs="Arial"/>
          <w:sz w:val="22"/>
          <w:szCs w:val="22"/>
        </w:rPr>
        <w:t xml:space="preserve">, </w:t>
      </w:r>
      <w:r w:rsidRPr="005A1F41">
        <w:rPr>
          <w:rFonts w:ascii="Arial" w:hAnsi="Arial" w:cs="Arial"/>
          <w:i/>
          <w:iCs/>
          <w:sz w:val="22"/>
          <w:szCs w:val="22"/>
        </w:rPr>
        <w:t>2</w:t>
      </w:r>
      <w:r w:rsidRPr="005A1F41">
        <w:rPr>
          <w:rFonts w:ascii="Arial" w:hAnsi="Arial" w:cs="Arial"/>
          <w:sz w:val="22"/>
          <w:szCs w:val="22"/>
        </w:rPr>
        <w:t>(8), 1339.https://doi.org/10.1007/s42452-020-3095-3</w:t>
      </w:r>
    </w:p>
    <w:p w14:paraId="58564DE1"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t xml:space="preserve">Nkrumah, F., </w:t>
      </w:r>
      <w:proofErr w:type="spellStart"/>
      <w:r w:rsidRPr="005A1F41">
        <w:rPr>
          <w:rFonts w:ascii="Arial" w:hAnsi="Arial" w:cs="Arial"/>
          <w:sz w:val="22"/>
          <w:szCs w:val="22"/>
        </w:rPr>
        <w:t>Klutse</w:t>
      </w:r>
      <w:proofErr w:type="spellEnd"/>
      <w:r w:rsidRPr="005A1F41">
        <w:rPr>
          <w:rFonts w:ascii="Arial" w:hAnsi="Arial" w:cs="Arial"/>
          <w:sz w:val="22"/>
          <w:szCs w:val="22"/>
        </w:rPr>
        <w:t xml:space="preserve">, N.A.B., </w:t>
      </w:r>
      <w:proofErr w:type="spellStart"/>
      <w:r w:rsidRPr="005A1F41">
        <w:rPr>
          <w:rFonts w:ascii="Arial" w:hAnsi="Arial" w:cs="Arial"/>
          <w:sz w:val="22"/>
          <w:szCs w:val="22"/>
        </w:rPr>
        <w:t>Adukpo</w:t>
      </w:r>
      <w:proofErr w:type="spellEnd"/>
      <w:r w:rsidRPr="005A1F41">
        <w:rPr>
          <w:rFonts w:ascii="Arial" w:hAnsi="Arial" w:cs="Arial"/>
          <w:sz w:val="22"/>
          <w:szCs w:val="22"/>
        </w:rPr>
        <w:t xml:space="preserve">, D.C., Owusu, K., </w:t>
      </w:r>
      <w:proofErr w:type="spellStart"/>
      <w:r w:rsidRPr="005A1F41">
        <w:rPr>
          <w:rFonts w:ascii="Arial" w:hAnsi="Arial" w:cs="Arial"/>
          <w:sz w:val="22"/>
          <w:szCs w:val="22"/>
        </w:rPr>
        <w:t>Quagraine</w:t>
      </w:r>
      <w:proofErr w:type="spellEnd"/>
      <w:r w:rsidRPr="005A1F41">
        <w:rPr>
          <w:rFonts w:ascii="Arial" w:hAnsi="Arial" w:cs="Arial"/>
          <w:sz w:val="22"/>
          <w:szCs w:val="22"/>
        </w:rPr>
        <w:t xml:space="preserve">, K.A., Owusu, A., </w:t>
      </w:r>
      <w:r w:rsidRPr="005A1F41">
        <w:rPr>
          <w:rFonts w:ascii="Arial" w:hAnsi="Arial" w:cs="Arial"/>
          <w:i/>
          <w:iCs/>
          <w:sz w:val="22"/>
          <w:szCs w:val="22"/>
        </w:rPr>
        <w:t>et al</w:t>
      </w:r>
      <w:r w:rsidRPr="005A1F41">
        <w:rPr>
          <w:rFonts w:ascii="Arial" w:hAnsi="Arial" w:cs="Arial"/>
          <w:sz w:val="22"/>
          <w:szCs w:val="22"/>
        </w:rPr>
        <w:t xml:space="preserve">. (2014) Rainfall Variability over Ghana: Model versus Rain Gauge Observation. </w:t>
      </w:r>
      <w:r w:rsidRPr="005A1F41">
        <w:rPr>
          <w:rFonts w:ascii="Arial" w:hAnsi="Arial" w:cs="Arial"/>
          <w:i/>
          <w:iCs/>
          <w:sz w:val="22"/>
          <w:szCs w:val="22"/>
        </w:rPr>
        <w:t>International Journal of Geosciences</w:t>
      </w:r>
      <w:r w:rsidRPr="005A1F41">
        <w:rPr>
          <w:rFonts w:ascii="Arial" w:hAnsi="Arial" w:cs="Arial"/>
          <w:sz w:val="22"/>
          <w:szCs w:val="22"/>
        </w:rPr>
        <w:t xml:space="preserve">, 5, 673-683. </w:t>
      </w:r>
      <w:r w:rsidRPr="005A1F41">
        <w:rPr>
          <w:rFonts w:ascii="Arial" w:hAnsi="Arial" w:cs="Arial"/>
          <w:sz w:val="22"/>
          <w:szCs w:val="22"/>
        </w:rPr>
        <w:br/>
        <w:t>https://doi.org/10.4236/ijg.2014.57060</w:t>
      </w:r>
    </w:p>
    <w:p w14:paraId="01F6A6D4"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proofErr w:type="spellStart"/>
      <w:r w:rsidRPr="005A1F41">
        <w:rPr>
          <w:rFonts w:ascii="Arial" w:hAnsi="Arial" w:cs="Arial"/>
          <w:sz w:val="22"/>
          <w:szCs w:val="22"/>
        </w:rPr>
        <w:t>Nyatuame</w:t>
      </w:r>
      <w:proofErr w:type="spellEnd"/>
      <w:r w:rsidRPr="005A1F41">
        <w:rPr>
          <w:rFonts w:ascii="Arial" w:hAnsi="Arial" w:cs="Arial"/>
          <w:sz w:val="22"/>
          <w:szCs w:val="22"/>
        </w:rPr>
        <w:t xml:space="preserve">, M., &amp; </w:t>
      </w:r>
      <w:proofErr w:type="spellStart"/>
      <w:r w:rsidRPr="005A1F41">
        <w:rPr>
          <w:rFonts w:ascii="Arial" w:hAnsi="Arial" w:cs="Arial"/>
          <w:sz w:val="22"/>
          <w:szCs w:val="22"/>
        </w:rPr>
        <w:t>Agodzo</w:t>
      </w:r>
      <w:proofErr w:type="spellEnd"/>
      <w:r w:rsidRPr="005A1F41">
        <w:rPr>
          <w:rFonts w:ascii="Arial" w:hAnsi="Arial" w:cs="Arial"/>
          <w:sz w:val="22"/>
          <w:szCs w:val="22"/>
        </w:rPr>
        <w:t xml:space="preserve">, S. K. (2018). Stochastic ARIMA model for annual rainfall and maximum temperature forecasting over </w:t>
      </w:r>
      <w:proofErr w:type="spellStart"/>
      <w:r w:rsidRPr="005A1F41">
        <w:rPr>
          <w:rFonts w:ascii="Arial" w:hAnsi="Arial" w:cs="Arial"/>
          <w:sz w:val="22"/>
          <w:szCs w:val="22"/>
        </w:rPr>
        <w:t>Tordzie</w:t>
      </w:r>
      <w:proofErr w:type="spellEnd"/>
      <w:r w:rsidRPr="005A1F41">
        <w:rPr>
          <w:rFonts w:ascii="Arial" w:hAnsi="Arial" w:cs="Arial"/>
          <w:sz w:val="22"/>
          <w:szCs w:val="22"/>
        </w:rPr>
        <w:t xml:space="preserve"> watershed in Ghana. Journal of Water and Land Development, 37(1), 127–140. </w:t>
      </w:r>
      <w:hyperlink r:id="rId24" w:history="1">
        <w:r w:rsidRPr="005A1F41">
          <w:rPr>
            <w:rStyle w:val="Hyperlink"/>
            <w:rFonts w:ascii="Arial" w:hAnsi="Arial" w:cs="Arial"/>
            <w:sz w:val="22"/>
            <w:szCs w:val="22"/>
          </w:rPr>
          <w:t>https://doi.org/10.2478/jwld-2018-0032</w:t>
        </w:r>
      </w:hyperlink>
    </w:p>
    <w:p w14:paraId="6E6AD0AE"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t xml:space="preserve">S. </w:t>
      </w:r>
      <w:proofErr w:type="spellStart"/>
      <w:r w:rsidRPr="005A1F41">
        <w:rPr>
          <w:rFonts w:ascii="Arial" w:hAnsi="Arial" w:cs="Arial"/>
          <w:sz w:val="22"/>
          <w:szCs w:val="22"/>
        </w:rPr>
        <w:t>Arku</w:t>
      </w:r>
      <w:proofErr w:type="spellEnd"/>
      <w:r w:rsidRPr="005A1F41">
        <w:rPr>
          <w:rFonts w:ascii="Arial" w:hAnsi="Arial" w:cs="Arial"/>
          <w:sz w:val="22"/>
          <w:szCs w:val="22"/>
        </w:rPr>
        <w:t xml:space="preserve">, F. (2013). Local creativity for adapting to climate change among rural farmers in the semi-arid region of Ghana. </w:t>
      </w:r>
      <w:r w:rsidRPr="005A1F41">
        <w:rPr>
          <w:rFonts w:ascii="Arial" w:hAnsi="Arial" w:cs="Arial"/>
          <w:i/>
          <w:iCs/>
          <w:sz w:val="22"/>
          <w:szCs w:val="22"/>
        </w:rPr>
        <w:t>International Journal of Climate Change Strategies and Management</w:t>
      </w:r>
      <w:r w:rsidRPr="005A1F41">
        <w:rPr>
          <w:rFonts w:ascii="Arial" w:hAnsi="Arial" w:cs="Arial"/>
          <w:sz w:val="22"/>
          <w:szCs w:val="22"/>
        </w:rPr>
        <w:t xml:space="preserve">, </w:t>
      </w:r>
      <w:r w:rsidRPr="005A1F41">
        <w:rPr>
          <w:rFonts w:ascii="Arial" w:hAnsi="Arial" w:cs="Arial"/>
          <w:i/>
          <w:iCs/>
          <w:sz w:val="22"/>
          <w:szCs w:val="22"/>
        </w:rPr>
        <w:t>5</w:t>
      </w:r>
      <w:r w:rsidRPr="005A1F41">
        <w:rPr>
          <w:rFonts w:ascii="Arial" w:hAnsi="Arial" w:cs="Arial"/>
          <w:sz w:val="22"/>
          <w:szCs w:val="22"/>
        </w:rPr>
        <w:t>(4), 418-430.</w:t>
      </w:r>
    </w:p>
    <w:p w14:paraId="12D48FDD"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lastRenderedPageBreak/>
        <w:t xml:space="preserve">Stringer, L. C., et al. (2021). Climate change impacts on water security in global drylands. One Earth, 4(6), 856–869. </w:t>
      </w:r>
      <w:hyperlink r:id="rId25" w:history="1">
        <w:r w:rsidRPr="005A1F41">
          <w:rPr>
            <w:rStyle w:val="Hyperlink"/>
            <w:rFonts w:ascii="Arial" w:hAnsi="Arial" w:cs="Arial"/>
            <w:sz w:val="22"/>
            <w:szCs w:val="22"/>
          </w:rPr>
          <w:t>https://doi.org/10.1016/j.oneear.2021.05.010</w:t>
        </w:r>
      </w:hyperlink>
    </w:p>
    <w:p w14:paraId="7F9FC402" w14:textId="77777777" w:rsidR="004127CA" w:rsidRPr="005A1F41" w:rsidRDefault="004127CA" w:rsidP="005A1F41">
      <w:pPr>
        <w:pStyle w:val="ListParagraph"/>
        <w:numPr>
          <w:ilvl w:val="0"/>
          <w:numId w:val="35"/>
        </w:numPr>
        <w:spacing w:line="360" w:lineRule="auto"/>
        <w:jc w:val="both"/>
        <w:rPr>
          <w:rFonts w:ascii="Arial" w:hAnsi="Arial" w:cs="Arial"/>
          <w:sz w:val="22"/>
          <w:szCs w:val="22"/>
        </w:rPr>
      </w:pPr>
      <w:r w:rsidRPr="005A1F41">
        <w:rPr>
          <w:rFonts w:ascii="Arial" w:hAnsi="Arial" w:cs="Arial"/>
          <w:sz w:val="22"/>
          <w:szCs w:val="22"/>
        </w:rPr>
        <w:t xml:space="preserve">Yavuz, V. S. (2025). Forecasting monthly rainfall and temperature patterns in Van Province, </w:t>
      </w:r>
      <w:proofErr w:type="spellStart"/>
      <w:r w:rsidRPr="005A1F41">
        <w:rPr>
          <w:rFonts w:ascii="Arial" w:hAnsi="Arial" w:cs="Arial"/>
          <w:sz w:val="22"/>
          <w:szCs w:val="22"/>
        </w:rPr>
        <w:t>Türkiye</w:t>
      </w:r>
      <w:proofErr w:type="spellEnd"/>
      <w:r w:rsidRPr="005A1F41">
        <w:rPr>
          <w:rFonts w:ascii="Arial" w:hAnsi="Arial" w:cs="Arial"/>
          <w:sz w:val="22"/>
          <w:szCs w:val="22"/>
        </w:rPr>
        <w:t xml:space="preserve">, using ARIMA and SARIMA models: a long-term climate analysis. </w:t>
      </w:r>
      <w:r w:rsidRPr="005A1F41">
        <w:rPr>
          <w:rFonts w:ascii="Arial" w:hAnsi="Arial" w:cs="Arial"/>
          <w:i/>
          <w:iCs/>
          <w:sz w:val="22"/>
          <w:szCs w:val="22"/>
        </w:rPr>
        <w:t>Journal of Water and Climate Change</w:t>
      </w:r>
      <w:r w:rsidRPr="005A1F41">
        <w:rPr>
          <w:rFonts w:ascii="Arial" w:hAnsi="Arial" w:cs="Arial"/>
          <w:sz w:val="22"/>
          <w:szCs w:val="22"/>
        </w:rPr>
        <w:t xml:space="preserve">, </w:t>
      </w:r>
      <w:r w:rsidRPr="005A1F41">
        <w:rPr>
          <w:rFonts w:ascii="Arial" w:hAnsi="Arial" w:cs="Arial"/>
          <w:i/>
          <w:iCs/>
          <w:sz w:val="22"/>
          <w:szCs w:val="22"/>
        </w:rPr>
        <w:t>16</w:t>
      </w:r>
      <w:r w:rsidRPr="005A1F41">
        <w:rPr>
          <w:rFonts w:ascii="Arial" w:hAnsi="Arial" w:cs="Arial"/>
          <w:sz w:val="22"/>
          <w:szCs w:val="22"/>
        </w:rPr>
        <w:t>(2), 800-818.</w:t>
      </w:r>
    </w:p>
    <w:p w14:paraId="5B3E3389" w14:textId="77777777" w:rsidR="00E838D8" w:rsidRDefault="00E838D8" w:rsidP="00441B6F">
      <w:pPr>
        <w:pStyle w:val="Appendix"/>
        <w:spacing w:after="0"/>
        <w:jc w:val="both"/>
        <w:rPr>
          <w:rFonts w:ascii="Arial" w:hAnsi="Arial" w:cs="Arial"/>
        </w:rPr>
      </w:pPr>
    </w:p>
    <w:p w14:paraId="56CA2A3F" w14:textId="41F125A6" w:rsidR="004D4277" w:rsidRDefault="00B01FCD" w:rsidP="00441B6F">
      <w:pPr>
        <w:pStyle w:val="Appendix"/>
        <w:spacing w:after="0"/>
        <w:jc w:val="both"/>
        <w:rPr>
          <w:rFonts w:ascii="Arial" w:hAnsi="Arial" w:cs="Arial"/>
        </w:rPr>
      </w:pPr>
      <w:r w:rsidRPr="00FB3A86">
        <w:rPr>
          <w:rFonts w:ascii="Arial" w:hAnsi="Arial" w:cs="Arial"/>
        </w:rPr>
        <w:t>APPENDIX</w:t>
      </w:r>
    </w:p>
    <w:p w14:paraId="03E95D4A" w14:textId="3D7ECDA4" w:rsidR="004127CA" w:rsidRPr="009A7116" w:rsidRDefault="004127CA" w:rsidP="004127CA">
      <w:pPr>
        <w:tabs>
          <w:tab w:val="left" w:pos="8025"/>
        </w:tabs>
        <w:rPr>
          <w:rFonts w:ascii="Times New Roman" w:eastAsiaTheme="minorEastAsia" w:hAnsi="Times New Roman"/>
          <w:b/>
          <w:bCs/>
        </w:rPr>
      </w:pPr>
    </w:p>
    <w:p w14:paraId="604B1009" w14:textId="7A6DB7DA" w:rsidR="004127CA" w:rsidRPr="004127CA" w:rsidRDefault="004127CA" w:rsidP="004127CA">
      <w:pPr>
        <w:spacing w:line="480" w:lineRule="auto"/>
        <w:jc w:val="both"/>
        <w:rPr>
          <w:rFonts w:ascii="Times New Roman" w:eastAsiaTheme="minorEastAsia" w:hAnsi="Times New Roman"/>
        </w:rPr>
      </w:pPr>
      <w:r>
        <w:rPr>
          <w:rFonts w:ascii="Times New Roman" w:eastAsiaTheme="minorEastAsia" w:hAnsi="Times New Roman"/>
          <w:noProof/>
        </w:rPr>
        <w:drawing>
          <wp:inline distT="0" distB="0" distL="0" distR="0" wp14:anchorId="37733B0E" wp14:editId="3E28DF71">
            <wp:extent cx="5829300" cy="1828800"/>
            <wp:effectExtent l="0" t="0" r="0" b="0"/>
            <wp:docPr id="7934149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9300" cy="1828800"/>
                    </a:xfrm>
                    <a:prstGeom prst="rect">
                      <a:avLst/>
                    </a:prstGeom>
                    <a:noFill/>
                  </pic:spPr>
                </pic:pic>
              </a:graphicData>
            </a:graphic>
          </wp:inline>
        </w:drawing>
      </w:r>
      <w:r>
        <w:rPr>
          <w:rFonts w:ascii="Times New Roman" w:eastAsiaTheme="minorEastAsia" w:hAnsi="Times New Roman"/>
          <w:noProof/>
        </w:rPr>
        <w:drawing>
          <wp:inline distT="0" distB="0" distL="0" distR="0" wp14:anchorId="46F78543" wp14:editId="4DB27547">
            <wp:extent cx="5829300" cy="2095500"/>
            <wp:effectExtent l="0" t="0" r="0" b="0"/>
            <wp:docPr id="6532658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9300" cy="2095500"/>
                    </a:xfrm>
                    <a:prstGeom prst="rect">
                      <a:avLst/>
                    </a:prstGeom>
                    <a:noFill/>
                  </pic:spPr>
                </pic:pic>
              </a:graphicData>
            </a:graphic>
          </wp:inline>
        </w:drawing>
      </w:r>
    </w:p>
    <w:p w14:paraId="6BDF6808" w14:textId="020046A4" w:rsidR="004127CA" w:rsidRPr="00FB3A86" w:rsidRDefault="004127CA" w:rsidP="00441B6F">
      <w:pPr>
        <w:pStyle w:val="Appendix"/>
        <w:spacing w:after="0"/>
        <w:jc w:val="both"/>
        <w:rPr>
          <w:rFonts w:ascii="Arial" w:hAnsi="Arial" w:cs="Arial"/>
          <w:b w:val="0"/>
        </w:rPr>
        <w:sectPr w:rsidR="004127CA" w:rsidRPr="00FB3A86" w:rsidSect="00E838D8">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74A6F9E8" w14:textId="366970C9" w:rsidR="00B01FCD" w:rsidRDefault="00E307ED" w:rsidP="00441B6F">
      <w:pPr>
        <w:pStyle w:val="Appendix"/>
        <w:spacing w:after="0"/>
        <w:jc w:val="both"/>
        <w:rPr>
          <w:rFonts w:ascii="Arial" w:hAnsi="Arial" w:cs="Arial"/>
          <w:b w:val="0"/>
        </w:rPr>
      </w:pPr>
      <w:r>
        <w:rPr>
          <w:rFonts w:ascii="Arial" w:hAnsi="Arial" w:cs="Arial"/>
          <w:b w:val="0"/>
          <w:noProof/>
        </w:rPr>
        <w:lastRenderedPageBreak/>
        <w:drawing>
          <wp:inline distT="0" distB="0" distL="0" distR="0" wp14:anchorId="6B64A315" wp14:editId="1B5C139F">
            <wp:extent cx="5553075" cy="3362325"/>
            <wp:effectExtent l="0" t="0" r="0" b="0"/>
            <wp:docPr id="36949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3075" cy="3362325"/>
                    </a:xfrm>
                    <a:prstGeom prst="rect">
                      <a:avLst/>
                    </a:prstGeom>
                    <a:noFill/>
                  </pic:spPr>
                </pic:pic>
              </a:graphicData>
            </a:graphic>
          </wp:inline>
        </w:drawing>
      </w:r>
    </w:p>
    <w:p w14:paraId="34D38894" w14:textId="77777777" w:rsidR="00362FF3" w:rsidRDefault="00362FF3" w:rsidP="00441B6F">
      <w:pPr>
        <w:pStyle w:val="Appendix"/>
        <w:spacing w:after="0"/>
        <w:jc w:val="both"/>
        <w:rPr>
          <w:rFonts w:ascii="Arial" w:hAnsi="Arial" w:cs="Arial"/>
          <w:b w:val="0"/>
        </w:rPr>
      </w:pPr>
    </w:p>
    <w:p w14:paraId="7ADC340C" w14:textId="3BFB8705" w:rsidR="00E307ED" w:rsidRDefault="00362FF3" w:rsidP="00441B6F">
      <w:pPr>
        <w:pStyle w:val="Appendix"/>
        <w:spacing w:after="0"/>
        <w:jc w:val="both"/>
        <w:rPr>
          <w:rFonts w:ascii="Arial" w:hAnsi="Arial" w:cs="Arial"/>
          <w:b w:val="0"/>
        </w:rPr>
      </w:pPr>
      <w:r>
        <w:rPr>
          <w:rFonts w:ascii="Arial" w:hAnsi="Arial" w:cs="Arial"/>
          <w:b w:val="0"/>
          <w:noProof/>
        </w:rPr>
        <w:drawing>
          <wp:inline distT="0" distB="0" distL="0" distR="0" wp14:anchorId="65647350" wp14:editId="3B77AA1B">
            <wp:extent cx="5553075" cy="3362325"/>
            <wp:effectExtent l="0" t="0" r="0" b="0"/>
            <wp:docPr id="1114546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53075" cy="3362325"/>
                    </a:xfrm>
                    <a:prstGeom prst="rect">
                      <a:avLst/>
                    </a:prstGeom>
                    <a:noFill/>
                  </pic:spPr>
                </pic:pic>
              </a:graphicData>
            </a:graphic>
          </wp:inline>
        </w:drawing>
      </w:r>
    </w:p>
    <w:p w14:paraId="446E811F" w14:textId="77777777" w:rsidR="00362FF3" w:rsidRDefault="00362FF3" w:rsidP="00441B6F">
      <w:pPr>
        <w:pStyle w:val="Appendix"/>
        <w:spacing w:after="0"/>
        <w:jc w:val="both"/>
        <w:rPr>
          <w:rFonts w:ascii="Arial" w:hAnsi="Arial" w:cs="Arial"/>
          <w:b w:val="0"/>
        </w:rPr>
      </w:pPr>
    </w:p>
    <w:p w14:paraId="1A45CC1A" w14:textId="77777777" w:rsidR="00362FF3" w:rsidRDefault="00362FF3" w:rsidP="00441B6F">
      <w:pPr>
        <w:pStyle w:val="Appendix"/>
        <w:spacing w:after="0"/>
        <w:jc w:val="both"/>
        <w:rPr>
          <w:rFonts w:ascii="Arial" w:hAnsi="Arial" w:cs="Arial"/>
          <w:b w:val="0"/>
        </w:rPr>
      </w:pPr>
    </w:p>
    <w:p w14:paraId="426D1C33" w14:textId="0BEB75B5" w:rsidR="00362FF3" w:rsidRPr="00FB3A86" w:rsidRDefault="00362FF3" w:rsidP="00441B6F">
      <w:pPr>
        <w:pStyle w:val="Appendix"/>
        <w:spacing w:after="0"/>
        <w:jc w:val="both"/>
        <w:rPr>
          <w:rFonts w:ascii="Arial" w:hAnsi="Arial" w:cs="Arial"/>
          <w:b w:val="0"/>
        </w:rPr>
      </w:pPr>
    </w:p>
    <w:sectPr w:rsidR="00362FF3" w:rsidRPr="00FB3A86" w:rsidSect="00E838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3B81C" w14:textId="77777777" w:rsidR="006E35DE" w:rsidRDefault="006E35DE" w:rsidP="00C37E61">
      <w:r>
        <w:separator/>
      </w:r>
    </w:p>
  </w:endnote>
  <w:endnote w:type="continuationSeparator" w:id="0">
    <w:p w14:paraId="7B54231B" w14:textId="77777777" w:rsidR="006E35DE" w:rsidRDefault="006E35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B06F" w14:textId="77777777" w:rsidR="00E838D8" w:rsidRDefault="00E83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54DA" w14:textId="77777777" w:rsidR="00E838D8" w:rsidRDefault="00E83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FECA" w14:textId="07EA199B" w:rsidR="00754C9A" w:rsidRPr="00E838D8" w:rsidRDefault="00754C9A" w:rsidP="00E83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828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7602" w14:textId="77777777" w:rsidR="006E35DE" w:rsidRDefault="006E35DE" w:rsidP="00C37E61">
      <w:r>
        <w:separator/>
      </w:r>
    </w:p>
  </w:footnote>
  <w:footnote w:type="continuationSeparator" w:id="0">
    <w:p w14:paraId="48121613" w14:textId="77777777" w:rsidR="006E35DE" w:rsidRDefault="006E35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11AF" w14:textId="18CED3D1" w:rsidR="00E838D8" w:rsidRDefault="006E35DE">
    <w:pPr>
      <w:pStyle w:val="Header"/>
    </w:pPr>
    <w:r>
      <w:rPr>
        <w:noProof/>
      </w:rPr>
      <w:pict w14:anchorId="05834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841A" w14:textId="51409F2C" w:rsidR="00E838D8" w:rsidRDefault="006E35DE">
    <w:pPr>
      <w:pStyle w:val="Header"/>
    </w:pPr>
    <w:r>
      <w:rPr>
        <w:noProof/>
      </w:rPr>
      <w:pict w14:anchorId="2B720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494E" w14:textId="7FDAEDD2" w:rsidR="00296529" w:rsidRPr="00296529" w:rsidRDefault="006E35DE" w:rsidP="00296529">
    <w:pPr>
      <w:ind w:left="2160"/>
      <w:jc w:val="center"/>
      <w:rPr>
        <w:rFonts w:ascii="Times New Roman" w:eastAsia="Calibri" w:hAnsi="Times New Roman"/>
        <w:i/>
        <w:sz w:val="18"/>
        <w:szCs w:val="22"/>
      </w:rPr>
    </w:pPr>
    <w:r>
      <w:rPr>
        <w:noProof/>
      </w:rPr>
      <w:pict w14:anchorId="7963A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1921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30E2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7F451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8A61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D570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AE9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DA02" w14:textId="4ED19BBF" w:rsidR="00E838D8" w:rsidRDefault="006E35DE">
    <w:pPr>
      <w:pStyle w:val="Header"/>
    </w:pPr>
    <w:r>
      <w:rPr>
        <w:noProof/>
      </w:rPr>
      <w:pict w14:anchorId="3F377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C119" w14:textId="03FC7A3D" w:rsidR="00E838D8" w:rsidRDefault="006E35DE">
    <w:pPr>
      <w:pStyle w:val="Header"/>
    </w:pPr>
    <w:r>
      <w:rPr>
        <w:noProof/>
      </w:rPr>
      <w:pict w14:anchorId="7332E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CA8" w14:textId="2155DFE8" w:rsidR="00E838D8" w:rsidRDefault="006E35DE">
    <w:pPr>
      <w:pStyle w:val="Header"/>
    </w:pPr>
    <w:r>
      <w:rPr>
        <w:noProof/>
      </w:rPr>
      <w:pict w14:anchorId="6A38D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A0565"/>
    <w:multiLevelType w:val="hybridMultilevel"/>
    <w:tmpl w:val="14787FB4"/>
    <w:lvl w:ilvl="0" w:tplc="8488E0D2">
      <w:start w:val="1"/>
      <w:numFmt w:val="lowerRoman"/>
      <w:lvlText w:val="%1."/>
      <w:lvlJc w:val="left"/>
      <w:pPr>
        <w:ind w:left="990" w:hanging="72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7F514D"/>
    <w:multiLevelType w:val="hybridMultilevel"/>
    <w:tmpl w:val="991C7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46D20"/>
    <w:multiLevelType w:val="multilevel"/>
    <w:tmpl w:val="71A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856DF"/>
    <w:multiLevelType w:val="hybridMultilevel"/>
    <w:tmpl w:val="8A20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A1685"/>
    <w:multiLevelType w:val="multilevel"/>
    <w:tmpl w:val="AAEA4518"/>
    <w:lvl w:ilvl="0">
      <w:start w:val="1"/>
      <w:numFmt w:val="decimal"/>
      <w:lvlText w:val="%1."/>
      <w:lvlJc w:val="left"/>
      <w:pPr>
        <w:tabs>
          <w:tab w:val="num" w:pos="630"/>
        </w:tabs>
        <w:ind w:left="630" w:hanging="360"/>
      </w:pPr>
    </w:lvl>
    <w:lvl w:ilvl="1">
      <w:start w:val="5"/>
      <w:numFmt w:val="decimal"/>
      <w:lvlText w:val="%2"/>
      <w:lvlJc w:val="left"/>
      <w:pPr>
        <w:ind w:left="63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32"/>
  </w:num>
  <w:num w:numId="33">
    <w:abstractNumId w:val="20"/>
  </w:num>
  <w:num w:numId="34">
    <w:abstractNumId w:val="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AA"/>
    <w:rsid w:val="000255A8"/>
    <w:rsid w:val="00030174"/>
    <w:rsid w:val="0004579C"/>
    <w:rsid w:val="00051FE4"/>
    <w:rsid w:val="00065160"/>
    <w:rsid w:val="000A47FA"/>
    <w:rsid w:val="000A4B04"/>
    <w:rsid w:val="000A65D3"/>
    <w:rsid w:val="000B1E33"/>
    <w:rsid w:val="000B3268"/>
    <w:rsid w:val="000B5708"/>
    <w:rsid w:val="000D689F"/>
    <w:rsid w:val="000E7B7B"/>
    <w:rsid w:val="000E7D62"/>
    <w:rsid w:val="00103357"/>
    <w:rsid w:val="00121E20"/>
    <w:rsid w:val="00123C9F"/>
    <w:rsid w:val="00126190"/>
    <w:rsid w:val="00130F17"/>
    <w:rsid w:val="001320BF"/>
    <w:rsid w:val="00135D58"/>
    <w:rsid w:val="00163BC4"/>
    <w:rsid w:val="00166E93"/>
    <w:rsid w:val="00191062"/>
    <w:rsid w:val="00192B72"/>
    <w:rsid w:val="001A29D8"/>
    <w:rsid w:val="001A5CAA"/>
    <w:rsid w:val="001B0427"/>
    <w:rsid w:val="001C76E4"/>
    <w:rsid w:val="001D3A51"/>
    <w:rsid w:val="001E10D2"/>
    <w:rsid w:val="001E25B4"/>
    <w:rsid w:val="001E44FE"/>
    <w:rsid w:val="00200595"/>
    <w:rsid w:val="00204835"/>
    <w:rsid w:val="002218FE"/>
    <w:rsid w:val="002304F0"/>
    <w:rsid w:val="00231920"/>
    <w:rsid w:val="0023195C"/>
    <w:rsid w:val="00233D8B"/>
    <w:rsid w:val="0024282C"/>
    <w:rsid w:val="002460DC"/>
    <w:rsid w:val="00250985"/>
    <w:rsid w:val="002556F6"/>
    <w:rsid w:val="00283105"/>
    <w:rsid w:val="00284C4C"/>
    <w:rsid w:val="00287E68"/>
    <w:rsid w:val="00296529"/>
    <w:rsid w:val="002B27FB"/>
    <w:rsid w:val="002B46B7"/>
    <w:rsid w:val="002B685A"/>
    <w:rsid w:val="002C57D2"/>
    <w:rsid w:val="002D0544"/>
    <w:rsid w:val="002E0D56"/>
    <w:rsid w:val="002E1148"/>
    <w:rsid w:val="002F5EE7"/>
    <w:rsid w:val="003058D8"/>
    <w:rsid w:val="003129A6"/>
    <w:rsid w:val="00315186"/>
    <w:rsid w:val="0033343E"/>
    <w:rsid w:val="00334A63"/>
    <w:rsid w:val="003500C3"/>
    <w:rsid w:val="003512C2"/>
    <w:rsid w:val="00362FF3"/>
    <w:rsid w:val="00371FB6"/>
    <w:rsid w:val="003763C1"/>
    <w:rsid w:val="00376BBE"/>
    <w:rsid w:val="0039224F"/>
    <w:rsid w:val="003A43A4"/>
    <w:rsid w:val="003A7E18"/>
    <w:rsid w:val="003C4C86"/>
    <w:rsid w:val="003C6258"/>
    <w:rsid w:val="003D5428"/>
    <w:rsid w:val="003E2904"/>
    <w:rsid w:val="003F42AD"/>
    <w:rsid w:val="00401927"/>
    <w:rsid w:val="0041027F"/>
    <w:rsid w:val="00412475"/>
    <w:rsid w:val="004127CA"/>
    <w:rsid w:val="00417216"/>
    <w:rsid w:val="00423789"/>
    <w:rsid w:val="00432AB0"/>
    <w:rsid w:val="00440F43"/>
    <w:rsid w:val="00441B6F"/>
    <w:rsid w:val="004423A5"/>
    <w:rsid w:val="00446221"/>
    <w:rsid w:val="00447CA0"/>
    <w:rsid w:val="00450E62"/>
    <w:rsid w:val="004539DB"/>
    <w:rsid w:val="00471A80"/>
    <w:rsid w:val="004B5F73"/>
    <w:rsid w:val="004B78C0"/>
    <w:rsid w:val="004D305E"/>
    <w:rsid w:val="004D4277"/>
    <w:rsid w:val="004E1FE2"/>
    <w:rsid w:val="00502516"/>
    <w:rsid w:val="00505F06"/>
    <w:rsid w:val="00506828"/>
    <w:rsid w:val="0053056E"/>
    <w:rsid w:val="00554FDA"/>
    <w:rsid w:val="00572814"/>
    <w:rsid w:val="00586588"/>
    <w:rsid w:val="005A1F41"/>
    <w:rsid w:val="005A2CCD"/>
    <w:rsid w:val="005C784C"/>
    <w:rsid w:val="005D17F6"/>
    <w:rsid w:val="005E5539"/>
    <w:rsid w:val="00602BF5"/>
    <w:rsid w:val="0060629A"/>
    <w:rsid w:val="00617FDD"/>
    <w:rsid w:val="00633614"/>
    <w:rsid w:val="00633F68"/>
    <w:rsid w:val="00636EB2"/>
    <w:rsid w:val="006375B8"/>
    <w:rsid w:val="00650CF6"/>
    <w:rsid w:val="00663BBD"/>
    <w:rsid w:val="0066510A"/>
    <w:rsid w:val="00673F9F"/>
    <w:rsid w:val="00686953"/>
    <w:rsid w:val="00687DEA"/>
    <w:rsid w:val="00687E67"/>
    <w:rsid w:val="006967F7"/>
    <w:rsid w:val="006A250C"/>
    <w:rsid w:val="006B21D3"/>
    <w:rsid w:val="006B57D0"/>
    <w:rsid w:val="006D30FF"/>
    <w:rsid w:val="006D6940"/>
    <w:rsid w:val="006E35DE"/>
    <w:rsid w:val="006F11EC"/>
    <w:rsid w:val="0070082C"/>
    <w:rsid w:val="00722157"/>
    <w:rsid w:val="007302AF"/>
    <w:rsid w:val="007369E6"/>
    <w:rsid w:val="00746E59"/>
    <w:rsid w:val="00754C9A"/>
    <w:rsid w:val="0075599A"/>
    <w:rsid w:val="00761D52"/>
    <w:rsid w:val="00767F9F"/>
    <w:rsid w:val="0077749E"/>
    <w:rsid w:val="00790ADA"/>
    <w:rsid w:val="007D2288"/>
    <w:rsid w:val="007E088F"/>
    <w:rsid w:val="007E1677"/>
    <w:rsid w:val="007F11C5"/>
    <w:rsid w:val="007F7B32"/>
    <w:rsid w:val="00804BC2"/>
    <w:rsid w:val="00807B1E"/>
    <w:rsid w:val="008111CF"/>
    <w:rsid w:val="0081431A"/>
    <w:rsid w:val="00821F75"/>
    <w:rsid w:val="0083216F"/>
    <w:rsid w:val="00853739"/>
    <w:rsid w:val="00860000"/>
    <w:rsid w:val="00863BD3"/>
    <w:rsid w:val="008641ED"/>
    <w:rsid w:val="00866D66"/>
    <w:rsid w:val="008671C6"/>
    <w:rsid w:val="00875803"/>
    <w:rsid w:val="008B459E"/>
    <w:rsid w:val="008E13AE"/>
    <w:rsid w:val="008E1506"/>
    <w:rsid w:val="008E710C"/>
    <w:rsid w:val="008F69D6"/>
    <w:rsid w:val="00902823"/>
    <w:rsid w:val="0090625C"/>
    <w:rsid w:val="00915CA6"/>
    <w:rsid w:val="00927834"/>
    <w:rsid w:val="009500A6"/>
    <w:rsid w:val="00957C18"/>
    <w:rsid w:val="009659BA"/>
    <w:rsid w:val="00981898"/>
    <w:rsid w:val="00983040"/>
    <w:rsid w:val="009B3FB9"/>
    <w:rsid w:val="009B5A1D"/>
    <w:rsid w:val="009B7615"/>
    <w:rsid w:val="009C1AAD"/>
    <w:rsid w:val="009C2465"/>
    <w:rsid w:val="009D35A0"/>
    <w:rsid w:val="009D7EB7"/>
    <w:rsid w:val="009E048A"/>
    <w:rsid w:val="009E08E9"/>
    <w:rsid w:val="009E3DB9"/>
    <w:rsid w:val="009E6E35"/>
    <w:rsid w:val="009F0EDA"/>
    <w:rsid w:val="00A039E8"/>
    <w:rsid w:val="00A03B96"/>
    <w:rsid w:val="00A05B19"/>
    <w:rsid w:val="00A05E81"/>
    <w:rsid w:val="00A1134E"/>
    <w:rsid w:val="00A203EF"/>
    <w:rsid w:val="00A24E7E"/>
    <w:rsid w:val="00A258C3"/>
    <w:rsid w:val="00A347C0"/>
    <w:rsid w:val="00A41976"/>
    <w:rsid w:val="00A51431"/>
    <w:rsid w:val="00A539AD"/>
    <w:rsid w:val="00A60539"/>
    <w:rsid w:val="00A8055F"/>
    <w:rsid w:val="00A94063"/>
    <w:rsid w:val="00AA6219"/>
    <w:rsid w:val="00AA68EC"/>
    <w:rsid w:val="00AA74E0"/>
    <w:rsid w:val="00AB703F"/>
    <w:rsid w:val="00AC6BB8"/>
    <w:rsid w:val="00AE008F"/>
    <w:rsid w:val="00AF5D7E"/>
    <w:rsid w:val="00B01FCD"/>
    <w:rsid w:val="00B1776C"/>
    <w:rsid w:val="00B3148C"/>
    <w:rsid w:val="00B52583"/>
    <w:rsid w:val="00B52896"/>
    <w:rsid w:val="00B5734E"/>
    <w:rsid w:val="00B67B84"/>
    <w:rsid w:val="00B95236"/>
    <w:rsid w:val="00B96BD9"/>
    <w:rsid w:val="00BA1B01"/>
    <w:rsid w:val="00BA2641"/>
    <w:rsid w:val="00BB37AA"/>
    <w:rsid w:val="00BC53A0"/>
    <w:rsid w:val="00BE62AD"/>
    <w:rsid w:val="00BF121F"/>
    <w:rsid w:val="00BF1F80"/>
    <w:rsid w:val="00C03478"/>
    <w:rsid w:val="00C166EF"/>
    <w:rsid w:val="00C17EB0"/>
    <w:rsid w:val="00C27F5F"/>
    <w:rsid w:val="00C30A0F"/>
    <w:rsid w:val="00C32384"/>
    <w:rsid w:val="00C371E2"/>
    <w:rsid w:val="00C37E61"/>
    <w:rsid w:val="00C55C96"/>
    <w:rsid w:val="00C70F1B"/>
    <w:rsid w:val="00C71A47"/>
    <w:rsid w:val="00C7464C"/>
    <w:rsid w:val="00C85588"/>
    <w:rsid w:val="00CD6755"/>
    <w:rsid w:val="00CD6856"/>
    <w:rsid w:val="00CE0089"/>
    <w:rsid w:val="00CE793C"/>
    <w:rsid w:val="00CF193C"/>
    <w:rsid w:val="00D15A48"/>
    <w:rsid w:val="00D173F1"/>
    <w:rsid w:val="00D40699"/>
    <w:rsid w:val="00D416D0"/>
    <w:rsid w:val="00D74CB0"/>
    <w:rsid w:val="00D8295D"/>
    <w:rsid w:val="00DA08F4"/>
    <w:rsid w:val="00DB503A"/>
    <w:rsid w:val="00DC2A65"/>
    <w:rsid w:val="00DD507F"/>
    <w:rsid w:val="00DE15F0"/>
    <w:rsid w:val="00DE5663"/>
    <w:rsid w:val="00DE78AA"/>
    <w:rsid w:val="00E053D0"/>
    <w:rsid w:val="00E1214A"/>
    <w:rsid w:val="00E15994"/>
    <w:rsid w:val="00E27C54"/>
    <w:rsid w:val="00E307ED"/>
    <w:rsid w:val="00E3114E"/>
    <w:rsid w:val="00E31A70"/>
    <w:rsid w:val="00E35B02"/>
    <w:rsid w:val="00E36E41"/>
    <w:rsid w:val="00E66496"/>
    <w:rsid w:val="00E66B35"/>
    <w:rsid w:val="00E66E10"/>
    <w:rsid w:val="00E73988"/>
    <w:rsid w:val="00E769F6"/>
    <w:rsid w:val="00E838D8"/>
    <w:rsid w:val="00E8407C"/>
    <w:rsid w:val="00E84F3C"/>
    <w:rsid w:val="00EA012C"/>
    <w:rsid w:val="00EC0707"/>
    <w:rsid w:val="00EC12CF"/>
    <w:rsid w:val="00EC6A55"/>
    <w:rsid w:val="00ED0288"/>
    <w:rsid w:val="00ED1AA4"/>
    <w:rsid w:val="00EE52CB"/>
    <w:rsid w:val="00EF581D"/>
    <w:rsid w:val="00EF7FD8"/>
    <w:rsid w:val="00F06F59"/>
    <w:rsid w:val="00F17988"/>
    <w:rsid w:val="00F279EF"/>
    <w:rsid w:val="00F469F0"/>
    <w:rsid w:val="00F53273"/>
    <w:rsid w:val="00F755E4"/>
    <w:rsid w:val="00F77D02"/>
    <w:rsid w:val="00FA423F"/>
    <w:rsid w:val="00FA6D30"/>
    <w:rsid w:val="00FB3A86"/>
    <w:rsid w:val="00FB53B0"/>
    <w:rsid w:val="00FB7DF4"/>
    <w:rsid w:val="00FD36C8"/>
    <w:rsid w:val="00FE1D4D"/>
    <w:rsid w:val="00FE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DD97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B76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9B7615"/>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3500C3"/>
    <w:pPr>
      <w:ind w:left="720"/>
      <w:contextualSpacing/>
    </w:pPr>
  </w:style>
  <w:style w:type="paragraph" w:styleId="CommentSubject">
    <w:name w:val="annotation subject"/>
    <w:basedOn w:val="CommentText"/>
    <w:next w:val="CommentText"/>
    <w:link w:val="CommentSubjectChar"/>
    <w:semiHidden/>
    <w:unhideWhenUsed/>
    <w:rsid w:val="00C55C96"/>
    <w:rPr>
      <w:rFonts w:ascii="Helvetica" w:hAnsi="Helvetica"/>
      <w:b/>
      <w:bCs/>
      <w:lang w:val="en-US" w:eastAsia="en-US"/>
    </w:rPr>
  </w:style>
  <w:style w:type="character" w:customStyle="1" w:styleId="CommentSubjectChar">
    <w:name w:val="Comment Subject Char"/>
    <w:basedOn w:val="CommentTextChar"/>
    <w:link w:val="CommentSubject"/>
    <w:semiHidden/>
    <w:rsid w:val="00C55C96"/>
    <w:rPr>
      <w:rFonts w:ascii="Helvetica" w:hAnsi="Helvetica"/>
      <w:b/>
      <w:bCs/>
      <w:lang w:val="nb-NO" w:eastAsia="nb-NO"/>
    </w:rPr>
  </w:style>
  <w:style w:type="character" w:styleId="PlaceholderText">
    <w:name w:val="Placeholder Text"/>
    <w:basedOn w:val="DefaultParagraphFont"/>
    <w:uiPriority w:val="99"/>
    <w:semiHidden/>
    <w:rsid w:val="0060629A"/>
    <w:rPr>
      <w:color w:val="666666"/>
    </w:rPr>
  </w:style>
  <w:style w:type="paragraph" w:styleId="NormalWeb">
    <w:name w:val="Normal (Web)"/>
    <w:basedOn w:val="Normal"/>
    <w:semiHidden/>
    <w:unhideWhenUsed/>
    <w:rsid w:val="004B78C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236/acs.2019.93034"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doi.org/10.3390/su1610415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598-024-73405-9" TargetMode="External"/><Relationship Id="rId25" Type="http://schemas.openxmlformats.org/officeDocument/2006/relationships/hyperlink" Target="https://doi.org/10.1016/j.oneear.2021.05.010"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envc.2021.10035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78/jwld-2018-0032"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otexts.com/fpp3/?utm_source=chatgpt.com"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9734/AJPAS/2021/v12i330287"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su151411364" TargetMode="External"/><Relationship Id="rId27" Type="http://schemas.openxmlformats.org/officeDocument/2006/relationships/image" Target="media/image5.png"/><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CB2C2-BA63-449F-BC28-B164685B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425</TotalTime>
  <Pages>27</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75</cp:revision>
  <cp:lastPrinted>1999-07-06T11:00:00Z</cp:lastPrinted>
  <dcterms:created xsi:type="dcterms:W3CDTF">2014-10-25T14:34:00Z</dcterms:created>
  <dcterms:modified xsi:type="dcterms:W3CDTF">2025-12-05T07:37:00Z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748bc01f-3e60-4434-af79-0e94d0d95051</vt:lpwstr>
  </property>
</Properties>
</file>