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50242" w14:textId="2EE0E13C" w:rsidR="00A258C3" w:rsidRDefault="00C54EBE" w:rsidP="00CC4ACC">
      <w:pPr>
        <w:pStyle w:val="Author"/>
        <w:spacing w:line="240" w:lineRule="auto"/>
        <w:rPr>
          <w:rFonts w:ascii="Arial" w:hAnsi="Arial" w:cs="Arial"/>
          <w:sz w:val="36"/>
        </w:rPr>
      </w:pPr>
      <w:r w:rsidRPr="00C54EBE">
        <w:rPr>
          <w:rFonts w:ascii="Arial" w:hAnsi="Arial" w:cs="Arial"/>
          <w:sz w:val="36"/>
        </w:rPr>
        <w:t>Precision Neurorehabilitation: Integrating Biomarkers, Neuroimaging</w:t>
      </w:r>
      <w:r w:rsidR="001E7774">
        <w:rPr>
          <w:rFonts w:ascii="Arial" w:hAnsi="Arial" w:cs="Arial"/>
          <w:sz w:val="36"/>
        </w:rPr>
        <w:t xml:space="preserve"> </w:t>
      </w:r>
      <w:r w:rsidRPr="00C54EBE">
        <w:rPr>
          <w:rFonts w:ascii="Arial" w:hAnsi="Arial" w:cs="Arial"/>
          <w:sz w:val="36"/>
        </w:rPr>
        <w:t>and AI for Personalized Therapy</w:t>
      </w:r>
    </w:p>
    <w:p w14:paraId="2D1367BA" w14:textId="77777777" w:rsidR="00CC4ACC" w:rsidRPr="00790ADA" w:rsidRDefault="00CC4ACC" w:rsidP="00CC4ACC">
      <w:pPr>
        <w:pStyle w:val="Author"/>
        <w:spacing w:line="240" w:lineRule="auto"/>
        <w:rPr>
          <w:rFonts w:ascii="Arial" w:hAnsi="Arial" w:cs="Arial"/>
          <w:sz w:val="36"/>
        </w:rPr>
      </w:pPr>
    </w:p>
    <w:p w14:paraId="1E4E9281" w14:textId="77777777" w:rsidR="00D75C23" w:rsidRDefault="00D75C23" w:rsidP="00D75C23">
      <w:pPr>
        <w:pStyle w:val="Affiliation"/>
        <w:spacing w:after="0" w:line="240" w:lineRule="auto"/>
        <w:rPr>
          <w:rFonts w:ascii="Arial" w:hAnsi="Arial" w:cs="Arial"/>
        </w:rPr>
      </w:pPr>
    </w:p>
    <w:p w14:paraId="7ECF9AED" w14:textId="77777777" w:rsidR="002C57D2" w:rsidRPr="00FB3A86" w:rsidRDefault="002C57D2" w:rsidP="00441B6F">
      <w:pPr>
        <w:pStyle w:val="Affiliation"/>
        <w:spacing w:after="0" w:line="240" w:lineRule="auto"/>
        <w:jc w:val="both"/>
        <w:rPr>
          <w:rFonts w:ascii="Arial" w:hAnsi="Arial" w:cs="Arial"/>
        </w:rPr>
      </w:pPr>
    </w:p>
    <w:p w14:paraId="7D776DE8" w14:textId="77777777" w:rsidR="00B01FCD" w:rsidRPr="00FB3A86" w:rsidRDefault="008F6A37" w:rsidP="00441B6F">
      <w:pPr>
        <w:pStyle w:val="Copyright"/>
        <w:spacing w:after="0" w:line="240" w:lineRule="auto"/>
        <w:jc w:val="both"/>
        <w:rPr>
          <w:rFonts w:ascii="Arial" w:hAnsi="Arial" w:cs="Arial"/>
        </w:rPr>
        <w:sectPr w:rsidR="00B01FCD" w:rsidRPr="00FB3A86" w:rsidSect="00A3482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CD8C5C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9C0483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9ED48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667A902" w14:textId="77777777" w:rsidTr="00EF7692">
        <w:tc>
          <w:tcPr>
            <w:tcW w:w="9576" w:type="dxa"/>
            <w:shd w:val="clear" w:color="auto" w:fill="F2F2F2"/>
          </w:tcPr>
          <w:p w14:paraId="5F6FF394" w14:textId="0D85D9A0" w:rsidR="002E014F" w:rsidRDefault="002E014F" w:rsidP="002E014F">
            <w:pPr>
              <w:jc w:val="both"/>
            </w:pPr>
            <w:r w:rsidRPr="004455C8">
              <w:rPr>
                <w:b/>
                <w:bCs/>
              </w:rPr>
              <w:t>Introduction:</w:t>
            </w:r>
            <w:r w:rsidRPr="004455C8">
              <w:t xml:space="preserve"> Precision neurorehabilitation represents a fundamental paradigm shift away from standardized, protocol-driven treatment toward dynamically adaptive therapies tailored to the unique biological and functional profiles of individual patients. The recognized high degree of heterogeneity in structural injury, recovery mechanisms, and functional outcomes following central nervous system (CNS) insults such as stroke, traumatic brain injury (TBI), and multiple sclerosis (MS) necessitates this personalized approach.   </w:t>
            </w:r>
          </w:p>
          <w:p w14:paraId="62FA952E" w14:textId="77777777" w:rsidR="002E014F" w:rsidRPr="004455C8" w:rsidRDefault="002E014F" w:rsidP="002E014F">
            <w:pPr>
              <w:jc w:val="both"/>
            </w:pPr>
          </w:p>
          <w:p w14:paraId="64E06262" w14:textId="4239FF8B" w:rsidR="002E014F" w:rsidRDefault="002E014F" w:rsidP="002E014F">
            <w:pPr>
              <w:jc w:val="both"/>
            </w:pPr>
            <w:r w:rsidRPr="004455C8">
              <w:rPr>
                <w:b/>
                <w:bCs/>
              </w:rPr>
              <w:t>Objectives &amp; Scope:</w:t>
            </w:r>
            <w:r w:rsidRPr="004455C8">
              <w:t xml:space="preserve"> This narrative review synthesizes the current advancements and critical challenges across three interconnected domains: neurobiological biomarkers (electrophysiological, molecular, and digital), advanced neuroimaging (Diffusion Tensor Imaging, functional Magnetic Resonance Imaging, and </w:t>
            </w:r>
            <w:proofErr w:type="spellStart"/>
            <w:r w:rsidRPr="004455C8">
              <w:t>connectomics</w:t>
            </w:r>
            <w:proofErr w:type="spellEnd"/>
            <w:r w:rsidRPr="004455C8">
              <w:t>), and computational intelligence (Artificial Intelligence [AI] and causal modeling).</w:t>
            </w:r>
          </w:p>
          <w:p w14:paraId="460D5EAC" w14:textId="77777777" w:rsidR="002E014F" w:rsidRPr="004455C8" w:rsidRDefault="002E014F" w:rsidP="002E014F">
            <w:pPr>
              <w:jc w:val="both"/>
            </w:pPr>
          </w:p>
          <w:p w14:paraId="0F2B3FD7" w14:textId="09F5CAE6" w:rsidR="002E014F" w:rsidRDefault="002E014F" w:rsidP="002E014F">
            <w:pPr>
              <w:jc w:val="both"/>
            </w:pPr>
            <w:r w:rsidRPr="004455C8">
              <w:rPr>
                <w:b/>
                <w:bCs/>
              </w:rPr>
              <w:t>Synthesis Approach:</w:t>
            </w:r>
            <w:r w:rsidRPr="004455C8">
              <w:t xml:space="preserve"> The methodology involved a systematic synthesis of high-quality literature and key conceptual frameworks, consistent with the transparency guidelines of PRISMA </w:t>
            </w:r>
            <w:proofErr w:type="gramStart"/>
            <w:r w:rsidRPr="004455C8">
              <w:t>2020 ,</w:t>
            </w:r>
            <w:proofErr w:type="gramEnd"/>
            <w:r w:rsidRPr="004455C8">
              <w:t xml:space="preserve"> to build a comprehensive framework focused on multi-modal data fusion. This approach specifically analyzed the application of sophisticated </w:t>
            </w:r>
            <w:r w:rsidRPr="004455C8">
              <w:rPr>
                <w:b/>
                <w:bCs/>
              </w:rPr>
              <w:t>causal models</w:t>
            </w:r>
            <w:r w:rsidRPr="004455C8">
              <w:t xml:space="preserve"> (Digital Twins) to identify the </w:t>
            </w:r>
            <w:r w:rsidRPr="004455C8">
              <w:rPr>
                <w:b/>
                <w:bCs/>
              </w:rPr>
              <w:t>Optimal Dynamic Treatment Regimens (ODTR)</w:t>
            </w:r>
            <w:r w:rsidRPr="004455C8">
              <w:t xml:space="preserve">.   </w:t>
            </w:r>
          </w:p>
          <w:p w14:paraId="357587F0" w14:textId="77777777" w:rsidR="002E014F" w:rsidRPr="004455C8" w:rsidRDefault="002E014F" w:rsidP="002E014F">
            <w:pPr>
              <w:jc w:val="both"/>
            </w:pPr>
          </w:p>
          <w:p w14:paraId="093CE6B6" w14:textId="78ECC65E" w:rsidR="002E014F" w:rsidRDefault="002E014F" w:rsidP="002E014F">
            <w:pPr>
              <w:jc w:val="both"/>
            </w:pPr>
            <w:r w:rsidRPr="004455C8">
              <w:rPr>
                <w:b/>
                <w:bCs/>
              </w:rPr>
              <w:t>Key Findings &amp; Gaps:</w:t>
            </w:r>
            <w:r w:rsidRPr="004455C8">
              <w:t xml:space="preserve"> The synthesis confirms the predictive value of key neurobiological markers (e.g., EEG signatures, Neurofilament Light Chain [NFL]) and highlights the crucial role of AI in transforming prognostic data into prescriptive therapeutic policy. However, significant translational gaps persist, including the fragmentation of clinical data, the urgent need for standardized intervention </w:t>
            </w:r>
            <w:proofErr w:type="gramStart"/>
            <w:r w:rsidRPr="004455C8">
              <w:t>documentation ,</w:t>
            </w:r>
            <w:proofErr w:type="gramEnd"/>
            <w:r w:rsidRPr="004455C8">
              <w:t xml:space="preserve"> and critical ethical and equity concerns. Algorithmic bias in deep learning models limits </w:t>
            </w:r>
            <w:proofErr w:type="gramStart"/>
            <w:r w:rsidRPr="004455C8">
              <w:t>generalizability ,</w:t>
            </w:r>
            <w:proofErr w:type="gramEnd"/>
            <w:r w:rsidRPr="004455C8">
              <w:t xml:space="preserve"> and the governance of adaptive, real-time closed-loop systems demands reflexive ethical oversight that extends well beyond current procedural compliance.   </w:t>
            </w:r>
          </w:p>
          <w:p w14:paraId="2E830F97" w14:textId="77777777" w:rsidR="002E014F" w:rsidRPr="004455C8" w:rsidRDefault="002E014F" w:rsidP="002E014F">
            <w:pPr>
              <w:jc w:val="both"/>
            </w:pPr>
          </w:p>
          <w:p w14:paraId="0702EDC1" w14:textId="39D2F1A8" w:rsidR="00505F06" w:rsidRPr="002E014F" w:rsidRDefault="002E014F" w:rsidP="002E014F">
            <w:pPr>
              <w:jc w:val="both"/>
            </w:pPr>
            <w:r w:rsidRPr="004455C8">
              <w:rPr>
                <w:b/>
                <w:bCs/>
              </w:rPr>
              <w:t>Conclusion:</w:t>
            </w:r>
            <w:r w:rsidRPr="004455C8">
              <w:t xml:space="preserve"> Future success hinges on adopting unified research frameworks and prioritizing the equitable, mechanism-driven development of neuroadaptive rehabilitation systems.</w:t>
            </w:r>
          </w:p>
        </w:tc>
      </w:tr>
    </w:tbl>
    <w:p w14:paraId="21CB656E" w14:textId="77777777" w:rsidR="00636EB2" w:rsidRDefault="00636EB2" w:rsidP="00441B6F">
      <w:pPr>
        <w:pStyle w:val="Body"/>
        <w:spacing w:after="0"/>
        <w:rPr>
          <w:rFonts w:ascii="Arial" w:hAnsi="Arial" w:cs="Arial"/>
          <w:i/>
        </w:rPr>
      </w:pPr>
    </w:p>
    <w:p w14:paraId="12FEED2D" w14:textId="5D22B74D" w:rsidR="00A03B96" w:rsidRPr="004C7ECA" w:rsidRDefault="00A24E7E" w:rsidP="00441B6F">
      <w:pPr>
        <w:pStyle w:val="Body"/>
        <w:spacing w:after="0"/>
        <w:rPr>
          <w:rFonts w:ascii="Arial" w:hAnsi="Arial" w:cs="Arial"/>
          <w:i/>
        </w:rPr>
      </w:pPr>
      <w:r>
        <w:rPr>
          <w:rFonts w:ascii="Arial" w:hAnsi="Arial" w:cs="Arial"/>
          <w:i/>
        </w:rPr>
        <w:t xml:space="preserve">Keywords: </w:t>
      </w:r>
      <w:r w:rsidR="00F82DA8">
        <w:rPr>
          <w:rFonts w:ascii="Arial" w:hAnsi="Arial" w:cs="Arial"/>
          <w:i/>
        </w:rPr>
        <w:t xml:space="preserve">Neurological Rehabilitation, Precision neurorehabilitation, </w:t>
      </w:r>
      <w:proofErr w:type="spellStart"/>
      <w:r w:rsidR="00F82DA8">
        <w:rPr>
          <w:rFonts w:ascii="Arial" w:hAnsi="Arial" w:cs="Arial"/>
          <w:i/>
        </w:rPr>
        <w:t>Connectomics</w:t>
      </w:r>
      <w:proofErr w:type="spellEnd"/>
      <w:r w:rsidR="00F82DA8">
        <w:rPr>
          <w:rFonts w:ascii="Arial" w:hAnsi="Arial" w:cs="Arial"/>
          <w:i/>
        </w:rPr>
        <w:t xml:space="preserve">, Biomarkers, EEG, </w:t>
      </w:r>
      <w:r w:rsidR="002E014F">
        <w:rPr>
          <w:rFonts w:ascii="Arial" w:hAnsi="Arial" w:cs="Arial"/>
          <w:i/>
        </w:rPr>
        <w:t>fMRI</w:t>
      </w:r>
    </w:p>
    <w:p w14:paraId="58DDA45F" w14:textId="77777777" w:rsidR="00A03B96" w:rsidRDefault="00A03B96" w:rsidP="00441B6F">
      <w:pPr>
        <w:pStyle w:val="Body"/>
        <w:spacing w:after="0"/>
        <w:rPr>
          <w:rFonts w:ascii="Arial" w:hAnsi="Arial" w:cs="Arial"/>
        </w:rPr>
      </w:pPr>
    </w:p>
    <w:p w14:paraId="659A427B" w14:textId="77777777" w:rsidR="001E7774" w:rsidRDefault="004C7ECA" w:rsidP="004C7ECA">
      <w:pPr>
        <w:pStyle w:val="Body"/>
        <w:numPr>
          <w:ilvl w:val="0"/>
          <w:numId w:val="39"/>
        </w:numPr>
        <w:spacing w:after="0"/>
        <w:jc w:val="left"/>
        <w:rPr>
          <w:rFonts w:ascii="Arial" w:hAnsi="Arial" w:cs="Arial"/>
          <w:b/>
          <w:bCs/>
          <w:sz w:val="24"/>
          <w:szCs w:val="24"/>
        </w:rPr>
      </w:pPr>
      <w:bookmarkStart w:id="0" w:name="_Toc256000096"/>
      <w:r w:rsidRPr="00E32F84">
        <w:rPr>
          <w:rFonts w:ascii="Arial" w:hAnsi="Arial" w:cs="Arial"/>
          <w:b/>
          <w:bCs/>
          <w:sz w:val="24"/>
          <w:szCs w:val="24"/>
        </w:rPr>
        <w:t xml:space="preserve">Introduction: </w:t>
      </w:r>
    </w:p>
    <w:p w14:paraId="49F7C639" w14:textId="17296EBD" w:rsidR="004C7ECA" w:rsidRDefault="004C7ECA" w:rsidP="001E7774">
      <w:pPr>
        <w:pStyle w:val="Body"/>
        <w:numPr>
          <w:ilvl w:val="1"/>
          <w:numId w:val="46"/>
        </w:numPr>
        <w:spacing w:after="0"/>
        <w:jc w:val="left"/>
        <w:rPr>
          <w:rFonts w:ascii="Arial" w:hAnsi="Arial" w:cs="Arial"/>
          <w:b/>
          <w:bCs/>
          <w:sz w:val="24"/>
          <w:szCs w:val="24"/>
        </w:rPr>
      </w:pPr>
      <w:r w:rsidRPr="00E32F84">
        <w:rPr>
          <w:rFonts w:ascii="Arial" w:hAnsi="Arial" w:cs="Arial"/>
          <w:b/>
          <w:bCs/>
          <w:sz w:val="24"/>
          <w:szCs w:val="24"/>
        </w:rPr>
        <w:t>The Neuroscientific Imperative for Personalization</w:t>
      </w:r>
      <w:bookmarkEnd w:id="0"/>
    </w:p>
    <w:p w14:paraId="417C6042" w14:textId="77777777" w:rsidR="00E32F84" w:rsidRPr="00E32F84" w:rsidRDefault="00E32F84" w:rsidP="00E32F84">
      <w:pPr>
        <w:pStyle w:val="Body"/>
        <w:spacing w:after="0"/>
        <w:ind w:left="720"/>
        <w:jc w:val="left"/>
        <w:rPr>
          <w:rFonts w:ascii="Arial" w:hAnsi="Arial" w:cs="Arial"/>
          <w:b/>
          <w:bCs/>
          <w:sz w:val="24"/>
          <w:szCs w:val="24"/>
        </w:rPr>
      </w:pPr>
    </w:p>
    <w:p w14:paraId="5B859EDD" w14:textId="77777777" w:rsidR="004C7ECA" w:rsidRPr="004C7ECA" w:rsidRDefault="004C7ECA" w:rsidP="004C7ECA">
      <w:pPr>
        <w:pStyle w:val="Body"/>
        <w:rPr>
          <w:rFonts w:ascii="Arial" w:hAnsi="Arial" w:cs="Arial"/>
        </w:rPr>
      </w:pPr>
      <w:r w:rsidRPr="004C7ECA">
        <w:rPr>
          <w:rFonts w:ascii="Arial" w:hAnsi="Arial" w:cs="Arial"/>
        </w:rPr>
        <w:t xml:space="preserve">The traditional model of neurorehabilitation relies heavily on standardized protocols defined by general diagnostic categories (e.g., stroke) and the chronicity of the injury. While effective </w:t>
      </w:r>
      <w:r w:rsidRPr="004C7ECA">
        <w:rPr>
          <w:rFonts w:ascii="Arial" w:hAnsi="Arial" w:cs="Arial"/>
        </w:rPr>
        <w:lastRenderedPageBreak/>
        <w:t>for population averages, this approach fails to account for the profound biological and structural heterogeneity that characterizes CNS recovery. The central nervous system (CNS) possesses an inherent capacity for plasticity, involving complex networks of neurons and synapses collectively termed "</w:t>
      </w:r>
      <w:proofErr w:type="spellStart"/>
      <w:r w:rsidRPr="004C7ECA">
        <w:rPr>
          <w:rFonts w:ascii="Arial" w:hAnsi="Arial" w:cs="Arial"/>
        </w:rPr>
        <w:t>heksors</w:t>
      </w:r>
      <w:proofErr w:type="spellEnd"/>
      <w:r w:rsidRPr="004C7ECA">
        <w:rPr>
          <w:rFonts w:ascii="Arial" w:hAnsi="Arial" w:cs="Arial"/>
        </w:rPr>
        <w:t>" responsible for skilled behaviors</w:t>
      </w:r>
      <w:hyperlink r:id="rId14" w:anchor="b2d0c16ec13631f8ad88ec96fe02c0ca_ref" w:history="1">
        <w:r w:rsidRPr="004C7ECA">
          <w:rPr>
            <w:rStyle w:val="Hyperlink"/>
            <w:rFonts w:ascii="Arial" w:hAnsi="Arial" w:cs="Arial"/>
          </w:rPr>
          <w:t xml:space="preserve">(Hummel &amp; Cohen, 2005; Johnston, 2009; </w:t>
        </w:r>
        <w:proofErr w:type="spellStart"/>
        <w:r w:rsidRPr="004C7ECA">
          <w:rPr>
            <w:rStyle w:val="Hyperlink"/>
            <w:rFonts w:ascii="Arial" w:hAnsi="Arial" w:cs="Arial"/>
          </w:rPr>
          <w:t>Wolpaw</w:t>
        </w:r>
        <w:proofErr w:type="spellEnd"/>
        <w:r w:rsidRPr="004C7ECA">
          <w:rPr>
            <w:rStyle w:val="Hyperlink"/>
            <w:rFonts w:ascii="Arial" w:hAnsi="Arial" w:cs="Arial"/>
          </w:rPr>
          <w:t xml:space="preserve"> &amp; </w:t>
        </w:r>
        <w:proofErr w:type="spellStart"/>
        <w:r w:rsidRPr="004C7ECA">
          <w:rPr>
            <w:rStyle w:val="Hyperlink"/>
            <w:rFonts w:ascii="Arial" w:hAnsi="Arial" w:cs="Arial"/>
          </w:rPr>
          <w:t>Kamesar</w:t>
        </w:r>
        <w:proofErr w:type="spellEnd"/>
        <w:r w:rsidRPr="004C7ECA">
          <w:rPr>
            <w:rStyle w:val="Hyperlink"/>
            <w:rFonts w:ascii="Arial" w:hAnsi="Arial" w:cs="Arial"/>
          </w:rPr>
          <w:t>, 2022)</w:t>
        </w:r>
      </w:hyperlink>
      <w:r w:rsidRPr="004C7ECA">
        <w:rPr>
          <w:rFonts w:ascii="Arial" w:hAnsi="Arial" w:cs="Arial"/>
        </w:rPr>
        <w:t xml:space="preserve">. The goal of modern neurorehabilitation is to harness this plasticity by targeting beneficial changes in damaged </w:t>
      </w:r>
      <w:proofErr w:type="spellStart"/>
      <w:r w:rsidRPr="004C7ECA">
        <w:rPr>
          <w:rFonts w:ascii="Arial" w:hAnsi="Arial" w:cs="Arial"/>
        </w:rPr>
        <w:t>heksors</w:t>
      </w:r>
      <w:proofErr w:type="spellEnd"/>
      <w:r w:rsidRPr="004C7ECA">
        <w:rPr>
          <w:rFonts w:ascii="Arial" w:hAnsi="Arial" w:cs="Arial"/>
        </w:rPr>
        <w:t xml:space="preserve"> through skilled, noninvasive interventions. To maximize the efficacy of targeted plasticity, interventions must be individualized.</w:t>
      </w:r>
    </w:p>
    <w:p w14:paraId="302C6ACA" w14:textId="6495D355" w:rsidR="004C7ECA" w:rsidRPr="00E32F84" w:rsidRDefault="00E32F84" w:rsidP="00E32F84">
      <w:pPr>
        <w:pStyle w:val="Body"/>
        <w:spacing w:after="0"/>
        <w:rPr>
          <w:rFonts w:ascii="Arial" w:hAnsi="Arial" w:cs="Arial"/>
          <w:b/>
          <w:bCs/>
          <w:sz w:val="22"/>
          <w:szCs w:val="22"/>
        </w:rPr>
      </w:pPr>
      <w:bookmarkStart w:id="1" w:name="_Toc256000097"/>
      <w:r w:rsidRPr="00E32F84">
        <w:rPr>
          <w:rFonts w:ascii="Arial" w:hAnsi="Arial" w:cs="Arial"/>
          <w:b/>
          <w:bCs/>
          <w:sz w:val="22"/>
          <w:szCs w:val="22"/>
        </w:rPr>
        <w:t>1.</w:t>
      </w:r>
      <w:r w:rsidR="001E7774">
        <w:rPr>
          <w:rFonts w:ascii="Arial" w:hAnsi="Arial" w:cs="Arial"/>
          <w:b/>
          <w:bCs/>
          <w:sz w:val="22"/>
          <w:szCs w:val="22"/>
        </w:rPr>
        <w:t>2</w:t>
      </w:r>
      <w:r w:rsidRPr="00E32F84">
        <w:rPr>
          <w:rFonts w:ascii="Arial" w:hAnsi="Arial" w:cs="Arial"/>
          <w:b/>
          <w:bCs/>
          <w:sz w:val="22"/>
          <w:szCs w:val="22"/>
        </w:rPr>
        <w:t xml:space="preserve"> </w:t>
      </w:r>
      <w:r w:rsidR="004C7ECA" w:rsidRPr="00E32F84">
        <w:rPr>
          <w:rFonts w:ascii="Arial" w:hAnsi="Arial" w:cs="Arial"/>
          <w:b/>
          <w:bCs/>
          <w:sz w:val="22"/>
          <w:szCs w:val="22"/>
        </w:rPr>
        <w:t>The Rationale for Precision Medicine in Neuro Recovery</w:t>
      </w:r>
      <w:bookmarkEnd w:id="1"/>
    </w:p>
    <w:p w14:paraId="33098D71" w14:textId="77777777" w:rsidR="004C7ECA" w:rsidRPr="004C7ECA" w:rsidRDefault="004C7ECA" w:rsidP="004C7ECA">
      <w:pPr>
        <w:pStyle w:val="Body"/>
        <w:rPr>
          <w:rFonts w:ascii="Arial" w:hAnsi="Arial" w:cs="Arial"/>
        </w:rPr>
      </w:pPr>
      <w:r w:rsidRPr="004C7ECA">
        <w:rPr>
          <w:rFonts w:ascii="Arial" w:hAnsi="Arial" w:cs="Arial"/>
        </w:rPr>
        <w:t>Precision medicine is defined as tailoring treatment to the individual patient based on a stratification of unique disease mechanisms and recovery potential</w:t>
      </w:r>
      <w:hyperlink r:id="rId15" w:anchor="ef5891b8920f34b381908be34b1f5007_ref" w:history="1">
        <w:r w:rsidRPr="004C7ECA">
          <w:rPr>
            <w:rStyle w:val="Hyperlink"/>
            <w:rFonts w:ascii="Arial" w:hAnsi="Arial" w:cs="Arial"/>
          </w:rPr>
          <w:t>(Mito et al., 2025)</w:t>
        </w:r>
      </w:hyperlink>
      <w:r w:rsidRPr="004C7ECA">
        <w:rPr>
          <w:rFonts w:ascii="Arial" w:hAnsi="Arial" w:cs="Arial"/>
        </w:rPr>
        <w:t>. In neurorehabilitation, this shift is compelled by the vast variability in patient outcomes. Two patients with ostensibly similar lesion volumes or clinical scores may exhibit markedly different recovery trajectories, influenced by unmeasured biological, genetic, or connectivity factors. This variability indicates that recovery is not linearly proportional to the extent of injury but is instead governed by complex, non-linear network dynamics and biological factors, including inflammatory state and genetic predisposition</w:t>
      </w:r>
      <w:hyperlink r:id="rId16" w:anchor="3f6f11f7125e3cf4b78bfed7c7c2e575_ref" w:history="1">
        <w:r w:rsidRPr="004C7ECA">
          <w:rPr>
            <w:rStyle w:val="Hyperlink"/>
            <w:rFonts w:ascii="Arial" w:hAnsi="Arial" w:cs="Arial"/>
          </w:rPr>
          <w:t xml:space="preserve">(Baxendale et al., 2019; Cortes &amp; </w:t>
        </w:r>
        <w:proofErr w:type="spellStart"/>
        <w:r w:rsidRPr="004C7ECA">
          <w:rPr>
            <w:rStyle w:val="Hyperlink"/>
            <w:rFonts w:ascii="Arial" w:hAnsi="Arial" w:cs="Arial"/>
          </w:rPr>
          <w:t>Pera</w:t>
        </w:r>
        <w:proofErr w:type="spellEnd"/>
        <w:r w:rsidRPr="004C7ECA">
          <w:rPr>
            <w:rStyle w:val="Hyperlink"/>
            <w:rFonts w:ascii="Arial" w:hAnsi="Arial" w:cs="Arial"/>
          </w:rPr>
          <w:t>, 2021; Lin et al., 2022)</w:t>
        </w:r>
      </w:hyperlink>
      <w:r w:rsidRPr="004C7ECA">
        <w:rPr>
          <w:rFonts w:ascii="Arial" w:hAnsi="Arial" w:cs="Arial"/>
        </w:rPr>
        <w:t>.</w:t>
      </w:r>
    </w:p>
    <w:p w14:paraId="1083FB86" w14:textId="46E1A252" w:rsidR="004C7ECA" w:rsidRPr="00E32F84" w:rsidRDefault="00E32F84" w:rsidP="00E32F84">
      <w:pPr>
        <w:pStyle w:val="Body"/>
        <w:spacing w:after="0"/>
        <w:rPr>
          <w:rFonts w:ascii="Arial" w:hAnsi="Arial" w:cs="Arial"/>
          <w:b/>
          <w:bCs/>
          <w:sz w:val="22"/>
          <w:szCs w:val="22"/>
        </w:rPr>
      </w:pPr>
      <w:bookmarkStart w:id="2" w:name="_Toc256000098"/>
      <w:r w:rsidRPr="00E32F84">
        <w:rPr>
          <w:rFonts w:ascii="Arial" w:hAnsi="Arial" w:cs="Arial"/>
          <w:b/>
          <w:bCs/>
          <w:sz w:val="22"/>
          <w:szCs w:val="22"/>
        </w:rPr>
        <w:t>1.</w:t>
      </w:r>
      <w:r w:rsidR="001E7774">
        <w:rPr>
          <w:rFonts w:ascii="Arial" w:hAnsi="Arial" w:cs="Arial"/>
          <w:b/>
          <w:bCs/>
          <w:sz w:val="22"/>
          <w:szCs w:val="22"/>
        </w:rPr>
        <w:t>3</w:t>
      </w:r>
      <w:r w:rsidRPr="00E32F84">
        <w:rPr>
          <w:rFonts w:ascii="Arial" w:hAnsi="Arial" w:cs="Arial"/>
          <w:b/>
          <w:bCs/>
          <w:sz w:val="22"/>
          <w:szCs w:val="22"/>
        </w:rPr>
        <w:t xml:space="preserve"> </w:t>
      </w:r>
      <w:r w:rsidR="004C7ECA" w:rsidRPr="00E32F84">
        <w:rPr>
          <w:rFonts w:ascii="Arial" w:hAnsi="Arial" w:cs="Arial"/>
          <w:b/>
          <w:bCs/>
          <w:sz w:val="22"/>
          <w:szCs w:val="22"/>
        </w:rPr>
        <w:t>Current Clinical Challenges That Personalized Models Can Solve</w:t>
      </w:r>
      <w:bookmarkEnd w:id="2"/>
    </w:p>
    <w:p w14:paraId="3255047E" w14:textId="77777777" w:rsidR="004C7ECA" w:rsidRPr="004C7ECA" w:rsidRDefault="004C7ECA" w:rsidP="004C7ECA">
      <w:pPr>
        <w:pStyle w:val="Body"/>
        <w:rPr>
          <w:rFonts w:ascii="Arial" w:hAnsi="Arial" w:cs="Arial"/>
        </w:rPr>
      </w:pPr>
      <w:r w:rsidRPr="004C7ECA">
        <w:rPr>
          <w:rFonts w:ascii="Arial" w:hAnsi="Arial" w:cs="Arial"/>
        </w:rPr>
        <w:t>Current clinical challenges stem primarily from the difficulty in accurately predicting which patients will respond to a given therapy and, critically, how to optimize the dosage and timing of that therapy</w:t>
      </w:r>
      <w:hyperlink r:id="rId17" w:anchor="258546bde473373297d09ead8ff560f1_ref" w:history="1">
        <w:r w:rsidRPr="004C7ECA">
          <w:rPr>
            <w:rStyle w:val="Hyperlink"/>
            <w:rFonts w:ascii="Arial" w:hAnsi="Arial" w:cs="Arial"/>
          </w:rPr>
          <w:t>(Ahmed, 2022)</w:t>
        </w:r>
      </w:hyperlink>
      <w:r w:rsidRPr="004C7ECA">
        <w:rPr>
          <w:rFonts w:ascii="Arial" w:hAnsi="Arial" w:cs="Arial"/>
        </w:rPr>
        <w:t>. Standardized protocols inevitably lead to large populations of non-responders, wasting valuable healthcare resources and limiting patient function. The manual processing of vast quantities of multi-scale patient data—medical history, injury type, behavioral metrics, and lifestyle factors—is beyond human capacity</w:t>
      </w:r>
      <w:hyperlink r:id="rId18" w:anchor="2c8a1f391ca93b4eac46a67a34d669f7_ref" w:history="1">
        <w:r w:rsidRPr="004C7ECA">
          <w:rPr>
            <w:rStyle w:val="Hyperlink"/>
            <w:rFonts w:ascii="Arial" w:hAnsi="Arial" w:cs="Arial"/>
          </w:rPr>
          <w:t>(</w:t>
        </w:r>
        <w:proofErr w:type="spellStart"/>
        <w:r w:rsidRPr="004C7ECA">
          <w:rPr>
            <w:rStyle w:val="Hyperlink"/>
            <w:rFonts w:ascii="Arial" w:hAnsi="Arial" w:cs="Arial"/>
          </w:rPr>
          <w:t>Broggi</w:t>
        </w:r>
        <w:proofErr w:type="spellEnd"/>
        <w:r w:rsidRPr="004C7ECA">
          <w:rPr>
            <w:rStyle w:val="Hyperlink"/>
            <w:rFonts w:ascii="Arial" w:hAnsi="Arial" w:cs="Arial"/>
          </w:rPr>
          <w:t xml:space="preserve"> et al., 2024; Popa et al., 2024)</w:t>
        </w:r>
      </w:hyperlink>
      <w:r w:rsidRPr="004C7ECA">
        <w:rPr>
          <w:rFonts w:ascii="Arial" w:hAnsi="Arial" w:cs="Arial"/>
        </w:rPr>
        <w:t>.</w:t>
      </w:r>
    </w:p>
    <w:p w14:paraId="029A3430" w14:textId="77777777" w:rsidR="004C7ECA" w:rsidRPr="004C7ECA" w:rsidRDefault="004C7ECA" w:rsidP="004C7ECA">
      <w:pPr>
        <w:pStyle w:val="Body"/>
        <w:rPr>
          <w:rFonts w:ascii="Arial" w:hAnsi="Arial" w:cs="Arial"/>
        </w:rPr>
      </w:pPr>
      <w:r w:rsidRPr="004C7ECA">
        <w:rPr>
          <w:rFonts w:ascii="Arial" w:hAnsi="Arial" w:cs="Arial"/>
        </w:rPr>
        <w:t>AI provides the necessary computational layer to manage this complexity. By processing heterogeneous data volumes, AI systems can detect nuanced patterns and predict rehabilitation outcomes that are often invisible to the unaided clinician. Furthermore, when AI is integrated with innovative technologies, such as robotics and virtual reality, it facilitates the creation of customized programs tailored to each patient, thus optimizing motor recovery</w:t>
      </w:r>
      <w:hyperlink r:id="rId19" w:anchor="53b2a2d732d13d6ea9c7f49c9015e961_ref" w:history="1">
        <w:r w:rsidRPr="004C7ECA">
          <w:rPr>
            <w:rStyle w:val="Hyperlink"/>
            <w:rFonts w:ascii="Arial" w:hAnsi="Arial" w:cs="Arial"/>
          </w:rPr>
          <w:t>(Kim et al., 2020; Rasa, 2024)</w:t>
        </w:r>
      </w:hyperlink>
      <w:r w:rsidRPr="004C7ECA">
        <w:rPr>
          <w:rFonts w:ascii="Arial" w:hAnsi="Arial" w:cs="Arial"/>
        </w:rPr>
        <w:t>. This shift transforms rehabilitation from an empirically driven practice to a data-driven, prescriptive science.</w:t>
      </w:r>
    </w:p>
    <w:p w14:paraId="70D0C3D1" w14:textId="48DBD3EB" w:rsidR="004C7ECA" w:rsidRPr="00E32F84" w:rsidRDefault="00E32F84" w:rsidP="00E32F84">
      <w:pPr>
        <w:pStyle w:val="Body"/>
        <w:spacing w:after="0"/>
        <w:rPr>
          <w:rFonts w:ascii="Arial" w:hAnsi="Arial" w:cs="Arial"/>
          <w:b/>
          <w:bCs/>
          <w:sz w:val="22"/>
          <w:szCs w:val="22"/>
        </w:rPr>
      </w:pPr>
      <w:bookmarkStart w:id="3" w:name="_Toc256000099"/>
      <w:r w:rsidRPr="00E32F84">
        <w:rPr>
          <w:rFonts w:ascii="Arial" w:hAnsi="Arial" w:cs="Arial"/>
          <w:b/>
          <w:bCs/>
          <w:sz w:val="22"/>
          <w:szCs w:val="22"/>
        </w:rPr>
        <w:t>1.</w:t>
      </w:r>
      <w:r w:rsidR="001E7774">
        <w:rPr>
          <w:rFonts w:ascii="Arial" w:hAnsi="Arial" w:cs="Arial"/>
          <w:b/>
          <w:bCs/>
          <w:sz w:val="22"/>
          <w:szCs w:val="22"/>
        </w:rPr>
        <w:t>4</w:t>
      </w:r>
      <w:r w:rsidRPr="00E32F84">
        <w:rPr>
          <w:rFonts w:ascii="Arial" w:hAnsi="Arial" w:cs="Arial"/>
          <w:b/>
          <w:bCs/>
          <w:sz w:val="22"/>
          <w:szCs w:val="22"/>
        </w:rPr>
        <w:t xml:space="preserve"> </w:t>
      </w:r>
      <w:r w:rsidR="004C7ECA" w:rsidRPr="00E32F84">
        <w:rPr>
          <w:rFonts w:ascii="Arial" w:hAnsi="Arial" w:cs="Arial"/>
          <w:b/>
          <w:bCs/>
          <w:sz w:val="22"/>
          <w:szCs w:val="22"/>
        </w:rPr>
        <w:t>Rationale for Integrating Biomarkers, Imaging, and AI</w:t>
      </w:r>
      <w:bookmarkEnd w:id="3"/>
    </w:p>
    <w:p w14:paraId="13F5137B" w14:textId="77777777" w:rsidR="004C7ECA" w:rsidRPr="004C7ECA" w:rsidRDefault="004C7ECA" w:rsidP="004C7ECA">
      <w:pPr>
        <w:pStyle w:val="Body"/>
        <w:rPr>
          <w:rFonts w:ascii="Arial" w:hAnsi="Arial" w:cs="Arial"/>
        </w:rPr>
      </w:pPr>
      <w:r w:rsidRPr="004C7ECA">
        <w:rPr>
          <w:rFonts w:ascii="Arial" w:hAnsi="Arial" w:cs="Arial"/>
        </w:rPr>
        <w:t xml:space="preserve">The integration of biomarkers, neuroimaging, and AI is necessary because the information governing recovery exists across multiple biological and spatial scales. Molecular data (e.g., Neurofilament Light Chain [NFL]) capture injury severity at the axonal level; electrophysiological data (e.g., EEG) capture the real-time functional state; advanced imaging (e.g., </w:t>
      </w:r>
      <w:proofErr w:type="spellStart"/>
      <w:r w:rsidRPr="004C7ECA">
        <w:rPr>
          <w:rFonts w:ascii="Arial" w:hAnsi="Arial" w:cs="Arial"/>
        </w:rPr>
        <w:t>Connectomics</w:t>
      </w:r>
      <w:proofErr w:type="spellEnd"/>
      <w:r w:rsidRPr="004C7ECA">
        <w:rPr>
          <w:rFonts w:ascii="Arial" w:hAnsi="Arial" w:cs="Arial"/>
        </w:rPr>
        <w:t>) captures macro-scale structural integrity and network architecture; and behavioral data (e.g., kinematics) capture real-world performance</w:t>
      </w:r>
      <w:hyperlink r:id="rId20" w:anchor="64eafcd723343482bd49c823d6437a0b_ref" w:history="1">
        <w:r w:rsidRPr="004C7ECA">
          <w:rPr>
            <w:rStyle w:val="Hyperlink"/>
            <w:rFonts w:ascii="Arial" w:hAnsi="Arial" w:cs="Arial"/>
          </w:rPr>
          <w:t>(Ferrari et al., 2023; Li et al., 2024; Lim &amp; Kang, 2015)</w:t>
        </w:r>
      </w:hyperlink>
      <w:r w:rsidRPr="004C7ECA">
        <w:rPr>
          <w:rFonts w:ascii="Arial" w:hAnsi="Arial" w:cs="Arial"/>
        </w:rPr>
        <w:t>. A single-modality approach offers only a limited, static snapshot. Multimodal fusion captures the full patient phenotype—structure, function, behavior—allowing for a comprehensive understanding of the non-linear interactions between these factors, which is essential for defining the optimal next step in therapy</w:t>
      </w:r>
      <w:hyperlink r:id="rId21" w:anchor="3af999f88cd43e8588dd0bfaa7fcd711_ref" w:history="1">
        <w:r w:rsidRPr="004C7ECA">
          <w:rPr>
            <w:rStyle w:val="Hyperlink"/>
            <w:rFonts w:ascii="Arial" w:hAnsi="Arial" w:cs="Arial"/>
          </w:rPr>
          <w:t>(Ferrari et al., 2023; J. Li et al., 2024; Lim &amp; Kang, 2015)</w:t>
        </w:r>
      </w:hyperlink>
      <w:r w:rsidRPr="004C7ECA">
        <w:rPr>
          <w:rFonts w:ascii="Arial" w:hAnsi="Arial" w:cs="Arial"/>
        </w:rPr>
        <w:t>.</w:t>
      </w:r>
    </w:p>
    <w:p w14:paraId="3BF9051D" w14:textId="4241A1D1" w:rsidR="004C7ECA" w:rsidRPr="00E32F84" w:rsidRDefault="00E32F84" w:rsidP="00E32F84">
      <w:pPr>
        <w:pStyle w:val="Body"/>
        <w:spacing w:after="0"/>
        <w:rPr>
          <w:rFonts w:ascii="Arial" w:hAnsi="Arial" w:cs="Arial"/>
          <w:b/>
          <w:bCs/>
          <w:sz w:val="22"/>
          <w:szCs w:val="22"/>
        </w:rPr>
      </w:pPr>
      <w:bookmarkStart w:id="4" w:name="_Toc256000100"/>
      <w:r w:rsidRPr="00E32F84">
        <w:rPr>
          <w:rFonts w:ascii="Arial" w:hAnsi="Arial" w:cs="Arial"/>
          <w:b/>
          <w:bCs/>
          <w:sz w:val="22"/>
          <w:szCs w:val="22"/>
        </w:rPr>
        <w:t>1.</w:t>
      </w:r>
      <w:r w:rsidR="001E7774">
        <w:rPr>
          <w:rFonts w:ascii="Arial" w:hAnsi="Arial" w:cs="Arial"/>
          <w:b/>
          <w:bCs/>
          <w:sz w:val="22"/>
          <w:szCs w:val="22"/>
        </w:rPr>
        <w:t xml:space="preserve">5 </w:t>
      </w:r>
      <w:r w:rsidR="004C7ECA" w:rsidRPr="00E32F84">
        <w:rPr>
          <w:rFonts w:ascii="Arial" w:hAnsi="Arial" w:cs="Arial"/>
          <w:b/>
          <w:bCs/>
          <w:sz w:val="22"/>
          <w:szCs w:val="22"/>
        </w:rPr>
        <w:t>Purpose and Scope of the Review</w:t>
      </w:r>
      <w:bookmarkEnd w:id="4"/>
    </w:p>
    <w:p w14:paraId="5B46028C" w14:textId="77777777" w:rsidR="004C7ECA" w:rsidRDefault="004C7ECA" w:rsidP="004C7ECA">
      <w:pPr>
        <w:pStyle w:val="Body"/>
        <w:rPr>
          <w:rFonts w:ascii="Arial" w:hAnsi="Arial" w:cs="Arial"/>
        </w:rPr>
      </w:pPr>
      <w:r w:rsidRPr="004C7ECA">
        <w:rPr>
          <w:rFonts w:ascii="Arial" w:hAnsi="Arial" w:cs="Arial"/>
        </w:rPr>
        <w:t xml:space="preserve">The purpose of this narrative review is to provide a critical synthesis of the current evidence supporting the integration of biomarkers, advanced neuroimaging, and AI into a coherent, </w:t>
      </w:r>
      <w:r w:rsidRPr="004C7ECA">
        <w:rPr>
          <w:rFonts w:ascii="Arial" w:hAnsi="Arial" w:cs="Arial"/>
        </w:rPr>
        <w:lastRenderedPageBreak/>
        <w:t>personalized framework for neurorehabilitation. The scope encompasses detailed analysis of specific predictive measures (EEG signatures, BDNF, DTI metrics), evaluation of computational modeling strategies (ODTR, Digital Twins), and a critical examination of the translational, methodological, and ethical challenges associated with implementing closed-loop, adaptive systems in clinical practice.</w:t>
      </w:r>
    </w:p>
    <w:p w14:paraId="27DCACF9" w14:textId="478836F0" w:rsidR="00A97F3A" w:rsidRPr="00A97F3A" w:rsidRDefault="00A97F3A" w:rsidP="001E7774">
      <w:pPr>
        <w:pStyle w:val="Body"/>
        <w:numPr>
          <w:ilvl w:val="0"/>
          <w:numId w:val="46"/>
        </w:numPr>
        <w:rPr>
          <w:rFonts w:ascii="Arial" w:hAnsi="Arial" w:cs="Arial"/>
          <w:b/>
          <w:bCs/>
          <w:sz w:val="22"/>
          <w:szCs w:val="22"/>
        </w:rPr>
      </w:pPr>
      <w:r w:rsidRPr="00A97F3A">
        <w:rPr>
          <w:rFonts w:ascii="Arial" w:hAnsi="Arial" w:cs="Arial"/>
          <w:b/>
          <w:bCs/>
          <w:sz w:val="22"/>
          <w:szCs w:val="22"/>
        </w:rPr>
        <w:t>Methodology and Search Strategy</w:t>
      </w:r>
    </w:p>
    <w:p w14:paraId="57E48673" w14:textId="0F6B8809" w:rsidR="00A97F3A" w:rsidRPr="004C7ECA" w:rsidRDefault="00934692" w:rsidP="00A97F3A">
      <w:pPr>
        <w:pStyle w:val="Body"/>
        <w:rPr>
          <w:rFonts w:ascii="Arial" w:hAnsi="Arial" w:cs="Arial"/>
        </w:rPr>
      </w:pPr>
      <w:r w:rsidRPr="00934692">
        <w:rPr>
          <w:rFonts w:ascii="Arial" w:hAnsi="Arial" w:cs="Arial"/>
        </w:rPr>
        <w:t xml:space="preserve">This narrative review followed a systematic approach consistent with Prisma 2020 Guidelines </w:t>
      </w:r>
      <w:r>
        <w:rPr>
          <w:rFonts w:ascii="Arial" w:hAnsi="Arial" w:cs="Arial"/>
        </w:rPr>
        <w:t xml:space="preserve">(Page et al., 2021) </w:t>
      </w:r>
      <w:r w:rsidRPr="00934692">
        <w:rPr>
          <w:rFonts w:ascii="Arial" w:hAnsi="Arial" w:cs="Arial"/>
        </w:rPr>
        <w:t>to ensure breadth, relevance, and quality of the included literature</w:t>
      </w:r>
      <w:r w:rsidR="00A97F3A">
        <w:t xml:space="preserve">. A comprehensive literature search was conducted across major biomedical databases (e.g., PubMed, Scopus, Web of Science, and </w:t>
      </w:r>
      <w:proofErr w:type="spellStart"/>
      <w:r w:rsidR="00A97F3A">
        <w:t>Embase</w:t>
      </w:r>
      <w:proofErr w:type="spellEnd"/>
      <w:r w:rsidR="00A97F3A">
        <w:t xml:space="preserve">) for articles published </w:t>
      </w:r>
      <w:r w:rsidR="00E05FD0">
        <w:t xml:space="preserve">till </w:t>
      </w:r>
      <w:r w:rsidR="00A97F3A">
        <w:t>October 2025, using combinations of controlled vocabulary and free-text keywords related to “precision neurorehabilitation,” “biomarkers,” “EEG,” “fMRI,” “DTI,” “</w:t>
      </w:r>
      <w:proofErr w:type="spellStart"/>
      <w:r w:rsidR="00A97F3A">
        <w:t>connectomics</w:t>
      </w:r>
      <w:proofErr w:type="spellEnd"/>
      <w:r w:rsidR="00A97F3A">
        <w:t>,” “machine learning,” “artificial intelligence,” “stroke rehabilitation,” “traumatic brain injury,” “multiple sclerosis,” and “Parkinson’s disease.” Reference lists of key reviews and seminal primary studies were also screened to identify additional relevant articles. Studies were included if they (1) involved adult neurological populations undergoing rehabilitation or recovery-focused assessment, (2) evaluated neurobiological or digital biomarkers, advanced neuroimaging, or AI-based predictive/decision-support models in the context of neurorehabilitation, and (3) reported quantitative outcomes related to prognosis, stratification, or treatment response. Case reports, non-peer-reviewed documents, and purely technical AI papers without clinical or rehabilitation outcomes were excluded. Titles and abstracts were screened independently by at least two reviewers, followed by full-text evaluation for eligibility; disagreements were resolved by discussion and consensus. For studies focusing on biomarkers and imaging, methodological quality and risk of bias were appraised using criteria adapted from QUADAS-2 (e.g., patient selection, index test conduct, reference standard, and flow/timing), while prognostic and predictive modeling studies were evaluated using PROBAST domains (participants, predictors, outcomes, and analysis). Extracted data were synthesized narratively, with emphasis on mechanistic insight, clinical applicability, and the extent to which each modality or model contributes to a unified precision neurorehabilitation framework.</w:t>
      </w:r>
    </w:p>
    <w:p w14:paraId="7506DA3E" w14:textId="3D4180FE" w:rsidR="004C7ECA" w:rsidRPr="00E32F84" w:rsidRDefault="00E32F84" w:rsidP="00E32F84">
      <w:pPr>
        <w:pStyle w:val="Body"/>
        <w:spacing w:after="0"/>
        <w:rPr>
          <w:rFonts w:ascii="Arial" w:hAnsi="Arial" w:cs="Arial"/>
          <w:b/>
          <w:bCs/>
          <w:sz w:val="24"/>
          <w:szCs w:val="24"/>
        </w:rPr>
      </w:pPr>
      <w:bookmarkStart w:id="5" w:name="_Toc256000101"/>
      <w:r w:rsidRPr="00E32F84">
        <w:rPr>
          <w:rFonts w:ascii="Arial" w:hAnsi="Arial" w:cs="Arial"/>
          <w:b/>
          <w:bCs/>
          <w:sz w:val="24"/>
          <w:szCs w:val="24"/>
        </w:rPr>
        <w:t>2</w:t>
      </w:r>
      <w:r w:rsidR="001E7774">
        <w:rPr>
          <w:rFonts w:ascii="Arial" w:hAnsi="Arial" w:cs="Arial"/>
          <w:b/>
          <w:bCs/>
          <w:sz w:val="24"/>
          <w:szCs w:val="24"/>
        </w:rPr>
        <w:t>.1</w:t>
      </w:r>
      <w:r w:rsidRPr="00E32F84">
        <w:rPr>
          <w:rFonts w:ascii="Arial" w:hAnsi="Arial" w:cs="Arial"/>
          <w:b/>
          <w:bCs/>
          <w:sz w:val="24"/>
          <w:szCs w:val="24"/>
        </w:rPr>
        <w:t>.</w:t>
      </w:r>
      <w:r w:rsidR="004C7ECA" w:rsidRPr="00E32F84">
        <w:rPr>
          <w:rFonts w:ascii="Arial" w:hAnsi="Arial" w:cs="Arial"/>
          <w:b/>
          <w:bCs/>
          <w:sz w:val="24"/>
          <w:szCs w:val="24"/>
        </w:rPr>
        <w:t xml:space="preserve"> Conceptual Framework of Precision Neurorehabilitation: Building the Digital Twin</w:t>
      </w:r>
      <w:bookmarkEnd w:id="5"/>
    </w:p>
    <w:p w14:paraId="22EF6F04" w14:textId="77777777" w:rsidR="004C7ECA" w:rsidRPr="004C7ECA" w:rsidRDefault="004C7ECA" w:rsidP="004C7ECA">
      <w:pPr>
        <w:pStyle w:val="Body"/>
        <w:rPr>
          <w:rFonts w:ascii="Arial" w:hAnsi="Arial" w:cs="Arial"/>
        </w:rPr>
      </w:pPr>
      <w:r w:rsidRPr="004C7ECA">
        <w:rPr>
          <w:rFonts w:ascii="Arial" w:hAnsi="Arial" w:cs="Arial"/>
        </w:rPr>
        <w:t>Precision neurorehabilitation is defined as the systematic application of multi-scale patient data, leveraged by computational modeling, to predict therapeutic responsiveness, stratify patients into biologically meaningful subgroups, and dynamically adjust therapeutic interventions to maximize long-term functional outcomes</w:t>
      </w:r>
      <w:hyperlink r:id="rId22" w:anchor="104d752c7b4f3a7baa5f0b6ca71742c6_ref" w:history="1">
        <w:r w:rsidRPr="004C7ECA">
          <w:rPr>
            <w:rStyle w:val="Hyperlink"/>
            <w:rFonts w:ascii="Arial" w:hAnsi="Arial" w:cs="Arial"/>
          </w:rPr>
          <w:t>(</w:t>
        </w:r>
        <w:proofErr w:type="spellStart"/>
        <w:r w:rsidRPr="004C7ECA">
          <w:rPr>
            <w:rStyle w:val="Hyperlink"/>
            <w:rFonts w:ascii="Arial" w:hAnsi="Arial" w:cs="Arial"/>
          </w:rPr>
          <w:t>Jin</w:t>
        </w:r>
        <w:proofErr w:type="spellEnd"/>
        <w:r w:rsidRPr="004C7ECA">
          <w:rPr>
            <w:rStyle w:val="Hyperlink"/>
            <w:rFonts w:ascii="Arial" w:hAnsi="Arial" w:cs="Arial"/>
          </w:rPr>
          <w:t xml:space="preserve"> et al., 2024; </w:t>
        </w:r>
        <w:proofErr w:type="spellStart"/>
        <w:r w:rsidRPr="004C7ECA">
          <w:rPr>
            <w:rStyle w:val="Hyperlink"/>
            <w:rFonts w:ascii="Arial" w:hAnsi="Arial" w:cs="Arial"/>
          </w:rPr>
          <w:t>Lenze</w:t>
        </w:r>
        <w:proofErr w:type="spellEnd"/>
        <w:r w:rsidRPr="004C7ECA">
          <w:rPr>
            <w:rStyle w:val="Hyperlink"/>
            <w:rFonts w:ascii="Arial" w:hAnsi="Arial" w:cs="Arial"/>
          </w:rPr>
          <w:t xml:space="preserve"> et al., 2021; </w:t>
        </w:r>
        <w:proofErr w:type="spellStart"/>
        <w:r w:rsidRPr="004C7ECA">
          <w:rPr>
            <w:rStyle w:val="Hyperlink"/>
            <w:rFonts w:ascii="Arial" w:hAnsi="Arial" w:cs="Arial"/>
          </w:rPr>
          <w:t>Nilius</w:t>
        </w:r>
        <w:proofErr w:type="spellEnd"/>
        <w:r w:rsidRPr="004C7ECA">
          <w:rPr>
            <w:rStyle w:val="Hyperlink"/>
            <w:rFonts w:ascii="Arial" w:hAnsi="Arial" w:cs="Arial"/>
          </w:rPr>
          <w:t xml:space="preserve"> et al., 2024)</w:t>
        </w:r>
      </w:hyperlink>
      <w:r w:rsidRPr="004C7ECA">
        <w:rPr>
          <w:rFonts w:ascii="Arial" w:hAnsi="Arial" w:cs="Arial"/>
        </w:rPr>
        <w:t>.</w:t>
      </w:r>
    </w:p>
    <w:p w14:paraId="5682B4E8" w14:textId="7241FFF9" w:rsidR="004C7ECA" w:rsidRPr="00E32F84" w:rsidRDefault="00E32F84" w:rsidP="00E32F84">
      <w:pPr>
        <w:pStyle w:val="Body"/>
        <w:spacing w:after="0"/>
        <w:rPr>
          <w:rFonts w:ascii="Arial" w:hAnsi="Arial" w:cs="Arial"/>
          <w:b/>
          <w:bCs/>
          <w:sz w:val="22"/>
          <w:szCs w:val="22"/>
        </w:rPr>
      </w:pPr>
      <w:bookmarkStart w:id="6" w:name="_Toc256000102"/>
      <w:r w:rsidRPr="00E32F84">
        <w:rPr>
          <w:rFonts w:ascii="Arial" w:hAnsi="Arial" w:cs="Arial"/>
          <w:b/>
          <w:bCs/>
          <w:sz w:val="22"/>
          <w:szCs w:val="22"/>
        </w:rPr>
        <w:t>2.</w:t>
      </w:r>
      <w:r w:rsidR="001E7774">
        <w:rPr>
          <w:rFonts w:ascii="Arial" w:hAnsi="Arial" w:cs="Arial"/>
          <w:b/>
          <w:bCs/>
          <w:sz w:val="22"/>
          <w:szCs w:val="22"/>
        </w:rPr>
        <w:t>2</w:t>
      </w:r>
      <w:r w:rsidRPr="00E32F84">
        <w:rPr>
          <w:rFonts w:ascii="Arial" w:hAnsi="Arial" w:cs="Arial"/>
          <w:b/>
          <w:bCs/>
          <w:sz w:val="22"/>
          <w:szCs w:val="22"/>
        </w:rPr>
        <w:t xml:space="preserve"> </w:t>
      </w:r>
      <w:r w:rsidR="004C7ECA" w:rsidRPr="00E32F84">
        <w:rPr>
          <w:rFonts w:ascii="Arial" w:hAnsi="Arial" w:cs="Arial"/>
          <w:b/>
          <w:bCs/>
          <w:sz w:val="22"/>
          <w:szCs w:val="22"/>
        </w:rPr>
        <w:t>Definition &amp; Pillars: Biomarkers, Neuroimaging, Digital Phenotyping, and Computational Modeling</w:t>
      </w:r>
      <w:bookmarkEnd w:id="6"/>
    </w:p>
    <w:p w14:paraId="6F631AEB" w14:textId="77777777" w:rsidR="004C7ECA" w:rsidRPr="004C7ECA" w:rsidRDefault="004C7ECA" w:rsidP="004C7ECA">
      <w:pPr>
        <w:pStyle w:val="Body"/>
        <w:rPr>
          <w:rFonts w:ascii="Arial" w:hAnsi="Arial" w:cs="Arial"/>
        </w:rPr>
      </w:pPr>
      <w:r w:rsidRPr="004C7ECA">
        <w:rPr>
          <w:rFonts w:ascii="Arial" w:hAnsi="Arial" w:cs="Arial"/>
        </w:rPr>
        <w:t xml:space="preserve">The framework rests on four core pillars </w:t>
      </w:r>
      <w:hyperlink r:id="rId23" w:anchor="e148844066e839a2ac81bfb748abbc0b_ref" w:history="1">
        <w:r w:rsidRPr="004C7ECA">
          <w:rPr>
            <w:rStyle w:val="Hyperlink"/>
            <w:rFonts w:ascii="Arial" w:hAnsi="Arial" w:cs="Arial"/>
          </w:rPr>
          <w:t xml:space="preserve">(Carlson et al., 2020; </w:t>
        </w:r>
        <w:proofErr w:type="spellStart"/>
        <w:r w:rsidRPr="004C7ECA">
          <w:rPr>
            <w:rStyle w:val="Hyperlink"/>
            <w:rFonts w:ascii="Arial" w:hAnsi="Arial" w:cs="Arial"/>
          </w:rPr>
          <w:t>Cociu</w:t>
        </w:r>
        <w:proofErr w:type="spellEnd"/>
        <w:r w:rsidRPr="004C7ECA">
          <w:rPr>
            <w:rStyle w:val="Hyperlink"/>
            <w:rFonts w:ascii="Arial" w:hAnsi="Arial" w:cs="Arial"/>
          </w:rPr>
          <w:t xml:space="preserve"> et al., 2018; </w:t>
        </w:r>
        <w:proofErr w:type="spellStart"/>
        <w:r w:rsidRPr="004C7ECA">
          <w:rPr>
            <w:rStyle w:val="Hyperlink"/>
            <w:rFonts w:ascii="Arial" w:hAnsi="Arial" w:cs="Arial"/>
          </w:rPr>
          <w:t>Crosson</w:t>
        </w:r>
        <w:proofErr w:type="spellEnd"/>
        <w:r w:rsidRPr="004C7ECA">
          <w:rPr>
            <w:rStyle w:val="Hyperlink"/>
            <w:rFonts w:ascii="Arial" w:hAnsi="Arial" w:cs="Arial"/>
          </w:rPr>
          <w:t xml:space="preserve"> et al., 2010; Falcon et al., 2016; Pan et al., 2021; Shen et al., 2017)</w:t>
        </w:r>
      </w:hyperlink>
      <w:r w:rsidRPr="004C7ECA">
        <w:rPr>
          <w:rFonts w:ascii="Arial" w:hAnsi="Arial" w:cs="Arial"/>
        </w:rPr>
        <w:t>:</w:t>
      </w:r>
    </w:p>
    <w:p w14:paraId="480CA620" w14:textId="77777777" w:rsidR="004C7ECA" w:rsidRPr="004C7ECA" w:rsidRDefault="004C7ECA" w:rsidP="004C7ECA">
      <w:pPr>
        <w:pStyle w:val="Body"/>
        <w:numPr>
          <w:ilvl w:val="0"/>
          <w:numId w:val="31"/>
        </w:numPr>
        <w:rPr>
          <w:rFonts w:ascii="Arial" w:hAnsi="Arial" w:cs="Arial"/>
        </w:rPr>
      </w:pPr>
      <w:r w:rsidRPr="004C7ECA">
        <w:rPr>
          <w:rFonts w:ascii="Arial" w:hAnsi="Arial" w:cs="Arial"/>
          <w:b/>
        </w:rPr>
        <w:t xml:space="preserve">Biomarkers: </w:t>
      </w:r>
      <w:r w:rsidRPr="004C7ECA">
        <w:rPr>
          <w:rFonts w:ascii="Arial" w:hAnsi="Arial" w:cs="Arial"/>
        </w:rPr>
        <w:t xml:space="preserve"> Molecular (genetic, serum), electrophysiological (EEG, ERP), and physiological data.</w:t>
      </w:r>
    </w:p>
    <w:p w14:paraId="284E041A" w14:textId="77777777" w:rsidR="004C7ECA" w:rsidRPr="004C7ECA" w:rsidRDefault="004C7ECA" w:rsidP="004C7ECA">
      <w:pPr>
        <w:pStyle w:val="Body"/>
        <w:numPr>
          <w:ilvl w:val="0"/>
          <w:numId w:val="31"/>
        </w:numPr>
        <w:rPr>
          <w:rFonts w:ascii="Arial" w:hAnsi="Arial" w:cs="Arial"/>
        </w:rPr>
      </w:pPr>
      <w:r w:rsidRPr="004C7ECA">
        <w:rPr>
          <w:rFonts w:ascii="Arial" w:hAnsi="Arial" w:cs="Arial"/>
          <w:b/>
        </w:rPr>
        <w:t xml:space="preserve">Neuroimaging: </w:t>
      </w:r>
      <w:r w:rsidRPr="004C7ECA">
        <w:rPr>
          <w:rFonts w:ascii="Arial" w:hAnsi="Arial" w:cs="Arial"/>
        </w:rPr>
        <w:t xml:space="preserve"> Structural (DTI, volumetric), functional (fMRI, perfusion), and network architecture (</w:t>
      </w:r>
      <w:proofErr w:type="spellStart"/>
      <w:r w:rsidRPr="004C7ECA">
        <w:rPr>
          <w:rFonts w:ascii="Arial" w:hAnsi="Arial" w:cs="Arial"/>
        </w:rPr>
        <w:t>connectomics</w:t>
      </w:r>
      <w:proofErr w:type="spellEnd"/>
      <w:r w:rsidRPr="004C7ECA">
        <w:rPr>
          <w:rFonts w:ascii="Arial" w:hAnsi="Arial" w:cs="Arial"/>
        </w:rPr>
        <w:t>).</w:t>
      </w:r>
    </w:p>
    <w:p w14:paraId="54001131" w14:textId="77777777" w:rsidR="004C7ECA" w:rsidRPr="004C7ECA" w:rsidRDefault="004C7ECA" w:rsidP="004C7ECA">
      <w:pPr>
        <w:pStyle w:val="Body"/>
        <w:numPr>
          <w:ilvl w:val="0"/>
          <w:numId w:val="31"/>
        </w:numPr>
        <w:rPr>
          <w:rFonts w:ascii="Arial" w:hAnsi="Arial" w:cs="Arial"/>
        </w:rPr>
      </w:pPr>
      <w:r w:rsidRPr="004C7ECA">
        <w:rPr>
          <w:rFonts w:ascii="Arial" w:hAnsi="Arial" w:cs="Arial"/>
          <w:b/>
        </w:rPr>
        <w:lastRenderedPageBreak/>
        <w:t xml:space="preserve">Digital Phenotyping: </w:t>
      </w:r>
      <w:r w:rsidRPr="004C7ECA">
        <w:rPr>
          <w:rFonts w:ascii="Arial" w:hAnsi="Arial" w:cs="Arial"/>
        </w:rPr>
        <w:t xml:space="preserve"> Continuous, real-world monitoring of behavior, kinematics, and ecological data via wearables and smartphones.</w:t>
      </w:r>
    </w:p>
    <w:p w14:paraId="21A06409" w14:textId="77777777" w:rsidR="004C7ECA" w:rsidRPr="000D4E7F" w:rsidRDefault="004C7ECA" w:rsidP="000D4E7F">
      <w:pPr>
        <w:pStyle w:val="Body"/>
        <w:numPr>
          <w:ilvl w:val="0"/>
          <w:numId w:val="31"/>
        </w:numPr>
        <w:rPr>
          <w:rFonts w:ascii="Arial" w:hAnsi="Arial" w:cs="Arial"/>
        </w:rPr>
      </w:pPr>
      <w:r w:rsidRPr="004C7ECA">
        <w:rPr>
          <w:rFonts w:ascii="Arial" w:hAnsi="Arial" w:cs="Arial"/>
          <w:b/>
        </w:rPr>
        <w:t xml:space="preserve">Computational Modeling: </w:t>
      </w:r>
      <w:r w:rsidRPr="004C7ECA">
        <w:rPr>
          <w:rFonts w:ascii="Arial" w:hAnsi="Arial" w:cs="Arial"/>
        </w:rPr>
        <w:t xml:space="preserve"> AI algorithms, machine learning, and causal inference techniques that fuse these data streams to derive prescriptive policies.</w:t>
      </w:r>
    </w:p>
    <w:p w14:paraId="212A81F1" w14:textId="0C7A51DE" w:rsidR="004C7ECA" w:rsidRPr="00E32F84" w:rsidRDefault="004C7ECA" w:rsidP="001E7774">
      <w:pPr>
        <w:pStyle w:val="Body"/>
        <w:numPr>
          <w:ilvl w:val="1"/>
          <w:numId w:val="45"/>
        </w:numPr>
        <w:spacing w:after="0"/>
        <w:rPr>
          <w:rFonts w:ascii="Arial" w:hAnsi="Arial" w:cs="Arial"/>
          <w:b/>
          <w:bCs/>
        </w:rPr>
      </w:pPr>
      <w:bookmarkStart w:id="7" w:name="_Toc256000103"/>
      <w:r w:rsidRPr="00E32F84">
        <w:rPr>
          <w:rFonts w:ascii="Arial" w:hAnsi="Arial" w:cs="Arial"/>
          <w:b/>
          <w:bCs/>
          <w:sz w:val="22"/>
          <w:szCs w:val="22"/>
        </w:rPr>
        <w:t>Neuroplasticity-Driven Rationale</w:t>
      </w:r>
      <w:bookmarkEnd w:id="7"/>
    </w:p>
    <w:p w14:paraId="76C7B7C4" w14:textId="77777777" w:rsidR="004C7ECA" w:rsidRPr="004C7ECA" w:rsidRDefault="004C7ECA" w:rsidP="004C7ECA">
      <w:pPr>
        <w:pStyle w:val="Body"/>
        <w:rPr>
          <w:rFonts w:ascii="Arial" w:hAnsi="Arial" w:cs="Arial"/>
        </w:rPr>
      </w:pPr>
      <w:r w:rsidRPr="004C7ECA">
        <w:rPr>
          <w:rFonts w:ascii="Arial" w:hAnsi="Arial" w:cs="Arial"/>
        </w:rPr>
        <w:t>The theoretical foundation of this precision approach is the targeted engineering of neuroplasticity. Recovery requires not just the spontaneous repair of damaged tissue but the induction of beneficial plasticity in the complex neuronal networks ("</w:t>
      </w:r>
      <w:proofErr w:type="spellStart"/>
      <w:r w:rsidRPr="004C7ECA">
        <w:rPr>
          <w:rFonts w:ascii="Arial" w:hAnsi="Arial" w:cs="Arial"/>
        </w:rPr>
        <w:t>heksors</w:t>
      </w:r>
      <w:proofErr w:type="spellEnd"/>
      <w:r w:rsidRPr="004C7ECA">
        <w:rPr>
          <w:rFonts w:ascii="Arial" w:hAnsi="Arial" w:cs="Arial"/>
        </w:rPr>
        <w:t>") underlying lost functions</w:t>
      </w:r>
      <w:hyperlink r:id="rId24" w:anchor="890115df7de73c7fa5119145a81a6f71_ref" w:history="1">
        <w:r w:rsidRPr="004C7ECA">
          <w:rPr>
            <w:rStyle w:val="Hyperlink"/>
            <w:rFonts w:ascii="Arial" w:hAnsi="Arial" w:cs="Arial"/>
          </w:rPr>
          <w:t>(Meyers et al., 2019; Murphy &amp; Corbett, 2009)</w:t>
        </w:r>
      </w:hyperlink>
      <w:r w:rsidRPr="004C7ECA">
        <w:rPr>
          <w:rFonts w:ascii="Arial" w:hAnsi="Arial" w:cs="Arial"/>
        </w:rPr>
        <w:t xml:space="preserve">. The precision framework provides the data necessary to monitor whether a specific intervention is effectively driving the desired neuroplastic change (e.g., enhancing </w:t>
      </w:r>
      <w:proofErr w:type="spellStart"/>
      <w:r w:rsidRPr="004C7ECA">
        <w:rPr>
          <w:rFonts w:ascii="Arial" w:hAnsi="Arial" w:cs="Arial"/>
        </w:rPr>
        <w:t>ipsilesional</w:t>
      </w:r>
      <w:proofErr w:type="spellEnd"/>
      <w:r w:rsidRPr="004C7ECA">
        <w:rPr>
          <w:rFonts w:ascii="Arial" w:hAnsi="Arial" w:cs="Arial"/>
        </w:rPr>
        <w:t xml:space="preserve"> cortical activity)  and to adjust the intervention dose accordingly to overcome resistance or maximize gain</w:t>
      </w:r>
      <w:hyperlink r:id="rId25" w:anchor="4b12fc9d48243ce8a68ac5049858cb42_ref" w:history="1">
        <w:r w:rsidRPr="004C7ECA">
          <w:rPr>
            <w:rStyle w:val="Hyperlink"/>
            <w:rFonts w:ascii="Arial" w:hAnsi="Arial" w:cs="Arial"/>
          </w:rPr>
          <w:t>(Kimura et al., 2024)</w:t>
        </w:r>
      </w:hyperlink>
      <w:r w:rsidRPr="004C7ECA">
        <w:rPr>
          <w:rFonts w:ascii="Arial" w:hAnsi="Arial" w:cs="Arial"/>
        </w:rPr>
        <w:t>.</w:t>
      </w:r>
    </w:p>
    <w:p w14:paraId="66E1C367" w14:textId="2BEF4D4B" w:rsidR="004C7ECA" w:rsidRPr="00E32F84" w:rsidRDefault="00E32F84" w:rsidP="00E32F84">
      <w:pPr>
        <w:pStyle w:val="Body"/>
        <w:spacing w:after="0"/>
        <w:rPr>
          <w:rFonts w:ascii="Arial" w:hAnsi="Arial" w:cs="Arial"/>
          <w:b/>
          <w:bCs/>
          <w:sz w:val="22"/>
          <w:szCs w:val="22"/>
        </w:rPr>
      </w:pPr>
      <w:bookmarkStart w:id="8" w:name="_Toc256000104"/>
      <w:r w:rsidRPr="00E32F84">
        <w:rPr>
          <w:rFonts w:ascii="Arial" w:hAnsi="Arial" w:cs="Arial"/>
          <w:b/>
          <w:bCs/>
          <w:sz w:val="22"/>
          <w:szCs w:val="22"/>
        </w:rPr>
        <w:t>2.</w:t>
      </w:r>
      <w:r w:rsidR="001E7774">
        <w:rPr>
          <w:rFonts w:ascii="Arial" w:hAnsi="Arial" w:cs="Arial"/>
          <w:b/>
          <w:bCs/>
          <w:sz w:val="22"/>
          <w:szCs w:val="22"/>
        </w:rPr>
        <w:t>4</w:t>
      </w:r>
      <w:r w:rsidRPr="00E32F84">
        <w:rPr>
          <w:rFonts w:ascii="Arial" w:hAnsi="Arial" w:cs="Arial"/>
          <w:b/>
          <w:bCs/>
          <w:sz w:val="22"/>
          <w:szCs w:val="22"/>
        </w:rPr>
        <w:t xml:space="preserve"> </w:t>
      </w:r>
      <w:r w:rsidR="004C7ECA" w:rsidRPr="00E32F84">
        <w:rPr>
          <w:rFonts w:ascii="Arial" w:hAnsi="Arial" w:cs="Arial"/>
          <w:b/>
          <w:bCs/>
          <w:sz w:val="22"/>
          <w:szCs w:val="22"/>
        </w:rPr>
        <w:t>Linking Structure Individualized Therapy Planning</w:t>
      </w:r>
      <w:bookmarkEnd w:id="8"/>
    </w:p>
    <w:p w14:paraId="7E122127" w14:textId="77777777" w:rsidR="004C7ECA" w:rsidRPr="004C7ECA" w:rsidRDefault="004C7ECA" w:rsidP="004C7ECA">
      <w:pPr>
        <w:pStyle w:val="Body"/>
        <w:rPr>
          <w:rFonts w:ascii="Arial" w:hAnsi="Arial" w:cs="Arial"/>
        </w:rPr>
      </w:pPr>
      <w:r w:rsidRPr="004C7ECA">
        <w:rPr>
          <w:rFonts w:ascii="Arial" w:hAnsi="Arial" w:cs="Arial"/>
        </w:rPr>
        <w:t xml:space="preserve">A key challenge in rehabilitation research is bridging the gap between specific, microscopic impairments (cellular, molecular) and clinically meaningful functional outcomes (e.g., independence in daily living, aligning with the International Classification of Functioning, Disability, and Health [ICF] domains). The causal modeling framework explicitly addresses this by emphasizing the quantitative linkage of changes across different levels of functioning </w:t>
      </w:r>
      <w:hyperlink r:id="rId26" w:anchor="60ffcff29c703f2483ccaab8790b0081_ref" w:history="1">
        <w:r w:rsidRPr="004C7ECA">
          <w:rPr>
            <w:rStyle w:val="Hyperlink"/>
            <w:rFonts w:ascii="Arial" w:hAnsi="Arial" w:cs="Arial"/>
          </w:rPr>
          <w:t>(</w:t>
        </w:r>
        <w:proofErr w:type="spellStart"/>
        <w:r w:rsidRPr="004C7ECA">
          <w:rPr>
            <w:rStyle w:val="Hyperlink"/>
            <w:rFonts w:ascii="Arial" w:hAnsi="Arial" w:cs="Arial"/>
          </w:rPr>
          <w:t>Santilli</w:t>
        </w:r>
        <w:proofErr w:type="spellEnd"/>
        <w:r w:rsidRPr="004C7ECA">
          <w:rPr>
            <w:rStyle w:val="Hyperlink"/>
            <w:rFonts w:ascii="Arial" w:hAnsi="Arial" w:cs="Arial"/>
          </w:rPr>
          <w:t xml:space="preserve"> et al., 2024)</w:t>
        </w:r>
      </w:hyperlink>
      <w:r w:rsidRPr="004C7ECA">
        <w:rPr>
          <w:rFonts w:ascii="Arial" w:hAnsi="Arial" w:cs="Arial"/>
        </w:rPr>
        <w:t>. This ensures that interventions selected based on detailed measurement of impairments are ultimately optimized to maximize patient-defined outcomes (participation and goal achievement).</w:t>
      </w:r>
    </w:p>
    <w:p w14:paraId="188ED419" w14:textId="228CBDF6" w:rsidR="004C7ECA" w:rsidRPr="00E32F84" w:rsidRDefault="00E32F84" w:rsidP="00E32F84">
      <w:pPr>
        <w:pStyle w:val="Body"/>
        <w:spacing w:after="0"/>
        <w:rPr>
          <w:rFonts w:ascii="Arial" w:hAnsi="Arial" w:cs="Arial"/>
          <w:b/>
          <w:bCs/>
          <w:sz w:val="22"/>
          <w:szCs w:val="22"/>
        </w:rPr>
      </w:pPr>
      <w:bookmarkStart w:id="9" w:name="_Toc256000105"/>
      <w:r w:rsidRPr="00E32F84">
        <w:rPr>
          <w:rFonts w:ascii="Arial" w:hAnsi="Arial" w:cs="Arial"/>
          <w:b/>
          <w:bCs/>
          <w:sz w:val="22"/>
          <w:szCs w:val="22"/>
        </w:rPr>
        <w:t>2.</w:t>
      </w:r>
      <w:r w:rsidR="001E7774">
        <w:rPr>
          <w:rFonts w:ascii="Arial" w:hAnsi="Arial" w:cs="Arial"/>
          <w:b/>
          <w:bCs/>
          <w:sz w:val="22"/>
          <w:szCs w:val="22"/>
        </w:rPr>
        <w:t>5</w:t>
      </w:r>
      <w:r w:rsidRPr="00E32F84">
        <w:rPr>
          <w:rFonts w:ascii="Arial" w:hAnsi="Arial" w:cs="Arial"/>
          <w:b/>
          <w:bCs/>
          <w:sz w:val="22"/>
          <w:szCs w:val="22"/>
        </w:rPr>
        <w:t xml:space="preserve"> </w:t>
      </w:r>
      <w:r w:rsidR="004C7ECA" w:rsidRPr="00E32F84">
        <w:rPr>
          <w:rFonts w:ascii="Arial" w:hAnsi="Arial" w:cs="Arial"/>
          <w:b/>
          <w:bCs/>
          <w:sz w:val="22"/>
          <w:szCs w:val="22"/>
        </w:rPr>
        <w:t>The Causal Modeling Approach: Optimal Dynamic Treatment Regimens (ODTR) and Digital Twins</w:t>
      </w:r>
      <w:bookmarkEnd w:id="9"/>
    </w:p>
    <w:p w14:paraId="3A6B9188" w14:textId="77777777" w:rsidR="004C7ECA" w:rsidRPr="004C7ECA" w:rsidRDefault="004C7ECA" w:rsidP="004C7ECA">
      <w:pPr>
        <w:pStyle w:val="Body"/>
        <w:rPr>
          <w:rFonts w:ascii="Arial" w:hAnsi="Arial" w:cs="Arial"/>
        </w:rPr>
      </w:pPr>
      <w:r w:rsidRPr="004C7ECA">
        <w:rPr>
          <w:rFonts w:ascii="Arial" w:hAnsi="Arial" w:cs="Arial"/>
        </w:rPr>
        <w:t xml:space="preserve">The ultimate aim of computational precision neurorehabilitation is not merely to describe or predict recovery but to actively generate </w:t>
      </w:r>
      <w:r w:rsidRPr="004C7ECA">
        <w:rPr>
          <w:rFonts w:ascii="Arial" w:hAnsi="Arial" w:cs="Arial"/>
          <w:b/>
        </w:rPr>
        <w:t>prescriptive</w:t>
      </w:r>
      <w:r w:rsidRPr="004C7ECA">
        <w:rPr>
          <w:rFonts w:ascii="Arial" w:hAnsi="Arial" w:cs="Arial"/>
        </w:rPr>
        <w:t xml:space="preserve"> decision-making strategies. This is formalized through the concept of the </w:t>
      </w:r>
      <w:r w:rsidRPr="004C7ECA">
        <w:rPr>
          <w:rFonts w:ascii="Arial" w:hAnsi="Arial" w:cs="Arial"/>
          <w:b/>
        </w:rPr>
        <w:t>Optimal Dynamic Treatment Regimen (ODTR)</w:t>
      </w:r>
      <w:r w:rsidRPr="004C7ECA">
        <w:rPr>
          <w:rFonts w:ascii="Arial" w:hAnsi="Arial" w:cs="Arial"/>
        </w:rPr>
        <w:t>, which is the decision-making policy that takes a range of available measurements and biomarkers and identifies the subsequent interventions most likely to maximize the patient's long-term function and participation over their lifespan</w:t>
      </w:r>
      <w:hyperlink r:id="rId27" w:anchor="02e7c089b7b737d2ac85ebbb9237018a_ref" w:history="1">
        <w:r w:rsidRPr="004C7ECA">
          <w:rPr>
            <w:rStyle w:val="Hyperlink"/>
            <w:rFonts w:ascii="Arial" w:hAnsi="Arial" w:cs="Arial"/>
          </w:rPr>
          <w:t>(Calderone et al., 2024; Perez-Marcos et al., 2018)</w:t>
        </w:r>
      </w:hyperlink>
      <w:r w:rsidRPr="004C7ECA">
        <w:rPr>
          <w:rFonts w:ascii="Arial" w:hAnsi="Arial" w:cs="Arial"/>
        </w:rPr>
        <w:t>.</w:t>
      </w:r>
    </w:p>
    <w:p w14:paraId="4BBAEF10" w14:textId="77777777" w:rsidR="004C7ECA" w:rsidRPr="004C7ECA" w:rsidRDefault="004C7ECA" w:rsidP="004C7ECA">
      <w:pPr>
        <w:pStyle w:val="Body"/>
        <w:rPr>
          <w:rFonts w:ascii="Arial" w:hAnsi="Arial" w:cs="Arial"/>
        </w:rPr>
      </w:pPr>
      <w:r w:rsidRPr="004C7ECA">
        <w:rPr>
          <w:rFonts w:ascii="Arial" w:hAnsi="Arial" w:cs="Arial"/>
        </w:rPr>
        <w:t>To achieve the ODTR, the field utilizes causal models, often extending the Computational Neurorehabilitation framework with tools from causal inference (CI)</w:t>
      </w:r>
      <w:hyperlink r:id="rId28" w:anchor="e6648c43d63d3edeae7c016547218c5b_ref" w:history="1">
        <w:r w:rsidRPr="004C7ECA">
          <w:rPr>
            <w:rStyle w:val="Hyperlink"/>
            <w:rFonts w:ascii="Arial" w:hAnsi="Arial" w:cs="Arial"/>
          </w:rPr>
          <w:t xml:space="preserve">(Calderone et al., 2024; </w:t>
        </w:r>
        <w:proofErr w:type="spellStart"/>
        <w:r w:rsidRPr="004C7ECA">
          <w:rPr>
            <w:rStyle w:val="Hyperlink"/>
            <w:rFonts w:ascii="Arial" w:hAnsi="Arial" w:cs="Arial"/>
          </w:rPr>
          <w:t>Klaic</w:t>
        </w:r>
        <w:proofErr w:type="spellEnd"/>
        <w:r w:rsidRPr="004C7ECA">
          <w:rPr>
            <w:rStyle w:val="Hyperlink"/>
            <w:rFonts w:ascii="Arial" w:hAnsi="Arial" w:cs="Arial"/>
          </w:rPr>
          <w:t xml:space="preserve"> &amp; Galea, 2020)</w:t>
        </w:r>
      </w:hyperlink>
      <w:r w:rsidRPr="004C7ECA">
        <w:rPr>
          <w:rFonts w:ascii="Arial" w:hAnsi="Arial" w:cs="Arial"/>
        </w:rPr>
        <w:t>. Causal inference is essential because it allows the system to learn from heterogeneous data silos and support or reject mechanistic hypotheses regarding treatment effectiveness. Crucially, these models require detailed documentation of the interventions administered, which is often facilitated by structured systems like the Rehabilitation Treatment Specification System (RTSS), where clinicians document the specific targets, active ingredients, and hypothesized mechanisms of their interventions</w:t>
      </w:r>
      <w:hyperlink r:id="rId29" w:anchor="e6648c43d63d3edeae7c016547218c5b_ref" w:history="1">
        <w:r w:rsidRPr="004C7ECA">
          <w:rPr>
            <w:rStyle w:val="Hyperlink"/>
            <w:rFonts w:ascii="Arial" w:hAnsi="Arial" w:cs="Arial"/>
          </w:rPr>
          <w:t xml:space="preserve">(Calderone et al., 2024; </w:t>
        </w:r>
        <w:proofErr w:type="spellStart"/>
        <w:r w:rsidRPr="004C7ECA">
          <w:rPr>
            <w:rStyle w:val="Hyperlink"/>
            <w:rFonts w:ascii="Arial" w:hAnsi="Arial" w:cs="Arial"/>
          </w:rPr>
          <w:t>Klaic</w:t>
        </w:r>
        <w:proofErr w:type="spellEnd"/>
        <w:r w:rsidRPr="004C7ECA">
          <w:rPr>
            <w:rStyle w:val="Hyperlink"/>
            <w:rFonts w:ascii="Arial" w:hAnsi="Arial" w:cs="Arial"/>
          </w:rPr>
          <w:t xml:space="preserve"> &amp; Galea, 2020; </w:t>
        </w:r>
        <w:proofErr w:type="spellStart"/>
        <w:r w:rsidRPr="004C7ECA">
          <w:rPr>
            <w:rStyle w:val="Hyperlink"/>
            <w:rFonts w:ascii="Arial" w:hAnsi="Arial" w:cs="Arial"/>
          </w:rPr>
          <w:t>Matamala</w:t>
        </w:r>
        <w:proofErr w:type="spellEnd"/>
        <w:r w:rsidRPr="004C7ECA">
          <w:rPr>
            <w:rStyle w:val="Hyperlink"/>
            <w:rFonts w:ascii="Arial" w:hAnsi="Arial" w:cs="Arial"/>
          </w:rPr>
          <w:t>-Gomez et al., 2020)</w:t>
        </w:r>
      </w:hyperlink>
      <w:r w:rsidRPr="004C7ECA">
        <w:rPr>
          <w:rFonts w:ascii="Arial" w:hAnsi="Arial" w:cs="Arial"/>
        </w:rPr>
        <w:t>.</w:t>
      </w:r>
    </w:p>
    <w:p w14:paraId="5D721ECA" w14:textId="77777777" w:rsidR="004C7ECA" w:rsidRPr="004C7ECA" w:rsidRDefault="004C7ECA" w:rsidP="004C7ECA">
      <w:pPr>
        <w:pStyle w:val="Body"/>
        <w:rPr>
          <w:rFonts w:ascii="Arial" w:hAnsi="Arial" w:cs="Arial"/>
        </w:rPr>
      </w:pPr>
      <w:r w:rsidRPr="004C7ECA">
        <w:rPr>
          <w:rFonts w:ascii="Arial" w:hAnsi="Arial" w:cs="Arial"/>
        </w:rPr>
        <w:t xml:space="preserve">Once trained on this multimodal and RTSS-documented data, the causal model serves as a </w:t>
      </w:r>
      <w:r w:rsidRPr="004C7ECA">
        <w:rPr>
          <w:rFonts w:ascii="Arial" w:hAnsi="Arial" w:cs="Arial"/>
          <w:b/>
        </w:rPr>
        <w:t>Digital Twin</w:t>
      </w:r>
      <w:r w:rsidRPr="004C7ECA">
        <w:rPr>
          <w:rFonts w:ascii="Arial" w:hAnsi="Arial" w:cs="Arial"/>
        </w:rPr>
        <w:t xml:space="preserve"> of the patient’s recovery trajectory</w:t>
      </w:r>
      <w:hyperlink r:id="rId30" w:anchor="ddaabf546efb3f499b051209d9cfbb2e_ref" w:history="1">
        <w:r w:rsidRPr="004C7ECA">
          <w:rPr>
            <w:rStyle w:val="Hyperlink"/>
            <w:rFonts w:ascii="Arial" w:hAnsi="Arial" w:cs="Arial"/>
          </w:rPr>
          <w:t>(Cen et al., 2023; Venkatesh et al., 2022)</w:t>
        </w:r>
      </w:hyperlink>
      <w:r w:rsidRPr="004C7ECA">
        <w:rPr>
          <w:rFonts w:ascii="Arial" w:hAnsi="Arial" w:cs="Arial"/>
        </w:rPr>
        <w:t xml:space="preserve">. Borrowed from engineering and precision medicine, the Digital Twin is a dynamic, personalized virtual model of the individual’s system. It enables high-throughput, </w:t>
      </w:r>
      <w:r w:rsidRPr="004C7ECA">
        <w:rPr>
          <w:rFonts w:ascii="Arial" w:hAnsi="Arial" w:cs="Arial"/>
          <w:i/>
        </w:rPr>
        <w:t>in silico</w:t>
      </w:r>
      <w:r w:rsidRPr="004C7ECA">
        <w:rPr>
          <w:rFonts w:ascii="Arial" w:hAnsi="Arial" w:cs="Arial"/>
        </w:rPr>
        <w:t xml:space="preserve"> experiments (simulations) to optimize interventions before they are applied clinically</w:t>
      </w:r>
      <w:hyperlink r:id="rId31" w:anchor="2ef2a89e7402360ba778ed4000aecddd_ref" w:history="1">
        <w:r w:rsidRPr="004C7ECA">
          <w:rPr>
            <w:rStyle w:val="Hyperlink"/>
            <w:rFonts w:ascii="Arial" w:hAnsi="Arial" w:cs="Arial"/>
          </w:rPr>
          <w:t>(</w:t>
        </w:r>
        <w:proofErr w:type="spellStart"/>
        <w:r w:rsidRPr="004C7ECA">
          <w:rPr>
            <w:rStyle w:val="Hyperlink"/>
            <w:rFonts w:ascii="Arial" w:hAnsi="Arial" w:cs="Arial"/>
          </w:rPr>
          <w:t>Rovati</w:t>
        </w:r>
        <w:proofErr w:type="spellEnd"/>
        <w:r w:rsidRPr="004C7ECA">
          <w:rPr>
            <w:rStyle w:val="Hyperlink"/>
            <w:rFonts w:ascii="Arial" w:hAnsi="Arial" w:cs="Arial"/>
          </w:rPr>
          <w:t xml:space="preserve"> et al., 2024)</w:t>
        </w:r>
      </w:hyperlink>
      <w:r w:rsidRPr="004C7ECA">
        <w:rPr>
          <w:rFonts w:ascii="Arial" w:hAnsi="Arial" w:cs="Arial"/>
        </w:rPr>
        <w:t xml:space="preserve">. For example, using empirically derived values for recovery potential, baseline impairment, and therapy dose, the model can estimate expected functional improvement </w:t>
      </w:r>
      <w:r w:rsidRPr="004C7ECA">
        <w:rPr>
          <w:rFonts w:ascii="Arial" w:hAnsi="Arial" w:cs="Arial"/>
        </w:rPr>
        <w:lastRenderedPageBreak/>
        <w:t>over time and predict whether a target discharge level will be met within a specified period</w:t>
      </w:r>
      <w:hyperlink r:id="rId32" w:anchor="2ef2a89e7402360ba778ed4000aecddd_ref" w:history="1">
        <w:r w:rsidRPr="004C7ECA">
          <w:rPr>
            <w:rStyle w:val="Hyperlink"/>
            <w:rFonts w:ascii="Arial" w:hAnsi="Arial" w:cs="Arial"/>
          </w:rPr>
          <w:t>(</w:t>
        </w:r>
        <w:proofErr w:type="spellStart"/>
        <w:r w:rsidRPr="004C7ECA">
          <w:rPr>
            <w:rStyle w:val="Hyperlink"/>
            <w:rFonts w:ascii="Arial" w:hAnsi="Arial" w:cs="Arial"/>
          </w:rPr>
          <w:t>Rovati</w:t>
        </w:r>
        <w:proofErr w:type="spellEnd"/>
        <w:r w:rsidRPr="004C7ECA">
          <w:rPr>
            <w:rStyle w:val="Hyperlink"/>
            <w:rFonts w:ascii="Arial" w:hAnsi="Arial" w:cs="Arial"/>
          </w:rPr>
          <w:t xml:space="preserve"> et al., 2024; </w:t>
        </w:r>
        <w:proofErr w:type="spellStart"/>
        <w:r w:rsidRPr="004C7ECA">
          <w:rPr>
            <w:rStyle w:val="Hyperlink"/>
            <w:rFonts w:ascii="Arial" w:hAnsi="Arial" w:cs="Arial"/>
          </w:rPr>
          <w:t>Vallée</w:t>
        </w:r>
        <w:proofErr w:type="spellEnd"/>
        <w:r w:rsidRPr="004C7ECA">
          <w:rPr>
            <w:rStyle w:val="Hyperlink"/>
            <w:rFonts w:ascii="Arial" w:hAnsi="Arial" w:cs="Arial"/>
          </w:rPr>
          <w:t>, 2023)</w:t>
        </w:r>
      </w:hyperlink>
      <w:r w:rsidRPr="004C7ECA">
        <w:rPr>
          <w:rFonts w:ascii="Arial" w:hAnsi="Arial" w:cs="Arial"/>
        </w:rPr>
        <w:t>.</w:t>
      </w:r>
    </w:p>
    <w:p w14:paraId="7E140D63" w14:textId="77777777" w:rsidR="004C7ECA" w:rsidRPr="004C7ECA" w:rsidRDefault="004C7ECA" w:rsidP="004C7ECA">
      <w:pPr>
        <w:pStyle w:val="Body"/>
        <w:rPr>
          <w:rFonts w:ascii="Arial" w:hAnsi="Arial" w:cs="Arial"/>
        </w:rPr>
      </w:pPr>
      <w:r w:rsidRPr="004C7ECA">
        <w:rPr>
          <w:rFonts w:ascii="Arial" w:hAnsi="Arial" w:cs="Arial"/>
        </w:rPr>
        <w:t>This modeling transforms prognostic insight into actionable clinical policy. Traditional outcome prediction is passive. In contrast, the Digital Twin, built using causal inference, allows for active simulation of competing intervention options (Type A vs. Type B, Dose X vs. Dose Y). The ODTR searches the space of possible interventions through "rollouts over time" to find the strategy that maximizes the patient’s long-term function</w:t>
      </w:r>
      <w:hyperlink r:id="rId33" w:anchor="204d1bef2eaa3488adc61c0790230247_ref" w:history="1">
        <w:r w:rsidRPr="004C7ECA">
          <w:rPr>
            <w:rStyle w:val="Hyperlink"/>
            <w:rFonts w:ascii="Arial" w:hAnsi="Arial" w:cs="Arial"/>
          </w:rPr>
          <w:t>(</w:t>
        </w:r>
        <w:proofErr w:type="spellStart"/>
        <w:r w:rsidRPr="004C7ECA">
          <w:rPr>
            <w:rStyle w:val="Hyperlink"/>
            <w:rFonts w:ascii="Arial" w:hAnsi="Arial" w:cs="Arial"/>
          </w:rPr>
          <w:t>Anuyah</w:t>
        </w:r>
        <w:proofErr w:type="spellEnd"/>
        <w:r w:rsidRPr="004C7ECA">
          <w:rPr>
            <w:rStyle w:val="Hyperlink"/>
            <w:rFonts w:ascii="Arial" w:hAnsi="Arial" w:cs="Arial"/>
          </w:rPr>
          <w:t xml:space="preserve"> et al., 2024)</w:t>
        </w:r>
      </w:hyperlink>
      <w:r w:rsidRPr="004C7ECA">
        <w:rPr>
          <w:rFonts w:ascii="Arial" w:hAnsi="Arial" w:cs="Arial"/>
        </w:rPr>
        <w:t xml:space="preserve">. This provides the clinician with a recommendation for </w:t>
      </w:r>
      <w:r w:rsidRPr="004C7ECA">
        <w:rPr>
          <w:rFonts w:ascii="Arial" w:hAnsi="Arial" w:cs="Arial"/>
          <w:i/>
        </w:rPr>
        <w:t>what should be done next</w:t>
      </w:r>
      <w:r w:rsidRPr="004C7ECA">
        <w:rPr>
          <w:rFonts w:ascii="Arial" w:hAnsi="Arial" w:cs="Arial"/>
        </w:rPr>
        <w:t xml:space="preserve"> to optimize recovery. The process is longitudinal and iterative: the patient’s phenotype is established, the ODTR predicts the next intervention, the intervention is applied, and the process repeats after new measurements are obtained </w:t>
      </w:r>
      <w:hyperlink r:id="rId34" w:anchor="e6648c43d63d3edeae7c016547218c5b_ref" w:history="1">
        <w:r w:rsidRPr="004C7ECA">
          <w:rPr>
            <w:rStyle w:val="Hyperlink"/>
            <w:rFonts w:ascii="Arial" w:hAnsi="Arial" w:cs="Arial"/>
          </w:rPr>
          <w:t xml:space="preserve">(Calderone et al., 2024; </w:t>
        </w:r>
        <w:proofErr w:type="spellStart"/>
        <w:r w:rsidRPr="004C7ECA">
          <w:rPr>
            <w:rStyle w:val="Hyperlink"/>
            <w:rFonts w:ascii="Arial" w:hAnsi="Arial" w:cs="Arial"/>
          </w:rPr>
          <w:t>Klaic</w:t>
        </w:r>
        <w:proofErr w:type="spellEnd"/>
        <w:r w:rsidRPr="004C7ECA">
          <w:rPr>
            <w:rStyle w:val="Hyperlink"/>
            <w:rFonts w:ascii="Arial" w:hAnsi="Arial" w:cs="Arial"/>
          </w:rPr>
          <w:t xml:space="preserve"> &amp; Galea, 2020; </w:t>
        </w:r>
        <w:proofErr w:type="spellStart"/>
        <w:r w:rsidRPr="004C7ECA">
          <w:rPr>
            <w:rStyle w:val="Hyperlink"/>
            <w:rFonts w:ascii="Arial" w:hAnsi="Arial" w:cs="Arial"/>
          </w:rPr>
          <w:t>Matamala</w:t>
        </w:r>
        <w:proofErr w:type="spellEnd"/>
        <w:r w:rsidRPr="004C7ECA">
          <w:rPr>
            <w:rStyle w:val="Hyperlink"/>
            <w:rFonts w:ascii="Arial" w:hAnsi="Arial" w:cs="Arial"/>
          </w:rPr>
          <w:t>-Gomez et al., 2020)</w:t>
        </w:r>
      </w:hyperlink>
      <w:r w:rsidRPr="004C7ECA">
        <w:rPr>
          <w:rFonts w:ascii="Arial" w:hAnsi="Arial" w:cs="Arial"/>
        </w:rPr>
        <w:t>.</w:t>
      </w:r>
    </w:p>
    <w:p w14:paraId="62527F48" w14:textId="77777777" w:rsidR="004C7ECA" w:rsidRPr="00E32F84" w:rsidRDefault="00E32F84" w:rsidP="00E32F84">
      <w:pPr>
        <w:pStyle w:val="Body"/>
        <w:spacing w:after="0"/>
        <w:jc w:val="left"/>
        <w:rPr>
          <w:rFonts w:ascii="Arial" w:hAnsi="Arial" w:cs="Arial"/>
          <w:b/>
          <w:bCs/>
          <w:sz w:val="24"/>
          <w:szCs w:val="24"/>
        </w:rPr>
      </w:pPr>
      <w:r w:rsidRPr="00E32F84">
        <w:rPr>
          <w:rFonts w:ascii="Arial" w:hAnsi="Arial" w:cs="Arial"/>
          <w:b/>
          <w:bCs/>
          <w:sz w:val="24"/>
          <w:szCs w:val="24"/>
        </w:rPr>
        <w:t>3</w:t>
      </w:r>
      <w:r w:rsidR="004C7ECA" w:rsidRPr="00E32F84">
        <w:rPr>
          <w:rFonts w:ascii="Arial" w:hAnsi="Arial" w:cs="Arial"/>
          <w:b/>
          <w:bCs/>
          <w:sz w:val="24"/>
          <w:szCs w:val="24"/>
        </w:rPr>
        <w:t xml:space="preserve">. </w:t>
      </w:r>
      <w:bookmarkStart w:id="10" w:name="_Toc256000106"/>
      <w:r w:rsidR="004C7ECA" w:rsidRPr="00E32F84">
        <w:rPr>
          <w:rFonts w:ascii="Arial" w:hAnsi="Arial" w:cs="Arial"/>
          <w:b/>
          <w:bCs/>
          <w:sz w:val="24"/>
          <w:szCs w:val="24"/>
        </w:rPr>
        <w:t>Neurobiological Biomarkers in Precision Rehabilitation</w:t>
      </w:r>
      <w:bookmarkEnd w:id="10"/>
    </w:p>
    <w:p w14:paraId="11E9D1CA" w14:textId="77777777" w:rsidR="004C7ECA" w:rsidRPr="004C7ECA" w:rsidRDefault="004C7ECA" w:rsidP="004C7ECA">
      <w:pPr>
        <w:pStyle w:val="Body"/>
        <w:rPr>
          <w:rFonts w:ascii="Arial" w:hAnsi="Arial" w:cs="Arial"/>
        </w:rPr>
      </w:pPr>
      <w:r w:rsidRPr="004C7ECA">
        <w:rPr>
          <w:rFonts w:ascii="Arial" w:hAnsi="Arial" w:cs="Arial"/>
        </w:rPr>
        <w:t>Biomarkers provide quantifiable biological characteristics that inform prognosis, track disease progression, and predict responsiveness to targeted therapy. Precision neurorehabilitation requires biomarkers that operate across temporal scales, from minute-by-minute neural activity to long-term genetic predisposition.</w:t>
      </w:r>
    </w:p>
    <w:p w14:paraId="5221E3AF" w14:textId="77777777" w:rsidR="004C7ECA" w:rsidRPr="00E32F84" w:rsidRDefault="00E32F84" w:rsidP="00E32F84">
      <w:pPr>
        <w:pStyle w:val="Body"/>
        <w:spacing w:after="0"/>
        <w:rPr>
          <w:rFonts w:ascii="Arial" w:hAnsi="Arial" w:cs="Arial"/>
          <w:b/>
          <w:bCs/>
          <w:sz w:val="22"/>
          <w:szCs w:val="22"/>
        </w:rPr>
      </w:pPr>
      <w:bookmarkStart w:id="11" w:name="_Toc256000107"/>
      <w:r w:rsidRPr="00E32F84">
        <w:rPr>
          <w:rFonts w:ascii="Arial" w:hAnsi="Arial" w:cs="Arial"/>
          <w:b/>
          <w:bCs/>
          <w:sz w:val="22"/>
          <w:szCs w:val="22"/>
        </w:rPr>
        <w:t>3</w:t>
      </w:r>
      <w:r w:rsidR="004C7ECA" w:rsidRPr="00E32F84">
        <w:rPr>
          <w:rFonts w:ascii="Arial" w:hAnsi="Arial" w:cs="Arial"/>
          <w:b/>
          <w:bCs/>
          <w:sz w:val="22"/>
          <w:szCs w:val="22"/>
        </w:rPr>
        <w:t>.1 Electrophysiological Markers: Real-Time Neural Signatures</w:t>
      </w:r>
      <w:bookmarkEnd w:id="11"/>
    </w:p>
    <w:p w14:paraId="79289E57" w14:textId="77777777" w:rsidR="004C7ECA" w:rsidRPr="004C7ECA" w:rsidRDefault="004C7ECA" w:rsidP="004C7ECA">
      <w:pPr>
        <w:pStyle w:val="Body"/>
        <w:rPr>
          <w:rFonts w:ascii="Arial" w:hAnsi="Arial" w:cs="Arial"/>
        </w:rPr>
      </w:pPr>
      <w:r w:rsidRPr="004C7ECA">
        <w:rPr>
          <w:rFonts w:ascii="Arial" w:hAnsi="Arial" w:cs="Arial"/>
        </w:rPr>
        <w:t>Electrophysiological markers, primarily derived from EEG and event-related potentials (ERPs), offer high temporal resolution, making them uniquely suited for monitoring instantaneous brain state and recovery dynamics.</w:t>
      </w:r>
    </w:p>
    <w:p w14:paraId="264F73C8" w14:textId="77777777" w:rsidR="004C7ECA" w:rsidRPr="00E32F84" w:rsidRDefault="00E32F84" w:rsidP="004C7ECA">
      <w:pPr>
        <w:pStyle w:val="Body"/>
        <w:rPr>
          <w:rFonts w:ascii="Arial" w:hAnsi="Arial" w:cs="Arial"/>
          <w:b/>
          <w:bCs/>
        </w:rPr>
      </w:pPr>
      <w:r>
        <w:rPr>
          <w:rFonts w:ascii="Arial" w:hAnsi="Arial" w:cs="Arial"/>
          <w:b/>
          <w:bCs/>
        </w:rPr>
        <w:t xml:space="preserve">3.1.1 </w:t>
      </w:r>
      <w:r w:rsidR="004C7ECA" w:rsidRPr="00E32F84">
        <w:rPr>
          <w:rFonts w:ascii="Arial" w:hAnsi="Arial" w:cs="Arial"/>
          <w:b/>
          <w:bCs/>
        </w:rPr>
        <w:t>EEG Signatures and Predictive Value</w:t>
      </w:r>
    </w:p>
    <w:p w14:paraId="51198304" w14:textId="77777777" w:rsidR="004C7ECA" w:rsidRPr="004C7ECA" w:rsidRDefault="004C7ECA" w:rsidP="004C7ECA">
      <w:pPr>
        <w:pStyle w:val="Body"/>
        <w:rPr>
          <w:rFonts w:ascii="Arial" w:hAnsi="Arial" w:cs="Arial"/>
        </w:rPr>
      </w:pPr>
      <w:r w:rsidRPr="004C7ECA">
        <w:rPr>
          <w:rFonts w:ascii="Arial" w:hAnsi="Arial" w:cs="Arial"/>
        </w:rPr>
        <w:t>Resting-state EEG features, such as alpha/mu asymmetry and changes in theta power, are associated with motor recovery potential following stroke. Advanced EEG analysis methods—including source localization, microstate segmentation, and graph theory—are increasingly used to characterize network-level dysfunction and reorganization, moving beyond simple power spectral analysis</w:t>
      </w:r>
      <w:hyperlink r:id="rId35" w:anchor="6d9a6429fdfe3ff3987bb6a132eb74e2_ref" w:history="1">
        <w:r w:rsidRPr="004C7ECA">
          <w:rPr>
            <w:rStyle w:val="Hyperlink"/>
            <w:rFonts w:ascii="Arial" w:hAnsi="Arial" w:cs="Arial"/>
          </w:rPr>
          <w:t>(Lin et al., 2024)</w:t>
        </w:r>
      </w:hyperlink>
      <w:r w:rsidRPr="004C7ECA">
        <w:rPr>
          <w:rFonts w:ascii="Arial" w:hAnsi="Arial" w:cs="Arial"/>
        </w:rPr>
        <w:t>.</w:t>
      </w:r>
    </w:p>
    <w:p w14:paraId="5AC4159B" w14:textId="77777777" w:rsidR="004C7ECA" w:rsidRPr="004C7ECA" w:rsidRDefault="004C7ECA" w:rsidP="004C7ECA">
      <w:pPr>
        <w:pStyle w:val="Body"/>
        <w:rPr>
          <w:rFonts w:ascii="Arial" w:hAnsi="Arial" w:cs="Arial"/>
        </w:rPr>
      </w:pPr>
      <w:r w:rsidRPr="004C7ECA">
        <w:rPr>
          <w:rFonts w:ascii="Arial" w:hAnsi="Arial" w:cs="Arial"/>
        </w:rPr>
        <w:t>Wearable EEG devices, combined with machine learning (ML) algorithms, demonstrate significant clinical utility in providing early warning signals. For instance, models like Support Vector Machine (SVM) and Gradient Boosting, leveraging features like EEG signal entropy and alpha asymmetry, have achieved high predictive accuracy (Area Under Curve [AUC] = 0.91) for neurovascular relapses. This research indicates that subtle electrophysiological changes—undetectable through traditional clinical monitoring—can be detected up to 72 hours in advance of a relapse event in a majority of cases (81.2%) (Edward, Emily. (2025). Application of Wearable EEG in Predicting Neurovascular Disorder Relapses)</w:t>
      </w:r>
      <w:hyperlink r:id="rId36" w:anchor="7fafb750018030a9a34fb00b04f50f70_ref" w:history="1">
        <w:r w:rsidRPr="004C7ECA">
          <w:rPr>
            <w:rStyle w:val="Hyperlink"/>
            <w:rFonts w:ascii="Arial" w:hAnsi="Arial" w:cs="Arial"/>
          </w:rPr>
          <w:t>(</w:t>
        </w:r>
        <w:proofErr w:type="spellStart"/>
        <w:r w:rsidRPr="004C7ECA">
          <w:rPr>
            <w:rStyle w:val="Hyperlink"/>
            <w:rFonts w:ascii="Arial" w:hAnsi="Arial" w:cs="Arial"/>
          </w:rPr>
          <w:t>Gkintoni</w:t>
        </w:r>
        <w:proofErr w:type="spellEnd"/>
        <w:r w:rsidRPr="004C7ECA">
          <w:rPr>
            <w:rStyle w:val="Hyperlink"/>
            <w:rFonts w:ascii="Arial" w:hAnsi="Arial" w:cs="Arial"/>
          </w:rPr>
          <w:t xml:space="preserve"> et al., 2025; Yang et al., 2023)</w:t>
        </w:r>
      </w:hyperlink>
      <w:r w:rsidRPr="004C7ECA">
        <w:rPr>
          <w:rFonts w:ascii="Arial" w:hAnsi="Arial" w:cs="Arial"/>
        </w:rPr>
        <w:t>. This preemptive capability is vital for dynamic ODTR systems, enabling the initiation of preventative interventions before deterioration becomes clinically significant, thereby distinguishing these markers from retrospective prognostic measures.</w:t>
      </w:r>
    </w:p>
    <w:p w14:paraId="2F7DBD64" w14:textId="77777777" w:rsidR="004C7ECA" w:rsidRPr="00E32F84" w:rsidRDefault="00E32F84" w:rsidP="004C7ECA">
      <w:pPr>
        <w:pStyle w:val="Body"/>
        <w:rPr>
          <w:rFonts w:ascii="Arial" w:hAnsi="Arial" w:cs="Arial"/>
          <w:b/>
          <w:bCs/>
        </w:rPr>
      </w:pPr>
      <w:r>
        <w:rPr>
          <w:rFonts w:ascii="Arial" w:hAnsi="Arial" w:cs="Arial"/>
          <w:b/>
          <w:bCs/>
        </w:rPr>
        <w:t xml:space="preserve">3.1.2 </w:t>
      </w:r>
      <w:r w:rsidR="004C7ECA" w:rsidRPr="00E32F84">
        <w:rPr>
          <w:rFonts w:ascii="Arial" w:hAnsi="Arial" w:cs="Arial"/>
          <w:b/>
          <w:bCs/>
        </w:rPr>
        <w:t>Event-Related Potentials (ERPs) as Cognitive Recovery Markers</w:t>
      </w:r>
    </w:p>
    <w:p w14:paraId="05D77641" w14:textId="77777777" w:rsidR="004C7ECA" w:rsidRPr="004C7ECA" w:rsidRDefault="004C7ECA" w:rsidP="004C7ECA">
      <w:pPr>
        <w:pStyle w:val="Body"/>
        <w:rPr>
          <w:rFonts w:ascii="Arial" w:hAnsi="Arial" w:cs="Arial"/>
        </w:rPr>
      </w:pPr>
      <w:r w:rsidRPr="004C7ECA">
        <w:rPr>
          <w:rFonts w:ascii="Arial" w:hAnsi="Arial" w:cs="Arial"/>
        </w:rPr>
        <w:t>ERPs, which reflect the brain's response to specific stimuli, are powerful tools for monitoring cognitive recovery. Components such as the P300, Mismatch Negativity (MMN), and N400 demonstrate potential as early biomarkers for detecting and monitoring cognitive impairment</w:t>
      </w:r>
      <w:hyperlink r:id="rId37" w:anchor="7d34ab1f987732498582dd052e88b44d_ref" w:history="1">
        <w:r w:rsidRPr="004C7ECA">
          <w:rPr>
            <w:rStyle w:val="Hyperlink"/>
            <w:rFonts w:ascii="Arial" w:hAnsi="Arial" w:cs="Arial"/>
          </w:rPr>
          <w:t>(</w:t>
        </w:r>
        <w:proofErr w:type="spellStart"/>
        <w:r w:rsidRPr="004C7ECA">
          <w:rPr>
            <w:rStyle w:val="Hyperlink"/>
            <w:rFonts w:ascii="Arial" w:hAnsi="Arial" w:cs="Arial"/>
          </w:rPr>
          <w:t>Gkintoni</w:t>
        </w:r>
        <w:proofErr w:type="spellEnd"/>
        <w:r w:rsidRPr="004C7ECA">
          <w:rPr>
            <w:rStyle w:val="Hyperlink"/>
            <w:rFonts w:ascii="Arial" w:hAnsi="Arial" w:cs="Arial"/>
          </w:rPr>
          <w:t xml:space="preserve"> et al., 2025)</w:t>
        </w:r>
      </w:hyperlink>
      <w:r w:rsidRPr="004C7ECA">
        <w:rPr>
          <w:rFonts w:ascii="Arial" w:hAnsi="Arial" w:cs="Arial"/>
        </w:rPr>
        <w:t xml:space="preserve">. In patients with mild cognitive impairment (MCI), biosignatures derived from ERP tasks, such as visual memory and attention tasks, show crucial differences compared to healthy controls (HC). Specifically, the MCI group often </w:t>
      </w:r>
      <w:r w:rsidRPr="004C7ECA">
        <w:rPr>
          <w:rFonts w:ascii="Arial" w:hAnsi="Arial" w:cs="Arial"/>
        </w:rPr>
        <w:lastRenderedPageBreak/>
        <w:t>exhibits a reduced ERP late positive potential (LPP), delayed ERP early component latency, and decreased response accuracy</w:t>
      </w:r>
      <w:hyperlink r:id="rId38" w:anchor="6b5ae4e4f0ab32e09edf25dff830e23d_ref" w:history="1">
        <w:r w:rsidRPr="004C7ECA">
          <w:rPr>
            <w:rStyle w:val="Hyperlink"/>
            <w:rFonts w:ascii="Arial" w:hAnsi="Arial" w:cs="Arial"/>
          </w:rPr>
          <w:t>(</w:t>
        </w:r>
        <w:proofErr w:type="spellStart"/>
        <w:r w:rsidRPr="004C7ECA">
          <w:rPr>
            <w:rStyle w:val="Hyperlink"/>
            <w:rFonts w:ascii="Arial" w:hAnsi="Arial" w:cs="Arial"/>
          </w:rPr>
          <w:t>Meghdadi</w:t>
        </w:r>
        <w:proofErr w:type="spellEnd"/>
        <w:r w:rsidRPr="004C7ECA">
          <w:rPr>
            <w:rStyle w:val="Hyperlink"/>
            <w:rFonts w:ascii="Arial" w:hAnsi="Arial" w:cs="Arial"/>
          </w:rPr>
          <w:t xml:space="preserve"> et al., 2024)</w:t>
        </w:r>
      </w:hyperlink>
      <w:r w:rsidRPr="004C7ECA">
        <w:rPr>
          <w:rFonts w:ascii="Arial" w:hAnsi="Arial" w:cs="Arial"/>
        </w:rPr>
        <w:t>.</w:t>
      </w:r>
    </w:p>
    <w:p w14:paraId="35E055AF" w14:textId="77777777" w:rsidR="004C7ECA" w:rsidRPr="004C7ECA" w:rsidRDefault="004C7ECA" w:rsidP="004C7ECA">
      <w:pPr>
        <w:pStyle w:val="Body"/>
        <w:rPr>
          <w:rFonts w:ascii="Arial" w:hAnsi="Arial" w:cs="Arial"/>
        </w:rPr>
      </w:pPr>
      <w:r w:rsidRPr="004C7ECA">
        <w:rPr>
          <w:rFonts w:ascii="Arial" w:hAnsi="Arial" w:cs="Arial"/>
        </w:rPr>
        <w:t xml:space="preserve">The utility of EEG/ERP extends to reliable longitudinal monitoring. Classification scores derived from SVM classifiers trained on aggregate biosignatures (achieving AUC = 0.89 at baseline) demonstrated high test-retest reliability over follow-up visits (Intraclass Correlation Coefficient [ICC] = 0.84) </w:t>
      </w:r>
      <w:hyperlink r:id="rId39" w:anchor="6b5ae4e4f0ab32e09edf25dff830e23d_ref" w:history="1">
        <w:r w:rsidRPr="004C7ECA">
          <w:rPr>
            <w:rStyle w:val="Hyperlink"/>
            <w:rFonts w:ascii="Arial" w:hAnsi="Arial" w:cs="Arial"/>
          </w:rPr>
          <w:t>(</w:t>
        </w:r>
        <w:proofErr w:type="spellStart"/>
        <w:r w:rsidRPr="004C7ECA">
          <w:rPr>
            <w:rStyle w:val="Hyperlink"/>
            <w:rFonts w:ascii="Arial" w:hAnsi="Arial" w:cs="Arial"/>
          </w:rPr>
          <w:t>Meghdadi</w:t>
        </w:r>
        <w:proofErr w:type="spellEnd"/>
        <w:r w:rsidRPr="004C7ECA">
          <w:rPr>
            <w:rStyle w:val="Hyperlink"/>
            <w:rFonts w:ascii="Arial" w:hAnsi="Arial" w:cs="Arial"/>
          </w:rPr>
          <w:t xml:space="preserve"> et al., 2024)</w:t>
        </w:r>
      </w:hyperlink>
      <w:r w:rsidRPr="004C7ECA">
        <w:rPr>
          <w:rFonts w:ascii="Arial" w:hAnsi="Arial" w:cs="Arial"/>
        </w:rPr>
        <w:t>. This robust repeatability supports the use of EEG/ERP for prognostic testing, repeated assessments, and tracking treatment outcomes within the limited duration of clinical trials.</w:t>
      </w:r>
    </w:p>
    <w:p w14:paraId="7A43EBA5" w14:textId="77777777" w:rsidR="004C7ECA" w:rsidRPr="00E32F84" w:rsidRDefault="00E32F84" w:rsidP="004C7ECA">
      <w:pPr>
        <w:pStyle w:val="Body"/>
        <w:rPr>
          <w:rFonts w:ascii="Arial" w:hAnsi="Arial" w:cs="Arial"/>
          <w:b/>
          <w:bCs/>
        </w:rPr>
      </w:pPr>
      <w:r>
        <w:rPr>
          <w:rFonts w:ascii="Arial" w:hAnsi="Arial" w:cs="Arial"/>
          <w:b/>
          <w:bCs/>
        </w:rPr>
        <w:t xml:space="preserve">3.1.3 </w:t>
      </w:r>
      <w:r w:rsidR="004C7ECA" w:rsidRPr="00E32F84">
        <w:rPr>
          <w:rFonts w:ascii="Arial" w:hAnsi="Arial" w:cs="Arial"/>
          <w:b/>
          <w:bCs/>
        </w:rPr>
        <w:t>Biomarker Discovery and Interpretability</w:t>
      </w:r>
    </w:p>
    <w:p w14:paraId="1AB40750" w14:textId="77777777" w:rsidR="004C7ECA" w:rsidRPr="004C7ECA" w:rsidRDefault="004C7ECA" w:rsidP="004C7ECA">
      <w:pPr>
        <w:pStyle w:val="Body"/>
        <w:rPr>
          <w:rFonts w:ascii="Arial" w:hAnsi="Arial" w:cs="Arial"/>
        </w:rPr>
      </w:pPr>
      <w:r w:rsidRPr="004C7ECA">
        <w:rPr>
          <w:rFonts w:ascii="Arial" w:hAnsi="Arial" w:cs="Arial"/>
        </w:rPr>
        <w:t>While deep learning models have shown impressive performance in EEG-based prediction, they often suffer from a lack of interpretability. Novel self-supervised learning (SSL) frameworks are being explored to overcome this. These approaches aim to derive robust biomarkers, such as residuals quantifying deviations from normative brain dynamics, grounded in neurophysiology. This methodology promotes biomarker discovery that is transparent and clinically relevant, even though performance in predicting complex downstream proxies (e.g., plasma p-tau217 levels) may still be limited by the signal or proxy quality</w:t>
      </w:r>
      <w:hyperlink r:id="rId40" w:anchor="28381f0e9a513069a8ca3f45551c7df7_ref" w:history="1">
        <w:r w:rsidRPr="004C7ECA">
          <w:rPr>
            <w:rStyle w:val="Hyperlink"/>
            <w:rFonts w:ascii="Arial" w:hAnsi="Arial" w:cs="Arial"/>
          </w:rPr>
          <w:t xml:space="preserve">(Banville et al., 2021; </w:t>
        </w:r>
        <w:proofErr w:type="spellStart"/>
        <w:r w:rsidRPr="004C7ECA">
          <w:rPr>
            <w:rStyle w:val="Hyperlink"/>
            <w:rFonts w:ascii="Arial" w:hAnsi="Arial" w:cs="Arial"/>
          </w:rPr>
          <w:t>Bomatter</w:t>
        </w:r>
        <w:proofErr w:type="spellEnd"/>
        <w:r w:rsidRPr="004C7ECA">
          <w:rPr>
            <w:rStyle w:val="Hyperlink"/>
            <w:rFonts w:ascii="Arial" w:hAnsi="Arial" w:cs="Arial"/>
          </w:rPr>
          <w:t xml:space="preserve"> et al., 2023)</w:t>
        </w:r>
      </w:hyperlink>
      <w:r w:rsidRPr="004C7ECA">
        <w:rPr>
          <w:rFonts w:ascii="Arial" w:hAnsi="Arial" w:cs="Arial"/>
        </w:rPr>
        <w:t>.</w:t>
      </w:r>
    </w:p>
    <w:p w14:paraId="078950F9" w14:textId="77777777" w:rsidR="004C7ECA" w:rsidRPr="00E32F84" w:rsidRDefault="00E32F84" w:rsidP="00E32F84">
      <w:pPr>
        <w:pStyle w:val="Body"/>
        <w:spacing w:after="0"/>
        <w:rPr>
          <w:rFonts w:ascii="Arial" w:hAnsi="Arial" w:cs="Arial"/>
          <w:b/>
          <w:bCs/>
          <w:sz w:val="22"/>
          <w:szCs w:val="22"/>
        </w:rPr>
      </w:pPr>
      <w:bookmarkStart w:id="12" w:name="_Toc256000108"/>
      <w:r w:rsidRPr="00E32F84">
        <w:rPr>
          <w:rFonts w:ascii="Arial" w:hAnsi="Arial" w:cs="Arial"/>
          <w:b/>
          <w:bCs/>
          <w:sz w:val="22"/>
          <w:szCs w:val="22"/>
        </w:rPr>
        <w:t>3</w:t>
      </w:r>
      <w:r w:rsidR="004C7ECA" w:rsidRPr="00E32F84">
        <w:rPr>
          <w:rFonts w:ascii="Arial" w:hAnsi="Arial" w:cs="Arial"/>
          <w:b/>
          <w:bCs/>
          <w:sz w:val="22"/>
          <w:szCs w:val="22"/>
        </w:rPr>
        <w:t>.2 Molecular &amp; Genetic Biomarkers: The Deep Biological Context</w:t>
      </w:r>
      <w:bookmarkEnd w:id="12"/>
    </w:p>
    <w:p w14:paraId="39F409D1" w14:textId="77777777" w:rsidR="004C7ECA" w:rsidRPr="004C7ECA" w:rsidRDefault="004C7ECA" w:rsidP="004C7ECA">
      <w:pPr>
        <w:pStyle w:val="Body"/>
        <w:rPr>
          <w:rFonts w:ascii="Arial" w:hAnsi="Arial" w:cs="Arial"/>
        </w:rPr>
      </w:pPr>
      <w:r w:rsidRPr="004C7ECA">
        <w:rPr>
          <w:rFonts w:ascii="Arial" w:hAnsi="Arial" w:cs="Arial"/>
        </w:rPr>
        <w:t>Molecular and genetic markers provide deep biological context, reflecting injury severity, inflammatory state, and inherent neuroplastic potential.</w:t>
      </w:r>
    </w:p>
    <w:p w14:paraId="62297AF4" w14:textId="77777777" w:rsidR="004C7ECA" w:rsidRPr="00E32F84" w:rsidRDefault="00E32F84" w:rsidP="004C7ECA">
      <w:pPr>
        <w:pStyle w:val="Body"/>
        <w:rPr>
          <w:rFonts w:ascii="Arial" w:hAnsi="Arial" w:cs="Arial"/>
          <w:b/>
          <w:bCs/>
        </w:rPr>
      </w:pPr>
      <w:r w:rsidRPr="00E32F84">
        <w:rPr>
          <w:rFonts w:ascii="Arial" w:hAnsi="Arial" w:cs="Arial"/>
          <w:b/>
          <w:bCs/>
        </w:rPr>
        <w:t xml:space="preserve">3.2.1 </w:t>
      </w:r>
      <w:r w:rsidR="004C7ECA" w:rsidRPr="00E32F84">
        <w:rPr>
          <w:rFonts w:ascii="Arial" w:hAnsi="Arial" w:cs="Arial"/>
          <w:b/>
          <w:bCs/>
        </w:rPr>
        <w:t>Neuroaxonal Integrity and Inflammatory Status</w:t>
      </w:r>
    </w:p>
    <w:p w14:paraId="6C5ECF49" w14:textId="77777777" w:rsidR="004C7ECA" w:rsidRPr="004C7ECA" w:rsidRDefault="004C7ECA" w:rsidP="004C7ECA">
      <w:pPr>
        <w:pStyle w:val="Body"/>
        <w:rPr>
          <w:rFonts w:ascii="Arial" w:hAnsi="Arial" w:cs="Arial"/>
        </w:rPr>
      </w:pPr>
      <w:r w:rsidRPr="004C7ECA">
        <w:rPr>
          <w:rFonts w:ascii="Arial" w:hAnsi="Arial" w:cs="Arial"/>
        </w:rPr>
        <w:t>Neurofilament light chain (NFL), a cytoskeletal protein released during neuroaxonal injury, has become a widely accepted circulating marker of the severity of the neurological condition and the integrity of neurons</w:t>
      </w:r>
      <w:hyperlink r:id="rId41" w:anchor="183decb506a1314cb55ff8deb44c3fdb_ref" w:history="1">
        <w:r w:rsidRPr="004C7ECA">
          <w:rPr>
            <w:rStyle w:val="Hyperlink"/>
            <w:rFonts w:ascii="Arial" w:hAnsi="Arial" w:cs="Arial"/>
          </w:rPr>
          <w:t>(Leckey et al., 2024)</w:t>
        </w:r>
      </w:hyperlink>
      <w:r w:rsidRPr="004C7ECA">
        <w:rPr>
          <w:rFonts w:ascii="Arial" w:hAnsi="Arial" w:cs="Arial"/>
        </w:rPr>
        <w:t>. Elevated NFL levels correlate strongly with increased injury load and poor outcome</w:t>
      </w:r>
      <w:hyperlink r:id="rId42" w:anchor="9680651944b832a99321655638eb25f9_ref" w:history="1">
        <w:r w:rsidRPr="004C7ECA">
          <w:rPr>
            <w:rStyle w:val="Hyperlink"/>
            <w:rFonts w:ascii="Arial" w:hAnsi="Arial" w:cs="Arial"/>
          </w:rPr>
          <w:t>(Gaetani et al., 2019; Thebault et al., 2020)</w:t>
        </w:r>
      </w:hyperlink>
      <w:r w:rsidRPr="004C7ECA">
        <w:rPr>
          <w:rFonts w:ascii="Arial" w:hAnsi="Arial" w:cs="Arial"/>
        </w:rPr>
        <w:t>. Beyond NFL, new research is rapidly expanding our understanding of the systemic response to injury, particularly inflammation, which can affect long-term recovery. Circulating biomarkers such as thioredoxin, netrin-1, and omentin-1 have been linked to oxidative stress, angiogenesis, neuroprotection, and regenerative processes, offering additional perspectives on potential biological targets for intervention (</w:t>
      </w:r>
      <w:hyperlink r:id="rId43" w:history="1">
        <w:r w:rsidRPr="004C7ECA">
          <w:rPr>
            <w:rStyle w:val="Hyperlink"/>
            <w:rFonts w:ascii="Arial" w:hAnsi="Arial" w:cs="Arial"/>
          </w:rPr>
          <w:t>https://doi.org/10.3390/jcm14228077</w:t>
        </w:r>
      </w:hyperlink>
      <w:r w:rsidRPr="004C7ECA">
        <w:rPr>
          <w:rFonts w:ascii="Arial" w:hAnsi="Arial" w:cs="Arial"/>
        </w:rPr>
        <w:t>. Furthermore, serum markers are useful for assessing metabolic risk factors (e.g., diabetes, dyslipidemia) that influence overall recovery potential.</w:t>
      </w:r>
    </w:p>
    <w:p w14:paraId="0C430BE6" w14:textId="77777777" w:rsidR="004C7ECA" w:rsidRPr="00E32F84" w:rsidRDefault="00E32F84" w:rsidP="004C7ECA">
      <w:pPr>
        <w:pStyle w:val="Body"/>
        <w:rPr>
          <w:rFonts w:ascii="Arial" w:hAnsi="Arial" w:cs="Arial"/>
          <w:b/>
          <w:bCs/>
        </w:rPr>
      </w:pPr>
      <w:r w:rsidRPr="00E32F84">
        <w:rPr>
          <w:rFonts w:ascii="Arial" w:hAnsi="Arial" w:cs="Arial"/>
          <w:b/>
          <w:bCs/>
        </w:rPr>
        <w:t xml:space="preserve">3.2.2 </w:t>
      </w:r>
      <w:r w:rsidR="004C7ECA" w:rsidRPr="00E32F84">
        <w:rPr>
          <w:rFonts w:ascii="Arial" w:hAnsi="Arial" w:cs="Arial"/>
          <w:b/>
          <w:bCs/>
        </w:rPr>
        <w:t>Genetic Polymorphisms: The BDNF Val66Met Debate</w:t>
      </w:r>
    </w:p>
    <w:p w14:paraId="032C2B15" w14:textId="77777777" w:rsidR="004C7ECA" w:rsidRPr="004C7ECA" w:rsidRDefault="004C7ECA" w:rsidP="004C7ECA">
      <w:pPr>
        <w:pStyle w:val="Body"/>
        <w:rPr>
          <w:rFonts w:ascii="Arial" w:hAnsi="Arial" w:cs="Arial"/>
        </w:rPr>
      </w:pPr>
      <w:r w:rsidRPr="004C7ECA">
        <w:rPr>
          <w:rFonts w:ascii="Arial" w:hAnsi="Arial" w:cs="Arial"/>
        </w:rPr>
        <w:t>Genetic factors, notably the BDNF Val66Met polymorphism, have been investigated due to the crucial role of Brain-Derived Neurotrophic Factor in regulating neuroplasticity and synaptic function. However, the predictive power of genetic markers is highly dependent on the disease context and recovery phase</w:t>
      </w:r>
      <w:hyperlink r:id="rId44" w:anchor="6a120e8d678b3ef08d87b6c97daac9d6_ref" w:history="1">
        <w:r w:rsidRPr="004C7ECA">
          <w:rPr>
            <w:rStyle w:val="Hyperlink"/>
            <w:rFonts w:ascii="Arial" w:hAnsi="Arial" w:cs="Arial"/>
          </w:rPr>
          <w:t>(Qin et al., 2014; Rezaei et al., 2016)</w:t>
        </w:r>
      </w:hyperlink>
      <w:r w:rsidRPr="004C7ECA">
        <w:rPr>
          <w:rFonts w:ascii="Arial" w:hAnsi="Arial" w:cs="Arial"/>
        </w:rPr>
        <w:t>.</w:t>
      </w:r>
    </w:p>
    <w:p w14:paraId="507D84C4" w14:textId="77777777" w:rsidR="004C7ECA" w:rsidRPr="004C7ECA" w:rsidRDefault="004C7ECA" w:rsidP="004C7ECA">
      <w:pPr>
        <w:pStyle w:val="Body"/>
        <w:rPr>
          <w:rFonts w:ascii="Arial" w:hAnsi="Arial" w:cs="Arial"/>
        </w:rPr>
      </w:pPr>
      <w:r w:rsidRPr="004C7ECA">
        <w:rPr>
          <w:rFonts w:ascii="Arial" w:hAnsi="Arial" w:cs="Arial"/>
        </w:rPr>
        <w:t>Research focusing on long-term functional mobility in chronic stroke patients suggests that the BDNF Val66Met polymorphism does not significantly predict functional outcomes when other factors, such as baseline impairment and personal characteristics, are known</w:t>
      </w:r>
      <w:hyperlink r:id="rId45" w:anchor="31562cff355e3b3f9099b485538d3549_ref" w:history="1">
        <w:r w:rsidRPr="004C7ECA">
          <w:rPr>
            <w:rStyle w:val="Hyperlink"/>
            <w:rFonts w:ascii="Arial" w:hAnsi="Arial" w:cs="Arial"/>
          </w:rPr>
          <w:t>(French et al., 2018)</w:t>
        </w:r>
      </w:hyperlink>
      <w:r w:rsidRPr="004C7ECA">
        <w:rPr>
          <w:rFonts w:ascii="Arial" w:hAnsi="Arial" w:cs="Arial"/>
        </w:rPr>
        <w:t>. This conflicting evidence limits its utility as a global prognostic marker in stroke and suggests that, as recovery progresses, the influence of the polymorphism may become attenuated compared to environmental or behavioral factors.</w:t>
      </w:r>
    </w:p>
    <w:p w14:paraId="7A5B3FA0" w14:textId="77777777" w:rsidR="004C7ECA" w:rsidRPr="004C7ECA" w:rsidRDefault="004C7ECA" w:rsidP="004C7ECA">
      <w:pPr>
        <w:pStyle w:val="Body"/>
        <w:rPr>
          <w:rFonts w:ascii="Arial" w:hAnsi="Arial" w:cs="Arial"/>
        </w:rPr>
      </w:pPr>
      <w:r w:rsidRPr="004C7ECA">
        <w:rPr>
          <w:rFonts w:ascii="Arial" w:hAnsi="Arial" w:cs="Arial"/>
        </w:rPr>
        <w:lastRenderedPageBreak/>
        <w:t>Conversely, in patients with progressive Multiple Sclerosis (MS), the Val66Met polymorphism was found to be associated with improved walking function following rehabilitation</w:t>
      </w:r>
      <w:hyperlink r:id="rId46" w:anchor="820f17078b533748a7d5efb1785dfa21_ref" w:history="1">
        <w:r w:rsidRPr="004C7ECA">
          <w:rPr>
            <w:rStyle w:val="Hyperlink"/>
            <w:rFonts w:ascii="Arial" w:hAnsi="Arial" w:cs="Arial"/>
          </w:rPr>
          <w:t>(Giordano et al., 2022)</w:t>
        </w:r>
      </w:hyperlink>
      <w:r w:rsidRPr="004C7ECA">
        <w:rPr>
          <w:rFonts w:ascii="Arial" w:hAnsi="Arial" w:cs="Arial"/>
        </w:rPr>
        <w:t>. This result aligns with previous evidence suggesting a protective effect of this genetic substitution toward gray matter atrophy in MS. The predictive value of molecular and genetic data is therefore highly context-dependent. Its potential lies in guiding personalized resource allocation—for instance, identifying MS patients who might benefit more from intensive neurorehabilitation programs focused on ambulation</w:t>
      </w:r>
      <w:hyperlink r:id="rId47" w:anchor="820f17078b533748a7d5efb1785dfa21_ref" w:history="1">
        <w:r w:rsidRPr="004C7ECA">
          <w:rPr>
            <w:rStyle w:val="Hyperlink"/>
            <w:rFonts w:ascii="Arial" w:hAnsi="Arial" w:cs="Arial"/>
          </w:rPr>
          <w:t xml:space="preserve">(Giordano et al., 2022; </w:t>
        </w:r>
        <w:proofErr w:type="spellStart"/>
        <w:r w:rsidRPr="004C7ECA">
          <w:rPr>
            <w:rStyle w:val="Hyperlink"/>
            <w:rFonts w:ascii="Arial" w:hAnsi="Arial" w:cs="Arial"/>
          </w:rPr>
          <w:t>Nociti</w:t>
        </w:r>
        <w:proofErr w:type="spellEnd"/>
        <w:r w:rsidRPr="004C7ECA">
          <w:rPr>
            <w:rStyle w:val="Hyperlink"/>
            <w:rFonts w:ascii="Arial" w:hAnsi="Arial" w:cs="Arial"/>
          </w:rPr>
          <w:t xml:space="preserve"> et al., 2018)</w:t>
        </w:r>
      </w:hyperlink>
      <w:r w:rsidRPr="004C7ECA">
        <w:rPr>
          <w:rFonts w:ascii="Arial" w:hAnsi="Arial" w:cs="Arial"/>
        </w:rPr>
        <w:t>. Precision must embrace this context-specificity to avoid methodological discrepancies and ensure clinical translation is successful.</w:t>
      </w:r>
    </w:p>
    <w:p w14:paraId="19A4C79A" w14:textId="77777777" w:rsidR="004C7ECA" w:rsidRPr="00E32F84" w:rsidRDefault="00E32F84" w:rsidP="004C7ECA">
      <w:pPr>
        <w:pStyle w:val="Body"/>
        <w:spacing w:after="0"/>
        <w:rPr>
          <w:rFonts w:ascii="Arial" w:hAnsi="Arial" w:cs="Arial"/>
          <w:b/>
          <w:bCs/>
          <w:sz w:val="22"/>
          <w:szCs w:val="22"/>
        </w:rPr>
      </w:pPr>
      <w:bookmarkStart w:id="13" w:name="_Toc256000109"/>
      <w:r w:rsidRPr="00E32F84">
        <w:rPr>
          <w:rFonts w:ascii="Arial" w:hAnsi="Arial" w:cs="Arial"/>
          <w:b/>
          <w:bCs/>
          <w:sz w:val="22"/>
          <w:szCs w:val="22"/>
        </w:rPr>
        <w:t>3</w:t>
      </w:r>
      <w:r w:rsidR="004C7ECA" w:rsidRPr="00E32F84">
        <w:rPr>
          <w:rFonts w:ascii="Arial" w:hAnsi="Arial" w:cs="Arial"/>
          <w:b/>
          <w:bCs/>
          <w:sz w:val="22"/>
          <w:szCs w:val="22"/>
        </w:rPr>
        <w:t>.3 Digital &amp; Behavioral Biomarkers: Continuous Phenotyping</w:t>
      </w:r>
      <w:bookmarkEnd w:id="13"/>
    </w:p>
    <w:p w14:paraId="618A16C4" w14:textId="77777777" w:rsidR="004C7ECA" w:rsidRPr="004C7ECA" w:rsidRDefault="004C7ECA" w:rsidP="004C7ECA">
      <w:pPr>
        <w:pStyle w:val="Body"/>
        <w:rPr>
          <w:rFonts w:ascii="Arial" w:hAnsi="Arial" w:cs="Arial"/>
        </w:rPr>
      </w:pPr>
    </w:p>
    <w:p w14:paraId="09984369" w14:textId="77777777" w:rsidR="004C7ECA" w:rsidRPr="004C7ECA" w:rsidRDefault="004C7ECA" w:rsidP="004C7ECA">
      <w:pPr>
        <w:pStyle w:val="Body"/>
        <w:rPr>
          <w:rFonts w:ascii="Arial" w:hAnsi="Arial" w:cs="Arial"/>
        </w:rPr>
      </w:pPr>
      <w:r w:rsidRPr="004C7ECA">
        <w:rPr>
          <w:rFonts w:ascii="Arial" w:hAnsi="Arial" w:cs="Arial"/>
        </w:rPr>
        <w:t>Digital biomarkers, derived from wearable sensors and smartphone applications, capture the functional reality of the patient's interaction with their environment. They provide continuous, high-fidelity data that traditional, sporadic clinical assessments often miss.</w:t>
      </w:r>
    </w:p>
    <w:p w14:paraId="315EBD55" w14:textId="77777777" w:rsidR="004C7ECA" w:rsidRPr="00E32F84" w:rsidRDefault="00E32F84" w:rsidP="004C7ECA">
      <w:pPr>
        <w:pStyle w:val="Body"/>
        <w:rPr>
          <w:rFonts w:ascii="Arial" w:hAnsi="Arial" w:cs="Arial"/>
          <w:b/>
          <w:bCs/>
        </w:rPr>
      </w:pPr>
      <w:r w:rsidRPr="00E32F84">
        <w:rPr>
          <w:rFonts w:ascii="Arial" w:hAnsi="Arial" w:cs="Arial"/>
          <w:b/>
          <w:bCs/>
        </w:rPr>
        <w:t xml:space="preserve">3.3.1 </w:t>
      </w:r>
      <w:r w:rsidR="004C7ECA" w:rsidRPr="00E32F84">
        <w:rPr>
          <w:rFonts w:ascii="Arial" w:hAnsi="Arial" w:cs="Arial"/>
          <w:b/>
          <w:bCs/>
        </w:rPr>
        <w:t>Wearable-Derived Kinematics</w:t>
      </w:r>
    </w:p>
    <w:p w14:paraId="1A922379" w14:textId="77777777" w:rsidR="004C7ECA" w:rsidRPr="004C7ECA" w:rsidRDefault="004C7ECA" w:rsidP="004C7ECA">
      <w:pPr>
        <w:pStyle w:val="Body"/>
        <w:rPr>
          <w:rFonts w:ascii="Arial" w:hAnsi="Arial" w:cs="Arial"/>
        </w:rPr>
      </w:pPr>
      <w:r w:rsidRPr="004C7ECA">
        <w:rPr>
          <w:rFonts w:ascii="Arial" w:hAnsi="Arial" w:cs="Arial"/>
        </w:rPr>
        <w:t>Neurorehabilitation technology offers precision measurement of impairment, which is arguably the most clinically viable component of the precision paradigm currently within reach. Wearable devices equipped with accelerometers and gyroscopes capture gait, balance, and upper limb kinematics. These kinematic fingerprints provide a nuanced quantification of movement quality that goes far beyond the ordinal scales used in standard functional assessments</w:t>
      </w:r>
      <w:hyperlink r:id="rId48" w:anchor="0e5d1821745933eab2f31099fa8a0d96_ref" w:history="1">
        <w:r w:rsidRPr="004C7ECA">
          <w:rPr>
            <w:rStyle w:val="Hyperlink"/>
            <w:rFonts w:ascii="Arial" w:hAnsi="Arial" w:cs="Arial"/>
          </w:rPr>
          <w:t>(</w:t>
        </w:r>
        <w:proofErr w:type="spellStart"/>
        <w:r w:rsidRPr="004C7ECA">
          <w:rPr>
            <w:rStyle w:val="Hyperlink"/>
            <w:rFonts w:ascii="Arial" w:hAnsi="Arial" w:cs="Arial"/>
          </w:rPr>
          <w:t>Papi</w:t>
        </w:r>
        <w:proofErr w:type="spellEnd"/>
        <w:r w:rsidRPr="004C7ECA">
          <w:rPr>
            <w:rStyle w:val="Hyperlink"/>
            <w:rFonts w:ascii="Arial" w:hAnsi="Arial" w:cs="Arial"/>
          </w:rPr>
          <w:t xml:space="preserve"> et al., 2017; </w:t>
        </w:r>
        <w:proofErr w:type="spellStart"/>
        <w:r w:rsidRPr="004C7ECA">
          <w:rPr>
            <w:rStyle w:val="Hyperlink"/>
            <w:rFonts w:ascii="Arial" w:hAnsi="Arial" w:cs="Arial"/>
          </w:rPr>
          <w:t>Proietti</w:t>
        </w:r>
        <w:proofErr w:type="spellEnd"/>
        <w:r w:rsidRPr="004C7ECA">
          <w:rPr>
            <w:rStyle w:val="Hyperlink"/>
            <w:rFonts w:ascii="Arial" w:hAnsi="Arial" w:cs="Arial"/>
          </w:rPr>
          <w:t xml:space="preserve"> &amp; Bandini, 2024)</w:t>
        </w:r>
      </w:hyperlink>
      <w:r w:rsidRPr="004C7ECA">
        <w:rPr>
          <w:rFonts w:ascii="Arial" w:hAnsi="Arial" w:cs="Arial"/>
        </w:rPr>
        <w:t>. By quantifying the subtle execution patterns of functional tasks, these devices provide rich data inputs for AI models aiming to calculate recovery potential (R) and therapy effectiveness</w:t>
      </w:r>
      <w:hyperlink r:id="rId49" w:anchor="944892814f2634278d1a5d9deca0b1ef_ref" w:history="1">
        <w:r w:rsidRPr="004C7ECA">
          <w:rPr>
            <w:rStyle w:val="Hyperlink"/>
            <w:rFonts w:ascii="Arial" w:hAnsi="Arial" w:cs="Arial"/>
          </w:rPr>
          <w:t>(</w:t>
        </w:r>
        <w:proofErr w:type="spellStart"/>
        <w:r w:rsidRPr="004C7ECA">
          <w:rPr>
            <w:rStyle w:val="Hyperlink"/>
            <w:rFonts w:ascii="Arial" w:hAnsi="Arial" w:cs="Arial"/>
          </w:rPr>
          <w:t>Dobkin</w:t>
        </w:r>
        <w:proofErr w:type="spellEnd"/>
        <w:r w:rsidRPr="004C7ECA">
          <w:rPr>
            <w:rStyle w:val="Hyperlink"/>
            <w:rFonts w:ascii="Arial" w:hAnsi="Arial" w:cs="Arial"/>
          </w:rPr>
          <w:t>, 2013; Laurie King, 2013)</w:t>
        </w:r>
      </w:hyperlink>
      <w:r w:rsidRPr="004C7ECA">
        <w:rPr>
          <w:rFonts w:ascii="Arial" w:hAnsi="Arial" w:cs="Arial"/>
        </w:rPr>
        <w:t>.</w:t>
      </w:r>
    </w:p>
    <w:p w14:paraId="73679845" w14:textId="77777777" w:rsidR="004C7ECA" w:rsidRPr="00E32F84" w:rsidRDefault="00E32F84" w:rsidP="004C7ECA">
      <w:pPr>
        <w:pStyle w:val="Body"/>
        <w:rPr>
          <w:rFonts w:ascii="Arial" w:hAnsi="Arial" w:cs="Arial"/>
          <w:b/>
          <w:bCs/>
        </w:rPr>
      </w:pPr>
      <w:r w:rsidRPr="00E32F84">
        <w:rPr>
          <w:rFonts w:ascii="Arial" w:hAnsi="Arial" w:cs="Arial"/>
          <w:b/>
          <w:bCs/>
        </w:rPr>
        <w:t xml:space="preserve">3.3.2 </w:t>
      </w:r>
      <w:r w:rsidR="004C7ECA" w:rsidRPr="00E32F84">
        <w:rPr>
          <w:rFonts w:ascii="Arial" w:hAnsi="Arial" w:cs="Arial"/>
          <w:b/>
          <w:bCs/>
        </w:rPr>
        <w:t>Smartphone-Based Neurobehavioral Tracking</w:t>
      </w:r>
    </w:p>
    <w:p w14:paraId="68497B8F" w14:textId="77777777" w:rsidR="004C7ECA" w:rsidRPr="004C7ECA" w:rsidRDefault="004C7ECA" w:rsidP="004C7ECA">
      <w:pPr>
        <w:pStyle w:val="Body"/>
        <w:rPr>
          <w:rFonts w:ascii="Arial" w:hAnsi="Arial" w:cs="Arial"/>
        </w:rPr>
      </w:pPr>
      <w:r w:rsidRPr="004C7ECA">
        <w:rPr>
          <w:rFonts w:ascii="Arial" w:hAnsi="Arial" w:cs="Arial"/>
        </w:rPr>
        <w:t>Beyond movement, digital phenotyping includes Ecological Momentary Assessment (EMA) via smartphones. This tracking captures neurobehavioral factors such as adherence to home programs, subjective burden, motivation, and sleep quality. These factors, which represent the patient’s context and engagement, are essential non-biological inputs for computational modeling, influencing the expected functional gain calculated by the Digital Twin</w:t>
      </w:r>
      <w:hyperlink r:id="rId50" w:anchor="df30dc9d7b343b1797ef238e0ca37847_ref" w:history="1">
        <w:r w:rsidRPr="004C7ECA">
          <w:rPr>
            <w:rStyle w:val="Hyperlink"/>
            <w:rFonts w:ascii="Arial" w:hAnsi="Arial" w:cs="Arial"/>
          </w:rPr>
          <w:t xml:space="preserve">(Demers &amp; </w:t>
        </w:r>
        <w:proofErr w:type="spellStart"/>
        <w:r w:rsidRPr="004C7ECA">
          <w:rPr>
            <w:rStyle w:val="Hyperlink"/>
            <w:rFonts w:ascii="Arial" w:hAnsi="Arial" w:cs="Arial"/>
          </w:rPr>
          <w:t>Winstein</w:t>
        </w:r>
        <w:proofErr w:type="spellEnd"/>
        <w:r w:rsidRPr="004C7ECA">
          <w:rPr>
            <w:rStyle w:val="Hyperlink"/>
            <w:rFonts w:ascii="Arial" w:hAnsi="Arial" w:cs="Arial"/>
          </w:rPr>
          <w:t xml:space="preserve">, 2020; </w:t>
        </w:r>
        <w:proofErr w:type="spellStart"/>
        <w:r w:rsidRPr="004C7ECA">
          <w:rPr>
            <w:rStyle w:val="Hyperlink"/>
            <w:rFonts w:ascii="Arial" w:hAnsi="Arial" w:cs="Arial"/>
          </w:rPr>
          <w:t>Tonon</w:t>
        </w:r>
        <w:proofErr w:type="spellEnd"/>
        <w:r w:rsidRPr="004C7ECA">
          <w:rPr>
            <w:rStyle w:val="Hyperlink"/>
            <w:rFonts w:ascii="Arial" w:hAnsi="Arial" w:cs="Arial"/>
          </w:rPr>
          <w:t xml:space="preserve"> et al., 2024; Webb et al., 2022)</w:t>
        </w:r>
      </w:hyperlink>
      <w:r w:rsidRPr="004C7ECA">
        <w:rPr>
          <w:rFonts w:ascii="Arial" w:hAnsi="Arial" w:cs="Arial"/>
        </w:rPr>
        <w:t>.</w:t>
      </w:r>
    </w:p>
    <w:p w14:paraId="66161DC0" w14:textId="77777777" w:rsidR="004C7ECA" w:rsidRPr="00CD158A" w:rsidRDefault="00CD158A" w:rsidP="00CD158A">
      <w:pPr>
        <w:pStyle w:val="Body"/>
        <w:spacing w:after="0"/>
        <w:rPr>
          <w:rFonts w:ascii="Arial" w:hAnsi="Arial" w:cs="Arial"/>
          <w:b/>
          <w:bCs/>
          <w:sz w:val="24"/>
          <w:szCs w:val="24"/>
        </w:rPr>
      </w:pPr>
      <w:bookmarkStart w:id="14" w:name="_Toc256000110"/>
      <w:r w:rsidRPr="00CD158A">
        <w:rPr>
          <w:rFonts w:ascii="Arial" w:hAnsi="Arial" w:cs="Arial"/>
          <w:b/>
          <w:bCs/>
          <w:sz w:val="24"/>
          <w:szCs w:val="24"/>
        </w:rPr>
        <w:t>4</w:t>
      </w:r>
      <w:r w:rsidR="004C7ECA" w:rsidRPr="00CD158A">
        <w:rPr>
          <w:rFonts w:ascii="Arial" w:hAnsi="Arial" w:cs="Arial"/>
          <w:b/>
          <w:bCs/>
          <w:sz w:val="24"/>
          <w:szCs w:val="24"/>
        </w:rPr>
        <w:t>. Neuroimaging Approaches as Personalization Engines</w:t>
      </w:r>
      <w:bookmarkEnd w:id="14"/>
    </w:p>
    <w:p w14:paraId="798031CD" w14:textId="77777777" w:rsidR="004C7ECA" w:rsidRPr="004C7ECA" w:rsidRDefault="004C7ECA" w:rsidP="004C7ECA">
      <w:pPr>
        <w:pStyle w:val="Body"/>
        <w:rPr>
          <w:rFonts w:ascii="Arial" w:hAnsi="Arial" w:cs="Arial"/>
        </w:rPr>
      </w:pPr>
      <w:r w:rsidRPr="004C7ECA">
        <w:rPr>
          <w:rFonts w:ascii="Arial" w:hAnsi="Arial" w:cs="Arial"/>
        </w:rPr>
        <w:t>Neuroimaging techniques are essential for providing the macro-scale structural and functional maps that define the injury landscape and the reorganization capacity of the brain</w:t>
      </w:r>
      <w:hyperlink r:id="rId51" w:anchor="965e987e89eb3be2b5e4e96d7b5ac51d_ref" w:history="1">
        <w:r w:rsidRPr="004C7ECA">
          <w:rPr>
            <w:rStyle w:val="Hyperlink"/>
            <w:rFonts w:ascii="Arial" w:hAnsi="Arial" w:cs="Arial"/>
          </w:rPr>
          <w:t>(</w:t>
        </w:r>
        <w:proofErr w:type="spellStart"/>
        <w:r w:rsidRPr="004C7ECA">
          <w:rPr>
            <w:rStyle w:val="Hyperlink"/>
            <w:rFonts w:ascii="Arial" w:hAnsi="Arial" w:cs="Arial"/>
          </w:rPr>
          <w:t>Ashwal</w:t>
        </w:r>
        <w:proofErr w:type="spellEnd"/>
        <w:r w:rsidRPr="004C7ECA">
          <w:rPr>
            <w:rStyle w:val="Hyperlink"/>
            <w:rFonts w:ascii="Arial" w:hAnsi="Arial" w:cs="Arial"/>
          </w:rPr>
          <w:t xml:space="preserve"> et al., 2014; </w:t>
        </w:r>
        <w:proofErr w:type="spellStart"/>
        <w:r w:rsidRPr="004C7ECA">
          <w:rPr>
            <w:rStyle w:val="Hyperlink"/>
            <w:rFonts w:ascii="Arial" w:hAnsi="Arial" w:cs="Arial"/>
          </w:rPr>
          <w:t>Crosson</w:t>
        </w:r>
        <w:proofErr w:type="spellEnd"/>
        <w:r w:rsidRPr="004C7ECA">
          <w:rPr>
            <w:rStyle w:val="Hyperlink"/>
            <w:rFonts w:ascii="Arial" w:hAnsi="Arial" w:cs="Arial"/>
          </w:rPr>
          <w:t xml:space="preserve"> et al., 2010; Johansson, 2004)</w:t>
        </w:r>
      </w:hyperlink>
      <w:r w:rsidRPr="004C7ECA">
        <w:rPr>
          <w:rFonts w:ascii="Arial" w:hAnsi="Arial" w:cs="Arial"/>
        </w:rPr>
        <w:t>.</w:t>
      </w:r>
    </w:p>
    <w:p w14:paraId="46038A9F" w14:textId="77777777" w:rsidR="004C7ECA" w:rsidRPr="002B7C04" w:rsidRDefault="002B7C04" w:rsidP="00F722DA">
      <w:pPr>
        <w:pStyle w:val="Body"/>
        <w:spacing w:after="0"/>
        <w:rPr>
          <w:rFonts w:ascii="Arial" w:hAnsi="Arial" w:cs="Arial"/>
          <w:b/>
          <w:bCs/>
          <w:sz w:val="22"/>
          <w:szCs w:val="22"/>
        </w:rPr>
      </w:pPr>
      <w:bookmarkStart w:id="15" w:name="_Toc256000111"/>
      <w:r w:rsidRPr="002B7C04">
        <w:rPr>
          <w:rFonts w:ascii="Arial" w:hAnsi="Arial" w:cs="Arial"/>
          <w:b/>
          <w:bCs/>
          <w:sz w:val="22"/>
          <w:szCs w:val="22"/>
        </w:rPr>
        <w:t>4</w:t>
      </w:r>
      <w:r w:rsidR="004C7ECA" w:rsidRPr="002B7C04">
        <w:rPr>
          <w:rFonts w:ascii="Arial" w:hAnsi="Arial" w:cs="Arial"/>
          <w:b/>
          <w:bCs/>
          <w:sz w:val="22"/>
          <w:szCs w:val="22"/>
        </w:rPr>
        <w:t>.1 Structural Imaging: Mapping Damage and Integrity</w:t>
      </w:r>
      <w:bookmarkEnd w:id="15"/>
    </w:p>
    <w:p w14:paraId="10E9C710" w14:textId="77777777" w:rsidR="00F722DA" w:rsidRPr="00F722DA" w:rsidRDefault="00F722DA" w:rsidP="00F722DA">
      <w:pPr>
        <w:pStyle w:val="Body"/>
        <w:spacing w:after="0"/>
        <w:rPr>
          <w:rFonts w:ascii="Arial" w:hAnsi="Arial" w:cs="Arial"/>
          <w:b/>
          <w:bCs/>
        </w:rPr>
      </w:pPr>
    </w:p>
    <w:p w14:paraId="7386675C" w14:textId="77777777" w:rsidR="004C7ECA" w:rsidRPr="004C7ECA" w:rsidRDefault="004C7ECA" w:rsidP="004C7ECA">
      <w:pPr>
        <w:pStyle w:val="Body"/>
        <w:rPr>
          <w:rFonts w:ascii="Arial" w:hAnsi="Arial" w:cs="Arial"/>
        </w:rPr>
      </w:pPr>
      <w:r w:rsidRPr="004C7ECA">
        <w:rPr>
          <w:rFonts w:ascii="Arial" w:hAnsi="Arial" w:cs="Arial"/>
        </w:rPr>
        <w:t>Structural imaging techniques primarily quantify the physical extent of the injury and the resulting integrity of critical pathways.</w:t>
      </w:r>
    </w:p>
    <w:p w14:paraId="06381742" w14:textId="77777777" w:rsidR="004C7ECA" w:rsidRPr="002B7C04" w:rsidRDefault="000256AD" w:rsidP="004C7ECA">
      <w:pPr>
        <w:pStyle w:val="Body"/>
        <w:rPr>
          <w:rFonts w:ascii="Arial" w:hAnsi="Arial" w:cs="Arial"/>
          <w:b/>
          <w:bCs/>
        </w:rPr>
      </w:pPr>
      <w:r>
        <w:rPr>
          <w:rFonts w:ascii="Arial" w:hAnsi="Arial" w:cs="Arial"/>
          <w:b/>
          <w:bCs/>
        </w:rPr>
        <w:t xml:space="preserve">4.1.1 </w:t>
      </w:r>
      <w:r w:rsidR="004C7ECA" w:rsidRPr="002B7C04">
        <w:rPr>
          <w:rFonts w:ascii="Arial" w:hAnsi="Arial" w:cs="Arial"/>
          <w:b/>
          <w:bCs/>
        </w:rPr>
        <w:t>Cortical and Volumetric Data</w:t>
      </w:r>
    </w:p>
    <w:p w14:paraId="30E0E292" w14:textId="77777777" w:rsidR="004C7ECA" w:rsidRPr="004C7ECA" w:rsidRDefault="004C7ECA" w:rsidP="004C7ECA">
      <w:pPr>
        <w:pStyle w:val="Body"/>
        <w:rPr>
          <w:rFonts w:ascii="Arial" w:hAnsi="Arial" w:cs="Arial"/>
        </w:rPr>
      </w:pPr>
      <w:r w:rsidRPr="004C7ECA">
        <w:rPr>
          <w:rFonts w:ascii="Arial" w:hAnsi="Arial" w:cs="Arial"/>
        </w:rPr>
        <w:t xml:space="preserve">T1-weighted imaging allows for quantification of gray matter health, including cortical thickness and volume. These metrics are crucial in chronic progressive disorders like MS </w:t>
      </w:r>
      <w:r w:rsidRPr="004C7ECA">
        <w:rPr>
          <w:rFonts w:ascii="Arial" w:hAnsi="Arial" w:cs="Arial"/>
        </w:rPr>
        <w:lastRenderedPageBreak/>
        <w:t>and Parkinson’s disease (PD), where atrophy correlates with neurological function</w:t>
      </w:r>
      <w:hyperlink r:id="rId52" w:anchor="9ccf4cbd62ea3d9bbb66d129ee83abfb_ref" w:history="1">
        <w:r w:rsidRPr="004C7ECA">
          <w:rPr>
            <w:rStyle w:val="Hyperlink"/>
            <w:rFonts w:ascii="Arial" w:hAnsi="Arial" w:cs="Arial"/>
          </w:rPr>
          <w:t>(Nair et al., 2013; Smith et al., 2009)</w:t>
        </w:r>
      </w:hyperlink>
      <w:r w:rsidRPr="004C7ECA">
        <w:rPr>
          <w:rFonts w:ascii="Arial" w:hAnsi="Arial" w:cs="Arial"/>
        </w:rPr>
        <w:t>.</w:t>
      </w:r>
    </w:p>
    <w:p w14:paraId="3E60B93B" w14:textId="77777777" w:rsidR="004C7ECA" w:rsidRPr="002B7C04" w:rsidRDefault="000256AD" w:rsidP="004C7ECA">
      <w:pPr>
        <w:pStyle w:val="Body"/>
        <w:rPr>
          <w:rFonts w:ascii="Arial" w:hAnsi="Arial" w:cs="Arial"/>
          <w:b/>
          <w:bCs/>
        </w:rPr>
      </w:pPr>
      <w:r>
        <w:rPr>
          <w:rFonts w:ascii="Arial" w:hAnsi="Arial" w:cs="Arial"/>
          <w:b/>
          <w:bCs/>
        </w:rPr>
        <w:t xml:space="preserve">4.1.2 </w:t>
      </w:r>
      <w:r w:rsidR="004C7ECA" w:rsidRPr="002B7C04">
        <w:rPr>
          <w:rFonts w:ascii="Arial" w:hAnsi="Arial" w:cs="Arial"/>
          <w:b/>
          <w:bCs/>
        </w:rPr>
        <w:t>White Matter Integrity via DTI/FA</w:t>
      </w:r>
    </w:p>
    <w:p w14:paraId="1FAEDD22" w14:textId="77777777" w:rsidR="004C7ECA" w:rsidRPr="004C7ECA" w:rsidRDefault="004C7ECA" w:rsidP="004C7ECA">
      <w:pPr>
        <w:pStyle w:val="Body"/>
        <w:rPr>
          <w:rFonts w:ascii="Arial" w:hAnsi="Arial" w:cs="Arial"/>
        </w:rPr>
      </w:pPr>
      <w:r w:rsidRPr="004C7ECA">
        <w:rPr>
          <w:rFonts w:ascii="Arial" w:hAnsi="Arial" w:cs="Arial"/>
        </w:rPr>
        <w:t>Diffusion Tensor Imaging (DTI) and its derived metric, Fractional Anisotropy (FA), are vital for assessing the integrity of major white matter tracts, particularly the corticospinal tract (CST)</w:t>
      </w:r>
      <w:hyperlink r:id="rId53" w:anchor="76e98d9d1a8938a08da5e76e89b9c662_ref" w:history="1">
        <w:r w:rsidRPr="004C7ECA">
          <w:rPr>
            <w:rStyle w:val="Hyperlink"/>
            <w:rFonts w:ascii="Arial" w:hAnsi="Arial" w:cs="Arial"/>
          </w:rPr>
          <w:t>(</w:t>
        </w:r>
        <w:proofErr w:type="spellStart"/>
        <w:r w:rsidRPr="004C7ECA">
          <w:rPr>
            <w:rStyle w:val="Hyperlink"/>
            <w:rFonts w:ascii="Arial" w:hAnsi="Arial" w:cs="Arial"/>
          </w:rPr>
          <w:t>Kunimatsu</w:t>
        </w:r>
        <w:proofErr w:type="spellEnd"/>
        <w:r w:rsidRPr="004C7ECA">
          <w:rPr>
            <w:rStyle w:val="Hyperlink"/>
            <w:rFonts w:ascii="Arial" w:hAnsi="Arial" w:cs="Arial"/>
          </w:rPr>
          <w:t xml:space="preserve"> et al., 2003; Zhang &amp; </w:t>
        </w:r>
        <w:proofErr w:type="spellStart"/>
        <w:r w:rsidRPr="004C7ECA">
          <w:rPr>
            <w:rStyle w:val="Hyperlink"/>
            <w:rFonts w:ascii="Arial" w:hAnsi="Arial" w:cs="Arial"/>
          </w:rPr>
          <w:t>Burock</w:t>
        </w:r>
        <w:proofErr w:type="spellEnd"/>
        <w:r w:rsidRPr="004C7ECA">
          <w:rPr>
            <w:rStyle w:val="Hyperlink"/>
            <w:rFonts w:ascii="Arial" w:hAnsi="Arial" w:cs="Arial"/>
          </w:rPr>
          <w:t>, 2020)</w:t>
        </w:r>
      </w:hyperlink>
      <w:r w:rsidRPr="004C7ECA">
        <w:rPr>
          <w:rFonts w:ascii="Arial" w:hAnsi="Arial" w:cs="Arial"/>
        </w:rPr>
        <w:t>. CST lesion load and integrity are recognized as fundamental prognostic markers in acute and subacute stroke, offering perspectives on the possibility of brain recovery</w:t>
      </w:r>
      <w:hyperlink r:id="rId54" w:anchor="a2e282bc7e583bc5aa70f670d7094dc7_ref" w:history="1">
        <w:r w:rsidRPr="004C7ECA">
          <w:rPr>
            <w:rStyle w:val="Hyperlink"/>
            <w:rFonts w:ascii="Arial" w:hAnsi="Arial" w:cs="Arial"/>
          </w:rPr>
          <w:t>(Schulz et al., 2017)</w:t>
        </w:r>
      </w:hyperlink>
      <w:r w:rsidRPr="004C7ECA">
        <w:rPr>
          <w:rFonts w:ascii="Arial" w:hAnsi="Arial" w:cs="Arial"/>
        </w:rPr>
        <w:t>. Preservation of structural integrity in the lesioned hemisphere is strongly correlated with better motor outcomes.</w:t>
      </w:r>
    </w:p>
    <w:p w14:paraId="12662CE2" w14:textId="77777777" w:rsidR="004C7ECA" w:rsidRPr="002B7C04" w:rsidRDefault="000256AD" w:rsidP="004C7ECA">
      <w:pPr>
        <w:pStyle w:val="Body"/>
        <w:rPr>
          <w:rFonts w:ascii="Arial" w:hAnsi="Arial" w:cs="Arial"/>
          <w:b/>
          <w:bCs/>
        </w:rPr>
      </w:pPr>
      <w:r>
        <w:rPr>
          <w:rFonts w:ascii="Arial" w:hAnsi="Arial" w:cs="Arial"/>
          <w:b/>
          <w:bCs/>
        </w:rPr>
        <w:t xml:space="preserve">4.1.3 </w:t>
      </w:r>
      <w:r w:rsidR="004C7ECA" w:rsidRPr="002B7C04">
        <w:rPr>
          <w:rFonts w:ascii="Arial" w:hAnsi="Arial" w:cs="Arial"/>
          <w:b/>
          <w:bCs/>
        </w:rPr>
        <w:t>Lesion-Symptom Mapping (LSM)</w:t>
      </w:r>
    </w:p>
    <w:p w14:paraId="74D4912C" w14:textId="77777777" w:rsidR="004C7ECA" w:rsidRPr="004C7ECA" w:rsidRDefault="004C7ECA" w:rsidP="004C7ECA">
      <w:pPr>
        <w:pStyle w:val="Body"/>
        <w:rPr>
          <w:rFonts w:ascii="Arial" w:hAnsi="Arial" w:cs="Arial"/>
        </w:rPr>
      </w:pPr>
      <w:r w:rsidRPr="004C7ECA">
        <w:rPr>
          <w:rFonts w:ascii="Arial" w:hAnsi="Arial" w:cs="Arial"/>
        </w:rPr>
        <w:t xml:space="preserve">Advanced LSM links specific lesion locations to observed functional deficits. A core finding across multiple studies indicates that basic </w:t>
      </w:r>
      <w:r w:rsidRPr="004C7ECA">
        <w:rPr>
          <w:rFonts w:ascii="Arial" w:hAnsi="Arial" w:cs="Arial"/>
          <w:b/>
        </w:rPr>
        <w:t>spatial lesion imaging features</w:t>
      </w:r>
      <w:r w:rsidRPr="004C7ECA">
        <w:rPr>
          <w:rFonts w:ascii="Arial" w:hAnsi="Arial" w:cs="Arial"/>
        </w:rPr>
        <w:t>, such as lesion load or proximity to critical tracts, effectively capture the global neurological perturbation caused by a lesion and provide a strong basis for personalized prediction algorithms</w:t>
      </w:r>
      <w:hyperlink r:id="rId55" w:anchor="5c27cabd9d4a339682b8290a9a10d5a2_ref" w:history="1">
        <w:r w:rsidRPr="004C7ECA">
          <w:rPr>
            <w:rStyle w:val="Hyperlink"/>
            <w:rFonts w:ascii="Arial" w:hAnsi="Arial" w:cs="Arial"/>
          </w:rPr>
          <w:t xml:space="preserve">(Forkel &amp; Catani, 2018; </w:t>
        </w:r>
        <w:proofErr w:type="spellStart"/>
        <w:r w:rsidRPr="004C7ECA">
          <w:rPr>
            <w:rStyle w:val="Hyperlink"/>
            <w:rFonts w:ascii="Arial" w:hAnsi="Arial" w:cs="Arial"/>
          </w:rPr>
          <w:t>Khalilian</w:t>
        </w:r>
        <w:proofErr w:type="spellEnd"/>
        <w:r w:rsidRPr="004C7ECA">
          <w:rPr>
            <w:rStyle w:val="Hyperlink"/>
            <w:rFonts w:ascii="Arial" w:hAnsi="Arial" w:cs="Arial"/>
          </w:rPr>
          <w:t xml:space="preserve"> et al., 2024)</w:t>
        </w:r>
      </w:hyperlink>
      <w:r w:rsidRPr="004C7ECA">
        <w:rPr>
          <w:rFonts w:ascii="Arial" w:hAnsi="Arial" w:cs="Arial"/>
        </w:rPr>
        <w:t>.</w:t>
      </w:r>
    </w:p>
    <w:p w14:paraId="19D2323C" w14:textId="77777777" w:rsidR="004C7ECA" w:rsidRPr="002B7C04" w:rsidRDefault="002B7C04" w:rsidP="002B7C04">
      <w:pPr>
        <w:pStyle w:val="Body"/>
        <w:spacing w:after="0"/>
        <w:rPr>
          <w:rFonts w:ascii="Arial" w:hAnsi="Arial" w:cs="Arial"/>
          <w:b/>
          <w:bCs/>
          <w:sz w:val="22"/>
          <w:szCs w:val="22"/>
        </w:rPr>
      </w:pPr>
      <w:bookmarkStart w:id="16" w:name="_Toc256000112"/>
      <w:r w:rsidRPr="002B7C04">
        <w:rPr>
          <w:rFonts w:ascii="Arial" w:hAnsi="Arial" w:cs="Arial"/>
          <w:b/>
          <w:bCs/>
          <w:sz w:val="22"/>
          <w:szCs w:val="22"/>
        </w:rPr>
        <w:t>4</w:t>
      </w:r>
      <w:r w:rsidR="004C7ECA" w:rsidRPr="002B7C04">
        <w:rPr>
          <w:rFonts w:ascii="Arial" w:hAnsi="Arial" w:cs="Arial"/>
          <w:b/>
          <w:bCs/>
          <w:sz w:val="22"/>
          <w:szCs w:val="22"/>
        </w:rPr>
        <w:t>.2 Functional Imaging: Reorganization and Vicariance</w:t>
      </w:r>
      <w:bookmarkEnd w:id="16"/>
    </w:p>
    <w:p w14:paraId="2FDDD4FB" w14:textId="77777777" w:rsidR="004C7ECA" w:rsidRPr="004C7ECA" w:rsidRDefault="004C7ECA" w:rsidP="004C7ECA">
      <w:pPr>
        <w:pStyle w:val="Body"/>
        <w:rPr>
          <w:rFonts w:ascii="Arial" w:hAnsi="Arial" w:cs="Arial"/>
        </w:rPr>
      </w:pPr>
      <w:r w:rsidRPr="004C7ECA">
        <w:rPr>
          <w:rFonts w:ascii="Arial" w:hAnsi="Arial" w:cs="Arial"/>
        </w:rPr>
        <w:t>Functional neuroimaging maps brain activity and connectivity patterns, revealing how the brain compensates for injury through reorganization.</w:t>
      </w:r>
    </w:p>
    <w:p w14:paraId="6C4068F6" w14:textId="77777777" w:rsidR="004C7ECA" w:rsidRPr="002B7C04" w:rsidRDefault="000256AD" w:rsidP="004C7ECA">
      <w:pPr>
        <w:pStyle w:val="Body"/>
        <w:rPr>
          <w:rFonts w:ascii="Arial" w:hAnsi="Arial" w:cs="Arial"/>
          <w:b/>
          <w:bCs/>
        </w:rPr>
      </w:pPr>
      <w:r>
        <w:rPr>
          <w:rFonts w:ascii="Arial" w:hAnsi="Arial" w:cs="Arial"/>
          <w:b/>
          <w:bCs/>
        </w:rPr>
        <w:t xml:space="preserve">4.2.1 </w:t>
      </w:r>
      <w:r w:rsidR="004C7ECA" w:rsidRPr="002B7C04">
        <w:rPr>
          <w:rFonts w:ascii="Arial" w:hAnsi="Arial" w:cs="Arial"/>
          <w:b/>
          <w:bCs/>
        </w:rPr>
        <w:t>Task-Based and Resting-State fMRI</w:t>
      </w:r>
    </w:p>
    <w:p w14:paraId="7E07A604" w14:textId="77777777" w:rsidR="004C7ECA" w:rsidRPr="004C7ECA" w:rsidRDefault="004C7ECA" w:rsidP="004C7ECA">
      <w:pPr>
        <w:pStyle w:val="Body"/>
        <w:rPr>
          <w:rFonts w:ascii="Arial" w:hAnsi="Arial" w:cs="Arial"/>
        </w:rPr>
      </w:pPr>
      <w:r w:rsidRPr="004C7ECA">
        <w:rPr>
          <w:rFonts w:ascii="Arial" w:hAnsi="Arial" w:cs="Arial"/>
        </w:rPr>
        <w:t>Functional magnetic resonance imaging (fMRI) is a noninvasive technique that uses magnetic fields to produce detailed images of brain activity. Both task-based and resting-state fMRI (</w:t>
      </w:r>
      <w:proofErr w:type="spellStart"/>
      <w:r w:rsidRPr="004C7ECA">
        <w:rPr>
          <w:rFonts w:ascii="Arial" w:hAnsi="Arial" w:cs="Arial"/>
        </w:rPr>
        <w:t>rs</w:t>
      </w:r>
      <w:proofErr w:type="spellEnd"/>
      <w:r w:rsidRPr="004C7ECA">
        <w:rPr>
          <w:rFonts w:ascii="Arial" w:hAnsi="Arial" w:cs="Arial"/>
        </w:rPr>
        <w:t>-fMRI) are used to monitor functional reorganization. Rs-fMRI identifies synchronous activity patterns (functional connectivity) across the brain, revealing disinhibition of functionally silent neural circuits, the recruitment of functionally homologous or vicarious pathways, and the creation of new connections to overtake previous function</w:t>
      </w:r>
      <w:hyperlink r:id="rId56" w:anchor="3c7e74e6b5533993bc46e943b0d37b6f_ref" w:history="1">
        <w:r w:rsidRPr="004C7ECA">
          <w:rPr>
            <w:rStyle w:val="Hyperlink"/>
            <w:rFonts w:ascii="Arial" w:hAnsi="Arial" w:cs="Arial"/>
          </w:rPr>
          <w:t>(</w:t>
        </w:r>
        <w:proofErr w:type="spellStart"/>
        <w:r w:rsidRPr="004C7ECA">
          <w:rPr>
            <w:rStyle w:val="Hyperlink"/>
            <w:rFonts w:ascii="Arial" w:hAnsi="Arial" w:cs="Arial"/>
          </w:rPr>
          <w:t>Kunimatsu</w:t>
        </w:r>
        <w:proofErr w:type="spellEnd"/>
        <w:r w:rsidRPr="004C7ECA">
          <w:rPr>
            <w:rStyle w:val="Hyperlink"/>
            <w:rFonts w:ascii="Arial" w:hAnsi="Arial" w:cs="Arial"/>
          </w:rPr>
          <w:t xml:space="preserve"> et al., 2003; Zhang &amp; </w:t>
        </w:r>
        <w:proofErr w:type="spellStart"/>
        <w:r w:rsidRPr="004C7ECA">
          <w:rPr>
            <w:rStyle w:val="Hyperlink"/>
            <w:rFonts w:ascii="Arial" w:hAnsi="Arial" w:cs="Arial"/>
          </w:rPr>
          <w:t>Burock</w:t>
        </w:r>
        <w:proofErr w:type="spellEnd"/>
        <w:r w:rsidRPr="004C7ECA">
          <w:rPr>
            <w:rStyle w:val="Hyperlink"/>
            <w:rFonts w:ascii="Arial" w:hAnsi="Arial" w:cs="Arial"/>
          </w:rPr>
          <w:t>, 2020)</w:t>
        </w:r>
      </w:hyperlink>
      <w:r w:rsidRPr="004C7ECA">
        <w:rPr>
          <w:rFonts w:ascii="Arial" w:hAnsi="Arial" w:cs="Arial"/>
        </w:rPr>
        <w:t xml:space="preserve">. Studies involving closed-loop interventions, such as BCI trials, have shown trends of more pronounced </w:t>
      </w:r>
      <w:proofErr w:type="spellStart"/>
      <w:r w:rsidRPr="004C7ECA">
        <w:rPr>
          <w:rFonts w:ascii="Arial" w:hAnsi="Arial" w:cs="Arial"/>
          <w:b/>
        </w:rPr>
        <w:t>ipsilesional</w:t>
      </w:r>
      <w:proofErr w:type="spellEnd"/>
      <w:r w:rsidRPr="004C7ECA">
        <w:rPr>
          <w:rFonts w:ascii="Arial" w:hAnsi="Arial" w:cs="Arial"/>
          <w:b/>
        </w:rPr>
        <w:t xml:space="preserve"> cortical activity</w:t>
      </w:r>
      <w:r w:rsidRPr="004C7ECA">
        <w:rPr>
          <w:rFonts w:ascii="Arial" w:hAnsi="Arial" w:cs="Arial"/>
        </w:rPr>
        <w:t xml:space="preserve"> across the intervention period in the treatment group, suggesting that targeted therapy can induce measurable functional changes associated with motor recovery</w:t>
      </w:r>
      <w:hyperlink r:id="rId57" w:anchor="47596855bb6b34c9a2b8ba8ac70ae5ef_ref" w:history="1">
        <w:r w:rsidRPr="004C7ECA">
          <w:rPr>
            <w:rStyle w:val="Hyperlink"/>
            <w:rFonts w:ascii="Arial" w:hAnsi="Arial" w:cs="Arial"/>
          </w:rPr>
          <w:t xml:space="preserve">(Bundy et al., 2017; </w:t>
        </w:r>
        <w:proofErr w:type="spellStart"/>
        <w:r w:rsidRPr="004C7ECA">
          <w:rPr>
            <w:rStyle w:val="Hyperlink"/>
            <w:rFonts w:ascii="Arial" w:hAnsi="Arial" w:cs="Arial"/>
          </w:rPr>
          <w:t>Jin</w:t>
        </w:r>
        <w:proofErr w:type="spellEnd"/>
        <w:r w:rsidRPr="004C7ECA">
          <w:rPr>
            <w:rStyle w:val="Hyperlink"/>
            <w:rFonts w:ascii="Arial" w:hAnsi="Arial" w:cs="Arial"/>
          </w:rPr>
          <w:t xml:space="preserve"> et al., 2024)</w:t>
        </w:r>
      </w:hyperlink>
      <w:r w:rsidRPr="004C7ECA">
        <w:rPr>
          <w:rFonts w:ascii="Arial" w:hAnsi="Arial" w:cs="Arial"/>
        </w:rPr>
        <w:t>.</w:t>
      </w:r>
    </w:p>
    <w:p w14:paraId="0678E304" w14:textId="77777777" w:rsidR="004C7ECA" w:rsidRPr="002B7C04" w:rsidRDefault="000256AD" w:rsidP="004C7ECA">
      <w:pPr>
        <w:pStyle w:val="Body"/>
        <w:rPr>
          <w:rFonts w:ascii="Arial" w:hAnsi="Arial" w:cs="Arial"/>
          <w:b/>
          <w:bCs/>
        </w:rPr>
      </w:pPr>
      <w:r>
        <w:rPr>
          <w:rFonts w:ascii="Arial" w:hAnsi="Arial" w:cs="Arial"/>
          <w:b/>
          <w:bCs/>
        </w:rPr>
        <w:t xml:space="preserve">4.2.2 </w:t>
      </w:r>
      <w:r w:rsidR="004C7ECA" w:rsidRPr="002B7C04">
        <w:rPr>
          <w:rFonts w:ascii="Arial" w:hAnsi="Arial" w:cs="Arial"/>
          <w:b/>
          <w:bCs/>
        </w:rPr>
        <w:t>Perfusion Imaging</w:t>
      </w:r>
    </w:p>
    <w:p w14:paraId="66A9B1CB" w14:textId="77777777" w:rsidR="004C7ECA" w:rsidRPr="004C7ECA" w:rsidRDefault="004C7ECA" w:rsidP="004C7ECA">
      <w:pPr>
        <w:pStyle w:val="Body"/>
        <w:rPr>
          <w:rFonts w:ascii="Arial" w:hAnsi="Arial" w:cs="Arial"/>
        </w:rPr>
      </w:pPr>
      <w:r w:rsidRPr="004C7ECA">
        <w:rPr>
          <w:rFonts w:ascii="Arial" w:hAnsi="Arial" w:cs="Arial"/>
        </w:rPr>
        <w:t>Perfusion imaging assesses cerebral blood flow (CBF), which can be critical in the acute phase for determining neuroprotection potential and identifying tissue at risk of secondary injury. This information aids in determining the potential reversibility of functional deficits and guides time-sensitive therapeutic decisions.</w:t>
      </w:r>
    </w:p>
    <w:p w14:paraId="1716B26F" w14:textId="77777777" w:rsidR="004C7ECA" w:rsidRPr="002B7C04" w:rsidRDefault="002B7C04" w:rsidP="002B7C04">
      <w:pPr>
        <w:pStyle w:val="Body"/>
        <w:spacing w:after="0"/>
        <w:rPr>
          <w:rFonts w:ascii="Arial" w:hAnsi="Arial" w:cs="Arial"/>
          <w:b/>
          <w:bCs/>
          <w:sz w:val="22"/>
          <w:szCs w:val="22"/>
        </w:rPr>
      </w:pPr>
      <w:bookmarkStart w:id="17" w:name="_Toc256000113"/>
      <w:r w:rsidRPr="002B7C04">
        <w:rPr>
          <w:rFonts w:ascii="Arial" w:hAnsi="Arial" w:cs="Arial"/>
          <w:b/>
          <w:bCs/>
          <w:sz w:val="22"/>
          <w:szCs w:val="22"/>
        </w:rPr>
        <w:t>4</w:t>
      </w:r>
      <w:r w:rsidR="004C7ECA" w:rsidRPr="002B7C04">
        <w:rPr>
          <w:rFonts w:ascii="Arial" w:hAnsi="Arial" w:cs="Arial"/>
          <w:b/>
          <w:bCs/>
          <w:sz w:val="22"/>
          <w:szCs w:val="22"/>
        </w:rPr>
        <w:t xml:space="preserve">.3 </w:t>
      </w:r>
      <w:proofErr w:type="spellStart"/>
      <w:r w:rsidR="004C7ECA" w:rsidRPr="002B7C04">
        <w:rPr>
          <w:rFonts w:ascii="Arial" w:hAnsi="Arial" w:cs="Arial"/>
          <w:b/>
          <w:bCs/>
          <w:sz w:val="22"/>
          <w:szCs w:val="22"/>
        </w:rPr>
        <w:t>Connectomics</w:t>
      </w:r>
      <w:proofErr w:type="spellEnd"/>
      <w:r w:rsidR="004C7ECA" w:rsidRPr="002B7C04">
        <w:rPr>
          <w:rFonts w:ascii="Arial" w:hAnsi="Arial" w:cs="Arial"/>
          <w:b/>
          <w:bCs/>
          <w:sz w:val="22"/>
          <w:szCs w:val="22"/>
        </w:rPr>
        <w:t>: Graph Theory and Network Efficiency</w:t>
      </w:r>
      <w:bookmarkEnd w:id="17"/>
    </w:p>
    <w:p w14:paraId="5CC7FF33" w14:textId="77777777" w:rsidR="004C7ECA" w:rsidRPr="004C7ECA" w:rsidRDefault="004C7ECA" w:rsidP="004C7ECA">
      <w:pPr>
        <w:pStyle w:val="Body"/>
        <w:rPr>
          <w:rFonts w:ascii="Arial" w:hAnsi="Arial" w:cs="Arial"/>
        </w:rPr>
      </w:pPr>
      <w:proofErr w:type="spellStart"/>
      <w:r w:rsidRPr="004C7ECA">
        <w:rPr>
          <w:rFonts w:ascii="Arial" w:hAnsi="Arial" w:cs="Arial"/>
        </w:rPr>
        <w:t>Connectomics</w:t>
      </w:r>
      <w:proofErr w:type="spellEnd"/>
      <w:r w:rsidRPr="004C7ECA">
        <w:rPr>
          <w:rFonts w:ascii="Arial" w:hAnsi="Arial" w:cs="Arial"/>
        </w:rPr>
        <w:t xml:space="preserve"> applies graph theory to structural and functional imaging data, treating brain regions as nodes and their connections as edges. This allows for the quantification of network properties such as efficiency, modularity, and hub disruption</w:t>
      </w:r>
      <w:hyperlink r:id="rId58" w:anchor="9b97de5d947a3e02bd39bfef35f728fa_ref" w:history="1">
        <w:r w:rsidRPr="004C7ECA">
          <w:rPr>
            <w:rStyle w:val="Hyperlink"/>
            <w:rFonts w:ascii="Arial" w:hAnsi="Arial" w:cs="Arial"/>
          </w:rPr>
          <w:t>(Crossley et al., 2016; Forrester et al., 2020)</w:t>
        </w:r>
      </w:hyperlink>
      <w:r w:rsidRPr="004C7ECA">
        <w:rPr>
          <w:rFonts w:ascii="Arial" w:hAnsi="Arial" w:cs="Arial"/>
        </w:rPr>
        <w:t xml:space="preserve">. </w:t>
      </w:r>
      <w:proofErr w:type="spellStart"/>
      <w:r w:rsidRPr="004C7ECA">
        <w:rPr>
          <w:rFonts w:ascii="Arial" w:hAnsi="Arial" w:cs="Arial"/>
        </w:rPr>
        <w:t>Connectomic</w:t>
      </w:r>
      <w:proofErr w:type="spellEnd"/>
      <w:r w:rsidRPr="004C7ECA">
        <w:rPr>
          <w:rFonts w:ascii="Arial" w:hAnsi="Arial" w:cs="Arial"/>
        </w:rPr>
        <w:t xml:space="preserve"> analysis is powerful because it can reveal functional impairment at levels beyond the direct contribution of known lesions. The structural and </w:t>
      </w:r>
      <w:r w:rsidRPr="004C7ECA">
        <w:rPr>
          <w:rFonts w:ascii="Arial" w:hAnsi="Arial" w:cs="Arial"/>
        </w:rPr>
        <w:lastRenderedPageBreak/>
        <w:t>functional connectome provides essential, personalized insights into underlying network function in patients with neuropsychiatric disorders.</w:t>
      </w:r>
    </w:p>
    <w:p w14:paraId="7F962E2D" w14:textId="77777777" w:rsidR="004C7ECA" w:rsidRPr="000256AD" w:rsidRDefault="000256AD" w:rsidP="004C7ECA">
      <w:pPr>
        <w:pStyle w:val="Body"/>
        <w:rPr>
          <w:rFonts w:ascii="Arial" w:hAnsi="Arial" w:cs="Arial"/>
          <w:b/>
          <w:bCs/>
        </w:rPr>
      </w:pPr>
      <w:r>
        <w:rPr>
          <w:rFonts w:ascii="Arial" w:hAnsi="Arial" w:cs="Arial"/>
          <w:b/>
          <w:bCs/>
        </w:rPr>
        <w:t xml:space="preserve">4.3.1 </w:t>
      </w:r>
      <w:r w:rsidR="004C7ECA" w:rsidRPr="000256AD">
        <w:rPr>
          <w:rFonts w:ascii="Arial" w:hAnsi="Arial" w:cs="Arial"/>
          <w:b/>
          <w:bCs/>
        </w:rPr>
        <w:t>Connectome Fingerprinting for Prognosis: A Critical Synthesis</w:t>
      </w:r>
    </w:p>
    <w:p w14:paraId="3F766EB5" w14:textId="77777777" w:rsidR="004C7ECA" w:rsidRPr="004C7ECA" w:rsidRDefault="004C7ECA" w:rsidP="004C7ECA">
      <w:pPr>
        <w:pStyle w:val="Body"/>
        <w:rPr>
          <w:rFonts w:ascii="Arial" w:hAnsi="Arial" w:cs="Arial"/>
        </w:rPr>
      </w:pPr>
      <w:r w:rsidRPr="004C7ECA">
        <w:rPr>
          <w:rFonts w:ascii="Arial" w:hAnsi="Arial" w:cs="Arial"/>
        </w:rPr>
        <w:t xml:space="preserve">While </w:t>
      </w:r>
      <w:proofErr w:type="spellStart"/>
      <w:r w:rsidRPr="004C7ECA">
        <w:rPr>
          <w:rFonts w:ascii="Arial" w:hAnsi="Arial" w:cs="Arial"/>
        </w:rPr>
        <w:t>connectomics</w:t>
      </w:r>
      <w:proofErr w:type="spellEnd"/>
      <w:r w:rsidRPr="004C7ECA">
        <w:rPr>
          <w:rFonts w:ascii="Arial" w:hAnsi="Arial" w:cs="Arial"/>
        </w:rPr>
        <w:t xml:space="preserve"> offers high complexity, its utility must be critically evaluated against simpler measures. Research indicates a significant finding regarding the predictive power of </w:t>
      </w:r>
      <w:proofErr w:type="spellStart"/>
      <w:r w:rsidRPr="004C7ECA">
        <w:rPr>
          <w:rFonts w:ascii="Arial" w:hAnsi="Arial" w:cs="Arial"/>
        </w:rPr>
        <w:t>connectomic</w:t>
      </w:r>
      <w:proofErr w:type="spellEnd"/>
      <w:r w:rsidRPr="004C7ECA">
        <w:rPr>
          <w:rFonts w:ascii="Arial" w:hAnsi="Arial" w:cs="Arial"/>
        </w:rPr>
        <w:t xml:space="preserve"> markers: they provide </w:t>
      </w:r>
      <w:r w:rsidRPr="004C7ECA">
        <w:rPr>
          <w:rFonts w:ascii="Arial" w:hAnsi="Arial" w:cs="Arial"/>
          <w:b/>
        </w:rPr>
        <w:t>no benefit</w:t>
      </w:r>
      <w:r w:rsidRPr="004C7ECA">
        <w:rPr>
          <w:rFonts w:ascii="Arial" w:hAnsi="Arial" w:cs="Arial"/>
        </w:rPr>
        <w:t xml:space="preserve"> over basic spatial lesion features (e.g., lesion load) in the prediction of acute stroke severity and </w:t>
      </w:r>
      <w:r w:rsidRPr="004C7ECA">
        <w:rPr>
          <w:rFonts w:ascii="Arial" w:hAnsi="Arial" w:cs="Arial"/>
          <w:b/>
        </w:rPr>
        <w:t>global functional outcome measures</w:t>
      </w:r>
      <w:r w:rsidRPr="004C7ECA">
        <w:rPr>
          <w:rFonts w:ascii="Arial" w:hAnsi="Arial" w:cs="Arial"/>
        </w:rPr>
        <w:t xml:space="preserve"> (e.g., 3-month outcome scores)</w:t>
      </w:r>
      <w:hyperlink r:id="rId59" w:anchor="0b78495b233d30b9b838b4bae6e6f689_ref" w:history="1">
        <w:r w:rsidRPr="004C7ECA">
          <w:rPr>
            <w:rStyle w:val="Hyperlink"/>
            <w:rFonts w:ascii="Arial" w:hAnsi="Arial" w:cs="Arial"/>
          </w:rPr>
          <w:t>(Sperber et al., 2025)</w:t>
        </w:r>
      </w:hyperlink>
      <w:r w:rsidRPr="004C7ECA">
        <w:rPr>
          <w:rFonts w:ascii="Arial" w:hAnsi="Arial" w:cs="Arial"/>
        </w:rPr>
        <w:t>. This suggests that for predicting broad motor recovery, the sheer structural disruption (lesion load) effectively captures the global neurological deficit.</w:t>
      </w:r>
    </w:p>
    <w:p w14:paraId="3D81E10F" w14:textId="77777777" w:rsidR="004C7ECA" w:rsidRPr="004C7ECA" w:rsidRDefault="004C7ECA" w:rsidP="004C7ECA">
      <w:pPr>
        <w:pStyle w:val="Body"/>
        <w:rPr>
          <w:rFonts w:ascii="Arial" w:hAnsi="Arial" w:cs="Arial"/>
        </w:rPr>
      </w:pPr>
      <w:r w:rsidRPr="004C7ECA">
        <w:rPr>
          <w:rFonts w:ascii="Arial" w:hAnsi="Arial" w:cs="Arial"/>
        </w:rPr>
        <w:t xml:space="preserve">However, </w:t>
      </w:r>
      <w:proofErr w:type="spellStart"/>
      <w:r w:rsidRPr="004C7ECA">
        <w:rPr>
          <w:rFonts w:ascii="Arial" w:hAnsi="Arial" w:cs="Arial"/>
        </w:rPr>
        <w:t>connectomic</w:t>
      </w:r>
      <w:proofErr w:type="spellEnd"/>
      <w:r w:rsidRPr="004C7ECA">
        <w:rPr>
          <w:rFonts w:ascii="Arial" w:hAnsi="Arial" w:cs="Arial"/>
        </w:rPr>
        <w:t xml:space="preserve"> stroke imaging markers </w:t>
      </w:r>
      <w:r w:rsidRPr="004C7ECA">
        <w:rPr>
          <w:rFonts w:ascii="Arial" w:hAnsi="Arial" w:cs="Arial"/>
          <w:b/>
        </w:rPr>
        <w:t>are warranted</w:t>
      </w:r>
      <w:r w:rsidRPr="004C7ECA">
        <w:rPr>
          <w:rFonts w:ascii="Arial" w:hAnsi="Arial" w:cs="Arial"/>
        </w:rPr>
        <w:t xml:space="preserve"> and demonstrate equal or superior predictive power when modeling </w:t>
      </w:r>
      <w:r w:rsidRPr="004C7ECA">
        <w:rPr>
          <w:rFonts w:ascii="Arial" w:hAnsi="Arial" w:cs="Arial"/>
          <w:b/>
        </w:rPr>
        <w:t>specific, higher-order post-stroke cognitive deficits</w:t>
      </w:r>
      <w:hyperlink r:id="rId60" w:anchor="0b78495b233d30b9b838b4bae6e6f689_ref" w:history="1">
        <w:r w:rsidRPr="004C7ECA">
          <w:rPr>
            <w:rStyle w:val="Hyperlink"/>
            <w:rFonts w:ascii="Arial" w:hAnsi="Arial" w:cs="Arial"/>
          </w:rPr>
          <w:t>(Sperber et al., 2025)</w:t>
        </w:r>
      </w:hyperlink>
      <w:r w:rsidRPr="004C7ECA">
        <w:rPr>
          <w:rFonts w:ascii="Arial" w:hAnsi="Arial" w:cs="Arial"/>
        </w:rPr>
        <w:t xml:space="preserve">. This structural distinction emphasizes that the most significant current utility of </w:t>
      </w:r>
      <w:proofErr w:type="spellStart"/>
      <w:r w:rsidRPr="004C7ECA">
        <w:rPr>
          <w:rFonts w:ascii="Arial" w:hAnsi="Arial" w:cs="Arial"/>
        </w:rPr>
        <w:t>connectomics</w:t>
      </w:r>
      <w:proofErr w:type="spellEnd"/>
      <w:r w:rsidRPr="004C7ECA">
        <w:rPr>
          <w:rFonts w:ascii="Arial" w:hAnsi="Arial" w:cs="Arial"/>
        </w:rPr>
        <w:t xml:space="preserve"> lies in characterizing subtle network disruption related to cognition, attention, language, and executive function, rather than being prioritized for global motor outcomes where simpler measures suffice</w:t>
      </w:r>
      <w:hyperlink r:id="rId61" w:anchor="76d578b3f25a3a7d8eb9efc35cfef654_ref" w:history="1">
        <w:r w:rsidRPr="004C7ECA">
          <w:rPr>
            <w:rStyle w:val="Hyperlink"/>
            <w:rFonts w:ascii="Arial" w:hAnsi="Arial" w:cs="Arial"/>
          </w:rPr>
          <w:t>(</w:t>
        </w:r>
        <w:proofErr w:type="spellStart"/>
        <w:r w:rsidRPr="004C7ECA">
          <w:rPr>
            <w:rStyle w:val="Hyperlink"/>
            <w:rFonts w:ascii="Arial" w:hAnsi="Arial" w:cs="Arial"/>
          </w:rPr>
          <w:t>Ktena</w:t>
        </w:r>
        <w:proofErr w:type="spellEnd"/>
        <w:r w:rsidRPr="004C7ECA">
          <w:rPr>
            <w:rStyle w:val="Hyperlink"/>
            <w:rFonts w:ascii="Arial" w:hAnsi="Arial" w:cs="Arial"/>
          </w:rPr>
          <w:t xml:space="preserve"> et al., 2019)</w:t>
        </w:r>
      </w:hyperlink>
      <w:r w:rsidRPr="004C7ECA">
        <w:rPr>
          <w:rFonts w:ascii="Arial" w:hAnsi="Arial" w:cs="Arial"/>
        </w:rPr>
        <w:t xml:space="preserve">. Precision research must strategically pivot resources to leverage </w:t>
      </w:r>
      <w:proofErr w:type="spellStart"/>
      <w:r w:rsidRPr="004C7ECA">
        <w:rPr>
          <w:rFonts w:ascii="Arial" w:hAnsi="Arial" w:cs="Arial"/>
        </w:rPr>
        <w:t>connectomics</w:t>
      </w:r>
      <w:proofErr w:type="spellEnd"/>
      <w:r w:rsidRPr="004C7ECA">
        <w:rPr>
          <w:rFonts w:ascii="Arial" w:hAnsi="Arial" w:cs="Arial"/>
        </w:rPr>
        <w:t xml:space="preserve"> where subtle network disruption is key, justifying its computational complexity with enhanced predictive gain in specific functional domains.</w:t>
      </w:r>
    </w:p>
    <w:p w14:paraId="3AA3C4FB" w14:textId="77777777" w:rsidR="004C7ECA" w:rsidRPr="000256AD" w:rsidRDefault="000256AD" w:rsidP="000256AD">
      <w:pPr>
        <w:pStyle w:val="Body"/>
        <w:spacing w:after="0"/>
        <w:rPr>
          <w:rFonts w:ascii="Arial" w:hAnsi="Arial" w:cs="Arial"/>
          <w:b/>
          <w:bCs/>
          <w:sz w:val="24"/>
          <w:szCs w:val="24"/>
        </w:rPr>
      </w:pPr>
      <w:bookmarkStart w:id="18" w:name="_Toc256000114"/>
      <w:r w:rsidRPr="000256AD">
        <w:rPr>
          <w:rFonts w:ascii="Arial" w:hAnsi="Arial" w:cs="Arial"/>
          <w:b/>
          <w:bCs/>
          <w:sz w:val="24"/>
          <w:szCs w:val="24"/>
        </w:rPr>
        <w:t>5</w:t>
      </w:r>
      <w:r w:rsidR="004C7ECA" w:rsidRPr="000256AD">
        <w:rPr>
          <w:rFonts w:ascii="Arial" w:hAnsi="Arial" w:cs="Arial"/>
          <w:b/>
          <w:bCs/>
          <w:sz w:val="24"/>
          <w:szCs w:val="24"/>
        </w:rPr>
        <w:t>. Artificial Intelligence and Predictive Modeling in Neurorehabilitation</w:t>
      </w:r>
      <w:bookmarkEnd w:id="18"/>
    </w:p>
    <w:p w14:paraId="37C8A46E" w14:textId="77777777" w:rsidR="004C7ECA" w:rsidRPr="004C7ECA" w:rsidRDefault="004C7ECA" w:rsidP="004C7ECA">
      <w:pPr>
        <w:pStyle w:val="Body"/>
        <w:rPr>
          <w:rFonts w:ascii="Arial" w:hAnsi="Arial" w:cs="Arial"/>
        </w:rPr>
      </w:pPr>
      <w:r w:rsidRPr="004C7ECA">
        <w:rPr>
          <w:rFonts w:ascii="Arial" w:hAnsi="Arial" w:cs="Arial"/>
        </w:rPr>
        <w:t>Artificial Intelligence (AI) performs tasks that would otherwise require human intelligence, providing a vital layer for processing the large volumes of heterogeneous data essential for precision neurorehabilitation</w:t>
      </w:r>
      <w:hyperlink r:id="rId62" w:anchor="02e7c089b7b737d2ac85ebbb9237018a_ref" w:history="1">
        <w:r w:rsidRPr="004C7ECA">
          <w:rPr>
            <w:rStyle w:val="Hyperlink"/>
            <w:rFonts w:ascii="Arial" w:hAnsi="Arial" w:cs="Arial"/>
          </w:rPr>
          <w:t>(Calderone et al., 2024)</w:t>
        </w:r>
      </w:hyperlink>
      <w:r w:rsidRPr="004C7ECA">
        <w:rPr>
          <w:rFonts w:ascii="Arial" w:hAnsi="Arial" w:cs="Arial"/>
        </w:rPr>
        <w:t>.</w:t>
      </w:r>
    </w:p>
    <w:p w14:paraId="2758E23C" w14:textId="77777777" w:rsidR="004C7ECA" w:rsidRPr="000256AD" w:rsidRDefault="000256AD" w:rsidP="000256AD">
      <w:pPr>
        <w:pStyle w:val="Body"/>
        <w:spacing w:after="0"/>
        <w:rPr>
          <w:rFonts w:ascii="Arial" w:hAnsi="Arial" w:cs="Arial"/>
          <w:b/>
          <w:bCs/>
          <w:sz w:val="22"/>
          <w:szCs w:val="22"/>
        </w:rPr>
      </w:pPr>
      <w:bookmarkStart w:id="19" w:name="_Toc256000115"/>
      <w:r w:rsidRPr="000256AD">
        <w:rPr>
          <w:rFonts w:ascii="Arial" w:hAnsi="Arial" w:cs="Arial"/>
          <w:b/>
          <w:bCs/>
          <w:sz w:val="22"/>
          <w:szCs w:val="22"/>
        </w:rPr>
        <w:t>5</w:t>
      </w:r>
      <w:r w:rsidR="004C7ECA" w:rsidRPr="000256AD">
        <w:rPr>
          <w:rFonts w:ascii="Arial" w:hAnsi="Arial" w:cs="Arial"/>
          <w:b/>
          <w:bCs/>
          <w:sz w:val="22"/>
          <w:szCs w:val="22"/>
        </w:rPr>
        <w:t>.1 Machine Learning Models: Outcome Prediction and Stratification</w:t>
      </w:r>
      <w:bookmarkEnd w:id="19"/>
    </w:p>
    <w:p w14:paraId="17EBDC36" w14:textId="77777777" w:rsidR="004C7ECA" w:rsidRPr="004C7ECA" w:rsidRDefault="004C7ECA" w:rsidP="004C7ECA">
      <w:pPr>
        <w:pStyle w:val="Body"/>
        <w:rPr>
          <w:rFonts w:ascii="Arial" w:hAnsi="Arial" w:cs="Arial"/>
        </w:rPr>
      </w:pPr>
      <w:r w:rsidRPr="004C7ECA">
        <w:rPr>
          <w:rFonts w:ascii="Arial" w:hAnsi="Arial" w:cs="Arial"/>
        </w:rPr>
        <w:t>Machine learning (ML) models, including classic algorithms such as Support Vector Machines (SVM), Random Forests, and Gradient Boosting, are foundational for initial outcome prediction. These models are used to classify patients into prognostic subgroups (e.g., high vs. low responders) and for early detection of deterioration</w:t>
      </w:r>
      <w:hyperlink r:id="rId63" w:anchor="481fbe42398e3230a9655842d7beaacb_ref" w:history="1">
        <w:r w:rsidRPr="004C7ECA">
          <w:rPr>
            <w:rStyle w:val="Hyperlink"/>
            <w:rFonts w:ascii="Arial" w:hAnsi="Arial" w:cs="Arial"/>
          </w:rPr>
          <w:t>(</w:t>
        </w:r>
        <w:proofErr w:type="spellStart"/>
        <w:r w:rsidRPr="004C7ECA">
          <w:rPr>
            <w:rStyle w:val="Hyperlink"/>
            <w:rFonts w:ascii="Arial" w:hAnsi="Arial" w:cs="Arial"/>
          </w:rPr>
          <w:t>Korade</w:t>
        </w:r>
        <w:proofErr w:type="spellEnd"/>
        <w:r w:rsidRPr="004C7ECA">
          <w:rPr>
            <w:rStyle w:val="Hyperlink"/>
            <w:rFonts w:ascii="Arial" w:hAnsi="Arial" w:cs="Arial"/>
          </w:rPr>
          <w:t>, 2024)</w:t>
        </w:r>
      </w:hyperlink>
      <w:r w:rsidRPr="004C7ECA">
        <w:rPr>
          <w:rFonts w:ascii="Arial" w:hAnsi="Arial" w:cs="Arial"/>
        </w:rPr>
        <w:t>. While powerful, ML methods face challenges related to generalizability and interpretability.</w:t>
      </w:r>
    </w:p>
    <w:p w14:paraId="4E6BB0E0" w14:textId="77777777" w:rsidR="004C7ECA" w:rsidRPr="004C7ECA" w:rsidRDefault="004C7ECA" w:rsidP="004C7ECA">
      <w:pPr>
        <w:pStyle w:val="Body"/>
        <w:rPr>
          <w:rFonts w:ascii="Arial" w:hAnsi="Arial" w:cs="Arial"/>
        </w:rPr>
      </w:pPr>
      <w:r w:rsidRPr="004C7ECA">
        <w:rPr>
          <w:rFonts w:ascii="Arial" w:hAnsi="Arial" w:cs="Arial"/>
        </w:rPr>
        <w:t>The necessity of Explainable AI (XAI) is paramount, especially when clinical decisions rest on algorithmic outputs. Clinicians require transparency to understand how demographic factors or specific biomarkers influence prediction. Unfortunately, high-accuracy claims often derive from small, homogeneous cohorts, and real-world performance in diverse clinical settings is often estimated to range 10–15% lower than reported trial results</w:t>
      </w:r>
      <w:hyperlink r:id="rId64" w:anchor="5e4468f4e3963bb7aa81bdc904c8fea3_ref" w:history="1">
        <w:r w:rsidRPr="004C7ECA">
          <w:rPr>
            <w:rStyle w:val="Hyperlink"/>
            <w:rFonts w:ascii="Arial" w:hAnsi="Arial" w:cs="Arial"/>
          </w:rPr>
          <w:t>(</w:t>
        </w:r>
        <w:proofErr w:type="spellStart"/>
        <w:r w:rsidRPr="004C7ECA">
          <w:rPr>
            <w:rStyle w:val="Hyperlink"/>
            <w:rFonts w:ascii="Arial" w:hAnsi="Arial" w:cs="Arial"/>
          </w:rPr>
          <w:t>Gkintoni</w:t>
        </w:r>
        <w:proofErr w:type="spellEnd"/>
        <w:r w:rsidRPr="004C7ECA">
          <w:rPr>
            <w:rStyle w:val="Hyperlink"/>
            <w:rFonts w:ascii="Arial" w:hAnsi="Arial" w:cs="Arial"/>
          </w:rPr>
          <w:t xml:space="preserve"> &amp; </w:t>
        </w:r>
        <w:proofErr w:type="spellStart"/>
        <w:r w:rsidRPr="004C7ECA">
          <w:rPr>
            <w:rStyle w:val="Hyperlink"/>
            <w:rFonts w:ascii="Arial" w:hAnsi="Arial" w:cs="Arial"/>
          </w:rPr>
          <w:t>Halkiopoulos</w:t>
        </w:r>
        <w:proofErr w:type="spellEnd"/>
        <w:r w:rsidRPr="004C7ECA">
          <w:rPr>
            <w:rStyle w:val="Hyperlink"/>
            <w:rFonts w:ascii="Arial" w:hAnsi="Arial" w:cs="Arial"/>
          </w:rPr>
          <w:t>, 2025)</w:t>
        </w:r>
      </w:hyperlink>
      <w:r w:rsidRPr="004C7ECA">
        <w:rPr>
          <w:rFonts w:ascii="Arial" w:hAnsi="Arial" w:cs="Arial"/>
        </w:rPr>
        <w:t>.</w:t>
      </w:r>
    </w:p>
    <w:p w14:paraId="146D5021" w14:textId="77777777" w:rsidR="004C7ECA" w:rsidRPr="000256AD" w:rsidRDefault="000256AD" w:rsidP="000D4E7F">
      <w:pPr>
        <w:pStyle w:val="Body"/>
        <w:spacing w:after="0"/>
        <w:rPr>
          <w:rFonts w:ascii="Arial" w:hAnsi="Arial" w:cs="Arial"/>
          <w:b/>
          <w:bCs/>
          <w:sz w:val="22"/>
          <w:szCs w:val="22"/>
        </w:rPr>
      </w:pPr>
      <w:bookmarkStart w:id="20" w:name="_Toc256000116"/>
      <w:r w:rsidRPr="000256AD">
        <w:rPr>
          <w:rFonts w:ascii="Arial" w:hAnsi="Arial" w:cs="Arial"/>
          <w:b/>
          <w:bCs/>
          <w:sz w:val="22"/>
          <w:szCs w:val="22"/>
        </w:rPr>
        <w:t>5</w:t>
      </w:r>
      <w:r w:rsidR="004C7ECA" w:rsidRPr="000256AD">
        <w:rPr>
          <w:rFonts w:ascii="Arial" w:hAnsi="Arial" w:cs="Arial"/>
          <w:b/>
          <w:bCs/>
          <w:sz w:val="22"/>
          <w:szCs w:val="22"/>
        </w:rPr>
        <w:t>.2 Deep Learning &amp; Neural Networks: Complex Feature Extraction</w:t>
      </w:r>
      <w:bookmarkEnd w:id="20"/>
    </w:p>
    <w:p w14:paraId="40A7B1CB" w14:textId="77777777" w:rsidR="000D4E7F" w:rsidRPr="000D4E7F" w:rsidRDefault="000D4E7F" w:rsidP="000D4E7F">
      <w:pPr>
        <w:pStyle w:val="Body"/>
        <w:spacing w:after="0"/>
        <w:rPr>
          <w:rFonts w:ascii="Arial" w:hAnsi="Arial" w:cs="Arial"/>
          <w:b/>
          <w:bCs/>
        </w:rPr>
      </w:pPr>
    </w:p>
    <w:p w14:paraId="7C5C8E3C" w14:textId="77777777" w:rsidR="004C7ECA" w:rsidRPr="004C7ECA" w:rsidRDefault="004C7ECA" w:rsidP="004C7ECA">
      <w:pPr>
        <w:pStyle w:val="Body"/>
        <w:rPr>
          <w:rFonts w:ascii="Arial" w:hAnsi="Arial" w:cs="Arial"/>
        </w:rPr>
      </w:pPr>
      <w:r w:rsidRPr="004C7ECA">
        <w:rPr>
          <w:rFonts w:ascii="Arial" w:hAnsi="Arial" w:cs="Arial"/>
        </w:rPr>
        <w:t>Deep learning (DL), which utilizes architectures like Convolutional Neural Networks (CNNs) and Recurrent Neural Networks (RNNs), excels at abstracting features directly from raw, high-dimensional data, such as neuroimaging and EEG signals.</w:t>
      </w:r>
    </w:p>
    <w:p w14:paraId="05C99DAB" w14:textId="77777777" w:rsidR="004C7ECA" w:rsidRPr="000256AD" w:rsidRDefault="000256AD" w:rsidP="004C7ECA">
      <w:pPr>
        <w:pStyle w:val="Body"/>
        <w:rPr>
          <w:rFonts w:ascii="Arial" w:hAnsi="Arial" w:cs="Arial"/>
          <w:b/>
          <w:bCs/>
        </w:rPr>
      </w:pPr>
      <w:r w:rsidRPr="000256AD">
        <w:rPr>
          <w:rFonts w:ascii="Arial" w:hAnsi="Arial" w:cs="Arial"/>
          <w:b/>
          <w:bCs/>
        </w:rPr>
        <w:t xml:space="preserve">5.2.1 </w:t>
      </w:r>
      <w:r w:rsidR="004C7ECA" w:rsidRPr="000256AD">
        <w:rPr>
          <w:rFonts w:ascii="Arial" w:hAnsi="Arial" w:cs="Arial"/>
          <w:b/>
          <w:bCs/>
        </w:rPr>
        <w:t>Imaging-Driven Prediction Pipelines</w:t>
      </w:r>
    </w:p>
    <w:p w14:paraId="22B264FE" w14:textId="77777777" w:rsidR="004C7ECA" w:rsidRPr="004C7ECA" w:rsidRDefault="004C7ECA" w:rsidP="004C7ECA">
      <w:pPr>
        <w:pStyle w:val="Body"/>
        <w:rPr>
          <w:rFonts w:ascii="Arial" w:hAnsi="Arial" w:cs="Arial"/>
        </w:rPr>
      </w:pPr>
      <w:r w:rsidRPr="004C7ECA">
        <w:rPr>
          <w:rFonts w:ascii="Arial" w:hAnsi="Arial" w:cs="Arial"/>
        </w:rPr>
        <w:t xml:space="preserve">CNNs are widely used for automated analysis of neuroimaging, including automated lesion segmentation and the complex extraction of structural features that feed into prognostic models. Deep learning models have also been applied to time-series data, such as EEG, for </w:t>
      </w:r>
      <w:r w:rsidRPr="004C7ECA">
        <w:rPr>
          <w:rFonts w:ascii="Arial" w:hAnsi="Arial" w:cs="Arial"/>
        </w:rPr>
        <w:lastRenderedPageBreak/>
        <w:t>neural decoding—interpreting movement intention or cognitive state</w:t>
      </w:r>
      <w:hyperlink r:id="rId65" w:anchor="7f407b62aa92303d99187c46a61f1c1f_ref" w:history="1">
        <w:r w:rsidRPr="004C7ECA">
          <w:rPr>
            <w:rStyle w:val="Hyperlink"/>
            <w:rFonts w:ascii="Arial" w:hAnsi="Arial" w:cs="Arial"/>
          </w:rPr>
          <w:t>(</w:t>
        </w:r>
        <w:proofErr w:type="spellStart"/>
        <w:r w:rsidRPr="004C7ECA">
          <w:rPr>
            <w:rStyle w:val="Hyperlink"/>
            <w:rFonts w:ascii="Arial" w:hAnsi="Arial" w:cs="Arial"/>
          </w:rPr>
          <w:t>Gkintoni</w:t>
        </w:r>
        <w:proofErr w:type="spellEnd"/>
        <w:r w:rsidRPr="004C7ECA">
          <w:rPr>
            <w:rStyle w:val="Hyperlink"/>
            <w:rFonts w:ascii="Arial" w:hAnsi="Arial" w:cs="Arial"/>
          </w:rPr>
          <w:t>, Vassilopoulos, et al., 2025; Yang et al., 2023)</w:t>
        </w:r>
      </w:hyperlink>
      <w:r w:rsidRPr="004C7ECA">
        <w:rPr>
          <w:rFonts w:ascii="Arial" w:hAnsi="Arial" w:cs="Arial"/>
        </w:rPr>
        <w:t>.</w:t>
      </w:r>
    </w:p>
    <w:p w14:paraId="30D91CC5" w14:textId="77777777" w:rsidR="004C7ECA" w:rsidRPr="000256AD" w:rsidRDefault="000256AD" w:rsidP="004C7ECA">
      <w:pPr>
        <w:pStyle w:val="Body"/>
        <w:rPr>
          <w:rFonts w:ascii="Arial" w:hAnsi="Arial" w:cs="Arial"/>
          <w:b/>
          <w:bCs/>
        </w:rPr>
      </w:pPr>
      <w:r w:rsidRPr="000256AD">
        <w:rPr>
          <w:rFonts w:ascii="Arial" w:hAnsi="Arial" w:cs="Arial"/>
          <w:b/>
          <w:bCs/>
        </w:rPr>
        <w:t xml:space="preserve">5.2.2 </w:t>
      </w:r>
      <w:r w:rsidR="004C7ECA" w:rsidRPr="000256AD">
        <w:rPr>
          <w:rFonts w:ascii="Arial" w:hAnsi="Arial" w:cs="Arial"/>
          <w:b/>
          <w:bCs/>
        </w:rPr>
        <w:t>Multimodal Fusion Networks</w:t>
      </w:r>
    </w:p>
    <w:p w14:paraId="143189C3" w14:textId="77777777" w:rsidR="004C7ECA" w:rsidRPr="004C7ECA" w:rsidRDefault="004C7ECA" w:rsidP="004C7ECA">
      <w:pPr>
        <w:pStyle w:val="Body"/>
        <w:rPr>
          <w:rFonts w:ascii="Arial" w:hAnsi="Arial" w:cs="Arial"/>
        </w:rPr>
      </w:pPr>
      <w:r w:rsidRPr="004C7ECA">
        <w:rPr>
          <w:rFonts w:ascii="Arial" w:hAnsi="Arial" w:cs="Arial"/>
        </w:rPr>
        <w:t xml:space="preserve">Deep learning architectures are uniquely suited for </w:t>
      </w:r>
      <w:r w:rsidRPr="004C7ECA">
        <w:rPr>
          <w:rFonts w:ascii="Arial" w:hAnsi="Arial" w:cs="Arial"/>
          <w:b/>
        </w:rPr>
        <w:t>multimodal fusion</w:t>
      </w:r>
      <w:r w:rsidRPr="004C7ECA">
        <w:rPr>
          <w:rFonts w:ascii="Arial" w:hAnsi="Arial" w:cs="Arial"/>
        </w:rPr>
        <w:t>, enabling the simultaneous processing and correlation of diverse data types: medical imaging, genomics, physiological data, and real-time sensor streams</w:t>
      </w:r>
      <w:hyperlink r:id="rId66" w:anchor="86a6d21e9f71379d8fccd8629f084840_ref" w:history="1">
        <w:r w:rsidRPr="004C7ECA">
          <w:rPr>
            <w:rStyle w:val="Hyperlink"/>
            <w:rFonts w:ascii="Arial" w:hAnsi="Arial" w:cs="Arial"/>
          </w:rPr>
          <w:t>(Chaparro-Cárdenas et al., 2025)</w:t>
        </w:r>
      </w:hyperlink>
      <w:r w:rsidRPr="004C7ECA">
        <w:rPr>
          <w:rFonts w:ascii="Arial" w:hAnsi="Arial" w:cs="Arial"/>
        </w:rPr>
        <w:t xml:space="preserve">. Multimodal integration approaches that combine neuroimaging, physiological, behavioral, and digital phenotyping data substantially outperform single-modality assessments. Architectures like Multilayer </w:t>
      </w:r>
      <w:proofErr w:type="spellStart"/>
      <w:r w:rsidRPr="004C7ECA">
        <w:rPr>
          <w:rFonts w:ascii="Arial" w:hAnsi="Arial" w:cs="Arial"/>
        </w:rPr>
        <w:t>Perceptrons</w:t>
      </w:r>
      <w:proofErr w:type="spellEnd"/>
      <w:r w:rsidRPr="004C7ECA">
        <w:rPr>
          <w:rFonts w:ascii="Arial" w:hAnsi="Arial" w:cs="Arial"/>
        </w:rPr>
        <w:t xml:space="preserve"> (MLP), composed of multiple fully connected layers, are frequently used in deep learning to transform and integrate feature representations from disparate sources </w:t>
      </w:r>
      <w:hyperlink r:id="rId67" w:anchor="5e4468f4e3963bb7aa81bdc904c8fea3_ref" w:history="1">
        <w:r w:rsidRPr="004C7ECA">
          <w:rPr>
            <w:rStyle w:val="Hyperlink"/>
            <w:rFonts w:ascii="Arial" w:hAnsi="Arial" w:cs="Arial"/>
          </w:rPr>
          <w:t>(</w:t>
        </w:r>
        <w:proofErr w:type="spellStart"/>
        <w:r w:rsidRPr="004C7ECA">
          <w:rPr>
            <w:rStyle w:val="Hyperlink"/>
            <w:rFonts w:ascii="Arial" w:hAnsi="Arial" w:cs="Arial"/>
          </w:rPr>
          <w:t>Gkintoni</w:t>
        </w:r>
        <w:proofErr w:type="spellEnd"/>
        <w:r w:rsidRPr="004C7ECA">
          <w:rPr>
            <w:rStyle w:val="Hyperlink"/>
            <w:rFonts w:ascii="Arial" w:hAnsi="Arial" w:cs="Arial"/>
          </w:rPr>
          <w:t xml:space="preserve"> &amp; </w:t>
        </w:r>
        <w:proofErr w:type="spellStart"/>
        <w:r w:rsidRPr="004C7ECA">
          <w:rPr>
            <w:rStyle w:val="Hyperlink"/>
            <w:rFonts w:ascii="Arial" w:hAnsi="Arial" w:cs="Arial"/>
          </w:rPr>
          <w:t>Halkiopoulos</w:t>
        </w:r>
        <w:proofErr w:type="spellEnd"/>
        <w:r w:rsidRPr="004C7ECA">
          <w:rPr>
            <w:rStyle w:val="Hyperlink"/>
            <w:rFonts w:ascii="Arial" w:hAnsi="Arial" w:cs="Arial"/>
          </w:rPr>
          <w:t>, 2025)</w:t>
        </w:r>
      </w:hyperlink>
      <w:r w:rsidRPr="004C7ECA">
        <w:rPr>
          <w:rFonts w:ascii="Arial" w:hAnsi="Arial" w:cs="Arial"/>
        </w:rPr>
        <w:t>. This capacity for multi-modal correlation is what allows AI to capture the complex, non-linear interactions defining recovery.</w:t>
      </w:r>
    </w:p>
    <w:p w14:paraId="4B7EA94C" w14:textId="77777777" w:rsidR="004C7ECA" w:rsidRPr="000256AD" w:rsidRDefault="000256AD" w:rsidP="000256AD">
      <w:pPr>
        <w:pStyle w:val="Body"/>
        <w:spacing w:after="0"/>
        <w:rPr>
          <w:rFonts w:ascii="Arial" w:hAnsi="Arial" w:cs="Arial"/>
          <w:b/>
          <w:bCs/>
          <w:sz w:val="22"/>
          <w:szCs w:val="22"/>
        </w:rPr>
      </w:pPr>
      <w:bookmarkStart w:id="21" w:name="_Toc256000117"/>
      <w:r w:rsidRPr="000256AD">
        <w:rPr>
          <w:rFonts w:ascii="Arial" w:hAnsi="Arial" w:cs="Arial"/>
          <w:b/>
          <w:bCs/>
          <w:sz w:val="22"/>
          <w:szCs w:val="22"/>
        </w:rPr>
        <w:t>5</w:t>
      </w:r>
      <w:r w:rsidR="004C7ECA" w:rsidRPr="000256AD">
        <w:rPr>
          <w:rFonts w:ascii="Arial" w:hAnsi="Arial" w:cs="Arial"/>
          <w:b/>
          <w:bCs/>
          <w:sz w:val="22"/>
          <w:szCs w:val="22"/>
        </w:rPr>
        <w:t>.3 Digital Twins in Rehabilitation:</w:t>
      </w:r>
      <w:bookmarkEnd w:id="21"/>
      <w:r w:rsidR="004C7ECA" w:rsidRPr="000256AD">
        <w:rPr>
          <w:rFonts w:ascii="Arial" w:hAnsi="Arial" w:cs="Arial"/>
          <w:b/>
          <w:bCs/>
          <w:sz w:val="22"/>
          <w:szCs w:val="22"/>
        </w:rPr>
        <w:t xml:space="preserve"> </w:t>
      </w:r>
    </w:p>
    <w:p w14:paraId="5531AFEF" w14:textId="77777777" w:rsidR="004C7ECA" w:rsidRPr="004C7ECA" w:rsidRDefault="004C7ECA" w:rsidP="004C7ECA">
      <w:pPr>
        <w:pStyle w:val="Body"/>
        <w:rPr>
          <w:rFonts w:ascii="Arial" w:hAnsi="Arial" w:cs="Arial"/>
        </w:rPr>
      </w:pPr>
      <w:r w:rsidRPr="004C7ECA">
        <w:rPr>
          <w:rFonts w:ascii="Arial" w:hAnsi="Arial" w:cs="Arial"/>
        </w:rPr>
        <w:t xml:space="preserve">The Digital Twin (DT) paradigm, derived from the learned causal models (Section 3), is a core technology for precision dosing. A DT cognition model creates a dynamic, personalized virtual model of an individual's neurocognitive systems, facilitating continuous monitoring and </w:t>
      </w:r>
      <w:r w:rsidRPr="004C7ECA">
        <w:rPr>
          <w:rFonts w:ascii="Arial" w:hAnsi="Arial" w:cs="Arial"/>
          <w:i/>
        </w:rPr>
        <w:t>in silico</w:t>
      </w:r>
      <w:r w:rsidRPr="004C7ECA">
        <w:rPr>
          <w:rFonts w:ascii="Arial" w:hAnsi="Arial" w:cs="Arial"/>
        </w:rPr>
        <w:t xml:space="preserve"> testing </w:t>
      </w:r>
      <w:hyperlink r:id="rId68" w:anchor="5e4468f4e3963bb7aa81bdc904c8fea3_ref" w:history="1">
        <w:r w:rsidRPr="004C7ECA">
          <w:rPr>
            <w:rStyle w:val="Hyperlink"/>
            <w:rFonts w:ascii="Arial" w:hAnsi="Arial" w:cs="Arial"/>
          </w:rPr>
          <w:t>(</w:t>
        </w:r>
        <w:proofErr w:type="spellStart"/>
        <w:r w:rsidRPr="004C7ECA">
          <w:rPr>
            <w:rStyle w:val="Hyperlink"/>
            <w:rFonts w:ascii="Arial" w:hAnsi="Arial" w:cs="Arial"/>
          </w:rPr>
          <w:t>Gkintoni</w:t>
        </w:r>
        <w:proofErr w:type="spellEnd"/>
        <w:r w:rsidRPr="004C7ECA">
          <w:rPr>
            <w:rStyle w:val="Hyperlink"/>
            <w:rFonts w:ascii="Arial" w:hAnsi="Arial" w:cs="Arial"/>
          </w:rPr>
          <w:t xml:space="preserve"> &amp; </w:t>
        </w:r>
        <w:proofErr w:type="spellStart"/>
        <w:r w:rsidRPr="004C7ECA">
          <w:rPr>
            <w:rStyle w:val="Hyperlink"/>
            <w:rFonts w:ascii="Arial" w:hAnsi="Arial" w:cs="Arial"/>
          </w:rPr>
          <w:t>Halkiopoulos</w:t>
        </w:r>
        <w:proofErr w:type="spellEnd"/>
        <w:r w:rsidRPr="004C7ECA">
          <w:rPr>
            <w:rStyle w:val="Hyperlink"/>
            <w:rFonts w:ascii="Arial" w:hAnsi="Arial" w:cs="Arial"/>
          </w:rPr>
          <w:t>, 2025)</w:t>
        </w:r>
      </w:hyperlink>
      <w:r w:rsidRPr="004C7ECA">
        <w:rPr>
          <w:rFonts w:ascii="Arial" w:hAnsi="Arial" w:cs="Arial"/>
        </w:rPr>
        <w:t>.</w:t>
      </w:r>
    </w:p>
    <w:p w14:paraId="6E37502B" w14:textId="77777777" w:rsidR="004C7ECA" w:rsidRPr="000256AD" w:rsidRDefault="004C7ECA" w:rsidP="004C7ECA">
      <w:pPr>
        <w:pStyle w:val="Body"/>
        <w:rPr>
          <w:rFonts w:ascii="Arial" w:hAnsi="Arial" w:cs="Arial"/>
          <w:b/>
          <w:bCs/>
        </w:rPr>
      </w:pPr>
      <w:r w:rsidRPr="000256AD">
        <w:rPr>
          <w:rFonts w:ascii="Arial" w:hAnsi="Arial" w:cs="Arial"/>
          <w:b/>
          <w:bCs/>
        </w:rPr>
        <w:t>Architecture and Functionality</w:t>
      </w:r>
    </w:p>
    <w:p w14:paraId="5B0B747C" w14:textId="77777777" w:rsidR="004C7ECA" w:rsidRPr="004C7ECA" w:rsidRDefault="004C7ECA" w:rsidP="004C7ECA">
      <w:pPr>
        <w:pStyle w:val="Body"/>
        <w:rPr>
          <w:rFonts w:ascii="Arial" w:hAnsi="Arial" w:cs="Arial"/>
        </w:rPr>
      </w:pPr>
      <w:r w:rsidRPr="004C7ECA">
        <w:rPr>
          <w:rFonts w:ascii="Arial" w:hAnsi="Arial" w:cs="Arial"/>
        </w:rPr>
        <w:t xml:space="preserve">The DT architecture typically involves different manifestations: the </w:t>
      </w:r>
      <w:r w:rsidRPr="004C7ECA">
        <w:rPr>
          <w:rFonts w:ascii="Arial" w:hAnsi="Arial" w:cs="Arial"/>
          <w:b/>
        </w:rPr>
        <w:t>Digital Twin Instance (DTI)</w:t>
      </w:r>
      <w:r w:rsidRPr="004C7ECA">
        <w:rPr>
          <w:rFonts w:ascii="Arial" w:hAnsi="Arial" w:cs="Arial"/>
        </w:rPr>
        <w:t xml:space="preserve"> establishes a real-time, bidirectional communication link between the physical patient and the virtual model, allowing for continuous monitoring and validation </w:t>
      </w:r>
      <w:hyperlink r:id="rId69" w:anchor="86a6d21e9f71379d8fccd8629f084840_ref" w:history="1">
        <w:r w:rsidRPr="004C7ECA">
          <w:rPr>
            <w:rStyle w:val="Hyperlink"/>
            <w:rFonts w:ascii="Arial" w:hAnsi="Arial" w:cs="Arial"/>
          </w:rPr>
          <w:t>(Chaparro-Cárdenas et al., 2025)</w:t>
        </w:r>
      </w:hyperlink>
      <w:r w:rsidRPr="004C7ECA">
        <w:rPr>
          <w:rFonts w:ascii="Arial" w:hAnsi="Arial" w:cs="Arial"/>
        </w:rPr>
        <w:t xml:space="preserve">. </w:t>
      </w:r>
      <w:r w:rsidRPr="004C7ECA">
        <w:rPr>
          <w:rFonts w:ascii="Arial" w:hAnsi="Arial" w:cs="Arial"/>
          <w:b/>
        </w:rPr>
        <w:t>Digital Twin Aggregation (DTA)</w:t>
      </w:r>
      <w:r w:rsidRPr="004C7ECA">
        <w:rPr>
          <w:rFonts w:ascii="Arial" w:hAnsi="Arial" w:cs="Arial"/>
        </w:rPr>
        <w:t xml:space="preserve"> focuses on analyzing large-scale data across multiple patients to identify general patterns and optimize rehabilitation design and performance metrics.</w:t>
      </w:r>
    </w:p>
    <w:p w14:paraId="6180A46B" w14:textId="77777777" w:rsidR="004C7ECA" w:rsidRPr="004C7ECA" w:rsidRDefault="004C7ECA" w:rsidP="004C7ECA">
      <w:pPr>
        <w:pStyle w:val="Body"/>
        <w:rPr>
          <w:rFonts w:ascii="Arial" w:hAnsi="Arial" w:cs="Arial"/>
        </w:rPr>
      </w:pPr>
      <w:r w:rsidRPr="004C7ECA">
        <w:rPr>
          <w:rFonts w:ascii="Arial" w:hAnsi="Arial" w:cs="Arial"/>
        </w:rPr>
        <w:t xml:space="preserve">Functionally, the DT serves as the environment for simulating therapy outcomes </w:t>
      </w:r>
      <w:hyperlink r:id="rId70" w:anchor="075f33d68da93ecda8dc1249987ac877_ref" w:history="1">
        <w:r w:rsidRPr="004C7ECA">
          <w:rPr>
            <w:rStyle w:val="Hyperlink"/>
            <w:rFonts w:ascii="Arial" w:hAnsi="Arial" w:cs="Arial"/>
          </w:rPr>
          <w:t>(Cotton et al., 2024)</w:t>
        </w:r>
      </w:hyperlink>
      <w:r w:rsidRPr="004C7ECA">
        <w:rPr>
          <w:rFonts w:ascii="Arial" w:hAnsi="Arial" w:cs="Arial"/>
        </w:rPr>
        <w:t xml:space="preserve">. By running thousands of hypothetical intervention strategies against the patient’s personalized model, the DT identifies the ODTR, thus determining the optimal "precision dose"—the specific intensity, duration, and type of intervention required to reach a functional goal, such as maximizing functional independence measure (FIM) scores </w:t>
      </w:r>
      <w:hyperlink r:id="rId71" w:anchor="440b2a0c62cc365fa6987a0ce7b79dc4_ref" w:history="1">
        <w:r w:rsidRPr="004C7ECA">
          <w:rPr>
            <w:rStyle w:val="Hyperlink"/>
            <w:rFonts w:ascii="Arial" w:hAnsi="Arial" w:cs="Arial"/>
          </w:rPr>
          <w:t>(</w:t>
        </w:r>
        <w:proofErr w:type="spellStart"/>
        <w:r w:rsidRPr="004C7ECA">
          <w:rPr>
            <w:rStyle w:val="Hyperlink"/>
            <w:rFonts w:ascii="Arial" w:hAnsi="Arial" w:cs="Arial"/>
          </w:rPr>
          <w:t>Swarnakar</w:t>
        </w:r>
        <w:proofErr w:type="spellEnd"/>
        <w:r w:rsidRPr="004C7ECA">
          <w:rPr>
            <w:rStyle w:val="Hyperlink"/>
            <w:rFonts w:ascii="Arial" w:hAnsi="Arial" w:cs="Arial"/>
          </w:rPr>
          <w:t>, 2025)</w:t>
        </w:r>
      </w:hyperlink>
      <w:r w:rsidRPr="004C7ECA">
        <w:rPr>
          <w:rFonts w:ascii="Arial" w:hAnsi="Arial" w:cs="Arial"/>
        </w:rPr>
        <w:t>.</w:t>
      </w:r>
    </w:p>
    <w:p w14:paraId="1F3081E0" w14:textId="77777777" w:rsidR="004C7ECA" w:rsidRPr="000256AD" w:rsidRDefault="000256AD" w:rsidP="000256AD">
      <w:pPr>
        <w:pStyle w:val="Body"/>
        <w:spacing w:after="0"/>
        <w:rPr>
          <w:rFonts w:ascii="Arial" w:hAnsi="Arial" w:cs="Arial"/>
          <w:b/>
          <w:bCs/>
          <w:sz w:val="22"/>
          <w:szCs w:val="22"/>
        </w:rPr>
      </w:pPr>
      <w:bookmarkStart w:id="22" w:name="_Toc256000118"/>
      <w:r w:rsidRPr="000256AD">
        <w:rPr>
          <w:rFonts w:ascii="Arial" w:hAnsi="Arial" w:cs="Arial"/>
          <w:b/>
          <w:bCs/>
          <w:sz w:val="22"/>
          <w:szCs w:val="22"/>
        </w:rPr>
        <w:t>5</w:t>
      </w:r>
      <w:r w:rsidR="004C7ECA" w:rsidRPr="000256AD">
        <w:rPr>
          <w:rFonts w:ascii="Arial" w:hAnsi="Arial" w:cs="Arial"/>
          <w:b/>
          <w:bCs/>
          <w:sz w:val="22"/>
          <w:szCs w:val="22"/>
        </w:rPr>
        <w:t>.4 Clinical Decision-Support Systems (CDSS)</w:t>
      </w:r>
      <w:bookmarkEnd w:id="22"/>
    </w:p>
    <w:p w14:paraId="22F34286" w14:textId="77777777" w:rsidR="004C7ECA" w:rsidRPr="004C7ECA" w:rsidRDefault="004C7ECA" w:rsidP="004C7ECA">
      <w:pPr>
        <w:pStyle w:val="Body"/>
        <w:rPr>
          <w:rFonts w:ascii="Arial" w:hAnsi="Arial" w:cs="Arial"/>
        </w:rPr>
      </w:pPr>
      <w:r w:rsidRPr="004C7ECA">
        <w:rPr>
          <w:rFonts w:ascii="Arial" w:hAnsi="Arial" w:cs="Arial"/>
        </w:rPr>
        <w:t xml:space="preserve">Clinical Decision-Support Systems are the operational interface of the AI models. They translate the complex, prescriptive outputs of the Digital Twin and the ODTR into actionable, timely recommendations for the clinical team </w:t>
      </w:r>
      <w:hyperlink r:id="rId72" w:anchor="8e26f973baa639338879af064cf14f98_ref" w:history="1">
        <w:r w:rsidRPr="004C7ECA">
          <w:rPr>
            <w:rStyle w:val="Hyperlink"/>
            <w:rFonts w:ascii="Arial" w:hAnsi="Arial" w:cs="Arial"/>
          </w:rPr>
          <w:t xml:space="preserve">(Chen et al., 2023; </w:t>
        </w:r>
        <w:proofErr w:type="spellStart"/>
        <w:r w:rsidRPr="004C7ECA">
          <w:rPr>
            <w:rStyle w:val="Hyperlink"/>
            <w:rFonts w:ascii="Arial" w:hAnsi="Arial" w:cs="Arial"/>
          </w:rPr>
          <w:t>Elhaddad</w:t>
        </w:r>
        <w:proofErr w:type="spellEnd"/>
        <w:r w:rsidRPr="004C7ECA">
          <w:rPr>
            <w:rStyle w:val="Hyperlink"/>
            <w:rFonts w:ascii="Arial" w:hAnsi="Arial" w:cs="Arial"/>
          </w:rPr>
          <w:t xml:space="preserve"> &amp; </w:t>
        </w:r>
        <w:proofErr w:type="spellStart"/>
        <w:r w:rsidRPr="004C7ECA">
          <w:rPr>
            <w:rStyle w:val="Hyperlink"/>
            <w:rFonts w:ascii="Arial" w:hAnsi="Arial" w:cs="Arial"/>
          </w:rPr>
          <w:t>Hamam</w:t>
        </w:r>
        <w:proofErr w:type="spellEnd"/>
        <w:r w:rsidRPr="004C7ECA">
          <w:rPr>
            <w:rStyle w:val="Hyperlink"/>
            <w:rFonts w:ascii="Arial" w:hAnsi="Arial" w:cs="Arial"/>
          </w:rPr>
          <w:t>, 2024)</w:t>
        </w:r>
      </w:hyperlink>
      <w:r w:rsidRPr="004C7ECA">
        <w:rPr>
          <w:rFonts w:ascii="Arial" w:hAnsi="Arial" w:cs="Arial"/>
        </w:rPr>
        <w:t>. CDSS functionalities include:</w:t>
      </w:r>
    </w:p>
    <w:p w14:paraId="694BC17B" w14:textId="77777777" w:rsidR="004C7ECA" w:rsidRPr="00F722DA" w:rsidRDefault="004C7ECA" w:rsidP="00F722DA">
      <w:pPr>
        <w:pStyle w:val="Body"/>
        <w:numPr>
          <w:ilvl w:val="0"/>
          <w:numId w:val="32"/>
        </w:numPr>
        <w:rPr>
          <w:rFonts w:ascii="Arial" w:hAnsi="Arial" w:cs="Arial"/>
        </w:rPr>
      </w:pPr>
      <w:r w:rsidRPr="004C7ECA">
        <w:rPr>
          <w:rFonts w:ascii="Arial" w:hAnsi="Arial" w:cs="Arial"/>
          <w:b/>
        </w:rPr>
        <w:t xml:space="preserve">AI-assisted protocol selection: </w:t>
      </w:r>
      <w:r w:rsidRPr="004C7ECA">
        <w:rPr>
          <w:rFonts w:ascii="Arial" w:hAnsi="Arial" w:cs="Arial"/>
        </w:rPr>
        <w:t xml:space="preserve"> Recommending a specific combination of therapy components (e.g., suggesting a motor imagery BCI protocol combined with transcranial electrical stimulation).</w:t>
      </w:r>
    </w:p>
    <w:p w14:paraId="1A4A6B5F" w14:textId="77777777" w:rsidR="004C7ECA" w:rsidRPr="00F722DA" w:rsidRDefault="004C7ECA" w:rsidP="00F722DA">
      <w:pPr>
        <w:pStyle w:val="Body"/>
        <w:numPr>
          <w:ilvl w:val="0"/>
          <w:numId w:val="33"/>
        </w:numPr>
        <w:rPr>
          <w:rFonts w:ascii="Arial" w:hAnsi="Arial" w:cs="Arial"/>
        </w:rPr>
      </w:pPr>
      <w:r w:rsidRPr="004C7ECA">
        <w:rPr>
          <w:rFonts w:ascii="Arial" w:hAnsi="Arial" w:cs="Arial"/>
          <w:b/>
        </w:rPr>
        <w:t xml:space="preserve">Dynamic adjustment: </w:t>
      </w:r>
      <w:r w:rsidRPr="004C7ECA">
        <w:rPr>
          <w:rFonts w:ascii="Arial" w:hAnsi="Arial" w:cs="Arial"/>
        </w:rPr>
        <w:t xml:space="preserve"> Providing real-time alerts or modifications to treatment intensity based on the patient's continuous neural and physiological feedback loops (e.g., increasing robotic resistance based on measured muscle activation or lowering cognitive load based on ERP latency shifts).</w:t>
      </w:r>
    </w:p>
    <w:p w14:paraId="3405CD44" w14:textId="77777777" w:rsidR="004C7ECA" w:rsidRPr="000256AD" w:rsidRDefault="000256AD" w:rsidP="000256AD">
      <w:pPr>
        <w:pStyle w:val="Body"/>
        <w:spacing w:after="0"/>
        <w:rPr>
          <w:rFonts w:ascii="Arial" w:hAnsi="Arial" w:cs="Arial"/>
          <w:b/>
          <w:bCs/>
          <w:sz w:val="24"/>
          <w:szCs w:val="24"/>
        </w:rPr>
      </w:pPr>
      <w:bookmarkStart w:id="23" w:name="_Toc256000119"/>
      <w:r w:rsidRPr="000256AD">
        <w:rPr>
          <w:rFonts w:ascii="Arial" w:hAnsi="Arial" w:cs="Arial"/>
          <w:b/>
          <w:bCs/>
          <w:sz w:val="24"/>
          <w:szCs w:val="24"/>
        </w:rPr>
        <w:lastRenderedPageBreak/>
        <w:t>6</w:t>
      </w:r>
      <w:r w:rsidR="004C7ECA" w:rsidRPr="000256AD">
        <w:rPr>
          <w:rFonts w:ascii="Arial" w:hAnsi="Arial" w:cs="Arial"/>
          <w:b/>
          <w:bCs/>
          <w:sz w:val="24"/>
          <w:szCs w:val="24"/>
        </w:rPr>
        <w:t xml:space="preserve">. Integrating Biomarkers, Imaging, and AI </w:t>
      </w:r>
      <w:proofErr w:type="gramStart"/>
      <w:r w:rsidR="004C7ECA" w:rsidRPr="000256AD">
        <w:rPr>
          <w:rFonts w:ascii="Arial" w:hAnsi="Arial" w:cs="Arial"/>
          <w:b/>
          <w:bCs/>
          <w:sz w:val="24"/>
          <w:szCs w:val="24"/>
        </w:rPr>
        <w:t>Into</w:t>
      </w:r>
      <w:proofErr w:type="gramEnd"/>
      <w:r w:rsidR="004C7ECA" w:rsidRPr="000256AD">
        <w:rPr>
          <w:rFonts w:ascii="Arial" w:hAnsi="Arial" w:cs="Arial"/>
          <w:b/>
          <w:bCs/>
          <w:sz w:val="24"/>
          <w:szCs w:val="24"/>
        </w:rPr>
        <w:t xml:space="preserve"> a Unified Precision Rehab Model</w:t>
      </w:r>
      <w:bookmarkEnd w:id="23"/>
    </w:p>
    <w:p w14:paraId="5DA0748E" w14:textId="77777777" w:rsidR="004C7ECA" w:rsidRPr="004C7ECA" w:rsidRDefault="004C7ECA" w:rsidP="004C7ECA">
      <w:pPr>
        <w:pStyle w:val="Body"/>
        <w:rPr>
          <w:rFonts w:ascii="Arial" w:hAnsi="Arial" w:cs="Arial"/>
        </w:rPr>
      </w:pPr>
      <w:r w:rsidRPr="004C7ECA">
        <w:rPr>
          <w:rFonts w:ascii="Arial" w:hAnsi="Arial" w:cs="Arial"/>
        </w:rPr>
        <w:t>Achieving a unified precision neurorehabilitation model requires sophisticated strategies for data integration, patient stratification, and the application of real-time, closed-loop control.</w:t>
      </w:r>
    </w:p>
    <w:p w14:paraId="6FA45708" w14:textId="77777777" w:rsidR="004C7ECA" w:rsidRPr="000256AD" w:rsidRDefault="000256AD" w:rsidP="000256AD">
      <w:pPr>
        <w:pStyle w:val="Body"/>
        <w:spacing w:after="0"/>
        <w:rPr>
          <w:rFonts w:ascii="Arial" w:hAnsi="Arial" w:cs="Arial"/>
          <w:b/>
          <w:bCs/>
          <w:sz w:val="22"/>
          <w:szCs w:val="22"/>
        </w:rPr>
      </w:pPr>
      <w:bookmarkStart w:id="24" w:name="_Toc256000120"/>
      <w:r w:rsidRPr="000256AD">
        <w:rPr>
          <w:rFonts w:ascii="Arial" w:hAnsi="Arial" w:cs="Arial"/>
          <w:b/>
          <w:bCs/>
          <w:sz w:val="22"/>
          <w:szCs w:val="22"/>
        </w:rPr>
        <w:t xml:space="preserve">6.1 </w:t>
      </w:r>
      <w:r w:rsidR="004C7ECA" w:rsidRPr="000256AD">
        <w:rPr>
          <w:rFonts w:ascii="Arial" w:hAnsi="Arial" w:cs="Arial"/>
          <w:b/>
          <w:bCs/>
          <w:sz w:val="22"/>
          <w:szCs w:val="22"/>
        </w:rPr>
        <w:t>Multi-modal Data Fusion</w:t>
      </w:r>
      <w:bookmarkEnd w:id="24"/>
    </w:p>
    <w:p w14:paraId="0EABB9E2" w14:textId="77777777" w:rsidR="004C7ECA" w:rsidRPr="004C7ECA" w:rsidRDefault="004C7ECA" w:rsidP="004C7ECA">
      <w:pPr>
        <w:pStyle w:val="Body"/>
        <w:rPr>
          <w:rFonts w:ascii="Arial" w:hAnsi="Arial" w:cs="Arial"/>
        </w:rPr>
      </w:pPr>
      <w:r w:rsidRPr="004C7ECA">
        <w:rPr>
          <w:rFonts w:ascii="Arial" w:hAnsi="Arial" w:cs="Arial"/>
        </w:rPr>
        <w:t>Multimodal fusion involves combining information from disparate sources (EEG, MRI, genetics, kinematics) to yield predictive or prescriptive power greater than the sum of its parts</w:t>
      </w:r>
      <w:hyperlink r:id="rId73" w:anchor="e5b05e6c7aac309ebe5f1237f69ae7b9_ref" w:history="1">
        <w:r w:rsidRPr="004C7ECA">
          <w:rPr>
            <w:rStyle w:val="Hyperlink"/>
            <w:rFonts w:ascii="Arial" w:hAnsi="Arial" w:cs="Arial"/>
          </w:rPr>
          <w:t>(</w:t>
        </w:r>
        <w:proofErr w:type="spellStart"/>
        <w:r w:rsidRPr="004C7ECA">
          <w:rPr>
            <w:rStyle w:val="Hyperlink"/>
            <w:rFonts w:ascii="Arial" w:hAnsi="Arial" w:cs="Arial"/>
          </w:rPr>
          <w:t>Alrawis</w:t>
        </w:r>
        <w:proofErr w:type="spellEnd"/>
        <w:r w:rsidRPr="004C7ECA">
          <w:rPr>
            <w:rStyle w:val="Hyperlink"/>
            <w:rFonts w:ascii="Arial" w:hAnsi="Arial" w:cs="Arial"/>
          </w:rPr>
          <w:t xml:space="preserve"> et al., 2024)</w:t>
        </w:r>
      </w:hyperlink>
      <w:r w:rsidRPr="004C7ECA">
        <w:rPr>
          <w:rFonts w:ascii="Arial" w:hAnsi="Arial" w:cs="Arial"/>
        </w:rPr>
        <w:t>. Technical approaches include:</w:t>
      </w:r>
    </w:p>
    <w:p w14:paraId="6D06BCD6" w14:textId="77777777" w:rsidR="004C7ECA" w:rsidRPr="004C7ECA" w:rsidRDefault="004C7ECA" w:rsidP="004C7ECA">
      <w:pPr>
        <w:pStyle w:val="Body"/>
        <w:numPr>
          <w:ilvl w:val="0"/>
          <w:numId w:val="34"/>
        </w:numPr>
        <w:rPr>
          <w:rFonts w:ascii="Arial" w:hAnsi="Arial" w:cs="Arial"/>
        </w:rPr>
      </w:pPr>
      <w:r w:rsidRPr="004C7ECA">
        <w:rPr>
          <w:rFonts w:ascii="Arial" w:hAnsi="Arial" w:cs="Arial"/>
          <w:b/>
        </w:rPr>
        <w:t xml:space="preserve">Feature-level fusion: </w:t>
      </w:r>
      <w:r w:rsidRPr="004C7ECA">
        <w:rPr>
          <w:rFonts w:ascii="Arial" w:hAnsi="Arial" w:cs="Arial"/>
        </w:rPr>
        <w:t xml:space="preserve"> Extracting relevant metrics from each modality (e.g., FA values from DTI, alpha power from EEG) and concatenating them into a unified feature vector for a single ML model.</w:t>
      </w:r>
    </w:p>
    <w:p w14:paraId="36873E40" w14:textId="77777777" w:rsidR="004C7ECA" w:rsidRPr="004C7ECA" w:rsidRDefault="004C7ECA" w:rsidP="004C7ECA">
      <w:pPr>
        <w:pStyle w:val="Body"/>
        <w:numPr>
          <w:ilvl w:val="0"/>
          <w:numId w:val="34"/>
        </w:numPr>
        <w:rPr>
          <w:rFonts w:ascii="Arial" w:hAnsi="Arial" w:cs="Arial"/>
        </w:rPr>
      </w:pPr>
      <w:r w:rsidRPr="004C7ECA">
        <w:rPr>
          <w:rFonts w:ascii="Arial" w:hAnsi="Arial" w:cs="Arial"/>
          <w:b/>
        </w:rPr>
        <w:t xml:space="preserve">Decision-level fusion: </w:t>
      </w:r>
      <w:r w:rsidRPr="004C7ECA">
        <w:rPr>
          <w:rFonts w:ascii="Arial" w:hAnsi="Arial" w:cs="Arial"/>
        </w:rPr>
        <w:t xml:space="preserve"> Training separate models for each modality and then using a meta-classifier to combine their individual prediction outcomes.</w:t>
      </w:r>
    </w:p>
    <w:p w14:paraId="7D6BF54A" w14:textId="77777777" w:rsidR="004C7ECA" w:rsidRPr="000256AD" w:rsidRDefault="004C7ECA" w:rsidP="00F722DA">
      <w:pPr>
        <w:pStyle w:val="Body"/>
        <w:numPr>
          <w:ilvl w:val="0"/>
          <w:numId w:val="34"/>
        </w:numPr>
        <w:rPr>
          <w:rFonts w:ascii="Arial" w:hAnsi="Arial" w:cs="Arial"/>
          <w:sz w:val="22"/>
          <w:szCs w:val="22"/>
        </w:rPr>
      </w:pPr>
      <w:r w:rsidRPr="004C7ECA">
        <w:rPr>
          <w:rFonts w:ascii="Arial" w:hAnsi="Arial" w:cs="Arial"/>
          <w:b/>
        </w:rPr>
        <w:t xml:space="preserve">Hierarchical fusion: </w:t>
      </w:r>
      <w:r w:rsidRPr="004C7ECA">
        <w:rPr>
          <w:rFonts w:ascii="Arial" w:hAnsi="Arial" w:cs="Arial"/>
        </w:rPr>
        <w:t xml:space="preserve"> Integrating data sequentially, often prioritizing the most expensive or high-resolution data (e.g., fMRI) after cheaper, readily available data (e.g., EEG or kinematics) have provided initial stratification. Deep learning excels at these fusion strategies, leveraging complex neural networks to process and correlate diverse data types effectively </w:t>
      </w:r>
      <w:hyperlink r:id="rId74" w:anchor="fec157357270395ea698de43f56da12b_ref" w:history="1">
        <w:r w:rsidRPr="004C7ECA">
          <w:rPr>
            <w:rStyle w:val="Hyperlink"/>
            <w:rFonts w:ascii="Arial" w:hAnsi="Arial" w:cs="Arial"/>
          </w:rPr>
          <w:t>(Liu et al., 2022; Sui et al., 2014)</w:t>
        </w:r>
      </w:hyperlink>
      <w:r w:rsidRPr="004C7ECA">
        <w:rPr>
          <w:rFonts w:ascii="Arial" w:hAnsi="Arial" w:cs="Arial"/>
        </w:rPr>
        <w:t>.</w:t>
      </w:r>
    </w:p>
    <w:p w14:paraId="31AE0222" w14:textId="77777777" w:rsidR="004C7ECA" w:rsidRPr="000256AD" w:rsidRDefault="004C7ECA" w:rsidP="004C7ECA">
      <w:pPr>
        <w:pStyle w:val="Body"/>
        <w:numPr>
          <w:ilvl w:val="1"/>
          <w:numId w:val="42"/>
        </w:numPr>
        <w:spacing w:after="0"/>
        <w:rPr>
          <w:rFonts w:ascii="Arial" w:hAnsi="Arial" w:cs="Arial"/>
          <w:b/>
          <w:bCs/>
          <w:sz w:val="22"/>
          <w:szCs w:val="22"/>
        </w:rPr>
      </w:pPr>
      <w:bookmarkStart w:id="25" w:name="_Toc256000121"/>
      <w:r w:rsidRPr="000256AD">
        <w:rPr>
          <w:rFonts w:ascii="Arial" w:hAnsi="Arial" w:cs="Arial"/>
          <w:b/>
          <w:bCs/>
          <w:sz w:val="22"/>
          <w:szCs w:val="22"/>
        </w:rPr>
        <w:t>Hierarchical Clustering of Patient Phenotypes</w:t>
      </w:r>
      <w:bookmarkEnd w:id="25"/>
    </w:p>
    <w:p w14:paraId="7B949BB4" w14:textId="77777777" w:rsidR="004C7ECA" w:rsidRPr="004C7ECA" w:rsidRDefault="004C7ECA" w:rsidP="004C7ECA">
      <w:pPr>
        <w:pStyle w:val="Body"/>
        <w:rPr>
          <w:rFonts w:ascii="Arial" w:hAnsi="Arial" w:cs="Arial"/>
        </w:rPr>
      </w:pPr>
      <w:r w:rsidRPr="004C7ECA">
        <w:rPr>
          <w:rFonts w:ascii="Arial" w:hAnsi="Arial" w:cs="Arial"/>
        </w:rPr>
        <w:t xml:space="preserve">Standard diagnostic labels (e.g., "ischemic stroke patient") are insufficient for precision dosing. AI and sophisticated statistical techniques are used for hierarchical clustering to identify latent, biologically defined patient phenotypes. For example, AI can distinguish between stroke patients whose recovery is primarily driven by </w:t>
      </w:r>
      <w:proofErr w:type="spellStart"/>
      <w:r w:rsidRPr="004C7ECA">
        <w:rPr>
          <w:rFonts w:ascii="Arial" w:hAnsi="Arial" w:cs="Arial"/>
        </w:rPr>
        <w:t>ipsilesional</w:t>
      </w:r>
      <w:proofErr w:type="spellEnd"/>
      <w:r w:rsidRPr="004C7ECA">
        <w:rPr>
          <w:rFonts w:ascii="Arial" w:hAnsi="Arial" w:cs="Arial"/>
        </w:rPr>
        <w:t xml:space="preserve"> reorganization versus those relying on </w:t>
      </w:r>
      <w:proofErr w:type="spellStart"/>
      <w:r w:rsidRPr="004C7ECA">
        <w:rPr>
          <w:rFonts w:ascii="Arial" w:hAnsi="Arial" w:cs="Arial"/>
        </w:rPr>
        <w:t>contralesional</w:t>
      </w:r>
      <w:proofErr w:type="spellEnd"/>
      <w:r w:rsidRPr="004C7ECA">
        <w:rPr>
          <w:rFonts w:ascii="Arial" w:hAnsi="Arial" w:cs="Arial"/>
        </w:rPr>
        <w:t xml:space="preserve"> compensation, allowing for the precise selection of NIBS targets. Successful multimodal frameworks have demonstrated the ability to enhance patient stratification, particularly in neurodegenerative diseases and MS </w:t>
      </w:r>
      <w:hyperlink r:id="rId75" w:anchor="5e4468f4e3963bb7aa81bdc904c8fea3_ref" w:history="1">
        <w:r w:rsidRPr="004C7ECA">
          <w:rPr>
            <w:rStyle w:val="Hyperlink"/>
            <w:rFonts w:ascii="Arial" w:hAnsi="Arial" w:cs="Arial"/>
          </w:rPr>
          <w:t>(</w:t>
        </w:r>
        <w:proofErr w:type="spellStart"/>
        <w:r w:rsidRPr="004C7ECA">
          <w:rPr>
            <w:rStyle w:val="Hyperlink"/>
            <w:rFonts w:ascii="Arial" w:hAnsi="Arial" w:cs="Arial"/>
          </w:rPr>
          <w:t>Gkintoni</w:t>
        </w:r>
        <w:proofErr w:type="spellEnd"/>
        <w:r w:rsidRPr="004C7ECA">
          <w:rPr>
            <w:rStyle w:val="Hyperlink"/>
            <w:rFonts w:ascii="Arial" w:hAnsi="Arial" w:cs="Arial"/>
          </w:rPr>
          <w:t xml:space="preserve"> &amp; </w:t>
        </w:r>
        <w:proofErr w:type="spellStart"/>
        <w:r w:rsidRPr="004C7ECA">
          <w:rPr>
            <w:rStyle w:val="Hyperlink"/>
            <w:rFonts w:ascii="Arial" w:hAnsi="Arial" w:cs="Arial"/>
          </w:rPr>
          <w:t>Halkiopoulos</w:t>
        </w:r>
        <w:proofErr w:type="spellEnd"/>
        <w:r w:rsidRPr="004C7ECA">
          <w:rPr>
            <w:rStyle w:val="Hyperlink"/>
            <w:rFonts w:ascii="Arial" w:hAnsi="Arial" w:cs="Arial"/>
          </w:rPr>
          <w:t>, 2025)</w:t>
        </w:r>
      </w:hyperlink>
      <w:r w:rsidRPr="004C7ECA">
        <w:rPr>
          <w:rFonts w:ascii="Arial" w:hAnsi="Arial" w:cs="Arial"/>
        </w:rPr>
        <w:t>.</w:t>
      </w:r>
    </w:p>
    <w:p w14:paraId="0F2641ED" w14:textId="77777777" w:rsidR="004C7ECA" w:rsidRPr="000256AD" w:rsidRDefault="000256AD" w:rsidP="000256AD">
      <w:pPr>
        <w:pStyle w:val="Body"/>
        <w:spacing w:after="0"/>
        <w:rPr>
          <w:rFonts w:ascii="Arial" w:hAnsi="Arial" w:cs="Arial"/>
          <w:b/>
          <w:bCs/>
          <w:sz w:val="22"/>
          <w:szCs w:val="22"/>
        </w:rPr>
      </w:pPr>
      <w:bookmarkStart w:id="26" w:name="_Toc256000122"/>
      <w:r w:rsidRPr="000256AD">
        <w:rPr>
          <w:rFonts w:ascii="Arial" w:hAnsi="Arial" w:cs="Arial"/>
          <w:b/>
          <w:bCs/>
          <w:sz w:val="22"/>
          <w:szCs w:val="22"/>
        </w:rPr>
        <w:t xml:space="preserve">6.3 </w:t>
      </w:r>
      <w:r w:rsidR="004C7ECA" w:rsidRPr="000256AD">
        <w:rPr>
          <w:rFonts w:ascii="Arial" w:hAnsi="Arial" w:cs="Arial"/>
          <w:b/>
          <w:bCs/>
          <w:sz w:val="22"/>
          <w:szCs w:val="22"/>
        </w:rPr>
        <w:t>Closed-Loop Precision Therapy Systems</w:t>
      </w:r>
      <w:bookmarkEnd w:id="26"/>
    </w:p>
    <w:p w14:paraId="49BBEC8D" w14:textId="77777777" w:rsidR="004C7ECA" w:rsidRPr="004C7ECA" w:rsidRDefault="004C7ECA" w:rsidP="004C7ECA">
      <w:pPr>
        <w:pStyle w:val="Body"/>
        <w:rPr>
          <w:rFonts w:ascii="Arial" w:hAnsi="Arial" w:cs="Arial"/>
        </w:rPr>
      </w:pPr>
      <w:r w:rsidRPr="004C7ECA">
        <w:rPr>
          <w:rFonts w:ascii="Arial" w:hAnsi="Arial" w:cs="Arial"/>
        </w:rPr>
        <w:t xml:space="preserve">The most advanced expression of precision neurorehabilitation involves </w:t>
      </w:r>
      <w:r w:rsidRPr="004C7ECA">
        <w:rPr>
          <w:rFonts w:ascii="Arial" w:hAnsi="Arial" w:cs="Arial"/>
          <w:b/>
        </w:rPr>
        <w:t>closed-loop (CL) neurotechnology</w:t>
      </w:r>
      <w:r w:rsidRPr="004C7ECA">
        <w:rPr>
          <w:rFonts w:ascii="Arial" w:hAnsi="Arial" w:cs="Arial"/>
        </w:rPr>
        <w:t xml:space="preserve">. These systems continuously monitor physiological inputs (e.g., real-time EEG signals), process the data through advanced algorithms (AI/Digital Twin), and dynamically adjust outputs (e.g., robotics, NIBS intensity, BCI feedback) in real time to achieve desired neuroplastic outcomes </w:t>
      </w:r>
      <w:hyperlink r:id="rId76" w:anchor="dc945d1d111a3c12b63bbeb55ecfdf30_ref" w:history="1">
        <w:r w:rsidRPr="004C7ECA">
          <w:rPr>
            <w:rStyle w:val="Hyperlink"/>
            <w:rFonts w:ascii="Arial" w:hAnsi="Arial" w:cs="Arial"/>
          </w:rPr>
          <w:t>(M. Liu et al., 2022; Sui et al., 2014)</w:t>
        </w:r>
      </w:hyperlink>
      <w:r w:rsidRPr="004C7ECA">
        <w:rPr>
          <w:rFonts w:ascii="Arial" w:hAnsi="Arial" w:cs="Arial"/>
        </w:rPr>
        <w:t>.</w:t>
      </w:r>
    </w:p>
    <w:p w14:paraId="496EB3B1" w14:textId="77777777" w:rsidR="004C7ECA" w:rsidRPr="000256AD" w:rsidRDefault="004C7ECA" w:rsidP="004C7ECA">
      <w:pPr>
        <w:pStyle w:val="Body"/>
        <w:rPr>
          <w:rFonts w:ascii="Arial" w:hAnsi="Arial" w:cs="Arial"/>
          <w:b/>
          <w:bCs/>
        </w:rPr>
      </w:pPr>
      <w:r w:rsidRPr="000256AD">
        <w:rPr>
          <w:rFonts w:ascii="Arial" w:hAnsi="Arial" w:cs="Arial"/>
          <w:b/>
          <w:bCs/>
        </w:rPr>
        <w:t>Evidence from Closed-Loop BCI</w:t>
      </w:r>
    </w:p>
    <w:p w14:paraId="36F0584E" w14:textId="77777777" w:rsidR="004C7ECA" w:rsidRPr="004C7ECA" w:rsidRDefault="008F6A37" w:rsidP="004C7ECA">
      <w:pPr>
        <w:pStyle w:val="Body"/>
        <w:rPr>
          <w:rFonts w:ascii="Arial" w:hAnsi="Arial" w:cs="Arial"/>
        </w:rPr>
      </w:pPr>
      <w:hyperlink r:id="rId77" w:history="1">
        <w:r w:rsidR="004C7ECA" w:rsidRPr="004C7ECA">
          <w:rPr>
            <w:rStyle w:val="Hyperlink"/>
            <w:rFonts w:ascii="Arial" w:hAnsi="Arial" w:cs="Arial"/>
          </w:rPr>
          <w:t xml:space="preserve">Randomized controlled trials (RCTs) involving CL systems, such as the </w:t>
        </w:r>
        <w:proofErr w:type="spellStart"/>
        <w:r w:rsidR="004C7ECA" w:rsidRPr="004C7ECA">
          <w:rPr>
            <w:rStyle w:val="Hyperlink"/>
            <w:rFonts w:ascii="Arial" w:hAnsi="Arial" w:cs="Arial"/>
          </w:rPr>
          <w:t>ReHand</w:t>
        </w:r>
        <w:proofErr w:type="spellEnd"/>
        <w:r w:rsidR="004C7ECA" w:rsidRPr="004C7ECA">
          <w:rPr>
            <w:rStyle w:val="Hyperlink"/>
            <w:rFonts w:ascii="Arial" w:hAnsi="Arial" w:cs="Arial"/>
          </w:rPr>
          <w:t>-BCI trial for stroke rehabilitation, demonstrate the power of real-time feedback</w:t>
        </w:r>
      </w:hyperlink>
      <w:r w:rsidR="004C7ECA" w:rsidRPr="004C7ECA">
        <w:rPr>
          <w:rFonts w:ascii="Arial" w:hAnsi="Arial" w:cs="Arial"/>
        </w:rPr>
        <w:t xml:space="preserve"> </w:t>
      </w:r>
      <w:hyperlink r:id="rId78" w:anchor="4392397ee0473f9cbecdb872f5c87d22_ref" w:history="1">
        <w:r w:rsidR="004C7ECA" w:rsidRPr="004C7ECA">
          <w:rPr>
            <w:rStyle w:val="Hyperlink"/>
            <w:rFonts w:ascii="Arial" w:hAnsi="Arial" w:cs="Arial"/>
          </w:rPr>
          <w:t>(</w:t>
        </w:r>
        <w:proofErr w:type="spellStart"/>
        <w:r w:rsidR="004C7ECA" w:rsidRPr="004C7ECA">
          <w:rPr>
            <w:rStyle w:val="Hyperlink"/>
            <w:rFonts w:ascii="Arial" w:hAnsi="Arial" w:cs="Arial"/>
          </w:rPr>
          <w:t>Cantillo</w:t>
        </w:r>
        <w:proofErr w:type="spellEnd"/>
        <w:r w:rsidR="004C7ECA" w:rsidRPr="004C7ECA">
          <w:rPr>
            <w:rStyle w:val="Hyperlink"/>
            <w:rFonts w:ascii="Arial" w:hAnsi="Arial" w:cs="Arial"/>
          </w:rPr>
          <w:t>-Negrete et al., 2025)</w:t>
        </w:r>
      </w:hyperlink>
      <w:r w:rsidR="004C7ECA" w:rsidRPr="004C7ECA">
        <w:rPr>
          <w:rFonts w:ascii="Arial" w:hAnsi="Arial" w:cs="Arial"/>
        </w:rPr>
        <w:t>. The experimental group (EG) using the CL-BCI system showed functional improvements (significantly different Action Research Arm Test scores post-treatment) that were not observed in the sham control group, despite both groups showing clinical recovery in basic motor scales (</w:t>
      </w:r>
      <w:proofErr w:type="spellStart"/>
      <w:r w:rsidR="004C7ECA" w:rsidRPr="004C7ECA">
        <w:rPr>
          <w:rFonts w:ascii="Arial" w:hAnsi="Arial" w:cs="Arial"/>
        </w:rPr>
        <w:t>Fugl</w:t>
      </w:r>
      <w:proofErr w:type="spellEnd"/>
      <w:r w:rsidR="004C7ECA" w:rsidRPr="004C7ECA">
        <w:rPr>
          <w:rFonts w:ascii="Arial" w:hAnsi="Arial" w:cs="Arial"/>
        </w:rPr>
        <w:t xml:space="preserve">-Meyer Assessment for the Upper Extremity [FMA-UE] </w:t>
      </w:r>
      <w:hyperlink r:id="rId79" w:anchor="4392397ee0473f9cbecdb872f5c87d22_ref" w:history="1">
        <w:r w:rsidR="004C7ECA" w:rsidRPr="004C7ECA">
          <w:rPr>
            <w:rStyle w:val="Hyperlink"/>
            <w:rFonts w:ascii="Arial" w:hAnsi="Arial" w:cs="Arial"/>
          </w:rPr>
          <w:t>(</w:t>
        </w:r>
        <w:proofErr w:type="spellStart"/>
        <w:r w:rsidR="004C7ECA" w:rsidRPr="004C7ECA">
          <w:rPr>
            <w:rStyle w:val="Hyperlink"/>
            <w:rFonts w:ascii="Arial" w:hAnsi="Arial" w:cs="Arial"/>
          </w:rPr>
          <w:t>Cantillo</w:t>
        </w:r>
        <w:proofErr w:type="spellEnd"/>
        <w:r w:rsidR="004C7ECA" w:rsidRPr="004C7ECA">
          <w:rPr>
            <w:rStyle w:val="Hyperlink"/>
            <w:rFonts w:ascii="Arial" w:hAnsi="Arial" w:cs="Arial"/>
          </w:rPr>
          <w:t>-Negrete et al., 2025)</w:t>
        </w:r>
      </w:hyperlink>
      <w:r w:rsidR="004C7ECA" w:rsidRPr="004C7ECA">
        <w:rPr>
          <w:rFonts w:ascii="Arial" w:hAnsi="Arial" w:cs="Arial"/>
        </w:rPr>
        <w:t>) .</w:t>
      </w:r>
    </w:p>
    <w:p w14:paraId="3D787B5B" w14:textId="77777777" w:rsidR="004C7ECA" w:rsidRPr="004C7ECA" w:rsidRDefault="004C7ECA" w:rsidP="004C7ECA">
      <w:pPr>
        <w:pStyle w:val="Body"/>
        <w:rPr>
          <w:rFonts w:ascii="Arial" w:hAnsi="Arial" w:cs="Arial"/>
        </w:rPr>
      </w:pPr>
      <w:r w:rsidRPr="004C7ECA">
        <w:rPr>
          <w:rFonts w:ascii="Arial" w:hAnsi="Arial" w:cs="Arial"/>
        </w:rPr>
        <w:t xml:space="preserve">Crucially, the EG showed non-statistically significant </w:t>
      </w:r>
      <w:r w:rsidRPr="004C7ECA">
        <w:rPr>
          <w:rFonts w:ascii="Arial" w:hAnsi="Arial" w:cs="Arial"/>
          <w:i/>
        </w:rPr>
        <w:t>trends</w:t>
      </w:r>
      <w:r w:rsidRPr="004C7ECA">
        <w:rPr>
          <w:rFonts w:ascii="Arial" w:hAnsi="Arial" w:cs="Arial"/>
        </w:rPr>
        <w:t xml:space="preserve"> toward more pronounced </w:t>
      </w:r>
      <w:proofErr w:type="spellStart"/>
      <w:r w:rsidRPr="004C7ECA">
        <w:rPr>
          <w:rFonts w:ascii="Arial" w:hAnsi="Arial" w:cs="Arial"/>
        </w:rPr>
        <w:t>ipsilesional</w:t>
      </w:r>
      <w:proofErr w:type="spellEnd"/>
      <w:r w:rsidRPr="004C7ECA">
        <w:rPr>
          <w:rFonts w:ascii="Arial" w:hAnsi="Arial" w:cs="Arial"/>
        </w:rPr>
        <w:t xml:space="preserve"> cortical activity (EEG/fMRI) and higher </w:t>
      </w:r>
      <w:proofErr w:type="spellStart"/>
      <w:r w:rsidRPr="004C7ECA">
        <w:rPr>
          <w:rFonts w:ascii="Arial" w:hAnsi="Arial" w:cs="Arial"/>
        </w:rPr>
        <w:t>ipsilesional</w:t>
      </w:r>
      <w:proofErr w:type="spellEnd"/>
      <w:r w:rsidRPr="004C7ECA">
        <w:rPr>
          <w:rFonts w:ascii="Arial" w:hAnsi="Arial" w:cs="Arial"/>
        </w:rPr>
        <w:t xml:space="preserve"> corticospinal tract integrity </w:t>
      </w:r>
      <w:r w:rsidRPr="004C7ECA">
        <w:rPr>
          <w:rFonts w:ascii="Arial" w:hAnsi="Arial" w:cs="Arial"/>
        </w:rPr>
        <w:lastRenderedPageBreak/>
        <w:t xml:space="preserve">(DTI/TMS). This finding supports the hypothesis that closed-loop feedback drives specific neuroplastic mechanisms—namely, enhanced </w:t>
      </w:r>
      <w:proofErr w:type="spellStart"/>
      <w:r w:rsidRPr="004C7ECA">
        <w:rPr>
          <w:rFonts w:ascii="Arial" w:hAnsi="Arial" w:cs="Arial"/>
        </w:rPr>
        <w:t>ipsilesional</w:t>
      </w:r>
      <w:proofErr w:type="spellEnd"/>
      <w:r w:rsidRPr="004C7ECA">
        <w:rPr>
          <w:rFonts w:ascii="Arial" w:hAnsi="Arial" w:cs="Arial"/>
        </w:rPr>
        <w:t xml:space="preserve"> activity and corticospinal tract structural integrity—that are highly associated with upper extremity motor recovery </w:t>
      </w:r>
      <w:hyperlink r:id="rId80" w:anchor="4392397ee0473f9cbecdb872f5c87d22_ref" w:history="1">
        <w:r w:rsidRPr="004C7ECA">
          <w:rPr>
            <w:rStyle w:val="Hyperlink"/>
            <w:rFonts w:ascii="Arial" w:hAnsi="Arial" w:cs="Arial"/>
          </w:rPr>
          <w:t>(</w:t>
        </w:r>
        <w:proofErr w:type="spellStart"/>
        <w:r w:rsidRPr="004C7ECA">
          <w:rPr>
            <w:rStyle w:val="Hyperlink"/>
            <w:rFonts w:ascii="Arial" w:hAnsi="Arial" w:cs="Arial"/>
          </w:rPr>
          <w:t>Cantillo</w:t>
        </w:r>
        <w:proofErr w:type="spellEnd"/>
        <w:r w:rsidRPr="004C7ECA">
          <w:rPr>
            <w:rStyle w:val="Hyperlink"/>
            <w:rFonts w:ascii="Arial" w:hAnsi="Arial" w:cs="Arial"/>
          </w:rPr>
          <w:t>-Negrete et al., 2025)</w:t>
        </w:r>
      </w:hyperlink>
      <w:r w:rsidRPr="004C7ECA">
        <w:rPr>
          <w:rFonts w:ascii="Arial" w:hAnsi="Arial" w:cs="Arial"/>
        </w:rPr>
        <w:t xml:space="preserve">. This demonstrates that the CL signal provides a necessary precision dose, moving the research agenda from merely demonstrating therapeutic efficacy toward validating the specific underlying mechanism of plastic change </w:t>
      </w:r>
      <w:hyperlink r:id="rId81" w:anchor="8480ebbe953239de9466432fcc938a9d_ref" w:history="1">
        <w:r w:rsidRPr="004C7ECA">
          <w:rPr>
            <w:rStyle w:val="Hyperlink"/>
            <w:rFonts w:ascii="Arial" w:hAnsi="Arial" w:cs="Arial"/>
          </w:rPr>
          <w:t>(Siu et al., 2024)</w:t>
        </w:r>
      </w:hyperlink>
      <w:r w:rsidRPr="004C7ECA">
        <w:rPr>
          <w:rFonts w:ascii="Arial" w:hAnsi="Arial" w:cs="Arial"/>
        </w:rPr>
        <w:t>.</w:t>
      </w:r>
    </w:p>
    <w:p w14:paraId="522135CA" w14:textId="77777777" w:rsidR="004C7ECA" w:rsidRPr="000256AD" w:rsidRDefault="004C7ECA" w:rsidP="000256AD">
      <w:pPr>
        <w:pStyle w:val="Body"/>
        <w:spacing w:after="0"/>
        <w:rPr>
          <w:rFonts w:ascii="Arial" w:hAnsi="Arial" w:cs="Arial"/>
          <w:b/>
          <w:bCs/>
        </w:rPr>
      </w:pPr>
      <w:bookmarkStart w:id="27" w:name="_Toc256000123"/>
      <w:r w:rsidRPr="004C7ECA">
        <w:rPr>
          <w:rFonts w:ascii="Arial" w:hAnsi="Arial" w:cs="Arial"/>
          <w:b/>
          <w:bCs/>
        </w:rPr>
        <w:t>Example Precision Pathways for Neurological Conditions</w:t>
      </w:r>
      <w:bookmarkEnd w:id="27"/>
    </w:p>
    <w:p w14:paraId="5F195727" w14:textId="4DF6F275" w:rsidR="004C7ECA" w:rsidRPr="004C7ECA" w:rsidRDefault="00BB5483" w:rsidP="004C7ECA">
      <w:pPr>
        <w:pStyle w:val="Body"/>
        <w:rPr>
          <w:rFonts w:ascii="Arial" w:hAnsi="Arial" w:cs="Arial"/>
        </w:rPr>
      </w:pPr>
      <w:r>
        <w:rPr>
          <w:rFonts w:ascii="Arial" w:hAnsi="Arial" w:cs="Arial"/>
        </w:rPr>
        <w:t xml:space="preserve">Table 1. </w:t>
      </w:r>
      <w:r w:rsidR="004C7ECA" w:rsidRPr="004C7ECA">
        <w:rPr>
          <w:rFonts w:ascii="Arial" w:hAnsi="Arial" w:cs="Arial"/>
        </w:rPr>
        <w:t>The unified model translates stratification into prescriptive action: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303"/>
        <w:gridCol w:w="2216"/>
        <w:gridCol w:w="2154"/>
        <w:gridCol w:w="1386"/>
      </w:tblGrid>
      <w:tr w:rsidR="004C7ECA" w:rsidRPr="004C7ECA" w14:paraId="39583782" w14:textId="77777777" w:rsidTr="004C7ECA">
        <w:tc>
          <w:tcPr>
            <w:tcW w:w="0" w:type="auto"/>
            <w:tcBorders>
              <w:top w:val="single" w:sz="4" w:space="0" w:color="auto"/>
              <w:left w:val="single" w:sz="4" w:space="0" w:color="auto"/>
              <w:bottom w:val="single" w:sz="4" w:space="0" w:color="auto"/>
              <w:right w:val="single" w:sz="4" w:space="0" w:color="auto"/>
            </w:tcBorders>
          </w:tcPr>
          <w:p w14:paraId="6A316C06" w14:textId="77777777" w:rsidR="004C7ECA" w:rsidRPr="004C7ECA" w:rsidRDefault="004C7ECA" w:rsidP="004C7ECA">
            <w:pPr>
              <w:pStyle w:val="Body"/>
              <w:rPr>
                <w:rFonts w:ascii="Arial" w:hAnsi="Arial" w:cs="Arial"/>
              </w:rPr>
            </w:pPr>
            <w:r w:rsidRPr="004C7ECA">
              <w:rPr>
                <w:rFonts w:ascii="Arial" w:hAnsi="Arial" w:cs="Arial"/>
              </w:rPr>
              <w:t>Precision Pillar</w:t>
            </w:r>
          </w:p>
          <w:p w14:paraId="050A21DD"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0C1BC2D" w14:textId="77777777" w:rsidR="004C7ECA" w:rsidRPr="004C7ECA" w:rsidRDefault="004C7ECA" w:rsidP="004C7ECA">
            <w:pPr>
              <w:pStyle w:val="Body"/>
              <w:rPr>
                <w:rFonts w:ascii="Arial" w:hAnsi="Arial" w:cs="Arial"/>
              </w:rPr>
            </w:pPr>
            <w:r w:rsidRPr="004C7ECA">
              <w:rPr>
                <w:rFonts w:ascii="Arial" w:hAnsi="Arial" w:cs="Arial"/>
              </w:rPr>
              <w:t>Data Type Input</w:t>
            </w:r>
          </w:p>
          <w:p w14:paraId="535D0095"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1EC463F" w14:textId="77777777" w:rsidR="004C7ECA" w:rsidRPr="004C7ECA" w:rsidRDefault="004C7ECA" w:rsidP="004C7ECA">
            <w:pPr>
              <w:pStyle w:val="Body"/>
              <w:rPr>
                <w:rFonts w:ascii="Arial" w:hAnsi="Arial" w:cs="Arial"/>
              </w:rPr>
            </w:pPr>
            <w:r w:rsidRPr="004C7ECA">
              <w:rPr>
                <w:rFonts w:ascii="Arial" w:hAnsi="Arial" w:cs="Arial"/>
              </w:rPr>
              <w:t>Computational Processing Layer</w:t>
            </w:r>
          </w:p>
          <w:p w14:paraId="504FAADD"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B5AC12C" w14:textId="77777777" w:rsidR="004C7ECA" w:rsidRPr="004C7ECA" w:rsidRDefault="004C7ECA" w:rsidP="004C7ECA">
            <w:pPr>
              <w:pStyle w:val="Body"/>
              <w:rPr>
                <w:rFonts w:ascii="Arial" w:hAnsi="Arial" w:cs="Arial"/>
              </w:rPr>
            </w:pPr>
            <w:r w:rsidRPr="004C7ECA">
              <w:rPr>
                <w:rFonts w:ascii="Arial" w:hAnsi="Arial" w:cs="Arial"/>
              </w:rPr>
              <w:t>Output/Decision Mechanism</w:t>
            </w:r>
          </w:p>
          <w:p w14:paraId="03B16325"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73531B9" w14:textId="77777777" w:rsidR="004C7ECA" w:rsidRPr="004C7ECA" w:rsidRDefault="004C7ECA" w:rsidP="004C7ECA">
            <w:pPr>
              <w:pStyle w:val="Body"/>
              <w:rPr>
                <w:rFonts w:ascii="Arial" w:hAnsi="Arial" w:cs="Arial"/>
              </w:rPr>
            </w:pPr>
            <w:r w:rsidRPr="004C7ECA">
              <w:rPr>
                <w:rFonts w:ascii="Arial" w:hAnsi="Arial" w:cs="Arial"/>
              </w:rPr>
              <w:t>Clinical Action/Dosing</w:t>
            </w:r>
          </w:p>
          <w:p w14:paraId="5EC15149" w14:textId="77777777" w:rsidR="004C7ECA" w:rsidRPr="004C7ECA" w:rsidRDefault="004C7ECA" w:rsidP="004C7ECA">
            <w:pPr>
              <w:pStyle w:val="Body"/>
              <w:rPr>
                <w:rFonts w:ascii="Arial" w:hAnsi="Arial" w:cs="Arial"/>
              </w:rPr>
            </w:pPr>
          </w:p>
        </w:tc>
      </w:tr>
      <w:tr w:rsidR="004C7ECA" w:rsidRPr="004C7ECA" w14:paraId="47B36421" w14:textId="77777777" w:rsidTr="004C7ECA">
        <w:tc>
          <w:tcPr>
            <w:tcW w:w="0" w:type="auto"/>
            <w:tcBorders>
              <w:top w:val="single" w:sz="4" w:space="0" w:color="auto"/>
              <w:left w:val="single" w:sz="4" w:space="0" w:color="auto"/>
              <w:bottom w:val="single" w:sz="4" w:space="0" w:color="auto"/>
              <w:right w:val="single" w:sz="4" w:space="0" w:color="auto"/>
            </w:tcBorders>
          </w:tcPr>
          <w:p w14:paraId="085655D7" w14:textId="77777777" w:rsidR="004C7ECA" w:rsidRPr="004C7ECA" w:rsidRDefault="004C7ECA" w:rsidP="004C7ECA">
            <w:pPr>
              <w:pStyle w:val="Body"/>
              <w:rPr>
                <w:rFonts w:ascii="Arial" w:hAnsi="Arial" w:cs="Arial"/>
              </w:rPr>
            </w:pPr>
            <w:r w:rsidRPr="004C7ECA">
              <w:rPr>
                <w:rFonts w:ascii="Arial" w:hAnsi="Arial" w:cs="Arial"/>
              </w:rPr>
              <w:t>Biomarkers (Level 1)</w:t>
            </w:r>
          </w:p>
          <w:p w14:paraId="7327C3E3"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5792D0CD" w14:textId="77777777" w:rsidR="004C7ECA" w:rsidRPr="004C7ECA" w:rsidRDefault="004C7ECA" w:rsidP="004C7ECA">
            <w:pPr>
              <w:pStyle w:val="Body"/>
              <w:rPr>
                <w:rFonts w:ascii="Arial" w:hAnsi="Arial" w:cs="Arial"/>
              </w:rPr>
            </w:pPr>
            <w:r w:rsidRPr="004C7ECA">
              <w:rPr>
                <w:rFonts w:ascii="Arial" w:hAnsi="Arial" w:cs="Arial"/>
              </w:rPr>
              <w:t>Genomic, Serum (NFL, BDNF), EEG Features (Alpha Asymmetry)</w:t>
            </w:r>
          </w:p>
          <w:p w14:paraId="366133B2"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A090ABB" w14:textId="77777777" w:rsidR="004C7ECA" w:rsidRPr="004C7ECA" w:rsidRDefault="004C7ECA" w:rsidP="004C7ECA">
            <w:pPr>
              <w:pStyle w:val="Body"/>
              <w:rPr>
                <w:rFonts w:ascii="Arial" w:hAnsi="Arial" w:cs="Arial"/>
              </w:rPr>
            </w:pPr>
            <w:r w:rsidRPr="004C7ECA">
              <w:rPr>
                <w:rFonts w:ascii="Arial" w:hAnsi="Arial" w:cs="Arial"/>
              </w:rPr>
              <w:t>Feature Extraction/Normalization</w:t>
            </w:r>
          </w:p>
          <w:p w14:paraId="57ED8452"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DFA1634" w14:textId="77777777" w:rsidR="004C7ECA" w:rsidRPr="004C7ECA" w:rsidRDefault="004C7ECA" w:rsidP="004C7ECA">
            <w:pPr>
              <w:pStyle w:val="Body"/>
              <w:rPr>
                <w:rFonts w:ascii="Arial" w:hAnsi="Arial" w:cs="Arial"/>
              </w:rPr>
            </w:pPr>
            <w:r w:rsidRPr="004C7ECA">
              <w:rPr>
                <w:rFonts w:ascii="Arial" w:hAnsi="Arial" w:cs="Arial"/>
              </w:rPr>
              <w:t>Patient Phenotype Clustering &amp; Baseline Prognosis</w:t>
            </w:r>
          </w:p>
          <w:p w14:paraId="0E32AF9F"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9881B5C" w14:textId="77777777" w:rsidR="004C7ECA" w:rsidRPr="004C7ECA" w:rsidRDefault="004C7ECA" w:rsidP="004C7ECA">
            <w:pPr>
              <w:pStyle w:val="Body"/>
              <w:rPr>
                <w:rFonts w:ascii="Arial" w:hAnsi="Arial" w:cs="Arial"/>
              </w:rPr>
            </w:pPr>
            <w:r w:rsidRPr="004C7ECA">
              <w:rPr>
                <w:rFonts w:ascii="Arial" w:hAnsi="Arial" w:cs="Arial"/>
              </w:rPr>
              <w:t xml:space="preserve">Initial Intervention Selection (RTSS Specification) </w:t>
            </w:r>
          </w:p>
          <w:p w14:paraId="058E85E5" w14:textId="77777777" w:rsidR="004C7ECA" w:rsidRPr="004C7ECA" w:rsidRDefault="004C7ECA" w:rsidP="004C7ECA">
            <w:pPr>
              <w:pStyle w:val="Body"/>
              <w:rPr>
                <w:rFonts w:ascii="Arial" w:hAnsi="Arial" w:cs="Arial"/>
              </w:rPr>
            </w:pPr>
          </w:p>
        </w:tc>
      </w:tr>
      <w:tr w:rsidR="004C7ECA" w:rsidRPr="004C7ECA" w14:paraId="727C3160" w14:textId="77777777" w:rsidTr="004C7ECA">
        <w:tc>
          <w:tcPr>
            <w:tcW w:w="0" w:type="auto"/>
            <w:tcBorders>
              <w:top w:val="single" w:sz="4" w:space="0" w:color="auto"/>
              <w:left w:val="single" w:sz="4" w:space="0" w:color="auto"/>
              <w:bottom w:val="single" w:sz="4" w:space="0" w:color="auto"/>
              <w:right w:val="single" w:sz="4" w:space="0" w:color="auto"/>
            </w:tcBorders>
          </w:tcPr>
          <w:p w14:paraId="481519D5" w14:textId="77777777" w:rsidR="004C7ECA" w:rsidRPr="004C7ECA" w:rsidRDefault="004C7ECA" w:rsidP="004C7ECA">
            <w:pPr>
              <w:pStyle w:val="Body"/>
              <w:rPr>
                <w:rFonts w:ascii="Arial" w:hAnsi="Arial" w:cs="Arial"/>
              </w:rPr>
            </w:pPr>
            <w:r w:rsidRPr="004C7ECA">
              <w:rPr>
                <w:rFonts w:ascii="Arial" w:hAnsi="Arial" w:cs="Arial"/>
              </w:rPr>
              <w:t>Neuroimaging (Level 2)</w:t>
            </w:r>
          </w:p>
          <w:p w14:paraId="6C8CE408"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414F712" w14:textId="77777777" w:rsidR="004C7ECA" w:rsidRPr="004C7ECA" w:rsidRDefault="004C7ECA" w:rsidP="004C7ECA">
            <w:pPr>
              <w:pStyle w:val="Body"/>
              <w:rPr>
                <w:rFonts w:ascii="Arial" w:hAnsi="Arial" w:cs="Arial"/>
              </w:rPr>
            </w:pPr>
            <w:r w:rsidRPr="004C7ECA">
              <w:rPr>
                <w:rFonts w:ascii="Arial" w:hAnsi="Arial" w:cs="Arial"/>
              </w:rPr>
              <w:t>DTI Tractography (CST), fMRI Connectivity (</w:t>
            </w:r>
            <w:proofErr w:type="spellStart"/>
            <w:r w:rsidRPr="004C7ECA">
              <w:rPr>
                <w:rFonts w:ascii="Arial" w:hAnsi="Arial" w:cs="Arial"/>
              </w:rPr>
              <w:t>Ipsilesional</w:t>
            </w:r>
            <w:proofErr w:type="spellEnd"/>
            <w:r w:rsidRPr="004C7ECA">
              <w:rPr>
                <w:rFonts w:ascii="Arial" w:hAnsi="Arial" w:cs="Arial"/>
              </w:rPr>
              <w:t xml:space="preserve"> trends)</w:t>
            </w:r>
          </w:p>
          <w:p w14:paraId="63576A98"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2BA12934" w14:textId="77777777" w:rsidR="004C7ECA" w:rsidRPr="004C7ECA" w:rsidRDefault="004C7ECA" w:rsidP="004C7ECA">
            <w:pPr>
              <w:pStyle w:val="Body"/>
              <w:rPr>
                <w:rFonts w:ascii="Arial" w:hAnsi="Arial" w:cs="Arial"/>
              </w:rPr>
            </w:pPr>
            <w:r w:rsidRPr="004C7ECA">
              <w:rPr>
                <w:rFonts w:ascii="Arial" w:hAnsi="Arial" w:cs="Arial"/>
              </w:rPr>
              <w:t xml:space="preserve">Causal Modeling/Digital Twin (DTI) </w:t>
            </w:r>
          </w:p>
          <w:p w14:paraId="60B67D84"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53FA11AF" w14:textId="77777777" w:rsidR="004C7ECA" w:rsidRPr="004C7ECA" w:rsidRDefault="004C7ECA" w:rsidP="004C7ECA">
            <w:pPr>
              <w:pStyle w:val="Body"/>
              <w:rPr>
                <w:rFonts w:ascii="Arial" w:hAnsi="Arial" w:cs="Arial"/>
              </w:rPr>
            </w:pPr>
            <w:r w:rsidRPr="004C7ECA">
              <w:rPr>
                <w:rFonts w:ascii="Arial" w:hAnsi="Arial" w:cs="Arial"/>
              </w:rPr>
              <w:t>ODTR Simulation/Optimization (In Silico Rollouts)</w:t>
            </w:r>
          </w:p>
          <w:p w14:paraId="3B855385"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4E1F335" w14:textId="77777777" w:rsidR="004C7ECA" w:rsidRPr="004C7ECA" w:rsidRDefault="004C7ECA" w:rsidP="004C7ECA">
            <w:pPr>
              <w:pStyle w:val="Body"/>
              <w:rPr>
                <w:rFonts w:ascii="Arial" w:hAnsi="Arial" w:cs="Arial"/>
              </w:rPr>
            </w:pPr>
            <w:r w:rsidRPr="004C7ECA">
              <w:rPr>
                <w:rFonts w:ascii="Arial" w:hAnsi="Arial" w:cs="Arial"/>
              </w:rPr>
              <w:t>Dynamic Adjustment of Intensity/Dose (e.g., Robotic force, NIBS frequency)</w:t>
            </w:r>
          </w:p>
          <w:p w14:paraId="6B3BDC38" w14:textId="77777777" w:rsidR="004C7ECA" w:rsidRPr="004C7ECA" w:rsidRDefault="004C7ECA" w:rsidP="004C7ECA">
            <w:pPr>
              <w:pStyle w:val="Body"/>
              <w:rPr>
                <w:rFonts w:ascii="Arial" w:hAnsi="Arial" w:cs="Arial"/>
              </w:rPr>
            </w:pPr>
          </w:p>
        </w:tc>
      </w:tr>
      <w:tr w:rsidR="004C7ECA" w:rsidRPr="004C7ECA" w14:paraId="2CBF1D16" w14:textId="77777777" w:rsidTr="004C7ECA">
        <w:tc>
          <w:tcPr>
            <w:tcW w:w="0" w:type="auto"/>
            <w:tcBorders>
              <w:top w:val="single" w:sz="4" w:space="0" w:color="auto"/>
              <w:left w:val="single" w:sz="4" w:space="0" w:color="auto"/>
              <w:bottom w:val="single" w:sz="4" w:space="0" w:color="auto"/>
              <w:right w:val="single" w:sz="4" w:space="0" w:color="auto"/>
            </w:tcBorders>
          </w:tcPr>
          <w:p w14:paraId="217F1268" w14:textId="77777777" w:rsidR="004C7ECA" w:rsidRPr="004C7ECA" w:rsidRDefault="004C7ECA" w:rsidP="004C7ECA">
            <w:pPr>
              <w:pStyle w:val="Body"/>
              <w:rPr>
                <w:rFonts w:ascii="Arial" w:hAnsi="Arial" w:cs="Arial"/>
              </w:rPr>
            </w:pPr>
            <w:r w:rsidRPr="004C7ECA">
              <w:rPr>
                <w:rFonts w:ascii="Arial" w:hAnsi="Arial" w:cs="Arial"/>
              </w:rPr>
              <w:t>AI Integration (Level 3)</w:t>
            </w:r>
          </w:p>
          <w:p w14:paraId="22F1F43A"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73323BF" w14:textId="77777777" w:rsidR="004C7ECA" w:rsidRPr="004C7ECA" w:rsidRDefault="004C7ECA" w:rsidP="004C7ECA">
            <w:pPr>
              <w:pStyle w:val="Body"/>
              <w:rPr>
                <w:rFonts w:ascii="Arial" w:hAnsi="Arial" w:cs="Arial"/>
              </w:rPr>
            </w:pPr>
            <w:r w:rsidRPr="004C7ECA">
              <w:rPr>
                <w:rFonts w:ascii="Arial" w:hAnsi="Arial" w:cs="Arial"/>
              </w:rPr>
              <w:t>Wearable Kinematics, EHR Metrics, Real-time ERPs</w:t>
            </w:r>
          </w:p>
          <w:p w14:paraId="3FEF2596"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5481C51B" w14:textId="77777777" w:rsidR="004C7ECA" w:rsidRPr="004C7ECA" w:rsidRDefault="004C7ECA" w:rsidP="004C7ECA">
            <w:pPr>
              <w:pStyle w:val="Body"/>
              <w:rPr>
                <w:rFonts w:ascii="Arial" w:hAnsi="Arial" w:cs="Arial"/>
              </w:rPr>
            </w:pPr>
            <w:r w:rsidRPr="004C7ECA">
              <w:rPr>
                <w:rFonts w:ascii="Arial" w:hAnsi="Arial" w:cs="Arial"/>
              </w:rPr>
              <w:t xml:space="preserve">Deep Learning Multi-modal Fusion Networks  </w:t>
            </w:r>
          </w:p>
          <w:p w14:paraId="11737FF1"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6FFFFF1" w14:textId="77777777" w:rsidR="004C7ECA" w:rsidRPr="004C7ECA" w:rsidRDefault="004C7ECA" w:rsidP="004C7ECA">
            <w:pPr>
              <w:pStyle w:val="Body"/>
              <w:rPr>
                <w:rFonts w:ascii="Arial" w:hAnsi="Arial" w:cs="Arial"/>
              </w:rPr>
            </w:pPr>
            <w:r w:rsidRPr="004C7ECA">
              <w:rPr>
                <w:rFonts w:ascii="Arial" w:hAnsi="Arial" w:cs="Arial"/>
              </w:rPr>
              <w:t>Real-Time Neural Decoding/Preemptive Feedback</w:t>
            </w:r>
          </w:p>
          <w:p w14:paraId="760A8DA6"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DE915FD" w14:textId="77777777" w:rsidR="004C7ECA" w:rsidRPr="004C7ECA" w:rsidRDefault="004C7ECA" w:rsidP="004C7ECA">
            <w:pPr>
              <w:pStyle w:val="Body"/>
              <w:rPr>
                <w:rFonts w:ascii="Arial" w:hAnsi="Arial" w:cs="Arial"/>
              </w:rPr>
            </w:pPr>
            <w:r w:rsidRPr="004C7ECA">
              <w:rPr>
                <w:rFonts w:ascii="Arial" w:hAnsi="Arial" w:cs="Arial"/>
              </w:rPr>
              <w:t xml:space="preserve">Closed-Loop Intervention (e.g., BCI activation, Adaptive FES) </w:t>
            </w:r>
          </w:p>
          <w:p w14:paraId="41FD47FA" w14:textId="77777777" w:rsidR="004C7ECA" w:rsidRPr="004C7ECA" w:rsidRDefault="004C7ECA" w:rsidP="004C7ECA">
            <w:pPr>
              <w:pStyle w:val="Body"/>
              <w:rPr>
                <w:rFonts w:ascii="Arial" w:hAnsi="Arial" w:cs="Arial"/>
              </w:rPr>
            </w:pPr>
          </w:p>
        </w:tc>
      </w:tr>
    </w:tbl>
    <w:p w14:paraId="3ACB919C" w14:textId="77777777" w:rsidR="004C7ECA" w:rsidRPr="004C7ECA" w:rsidRDefault="004C7ECA" w:rsidP="004C7ECA">
      <w:pPr>
        <w:pStyle w:val="Body"/>
        <w:rPr>
          <w:rFonts w:ascii="Arial" w:hAnsi="Arial" w:cs="Arial"/>
        </w:rPr>
      </w:pPr>
    </w:p>
    <w:p w14:paraId="2E9DE57D" w14:textId="77777777" w:rsidR="004C7ECA" w:rsidRPr="004C7ECA" w:rsidRDefault="004C7ECA" w:rsidP="004C7ECA">
      <w:pPr>
        <w:pStyle w:val="Body"/>
        <w:numPr>
          <w:ilvl w:val="0"/>
          <w:numId w:val="35"/>
        </w:numPr>
        <w:rPr>
          <w:rFonts w:ascii="Arial" w:hAnsi="Arial" w:cs="Arial"/>
        </w:rPr>
      </w:pPr>
      <w:r w:rsidRPr="004C7ECA">
        <w:rPr>
          <w:rFonts w:ascii="Arial" w:hAnsi="Arial" w:cs="Arial"/>
          <w:b/>
        </w:rPr>
        <w:t xml:space="preserve">Stroke: </w:t>
      </w:r>
      <w:r w:rsidRPr="004C7ECA">
        <w:rPr>
          <w:rFonts w:ascii="Arial" w:hAnsi="Arial" w:cs="Arial"/>
        </w:rPr>
        <w:t xml:space="preserve"> Initial stratification uses robust measures (CST integrity via DTI and MEP status) to determine baseline potential. For high-potential patients, the ODTR, trained on EEG and kinematic data, recommends a closed-loop BCI or robotics protocol optimized to maximize </w:t>
      </w:r>
      <w:proofErr w:type="spellStart"/>
      <w:r w:rsidRPr="004C7ECA">
        <w:rPr>
          <w:rFonts w:ascii="Arial" w:hAnsi="Arial" w:cs="Arial"/>
        </w:rPr>
        <w:t>ipsilesional</w:t>
      </w:r>
      <w:proofErr w:type="spellEnd"/>
      <w:r w:rsidRPr="004C7ECA">
        <w:rPr>
          <w:rFonts w:ascii="Arial" w:hAnsi="Arial" w:cs="Arial"/>
        </w:rPr>
        <w:t xml:space="preserve"> cortical activity </w:t>
      </w:r>
      <w:hyperlink r:id="rId82" w:anchor="e1285a12d9d93938b080981a3851248d_ref" w:history="1">
        <w:r w:rsidRPr="004C7ECA">
          <w:rPr>
            <w:rStyle w:val="Hyperlink"/>
            <w:rFonts w:ascii="Arial" w:hAnsi="Arial" w:cs="Arial"/>
          </w:rPr>
          <w:t>(</w:t>
        </w:r>
        <w:proofErr w:type="spellStart"/>
        <w:r w:rsidRPr="004C7ECA">
          <w:rPr>
            <w:rStyle w:val="Hyperlink"/>
            <w:rFonts w:ascii="Arial" w:hAnsi="Arial" w:cs="Arial"/>
          </w:rPr>
          <w:t>Kunimatsu</w:t>
        </w:r>
        <w:proofErr w:type="spellEnd"/>
        <w:r w:rsidRPr="004C7ECA">
          <w:rPr>
            <w:rStyle w:val="Hyperlink"/>
            <w:rFonts w:ascii="Arial" w:hAnsi="Arial" w:cs="Arial"/>
          </w:rPr>
          <w:t xml:space="preserve"> et al., 2003; Y. Zhang &amp; </w:t>
        </w:r>
        <w:proofErr w:type="spellStart"/>
        <w:r w:rsidRPr="004C7ECA">
          <w:rPr>
            <w:rStyle w:val="Hyperlink"/>
            <w:rFonts w:ascii="Arial" w:hAnsi="Arial" w:cs="Arial"/>
          </w:rPr>
          <w:t>Burock</w:t>
        </w:r>
        <w:proofErr w:type="spellEnd"/>
        <w:r w:rsidRPr="004C7ECA">
          <w:rPr>
            <w:rStyle w:val="Hyperlink"/>
            <w:rFonts w:ascii="Arial" w:hAnsi="Arial" w:cs="Arial"/>
          </w:rPr>
          <w:t>, 2020)</w:t>
        </w:r>
      </w:hyperlink>
      <w:r w:rsidRPr="004C7ECA">
        <w:rPr>
          <w:rFonts w:ascii="Arial" w:hAnsi="Arial" w:cs="Arial"/>
        </w:rPr>
        <w:t>.</w:t>
      </w:r>
    </w:p>
    <w:p w14:paraId="7A79C1C0" w14:textId="77777777" w:rsidR="004C7ECA" w:rsidRPr="000D4E7F" w:rsidRDefault="004C7ECA" w:rsidP="000D4E7F">
      <w:pPr>
        <w:pStyle w:val="Body"/>
        <w:numPr>
          <w:ilvl w:val="0"/>
          <w:numId w:val="35"/>
        </w:numPr>
        <w:rPr>
          <w:rFonts w:ascii="Arial" w:hAnsi="Arial" w:cs="Arial"/>
        </w:rPr>
      </w:pPr>
      <w:r w:rsidRPr="004C7ECA">
        <w:rPr>
          <w:rFonts w:ascii="Arial" w:hAnsi="Arial" w:cs="Arial"/>
          <w:b/>
        </w:rPr>
        <w:lastRenderedPageBreak/>
        <w:t xml:space="preserve">MS: </w:t>
      </w:r>
      <w:r w:rsidRPr="004C7ECA">
        <w:rPr>
          <w:rFonts w:ascii="Arial" w:hAnsi="Arial" w:cs="Arial"/>
        </w:rPr>
        <w:t xml:space="preserve"> Genetic markers are integrated: BDNF Val66Met status may inform the optimal intensity for ambulation training. Longitudinal wearable EEG monitoring tracks relapse risk (preclinical changes detected up to 72 hours prior) , triggering preemptive treatment adjustments</w:t>
      </w:r>
      <w:hyperlink r:id="rId83" w:anchor="c700f0b4f20536f9b995022ad66e2a76_ref" w:history="1">
        <w:r w:rsidRPr="004C7ECA">
          <w:rPr>
            <w:rStyle w:val="Hyperlink"/>
            <w:rFonts w:ascii="Arial" w:hAnsi="Arial" w:cs="Arial"/>
          </w:rPr>
          <w:t xml:space="preserve">(Erickson et al., 2013; Romero </w:t>
        </w:r>
        <w:proofErr w:type="spellStart"/>
        <w:r w:rsidRPr="004C7ECA">
          <w:rPr>
            <w:rStyle w:val="Hyperlink"/>
            <w:rFonts w:ascii="Arial" w:hAnsi="Arial" w:cs="Arial"/>
          </w:rPr>
          <w:t>Garavito</w:t>
        </w:r>
        <w:proofErr w:type="spellEnd"/>
        <w:r w:rsidRPr="004C7ECA">
          <w:rPr>
            <w:rStyle w:val="Hyperlink"/>
            <w:rFonts w:ascii="Arial" w:hAnsi="Arial" w:cs="Arial"/>
          </w:rPr>
          <w:t xml:space="preserve"> et al., 2025)</w:t>
        </w:r>
      </w:hyperlink>
      <w:r w:rsidRPr="004C7ECA">
        <w:rPr>
          <w:rFonts w:ascii="Arial" w:hAnsi="Arial" w:cs="Arial"/>
        </w:rPr>
        <w:t>.</w:t>
      </w:r>
    </w:p>
    <w:p w14:paraId="2C0ADEAF" w14:textId="77777777" w:rsidR="004C7ECA" w:rsidRPr="000256AD" w:rsidRDefault="000256AD" w:rsidP="000D4E7F">
      <w:pPr>
        <w:pStyle w:val="Body"/>
        <w:spacing w:after="0"/>
        <w:rPr>
          <w:rFonts w:ascii="Arial" w:hAnsi="Arial" w:cs="Arial"/>
          <w:b/>
          <w:bCs/>
          <w:sz w:val="24"/>
          <w:szCs w:val="24"/>
        </w:rPr>
      </w:pPr>
      <w:bookmarkStart w:id="28" w:name="_Toc256000124"/>
      <w:r w:rsidRPr="000256AD">
        <w:rPr>
          <w:rFonts w:ascii="Arial" w:hAnsi="Arial" w:cs="Arial"/>
          <w:b/>
          <w:bCs/>
          <w:sz w:val="24"/>
          <w:szCs w:val="24"/>
        </w:rPr>
        <w:t>7</w:t>
      </w:r>
      <w:r w:rsidR="004C7ECA" w:rsidRPr="000256AD">
        <w:rPr>
          <w:rFonts w:ascii="Arial" w:hAnsi="Arial" w:cs="Arial"/>
          <w:b/>
          <w:bCs/>
          <w:sz w:val="24"/>
          <w:szCs w:val="24"/>
        </w:rPr>
        <w:t>. Evidence Landscape: What Works, What’s Emerging, and What’s Overhyped</w:t>
      </w:r>
      <w:bookmarkEnd w:id="28"/>
    </w:p>
    <w:p w14:paraId="380DA3D6" w14:textId="77777777" w:rsidR="000D4E7F" w:rsidRPr="000D4E7F" w:rsidRDefault="000D4E7F" w:rsidP="000D4E7F">
      <w:pPr>
        <w:pStyle w:val="Body"/>
        <w:spacing w:after="0"/>
        <w:rPr>
          <w:rFonts w:ascii="Arial" w:hAnsi="Arial" w:cs="Arial"/>
          <w:b/>
          <w:bCs/>
          <w:i/>
          <w:iCs/>
        </w:rPr>
      </w:pPr>
    </w:p>
    <w:p w14:paraId="7E530E6C" w14:textId="77777777" w:rsidR="004C7ECA" w:rsidRPr="004C7ECA" w:rsidRDefault="004C7ECA" w:rsidP="004C7ECA">
      <w:pPr>
        <w:pStyle w:val="Body"/>
        <w:rPr>
          <w:rFonts w:ascii="Arial" w:hAnsi="Arial" w:cs="Arial"/>
        </w:rPr>
      </w:pPr>
      <w:r w:rsidRPr="004C7ECA">
        <w:rPr>
          <w:rFonts w:ascii="Arial" w:hAnsi="Arial" w:cs="Arial"/>
        </w:rPr>
        <w:t>A critical review of the current evidence reveals both robust translational findings and major methodological and ethical challenges that impede widespread adoption.</w:t>
      </w:r>
    </w:p>
    <w:p w14:paraId="535D4297" w14:textId="77777777" w:rsidR="004C7ECA" w:rsidRPr="000256AD" w:rsidRDefault="000256AD" w:rsidP="000256AD">
      <w:pPr>
        <w:pStyle w:val="Body"/>
        <w:spacing w:after="0"/>
        <w:rPr>
          <w:rFonts w:ascii="Arial" w:hAnsi="Arial" w:cs="Arial"/>
          <w:b/>
          <w:bCs/>
          <w:sz w:val="22"/>
          <w:szCs w:val="22"/>
        </w:rPr>
      </w:pPr>
      <w:bookmarkStart w:id="29" w:name="_Toc256000125"/>
      <w:r w:rsidRPr="000256AD">
        <w:rPr>
          <w:rFonts w:ascii="Arial" w:hAnsi="Arial" w:cs="Arial"/>
          <w:b/>
          <w:bCs/>
          <w:sz w:val="22"/>
          <w:szCs w:val="22"/>
        </w:rPr>
        <w:t xml:space="preserve">7.1 </w:t>
      </w:r>
      <w:r w:rsidR="004C7ECA" w:rsidRPr="000256AD">
        <w:rPr>
          <w:rFonts w:ascii="Arial" w:hAnsi="Arial" w:cs="Arial"/>
          <w:b/>
          <w:bCs/>
          <w:sz w:val="22"/>
          <w:szCs w:val="22"/>
        </w:rPr>
        <w:t>High-Quality Trials and Breakthrough Studies</w:t>
      </w:r>
      <w:bookmarkEnd w:id="29"/>
    </w:p>
    <w:p w14:paraId="3BD07059" w14:textId="77777777" w:rsidR="004C7ECA" w:rsidRPr="004C7ECA" w:rsidRDefault="004C7ECA" w:rsidP="004C7ECA">
      <w:pPr>
        <w:pStyle w:val="Body"/>
        <w:rPr>
          <w:rFonts w:ascii="Arial" w:hAnsi="Arial" w:cs="Arial"/>
        </w:rPr>
      </w:pPr>
      <w:r w:rsidRPr="004C7ECA">
        <w:rPr>
          <w:rFonts w:ascii="Arial" w:hAnsi="Arial" w:cs="Arial"/>
        </w:rPr>
        <w:t xml:space="preserve">The most reliable prognostic markers currently available combine simple, early clinical measures (early voluntary movement ability and motor evoked potential [MEP] status) with structural imaging of the CST </w:t>
      </w:r>
      <w:hyperlink r:id="rId84" w:anchor="7fad606266683891b1440c4a48897a4d_ref" w:history="1">
        <w:r w:rsidRPr="004C7ECA">
          <w:rPr>
            <w:rStyle w:val="Hyperlink"/>
            <w:rFonts w:ascii="Arial" w:hAnsi="Arial" w:cs="Arial"/>
          </w:rPr>
          <w:t>(Feng et al., 2015)</w:t>
        </w:r>
      </w:hyperlink>
      <w:r w:rsidRPr="004C7ECA">
        <w:rPr>
          <w:rFonts w:ascii="Arial" w:hAnsi="Arial" w:cs="Arial"/>
        </w:rPr>
        <w:t xml:space="preserve">. This foundational stratification provides high predictive power for global motor outcomes. Furthermore, the demonstrated ability of wearable EEG devices, combined with ML, to predict neurovascular relapses with clinically meaningful lead times (AUC 0.91, 72 hours advance notice) highlights a major breakthrough in moving care from reactive to preemptive </w:t>
      </w:r>
      <w:hyperlink r:id="rId85" w:anchor="93385b5ada1133759ebdb3bc981cdfc4_ref" w:history="1">
        <w:r w:rsidRPr="004C7ECA">
          <w:rPr>
            <w:rStyle w:val="Hyperlink"/>
            <w:rFonts w:ascii="Arial" w:hAnsi="Arial" w:cs="Arial"/>
          </w:rPr>
          <w:t xml:space="preserve">(Jo et al., 2016; Tedesco </w:t>
        </w:r>
        <w:proofErr w:type="spellStart"/>
        <w:r w:rsidRPr="004C7ECA">
          <w:rPr>
            <w:rStyle w:val="Hyperlink"/>
            <w:rFonts w:ascii="Arial" w:hAnsi="Arial" w:cs="Arial"/>
          </w:rPr>
          <w:t>Triccas</w:t>
        </w:r>
        <w:proofErr w:type="spellEnd"/>
        <w:r w:rsidRPr="004C7ECA">
          <w:rPr>
            <w:rStyle w:val="Hyperlink"/>
            <w:rFonts w:ascii="Arial" w:hAnsi="Arial" w:cs="Arial"/>
          </w:rPr>
          <w:t xml:space="preserve"> et al., 2018)</w:t>
        </w:r>
      </w:hyperlink>
      <w:r w:rsidRPr="004C7ECA">
        <w:rPr>
          <w:rFonts w:ascii="Arial" w:hAnsi="Arial" w:cs="Arial"/>
        </w:rPr>
        <w:t>.</w:t>
      </w:r>
    </w:p>
    <w:p w14:paraId="4672E9D6" w14:textId="77777777" w:rsidR="004C7ECA" w:rsidRPr="000256AD" w:rsidRDefault="000256AD" w:rsidP="000256AD">
      <w:pPr>
        <w:pStyle w:val="Body"/>
        <w:spacing w:after="0"/>
        <w:rPr>
          <w:rFonts w:ascii="Arial" w:hAnsi="Arial" w:cs="Arial"/>
          <w:b/>
          <w:bCs/>
          <w:sz w:val="22"/>
          <w:szCs w:val="22"/>
        </w:rPr>
      </w:pPr>
      <w:bookmarkStart w:id="30" w:name="_Toc256000126"/>
      <w:r w:rsidRPr="000256AD">
        <w:rPr>
          <w:rFonts w:ascii="Arial" w:hAnsi="Arial" w:cs="Arial"/>
          <w:b/>
          <w:bCs/>
          <w:sz w:val="22"/>
          <w:szCs w:val="22"/>
        </w:rPr>
        <w:t xml:space="preserve">7.2 </w:t>
      </w:r>
      <w:r w:rsidR="004C7ECA" w:rsidRPr="000256AD">
        <w:rPr>
          <w:rFonts w:ascii="Arial" w:hAnsi="Arial" w:cs="Arial"/>
          <w:b/>
          <w:bCs/>
          <w:sz w:val="22"/>
          <w:szCs w:val="22"/>
        </w:rPr>
        <w:t>Conflicting Evidence and Methodological Discrepancies</w:t>
      </w:r>
      <w:bookmarkEnd w:id="30"/>
    </w:p>
    <w:p w14:paraId="418198F9" w14:textId="77777777" w:rsidR="004C7ECA" w:rsidRPr="004C7ECA" w:rsidRDefault="004C7ECA" w:rsidP="004C7ECA">
      <w:pPr>
        <w:pStyle w:val="Body"/>
        <w:rPr>
          <w:rFonts w:ascii="Arial" w:hAnsi="Arial" w:cs="Arial"/>
        </w:rPr>
      </w:pPr>
      <w:r w:rsidRPr="004C7ECA">
        <w:rPr>
          <w:rFonts w:ascii="Arial" w:hAnsi="Arial" w:cs="Arial"/>
        </w:rPr>
        <w:t>The evidence landscape contains significant contradictions that require contextual understanding.</w:t>
      </w:r>
    </w:p>
    <w:p w14:paraId="23D66751" w14:textId="77777777" w:rsidR="004C7ECA" w:rsidRPr="004C7ECA" w:rsidRDefault="004C7ECA" w:rsidP="004C7ECA">
      <w:pPr>
        <w:pStyle w:val="Body"/>
        <w:numPr>
          <w:ilvl w:val="0"/>
          <w:numId w:val="36"/>
        </w:numPr>
        <w:rPr>
          <w:rFonts w:ascii="Arial" w:hAnsi="Arial" w:cs="Arial"/>
        </w:rPr>
      </w:pPr>
      <w:proofErr w:type="spellStart"/>
      <w:r w:rsidRPr="004C7ECA">
        <w:rPr>
          <w:rFonts w:ascii="Arial" w:hAnsi="Arial" w:cs="Arial"/>
          <w:b/>
        </w:rPr>
        <w:t>Connectomics</w:t>
      </w:r>
      <w:proofErr w:type="spellEnd"/>
      <w:r w:rsidRPr="004C7ECA">
        <w:rPr>
          <w:rFonts w:ascii="Arial" w:hAnsi="Arial" w:cs="Arial"/>
          <w:b/>
        </w:rPr>
        <w:t xml:space="preserve"> Utility: </w:t>
      </w:r>
      <w:r w:rsidRPr="004C7ECA">
        <w:rPr>
          <w:rFonts w:ascii="Arial" w:hAnsi="Arial" w:cs="Arial"/>
        </w:rPr>
        <w:t xml:space="preserve"> For predicting </w:t>
      </w:r>
      <w:r w:rsidRPr="004C7ECA">
        <w:rPr>
          <w:rFonts w:ascii="Arial" w:hAnsi="Arial" w:cs="Arial"/>
          <w:b/>
        </w:rPr>
        <w:t xml:space="preserve">global functional </w:t>
      </w:r>
      <w:proofErr w:type="gramStart"/>
      <w:r w:rsidRPr="004C7ECA">
        <w:rPr>
          <w:rFonts w:ascii="Arial" w:hAnsi="Arial" w:cs="Arial"/>
          <w:b/>
        </w:rPr>
        <w:t xml:space="preserve">outcomes </w:t>
      </w:r>
      <w:r w:rsidRPr="004C7ECA">
        <w:rPr>
          <w:rFonts w:ascii="Arial" w:hAnsi="Arial" w:cs="Arial"/>
        </w:rPr>
        <w:t xml:space="preserve"> post</w:t>
      </w:r>
      <w:proofErr w:type="gramEnd"/>
      <w:r w:rsidRPr="004C7ECA">
        <w:rPr>
          <w:rFonts w:ascii="Arial" w:hAnsi="Arial" w:cs="Arial"/>
        </w:rPr>
        <w:t xml:space="preserve">-stroke, complex </w:t>
      </w:r>
      <w:proofErr w:type="spellStart"/>
      <w:r w:rsidRPr="004C7ECA">
        <w:rPr>
          <w:rFonts w:ascii="Arial" w:hAnsi="Arial" w:cs="Arial"/>
        </w:rPr>
        <w:t>connectomic</w:t>
      </w:r>
      <w:proofErr w:type="spellEnd"/>
      <w:r w:rsidRPr="004C7ECA">
        <w:rPr>
          <w:rFonts w:ascii="Arial" w:hAnsi="Arial" w:cs="Arial"/>
        </w:rPr>
        <w:t xml:space="preserve"> imaging markers offer </w:t>
      </w:r>
      <w:r w:rsidRPr="004C7ECA">
        <w:rPr>
          <w:rFonts w:ascii="Arial" w:hAnsi="Arial" w:cs="Arial"/>
          <w:b/>
        </w:rPr>
        <w:t xml:space="preserve">no predictive advantage </w:t>
      </w:r>
      <w:r w:rsidRPr="004C7ECA">
        <w:rPr>
          <w:rFonts w:ascii="Arial" w:hAnsi="Arial" w:cs="Arial"/>
        </w:rPr>
        <w:t xml:space="preserve"> over basic spatial lesion features (lesion load). However, </w:t>
      </w:r>
      <w:proofErr w:type="spellStart"/>
      <w:r w:rsidRPr="004C7ECA">
        <w:rPr>
          <w:rFonts w:ascii="Arial" w:hAnsi="Arial" w:cs="Arial"/>
        </w:rPr>
        <w:t>connectomics</w:t>
      </w:r>
      <w:proofErr w:type="spellEnd"/>
      <w:r w:rsidRPr="004C7ECA">
        <w:rPr>
          <w:rFonts w:ascii="Arial" w:hAnsi="Arial" w:cs="Arial"/>
        </w:rPr>
        <w:t xml:space="preserve"> is crucial for understanding </w:t>
      </w:r>
      <w:r w:rsidRPr="004C7ECA">
        <w:rPr>
          <w:rFonts w:ascii="Arial" w:hAnsi="Arial" w:cs="Arial"/>
          <w:b/>
        </w:rPr>
        <w:t xml:space="preserve">specific cognitive deficits </w:t>
      </w:r>
      <w:r w:rsidRPr="004C7ECA">
        <w:rPr>
          <w:rFonts w:ascii="Arial" w:hAnsi="Arial" w:cs="Arial"/>
        </w:rPr>
        <w:t xml:space="preserve">, necessitating a precise application of this complex technology </w:t>
      </w:r>
      <w:hyperlink r:id="rId86" w:anchor="0b78495b233d30b9b838b4bae6e6f689_ref" w:history="1">
        <w:r w:rsidRPr="004C7ECA">
          <w:rPr>
            <w:rStyle w:val="Hyperlink"/>
            <w:rFonts w:ascii="Arial" w:hAnsi="Arial" w:cs="Arial"/>
          </w:rPr>
          <w:t>(Sperber et al., 2025)</w:t>
        </w:r>
      </w:hyperlink>
      <w:r w:rsidRPr="004C7ECA">
        <w:rPr>
          <w:rFonts w:ascii="Arial" w:hAnsi="Arial" w:cs="Arial"/>
        </w:rPr>
        <w:t>.</w:t>
      </w:r>
    </w:p>
    <w:p w14:paraId="7346669D" w14:textId="77777777" w:rsidR="004C7ECA" w:rsidRPr="00F722DA" w:rsidRDefault="004C7ECA" w:rsidP="00F722DA">
      <w:pPr>
        <w:pStyle w:val="Body"/>
        <w:numPr>
          <w:ilvl w:val="0"/>
          <w:numId w:val="36"/>
        </w:numPr>
        <w:rPr>
          <w:rFonts w:ascii="Arial" w:hAnsi="Arial" w:cs="Arial"/>
        </w:rPr>
      </w:pPr>
      <w:r w:rsidRPr="004C7ECA">
        <w:rPr>
          <w:rFonts w:ascii="Arial" w:hAnsi="Arial" w:cs="Arial"/>
          <w:b/>
        </w:rPr>
        <w:t xml:space="preserve">Genetic Markers: </w:t>
      </w:r>
      <w:r w:rsidRPr="004C7ECA">
        <w:rPr>
          <w:rFonts w:ascii="Arial" w:hAnsi="Arial" w:cs="Arial"/>
        </w:rPr>
        <w:t xml:space="preserve"> The BDNF Val66Met polymorphism shows limited impact on predicting long-term mobility in chronic stroke, suggesting its value diminishes over time or is outweighed by other factors</w:t>
      </w:r>
      <w:hyperlink r:id="rId87" w:anchor="31562cff355e3b3f9099b485538d3549_ref" w:history="1">
        <w:r w:rsidRPr="004C7ECA">
          <w:rPr>
            <w:rStyle w:val="Hyperlink"/>
            <w:rFonts w:ascii="Arial" w:hAnsi="Arial" w:cs="Arial"/>
          </w:rPr>
          <w:t>(French et al., 2018)</w:t>
        </w:r>
      </w:hyperlink>
      <w:r w:rsidRPr="004C7ECA">
        <w:rPr>
          <w:rFonts w:ascii="Arial" w:hAnsi="Arial" w:cs="Arial"/>
        </w:rPr>
        <w:t xml:space="preserve">. Yet, it may serve as an effective prognostic marker for walking improvement in progressive MS patients </w:t>
      </w:r>
      <w:hyperlink r:id="rId88" w:anchor="820f17078b533748a7d5efb1785dfa21_ref" w:history="1">
        <w:r w:rsidRPr="004C7ECA">
          <w:rPr>
            <w:rStyle w:val="Hyperlink"/>
            <w:rFonts w:ascii="Arial" w:hAnsi="Arial" w:cs="Arial"/>
          </w:rPr>
          <w:t>(Giordano et al., 2022)</w:t>
        </w:r>
      </w:hyperlink>
      <w:r w:rsidRPr="004C7ECA">
        <w:rPr>
          <w:rFonts w:ascii="Arial" w:hAnsi="Arial" w:cs="Arial"/>
        </w:rPr>
        <w:t>. Such findings emphasize the necessity of disease- and phase-specific computational phenotyping.</w:t>
      </w:r>
    </w:p>
    <w:p w14:paraId="6EDB8D38" w14:textId="77777777" w:rsidR="004C7ECA" w:rsidRPr="000256AD" w:rsidRDefault="004C7ECA" w:rsidP="004C7ECA">
      <w:pPr>
        <w:pStyle w:val="Body"/>
        <w:numPr>
          <w:ilvl w:val="1"/>
          <w:numId w:val="43"/>
        </w:numPr>
        <w:spacing w:after="0"/>
        <w:rPr>
          <w:rFonts w:ascii="Arial" w:hAnsi="Arial" w:cs="Arial"/>
          <w:b/>
          <w:bCs/>
          <w:sz w:val="22"/>
          <w:szCs w:val="22"/>
        </w:rPr>
      </w:pPr>
      <w:bookmarkStart w:id="31" w:name="_Toc256000127"/>
      <w:r w:rsidRPr="000256AD">
        <w:rPr>
          <w:rFonts w:ascii="Arial" w:hAnsi="Arial" w:cs="Arial"/>
          <w:b/>
          <w:bCs/>
          <w:sz w:val="22"/>
          <w:szCs w:val="22"/>
        </w:rPr>
        <w:t>Barriers to Translation into Real-World Practice</w:t>
      </w:r>
      <w:bookmarkEnd w:id="31"/>
    </w:p>
    <w:p w14:paraId="77C584AB" w14:textId="77777777" w:rsidR="004C7ECA" w:rsidRPr="004C7ECA" w:rsidRDefault="004C7ECA" w:rsidP="004C7ECA">
      <w:pPr>
        <w:pStyle w:val="Body"/>
        <w:rPr>
          <w:rFonts w:ascii="Arial" w:hAnsi="Arial" w:cs="Arial"/>
        </w:rPr>
      </w:pPr>
      <w:r w:rsidRPr="004C7ECA">
        <w:rPr>
          <w:rFonts w:ascii="Arial" w:hAnsi="Arial" w:cs="Arial"/>
        </w:rPr>
        <w:t>Translating these advancements into clinical practice faces several organizational and technical hurdles</w:t>
      </w:r>
    </w:p>
    <w:p w14:paraId="6F7F808A" w14:textId="77777777" w:rsidR="004C7ECA" w:rsidRPr="004C7ECA" w:rsidRDefault="004C7ECA" w:rsidP="004C7ECA">
      <w:pPr>
        <w:pStyle w:val="Body"/>
        <w:numPr>
          <w:ilvl w:val="0"/>
          <w:numId w:val="37"/>
        </w:numPr>
        <w:rPr>
          <w:rFonts w:ascii="Arial" w:hAnsi="Arial" w:cs="Arial"/>
        </w:rPr>
      </w:pPr>
      <w:r w:rsidRPr="004C7ECA">
        <w:rPr>
          <w:rFonts w:ascii="Arial" w:hAnsi="Arial" w:cs="Arial"/>
          <w:b/>
        </w:rPr>
        <w:t xml:space="preserve">Data Fragmentation: </w:t>
      </w:r>
      <w:r w:rsidRPr="004C7ECA">
        <w:rPr>
          <w:rFonts w:ascii="Arial" w:hAnsi="Arial" w:cs="Arial"/>
        </w:rPr>
        <w:t xml:space="preserve"> Multimodal data acquisition is complex, often resulting in heterogeneous data that is siloed across different healthcare systems, making it difficult to train robust causal models </w:t>
      </w:r>
      <w:hyperlink r:id="rId89" w:anchor="075f33d68da93ecda8dc1249987ac877_ref" w:history="1">
        <w:r w:rsidRPr="004C7ECA">
          <w:rPr>
            <w:rStyle w:val="Hyperlink"/>
            <w:rFonts w:ascii="Arial" w:hAnsi="Arial" w:cs="Arial"/>
          </w:rPr>
          <w:t>(Cotton et al., 2024)</w:t>
        </w:r>
      </w:hyperlink>
      <w:r w:rsidRPr="004C7ECA">
        <w:rPr>
          <w:rFonts w:ascii="Arial" w:hAnsi="Arial" w:cs="Arial"/>
        </w:rPr>
        <w:t>.</w:t>
      </w:r>
    </w:p>
    <w:p w14:paraId="0973280B" w14:textId="77777777" w:rsidR="004C7ECA" w:rsidRPr="004C7ECA" w:rsidRDefault="004C7ECA" w:rsidP="004C7ECA">
      <w:pPr>
        <w:pStyle w:val="Body"/>
        <w:numPr>
          <w:ilvl w:val="0"/>
          <w:numId w:val="37"/>
        </w:numPr>
        <w:rPr>
          <w:rFonts w:ascii="Arial" w:hAnsi="Arial" w:cs="Arial"/>
        </w:rPr>
      </w:pPr>
      <w:r w:rsidRPr="004C7ECA">
        <w:rPr>
          <w:rFonts w:ascii="Arial" w:hAnsi="Arial" w:cs="Arial"/>
          <w:b/>
        </w:rPr>
        <w:t xml:space="preserve">Lack of Standardized Documentation: </w:t>
      </w:r>
      <w:r w:rsidRPr="004C7ECA">
        <w:rPr>
          <w:rFonts w:ascii="Arial" w:hAnsi="Arial" w:cs="Arial"/>
        </w:rPr>
        <w:t xml:space="preserve"> Effective causal models for the ODTR require detailed, standardized records of the interventions administered. The lack of widespread adoption of structured systems like the Rehabilitation Treatment Specification System (RTSS) hinders the ability of AI models to infer cause-and-effect relationships between specific treatment ingredients and patient outcomes </w:t>
      </w:r>
      <w:hyperlink r:id="rId90" w:anchor="075f33d68da93ecda8dc1249987ac877_ref" w:history="1">
        <w:r w:rsidRPr="004C7ECA">
          <w:rPr>
            <w:rStyle w:val="Hyperlink"/>
            <w:rFonts w:ascii="Arial" w:hAnsi="Arial" w:cs="Arial"/>
          </w:rPr>
          <w:t>(Cotton et al., 2024)</w:t>
        </w:r>
      </w:hyperlink>
      <w:r w:rsidRPr="004C7ECA">
        <w:rPr>
          <w:rFonts w:ascii="Arial" w:hAnsi="Arial" w:cs="Arial"/>
        </w:rPr>
        <w:t>.</w:t>
      </w:r>
    </w:p>
    <w:p w14:paraId="21D3F5DB" w14:textId="77777777" w:rsidR="004C7ECA" w:rsidRPr="00F722DA" w:rsidRDefault="004C7ECA" w:rsidP="00F722DA">
      <w:pPr>
        <w:pStyle w:val="Body"/>
        <w:numPr>
          <w:ilvl w:val="0"/>
          <w:numId w:val="37"/>
        </w:numPr>
        <w:rPr>
          <w:rFonts w:ascii="Arial" w:hAnsi="Arial" w:cs="Arial"/>
        </w:rPr>
      </w:pPr>
      <w:r w:rsidRPr="004C7ECA">
        <w:rPr>
          <w:rFonts w:ascii="Arial" w:hAnsi="Arial" w:cs="Arial"/>
          <w:b/>
        </w:rPr>
        <w:lastRenderedPageBreak/>
        <w:t xml:space="preserve">Integration Capacity: </w:t>
      </w:r>
      <w:r w:rsidRPr="004C7ECA">
        <w:rPr>
          <w:rFonts w:ascii="Arial" w:hAnsi="Arial" w:cs="Arial"/>
        </w:rPr>
        <w:t xml:space="preserve"> Existing clinical service models are generally not structured to incorporate continuous data streams or dynamically adjust protocols based on complex algorithmic advice.</w:t>
      </w:r>
    </w:p>
    <w:p w14:paraId="5B8B8D73" w14:textId="77777777" w:rsidR="004C7ECA" w:rsidRPr="00F722DA" w:rsidRDefault="004C7ECA" w:rsidP="004C7ECA">
      <w:pPr>
        <w:pStyle w:val="Body"/>
        <w:numPr>
          <w:ilvl w:val="0"/>
          <w:numId w:val="37"/>
        </w:numPr>
        <w:spacing w:after="0"/>
        <w:rPr>
          <w:rFonts w:ascii="Arial" w:hAnsi="Arial" w:cs="Arial"/>
          <w:b/>
          <w:bCs/>
        </w:rPr>
      </w:pPr>
      <w:bookmarkStart w:id="32" w:name="_Toc256000128"/>
      <w:r w:rsidRPr="004C7ECA">
        <w:rPr>
          <w:rFonts w:ascii="Arial" w:hAnsi="Arial" w:cs="Arial"/>
          <w:b/>
          <w:bCs/>
        </w:rPr>
        <w:t>Ethical, Regulatory, and Data Governance Considerations</w:t>
      </w:r>
      <w:bookmarkEnd w:id="32"/>
    </w:p>
    <w:p w14:paraId="13BE6C24" w14:textId="77777777" w:rsidR="004C7ECA" w:rsidRPr="004C7ECA" w:rsidRDefault="004C7ECA" w:rsidP="004C7ECA">
      <w:pPr>
        <w:pStyle w:val="Body"/>
        <w:rPr>
          <w:rFonts w:ascii="Arial" w:hAnsi="Arial" w:cs="Arial"/>
        </w:rPr>
      </w:pPr>
      <w:r w:rsidRPr="004C7ECA">
        <w:rPr>
          <w:rFonts w:ascii="Arial" w:hAnsi="Arial" w:cs="Arial"/>
        </w:rPr>
        <w:t>The technical promise of precision neurorehabilitation is challenged fundamentally by ethical and equity risks, particularly within AI modeling and closed-loop systems.</w:t>
      </w:r>
    </w:p>
    <w:p w14:paraId="0B47621F" w14:textId="77777777" w:rsidR="004C7ECA" w:rsidRPr="000256AD" w:rsidRDefault="000256AD" w:rsidP="004C7ECA">
      <w:pPr>
        <w:pStyle w:val="Body"/>
        <w:rPr>
          <w:rFonts w:ascii="Arial" w:hAnsi="Arial" w:cs="Arial"/>
          <w:b/>
          <w:bCs/>
          <w:sz w:val="22"/>
          <w:szCs w:val="22"/>
        </w:rPr>
      </w:pPr>
      <w:r w:rsidRPr="000256AD">
        <w:rPr>
          <w:rFonts w:ascii="Arial" w:hAnsi="Arial" w:cs="Arial"/>
          <w:b/>
          <w:bCs/>
          <w:sz w:val="22"/>
          <w:szCs w:val="22"/>
        </w:rPr>
        <w:t xml:space="preserve">7.4 </w:t>
      </w:r>
      <w:r w:rsidR="004C7ECA" w:rsidRPr="000256AD">
        <w:rPr>
          <w:rFonts w:ascii="Arial" w:hAnsi="Arial" w:cs="Arial"/>
          <w:b/>
          <w:bCs/>
          <w:sz w:val="22"/>
          <w:szCs w:val="22"/>
        </w:rPr>
        <w:t>The Crisis of Algorithmic Bias</w:t>
      </w:r>
    </w:p>
    <w:p w14:paraId="4C8BE5D9" w14:textId="77777777" w:rsidR="004C7ECA" w:rsidRPr="004C7ECA" w:rsidRDefault="004C7ECA" w:rsidP="004C7ECA">
      <w:pPr>
        <w:pStyle w:val="Body"/>
        <w:rPr>
          <w:rFonts w:ascii="Arial" w:hAnsi="Arial" w:cs="Arial"/>
        </w:rPr>
      </w:pPr>
      <w:r w:rsidRPr="004C7ECA">
        <w:rPr>
          <w:rFonts w:ascii="Arial" w:hAnsi="Arial" w:cs="Arial"/>
        </w:rPr>
        <w:t xml:space="preserve">While multimodal AI integration promises enhanced accuracy, the models exhibit significant limitations in generalizability. Studies reporting high classification accuracy (85–95%) predominantly derive from small, </w:t>
      </w:r>
      <w:r w:rsidRPr="004C7ECA">
        <w:rPr>
          <w:rFonts w:ascii="Arial" w:hAnsi="Arial" w:cs="Arial"/>
          <w:b/>
        </w:rPr>
        <w:t>homogeneous cohorts</w:t>
      </w:r>
      <w:r w:rsidRPr="004C7ECA">
        <w:rPr>
          <w:rFonts w:ascii="Arial" w:hAnsi="Arial" w:cs="Arial"/>
        </w:rPr>
        <w:t xml:space="preserve">, with one analysis revealing that high-accuracy studies included an average of only 8.3% non-Caucasian participants </w:t>
      </w:r>
      <w:hyperlink r:id="rId91" w:anchor="5e4468f4e3963bb7aa81bdc904c8fea3_ref" w:history="1">
        <w:r w:rsidRPr="004C7ECA">
          <w:rPr>
            <w:rStyle w:val="Hyperlink"/>
            <w:rFonts w:ascii="Arial" w:hAnsi="Arial" w:cs="Arial"/>
          </w:rPr>
          <w:t>(</w:t>
        </w:r>
        <w:proofErr w:type="spellStart"/>
        <w:r w:rsidRPr="004C7ECA">
          <w:rPr>
            <w:rStyle w:val="Hyperlink"/>
            <w:rFonts w:ascii="Arial" w:hAnsi="Arial" w:cs="Arial"/>
          </w:rPr>
          <w:t>Gkintoni</w:t>
        </w:r>
        <w:proofErr w:type="spellEnd"/>
        <w:r w:rsidRPr="004C7ECA">
          <w:rPr>
            <w:rStyle w:val="Hyperlink"/>
            <w:rFonts w:ascii="Arial" w:hAnsi="Arial" w:cs="Arial"/>
          </w:rPr>
          <w:t xml:space="preserve"> &amp; </w:t>
        </w:r>
        <w:proofErr w:type="spellStart"/>
        <w:r w:rsidRPr="004C7ECA">
          <w:rPr>
            <w:rStyle w:val="Hyperlink"/>
            <w:rFonts w:ascii="Arial" w:hAnsi="Arial" w:cs="Arial"/>
          </w:rPr>
          <w:t>Halkiopoulos</w:t>
        </w:r>
        <w:proofErr w:type="spellEnd"/>
        <w:r w:rsidRPr="004C7ECA">
          <w:rPr>
            <w:rStyle w:val="Hyperlink"/>
            <w:rFonts w:ascii="Arial" w:hAnsi="Arial" w:cs="Arial"/>
          </w:rPr>
          <w:t>, 2025)</w:t>
        </w:r>
      </w:hyperlink>
      <w:r w:rsidRPr="004C7ECA">
        <w:rPr>
          <w:rFonts w:ascii="Arial" w:hAnsi="Arial" w:cs="Arial"/>
        </w:rPr>
        <w:t>.</w:t>
      </w:r>
    </w:p>
    <w:p w14:paraId="2DFDA494" w14:textId="77777777" w:rsidR="004C7ECA" w:rsidRPr="004C7ECA" w:rsidRDefault="004C7ECA" w:rsidP="004C7ECA">
      <w:pPr>
        <w:pStyle w:val="Body"/>
        <w:rPr>
          <w:rFonts w:ascii="Arial" w:hAnsi="Arial" w:cs="Arial"/>
        </w:rPr>
      </w:pPr>
      <w:r w:rsidRPr="004C7ECA">
        <w:rPr>
          <w:rFonts w:ascii="Arial" w:hAnsi="Arial" w:cs="Arial"/>
        </w:rPr>
        <w:t xml:space="preserve">When these models are stratified by demographics, a significant performance gap emerges. Elderly Caucasian participants achieved an average accuracy of 91.3%, whereas ethnic minorities averaged 78.4%, representing a </w:t>
      </w:r>
      <w:r w:rsidRPr="004C7ECA">
        <w:rPr>
          <w:rFonts w:ascii="Arial" w:hAnsi="Arial" w:cs="Arial"/>
          <w:b/>
        </w:rPr>
        <w:t>12.9 percentage point accuracy gap</w:t>
      </w:r>
      <w:r w:rsidRPr="004C7ECA">
        <w:rPr>
          <w:rFonts w:ascii="Arial" w:hAnsi="Arial" w:cs="Arial"/>
        </w:rPr>
        <w:t xml:space="preserve">. Deep learning architectures are susceptible to learning and amplifying these demographic biases, leading to reduced diagnostic sensitivity in younger adults (68% vs. 89% in the elderly) and increased false positive rates in minority populations (23% vs. 8%) </w:t>
      </w:r>
      <w:hyperlink r:id="rId92" w:anchor="5e4468f4e3963bb7aa81bdc904c8fea3_ref" w:history="1">
        <w:r w:rsidRPr="004C7ECA">
          <w:rPr>
            <w:rStyle w:val="Hyperlink"/>
            <w:rFonts w:ascii="Arial" w:hAnsi="Arial" w:cs="Arial"/>
          </w:rPr>
          <w:t>(</w:t>
        </w:r>
        <w:proofErr w:type="spellStart"/>
        <w:r w:rsidRPr="004C7ECA">
          <w:rPr>
            <w:rStyle w:val="Hyperlink"/>
            <w:rFonts w:ascii="Arial" w:hAnsi="Arial" w:cs="Arial"/>
          </w:rPr>
          <w:t>Gkintoni</w:t>
        </w:r>
        <w:proofErr w:type="spellEnd"/>
        <w:r w:rsidRPr="004C7ECA">
          <w:rPr>
            <w:rStyle w:val="Hyperlink"/>
            <w:rFonts w:ascii="Arial" w:hAnsi="Arial" w:cs="Arial"/>
          </w:rPr>
          <w:t xml:space="preserve"> &amp; </w:t>
        </w:r>
        <w:proofErr w:type="spellStart"/>
        <w:r w:rsidRPr="004C7ECA">
          <w:rPr>
            <w:rStyle w:val="Hyperlink"/>
            <w:rFonts w:ascii="Arial" w:hAnsi="Arial" w:cs="Arial"/>
          </w:rPr>
          <w:t>Halkiopoulos</w:t>
        </w:r>
        <w:proofErr w:type="spellEnd"/>
        <w:r w:rsidRPr="004C7ECA">
          <w:rPr>
            <w:rStyle w:val="Hyperlink"/>
            <w:rFonts w:ascii="Arial" w:hAnsi="Arial" w:cs="Arial"/>
          </w:rPr>
          <w:t>, 2025)</w:t>
        </w:r>
      </w:hyperlink>
      <w:r w:rsidRPr="004C7ECA">
        <w:rPr>
          <w:rFonts w:ascii="Arial" w:hAnsi="Arial" w:cs="Arial"/>
        </w:rPr>
        <w:t xml:space="preserve">. If unaddressed, </w:t>
      </w:r>
      <w:proofErr w:type="gramStart"/>
      <w:r w:rsidRPr="004C7ECA">
        <w:rPr>
          <w:rFonts w:ascii="Arial" w:hAnsi="Arial" w:cs="Arial"/>
        </w:rPr>
        <w:t>this algorithmic bias risks</w:t>
      </w:r>
      <w:proofErr w:type="gramEnd"/>
      <w:r w:rsidRPr="004C7ECA">
        <w:rPr>
          <w:rFonts w:ascii="Arial" w:hAnsi="Arial" w:cs="Arial"/>
        </w:rPr>
        <w:t xml:space="preserve"> exacerbating existing healthcare disparities, as precision technologies would disproportionately underperform for already underserved populations. To counter this, comprehensive bias mitigation frameworks, including bias-aware algorithm design and mandatory stratified validation across demographic subgroups, are required.</w:t>
      </w:r>
    </w:p>
    <w:p w14:paraId="769F8712" w14:textId="77777777" w:rsidR="004C7ECA" w:rsidRPr="000256AD" w:rsidRDefault="000256AD" w:rsidP="004C7ECA">
      <w:pPr>
        <w:pStyle w:val="Body"/>
        <w:rPr>
          <w:rFonts w:ascii="Arial" w:hAnsi="Arial" w:cs="Arial"/>
          <w:b/>
          <w:bCs/>
          <w:sz w:val="22"/>
          <w:szCs w:val="22"/>
        </w:rPr>
      </w:pPr>
      <w:r w:rsidRPr="000256AD">
        <w:rPr>
          <w:rFonts w:ascii="Arial" w:hAnsi="Arial" w:cs="Arial"/>
          <w:b/>
          <w:bCs/>
          <w:sz w:val="22"/>
          <w:szCs w:val="22"/>
        </w:rPr>
        <w:t xml:space="preserve">7.5 </w:t>
      </w:r>
      <w:r w:rsidR="004C7ECA" w:rsidRPr="000256AD">
        <w:rPr>
          <w:rFonts w:ascii="Arial" w:hAnsi="Arial" w:cs="Arial"/>
          <w:b/>
          <w:bCs/>
          <w:sz w:val="22"/>
          <w:szCs w:val="22"/>
        </w:rPr>
        <w:t>The Ethical Gap in Closed-Loop Systems</w:t>
      </w:r>
    </w:p>
    <w:p w14:paraId="610DBE6A" w14:textId="77777777" w:rsidR="004C7ECA" w:rsidRPr="004C7ECA" w:rsidRDefault="004C7ECA" w:rsidP="004C7ECA">
      <w:pPr>
        <w:pStyle w:val="Body"/>
        <w:rPr>
          <w:rFonts w:ascii="Arial" w:hAnsi="Arial" w:cs="Arial"/>
        </w:rPr>
      </w:pPr>
      <w:r w:rsidRPr="004C7ECA">
        <w:rPr>
          <w:rFonts w:ascii="Arial" w:hAnsi="Arial" w:cs="Arial"/>
        </w:rPr>
        <w:t xml:space="preserve">Closed-loop (CL) neurotechnology, which monitors and adaptively modulates the neural state in real-time, introduces complex ethical challenges that extend beyond traditional clinical governance. Issues related to patient autonomy, the long-term effects on mental health, neural data processing ethics, and unintended behavioral changes are critical </w:t>
      </w:r>
      <w:hyperlink r:id="rId93" w:anchor="dc945d1d111a3c12b63bbeb55ecfdf30_ref" w:history="1">
        <w:r w:rsidRPr="004C7ECA">
          <w:rPr>
            <w:rStyle w:val="Hyperlink"/>
            <w:rFonts w:ascii="Arial" w:hAnsi="Arial" w:cs="Arial"/>
          </w:rPr>
          <w:t>(Haag et al., 2025)</w:t>
        </w:r>
      </w:hyperlink>
      <w:r w:rsidRPr="004C7ECA">
        <w:rPr>
          <w:rFonts w:ascii="Arial" w:hAnsi="Arial" w:cs="Arial"/>
        </w:rPr>
        <w:t>.</w:t>
      </w:r>
    </w:p>
    <w:p w14:paraId="674ED287" w14:textId="77777777" w:rsidR="004C7ECA" w:rsidRPr="004C7ECA" w:rsidRDefault="004C7ECA" w:rsidP="004C7ECA">
      <w:pPr>
        <w:pStyle w:val="Body"/>
        <w:rPr>
          <w:rFonts w:ascii="Arial" w:hAnsi="Arial" w:cs="Arial"/>
        </w:rPr>
      </w:pPr>
      <w:r w:rsidRPr="004C7ECA">
        <w:rPr>
          <w:rFonts w:ascii="Arial" w:hAnsi="Arial" w:cs="Arial"/>
        </w:rPr>
        <w:t xml:space="preserve">A scoping review found a persistent gap between regulatory compliance (e.g., Institutional Review Board </w:t>
      </w:r>
      <w:bookmarkStart w:id="33" w:name="_GoBack"/>
      <w:r w:rsidRPr="004C7ECA">
        <w:rPr>
          <w:rFonts w:ascii="Arial" w:hAnsi="Arial" w:cs="Arial"/>
        </w:rPr>
        <w:t>approv</w:t>
      </w:r>
      <w:bookmarkEnd w:id="33"/>
      <w:r w:rsidRPr="004C7ECA">
        <w:rPr>
          <w:rFonts w:ascii="Arial" w:hAnsi="Arial" w:cs="Arial"/>
        </w:rPr>
        <w:t xml:space="preserve">al) and </w:t>
      </w:r>
      <w:r w:rsidRPr="004C7ECA">
        <w:rPr>
          <w:rFonts w:ascii="Arial" w:hAnsi="Arial" w:cs="Arial"/>
          <w:b/>
        </w:rPr>
        <w:t>meaningful ethical reflection</w:t>
      </w:r>
      <w:r w:rsidRPr="004C7ECA">
        <w:rPr>
          <w:rFonts w:ascii="Arial" w:hAnsi="Arial" w:cs="Arial"/>
        </w:rPr>
        <w:t xml:space="preserve"> in clinical studies of CL </w:t>
      </w:r>
      <w:proofErr w:type="spellStart"/>
      <w:r w:rsidRPr="004C7ECA">
        <w:rPr>
          <w:rFonts w:ascii="Arial" w:hAnsi="Arial" w:cs="Arial"/>
        </w:rPr>
        <w:t>neurotechnologies</w:t>
      </w:r>
      <w:proofErr w:type="spellEnd"/>
      <w:r w:rsidRPr="004C7ECA">
        <w:rPr>
          <w:rFonts w:ascii="Arial" w:hAnsi="Arial" w:cs="Arial"/>
        </w:rPr>
        <w:t xml:space="preserve">. Explicit ethical assessments remain rare; typically, ethical engagement is framed only procedurally, folded into technical or procedural discussions without structured analysis </w:t>
      </w:r>
      <w:hyperlink r:id="rId94" w:anchor="dc945d1d111a3c12b63bbeb55ecfdf30_ref" w:history="1">
        <w:r w:rsidRPr="004C7ECA">
          <w:rPr>
            <w:rStyle w:val="Hyperlink"/>
            <w:rFonts w:ascii="Arial" w:hAnsi="Arial" w:cs="Arial"/>
          </w:rPr>
          <w:t>(Haag et al., 2025)</w:t>
        </w:r>
      </w:hyperlink>
      <w:r w:rsidRPr="004C7ECA">
        <w:rPr>
          <w:rFonts w:ascii="Arial" w:hAnsi="Arial" w:cs="Arial"/>
        </w:rPr>
        <w:t xml:space="preserve">. The adaptive nature of CL systems shifts the patient's locus of control, raising profound concerns about mental agency and the phenomenology of having one’s brain continuously modulated by an autonomous system without conscious input. Furthermore, reports of adverse psychological outcomes necessitate enhanced psychological monitoring and dedicated patient support for high-risk users </w:t>
      </w:r>
      <w:hyperlink r:id="rId95" w:anchor="dc945d1d111a3c12b63bbeb55ecfdf30_ref" w:history="1">
        <w:r w:rsidRPr="004C7ECA">
          <w:rPr>
            <w:rStyle w:val="Hyperlink"/>
            <w:rFonts w:ascii="Arial" w:hAnsi="Arial" w:cs="Arial"/>
          </w:rPr>
          <w:t>(Haag et al., 2025)</w:t>
        </w:r>
      </w:hyperlink>
      <w:r w:rsidRPr="004C7ECA">
        <w:rPr>
          <w:rFonts w:ascii="Arial" w:hAnsi="Arial" w:cs="Arial"/>
        </w:rPr>
        <w:t>. This critical gap requires governance frameworks that are context-sensitive and reflexive, capable of addressing the complex ethical terrain introduced by continuous neural data processing and dynamic adaptation.</w:t>
      </w:r>
    </w:p>
    <w:p w14:paraId="55EF8612" w14:textId="77777777" w:rsidR="004C7ECA" w:rsidRPr="004C7ECA" w:rsidRDefault="004C7ECA" w:rsidP="004C7ECA">
      <w:pPr>
        <w:pStyle w:val="Body"/>
        <w:rPr>
          <w:rFonts w:ascii="Arial" w:hAnsi="Arial" w:cs="Arial"/>
        </w:rPr>
      </w:pPr>
      <w:r w:rsidRPr="004C7ECA">
        <w:rPr>
          <w:rFonts w:ascii="Arial" w:hAnsi="Arial" w:cs="Arial"/>
        </w:rPr>
        <w:t>The synthesis of these barriers highlights the necessity of addressing equity and governance alongside technological advancement.</w:t>
      </w:r>
    </w:p>
    <w:p w14:paraId="60F73222" w14:textId="1974D7AD" w:rsidR="004C7ECA" w:rsidRPr="000256AD" w:rsidRDefault="004C7ECA" w:rsidP="004C7ECA">
      <w:pPr>
        <w:pStyle w:val="Body"/>
        <w:rPr>
          <w:rFonts w:ascii="Arial" w:hAnsi="Arial" w:cs="Arial"/>
          <w:b/>
          <w:bCs/>
        </w:rPr>
      </w:pPr>
      <w:r w:rsidRPr="000256AD">
        <w:rPr>
          <w:rFonts w:ascii="Arial" w:hAnsi="Arial" w:cs="Arial"/>
          <w:b/>
          <w:bCs/>
        </w:rPr>
        <w:t xml:space="preserve">Table </w:t>
      </w:r>
      <w:r w:rsidR="00BB5483">
        <w:rPr>
          <w:rFonts w:ascii="Arial" w:hAnsi="Arial" w:cs="Arial"/>
          <w:b/>
          <w:bCs/>
        </w:rPr>
        <w:t>2</w:t>
      </w:r>
      <w:r w:rsidRPr="000256AD">
        <w:rPr>
          <w:rFonts w:ascii="Arial" w:hAnsi="Arial" w:cs="Arial"/>
          <w:b/>
          <w:bCs/>
        </w:rPr>
        <w:t>: Addressing Barriers in Translational Precision Neurorehabilitation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472"/>
        <w:gridCol w:w="1875"/>
        <w:gridCol w:w="1792"/>
      </w:tblGrid>
      <w:tr w:rsidR="004C7ECA" w:rsidRPr="004C7ECA" w14:paraId="4CF891BE" w14:textId="77777777" w:rsidTr="000256AD">
        <w:tc>
          <w:tcPr>
            <w:tcW w:w="0" w:type="auto"/>
            <w:tcBorders>
              <w:top w:val="single" w:sz="4" w:space="0" w:color="auto"/>
              <w:left w:val="single" w:sz="4" w:space="0" w:color="auto"/>
              <w:bottom w:val="single" w:sz="4" w:space="0" w:color="auto"/>
              <w:right w:val="single" w:sz="4" w:space="0" w:color="auto"/>
            </w:tcBorders>
          </w:tcPr>
          <w:p w14:paraId="064B3B24" w14:textId="77777777" w:rsidR="004C7ECA" w:rsidRPr="004C7ECA" w:rsidRDefault="004C7ECA" w:rsidP="004C7ECA">
            <w:pPr>
              <w:pStyle w:val="Body"/>
              <w:rPr>
                <w:rFonts w:ascii="Arial" w:hAnsi="Arial" w:cs="Arial"/>
              </w:rPr>
            </w:pPr>
            <w:r w:rsidRPr="004C7ECA">
              <w:rPr>
                <w:rFonts w:ascii="Arial" w:hAnsi="Arial" w:cs="Arial"/>
              </w:rPr>
              <w:lastRenderedPageBreak/>
              <w:t>Barrier Domain</w:t>
            </w:r>
          </w:p>
          <w:p w14:paraId="0F288010"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FC5B131" w14:textId="77777777" w:rsidR="004C7ECA" w:rsidRPr="004C7ECA" w:rsidRDefault="004C7ECA" w:rsidP="004C7ECA">
            <w:pPr>
              <w:pStyle w:val="Body"/>
              <w:rPr>
                <w:rFonts w:ascii="Arial" w:hAnsi="Arial" w:cs="Arial"/>
              </w:rPr>
            </w:pPr>
            <w:r w:rsidRPr="004C7ECA">
              <w:rPr>
                <w:rFonts w:ascii="Arial" w:hAnsi="Arial" w:cs="Arial"/>
              </w:rPr>
              <w:t>Specific Challenge</w:t>
            </w:r>
          </w:p>
          <w:p w14:paraId="7E2B744C"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64197D18" w14:textId="77777777" w:rsidR="004C7ECA" w:rsidRPr="004C7ECA" w:rsidRDefault="004C7ECA" w:rsidP="004C7ECA">
            <w:pPr>
              <w:pStyle w:val="Body"/>
              <w:rPr>
                <w:rFonts w:ascii="Arial" w:hAnsi="Arial" w:cs="Arial"/>
              </w:rPr>
            </w:pPr>
            <w:r w:rsidRPr="004C7ECA">
              <w:rPr>
                <w:rFonts w:ascii="Arial" w:hAnsi="Arial" w:cs="Arial"/>
              </w:rPr>
              <w:t>Impact on Clinical Practice</w:t>
            </w:r>
          </w:p>
          <w:p w14:paraId="40E0FABA"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1FF98D3" w14:textId="77777777" w:rsidR="004C7ECA" w:rsidRPr="004C7ECA" w:rsidRDefault="004C7ECA" w:rsidP="004C7ECA">
            <w:pPr>
              <w:pStyle w:val="Body"/>
              <w:rPr>
                <w:rFonts w:ascii="Arial" w:hAnsi="Arial" w:cs="Arial"/>
              </w:rPr>
            </w:pPr>
            <w:r w:rsidRPr="004C7ECA">
              <w:rPr>
                <w:rFonts w:ascii="Arial" w:hAnsi="Arial" w:cs="Arial"/>
              </w:rPr>
              <w:t>Proposed Mitigation Strategy</w:t>
            </w:r>
          </w:p>
          <w:p w14:paraId="159695AC" w14:textId="77777777" w:rsidR="004C7ECA" w:rsidRPr="004C7ECA" w:rsidRDefault="004C7ECA" w:rsidP="004C7ECA">
            <w:pPr>
              <w:pStyle w:val="Body"/>
              <w:rPr>
                <w:rFonts w:ascii="Arial" w:hAnsi="Arial" w:cs="Arial"/>
              </w:rPr>
            </w:pPr>
          </w:p>
        </w:tc>
      </w:tr>
      <w:tr w:rsidR="004C7ECA" w:rsidRPr="004C7ECA" w14:paraId="422450A0" w14:textId="77777777" w:rsidTr="000256AD">
        <w:tc>
          <w:tcPr>
            <w:tcW w:w="0" w:type="auto"/>
            <w:tcBorders>
              <w:top w:val="single" w:sz="4" w:space="0" w:color="auto"/>
              <w:left w:val="single" w:sz="4" w:space="0" w:color="auto"/>
              <w:bottom w:val="single" w:sz="4" w:space="0" w:color="auto"/>
              <w:right w:val="single" w:sz="4" w:space="0" w:color="auto"/>
            </w:tcBorders>
          </w:tcPr>
          <w:p w14:paraId="76FC10F1" w14:textId="77777777" w:rsidR="004C7ECA" w:rsidRPr="004C7ECA" w:rsidRDefault="004C7ECA" w:rsidP="004C7ECA">
            <w:pPr>
              <w:pStyle w:val="Body"/>
              <w:rPr>
                <w:rFonts w:ascii="Arial" w:hAnsi="Arial" w:cs="Arial"/>
              </w:rPr>
            </w:pPr>
            <w:r w:rsidRPr="004C7ECA">
              <w:rPr>
                <w:rFonts w:ascii="Arial" w:hAnsi="Arial" w:cs="Arial"/>
              </w:rPr>
              <w:t>Algorithmic/Data</w:t>
            </w:r>
          </w:p>
          <w:p w14:paraId="3F22F579"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B2FE99D" w14:textId="77777777" w:rsidR="004C7ECA" w:rsidRPr="004C7ECA" w:rsidRDefault="004C7ECA" w:rsidP="004C7ECA">
            <w:pPr>
              <w:pStyle w:val="Body"/>
              <w:rPr>
                <w:rFonts w:ascii="Arial" w:hAnsi="Arial" w:cs="Arial"/>
              </w:rPr>
            </w:pPr>
            <w:r w:rsidRPr="004C7ECA">
              <w:rPr>
                <w:rFonts w:ascii="Arial" w:hAnsi="Arial" w:cs="Arial"/>
              </w:rPr>
              <w:t>Algorithmic Bias (Demographic Skew)</w:t>
            </w:r>
          </w:p>
          <w:p w14:paraId="382210E4"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DEEC10A" w14:textId="77777777" w:rsidR="004C7ECA" w:rsidRPr="004C7ECA" w:rsidRDefault="004C7ECA" w:rsidP="004C7ECA">
            <w:pPr>
              <w:pStyle w:val="Body"/>
              <w:rPr>
                <w:rFonts w:ascii="Arial" w:hAnsi="Arial" w:cs="Arial"/>
              </w:rPr>
            </w:pPr>
            <w:r w:rsidRPr="004C7ECA">
              <w:rPr>
                <w:rFonts w:ascii="Arial" w:hAnsi="Arial" w:cs="Arial"/>
              </w:rPr>
              <w:t>Reduced accuracy (e.g., 12.9% gap) in minority/younger populations; Misclassification risk.</w:t>
            </w:r>
          </w:p>
          <w:p w14:paraId="1B7057AE"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FE066C8" w14:textId="77777777" w:rsidR="004C7ECA" w:rsidRPr="004C7ECA" w:rsidRDefault="004C7ECA" w:rsidP="004C7ECA">
            <w:pPr>
              <w:pStyle w:val="Body"/>
              <w:rPr>
                <w:rFonts w:ascii="Arial" w:hAnsi="Arial" w:cs="Arial"/>
              </w:rPr>
            </w:pPr>
            <w:r w:rsidRPr="004C7ECA">
              <w:rPr>
                <w:rFonts w:ascii="Arial" w:hAnsi="Arial" w:cs="Arial"/>
              </w:rPr>
              <w:t xml:space="preserve">Bias-aware algorithm design; Mandatory stratified validation across demographics; Continuous bias monitoring </w:t>
            </w:r>
          </w:p>
          <w:p w14:paraId="1ED3E5D1" w14:textId="77777777" w:rsidR="004C7ECA" w:rsidRPr="004C7ECA" w:rsidRDefault="004C7ECA" w:rsidP="004C7ECA">
            <w:pPr>
              <w:pStyle w:val="Body"/>
              <w:rPr>
                <w:rFonts w:ascii="Arial" w:hAnsi="Arial" w:cs="Arial"/>
              </w:rPr>
            </w:pPr>
          </w:p>
        </w:tc>
      </w:tr>
      <w:tr w:rsidR="004C7ECA" w:rsidRPr="004C7ECA" w14:paraId="13489B5E" w14:textId="77777777" w:rsidTr="000256AD">
        <w:tc>
          <w:tcPr>
            <w:tcW w:w="0" w:type="auto"/>
            <w:tcBorders>
              <w:top w:val="single" w:sz="4" w:space="0" w:color="auto"/>
              <w:left w:val="single" w:sz="4" w:space="0" w:color="auto"/>
              <w:bottom w:val="single" w:sz="4" w:space="0" w:color="auto"/>
              <w:right w:val="single" w:sz="4" w:space="0" w:color="auto"/>
            </w:tcBorders>
          </w:tcPr>
          <w:p w14:paraId="0635F1D4" w14:textId="77777777" w:rsidR="004C7ECA" w:rsidRPr="004C7ECA" w:rsidRDefault="004C7ECA" w:rsidP="004C7ECA">
            <w:pPr>
              <w:pStyle w:val="Body"/>
              <w:rPr>
                <w:rFonts w:ascii="Arial" w:hAnsi="Arial" w:cs="Arial"/>
              </w:rPr>
            </w:pPr>
            <w:r w:rsidRPr="004C7ECA">
              <w:rPr>
                <w:rFonts w:ascii="Arial" w:hAnsi="Arial" w:cs="Arial"/>
              </w:rPr>
              <w:t>Ethical/Regulatory</w:t>
            </w:r>
          </w:p>
          <w:p w14:paraId="5E8B147A"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89D6A95" w14:textId="77777777" w:rsidR="004C7ECA" w:rsidRPr="004C7ECA" w:rsidRDefault="004C7ECA" w:rsidP="004C7ECA">
            <w:pPr>
              <w:pStyle w:val="Body"/>
              <w:rPr>
                <w:rFonts w:ascii="Arial" w:hAnsi="Arial" w:cs="Arial"/>
              </w:rPr>
            </w:pPr>
            <w:r w:rsidRPr="004C7ECA">
              <w:rPr>
                <w:rFonts w:ascii="Arial" w:hAnsi="Arial" w:cs="Arial"/>
              </w:rPr>
              <w:t xml:space="preserve">Implicit Ethical Assessment Gap in CL Systems </w:t>
            </w:r>
          </w:p>
          <w:p w14:paraId="6A0E9CEF"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DA76F9D" w14:textId="77777777" w:rsidR="004C7ECA" w:rsidRPr="004C7ECA" w:rsidRDefault="004C7ECA" w:rsidP="004C7ECA">
            <w:pPr>
              <w:pStyle w:val="Body"/>
              <w:rPr>
                <w:rFonts w:ascii="Arial" w:hAnsi="Arial" w:cs="Arial"/>
              </w:rPr>
            </w:pPr>
            <w:r w:rsidRPr="004C7ECA">
              <w:rPr>
                <w:rFonts w:ascii="Arial" w:hAnsi="Arial" w:cs="Arial"/>
              </w:rPr>
              <w:t>Failure to address complex issues of autonomy, neural data privacy, and adverse psychological outcomes.</w:t>
            </w:r>
          </w:p>
          <w:p w14:paraId="2B71BE5E"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5A0D7F1" w14:textId="77777777" w:rsidR="004C7ECA" w:rsidRPr="004C7ECA" w:rsidRDefault="004C7ECA" w:rsidP="004C7ECA">
            <w:pPr>
              <w:pStyle w:val="Body"/>
              <w:rPr>
                <w:rFonts w:ascii="Arial" w:hAnsi="Arial" w:cs="Arial"/>
              </w:rPr>
            </w:pPr>
            <w:r w:rsidRPr="004C7ECA">
              <w:rPr>
                <w:rFonts w:ascii="Arial" w:hAnsi="Arial" w:cs="Arial"/>
              </w:rPr>
              <w:t>Mandatory reflective ethical assessment; Governance frameworks capable of addressing dynamic adaptation; Enhanced psychological monitoring.</w:t>
            </w:r>
          </w:p>
          <w:p w14:paraId="46891071" w14:textId="77777777" w:rsidR="004C7ECA" w:rsidRPr="004C7ECA" w:rsidRDefault="004C7ECA" w:rsidP="004C7ECA">
            <w:pPr>
              <w:pStyle w:val="Body"/>
              <w:rPr>
                <w:rFonts w:ascii="Arial" w:hAnsi="Arial" w:cs="Arial"/>
              </w:rPr>
            </w:pPr>
          </w:p>
        </w:tc>
      </w:tr>
      <w:tr w:rsidR="004C7ECA" w:rsidRPr="004C7ECA" w14:paraId="5379B7B1" w14:textId="77777777" w:rsidTr="000256AD">
        <w:tc>
          <w:tcPr>
            <w:tcW w:w="0" w:type="auto"/>
            <w:tcBorders>
              <w:top w:val="single" w:sz="4" w:space="0" w:color="auto"/>
              <w:left w:val="single" w:sz="4" w:space="0" w:color="auto"/>
              <w:bottom w:val="single" w:sz="4" w:space="0" w:color="auto"/>
              <w:right w:val="single" w:sz="4" w:space="0" w:color="auto"/>
            </w:tcBorders>
          </w:tcPr>
          <w:p w14:paraId="637D103B" w14:textId="77777777" w:rsidR="004C7ECA" w:rsidRPr="004C7ECA" w:rsidRDefault="004C7ECA" w:rsidP="004C7ECA">
            <w:pPr>
              <w:pStyle w:val="Body"/>
              <w:rPr>
                <w:rFonts w:ascii="Arial" w:hAnsi="Arial" w:cs="Arial"/>
              </w:rPr>
            </w:pPr>
            <w:r w:rsidRPr="004C7ECA">
              <w:rPr>
                <w:rFonts w:ascii="Arial" w:hAnsi="Arial" w:cs="Arial"/>
              </w:rPr>
              <w:t>Implementation/Clinical</w:t>
            </w:r>
          </w:p>
          <w:p w14:paraId="4FE49248"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ECCAEBF" w14:textId="77777777" w:rsidR="004C7ECA" w:rsidRPr="004C7ECA" w:rsidRDefault="004C7ECA" w:rsidP="004C7ECA">
            <w:pPr>
              <w:pStyle w:val="Body"/>
              <w:rPr>
                <w:rFonts w:ascii="Arial" w:hAnsi="Arial" w:cs="Arial"/>
              </w:rPr>
            </w:pPr>
            <w:r w:rsidRPr="004C7ECA">
              <w:rPr>
                <w:rFonts w:ascii="Arial" w:hAnsi="Arial" w:cs="Arial"/>
              </w:rPr>
              <w:t>Data Fragmentation &amp; Non-Standardized Treatment</w:t>
            </w:r>
          </w:p>
          <w:p w14:paraId="5D58A004"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2BFF8FFF" w14:textId="77777777" w:rsidR="004C7ECA" w:rsidRPr="004C7ECA" w:rsidRDefault="004C7ECA" w:rsidP="004C7ECA">
            <w:pPr>
              <w:pStyle w:val="Body"/>
              <w:rPr>
                <w:rFonts w:ascii="Arial" w:hAnsi="Arial" w:cs="Arial"/>
              </w:rPr>
            </w:pPr>
            <w:r w:rsidRPr="004C7ECA">
              <w:rPr>
                <w:rFonts w:ascii="Arial" w:hAnsi="Arial" w:cs="Arial"/>
              </w:rPr>
              <w:t>Inability to train causal models effectively; Hindrance to ODTR identification.</w:t>
            </w:r>
          </w:p>
          <w:p w14:paraId="0643FB9D"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9185E91" w14:textId="77777777" w:rsidR="004C7ECA" w:rsidRPr="004C7ECA" w:rsidRDefault="004C7ECA" w:rsidP="004C7ECA">
            <w:pPr>
              <w:pStyle w:val="Body"/>
              <w:rPr>
                <w:rFonts w:ascii="Arial" w:hAnsi="Arial" w:cs="Arial"/>
              </w:rPr>
            </w:pPr>
            <w:r w:rsidRPr="004C7ECA">
              <w:rPr>
                <w:rFonts w:ascii="Arial" w:hAnsi="Arial" w:cs="Arial"/>
              </w:rPr>
              <w:t>Mandatory adoption of Intervention specification systems (e.g., RTSS); Unified multimodal research frameworks.</w:t>
            </w:r>
          </w:p>
          <w:p w14:paraId="36F0EB25" w14:textId="77777777" w:rsidR="004C7ECA" w:rsidRPr="004C7ECA" w:rsidRDefault="004C7ECA" w:rsidP="004C7ECA">
            <w:pPr>
              <w:pStyle w:val="Body"/>
              <w:rPr>
                <w:rFonts w:ascii="Arial" w:hAnsi="Arial" w:cs="Arial"/>
              </w:rPr>
            </w:pPr>
          </w:p>
        </w:tc>
      </w:tr>
      <w:tr w:rsidR="004C7ECA" w:rsidRPr="004C7ECA" w14:paraId="5D0C7C1E" w14:textId="77777777" w:rsidTr="000256AD">
        <w:tc>
          <w:tcPr>
            <w:tcW w:w="0" w:type="auto"/>
            <w:tcBorders>
              <w:top w:val="single" w:sz="4" w:space="0" w:color="auto"/>
              <w:left w:val="single" w:sz="4" w:space="0" w:color="auto"/>
              <w:bottom w:val="single" w:sz="4" w:space="0" w:color="auto"/>
              <w:right w:val="single" w:sz="4" w:space="0" w:color="auto"/>
            </w:tcBorders>
          </w:tcPr>
          <w:p w14:paraId="7F88E58D" w14:textId="77777777" w:rsidR="004C7ECA" w:rsidRPr="004C7ECA" w:rsidRDefault="004C7ECA" w:rsidP="004C7ECA">
            <w:pPr>
              <w:pStyle w:val="Body"/>
              <w:rPr>
                <w:rFonts w:ascii="Arial" w:hAnsi="Arial" w:cs="Arial"/>
              </w:rPr>
            </w:pPr>
            <w:r w:rsidRPr="004C7ECA">
              <w:rPr>
                <w:rFonts w:ascii="Arial" w:hAnsi="Arial" w:cs="Arial"/>
              </w:rPr>
              <w:t>Clinical/Resource</w:t>
            </w:r>
          </w:p>
          <w:p w14:paraId="41DB53C6"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629AF05" w14:textId="77777777" w:rsidR="004C7ECA" w:rsidRPr="004C7ECA" w:rsidRDefault="004C7ECA" w:rsidP="004C7ECA">
            <w:pPr>
              <w:pStyle w:val="Body"/>
              <w:rPr>
                <w:rFonts w:ascii="Arial" w:hAnsi="Arial" w:cs="Arial"/>
              </w:rPr>
            </w:pPr>
            <w:r w:rsidRPr="004C7ECA">
              <w:rPr>
                <w:rFonts w:ascii="Arial" w:hAnsi="Arial" w:cs="Arial"/>
              </w:rPr>
              <w:t xml:space="preserve">Lack of Integrated Pathways/Competencies </w:t>
            </w:r>
          </w:p>
          <w:p w14:paraId="582C0F5B"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2D560D45" w14:textId="77777777" w:rsidR="004C7ECA" w:rsidRPr="004C7ECA" w:rsidRDefault="004C7ECA" w:rsidP="004C7ECA">
            <w:pPr>
              <w:pStyle w:val="Body"/>
              <w:rPr>
                <w:rFonts w:ascii="Arial" w:hAnsi="Arial" w:cs="Arial"/>
              </w:rPr>
            </w:pPr>
            <w:r w:rsidRPr="004C7ECA">
              <w:rPr>
                <w:rFonts w:ascii="Arial" w:hAnsi="Arial" w:cs="Arial"/>
              </w:rPr>
              <w:t>Difficulty integrating continuous data streams and computational advice into existing service models.</w:t>
            </w:r>
          </w:p>
          <w:p w14:paraId="5947E988"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6D6DB9A" w14:textId="77777777" w:rsidR="004C7ECA" w:rsidRPr="004C7ECA" w:rsidRDefault="004C7ECA" w:rsidP="004C7ECA">
            <w:pPr>
              <w:pStyle w:val="Body"/>
              <w:rPr>
                <w:rFonts w:ascii="Arial" w:hAnsi="Arial" w:cs="Arial"/>
              </w:rPr>
            </w:pPr>
            <w:r w:rsidRPr="004C7ECA">
              <w:rPr>
                <w:rFonts w:ascii="Arial" w:hAnsi="Arial" w:cs="Arial"/>
              </w:rPr>
              <w:lastRenderedPageBreak/>
              <w:t xml:space="preserve">Develop new specialized roles (e.g., Rehabilitation Coordinator); Mandatory computational literacy training </w:t>
            </w:r>
            <w:r w:rsidRPr="004C7ECA">
              <w:rPr>
                <w:rFonts w:ascii="Arial" w:hAnsi="Arial" w:cs="Arial"/>
              </w:rPr>
              <w:lastRenderedPageBreak/>
              <w:t>for staff.</w:t>
            </w:r>
          </w:p>
          <w:p w14:paraId="6BB36A93" w14:textId="77777777" w:rsidR="004C7ECA" w:rsidRPr="004C7ECA" w:rsidRDefault="004C7ECA" w:rsidP="004C7ECA">
            <w:pPr>
              <w:pStyle w:val="Body"/>
              <w:rPr>
                <w:rFonts w:ascii="Arial" w:hAnsi="Arial" w:cs="Arial"/>
              </w:rPr>
            </w:pPr>
          </w:p>
        </w:tc>
      </w:tr>
    </w:tbl>
    <w:p w14:paraId="43026856" w14:textId="77777777" w:rsidR="004C7ECA" w:rsidRPr="004C7ECA" w:rsidRDefault="004C7ECA" w:rsidP="004C7ECA">
      <w:pPr>
        <w:pStyle w:val="Body"/>
        <w:rPr>
          <w:rFonts w:ascii="Arial" w:hAnsi="Arial" w:cs="Arial"/>
        </w:rPr>
      </w:pPr>
    </w:p>
    <w:p w14:paraId="4E697220" w14:textId="77777777" w:rsidR="004C7ECA" w:rsidRPr="000256AD" w:rsidRDefault="000256AD" w:rsidP="000256AD">
      <w:pPr>
        <w:pStyle w:val="Body"/>
        <w:spacing w:after="0"/>
        <w:rPr>
          <w:rFonts w:ascii="Arial" w:hAnsi="Arial" w:cs="Arial"/>
          <w:b/>
          <w:bCs/>
          <w:sz w:val="24"/>
          <w:szCs w:val="24"/>
        </w:rPr>
      </w:pPr>
      <w:bookmarkStart w:id="34" w:name="_Toc256000129"/>
      <w:r w:rsidRPr="000256AD">
        <w:rPr>
          <w:rFonts w:ascii="Arial" w:hAnsi="Arial" w:cs="Arial"/>
          <w:b/>
          <w:bCs/>
          <w:sz w:val="24"/>
          <w:szCs w:val="24"/>
        </w:rPr>
        <w:t>8</w:t>
      </w:r>
      <w:r w:rsidR="004C7ECA" w:rsidRPr="000256AD">
        <w:rPr>
          <w:rFonts w:ascii="Arial" w:hAnsi="Arial" w:cs="Arial"/>
          <w:b/>
          <w:bCs/>
          <w:sz w:val="24"/>
          <w:szCs w:val="24"/>
        </w:rPr>
        <w:t>. Practical Clinical Pathways for Implementation</w:t>
      </w:r>
      <w:bookmarkEnd w:id="34"/>
    </w:p>
    <w:p w14:paraId="3E4C0905" w14:textId="77777777" w:rsidR="004C7ECA" w:rsidRPr="004C7ECA" w:rsidRDefault="004C7ECA" w:rsidP="004C7ECA">
      <w:pPr>
        <w:pStyle w:val="Body"/>
        <w:rPr>
          <w:rFonts w:ascii="Arial" w:hAnsi="Arial" w:cs="Arial"/>
        </w:rPr>
      </w:pPr>
      <w:r w:rsidRPr="004C7ECA">
        <w:rPr>
          <w:rFonts w:ascii="Arial" w:hAnsi="Arial" w:cs="Arial"/>
        </w:rPr>
        <w:t>Successful clinical implementation requires a phased approach, prioritizing robust stratification markers and adapting existing service infrastructure.</w:t>
      </w:r>
    </w:p>
    <w:p w14:paraId="0602E507" w14:textId="77777777" w:rsidR="004C7ECA" w:rsidRPr="000256AD" w:rsidRDefault="000256AD" w:rsidP="000256AD">
      <w:pPr>
        <w:pStyle w:val="Body"/>
        <w:spacing w:after="0"/>
        <w:rPr>
          <w:rFonts w:ascii="Arial" w:hAnsi="Arial" w:cs="Arial"/>
          <w:b/>
          <w:bCs/>
          <w:sz w:val="22"/>
          <w:szCs w:val="22"/>
        </w:rPr>
      </w:pPr>
      <w:bookmarkStart w:id="35" w:name="_Toc256000130"/>
      <w:r w:rsidRPr="000256AD">
        <w:rPr>
          <w:rFonts w:ascii="Arial" w:hAnsi="Arial" w:cs="Arial"/>
          <w:b/>
          <w:bCs/>
          <w:sz w:val="22"/>
          <w:szCs w:val="22"/>
        </w:rPr>
        <w:t xml:space="preserve">8.1 </w:t>
      </w:r>
      <w:r w:rsidR="004C7ECA" w:rsidRPr="000256AD">
        <w:rPr>
          <w:rFonts w:ascii="Arial" w:hAnsi="Arial" w:cs="Arial"/>
          <w:b/>
          <w:bCs/>
          <w:sz w:val="22"/>
          <w:szCs w:val="22"/>
        </w:rPr>
        <w:t>How Clinicians Can Begin Precision Stratification Now</w:t>
      </w:r>
      <w:bookmarkEnd w:id="35"/>
    </w:p>
    <w:p w14:paraId="3818F9B6" w14:textId="77777777" w:rsidR="004C7ECA" w:rsidRPr="004C7ECA" w:rsidRDefault="004C7ECA" w:rsidP="004C7ECA">
      <w:pPr>
        <w:pStyle w:val="Body"/>
        <w:rPr>
          <w:rFonts w:ascii="Arial" w:hAnsi="Arial" w:cs="Arial"/>
        </w:rPr>
      </w:pPr>
      <w:r w:rsidRPr="004C7ECA">
        <w:rPr>
          <w:rFonts w:ascii="Arial" w:hAnsi="Arial" w:cs="Arial"/>
        </w:rPr>
        <w:t xml:space="preserve">Full multimodal integration is a long-term goal. Clinicians can immediately enhance precision by optimizing their use of existing, robust markers. The most promising practical strategy involves using early voluntary movement ability, supplemented by Transcranial Magnetic Stimulation (TMS) derived Motor Evoked Potential (MEP) status, as primary predictors </w:t>
      </w:r>
      <w:hyperlink r:id="rId96" w:anchor="eb840a0473a93a8d8eecf5a65a94d96f_ref" w:history="1">
        <w:r w:rsidRPr="004C7ECA">
          <w:rPr>
            <w:rStyle w:val="Hyperlink"/>
            <w:rFonts w:ascii="Arial" w:hAnsi="Arial" w:cs="Arial"/>
          </w:rPr>
          <w:t>(Noda, 2019; Spampinato et al., 2023)</w:t>
        </w:r>
      </w:hyperlink>
      <w:r w:rsidRPr="004C7ECA">
        <w:rPr>
          <w:rFonts w:ascii="Arial" w:hAnsi="Arial" w:cs="Arial"/>
        </w:rPr>
        <w:t>. This combination reliably identifies high-potential responders who should be allocated maximum resources and high-intensity intervention (e.g., robotics, high-dose physiotherapy). Structural measures, such as DTI-derived corticospinal tract lesion load, offer an established, practical prognostic measure of recovery potential.</w:t>
      </w:r>
    </w:p>
    <w:p w14:paraId="31308F7D" w14:textId="77777777" w:rsidR="004C7ECA" w:rsidRPr="004C7ECA" w:rsidRDefault="004C7ECA" w:rsidP="004C7ECA">
      <w:pPr>
        <w:pStyle w:val="Body"/>
        <w:rPr>
          <w:rFonts w:ascii="Arial" w:hAnsi="Arial" w:cs="Arial"/>
        </w:rPr>
      </w:pPr>
      <w:r w:rsidRPr="004C7ECA">
        <w:rPr>
          <w:rFonts w:ascii="Arial" w:hAnsi="Arial" w:cs="Arial"/>
        </w:rPr>
        <w:t>For patients with lower potential for corticospinal tract-driven recovery, AI-assisted stratification can guide the allocation of compensatory strategies, potentially involving vicarious pathway recruitment or the use of assistive technologies.</w:t>
      </w:r>
    </w:p>
    <w:p w14:paraId="2EFD761E" w14:textId="77777777" w:rsidR="004C7ECA" w:rsidRPr="000256AD" w:rsidRDefault="000256AD" w:rsidP="000256AD">
      <w:pPr>
        <w:pStyle w:val="Body"/>
        <w:spacing w:after="0"/>
        <w:rPr>
          <w:rFonts w:ascii="Arial" w:hAnsi="Arial" w:cs="Arial"/>
          <w:b/>
          <w:bCs/>
          <w:sz w:val="22"/>
          <w:szCs w:val="22"/>
        </w:rPr>
      </w:pPr>
      <w:bookmarkStart w:id="36" w:name="_Toc256000131"/>
      <w:r w:rsidRPr="000256AD">
        <w:rPr>
          <w:rFonts w:ascii="Arial" w:hAnsi="Arial" w:cs="Arial"/>
          <w:b/>
          <w:bCs/>
          <w:sz w:val="22"/>
          <w:szCs w:val="22"/>
        </w:rPr>
        <w:t xml:space="preserve">8.2 </w:t>
      </w:r>
      <w:r w:rsidR="004C7ECA" w:rsidRPr="000256AD">
        <w:rPr>
          <w:rFonts w:ascii="Arial" w:hAnsi="Arial" w:cs="Arial"/>
          <w:b/>
          <w:bCs/>
          <w:sz w:val="22"/>
          <w:szCs w:val="22"/>
        </w:rPr>
        <w:t>Required Competencies for Future Neuro Rehab Professionals</w:t>
      </w:r>
      <w:bookmarkEnd w:id="36"/>
    </w:p>
    <w:p w14:paraId="4CA93038" w14:textId="77777777" w:rsidR="004C7ECA" w:rsidRPr="004C7ECA" w:rsidRDefault="004C7ECA" w:rsidP="004C7ECA">
      <w:pPr>
        <w:pStyle w:val="Body"/>
        <w:rPr>
          <w:rFonts w:ascii="Arial" w:hAnsi="Arial" w:cs="Arial"/>
        </w:rPr>
      </w:pPr>
      <w:r w:rsidRPr="004C7ECA">
        <w:rPr>
          <w:rFonts w:ascii="Arial" w:hAnsi="Arial" w:cs="Arial"/>
        </w:rPr>
        <w:t xml:space="preserve">The transition to data-driven rehabilitation necessitates a change in the professional profile of the neurorehabilitation team. The future </w:t>
      </w:r>
      <w:proofErr w:type="spellStart"/>
      <w:r w:rsidRPr="004C7ECA">
        <w:rPr>
          <w:rFonts w:ascii="Arial" w:hAnsi="Arial" w:cs="Arial"/>
        </w:rPr>
        <w:t>neurophysiotherapist</w:t>
      </w:r>
      <w:proofErr w:type="spellEnd"/>
      <w:r w:rsidRPr="004C7ECA">
        <w:rPr>
          <w:rFonts w:ascii="Arial" w:hAnsi="Arial" w:cs="Arial"/>
        </w:rPr>
        <w:t xml:space="preserve"> must evolve into a "computational physiotherapist," requiring competencies beyond traditional clinical skills. Required knowledge includes:</w:t>
      </w:r>
    </w:p>
    <w:p w14:paraId="11ABAD96" w14:textId="77777777" w:rsidR="004C7ECA" w:rsidRPr="004C7ECA" w:rsidRDefault="004C7ECA" w:rsidP="004C7ECA">
      <w:pPr>
        <w:pStyle w:val="Body"/>
        <w:numPr>
          <w:ilvl w:val="0"/>
          <w:numId w:val="38"/>
        </w:numPr>
        <w:rPr>
          <w:rFonts w:ascii="Arial" w:hAnsi="Arial" w:cs="Arial"/>
        </w:rPr>
      </w:pPr>
      <w:r w:rsidRPr="004C7ECA">
        <w:rPr>
          <w:rFonts w:ascii="Arial" w:hAnsi="Arial" w:cs="Arial"/>
          <w:b/>
        </w:rPr>
        <w:t xml:space="preserve">Data Literacy: </w:t>
      </w:r>
      <w:r w:rsidRPr="004C7ECA">
        <w:rPr>
          <w:rFonts w:ascii="Arial" w:hAnsi="Arial" w:cs="Arial"/>
        </w:rPr>
        <w:t xml:space="preserve"> Understanding the source, reliability, and limitations of complex data streams (kinematics, EEG features).</w:t>
      </w:r>
    </w:p>
    <w:p w14:paraId="022F13C9" w14:textId="77777777" w:rsidR="004C7ECA" w:rsidRPr="004C7ECA" w:rsidRDefault="004C7ECA" w:rsidP="004C7ECA">
      <w:pPr>
        <w:pStyle w:val="Body"/>
        <w:numPr>
          <w:ilvl w:val="0"/>
          <w:numId w:val="38"/>
        </w:numPr>
        <w:rPr>
          <w:rFonts w:ascii="Arial" w:hAnsi="Arial" w:cs="Arial"/>
        </w:rPr>
      </w:pPr>
      <w:r w:rsidRPr="004C7ECA">
        <w:rPr>
          <w:rFonts w:ascii="Arial" w:hAnsi="Arial" w:cs="Arial"/>
          <w:b/>
        </w:rPr>
        <w:t xml:space="preserve">Computational Literacy: </w:t>
      </w:r>
      <w:r w:rsidRPr="004C7ECA">
        <w:rPr>
          <w:rFonts w:ascii="Arial" w:hAnsi="Arial" w:cs="Arial"/>
        </w:rPr>
        <w:t xml:space="preserve"> Competency in interpreting AI model outputs (XAI) and understanding the probabilistic nature of the ODTR recommendations.</w:t>
      </w:r>
    </w:p>
    <w:p w14:paraId="6316B3A6" w14:textId="77777777" w:rsidR="004C7ECA" w:rsidRPr="00F722DA" w:rsidRDefault="004C7ECA" w:rsidP="00F722DA">
      <w:pPr>
        <w:pStyle w:val="Body"/>
        <w:numPr>
          <w:ilvl w:val="0"/>
          <w:numId w:val="38"/>
        </w:numPr>
        <w:rPr>
          <w:rFonts w:ascii="Arial" w:hAnsi="Arial" w:cs="Arial"/>
        </w:rPr>
      </w:pPr>
      <w:r w:rsidRPr="004C7ECA">
        <w:rPr>
          <w:rFonts w:ascii="Arial" w:hAnsi="Arial" w:cs="Arial"/>
          <w:b/>
        </w:rPr>
        <w:t xml:space="preserve">Standardized Documentation: </w:t>
      </w:r>
      <w:r w:rsidRPr="004C7ECA">
        <w:rPr>
          <w:rFonts w:ascii="Arial" w:hAnsi="Arial" w:cs="Arial"/>
        </w:rPr>
        <w:t xml:space="preserve"> Profound familiarity with and mandated use of intervention specification systems, such as the RTSS, to ensure that clinical interventions are documented with the necessary targets, active ingredients, and hypothesized mechanisms required for training the next generation of causal models </w:t>
      </w:r>
      <w:hyperlink r:id="rId97" w:anchor="075f33d68da93ecda8dc1249987ac877_ref" w:history="1">
        <w:r w:rsidRPr="004C7ECA">
          <w:rPr>
            <w:rStyle w:val="Hyperlink"/>
            <w:rFonts w:ascii="Arial" w:hAnsi="Arial" w:cs="Arial"/>
          </w:rPr>
          <w:t>(Cotton et al., 2024)</w:t>
        </w:r>
      </w:hyperlink>
      <w:r w:rsidRPr="004C7ECA">
        <w:rPr>
          <w:rFonts w:ascii="Arial" w:hAnsi="Arial" w:cs="Arial"/>
        </w:rPr>
        <w:t>.</w:t>
      </w:r>
    </w:p>
    <w:p w14:paraId="78F6D8E5" w14:textId="77777777" w:rsidR="004C7ECA" w:rsidRPr="000256AD" w:rsidRDefault="000256AD" w:rsidP="000256AD">
      <w:pPr>
        <w:pStyle w:val="Body"/>
        <w:spacing w:after="0"/>
        <w:ind w:left="180"/>
        <w:rPr>
          <w:rFonts w:ascii="Arial" w:hAnsi="Arial" w:cs="Arial"/>
          <w:b/>
          <w:bCs/>
        </w:rPr>
      </w:pPr>
      <w:bookmarkStart w:id="37" w:name="_Toc256000132"/>
      <w:r w:rsidRPr="000256AD">
        <w:rPr>
          <w:rFonts w:ascii="Arial" w:hAnsi="Arial" w:cs="Arial"/>
          <w:b/>
          <w:bCs/>
          <w:sz w:val="22"/>
          <w:szCs w:val="22"/>
        </w:rPr>
        <w:t xml:space="preserve">8.3 </w:t>
      </w:r>
      <w:r w:rsidR="004C7ECA" w:rsidRPr="000256AD">
        <w:rPr>
          <w:rFonts w:ascii="Arial" w:hAnsi="Arial" w:cs="Arial"/>
          <w:b/>
          <w:bCs/>
          <w:sz w:val="22"/>
          <w:szCs w:val="22"/>
        </w:rPr>
        <w:t>Updating Service Models to Incorporate Personalized Algorithms</w:t>
      </w:r>
      <w:bookmarkEnd w:id="37"/>
    </w:p>
    <w:p w14:paraId="30EBC81F" w14:textId="77777777" w:rsidR="004C7ECA" w:rsidRPr="004C7ECA" w:rsidRDefault="004C7ECA" w:rsidP="004C7ECA">
      <w:pPr>
        <w:pStyle w:val="Body"/>
        <w:rPr>
          <w:rFonts w:ascii="Arial" w:hAnsi="Arial" w:cs="Arial"/>
        </w:rPr>
      </w:pPr>
      <w:r w:rsidRPr="004C7ECA">
        <w:rPr>
          <w:rFonts w:ascii="Arial" w:hAnsi="Arial" w:cs="Arial"/>
        </w:rPr>
        <w:t xml:space="preserve">The complexity of continuous data monitoring and algorithmic compliance cannot be managed efficiently within existing service structures. Implementation necessitates the adoption of integrated care pathways (ICPs) that manage the patient across the continuum of care. This requires the development of new, specialized roles to bridge the human-AI interface. Roles such as the </w:t>
      </w:r>
      <w:r w:rsidRPr="004C7ECA">
        <w:rPr>
          <w:rFonts w:ascii="Arial" w:hAnsi="Arial" w:cs="Arial"/>
          <w:b/>
        </w:rPr>
        <w:t>Rehabilitation Coordinator</w:t>
      </w:r>
      <w:r w:rsidRPr="004C7ECA">
        <w:rPr>
          <w:rFonts w:ascii="Arial" w:hAnsi="Arial" w:cs="Arial"/>
        </w:rPr>
        <w:t xml:space="preserve">, </w:t>
      </w:r>
      <w:r w:rsidRPr="004C7ECA">
        <w:rPr>
          <w:rFonts w:ascii="Arial" w:hAnsi="Arial" w:cs="Arial"/>
          <w:b/>
        </w:rPr>
        <w:t>Case Manager</w:t>
      </w:r>
      <w:r w:rsidRPr="004C7ECA">
        <w:rPr>
          <w:rFonts w:ascii="Arial" w:hAnsi="Arial" w:cs="Arial"/>
        </w:rPr>
        <w:t xml:space="preserve">, or </w:t>
      </w:r>
      <w:r w:rsidRPr="004C7ECA">
        <w:rPr>
          <w:rFonts w:ascii="Arial" w:hAnsi="Arial" w:cs="Arial"/>
          <w:b/>
        </w:rPr>
        <w:t>Complex Discharge Planner</w:t>
      </w:r>
      <w:r w:rsidRPr="004C7ECA">
        <w:rPr>
          <w:rFonts w:ascii="Arial" w:hAnsi="Arial" w:cs="Arial"/>
        </w:rPr>
        <w:t xml:space="preserve"> are essential for managing the longitudinal data collection, overseeing algorithmic adherence, and ensuring communication between the computational models and the direct care team </w:t>
      </w:r>
      <w:hyperlink r:id="rId98" w:anchor="6b5e02047a1f370fbdbb1d1dcbb2f15c_ref" w:history="1">
        <w:r w:rsidRPr="004C7ECA">
          <w:rPr>
            <w:rStyle w:val="Hyperlink"/>
            <w:rFonts w:ascii="Arial" w:hAnsi="Arial" w:cs="Arial"/>
          </w:rPr>
          <w:t>(</w:t>
        </w:r>
        <w:proofErr w:type="spellStart"/>
        <w:r w:rsidRPr="004C7ECA">
          <w:rPr>
            <w:rStyle w:val="Hyperlink"/>
            <w:rFonts w:ascii="Arial" w:hAnsi="Arial" w:cs="Arial"/>
          </w:rPr>
          <w:t>Boag</w:t>
        </w:r>
        <w:proofErr w:type="spellEnd"/>
        <w:r w:rsidRPr="004C7ECA">
          <w:rPr>
            <w:rStyle w:val="Hyperlink"/>
            <w:rFonts w:ascii="Arial" w:hAnsi="Arial" w:cs="Arial"/>
          </w:rPr>
          <w:t xml:space="preserve"> et al., 2024)</w:t>
        </w:r>
      </w:hyperlink>
      <w:r w:rsidRPr="004C7ECA">
        <w:rPr>
          <w:rFonts w:ascii="Arial" w:hAnsi="Arial" w:cs="Arial"/>
        </w:rPr>
        <w:t xml:space="preserve">. The success of operationalizing the ODTR </w:t>
      </w:r>
      <w:r w:rsidRPr="004C7ECA">
        <w:rPr>
          <w:rFonts w:ascii="Arial" w:hAnsi="Arial" w:cs="Arial"/>
        </w:rPr>
        <w:lastRenderedPageBreak/>
        <w:t>framework relies less on the complexity of the algorithm and more on the organizational capacity to integrate and act upon its dynamic recommendations.</w:t>
      </w:r>
    </w:p>
    <w:p w14:paraId="25A0A78B" w14:textId="77777777" w:rsidR="00EB2A3C" w:rsidRDefault="00EB2A3C" w:rsidP="004C7ECA">
      <w:pPr>
        <w:pStyle w:val="Body"/>
        <w:rPr>
          <w:rFonts w:ascii="Arial" w:hAnsi="Arial" w:cs="Arial"/>
        </w:rPr>
      </w:pPr>
    </w:p>
    <w:p w14:paraId="3CE07D1A" w14:textId="359F5484" w:rsidR="00EB2A3C" w:rsidRDefault="00EB2A3C" w:rsidP="00EB2A3C">
      <w:pPr>
        <w:pStyle w:val="Body"/>
        <w:spacing w:after="0"/>
        <w:rPr>
          <w:rFonts w:ascii="Arial" w:hAnsi="Arial" w:cs="Arial"/>
          <w:b/>
          <w:bCs/>
          <w:sz w:val="24"/>
          <w:szCs w:val="24"/>
        </w:rPr>
      </w:pPr>
      <w:bookmarkStart w:id="38" w:name="_Toc256000133"/>
      <w:r w:rsidRPr="000256AD">
        <w:rPr>
          <w:rFonts w:ascii="Arial" w:hAnsi="Arial" w:cs="Arial"/>
          <w:b/>
          <w:bCs/>
          <w:sz w:val="24"/>
          <w:szCs w:val="24"/>
        </w:rPr>
        <w:t>9. Future Directions</w:t>
      </w:r>
      <w:bookmarkEnd w:id="38"/>
      <w:r w:rsidR="001E7774">
        <w:rPr>
          <w:rFonts w:ascii="Arial" w:hAnsi="Arial" w:cs="Arial"/>
          <w:b/>
          <w:bCs/>
          <w:sz w:val="24"/>
          <w:szCs w:val="24"/>
        </w:rPr>
        <w:t xml:space="preserve"> of </w:t>
      </w:r>
      <w:r w:rsidR="001E7774" w:rsidRPr="001E7774">
        <w:rPr>
          <w:rFonts w:ascii="Arial" w:hAnsi="Arial" w:cs="Arial"/>
          <w:b/>
          <w:bCs/>
          <w:sz w:val="24"/>
          <w:szCs w:val="24"/>
        </w:rPr>
        <w:t>precision neurorehabilitation</w:t>
      </w:r>
    </w:p>
    <w:p w14:paraId="3C7A26FE" w14:textId="77777777" w:rsidR="001E7774" w:rsidRPr="00F722DA" w:rsidRDefault="001E7774" w:rsidP="00EB2A3C">
      <w:pPr>
        <w:pStyle w:val="Body"/>
        <w:spacing w:after="0"/>
        <w:rPr>
          <w:rFonts w:ascii="Arial" w:hAnsi="Arial" w:cs="Arial"/>
          <w:b/>
          <w:bCs/>
          <w:i/>
          <w:iCs/>
        </w:rPr>
      </w:pPr>
    </w:p>
    <w:p w14:paraId="0B2C2C56" w14:textId="77777777" w:rsidR="00EB2A3C" w:rsidRPr="004C7ECA" w:rsidRDefault="00EB2A3C" w:rsidP="00EB2A3C">
      <w:pPr>
        <w:pStyle w:val="Body"/>
        <w:rPr>
          <w:rFonts w:ascii="Arial" w:hAnsi="Arial" w:cs="Arial"/>
        </w:rPr>
      </w:pPr>
      <w:r w:rsidRPr="004C7ECA">
        <w:rPr>
          <w:rFonts w:ascii="Arial" w:hAnsi="Arial" w:cs="Arial"/>
        </w:rPr>
        <w:t>The next decade in precision neurorehabilitation will be defined by the maturation and fusion of currently nascent technologies, leading to genuinely neuroadaptive systems.</w:t>
      </w:r>
    </w:p>
    <w:p w14:paraId="38AD8335" w14:textId="77777777" w:rsidR="00EB2A3C" w:rsidRPr="000256AD" w:rsidRDefault="00EB2A3C" w:rsidP="00EB2A3C">
      <w:pPr>
        <w:pStyle w:val="Body"/>
        <w:spacing w:after="0"/>
        <w:rPr>
          <w:rFonts w:ascii="Arial" w:hAnsi="Arial" w:cs="Arial"/>
          <w:b/>
          <w:bCs/>
          <w:sz w:val="22"/>
          <w:szCs w:val="22"/>
        </w:rPr>
      </w:pPr>
      <w:bookmarkStart w:id="39" w:name="_Toc256000134"/>
      <w:r w:rsidRPr="000256AD">
        <w:rPr>
          <w:rFonts w:ascii="Arial" w:hAnsi="Arial" w:cs="Arial"/>
          <w:b/>
          <w:bCs/>
          <w:sz w:val="22"/>
          <w:szCs w:val="22"/>
        </w:rPr>
        <w:t>9.1 Hybrid Physiotherapy–AI Intervention Systems</w:t>
      </w:r>
      <w:bookmarkEnd w:id="39"/>
    </w:p>
    <w:p w14:paraId="738F6949" w14:textId="77777777" w:rsidR="00EB2A3C" w:rsidRPr="00F722DA" w:rsidRDefault="00EB2A3C" w:rsidP="00EB2A3C">
      <w:pPr>
        <w:pStyle w:val="Body"/>
        <w:spacing w:after="0"/>
        <w:rPr>
          <w:rFonts w:ascii="Arial" w:hAnsi="Arial" w:cs="Arial"/>
          <w:b/>
          <w:bCs/>
        </w:rPr>
      </w:pPr>
    </w:p>
    <w:p w14:paraId="5FC6F7F9" w14:textId="77777777" w:rsidR="00EB2A3C" w:rsidRPr="004C7ECA" w:rsidRDefault="00EB2A3C" w:rsidP="00EB2A3C">
      <w:pPr>
        <w:pStyle w:val="Body"/>
        <w:rPr>
          <w:rFonts w:ascii="Arial" w:hAnsi="Arial" w:cs="Arial"/>
        </w:rPr>
      </w:pPr>
      <w:r w:rsidRPr="004C7ECA">
        <w:rPr>
          <w:rFonts w:ascii="Arial" w:hAnsi="Arial" w:cs="Arial"/>
        </w:rPr>
        <w:t>Future clinical settings will feature hybrid intervention systems where the physiotherapist acts as a "neuro-modulator." The clinician will guide the functional practice using robotics, functional electrical stimulation (FES), or non-invasive brain stimulation (NIBS), while AI provides instantaneous, adaptive feedback on the patient's neural state (via EEG/fMRI) and performance (via kinematics). This allows the therapist to dynamically adjust parameters—such as force, frequency, or task difficulty—in real-time, ensuring that the intervention remains within the individual's zone of maximum plasticity.</w:t>
      </w:r>
    </w:p>
    <w:p w14:paraId="6F23FF5E" w14:textId="77777777" w:rsidR="00EB2A3C" w:rsidRPr="000256AD" w:rsidRDefault="00EB2A3C" w:rsidP="00EB2A3C">
      <w:pPr>
        <w:pStyle w:val="Body"/>
        <w:spacing w:after="0"/>
        <w:rPr>
          <w:rFonts w:ascii="Arial" w:hAnsi="Arial" w:cs="Arial"/>
          <w:b/>
          <w:bCs/>
          <w:sz w:val="22"/>
          <w:szCs w:val="22"/>
        </w:rPr>
      </w:pPr>
      <w:bookmarkStart w:id="40" w:name="_Toc256000135"/>
      <w:r w:rsidRPr="000256AD">
        <w:rPr>
          <w:rFonts w:ascii="Arial" w:hAnsi="Arial" w:cs="Arial"/>
          <w:b/>
          <w:bCs/>
          <w:sz w:val="22"/>
          <w:szCs w:val="22"/>
        </w:rPr>
        <w:t>9.2 Role of Brain-Computer Interfaces in Precision Dosing</w:t>
      </w:r>
      <w:bookmarkEnd w:id="40"/>
    </w:p>
    <w:p w14:paraId="5308B946" w14:textId="77777777" w:rsidR="00EB2A3C" w:rsidRPr="004C7ECA" w:rsidRDefault="00EB2A3C" w:rsidP="00EB2A3C">
      <w:pPr>
        <w:pStyle w:val="Body"/>
        <w:rPr>
          <w:rFonts w:ascii="Arial" w:hAnsi="Arial" w:cs="Arial"/>
        </w:rPr>
      </w:pPr>
      <w:r w:rsidRPr="004C7ECA">
        <w:rPr>
          <w:rFonts w:ascii="Arial" w:hAnsi="Arial" w:cs="Arial"/>
        </w:rPr>
        <w:t>Brain-Computer Interfaces (BCIs) are a core component of future precision dosing, offering a path to restoring independence for people living with paralysis. Recent advancements in BCI technology, particularly the development of non-penetrating designs (such as the Layer 7 Cortical Interface), address significant previous concerns related to surgical invasiveness, safety, and scalability</w:t>
      </w:r>
      <w:hyperlink r:id="rId99" w:anchor="ca652a30f3ba3d20a187e658db037a6e_ref" w:history="1">
        <w:r w:rsidRPr="004C7ECA">
          <w:rPr>
            <w:rStyle w:val="Hyperlink"/>
            <w:rFonts w:ascii="Arial" w:hAnsi="Arial" w:cs="Arial"/>
          </w:rPr>
          <w:t xml:space="preserve">(Angulo Medina et al., 2024; </w:t>
        </w:r>
        <w:proofErr w:type="spellStart"/>
        <w:r w:rsidRPr="004C7ECA">
          <w:rPr>
            <w:rStyle w:val="Hyperlink"/>
            <w:rFonts w:ascii="Arial" w:hAnsi="Arial" w:cs="Arial"/>
          </w:rPr>
          <w:t>Jin</w:t>
        </w:r>
        <w:proofErr w:type="spellEnd"/>
        <w:r w:rsidRPr="004C7ECA">
          <w:rPr>
            <w:rStyle w:val="Hyperlink"/>
            <w:rFonts w:ascii="Arial" w:hAnsi="Arial" w:cs="Arial"/>
          </w:rPr>
          <w:t xml:space="preserve"> et al., 2024)</w:t>
        </w:r>
      </w:hyperlink>
      <w:r w:rsidRPr="004C7ECA">
        <w:rPr>
          <w:rFonts w:ascii="Arial" w:hAnsi="Arial" w:cs="Arial"/>
        </w:rPr>
        <w:t xml:space="preserve">. The investment and acceleration of this field, supported by specialist venture funds focusing on paralysis, are hastening the translation of BCI from laboratory demonstrations to real-world clinical impact. BCIs, especially when combined with robotics, facilitate closed-loop feedback, allowing the system to verify that the patient’s motor intent is successfully translating into the desired mechanical output and driving associated </w:t>
      </w:r>
      <w:proofErr w:type="spellStart"/>
      <w:r w:rsidRPr="004C7ECA">
        <w:rPr>
          <w:rFonts w:ascii="Arial" w:hAnsi="Arial" w:cs="Arial"/>
        </w:rPr>
        <w:t>ipsilesional</w:t>
      </w:r>
      <w:proofErr w:type="spellEnd"/>
      <w:r w:rsidRPr="004C7ECA">
        <w:rPr>
          <w:rFonts w:ascii="Arial" w:hAnsi="Arial" w:cs="Arial"/>
        </w:rPr>
        <w:t xml:space="preserve"> neuroplasticity </w:t>
      </w:r>
      <w:hyperlink r:id="rId100" w:anchor="4392397ee0473f9cbecdb872f5c87d22_ref" w:history="1">
        <w:r w:rsidRPr="004C7ECA">
          <w:rPr>
            <w:rStyle w:val="Hyperlink"/>
            <w:rFonts w:ascii="Arial" w:hAnsi="Arial" w:cs="Arial"/>
          </w:rPr>
          <w:t>(</w:t>
        </w:r>
        <w:proofErr w:type="spellStart"/>
        <w:r w:rsidRPr="004C7ECA">
          <w:rPr>
            <w:rStyle w:val="Hyperlink"/>
            <w:rFonts w:ascii="Arial" w:hAnsi="Arial" w:cs="Arial"/>
          </w:rPr>
          <w:t>Cantillo</w:t>
        </w:r>
        <w:proofErr w:type="spellEnd"/>
        <w:r w:rsidRPr="004C7ECA">
          <w:rPr>
            <w:rStyle w:val="Hyperlink"/>
            <w:rFonts w:ascii="Arial" w:hAnsi="Arial" w:cs="Arial"/>
          </w:rPr>
          <w:t>-Negrete et al., 2025)</w:t>
        </w:r>
      </w:hyperlink>
      <w:r w:rsidRPr="004C7ECA">
        <w:rPr>
          <w:rFonts w:ascii="Arial" w:hAnsi="Arial" w:cs="Arial"/>
        </w:rPr>
        <w:t>.</w:t>
      </w:r>
    </w:p>
    <w:p w14:paraId="10B8A3A6" w14:textId="77777777" w:rsidR="00EB2A3C" w:rsidRPr="000256AD" w:rsidRDefault="00EB2A3C" w:rsidP="00EB2A3C">
      <w:pPr>
        <w:pStyle w:val="Body"/>
        <w:spacing w:after="0"/>
        <w:rPr>
          <w:rFonts w:ascii="Arial" w:hAnsi="Arial" w:cs="Arial"/>
          <w:b/>
          <w:bCs/>
          <w:sz w:val="22"/>
          <w:szCs w:val="22"/>
        </w:rPr>
      </w:pPr>
      <w:bookmarkStart w:id="41" w:name="_Toc256000136"/>
      <w:r w:rsidRPr="000256AD">
        <w:rPr>
          <w:rFonts w:ascii="Arial" w:hAnsi="Arial" w:cs="Arial"/>
          <w:b/>
          <w:bCs/>
          <w:sz w:val="22"/>
          <w:szCs w:val="22"/>
        </w:rPr>
        <w:t xml:space="preserve">9.3 Integration of Robotics + </w:t>
      </w:r>
      <w:proofErr w:type="spellStart"/>
      <w:r w:rsidRPr="000256AD">
        <w:rPr>
          <w:rFonts w:ascii="Arial" w:hAnsi="Arial" w:cs="Arial"/>
          <w:b/>
          <w:bCs/>
          <w:sz w:val="22"/>
          <w:szCs w:val="22"/>
        </w:rPr>
        <w:t>Neurogenomics</w:t>
      </w:r>
      <w:bookmarkEnd w:id="41"/>
      <w:proofErr w:type="spellEnd"/>
    </w:p>
    <w:p w14:paraId="166ADC64" w14:textId="77777777" w:rsidR="00EB2A3C" w:rsidRPr="004C7ECA" w:rsidRDefault="00EB2A3C" w:rsidP="00EB2A3C">
      <w:pPr>
        <w:pStyle w:val="Body"/>
        <w:rPr>
          <w:rFonts w:ascii="Arial" w:hAnsi="Arial" w:cs="Arial"/>
        </w:rPr>
      </w:pPr>
      <w:r w:rsidRPr="004C7ECA">
        <w:rPr>
          <w:rFonts w:ascii="Arial" w:hAnsi="Arial" w:cs="Arial"/>
        </w:rPr>
        <w:t xml:space="preserve">The future will see a tighter integration of robotic rehabilitation with </w:t>
      </w:r>
      <w:proofErr w:type="spellStart"/>
      <w:r w:rsidRPr="004C7ECA">
        <w:rPr>
          <w:rFonts w:ascii="Arial" w:hAnsi="Arial" w:cs="Arial"/>
        </w:rPr>
        <w:t>neurogenomic</w:t>
      </w:r>
      <w:proofErr w:type="spellEnd"/>
      <w:r w:rsidRPr="004C7ECA">
        <w:rPr>
          <w:rFonts w:ascii="Arial" w:hAnsi="Arial" w:cs="Arial"/>
        </w:rPr>
        <w:t xml:space="preserve"> data. For example, knowing a patient's BDNF Val66Met status can inform the optimal intensity or dosing schedule of high-repetition robotic training (e.g., using robotics to maximize walking function in an MS patient) </w:t>
      </w:r>
      <w:hyperlink r:id="rId101" w:anchor="820f17078b533748a7d5efb1785dfa21_ref" w:history="1">
        <w:r w:rsidRPr="004C7ECA">
          <w:rPr>
            <w:rStyle w:val="Hyperlink"/>
            <w:rFonts w:ascii="Arial" w:hAnsi="Arial" w:cs="Arial"/>
          </w:rPr>
          <w:t>(Giordano et al., 2022)</w:t>
        </w:r>
      </w:hyperlink>
      <w:r w:rsidRPr="004C7ECA">
        <w:rPr>
          <w:rFonts w:ascii="Arial" w:hAnsi="Arial" w:cs="Arial"/>
        </w:rPr>
        <w:t xml:space="preserve">. </w:t>
      </w:r>
      <w:proofErr w:type="spellStart"/>
      <w:r w:rsidRPr="004C7ECA">
        <w:rPr>
          <w:rFonts w:ascii="Arial" w:hAnsi="Arial" w:cs="Arial"/>
        </w:rPr>
        <w:t>Neurogenomic</w:t>
      </w:r>
      <w:proofErr w:type="spellEnd"/>
      <w:r w:rsidRPr="004C7ECA">
        <w:rPr>
          <w:rFonts w:ascii="Arial" w:hAnsi="Arial" w:cs="Arial"/>
        </w:rPr>
        <w:t xml:space="preserve"> data provides the baseline capacity, while robotics provides the high-intensity, controlled platform required to test and train that capacity maximally.</w:t>
      </w:r>
    </w:p>
    <w:p w14:paraId="1C95ADF0" w14:textId="77777777" w:rsidR="00EB2A3C" w:rsidRPr="000256AD" w:rsidRDefault="00EB2A3C" w:rsidP="00EB2A3C">
      <w:pPr>
        <w:pStyle w:val="Body"/>
        <w:spacing w:after="0"/>
        <w:rPr>
          <w:rFonts w:ascii="Arial" w:hAnsi="Arial" w:cs="Arial"/>
          <w:b/>
          <w:bCs/>
          <w:sz w:val="22"/>
          <w:szCs w:val="22"/>
        </w:rPr>
      </w:pPr>
      <w:bookmarkStart w:id="42" w:name="_Toc256000137"/>
      <w:r w:rsidRPr="000256AD">
        <w:rPr>
          <w:rFonts w:ascii="Arial" w:hAnsi="Arial" w:cs="Arial"/>
          <w:b/>
          <w:bCs/>
          <w:sz w:val="22"/>
          <w:szCs w:val="22"/>
        </w:rPr>
        <w:t>9.4 Longitudinal Digital Phenotyping Pipelines</w:t>
      </w:r>
      <w:bookmarkEnd w:id="42"/>
    </w:p>
    <w:p w14:paraId="353EA036" w14:textId="77777777" w:rsidR="00EB2A3C" w:rsidRPr="004C7ECA" w:rsidRDefault="00EB2A3C" w:rsidP="00EB2A3C">
      <w:pPr>
        <w:pStyle w:val="Body"/>
        <w:rPr>
          <w:rFonts w:ascii="Arial" w:hAnsi="Arial" w:cs="Arial"/>
        </w:rPr>
      </w:pPr>
      <w:r w:rsidRPr="004C7ECA">
        <w:rPr>
          <w:rFonts w:ascii="Arial" w:hAnsi="Arial" w:cs="Arial"/>
        </w:rPr>
        <w:t>Moving beyond single-session clinical measurements, longitudinal digital phenotyping pipelines will provide continuous, high-resolution monitoring of environmental, physiological (e.g., stress, sleep), and behavioral factors (adherence, real-world function). These continuous data streams are vital for continuously updating the Digital Twin, ensuring that the ODTR remains optimal as the patient's recovery potential and environmental context inevitably change over time.</w:t>
      </w:r>
    </w:p>
    <w:p w14:paraId="3E951128" w14:textId="77777777" w:rsidR="00EB2A3C" w:rsidRPr="000256AD" w:rsidRDefault="00EB2A3C" w:rsidP="00EB2A3C">
      <w:pPr>
        <w:pStyle w:val="Body"/>
        <w:spacing w:after="0"/>
        <w:rPr>
          <w:rFonts w:ascii="Arial" w:hAnsi="Arial" w:cs="Arial"/>
          <w:b/>
          <w:bCs/>
          <w:sz w:val="22"/>
          <w:szCs w:val="22"/>
        </w:rPr>
      </w:pPr>
      <w:bookmarkStart w:id="43" w:name="_Toc256000138"/>
      <w:r w:rsidRPr="000256AD">
        <w:rPr>
          <w:rFonts w:ascii="Arial" w:hAnsi="Arial" w:cs="Arial"/>
          <w:b/>
          <w:bCs/>
          <w:sz w:val="22"/>
          <w:szCs w:val="22"/>
        </w:rPr>
        <w:t>9.5 Toward Real-Time Neuroadaptive Rehabilitation</w:t>
      </w:r>
      <w:bookmarkEnd w:id="43"/>
    </w:p>
    <w:p w14:paraId="77C007B1" w14:textId="6991EF58" w:rsidR="00EB2A3C" w:rsidRDefault="00EB2A3C" w:rsidP="00EB2A3C">
      <w:pPr>
        <w:pStyle w:val="Body"/>
        <w:rPr>
          <w:rFonts w:ascii="Arial" w:hAnsi="Arial" w:cs="Arial"/>
        </w:rPr>
      </w:pPr>
      <w:r w:rsidRPr="004C7ECA">
        <w:rPr>
          <w:rFonts w:ascii="Arial" w:hAnsi="Arial" w:cs="Arial"/>
        </w:rPr>
        <w:t xml:space="preserve">The ultimate goal is the establishment of real-time, neuroadaptive rehabilitation systems. This involves systems capable of dynamically adjusting therapeutic parameters in </w:t>
      </w:r>
      <w:r w:rsidRPr="004C7ECA">
        <w:rPr>
          <w:rFonts w:ascii="Arial" w:hAnsi="Arial" w:cs="Arial"/>
        </w:rPr>
        <w:lastRenderedPageBreak/>
        <w:t>milliseconds based on measured, transient neural states (e.g., identifying the phase of an oscillatory rhythm via EEG and applying NIBS only during the optimal phase). Such systems require: (1) highly robust multimodal data fusion; (2) AI models capable of ultralow-latency prediction; and (3) addressing the fundamental ethical challenges of continuous neural data processing and autonomous, real-time control</w:t>
      </w:r>
      <w:hyperlink r:id="rId102" w:anchor="dc945d1d111a3c12b63bbeb55ecfdf30_ref" w:history="1">
        <w:r w:rsidRPr="004C7ECA">
          <w:rPr>
            <w:rStyle w:val="Hyperlink"/>
            <w:rFonts w:ascii="Arial" w:hAnsi="Arial" w:cs="Arial"/>
          </w:rPr>
          <w:t>(Haag et al., 2025)</w:t>
        </w:r>
      </w:hyperlink>
      <w:r w:rsidRPr="004C7ECA">
        <w:rPr>
          <w:rFonts w:ascii="Arial" w:hAnsi="Arial" w:cs="Arial"/>
        </w:rPr>
        <w:t>.</w:t>
      </w:r>
    </w:p>
    <w:p w14:paraId="442115CF" w14:textId="77777777" w:rsidR="00FF555E" w:rsidRPr="000256AD" w:rsidRDefault="00FF555E" w:rsidP="00FF555E">
      <w:pPr>
        <w:pStyle w:val="Body"/>
        <w:spacing w:after="0"/>
        <w:rPr>
          <w:rFonts w:ascii="Arial" w:hAnsi="Arial" w:cs="Arial"/>
          <w:b/>
          <w:bCs/>
          <w:sz w:val="24"/>
          <w:szCs w:val="24"/>
        </w:rPr>
      </w:pPr>
      <w:bookmarkStart w:id="44" w:name="_Toc256000139"/>
      <w:r w:rsidRPr="000256AD">
        <w:rPr>
          <w:rFonts w:ascii="Arial" w:hAnsi="Arial" w:cs="Arial"/>
          <w:b/>
          <w:bCs/>
          <w:sz w:val="24"/>
          <w:szCs w:val="24"/>
        </w:rPr>
        <w:t>10. Conclusion</w:t>
      </w:r>
      <w:bookmarkEnd w:id="44"/>
    </w:p>
    <w:p w14:paraId="444E855C" w14:textId="77777777" w:rsidR="00FF555E" w:rsidRPr="004C7ECA" w:rsidRDefault="00FF555E" w:rsidP="00FF555E">
      <w:pPr>
        <w:pStyle w:val="Body"/>
        <w:rPr>
          <w:rFonts w:ascii="Arial" w:hAnsi="Arial" w:cs="Arial"/>
        </w:rPr>
      </w:pPr>
      <w:r w:rsidRPr="004C7ECA">
        <w:rPr>
          <w:rFonts w:ascii="Arial" w:hAnsi="Arial" w:cs="Arial"/>
        </w:rPr>
        <w:t>Precision Neurorehabilitation represents the inevitable future of recovery science, driven by the recognition that heterogeneity in CNS injury and recovery mechanisms necessitates individualized therapeutic strategies. The successful integration of three synergistic pillars—neurobiological biomarkers, advanced neuroimaging, and computational intelligence—is collectively unlocking the potential for truly adaptive and individualized care.</w:t>
      </w:r>
    </w:p>
    <w:p w14:paraId="135EE820" w14:textId="77777777" w:rsidR="00FF555E" w:rsidRPr="004C7ECA" w:rsidRDefault="00FF555E" w:rsidP="00FF555E">
      <w:pPr>
        <w:pStyle w:val="Body"/>
        <w:rPr>
          <w:rFonts w:ascii="Arial" w:hAnsi="Arial" w:cs="Arial"/>
        </w:rPr>
      </w:pPr>
      <w:r w:rsidRPr="004C7ECA">
        <w:rPr>
          <w:rFonts w:ascii="Arial" w:hAnsi="Arial" w:cs="Arial"/>
        </w:rPr>
        <w:t xml:space="preserve">Biomarkers, from the high-temporal fidelity of EEG/ERPs to the structural insights of DTI and the context-specific power of </w:t>
      </w:r>
      <w:proofErr w:type="gramStart"/>
      <w:r w:rsidRPr="004C7ECA">
        <w:rPr>
          <w:rFonts w:ascii="Arial" w:hAnsi="Arial" w:cs="Arial"/>
        </w:rPr>
        <w:t>genomics ,</w:t>
      </w:r>
      <w:proofErr w:type="gramEnd"/>
      <w:r w:rsidRPr="004C7ECA">
        <w:rPr>
          <w:rFonts w:ascii="Arial" w:hAnsi="Arial" w:cs="Arial"/>
        </w:rPr>
        <w:t xml:space="preserve"> provide the multi-scale data inputs. Artificial intelligence, through the formulation of causal models, transforms these inputs into actionable therapeutic strategies embodied by the Optimal Dynamic Treatment Regimen (ODTR) and the personalized Digital Twin </w:t>
      </w:r>
      <w:hyperlink r:id="rId103" w:anchor="6b5ae4e4f0ab32e09edf25dff830e23d_ref" w:history="1">
        <w:r w:rsidRPr="004C7ECA">
          <w:rPr>
            <w:rStyle w:val="Hyperlink"/>
            <w:rFonts w:ascii="Arial" w:hAnsi="Arial" w:cs="Arial"/>
          </w:rPr>
          <w:t xml:space="preserve">(Cotton et al., 2024; Giordano et al., 2022; </w:t>
        </w:r>
        <w:proofErr w:type="spellStart"/>
        <w:r w:rsidRPr="004C7ECA">
          <w:rPr>
            <w:rStyle w:val="Hyperlink"/>
            <w:rFonts w:ascii="Arial" w:hAnsi="Arial" w:cs="Arial"/>
          </w:rPr>
          <w:t>Meghdadi</w:t>
        </w:r>
        <w:proofErr w:type="spellEnd"/>
        <w:r w:rsidRPr="004C7ECA">
          <w:rPr>
            <w:rStyle w:val="Hyperlink"/>
            <w:rFonts w:ascii="Arial" w:hAnsi="Arial" w:cs="Arial"/>
          </w:rPr>
          <w:t xml:space="preserve"> et al., 2024)</w:t>
        </w:r>
      </w:hyperlink>
      <w:r w:rsidRPr="004C7ECA">
        <w:rPr>
          <w:rFonts w:ascii="Arial" w:hAnsi="Arial" w:cs="Arial"/>
        </w:rPr>
        <w:t>. This computational approach marks a critical transition from descriptive prediction to active, prescriptive engineering of neuroplasticity.</w:t>
      </w:r>
    </w:p>
    <w:p w14:paraId="3AFBD4F7" w14:textId="77777777" w:rsidR="00FF555E" w:rsidRPr="004C7ECA" w:rsidRDefault="00FF555E" w:rsidP="00FF555E">
      <w:pPr>
        <w:pStyle w:val="Body"/>
        <w:rPr>
          <w:rFonts w:ascii="Arial" w:hAnsi="Arial" w:cs="Arial"/>
        </w:rPr>
      </w:pPr>
      <w:r w:rsidRPr="004C7ECA">
        <w:rPr>
          <w:rFonts w:ascii="Arial" w:hAnsi="Arial" w:cs="Arial"/>
        </w:rPr>
        <w:t xml:space="preserve">The field must urgently address the critical translational and ethical challenges identified. Methodological rigor demands the adoption of unified multimodal research frameworks, alongside mandatory use of intervention specification systems (e.g., RTSS) to ensure data quality for computational training </w:t>
      </w:r>
      <w:hyperlink r:id="rId104" w:anchor="075f33d68da93ecda8dc1249987ac877_ref" w:history="1">
        <w:r w:rsidRPr="004C7ECA">
          <w:rPr>
            <w:rStyle w:val="Hyperlink"/>
            <w:rFonts w:ascii="Arial" w:hAnsi="Arial" w:cs="Arial"/>
          </w:rPr>
          <w:t xml:space="preserve">(Cotton et al., 2024; </w:t>
        </w:r>
        <w:proofErr w:type="spellStart"/>
        <w:r w:rsidRPr="004C7ECA">
          <w:rPr>
            <w:rStyle w:val="Hyperlink"/>
            <w:rFonts w:ascii="Arial" w:hAnsi="Arial" w:cs="Arial"/>
          </w:rPr>
          <w:t>Gkintoni</w:t>
        </w:r>
        <w:proofErr w:type="spellEnd"/>
        <w:r w:rsidRPr="004C7ECA">
          <w:rPr>
            <w:rStyle w:val="Hyperlink"/>
            <w:rFonts w:ascii="Arial" w:hAnsi="Arial" w:cs="Arial"/>
          </w:rPr>
          <w:t xml:space="preserve"> &amp; </w:t>
        </w:r>
        <w:proofErr w:type="spellStart"/>
        <w:r w:rsidRPr="004C7ECA">
          <w:rPr>
            <w:rStyle w:val="Hyperlink"/>
            <w:rFonts w:ascii="Arial" w:hAnsi="Arial" w:cs="Arial"/>
          </w:rPr>
          <w:t>Halkiopoulos</w:t>
        </w:r>
        <w:proofErr w:type="spellEnd"/>
        <w:r w:rsidRPr="004C7ECA">
          <w:rPr>
            <w:rStyle w:val="Hyperlink"/>
            <w:rFonts w:ascii="Arial" w:hAnsi="Arial" w:cs="Arial"/>
          </w:rPr>
          <w:t>, 2025; Haag et al., 2025)</w:t>
        </w:r>
      </w:hyperlink>
      <w:r w:rsidRPr="004C7ECA">
        <w:rPr>
          <w:rFonts w:ascii="Arial" w:hAnsi="Arial" w:cs="Arial"/>
        </w:rPr>
        <w:t>. Ethically, researchers and clinicians must move beyond mere regulatory compliance to engage in reflexive ethical assessment of closed-loop systems, proactively mitigating algorithmic bias and safeguarding patient autonomy, particularly regarding neural data.</w:t>
      </w:r>
    </w:p>
    <w:p w14:paraId="6A25CA31" w14:textId="77777777" w:rsidR="00FF555E" w:rsidRDefault="00FF555E" w:rsidP="00FF555E">
      <w:pPr>
        <w:pStyle w:val="Body"/>
        <w:rPr>
          <w:rFonts w:ascii="Arial" w:hAnsi="Arial" w:cs="Arial"/>
        </w:rPr>
      </w:pPr>
      <w:r w:rsidRPr="004C7ECA">
        <w:rPr>
          <w:rFonts w:ascii="Arial" w:hAnsi="Arial" w:cs="Arial"/>
        </w:rPr>
        <w:t>The vision for the next decade is the equitable and mechanism-driven deployment of neuroadaptive systems. By fusing advanced BCIs and robotics with continuously updated digital phenotypes, neurorehabilitation will transition from the reactive management of disability to the proactive, personalized optimization of functional recovery potential.</w:t>
      </w:r>
    </w:p>
    <w:p w14:paraId="6F33041E" w14:textId="1331F7D3" w:rsidR="009A38C9" w:rsidRDefault="009A38C9" w:rsidP="0027376F">
      <w:pPr>
        <w:spacing w:after="200" w:line="276" w:lineRule="auto"/>
        <w:rPr>
          <w:rFonts w:asciiTheme="minorHAnsi" w:eastAsiaTheme="minorEastAsia" w:hAnsiTheme="minorHAnsi" w:cstheme="minorBidi"/>
          <w:sz w:val="22"/>
          <w:szCs w:val="22"/>
          <w:lang w:val="en-GB" w:eastAsia="en-GB"/>
        </w:rPr>
      </w:pPr>
    </w:p>
    <w:p w14:paraId="4E466D24" w14:textId="77777777" w:rsidR="009A38C9" w:rsidRPr="001E7774" w:rsidRDefault="009A38C9" w:rsidP="009A38C9">
      <w:pPr>
        <w:rPr>
          <w:rFonts w:ascii="Calibri" w:eastAsia="Calibri" w:hAnsi="Calibri"/>
          <w:b/>
          <w:kern w:val="2"/>
          <w:highlight w:val="yellow"/>
        </w:rPr>
      </w:pPr>
      <w:bookmarkStart w:id="45" w:name="_Hlk204003461"/>
      <w:bookmarkStart w:id="46" w:name="_Hlk213070710"/>
      <w:r w:rsidRPr="001E7774">
        <w:rPr>
          <w:rFonts w:ascii="Calibri" w:eastAsia="Calibri" w:hAnsi="Calibri"/>
          <w:b/>
          <w:kern w:val="2"/>
          <w:highlight w:val="yellow"/>
        </w:rPr>
        <w:t>Disclaimer (Artificial intelligence)</w:t>
      </w:r>
    </w:p>
    <w:p w14:paraId="7ED5DBCF" w14:textId="77777777" w:rsidR="009A38C9" w:rsidRDefault="009A38C9" w:rsidP="009A38C9">
      <w:pPr>
        <w:rPr>
          <w:rFonts w:ascii="Calibri" w:eastAsia="Calibri" w:hAnsi="Calibri"/>
          <w:kern w:val="2"/>
          <w:highlight w:val="yellow"/>
        </w:rPr>
      </w:pPr>
      <w:r>
        <w:rPr>
          <w:rFonts w:ascii="Calibri" w:eastAsia="Calibri" w:hAnsi="Calibri"/>
          <w:kern w:val="2"/>
          <w:highlight w:val="yellow"/>
        </w:rPr>
        <w:t>Option 1:</w:t>
      </w:r>
    </w:p>
    <w:p w14:paraId="6D5E9D51" w14:textId="77777777" w:rsidR="009A38C9" w:rsidRDefault="009A38C9" w:rsidP="009A38C9">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14:paraId="61C615D9" w14:textId="77777777" w:rsidR="009A38C9" w:rsidRDefault="009A38C9" w:rsidP="009A38C9">
      <w:pPr>
        <w:rPr>
          <w:rFonts w:ascii="Calibri" w:eastAsia="Calibri" w:hAnsi="Calibri"/>
          <w:kern w:val="2"/>
          <w:highlight w:val="yellow"/>
        </w:rPr>
      </w:pPr>
      <w:r>
        <w:rPr>
          <w:rFonts w:ascii="Calibri" w:eastAsia="Calibri" w:hAnsi="Calibri"/>
          <w:kern w:val="2"/>
          <w:highlight w:val="yellow"/>
        </w:rPr>
        <w:t xml:space="preserve">Option 2: </w:t>
      </w:r>
    </w:p>
    <w:p w14:paraId="0741158E" w14:textId="77777777" w:rsidR="009A38C9" w:rsidRDefault="009A38C9" w:rsidP="009A38C9">
      <w:pPr>
        <w:rPr>
          <w:rFonts w:ascii="Calibri" w:eastAsia="Calibri" w:hAnsi="Calibri"/>
          <w:kern w:val="2"/>
          <w:highlight w:val="yellow"/>
        </w:rPr>
      </w:pPr>
      <w:r>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E49564" w14:textId="77777777" w:rsidR="009A38C9" w:rsidRDefault="009A38C9" w:rsidP="009A38C9">
      <w:pPr>
        <w:rPr>
          <w:rFonts w:ascii="Calibri" w:eastAsia="Calibri" w:hAnsi="Calibri"/>
          <w:kern w:val="2"/>
          <w:highlight w:val="yellow"/>
        </w:rPr>
      </w:pPr>
      <w:r>
        <w:rPr>
          <w:rFonts w:ascii="Calibri" w:eastAsia="Calibri" w:hAnsi="Calibri"/>
          <w:kern w:val="2"/>
          <w:highlight w:val="yellow"/>
        </w:rPr>
        <w:t>Details of the AI usage are given below:</w:t>
      </w:r>
    </w:p>
    <w:p w14:paraId="6A440EFE" w14:textId="77777777" w:rsidR="009A38C9" w:rsidRDefault="009A38C9" w:rsidP="009A38C9">
      <w:pPr>
        <w:rPr>
          <w:rFonts w:ascii="Calibri" w:eastAsia="Calibri" w:hAnsi="Calibri"/>
          <w:kern w:val="2"/>
          <w:highlight w:val="yellow"/>
        </w:rPr>
      </w:pPr>
      <w:r>
        <w:rPr>
          <w:rFonts w:ascii="Calibri" w:eastAsia="Calibri" w:hAnsi="Calibri"/>
          <w:kern w:val="2"/>
          <w:highlight w:val="yellow"/>
        </w:rPr>
        <w:t>1.</w:t>
      </w:r>
    </w:p>
    <w:p w14:paraId="5000152B" w14:textId="77777777" w:rsidR="009A38C9" w:rsidRDefault="009A38C9" w:rsidP="009A38C9">
      <w:pPr>
        <w:rPr>
          <w:rFonts w:ascii="Calibri" w:eastAsia="Calibri" w:hAnsi="Calibri"/>
          <w:kern w:val="2"/>
          <w:highlight w:val="yellow"/>
        </w:rPr>
      </w:pPr>
      <w:r>
        <w:rPr>
          <w:rFonts w:ascii="Calibri" w:eastAsia="Calibri" w:hAnsi="Calibri"/>
          <w:kern w:val="2"/>
          <w:highlight w:val="yellow"/>
        </w:rPr>
        <w:t>2.</w:t>
      </w:r>
    </w:p>
    <w:p w14:paraId="2E38E5DE" w14:textId="77777777" w:rsidR="009A38C9" w:rsidRDefault="009A38C9" w:rsidP="009A38C9">
      <w:pPr>
        <w:rPr>
          <w:rFonts w:ascii="Calibri" w:eastAsia="Calibri" w:hAnsi="Calibri"/>
          <w:kern w:val="2"/>
          <w:highlight w:val="yellow"/>
        </w:rPr>
      </w:pPr>
      <w:r>
        <w:rPr>
          <w:rFonts w:ascii="Calibri" w:eastAsia="Calibri" w:hAnsi="Calibri"/>
          <w:kern w:val="2"/>
          <w:highlight w:val="yellow"/>
        </w:rPr>
        <w:t>3.</w:t>
      </w:r>
      <w:bookmarkEnd w:id="45"/>
    </w:p>
    <w:bookmarkEnd w:id="46"/>
    <w:p w14:paraId="7EFD161E" w14:textId="77777777" w:rsidR="009A38C9" w:rsidRPr="0027376F" w:rsidRDefault="009A38C9" w:rsidP="0027376F">
      <w:pPr>
        <w:spacing w:after="200" w:line="276" w:lineRule="auto"/>
        <w:rPr>
          <w:rFonts w:asciiTheme="minorHAnsi" w:eastAsiaTheme="minorEastAsia" w:hAnsiTheme="minorHAnsi" w:cstheme="minorBidi"/>
          <w:sz w:val="22"/>
          <w:szCs w:val="22"/>
          <w:lang w:val="en-GB" w:eastAsia="en-GB"/>
        </w:rPr>
      </w:pPr>
    </w:p>
    <w:p w14:paraId="6E4880E9" w14:textId="77777777" w:rsidR="005C784C" w:rsidRPr="002B685A" w:rsidRDefault="005C784C" w:rsidP="00441B6F">
      <w:pPr>
        <w:pStyle w:val="ReferHead"/>
        <w:spacing w:after="0"/>
        <w:jc w:val="both"/>
        <w:rPr>
          <w:rFonts w:ascii="Arial" w:hAnsi="Arial" w:cs="Arial"/>
          <w:bCs/>
        </w:rPr>
      </w:pPr>
    </w:p>
    <w:p w14:paraId="6E86574A" w14:textId="77777777" w:rsidR="00860000" w:rsidRDefault="00860000" w:rsidP="00441B6F">
      <w:pPr>
        <w:pStyle w:val="ReferHead"/>
        <w:spacing w:after="0"/>
        <w:jc w:val="both"/>
        <w:rPr>
          <w:rFonts w:ascii="Arial" w:hAnsi="Arial" w:cs="Arial"/>
        </w:rPr>
      </w:pPr>
    </w:p>
    <w:p w14:paraId="32CF9A6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63709B" w14:textId="77777777" w:rsidR="00790ADA" w:rsidRPr="00FB3A86" w:rsidRDefault="00790ADA" w:rsidP="00441B6F">
      <w:pPr>
        <w:pStyle w:val="ReferHead"/>
        <w:spacing w:after="0"/>
        <w:jc w:val="both"/>
        <w:rPr>
          <w:rFonts w:ascii="Arial" w:hAnsi="Arial" w:cs="Arial"/>
        </w:rPr>
      </w:pPr>
    </w:p>
    <w:p w14:paraId="3EE3C892" w14:textId="3B8045C0" w:rsidR="00FF14F1" w:rsidRPr="00FF14F1" w:rsidRDefault="00FF14F1" w:rsidP="00611A68">
      <w:pPr>
        <w:pStyle w:val="Body"/>
        <w:numPr>
          <w:ilvl w:val="0"/>
          <w:numId w:val="44"/>
        </w:numPr>
      </w:pPr>
      <w:r w:rsidRPr="00FF14F1">
        <w:t xml:space="preserve">Ahmed, Z. (2022). Multi-omics strategies for personalized and predictive medicine: past, current, and future translational opportunities. </w:t>
      </w:r>
      <w:r w:rsidRPr="00FF14F1">
        <w:rPr>
          <w:i/>
          <w:iCs/>
        </w:rPr>
        <w:t>Emerging Topics in Life Sciences</w:t>
      </w:r>
      <w:r w:rsidRPr="00FF14F1">
        <w:t xml:space="preserve">, </w:t>
      </w:r>
      <w:r w:rsidRPr="00FF14F1">
        <w:rPr>
          <w:i/>
          <w:iCs/>
        </w:rPr>
        <w:t>6</w:t>
      </w:r>
      <w:r w:rsidRPr="00FF14F1">
        <w:t xml:space="preserve">(2), 215–225. </w:t>
      </w:r>
      <w:bookmarkStart w:id="47" w:name="258546bde473373297d09ead8ff560f1_ref"/>
      <w:bookmarkEnd w:id="47"/>
      <w:r w:rsidR="00611A68">
        <w:rPr>
          <w:rFonts w:ascii="Arial" w:hAnsi="Arial" w:cs="Arial"/>
          <w:sz w:val="18"/>
          <w:szCs w:val="18"/>
        </w:rPr>
        <w:t>https://doi.org/10.1042/etls20210244</w:t>
      </w:r>
    </w:p>
    <w:p w14:paraId="43924FD9" w14:textId="437BA3D8" w:rsidR="00FF14F1" w:rsidRPr="00FF14F1" w:rsidRDefault="00FF14F1" w:rsidP="00611A68">
      <w:pPr>
        <w:pStyle w:val="Body"/>
        <w:numPr>
          <w:ilvl w:val="0"/>
          <w:numId w:val="44"/>
        </w:numPr>
      </w:pPr>
      <w:bookmarkStart w:id="48" w:name="e5b05e6c7aac309ebe5f1237f69ae7b9_ref"/>
      <w:proofErr w:type="spellStart"/>
      <w:r w:rsidRPr="00FF14F1">
        <w:t>Alrawis</w:t>
      </w:r>
      <w:proofErr w:type="spellEnd"/>
      <w:r w:rsidRPr="00FF14F1">
        <w:t xml:space="preserve">, M., Mohammad, F., &amp; Al-Ahmadi, S. (2024). Bridging Modalities: A Multimodal Machine Learning Approach for Parkinson’s Disease Diagnosis Using EEG and MRI Data. </w:t>
      </w:r>
      <w:r w:rsidRPr="00FF14F1">
        <w:rPr>
          <w:i/>
          <w:iCs/>
        </w:rPr>
        <w:t>Applied Sciences</w:t>
      </w:r>
      <w:r w:rsidRPr="00FF14F1">
        <w:t xml:space="preserve">, </w:t>
      </w:r>
      <w:r w:rsidRPr="00FF14F1">
        <w:rPr>
          <w:i/>
          <w:iCs/>
        </w:rPr>
        <w:t>14</w:t>
      </w:r>
      <w:r w:rsidRPr="00FF14F1">
        <w:t xml:space="preserve">(9), 3883. </w:t>
      </w:r>
      <w:bookmarkEnd w:id="48"/>
      <w:r w:rsidR="00611A68">
        <w:rPr>
          <w:rFonts w:ascii="Arial" w:hAnsi="Arial" w:cs="Arial"/>
          <w:sz w:val="18"/>
          <w:szCs w:val="18"/>
        </w:rPr>
        <w:t>https://doi.org/10.3390/app14093883</w:t>
      </w:r>
    </w:p>
    <w:p w14:paraId="5F0E0442" w14:textId="2E3E68DE" w:rsidR="00FF14F1" w:rsidRPr="00FF14F1" w:rsidRDefault="00FF14F1" w:rsidP="00611A68">
      <w:pPr>
        <w:pStyle w:val="Body"/>
        <w:numPr>
          <w:ilvl w:val="0"/>
          <w:numId w:val="44"/>
        </w:numPr>
      </w:pPr>
      <w:bookmarkStart w:id="49" w:name="f341fe9c99023489b7950e303688cfc1_ref"/>
      <w:r w:rsidRPr="00FF14F1">
        <w:t xml:space="preserve">Angulo Medina, A. S., Aguilar Bonilla, M. I., Rodríguez </w:t>
      </w:r>
      <w:proofErr w:type="spellStart"/>
      <w:r w:rsidRPr="00FF14F1">
        <w:t>Giraldo</w:t>
      </w:r>
      <w:proofErr w:type="spellEnd"/>
      <w:r w:rsidRPr="00FF14F1">
        <w:t xml:space="preserve">, I. D., Montenegro Palacios, J. F., </w:t>
      </w:r>
      <w:proofErr w:type="spellStart"/>
      <w:r w:rsidRPr="00FF14F1">
        <w:t>Cáceres</w:t>
      </w:r>
      <w:proofErr w:type="spellEnd"/>
      <w:r w:rsidRPr="00FF14F1">
        <w:t xml:space="preserve"> Gutiérrez, D. A., &amp; </w:t>
      </w:r>
      <w:proofErr w:type="spellStart"/>
      <w:r w:rsidRPr="00FF14F1">
        <w:t>Liscano</w:t>
      </w:r>
      <w:proofErr w:type="spellEnd"/>
      <w:r w:rsidRPr="00FF14F1">
        <w:t xml:space="preserve">, Y. (2024). Electroencephalography-Based Brain-Computer Interfaces in Rehabilitation: A Bibliometric Analysis (2013-2023). </w:t>
      </w:r>
      <w:r w:rsidRPr="00FF14F1">
        <w:rPr>
          <w:i/>
          <w:iCs/>
        </w:rPr>
        <w:t>Sensors (Basel, Switzerland)</w:t>
      </w:r>
      <w:r w:rsidRPr="00FF14F1">
        <w:t xml:space="preserve">, </w:t>
      </w:r>
      <w:r w:rsidRPr="00FF14F1">
        <w:rPr>
          <w:i/>
          <w:iCs/>
        </w:rPr>
        <w:t>24</w:t>
      </w:r>
      <w:r w:rsidRPr="00FF14F1">
        <w:t xml:space="preserve">(22), </w:t>
      </w:r>
      <w:bookmarkEnd w:id="49"/>
      <w:r w:rsidR="00611A68">
        <w:rPr>
          <w:rFonts w:ascii="Arial" w:hAnsi="Arial" w:cs="Arial"/>
          <w:sz w:val="18"/>
          <w:szCs w:val="18"/>
        </w:rPr>
        <w:t>https://doi.org/10.3390/s24227125</w:t>
      </w:r>
    </w:p>
    <w:p w14:paraId="37C63C4E" w14:textId="77777777" w:rsidR="00FF14F1" w:rsidRPr="00FF14F1" w:rsidRDefault="00FF14F1" w:rsidP="00611A68">
      <w:pPr>
        <w:pStyle w:val="Body"/>
        <w:numPr>
          <w:ilvl w:val="0"/>
          <w:numId w:val="44"/>
        </w:numPr>
      </w:pPr>
      <w:proofErr w:type="spellStart"/>
      <w:r w:rsidRPr="00FF14F1">
        <w:t>Anuyah</w:t>
      </w:r>
      <w:proofErr w:type="spellEnd"/>
      <w:r w:rsidRPr="00FF14F1">
        <w:t xml:space="preserve">, S., Singh, M., &amp; </w:t>
      </w:r>
      <w:proofErr w:type="spellStart"/>
      <w:r w:rsidRPr="00FF14F1">
        <w:t>Nyavor</w:t>
      </w:r>
      <w:proofErr w:type="spellEnd"/>
      <w:r w:rsidRPr="00FF14F1">
        <w:t xml:space="preserve">, H. (2024). Advancing clinical trial outcomes using deep learning and predictive modelling: bridging precision medicine and patient-centered care. </w:t>
      </w:r>
      <w:r w:rsidRPr="00FF14F1">
        <w:rPr>
          <w:i/>
          <w:iCs/>
        </w:rPr>
        <w:t>World Journal of Advanced Research and Reviews</w:t>
      </w:r>
      <w:r w:rsidRPr="00FF14F1">
        <w:t xml:space="preserve">, </w:t>
      </w:r>
      <w:r w:rsidRPr="00FF14F1">
        <w:rPr>
          <w:i/>
          <w:iCs/>
        </w:rPr>
        <w:t>24</w:t>
      </w:r>
      <w:r w:rsidRPr="00FF14F1">
        <w:t>(3), 001–025. https://doi.org/10.30574/wjarr.2024.24.3.3671</w:t>
      </w:r>
      <w:bookmarkStart w:id="50" w:name="204d1bef2eaa3488adc61c0790230247_ref"/>
      <w:bookmarkEnd w:id="50"/>
    </w:p>
    <w:p w14:paraId="4B045E7E" w14:textId="77777777" w:rsidR="00FF14F1" w:rsidRPr="00FF14F1" w:rsidRDefault="00FF14F1" w:rsidP="00611A68">
      <w:pPr>
        <w:pStyle w:val="Body"/>
        <w:numPr>
          <w:ilvl w:val="0"/>
          <w:numId w:val="44"/>
        </w:numPr>
      </w:pPr>
      <w:proofErr w:type="spellStart"/>
      <w:r w:rsidRPr="00FF14F1">
        <w:t>Ashwal</w:t>
      </w:r>
      <w:proofErr w:type="spellEnd"/>
      <w:r w:rsidRPr="00FF14F1">
        <w:t xml:space="preserve">, S., </w:t>
      </w:r>
      <w:proofErr w:type="spellStart"/>
      <w:r w:rsidRPr="00FF14F1">
        <w:t>Bartnik</w:t>
      </w:r>
      <w:proofErr w:type="spellEnd"/>
      <w:r w:rsidRPr="00FF14F1">
        <w:t xml:space="preserve">-Olson, B., Ghosh, N., </w:t>
      </w:r>
      <w:proofErr w:type="spellStart"/>
      <w:r w:rsidRPr="00FF14F1">
        <w:t>Holshouser</w:t>
      </w:r>
      <w:proofErr w:type="spellEnd"/>
      <w:r w:rsidRPr="00FF14F1">
        <w:t xml:space="preserve">, B. A., &amp; Tong, K. A. (2014). Application of advanced neuroimaging modalities in pediatric traumatic brain injury. </w:t>
      </w:r>
      <w:r w:rsidRPr="00FF14F1">
        <w:rPr>
          <w:i/>
          <w:iCs/>
        </w:rPr>
        <w:t>Journal of Child Neurology</w:t>
      </w:r>
      <w:r w:rsidRPr="00FF14F1">
        <w:t xml:space="preserve">, </w:t>
      </w:r>
      <w:r w:rsidRPr="00FF14F1">
        <w:rPr>
          <w:i/>
          <w:iCs/>
        </w:rPr>
        <w:t>29</w:t>
      </w:r>
      <w:r w:rsidRPr="00FF14F1">
        <w:t>(12), 1704–1717. https://doi.org/10.1177/0883073814538504</w:t>
      </w:r>
      <w:bookmarkStart w:id="51" w:name="1302d11e56f038ee92cd59902a283397_ref"/>
      <w:bookmarkEnd w:id="51"/>
    </w:p>
    <w:p w14:paraId="01A9DFAB" w14:textId="77777777" w:rsidR="00FF14F1" w:rsidRPr="00FF14F1" w:rsidRDefault="00FF14F1" w:rsidP="00611A68">
      <w:pPr>
        <w:pStyle w:val="Body"/>
        <w:numPr>
          <w:ilvl w:val="0"/>
          <w:numId w:val="44"/>
        </w:numPr>
      </w:pPr>
      <w:bookmarkStart w:id="52" w:name="a8593f1984d63c3786706570fad8e261_ref"/>
      <w:r w:rsidRPr="00FF14F1">
        <w:t xml:space="preserve">Banville, H., Chehab, O., </w:t>
      </w:r>
      <w:proofErr w:type="spellStart"/>
      <w:r w:rsidRPr="00FF14F1">
        <w:t>Engemann</w:t>
      </w:r>
      <w:proofErr w:type="spellEnd"/>
      <w:r w:rsidRPr="00FF14F1">
        <w:t xml:space="preserve">, D.-A., </w:t>
      </w:r>
      <w:proofErr w:type="spellStart"/>
      <w:r w:rsidRPr="00FF14F1">
        <w:t>Hyvärinen</w:t>
      </w:r>
      <w:proofErr w:type="spellEnd"/>
      <w:r w:rsidRPr="00FF14F1">
        <w:t xml:space="preserve">, A., &amp; </w:t>
      </w:r>
      <w:proofErr w:type="spellStart"/>
      <w:r w:rsidRPr="00FF14F1">
        <w:t>Gramfort</w:t>
      </w:r>
      <w:proofErr w:type="spellEnd"/>
      <w:r w:rsidRPr="00FF14F1">
        <w:t xml:space="preserve">, A. (2021). Uncovering the structure of clinical EEG signals with self-supervised learning. </w:t>
      </w:r>
      <w:r w:rsidRPr="00FF14F1">
        <w:rPr>
          <w:i/>
          <w:iCs/>
        </w:rPr>
        <w:t>Journal of Neural Engineering</w:t>
      </w:r>
      <w:r w:rsidRPr="00FF14F1">
        <w:t xml:space="preserve">, </w:t>
      </w:r>
      <w:r w:rsidRPr="00FF14F1">
        <w:rPr>
          <w:i/>
          <w:iCs/>
        </w:rPr>
        <w:t>18</w:t>
      </w:r>
      <w:r w:rsidRPr="00FF14F1">
        <w:t>(4), 046020. https://doi.org/10.1088/1741-2552/abca18</w:t>
      </w:r>
      <w:bookmarkEnd w:id="52"/>
    </w:p>
    <w:p w14:paraId="6CF65911" w14:textId="77777777" w:rsidR="00FF14F1" w:rsidRPr="00FF14F1" w:rsidRDefault="00FF14F1" w:rsidP="00611A68">
      <w:pPr>
        <w:pStyle w:val="Body"/>
        <w:numPr>
          <w:ilvl w:val="0"/>
          <w:numId w:val="44"/>
        </w:numPr>
      </w:pPr>
      <w:r w:rsidRPr="00FF14F1">
        <w:t xml:space="preserve">Baxendale, S., Heaney, D., Rugg-Gunn, F., &amp; Friedland, D. (2019). Neuropsychological outcomes following traumatic brain injury. </w:t>
      </w:r>
      <w:r w:rsidRPr="00FF14F1">
        <w:rPr>
          <w:i/>
          <w:iCs/>
        </w:rPr>
        <w:t>Practical Neurology</w:t>
      </w:r>
      <w:r w:rsidRPr="00FF14F1">
        <w:t xml:space="preserve">, </w:t>
      </w:r>
      <w:r w:rsidRPr="00FF14F1">
        <w:rPr>
          <w:i/>
          <w:iCs/>
        </w:rPr>
        <w:t>19</w:t>
      </w:r>
      <w:r w:rsidRPr="00FF14F1">
        <w:t>(6), 476–482. https://doi.org/10.1136/practneurol-2018-002113</w:t>
      </w:r>
      <w:bookmarkStart w:id="53" w:name="3f6f11f7125e3cf4b78bfed7c7c2e575_ref"/>
      <w:bookmarkEnd w:id="53"/>
    </w:p>
    <w:p w14:paraId="41C3D8FD" w14:textId="77777777" w:rsidR="00FF14F1" w:rsidRPr="00FF14F1" w:rsidRDefault="00FF14F1" w:rsidP="00611A68">
      <w:pPr>
        <w:pStyle w:val="Body"/>
        <w:numPr>
          <w:ilvl w:val="0"/>
          <w:numId w:val="44"/>
        </w:numPr>
      </w:pPr>
      <w:proofErr w:type="spellStart"/>
      <w:r w:rsidRPr="00FF14F1">
        <w:t>Boag</w:t>
      </w:r>
      <w:proofErr w:type="spellEnd"/>
      <w:r w:rsidRPr="00FF14F1">
        <w:t xml:space="preserve">, W., Hasan, A., Kim, J. Y., Revoir, M., Nichols, M., Ratliff, W., Gao, M., </w:t>
      </w:r>
      <w:proofErr w:type="spellStart"/>
      <w:r w:rsidRPr="00FF14F1">
        <w:t>Zilberstein</w:t>
      </w:r>
      <w:proofErr w:type="spellEnd"/>
      <w:r w:rsidRPr="00FF14F1">
        <w:t xml:space="preserve">, S., Samad, Z., </w:t>
      </w:r>
      <w:proofErr w:type="spellStart"/>
      <w:r w:rsidRPr="00FF14F1">
        <w:t>Hoodbhoy</w:t>
      </w:r>
      <w:proofErr w:type="spellEnd"/>
      <w:r w:rsidRPr="00FF14F1">
        <w:t xml:space="preserve">, Z., Ali, M., Khan, N. S., Patel, M., </w:t>
      </w:r>
      <w:proofErr w:type="spellStart"/>
      <w:r w:rsidRPr="00FF14F1">
        <w:t>Balu</w:t>
      </w:r>
      <w:proofErr w:type="spellEnd"/>
      <w:r w:rsidRPr="00FF14F1">
        <w:t xml:space="preserve">, S., &amp; Sendak, M. (2024). The algorithm journey map: a tangible approach to implementing AI solutions in healthcare. </w:t>
      </w:r>
      <w:proofErr w:type="spellStart"/>
      <w:r w:rsidRPr="00FF14F1">
        <w:rPr>
          <w:i/>
          <w:iCs/>
        </w:rPr>
        <w:t>Npj</w:t>
      </w:r>
      <w:proofErr w:type="spellEnd"/>
      <w:r w:rsidRPr="00FF14F1">
        <w:rPr>
          <w:i/>
          <w:iCs/>
        </w:rPr>
        <w:t xml:space="preserve"> Digital Medicine</w:t>
      </w:r>
      <w:r w:rsidRPr="00FF14F1">
        <w:t xml:space="preserve">, </w:t>
      </w:r>
      <w:r w:rsidRPr="00FF14F1">
        <w:rPr>
          <w:i/>
          <w:iCs/>
        </w:rPr>
        <w:t>7</w:t>
      </w:r>
      <w:r w:rsidRPr="00FF14F1">
        <w:t>(1). https://doi.org/10.1038/s41746-024-01061-4</w:t>
      </w:r>
      <w:bookmarkStart w:id="54" w:name="6b5e02047a1f370fbdbb1d1dcbb2f15c_ref"/>
      <w:bookmarkEnd w:id="54"/>
    </w:p>
    <w:p w14:paraId="11683203" w14:textId="77777777" w:rsidR="00FF14F1" w:rsidRPr="00FF14F1" w:rsidRDefault="00FF14F1" w:rsidP="00611A68">
      <w:pPr>
        <w:pStyle w:val="Body"/>
        <w:numPr>
          <w:ilvl w:val="0"/>
          <w:numId w:val="44"/>
        </w:numPr>
      </w:pPr>
      <w:proofErr w:type="spellStart"/>
      <w:r w:rsidRPr="00FF14F1">
        <w:t>Bomatter</w:t>
      </w:r>
      <w:proofErr w:type="spellEnd"/>
      <w:r w:rsidRPr="00FF14F1">
        <w:t xml:space="preserve">, P., </w:t>
      </w:r>
      <w:proofErr w:type="spellStart"/>
      <w:r w:rsidRPr="00FF14F1">
        <w:t>Paillard</w:t>
      </w:r>
      <w:proofErr w:type="spellEnd"/>
      <w:r w:rsidRPr="00FF14F1">
        <w:t xml:space="preserve">, J., </w:t>
      </w:r>
      <w:proofErr w:type="spellStart"/>
      <w:r w:rsidRPr="00FF14F1">
        <w:t>Engemann</w:t>
      </w:r>
      <w:proofErr w:type="spellEnd"/>
      <w:r w:rsidRPr="00FF14F1">
        <w:t xml:space="preserve">, D., Garces, P., &amp; </w:t>
      </w:r>
      <w:proofErr w:type="spellStart"/>
      <w:r w:rsidRPr="00FF14F1">
        <w:t>Hipp</w:t>
      </w:r>
      <w:proofErr w:type="spellEnd"/>
      <w:r w:rsidRPr="00FF14F1">
        <w:t xml:space="preserve">, J. (2023). </w:t>
      </w:r>
      <w:r w:rsidRPr="00FF14F1">
        <w:rPr>
          <w:i/>
          <w:iCs/>
        </w:rPr>
        <w:t>Machine learning of brain-specific biomarkers from EEG</w:t>
      </w:r>
      <w:r w:rsidRPr="00FF14F1">
        <w:t>. Cold Spring Harbor Laboratory. https://doi.org/10.1101/2023.12.15.571864</w:t>
      </w:r>
      <w:bookmarkStart w:id="55" w:name="28381f0e9a513069a8ca3f45551c7df7_ref"/>
      <w:bookmarkEnd w:id="55"/>
    </w:p>
    <w:p w14:paraId="6553573B" w14:textId="77777777" w:rsidR="00FF14F1" w:rsidRPr="00FF14F1" w:rsidRDefault="00FF14F1" w:rsidP="00611A68">
      <w:pPr>
        <w:pStyle w:val="Body"/>
        <w:numPr>
          <w:ilvl w:val="0"/>
          <w:numId w:val="44"/>
        </w:numPr>
      </w:pPr>
      <w:bookmarkStart w:id="56" w:name="a7387268d86d3176af9ef509f927bdaa_ref"/>
      <w:proofErr w:type="spellStart"/>
      <w:r w:rsidRPr="00FF14F1">
        <w:t>Broggi</w:t>
      </w:r>
      <w:proofErr w:type="spellEnd"/>
      <w:r w:rsidRPr="00FF14F1">
        <w:t xml:space="preserve">, G., </w:t>
      </w:r>
      <w:proofErr w:type="spellStart"/>
      <w:r w:rsidRPr="00FF14F1">
        <w:t>Zizzo</w:t>
      </w:r>
      <w:proofErr w:type="spellEnd"/>
      <w:r w:rsidRPr="00FF14F1">
        <w:t xml:space="preserve">, M., </w:t>
      </w:r>
      <w:proofErr w:type="spellStart"/>
      <w:r w:rsidRPr="00FF14F1">
        <w:t>Mazzucchelli</w:t>
      </w:r>
      <w:proofErr w:type="spellEnd"/>
      <w:r w:rsidRPr="00FF14F1">
        <w:t xml:space="preserve">, M., </w:t>
      </w:r>
      <w:proofErr w:type="spellStart"/>
      <w:r w:rsidRPr="00FF14F1">
        <w:t>Caltabiano</w:t>
      </w:r>
      <w:proofErr w:type="spellEnd"/>
      <w:r w:rsidRPr="00FF14F1">
        <w:t xml:space="preserve">, R., </w:t>
      </w:r>
      <w:proofErr w:type="spellStart"/>
      <w:r w:rsidRPr="00FF14F1">
        <w:t>Salzano</w:t>
      </w:r>
      <w:proofErr w:type="spellEnd"/>
      <w:r w:rsidRPr="00FF14F1">
        <w:t xml:space="preserve">, S., </w:t>
      </w:r>
      <w:proofErr w:type="spellStart"/>
      <w:r w:rsidRPr="00FF14F1">
        <w:t>Koufopoulos</w:t>
      </w:r>
      <w:proofErr w:type="spellEnd"/>
      <w:r w:rsidRPr="00FF14F1">
        <w:t xml:space="preserve">, N., </w:t>
      </w:r>
      <w:proofErr w:type="spellStart"/>
      <w:r w:rsidRPr="00FF14F1">
        <w:t>Barbagallo</w:t>
      </w:r>
      <w:proofErr w:type="spellEnd"/>
      <w:r w:rsidRPr="00FF14F1">
        <w:t xml:space="preserve">, G. M. V., Zanelli, M., </w:t>
      </w:r>
      <w:proofErr w:type="spellStart"/>
      <w:r w:rsidRPr="00FF14F1">
        <w:t>Certo</w:t>
      </w:r>
      <w:proofErr w:type="spellEnd"/>
      <w:r w:rsidRPr="00FF14F1">
        <w:t xml:space="preserve">, F., </w:t>
      </w:r>
      <w:proofErr w:type="spellStart"/>
      <w:r w:rsidRPr="00FF14F1">
        <w:t>Magro</w:t>
      </w:r>
      <w:proofErr w:type="spellEnd"/>
      <w:r w:rsidRPr="00FF14F1">
        <w:t xml:space="preserve">, G., &amp; </w:t>
      </w:r>
      <w:proofErr w:type="spellStart"/>
      <w:r w:rsidRPr="00FF14F1">
        <w:t>Palicelli</w:t>
      </w:r>
      <w:proofErr w:type="spellEnd"/>
      <w:r w:rsidRPr="00FF14F1">
        <w:t xml:space="preserve">, A. (2024). The emerging role of artificial intelligence in neuropathology: Where are we and where do we want to go? </w:t>
      </w:r>
      <w:r w:rsidRPr="00FF14F1">
        <w:rPr>
          <w:i/>
          <w:iCs/>
        </w:rPr>
        <w:t>Pathology - Research and Practice</w:t>
      </w:r>
      <w:r w:rsidRPr="00FF14F1">
        <w:t xml:space="preserve">, </w:t>
      </w:r>
      <w:r w:rsidRPr="00FF14F1">
        <w:rPr>
          <w:i/>
          <w:iCs/>
        </w:rPr>
        <w:t>263</w:t>
      </w:r>
      <w:r w:rsidRPr="00FF14F1">
        <w:t>, 155671. https://doi.org/10.1016/j.prp.2024.155671</w:t>
      </w:r>
      <w:bookmarkEnd w:id="56"/>
    </w:p>
    <w:p w14:paraId="494670D6" w14:textId="77777777" w:rsidR="00FF14F1" w:rsidRPr="00FF14F1" w:rsidRDefault="00FF14F1" w:rsidP="00611A68">
      <w:pPr>
        <w:pStyle w:val="Body"/>
        <w:numPr>
          <w:ilvl w:val="0"/>
          <w:numId w:val="44"/>
        </w:numPr>
      </w:pPr>
      <w:r w:rsidRPr="00FF14F1">
        <w:lastRenderedPageBreak/>
        <w:t xml:space="preserve">Bundy, D. T., Moran, D. W., </w:t>
      </w:r>
      <w:proofErr w:type="spellStart"/>
      <w:r w:rsidRPr="00FF14F1">
        <w:t>Leuthardt</w:t>
      </w:r>
      <w:proofErr w:type="spellEnd"/>
      <w:r w:rsidRPr="00FF14F1">
        <w:t xml:space="preserve">, E. C., Leonard, L., Huskey, T., Coker, R., </w:t>
      </w:r>
      <w:proofErr w:type="spellStart"/>
      <w:r w:rsidRPr="00FF14F1">
        <w:t>Souders</w:t>
      </w:r>
      <w:proofErr w:type="spellEnd"/>
      <w:r w:rsidRPr="00FF14F1">
        <w:t xml:space="preserve">, L., Schalk, G., &amp; </w:t>
      </w:r>
      <w:proofErr w:type="spellStart"/>
      <w:r w:rsidRPr="00FF14F1">
        <w:t>Baranyai</w:t>
      </w:r>
      <w:proofErr w:type="spellEnd"/>
      <w:r w:rsidRPr="00FF14F1">
        <w:t xml:space="preserve">, K. (2017). </w:t>
      </w:r>
      <w:proofErr w:type="spellStart"/>
      <w:r w:rsidRPr="00FF14F1">
        <w:t>Contralesional</w:t>
      </w:r>
      <w:proofErr w:type="spellEnd"/>
      <w:r w:rsidRPr="00FF14F1">
        <w:t xml:space="preserve"> Brain–Computer Interface Control of a Powered Exoskeleton for Motor Recovery in Chronic Stroke Survivors. </w:t>
      </w:r>
      <w:r w:rsidRPr="00FF14F1">
        <w:rPr>
          <w:i/>
          <w:iCs/>
        </w:rPr>
        <w:t>Stroke</w:t>
      </w:r>
      <w:r w:rsidRPr="00FF14F1">
        <w:t xml:space="preserve">, </w:t>
      </w:r>
      <w:r w:rsidRPr="00FF14F1">
        <w:rPr>
          <w:i/>
          <w:iCs/>
        </w:rPr>
        <w:t>48</w:t>
      </w:r>
      <w:r w:rsidRPr="00FF14F1">
        <w:t>(7), 1908–1915. https://doi.org/10.1161/strokeaha.116.016304</w:t>
      </w:r>
      <w:bookmarkStart w:id="57" w:name="47596855bb6b34c9a2b8ba8ac70ae5ef_ref"/>
      <w:bookmarkEnd w:id="57"/>
    </w:p>
    <w:p w14:paraId="2E63ABFE" w14:textId="77777777" w:rsidR="00FF14F1" w:rsidRPr="00FF14F1" w:rsidRDefault="00FF14F1" w:rsidP="00611A68">
      <w:pPr>
        <w:pStyle w:val="Body"/>
        <w:numPr>
          <w:ilvl w:val="0"/>
          <w:numId w:val="44"/>
        </w:numPr>
      </w:pPr>
      <w:r w:rsidRPr="00FF14F1">
        <w:t xml:space="preserve">Calderone, A., </w:t>
      </w:r>
      <w:proofErr w:type="spellStart"/>
      <w:r w:rsidRPr="00FF14F1">
        <w:t>Latella</w:t>
      </w:r>
      <w:proofErr w:type="spellEnd"/>
      <w:r w:rsidRPr="00FF14F1">
        <w:t xml:space="preserve">, D., </w:t>
      </w:r>
      <w:proofErr w:type="spellStart"/>
      <w:r w:rsidRPr="00FF14F1">
        <w:t>Bonanno</w:t>
      </w:r>
      <w:proofErr w:type="spellEnd"/>
      <w:r w:rsidRPr="00FF14F1">
        <w:t xml:space="preserve">, M., </w:t>
      </w:r>
      <w:proofErr w:type="spellStart"/>
      <w:r w:rsidRPr="00FF14F1">
        <w:t>Quartarone</w:t>
      </w:r>
      <w:proofErr w:type="spellEnd"/>
      <w:r w:rsidRPr="00FF14F1">
        <w:t xml:space="preserve">, A., </w:t>
      </w:r>
      <w:proofErr w:type="spellStart"/>
      <w:r w:rsidRPr="00FF14F1">
        <w:t>Mojdehdehbaher</w:t>
      </w:r>
      <w:proofErr w:type="spellEnd"/>
      <w:r w:rsidRPr="00FF14F1">
        <w:t xml:space="preserve">, S., </w:t>
      </w:r>
      <w:proofErr w:type="spellStart"/>
      <w:r w:rsidRPr="00FF14F1">
        <w:t>Celesti</w:t>
      </w:r>
      <w:proofErr w:type="spellEnd"/>
      <w:r w:rsidRPr="00FF14F1">
        <w:t xml:space="preserve">, A., &amp; </w:t>
      </w:r>
      <w:proofErr w:type="spellStart"/>
      <w:r w:rsidRPr="00FF14F1">
        <w:t>Calabrò</w:t>
      </w:r>
      <w:proofErr w:type="spellEnd"/>
      <w:r w:rsidRPr="00FF14F1">
        <w:t xml:space="preserve">, R. S. (2024). Towards Transforming Neurorehabilitation: The Impact of Artificial Intelligence on Diagnosis and Treatment of Neurological Disorders. </w:t>
      </w:r>
      <w:r w:rsidRPr="00FF14F1">
        <w:rPr>
          <w:i/>
          <w:iCs/>
        </w:rPr>
        <w:t>Biomedicines</w:t>
      </w:r>
      <w:r w:rsidRPr="00FF14F1">
        <w:t xml:space="preserve">, </w:t>
      </w:r>
      <w:r w:rsidRPr="00FF14F1">
        <w:rPr>
          <w:i/>
          <w:iCs/>
        </w:rPr>
        <w:t>12</w:t>
      </w:r>
      <w:r w:rsidRPr="00FF14F1">
        <w:t>(10), 2415. https://doi.org/10.3390/biomedicines12102415</w:t>
      </w:r>
      <w:bookmarkStart w:id="58" w:name="02e7c089b7b737d2ac85ebbb9237018a_ref"/>
      <w:bookmarkEnd w:id="58"/>
    </w:p>
    <w:p w14:paraId="40C9F87B" w14:textId="77777777" w:rsidR="00FF14F1" w:rsidRPr="00FF14F1" w:rsidRDefault="00FF14F1" w:rsidP="00611A68">
      <w:pPr>
        <w:pStyle w:val="Body"/>
        <w:numPr>
          <w:ilvl w:val="0"/>
          <w:numId w:val="44"/>
        </w:numPr>
      </w:pPr>
      <w:proofErr w:type="spellStart"/>
      <w:r w:rsidRPr="00FF14F1">
        <w:t>Cantillo</w:t>
      </w:r>
      <w:proofErr w:type="spellEnd"/>
      <w:r w:rsidRPr="00FF14F1">
        <w:t>-Negrete, J., Rodríguez-García, M. E., Carrillo-Mora, P., Arias-</w:t>
      </w:r>
      <w:proofErr w:type="spellStart"/>
      <w:r w:rsidRPr="00FF14F1">
        <w:t>Carrión</w:t>
      </w:r>
      <w:proofErr w:type="spellEnd"/>
      <w:r w:rsidRPr="00FF14F1">
        <w:t xml:space="preserve">, O., Ortega-Robles, E., Galicia-Alvarado, M. A., Valdés-Cristerna, R., Ramirez-Nava, A. G., Hernandez-Arenas, C., </w:t>
      </w:r>
      <w:proofErr w:type="spellStart"/>
      <w:r w:rsidRPr="00FF14F1">
        <w:t>Quinzaños-Fresnedo</w:t>
      </w:r>
      <w:proofErr w:type="spellEnd"/>
      <w:r w:rsidRPr="00FF14F1">
        <w:t xml:space="preserve">, J., Pacheco-Gallegos, M. D. R., Marín-Arriaga, N., &amp; </w:t>
      </w:r>
      <w:proofErr w:type="spellStart"/>
      <w:r w:rsidRPr="00FF14F1">
        <w:t>Carino</w:t>
      </w:r>
      <w:proofErr w:type="spellEnd"/>
      <w:r w:rsidRPr="00FF14F1">
        <w:t xml:space="preserve">-Escobar, R. I. (2025). The </w:t>
      </w:r>
      <w:proofErr w:type="spellStart"/>
      <w:r w:rsidRPr="00FF14F1">
        <w:t>ReHand</w:t>
      </w:r>
      <w:proofErr w:type="spellEnd"/>
      <w:r w:rsidRPr="00FF14F1">
        <w:t xml:space="preserve">-BCI trial: a randomized controlled trial of a brain-computer interface for upper extremity stroke neurorehabilitation. </w:t>
      </w:r>
      <w:r w:rsidRPr="00FF14F1">
        <w:rPr>
          <w:i/>
          <w:iCs/>
        </w:rPr>
        <w:t>Frontiers in Neuroscience</w:t>
      </w:r>
      <w:r w:rsidRPr="00FF14F1">
        <w:t xml:space="preserve">, </w:t>
      </w:r>
      <w:r w:rsidRPr="00FF14F1">
        <w:rPr>
          <w:i/>
          <w:iCs/>
        </w:rPr>
        <w:t>19</w:t>
      </w:r>
      <w:r w:rsidRPr="00FF14F1">
        <w:t>. https://doi.org/10.3389/fnins.2025.1579988</w:t>
      </w:r>
      <w:bookmarkStart w:id="59" w:name="4392397ee0473f9cbecdb872f5c87d22_ref"/>
      <w:bookmarkEnd w:id="59"/>
    </w:p>
    <w:p w14:paraId="1F4E4BEB" w14:textId="77777777" w:rsidR="00FF14F1" w:rsidRPr="00FF14F1" w:rsidRDefault="00FF14F1" w:rsidP="00611A68">
      <w:pPr>
        <w:pStyle w:val="Body"/>
        <w:numPr>
          <w:ilvl w:val="0"/>
          <w:numId w:val="44"/>
        </w:numPr>
      </w:pPr>
      <w:bookmarkStart w:id="60" w:name="f52efa6fde3430e588fbe65185d23e5e_ref"/>
      <w:r w:rsidRPr="00FF14F1">
        <w:t xml:space="preserve">Carlson, H. L., Craig, B. T., </w:t>
      </w:r>
      <w:proofErr w:type="spellStart"/>
      <w:r w:rsidRPr="00FF14F1">
        <w:t>Hilderley</w:t>
      </w:r>
      <w:proofErr w:type="spellEnd"/>
      <w:r w:rsidRPr="00FF14F1">
        <w:t xml:space="preserve">, A. J., Hodge, J., </w:t>
      </w:r>
      <w:proofErr w:type="spellStart"/>
      <w:r w:rsidRPr="00FF14F1">
        <w:t>Rajashekar</w:t>
      </w:r>
      <w:proofErr w:type="spellEnd"/>
      <w:r w:rsidRPr="00FF14F1">
        <w:t xml:space="preserve">, D., </w:t>
      </w:r>
      <w:proofErr w:type="spellStart"/>
      <w:r w:rsidRPr="00FF14F1">
        <w:t>Mouches</w:t>
      </w:r>
      <w:proofErr w:type="spellEnd"/>
      <w:r w:rsidRPr="00FF14F1">
        <w:t xml:space="preserve">, P., </w:t>
      </w:r>
      <w:proofErr w:type="spellStart"/>
      <w:r w:rsidRPr="00FF14F1">
        <w:t>Forkert</w:t>
      </w:r>
      <w:proofErr w:type="spellEnd"/>
      <w:r w:rsidRPr="00FF14F1">
        <w:t xml:space="preserve">, N. D., &amp; Kirton, A. (2020). Structural and functional connectivity of motor circuits after perinatal stroke: A machine learning study. </w:t>
      </w:r>
      <w:proofErr w:type="spellStart"/>
      <w:r w:rsidRPr="00FF14F1">
        <w:rPr>
          <w:i/>
          <w:iCs/>
        </w:rPr>
        <w:t>NeuroImage</w:t>
      </w:r>
      <w:proofErr w:type="spellEnd"/>
      <w:r w:rsidRPr="00FF14F1">
        <w:rPr>
          <w:i/>
          <w:iCs/>
        </w:rPr>
        <w:t>: Clinical</w:t>
      </w:r>
      <w:r w:rsidRPr="00FF14F1">
        <w:t xml:space="preserve">, </w:t>
      </w:r>
      <w:r w:rsidRPr="00FF14F1">
        <w:rPr>
          <w:i/>
          <w:iCs/>
        </w:rPr>
        <w:t>28</w:t>
      </w:r>
      <w:r w:rsidRPr="00FF14F1">
        <w:t>, 102508. https://doi.org/10.1016/j.nicl.2020.102508</w:t>
      </w:r>
      <w:bookmarkEnd w:id="60"/>
    </w:p>
    <w:p w14:paraId="19C349EB" w14:textId="77777777" w:rsidR="00FF14F1" w:rsidRPr="00FF14F1" w:rsidRDefault="00FF14F1" w:rsidP="00611A68">
      <w:pPr>
        <w:pStyle w:val="Body"/>
        <w:numPr>
          <w:ilvl w:val="0"/>
          <w:numId w:val="44"/>
        </w:numPr>
      </w:pPr>
      <w:bookmarkStart w:id="61" w:name="d86f300bf3553101951c5f704183f23f_ref"/>
      <w:r w:rsidRPr="00FF14F1">
        <w:t xml:space="preserve">Cen, S., </w:t>
      </w:r>
      <w:proofErr w:type="spellStart"/>
      <w:r w:rsidRPr="00FF14F1">
        <w:t>Gebregziabher</w:t>
      </w:r>
      <w:proofErr w:type="spellEnd"/>
      <w:r w:rsidRPr="00FF14F1">
        <w:t xml:space="preserve">, M., </w:t>
      </w:r>
      <w:proofErr w:type="spellStart"/>
      <w:r w:rsidRPr="00FF14F1">
        <w:t>Moazami</w:t>
      </w:r>
      <w:proofErr w:type="spellEnd"/>
      <w:r w:rsidRPr="00FF14F1">
        <w:t xml:space="preserve">, S., Azevedo, C. J., &amp; Pelletier, D. (2023). Toward precision medicine using a “digital twin” approach: modeling the onset of disease-specific brain atrophy in individuals with multiple sclerosis. </w:t>
      </w:r>
      <w:r w:rsidRPr="00FF14F1">
        <w:rPr>
          <w:i/>
          <w:iCs/>
        </w:rPr>
        <w:t>Scientific Reports</w:t>
      </w:r>
      <w:r w:rsidRPr="00FF14F1">
        <w:t xml:space="preserve">, </w:t>
      </w:r>
      <w:r w:rsidRPr="00FF14F1">
        <w:rPr>
          <w:i/>
          <w:iCs/>
        </w:rPr>
        <w:t>13</w:t>
      </w:r>
      <w:r w:rsidRPr="00FF14F1">
        <w:t>(1). https://doi.org/10.1038/s41598-023-43618-5</w:t>
      </w:r>
      <w:bookmarkEnd w:id="61"/>
    </w:p>
    <w:p w14:paraId="73F78426" w14:textId="77777777" w:rsidR="00FF14F1" w:rsidRPr="00FF14F1" w:rsidRDefault="00FF14F1" w:rsidP="00611A68">
      <w:pPr>
        <w:pStyle w:val="Body"/>
        <w:numPr>
          <w:ilvl w:val="0"/>
          <w:numId w:val="44"/>
        </w:numPr>
      </w:pPr>
      <w:r w:rsidRPr="00FF14F1">
        <w:t xml:space="preserve">Chaparro-Cárdenas, S. L., Ramirez-Bautista, J.-A., </w:t>
      </w:r>
      <w:proofErr w:type="spellStart"/>
      <w:r w:rsidRPr="00FF14F1">
        <w:t>Terven</w:t>
      </w:r>
      <w:proofErr w:type="spellEnd"/>
      <w:r w:rsidRPr="00FF14F1">
        <w:t xml:space="preserve">, J., </w:t>
      </w:r>
      <w:proofErr w:type="spellStart"/>
      <w:r w:rsidRPr="00FF14F1">
        <w:t>Córdova</w:t>
      </w:r>
      <w:proofErr w:type="spellEnd"/>
      <w:r w:rsidRPr="00FF14F1">
        <w:t>-Esparza, D.-M., Romero-Gonzalez, J.-A., Ramírez-Pedraza, A., &amp; Chavez-</w:t>
      </w:r>
      <w:proofErr w:type="spellStart"/>
      <w:r w:rsidRPr="00FF14F1">
        <w:t>Urbiola</w:t>
      </w:r>
      <w:proofErr w:type="spellEnd"/>
      <w:r w:rsidRPr="00FF14F1">
        <w:t xml:space="preserve">, E. A. (2025). A Technological Review of Digital Twins and Artificial Intelligence for Personalized and Predictive Healthcare. </w:t>
      </w:r>
      <w:r w:rsidRPr="00FF14F1">
        <w:rPr>
          <w:i/>
          <w:iCs/>
        </w:rPr>
        <w:t>Healthcare (Basel, Switzerland)</w:t>
      </w:r>
      <w:r w:rsidRPr="00FF14F1">
        <w:t xml:space="preserve">, </w:t>
      </w:r>
      <w:r w:rsidRPr="00FF14F1">
        <w:rPr>
          <w:i/>
          <w:iCs/>
        </w:rPr>
        <w:t>13</w:t>
      </w:r>
      <w:r w:rsidRPr="00FF14F1">
        <w:t>(14), 1763. https://doi.org/10.3390/healthcare13141763</w:t>
      </w:r>
      <w:bookmarkStart w:id="62" w:name="86a6d21e9f71379d8fccd8629f084840_ref"/>
      <w:bookmarkEnd w:id="62"/>
    </w:p>
    <w:p w14:paraId="7995A674" w14:textId="77777777" w:rsidR="00FF14F1" w:rsidRPr="00FF14F1" w:rsidRDefault="00FF14F1" w:rsidP="00611A68">
      <w:pPr>
        <w:pStyle w:val="Body"/>
        <w:numPr>
          <w:ilvl w:val="0"/>
          <w:numId w:val="44"/>
        </w:numPr>
      </w:pPr>
      <w:r w:rsidRPr="00FF14F1">
        <w:t xml:space="preserve">Chen, Z., Liang, N., Zhang, H., Li, H., Yang, Y., </w:t>
      </w:r>
      <w:proofErr w:type="spellStart"/>
      <w:r w:rsidRPr="00FF14F1">
        <w:t>Zong</w:t>
      </w:r>
      <w:proofErr w:type="spellEnd"/>
      <w:r w:rsidRPr="00FF14F1">
        <w:t xml:space="preserve">, X., Chen, Y., Wang, Y., &amp; Shi, N. (2023). Harnessing the power of clinical decision support systems: challenges and opportunities. </w:t>
      </w:r>
      <w:r w:rsidRPr="00FF14F1">
        <w:rPr>
          <w:i/>
          <w:iCs/>
        </w:rPr>
        <w:t>Open Heart</w:t>
      </w:r>
      <w:r w:rsidRPr="00FF14F1">
        <w:t xml:space="preserve">, </w:t>
      </w:r>
      <w:r w:rsidRPr="00FF14F1">
        <w:rPr>
          <w:i/>
          <w:iCs/>
        </w:rPr>
        <w:t>10</w:t>
      </w:r>
      <w:r w:rsidRPr="00FF14F1">
        <w:t>(2), e002432. https://doi.org/10.1136/openhrt-2023-002432</w:t>
      </w:r>
      <w:bookmarkStart w:id="63" w:name="8e26f973baa639338879af064cf14f98_ref"/>
      <w:bookmarkEnd w:id="63"/>
    </w:p>
    <w:p w14:paraId="7D1FABB2" w14:textId="77777777" w:rsidR="00FF14F1" w:rsidRPr="00FF14F1" w:rsidRDefault="00FF14F1" w:rsidP="00611A68">
      <w:pPr>
        <w:pStyle w:val="Body"/>
        <w:numPr>
          <w:ilvl w:val="0"/>
          <w:numId w:val="44"/>
        </w:numPr>
      </w:pPr>
      <w:bookmarkStart w:id="64" w:name="e148844066e839a2ac81bfb748abbc0b_ref"/>
      <w:proofErr w:type="spellStart"/>
      <w:r w:rsidRPr="00FF14F1">
        <w:t>Cociu</w:t>
      </w:r>
      <w:proofErr w:type="spellEnd"/>
      <w:r w:rsidRPr="00FF14F1">
        <w:t xml:space="preserve">, B. A., Das, S., Jamal, W., </w:t>
      </w:r>
      <w:proofErr w:type="spellStart"/>
      <w:r w:rsidRPr="00FF14F1">
        <w:t>Billeci</w:t>
      </w:r>
      <w:proofErr w:type="spellEnd"/>
      <w:r w:rsidRPr="00FF14F1">
        <w:t xml:space="preserve">, L., </w:t>
      </w:r>
      <w:proofErr w:type="spellStart"/>
      <w:r w:rsidRPr="00FF14F1">
        <w:t>Maharatna</w:t>
      </w:r>
      <w:proofErr w:type="spellEnd"/>
      <w:r w:rsidRPr="00FF14F1">
        <w:t xml:space="preserve">, K., </w:t>
      </w:r>
      <w:proofErr w:type="spellStart"/>
      <w:r w:rsidRPr="00FF14F1">
        <w:t>Narzisi</w:t>
      </w:r>
      <w:proofErr w:type="spellEnd"/>
      <w:r w:rsidRPr="00FF14F1">
        <w:t xml:space="preserve">, A., </w:t>
      </w:r>
      <w:proofErr w:type="spellStart"/>
      <w:r w:rsidRPr="00FF14F1">
        <w:t>Calderoni</w:t>
      </w:r>
      <w:proofErr w:type="spellEnd"/>
      <w:r w:rsidRPr="00FF14F1">
        <w:t xml:space="preserve">, S., &amp; </w:t>
      </w:r>
      <w:proofErr w:type="spellStart"/>
      <w:r w:rsidRPr="00FF14F1">
        <w:t>Muratori</w:t>
      </w:r>
      <w:proofErr w:type="spellEnd"/>
      <w:r w:rsidRPr="00FF14F1">
        <w:t xml:space="preserve">, F. (2018). Multimodal Functional and Structural Brain Connectivity Analysis in Autism: A Preliminary Integrated Approach With EEG, fMRI, and DTI. </w:t>
      </w:r>
      <w:r w:rsidRPr="00FF14F1">
        <w:rPr>
          <w:i/>
          <w:iCs/>
        </w:rPr>
        <w:t>IEEE Transactions on Cognitive and Developmental Systems</w:t>
      </w:r>
      <w:r w:rsidRPr="00FF14F1">
        <w:t xml:space="preserve">, </w:t>
      </w:r>
      <w:r w:rsidRPr="00FF14F1">
        <w:rPr>
          <w:i/>
          <w:iCs/>
        </w:rPr>
        <w:t>10</w:t>
      </w:r>
      <w:r w:rsidRPr="00FF14F1">
        <w:t>(2), 213–226. https://doi.org/10.1109/tcds.2017.2680408</w:t>
      </w:r>
      <w:bookmarkEnd w:id="64"/>
    </w:p>
    <w:p w14:paraId="430AB9BC" w14:textId="77777777" w:rsidR="00FF14F1" w:rsidRPr="00FF14F1" w:rsidRDefault="00FF14F1" w:rsidP="00611A68">
      <w:pPr>
        <w:pStyle w:val="Body"/>
        <w:numPr>
          <w:ilvl w:val="0"/>
          <w:numId w:val="44"/>
        </w:numPr>
      </w:pPr>
      <w:r w:rsidRPr="00FF14F1">
        <w:t xml:space="preserve">Cortes, D., &amp; </w:t>
      </w:r>
      <w:proofErr w:type="spellStart"/>
      <w:r w:rsidRPr="00FF14F1">
        <w:t>Pera</w:t>
      </w:r>
      <w:proofErr w:type="spellEnd"/>
      <w:r w:rsidRPr="00FF14F1">
        <w:t xml:space="preserve">, M. F. (2021). The genetic basis of inter-individual variation in recovery from traumatic brain injury. </w:t>
      </w:r>
      <w:proofErr w:type="spellStart"/>
      <w:r w:rsidRPr="00FF14F1">
        <w:rPr>
          <w:i/>
          <w:iCs/>
        </w:rPr>
        <w:t>Npj</w:t>
      </w:r>
      <w:proofErr w:type="spellEnd"/>
      <w:r w:rsidRPr="00FF14F1">
        <w:rPr>
          <w:i/>
          <w:iCs/>
        </w:rPr>
        <w:t xml:space="preserve"> Regenerative Medicine</w:t>
      </w:r>
      <w:r w:rsidRPr="00FF14F1">
        <w:t xml:space="preserve">, </w:t>
      </w:r>
      <w:r w:rsidRPr="00FF14F1">
        <w:rPr>
          <w:i/>
          <w:iCs/>
        </w:rPr>
        <w:t>6</w:t>
      </w:r>
      <w:r w:rsidRPr="00FF14F1">
        <w:t>(1). https://doi.org/10.1038/s41536-020-00114-y</w:t>
      </w:r>
      <w:bookmarkStart w:id="65" w:name="5aedda20b9303256bead06e0d6d65a7e_ref"/>
      <w:bookmarkEnd w:id="65"/>
    </w:p>
    <w:p w14:paraId="0D8434B2" w14:textId="77777777" w:rsidR="00FF14F1" w:rsidRPr="00FF14F1" w:rsidRDefault="00FF14F1" w:rsidP="00611A68">
      <w:pPr>
        <w:pStyle w:val="Body"/>
        <w:numPr>
          <w:ilvl w:val="0"/>
          <w:numId w:val="44"/>
        </w:numPr>
      </w:pPr>
      <w:r w:rsidRPr="00FF14F1">
        <w:t xml:space="preserve">Cotton, R., </w:t>
      </w:r>
      <w:proofErr w:type="spellStart"/>
      <w:r w:rsidRPr="00FF14F1">
        <w:t>Seamon</w:t>
      </w:r>
      <w:proofErr w:type="spellEnd"/>
      <w:r w:rsidRPr="00FF14F1">
        <w:t xml:space="preserve">, B., Segal, R., Davis, R., </w:t>
      </w:r>
      <w:proofErr w:type="spellStart"/>
      <w:r w:rsidRPr="00FF14F1">
        <w:t>Sahu</w:t>
      </w:r>
      <w:proofErr w:type="spellEnd"/>
      <w:r w:rsidRPr="00FF14F1">
        <w:t xml:space="preserve">, A., </w:t>
      </w:r>
      <w:proofErr w:type="spellStart"/>
      <w:r w:rsidRPr="00FF14F1">
        <w:t>Mcleod</w:t>
      </w:r>
      <w:proofErr w:type="spellEnd"/>
      <w:r w:rsidRPr="00FF14F1">
        <w:t xml:space="preserve">, M., </w:t>
      </w:r>
      <w:proofErr w:type="spellStart"/>
      <w:r w:rsidRPr="00FF14F1">
        <w:t>Celnik</w:t>
      </w:r>
      <w:proofErr w:type="spellEnd"/>
      <w:r w:rsidRPr="00FF14F1">
        <w:t xml:space="preserve">, P., &amp; Ramey, S. (2024). </w:t>
      </w:r>
      <w:r w:rsidRPr="00FF14F1">
        <w:rPr>
          <w:i/>
          <w:iCs/>
        </w:rPr>
        <w:t>A Causal Framework for Precision Rehabilitation</w:t>
      </w:r>
      <w:r w:rsidRPr="00FF14F1">
        <w:t>. https://doi.org/10.48550/arxiv.2411.03919</w:t>
      </w:r>
      <w:bookmarkStart w:id="66" w:name="075f33d68da93ecda8dc1249987ac877_ref"/>
      <w:bookmarkEnd w:id="66"/>
    </w:p>
    <w:p w14:paraId="23E64A83" w14:textId="77777777" w:rsidR="00FF14F1" w:rsidRPr="00FF14F1" w:rsidRDefault="00FF14F1" w:rsidP="00611A68">
      <w:pPr>
        <w:pStyle w:val="Body"/>
        <w:numPr>
          <w:ilvl w:val="0"/>
          <w:numId w:val="44"/>
        </w:numPr>
      </w:pPr>
      <w:r w:rsidRPr="00FF14F1">
        <w:lastRenderedPageBreak/>
        <w:t xml:space="preserve">Crossley, N. A., </w:t>
      </w:r>
      <w:proofErr w:type="spellStart"/>
      <w:r w:rsidRPr="00FF14F1">
        <w:t>Bullmore</w:t>
      </w:r>
      <w:proofErr w:type="spellEnd"/>
      <w:r w:rsidRPr="00FF14F1">
        <w:t>, E. T., &amp; Fox, P. T. (2016). Meta-</w:t>
      </w:r>
      <w:proofErr w:type="spellStart"/>
      <w:r w:rsidRPr="00FF14F1">
        <w:t>connectomics</w:t>
      </w:r>
      <w:proofErr w:type="spellEnd"/>
      <w:r w:rsidRPr="00FF14F1">
        <w:t xml:space="preserve">: human brain network and connectivity meta-analyses. </w:t>
      </w:r>
      <w:r w:rsidRPr="00FF14F1">
        <w:rPr>
          <w:i/>
          <w:iCs/>
        </w:rPr>
        <w:t>Psychological Medicine</w:t>
      </w:r>
      <w:r w:rsidRPr="00FF14F1">
        <w:t xml:space="preserve">, </w:t>
      </w:r>
      <w:r w:rsidRPr="00FF14F1">
        <w:rPr>
          <w:i/>
          <w:iCs/>
        </w:rPr>
        <w:t>46</w:t>
      </w:r>
      <w:r w:rsidRPr="00FF14F1">
        <w:t>(5), 897–907. https://doi.org/10.1017/s0033291715002895</w:t>
      </w:r>
      <w:bookmarkStart w:id="67" w:name="9b97de5d947a3e02bd39bfef35f728fa_ref"/>
      <w:bookmarkEnd w:id="67"/>
    </w:p>
    <w:p w14:paraId="54C53FC2" w14:textId="77777777" w:rsidR="00FF14F1" w:rsidRPr="00FF14F1" w:rsidRDefault="00FF14F1" w:rsidP="00611A68">
      <w:pPr>
        <w:pStyle w:val="Body"/>
        <w:numPr>
          <w:ilvl w:val="0"/>
          <w:numId w:val="44"/>
        </w:numPr>
      </w:pPr>
      <w:proofErr w:type="spellStart"/>
      <w:r w:rsidRPr="00FF14F1">
        <w:t>Crosson</w:t>
      </w:r>
      <w:proofErr w:type="spellEnd"/>
      <w:r w:rsidRPr="00FF14F1">
        <w:t xml:space="preserve">, B., Walker-Batson, D., </w:t>
      </w:r>
      <w:proofErr w:type="spellStart"/>
      <w:r w:rsidRPr="00FF14F1">
        <w:t>Mcgregor</w:t>
      </w:r>
      <w:proofErr w:type="spellEnd"/>
      <w:r w:rsidRPr="00FF14F1">
        <w:t xml:space="preserve">, K. M., Ford, A., </w:t>
      </w:r>
      <w:proofErr w:type="spellStart"/>
      <w:r w:rsidRPr="00FF14F1">
        <w:t>Meinzer</w:t>
      </w:r>
      <w:proofErr w:type="spellEnd"/>
      <w:r w:rsidRPr="00FF14F1">
        <w:t xml:space="preserve">, M., Li, X., </w:t>
      </w:r>
      <w:proofErr w:type="spellStart"/>
      <w:r w:rsidRPr="00FF14F1">
        <w:t>Cheshkov</w:t>
      </w:r>
      <w:proofErr w:type="spellEnd"/>
      <w:r w:rsidRPr="00FF14F1">
        <w:t xml:space="preserve">, S., &amp; Briggs, R. W. (2010). Functional imaging and related techniques: an introduction for rehabilitation researchers. </w:t>
      </w:r>
      <w:r w:rsidRPr="00FF14F1">
        <w:rPr>
          <w:i/>
          <w:iCs/>
        </w:rPr>
        <w:t>The Journal of Rehabilitation Research and Development</w:t>
      </w:r>
      <w:r w:rsidRPr="00FF14F1">
        <w:t xml:space="preserve">, </w:t>
      </w:r>
      <w:r w:rsidRPr="00FF14F1">
        <w:rPr>
          <w:i/>
          <w:iCs/>
        </w:rPr>
        <w:t>47</w:t>
      </w:r>
      <w:r w:rsidRPr="00FF14F1">
        <w:t>(2), vii. https://doi.org/10.1682/jrrd.2010.02.0017</w:t>
      </w:r>
      <w:bookmarkStart w:id="68" w:name="54a064328e933b2d88e12cd0ce00bd5d_ref"/>
      <w:bookmarkEnd w:id="68"/>
    </w:p>
    <w:p w14:paraId="2E2BC9D9" w14:textId="77777777" w:rsidR="00FF14F1" w:rsidRPr="00FF14F1" w:rsidRDefault="00FF14F1" w:rsidP="00611A68">
      <w:pPr>
        <w:pStyle w:val="Body"/>
        <w:numPr>
          <w:ilvl w:val="0"/>
          <w:numId w:val="44"/>
        </w:numPr>
      </w:pPr>
      <w:bookmarkStart w:id="69" w:name="c29574d8a3323cb795c0684b598c6670_ref"/>
      <w:r w:rsidRPr="00FF14F1">
        <w:t xml:space="preserve">Demers, M., &amp; </w:t>
      </w:r>
      <w:proofErr w:type="spellStart"/>
      <w:r w:rsidRPr="00FF14F1">
        <w:t>Winstein</w:t>
      </w:r>
      <w:proofErr w:type="spellEnd"/>
      <w:r w:rsidRPr="00FF14F1">
        <w:t xml:space="preserve">, C. J. (2020). A perspective on the use of ecological momentary assessment and intervention to promote stroke recovery and rehabilitation. </w:t>
      </w:r>
      <w:r w:rsidRPr="00FF14F1">
        <w:rPr>
          <w:i/>
          <w:iCs/>
        </w:rPr>
        <w:t>Topics in Stroke Rehabilitation</w:t>
      </w:r>
      <w:r w:rsidRPr="00FF14F1">
        <w:t xml:space="preserve">, </w:t>
      </w:r>
      <w:r w:rsidRPr="00FF14F1">
        <w:rPr>
          <w:i/>
          <w:iCs/>
        </w:rPr>
        <w:t>28</w:t>
      </w:r>
      <w:r w:rsidRPr="00FF14F1">
        <w:t>(8), 594–605. https://doi.org/10.1080/10749357.2020.1856557</w:t>
      </w:r>
      <w:bookmarkEnd w:id="69"/>
    </w:p>
    <w:p w14:paraId="60EB5189" w14:textId="77777777" w:rsidR="00FF14F1" w:rsidRPr="00FF14F1" w:rsidRDefault="00FF14F1" w:rsidP="00611A68">
      <w:pPr>
        <w:pStyle w:val="Body"/>
        <w:numPr>
          <w:ilvl w:val="0"/>
          <w:numId w:val="44"/>
        </w:numPr>
      </w:pPr>
      <w:proofErr w:type="spellStart"/>
      <w:r w:rsidRPr="00FF14F1">
        <w:t>Dobkin</w:t>
      </w:r>
      <w:proofErr w:type="spellEnd"/>
      <w:r w:rsidRPr="00FF14F1">
        <w:t xml:space="preserve">, B. H. (2013). Wearable motion sensors to continuously measure real-world physical activities. </w:t>
      </w:r>
      <w:r w:rsidRPr="00FF14F1">
        <w:rPr>
          <w:i/>
          <w:iCs/>
        </w:rPr>
        <w:t>Current Opinion in Neurology</w:t>
      </w:r>
      <w:r w:rsidRPr="00FF14F1">
        <w:t xml:space="preserve">, </w:t>
      </w:r>
      <w:r w:rsidRPr="00FF14F1">
        <w:rPr>
          <w:i/>
          <w:iCs/>
        </w:rPr>
        <w:t>26</w:t>
      </w:r>
      <w:r w:rsidRPr="00FF14F1">
        <w:t>(6), 602–608. https://doi.org/10.1097/wco.0000000000000026</w:t>
      </w:r>
      <w:bookmarkStart w:id="70" w:name="9e3c566a639438c18f6f1ac3294b0db4_ref"/>
      <w:bookmarkEnd w:id="70"/>
    </w:p>
    <w:p w14:paraId="3EA3EE74" w14:textId="77777777" w:rsidR="00FF14F1" w:rsidRPr="00FF14F1" w:rsidRDefault="00FF14F1" w:rsidP="00611A68">
      <w:pPr>
        <w:pStyle w:val="Body"/>
        <w:numPr>
          <w:ilvl w:val="0"/>
          <w:numId w:val="44"/>
        </w:numPr>
      </w:pPr>
      <w:bookmarkStart w:id="71" w:name="f5866f6597b03e1398689cc7e3a3a640_ref"/>
      <w:proofErr w:type="spellStart"/>
      <w:r w:rsidRPr="00FF14F1">
        <w:t>Elhaddad</w:t>
      </w:r>
      <w:proofErr w:type="spellEnd"/>
      <w:r w:rsidRPr="00FF14F1">
        <w:t xml:space="preserve">, M., &amp; </w:t>
      </w:r>
      <w:proofErr w:type="spellStart"/>
      <w:r w:rsidRPr="00FF14F1">
        <w:t>Hamam</w:t>
      </w:r>
      <w:proofErr w:type="spellEnd"/>
      <w:r w:rsidRPr="00FF14F1">
        <w:t xml:space="preserve">, S. (2024). AI-Driven Clinical Decision Support Systems: An Ongoing Pursuit of Potential. </w:t>
      </w:r>
      <w:proofErr w:type="spellStart"/>
      <w:r w:rsidRPr="00FF14F1">
        <w:rPr>
          <w:i/>
          <w:iCs/>
        </w:rPr>
        <w:t>Cureus</w:t>
      </w:r>
      <w:proofErr w:type="spellEnd"/>
      <w:r w:rsidRPr="00FF14F1">
        <w:t xml:space="preserve">, </w:t>
      </w:r>
      <w:r w:rsidRPr="00FF14F1">
        <w:rPr>
          <w:i/>
          <w:iCs/>
        </w:rPr>
        <w:t>16</w:t>
      </w:r>
      <w:r w:rsidRPr="00FF14F1">
        <w:t>(4). https://doi.org/10.7759/cureus.57728</w:t>
      </w:r>
      <w:bookmarkEnd w:id="71"/>
    </w:p>
    <w:p w14:paraId="31FFB162" w14:textId="77777777" w:rsidR="00FF14F1" w:rsidRPr="00FF14F1" w:rsidRDefault="00FF14F1" w:rsidP="00611A68">
      <w:pPr>
        <w:pStyle w:val="Body"/>
        <w:numPr>
          <w:ilvl w:val="0"/>
          <w:numId w:val="44"/>
        </w:numPr>
      </w:pPr>
      <w:r w:rsidRPr="00FF14F1">
        <w:t xml:space="preserve">Erickson, K. I., </w:t>
      </w:r>
      <w:proofErr w:type="spellStart"/>
      <w:r w:rsidRPr="00FF14F1">
        <w:t>Banducci</w:t>
      </w:r>
      <w:proofErr w:type="spellEnd"/>
      <w:r w:rsidRPr="00FF14F1">
        <w:t xml:space="preserve">, S. E., Weinstein, A. M., Macdonald, A. W., Halder, I., </w:t>
      </w:r>
      <w:proofErr w:type="spellStart"/>
      <w:r w:rsidRPr="00FF14F1">
        <w:t>Manuck</w:t>
      </w:r>
      <w:proofErr w:type="spellEnd"/>
      <w:r w:rsidRPr="00FF14F1">
        <w:t xml:space="preserve">, S. B., Flory, J. D., &amp; Ferrell, R. E. (2013). The Brain-Derived Neurotrophic Factor Val66Met Polymorphism Moderates an Effect of Physical Activity on Working Memory Performance. </w:t>
      </w:r>
      <w:r w:rsidRPr="00FF14F1">
        <w:rPr>
          <w:i/>
          <w:iCs/>
        </w:rPr>
        <w:t>Psychological Science</w:t>
      </w:r>
      <w:r w:rsidRPr="00FF14F1">
        <w:t xml:space="preserve">, </w:t>
      </w:r>
      <w:r w:rsidRPr="00FF14F1">
        <w:rPr>
          <w:i/>
          <w:iCs/>
        </w:rPr>
        <w:t>24</w:t>
      </w:r>
      <w:r w:rsidRPr="00FF14F1">
        <w:t>(9), 1770–1779. https://doi.org/10.1177/0956797613480367</w:t>
      </w:r>
      <w:bookmarkStart w:id="72" w:name="71f04bf9e9f730c1a35a36b8d1e7acb3_ref"/>
      <w:bookmarkEnd w:id="72"/>
    </w:p>
    <w:p w14:paraId="3944BCE4" w14:textId="77777777" w:rsidR="00FF14F1" w:rsidRPr="00FF14F1" w:rsidRDefault="00FF14F1" w:rsidP="00611A68">
      <w:pPr>
        <w:pStyle w:val="Body"/>
        <w:numPr>
          <w:ilvl w:val="0"/>
          <w:numId w:val="44"/>
        </w:numPr>
      </w:pPr>
      <w:r w:rsidRPr="00FF14F1">
        <w:t xml:space="preserve">Falcon, M. I., Elinor Chen, E., </w:t>
      </w:r>
      <w:proofErr w:type="spellStart"/>
      <w:r w:rsidRPr="00FF14F1">
        <w:t>Jirsa</w:t>
      </w:r>
      <w:proofErr w:type="spellEnd"/>
      <w:r w:rsidRPr="00FF14F1">
        <w:t xml:space="preserve">, V., Riley, J. D., </w:t>
      </w:r>
      <w:proofErr w:type="spellStart"/>
      <w:r w:rsidRPr="00FF14F1">
        <w:t>Solodkin</w:t>
      </w:r>
      <w:proofErr w:type="spellEnd"/>
      <w:r w:rsidRPr="00FF14F1">
        <w:t xml:space="preserve">, A., &amp; Mcintosh, A. R. (2016). Functional Mechanisms of Recovery after Chronic Stroke: Modeling with the Virtual Brain123. </w:t>
      </w:r>
      <w:proofErr w:type="spellStart"/>
      <w:r w:rsidRPr="00FF14F1">
        <w:rPr>
          <w:i/>
          <w:iCs/>
        </w:rPr>
        <w:t>eNeuro</w:t>
      </w:r>
      <w:proofErr w:type="spellEnd"/>
      <w:r w:rsidRPr="00FF14F1">
        <w:t xml:space="preserve">, </w:t>
      </w:r>
      <w:r w:rsidRPr="00FF14F1">
        <w:rPr>
          <w:i/>
          <w:iCs/>
        </w:rPr>
        <w:t>3</w:t>
      </w:r>
      <w:r w:rsidRPr="00FF14F1">
        <w:t>(2), ENEURO.0158-15.2016. https://doi.org/10.1523/eneuro.0158-15.2016</w:t>
      </w:r>
      <w:bookmarkStart w:id="73" w:name="1f0b021f4a1e3b87b0c394bf656d5093_ref"/>
      <w:bookmarkEnd w:id="73"/>
    </w:p>
    <w:p w14:paraId="1D0F4AD3" w14:textId="77777777" w:rsidR="00FF14F1" w:rsidRPr="00FF14F1" w:rsidRDefault="00FF14F1" w:rsidP="00611A68">
      <w:pPr>
        <w:pStyle w:val="Body"/>
        <w:numPr>
          <w:ilvl w:val="0"/>
          <w:numId w:val="44"/>
        </w:numPr>
      </w:pPr>
      <w:r w:rsidRPr="00FF14F1">
        <w:t xml:space="preserve">Feng, W., Wang, J., </w:t>
      </w:r>
      <w:proofErr w:type="spellStart"/>
      <w:r w:rsidRPr="00FF14F1">
        <w:t>Schlaug</w:t>
      </w:r>
      <w:proofErr w:type="spellEnd"/>
      <w:r w:rsidRPr="00FF14F1">
        <w:t xml:space="preserve">, G., </w:t>
      </w:r>
      <w:proofErr w:type="spellStart"/>
      <w:r w:rsidRPr="00FF14F1">
        <w:t>Landsittel</w:t>
      </w:r>
      <w:proofErr w:type="spellEnd"/>
      <w:r w:rsidRPr="00FF14F1">
        <w:t xml:space="preserve">, D., </w:t>
      </w:r>
      <w:proofErr w:type="spellStart"/>
      <w:r w:rsidRPr="00FF14F1">
        <w:t>Lioutas</w:t>
      </w:r>
      <w:proofErr w:type="spellEnd"/>
      <w:r w:rsidRPr="00FF14F1">
        <w:t xml:space="preserve">, V., Doughty, C., Kautz, S. A., &amp; </w:t>
      </w:r>
      <w:proofErr w:type="spellStart"/>
      <w:r w:rsidRPr="00FF14F1">
        <w:t>Chhatbar</w:t>
      </w:r>
      <w:proofErr w:type="spellEnd"/>
      <w:r w:rsidRPr="00FF14F1">
        <w:t xml:space="preserve">, P. Y. (2015). Corticospinal tract lesion load: An imaging biomarker for stroke motor outcomes. </w:t>
      </w:r>
      <w:r w:rsidRPr="00FF14F1">
        <w:rPr>
          <w:i/>
          <w:iCs/>
        </w:rPr>
        <w:t>Annals of Neurology</w:t>
      </w:r>
      <w:r w:rsidRPr="00FF14F1">
        <w:t xml:space="preserve">, </w:t>
      </w:r>
      <w:r w:rsidRPr="00FF14F1">
        <w:rPr>
          <w:i/>
          <w:iCs/>
        </w:rPr>
        <w:t>78</w:t>
      </w:r>
      <w:r w:rsidRPr="00FF14F1">
        <w:t>(6), 860–870</w:t>
      </w:r>
      <w:r w:rsidRPr="00611A68">
        <w:t>. https://doi.org/10.1002/ana.24510</w:t>
      </w:r>
      <w:bookmarkStart w:id="74" w:name="7fad606266683891b1440c4a48897a4d_ref"/>
      <w:bookmarkEnd w:id="74"/>
    </w:p>
    <w:p w14:paraId="6EB64BE1" w14:textId="77777777" w:rsidR="00FF14F1" w:rsidRPr="00FF14F1" w:rsidRDefault="00FF14F1" w:rsidP="00611A68">
      <w:pPr>
        <w:pStyle w:val="Body"/>
        <w:numPr>
          <w:ilvl w:val="0"/>
          <w:numId w:val="44"/>
        </w:numPr>
      </w:pPr>
      <w:r w:rsidRPr="00FF14F1">
        <w:t xml:space="preserve">Ferrari, F., Rossi, D., </w:t>
      </w:r>
      <w:proofErr w:type="spellStart"/>
      <w:r w:rsidRPr="00FF14F1">
        <w:t>Lisi</w:t>
      </w:r>
      <w:proofErr w:type="spellEnd"/>
      <w:r w:rsidRPr="00FF14F1">
        <w:t xml:space="preserve">, C., Ricciardi, A., </w:t>
      </w:r>
      <w:proofErr w:type="spellStart"/>
      <w:r w:rsidRPr="00FF14F1">
        <w:t>Morasso</w:t>
      </w:r>
      <w:proofErr w:type="spellEnd"/>
      <w:r w:rsidRPr="00FF14F1">
        <w:t xml:space="preserve">, C., Brambilla, L., </w:t>
      </w:r>
      <w:proofErr w:type="spellStart"/>
      <w:r w:rsidRPr="00FF14F1">
        <w:t>Albasini</w:t>
      </w:r>
      <w:proofErr w:type="spellEnd"/>
      <w:r w:rsidRPr="00FF14F1">
        <w:t xml:space="preserve">, S., Vanna, R., </w:t>
      </w:r>
      <w:proofErr w:type="spellStart"/>
      <w:r w:rsidRPr="00FF14F1">
        <w:t>Fassio</w:t>
      </w:r>
      <w:proofErr w:type="spellEnd"/>
      <w:r w:rsidRPr="00FF14F1">
        <w:t xml:space="preserve">, C., </w:t>
      </w:r>
      <w:proofErr w:type="spellStart"/>
      <w:r w:rsidRPr="00FF14F1">
        <w:t>Begenisic</w:t>
      </w:r>
      <w:proofErr w:type="spellEnd"/>
      <w:r w:rsidRPr="00FF14F1">
        <w:t xml:space="preserve">, T., </w:t>
      </w:r>
      <w:proofErr w:type="spellStart"/>
      <w:r w:rsidRPr="00FF14F1">
        <w:t>Loi</w:t>
      </w:r>
      <w:proofErr w:type="spellEnd"/>
      <w:r w:rsidRPr="00FF14F1">
        <w:t xml:space="preserve">, M., </w:t>
      </w:r>
      <w:proofErr w:type="spellStart"/>
      <w:r w:rsidRPr="00FF14F1">
        <w:t>Bossi</w:t>
      </w:r>
      <w:proofErr w:type="spellEnd"/>
      <w:r w:rsidRPr="00FF14F1">
        <w:t xml:space="preserve">, D., </w:t>
      </w:r>
      <w:proofErr w:type="spellStart"/>
      <w:r w:rsidRPr="00FF14F1">
        <w:t>Zaliani</w:t>
      </w:r>
      <w:proofErr w:type="spellEnd"/>
      <w:r w:rsidRPr="00FF14F1">
        <w:t xml:space="preserve">, A., Alberici, E., </w:t>
      </w:r>
      <w:proofErr w:type="spellStart"/>
      <w:r w:rsidRPr="00FF14F1">
        <w:t>Morotti</w:t>
      </w:r>
      <w:proofErr w:type="spellEnd"/>
      <w:r w:rsidRPr="00FF14F1">
        <w:t xml:space="preserve">, A., </w:t>
      </w:r>
      <w:proofErr w:type="spellStart"/>
      <w:r w:rsidRPr="00FF14F1">
        <w:t>Cavallini</w:t>
      </w:r>
      <w:proofErr w:type="spellEnd"/>
      <w:r w:rsidRPr="00FF14F1">
        <w:t xml:space="preserve">, A., </w:t>
      </w:r>
      <w:proofErr w:type="spellStart"/>
      <w:r w:rsidRPr="00FF14F1">
        <w:t>Mazzacane</w:t>
      </w:r>
      <w:proofErr w:type="spellEnd"/>
      <w:r w:rsidRPr="00FF14F1">
        <w:t xml:space="preserve">, F., Nardone, A., </w:t>
      </w:r>
      <w:proofErr w:type="spellStart"/>
      <w:r w:rsidRPr="00FF14F1">
        <w:t>Corsi</w:t>
      </w:r>
      <w:proofErr w:type="spellEnd"/>
      <w:r w:rsidRPr="00FF14F1">
        <w:t xml:space="preserve">, F., &amp; </w:t>
      </w:r>
      <w:proofErr w:type="spellStart"/>
      <w:r w:rsidRPr="00FF14F1">
        <w:t>Truffi</w:t>
      </w:r>
      <w:proofErr w:type="spellEnd"/>
      <w:r w:rsidRPr="00FF14F1">
        <w:t xml:space="preserve">, M. (2023). Quantification and prospective evaluation of serum </w:t>
      </w:r>
      <w:proofErr w:type="spellStart"/>
      <w:r w:rsidRPr="00FF14F1">
        <w:t>NfL</w:t>
      </w:r>
      <w:proofErr w:type="spellEnd"/>
      <w:r w:rsidRPr="00FF14F1">
        <w:t xml:space="preserve"> and GFAP as blood-derived biomarkers of outcome in acute ischemic stroke patients. </w:t>
      </w:r>
      <w:r w:rsidRPr="00FF14F1">
        <w:rPr>
          <w:i/>
          <w:iCs/>
        </w:rPr>
        <w:t>Journal of Cerebral Blood Flow &amp;amp; Metabolism</w:t>
      </w:r>
      <w:r w:rsidRPr="00FF14F1">
        <w:t xml:space="preserve">, </w:t>
      </w:r>
      <w:r w:rsidRPr="00FF14F1">
        <w:rPr>
          <w:i/>
          <w:iCs/>
        </w:rPr>
        <w:t>43</w:t>
      </w:r>
      <w:r w:rsidRPr="00FF14F1">
        <w:t>(9), 1601–1611. https://doi.org/10.1177/0271678x231172520</w:t>
      </w:r>
      <w:bookmarkStart w:id="75" w:name="64eafcd723343482bd49c823d6437a0b_ref"/>
      <w:bookmarkEnd w:id="75"/>
    </w:p>
    <w:p w14:paraId="6289DEA9" w14:textId="77777777" w:rsidR="00FF14F1" w:rsidRPr="00FF14F1" w:rsidRDefault="00FF14F1" w:rsidP="00611A68">
      <w:pPr>
        <w:pStyle w:val="Body"/>
        <w:numPr>
          <w:ilvl w:val="0"/>
          <w:numId w:val="44"/>
        </w:numPr>
      </w:pPr>
      <w:r w:rsidRPr="00FF14F1">
        <w:t xml:space="preserve">Forkel, S. J., &amp; Catani, M. (2018). Lesion mapping in acute stroke aphasia and its implications for recovery. </w:t>
      </w:r>
      <w:proofErr w:type="spellStart"/>
      <w:r w:rsidRPr="00FF14F1">
        <w:rPr>
          <w:i/>
          <w:iCs/>
        </w:rPr>
        <w:t>Neuropsychologia</w:t>
      </w:r>
      <w:proofErr w:type="spellEnd"/>
      <w:r w:rsidRPr="00FF14F1">
        <w:t xml:space="preserve">, </w:t>
      </w:r>
      <w:r w:rsidRPr="00FF14F1">
        <w:rPr>
          <w:i/>
          <w:iCs/>
        </w:rPr>
        <w:t>115</w:t>
      </w:r>
      <w:r w:rsidRPr="00FF14F1">
        <w:t>(80), 88–100. https://doi.org/10.1016/j.neuropsychologia.2018.03.036</w:t>
      </w:r>
      <w:bookmarkStart w:id="76" w:name="5c27cabd9d4a339682b8290a9a10d5a2_ref"/>
      <w:bookmarkEnd w:id="76"/>
    </w:p>
    <w:p w14:paraId="5E2FF733" w14:textId="77777777" w:rsidR="00FF14F1" w:rsidRPr="00FF14F1" w:rsidRDefault="00FF14F1" w:rsidP="00611A68">
      <w:pPr>
        <w:pStyle w:val="Body"/>
        <w:numPr>
          <w:ilvl w:val="0"/>
          <w:numId w:val="44"/>
        </w:numPr>
      </w:pPr>
      <w:bookmarkStart w:id="77" w:name="e18a0fa889643f158eaa5d58f0433155_ref"/>
      <w:r w:rsidRPr="00FF14F1">
        <w:t xml:space="preserve">Forrester, M., Crofts, J. J., Sotiropoulos, S. N., Coombes, S., &amp; O’Dea, R. D. (2020). The role of node dynamics in shaping emergent functional connectivity patterns in </w:t>
      </w:r>
      <w:r w:rsidRPr="00FF14F1">
        <w:lastRenderedPageBreak/>
        <w:t xml:space="preserve">the brain. </w:t>
      </w:r>
      <w:r w:rsidRPr="00FF14F1">
        <w:rPr>
          <w:i/>
          <w:iCs/>
        </w:rPr>
        <w:t>Network Neuroscience</w:t>
      </w:r>
      <w:r w:rsidRPr="00FF14F1">
        <w:t xml:space="preserve">, </w:t>
      </w:r>
      <w:r w:rsidRPr="00FF14F1">
        <w:rPr>
          <w:i/>
          <w:iCs/>
        </w:rPr>
        <w:t>4</w:t>
      </w:r>
      <w:r w:rsidRPr="00FF14F1">
        <w:t>(2), 467–483. https://doi.org/10.1162/netn_a_00130</w:t>
      </w:r>
      <w:bookmarkEnd w:id="77"/>
    </w:p>
    <w:p w14:paraId="712B3864" w14:textId="77777777" w:rsidR="00FF14F1" w:rsidRPr="00FF14F1" w:rsidRDefault="00FF14F1" w:rsidP="00611A68">
      <w:pPr>
        <w:pStyle w:val="Body"/>
        <w:numPr>
          <w:ilvl w:val="0"/>
          <w:numId w:val="44"/>
        </w:numPr>
      </w:pPr>
      <w:r w:rsidRPr="00FF14F1">
        <w:t xml:space="preserve">French, M. A., Morton, S. M., </w:t>
      </w:r>
      <w:proofErr w:type="spellStart"/>
      <w:r w:rsidRPr="00FF14F1">
        <w:t>Pohlig</w:t>
      </w:r>
      <w:proofErr w:type="spellEnd"/>
      <w:r w:rsidRPr="00FF14F1">
        <w:t xml:space="preserve">, R. T., &amp; Reisman, D. S. (2018). The relationship between BDNF Val66Met polymorphism and functional mobility in chronic stroke survivors. </w:t>
      </w:r>
      <w:r w:rsidRPr="00FF14F1">
        <w:rPr>
          <w:i/>
          <w:iCs/>
        </w:rPr>
        <w:t>Topics in Stroke Rehabilitation</w:t>
      </w:r>
      <w:r w:rsidRPr="00FF14F1">
        <w:t xml:space="preserve">, </w:t>
      </w:r>
      <w:r w:rsidRPr="00FF14F1">
        <w:rPr>
          <w:i/>
          <w:iCs/>
        </w:rPr>
        <w:t>25</w:t>
      </w:r>
      <w:r w:rsidRPr="00FF14F1">
        <w:t>(4), 276–280. https://doi.org/10.1080/10749357.2018.1437938</w:t>
      </w:r>
      <w:bookmarkStart w:id="78" w:name="31562cff355e3b3f9099b485538d3549_ref"/>
      <w:bookmarkEnd w:id="78"/>
    </w:p>
    <w:p w14:paraId="221F3E81" w14:textId="77777777" w:rsidR="00FF14F1" w:rsidRPr="00FF14F1" w:rsidRDefault="00FF14F1" w:rsidP="00611A68">
      <w:pPr>
        <w:pStyle w:val="Body"/>
        <w:numPr>
          <w:ilvl w:val="0"/>
          <w:numId w:val="44"/>
        </w:numPr>
      </w:pPr>
      <w:r w:rsidRPr="00FF14F1">
        <w:t xml:space="preserve">Gaetani, L., </w:t>
      </w:r>
      <w:proofErr w:type="spellStart"/>
      <w:r w:rsidRPr="00FF14F1">
        <w:t>Blennow</w:t>
      </w:r>
      <w:proofErr w:type="spellEnd"/>
      <w:r w:rsidRPr="00FF14F1">
        <w:t xml:space="preserve">, K., </w:t>
      </w:r>
      <w:proofErr w:type="spellStart"/>
      <w:r w:rsidRPr="00FF14F1">
        <w:t>Calabresi</w:t>
      </w:r>
      <w:proofErr w:type="spellEnd"/>
      <w:r w:rsidRPr="00FF14F1">
        <w:t xml:space="preserve">, P., Di Filippo, M., </w:t>
      </w:r>
      <w:proofErr w:type="spellStart"/>
      <w:r w:rsidRPr="00FF14F1">
        <w:t>Parnetti</w:t>
      </w:r>
      <w:proofErr w:type="spellEnd"/>
      <w:r w:rsidRPr="00FF14F1">
        <w:t xml:space="preserve">, L., &amp; Zetterberg, H. (2019). Neurofilament light chain as a biomarker in neurological disorders. </w:t>
      </w:r>
      <w:r w:rsidRPr="00FF14F1">
        <w:rPr>
          <w:i/>
          <w:iCs/>
        </w:rPr>
        <w:t>Journal of Neurology, Neurosurgery &amp; Psychiatry</w:t>
      </w:r>
      <w:r w:rsidRPr="00FF14F1">
        <w:t xml:space="preserve">, </w:t>
      </w:r>
      <w:r w:rsidRPr="00FF14F1">
        <w:rPr>
          <w:i/>
          <w:iCs/>
        </w:rPr>
        <w:t>90</w:t>
      </w:r>
      <w:r w:rsidRPr="00FF14F1">
        <w:t>(8), 870–881. https://doi.org/10.1136/jnnp-2018-320106</w:t>
      </w:r>
      <w:bookmarkStart w:id="79" w:name="96bb648e353439709dc0ec397eed472c_ref"/>
      <w:bookmarkEnd w:id="79"/>
    </w:p>
    <w:p w14:paraId="23AD9D2D" w14:textId="77777777" w:rsidR="00FF14F1" w:rsidRPr="00FF14F1" w:rsidRDefault="00FF14F1" w:rsidP="00611A68">
      <w:pPr>
        <w:pStyle w:val="Body"/>
        <w:numPr>
          <w:ilvl w:val="0"/>
          <w:numId w:val="44"/>
        </w:numPr>
      </w:pPr>
      <w:r w:rsidRPr="00FF14F1">
        <w:t xml:space="preserve">Giordano, A., </w:t>
      </w:r>
      <w:proofErr w:type="spellStart"/>
      <w:r w:rsidRPr="00FF14F1">
        <w:t>Clarelli</w:t>
      </w:r>
      <w:proofErr w:type="spellEnd"/>
      <w:r w:rsidRPr="00FF14F1">
        <w:t xml:space="preserve">, F., Cannizzaro, M., </w:t>
      </w:r>
      <w:proofErr w:type="spellStart"/>
      <w:r w:rsidRPr="00FF14F1">
        <w:t>Mascia</w:t>
      </w:r>
      <w:proofErr w:type="spellEnd"/>
      <w:r w:rsidRPr="00FF14F1">
        <w:t xml:space="preserve">, E., Santoro, S., </w:t>
      </w:r>
      <w:proofErr w:type="spellStart"/>
      <w:r w:rsidRPr="00FF14F1">
        <w:t>Sorosina</w:t>
      </w:r>
      <w:proofErr w:type="spellEnd"/>
      <w:r w:rsidRPr="00FF14F1">
        <w:t xml:space="preserve">, M., </w:t>
      </w:r>
      <w:proofErr w:type="spellStart"/>
      <w:r w:rsidRPr="00FF14F1">
        <w:t>Ferrè</w:t>
      </w:r>
      <w:proofErr w:type="spellEnd"/>
      <w:r w:rsidRPr="00FF14F1">
        <w:t xml:space="preserve">, L., </w:t>
      </w:r>
      <w:proofErr w:type="spellStart"/>
      <w:r w:rsidRPr="00FF14F1">
        <w:t>Leocani</w:t>
      </w:r>
      <w:proofErr w:type="spellEnd"/>
      <w:r w:rsidRPr="00FF14F1">
        <w:t xml:space="preserve">, L., &amp; Esposito, F. (2022). BDNF Val66Met Polymorphism Is Associated </w:t>
      </w:r>
      <w:proofErr w:type="gramStart"/>
      <w:r w:rsidRPr="00FF14F1">
        <w:t>With</w:t>
      </w:r>
      <w:proofErr w:type="gramEnd"/>
      <w:r w:rsidRPr="00FF14F1">
        <w:t xml:space="preserve"> Motor Recovery After Rehabilitation in Progressive Multiple Sclerosis Patients. </w:t>
      </w:r>
      <w:r w:rsidRPr="00FF14F1">
        <w:rPr>
          <w:i/>
          <w:iCs/>
        </w:rPr>
        <w:t>Frontiers in Neurology</w:t>
      </w:r>
      <w:r w:rsidRPr="00FF14F1">
        <w:t xml:space="preserve">, </w:t>
      </w:r>
      <w:r w:rsidRPr="00FF14F1">
        <w:rPr>
          <w:i/>
          <w:iCs/>
        </w:rPr>
        <w:t>13</w:t>
      </w:r>
      <w:r w:rsidRPr="00FF14F1">
        <w:t>. https://doi.org/10.3389/fneur.2022.790360</w:t>
      </w:r>
      <w:bookmarkStart w:id="80" w:name="820f17078b533748a7d5efb1785dfa21_ref"/>
      <w:bookmarkEnd w:id="80"/>
    </w:p>
    <w:p w14:paraId="567397AB" w14:textId="77777777" w:rsidR="00FF14F1" w:rsidRPr="00FF14F1" w:rsidRDefault="00FF14F1" w:rsidP="00611A68">
      <w:pPr>
        <w:pStyle w:val="Body"/>
        <w:numPr>
          <w:ilvl w:val="0"/>
          <w:numId w:val="44"/>
        </w:numPr>
      </w:pPr>
      <w:proofErr w:type="spellStart"/>
      <w:r w:rsidRPr="00FF14F1">
        <w:t>Gkintoni</w:t>
      </w:r>
      <w:proofErr w:type="spellEnd"/>
      <w:r w:rsidRPr="00FF14F1">
        <w:t xml:space="preserve">, E., </w:t>
      </w:r>
      <w:proofErr w:type="spellStart"/>
      <w:r w:rsidRPr="00FF14F1">
        <w:t>Aroutzidis</w:t>
      </w:r>
      <w:proofErr w:type="spellEnd"/>
      <w:r w:rsidRPr="00FF14F1">
        <w:t xml:space="preserve">, A., </w:t>
      </w:r>
      <w:proofErr w:type="spellStart"/>
      <w:r w:rsidRPr="00FF14F1">
        <w:t>Antonopoulou</w:t>
      </w:r>
      <w:proofErr w:type="spellEnd"/>
      <w:r w:rsidRPr="00FF14F1">
        <w:t xml:space="preserve">, H., &amp; </w:t>
      </w:r>
      <w:proofErr w:type="spellStart"/>
      <w:r w:rsidRPr="00FF14F1">
        <w:t>Halkiopoulos</w:t>
      </w:r>
      <w:proofErr w:type="spellEnd"/>
      <w:r w:rsidRPr="00FF14F1">
        <w:t xml:space="preserve">, C. (2025). From Neural Networks to Emotional Networks: A Systematic Review of EEG-Based Emotion Recognition in Cognitive Neuroscience and Real-World Applications. </w:t>
      </w:r>
      <w:r w:rsidRPr="00FF14F1">
        <w:rPr>
          <w:i/>
          <w:iCs/>
        </w:rPr>
        <w:t>Brain Sciences</w:t>
      </w:r>
      <w:r w:rsidRPr="00FF14F1">
        <w:t xml:space="preserve">, </w:t>
      </w:r>
      <w:r w:rsidRPr="00FF14F1">
        <w:rPr>
          <w:i/>
          <w:iCs/>
        </w:rPr>
        <w:t>15</w:t>
      </w:r>
      <w:r w:rsidRPr="00FF14F1">
        <w:t>(3), 220. https://doi.org/10.3390/brainsci15030220</w:t>
      </w:r>
      <w:bookmarkStart w:id="81" w:name="17a836eeebdf37cea5579df59308ba3c_ref"/>
      <w:bookmarkEnd w:id="81"/>
    </w:p>
    <w:p w14:paraId="2B8E7089" w14:textId="77777777" w:rsidR="00FF14F1" w:rsidRPr="00FF14F1" w:rsidRDefault="00FF14F1" w:rsidP="00611A68">
      <w:pPr>
        <w:pStyle w:val="Body"/>
        <w:numPr>
          <w:ilvl w:val="0"/>
          <w:numId w:val="44"/>
        </w:numPr>
      </w:pPr>
      <w:proofErr w:type="spellStart"/>
      <w:r w:rsidRPr="00FF14F1">
        <w:t>Gkintoni</w:t>
      </w:r>
      <w:proofErr w:type="spellEnd"/>
      <w:r w:rsidRPr="00FF14F1">
        <w:t xml:space="preserve">, E., &amp; </w:t>
      </w:r>
      <w:proofErr w:type="spellStart"/>
      <w:r w:rsidRPr="00FF14F1">
        <w:t>Halkiopoulos</w:t>
      </w:r>
      <w:proofErr w:type="spellEnd"/>
      <w:r w:rsidRPr="00FF14F1">
        <w:t xml:space="preserve">, C. (2025). Digital Twin Cognition: AI-Biomarker Integration in Biomimetic Neuropsychology. </w:t>
      </w:r>
      <w:r w:rsidRPr="00FF14F1">
        <w:rPr>
          <w:i/>
          <w:iCs/>
        </w:rPr>
        <w:t>Biomimetics</w:t>
      </w:r>
      <w:r w:rsidRPr="00FF14F1">
        <w:t xml:space="preserve">, </w:t>
      </w:r>
      <w:r w:rsidRPr="00FF14F1">
        <w:rPr>
          <w:i/>
          <w:iCs/>
        </w:rPr>
        <w:t>10</w:t>
      </w:r>
      <w:r w:rsidRPr="00FF14F1">
        <w:t>(10). https://doi.org/10.3390/biomimetics10100640</w:t>
      </w:r>
      <w:bookmarkStart w:id="82" w:name="5e4468f4e3963bb7aa81bdc904c8fea3_ref"/>
      <w:bookmarkEnd w:id="82"/>
    </w:p>
    <w:p w14:paraId="12800373" w14:textId="77777777" w:rsidR="00FF14F1" w:rsidRPr="00FF14F1" w:rsidRDefault="00FF14F1" w:rsidP="00611A68">
      <w:pPr>
        <w:pStyle w:val="Body"/>
        <w:numPr>
          <w:ilvl w:val="0"/>
          <w:numId w:val="44"/>
        </w:numPr>
      </w:pPr>
      <w:proofErr w:type="spellStart"/>
      <w:r w:rsidRPr="00FF14F1">
        <w:t>Gkintoni</w:t>
      </w:r>
      <w:proofErr w:type="spellEnd"/>
      <w:r w:rsidRPr="00FF14F1">
        <w:t xml:space="preserve">, E., Vassilopoulos, S. P., Nikolaou, G., &amp; </w:t>
      </w:r>
      <w:proofErr w:type="spellStart"/>
      <w:r w:rsidRPr="00FF14F1">
        <w:t>Vantarakis</w:t>
      </w:r>
      <w:proofErr w:type="spellEnd"/>
      <w:r w:rsidRPr="00FF14F1">
        <w:t xml:space="preserve">, A. (2025). Neurotechnological Approaches to Cognitive Rehabilitation in Mild Cognitive Impairment: A Systematic Review of Neuromodulation, EEG, Virtual Reality, and Emerging AI Applications. </w:t>
      </w:r>
      <w:r w:rsidRPr="00FF14F1">
        <w:rPr>
          <w:i/>
          <w:iCs/>
        </w:rPr>
        <w:t>Brain Sciences</w:t>
      </w:r>
      <w:r w:rsidRPr="00FF14F1">
        <w:t xml:space="preserve">, </w:t>
      </w:r>
      <w:r w:rsidRPr="00FF14F1">
        <w:rPr>
          <w:i/>
          <w:iCs/>
        </w:rPr>
        <w:t>15</w:t>
      </w:r>
      <w:r w:rsidRPr="00FF14F1">
        <w:t>(6), 582. https://doi.org/10.3390/brainsci15060582</w:t>
      </w:r>
      <w:bookmarkStart w:id="83" w:name="7d34ab1f987732498582dd052e88b44d_ref"/>
      <w:bookmarkEnd w:id="83"/>
    </w:p>
    <w:p w14:paraId="541117C9" w14:textId="77777777" w:rsidR="00FF14F1" w:rsidRPr="00FF14F1" w:rsidRDefault="00FF14F1" w:rsidP="00611A68">
      <w:pPr>
        <w:pStyle w:val="Body"/>
        <w:numPr>
          <w:ilvl w:val="0"/>
          <w:numId w:val="44"/>
        </w:numPr>
      </w:pPr>
      <w:bookmarkStart w:id="84" w:name="dc945d1d111a3c12b63bbeb55ecfdf30_ref"/>
      <w:r w:rsidRPr="00FF14F1">
        <w:t xml:space="preserve">Haag, L., Starke, G., </w:t>
      </w:r>
      <w:proofErr w:type="spellStart"/>
      <w:r w:rsidRPr="00FF14F1">
        <w:t>Ploner</w:t>
      </w:r>
      <w:proofErr w:type="spellEnd"/>
      <w:r w:rsidRPr="00FF14F1">
        <w:t xml:space="preserve">, M., &amp; </w:t>
      </w:r>
      <w:proofErr w:type="spellStart"/>
      <w:r w:rsidRPr="00FF14F1">
        <w:t>Ienca</w:t>
      </w:r>
      <w:proofErr w:type="spellEnd"/>
      <w:r w:rsidRPr="00FF14F1">
        <w:t xml:space="preserve">, M. (2025). Ethical gaps in closed-loop neurotechnology: a scoping review. </w:t>
      </w:r>
      <w:r w:rsidRPr="00FF14F1">
        <w:rPr>
          <w:i/>
          <w:iCs/>
        </w:rPr>
        <w:t>NPJ Digital Medicine</w:t>
      </w:r>
      <w:r w:rsidRPr="00FF14F1">
        <w:t xml:space="preserve">, </w:t>
      </w:r>
      <w:r w:rsidRPr="00FF14F1">
        <w:rPr>
          <w:i/>
          <w:iCs/>
        </w:rPr>
        <w:t>8</w:t>
      </w:r>
      <w:r w:rsidRPr="00FF14F1">
        <w:t>(1). https://doi.org/10.1038/s41746-025-01908-4</w:t>
      </w:r>
      <w:bookmarkEnd w:id="84"/>
    </w:p>
    <w:p w14:paraId="2ECA5F06" w14:textId="77777777" w:rsidR="00FF14F1" w:rsidRPr="00FF14F1" w:rsidRDefault="00FF14F1" w:rsidP="00611A68">
      <w:pPr>
        <w:pStyle w:val="Body"/>
        <w:numPr>
          <w:ilvl w:val="0"/>
          <w:numId w:val="44"/>
        </w:numPr>
      </w:pPr>
      <w:r w:rsidRPr="00FF14F1">
        <w:t xml:space="preserve">Hu, J., Du, J., Xu, Q., Yang, F., Zeng, F., Weng, Y., Dai, X.-J., Qi, R., Liu, X., Lu, G., &amp; Zhang, Z. (2018). Dynamic Network Analysis Reveals Altered Temporal Variability in Brain Regions after Stroke: A Longitudinal Resting-State fMRI Study. </w:t>
      </w:r>
      <w:r w:rsidRPr="00FF14F1">
        <w:rPr>
          <w:i/>
          <w:iCs/>
        </w:rPr>
        <w:t>Neural Plasticity</w:t>
      </w:r>
      <w:r w:rsidRPr="00FF14F1">
        <w:t xml:space="preserve">, </w:t>
      </w:r>
      <w:r w:rsidRPr="00FF14F1">
        <w:rPr>
          <w:i/>
          <w:iCs/>
        </w:rPr>
        <w:t>2018</w:t>
      </w:r>
      <w:r w:rsidRPr="00FF14F1">
        <w:t>(7), 1–10. https://doi.org/10.1155/2018/9394156</w:t>
      </w:r>
      <w:bookmarkStart w:id="85" w:name="3c7e74e6b5533993bc46e943b0d37b6f_ref"/>
      <w:bookmarkEnd w:id="85"/>
    </w:p>
    <w:p w14:paraId="24AC3D53" w14:textId="77777777" w:rsidR="00FF14F1" w:rsidRPr="00FF14F1" w:rsidRDefault="00FF14F1" w:rsidP="00611A68">
      <w:pPr>
        <w:pStyle w:val="Body"/>
        <w:numPr>
          <w:ilvl w:val="0"/>
          <w:numId w:val="44"/>
        </w:numPr>
      </w:pPr>
      <w:r w:rsidRPr="00FF14F1">
        <w:t xml:space="preserve">Hummel, F. C., &amp; Cohen, L. G. (2005). Drivers of brain plasticity. </w:t>
      </w:r>
      <w:r w:rsidRPr="00FF14F1">
        <w:rPr>
          <w:i/>
          <w:iCs/>
        </w:rPr>
        <w:t>Current Opinion in Neurology</w:t>
      </w:r>
      <w:r w:rsidRPr="00FF14F1">
        <w:t xml:space="preserve">, </w:t>
      </w:r>
      <w:r w:rsidRPr="00FF14F1">
        <w:rPr>
          <w:i/>
          <w:iCs/>
        </w:rPr>
        <w:t>18</w:t>
      </w:r>
      <w:r w:rsidRPr="00FF14F1">
        <w:t>(6), 667–674. https://doi.org/10.1097/01.wco.0000189876.37475.42</w:t>
      </w:r>
      <w:bookmarkStart w:id="86" w:name="4de7ccc37fa9370495539f8f9a86e2df_ref"/>
      <w:bookmarkEnd w:id="86"/>
    </w:p>
    <w:p w14:paraId="7EB97250" w14:textId="4506FE93" w:rsidR="00FF14F1" w:rsidRPr="00FF14F1" w:rsidRDefault="00FF14F1" w:rsidP="00611A68">
      <w:pPr>
        <w:pStyle w:val="Body"/>
        <w:numPr>
          <w:ilvl w:val="0"/>
          <w:numId w:val="44"/>
        </w:numPr>
      </w:pPr>
      <w:bookmarkStart w:id="87" w:name="ca652a30f3ba3d20a187e658db037a6e_ref"/>
      <w:proofErr w:type="spellStart"/>
      <w:r w:rsidRPr="00FF14F1">
        <w:t>Jin</w:t>
      </w:r>
      <w:proofErr w:type="spellEnd"/>
      <w:r w:rsidRPr="00FF14F1">
        <w:t xml:space="preserve">, W., Zhu, X., Qian, L., Wu, C., Yang, F., Zhan, D., Kang, Z., Luo, K., Meng, D., &amp; Xu, G. (2024). Electroencephalogram-based adaptive closed-loop brain-computer interface in neurorehabilitation: a review. </w:t>
      </w:r>
      <w:r w:rsidRPr="00FF14F1">
        <w:rPr>
          <w:i/>
          <w:iCs/>
        </w:rPr>
        <w:t>Frontiers in Computational Neuroscience</w:t>
      </w:r>
      <w:r w:rsidRPr="00FF14F1">
        <w:t xml:space="preserve">, </w:t>
      </w:r>
      <w:r w:rsidRPr="00FF14F1">
        <w:rPr>
          <w:i/>
          <w:iCs/>
        </w:rPr>
        <w:t>18</w:t>
      </w:r>
      <w:r w:rsidRPr="00FF14F1">
        <w:t xml:space="preserve">. </w:t>
      </w:r>
      <w:bookmarkEnd w:id="87"/>
      <w:r w:rsidR="00611A68">
        <w:rPr>
          <w:rFonts w:ascii="Arial" w:hAnsi="Arial" w:cs="Arial"/>
          <w:sz w:val="18"/>
          <w:szCs w:val="18"/>
        </w:rPr>
        <w:t>https://doi.org/10.3389/fncom.2024.1431815</w:t>
      </w:r>
    </w:p>
    <w:p w14:paraId="2B636D1C" w14:textId="02C66FA8" w:rsidR="00FF14F1" w:rsidRPr="00FF14F1" w:rsidRDefault="00FF14F1" w:rsidP="00611A68">
      <w:pPr>
        <w:pStyle w:val="Body"/>
        <w:numPr>
          <w:ilvl w:val="0"/>
          <w:numId w:val="44"/>
        </w:numPr>
      </w:pPr>
      <w:bookmarkStart w:id="88" w:name="c49c6024a2c9344fb8f6bfdf7d77581b_ref"/>
      <w:r w:rsidRPr="00FF14F1">
        <w:t xml:space="preserve">Jo, J. Y., Lee, A., Kim, M. S., Park, E., Chang, W. H., Shin, Y.-I., &amp; Kim, Y.-H. (2016). Prediction of Motor Recovery Using Quantitative Parameters of Motor </w:t>
      </w:r>
      <w:r w:rsidRPr="00FF14F1">
        <w:lastRenderedPageBreak/>
        <w:t xml:space="preserve">Evoked Potential in Patients </w:t>
      </w:r>
      <w:proofErr w:type="gramStart"/>
      <w:r w:rsidRPr="00FF14F1">
        <w:t>With</w:t>
      </w:r>
      <w:proofErr w:type="gramEnd"/>
      <w:r w:rsidRPr="00FF14F1">
        <w:t xml:space="preserve"> Stroke. </w:t>
      </w:r>
      <w:r w:rsidRPr="00FF14F1">
        <w:rPr>
          <w:i/>
          <w:iCs/>
        </w:rPr>
        <w:t>Annals of Rehabilitation Medicine</w:t>
      </w:r>
      <w:r w:rsidRPr="00FF14F1">
        <w:t xml:space="preserve">, </w:t>
      </w:r>
      <w:r w:rsidRPr="00FF14F1">
        <w:rPr>
          <w:i/>
          <w:iCs/>
        </w:rPr>
        <w:t>40</w:t>
      </w:r>
      <w:r w:rsidRPr="00FF14F1">
        <w:t xml:space="preserve">(5), 806. </w:t>
      </w:r>
      <w:bookmarkEnd w:id="88"/>
      <w:r w:rsidR="00611A68">
        <w:rPr>
          <w:rFonts w:ascii="Arial" w:hAnsi="Arial" w:cs="Arial"/>
          <w:sz w:val="18"/>
          <w:szCs w:val="18"/>
        </w:rPr>
        <w:t>https://doi.org/10.5535/arm.2016.40.5.806</w:t>
      </w:r>
    </w:p>
    <w:p w14:paraId="205DA35D" w14:textId="6C4244B9" w:rsidR="00FF14F1" w:rsidRPr="00FF14F1" w:rsidRDefault="00FF14F1" w:rsidP="00611A68">
      <w:pPr>
        <w:pStyle w:val="Body"/>
        <w:numPr>
          <w:ilvl w:val="0"/>
          <w:numId w:val="44"/>
        </w:numPr>
      </w:pPr>
      <w:r w:rsidRPr="00FF14F1">
        <w:t xml:space="preserve">Johansson, B. B. (2004). Brain plasticity in health and disease. </w:t>
      </w:r>
      <w:r w:rsidRPr="00FF14F1">
        <w:rPr>
          <w:i/>
          <w:iCs/>
        </w:rPr>
        <w:t>The Keio Journal of Medicine</w:t>
      </w:r>
      <w:r w:rsidRPr="00FF14F1">
        <w:t xml:space="preserve">, </w:t>
      </w:r>
      <w:r w:rsidRPr="00FF14F1">
        <w:rPr>
          <w:i/>
          <w:iCs/>
        </w:rPr>
        <w:t>53</w:t>
      </w:r>
      <w:r w:rsidRPr="00FF14F1">
        <w:t xml:space="preserve">(4), 231–246. </w:t>
      </w:r>
      <w:bookmarkStart w:id="89" w:name="965e987e89eb3be2b5e4e96d7b5ac51d_ref"/>
      <w:bookmarkEnd w:id="89"/>
      <w:r w:rsidR="00611A68">
        <w:rPr>
          <w:rFonts w:ascii="Arial" w:hAnsi="Arial" w:cs="Arial"/>
          <w:sz w:val="18"/>
          <w:szCs w:val="18"/>
        </w:rPr>
        <w:t>https://doi.org/10.2302/kjm.53.231</w:t>
      </w:r>
    </w:p>
    <w:p w14:paraId="4350F89B" w14:textId="2FD46BF1" w:rsidR="00FF14F1" w:rsidRPr="00FF14F1" w:rsidRDefault="00FF14F1" w:rsidP="00611A68">
      <w:pPr>
        <w:pStyle w:val="Body"/>
        <w:numPr>
          <w:ilvl w:val="0"/>
          <w:numId w:val="44"/>
        </w:numPr>
      </w:pPr>
      <w:r w:rsidRPr="00FF14F1">
        <w:t xml:space="preserve">Johnston, M. V. (2009). Plasticity in the developing brain: Implications for rehabilitation. </w:t>
      </w:r>
      <w:r w:rsidRPr="00FF14F1">
        <w:rPr>
          <w:i/>
          <w:iCs/>
        </w:rPr>
        <w:t>Developmental Disabilities Research Reviews</w:t>
      </w:r>
      <w:r w:rsidRPr="00FF14F1">
        <w:t xml:space="preserve">, </w:t>
      </w:r>
      <w:r w:rsidRPr="00FF14F1">
        <w:rPr>
          <w:i/>
          <w:iCs/>
        </w:rPr>
        <w:t>15</w:t>
      </w:r>
      <w:r w:rsidRPr="00FF14F1">
        <w:t xml:space="preserve">(2), 94–101. </w:t>
      </w:r>
      <w:bookmarkStart w:id="90" w:name="5fcc3c80e42d3068b04de64c55b0deb2_ref"/>
      <w:bookmarkEnd w:id="90"/>
      <w:r w:rsidR="005B1138">
        <w:rPr>
          <w:rFonts w:ascii="Arial" w:hAnsi="Arial" w:cs="Arial"/>
          <w:sz w:val="18"/>
          <w:szCs w:val="18"/>
        </w:rPr>
        <w:t>https://doi.org/10.1002/ddrr.64</w:t>
      </w:r>
    </w:p>
    <w:p w14:paraId="145E39A3" w14:textId="28E31C81" w:rsidR="00FF14F1" w:rsidRPr="00FF14F1" w:rsidRDefault="00FF14F1" w:rsidP="00611A68">
      <w:pPr>
        <w:pStyle w:val="Body"/>
        <w:numPr>
          <w:ilvl w:val="0"/>
          <w:numId w:val="44"/>
        </w:numPr>
      </w:pPr>
      <w:proofErr w:type="spellStart"/>
      <w:r w:rsidRPr="00FF14F1">
        <w:t>Khalilian</w:t>
      </w:r>
      <w:proofErr w:type="spellEnd"/>
      <w:r w:rsidRPr="00FF14F1">
        <w:t xml:space="preserve">, M., Roussel, M., </w:t>
      </w:r>
      <w:proofErr w:type="spellStart"/>
      <w:r w:rsidRPr="00FF14F1">
        <w:t>Godefroy</w:t>
      </w:r>
      <w:proofErr w:type="spellEnd"/>
      <w:r w:rsidRPr="00FF14F1">
        <w:t xml:space="preserve">, O., &amp; </w:t>
      </w:r>
      <w:proofErr w:type="spellStart"/>
      <w:r w:rsidRPr="00FF14F1">
        <w:t>Aarabi</w:t>
      </w:r>
      <w:proofErr w:type="spellEnd"/>
      <w:r w:rsidRPr="00FF14F1">
        <w:t xml:space="preserve">, A. (2024). Predicting functional impairments with lesion-derived </w:t>
      </w:r>
      <w:proofErr w:type="spellStart"/>
      <w:r w:rsidRPr="00FF14F1">
        <w:t>disconnectome</w:t>
      </w:r>
      <w:proofErr w:type="spellEnd"/>
      <w:r w:rsidRPr="00FF14F1">
        <w:t xml:space="preserve"> mapping: Validation in stroke patients with motor deficits. In </w:t>
      </w:r>
      <w:proofErr w:type="gramStart"/>
      <w:r w:rsidRPr="00FF14F1">
        <w:rPr>
          <w:i/>
          <w:iCs/>
        </w:rPr>
        <w:t>The</w:t>
      </w:r>
      <w:proofErr w:type="gramEnd"/>
      <w:r w:rsidRPr="00FF14F1">
        <w:rPr>
          <w:i/>
          <w:iCs/>
        </w:rPr>
        <w:t xml:space="preserve"> European journal of neuroscience</w:t>
      </w:r>
      <w:r w:rsidRPr="00FF14F1">
        <w:t xml:space="preserve"> (Vol. 59, Issue 11, pp. 3074–3092). Wiley-</w:t>
      </w:r>
      <w:proofErr w:type="spellStart"/>
      <w:r w:rsidRPr="00FF14F1">
        <w:t>blackwell</w:t>
      </w:r>
      <w:proofErr w:type="spellEnd"/>
      <w:r w:rsidRPr="00FF14F1">
        <w:t xml:space="preserve">. </w:t>
      </w:r>
      <w:bookmarkStart w:id="91" w:name="13a106a27f9b3413819d609509eb7c1c_ref"/>
      <w:bookmarkEnd w:id="91"/>
      <w:r w:rsidR="005B1138">
        <w:rPr>
          <w:rFonts w:ascii="Arial" w:hAnsi="Arial" w:cs="Arial"/>
          <w:sz w:val="18"/>
          <w:szCs w:val="18"/>
        </w:rPr>
        <w:t>https://doi.org/10.1111/ejn.16334</w:t>
      </w:r>
    </w:p>
    <w:p w14:paraId="7DD5E832" w14:textId="6BD85332" w:rsidR="00FF14F1" w:rsidRPr="00FF14F1" w:rsidRDefault="00FF14F1" w:rsidP="00611A68">
      <w:pPr>
        <w:pStyle w:val="Body"/>
        <w:numPr>
          <w:ilvl w:val="0"/>
          <w:numId w:val="44"/>
        </w:numPr>
      </w:pPr>
      <w:r w:rsidRPr="00FF14F1">
        <w:t xml:space="preserve">Kim, W.-S., Cho, S., Ku, J., Kim, Y., Lee, K., Hwang, H.-J., &amp; Paik, N.-J. (2020). Clinical Application of Virtual Reality for Upper Limb Motor Rehabilitation in Stroke: Review of Technologies and Clinical Evidence. </w:t>
      </w:r>
      <w:r w:rsidRPr="00FF14F1">
        <w:rPr>
          <w:i/>
          <w:iCs/>
        </w:rPr>
        <w:t>Journal of Clinical Medicine</w:t>
      </w:r>
      <w:r w:rsidRPr="00FF14F1">
        <w:t xml:space="preserve">, </w:t>
      </w:r>
      <w:r w:rsidRPr="00FF14F1">
        <w:rPr>
          <w:i/>
          <w:iCs/>
        </w:rPr>
        <w:t>9</w:t>
      </w:r>
      <w:r w:rsidRPr="00FF14F1">
        <w:t xml:space="preserve">(10), 3369. </w:t>
      </w:r>
      <w:bookmarkStart w:id="92" w:name="89ee7d2e57093767b5d0924916ceec7f_ref"/>
      <w:bookmarkEnd w:id="92"/>
      <w:r w:rsidR="005B1138">
        <w:rPr>
          <w:rFonts w:ascii="Arial" w:hAnsi="Arial" w:cs="Arial"/>
          <w:sz w:val="18"/>
          <w:szCs w:val="18"/>
        </w:rPr>
        <w:t>https://doi.org/10.3390/jcm9103369</w:t>
      </w:r>
    </w:p>
    <w:p w14:paraId="1239B908" w14:textId="69DCFFB1" w:rsidR="00FF14F1" w:rsidRPr="00FF14F1" w:rsidRDefault="00FF14F1" w:rsidP="00611A68">
      <w:pPr>
        <w:pStyle w:val="Body"/>
        <w:numPr>
          <w:ilvl w:val="0"/>
          <w:numId w:val="44"/>
        </w:numPr>
      </w:pPr>
      <w:r w:rsidRPr="00FF14F1">
        <w:t xml:space="preserve">Kimura, I., Abo, M., &amp; </w:t>
      </w:r>
      <w:proofErr w:type="spellStart"/>
      <w:r w:rsidRPr="00FF14F1">
        <w:t>Senoo</w:t>
      </w:r>
      <w:proofErr w:type="spellEnd"/>
      <w:r w:rsidRPr="00FF14F1">
        <w:t xml:space="preserve">, A. (2024). Changes in Structural Neural Networks in the Recovery Process of Motor Paralysis after Stroke. </w:t>
      </w:r>
      <w:r w:rsidRPr="00FF14F1">
        <w:rPr>
          <w:i/>
          <w:iCs/>
        </w:rPr>
        <w:t>Brain Sciences</w:t>
      </w:r>
      <w:r w:rsidRPr="00FF14F1">
        <w:t xml:space="preserve">, </w:t>
      </w:r>
      <w:r w:rsidRPr="00FF14F1">
        <w:rPr>
          <w:i/>
          <w:iCs/>
        </w:rPr>
        <w:t>14</w:t>
      </w:r>
      <w:r w:rsidRPr="00FF14F1">
        <w:t xml:space="preserve">(3), 197. </w:t>
      </w:r>
      <w:bookmarkStart w:id="93" w:name="4b12fc9d48243ce8a68ac5049858cb42_ref"/>
      <w:bookmarkEnd w:id="93"/>
      <w:r w:rsidR="005B1138">
        <w:rPr>
          <w:rFonts w:ascii="Arial" w:hAnsi="Arial" w:cs="Arial"/>
          <w:sz w:val="18"/>
          <w:szCs w:val="18"/>
        </w:rPr>
        <w:t>https://doi.org/10.3390/brainsci14030197</w:t>
      </w:r>
    </w:p>
    <w:p w14:paraId="4B7C2CEA" w14:textId="1CDB080B" w:rsidR="00FF14F1" w:rsidRPr="00FF14F1" w:rsidRDefault="00FF14F1" w:rsidP="00611A68">
      <w:pPr>
        <w:pStyle w:val="Body"/>
        <w:numPr>
          <w:ilvl w:val="0"/>
          <w:numId w:val="44"/>
        </w:numPr>
      </w:pPr>
      <w:bookmarkStart w:id="94" w:name="e6648c43d63d3edeae7c016547218c5b_ref"/>
      <w:proofErr w:type="spellStart"/>
      <w:r w:rsidRPr="00FF14F1">
        <w:t>Klaic</w:t>
      </w:r>
      <w:proofErr w:type="spellEnd"/>
      <w:r w:rsidRPr="00FF14F1">
        <w:t xml:space="preserve">, M., &amp; Galea, M. P. (2020). Using the Technology Acceptance Model to Identify Factors That Predict Likelihood to Adopt Tele-Neurorehabilitation. </w:t>
      </w:r>
      <w:r w:rsidRPr="00FF14F1">
        <w:rPr>
          <w:i/>
          <w:iCs/>
        </w:rPr>
        <w:t>Frontiers in Neurology</w:t>
      </w:r>
      <w:r w:rsidRPr="00FF14F1">
        <w:t xml:space="preserve">, </w:t>
      </w:r>
      <w:r w:rsidRPr="00FF14F1">
        <w:rPr>
          <w:i/>
          <w:iCs/>
        </w:rPr>
        <w:t>11</w:t>
      </w:r>
      <w:r w:rsidRPr="00FF14F1">
        <w:t xml:space="preserve">(Suppl 1). </w:t>
      </w:r>
      <w:bookmarkEnd w:id="94"/>
      <w:r w:rsidR="005B1138">
        <w:rPr>
          <w:rFonts w:ascii="Arial" w:hAnsi="Arial" w:cs="Arial"/>
          <w:sz w:val="18"/>
          <w:szCs w:val="18"/>
        </w:rPr>
        <w:t>https://doi.org/10.3389/fneur.2020.580832</w:t>
      </w:r>
    </w:p>
    <w:p w14:paraId="75D3F202" w14:textId="5131CE08" w:rsidR="00FF14F1" w:rsidRPr="00FF14F1" w:rsidRDefault="00FF14F1" w:rsidP="00611A68">
      <w:pPr>
        <w:pStyle w:val="Body"/>
        <w:numPr>
          <w:ilvl w:val="0"/>
          <w:numId w:val="44"/>
        </w:numPr>
      </w:pPr>
      <w:proofErr w:type="spellStart"/>
      <w:r w:rsidRPr="00FF14F1">
        <w:t>Korade</w:t>
      </w:r>
      <w:proofErr w:type="spellEnd"/>
      <w:r w:rsidRPr="00FF14F1">
        <w:t xml:space="preserve">, D. (2024). Unlocking Machine Learning Model Decisions: A Comparative Analysis of LIME and SHAP for Enhanced Interpretability. </w:t>
      </w:r>
      <w:r w:rsidRPr="00FF14F1">
        <w:rPr>
          <w:i/>
          <w:iCs/>
        </w:rPr>
        <w:t>Journal of Electrical Systems</w:t>
      </w:r>
      <w:r w:rsidRPr="00FF14F1">
        <w:t xml:space="preserve">, </w:t>
      </w:r>
      <w:r w:rsidRPr="00FF14F1">
        <w:rPr>
          <w:i/>
          <w:iCs/>
        </w:rPr>
        <w:t>20</w:t>
      </w:r>
      <w:r w:rsidRPr="00FF14F1">
        <w:t xml:space="preserve">(2s), 598–613. </w:t>
      </w:r>
      <w:bookmarkStart w:id="95" w:name="481fbe42398e3230a9655842d7beaacb_ref"/>
      <w:bookmarkEnd w:id="95"/>
      <w:r w:rsidR="005B1138">
        <w:rPr>
          <w:rFonts w:ascii="Arial" w:hAnsi="Arial" w:cs="Arial"/>
          <w:sz w:val="18"/>
          <w:szCs w:val="18"/>
        </w:rPr>
        <w:t>https://doi.org/10.52783/jes.1480</w:t>
      </w:r>
    </w:p>
    <w:p w14:paraId="5EF8313C" w14:textId="71DADE3D" w:rsidR="00FF14F1" w:rsidRPr="00FF14F1" w:rsidRDefault="00FF14F1" w:rsidP="00611A68">
      <w:pPr>
        <w:pStyle w:val="Body"/>
        <w:numPr>
          <w:ilvl w:val="0"/>
          <w:numId w:val="44"/>
        </w:numPr>
      </w:pPr>
      <w:proofErr w:type="spellStart"/>
      <w:r w:rsidRPr="00FF14F1">
        <w:t>Ktena</w:t>
      </w:r>
      <w:proofErr w:type="spellEnd"/>
      <w:r w:rsidRPr="00FF14F1">
        <w:t xml:space="preserve">, S. I., </w:t>
      </w:r>
      <w:proofErr w:type="spellStart"/>
      <w:r w:rsidRPr="00FF14F1">
        <w:t>Rueckert</w:t>
      </w:r>
      <w:proofErr w:type="spellEnd"/>
      <w:r w:rsidRPr="00FF14F1">
        <w:t xml:space="preserve">, D., </w:t>
      </w:r>
      <w:proofErr w:type="spellStart"/>
      <w:r w:rsidRPr="00FF14F1">
        <w:t>Etherton</w:t>
      </w:r>
      <w:proofErr w:type="spellEnd"/>
      <w:r w:rsidRPr="00FF14F1">
        <w:t xml:space="preserve">, M. R., Mills, B. B., Wu, O., </w:t>
      </w:r>
      <w:proofErr w:type="spellStart"/>
      <w:r w:rsidRPr="00FF14F1">
        <w:t>Tuozzo</w:t>
      </w:r>
      <w:proofErr w:type="spellEnd"/>
      <w:r w:rsidRPr="00FF14F1">
        <w:t xml:space="preserve">, C., Schirmer, M. D., Giese, A.-K., &amp; </w:t>
      </w:r>
      <w:proofErr w:type="spellStart"/>
      <w:r w:rsidRPr="00FF14F1">
        <w:t>Rost</w:t>
      </w:r>
      <w:proofErr w:type="spellEnd"/>
      <w:r w:rsidRPr="00FF14F1">
        <w:t xml:space="preserve">, N. S. (2019). Brain Connectivity Measures Improve Modeling of Functional Outcome After Acute Ischemic Stroke. </w:t>
      </w:r>
      <w:r w:rsidRPr="00FF14F1">
        <w:rPr>
          <w:i/>
          <w:iCs/>
        </w:rPr>
        <w:t>Stroke</w:t>
      </w:r>
      <w:r w:rsidRPr="00FF14F1">
        <w:t xml:space="preserve">, </w:t>
      </w:r>
      <w:r w:rsidRPr="00FF14F1">
        <w:rPr>
          <w:i/>
          <w:iCs/>
        </w:rPr>
        <w:t>50</w:t>
      </w:r>
      <w:r w:rsidRPr="00FF14F1">
        <w:t xml:space="preserve">(10), 2761–2767. </w:t>
      </w:r>
      <w:bookmarkStart w:id="96" w:name="76d578b3f25a3a7d8eb9efc35cfef654_ref"/>
      <w:bookmarkEnd w:id="96"/>
      <w:r w:rsidR="005B1138">
        <w:rPr>
          <w:rFonts w:ascii="Arial" w:hAnsi="Arial" w:cs="Arial"/>
          <w:sz w:val="18"/>
          <w:szCs w:val="18"/>
        </w:rPr>
        <w:t>https://doi.org/10.1161/STROKEAHA.119.025738</w:t>
      </w:r>
    </w:p>
    <w:p w14:paraId="7285A409" w14:textId="4B5FDB38" w:rsidR="00FF14F1" w:rsidRPr="00FF14F1" w:rsidRDefault="00FF14F1" w:rsidP="00611A68">
      <w:pPr>
        <w:pStyle w:val="Body"/>
        <w:numPr>
          <w:ilvl w:val="0"/>
          <w:numId w:val="44"/>
        </w:numPr>
      </w:pPr>
      <w:proofErr w:type="spellStart"/>
      <w:r w:rsidRPr="00FF14F1">
        <w:t>Kunimatsu</w:t>
      </w:r>
      <w:proofErr w:type="spellEnd"/>
      <w:r w:rsidRPr="00FF14F1">
        <w:t xml:space="preserve">, A., Aoki, S., </w:t>
      </w:r>
      <w:proofErr w:type="spellStart"/>
      <w:r w:rsidRPr="00FF14F1">
        <w:t>Ohtomo</w:t>
      </w:r>
      <w:proofErr w:type="spellEnd"/>
      <w:r w:rsidRPr="00FF14F1">
        <w:t xml:space="preserve">, K., Abe, O., Mori, H., &amp; </w:t>
      </w:r>
      <w:proofErr w:type="spellStart"/>
      <w:r w:rsidRPr="00FF14F1">
        <w:t>Masutani</w:t>
      </w:r>
      <w:proofErr w:type="spellEnd"/>
      <w:r w:rsidRPr="00FF14F1">
        <w:t xml:space="preserve">, Y. (2003). Three-dimensional white matter tractography by diffusion tensor imaging in </w:t>
      </w:r>
      <w:proofErr w:type="spellStart"/>
      <w:r w:rsidRPr="00FF14F1">
        <w:t>ischaemic</w:t>
      </w:r>
      <w:proofErr w:type="spellEnd"/>
      <w:r w:rsidRPr="00FF14F1">
        <w:t xml:space="preserve"> stroke involving the corticospinal tract. </w:t>
      </w:r>
      <w:r w:rsidRPr="00FF14F1">
        <w:rPr>
          <w:i/>
          <w:iCs/>
        </w:rPr>
        <w:t>Neuroradiology</w:t>
      </w:r>
      <w:r w:rsidRPr="00FF14F1">
        <w:t xml:space="preserve">, </w:t>
      </w:r>
      <w:r w:rsidRPr="00FF14F1">
        <w:rPr>
          <w:i/>
          <w:iCs/>
        </w:rPr>
        <w:t>45</w:t>
      </w:r>
      <w:r w:rsidRPr="00FF14F1">
        <w:t xml:space="preserve">(8), 532–535. </w:t>
      </w:r>
      <w:bookmarkStart w:id="97" w:name="63e9c27890a2352195044f27d305dd27_ref"/>
      <w:bookmarkEnd w:id="97"/>
      <w:r w:rsidR="00CE74D2">
        <w:rPr>
          <w:rFonts w:ascii="Arial" w:hAnsi="Arial" w:cs="Arial"/>
          <w:sz w:val="18"/>
          <w:szCs w:val="18"/>
        </w:rPr>
        <w:t>https://doi.org/10.1007/s00234-003-0974-4</w:t>
      </w:r>
    </w:p>
    <w:p w14:paraId="0BF2D3ED" w14:textId="2BC45F95" w:rsidR="00FF14F1" w:rsidRPr="00FF14F1" w:rsidRDefault="00FF14F1" w:rsidP="00611A68">
      <w:pPr>
        <w:pStyle w:val="Body"/>
        <w:numPr>
          <w:ilvl w:val="0"/>
          <w:numId w:val="44"/>
        </w:numPr>
      </w:pPr>
      <w:r w:rsidRPr="00FF14F1">
        <w:t xml:space="preserve">Laurie King, M. M. (2013). Mobility Lab to Assess Balance and Gait with Synchronized Body-worn Sensors. </w:t>
      </w:r>
      <w:r w:rsidRPr="00FF14F1">
        <w:rPr>
          <w:i/>
          <w:iCs/>
        </w:rPr>
        <w:t>Journal of Bioengineering and Biomedical Sciences</w:t>
      </w:r>
      <w:r w:rsidRPr="00FF14F1">
        <w:t xml:space="preserve">, </w:t>
      </w:r>
      <w:r w:rsidRPr="00FF14F1">
        <w:rPr>
          <w:i/>
          <w:iCs/>
        </w:rPr>
        <w:t>Suppl 1</w:t>
      </w:r>
      <w:r w:rsidRPr="00FF14F1">
        <w:t xml:space="preserve">. </w:t>
      </w:r>
      <w:bookmarkStart w:id="98" w:name="944892814f2634278d1a5d9deca0b1ef_ref"/>
      <w:bookmarkEnd w:id="98"/>
      <w:r w:rsidR="00CE74D2">
        <w:rPr>
          <w:rFonts w:ascii="Arial" w:hAnsi="Arial" w:cs="Arial"/>
          <w:sz w:val="18"/>
          <w:szCs w:val="18"/>
        </w:rPr>
        <w:t>https://doi.org/10.4172/2155-9538.S1-007</w:t>
      </w:r>
    </w:p>
    <w:p w14:paraId="7DB8D8E0" w14:textId="5A71851A" w:rsidR="00FF14F1" w:rsidRPr="00FF14F1" w:rsidRDefault="00FF14F1" w:rsidP="00611A68">
      <w:pPr>
        <w:pStyle w:val="Body"/>
        <w:numPr>
          <w:ilvl w:val="0"/>
          <w:numId w:val="44"/>
        </w:numPr>
      </w:pPr>
      <w:proofErr w:type="spellStart"/>
      <w:r w:rsidRPr="00FF14F1">
        <w:t>Leckey</w:t>
      </w:r>
      <w:proofErr w:type="spellEnd"/>
      <w:r w:rsidRPr="00FF14F1">
        <w:t xml:space="preserve">, C. A., </w:t>
      </w:r>
      <w:proofErr w:type="spellStart"/>
      <w:r w:rsidRPr="00FF14F1">
        <w:t>Aslanyan</w:t>
      </w:r>
      <w:proofErr w:type="spellEnd"/>
      <w:r w:rsidRPr="00FF14F1">
        <w:t xml:space="preserve">, A., </w:t>
      </w:r>
      <w:proofErr w:type="spellStart"/>
      <w:r w:rsidRPr="00FF14F1">
        <w:t>Chataway</w:t>
      </w:r>
      <w:proofErr w:type="spellEnd"/>
      <w:r w:rsidRPr="00FF14F1">
        <w:t xml:space="preserve">, J., Wray, S., </w:t>
      </w:r>
      <w:proofErr w:type="spellStart"/>
      <w:r w:rsidRPr="00FF14F1">
        <w:t>Ammoscato</w:t>
      </w:r>
      <w:proofErr w:type="spellEnd"/>
      <w:r w:rsidRPr="00FF14F1">
        <w:t xml:space="preserve">, F., </w:t>
      </w:r>
      <w:proofErr w:type="spellStart"/>
      <w:r w:rsidRPr="00FF14F1">
        <w:t>Giovannucci</w:t>
      </w:r>
      <w:proofErr w:type="spellEnd"/>
      <w:r w:rsidRPr="00FF14F1">
        <w:t xml:space="preserve">, T. A., Bateman, R. J., Paterson, R. W., Mills, K., De Angelis, F., </w:t>
      </w:r>
      <w:proofErr w:type="spellStart"/>
      <w:r w:rsidRPr="00FF14F1">
        <w:t>Barthelémy</w:t>
      </w:r>
      <w:proofErr w:type="spellEnd"/>
      <w:r w:rsidRPr="00FF14F1">
        <w:t xml:space="preserve">, N. R., Zetterberg, H., </w:t>
      </w:r>
      <w:proofErr w:type="spellStart"/>
      <w:r w:rsidRPr="00FF14F1">
        <w:t>Coulton</w:t>
      </w:r>
      <w:proofErr w:type="spellEnd"/>
      <w:r w:rsidRPr="00FF14F1">
        <w:t xml:space="preserve">, J. B., Byrne, L. M., </w:t>
      </w:r>
      <w:proofErr w:type="spellStart"/>
      <w:r w:rsidRPr="00FF14F1">
        <w:t>Doykov</w:t>
      </w:r>
      <w:proofErr w:type="spellEnd"/>
      <w:r w:rsidRPr="00FF14F1">
        <w:t xml:space="preserve">, I., He, Y., </w:t>
      </w:r>
      <w:proofErr w:type="spellStart"/>
      <w:r w:rsidRPr="00FF14F1">
        <w:t>Heslegrave</w:t>
      </w:r>
      <w:proofErr w:type="spellEnd"/>
      <w:r w:rsidRPr="00FF14F1">
        <w:t xml:space="preserve">, A., Laban, R., Wild, E. J., … Schott, J. M. (2024). CSF neurofilament light chain profiling and quantitation in neurological diseases. </w:t>
      </w:r>
      <w:r w:rsidRPr="00FF14F1">
        <w:rPr>
          <w:i/>
          <w:iCs/>
        </w:rPr>
        <w:t>Brain Communications</w:t>
      </w:r>
      <w:r w:rsidRPr="00FF14F1">
        <w:t xml:space="preserve">, </w:t>
      </w:r>
      <w:r w:rsidRPr="00FF14F1">
        <w:rPr>
          <w:i/>
          <w:iCs/>
        </w:rPr>
        <w:t>6</w:t>
      </w:r>
      <w:r w:rsidRPr="00FF14F1">
        <w:t xml:space="preserve">(3). </w:t>
      </w:r>
      <w:bookmarkStart w:id="99" w:name="183decb506a1314cb55ff8deb44c3fdb_ref"/>
      <w:bookmarkEnd w:id="99"/>
      <w:r w:rsidR="00CE74D2">
        <w:rPr>
          <w:rFonts w:ascii="Arial" w:hAnsi="Arial" w:cs="Arial"/>
          <w:sz w:val="18"/>
          <w:szCs w:val="18"/>
        </w:rPr>
        <w:t>https://doi.org/10.1093/braincomms/fcae132</w:t>
      </w:r>
    </w:p>
    <w:p w14:paraId="376508E7" w14:textId="2E316872" w:rsidR="00FF14F1" w:rsidRPr="00FF14F1" w:rsidRDefault="00FF14F1" w:rsidP="00611A68">
      <w:pPr>
        <w:pStyle w:val="Body"/>
        <w:numPr>
          <w:ilvl w:val="0"/>
          <w:numId w:val="44"/>
        </w:numPr>
      </w:pPr>
      <w:proofErr w:type="spellStart"/>
      <w:r w:rsidRPr="00FF14F1">
        <w:lastRenderedPageBreak/>
        <w:t>Lenze</w:t>
      </w:r>
      <w:proofErr w:type="spellEnd"/>
      <w:r w:rsidRPr="00FF14F1">
        <w:t xml:space="preserve">, E. J., Wong, A. W. K., Barbour, D. L., Miller, J. P., </w:t>
      </w:r>
      <w:proofErr w:type="spellStart"/>
      <w:r w:rsidRPr="00FF14F1">
        <w:t>Kannampallil</w:t>
      </w:r>
      <w:proofErr w:type="spellEnd"/>
      <w:r w:rsidRPr="00FF14F1">
        <w:t xml:space="preserve">, T., </w:t>
      </w:r>
      <w:proofErr w:type="spellStart"/>
      <w:r w:rsidRPr="00FF14F1">
        <w:t>Piccirillo</w:t>
      </w:r>
      <w:proofErr w:type="spellEnd"/>
      <w:r w:rsidRPr="00FF14F1">
        <w:t xml:space="preserve">, J., Freedland, K. E., Haddad, R., </w:t>
      </w:r>
      <w:proofErr w:type="spellStart"/>
      <w:r w:rsidRPr="00FF14F1">
        <w:t>Lenze</w:t>
      </w:r>
      <w:proofErr w:type="spellEnd"/>
      <w:r w:rsidRPr="00FF14F1">
        <w:t xml:space="preserve">, S. N., Sylvester, C. M., Nicol, G. E., </w:t>
      </w:r>
      <w:proofErr w:type="spellStart"/>
      <w:r w:rsidRPr="00FF14F1">
        <w:t>Rodebaugh</w:t>
      </w:r>
      <w:proofErr w:type="spellEnd"/>
      <w:r w:rsidRPr="00FF14F1">
        <w:t xml:space="preserve">, T. L., Low, C. A., &amp; Drysdale, A. T. (2021). Precision clinical trials: a framework for getting to precision medicine for </w:t>
      </w:r>
      <w:proofErr w:type="spellStart"/>
      <w:r w:rsidRPr="00FF14F1">
        <w:t>neurobehavioural</w:t>
      </w:r>
      <w:proofErr w:type="spellEnd"/>
      <w:r w:rsidRPr="00FF14F1">
        <w:t xml:space="preserve"> disorders. </w:t>
      </w:r>
      <w:r w:rsidRPr="00FF14F1">
        <w:rPr>
          <w:i/>
          <w:iCs/>
        </w:rPr>
        <w:t>Journal of Psychiatry and Neuroscience</w:t>
      </w:r>
      <w:r w:rsidRPr="00FF14F1">
        <w:t xml:space="preserve">, </w:t>
      </w:r>
      <w:r w:rsidRPr="00FF14F1">
        <w:rPr>
          <w:i/>
          <w:iCs/>
        </w:rPr>
        <w:t>46</w:t>
      </w:r>
      <w:r w:rsidRPr="00FF14F1">
        <w:t xml:space="preserve">(1), E97–E110. </w:t>
      </w:r>
      <w:bookmarkStart w:id="100" w:name="104d752c7b4f3a7baa5f0b6ca71742c6_ref"/>
      <w:bookmarkEnd w:id="100"/>
      <w:r w:rsidR="00CE74D2">
        <w:rPr>
          <w:rFonts w:ascii="Arial" w:hAnsi="Arial" w:cs="Arial"/>
          <w:sz w:val="18"/>
          <w:szCs w:val="18"/>
        </w:rPr>
        <w:t>https://doi.org/10.1503/jpn.200042</w:t>
      </w:r>
    </w:p>
    <w:p w14:paraId="3A1365C0" w14:textId="758BFFAC" w:rsidR="00FF14F1" w:rsidRPr="00FF14F1" w:rsidRDefault="00FF14F1" w:rsidP="00611A68">
      <w:pPr>
        <w:pStyle w:val="Body"/>
        <w:numPr>
          <w:ilvl w:val="0"/>
          <w:numId w:val="44"/>
        </w:numPr>
      </w:pPr>
      <w:r w:rsidRPr="00FF14F1">
        <w:t xml:space="preserve">Li, J., </w:t>
      </w:r>
      <w:proofErr w:type="spellStart"/>
      <w:r w:rsidRPr="00FF14F1">
        <w:t>Segel</w:t>
      </w:r>
      <w:proofErr w:type="spellEnd"/>
      <w:r w:rsidRPr="00FF14F1">
        <w:t xml:space="preserve">, A., Wheelock, M. D., King, K., Tu, J. C., </w:t>
      </w:r>
      <w:proofErr w:type="spellStart"/>
      <w:r w:rsidRPr="00FF14F1">
        <w:t>Karcher</w:t>
      </w:r>
      <w:proofErr w:type="spellEnd"/>
      <w:r w:rsidRPr="00FF14F1">
        <w:t xml:space="preserve">, N. R., Adeyemo, B., Feng, X., Chen, L., Eck, A., &amp; Eggebrecht, A. T. (2024). Network-level enrichment provides a framework for biological interpretation of machine learning results. </w:t>
      </w:r>
      <w:r w:rsidRPr="00FF14F1">
        <w:rPr>
          <w:i/>
          <w:iCs/>
        </w:rPr>
        <w:t>Network Neuroscience (Cambridge, Mass.)</w:t>
      </w:r>
      <w:r w:rsidRPr="00FF14F1">
        <w:t xml:space="preserve">, </w:t>
      </w:r>
      <w:r w:rsidRPr="00FF14F1">
        <w:rPr>
          <w:i/>
          <w:iCs/>
        </w:rPr>
        <w:t>8</w:t>
      </w:r>
      <w:r w:rsidRPr="00FF14F1">
        <w:t xml:space="preserve">(3), 762–790. </w:t>
      </w:r>
      <w:bookmarkStart w:id="101" w:name="67d05304b53d3e409266d227a328797f_ref"/>
      <w:bookmarkEnd w:id="101"/>
      <w:r w:rsidR="00CE74D2">
        <w:rPr>
          <w:rFonts w:ascii="Arial" w:hAnsi="Arial" w:cs="Arial"/>
          <w:sz w:val="18"/>
          <w:szCs w:val="18"/>
        </w:rPr>
        <w:t>https://doi.org/10.1162/netn_a_00383</w:t>
      </w:r>
    </w:p>
    <w:p w14:paraId="15335CCE" w14:textId="58E5D94C" w:rsidR="00FF14F1" w:rsidRPr="00FF14F1" w:rsidRDefault="00FF14F1" w:rsidP="00611A68">
      <w:pPr>
        <w:pStyle w:val="Body"/>
        <w:numPr>
          <w:ilvl w:val="0"/>
          <w:numId w:val="44"/>
        </w:numPr>
      </w:pPr>
      <w:r w:rsidRPr="00FF14F1">
        <w:t xml:space="preserve">Li, R., Zhang, Y., Li, S., </w:t>
      </w:r>
      <w:proofErr w:type="spellStart"/>
      <w:r w:rsidRPr="00FF14F1">
        <w:t>Roh</w:t>
      </w:r>
      <w:proofErr w:type="spellEnd"/>
      <w:r w:rsidRPr="00FF14F1">
        <w:t>, J., &amp; Wang, C. (2020). Multimodal Neuroimaging Using Concurrent EEG/</w:t>
      </w:r>
      <w:proofErr w:type="spellStart"/>
      <w:r w:rsidRPr="00FF14F1">
        <w:t>fNIRS</w:t>
      </w:r>
      <w:proofErr w:type="spellEnd"/>
      <w:r w:rsidRPr="00FF14F1">
        <w:t xml:space="preserve"> for Poststroke Recovery Assessment: An Exploratory Study. </w:t>
      </w:r>
      <w:r w:rsidRPr="00FF14F1">
        <w:rPr>
          <w:i/>
          <w:iCs/>
        </w:rPr>
        <w:t>Neurorehabilitation and Neural Repair</w:t>
      </w:r>
      <w:r w:rsidRPr="00FF14F1">
        <w:t xml:space="preserve">, </w:t>
      </w:r>
      <w:r w:rsidRPr="00FF14F1">
        <w:rPr>
          <w:i/>
          <w:iCs/>
        </w:rPr>
        <w:t>34</w:t>
      </w:r>
      <w:r w:rsidRPr="00FF14F1">
        <w:t xml:space="preserve">(12), 1099–1110. </w:t>
      </w:r>
      <w:bookmarkStart w:id="102" w:name="3af999f88cd43e8588dd0bfaa7fcd711_ref"/>
      <w:bookmarkEnd w:id="102"/>
      <w:r w:rsidR="00CE74D2">
        <w:rPr>
          <w:rFonts w:ascii="Arial" w:hAnsi="Arial" w:cs="Arial"/>
          <w:sz w:val="18"/>
          <w:szCs w:val="18"/>
        </w:rPr>
        <w:t>https://doi.org/10.1177/1545968320969937</w:t>
      </w:r>
    </w:p>
    <w:p w14:paraId="6E7C0D72" w14:textId="7C439BAF" w:rsidR="00FF14F1" w:rsidRPr="00FF14F1" w:rsidRDefault="00FF14F1" w:rsidP="00611A68">
      <w:pPr>
        <w:pStyle w:val="Body"/>
        <w:numPr>
          <w:ilvl w:val="0"/>
          <w:numId w:val="44"/>
        </w:numPr>
      </w:pPr>
      <w:bookmarkStart w:id="103" w:name="d3068623273030a49373adcde2f6527d_ref"/>
      <w:r w:rsidRPr="00FF14F1">
        <w:t xml:space="preserve">Lim, J.-S., &amp; Kang, D.-W. (2015). Stroke Connectome and Its Implications for Cognitive and Behavioral Sequela of Stroke. </w:t>
      </w:r>
      <w:r w:rsidRPr="00FF14F1">
        <w:rPr>
          <w:i/>
          <w:iCs/>
        </w:rPr>
        <w:t>Journal of Stroke</w:t>
      </w:r>
      <w:r w:rsidRPr="00FF14F1">
        <w:t xml:space="preserve">, </w:t>
      </w:r>
      <w:r w:rsidRPr="00FF14F1">
        <w:rPr>
          <w:i/>
          <w:iCs/>
        </w:rPr>
        <w:t>17</w:t>
      </w:r>
      <w:r w:rsidRPr="00FF14F1">
        <w:t xml:space="preserve">(3), 256–267. </w:t>
      </w:r>
      <w:bookmarkEnd w:id="103"/>
      <w:r w:rsidR="00CE74D2">
        <w:rPr>
          <w:rFonts w:ascii="Arial" w:hAnsi="Arial" w:cs="Arial"/>
          <w:sz w:val="18"/>
          <w:szCs w:val="18"/>
        </w:rPr>
        <w:t>https://doi.org/10.5853/jos.2015.17.3.256</w:t>
      </w:r>
    </w:p>
    <w:p w14:paraId="281CBA9D" w14:textId="57A436B5" w:rsidR="00FF14F1" w:rsidRPr="00FF14F1" w:rsidRDefault="00FF14F1" w:rsidP="00611A68">
      <w:pPr>
        <w:pStyle w:val="Body"/>
        <w:numPr>
          <w:ilvl w:val="0"/>
          <w:numId w:val="44"/>
        </w:numPr>
      </w:pPr>
      <w:r w:rsidRPr="00FF14F1">
        <w:t xml:space="preserve">Lin, P.-J., Li, W., </w:t>
      </w:r>
      <w:proofErr w:type="spellStart"/>
      <w:r w:rsidRPr="00FF14F1">
        <w:t>Zhai</w:t>
      </w:r>
      <w:proofErr w:type="spellEnd"/>
      <w:r w:rsidRPr="00FF14F1">
        <w:t xml:space="preserve">, X., Li, Z., Sun, J., Xu, Q., Pan, Y., Ji, L., &amp; Li, C. (2024). Explainable Deep-Learning Prediction for Brain-Computer Interfaces Supported Lower Extremity Motor Gains Based on Multistate Fusion. </w:t>
      </w:r>
      <w:r w:rsidRPr="00FF14F1">
        <w:rPr>
          <w:i/>
          <w:iCs/>
        </w:rPr>
        <w:t xml:space="preserve">IEEE Transactions on Neural Systems and Rehabilitation </w:t>
      </w:r>
      <w:proofErr w:type="gramStart"/>
      <w:r w:rsidRPr="00FF14F1">
        <w:rPr>
          <w:i/>
          <w:iCs/>
        </w:rPr>
        <w:t>Engineering :</w:t>
      </w:r>
      <w:proofErr w:type="gramEnd"/>
      <w:r w:rsidRPr="00FF14F1">
        <w:rPr>
          <w:i/>
          <w:iCs/>
        </w:rPr>
        <w:t xml:space="preserve"> A Publication of the IEEE Engineering in Medicine and Biology Society</w:t>
      </w:r>
      <w:r w:rsidRPr="00FF14F1">
        <w:t xml:space="preserve">, </w:t>
      </w:r>
      <w:r w:rsidRPr="00FF14F1">
        <w:rPr>
          <w:i/>
          <w:iCs/>
        </w:rPr>
        <w:t>32</w:t>
      </w:r>
      <w:r w:rsidRPr="00FF14F1">
        <w:t xml:space="preserve">, 1546–1555. </w:t>
      </w:r>
      <w:bookmarkStart w:id="104" w:name="6d9a6429fdfe3ff3987bb6a132eb74e2_ref"/>
      <w:bookmarkEnd w:id="104"/>
      <w:r w:rsidR="00CE74D2">
        <w:rPr>
          <w:rFonts w:ascii="Arial" w:hAnsi="Arial" w:cs="Arial"/>
          <w:sz w:val="18"/>
          <w:szCs w:val="18"/>
        </w:rPr>
        <w:t>https://doi.org/10.1109/TNSRE.2024.3384498</w:t>
      </w:r>
    </w:p>
    <w:p w14:paraId="712FD799" w14:textId="16F00555" w:rsidR="00FF14F1" w:rsidRPr="00FF14F1" w:rsidRDefault="00FF14F1" w:rsidP="00611A68">
      <w:pPr>
        <w:pStyle w:val="Body"/>
        <w:numPr>
          <w:ilvl w:val="0"/>
          <w:numId w:val="44"/>
        </w:numPr>
      </w:pPr>
      <w:bookmarkStart w:id="105" w:name="ce5d802673a73fb8b187ad70772cae5a_ref"/>
      <w:r w:rsidRPr="00FF14F1">
        <w:t xml:space="preserve">Lin, P.-J., Pan, Y., Li, T., Ji, L., Cheng, D., </w:t>
      </w:r>
      <w:proofErr w:type="spellStart"/>
      <w:r w:rsidRPr="00FF14F1">
        <w:t>Zhai</w:t>
      </w:r>
      <w:proofErr w:type="spellEnd"/>
      <w:r w:rsidRPr="00FF14F1">
        <w:t xml:space="preserve">, X., Li, W., &amp; Li, C. (2022). A Transferable Deep Learning Prognosis Model for Predicting Stroke Patients’ Recovery in Different Rehabilitation Trainings. </w:t>
      </w:r>
      <w:r w:rsidRPr="00FF14F1">
        <w:rPr>
          <w:i/>
          <w:iCs/>
        </w:rPr>
        <w:t>IEEE Journal of Biomedical and Health Informatics</w:t>
      </w:r>
      <w:r w:rsidRPr="00FF14F1">
        <w:t xml:space="preserve">, </w:t>
      </w:r>
      <w:r w:rsidRPr="00FF14F1">
        <w:rPr>
          <w:i/>
          <w:iCs/>
        </w:rPr>
        <w:t>26</w:t>
      </w:r>
      <w:r w:rsidRPr="00FF14F1">
        <w:t xml:space="preserve">(12), 6003–6011. </w:t>
      </w:r>
      <w:bookmarkEnd w:id="105"/>
      <w:r w:rsidR="00CE74D2">
        <w:rPr>
          <w:rFonts w:ascii="Arial" w:hAnsi="Arial" w:cs="Arial"/>
          <w:sz w:val="18"/>
          <w:szCs w:val="18"/>
        </w:rPr>
        <w:t>https://doi.org/10.1109/TNSRE.2024.3384498</w:t>
      </w:r>
    </w:p>
    <w:p w14:paraId="536EFC1F" w14:textId="7DCA339C" w:rsidR="00FF14F1" w:rsidRPr="00FF14F1" w:rsidRDefault="00FF14F1" w:rsidP="00611A68">
      <w:pPr>
        <w:pStyle w:val="Body"/>
        <w:numPr>
          <w:ilvl w:val="0"/>
          <w:numId w:val="44"/>
        </w:numPr>
      </w:pPr>
      <w:r w:rsidRPr="00FF14F1">
        <w:t xml:space="preserve">Liu, B., Hu, C., &amp; Bao, P. (2025). Precision TMS through the integration of neuroimaging and machine learning: optimizing stimulation targets for personalized treatment. </w:t>
      </w:r>
      <w:r w:rsidRPr="00FF14F1">
        <w:rPr>
          <w:i/>
          <w:iCs/>
        </w:rPr>
        <w:t>Frontiers in Human Neuroscience</w:t>
      </w:r>
      <w:r w:rsidRPr="00FF14F1">
        <w:t xml:space="preserve">, </w:t>
      </w:r>
      <w:r w:rsidRPr="00FF14F1">
        <w:rPr>
          <w:i/>
          <w:iCs/>
        </w:rPr>
        <w:t>19</w:t>
      </w:r>
      <w:r w:rsidRPr="00FF14F1">
        <w:t xml:space="preserve">. </w:t>
      </w:r>
      <w:bookmarkStart w:id="106" w:name="397ee840262a3369866e22217c259514_ref"/>
      <w:bookmarkEnd w:id="106"/>
      <w:r w:rsidR="00CE74D2">
        <w:rPr>
          <w:rFonts w:ascii="Arial" w:hAnsi="Arial" w:cs="Arial"/>
          <w:sz w:val="18"/>
          <w:szCs w:val="18"/>
        </w:rPr>
        <w:t>https://doi.org/10.3389/fnhum.2025.1682852</w:t>
      </w:r>
    </w:p>
    <w:p w14:paraId="63CB0EB2" w14:textId="4CF6A333" w:rsidR="00FF14F1" w:rsidRPr="00FF14F1" w:rsidRDefault="00FF14F1" w:rsidP="00611A68">
      <w:pPr>
        <w:pStyle w:val="Body"/>
        <w:numPr>
          <w:ilvl w:val="0"/>
          <w:numId w:val="44"/>
        </w:numPr>
      </w:pPr>
      <w:bookmarkStart w:id="107" w:name="fec157357270395ea698de43f56da12b_ref"/>
      <w:r w:rsidRPr="00FF14F1">
        <w:t xml:space="preserve">Liu, M., Shen, X., &amp; Pan, W. (2022). Deep reinforcement learning for personalized treatment recommendation. </w:t>
      </w:r>
      <w:r w:rsidRPr="00FF14F1">
        <w:rPr>
          <w:i/>
          <w:iCs/>
        </w:rPr>
        <w:t>Statistics in Medicine</w:t>
      </w:r>
      <w:r w:rsidRPr="00FF14F1">
        <w:t xml:space="preserve">, </w:t>
      </w:r>
      <w:r w:rsidRPr="00FF14F1">
        <w:rPr>
          <w:i/>
          <w:iCs/>
        </w:rPr>
        <w:t>41</w:t>
      </w:r>
      <w:r w:rsidRPr="00FF14F1">
        <w:t>(20), 4034–4056</w:t>
      </w:r>
      <w:proofErr w:type="gramStart"/>
      <w:r w:rsidRPr="00FF14F1">
        <w:t xml:space="preserve">. </w:t>
      </w:r>
      <w:bookmarkEnd w:id="107"/>
      <w:r w:rsidR="00CE74D2">
        <w:rPr>
          <w:rFonts w:ascii="Arial" w:hAnsi="Arial" w:cs="Arial"/>
          <w:sz w:val="18"/>
          <w:szCs w:val="18"/>
        </w:rPr>
        <w:t>.</w:t>
      </w:r>
      <w:proofErr w:type="gramEnd"/>
      <w:r w:rsidR="00CE74D2">
        <w:rPr>
          <w:rFonts w:ascii="Arial" w:hAnsi="Arial" w:cs="Arial"/>
          <w:sz w:val="18"/>
          <w:szCs w:val="18"/>
        </w:rPr>
        <w:t xml:space="preserve"> https://doi.org/10.1002/sim.9491</w:t>
      </w:r>
    </w:p>
    <w:p w14:paraId="7FFFAFE8" w14:textId="2837F4B8" w:rsidR="00FF14F1" w:rsidRPr="00FF14F1" w:rsidRDefault="00FF14F1" w:rsidP="00611A68">
      <w:pPr>
        <w:pStyle w:val="Body"/>
        <w:numPr>
          <w:ilvl w:val="0"/>
          <w:numId w:val="44"/>
        </w:numPr>
      </w:pPr>
      <w:proofErr w:type="spellStart"/>
      <w:r w:rsidRPr="00FF14F1">
        <w:t>Matamala</w:t>
      </w:r>
      <w:proofErr w:type="spellEnd"/>
      <w:r w:rsidRPr="00FF14F1">
        <w:t xml:space="preserve">-Gomez, M., </w:t>
      </w:r>
      <w:proofErr w:type="spellStart"/>
      <w:r w:rsidRPr="00FF14F1">
        <w:t>Maisto</w:t>
      </w:r>
      <w:proofErr w:type="spellEnd"/>
      <w:r w:rsidRPr="00FF14F1">
        <w:t xml:space="preserve">, M., Montana, J. I., </w:t>
      </w:r>
      <w:proofErr w:type="spellStart"/>
      <w:r w:rsidRPr="00FF14F1">
        <w:t>Mavrodiev</w:t>
      </w:r>
      <w:proofErr w:type="spellEnd"/>
      <w:r w:rsidRPr="00FF14F1">
        <w:t xml:space="preserve">, P. A., </w:t>
      </w:r>
      <w:proofErr w:type="spellStart"/>
      <w:r w:rsidRPr="00FF14F1">
        <w:t>Baglio</w:t>
      </w:r>
      <w:proofErr w:type="spellEnd"/>
      <w:r w:rsidRPr="00FF14F1">
        <w:t xml:space="preserve">, F., </w:t>
      </w:r>
      <w:proofErr w:type="spellStart"/>
      <w:r w:rsidRPr="00FF14F1">
        <w:t>Rossetto</w:t>
      </w:r>
      <w:proofErr w:type="spellEnd"/>
      <w:r w:rsidRPr="00FF14F1">
        <w:t xml:space="preserve">, F., </w:t>
      </w:r>
      <w:proofErr w:type="spellStart"/>
      <w:r w:rsidRPr="00FF14F1">
        <w:t>Mantovani</w:t>
      </w:r>
      <w:proofErr w:type="spellEnd"/>
      <w:r w:rsidRPr="00FF14F1">
        <w:t xml:space="preserve">, F., Riva, G., &amp; </w:t>
      </w:r>
      <w:proofErr w:type="spellStart"/>
      <w:r w:rsidRPr="00FF14F1">
        <w:t>Realdon</w:t>
      </w:r>
      <w:proofErr w:type="spellEnd"/>
      <w:r w:rsidRPr="00FF14F1">
        <w:t xml:space="preserve">, O. (2020). The Role of Engagement in </w:t>
      </w:r>
      <w:proofErr w:type="spellStart"/>
      <w:r w:rsidRPr="00FF14F1">
        <w:t>Teleneurorehabilitation</w:t>
      </w:r>
      <w:proofErr w:type="spellEnd"/>
      <w:r w:rsidRPr="00FF14F1">
        <w:t xml:space="preserve">: A Systematic Review. </w:t>
      </w:r>
      <w:r w:rsidRPr="00FF14F1">
        <w:rPr>
          <w:i/>
          <w:iCs/>
        </w:rPr>
        <w:t>Frontiers in Neurology</w:t>
      </w:r>
      <w:r w:rsidRPr="00FF14F1">
        <w:t xml:space="preserve">, </w:t>
      </w:r>
      <w:r w:rsidRPr="00FF14F1">
        <w:rPr>
          <w:i/>
          <w:iCs/>
        </w:rPr>
        <w:t>11</w:t>
      </w:r>
      <w:r w:rsidRPr="00FF14F1">
        <w:t xml:space="preserve">. </w:t>
      </w:r>
      <w:bookmarkStart w:id="108" w:name="5d9eb6612acf3c9ea844f166df3563e0_ref"/>
      <w:bookmarkEnd w:id="108"/>
      <w:r w:rsidR="00CE74D2">
        <w:rPr>
          <w:rFonts w:ascii="Arial" w:hAnsi="Arial" w:cs="Arial"/>
          <w:sz w:val="18"/>
          <w:szCs w:val="18"/>
        </w:rPr>
        <w:t>https://doi.org/10.3389/fneur.2020.00354</w:t>
      </w:r>
    </w:p>
    <w:p w14:paraId="0F0C510B" w14:textId="4F53A986" w:rsidR="00FF14F1" w:rsidRPr="00FF14F1" w:rsidRDefault="00FF14F1" w:rsidP="00611A68">
      <w:pPr>
        <w:pStyle w:val="Body"/>
        <w:numPr>
          <w:ilvl w:val="0"/>
          <w:numId w:val="44"/>
        </w:numPr>
      </w:pPr>
      <w:proofErr w:type="spellStart"/>
      <w:r w:rsidRPr="00FF14F1">
        <w:t>Meghdadi</w:t>
      </w:r>
      <w:proofErr w:type="spellEnd"/>
      <w:r w:rsidRPr="00FF14F1">
        <w:t xml:space="preserve">, A. H., Salat, D., Hamilton, J., Hong, Y., </w:t>
      </w:r>
      <w:proofErr w:type="spellStart"/>
      <w:r w:rsidRPr="00FF14F1">
        <w:t>Boeve</w:t>
      </w:r>
      <w:proofErr w:type="spellEnd"/>
      <w:r w:rsidRPr="00FF14F1">
        <w:t xml:space="preserve">, B. F., St Louis, E. K., Verma, A., &amp; </w:t>
      </w:r>
      <w:proofErr w:type="spellStart"/>
      <w:r w:rsidRPr="00FF14F1">
        <w:t>Berka</w:t>
      </w:r>
      <w:proofErr w:type="spellEnd"/>
      <w:r w:rsidRPr="00FF14F1">
        <w:t xml:space="preserve">, C. (2024). EEG and ERP biosignatures of mild cognitive impairment for longitudinal monitoring of early cognitive decline in Alzheimer’s disease. </w:t>
      </w:r>
      <w:proofErr w:type="spellStart"/>
      <w:r w:rsidRPr="00FF14F1">
        <w:rPr>
          <w:i/>
          <w:iCs/>
        </w:rPr>
        <w:t>PloS</w:t>
      </w:r>
      <w:proofErr w:type="spellEnd"/>
      <w:r w:rsidRPr="00FF14F1">
        <w:rPr>
          <w:i/>
          <w:iCs/>
        </w:rPr>
        <w:t xml:space="preserve"> One</w:t>
      </w:r>
      <w:r w:rsidRPr="00FF14F1">
        <w:t xml:space="preserve">, </w:t>
      </w:r>
      <w:r w:rsidRPr="00FF14F1">
        <w:rPr>
          <w:i/>
          <w:iCs/>
        </w:rPr>
        <w:t>19</w:t>
      </w:r>
      <w:r w:rsidRPr="00FF14F1">
        <w:t xml:space="preserve">(8), e0308137. </w:t>
      </w:r>
      <w:bookmarkStart w:id="109" w:name="6b5ae4e4f0ab32e09edf25dff830e23d_ref"/>
      <w:bookmarkEnd w:id="109"/>
      <w:r w:rsidR="00CE74D2">
        <w:rPr>
          <w:rFonts w:ascii="Arial" w:hAnsi="Arial" w:cs="Arial"/>
          <w:sz w:val="18"/>
          <w:szCs w:val="18"/>
        </w:rPr>
        <w:t>https://doi.org/10.1371/journal.pone.0308137</w:t>
      </w:r>
    </w:p>
    <w:p w14:paraId="668DCCEA" w14:textId="6002D01D" w:rsidR="00FF14F1" w:rsidRPr="00FF14F1" w:rsidRDefault="00FF14F1" w:rsidP="00611A68">
      <w:pPr>
        <w:pStyle w:val="Body"/>
        <w:numPr>
          <w:ilvl w:val="0"/>
          <w:numId w:val="44"/>
        </w:numPr>
      </w:pPr>
      <w:r w:rsidRPr="00FF14F1">
        <w:t xml:space="preserve">Meyers, E. C., </w:t>
      </w:r>
      <w:proofErr w:type="spellStart"/>
      <w:r w:rsidRPr="00FF14F1">
        <w:t>Kasliwal</w:t>
      </w:r>
      <w:proofErr w:type="spellEnd"/>
      <w:r w:rsidRPr="00FF14F1">
        <w:t xml:space="preserve">, N., </w:t>
      </w:r>
      <w:proofErr w:type="spellStart"/>
      <w:r w:rsidRPr="00FF14F1">
        <w:t>Solorzano</w:t>
      </w:r>
      <w:proofErr w:type="spellEnd"/>
      <w:r w:rsidRPr="00FF14F1">
        <w:t xml:space="preserve">, B. R., Lai, E., </w:t>
      </w:r>
      <w:proofErr w:type="spellStart"/>
      <w:r w:rsidRPr="00FF14F1">
        <w:t>Bendale</w:t>
      </w:r>
      <w:proofErr w:type="spellEnd"/>
      <w:r w:rsidRPr="00FF14F1">
        <w:t xml:space="preserve">, G., Berry, A., </w:t>
      </w:r>
      <w:proofErr w:type="spellStart"/>
      <w:r w:rsidRPr="00FF14F1">
        <w:t>Ganzer</w:t>
      </w:r>
      <w:proofErr w:type="spellEnd"/>
      <w:r w:rsidRPr="00FF14F1">
        <w:t xml:space="preserve">, P. D., Romero-Ortega, M., </w:t>
      </w:r>
      <w:proofErr w:type="spellStart"/>
      <w:r w:rsidRPr="00FF14F1">
        <w:t>Rennaker</w:t>
      </w:r>
      <w:proofErr w:type="spellEnd"/>
      <w:r w:rsidRPr="00FF14F1">
        <w:t xml:space="preserve">, R. L., </w:t>
      </w:r>
      <w:proofErr w:type="spellStart"/>
      <w:r w:rsidRPr="00FF14F1">
        <w:t>Kilgard</w:t>
      </w:r>
      <w:proofErr w:type="spellEnd"/>
      <w:r w:rsidRPr="00FF14F1">
        <w:t xml:space="preserve">, M. P., &amp; Hays, S. A. </w:t>
      </w:r>
      <w:r w:rsidRPr="00FF14F1">
        <w:lastRenderedPageBreak/>
        <w:t xml:space="preserve">(2019). Enhancing plasticity in central networks improves motor and sensory recovery after nerve damage. </w:t>
      </w:r>
      <w:r w:rsidRPr="00FF14F1">
        <w:rPr>
          <w:i/>
          <w:iCs/>
        </w:rPr>
        <w:t>Nature Communications</w:t>
      </w:r>
      <w:r w:rsidRPr="00FF14F1">
        <w:t xml:space="preserve">, </w:t>
      </w:r>
      <w:r w:rsidRPr="00FF14F1">
        <w:rPr>
          <w:i/>
          <w:iCs/>
        </w:rPr>
        <w:t>10</w:t>
      </w:r>
      <w:r w:rsidRPr="00FF14F1">
        <w:t xml:space="preserve">(1). </w:t>
      </w:r>
      <w:bookmarkStart w:id="110" w:name="890115df7de73c7fa5119145a81a6f71_ref"/>
      <w:bookmarkEnd w:id="110"/>
      <w:r w:rsidR="00CE74D2">
        <w:tab/>
      </w:r>
      <w:r w:rsidR="00CE74D2">
        <w:rPr>
          <w:rFonts w:ascii="Arial" w:hAnsi="Arial" w:cs="Arial"/>
          <w:sz w:val="18"/>
          <w:szCs w:val="18"/>
        </w:rPr>
        <w:t>https://doi.org/10.1038/s41467-019-13695-0</w:t>
      </w:r>
    </w:p>
    <w:p w14:paraId="68FB1681" w14:textId="77777777" w:rsidR="00FF14F1" w:rsidRPr="00FF14F1" w:rsidRDefault="00FF14F1" w:rsidP="00611A68">
      <w:pPr>
        <w:pStyle w:val="Body"/>
        <w:numPr>
          <w:ilvl w:val="0"/>
          <w:numId w:val="44"/>
        </w:numPr>
      </w:pPr>
      <w:bookmarkStart w:id="111" w:name="e1285a12d9d93938b080981a3851248d_ref"/>
      <w:r w:rsidRPr="00FF14F1">
        <w:t xml:space="preserve">Miao, Y., Wang, X., </w:t>
      </w:r>
      <w:proofErr w:type="spellStart"/>
      <w:r w:rsidRPr="00FF14F1">
        <w:t>Jin</w:t>
      </w:r>
      <w:proofErr w:type="spellEnd"/>
      <w:r w:rsidRPr="00FF14F1">
        <w:t xml:space="preserve">, J., Daly, I., Chen, S., Xu, R., Jung, T.-P., Zhang, X., Jia, J., &amp; </w:t>
      </w:r>
      <w:proofErr w:type="spellStart"/>
      <w:r w:rsidRPr="00FF14F1">
        <w:t>Cichocki</w:t>
      </w:r>
      <w:proofErr w:type="spellEnd"/>
      <w:r w:rsidRPr="00FF14F1">
        <w:t xml:space="preserve">, A. (2020). BCI-Based Rehabilitation on the Stroke in Sequela Stage. </w:t>
      </w:r>
      <w:r w:rsidRPr="00FF14F1">
        <w:rPr>
          <w:i/>
          <w:iCs/>
        </w:rPr>
        <w:t>Neural Plasticity</w:t>
      </w:r>
      <w:r w:rsidRPr="00FF14F1">
        <w:t xml:space="preserve">, </w:t>
      </w:r>
      <w:r w:rsidRPr="00FF14F1">
        <w:rPr>
          <w:i/>
          <w:iCs/>
        </w:rPr>
        <w:t>2020</w:t>
      </w:r>
      <w:r w:rsidRPr="00FF14F1">
        <w:t>(3), 1–10. https://doi.org/10.1155/2020/8882764</w:t>
      </w:r>
      <w:bookmarkEnd w:id="111"/>
    </w:p>
    <w:p w14:paraId="039B497B" w14:textId="12EC0324" w:rsidR="00FF14F1" w:rsidRPr="00FF14F1" w:rsidRDefault="00FF14F1" w:rsidP="00611A68">
      <w:pPr>
        <w:pStyle w:val="Body"/>
        <w:numPr>
          <w:ilvl w:val="0"/>
          <w:numId w:val="44"/>
        </w:numPr>
      </w:pPr>
      <w:bookmarkStart w:id="112" w:name="ef5891b8920f34b381908be34b1f5007_ref"/>
      <w:r w:rsidRPr="00FF14F1">
        <w:t xml:space="preserve">Mito, R., Cole, J. H., </w:t>
      </w:r>
      <w:proofErr w:type="spellStart"/>
      <w:r w:rsidRPr="00FF14F1">
        <w:t>Genc</w:t>
      </w:r>
      <w:proofErr w:type="spellEnd"/>
      <w:r w:rsidRPr="00FF14F1">
        <w:t xml:space="preserve">, S., Jackson, G. D., &amp; </w:t>
      </w:r>
      <w:proofErr w:type="spellStart"/>
      <w:r w:rsidRPr="00FF14F1">
        <w:t>Zalesky</w:t>
      </w:r>
      <w:proofErr w:type="spellEnd"/>
      <w:r w:rsidRPr="00FF14F1">
        <w:t xml:space="preserve">, A. (2025). Towards precision MRI biomarkers in epilepsy with normative modelling. </w:t>
      </w:r>
      <w:r w:rsidRPr="00FF14F1">
        <w:rPr>
          <w:i/>
          <w:iCs/>
        </w:rPr>
        <w:t>Brain</w:t>
      </w:r>
      <w:r w:rsidRPr="00FF14F1">
        <w:t xml:space="preserve">, </w:t>
      </w:r>
      <w:r w:rsidRPr="00FF14F1">
        <w:rPr>
          <w:i/>
          <w:iCs/>
        </w:rPr>
        <w:t>148</w:t>
      </w:r>
      <w:r w:rsidRPr="00FF14F1">
        <w:t xml:space="preserve">(7), 2247–2261. </w:t>
      </w:r>
      <w:bookmarkEnd w:id="112"/>
      <w:r w:rsidR="00CE74D2">
        <w:rPr>
          <w:rFonts w:ascii="Arial" w:hAnsi="Arial" w:cs="Arial"/>
          <w:sz w:val="18"/>
          <w:szCs w:val="18"/>
        </w:rPr>
        <w:t>https://doi.org/10.1093/brain/awaf090</w:t>
      </w:r>
    </w:p>
    <w:p w14:paraId="775E9566" w14:textId="77777777" w:rsidR="00FF14F1" w:rsidRPr="00FF14F1" w:rsidRDefault="00FF14F1" w:rsidP="00611A68">
      <w:pPr>
        <w:pStyle w:val="Body"/>
        <w:numPr>
          <w:ilvl w:val="0"/>
          <w:numId w:val="44"/>
        </w:numPr>
      </w:pPr>
      <w:r w:rsidRPr="00FF14F1">
        <w:t xml:space="preserve">Murphy, T. H., &amp; Corbett, D. (2009). Plasticity during stroke recovery: from synapse to </w:t>
      </w:r>
      <w:proofErr w:type="spellStart"/>
      <w:r w:rsidRPr="00FF14F1">
        <w:t>behaviour</w:t>
      </w:r>
      <w:proofErr w:type="spellEnd"/>
      <w:r w:rsidRPr="00FF14F1">
        <w:t xml:space="preserve">. </w:t>
      </w:r>
      <w:r w:rsidRPr="00FF14F1">
        <w:rPr>
          <w:i/>
          <w:iCs/>
        </w:rPr>
        <w:t>Nature Reviews Neuroscience</w:t>
      </w:r>
      <w:r w:rsidRPr="00FF14F1">
        <w:t xml:space="preserve">, </w:t>
      </w:r>
      <w:r w:rsidRPr="00FF14F1">
        <w:rPr>
          <w:i/>
          <w:iCs/>
        </w:rPr>
        <w:t>10</w:t>
      </w:r>
      <w:r w:rsidRPr="00FF14F1">
        <w:t>(12), 861–872. https://doi.org/10.1038/nrn2735</w:t>
      </w:r>
      <w:bookmarkStart w:id="113" w:name="2228ae270fba3c2e9217c9f16ae1e36c_ref"/>
      <w:bookmarkEnd w:id="113"/>
    </w:p>
    <w:p w14:paraId="02966038" w14:textId="6C06A1D3" w:rsidR="00FF14F1" w:rsidRPr="00FF14F1" w:rsidRDefault="00FF14F1" w:rsidP="00611A68">
      <w:pPr>
        <w:pStyle w:val="Body"/>
        <w:numPr>
          <w:ilvl w:val="0"/>
          <w:numId w:val="44"/>
        </w:numPr>
      </w:pPr>
      <w:r w:rsidRPr="00FF14F1">
        <w:t xml:space="preserve">Nair, S. R., </w:t>
      </w:r>
      <w:proofErr w:type="spellStart"/>
      <w:r w:rsidRPr="00FF14F1">
        <w:t>Rahmat</w:t>
      </w:r>
      <w:proofErr w:type="spellEnd"/>
      <w:r w:rsidRPr="00FF14F1">
        <w:t xml:space="preserve">, K., Lim, S. Y., </w:t>
      </w:r>
      <w:proofErr w:type="spellStart"/>
      <w:r w:rsidRPr="00FF14F1">
        <w:t>Mohd</w:t>
      </w:r>
      <w:proofErr w:type="spellEnd"/>
      <w:r w:rsidRPr="00FF14F1">
        <w:t xml:space="preserve"> Nor, H., Tan, L. K., &amp; </w:t>
      </w:r>
      <w:proofErr w:type="spellStart"/>
      <w:r w:rsidRPr="00FF14F1">
        <w:t>Mohd</w:t>
      </w:r>
      <w:proofErr w:type="spellEnd"/>
      <w:r w:rsidRPr="00FF14F1">
        <w:t xml:space="preserve"> Ramli, N. (2013). A decision tree for differentiating multiple system atrophy from Parkinson’s disease using 3-T MR imaging. </w:t>
      </w:r>
      <w:r w:rsidRPr="00FF14F1">
        <w:rPr>
          <w:i/>
          <w:iCs/>
        </w:rPr>
        <w:t>European Radiology</w:t>
      </w:r>
      <w:r w:rsidRPr="00FF14F1">
        <w:t xml:space="preserve">, </w:t>
      </w:r>
      <w:r w:rsidRPr="00FF14F1">
        <w:rPr>
          <w:i/>
          <w:iCs/>
        </w:rPr>
        <w:t>23</w:t>
      </w:r>
      <w:r w:rsidRPr="00FF14F1">
        <w:t xml:space="preserve">(6), 1459–1466. </w:t>
      </w:r>
      <w:bookmarkStart w:id="114" w:name="4adc8783911a37b682317841e30c52d8_ref"/>
      <w:bookmarkEnd w:id="114"/>
      <w:r w:rsidR="00CE74D2">
        <w:rPr>
          <w:rFonts w:ascii="Arial" w:hAnsi="Arial" w:cs="Arial"/>
          <w:sz w:val="18"/>
          <w:szCs w:val="18"/>
        </w:rPr>
        <w:t>https://doi.org/10.1007/s00330-012-2759-9</w:t>
      </w:r>
    </w:p>
    <w:p w14:paraId="5DF6090D" w14:textId="332227B2" w:rsidR="00FF14F1" w:rsidRPr="00FF14F1" w:rsidRDefault="00FF14F1" w:rsidP="00611A68">
      <w:pPr>
        <w:pStyle w:val="Body"/>
        <w:numPr>
          <w:ilvl w:val="0"/>
          <w:numId w:val="44"/>
        </w:numPr>
      </w:pPr>
      <w:proofErr w:type="spellStart"/>
      <w:r w:rsidRPr="00FF14F1">
        <w:t>Nilius</w:t>
      </w:r>
      <w:proofErr w:type="spellEnd"/>
      <w:r w:rsidRPr="00FF14F1">
        <w:t xml:space="preserve">, H., </w:t>
      </w:r>
      <w:proofErr w:type="spellStart"/>
      <w:r w:rsidRPr="00FF14F1">
        <w:t>Tsouka</w:t>
      </w:r>
      <w:proofErr w:type="spellEnd"/>
      <w:r w:rsidRPr="00FF14F1">
        <w:t xml:space="preserve">, S., </w:t>
      </w:r>
      <w:proofErr w:type="spellStart"/>
      <w:r w:rsidRPr="00FF14F1">
        <w:t>Nagler</w:t>
      </w:r>
      <w:proofErr w:type="spellEnd"/>
      <w:r w:rsidRPr="00FF14F1">
        <w:t xml:space="preserve">, M., &amp; </w:t>
      </w:r>
      <w:proofErr w:type="spellStart"/>
      <w:r w:rsidRPr="00FF14F1">
        <w:t>Masoodi</w:t>
      </w:r>
      <w:proofErr w:type="spellEnd"/>
      <w:r w:rsidRPr="00FF14F1">
        <w:t xml:space="preserve">, M. (2024). Machine learning applications in precision medicine: Overcoming challenges and unlocking potential. </w:t>
      </w:r>
      <w:r w:rsidRPr="00FF14F1">
        <w:rPr>
          <w:i/>
          <w:iCs/>
        </w:rPr>
        <w:t>Trends in Analytical Chemistry</w:t>
      </w:r>
      <w:r w:rsidRPr="00FF14F1">
        <w:t xml:space="preserve">, </w:t>
      </w:r>
      <w:r w:rsidRPr="00FF14F1">
        <w:rPr>
          <w:i/>
          <w:iCs/>
        </w:rPr>
        <w:t>179</w:t>
      </w:r>
      <w:r w:rsidRPr="00FF14F1">
        <w:t xml:space="preserve">, 117872. </w:t>
      </w:r>
      <w:bookmarkStart w:id="115" w:name="9d9cbd3d3d593c44beaab0cf63662c0c_ref"/>
      <w:bookmarkEnd w:id="115"/>
      <w:r w:rsidR="00CE74D2">
        <w:rPr>
          <w:rFonts w:ascii="Arial" w:hAnsi="Arial" w:cs="Arial"/>
          <w:sz w:val="18"/>
          <w:szCs w:val="18"/>
        </w:rPr>
        <w:t>https://doi.org/10.1016/j.trac.2024.117872</w:t>
      </w:r>
    </w:p>
    <w:p w14:paraId="42C62738" w14:textId="77777777" w:rsidR="00FF14F1" w:rsidRPr="00FF14F1" w:rsidRDefault="00FF14F1" w:rsidP="00611A68">
      <w:pPr>
        <w:pStyle w:val="Body"/>
        <w:numPr>
          <w:ilvl w:val="0"/>
          <w:numId w:val="44"/>
        </w:numPr>
      </w:pPr>
      <w:proofErr w:type="spellStart"/>
      <w:r w:rsidRPr="00FF14F1">
        <w:t>Nociti</w:t>
      </w:r>
      <w:proofErr w:type="spellEnd"/>
      <w:r w:rsidRPr="00FF14F1">
        <w:t xml:space="preserve">, V., </w:t>
      </w:r>
      <w:proofErr w:type="spellStart"/>
      <w:r w:rsidRPr="00FF14F1">
        <w:t>Palomba</w:t>
      </w:r>
      <w:proofErr w:type="spellEnd"/>
      <w:r w:rsidRPr="00FF14F1">
        <w:t xml:space="preserve">, N., Mirabella, M., </w:t>
      </w:r>
      <w:proofErr w:type="spellStart"/>
      <w:r w:rsidRPr="00FF14F1">
        <w:t>Clerici</w:t>
      </w:r>
      <w:proofErr w:type="spellEnd"/>
      <w:r w:rsidRPr="00FF14F1">
        <w:t xml:space="preserve">, M., </w:t>
      </w:r>
      <w:proofErr w:type="spellStart"/>
      <w:r w:rsidRPr="00FF14F1">
        <w:t>Guerini</w:t>
      </w:r>
      <w:proofErr w:type="spellEnd"/>
      <w:r w:rsidRPr="00FF14F1">
        <w:t xml:space="preserve">, F. R., Caputo, D., De </w:t>
      </w:r>
      <w:proofErr w:type="spellStart"/>
      <w:r w:rsidRPr="00FF14F1">
        <w:t>Fino</w:t>
      </w:r>
      <w:proofErr w:type="spellEnd"/>
      <w:r w:rsidRPr="00FF14F1">
        <w:t xml:space="preserve">, C., </w:t>
      </w:r>
      <w:proofErr w:type="spellStart"/>
      <w:r w:rsidRPr="00FF14F1">
        <w:t>Losavio</w:t>
      </w:r>
      <w:proofErr w:type="spellEnd"/>
      <w:r w:rsidRPr="00FF14F1">
        <w:t xml:space="preserve">, F. A., Giordano, R., Rossini, P. M., Santoro, M., &amp; </w:t>
      </w:r>
      <w:proofErr w:type="spellStart"/>
      <w:r w:rsidRPr="00FF14F1">
        <w:t>Quaranta</w:t>
      </w:r>
      <w:proofErr w:type="spellEnd"/>
      <w:r w:rsidRPr="00FF14F1">
        <w:t xml:space="preserve">, D. (2018). BDNF rs6265 polymorphism methylation in Multiple Sclerosis: A possible marker of disease progression. </w:t>
      </w:r>
      <w:r w:rsidRPr="00FF14F1">
        <w:rPr>
          <w:i/>
          <w:iCs/>
        </w:rPr>
        <w:t>PLOS ONE</w:t>
      </w:r>
      <w:r w:rsidRPr="00FF14F1">
        <w:t xml:space="preserve">, </w:t>
      </w:r>
      <w:r w:rsidRPr="00FF14F1">
        <w:rPr>
          <w:i/>
          <w:iCs/>
        </w:rPr>
        <w:t>13</w:t>
      </w:r>
      <w:r w:rsidRPr="00FF14F1">
        <w:t>(10), e0206140. https://doi.org/10.1371/journal.pone.0206140</w:t>
      </w:r>
      <w:bookmarkStart w:id="116" w:name="3aed5964e1cf3b37ab75892a18e21a13_ref"/>
      <w:bookmarkEnd w:id="116"/>
    </w:p>
    <w:p w14:paraId="46DB649D" w14:textId="72DF22D6" w:rsidR="00FF14F1" w:rsidRDefault="00FF14F1" w:rsidP="00611A68">
      <w:pPr>
        <w:pStyle w:val="Body"/>
        <w:numPr>
          <w:ilvl w:val="0"/>
          <w:numId w:val="44"/>
        </w:numPr>
      </w:pPr>
      <w:r w:rsidRPr="00FF14F1">
        <w:t xml:space="preserve">Noda, Y. (2019). Toward the establishment of neurophysiological indicators for neuropsychiatric disorders using transcranial magnetic stimulation-evoked potentials: A systematic review. </w:t>
      </w:r>
      <w:r w:rsidRPr="00FF14F1">
        <w:rPr>
          <w:i/>
          <w:iCs/>
        </w:rPr>
        <w:t>Psychiatry and Clinical Neurosciences</w:t>
      </w:r>
      <w:r w:rsidRPr="00FF14F1">
        <w:t xml:space="preserve">, </w:t>
      </w:r>
      <w:r w:rsidRPr="00FF14F1">
        <w:rPr>
          <w:i/>
          <w:iCs/>
        </w:rPr>
        <w:t>74</w:t>
      </w:r>
      <w:r w:rsidRPr="00FF14F1">
        <w:t xml:space="preserve">(1), 12–34. </w:t>
      </w:r>
      <w:hyperlink r:id="rId105" w:history="1">
        <w:r w:rsidR="00CB4189" w:rsidRPr="006F7934">
          <w:rPr>
            <w:rStyle w:val="Hyperlink"/>
          </w:rPr>
          <w:t>https://doi.org/10.1111/pcn.12936</w:t>
        </w:r>
      </w:hyperlink>
      <w:bookmarkStart w:id="117" w:name="791d7132d7873b2bba42dcf964cbfff0_ref"/>
      <w:bookmarkEnd w:id="117"/>
    </w:p>
    <w:p w14:paraId="0527D2B7" w14:textId="75486C77" w:rsidR="00CB4189" w:rsidRPr="00FF14F1" w:rsidRDefault="00CB4189" w:rsidP="00611A68">
      <w:pPr>
        <w:pStyle w:val="Body"/>
        <w:numPr>
          <w:ilvl w:val="0"/>
          <w:numId w:val="44"/>
        </w:numPr>
      </w:pPr>
      <w:r>
        <w:rPr>
          <w:color w:val="212121"/>
          <w:shd w:val="clear" w:color="auto" w:fill="FFFFFF"/>
        </w:rPr>
        <w:t xml:space="preserve">Page MJ, McKenzie JE, </w:t>
      </w:r>
      <w:proofErr w:type="spellStart"/>
      <w:r>
        <w:rPr>
          <w:color w:val="212121"/>
          <w:shd w:val="clear" w:color="auto" w:fill="FFFFFF"/>
        </w:rPr>
        <w:t>Bossuyt</w:t>
      </w:r>
      <w:proofErr w:type="spellEnd"/>
      <w:r>
        <w:rPr>
          <w:color w:val="212121"/>
          <w:shd w:val="clear" w:color="auto" w:fill="FFFFFF"/>
        </w:rPr>
        <w:t xml:space="preserve"> PM, </w:t>
      </w:r>
      <w:proofErr w:type="spellStart"/>
      <w:r>
        <w:rPr>
          <w:color w:val="212121"/>
          <w:shd w:val="clear" w:color="auto" w:fill="FFFFFF"/>
        </w:rPr>
        <w:t>Boutron</w:t>
      </w:r>
      <w:proofErr w:type="spellEnd"/>
      <w:r>
        <w:rPr>
          <w:color w:val="212121"/>
          <w:shd w:val="clear" w:color="auto" w:fill="FFFFFF"/>
        </w:rPr>
        <w:t xml:space="preserve"> I, Hoffmann TC, Mulrow CD, </w:t>
      </w:r>
      <w:proofErr w:type="spellStart"/>
      <w:r>
        <w:rPr>
          <w:color w:val="212121"/>
          <w:shd w:val="clear" w:color="auto" w:fill="FFFFFF"/>
        </w:rPr>
        <w:t>Shamseer</w:t>
      </w:r>
      <w:proofErr w:type="spellEnd"/>
      <w:r>
        <w:rPr>
          <w:color w:val="212121"/>
          <w:shd w:val="clear" w:color="auto" w:fill="FFFFFF"/>
        </w:rPr>
        <w:t xml:space="preserve"> L, </w:t>
      </w:r>
      <w:proofErr w:type="spellStart"/>
      <w:r>
        <w:rPr>
          <w:color w:val="212121"/>
          <w:shd w:val="clear" w:color="auto" w:fill="FFFFFF"/>
        </w:rPr>
        <w:t>Tetzlaff</w:t>
      </w:r>
      <w:proofErr w:type="spellEnd"/>
      <w:r>
        <w:rPr>
          <w:color w:val="212121"/>
          <w:shd w:val="clear" w:color="auto" w:fill="FFFFFF"/>
        </w:rPr>
        <w:t xml:space="preserve"> JM, </w:t>
      </w:r>
      <w:proofErr w:type="spellStart"/>
      <w:r>
        <w:rPr>
          <w:color w:val="212121"/>
          <w:shd w:val="clear" w:color="auto" w:fill="FFFFFF"/>
        </w:rPr>
        <w:t>Akl</w:t>
      </w:r>
      <w:proofErr w:type="spellEnd"/>
      <w:r>
        <w:rPr>
          <w:color w:val="212121"/>
          <w:shd w:val="clear" w:color="auto" w:fill="FFFFFF"/>
        </w:rPr>
        <w:t xml:space="preserve"> EA, Brennan SE, Chou R, Glanville J, Grimshaw JM, </w:t>
      </w:r>
      <w:proofErr w:type="spellStart"/>
      <w:r>
        <w:rPr>
          <w:color w:val="212121"/>
          <w:shd w:val="clear" w:color="auto" w:fill="FFFFFF"/>
        </w:rPr>
        <w:t>Hróbjartsson</w:t>
      </w:r>
      <w:proofErr w:type="spellEnd"/>
      <w:r>
        <w:rPr>
          <w:color w:val="212121"/>
          <w:shd w:val="clear" w:color="auto" w:fill="FFFFFF"/>
        </w:rPr>
        <w:t xml:space="preserve"> A, </w:t>
      </w:r>
      <w:proofErr w:type="spellStart"/>
      <w:r>
        <w:rPr>
          <w:color w:val="212121"/>
          <w:shd w:val="clear" w:color="auto" w:fill="FFFFFF"/>
        </w:rPr>
        <w:t>Lalu</w:t>
      </w:r>
      <w:proofErr w:type="spellEnd"/>
      <w:r>
        <w:rPr>
          <w:color w:val="212121"/>
          <w:shd w:val="clear" w:color="auto" w:fill="FFFFFF"/>
        </w:rPr>
        <w:t xml:space="preserve"> MM, Li T, </w:t>
      </w:r>
      <w:proofErr w:type="spellStart"/>
      <w:r>
        <w:rPr>
          <w:color w:val="212121"/>
          <w:shd w:val="clear" w:color="auto" w:fill="FFFFFF"/>
        </w:rPr>
        <w:t>Loder</w:t>
      </w:r>
      <w:proofErr w:type="spellEnd"/>
      <w:r>
        <w:rPr>
          <w:color w:val="212121"/>
          <w:shd w:val="clear" w:color="auto" w:fill="FFFFFF"/>
        </w:rPr>
        <w:t xml:space="preserve"> EW, Mayo-Wilson E, McDonald S, McGuinness LA, Stewart LA, Thomas J, </w:t>
      </w:r>
      <w:proofErr w:type="spellStart"/>
      <w:r>
        <w:rPr>
          <w:color w:val="212121"/>
          <w:shd w:val="clear" w:color="auto" w:fill="FFFFFF"/>
        </w:rPr>
        <w:t>Tricco</w:t>
      </w:r>
      <w:proofErr w:type="spellEnd"/>
      <w:r>
        <w:rPr>
          <w:color w:val="212121"/>
          <w:shd w:val="clear" w:color="auto" w:fill="FFFFFF"/>
        </w:rPr>
        <w:t xml:space="preserve"> AC, Welch VA, Whiting P, Moher D. The PRISMA 2020 statement: an updated guideline for reporting systematic reviews. BMJ. 2021 Mar 29;</w:t>
      </w:r>
      <w:proofErr w:type="gramStart"/>
      <w:r>
        <w:rPr>
          <w:color w:val="212121"/>
          <w:shd w:val="clear" w:color="auto" w:fill="FFFFFF"/>
        </w:rPr>
        <w:t>372:n</w:t>
      </w:r>
      <w:proofErr w:type="gramEnd"/>
      <w:r>
        <w:rPr>
          <w:color w:val="212121"/>
          <w:shd w:val="clear" w:color="auto" w:fill="FFFFFF"/>
        </w:rPr>
        <w:t xml:space="preserve">71. </w:t>
      </w:r>
      <w:proofErr w:type="spellStart"/>
      <w:r>
        <w:rPr>
          <w:color w:val="212121"/>
          <w:shd w:val="clear" w:color="auto" w:fill="FFFFFF"/>
        </w:rPr>
        <w:t>doi</w:t>
      </w:r>
      <w:proofErr w:type="spellEnd"/>
      <w:r>
        <w:rPr>
          <w:color w:val="212121"/>
          <w:shd w:val="clear" w:color="auto" w:fill="FFFFFF"/>
        </w:rPr>
        <w:t>: 10.1136/</w:t>
      </w:r>
      <w:proofErr w:type="gramStart"/>
      <w:r>
        <w:rPr>
          <w:color w:val="212121"/>
          <w:shd w:val="clear" w:color="auto" w:fill="FFFFFF"/>
        </w:rPr>
        <w:t>bmj.n</w:t>
      </w:r>
      <w:proofErr w:type="gramEnd"/>
      <w:r>
        <w:rPr>
          <w:color w:val="212121"/>
          <w:shd w:val="clear" w:color="auto" w:fill="FFFFFF"/>
        </w:rPr>
        <w:t>71</w:t>
      </w:r>
    </w:p>
    <w:p w14:paraId="69AFA9A2" w14:textId="77777777" w:rsidR="00FF14F1" w:rsidRPr="00FF14F1" w:rsidRDefault="00FF14F1" w:rsidP="00611A68">
      <w:pPr>
        <w:pStyle w:val="Body"/>
        <w:numPr>
          <w:ilvl w:val="0"/>
          <w:numId w:val="44"/>
        </w:numPr>
      </w:pPr>
      <w:bookmarkStart w:id="118" w:name="fb66806170533ff2b646c74f5b794b32_ref"/>
      <w:r w:rsidRPr="00FF14F1">
        <w:t xml:space="preserve">Pan, J., Liu, Y., Wang, S., Shen, Y., Lei, B., &amp; Feng, Z. (2021). </w:t>
      </w:r>
      <w:r w:rsidRPr="00FF14F1">
        <w:rPr>
          <w:i/>
          <w:iCs/>
        </w:rPr>
        <w:t>Characterization Multimodal Connectivity of Brain Network by Hypergraph GAN for Alzheimer’s Disease Analysis</w:t>
      </w:r>
      <w:r w:rsidRPr="00FF14F1">
        <w:t xml:space="preserve"> (pp. 467–478). Springer. https://doi.org/10.1007/978-3-030-88010-1_39</w:t>
      </w:r>
      <w:bookmarkEnd w:id="118"/>
    </w:p>
    <w:p w14:paraId="130B9A73" w14:textId="77777777" w:rsidR="00FF14F1" w:rsidRPr="00FF14F1" w:rsidRDefault="00FF14F1" w:rsidP="00611A68">
      <w:pPr>
        <w:pStyle w:val="Body"/>
        <w:numPr>
          <w:ilvl w:val="0"/>
          <w:numId w:val="44"/>
        </w:numPr>
      </w:pPr>
      <w:proofErr w:type="spellStart"/>
      <w:r w:rsidRPr="00FF14F1">
        <w:t>Papi</w:t>
      </w:r>
      <w:proofErr w:type="spellEnd"/>
      <w:r w:rsidRPr="00FF14F1">
        <w:t xml:space="preserve">, E., Koh, W. S., &amp; </w:t>
      </w:r>
      <w:proofErr w:type="spellStart"/>
      <w:r w:rsidRPr="00FF14F1">
        <w:t>Mcgregor</w:t>
      </w:r>
      <w:proofErr w:type="spellEnd"/>
      <w:r w:rsidRPr="00FF14F1">
        <w:t xml:space="preserve">, A. H. (2017). Wearable technology for spine movement assessment: A systematic review. </w:t>
      </w:r>
      <w:r w:rsidRPr="00FF14F1">
        <w:rPr>
          <w:i/>
          <w:iCs/>
        </w:rPr>
        <w:t>Journal of Biomechanics</w:t>
      </w:r>
      <w:r w:rsidRPr="00FF14F1">
        <w:t xml:space="preserve">, </w:t>
      </w:r>
      <w:r w:rsidRPr="00FF14F1">
        <w:rPr>
          <w:i/>
          <w:iCs/>
        </w:rPr>
        <w:t>64</w:t>
      </w:r>
      <w:r w:rsidRPr="00FF14F1">
        <w:t>(4), 186–197. https://doi.org/10.1016/j.jbiomech.2017.09.037</w:t>
      </w:r>
      <w:bookmarkStart w:id="119" w:name="1e0e42e29d9f39829ab49b5123fd0c20_ref"/>
      <w:bookmarkEnd w:id="119"/>
    </w:p>
    <w:p w14:paraId="3F30E526" w14:textId="77777777" w:rsidR="00FF14F1" w:rsidRPr="00FF14F1" w:rsidRDefault="00FF14F1" w:rsidP="00611A68">
      <w:pPr>
        <w:pStyle w:val="Body"/>
        <w:numPr>
          <w:ilvl w:val="0"/>
          <w:numId w:val="44"/>
        </w:numPr>
      </w:pPr>
      <w:r w:rsidRPr="00FF14F1">
        <w:lastRenderedPageBreak/>
        <w:t>Perez-Marcos, D., Bieler-</w:t>
      </w:r>
      <w:proofErr w:type="spellStart"/>
      <w:r w:rsidRPr="00FF14F1">
        <w:t>Aeschlimann</w:t>
      </w:r>
      <w:proofErr w:type="spellEnd"/>
      <w:r w:rsidRPr="00FF14F1">
        <w:t xml:space="preserve">, M., &amp; </w:t>
      </w:r>
      <w:proofErr w:type="spellStart"/>
      <w:r w:rsidRPr="00FF14F1">
        <w:t>Serino</w:t>
      </w:r>
      <w:proofErr w:type="spellEnd"/>
      <w:r w:rsidRPr="00FF14F1">
        <w:t xml:space="preserve">, A. (2018). Virtual Reality as a Vehicle to Empower Motor-Cognitive Neurorehabilitation. </w:t>
      </w:r>
      <w:r w:rsidRPr="00FF14F1">
        <w:rPr>
          <w:i/>
          <w:iCs/>
        </w:rPr>
        <w:t>Frontiers in Psychology</w:t>
      </w:r>
      <w:r w:rsidRPr="00FF14F1">
        <w:t xml:space="preserve">, </w:t>
      </w:r>
      <w:r w:rsidRPr="00FF14F1">
        <w:rPr>
          <w:i/>
          <w:iCs/>
        </w:rPr>
        <w:t>9</w:t>
      </w:r>
      <w:r w:rsidRPr="00FF14F1">
        <w:t>(1075). https://doi.org/10.3389/fpsyg.2018.02120</w:t>
      </w:r>
      <w:bookmarkStart w:id="120" w:name="226bb9cc7a793b08b8ed6e6281fc158f_ref"/>
      <w:bookmarkEnd w:id="120"/>
    </w:p>
    <w:p w14:paraId="51D3C58F" w14:textId="77777777" w:rsidR="00FF14F1" w:rsidRPr="00FF14F1" w:rsidRDefault="00FF14F1" w:rsidP="00611A68">
      <w:pPr>
        <w:pStyle w:val="Body"/>
        <w:numPr>
          <w:ilvl w:val="0"/>
          <w:numId w:val="44"/>
        </w:numPr>
      </w:pPr>
      <w:r w:rsidRPr="00FF14F1">
        <w:t xml:space="preserve">Popa, S. L., </w:t>
      </w:r>
      <w:proofErr w:type="spellStart"/>
      <w:r w:rsidRPr="00FF14F1">
        <w:t>Ismaiel</w:t>
      </w:r>
      <w:proofErr w:type="spellEnd"/>
      <w:r w:rsidRPr="00FF14F1">
        <w:t xml:space="preserve">, A., </w:t>
      </w:r>
      <w:proofErr w:type="spellStart"/>
      <w:r w:rsidRPr="00FF14F1">
        <w:t>Brata</w:t>
      </w:r>
      <w:proofErr w:type="spellEnd"/>
      <w:r w:rsidRPr="00FF14F1">
        <w:t xml:space="preserve">, V. D., </w:t>
      </w:r>
      <w:proofErr w:type="spellStart"/>
      <w:r w:rsidRPr="00FF14F1">
        <w:t>Turtoi</w:t>
      </w:r>
      <w:proofErr w:type="spellEnd"/>
      <w:r w:rsidRPr="00FF14F1">
        <w:t xml:space="preserve">, D. C., </w:t>
      </w:r>
      <w:proofErr w:type="spellStart"/>
      <w:r w:rsidRPr="00FF14F1">
        <w:t>Barsan</w:t>
      </w:r>
      <w:proofErr w:type="spellEnd"/>
      <w:r w:rsidRPr="00FF14F1">
        <w:t xml:space="preserve">, M., </w:t>
      </w:r>
      <w:proofErr w:type="spellStart"/>
      <w:r w:rsidRPr="00FF14F1">
        <w:t>Czako</w:t>
      </w:r>
      <w:proofErr w:type="spellEnd"/>
      <w:r w:rsidRPr="00FF14F1">
        <w:t xml:space="preserve">, Z., Pop, C., </w:t>
      </w:r>
      <w:proofErr w:type="spellStart"/>
      <w:r w:rsidRPr="00FF14F1">
        <w:t>Muresan</w:t>
      </w:r>
      <w:proofErr w:type="spellEnd"/>
      <w:r w:rsidRPr="00FF14F1">
        <w:t xml:space="preserve">, L., </w:t>
      </w:r>
      <w:proofErr w:type="spellStart"/>
      <w:r w:rsidRPr="00FF14F1">
        <w:t>Stanculete</w:t>
      </w:r>
      <w:proofErr w:type="spellEnd"/>
      <w:r w:rsidRPr="00FF14F1">
        <w:t xml:space="preserve">, M. F., &amp; </w:t>
      </w:r>
      <w:proofErr w:type="spellStart"/>
      <w:r w:rsidRPr="00FF14F1">
        <w:t>Dumitrascu</w:t>
      </w:r>
      <w:proofErr w:type="spellEnd"/>
      <w:r w:rsidRPr="00FF14F1">
        <w:t xml:space="preserve">, D. I. (2024). Artificial Intelligence and medical specialties: support or substitution? </w:t>
      </w:r>
      <w:r w:rsidRPr="00FF14F1">
        <w:rPr>
          <w:i/>
          <w:iCs/>
        </w:rPr>
        <w:t>Medicine and Pharmacy Reports</w:t>
      </w:r>
      <w:r w:rsidRPr="00FF14F1">
        <w:t xml:space="preserve">, </w:t>
      </w:r>
      <w:r w:rsidRPr="00FF14F1">
        <w:rPr>
          <w:i/>
          <w:iCs/>
        </w:rPr>
        <w:t>97</w:t>
      </w:r>
      <w:r w:rsidRPr="00FF14F1">
        <w:t>(4), 409–418. https://doi.org/10.15386/mpr-2696</w:t>
      </w:r>
      <w:bookmarkStart w:id="121" w:name="2c8a1f391ca93b4eac46a67a34d669f7_ref"/>
      <w:bookmarkEnd w:id="121"/>
    </w:p>
    <w:p w14:paraId="444EE839" w14:textId="77777777" w:rsidR="00FF14F1" w:rsidRPr="00FF14F1" w:rsidRDefault="00FF14F1" w:rsidP="00611A68">
      <w:pPr>
        <w:pStyle w:val="Body"/>
        <w:numPr>
          <w:ilvl w:val="0"/>
          <w:numId w:val="44"/>
        </w:numPr>
      </w:pPr>
      <w:proofErr w:type="spellStart"/>
      <w:r w:rsidRPr="00FF14F1">
        <w:t>Proietti</w:t>
      </w:r>
      <w:proofErr w:type="spellEnd"/>
      <w:r w:rsidRPr="00FF14F1">
        <w:t xml:space="preserve">, T., &amp; Bandini, A. (2024). Wearable Technologies for Monitoring Upper Extremity Functions During Daily Life in Neurologically Impaired Individuals. </w:t>
      </w:r>
      <w:r w:rsidRPr="00FF14F1">
        <w:rPr>
          <w:i/>
          <w:iCs/>
        </w:rPr>
        <w:t xml:space="preserve">IEEE Transactions on Neural Systems and Rehabilitation </w:t>
      </w:r>
      <w:proofErr w:type="gramStart"/>
      <w:r w:rsidRPr="00FF14F1">
        <w:rPr>
          <w:i/>
          <w:iCs/>
        </w:rPr>
        <w:t>Engineering :</w:t>
      </w:r>
      <w:proofErr w:type="gramEnd"/>
      <w:r w:rsidRPr="00FF14F1">
        <w:rPr>
          <w:i/>
          <w:iCs/>
        </w:rPr>
        <w:t xml:space="preserve"> A Publication of the IEEE Engineering in Medicine and Biology Society</w:t>
      </w:r>
      <w:r w:rsidRPr="00FF14F1">
        <w:t xml:space="preserve">, </w:t>
      </w:r>
      <w:r w:rsidRPr="00FF14F1">
        <w:rPr>
          <w:i/>
          <w:iCs/>
        </w:rPr>
        <w:t>32</w:t>
      </w:r>
      <w:r w:rsidRPr="00FF14F1">
        <w:t>, 2737–2748. https://doi.org/10.1109/tnsre.2024.3435042</w:t>
      </w:r>
      <w:bookmarkStart w:id="122" w:name="0e5d1821745933eab2f31099fa8a0d96_ref"/>
      <w:bookmarkEnd w:id="122"/>
    </w:p>
    <w:p w14:paraId="222FB46A" w14:textId="505F3814" w:rsidR="00FF14F1" w:rsidRPr="00FF14F1" w:rsidRDefault="00FF14F1" w:rsidP="00611A68">
      <w:pPr>
        <w:pStyle w:val="Body"/>
        <w:numPr>
          <w:ilvl w:val="0"/>
          <w:numId w:val="44"/>
        </w:numPr>
      </w:pPr>
      <w:r w:rsidRPr="00FF14F1">
        <w:t xml:space="preserve">Qin, L., Carmel, J., Lee, F. S., Cho, S., </w:t>
      </w:r>
      <w:proofErr w:type="spellStart"/>
      <w:r w:rsidRPr="00FF14F1">
        <w:t>Parauda</w:t>
      </w:r>
      <w:proofErr w:type="spellEnd"/>
      <w:r w:rsidRPr="00FF14F1">
        <w:t xml:space="preserve">, S., Jing, D., &amp; Ratan, R. R. (2014). An adaptive role for BDNF Val66Met polymorphism in motor recovery in chronic stroke. </w:t>
      </w:r>
      <w:r w:rsidRPr="00FF14F1">
        <w:rPr>
          <w:i/>
          <w:iCs/>
        </w:rPr>
        <w:t>The Journal of Neuroscience</w:t>
      </w:r>
      <w:r w:rsidRPr="00FF14F1">
        <w:t xml:space="preserve">, </w:t>
      </w:r>
      <w:r w:rsidRPr="00FF14F1">
        <w:rPr>
          <w:i/>
          <w:iCs/>
        </w:rPr>
        <w:t>34</w:t>
      </w:r>
      <w:r w:rsidRPr="00FF14F1">
        <w:t xml:space="preserve">(7), 2493–2502. </w:t>
      </w:r>
      <w:bookmarkStart w:id="123" w:name="6a120e8d678b3ef08d87b6c97daac9d6_ref"/>
      <w:bookmarkEnd w:id="123"/>
      <w:r w:rsidR="00CE74D2">
        <w:rPr>
          <w:rFonts w:ascii="Arial" w:hAnsi="Arial" w:cs="Arial"/>
          <w:sz w:val="18"/>
          <w:szCs w:val="18"/>
        </w:rPr>
        <w:t>https://doi.org/10.1523/jneurosci.4140-13.2014</w:t>
      </w:r>
    </w:p>
    <w:p w14:paraId="1B291AF4" w14:textId="47021E7C" w:rsidR="00FF14F1" w:rsidRPr="00FF14F1" w:rsidRDefault="00FF14F1" w:rsidP="00611A68">
      <w:pPr>
        <w:pStyle w:val="Body"/>
        <w:numPr>
          <w:ilvl w:val="0"/>
          <w:numId w:val="44"/>
        </w:numPr>
      </w:pPr>
      <w:r w:rsidRPr="00FF14F1">
        <w:t xml:space="preserve">Rasa, A. R. (2024). Artificial Intelligence and Its Revolutionary Role in Physical and Mental Rehabilitation: A Review of Recent Advancements. </w:t>
      </w:r>
      <w:r w:rsidRPr="00FF14F1">
        <w:rPr>
          <w:i/>
          <w:iCs/>
        </w:rPr>
        <w:t>BioMed Research International</w:t>
      </w:r>
      <w:r w:rsidRPr="00FF14F1">
        <w:t xml:space="preserve">, </w:t>
      </w:r>
      <w:r w:rsidRPr="00FF14F1">
        <w:rPr>
          <w:i/>
          <w:iCs/>
        </w:rPr>
        <w:t>2024</w:t>
      </w:r>
      <w:r w:rsidRPr="00FF14F1">
        <w:t xml:space="preserve">(1). </w:t>
      </w:r>
      <w:bookmarkStart w:id="124" w:name="53b2a2d732d13d6ea9c7f49c9015e961_ref"/>
      <w:bookmarkEnd w:id="124"/>
      <w:r w:rsidR="00CE74D2">
        <w:rPr>
          <w:rFonts w:ascii="Arial" w:hAnsi="Arial" w:cs="Arial"/>
          <w:sz w:val="18"/>
          <w:szCs w:val="18"/>
        </w:rPr>
        <w:t>https://doi.org/10.1155/bmri/9554590</w:t>
      </w:r>
      <w:r w:rsidR="00CE74D2">
        <w:tab/>
      </w:r>
    </w:p>
    <w:p w14:paraId="12FBD152" w14:textId="77777777" w:rsidR="00FF14F1" w:rsidRPr="00FF14F1" w:rsidRDefault="00FF14F1" w:rsidP="00611A68">
      <w:pPr>
        <w:pStyle w:val="Body"/>
        <w:numPr>
          <w:ilvl w:val="0"/>
          <w:numId w:val="44"/>
        </w:numPr>
      </w:pPr>
      <w:bookmarkStart w:id="125" w:name="c4ae198663183c3d94b9642a40311d52_ref"/>
      <w:r w:rsidRPr="00FF14F1">
        <w:t xml:space="preserve">Rezaei, S., </w:t>
      </w:r>
      <w:proofErr w:type="spellStart"/>
      <w:r w:rsidRPr="00FF14F1">
        <w:t>Saberi</w:t>
      </w:r>
      <w:proofErr w:type="spellEnd"/>
      <w:r w:rsidRPr="00FF14F1">
        <w:t xml:space="preserve">, A., Keshavarz, P., </w:t>
      </w:r>
      <w:proofErr w:type="spellStart"/>
      <w:r w:rsidRPr="00FF14F1">
        <w:t>Leili</w:t>
      </w:r>
      <w:proofErr w:type="spellEnd"/>
      <w:r w:rsidRPr="00FF14F1">
        <w:t xml:space="preserve">, E. K., &amp; </w:t>
      </w:r>
      <w:proofErr w:type="spellStart"/>
      <w:r w:rsidRPr="00FF14F1">
        <w:t>Asgari</w:t>
      </w:r>
      <w:proofErr w:type="spellEnd"/>
      <w:r w:rsidRPr="00FF14F1">
        <w:t xml:space="preserve"> </w:t>
      </w:r>
      <w:proofErr w:type="spellStart"/>
      <w:r w:rsidRPr="00FF14F1">
        <w:t>Mobarake</w:t>
      </w:r>
      <w:proofErr w:type="spellEnd"/>
      <w:r w:rsidRPr="00FF14F1">
        <w:t xml:space="preserve">, K. (2016). Brain-derived neurotrophic factor (BDNF) Val66Met polymorphism and post-stroke dementia: a hospital-based study from northern Iran. </w:t>
      </w:r>
      <w:r w:rsidRPr="00FF14F1">
        <w:rPr>
          <w:i/>
          <w:iCs/>
        </w:rPr>
        <w:t>Neurological Sciences</w:t>
      </w:r>
      <w:r w:rsidRPr="00FF14F1">
        <w:t xml:space="preserve">, </w:t>
      </w:r>
      <w:r w:rsidRPr="00FF14F1">
        <w:rPr>
          <w:i/>
          <w:iCs/>
        </w:rPr>
        <w:t>37</w:t>
      </w:r>
      <w:r w:rsidRPr="00FF14F1">
        <w:t>(6), 935–942. https://doi.org/10.1007/s10072-016-2520-2</w:t>
      </w:r>
      <w:bookmarkEnd w:id="125"/>
    </w:p>
    <w:p w14:paraId="6199DFA0" w14:textId="362C7045" w:rsidR="00FF14F1" w:rsidRPr="00FF14F1" w:rsidRDefault="00FF14F1" w:rsidP="00611A68">
      <w:pPr>
        <w:pStyle w:val="Body"/>
        <w:numPr>
          <w:ilvl w:val="0"/>
          <w:numId w:val="44"/>
        </w:numPr>
      </w:pPr>
      <w:bookmarkStart w:id="126" w:name="c700f0b4f20536f9b995022ad66e2a76_ref"/>
      <w:r w:rsidRPr="00FF14F1">
        <w:t xml:space="preserve">Romero </w:t>
      </w:r>
      <w:proofErr w:type="spellStart"/>
      <w:r w:rsidRPr="00FF14F1">
        <w:t>Garavito</w:t>
      </w:r>
      <w:proofErr w:type="spellEnd"/>
      <w:r w:rsidRPr="00FF14F1">
        <w:t xml:space="preserve">, A., Díaz Martínez, V., Juárez Cortés, E., Negrete Díaz, J. V., &amp; </w:t>
      </w:r>
      <w:proofErr w:type="spellStart"/>
      <w:r w:rsidRPr="00FF14F1">
        <w:t>Montilla</w:t>
      </w:r>
      <w:proofErr w:type="spellEnd"/>
      <w:r w:rsidRPr="00FF14F1">
        <w:t xml:space="preserve"> Rodríguez, L. M. (2025). Impact of physical exercise on the regulation of brain-derived neurotrophic factor in people with neurodegenerative diseases. </w:t>
      </w:r>
      <w:r w:rsidRPr="00FF14F1">
        <w:rPr>
          <w:i/>
          <w:iCs/>
        </w:rPr>
        <w:t>Frontiers in Neurology</w:t>
      </w:r>
      <w:r w:rsidRPr="00FF14F1">
        <w:t xml:space="preserve">, </w:t>
      </w:r>
      <w:r w:rsidRPr="00FF14F1">
        <w:rPr>
          <w:i/>
          <w:iCs/>
        </w:rPr>
        <w:t>15</w:t>
      </w:r>
      <w:r w:rsidRPr="00FF14F1">
        <w:t xml:space="preserve">. </w:t>
      </w:r>
      <w:bookmarkEnd w:id="126"/>
      <w:r w:rsidR="00CE74D2">
        <w:rPr>
          <w:rFonts w:ascii="Arial" w:hAnsi="Arial" w:cs="Arial"/>
          <w:sz w:val="18"/>
          <w:szCs w:val="18"/>
        </w:rPr>
        <w:t>https://doi.org/10.3389/fneur.2024.1505879</w:t>
      </w:r>
    </w:p>
    <w:p w14:paraId="6724D6BD" w14:textId="2E660559" w:rsidR="00FF14F1" w:rsidRPr="00FF14F1" w:rsidRDefault="00FF14F1" w:rsidP="00611A68">
      <w:pPr>
        <w:pStyle w:val="Body"/>
        <w:numPr>
          <w:ilvl w:val="0"/>
          <w:numId w:val="44"/>
        </w:numPr>
      </w:pPr>
      <w:proofErr w:type="spellStart"/>
      <w:r w:rsidRPr="00FF14F1">
        <w:t>Rovati</w:t>
      </w:r>
      <w:proofErr w:type="spellEnd"/>
      <w:r w:rsidRPr="00FF14F1">
        <w:t xml:space="preserve">, L., Gajic, O., Zhong, X., Lal, A., </w:t>
      </w:r>
      <w:proofErr w:type="spellStart"/>
      <w:r w:rsidRPr="00FF14F1">
        <w:t>Cubro</w:t>
      </w:r>
      <w:proofErr w:type="spellEnd"/>
      <w:r w:rsidRPr="00FF14F1">
        <w:t xml:space="preserve">, E., Gary, P. J., Dong, Y., Schulte, P. J., </w:t>
      </w:r>
      <w:proofErr w:type="spellStart"/>
      <w:r w:rsidRPr="00FF14F1">
        <w:t>Kilickaya</w:t>
      </w:r>
      <w:proofErr w:type="spellEnd"/>
      <w:r w:rsidRPr="00FF14F1">
        <w:t xml:space="preserve">, O., </w:t>
      </w:r>
      <w:proofErr w:type="spellStart"/>
      <w:r w:rsidRPr="00FF14F1">
        <w:t>Kelm</w:t>
      </w:r>
      <w:proofErr w:type="spellEnd"/>
      <w:r w:rsidRPr="00FF14F1">
        <w:t xml:space="preserve">, D. J., </w:t>
      </w:r>
      <w:proofErr w:type="spellStart"/>
      <w:r w:rsidRPr="00FF14F1">
        <w:t>Wörster</w:t>
      </w:r>
      <w:proofErr w:type="spellEnd"/>
      <w:r w:rsidRPr="00FF14F1">
        <w:t xml:space="preserve">, M., &amp; Niven, A. S. (2024). Development and usability testing of a patient digital twin for critical care education: a mixed methods study. </w:t>
      </w:r>
      <w:r w:rsidRPr="00FF14F1">
        <w:rPr>
          <w:i/>
          <w:iCs/>
        </w:rPr>
        <w:t>Frontiers in Medicine</w:t>
      </w:r>
      <w:r w:rsidRPr="00FF14F1">
        <w:t xml:space="preserve">, </w:t>
      </w:r>
      <w:r w:rsidRPr="00FF14F1">
        <w:rPr>
          <w:i/>
          <w:iCs/>
        </w:rPr>
        <w:t>10</w:t>
      </w:r>
      <w:r w:rsidRPr="00FF14F1">
        <w:t xml:space="preserve">. </w:t>
      </w:r>
      <w:bookmarkStart w:id="127" w:name="2ef2a89e7402360ba778ed4000aecddd_ref"/>
      <w:bookmarkEnd w:id="127"/>
      <w:r w:rsidR="00CE74D2">
        <w:rPr>
          <w:rFonts w:ascii="Arial" w:hAnsi="Arial" w:cs="Arial"/>
          <w:sz w:val="18"/>
          <w:szCs w:val="18"/>
        </w:rPr>
        <w:t>https://doi.org/10.3389/fmed.2023.1336897</w:t>
      </w:r>
    </w:p>
    <w:p w14:paraId="0B4EF3CB" w14:textId="77777777" w:rsidR="00FF14F1" w:rsidRPr="00FF14F1" w:rsidRDefault="00FF14F1" w:rsidP="00611A68">
      <w:pPr>
        <w:pStyle w:val="Body"/>
        <w:numPr>
          <w:ilvl w:val="0"/>
          <w:numId w:val="44"/>
        </w:numPr>
      </w:pPr>
      <w:proofErr w:type="spellStart"/>
      <w:r w:rsidRPr="00FF14F1">
        <w:t>Santilli</w:t>
      </w:r>
      <w:proofErr w:type="spellEnd"/>
      <w:r w:rsidRPr="00FF14F1">
        <w:t xml:space="preserve">, G., </w:t>
      </w:r>
      <w:proofErr w:type="spellStart"/>
      <w:r w:rsidRPr="00FF14F1">
        <w:t>Mangone</w:t>
      </w:r>
      <w:proofErr w:type="spellEnd"/>
      <w:r w:rsidRPr="00FF14F1">
        <w:t xml:space="preserve">, M., Agostini, F., </w:t>
      </w:r>
      <w:proofErr w:type="spellStart"/>
      <w:r w:rsidRPr="00FF14F1">
        <w:t>Paoloni</w:t>
      </w:r>
      <w:proofErr w:type="spellEnd"/>
      <w:r w:rsidRPr="00FF14F1">
        <w:t xml:space="preserve">, M., </w:t>
      </w:r>
      <w:proofErr w:type="spellStart"/>
      <w:r w:rsidRPr="00FF14F1">
        <w:t>Bernetti</w:t>
      </w:r>
      <w:proofErr w:type="spellEnd"/>
      <w:r w:rsidRPr="00FF14F1">
        <w:t xml:space="preserve">, A., </w:t>
      </w:r>
      <w:proofErr w:type="spellStart"/>
      <w:r w:rsidRPr="00FF14F1">
        <w:t>Diko</w:t>
      </w:r>
      <w:proofErr w:type="spellEnd"/>
      <w:r w:rsidRPr="00FF14F1">
        <w:t xml:space="preserve">, A., </w:t>
      </w:r>
      <w:proofErr w:type="spellStart"/>
      <w:r w:rsidRPr="00FF14F1">
        <w:t>Tognolo</w:t>
      </w:r>
      <w:proofErr w:type="spellEnd"/>
      <w:r w:rsidRPr="00FF14F1">
        <w:t xml:space="preserve">, L., </w:t>
      </w:r>
      <w:proofErr w:type="spellStart"/>
      <w:r w:rsidRPr="00FF14F1">
        <w:t>Coraci</w:t>
      </w:r>
      <w:proofErr w:type="spellEnd"/>
      <w:r w:rsidRPr="00FF14F1">
        <w:t xml:space="preserve">, D., Vigevano, F., </w:t>
      </w:r>
      <w:proofErr w:type="spellStart"/>
      <w:r w:rsidRPr="00FF14F1">
        <w:t>Vetrano</w:t>
      </w:r>
      <w:proofErr w:type="spellEnd"/>
      <w:r w:rsidRPr="00FF14F1">
        <w:t xml:space="preserve">, M., </w:t>
      </w:r>
      <w:proofErr w:type="spellStart"/>
      <w:r w:rsidRPr="00FF14F1">
        <w:t>Vulpiani</w:t>
      </w:r>
      <w:proofErr w:type="spellEnd"/>
      <w:r w:rsidRPr="00FF14F1">
        <w:t xml:space="preserve">, M. C., Fiore, P., &amp; </w:t>
      </w:r>
      <w:proofErr w:type="spellStart"/>
      <w:r w:rsidRPr="00FF14F1">
        <w:t>Gimigliano</w:t>
      </w:r>
      <w:proofErr w:type="spellEnd"/>
      <w:r w:rsidRPr="00FF14F1">
        <w:t xml:space="preserve">, F. (2024). Evaluation of Rehabilitation Outcomes in Patients with Chronic Neurological Health Conditions Using a Machine Learning Approach. </w:t>
      </w:r>
      <w:r w:rsidRPr="00FF14F1">
        <w:rPr>
          <w:i/>
          <w:iCs/>
        </w:rPr>
        <w:t>Journal of Functional Morphology and Kinesiology</w:t>
      </w:r>
      <w:r w:rsidRPr="00FF14F1">
        <w:t xml:space="preserve">, </w:t>
      </w:r>
      <w:r w:rsidRPr="00FF14F1">
        <w:rPr>
          <w:i/>
          <w:iCs/>
        </w:rPr>
        <w:t>9</w:t>
      </w:r>
      <w:r w:rsidRPr="00FF14F1">
        <w:t>(4), 176. https://doi.org/10.3390/jfmk9040176</w:t>
      </w:r>
      <w:bookmarkStart w:id="128" w:name="60ffcff29c703f2483ccaab8790b0081_ref"/>
      <w:bookmarkEnd w:id="128"/>
    </w:p>
    <w:p w14:paraId="6EEB7222" w14:textId="19C01AD4" w:rsidR="00FF14F1" w:rsidRPr="00FF14F1" w:rsidRDefault="00FF14F1" w:rsidP="00611A68">
      <w:pPr>
        <w:pStyle w:val="Body"/>
        <w:numPr>
          <w:ilvl w:val="0"/>
          <w:numId w:val="44"/>
        </w:numPr>
      </w:pPr>
      <w:bookmarkStart w:id="129" w:name="a2e282bc7e583bc5aa70f670d7094dc7_ref"/>
      <w:r w:rsidRPr="00FF14F1">
        <w:t xml:space="preserve">Schulz, R., Chang, W. H., Lee, A., Hummel, F. C., Lee, J., Park, E., &amp; Kim, Y.-H. (2017). Interactions Between the Corticospinal Tract and Premotor-Motor Pathways for Residual Motor Output After Stroke. </w:t>
      </w:r>
      <w:r w:rsidRPr="00FF14F1">
        <w:rPr>
          <w:i/>
          <w:iCs/>
        </w:rPr>
        <w:t>Stroke</w:t>
      </w:r>
      <w:r w:rsidRPr="00FF14F1">
        <w:t xml:space="preserve">, </w:t>
      </w:r>
      <w:r w:rsidRPr="00FF14F1">
        <w:rPr>
          <w:i/>
          <w:iCs/>
        </w:rPr>
        <w:t>48</w:t>
      </w:r>
      <w:r w:rsidRPr="00FF14F1">
        <w:t xml:space="preserve">(10), 2805–2811. </w:t>
      </w:r>
      <w:bookmarkEnd w:id="129"/>
      <w:r w:rsidR="00CE74D2">
        <w:rPr>
          <w:rFonts w:ascii="Arial" w:hAnsi="Arial" w:cs="Arial"/>
          <w:sz w:val="18"/>
          <w:szCs w:val="18"/>
        </w:rPr>
        <w:t>https://doi.org/10.1161/strokeaha.117.016834</w:t>
      </w:r>
    </w:p>
    <w:p w14:paraId="598675D1" w14:textId="77777777" w:rsidR="00FF14F1" w:rsidRPr="00FF14F1" w:rsidRDefault="00FF14F1" w:rsidP="00611A68">
      <w:pPr>
        <w:pStyle w:val="Body"/>
        <w:numPr>
          <w:ilvl w:val="0"/>
          <w:numId w:val="44"/>
        </w:numPr>
      </w:pPr>
      <w:r w:rsidRPr="00FF14F1">
        <w:t xml:space="preserve">Shen, X., </w:t>
      </w:r>
      <w:proofErr w:type="spellStart"/>
      <w:r w:rsidRPr="00FF14F1">
        <w:t>Papademetris</w:t>
      </w:r>
      <w:proofErr w:type="spellEnd"/>
      <w:r w:rsidRPr="00FF14F1">
        <w:t xml:space="preserve">, X., Constable, R. T., Rosenberg, M. D., Finn, E. S., Chun, M. M., &amp; </w:t>
      </w:r>
      <w:proofErr w:type="spellStart"/>
      <w:r w:rsidRPr="00FF14F1">
        <w:t>Scheinost</w:t>
      </w:r>
      <w:proofErr w:type="spellEnd"/>
      <w:r w:rsidRPr="00FF14F1">
        <w:t xml:space="preserve">, D. (2017). Using connectome-based predictive modeling to </w:t>
      </w:r>
      <w:r w:rsidRPr="00FF14F1">
        <w:lastRenderedPageBreak/>
        <w:t xml:space="preserve">predict individual behavior from brain connectivity. </w:t>
      </w:r>
      <w:r w:rsidRPr="00FF14F1">
        <w:rPr>
          <w:i/>
          <w:iCs/>
        </w:rPr>
        <w:t>Nature Protocols</w:t>
      </w:r>
      <w:r w:rsidRPr="00FF14F1">
        <w:t xml:space="preserve">, </w:t>
      </w:r>
      <w:r w:rsidRPr="00FF14F1">
        <w:rPr>
          <w:i/>
          <w:iCs/>
        </w:rPr>
        <w:t>12</w:t>
      </w:r>
      <w:r w:rsidRPr="00FF14F1">
        <w:t>(3), 506–518. https://doi.org/10.1038/nprot.2016.178</w:t>
      </w:r>
      <w:bookmarkStart w:id="130" w:name="1a8f12d089543031ac3a7ddc0c539c50_ref"/>
      <w:bookmarkEnd w:id="130"/>
    </w:p>
    <w:p w14:paraId="1662A952" w14:textId="08D53E53" w:rsidR="00FF14F1" w:rsidRPr="00FF14F1" w:rsidRDefault="00FF14F1" w:rsidP="00611A68">
      <w:pPr>
        <w:pStyle w:val="Body"/>
        <w:numPr>
          <w:ilvl w:val="0"/>
          <w:numId w:val="44"/>
        </w:numPr>
      </w:pPr>
      <w:r w:rsidRPr="00FF14F1">
        <w:t xml:space="preserve">Siu, R., Demers, M., </w:t>
      </w:r>
      <w:proofErr w:type="spellStart"/>
      <w:r w:rsidRPr="00FF14F1">
        <w:t>Winstein</w:t>
      </w:r>
      <w:proofErr w:type="spellEnd"/>
      <w:r w:rsidRPr="00FF14F1">
        <w:t xml:space="preserve">, C. J., &amp; Abbas, J. J. (2024). Editorial: “Smart” rehabilitation technology and methodology to personalize neurorehabilitation. </w:t>
      </w:r>
      <w:r w:rsidRPr="00FF14F1">
        <w:rPr>
          <w:i/>
          <w:iCs/>
        </w:rPr>
        <w:t>Frontiers in Rehabilitation Sciences</w:t>
      </w:r>
      <w:r w:rsidRPr="00FF14F1">
        <w:t xml:space="preserve">, </w:t>
      </w:r>
      <w:r w:rsidRPr="00FF14F1">
        <w:rPr>
          <w:i/>
          <w:iCs/>
        </w:rPr>
        <w:t>4</w:t>
      </w:r>
      <w:r w:rsidRPr="00FF14F1">
        <w:t xml:space="preserve">. </w:t>
      </w:r>
      <w:bookmarkStart w:id="131" w:name="8480ebbe953239de9466432fcc938a9d_ref"/>
      <w:bookmarkEnd w:id="131"/>
      <w:r w:rsidR="00CE74D2">
        <w:rPr>
          <w:rFonts w:ascii="Arial" w:hAnsi="Arial" w:cs="Arial"/>
          <w:sz w:val="18"/>
          <w:szCs w:val="18"/>
        </w:rPr>
        <w:t>https://doi.org/10.3389/fresc.2023.1348086</w:t>
      </w:r>
    </w:p>
    <w:p w14:paraId="620672D2" w14:textId="625B9A41" w:rsidR="00FF14F1" w:rsidRPr="00FF14F1" w:rsidRDefault="00FF14F1" w:rsidP="00611A68">
      <w:pPr>
        <w:pStyle w:val="Body"/>
        <w:numPr>
          <w:ilvl w:val="0"/>
          <w:numId w:val="44"/>
        </w:numPr>
      </w:pPr>
      <w:r w:rsidRPr="00FF14F1">
        <w:t xml:space="preserve">Smith, S. A., Farrell, J. A. D., </w:t>
      </w:r>
      <w:proofErr w:type="spellStart"/>
      <w:r w:rsidRPr="00FF14F1">
        <w:t>Belegu</w:t>
      </w:r>
      <w:proofErr w:type="spellEnd"/>
      <w:r w:rsidRPr="00FF14F1">
        <w:t xml:space="preserve">, V., Van </w:t>
      </w:r>
      <w:proofErr w:type="spellStart"/>
      <w:r w:rsidRPr="00FF14F1">
        <w:t>Zijl</w:t>
      </w:r>
      <w:proofErr w:type="spellEnd"/>
      <w:r w:rsidRPr="00FF14F1">
        <w:t xml:space="preserve">, P. C. M., </w:t>
      </w:r>
      <w:proofErr w:type="spellStart"/>
      <w:r w:rsidRPr="00FF14F1">
        <w:t>Mcdonald</w:t>
      </w:r>
      <w:proofErr w:type="spellEnd"/>
      <w:r w:rsidRPr="00FF14F1">
        <w:t xml:space="preserve">, J. W., </w:t>
      </w:r>
      <w:proofErr w:type="spellStart"/>
      <w:r w:rsidRPr="00FF14F1">
        <w:t>Chodkowski</w:t>
      </w:r>
      <w:proofErr w:type="spellEnd"/>
      <w:r w:rsidRPr="00FF14F1">
        <w:t xml:space="preserve">, B., Landman, B. A., Gifford, A., Reich, D. S., </w:t>
      </w:r>
      <w:proofErr w:type="spellStart"/>
      <w:r w:rsidRPr="00FF14F1">
        <w:t>Calabresi</w:t>
      </w:r>
      <w:proofErr w:type="spellEnd"/>
      <w:r w:rsidRPr="00FF14F1">
        <w:t>, P. A., &amp; Jones, C. K. (2009). Reproducibility of tract</w:t>
      </w:r>
      <w:r w:rsidRPr="00FF14F1">
        <w:rPr>
          <w:rFonts w:ascii="Cambria Math" w:hAnsi="Cambria Math" w:cs="Cambria Math"/>
        </w:rPr>
        <w:t>‐</w:t>
      </w:r>
      <w:r w:rsidRPr="00FF14F1">
        <w:t xml:space="preserve">specific magnetization transfer and diffusion tensor imaging in the cervical spinal cord at 3 </w:t>
      </w:r>
      <w:proofErr w:type="gramStart"/>
      <w:r w:rsidRPr="00FF14F1">
        <w:t>tesla</w:t>
      </w:r>
      <w:proofErr w:type="gramEnd"/>
      <w:r w:rsidRPr="00FF14F1">
        <w:t xml:space="preserve">. </w:t>
      </w:r>
      <w:r w:rsidRPr="00FF14F1">
        <w:rPr>
          <w:i/>
          <w:iCs/>
        </w:rPr>
        <w:t>NMR in Biomedicine</w:t>
      </w:r>
      <w:r w:rsidRPr="00FF14F1">
        <w:t xml:space="preserve">, </w:t>
      </w:r>
      <w:r w:rsidRPr="00FF14F1">
        <w:rPr>
          <w:i/>
          <w:iCs/>
        </w:rPr>
        <w:t>23</w:t>
      </w:r>
      <w:r w:rsidRPr="00FF14F1">
        <w:t xml:space="preserve">(2), 207–217. </w:t>
      </w:r>
      <w:bookmarkStart w:id="132" w:name="9ccf4cbd62ea3d9bbb66d129ee83abfb_ref"/>
      <w:bookmarkEnd w:id="132"/>
      <w:r w:rsidR="00CE74D2">
        <w:rPr>
          <w:rFonts w:ascii="Arial" w:hAnsi="Arial" w:cs="Arial"/>
          <w:sz w:val="18"/>
          <w:szCs w:val="18"/>
        </w:rPr>
        <w:t>https://doi.org/10.1002/nbm.1447</w:t>
      </w:r>
    </w:p>
    <w:p w14:paraId="2C6FDFCC" w14:textId="77777777" w:rsidR="00FF14F1" w:rsidRPr="00FF14F1" w:rsidRDefault="00FF14F1" w:rsidP="00611A68">
      <w:pPr>
        <w:pStyle w:val="Body"/>
        <w:numPr>
          <w:ilvl w:val="0"/>
          <w:numId w:val="44"/>
        </w:numPr>
      </w:pPr>
      <w:bookmarkStart w:id="133" w:name="eb840a0473a93a8d8eecf5a65a94d96f_ref"/>
      <w:r w:rsidRPr="00FF14F1">
        <w:t xml:space="preserve">Spampinato, D. A., Ibanez, J., </w:t>
      </w:r>
      <w:proofErr w:type="spellStart"/>
      <w:r w:rsidRPr="00FF14F1">
        <w:t>Rocchi</w:t>
      </w:r>
      <w:proofErr w:type="spellEnd"/>
      <w:r w:rsidRPr="00FF14F1">
        <w:t xml:space="preserve">, L., &amp; Rothwell, J. (2023). Motor potentials evoked by transcranial magnetic stimulation: interpreting a simple measure of a complex system. </w:t>
      </w:r>
      <w:r w:rsidRPr="00FF14F1">
        <w:rPr>
          <w:i/>
          <w:iCs/>
        </w:rPr>
        <w:t>The Journal of Physiology</w:t>
      </w:r>
      <w:r w:rsidRPr="00FF14F1">
        <w:t xml:space="preserve">, </w:t>
      </w:r>
      <w:r w:rsidRPr="00FF14F1">
        <w:rPr>
          <w:i/>
          <w:iCs/>
        </w:rPr>
        <w:t>601</w:t>
      </w:r>
      <w:r w:rsidRPr="00FF14F1">
        <w:t>(14), 2827–2851. https://doi.org/10.1113/jp281885</w:t>
      </w:r>
      <w:bookmarkEnd w:id="133"/>
    </w:p>
    <w:p w14:paraId="5AE9521A" w14:textId="14AD36C4" w:rsidR="00FF14F1" w:rsidRPr="00FF14F1" w:rsidRDefault="00FF14F1" w:rsidP="00611A68">
      <w:pPr>
        <w:pStyle w:val="Body"/>
        <w:numPr>
          <w:ilvl w:val="0"/>
          <w:numId w:val="44"/>
        </w:numPr>
      </w:pPr>
      <w:r w:rsidRPr="00FF14F1">
        <w:t xml:space="preserve">Sperber, C., Gallucci, L., </w:t>
      </w:r>
      <w:proofErr w:type="spellStart"/>
      <w:r w:rsidRPr="00FF14F1">
        <w:t>Kasties</w:t>
      </w:r>
      <w:proofErr w:type="spellEnd"/>
      <w:r w:rsidRPr="00FF14F1">
        <w:t xml:space="preserve">, V., Arnold, M., &amp; </w:t>
      </w:r>
      <w:proofErr w:type="spellStart"/>
      <w:r w:rsidRPr="00FF14F1">
        <w:t>Umarova</w:t>
      </w:r>
      <w:proofErr w:type="spellEnd"/>
      <w:r w:rsidRPr="00FF14F1">
        <w:t xml:space="preserve">, R. M. (2025). </w:t>
      </w:r>
      <w:proofErr w:type="spellStart"/>
      <w:r w:rsidRPr="00FF14F1">
        <w:t>Connectomic</w:t>
      </w:r>
      <w:proofErr w:type="spellEnd"/>
      <w:r w:rsidRPr="00FF14F1">
        <w:t xml:space="preserve"> stroke lesion measures provide no benefit over basic spatial lesion features in the prognosis of global stroke outcome measures. </w:t>
      </w:r>
      <w:r w:rsidRPr="00FF14F1">
        <w:rPr>
          <w:i/>
          <w:iCs/>
        </w:rPr>
        <w:t>Brain Communications</w:t>
      </w:r>
      <w:r w:rsidRPr="00FF14F1">
        <w:t xml:space="preserve">, </w:t>
      </w:r>
      <w:r w:rsidRPr="00FF14F1">
        <w:rPr>
          <w:i/>
          <w:iCs/>
        </w:rPr>
        <w:t>7</w:t>
      </w:r>
      <w:r w:rsidRPr="00FF14F1">
        <w:t xml:space="preserve">(4). </w:t>
      </w:r>
      <w:bookmarkStart w:id="134" w:name="0b78495b233d30b9b838b4bae6e6f689_ref"/>
      <w:bookmarkEnd w:id="134"/>
      <w:r w:rsidR="00B7086A">
        <w:rPr>
          <w:rFonts w:ascii="Arial" w:hAnsi="Arial" w:cs="Arial"/>
          <w:sz w:val="18"/>
          <w:szCs w:val="18"/>
        </w:rPr>
        <w:t>https://doi.org/10.1093/braincomms/fcaf268</w:t>
      </w:r>
    </w:p>
    <w:p w14:paraId="43FF83BD" w14:textId="77777777" w:rsidR="00FF14F1" w:rsidRPr="00FF14F1" w:rsidRDefault="00FF14F1" w:rsidP="00611A68">
      <w:pPr>
        <w:pStyle w:val="Body"/>
        <w:numPr>
          <w:ilvl w:val="0"/>
          <w:numId w:val="44"/>
        </w:numPr>
      </w:pPr>
      <w:bookmarkStart w:id="135" w:name="c65eea0734fb3b40ad0a0d0771b237ec_ref"/>
      <w:r w:rsidRPr="00FF14F1">
        <w:t xml:space="preserve">Sui, J., Du, Y., Calhoun, V. D., He, H., Bridwell, D., Castro, E., </w:t>
      </w:r>
      <w:proofErr w:type="spellStart"/>
      <w:r w:rsidRPr="00FF14F1">
        <w:t>Pearlson</w:t>
      </w:r>
      <w:proofErr w:type="spellEnd"/>
      <w:r w:rsidRPr="00FF14F1">
        <w:t xml:space="preserve">, G. D., &amp; Jiang, T. (2014). Combination of FMRI-SMRI-EEG data improves discrimination of schizophrenia patients by ensemble feature selection. </w:t>
      </w:r>
      <w:r w:rsidRPr="00FF14F1">
        <w:rPr>
          <w:i/>
          <w:iCs/>
        </w:rPr>
        <w:t>Annual International Conference of the IEEE Engineering in Medicine and Biology Society. IEEE Engineering in Medicine and Biology Society. Annual International Conference</w:t>
      </w:r>
      <w:r w:rsidRPr="00FF14F1">
        <w:t xml:space="preserve">, </w:t>
      </w:r>
      <w:r w:rsidRPr="00FF14F1">
        <w:rPr>
          <w:i/>
          <w:iCs/>
        </w:rPr>
        <w:t>2014</w:t>
      </w:r>
      <w:r w:rsidRPr="00FF14F1">
        <w:t>, 3889–3892. https://doi.org/10.1109/embc.2014.6944473</w:t>
      </w:r>
      <w:bookmarkEnd w:id="135"/>
    </w:p>
    <w:p w14:paraId="3C6DD0C3" w14:textId="4B0CCF22" w:rsidR="00FF14F1" w:rsidRPr="00FF14F1" w:rsidRDefault="00FF14F1" w:rsidP="00611A68">
      <w:pPr>
        <w:pStyle w:val="Body"/>
        <w:numPr>
          <w:ilvl w:val="0"/>
          <w:numId w:val="44"/>
        </w:numPr>
      </w:pPr>
      <w:proofErr w:type="spellStart"/>
      <w:r w:rsidRPr="00FF14F1">
        <w:t>Swarnakar</w:t>
      </w:r>
      <w:proofErr w:type="spellEnd"/>
      <w:r w:rsidRPr="00FF14F1">
        <w:t xml:space="preserve">, R. (2025). Precision Rehabilitation Through Mathematical Modeling: A New Frontier in Medicine. </w:t>
      </w:r>
      <w:proofErr w:type="spellStart"/>
      <w:r w:rsidRPr="00FF14F1">
        <w:rPr>
          <w:i/>
          <w:iCs/>
        </w:rPr>
        <w:t>Cureus</w:t>
      </w:r>
      <w:proofErr w:type="spellEnd"/>
      <w:r w:rsidRPr="00FF14F1">
        <w:t xml:space="preserve">, </w:t>
      </w:r>
      <w:r w:rsidRPr="00FF14F1">
        <w:rPr>
          <w:i/>
          <w:iCs/>
        </w:rPr>
        <w:t>17</w:t>
      </w:r>
      <w:r w:rsidRPr="00FF14F1">
        <w:t xml:space="preserve">(6). </w:t>
      </w:r>
      <w:bookmarkStart w:id="136" w:name="440b2a0c62cc365fa6987a0ce7b79dc4_ref"/>
      <w:bookmarkEnd w:id="136"/>
      <w:r w:rsidR="00B7086A">
        <w:rPr>
          <w:rFonts w:ascii="Arial" w:hAnsi="Arial" w:cs="Arial"/>
          <w:sz w:val="18"/>
          <w:szCs w:val="18"/>
        </w:rPr>
        <w:t>https://doi.org/10.7759/cureus.86965</w:t>
      </w:r>
    </w:p>
    <w:p w14:paraId="5BEEA048" w14:textId="77777777" w:rsidR="00FF14F1" w:rsidRPr="00FF14F1" w:rsidRDefault="00FF14F1" w:rsidP="00611A68">
      <w:pPr>
        <w:pStyle w:val="Body"/>
        <w:numPr>
          <w:ilvl w:val="0"/>
          <w:numId w:val="44"/>
        </w:numPr>
      </w:pPr>
      <w:r w:rsidRPr="00FF14F1">
        <w:t xml:space="preserve">Tedesco </w:t>
      </w:r>
      <w:proofErr w:type="spellStart"/>
      <w:r w:rsidRPr="00FF14F1">
        <w:t>Triccas</w:t>
      </w:r>
      <w:proofErr w:type="spellEnd"/>
      <w:r w:rsidRPr="00FF14F1">
        <w:t xml:space="preserve">, L., Meyer, S., </w:t>
      </w:r>
      <w:proofErr w:type="spellStart"/>
      <w:r w:rsidRPr="00FF14F1">
        <w:t>Mantini</w:t>
      </w:r>
      <w:proofErr w:type="spellEnd"/>
      <w:r w:rsidRPr="00FF14F1">
        <w:t xml:space="preserve">, D., Camilleri, K., </w:t>
      </w:r>
      <w:proofErr w:type="spellStart"/>
      <w:r w:rsidRPr="00FF14F1">
        <w:t>Falzon</w:t>
      </w:r>
      <w:proofErr w:type="spellEnd"/>
      <w:r w:rsidRPr="00FF14F1">
        <w:t xml:space="preserve">, O., Camilleri, T., &amp; </w:t>
      </w:r>
      <w:proofErr w:type="spellStart"/>
      <w:r w:rsidRPr="00FF14F1">
        <w:t>Verheyden</w:t>
      </w:r>
      <w:proofErr w:type="spellEnd"/>
      <w:r w:rsidRPr="00FF14F1">
        <w:t xml:space="preserve">, G. (2018). A systematic review investigating the relationship of electroencephalography and magnetoencephalography measurements with sensorimotor upper limb impairments after stroke. </w:t>
      </w:r>
      <w:r w:rsidRPr="00FF14F1">
        <w:rPr>
          <w:i/>
          <w:iCs/>
        </w:rPr>
        <w:t>Journal of Neuroscience Methods</w:t>
      </w:r>
      <w:r w:rsidRPr="00FF14F1">
        <w:t xml:space="preserve">, </w:t>
      </w:r>
      <w:r w:rsidRPr="00FF14F1">
        <w:rPr>
          <w:i/>
          <w:iCs/>
        </w:rPr>
        <w:t>311</w:t>
      </w:r>
      <w:r w:rsidRPr="00FF14F1">
        <w:t>, 318–330. https://doi.org/10.1016/j.jneumeth.2018.08.009</w:t>
      </w:r>
      <w:bookmarkStart w:id="137" w:name="93385b5ada1133759ebdb3bc981cdfc4_ref"/>
      <w:bookmarkEnd w:id="137"/>
    </w:p>
    <w:p w14:paraId="6C87C305" w14:textId="79C73788" w:rsidR="00FF14F1" w:rsidRPr="00FF14F1" w:rsidRDefault="00FF14F1" w:rsidP="00611A68">
      <w:pPr>
        <w:pStyle w:val="Body"/>
        <w:numPr>
          <w:ilvl w:val="0"/>
          <w:numId w:val="44"/>
        </w:numPr>
      </w:pPr>
      <w:proofErr w:type="spellStart"/>
      <w:r w:rsidRPr="00FF14F1">
        <w:t>Thebault</w:t>
      </w:r>
      <w:proofErr w:type="spellEnd"/>
      <w:r w:rsidRPr="00FF14F1">
        <w:t xml:space="preserve">, S., Freedman, M. S., &amp; Booth, R. A. (2020). Blood Neurofilament Light Chain: The Neurologist’s Troponin? </w:t>
      </w:r>
      <w:r w:rsidRPr="00FF14F1">
        <w:rPr>
          <w:i/>
          <w:iCs/>
        </w:rPr>
        <w:t>Biomedicines</w:t>
      </w:r>
      <w:r w:rsidRPr="00FF14F1">
        <w:t xml:space="preserve">, </w:t>
      </w:r>
      <w:r w:rsidRPr="00FF14F1">
        <w:rPr>
          <w:i/>
          <w:iCs/>
        </w:rPr>
        <w:t>8</w:t>
      </w:r>
      <w:r w:rsidRPr="00FF14F1">
        <w:t xml:space="preserve">(11), 523. </w:t>
      </w:r>
      <w:bookmarkStart w:id="138" w:name="9680651944b832a99321655638eb25f9_ref"/>
      <w:bookmarkEnd w:id="138"/>
      <w:r w:rsidR="00B7086A">
        <w:rPr>
          <w:rFonts w:ascii="Arial" w:hAnsi="Arial" w:cs="Arial"/>
          <w:sz w:val="18"/>
          <w:szCs w:val="18"/>
        </w:rPr>
        <w:t>https://doi.org/10.3390/biomedicines8110523</w:t>
      </w:r>
    </w:p>
    <w:p w14:paraId="2F5180FE" w14:textId="77777777" w:rsidR="00FF14F1" w:rsidRPr="00FF14F1" w:rsidRDefault="00FF14F1" w:rsidP="00611A68">
      <w:pPr>
        <w:pStyle w:val="Body"/>
        <w:numPr>
          <w:ilvl w:val="0"/>
          <w:numId w:val="44"/>
        </w:numPr>
      </w:pPr>
      <w:r w:rsidRPr="00FF14F1">
        <w:t xml:space="preserve">Thomas, A. W., </w:t>
      </w:r>
      <w:proofErr w:type="spellStart"/>
      <w:r w:rsidRPr="00FF14F1">
        <w:t>Heekeren</w:t>
      </w:r>
      <w:proofErr w:type="spellEnd"/>
      <w:r w:rsidRPr="00FF14F1">
        <w:t xml:space="preserve">, H. R., Müller, K.-R., &amp; </w:t>
      </w:r>
      <w:proofErr w:type="spellStart"/>
      <w:r w:rsidRPr="00FF14F1">
        <w:t>Samek</w:t>
      </w:r>
      <w:proofErr w:type="spellEnd"/>
      <w:r w:rsidRPr="00FF14F1">
        <w:t xml:space="preserve">, W. (2019). Analyzing Neuroimaging Data Through Recurrent Deep Learning Models. </w:t>
      </w:r>
      <w:r w:rsidRPr="00FF14F1">
        <w:rPr>
          <w:i/>
          <w:iCs/>
        </w:rPr>
        <w:t>Frontiers in Neuroscience</w:t>
      </w:r>
      <w:r w:rsidRPr="00FF14F1">
        <w:t xml:space="preserve">, </w:t>
      </w:r>
      <w:r w:rsidRPr="00FF14F1">
        <w:rPr>
          <w:i/>
          <w:iCs/>
        </w:rPr>
        <w:t>13</w:t>
      </w:r>
      <w:r w:rsidRPr="00FF14F1">
        <w:t>. https://doi.org/10.3389/fnins.2019.01321</w:t>
      </w:r>
      <w:bookmarkStart w:id="139" w:name="7f407b62aa92303d99187c46a61f1c1f_ref"/>
      <w:bookmarkEnd w:id="139"/>
    </w:p>
    <w:p w14:paraId="64CE5295" w14:textId="77777777" w:rsidR="00FF14F1" w:rsidRPr="00FF14F1" w:rsidRDefault="00FF14F1" w:rsidP="00611A68">
      <w:pPr>
        <w:pStyle w:val="Body"/>
        <w:numPr>
          <w:ilvl w:val="0"/>
          <w:numId w:val="44"/>
        </w:numPr>
      </w:pPr>
      <w:bookmarkStart w:id="140" w:name="df30dc9d7b343b1797ef238e0ca37847_ref"/>
      <w:proofErr w:type="spellStart"/>
      <w:r w:rsidRPr="00FF14F1">
        <w:t>Tonon</w:t>
      </w:r>
      <w:proofErr w:type="spellEnd"/>
      <w:r w:rsidRPr="00FF14F1">
        <w:t xml:space="preserve">, A. C., </w:t>
      </w:r>
      <w:proofErr w:type="spellStart"/>
      <w:r w:rsidRPr="00FF14F1">
        <w:t>Nexha</w:t>
      </w:r>
      <w:proofErr w:type="spellEnd"/>
      <w:r w:rsidRPr="00FF14F1">
        <w:t xml:space="preserve">, A., </w:t>
      </w:r>
      <w:proofErr w:type="spellStart"/>
      <w:r w:rsidRPr="00FF14F1">
        <w:t>Mendonça</w:t>
      </w:r>
      <w:proofErr w:type="spellEnd"/>
      <w:r w:rsidRPr="00FF14F1">
        <w:t xml:space="preserve"> Da Silva, M., Gomes, F. A., Hidalgo, M. P., &amp; Frey, B. N. (2024). Sleep and circadian disruption in bipolar disorders: From psychopathology to digital phenotyping in clinical practice. </w:t>
      </w:r>
      <w:r w:rsidRPr="00FF14F1">
        <w:rPr>
          <w:i/>
          <w:iCs/>
        </w:rPr>
        <w:t>Psychiatry and Clinical Neurosciences</w:t>
      </w:r>
      <w:r w:rsidRPr="00FF14F1">
        <w:t xml:space="preserve">, </w:t>
      </w:r>
      <w:r w:rsidRPr="00FF14F1">
        <w:rPr>
          <w:i/>
          <w:iCs/>
        </w:rPr>
        <w:t>78</w:t>
      </w:r>
      <w:r w:rsidRPr="00FF14F1">
        <w:t>(11), 654–666. https://doi.org/10.1111/pcn.13729</w:t>
      </w:r>
      <w:bookmarkEnd w:id="140"/>
    </w:p>
    <w:p w14:paraId="5A4314D0" w14:textId="108C648C" w:rsidR="00FF14F1" w:rsidRPr="00FF14F1" w:rsidRDefault="00FF14F1" w:rsidP="00611A68">
      <w:pPr>
        <w:pStyle w:val="Body"/>
        <w:numPr>
          <w:ilvl w:val="0"/>
          <w:numId w:val="44"/>
        </w:numPr>
      </w:pPr>
      <w:proofErr w:type="spellStart"/>
      <w:r w:rsidRPr="00FF14F1">
        <w:lastRenderedPageBreak/>
        <w:t>Vallée</w:t>
      </w:r>
      <w:proofErr w:type="spellEnd"/>
      <w:r w:rsidRPr="00FF14F1">
        <w:t xml:space="preserve">, A. (2023). Digital twin for healthcare systems. </w:t>
      </w:r>
      <w:r w:rsidRPr="00FF14F1">
        <w:rPr>
          <w:i/>
          <w:iCs/>
        </w:rPr>
        <w:t>Frontiers in Digital Health</w:t>
      </w:r>
      <w:r w:rsidRPr="00FF14F1">
        <w:t xml:space="preserve">, </w:t>
      </w:r>
      <w:r w:rsidRPr="00FF14F1">
        <w:rPr>
          <w:i/>
          <w:iCs/>
        </w:rPr>
        <w:t>5</w:t>
      </w:r>
      <w:r w:rsidRPr="00FF14F1">
        <w:t xml:space="preserve">. </w:t>
      </w:r>
      <w:bookmarkStart w:id="141" w:name="5fb705717bb7364bb7b5a1419ce8e055_ref"/>
      <w:bookmarkEnd w:id="141"/>
      <w:r w:rsidR="00B7086A">
        <w:rPr>
          <w:rFonts w:ascii="Arial" w:hAnsi="Arial" w:cs="Arial"/>
          <w:sz w:val="18"/>
          <w:szCs w:val="18"/>
        </w:rPr>
        <w:t>https://doi.org/10.3389/fdgth.2023.1253050</w:t>
      </w:r>
    </w:p>
    <w:p w14:paraId="5A8264F9" w14:textId="56EF3718" w:rsidR="00FF14F1" w:rsidRPr="00FF14F1" w:rsidRDefault="00FF14F1" w:rsidP="00611A68">
      <w:pPr>
        <w:pStyle w:val="Body"/>
        <w:numPr>
          <w:ilvl w:val="0"/>
          <w:numId w:val="44"/>
        </w:numPr>
      </w:pPr>
      <w:bookmarkStart w:id="142" w:name="ddaabf546efb3f499b051209d9cfbb2e_ref"/>
      <w:r w:rsidRPr="00FF14F1">
        <w:t xml:space="preserve">Venkatesh, K. P., Raza, M. M., &amp; </w:t>
      </w:r>
      <w:proofErr w:type="spellStart"/>
      <w:r w:rsidRPr="00FF14F1">
        <w:t>Kvedar</w:t>
      </w:r>
      <w:proofErr w:type="spellEnd"/>
      <w:r w:rsidRPr="00FF14F1">
        <w:t xml:space="preserve">, J. C. (2022). Health digital twins as tools for precision medicine: Considerations for computation, implementation, and regulation. </w:t>
      </w:r>
      <w:r w:rsidRPr="00FF14F1">
        <w:rPr>
          <w:i/>
          <w:iCs/>
        </w:rPr>
        <w:t>NPJ Digital Medicine</w:t>
      </w:r>
      <w:r w:rsidRPr="00FF14F1">
        <w:t xml:space="preserve">, </w:t>
      </w:r>
      <w:r w:rsidRPr="00FF14F1">
        <w:rPr>
          <w:i/>
          <w:iCs/>
        </w:rPr>
        <w:t>5</w:t>
      </w:r>
      <w:r w:rsidRPr="00FF14F1">
        <w:t xml:space="preserve">(1). </w:t>
      </w:r>
      <w:bookmarkEnd w:id="142"/>
      <w:r w:rsidR="00B7086A">
        <w:rPr>
          <w:rFonts w:ascii="Arial" w:hAnsi="Arial" w:cs="Arial"/>
          <w:sz w:val="18"/>
          <w:szCs w:val="18"/>
        </w:rPr>
        <w:t>https://doi.org/10.1038/s41746-022-00694-7</w:t>
      </w:r>
    </w:p>
    <w:p w14:paraId="5768967F" w14:textId="464E755D" w:rsidR="00FF14F1" w:rsidRPr="00FF14F1" w:rsidRDefault="00FF14F1" w:rsidP="00611A68">
      <w:pPr>
        <w:pStyle w:val="Body"/>
        <w:numPr>
          <w:ilvl w:val="0"/>
          <w:numId w:val="44"/>
        </w:numPr>
      </w:pPr>
      <w:bookmarkStart w:id="143" w:name="ca5da0de81c43888b007b7b8a7ef6ef8_ref"/>
      <w:r w:rsidRPr="00FF14F1">
        <w:t xml:space="preserve">Webb, C. A., Lovell-Smith, N., </w:t>
      </w:r>
      <w:proofErr w:type="spellStart"/>
      <w:r w:rsidRPr="00FF14F1">
        <w:t>Björgvinsson</w:t>
      </w:r>
      <w:proofErr w:type="spellEnd"/>
      <w:r w:rsidRPr="00FF14F1">
        <w:t xml:space="preserve">, T., Beard, C., </w:t>
      </w:r>
      <w:proofErr w:type="spellStart"/>
      <w:r w:rsidRPr="00FF14F1">
        <w:t>Forgeard</w:t>
      </w:r>
      <w:proofErr w:type="spellEnd"/>
      <w:r w:rsidRPr="00FF14F1">
        <w:t xml:space="preserve">, M., &amp; Israel, E. S. (2022). Personalized prescriptions of therapeutic skills from patient characteristics: An ecological momentary assessment approach. </w:t>
      </w:r>
      <w:r w:rsidRPr="00FF14F1">
        <w:rPr>
          <w:i/>
          <w:iCs/>
        </w:rPr>
        <w:t>Journal of Consulting and Clinical Psychology</w:t>
      </w:r>
      <w:r w:rsidRPr="00FF14F1">
        <w:t xml:space="preserve">, </w:t>
      </w:r>
      <w:r w:rsidRPr="00FF14F1">
        <w:rPr>
          <w:i/>
          <w:iCs/>
        </w:rPr>
        <w:t>90</w:t>
      </w:r>
      <w:r w:rsidRPr="00FF14F1">
        <w:t xml:space="preserve">(1), 51–60. </w:t>
      </w:r>
      <w:bookmarkEnd w:id="143"/>
      <w:r w:rsidR="00B7086A">
        <w:rPr>
          <w:rFonts w:ascii="Arial" w:hAnsi="Arial" w:cs="Arial"/>
          <w:sz w:val="18"/>
          <w:szCs w:val="18"/>
        </w:rPr>
        <w:t>https://doi.org/10.1037/ccp0000555</w:t>
      </w:r>
    </w:p>
    <w:p w14:paraId="62627182" w14:textId="56EB76D4" w:rsidR="00FF14F1" w:rsidRPr="00FF14F1" w:rsidRDefault="00FF14F1" w:rsidP="00611A68">
      <w:pPr>
        <w:pStyle w:val="Body"/>
        <w:numPr>
          <w:ilvl w:val="0"/>
          <w:numId w:val="44"/>
        </w:numPr>
      </w:pPr>
      <w:bookmarkStart w:id="144" w:name="b2d0c16ec13631f8ad88ec96fe02c0ca_ref"/>
      <w:proofErr w:type="spellStart"/>
      <w:r w:rsidRPr="00FF14F1">
        <w:t>Wolpaw</w:t>
      </w:r>
      <w:proofErr w:type="spellEnd"/>
      <w:r w:rsidRPr="00FF14F1">
        <w:t xml:space="preserve">, J. R., &amp; </w:t>
      </w:r>
      <w:proofErr w:type="spellStart"/>
      <w:r w:rsidRPr="00FF14F1">
        <w:t>Kamesar</w:t>
      </w:r>
      <w:proofErr w:type="spellEnd"/>
      <w:r w:rsidRPr="00FF14F1">
        <w:t xml:space="preserve">, A. (2022). </w:t>
      </w:r>
      <w:proofErr w:type="spellStart"/>
      <w:r w:rsidRPr="00FF14F1">
        <w:t>Heksor</w:t>
      </w:r>
      <w:proofErr w:type="spellEnd"/>
      <w:r w:rsidRPr="00FF14F1">
        <w:t xml:space="preserve">: the central nervous system substrate of an adaptive </w:t>
      </w:r>
      <w:proofErr w:type="spellStart"/>
      <w:r w:rsidRPr="00FF14F1">
        <w:t>behaviour</w:t>
      </w:r>
      <w:proofErr w:type="spellEnd"/>
      <w:r w:rsidRPr="00FF14F1">
        <w:t xml:space="preserve">. </w:t>
      </w:r>
      <w:r w:rsidRPr="00FF14F1">
        <w:rPr>
          <w:i/>
          <w:iCs/>
        </w:rPr>
        <w:t>The Journal of Physiology</w:t>
      </w:r>
      <w:r w:rsidRPr="00FF14F1">
        <w:t xml:space="preserve">, </w:t>
      </w:r>
      <w:r w:rsidRPr="00FF14F1">
        <w:rPr>
          <w:i/>
          <w:iCs/>
        </w:rPr>
        <w:t>600</w:t>
      </w:r>
      <w:r w:rsidRPr="00FF14F1">
        <w:t xml:space="preserve">(15), 3423–3452. </w:t>
      </w:r>
      <w:bookmarkEnd w:id="144"/>
      <w:r w:rsidR="00B7086A">
        <w:rPr>
          <w:rFonts w:ascii="Arial" w:hAnsi="Arial" w:cs="Arial"/>
          <w:sz w:val="18"/>
          <w:szCs w:val="18"/>
        </w:rPr>
        <w:t>https://doi.org/10.1113/JP283291</w:t>
      </w:r>
    </w:p>
    <w:p w14:paraId="75A96D3A" w14:textId="01A9805B" w:rsidR="00FF14F1" w:rsidRPr="00FF14F1" w:rsidRDefault="00FF14F1" w:rsidP="00611A68">
      <w:pPr>
        <w:pStyle w:val="Body"/>
        <w:numPr>
          <w:ilvl w:val="0"/>
          <w:numId w:val="44"/>
        </w:numPr>
      </w:pPr>
      <w:r w:rsidRPr="00FF14F1">
        <w:t xml:space="preserve">Yang, L., Liu, J., Du, Y., &amp; Yang, W. (2023). Machine learning with neuroimaging biomarkers: Application in the diagnosis and prediction of drug addiction. </w:t>
      </w:r>
      <w:r w:rsidRPr="00FF14F1">
        <w:rPr>
          <w:i/>
          <w:iCs/>
        </w:rPr>
        <w:t>Addiction Biology</w:t>
      </w:r>
      <w:r w:rsidRPr="00FF14F1">
        <w:t xml:space="preserve">, </w:t>
      </w:r>
      <w:r w:rsidRPr="00FF14F1">
        <w:rPr>
          <w:i/>
          <w:iCs/>
        </w:rPr>
        <w:t>28</w:t>
      </w:r>
      <w:r w:rsidRPr="00FF14F1">
        <w:t xml:space="preserve">(2). </w:t>
      </w:r>
      <w:bookmarkStart w:id="145" w:name="7fafb750018030a9a34fb00b04f50f70_ref"/>
      <w:bookmarkEnd w:id="145"/>
      <w:r w:rsidR="00B7086A">
        <w:rPr>
          <w:rFonts w:ascii="Arial" w:hAnsi="Arial" w:cs="Arial"/>
          <w:sz w:val="18"/>
          <w:szCs w:val="18"/>
        </w:rPr>
        <w:t>https://doi.org/10.1111/adb.13267</w:t>
      </w:r>
    </w:p>
    <w:p w14:paraId="7FD04493" w14:textId="7FEC90FA" w:rsidR="00FF14F1" w:rsidRPr="00FF14F1" w:rsidRDefault="00FF14F1" w:rsidP="00611A68">
      <w:pPr>
        <w:pStyle w:val="Body"/>
        <w:numPr>
          <w:ilvl w:val="0"/>
          <w:numId w:val="44"/>
        </w:numPr>
      </w:pPr>
      <w:r w:rsidRPr="00FF14F1">
        <w:t xml:space="preserve">Zhang, R., Zhang, K., Wang, X., Li, Y., Wang, C., Zhao, C., &amp; He, S. (2023). An Adaptive Brain-Computer Interface to Enhance Motor Recovery After Stroke. </w:t>
      </w:r>
      <w:r w:rsidRPr="00FF14F1">
        <w:rPr>
          <w:i/>
          <w:iCs/>
        </w:rPr>
        <w:t>IEEE Transactions on Neural Systems and Rehabilitation Engineering</w:t>
      </w:r>
      <w:r w:rsidRPr="00FF14F1">
        <w:t xml:space="preserve">, </w:t>
      </w:r>
      <w:r w:rsidRPr="00FF14F1">
        <w:rPr>
          <w:i/>
          <w:iCs/>
        </w:rPr>
        <w:t>31</w:t>
      </w:r>
      <w:r w:rsidRPr="00FF14F1">
        <w:t xml:space="preserve">, 2268–2278. </w:t>
      </w:r>
      <w:bookmarkStart w:id="146" w:name="214f8b9abdfa3ac48e807484ad44cc2c_ref"/>
      <w:bookmarkEnd w:id="146"/>
      <w:r w:rsidR="00B7086A">
        <w:rPr>
          <w:rFonts w:ascii="Arial" w:hAnsi="Arial" w:cs="Arial"/>
          <w:sz w:val="18"/>
          <w:szCs w:val="18"/>
        </w:rPr>
        <w:t>https://doi.org/10.1109/tnsre.2023.3272372</w:t>
      </w:r>
    </w:p>
    <w:p w14:paraId="73E3BB01" w14:textId="36061A10" w:rsidR="00FF14F1" w:rsidRPr="00FF14F1" w:rsidRDefault="00FF14F1" w:rsidP="00611A68">
      <w:pPr>
        <w:pStyle w:val="Body"/>
        <w:numPr>
          <w:ilvl w:val="0"/>
          <w:numId w:val="44"/>
        </w:numPr>
      </w:pPr>
      <w:r w:rsidRPr="00FF14F1">
        <w:t xml:space="preserve">Zhang, Y., &amp; </w:t>
      </w:r>
      <w:proofErr w:type="spellStart"/>
      <w:r w:rsidRPr="00FF14F1">
        <w:t>Burock</w:t>
      </w:r>
      <w:proofErr w:type="spellEnd"/>
      <w:r w:rsidRPr="00FF14F1">
        <w:t xml:space="preserve">, M. A. (2020). Diffusion Tensor Imaging in Parkinson’s Disease and Parkinsonian Syndrome: A Systematic Review. </w:t>
      </w:r>
      <w:r w:rsidRPr="00FF14F1">
        <w:rPr>
          <w:i/>
          <w:iCs/>
        </w:rPr>
        <w:t>Frontiers in Neurology</w:t>
      </w:r>
      <w:r w:rsidRPr="00FF14F1">
        <w:t xml:space="preserve">, </w:t>
      </w:r>
      <w:r w:rsidRPr="00FF14F1">
        <w:rPr>
          <w:i/>
          <w:iCs/>
        </w:rPr>
        <w:t>11</w:t>
      </w:r>
      <w:r w:rsidRPr="00FF14F1">
        <w:t xml:space="preserve">(Pt 4). </w:t>
      </w:r>
      <w:bookmarkStart w:id="147" w:name="76e98d9d1a8938a08da5e76e89b9c662_ref"/>
      <w:bookmarkEnd w:id="147"/>
      <w:r w:rsidR="00B7086A">
        <w:rPr>
          <w:rFonts w:ascii="Arial" w:hAnsi="Arial" w:cs="Arial"/>
          <w:sz w:val="18"/>
          <w:szCs w:val="18"/>
        </w:rPr>
        <w:t>https://doi.org/10.3389/fneur.2020.531993</w:t>
      </w:r>
    </w:p>
    <w:p w14:paraId="0289FC18" w14:textId="5BAC31AF" w:rsidR="00B01FCD" w:rsidRPr="00FF14F1" w:rsidRDefault="00FF14F1" w:rsidP="00611A68">
      <w:pPr>
        <w:pStyle w:val="Body"/>
        <w:numPr>
          <w:ilvl w:val="0"/>
          <w:numId w:val="44"/>
        </w:numPr>
      </w:pPr>
      <w:r w:rsidRPr="00FF14F1">
        <w:t xml:space="preserve">Zhang, Y., Sang, L., Li, P., </w:t>
      </w:r>
      <w:proofErr w:type="spellStart"/>
      <w:r w:rsidRPr="00FF14F1">
        <w:t>Qiu</w:t>
      </w:r>
      <w:proofErr w:type="spellEnd"/>
      <w:r w:rsidRPr="00FF14F1">
        <w:t xml:space="preserve">, M., Liu, H., Wang, L., Yan, R., Yang, J., Wang, J., &amp; Zhang, J. (2016). Relationship between functional connectivity and motor function assessment in stroke patients with hemiplegia: a resting-state functional MRI study. </w:t>
      </w:r>
      <w:r w:rsidRPr="00FF14F1">
        <w:rPr>
          <w:i/>
          <w:iCs/>
        </w:rPr>
        <w:t>Neuroradiology</w:t>
      </w:r>
      <w:r w:rsidRPr="00FF14F1">
        <w:t xml:space="preserve">, </w:t>
      </w:r>
      <w:r w:rsidRPr="00FF14F1">
        <w:rPr>
          <w:i/>
          <w:iCs/>
        </w:rPr>
        <w:t>58</w:t>
      </w:r>
      <w:r w:rsidRPr="00FF14F1">
        <w:t xml:space="preserve">(5), 503–511. </w:t>
      </w:r>
      <w:bookmarkStart w:id="148" w:name="5218760341153c6e9803fdf0886b29a9_ref"/>
      <w:bookmarkEnd w:id="148"/>
      <w:r w:rsidR="00B7086A">
        <w:rPr>
          <w:rFonts w:ascii="Arial" w:hAnsi="Arial" w:cs="Arial"/>
          <w:sz w:val="18"/>
          <w:szCs w:val="18"/>
        </w:rPr>
        <w:t>https://doi.org/10.1007/s00234-016-1646-5</w:t>
      </w:r>
    </w:p>
    <w:sectPr w:rsidR="00B01FCD" w:rsidRPr="00FF14F1" w:rsidSect="00A34823">
      <w:headerReference w:type="even" r:id="rId106"/>
      <w:headerReference w:type="default" r:id="rId107"/>
      <w:footerReference w:type="default" r:id="rId108"/>
      <w:headerReference w:type="first" r:id="rId10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2BFC5" w14:textId="77777777" w:rsidR="008F6A37" w:rsidRDefault="008F6A37" w:rsidP="00C37E61">
      <w:r>
        <w:separator/>
      </w:r>
    </w:p>
  </w:endnote>
  <w:endnote w:type="continuationSeparator" w:id="0">
    <w:p w14:paraId="3CD68F7E" w14:textId="77777777" w:rsidR="008F6A37" w:rsidRDefault="008F6A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2E21E" w14:textId="77777777" w:rsidR="00A34823" w:rsidRDefault="00A34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663CD" w14:textId="77777777" w:rsidR="00A34823" w:rsidRDefault="00A34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C863A" w14:textId="77777777" w:rsidR="00FF14F1" w:rsidRDefault="00FF14F1">
    <w:pPr>
      <w:pStyle w:val="Footer"/>
      <w:rPr>
        <w:rFonts w:ascii="Arial" w:hAnsi="Arial" w:cs="Arial"/>
        <w:sz w:val="16"/>
      </w:rPr>
    </w:pPr>
  </w:p>
  <w:p w14:paraId="22163DEF" w14:textId="77777777" w:rsidR="00FF14F1" w:rsidRDefault="00FF14F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A52ABA7" w14:textId="77777777" w:rsidR="00FF14F1" w:rsidRDefault="00FF14F1">
    <w:pPr>
      <w:pStyle w:val="Footer"/>
      <w:rPr>
        <w:rFonts w:ascii="Arial" w:hAnsi="Arial" w:cs="Arial"/>
        <w:sz w:val="16"/>
      </w:rPr>
    </w:pPr>
  </w:p>
  <w:p w14:paraId="608FF77D" w14:textId="77777777" w:rsidR="00FF14F1" w:rsidRPr="009E048A" w:rsidRDefault="00FF14F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6E1A6" w14:textId="77777777" w:rsidR="00FF14F1" w:rsidRPr="00C37E61" w:rsidRDefault="00FF14F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9BAD5" w14:textId="77777777" w:rsidR="008F6A37" w:rsidRDefault="008F6A37" w:rsidP="00C37E61">
      <w:r>
        <w:separator/>
      </w:r>
    </w:p>
  </w:footnote>
  <w:footnote w:type="continuationSeparator" w:id="0">
    <w:p w14:paraId="24E91868" w14:textId="77777777" w:rsidR="008F6A37" w:rsidRDefault="008F6A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B1FE" w14:textId="4397D4B4" w:rsidR="00A34823" w:rsidRDefault="008F6A37">
    <w:pPr>
      <w:pStyle w:val="Header"/>
    </w:pPr>
    <w:r>
      <w:rPr>
        <w:noProof/>
      </w:rPr>
      <w:pict w14:anchorId="654C8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610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5E39" w14:textId="28A81552" w:rsidR="00A34823" w:rsidRDefault="008F6A37">
    <w:pPr>
      <w:pStyle w:val="Header"/>
    </w:pPr>
    <w:r>
      <w:rPr>
        <w:noProof/>
      </w:rPr>
      <w:pict w14:anchorId="19DF5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610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D5BC" w14:textId="2633FC0B" w:rsidR="00FF14F1" w:rsidRPr="00296529" w:rsidRDefault="008F6A37" w:rsidP="00296529">
    <w:pPr>
      <w:ind w:left="2160"/>
      <w:jc w:val="center"/>
      <w:rPr>
        <w:rFonts w:ascii="Times New Roman" w:eastAsia="Calibri" w:hAnsi="Times New Roman"/>
        <w:i/>
        <w:sz w:val="18"/>
        <w:szCs w:val="22"/>
      </w:rPr>
    </w:pPr>
    <w:r>
      <w:rPr>
        <w:noProof/>
      </w:rPr>
      <w:pict w14:anchorId="1A436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610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C12E7D" w14:textId="77777777" w:rsidR="00FF14F1" w:rsidRPr="00296529" w:rsidRDefault="00FF14F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3215D28" w14:textId="77777777" w:rsidR="00FF14F1" w:rsidRPr="00296529" w:rsidRDefault="00FF14F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FFA904" w14:textId="77777777" w:rsidR="00FF14F1" w:rsidRPr="00296529" w:rsidRDefault="00FF14F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03BDFD" w14:textId="77777777" w:rsidR="00FF14F1" w:rsidRDefault="00FF14F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9C944F" w14:textId="77777777" w:rsidR="00FF14F1" w:rsidRDefault="00FF14F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F28F22" w14:textId="77777777" w:rsidR="00FF14F1" w:rsidRDefault="00FF14F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5681" w14:textId="3EA78AC7" w:rsidR="00A34823" w:rsidRDefault="008F6A37">
    <w:pPr>
      <w:pStyle w:val="Header"/>
    </w:pPr>
    <w:r>
      <w:rPr>
        <w:noProof/>
      </w:rPr>
      <w:pict w14:anchorId="39F31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6106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E3836" w14:textId="5248AE3F" w:rsidR="00A34823" w:rsidRDefault="008F6A37">
    <w:pPr>
      <w:pStyle w:val="Header"/>
    </w:pPr>
    <w:r>
      <w:rPr>
        <w:noProof/>
      </w:rPr>
      <w:pict w14:anchorId="2ED23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6106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22F1" w14:textId="4B8D87D9" w:rsidR="00A34823" w:rsidRDefault="008F6A37">
    <w:pPr>
      <w:pStyle w:val="Header"/>
    </w:pPr>
    <w:r>
      <w:rPr>
        <w:noProof/>
      </w:rPr>
      <w:pict w14:anchorId="23DF6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6106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E5AEC012">
      <w:start w:val="1"/>
      <w:numFmt w:val="bullet"/>
      <w:lvlText w:val="•"/>
      <w:lvlJc w:val="left"/>
      <w:pPr>
        <w:tabs>
          <w:tab w:val="num" w:pos="180"/>
        </w:tabs>
        <w:ind w:left="180" w:hanging="180"/>
      </w:pPr>
      <w:rPr>
        <w:rFonts w:ascii="Symbol" w:eastAsia="Symbol" w:hAnsi="Symbol" w:cs="Symbol"/>
      </w:rPr>
    </w:lvl>
    <w:lvl w:ilvl="1" w:tplc="FB187842">
      <w:start w:val="1"/>
      <w:numFmt w:val="bullet"/>
      <w:lvlText w:val="•"/>
      <w:lvlJc w:val="left"/>
      <w:pPr>
        <w:tabs>
          <w:tab w:val="num" w:pos="540"/>
        </w:tabs>
        <w:ind w:left="540" w:hanging="180"/>
      </w:pPr>
      <w:rPr>
        <w:rFonts w:ascii="Symbol" w:eastAsia="Symbol" w:hAnsi="Symbol" w:cs="Symbol"/>
      </w:rPr>
    </w:lvl>
    <w:lvl w:ilvl="2" w:tplc="219E14AC">
      <w:start w:val="1"/>
      <w:numFmt w:val="bullet"/>
      <w:lvlText w:val="•"/>
      <w:lvlJc w:val="left"/>
      <w:pPr>
        <w:tabs>
          <w:tab w:val="num" w:pos="900"/>
        </w:tabs>
        <w:ind w:left="900" w:hanging="180"/>
      </w:pPr>
      <w:rPr>
        <w:rFonts w:ascii="Symbol" w:eastAsia="Symbol" w:hAnsi="Symbol" w:cs="Symbol"/>
      </w:rPr>
    </w:lvl>
    <w:lvl w:ilvl="3" w:tplc="85F0C98A">
      <w:start w:val="1"/>
      <w:numFmt w:val="bullet"/>
      <w:lvlText w:val="•"/>
      <w:lvlJc w:val="left"/>
      <w:pPr>
        <w:tabs>
          <w:tab w:val="num" w:pos="1260"/>
        </w:tabs>
        <w:ind w:left="1260" w:hanging="180"/>
      </w:pPr>
      <w:rPr>
        <w:rFonts w:ascii="Symbol" w:eastAsia="Symbol" w:hAnsi="Symbol" w:cs="Symbol"/>
      </w:rPr>
    </w:lvl>
    <w:lvl w:ilvl="4" w:tplc="5D0AD2CC">
      <w:start w:val="1"/>
      <w:numFmt w:val="bullet"/>
      <w:lvlText w:val="•"/>
      <w:lvlJc w:val="left"/>
      <w:pPr>
        <w:tabs>
          <w:tab w:val="num" w:pos="1620"/>
        </w:tabs>
        <w:ind w:left="1620" w:hanging="180"/>
      </w:pPr>
      <w:rPr>
        <w:rFonts w:ascii="Symbol" w:eastAsia="Symbol" w:hAnsi="Symbol" w:cs="Symbol"/>
      </w:rPr>
    </w:lvl>
    <w:lvl w:ilvl="5" w:tplc="756AFD12">
      <w:start w:val="1"/>
      <w:numFmt w:val="bullet"/>
      <w:lvlText w:val="•"/>
      <w:lvlJc w:val="left"/>
      <w:pPr>
        <w:tabs>
          <w:tab w:val="num" w:pos="1980"/>
        </w:tabs>
        <w:ind w:left="1980" w:hanging="180"/>
      </w:pPr>
      <w:rPr>
        <w:rFonts w:ascii="Symbol" w:eastAsia="Symbol" w:hAnsi="Symbol" w:cs="Symbol"/>
      </w:rPr>
    </w:lvl>
    <w:lvl w:ilvl="6" w:tplc="3FDE9FDC">
      <w:start w:val="1"/>
      <w:numFmt w:val="bullet"/>
      <w:lvlText w:val="•"/>
      <w:lvlJc w:val="left"/>
      <w:pPr>
        <w:tabs>
          <w:tab w:val="num" w:pos="2340"/>
        </w:tabs>
        <w:ind w:left="2340" w:hanging="180"/>
      </w:pPr>
      <w:rPr>
        <w:rFonts w:ascii="Symbol" w:eastAsia="Symbol" w:hAnsi="Symbol" w:cs="Symbol"/>
      </w:rPr>
    </w:lvl>
    <w:lvl w:ilvl="7" w:tplc="688C234A">
      <w:start w:val="1"/>
      <w:numFmt w:val="bullet"/>
      <w:lvlText w:val="•"/>
      <w:lvlJc w:val="left"/>
      <w:pPr>
        <w:tabs>
          <w:tab w:val="num" w:pos="2700"/>
        </w:tabs>
        <w:ind w:left="2700" w:hanging="180"/>
      </w:pPr>
      <w:rPr>
        <w:rFonts w:ascii="Symbol" w:eastAsia="Symbol" w:hAnsi="Symbol" w:cs="Symbol"/>
      </w:rPr>
    </w:lvl>
    <w:lvl w:ilvl="8" w:tplc="19B8FF06">
      <w:start w:val="1"/>
      <w:numFmt w:val="bullet"/>
      <w:lvlText w:val="•"/>
      <w:lvlJc w:val="left"/>
      <w:pPr>
        <w:tabs>
          <w:tab w:val="num" w:pos="3060"/>
        </w:tabs>
        <w:ind w:left="3060" w:hanging="180"/>
      </w:pPr>
      <w:rPr>
        <w:rFonts w:ascii="Symbol" w:eastAsia="Symbol" w:hAnsi="Symbol" w:cs="Symbol"/>
      </w:rPr>
    </w:lvl>
  </w:abstractNum>
  <w:abstractNum w:abstractNumId="2" w15:restartNumberingAfterBreak="0">
    <w:nsid w:val="00000002"/>
    <w:multiLevelType w:val="hybridMultilevel"/>
    <w:tmpl w:val="00000002"/>
    <w:lvl w:ilvl="0" w:tplc="2E642452">
      <w:start w:val="1"/>
      <w:numFmt w:val="bullet"/>
      <w:lvlText w:val="•"/>
      <w:lvlJc w:val="left"/>
      <w:pPr>
        <w:tabs>
          <w:tab w:val="num" w:pos="180"/>
        </w:tabs>
        <w:ind w:left="180" w:hanging="180"/>
      </w:pPr>
      <w:rPr>
        <w:rFonts w:ascii="Symbol" w:eastAsia="Symbol" w:hAnsi="Symbol" w:cs="Symbol"/>
      </w:rPr>
    </w:lvl>
    <w:lvl w:ilvl="1" w:tplc="D6D07624">
      <w:start w:val="1"/>
      <w:numFmt w:val="bullet"/>
      <w:lvlText w:val="•"/>
      <w:lvlJc w:val="left"/>
      <w:pPr>
        <w:tabs>
          <w:tab w:val="num" w:pos="540"/>
        </w:tabs>
        <w:ind w:left="540" w:hanging="180"/>
      </w:pPr>
      <w:rPr>
        <w:rFonts w:ascii="Symbol" w:eastAsia="Symbol" w:hAnsi="Symbol" w:cs="Symbol"/>
      </w:rPr>
    </w:lvl>
    <w:lvl w:ilvl="2" w:tplc="BF7ED9F0">
      <w:start w:val="1"/>
      <w:numFmt w:val="bullet"/>
      <w:lvlText w:val="•"/>
      <w:lvlJc w:val="left"/>
      <w:pPr>
        <w:tabs>
          <w:tab w:val="num" w:pos="900"/>
        </w:tabs>
        <w:ind w:left="900" w:hanging="180"/>
      </w:pPr>
      <w:rPr>
        <w:rFonts w:ascii="Symbol" w:eastAsia="Symbol" w:hAnsi="Symbol" w:cs="Symbol"/>
      </w:rPr>
    </w:lvl>
    <w:lvl w:ilvl="3" w:tplc="637286E2">
      <w:start w:val="1"/>
      <w:numFmt w:val="bullet"/>
      <w:lvlText w:val="•"/>
      <w:lvlJc w:val="left"/>
      <w:pPr>
        <w:tabs>
          <w:tab w:val="num" w:pos="1260"/>
        </w:tabs>
        <w:ind w:left="1260" w:hanging="180"/>
      </w:pPr>
      <w:rPr>
        <w:rFonts w:ascii="Symbol" w:eastAsia="Symbol" w:hAnsi="Symbol" w:cs="Symbol"/>
      </w:rPr>
    </w:lvl>
    <w:lvl w:ilvl="4" w:tplc="16645964">
      <w:start w:val="1"/>
      <w:numFmt w:val="bullet"/>
      <w:lvlText w:val="•"/>
      <w:lvlJc w:val="left"/>
      <w:pPr>
        <w:tabs>
          <w:tab w:val="num" w:pos="1620"/>
        </w:tabs>
        <w:ind w:left="1620" w:hanging="180"/>
      </w:pPr>
      <w:rPr>
        <w:rFonts w:ascii="Symbol" w:eastAsia="Symbol" w:hAnsi="Symbol" w:cs="Symbol"/>
      </w:rPr>
    </w:lvl>
    <w:lvl w:ilvl="5" w:tplc="D370066A">
      <w:start w:val="1"/>
      <w:numFmt w:val="bullet"/>
      <w:lvlText w:val="•"/>
      <w:lvlJc w:val="left"/>
      <w:pPr>
        <w:tabs>
          <w:tab w:val="num" w:pos="1980"/>
        </w:tabs>
        <w:ind w:left="1980" w:hanging="180"/>
      </w:pPr>
      <w:rPr>
        <w:rFonts w:ascii="Symbol" w:eastAsia="Symbol" w:hAnsi="Symbol" w:cs="Symbol"/>
      </w:rPr>
    </w:lvl>
    <w:lvl w:ilvl="6" w:tplc="7514FFCE">
      <w:start w:val="1"/>
      <w:numFmt w:val="bullet"/>
      <w:lvlText w:val="•"/>
      <w:lvlJc w:val="left"/>
      <w:pPr>
        <w:tabs>
          <w:tab w:val="num" w:pos="2340"/>
        </w:tabs>
        <w:ind w:left="2340" w:hanging="180"/>
      </w:pPr>
      <w:rPr>
        <w:rFonts w:ascii="Symbol" w:eastAsia="Symbol" w:hAnsi="Symbol" w:cs="Symbol"/>
      </w:rPr>
    </w:lvl>
    <w:lvl w:ilvl="7" w:tplc="471083D6">
      <w:start w:val="1"/>
      <w:numFmt w:val="bullet"/>
      <w:lvlText w:val="•"/>
      <w:lvlJc w:val="left"/>
      <w:pPr>
        <w:tabs>
          <w:tab w:val="num" w:pos="2700"/>
        </w:tabs>
        <w:ind w:left="2700" w:hanging="180"/>
      </w:pPr>
      <w:rPr>
        <w:rFonts w:ascii="Symbol" w:eastAsia="Symbol" w:hAnsi="Symbol" w:cs="Symbol"/>
      </w:rPr>
    </w:lvl>
    <w:lvl w:ilvl="8" w:tplc="3D125380">
      <w:start w:val="1"/>
      <w:numFmt w:val="bullet"/>
      <w:lvlText w:val="•"/>
      <w:lvlJc w:val="left"/>
      <w:pPr>
        <w:tabs>
          <w:tab w:val="num" w:pos="3060"/>
        </w:tabs>
        <w:ind w:left="3060" w:hanging="180"/>
      </w:pPr>
      <w:rPr>
        <w:rFonts w:ascii="Symbol" w:eastAsia="Symbol" w:hAnsi="Symbol" w:cs="Symbol"/>
      </w:rPr>
    </w:lvl>
  </w:abstractNum>
  <w:abstractNum w:abstractNumId="3" w15:restartNumberingAfterBreak="0">
    <w:nsid w:val="00000003"/>
    <w:multiLevelType w:val="hybridMultilevel"/>
    <w:tmpl w:val="00000003"/>
    <w:lvl w:ilvl="0" w:tplc="E5E29EEE">
      <w:start w:val="1"/>
      <w:numFmt w:val="bullet"/>
      <w:lvlText w:val="•"/>
      <w:lvlJc w:val="left"/>
      <w:pPr>
        <w:tabs>
          <w:tab w:val="num" w:pos="180"/>
        </w:tabs>
        <w:ind w:left="180" w:hanging="180"/>
      </w:pPr>
      <w:rPr>
        <w:rFonts w:ascii="Symbol" w:eastAsia="Symbol" w:hAnsi="Symbol" w:cs="Symbol"/>
      </w:rPr>
    </w:lvl>
    <w:lvl w:ilvl="1" w:tplc="9D5E96C6">
      <w:start w:val="1"/>
      <w:numFmt w:val="bullet"/>
      <w:lvlText w:val="•"/>
      <w:lvlJc w:val="left"/>
      <w:pPr>
        <w:tabs>
          <w:tab w:val="num" w:pos="540"/>
        </w:tabs>
        <w:ind w:left="540" w:hanging="180"/>
      </w:pPr>
      <w:rPr>
        <w:rFonts w:ascii="Symbol" w:eastAsia="Symbol" w:hAnsi="Symbol" w:cs="Symbol"/>
      </w:rPr>
    </w:lvl>
    <w:lvl w:ilvl="2" w:tplc="C7F6E2F6">
      <w:start w:val="1"/>
      <w:numFmt w:val="bullet"/>
      <w:lvlText w:val="•"/>
      <w:lvlJc w:val="left"/>
      <w:pPr>
        <w:tabs>
          <w:tab w:val="num" w:pos="900"/>
        </w:tabs>
        <w:ind w:left="900" w:hanging="180"/>
      </w:pPr>
      <w:rPr>
        <w:rFonts w:ascii="Symbol" w:eastAsia="Symbol" w:hAnsi="Symbol" w:cs="Symbol"/>
      </w:rPr>
    </w:lvl>
    <w:lvl w:ilvl="3" w:tplc="8ACC5C0A">
      <w:start w:val="1"/>
      <w:numFmt w:val="bullet"/>
      <w:lvlText w:val="•"/>
      <w:lvlJc w:val="left"/>
      <w:pPr>
        <w:tabs>
          <w:tab w:val="num" w:pos="1260"/>
        </w:tabs>
        <w:ind w:left="1260" w:hanging="180"/>
      </w:pPr>
      <w:rPr>
        <w:rFonts w:ascii="Symbol" w:eastAsia="Symbol" w:hAnsi="Symbol" w:cs="Symbol"/>
      </w:rPr>
    </w:lvl>
    <w:lvl w:ilvl="4" w:tplc="4CE2E154">
      <w:start w:val="1"/>
      <w:numFmt w:val="bullet"/>
      <w:lvlText w:val="•"/>
      <w:lvlJc w:val="left"/>
      <w:pPr>
        <w:tabs>
          <w:tab w:val="num" w:pos="1620"/>
        </w:tabs>
        <w:ind w:left="1620" w:hanging="180"/>
      </w:pPr>
      <w:rPr>
        <w:rFonts w:ascii="Symbol" w:eastAsia="Symbol" w:hAnsi="Symbol" w:cs="Symbol"/>
      </w:rPr>
    </w:lvl>
    <w:lvl w:ilvl="5" w:tplc="E67CA330">
      <w:start w:val="1"/>
      <w:numFmt w:val="bullet"/>
      <w:lvlText w:val="•"/>
      <w:lvlJc w:val="left"/>
      <w:pPr>
        <w:tabs>
          <w:tab w:val="num" w:pos="1980"/>
        </w:tabs>
        <w:ind w:left="1980" w:hanging="180"/>
      </w:pPr>
      <w:rPr>
        <w:rFonts w:ascii="Symbol" w:eastAsia="Symbol" w:hAnsi="Symbol" w:cs="Symbol"/>
      </w:rPr>
    </w:lvl>
    <w:lvl w:ilvl="6" w:tplc="F8069B44">
      <w:start w:val="1"/>
      <w:numFmt w:val="bullet"/>
      <w:lvlText w:val="•"/>
      <w:lvlJc w:val="left"/>
      <w:pPr>
        <w:tabs>
          <w:tab w:val="num" w:pos="2340"/>
        </w:tabs>
        <w:ind w:left="2340" w:hanging="180"/>
      </w:pPr>
      <w:rPr>
        <w:rFonts w:ascii="Symbol" w:eastAsia="Symbol" w:hAnsi="Symbol" w:cs="Symbol"/>
      </w:rPr>
    </w:lvl>
    <w:lvl w:ilvl="7" w:tplc="156061BC">
      <w:start w:val="1"/>
      <w:numFmt w:val="bullet"/>
      <w:lvlText w:val="•"/>
      <w:lvlJc w:val="left"/>
      <w:pPr>
        <w:tabs>
          <w:tab w:val="num" w:pos="2700"/>
        </w:tabs>
        <w:ind w:left="2700" w:hanging="180"/>
      </w:pPr>
      <w:rPr>
        <w:rFonts w:ascii="Symbol" w:eastAsia="Symbol" w:hAnsi="Symbol" w:cs="Symbol"/>
      </w:rPr>
    </w:lvl>
    <w:lvl w:ilvl="8" w:tplc="CEC87E18">
      <w:start w:val="1"/>
      <w:numFmt w:val="bullet"/>
      <w:lvlText w:val="•"/>
      <w:lvlJc w:val="left"/>
      <w:pPr>
        <w:tabs>
          <w:tab w:val="num" w:pos="3060"/>
        </w:tabs>
        <w:ind w:left="3060" w:hanging="180"/>
      </w:pPr>
      <w:rPr>
        <w:rFonts w:ascii="Symbol" w:eastAsia="Symbol" w:hAnsi="Symbol" w:cs="Symbol"/>
      </w:rPr>
    </w:lvl>
  </w:abstractNum>
  <w:abstractNum w:abstractNumId="4" w15:restartNumberingAfterBreak="0">
    <w:nsid w:val="00000004"/>
    <w:multiLevelType w:val="hybridMultilevel"/>
    <w:tmpl w:val="6C404366"/>
    <w:lvl w:ilvl="0" w:tplc="04090001">
      <w:start w:val="1"/>
      <w:numFmt w:val="bullet"/>
      <w:lvlText w:val=""/>
      <w:lvlJc w:val="left"/>
      <w:pPr>
        <w:tabs>
          <w:tab w:val="num" w:pos="180"/>
        </w:tabs>
        <w:ind w:left="180" w:hanging="180"/>
      </w:pPr>
      <w:rPr>
        <w:rFonts w:ascii="Symbol" w:hAnsi="Symbol" w:hint="default"/>
      </w:rPr>
    </w:lvl>
    <w:lvl w:ilvl="1" w:tplc="D9DE9602">
      <w:start w:val="1"/>
      <w:numFmt w:val="bullet"/>
      <w:lvlText w:val="•"/>
      <w:lvlJc w:val="left"/>
      <w:pPr>
        <w:tabs>
          <w:tab w:val="num" w:pos="540"/>
        </w:tabs>
        <w:ind w:left="540" w:hanging="180"/>
      </w:pPr>
      <w:rPr>
        <w:rFonts w:ascii="Symbol" w:eastAsia="Symbol" w:hAnsi="Symbol" w:cs="Symbol"/>
      </w:rPr>
    </w:lvl>
    <w:lvl w:ilvl="2" w:tplc="377AB390">
      <w:start w:val="1"/>
      <w:numFmt w:val="bullet"/>
      <w:lvlText w:val="•"/>
      <w:lvlJc w:val="left"/>
      <w:pPr>
        <w:tabs>
          <w:tab w:val="num" w:pos="900"/>
        </w:tabs>
        <w:ind w:left="900" w:hanging="180"/>
      </w:pPr>
      <w:rPr>
        <w:rFonts w:ascii="Symbol" w:eastAsia="Symbol" w:hAnsi="Symbol" w:cs="Symbol"/>
      </w:rPr>
    </w:lvl>
    <w:lvl w:ilvl="3" w:tplc="08785E24">
      <w:start w:val="1"/>
      <w:numFmt w:val="bullet"/>
      <w:lvlText w:val="•"/>
      <w:lvlJc w:val="left"/>
      <w:pPr>
        <w:tabs>
          <w:tab w:val="num" w:pos="1260"/>
        </w:tabs>
        <w:ind w:left="1260" w:hanging="180"/>
      </w:pPr>
      <w:rPr>
        <w:rFonts w:ascii="Symbol" w:eastAsia="Symbol" w:hAnsi="Symbol" w:cs="Symbol"/>
      </w:rPr>
    </w:lvl>
    <w:lvl w:ilvl="4" w:tplc="E65030FA">
      <w:start w:val="1"/>
      <w:numFmt w:val="bullet"/>
      <w:lvlText w:val="•"/>
      <w:lvlJc w:val="left"/>
      <w:pPr>
        <w:tabs>
          <w:tab w:val="num" w:pos="1620"/>
        </w:tabs>
        <w:ind w:left="1620" w:hanging="180"/>
      </w:pPr>
      <w:rPr>
        <w:rFonts w:ascii="Symbol" w:eastAsia="Symbol" w:hAnsi="Symbol" w:cs="Symbol"/>
      </w:rPr>
    </w:lvl>
    <w:lvl w:ilvl="5" w:tplc="51FEF480">
      <w:start w:val="1"/>
      <w:numFmt w:val="bullet"/>
      <w:lvlText w:val="•"/>
      <w:lvlJc w:val="left"/>
      <w:pPr>
        <w:tabs>
          <w:tab w:val="num" w:pos="1980"/>
        </w:tabs>
        <w:ind w:left="1980" w:hanging="180"/>
      </w:pPr>
      <w:rPr>
        <w:rFonts w:ascii="Symbol" w:eastAsia="Symbol" w:hAnsi="Symbol" w:cs="Symbol"/>
      </w:rPr>
    </w:lvl>
    <w:lvl w:ilvl="6" w:tplc="78BAEC76">
      <w:start w:val="1"/>
      <w:numFmt w:val="bullet"/>
      <w:lvlText w:val="•"/>
      <w:lvlJc w:val="left"/>
      <w:pPr>
        <w:tabs>
          <w:tab w:val="num" w:pos="2340"/>
        </w:tabs>
        <w:ind w:left="2340" w:hanging="180"/>
      </w:pPr>
      <w:rPr>
        <w:rFonts w:ascii="Symbol" w:eastAsia="Symbol" w:hAnsi="Symbol" w:cs="Symbol"/>
      </w:rPr>
    </w:lvl>
    <w:lvl w:ilvl="7" w:tplc="116CB95C">
      <w:start w:val="1"/>
      <w:numFmt w:val="bullet"/>
      <w:lvlText w:val="•"/>
      <w:lvlJc w:val="left"/>
      <w:pPr>
        <w:tabs>
          <w:tab w:val="num" w:pos="2700"/>
        </w:tabs>
        <w:ind w:left="2700" w:hanging="180"/>
      </w:pPr>
      <w:rPr>
        <w:rFonts w:ascii="Symbol" w:eastAsia="Symbol" w:hAnsi="Symbol" w:cs="Symbol"/>
      </w:rPr>
    </w:lvl>
    <w:lvl w:ilvl="8" w:tplc="B1D26A70">
      <w:start w:val="1"/>
      <w:numFmt w:val="bullet"/>
      <w:lvlText w:val="•"/>
      <w:lvlJc w:val="left"/>
      <w:pPr>
        <w:tabs>
          <w:tab w:val="num" w:pos="3060"/>
        </w:tabs>
        <w:ind w:left="3060" w:hanging="180"/>
      </w:pPr>
      <w:rPr>
        <w:rFonts w:ascii="Symbol" w:eastAsia="Symbol" w:hAnsi="Symbol" w:cs="Symbol"/>
      </w:rPr>
    </w:lvl>
  </w:abstractNum>
  <w:abstractNum w:abstractNumId="5" w15:restartNumberingAfterBreak="0">
    <w:nsid w:val="00000005"/>
    <w:multiLevelType w:val="hybridMultilevel"/>
    <w:tmpl w:val="00000005"/>
    <w:lvl w:ilvl="0" w:tplc="BCA8F270">
      <w:start w:val="1"/>
      <w:numFmt w:val="bullet"/>
      <w:lvlText w:val="•"/>
      <w:lvlJc w:val="left"/>
      <w:pPr>
        <w:tabs>
          <w:tab w:val="num" w:pos="180"/>
        </w:tabs>
        <w:ind w:left="180" w:hanging="180"/>
      </w:pPr>
      <w:rPr>
        <w:rFonts w:ascii="Symbol" w:eastAsia="Symbol" w:hAnsi="Symbol" w:cs="Symbol"/>
      </w:rPr>
    </w:lvl>
    <w:lvl w:ilvl="1" w:tplc="472A75CC">
      <w:start w:val="1"/>
      <w:numFmt w:val="bullet"/>
      <w:lvlText w:val="•"/>
      <w:lvlJc w:val="left"/>
      <w:pPr>
        <w:tabs>
          <w:tab w:val="num" w:pos="540"/>
        </w:tabs>
        <w:ind w:left="540" w:hanging="180"/>
      </w:pPr>
      <w:rPr>
        <w:rFonts w:ascii="Symbol" w:eastAsia="Symbol" w:hAnsi="Symbol" w:cs="Symbol"/>
      </w:rPr>
    </w:lvl>
    <w:lvl w:ilvl="2" w:tplc="8544E480">
      <w:start w:val="1"/>
      <w:numFmt w:val="bullet"/>
      <w:lvlText w:val="•"/>
      <w:lvlJc w:val="left"/>
      <w:pPr>
        <w:tabs>
          <w:tab w:val="num" w:pos="900"/>
        </w:tabs>
        <w:ind w:left="900" w:hanging="180"/>
      </w:pPr>
      <w:rPr>
        <w:rFonts w:ascii="Symbol" w:eastAsia="Symbol" w:hAnsi="Symbol" w:cs="Symbol"/>
      </w:rPr>
    </w:lvl>
    <w:lvl w:ilvl="3" w:tplc="AC2817C0">
      <w:start w:val="1"/>
      <w:numFmt w:val="bullet"/>
      <w:lvlText w:val="•"/>
      <w:lvlJc w:val="left"/>
      <w:pPr>
        <w:tabs>
          <w:tab w:val="num" w:pos="1260"/>
        </w:tabs>
        <w:ind w:left="1260" w:hanging="180"/>
      </w:pPr>
      <w:rPr>
        <w:rFonts w:ascii="Symbol" w:eastAsia="Symbol" w:hAnsi="Symbol" w:cs="Symbol"/>
      </w:rPr>
    </w:lvl>
    <w:lvl w:ilvl="4" w:tplc="7B04C29A">
      <w:start w:val="1"/>
      <w:numFmt w:val="bullet"/>
      <w:lvlText w:val="•"/>
      <w:lvlJc w:val="left"/>
      <w:pPr>
        <w:tabs>
          <w:tab w:val="num" w:pos="1620"/>
        </w:tabs>
        <w:ind w:left="1620" w:hanging="180"/>
      </w:pPr>
      <w:rPr>
        <w:rFonts w:ascii="Symbol" w:eastAsia="Symbol" w:hAnsi="Symbol" w:cs="Symbol"/>
      </w:rPr>
    </w:lvl>
    <w:lvl w:ilvl="5" w:tplc="3CDAE4FE">
      <w:start w:val="1"/>
      <w:numFmt w:val="bullet"/>
      <w:lvlText w:val="•"/>
      <w:lvlJc w:val="left"/>
      <w:pPr>
        <w:tabs>
          <w:tab w:val="num" w:pos="1980"/>
        </w:tabs>
        <w:ind w:left="1980" w:hanging="180"/>
      </w:pPr>
      <w:rPr>
        <w:rFonts w:ascii="Symbol" w:eastAsia="Symbol" w:hAnsi="Symbol" w:cs="Symbol"/>
      </w:rPr>
    </w:lvl>
    <w:lvl w:ilvl="6" w:tplc="7414A41C">
      <w:start w:val="1"/>
      <w:numFmt w:val="bullet"/>
      <w:lvlText w:val="•"/>
      <w:lvlJc w:val="left"/>
      <w:pPr>
        <w:tabs>
          <w:tab w:val="num" w:pos="2340"/>
        </w:tabs>
        <w:ind w:left="2340" w:hanging="180"/>
      </w:pPr>
      <w:rPr>
        <w:rFonts w:ascii="Symbol" w:eastAsia="Symbol" w:hAnsi="Symbol" w:cs="Symbol"/>
      </w:rPr>
    </w:lvl>
    <w:lvl w:ilvl="7" w:tplc="305A3D32">
      <w:start w:val="1"/>
      <w:numFmt w:val="bullet"/>
      <w:lvlText w:val="•"/>
      <w:lvlJc w:val="left"/>
      <w:pPr>
        <w:tabs>
          <w:tab w:val="num" w:pos="2700"/>
        </w:tabs>
        <w:ind w:left="2700" w:hanging="180"/>
      </w:pPr>
      <w:rPr>
        <w:rFonts w:ascii="Symbol" w:eastAsia="Symbol" w:hAnsi="Symbol" w:cs="Symbol"/>
      </w:rPr>
    </w:lvl>
    <w:lvl w:ilvl="8" w:tplc="0FD6E7E0">
      <w:start w:val="1"/>
      <w:numFmt w:val="bullet"/>
      <w:lvlText w:val="•"/>
      <w:lvlJc w:val="left"/>
      <w:pPr>
        <w:tabs>
          <w:tab w:val="num" w:pos="3060"/>
        </w:tabs>
        <w:ind w:left="3060" w:hanging="180"/>
      </w:pPr>
      <w:rPr>
        <w:rFonts w:ascii="Symbol" w:eastAsia="Symbol" w:hAnsi="Symbol" w:cs="Symbol"/>
      </w:rPr>
    </w:lvl>
  </w:abstractNum>
  <w:abstractNum w:abstractNumId="6" w15:restartNumberingAfterBreak="0">
    <w:nsid w:val="00000006"/>
    <w:multiLevelType w:val="hybridMultilevel"/>
    <w:tmpl w:val="00000006"/>
    <w:lvl w:ilvl="0" w:tplc="A6D01302">
      <w:start w:val="1"/>
      <w:numFmt w:val="bullet"/>
      <w:lvlText w:val="•"/>
      <w:lvlJc w:val="left"/>
      <w:pPr>
        <w:tabs>
          <w:tab w:val="num" w:pos="180"/>
        </w:tabs>
        <w:ind w:left="180" w:hanging="180"/>
      </w:pPr>
      <w:rPr>
        <w:rFonts w:ascii="Symbol" w:eastAsia="Symbol" w:hAnsi="Symbol" w:cs="Symbol"/>
      </w:rPr>
    </w:lvl>
    <w:lvl w:ilvl="1" w:tplc="8CA40B32">
      <w:start w:val="1"/>
      <w:numFmt w:val="bullet"/>
      <w:lvlText w:val="•"/>
      <w:lvlJc w:val="left"/>
      <w:pPr>
        <w:tabs>
          <w:tab w:val="num" w:pos="540"/>
        </w:tabs>
        <w:ind w:left="540" w:hanging="180"/>
      </w:pPr>
      <w:rPr>
        <w:rFonts w:ascii="Symbol" w:eastAsia="Symbol" w:hAnsi="Symbol" w:cs="Symbol"/>
      </w:rPr>
    </w:lvl>
    <w:lvl w:ilvl="2" w:tplc="C03A2C82">
      <w:start w:val="1"/>
      <w:numFmt w:val="bullet"/>
      <w:lvlText w:val="•"/>
      <w:lvlJc w:val="left"/>
      <w:pPr>
        <w:tabs>
          <w:tab w:val="num" w:pos="900"/>
        </w:tabs>
        <w:ind w:left="900" w:hanging="180"/>
      </w:pPr>
      <w:rPr>
        <w:rFonts w:ascii="Symbol" w:eastAsia="Symbol" w:hAnsi="Symbol" w:cs="Symbol"/>
      </w:rPr>
    </w:lvl>
    <w:lvl w:ilvl="3" w:tplc="EBA0FA92">
      <w:start w:val="1"/>
      <w:numFmt w:val="bullet"/>
      <w:lvlText w:val="•"/>
      <w:lvlJc w:val="left"/>
      <w:pPr>
        <w:tabs>
          <w:tab w:val="num" w:pos="1260"/>
        </w:tabs>
        <w:ind w:left="1260" w:hanging="180"/>
      </w:pPr>
      <w:rPr>
        <w:rFonts w:ascii="Symbol" w:eastAsia="Symbol" w:hAnsi="Symbol" w:cs="Symbol"/>
      </w:rPr>
    </w:lvl>
    <w:lvl w:ilvl="4" w:tplc="5B2CF9A4">
      <w:start w:val="1"/>
      <w:numFmt w:val="bullet"/>
      <w:lvlText w:val="•"/>
      <w:lvlJc w:val="left"/>
      <w:pPr>
        <w:tabs>
          <w:tab w:val="num" w:pos="1620"/>
        </w:tabs>
        <w:ind w:left="1620" w:hanging="180"/>
      </w:pPr>
      <w:rPr>
        <w:rFonts w:ascii="Symbol" w:eastAsia="Symbol" w:hAnsi="Symbol" w:cs="Symbol"/>
      </w:rPr>
    </w:lvl>
    <w:lvl w:ilvl="5" w:tplc="A5B6CF94">
      <w:start w:val="1"/>
      <w:numFmt w:val="bullet"/>
      <w:lvlText w:val="•"/>
      <w:lvlJc w:val="left"/>
      <w:pPr>
        <w:tabs>
          <w:tab w:val="num" w:pos="1980"/>
        </w:tabs>
        <w:ind w:left="1980" w:hanging="180"/>
      </w:pPr>
      <w:rPr>
        <w:rFonts w:ascii="Symbol" w:eastAsia="Symbol" w:hAnsi="Symbol" w:cs="Symbol"/>
      </w:rPr>
    </w:lvl>
    <w:lvl w:ilvl="6" w:tplc="EB361AC2">
      <w:start w:val="1"/>
      <w:numFmt w:val="bullet"/>
      <w:lvlText w:val="•"/>
      <w:lvlJc w:val="left"/>
      <w:pPr>
        <w:tabs>
          <w:tab w:val="num" w:pos="2340"/>
        </w:tabs>
        <w:ind w:left="2340" w:hanging="180"/>
      </w:pPr>
      <w:rPr>
        <w:rFonts w:ascii="Symbol" w:eastAsia="Symbol" w:hAnsi="Symbol" w:cs="Symbol"/>
      </w:rPr>
    </w:lvl>
    <w:lvl w:ilvl="7" w:tplc="00EEEB08">
      <w:start w:val="1"/>
      <w:numFmt w:val="bullet"/>
      <w:lvlText w:val="•"/>
      <w:lvlJc w:val="left"/>
      <w:pPr>
        <w:tabs>
          <w:tab w:val="num" w:pos="2700"/>
        </w:tabs>
        <w:ind w:left="2700" w:hanging="180"/>
      </w:pPr>
      <w:rPr>
        <w:rFonts w:ascii="Symbol" w:eastAsia="Symbol" w:hAnsi="Symbol" w:cs="Symbol"/>
      </w:rPr>
    </w:lvl>
    <w:lvl w:ilvl="8" w:tplc="17C098D8">
      <w:start w:val="1"/>
      <w:numFmt w:val="bullet"/>
      <w:lvlText w:val="•"/>
      <w:lvlJc w:val="left"/>
      <w:pPr>
        <w:tabs>
          <w:tab w:val="num" w:pos="3060"/>
        </w:tabs>
        <w:ind w:left="3060" w:hanging="180"/>
      </w:pPr>
      <w:rPr>
        <w:rFonts w:ascii="Symbol" w:eastAsia="Symbol" w:hAnsi="Symbol" w:cs="Symbol"/>
      </w:rPr>
    </w:lvl>
  </w:abstractNum>
  <w:abstractNum w:abstractNumId="7" w15:restartNumberingAfterBreak="0">
    <w:nsid w:val="00000007"/>
    <w:multiLevelType w:val="hybridMultilevel"/>
    <w:tmpl w:val="00000007"/>
    <w:lvl w:ilvl="0" w:tplc="54EE8E08">
      <w:start w:val="1"/>
      <w:numFmt w:val="bullet"/>
      <w:lvlText w:val="•"/>
      <w:lvlJc w:val="left"/>
      <w:pPr>
        <w:tabs>
          <w:tab w:val="num" w:pos="180"/>
        </w:tabs>
        <w:ind w:left="180" w:hanging="180"/>
      </w:pPr>
      <w:rPr>
        <w:rFonts w:ascii="Symbol" w:eastAsia="Symbol" w:hAnsi="Symbol" w:cs="Symbol"/>
      </w:rPr>
    </w:lvl>
    <w:lvl w:ilvl="1" w:tplc="4186FD84">
      <w:start w:val="1"/>
      <w:numFmt w:val="bullet"/>
      <w:lvlText w:val="•"/>
      <w:lvlJc w:val="left"/>
      <w:pPr>
        <w:tabs>
          <w:tab w:val="num" w:pos="540"/>
        </w:tabs>
        <w:ind w:left="540" w:hanging="180"/>
      </w:pPr>
      <w:rPr>
        <w:rFonts w:ascii="Symbol" w:eastAsia="Symbol" w:hAnsi="Symbol" w:cs="Symbol"/>
      </w:rPr>
    </w:lvl>
    <w:lvl w:ilvl="2" w:tplc="50845C6A">
      <w:start w:val="1"/>
      <w:numFmt w:val="bullet"/>
      <w:lvlText w:val="•"/>
      <w:lvlJc w:val="left"/>
      <w:pPr>
        <w:tabs>
          <w:tab w:val="num" w:pos="900"/>
        </w:tabs>
        <w:ind w:left="900" w:hanging="180"/>
      </w:pPr>
      <w:rPr>
        <w:rFonts w:ascii="Symbol" w:eastAsia="Symbol" w:hAnsi="Symbol" w:cs="Symbol"/>
      </w:rPr>
    </w:lvl>
    <w:lvl w:ilvl="3" w:tplc="BF48DAEC">
      <w:start w:val="1"/>
      <w:numFmt w:val="bullet"/>
      <w:lvlText w:val="•"/>
      <w:lvlJc w:val="left"/>
      <w:pPr>
        <w:tabs>
          <w:tab w:val="num" w:pos="1260"/>
        </w:tabs>
        <w:ind w:left="1260" w:hanging="180"/>
      </w:pPr>
      <w:rPr>
        <w:rFonts w:ascii="Symbol" w:eastAsia="Symbol" w:hAnsi="Symbol" w:cs="Symbol"/>
      </w:rPr>
    </w:lvl>
    <w:lvl w:ilvl="4" w:tplc="2B2E0782">
      <w:start w:val="1"/>
      <w:numFmt w:val="bullet"/>
      <w:lvlText w:val="•"/>
      <w:lvlJc w:val="left"/>
      <w:pPr>
        <w:tabs>
          <w:tab w:val="num" w:pos="1620"/>
        </w:tabs>
        <w:ind w:left="1620" w:hanging="180"/>
      </w:pPr>
      <w:rPr>
        <w:rFonts w:ascii="Symbol" w:eastAsia="Symbol" w:hAnsi="Symbol" w:cs="Symbol"/>
      </w:rPr>
    </w:lvl>
    <w:lvl w:ilvl="5" w:tplc="6C905376">
      <w:start w:val="1"/>
      <w:numFmt w:val="bullet"/>
      <w:lvlText w:val="•"/>
      <w:lvlJc w:val="left"/>
      <w:pPr>
        <w:tabs>
          <w:tab w:val="num" w:pos="1980"/>
        </w:tabs>
        <w:ind w:left="1980" w:hanging="180"/>
      </w:pPr>
      <w:rPr>
        <w:rFonts w:ascii="Symbol" w:eastAsia="Symbol" w:hAnsi="Symbol" w:cs="Symbol"/>
      </w:rPr>
    </w:lvl>
    <w:lvl w:ilvl="6" w:tplc="4266BC18">
      <w:start w:val="1"/>
      <w:numFmt w:val="bullet"/>
      <w:lvlText w:val="•"/>
      <w:lvlJc w:val="left"/>
      <w:pPr>
        <w:tabs>
          <w:tab w:val="num" w:pos="2340"/>
        </w:tabs>
        <w:ind w:left="2340" w:hanging="180"/>
      </w:pPr>
      <w:rPr>
        <w:rFonts w:ascii="Symbol" w:eastAsia="Symbol" w:hAnsi="Symbol" w:cs="Symbol"/>
      </w:rPr>
    </w:lvl>
    <w:lvl w:ilvl="7" w:tplc="6570DE4E">
      <w:start w:val="1"/>
      <w:numFmt w:val="bullet"/>
      <w:lvlText w:val="•"/>
      <w:lvlJc w:val="left"/>
      <w:pPr>
        <w:tabs>
          <w:tab w:val="num" w:pos="2700"/>
        </w:tabs>
        <w:ind w:left="2700" w:hanging="180"/>
      </w:pPr>
      <w:rPr>
        <w:rFonts w:ascii="Symbol" w:eastAsia="Symbol" w:hAnsi="Symbol" w:cs="Symbol"/>
      </w:rPr>
    </w:lvl>
    <w:lvl w:ilvl="8" w:tplc="E9448E1A">
      <w:start w:val="1"/>
      <w:numFmt w:val="bullet"/>
      <w:lvlText w:val="•"/>
      <w:lvlJc w:val="left"/>
      <w:pPr>
        <w:tabs>
          <w:tab w:val="num" w:pos="3060"/>
        </w:tabs>
        <w:ind w:left="3060" w:hanging="180"/>
      </w:pPr>
      <w:rPr>
        <w:rFonts w:ascii="Symbol" w:eastAsia="Symbol" w:hAnsi="Symbol" w:cs="Symbol"/>
      </w:rPr>
    </w:lvl>
  </w:abstractNum>
  <w:abstractNum w:abstractNumId="8" w15:restartNumberingAfterBreak="0">
    <w:nsid w:val="00000008"/>
    <w:multiLevelType w:val="hybridMultilevel"/>
    <w:tmpl w:val="00000008"/>
    <w:lvl w:ilvl="0" w:tplc="ED4E7D06">
      <w:start w:val="1"/>
      <w:numFmt w:val="bullet"/>
      <w:lvlText w:val="•"/>
      <w:lvlJc w:val="left"/>
      <w:pPr>
        <w:tabs>
          <w:tab w:val="num" w:pos="180"/>
        </w:tabs>
        <w:ind w:left="180" w:hanging="180"/>
      </w:pPr>
      <w:rPr>
        <w:rFonts w:ascii="Symbol" w:eastAsia="Symbol" w:hAnsi="Symbol" w:cs="Symbol"/>
      </w:rPr>
    </w:lvl>
    <w:lvl w:ilvl="1" w:tplc="CC64D5C0">
      <w:start w:val="1"/>
      <w:numFmt w:val="bullet"/>
      <w:lvlText w:val="•"/>
      <w:lvlJc w:val="left"/>
      <w:pPr>
        <w:tabs>
          <w:tab w:val="num" w:pos="540"/>
        </w:tabs>
        <w:ind w:left="540" w:hanging="180"/>
      </w:pPr>
      <w:rPr>
        <w:rFonts w:ascii="Symbol" w:eastAsia="Symbol" w:hAnsi="Symbol" w:cs="Symbol"/>
      </w:rPr>
    </w:lvl>
    <w:lvl w:ilvl="2" w:tplc="D478AF10">
      <w:start w:val="1"/>
      <w:numFmt w:val="bullet"/>
      <w:lvlText w:val="•"/>
      <w:lvlJc w:val="left"/>
      <w:pPr>
        <w:tabs>
          <w:tab w:val="num" w:pos="900"/>
        </w:tabs>
        <w:ind w:left="900" w:hanging="180"/>
      </w:pPr>
      <w:rPr>
        <w:rFonts w:ascii="Symbol" w:eastAsia="Symbol" w:hAnsi="Symbol" w:cs="Symbol"/>
      </w:rPr>
    </w:lvl>
    <w:lvl w:ilvl="3" w:tplc="7562AED6">
      <w:start w:val="1"/>
      <w:numFmt w:val="bullet"/>
      <w:lvlText w:val="•"/>
      <w:lvlJc w:val="left"/>
      <w:pPr>
        <w:tabs>
          <w:tab w:val="num" w:pos="1260"/>
        </w:tabs>
        <w:ind w:left="1260" w:hanging="180"/>
      </w:pPr>
      <w:rPr>
        <w:rFonts w:ascii="Symbol" w:eastAsia="Symbol" w:hAnsi="Symbol" w:cs="Symbol"/>
      </w:rPr>
    </w:lvl>
    <w:lvl w:ilvl="4" w:tplc="E8465036">
      <w:start w:val="1"/>
      <w:numFmt w:val="bullet"/>
      <w:lvlText w:val="•"/>
      <w:lvlJc w:val="left"/>
      <w:pPr>
        <w:tabs>
          <w:tab w:val="num" w:pos="1620"/>
        </w:tabs>
        <w:ind w:left="1620" w:hanging="180"/>
      </w:pPr>
      <w:rPr>
        <w:rFonts w:ascii="Symbol" w:eastAsia="Symbol" w:hAnsi="Symbol" w:cs="Symbol"/>
      </w:rPr>
    </w:lvl>
    <w:lvl w:ilvl="5" w:tplc="B2004BCE">
      <w:start w:val="1"/>
      <w:numFmt w:val="bullet"/>
      <w:lvlText w:val="•"/>
      <w:lvlJc w:val="left"/>
      <w:pPr>
        <w:tabs>
          <w:tab w:val="num" w:pos="1980"/>
        </w:tabs>
        <w:ind w:left="1980" w:hanging="180"/>
      </w:pPr>
      <w:rPr>
        <w:rFonts w:ascii="Symbol" w:eastAsia="Symbol" w:hAnsi="Symbol" w:cs="Symbol"/>
      </w:rPr>
    </w:lvl>
    <w:lvl w:ilvl="6" w:tplc="72D02966">
      <w:start w:val="1"/>
      <w:numFmt w:val="bullet"/>
      <w:lvlText w:val="•"/>
      <w:lvlJc w:val="left"/>
      <w:pPr>
        <w:tabs>
          <w:tab w:val="num" w:pos="2340"/>
        </w:tabs>
        <w:ind w:left="2340" w:hanging="180"/>
      </w:pPr>
      <w:rPr>
        <w:rFonts w:ascii="Symbol" w:eastAsia="Symbol" w:hAnsi="Symbol" w:cs="Symbol"/>
      </w:rPr>
    </w:lvl>
    <w:lvl w:ilvl="7" w:tplc="8098D230">
      <w:start w:val="1"/>
      <w:numFmt w:val="bullet"/>
      <w:lvlText w:val="•"/>
      <w:lvlJc w:val="left"/>
      <w:pPr>
        <w:tabs>
          <w:tab w:val="num" w:pos="2700"/>
        </w:tabs>
        <w:ind w:left="2700" w:hanging="180"/>
      </w:pPr>
      <w:rPr>
        <w:rFonts w:ascii="Symbol" w:eastAsia="Symbol" w:hAnsi="Symbol" w:cs="Symbol"/>
      </w:rPr>
    </w:lvl>
    <w:lvl w:ilvl="8" w:tplc="F14445AC">
      <w:start w:val="1"/>
      <w:numFmt w:val="bullet"/>
      <w:lvlText w:val="•"/>
      <w:lvlJc w:val="left"/>
      <w:pPr>
        <w:tabs>
          <w:tab w:val="num" w:pos="3060"/>
        </w:tabs>
        <w:ind w:left="3060" w:hanging="180"/>
      </w:pPr>
      <w:rPr>
        <w:rFonts w:ascii="Symbol" w:eastAsia="Symbol" w:hAnsi="Symbol" w:cs="Symbol"/>
      </w:rPr>
    </w:lvl>
  </w:abstractNum>
  <w:abstractNum w:abstractNumId="9"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1A224959"/>
    <w:multiLevelType w:val="multilevel"/>
    <w:tmpl w:val="106C73B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9380106"/>
    <w:multiLevelType w:val="multilevel"/>
    <w:tmpl w:val="E36E8C2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896B26"/>
    <w:multiLevelType w:val="multilevel"/>
    <w:tmpl w:val="A0B007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4BA2589E"/>
    <w:multiLevelType w:val="multilevel"/>
    <w:tmpl w:val="B71EAE56"/>
    <w:lvl w:ilvl="0">
      <w:start w:val="2"/>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5106157F"/>
    <w:multiLevelType w:val="hybridMultilevel"/>
    <w:tmpl w:val="DDB4C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B6B02"/>
    <w:multiLevelType w:val="multilevel"/>
    <w:tmpl w:val="08F87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566CA2"/>
    <w:multiLevelType w:val="multilevel"/>
    <w:tmpl w:val="84869D04"/>
    <w:lvl w:ilvl="0">
      <w:start w:val="7"/>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5"/>
  </w:num>
  <w:num w:numId="6">
    <w:abstractNumId w:val="14"/>
  </w:num>
  <w:num w:numId="7">
    <w:abstractNumId w:val="9"/>
  </w:num>
  <w:num w:numId="8">
    <w:abstractNumId w:val="23"/>
  </w:num>
  <w:num w:numId="9">
    <w:abstractNumId w:val="40"/>
  </w:num>
  <w:num w:numId="10">
    <w:abstractNumId w:val="10"/>
  </w:num>
  <w:num w:numId="11">
    <w:abstractNumId w:val="32"/>
  </w:num>
  <w:num w:numId="12">
    <w:abstractNumId w:val="11"/>
  </w:num>
  <w:num w:numId="13">
    <w:abstractNumId w:val="31"/>
  </w:num>
  <w:num w:numId="14">
    <w:abstractNumId w:val="17"/>
  </w:num>
  <w:num w:numId="15">
    <w:abstractNumId w:val="36"/>
  </w:num>
  <w:num w:numId="16">
    <w:abstractNumId w:val="13"/>
  </w:num>
  <w:num w:numId="17">
    <w:abstractNumId w:val="37"/>
  </w:num>
  <w:num w:numId="18">
    <w:abstractNumId w:val="25"/>
  </w:num>
  <w:num w:numId="19">
    <w:abstractNumId w:val="43"/>
  </w:num>
  <w:num w:numId="20">
    <w:abstractNumId w:val="20"/>
  </w:num>
  <w:num w:numId="21">
    <w:abstractNumId w:val="18"/>
  </w:num>
  <w:num w:numId="22">
    <w:abstractNumId w:val="24"/>
  </w:num>
  <w:num w:numId="23">
    <w:abstractNumId w:val="33"/>
  </w:num>
  <w:num w:numId="24">
    <w:abstractNumId w:val="41"/>
  </w:num>
  <w:num w:numId="25">
    <w:abstractNumId w:val="12"/>
  </w:num>
  <w:num w:numId="26">
    <w:abstractNumId w:val="29"/>
  </w:num>
  <w:num w:numId="27">
    <w:abstractNumId w:val="34"/>
  </w:num>
  <w:num w:numId="28">
    <w:abstractNumId w:val="42"/>
  </w:num>
  <w:num w:numId="29">
    <w:abstractNumId w:val="39"/>
  </w:num>
  <w:num w:numId="30">
    <w:abstractNumId w:val="19"/>
  </w:num>
  <w:num w:numId="31">
    <w:abstractNumId w:val="1"/>
  </w:num>
  <w:num w:numId="32">
    <w:abstractNumId w:val="2"/>
  </w:num>
  <w:num w:numId="33">
    <w:abstractNumId w:val="3"/>
  </w:num>
  <w:num w:numId="34">
    <w:abstractNumId w:val="4"/>
  </w:num>
  <w:num w:numId="35">
    <w:abstractNumId w:val="5"/>
  </w:num>
  <w:num w:numId="36">
    <w:abstractNumId w:val="6"/>
  </w:num>
  <w:num w:numId="37">
    <w:abstractNumId w:val="7"/>
  </w:num>
  <w:num w:numId="38">
    <w:abstractNumId w:val="8"/>
  </w:num>
  <w:num w:numId="39">
    <w:abstractNumId w:val="16"/>
  </w:num>
  <w:num w:numId="40">
    <w:abstractNumId w:val="30"/>
  </w:num>
  <w:num w:numId="41">
    <w:abstractNumId w:val="4"/>
  </w:num>
  <w:num w:numId="42">
    <w:abstractNumId w:val="21"/>
  </w:num>
  <w:num w:numId="43">
    <w:abstractNumId w:val="35"/>
  </w:num>
  <w:num w:numId="44">
    <w:abstractNumId w:val="28"/>
  </w:num>
  <w:num w:numId="45">
    <w:abstractNumId w:val="2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6AD"/>
    <w:rsid w:val="00030174"/>
    <w:rsid w:val="00031320"/>
    <w:rsid w:val="0004579C"/>
    <w:rsid w:val="000A47FA"/>
    <w:rsid w:val="000A65D3"/>
    <w:rsid w:val="000B1E33"/>
    <w:rsid w:val="000D4E7F"/>
    <w:rsid w:val="000D689F"/>
    <w:rsid w:val="000E7B7B"/>
    <w:rsid w:val="000E7D62"/>
    <w:rsid w:val="00103357"/>
    <w:rsid w:val="0012172D"/>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7774"/>
    <w:rsid w:val="00200595"/>
    <w:rsid w:val="00204835"/>
    <w:rsid w:val="00231920"/>
    <w:rsid w:val="0023195C"/>
    <w:rsid w:val="0024282C"/>
    <w:rsid w:val="002460DC"/>
    <w:rsid w:val="00250985"/>
    <w:rsid w:val="002556F6"/>
    <w:rsid w:val="0027376F"/>
    <w:rsid w:val="00283105"/>
    <w:rsid w:val="00284C4C"/>
    <w:rsid w:val="00287E68"/>
    <w:rsid w:val="00296529"/>
    <w:rsid w:val="002A4A95"/>
    <w:rsid w:val="002B27FB"/>
    <w:rsid w:val="002B685A"/>
    <w:rsid w:val="002B7C04"/>
    <w:rsid w:val="002C57D2"/>
    <w:rsid w:val="002E014F"/>
    <w:rsid w:val="002E0D56"/>
    <w:rsid w:val="002F11F0"/>
    <w:rsid w:val="00315186"/>
    <w:rsid w:val="0033343E"/>
    <w:rsid w:val="003512C2"/>
    <w:rsid w:val="00371FB6"/>
    <w:rsid w:val="003763C1"/>
    <w:rsid w:val="00376BBE"/>
    <w:rsid w:val="0039224F"/>
    <w:rsid w:val="003A43A4"/>
    <w:rsid w:val="003A74C8"/>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6614"/>
    <w:rsid w:val="004C7ECA"/>
    <w:rsid w:val="004D305E"/>
    <w:rsid w:val="004D4277"/>
    <w:rsid w:val="00502516"/>
    <w:rsid w:val="00505F06"/>
    <w:rsid w:val="00506828"/>
    <w:rsid w:val="0052619A"/>
    <w:rsid w:val="0053056E"/>
    <w:rsid w:val="00547ACE"/>
    <w:rsid w:val="00554FDA"/>
    <w:rsid w:val="00571541"/>
    <w:rsid w:val="005B1138"/>
    <w:rsid w:val="005C784C"/>
    <w:rsid w:val="005D17F6"/>
    <w:rsid w:val="005E5539"/>
    <w:rsid w:val="00602BF5"/>
    <w:rsid w:val="00605011"/>
    <w:rsid w:val="00611A68"/>
    <w:rsid w:val="00617FDD"/>
    <w:rsid w:val="00633614"/>
    <w:rsid w:val="00633F68"/>
    <w:rsid w:val="00636EB2"/>
    <w:rsid w:val="006375B8"/>
    <w:rsid w:val="0066510A"/>
    <w:rsid w:val="00673F9F"/>
    <w:rsid w:val="00686953"/>
    <w:rsid w:val="00687DEA"/>
    <w:rsid w:val="00687E67"/>
    <w:rsid w:val="006967F7"/>
    <w:rsid w:val="006A250C"/>
    <w:rsid w:val="006B21D3"/>
    <w:rsid w:val="006B4994"/>
    <w:rsid w:val="006B57D0"/>
    <w:rsid w:val="006D30FF"/>
    <w:rsid w:val="006D6940"/>
    <w:rsid w:val="006F11EC"/>
    <w:rsid w:val="0070082C"/>
    <w:rsid w:val="00726232"/>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19D7"/>
    <w:rsid w:val="008B459E"/>
    <w:rsid w:val="008E13AE"/>
    <w:rsid w:val="008E1506"/>
    <w:rsid w:val="008E710C"/>
    <w:rsid w:val="008F3E65"/>
    <w:rsid w:val="008F4DC8"/>
    <w:rsid w:val="008F69D6"/>
    <w:rsid w:val="008F6A37"/>
    <w:rsid w:val="00902823"/>
    <w:rsid w:val="00915CA6"/>
    <w:rsid w:val="00927834"/>
    <w:rsid w:val="00934692"/>
    <w:rsid w:val="009500A6"/>
    <w:rsid w:val="00957C18"/>
    <w:rsid w:val="009659BA"/>
    <w:rsid w:val="0097259B"/>
    <w:rsid w:val="00983040"/>
    <w:rsid w:val="009A38C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4823"/>
    <w:rsid w:val="00A421E3"/>
    <w:rsid w:val="00A51431"/>
    <w:rsid w:val="00A539AD"/>
    <w:rsid w:val="00A75C1F"/>
    <w:rsid w:val="00A94063"/>
    <w:rsid w:val="00A97F3A"/>
    <w:rsid w:val="00AA6219"/>
    <w:rsid w:val="00AA74E0"/>
    <w:rsid w:val="00AB703F"/>
    <w:rsid w:val="00AC5E2F"/>
    <w:rsid w:val="00AC6BB8"/>
    <w:rsid w:val="00AE008F"/>
    <w:rsid w:val="00AF585B"/>
    <w:rsid w:val="00B01FCD"/>
    <w:rsid w:val="00B1776C"/>
    <w:rsid w:val="00B52583"/>
    <w:rsid w:val="00B52896"/>
    <w:rsid w:val="00B7086A"/>
    <w:rsid w:val="00B9150C"/>
    <w:rsid w:val="00B93A05"/>
    <w:rsid w:val="00B95236"/>
    <w:rsid w:val="00B96BD9"/>
    <w:rsid w:val="00BA1B01"/>
    <w:rsid w:val="00BA2641"/>
    <w:rsid w:val="00BB37AA"/>
    <w:rsid w:val="00BB5483"/>
    <w:rsid w:val="00BC53A0"/>
    <w:rsid w:val="00BE62AD"/>
    <w:rsid w:val="00BF121F"/>
    <w:rsid w:val="00BF1F80"/>
    <w:rsid w:val="00C166EF"/>
    <w:rsid w:val="00C17EB0"/>
    <w:rsid w:val="00C201AD"/>
    <w:rsid w:val="00C27F5F"/>
    <w:rsid w:val="00C30A0F"/>
    <w:rsid w:val="00C37E61"/>
    <w:rsid w:val="00C54EBE"/>
    <w:rsid w:val="00C70F1B"/>
    <w:rsid w:val="00C71A47"/>
    <w:rsid w:val="00C7464C"/>
    <w:rsid w:val="00C85588"/>
    <w:rsid w:val="00CB4189"/>
    <w:rsid w:val="00CC4ACC"/>
    <w:rsid w:val="00CD158A"/>
    <w:rsid w:val="00CD6755"/>
    <w:rsid w:val="00CD6856"/>
    <w:rsid w:val="00CE0089"/>
    <w:rsid w:val="00CE74D2"/>
    <w:rsid w:val="00CE793C"/>
    <w:rsid w:val="00CF193C"/>
    <w:rsid w:val="00D173F1"/>
    <w:rsid w:val="00D74CB0"/>
    <w:rsid w:val="00D75C23"/>
    <w:rsid w:val="00D8295D"/>
    <w:rsid w:val="00DC2A65"/>
    <w:rsid w:val="00DE15F0"/>
    <w:rsid w:val="00DE5663"/>
    <w:rsid w:val="00DE78AA"/>
    <w:rsid w:val="00DE79DD"/>
    <w:rsid w:val="00E053D0"/>
    <w:rsid w:val="00E05FD0"/>
    <w:rsid w:val="00E15994"/>
    <w:rsid w:val="00E3114E"/>
    <w:rsid w:val="00E31A70"/>
    <w:rsid w:val="00E32F84"/>
    <w:rsid w:val="00E35B02"/>
    <w:rsid w:val="00E57703"/>
    <w:rsid w:val="00E66496"/>
    <w:rsid w:val="00E66B35"/>
    <w:rsid w:val="00E66E10"/>
    <w:rsid w:val="00E769F6"/>
    <w:rsid w:val="00E8407C"/>
    <w:rsid w:val="00E84F3C"/>
    <w:rsid w:val="00EA012C"/>
    <w:rsid w:val="00EB2A3C"/>
    <w:rsid w:val="00EC6A55"/>
    <w:rsid w:val="00ED0288"/>
    <w:rsid w:val="00EE52CB"/>
    <w:rsid w:val="00EF581D"/>
    <w:rsid w:val="00EF7692"/>
    <w:rsid w:val="00EF7FD8"/>
    <w:rsid w:val="00F06F59"/>
    <w:rsid w:val="00F17988"/>
    <w:rsid w:val="00F469F0"/>
    <w:rsid w:val="00F53273"/>
    <w:rsid w:val="00F563C7"/>
    <w:rsid w:val="00F722DA"/>
    <w:rsid w:val="00F755E4"/>
    <w:rsid w:val="00F77D02"/>
    <w:rsid w:val="00F82DA8"/>
    <w:rsid w:val="00FB3A86"/>
    <w:rsid w:val="00FC1A5A"/>
    <w:rsid w:val="00FD36C8"/>
    <w:rsid w:val="00FF14F1"/>
    <w:rsid w:val="00FF555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E5A4B6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C7E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C7E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C7E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4C7E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9271927">
      <w:bodyDiv w:val="1"/>
      <w:marLeft w:val="0"/>
      <w:marRight w:val="0"/>
      <w:marTop w:val="0"/>
      <w:marBottom w:val="0"/>
      <w:divBdr>
        <w:top w:val="none" w:sz="0" w:space="0" w:color="auto"/>
        <w:left w:val="none" w:sz="0" w:space="0" w:color="auto"/>
        <w:bottom w:val="none" w:sz="0" w:space="0" w:color="auto"/>
        <w:right w:val="none" w:sz="0" w:space="0" w:color="auto"/>
      </w:divBdr>
      <w:divsChild>
        <w:div w:id="1366905702">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81166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342704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83949775">
      <w:bodyDiv w:val="1"/>
      <w:marLeft w:val="0"/>
      <w:marRight w:val="0"/>
      <w:marTop w:val="0"/>
      <w:marBottom w:val="0"/>
      <w:divBdr>
        <w:top w:val="none" w:sz="0" w:space="0" w:color="auto"/>
        <w:left w:val="none" w:sz="0" w:space="0" w:color="auto"/>
        <w:bottom w:val="none" w:sz="0" w:space="0" w:color="auto"/>
        <w:right w:val="none" w:sz="0" w:space="0" w:color="auto"/>
      </w:divBdr>
    </w:div>
    <w:div w:id="164419386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359967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7" Type="http://schemas.openxmlformats.org/officeDocument/2006/relationships/header" Target="header5.xml"/><Relationship Id="rId11" Type="http://schemas.openxmlformats.org/officeDocument/2006/relationships/footer" Target="footer2.xml"/><Relationship Id="rId3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 Type="http://schemas.openxmlformats.org/officeDocument/2006/relationships/webSettings" Target="webSettings.xml"/><Relationship Id="rId9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3" Type="http://schemas.openxmlformats.org/officeDocument/2006/relationships/hyperlink" Target="https://doi.org/10.3390/jcm14228077" TargetMode="External"/><Relationship Id="rId4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2" Type="http://schemas.openxmlformats.org/officeDocument/2006/relationships/header" Target="header3.xml"/><Relationship Id="rId1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8" Type="http://schemas.openxmlformats.org/officeDocument/2006/relationships/footer" Target="footer4.xml"/><Relationship Id="rId5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6"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9" Type="http://schemas.openxmlformats.org/officeDocument/2006/relationships/header" Target="header6.xml"/><Relationship Id="rId3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 Type="http://schemas.openxmlformats.org/officeDocument/2006/relationships/endnotes" Target="endnotes.xml"/><Relationship Id="rId7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 Type="http://schemas.openxmlformats.org/officeDocument/2006/relationships/numbering" Target="numbering.xml"/><Relationship Id="rId2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10" Type="http://schemas.openxmlformats.org/officeDocument/2006/relationships/fontTable" Target="fontTable.xml"/><Relationship Id="rId6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7" Type="http://schemas.openxmlformats.org/officeDocument/2006/relationships/hyperlink" Target="https://doi.org/10.3389/fnins.2025.1579988" TargetMode="External"/><Relationship Id="rId10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5" Type="http://schemas.openxmlformats.org/officeDocument/2006/relationships/hyperlink" Target="https://doi.org/10.1111/pcn.12936" TargetMode="External"/><Relationship Id="rId8" Type="http://schemas.openxmlformats.org/officeDocument/2006/relationships/header" Target="header1.xml"/><Relationship Id="rId5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 Type="http://schemas.openxmlformats.org/officeDocument/2006/relationships/styles" Target="styles.xml"/><Relationship Id="rId2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1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87744-9FA5-4390-88F4-09818623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246</TotalTime>
  <Pages>28</Pages>
  <Words>16001</Words>
  <Characters>91211</Characters>
  <Application>Microsoft Office Word</Application>
  <DocSecurity>0</DocSecurity>
  <Lines>760</Lines>
  <Paragraphs>213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106999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44</cp:revision>
  <cp:lastPrinted>1999-07-06T11:00:00Z</cp:lastPrinted>
  <dcterms:created xsi:type="dcterms:W3CDTF">2014-10-25T14:34:00Z</dcterms:created>
  <dcterms:modified xsi:type="dcterms:W3CDTF">2025-12-23T06:37:00Z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8e6d0ba1-e474-4738-a3cf-78a908eab3de</vt:lpwstr>
  </property>
</Properties>
</file>