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5BE13" w14:textId="77777777" w:rsidR="000B4736" w:rsidRPr="00E227C9" w:rsidRDefault="000B4736" w:rsidP="000B4736">
      <w:pPr>
        <w:pStyle w:val="Heading1"/>
        <w:rPr>
          <w:bCs/>
          <w:i/>
          <w:iCs/>
          <w:sz w:val="48"/>
          <w:szCs w:val="48"/>
          <w:u w:val="single"/>
        </w:rPr>
      </w:pPr>
      <w:r w:rsidRPr="00E227C9">
        <w:rPr>
          <w:bCs/>
          <w:i/>
          <w:iCs/>
          <w:sz w:val="48"/>
          <w:szCs w:val="48"/>
          <w:u w:val="single"/>
        </w:rPr>
        <w:t>Original Research Article</w:t>
      </w:r>
    </w:p>
    <w:p w14:paraId="447B739A" w14:textId="5A9476BE" w:rsidR="00B0210B" w:rsidRPr="00E227C9" w:rsidRDefault="00424C6B">
      <w:pPr>
        <w:pStyle w:val="Heading1"/>
        <w:rPr>
          <w:sz w:val="48"/>
          <w:szCs w:val="48"/>
        </w:rPr>
      </w:pPr>
      <w:r w:rsidRPr="00E227C9">
        <w:rPr>
          <w:sz w:val="48"/>
          <w:szCs w:val="48"/>
        </w:rPr>
        <w:t xml:space="preserve">Synthesis and </w:t>
      </w:r>
      <w:r w:rsidR="00E227C9" w:rsidRPr="00E227C9">
        <w:rPr>
          <w:color w:val="EE0000"/>
          <w:sz w:val="48"/>
          <w:szCs w:val="48"/>
        </w:rPr>
        <w:t>Ant</w:t>
      </w:r>
      <w:r w:rsidR="003B5EA5">
        <w:rPr>
          <w:color w:val="EE0000"/>
          <w:sz w:val="48"/>
          <w:szCs w:val="48"/>
        </w:rPr>
        <w:t>i</w:t>
      </w:r>
      <w:r w:rsidR="00E227C9">
        <w:rPr>
          <w:color w:val="EE0000"/>
          <w:sz w:val="48"/>
          <w:szCs w:val="48"/>
        </w:rPr>
        <w:t>-</w:t>
      </w:r>
      <w:r w:rsidR="00E227C9" w:rsidRPr="00E227C9">
        <w:rPr>
          <w:color w:val="EE0000"/>
          <w:sz w:val="48"/>
          <w:szCs w:val="48"/>
        </w:rPr>
        <w:t>aspergillus</w:t>
      </w:r>
      <w:r w:rsidRPr="00E227C9">
        <w:rPr>
          <w:sz w:val="48"/>
          <w:szCs w:val="48"/>
        </w:rPr>
        <w:t xml:space="preserve"> Activity of </w:t>
      </w:r>
      <w:r w:rsidR="007F64D4" w:rsidRPr="00E227C9">
        <w:rPr>
          <w:sz w:val="48"/>
          <w:szCs w:val="48"/>
        </w:rPr>
        <w:t>6-chloroimidazo[1,2-</w:t>
      </w:r>
      <w:proofErr w:type="gramStart"/>
      <w:r w:rsidR="007F64D4" w:rsidRPr="00E227C9">
        <w:rPr>
          <w:sz w:val="48"/>
          <w:szCs w:val="48"/>
        </w:rPr>
        <w:t>a]pyridinyl</w:t>
      </w:r>
      <w:proofErr w:type="gramEnd"/>
      <w:r w:rsidR="007F64D4" w:rsidRPr="00E227C9">
        <w:rPr>
          <w:sz w:val="48"/>
          <w:szCs w:val="48"/>
        </w:rPr>
        <w:t>-chalcone derivatives</w:t>
      </w:r>
    </w:p>
    <w:p w14:paraId="4F0EA439" w14:textId="77777777" w:rsidR="00B0210B" w:rsidRPr="00E227C9" w:rsidRDefault="00B0210B">
      <w:pPr>
        <w:spacing w:after="0" w:line="240" w:lineRule="auto"/>
        <w:jc w:val="right"/>
        <w:rPr>
          <w:rFonts w:ascii="Arial" w:eastAsia="Arial" w:hAnsi="Arial" w:cs="Arial"/>
          <w:b/>
          <w:sz w:val="36"/>
          <w:szCs w:val="36"/>
        </w:rPr>
      </w:pPr>
    </w:p>
    <w:p w14:paraId="7FBF1145" w14:textId="77777777" w:rsidR="00B0210B" w:rsidRPr="00E227C9" w:rsidRDefault="00B0210B">
      <w:pPr>
        <w:spacing w:before="10" w:after="0" w:line="240" w:lineRule="auto"/>
        <w:jc w:val="right"/>
        <w:rPr>
          <w:rFonts w:ascii="Arial" w:eastAsia="Arial" w:hAnsi="Arial" w:cs="Arial"/>
          <w:b/>
          <w:sz w:val="32"/>
          <w:szCs w:val="32"/>
        </w:rPr>
      </w:pPr>
    </w:p>
    <w:p w14:paraId="10E01F75" w14:textId="77777777" w:rsidR="00B0210B" w:rsidRPr="00E227C9" w:rsidRDefault="00424C6B">
      <w:pPr>
        <w:spacing w:after="0" w:line="240" w:lineRule="auto"/>
        <w:jc w:val="right"/>
        <w:rPr>
          <w:rFonts w:ascii="Arial" w:eastAsia="Arial" w:hAnsi="Arial" w:cs="Arial"/>
          <w:b/>
          <w:sz w:val="24"/>
          <w:szCs w:val="24"/>
        </w:rPr>
      </w:pPr>
      <w:r w:rsidRPr="00E227C9">
        <w:rPr>
          <w:rFonts w:ascii="Arial" w:eastAsia="Arial" w:hAnsi="Arial" w:cs="Arial"/>
          <w:b/>
          <w:noProof/>
          <w:sz w:val="24"/>
          <w:szCs w:val="24"/>
        </w:rPr>
        <mc:AlternateContent>
          <mc:Choice Requires="wpg">
            <w:drawing>
              <wp:inline distT="0" distB="0" distL="114300" distR="114300" wp14:anchorId="32AABC38" wp14:editId="5B0372A7">
                <wp:extent cx="5723890" cy="19050"/>
                <wp:effectExtent l="0" t="0" r="0" b="0"/>
                <wp:docPr id="2" name="Forme libre : forme 2"/>
                <wp:cNvGraphicFramePr/>
                <a:graphic xmlns:a="http://schemas.openxmlformats.org/drawingml/2006/main">
                  <a:graphicData uri="http://schemas.microsoft.com/office/word/2010/wordprocessingShape">
                    <wps:wsp>
                      <wps:cNvSpPr/>
                      <wps:spPr>
                        <a:xfrm>
                          <a:off x="2484055" y="3780000"/>
                          <a:ext cx="5723890" cy="0"/>
                        </a:xfrm>
                        <a:custGeom>
                          <a:avLst/>
                          <a:gdLst/>
                          <a:ahLst/>
                          <a:cxnLst/>
                          <a:rect l="l" t="t" r="r" b="b"/>
                          <a:pathLst>
                            <a:path w="5723890" h="1" extrusionOk="0">
                              <a:moveTo>
                                <a:pt x="0" y="0"/>
                              </a:moveTo>
                              <a:lnTo>
                                <a:pt x="572389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723890" cy="19050"/>
                <wp:effectExtent b="0" l="0" r="0" t="0"/>
                <wp:docPr id="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723890" cy="19050"/>
                        </a:xfrm>
                        <a:prstGeom prst="rect"/>
                        <a:ln/>
                      </pic:spPr>
                    </pic:pic>
                  </a:graphicData>
                </a:graphic>
              </wp:inline>
            </w:drawing>
          </mc:Fallback>
        </mc:AlternateContent>
      </w:r>
    </w:p>
    <w:p w14:paraId="0123861A" w14:textId="77777777" w:rsidR="00B0210B" w:rsidRPr="00E227C9" w:rsidRDefault="00424C6B">
      <w:pPr>
        <w:pStyle w:val="Heading2"/>
      </w:pPr>
      <w:r w:rsidRPr="00E227C9">
        <w:t>ABSTRACT</w:t>
      </w:r>
    </w:p>
    <w:p w14:paraId="4ADC4892" w14:textId="77777777" w:rsidR="00B0210B" w:rsidRPr="00E227C9" w:rsidRDefault="00B0210B">
      <w:pPr>
        <w:keepNext/>
        <w:spacing w:after="0" w:line="240" w:lineRule="auto"/>
        <w:rPr>
          <w:rFonts w:ascii="Arial" w:eastAsia="Arial" w:hAnsi="Arial" w:cs="Arial"/>
          <w:b/>
          <w:smallCaps/>
          <w:sz w:val="16"/>
          <w:szCs w:val="16"/>
        </w:rPr>
      </w:pPr>
    </w:p>
    <w:tbl>
      <w:tblPr>
        <w:tblStyle w:val="a"/>
        <w:tblW w:w="90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0"/>
      </w:tblGrid>
      <w:tr w:rsidR="00B0210B" w:rsidRPr="00E227C9" w14:paraId="677AF025" w14:textId="77777777">
        <w:trPr>
          <w:jc w:val="center"/>
        </w:trPr>
        <w:tc>
          <w:tcPr>
            <w:tcW w:w="9040" w:type="dxa"/>
          </w:tcPr>
          <w:p w14:paraId="49F2E060" w14:textId="6B5B74FF" w:rsidR="00C308E9" w:rsidRPr="00E227C9" w:rsidRDefault="00C308E9" w:rsidP="00C308E9">
            <w:pPr>
              <w:jc w:val="both"/>
              <w:rPr>
                <w:rFonts w:ascii="Arial" w:hAnsi="Arial" w:cs="Arial"/>
                <w:sz w:val="20"/>
                <w:szCs w:val="20"/>
              </w:rPr>
            </w:pPr>
            <w:r w:rsidRPr="00E227C9">
              <w:rPr>
                <w:rFonts w:ascii="Arial" w:hAnsi="Arial" w:cs="Arial"/>
                <w:b/>
                <w:bCs/>
                <w:sz w:val="20"/>
                <w:szCs w:val="20"/>
              </w:rPr>
              <w:t>Aims</w:t>
            </w:r>
            <w:r w:rsidRPr="00E227C9">
              <w:rPr>
                <w:rFonts w:ascii="Arial" w:hAnsi="Arial" w:cs="Arial"/>
                <w:sz w:val="20"/>
                <w:szCs w:val="20"/>
              </w:rPr>
              <w:t>: This pharmacochemical study aimed to design, synthesize, structurally characterize, and evaluate the anti</w:t>
            </w:r>
            <w:r w:rsidR="00E227C9">
              <w:rPr>
                <w:rFonts w:ascii="Arial" w:hAnsi="Arial" w:cs="Arial"/>
                <w:sz w:val="20"/>
                <w:szCs w:val="20"/>
              </w:rPr>
              <w:t>-a</w:t>
            </w:r>
            <w:r w:rsidRPr="00E227C9">
              <w:rPr>
                <w:rFonts w:ascii="Arial" w:hAnsi="Arial" w:cs="Arial"/>
                <w:sz w:val="20"/>
                <w:szCs w:val="20"/>
              </w:rPr>
              <w:t>spergillus activity of a new series of 6-chloroimidazo[1,2-</w:t>
            </w:r>
            <w:proofErr w:type="gramStart"/>
            <w:r w:rsidRPr="00E227C9">
              <w:rPr>
                <w:rFonts w:ascii="Arial" w:hAnsi="Arial" w:cs="Arial"/>
                <w:sz w:val="20"/>
                <w:szCs w:val="20"/>
              </w:rPr>
              <w:t>a]pyridinyl</w:t>
            </w:r>
            <w:proofErr w:type="gramEnd"/>
            <w:r w:rsidRPr="00E227C9">
              <w:rPr>
                <w:rFonts w:ascii="Arial" w:hAnsi="Arial" w:cs="Arial"/>
                <w:sz w:val="20"/>
                <w:szCs w:val="20"/>
              </w:rPr>
              <w:t>–chalcone derivatives against an environmental strain of Aspergillus flavus, a major opportunistic fungal pathogen of high priority in the context of invasive fungal infections.</w:t>
            </w:r>
          </w:p>
          <w:p w14:paraId="0596A8B5" w14:textId="23B6A781" w:rsidR="00C308E9" w:rsidRPr="00E227C9" w:rsidRDefault="00C308E9" w:rsidP="00C308E9">
            <w:pPr>
              <w:jc w:val="both"/>
              <w:rPr>
                <w:rFonts w:ascii="Arial" w:hAnsi="Arial" w:cs="Arial"/>
                <w:sz w:val="20"/>
                <w:szCs w:val="20"/>
              </w:rPr>
            </w:pPr>
            <w:r w:rsidRPr="00E227C9">
              <w:rPr>
                <w:rFonts w:ascii="Arial" w:hAnsi="Arial" w:cs="Arial"/>
                <w:b/>
                <w:bCs/>
                <w:sz w:val="20"/>
                <w:szCs w:val="20"/>
              </w:rPr>
              <w:t>Methodology</w:t>
            </w:r>
            <w:r w:rsidRPr="00E227C9">
              <w:rPr>
                <w:rFonts w:ascii="Arial" w:hAnsi="Arial" w:cs="Arial"/>
                <w:sz w:val="20"/>
                <w:szCs w:val="20"/>
              </w:rPr>
              <w:t>: The target compounds were synthesized via Claisen–Schmidt condensation between 3-acetyl-6-chloro-2-methylimidazo[1,2-</w:t>
            </w:r>
            <w:proofErr w:type="gramStart"/>
            <w:r w:rsidRPr="00E227C9">
              <w:rPr>
                <w:rFonts w:ascii="Arial" w:hAnsi="Arial" w:cs="Arial"/>
                <w:sz w:val="20"/>
                <w:szCs w:val="20"/>
              </w:rPr>
              <w:t>a]pyridine</w:t>
            </w:r>
            <w:proofErr w:type="gramEnd"/>
            <w:r w:rsidRPr="00E227C9">
              <w:rPr>
                <w:rFonts w:ascii="Arial" w:hAnsi="Arial" w:cs="Arial"/>
                <w:sz w:val="20"/>
                <w:szCs w:val="20"/>
              </w:rPr>
              <w:t xml:space="preserve"> and a range of substituted aromatic aldehydes under basic conditions. The structures of the synthesized derivatives were confirmed by 1H and 13C nuclear magnetic resonance (NMR) spectroscopy, which validated the formation of the expected </w:t>
            </w:r>
            <w:proofErr w:type="gramStart"/>
            <w:r w:rsidRPr="00E227C9">
              <w:rPr>
                <w:rFonts w:ascii="Arial" w:hAnsi="Arial" w:cs="Arial"/>
                <w:sz w:val="20"/>
                <w:szCs w:val="20"/>
              </w:rPr>
              <w:t>α,β</w:t>
            </w:r>
            <w:proofErr w:type="gramEnd"/>
            <w:r w:rsidRPr="00E227C9">
              <w:rPr>
                <w:rFonts w:ascii="Arial" w:hAnsi="Arial" w:cs="Arial"/>
                <w:sz w:val="20"/>
                <w:szCs w:val="20"/>
              </w:rPr>
              <w:t xml:space="preserve">-unsaturated carbonyl systems characteristic of chalcones. The antifungal activity of the compounds was assessed in vitro using a microdilution method in microplates, and minimum inhibitory concentrations (MICs) were determined to quantify their antifungal effects. </w:t>
            </w:r>
          </w:p>
          <w:p w14:paraId="7FD2D575" w14:textId="77777777" w:rsidR="00C308E9" w:rsidRPr="00E227C9" w:rsidRDefault="00C308E9" w:rsidP="00C308E9">
            <w:pPr>
              <w:jc w:val="both"/>
              <w:rPr>
                <w:rFonts w:ascii="Arial" w:hAnsi="Arial" w:cs="Arial"/>
                <w:sz w:val="20"/>
                <w:szCs w:val="20"/>
              </w:rPr>
            </w:pPr>
            <w:r w:rsidRPr="00E227C9">
              <w:rPr>
                <w:rFonts w:ascii="Arial" w:hAnsi="Arial" w:cs="Arial"/>
                <w:b/>
                <w:bCs/>
                <w:sz w:val="20"/>
                <w:szCs w:val="20"/>
              </w:rPr>
              <w:t>Results:</w:t>
            </w:r>
            <w:r w:rsidRPr="00E227C9">
              <w:rPr>
                <w:rFonts w:ascii="Arial" w:hAnsi="Arial" w:cs="Arial"/>
                <w:sz w:val="20"/>
                <w:szCs w:val="20"/>
              </w:rPr>
              <w:t xml:space="preserve"> A total of ten 6-chloroimidazo[1,2-</w:t>
            </w:r>
            <w:proofErr w:type="gramStart"/>
            <w:r w:rsidRPr="00E227C9">
              <w:rPr>
                <w:rFonts w:ascii="Arial" w:hAnsi="Arial" w:cs="Arial"/>
                <w:sz w:val="20"/>
                <w:szCs w:val="20"/>
              </w:rPr>
              <w:t>a]pyridinyl</w:t>
            </w:r>
            <w:proofErr w:type="gramEnd"/>
            <w:r w:rsidRPr="00E227C9">
              <w:rPr>
                <w:rFonts w:ascii="Arial" w:hAnsi="Arial" w:cs="Arial"/>
                <w:sz w:val="20"/>
                <w:szCs w:val="20"/>
              </w:rPr>
              <w:t xml:space="preserve">–chalcone hybrids were successfully obtained with yields ranging from 32% to 68%. The antifungal evaluation revealed MIC values between 75.48 and 160.89 µM. Notably, the 2-chloro-, 2-methoxy-, and 3-methoxy-substituted derivatives displayed the most potent activity, with MIC values around 75–76 µM. </w:t>
            </w:r>
          </w:p>
          <w:p w14:paraId="412C9C74" w14:textId="3144C34D" w:rsidR="00B0210B" w:rsidRPr="00E227C9" w:rsidRDefault="00C308E9" w:rsidP="00C308E9">
            <w:pPr>
              <w:jc w:val="both"/>
              <w:rPr>
                <w:rFonts w:ascii="Arial" w:hAnsi="Arial" w:cs="Arial"/>
                <w:sz w:val="20"/>
                <w:szCs w:val="20"/>
              </w:rPr>
            </w:pPr>
            <w:r w:rsidRPr="00E227C9">
              <w:rPr>
                <w:rFonts w:ascii="Arial" w:hAnsi="Arial" w:cs="Arial"/>
                <w:b/>
                <w:bCs/>
                <w:sz w:val="20"/>
                <w:szCs w:val="20"/>
              </w:rPr>
              <w:t>Conclusion:</w:t>
            </w:r>
            <w:r w:rsidRPr="00E227C9">
              <w:rPr>
                <w:rFonts w:ascii="Arial" w:hAnsi="Arial" w:cs="Arial"/>
                <w:sz w:val="20"/>
                <w:szCs w:val="20"/>
              </w:rPr>
              <w:t xml:space="preserve"> These results highlight the promising antifungal potential of 6-chloroimidazo[1,2-</w:t>
            </w:r>
            <w:proofErr w:type="gramStart"/>
            <w:r w:rsidRPr="00E227C9">
              <w:rPr>
                <w:rFonts w:ascii="Arial" w:hAnsi="Arial" w:cs="Arial"/>
                <w:sz w:val="20"/>
                <w:szCs w:val="20"/>
              </w:rPr>
              <w:t>a]pyridinyl</w:t>
            </w:r>
            <w:proofErr w:type="gramEnd"/>
            <w:r w:rsidRPr="00E227C9">
              <w:rPr>
                <w:rFonts w:ascii="Arial" w:hAnsi="Arial" w:cs="Arial"/>
                <w:sz w:val="20"/>
                <w:szCs w:val="20"/>
              </w:rPr>
              <w:t xml:space="preserve">–chalcone hybrids and suggest that they represent valuable lead structures for the further development of novel antifungal agents targeting </w:t>
            </w:r>
            <w:r w:rsidRPr="00E227C9">
              <w:rPr>
                <w:rFonts w:ascii="Arial" w:hAnsi="Arial" w:cs="Arial"/>
                <w:i/>
                <w:iCs/>
                <w:sz w:val="20"/>
                <w:szCs w:val="20"/>
              </w:rPr>
              <w:t>Aspergillus flavus</w:t>
            </w:r>
            <w:r w:rsidRPr="00E227C9">
              <w:rPr>
                <w:rFonts w:ascii="Arial" w:hAnsi="Arial" w:cs="Arial"/>
                <w:sz w:val="20"/>
                <w:szCs w:val="20"/>
              </w:rPr>
              <w:t>.</w:t>
            </w:r>
          </w:p>
        </w:tc>
      </w:tr>
    </w:tbl>
    <w:p w14:paraId="725BABC2" w14:textId="77777777" w:rsidR="00B0210B" w:rsidRPr="00E227C9" w:rsidRDefault="00B0210B">
      <w:pPr>
        <w:spacing w:after="0" w:line="240" w:lineRule="auto"/>
        <w:ind w:left="990" w:hanging="990"/>
        <w:jc w:val="both"/>
        <w:rPr>
          <w:rFonts w:ascii="Arial" w:eastAsia="Arial" w:hAnsi="Arial" w:cs="Arial"/>
          <w:i/>
          <w:sz w:val="14"/>
          <w:szCs w:val="14"/>
        </w:rPr>
      </w:pPr>
    </w:p>
    <w:p w14:paraId="41D91608" w14:textId="53722113" w:rsidR="00B0210B" w:rsidRPr="00E227C9" w:rsidRDefault="00424C6B">
      <w:pPr>
        <w:spacing w:after="0" w:line="240" w:lineRule="auto"/>
        <w:ind w:left="1080" w:hanging="1080"/>
        <w:jc w:val="both"/>
        <w:rPr>
          <w:rFonts w:ascii="Arial" w:eastAsia="Arial" w:hAnsi="Arial" w:cs="Arial"/>
          <w:i/>
          <w:sz w:val="20"/>
          <w:szCs w:val="20"/>
        </w:rPr>
      </w:pPr>
      <w:r w:rsidRPr="00E227C9">
        <w:rPr>
          <w:rFonts w:ascii="Arial" w:eastAsia="Arial" w:hAnsi="Arial" w:cs="Arial"/>
          <w:i/>
          <w:sz w:val="20"/>
          <w:szCs w:val="20"/>
        </w:rPr>
        <w:t xml:space="preserve">Keywords: </w:t>
      </w:r>
      <w:proofErr w:type="spellStart"/>
      <w:r w:rsidR="00821024" w:rsidRPr="00E227C9">
        <w:rPr>
          <w:rFonts w:ascii="Arial" w:eastAsia="Arial" w:hAnsi="Arial" w:cs="Arial"/>
          <w:i/>
          <w:sz w:val="20"/>
          <w:szCs w:val="20"/>
        </w:rPr>
        <w:t>Imidazo</w:t>
      </w:r>
      <w:proofErr w:type="spellEnd"/>
      <w:r w:rsidR="00821024" w:rsidRPr="00E227C9">
        <w:rPr>
          <w:rFonts w:ascii="Arial" w:eastAsia="Arial" w:hAnsi="Arial" w:cs="Arial"/>
          <w:i/>
          <w:sz w:val="20"/>
          <w:szCs w:val="20"/>
        </w:rPr>
        <w:t>[1,2-</w:t>
      </w:r>
      <w:proofErr w:type="gramStart"/>
      <w:r w:rsidR="00821024" w:rsidRPr="00E227C9">
        <w:rPr>
          <w:rFonts w:ascii="Arial" w:eastAsia="Arial" w:hAnsi="Arial" w:cs="Arial"/>
          <w:i/>
          <w:sz w:val="20"/>
          <w:szCs w:val="20"/>
        </w:rPr>
        <w:t>a]pyridine</w:t>
      </w:r>
      <w:proofErr w:type="gramEnd"/>
      <w:r w:rsidR="00821024" w:rsidRPr="00E227C9">
        <w:rPr>
          <w:rFonts w:ascii="Arial" w:eastAsia="Arial" w:hAnsi="Arial" w:cs="Arial"/>
          <w:i/>
          <w:sz w:val="20"/>
          <w:szCs w:val="20"/>
        </w:rPr>
        <w:t>, Chalcone, Aspergillus flavus, antifungal, structure-activity relationship</w:t>
      </w:r>
      <w:r w:rsidRPr="00E227C9">
        <w:rPr>
          <w:rFonts w:ascii="Arial" w:eastAsia="Arial" w:hAnsi="Arial" w:cs="Arial"/>
          <w:i/>
          <w:sz w:val="20"/>
          <w:szCs w:val="20"/>
        </w:rPr>
        <w:t>.</w:t>
      </w:r>
    </w:p>
    <w:p w14:paraId="29420935" w14:textId="77777777" w:rsidR="00B0210B" w:rsidRPr="00E227C9" w:rsidRDefault="00B0210B">
      <w:pPr>
        <w:spacing w:after="0" w:line="240" w:lineRule="auto"/>
        <w:jc w:val="both"/>
        <w:rPr>
          <w:rFonts w:ascii="Arial" w:eastAsia="Arial" w:hAnsi="Arial" w:cs="Arial"/>
          <w:b/>
          <w:sz w:val="14"/>
          <w:szCs w:val="14"/>
        </w:rPr>
      </w:pPr>
    </w:p>
    <w:p w14:paraId="402F01C1" w14:textId="77777777" w:rsidR="00821024" w:rsidRPr="00E227C9" w:rsidRDefault="00821024">
      <w:pPr>
        <w:spacing w:after="0" w:line="240" w:lineRule="auto"/>
        <w:jc w:val="both"/>
        <w:rPr>
          <w:rFonts w:ascii="Arial" w:eastAsia="Arial" w:hAnsi="Arial" w:cs="Arial"/>
          <w:b/>
          <w:sz w:val="14"/>
          <w:szCs w:val="14"/>
        </w:rPr>
        <w:sectPr w:rsidR="00821024" w:rsidRPr="00E227C9">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864" w:gutter="0"/>
          <w:pgNumType w:start="1"/>
          <w:cols w:space="720"/>
          <w:titlePg/>
        </w:sectPr>
      </w:pPr>
    </w:p>
    <w:p w14:paraId="66632293" w14:textId="77777777" w:rsidR="00B0210B" w:rsidRPr="00E227C9" w:rsidRDefault="00424C6B">
      <w:pPr>
        <w:pStyle w:val="Heading2"/>
      </w:pPr>
      <w:r w:rsidRPr="00E227C9">
        <w:t>1. INTRODUCTION</w:t>
      </w:r>
    </w:p>
    <w:p w14:paraId="04325CF7" w14:textId="77777777" w:rsidR="00B0210B" w:rsidRPr="00E227C9" w:rsidRDefault="00B0210B">
      <w:pPr>
        <w:spacing w:after="0" w:line="240" w:lineRule="auto"/>
        <w:jc w:val="both"/>
        <w:rPr>
          <w:rFonts w:ascii="Arial" w:eastAsia="Arial" w:hAnsi="Arial" w:cs="Arial"/>
          <w:sz w:val="18"/>
          <w:szCs w:val="18"/>
        </w:rPr>
      </w:pPr>
    </w:p>
    <w:p w14:paraId="54819E2C" w14:textId="77777777" w:rsidR="006E3603" w:rsidRDefault="00DE07BE" w:rsidP="00DE07BE">
      <w:pPr>
        <w:spacing w:after="0" w:line="240" w:lineRule="auto"/>
        <w:jc w:val="both"/>
        <w:rPr>
          <w:rFonts w:ascii="Arial" w:eastAsia="Arial" w:hAnsi="Arial" w:cs="Arial"/>
          <w:sz w:val="20"/>
          <w:szCs w:val="20"/>
          <w:lang w:val="fr-CI"/>
        </w:rPr>
      </w:pPr>
      <w:r w:rsidRPr="00E227C9">
        <w:rPr>
          <w:rFonts w:ascii="Arial" w:eastAsia="Arial" w:hAnsi="Arial" w:cs="Arial"/>
          <w:sz w:val="20"/>
          <w:szCs w:val="20"/>
        </w:rPr>
        <w:t xml:space="preserve">Invasive fungal infections are a major cause of morbidity and mortality in immunocompromised patients (Palmieri </w:t>
      </w:r>
      <w:r w:rsidR="00A83200" w:rsidRPr="00A83200">
        <w:rPr>
          <w:rFonts w:ascii="Arial" w:eastAsia="Arial" w:hAnsi="Arial" w:cs="Arial"/>
          <w:color w:val="EE0000"/>
          <w:sz w:val="20"/>
          <w:szCs w:val="20"/>
        </w:rPr>
        <w:t>and</w:t>
      </w:r>
      <w:r w:rsidRPr="00E227C9">
        <w:rPr>
          <w:rFonts w:ascii="Arial" w:eastAsia="Arial" w:hAnsi="Arial" w:cs="Arial"/>
          <w:sz w:val="20"/>
          <w:szCs w:val="20"/>
        </w:rPr>
        <w:t xml:space="preserve"> al., 2022). Aspergillus flavus, a ubiquitous filamentous fungus, is implicated in various human diseases, including invasive pulmonary aspergillosis, otomycosis, and fungal sinusitis (Cadena </w:t>
      </w:r>
      <w:r w:rsidR="006E3603">
        <w:rPr>
          <w:rFonts w:ascii="Arial" w:eastAsia="Arial" w:hAnsi="Arial" w:cs="Arial"/>
          <w:sz w:val="20"/>
          <w:szCs w:val="20"/>
        </w:rPr>
        <w:t>and</w:t>
      </w:r>
      <w:r w:rsidRPr="00E227C9">
        <w:rPr>
          <w:rFonts w:ascii="Arial" w:eastAsia="Arial" w:hAnsi="Arial" w:cs="Arial"/>
          <w:sz w:val="20"/>
          <w:szCs w:val="20"/>
        </w:rPr>
        <w:t xml:space="preserve"> al., 2021). Furthermore, this species produces aflatoxins, highly carcinogenic mycotoxins that contaminate food (Shabeer </w:t>
      </w:r>
      <w:r w:rsidR="006E3603">
        <w:rPr>
          <w:rFonts w:ascii="Arial" w:eastAsia="Arial" w:hAnsi="Arial" w:cs="Arial"/>
          <w:sz w:val="20"/>
          <w:szCs w:val="20"/>
        </w:rPr>
        <w:t>and</w:t>
      </w:r>
      <w:r w:rsidRPr="00E227C9">
        <w:rPr>
          <w:rFonts w:ascii="Arial" w:eastAsia="Arial" w:hAnsi="Arial" w:cs="Arial"/>
          <w:sz w:val="20"/>
          <w:szCs w:val="20"/>
        </w:rPr>
        <w:t xml:space="preserve"> al., 2022). Treatment of Aspergillus infections relies primarily on azoles </w:t>
      </w:r>
      <w:r w:rsidRPr="00E227C9">
        <w:rPr>
          <w:rFonts w:ascii="Arial" w:eastAsia="Arial" w:hAnsi="Arial" w:cs="Arial"/>
          <w:sz w:val="20"/>
          <w:szCs w:val="20"/>
        </w:rPr>
        <w:t>(itraconazole, voriconazole), polyenes (amphotericin B), and echinocandins (</w:t>
      </w:r>
      <w:proofErr w:type="spellStart"/>
      <w:r w:rsidRPr="00E227C9">
        <w:rPr>
          <w:rFonts w:ascii="Arial" w:eastAsia="Arial" w:hAnsi="Arial" w:cs="Arial"/>
          <w:sz w:val="20"/>
          <w:szCs w:val="20"/>
        </w:rPr>
        <w:t>Eschenauer</w:t>
      </w:r>
      <w:proofErr w:type="spellEnd"/>
      <w:r w:rsidRPr="00E227C9">
        <w:rPr>
          <w:rFonts w:ascii="Arial" w:eastAsia="Arial" w:hAnsi="Arial" w:cs="Arial"/>
          <w:sz w:val="20"/>
          <w:szCs w:val="20"/>
        </w:rPr>
        <w:t xml:space="preserve"> </w:t>
      </w:r>
      <w:r w:rsidR="00A83200" w:rsidRPr="00A83200">
        <w:rPr>
          <w:rFonts w:ascii="Arial" w:eastAsia="Arial" w:hAnsi="Arial" w:cs="Arial"/>
          <w:color w:val="EE0000"/>
          <w:sz w:val="20"/>
          <w:szCs w:val="20"/>
        </w:rPr>
        <w:t>and</w:t>
      </w:r>
      <w:r w:rsidRPr="00E227C9">
        <w:rPr>
          <w:rFonts w:ascii="Arial" w:eastAsia="Arial" w:hAnsi="Arial" w:cs="Arial"/>
          <w:sz w:val="20"/>
          <w:szCs w:val="20"/>
        </w:rPr>
        <w:t xml:space="preserve"> al., 2024). However, the increasing emergence of resistant strains, particularly to azoles, compromises therapeutic efficacy and necessitates the development of new antifungal molecules (Pasula </w:t>
      </w:r>
      <w:r w:rsidR="006E3603">
        <w:rPr>
          <w:rFonts w:ascii="Arial" w:eastAsia="Arial" w:hAnsi="Arial" w:cs="Arial"/>
          <w:sz w:val="20"/>
          <w:szCs w:val="20"/>
        </w:rPr>
        <w:t>and</w:t>
      </w:r>
      <w:r w:rsidRPr="00E227C9">
        <w:rPr>
          <w:rFonts w:ascii="Arial" w:eastAsia="Arial" w:hAnsi="Arial" w:cs="Arial"/>
          <w:sz w:val="20"/>
          <w:szCs w:val="20"/>
        </w:rPr>
        <w:t xml:space="preserve"> al., 2021). Chalcones, natural </w:t>
      </w:r>
      <w:proofErr w:type="gramStart"/>
      <w:r w:rsidRPr="00E227C9">
        <w:rPr>
          <w:rFonts w:ascii="Arial" w:eastAsia="Arial" w:hAnsi="Arial" w:cs="Arial"/>
          <w:sz w:val="20"/>
          <w:szCs w:val="20"/>
        </w:rPr>
        <w:t>α,β</w:t>
      </w:r>
      <w:proofErr w:type="gramEnd"/>
      <w:r w:rsidRPr="00E227C9">
        <w:rPr>
          <w:rFonts w:ascii="Arial" w:eastAsia="Arial" w:hAnsi="Arial" w:cs="Arial"/>
          <w:sz w:val="20"/>
          <w:szCs w:val="20"/>
        </w:rPr>
        <w:t>-unsaturated ketones, exhibit a broad spectrum of biological activities, including antifungal, anti-inflammatory, and anticancer properties (</w:t>
      </w:r>
      <w:proofErr w:type="spellStart"/>
      <w:r w:rsidRPr="00E227C9">
        <w:rPr>
          <w:rFonts w:ascii="Arial" w:eastAsia="Arial" w:hAnsi="Arial" w:cs="Arial"/>
          <w:sz w:val="20"/>
          <w:szCs w:val="20"/>
        </w:rPr>
        <w:t>Elkanzi</w:t>
      </w:r>
      <w:proofErr w:type="spellEnd"/>
      <w:r w:rsidRPr="00E227C9">
        <w:rPr>
          <w:rFonts w:ascii="Arial" w:eastAsia="Arial" w:hAnsi="Arial" w:cs="Arial"/>
          <w:sz w:val="20"/>
          <w:szCs w:val="20"/>
        </w:rPr>
        <w:t xml:space="preserve"> </w:t>
      </w:r>
      <w:r w:rsidR="00A83200">
        <w:rPr>
          <w:rFonts w:ascii="Arial" w:eastAsia="Arial" w:hAnsi="Arial" w:cs="Arial"/>
          <w:sz w:val="20"/>
          <w:szCs w:val="20"/>
        </w:rPr>
        <w:t>and</w:t>
      </w:r>
      <w:r w:rsidRPr="00E227C9">
        <w:rPr>
          <w:rFonts w:ascii="Arial" w:eastAsia="Arial" w:hAnsi="Arial" w:cs="Arial"/>
          <w:sz w:val="20"/>
          <w:szCs w:val="20"/>
        </w:rPr>
        <w:t xml:space="preserve"> al., 2022). Molecular hybridization of these structures with nitrogenous heterocycles such as </w:t>
      </w:r>
      <w:proofErr w:type="spellStart"/>
      <w:r w:rsidRPr="00E227C9">
        <w:rPr>
          <w:rFonts w:ascii="Arial" w:eastAsia="Arial" w:hAnsi="Arial" w:cs="Arial"/>
          <w:sz w:val="20"/>
          <w:szCs w:val="20"/>
        </w:rPr>
        <w:t>imidazo</w:t>
      </w:r>
      <w:proofErr w:type="spellEnd"/>
      <w:r w:rsidRPr="00E227C9">
        <w:rPr>
          <w:rFonts w:ascii="Arial" w:eastAsia="Arial" w:hAnsi="Arial" w:cs="Arial"/>
          <w:sz w:val="20"/>
          <w:szCs w:val="20"/>
        </w:rPr>
        <w:t>[1,2-</w:t>
      </w:r>
      <w:proofErr w:type="gramStart"/>
      <w:r w:rsidRPr="00E227C9">
        <w:rPr>
          <w:rFonts w:ascii="Arial" w:eastAsia="Arial" w:hAnsi="Arial" w:cs="Arial"/>
          <w:sz w:val="20"/>
          <w:szCs w:val="20"/>
        </w:rPr>
        <w:lastRenderedPageBreak/>
        <w:t>a]pyridine</w:t>
      </w:r>
      <w:proofErr w:type="gramEnd"/>
      <w:r w:rsidRPr="00E227C9">
        <w:rPr>
          <w:rFonts w:ascii="Arial" w:eastAsia="Arial" w:hAnsi="Arial" w:cs="Arial"/>
          <w:sz w:val="20"/>
          <w:szCs w:val="20"/>
        </w:rPr>
        <w:t xml:space="preserve"> represents a promising strategy for optimizing antifungal activity (</w:t>
      </w:r>
      <w:proofErr w:type="spellStart"/>
      <w:r w:rsidRPr="00E227C9">
        <w:rPr>
          <w:rFonts w:ascii="Arial" w:eastAsia="Arial" w:hAnsi="Arial" w:cs="Arial"/>
          <w:sz w:val="20"/>
          <w:szCs w:val="20"/>
        </w:rPr>
        <w:t>N’guessan</w:t>
      </w:r>
      <w:proofErr w:type="spellEnd"/>
      <w:r w:rsidRPr="00E227C9">
        <w:rPr>
          <w:rFonts w:ascii="Arial" w:eastAsia="Arial" w:hAnsi="Arial" w:cs="Arial"/>
          <w:sz w:val="20"/>
          <w:szCs w:val="20"/>
        </w:rPr>
        <w:t xml:space="preserve"> </w:t>
      </w:r>
      <w:r w:rsidR="00A83200">
        <w:rPr>
          <w:rFonts w:ascii="Arial" w:eastAsia="Arial" w:hAnsi="Arial" w:cs="Arial"/>
          <w:sz w:val="20"/>
          <w:szCs w:val="20"/>
        </w:rPr>
        <w:t>and</w:t>
      </w:r>
      <w:r w:rsidRPr="00E227C9">
        <w:rPr>
          <w:rFonts w:ascii="Arial" w:eastAsia="Arial" w:hAnsi="Arial" w:cs="Arial"/>
          <w:sz w:val="20"/>
          <w:szCs w:val="20"/>
        </w:rPr>
        <w:t xml:space="preserve"> al., 2025</w:t>
      </w:r>
      <w:r w:rsidR="006E3603">
        <w:rPr>
          <w:rFonts w:ascii="Arial" w:eastAsia="Arial" w:hAnsi="Arial" w:cs="Arial"/>
          <w:sz w:val="20"/>
          <w:szCs w:val="20"/>
        </w:rPr>
        <w:t xml:space="preserve">, </w:t>
      </w:r>
      <w:r w:rsidR="006E3603" w:rsidRPr="006E3603">
        <w:rPr>
          <w:rFonts w:ascii="Arial" w:eastAsia="Arial" w:hAnsi="Arial" w:cs="Arial"/>
          <w:color w:val="EE0000"/>
          <w:sz w:val="20"/>
          <w:szCs w:val="20"/>
          <w:lang w:val="fr-CI"/>
        </w:rPr>
        <w:t>N’Guessan and al., 2021; Peytam and al., 2023</w:t>
      </w:r>
      <w:r w:rsidR="006E3603" w:rsidRPr="00731222">
        <w:rPr>
          <w:rFonts w:ascii="Arial" w:eastAsia="Arial" w:hAnsi="Arial" w:cs="Arial"/>
          <w:color w:val="EE0000"/>
          <w:sz w:val="20"/>
          <w:szCs w:val="20"/>
          <w:lang w:val="fr-CI"/>
        </w:rPr>
        <w:t>).</w:t>
      </w:r>
    </w:p>
    <w:p w14:paraId="6EB9F62D" w14:textId="133E34F0" w:rsidR="00B0210B" w:rsidRPr="00E227C9" w:rsidRDefault="00DE07BE" w:rsidP="00DE07BE">
      <w:pPr>
        <w:spacing w:after="0" w:line="240" w:lineRule="auto"/>
        <w:jc w:val="both"/>
        <w:rPr>
          <w:rFonts w:ascii="Arial" w:eastAsia="Arial" w:hAnsi="Arial" w:cs="Arial"/>
          <w:sz w:val="20"/>
          <w:szCs w:val="20"/>
        </w:rPr>
      </w:pPr>
      <w:proofErr w:type="spellStart"/>
      <w:r w:rsidRPr="00E227C9">
        <w:rPr>
          <w:rFonts w:ascii="Arial" w:eastAsia="Arial" w:hAnsi="Arial" w:cs="Arial"/>
          <w:sz w:val="20"/>
          <w:szCs w:val="20"/>
        </w:rPr>
        <w:t>Imidazo</w:t>
      </w:r>
      <w:proofErr w:type="spellEnd"/>
      <w:r w:rsidRPr="00E227C9">
        <w:rPr>
          <w:rFonts w:ascii="Arial" w:eastAsia="Arial" w:hAnsi="Arial" w:cs="Arial"/>
          <w:sz w:val="20"/>
          <w:szCs w:val="20"/>
        </w:rPr>
        <w:t>[1,2-</w:t>
      </w:r>
      <w:proofErr w:type="gramStart"/>
      <w:r w:rsidRPr="00E227C9">
        <w:rPr>
          <w:rFonts w:ascii="Arial" w:eastAsia="Arial" w:hAnsi="Arial" w:cs="Arial"/>
          <w:sz w:val="20"/>
          <w:szCs w:val="20"/>
        </w:rPr>
        <w:t>a]pyridine</w:t>
      </w:r>
      <w:proofErr w:type="gramEnd"/>
      <w:r w:rsidRPr="00E227C9">
        <w:rPr>
          <w:rFonts w:ascii="Arial" w:eastAsia="Arial" w:hAnsi="Arial" w:cs="Arial"/>
          <w:sz w:val="20"/>
          <w:szCs w:val="20"/>
        </w:rPr>
        <w:t xml:space="preserve">, a condensed bicyclic system, is present in many commercially available drugs, such as zolpidem (a hypnotic) and alpidem (an anxiolytic) (Dumont </w:t>
      </w:r>
      <w:r w:rsidR="00A83200">
        <w:rPr>
          <w:rFonts w:ascii="Arial" w:eastAsia="Arial" w:hAnsi="Arial" w:cs="Arial"/>
          <w:sz w:val="20"/>
          <w:szCs w:val="20"/>
        </w:rPr>
        <w:t>and</w:t>
      </w:r>
      <w:r w:rsidRPr="00E227C9">
        <w:rPr>
          <w:rFonts w:ascii="Arial" w:eastAsia="Arial" w:hAnsi="Arial" w:cs="Arial"/>
          <w:sz w:val="20"/>
          <w:szCs w:val="20"/>
        </w:rPr>
        <w:t xml:space="preserve"> al., 2003). This structure, favored in medicinal chemistry, offers possibilities for pharmacological modulation through the introduction of appropriate substituents (Narayan </w:t>
      </w:r>
      <w:r w:rsidR="00A83200">
        <w:rPr>
          <w:rFonts w:ascii="Arial" w:eastAsia="Arial" w:hAnsi="Arial" w:cs="Arial"/>
          <w:sz w:val="20"/>
          <w:szCs w:val="20"/>
        </w:rPr>
        <w:t>and</w:t>
      </w:r>
      <w:r w:rsidRPr="00E227C9">
        <w:rPr>
          <w:rFonts w:ascii="Arial" w:eastAsia="Arial" w:hAnsi="Arial" w:cs="Arial"/>
          <w:sz w:val="20"/>
          <w:szCs w:val="20"/>
        </w:rPr>
        <w:t xml:space="preserve"> al., 2024). This study describes the synthesis of ten new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 xml:space="preserve">-chalcone derivatives, their complete structural characterization, and the evaluation of their antifungal activity against A. flavus. </w:t>
      </w:r>
      <w:r w:rsidRPr="00E227C9">
        <w:rPr>
          <w:rFonts w:ascii="Arial" w:eastAsia="Arial" w:hAnsi="Arial" w:cs="Arial"/>
          <w:color w:val="EE0000"/>
          <w:sz w:val="20"/>
          <w:szCs w:val="20"/>
        </w:rPr>
        <w:t>These new derivatives could represent an alternative in the management of aspergillosis in the future.</w:t>
      </w:r>
    </w:p>
    <w:p w14:paraId="6C76355C" w14:textId="77777777" w:rsidR="00DE07BE" w:rsidRPr="00E227C9" w:rsidRDefault="00DE07BE" w:rsidP="00DE07BE">
      <w:pPr>
        <w:spacing w:after="0" w:line="240" w:lineRule="auto"/>
        <w:jc w:val="both"/>
        <w:rPr>
          <w:rFonts w:ascii="Arial" w:eastAsia="Arial" w:hAnsi="Arial" w:cs="Arial"/>
          <w:sz w:val="20"/>
          <w:szCs w:val="20"/>
        </w:rPr>
      </w:pPr>
    </w:p>
    <w:p w14:paraId="6F2605B2" w14:textId="77777777" w:rsidR="00B0210B" w:rsidRPr="00E227C9" w:rsidRDefault="00424C6B">
      <w:pPr>
        <w:pStyle w:val="Heading2"/>
      </w:pPr>
      <w:r w:rsidRPr="00E227C9">
        <w:t>2. METHODOLOGY</w:t>
      </w:r>
    </w:p>
    <w:p w14:paraId="20B5667E" w14:textId="77777777" w:rsidR="00B0210B" w:rsidRPr="00E227C9" w:rsidRDefault="00B0210B">
      <w:pPr>
        <w:spacing w:after="0" w:line="240" w:lineRule="auto"/>
        <w:jc w:val="both"/>
        <w:rPr>
          <w:rFonts w:ascii="Arial" w:eastAsia="Arial" w:hAnsi="Arial" w:cs="Arial"/>
          <w:b/>
          <w:sz w:val="20"/>
          <w:szCs w:val="20"/>
        </w:rPr>
      </w:pPr>
    </w:p>
    <w:p w14:paraId="6A29A7BE" w14:textId="77777777" w:rsidR="00B0210B" w:rsidRPr="00E227C9" w:rsidRDefault="00424C6B">
      <w:pPr>
        <w:spacing w:after="0" w:line="240" w:lineRule="auto"/>
        <w:jc w:val="both"/>
        <w:rPr>
          <w:rFonts w:ascii="Arial" w:eastAsia="Arial" w:hAnsi="Arial" w:cs="Arial"/>
          <w:sz w:val="20"/>
          <w:szCs w:val="20"/>
        </w:rPr>
      </w:pPr>
      <w:r w:rsidRPr="00E227C9">
        <w:rPr>
          <w:rFonts w:ascii="Arial" w:eastAsia="Arial" w:hAnsi="Arial" w:cs="Arial"/>
          <w:b/>
          <w:sz w:val="20"/>
          <w:szCs w:val="20"/>
        </w:rPr>
        <w:t>2.1 General Considerations</w:t>
      </w:r>
    </w:p>
    <w:p w14:paraId="5B151829" w14:textId="77777777" w:rsidR="00B0210B" w:rsidRPr="00E227C9" w:rsidRDefault="00B0210B">
      <w:pPr>
        <w:spacing w:after="0" w:line="240" w:lineRule="auto"/>
        <w:jc w:val="both"/>
        <w:rPr>
          <w:rFonts w:ascii="Arial" w:eastAsia="Arial" w:hAnsi="Arial" w:cs="Arial"/>
          <w:sz w:val="20"/>
          <w:szCs w:val="20"/>
        </w:rPr>
      </w:pPr>
    </w:p>
    <w:p w14:paraId="2A265756" w14:textId="0154A085" w:rsidR="00B2379F" w:rsidRPr="00E227C9" w:rsidRDefault="00B2379F">
      <w:pPr>
        <w:spacing w:after="0" w:line="240" w:lineRule="auto"/>
        <w:jc w:val="both"/>
        <w:rPr>
          <w:rFonts w:ascii="Arial" w:eastAsia="Arial" w:hAnsi="Arial" w:cs="Arial"/>
          <w:sz w:val="20"/>
          <w:szCs w:val="20"/>
        </w:rPr>
      </w:pPr>
      <w:r w:rsidRPr="00E227C9">
        <w:rPr>
          <w:rFonts w:ascii="Arial" w:eastAsia="Arial" w:hAnsi="Arial" w:cs="Arial"/>
          <w:sz w:val="20"/>
          <w:szCs w:val="20"/>
        </w:rPr>
        <w:t>The reactions' advancement was assessed using thin layer chromatography (TLC). Aluminum plates, pre-coated with Merk® silica gel 60F</w:t>
      </w:r>
      <w:r w:rsidRPr="00E227C9">
        <w:rPr>
          <w:rFonts w:ascii="Arial" w:eastAsia="Arial" w:hAnsi="Arial" w:cs="Arial"/>
          <w:sz w:val="20"/>
          <w:szCs w:val="20"/>
          <w:vertAlign w:val="subscript"/>
        </w:rPr>
        <w:t>254</w:t>
      </w:r>
      <w:r w:rsidRPr="00E227C9">
        <w:rPr>
          <w:rFonts w:ascii="Arial" w:eastAsia="Arial" w:hAnsi="Arial" w:cs="Arial"/>
          <w:sz w:val="20"/>
          <w:szCs w:val="20"/>
        </w:rPr>
        <w:t xml:space="preserve">, were employed. Visualization was achieved under UV light (λ = 254 nm), with a 70:30 ethyl acetate/hexane mixture serving as the eluent. Nuclear Magnetic Resonance (NMR) analyses were conducted on a Bruker-Avance 300 MHz spectrometer, operating at 300 </w:t>
      </w:r>
      <w:proofErr w:type="spellStart"/>
      <w:r w:rsidRPr="00E227C9">
        <w:rPr>
          <w:rFonts w:ascii="Arial" w:eastAsia="Arial" w:hAnsi="Arial" w:cs="Arial"/>
          <w:sz w:val="20"/>
          <w:szCs w:val="20"/>
        </w:rPr>
        <w:t>mHz</w:t>
      </w:r>
      <w:proofErr w:type="spellEnd"/>
      <w:r w:rsidRPr="00E227C9">
        <w:rPr>
          <w:rFonts w:ascii="Arial" w:eastAsia="Arial" w:hAnsi="Arial" w:cs="Arial"/>
          <w:sz w:val="20"/>
          <w:szCs w:val="20"/>
        </w:rPr>
        <w:t xml:space="preserve"> (</w:t>
      </w:r>
      <w:r w:rsidRPr="00E227C9">
        <w:rPr>
          <w:rFonts w:ascii="Arial" w:eastAsia="Arial" w:hAnsi="Arial" w:cs="Arial"/>
          <w:sz w:val="20"/>
          <w:szCs w:val="20"/>
          <w:vertAlign w:val="superscript"/>
        </w:rPr>
        <w:t>1</w:t>
      </w:r>
      <w:r w:rsidRPr="00E227C9">
        <w:rPr>
          <w:rFonts w:ascii="Arial" w:eastAsia="Arial" w:hAnsi="Arial" w:cs="Arial"/>
          <w:sz w:val="20"/>
          <w:szCs w:val="20"/>
        </w:rPr>
        <w:t xml:space="preserve">H) and 75 </w:t>
      </w:r>
      <w:proofErr w:type="spellStart"/>
      <w:r w:rsidRPr="00E227C9">
        <w:rPr>
          <w:rFonts w:ascii="Arial" w:eastAsia="Arial" w:hAnsi="Arial" w:cs="Arial"/>
          <w:sz w:val="20"/>
          <w:szCs w:val="20"/>
        </w:rPr>
        <w:t>mHz</w:t>
      </w:r>
      <w:proofErr w:type="spellEnd"/>
      <w:r w:rsidRPr="00E227C9">
        <w:rPr>
          <w:rFonts w:ascii="Arial" w:eastAsia="Arial" w:hAnsi="Arial" w:cs="Arial"/>
          <w:sz w:val="20"/>
          <w:szCs w:val="20"/>
        </w:rPr>
        <w:t xml:space="preserve"> (</w:t>
      </w:r>
      <w:r w:rsidRPr="00E227C9">
        <w:rPr>
          <w:rFonts w:ascii="Arial" w:eastAsia="Arial" w:hAnsi="Arial" w:cs="Arial"/>
          <w:sz w:val="20"/>
          <w:szCs w:val="20"/>
          <w:vertAlign w:val="superscript"/>
        </w:rPr>
        <w:t>13</w:t>
      </w:r>
      <w:r w:rsidRPr="00E227C9">
        <w:rPr>
          <w:rFonts w:ascii="Arial" w:eastAsia="Arial" w:hAnsi="Arial" w:cs="Arial"/>
          <w:sz w:val="20"/>
          <w:szCs w:val="20"/>
        </w:rPr>
        <w:t xml:space="preserve">C). Chemical shifts (δ) are reported in parts per million (ppm), with </w:t>
      </w:r>
      <w:proofErr w:type="spellStart"/>
      <w:r w:rsidRPr="00E227C9">
        <w:rPr>
          <w:rFonts w:ascii="Arial" w:eastAsia="Arial" w:hAnsi="Arial" w:cs="Arial"/>
          <w:sz w:val="20"/>
          <w:szCs w:val="20"/>
        </w:rPr>
        <w:t>tetramethylsilane</w:t>
      </w:r>
      <w:proofErr w:type="spellEnd"/>
      <w:r w:rsidRPr="00E227C9">
        <w:rPr>
          <w:rFonts w:ascii="Arial" w:eastAsia="Arial" w:hAnsi="Arial" w:cs="Arial"/>
          <w:sz w:val="20"/>
          <w:szCs w:val="20"/>
        </w:rPr>
        <w:t xml:space="preserve"> serving as the internal reference.</w:t>
      </w:r>
    </w:p>
    <w:p w14:paraId="442A3804" w14:textId="77777777" w:rsidR="00B0210B" w:rsidRPr="00E227C9" w:rsidRDefault="00B0210B">
      <w:pPr>
        <w:spacing w:after="0" w:line="240" w:lineRule="auto"/>
        <w:jc w:val="both"/>
        <w:rPr>
          <w:rFonts w:ascii="Arial" w:eastAsia="Arial" w:hAnsi="Arial" w:cs="Arial"/>
          <w:sz w:val="20"/>
          <w:szCs w:val="20"/>
        </w:rPr>
      </w:pPr>
    </w:p>
    <w:p w14:paraId="03B795CB" w14:textId="159F8669" w:rsidR="00B2379F" w:rsidRPr="00E227C9" w:rsidRDefault="00B2379F" w:rsidP="00B2379F">
      <w:pPr>
        <w:spacing w:after="0" w:line="240" w:lineRule="auto"/>
        <w:jc w:val="both"/>
        <w:rPr>
          <w:rFonts w:ascii="Arial" w:eastAsia="Arial" w:hAnsi="Arial" w:cs="Arial"/>
          <w:sz w:val="20"/>
          <w:szCs w:val="20"/>
        </w:rPr>
      </w:pPr>
      <w:r w:rsidRPr="00E227C9">
        <w:rPr>
          <w:rFonts w:ascii="Arial" w:eastAsia="Arial" w:hAnsi="Arial" w:cs="Arial"/>
          <w:sz w:val="20"/>
          <w:szCs w:val="20"/>
        </w:rPr>
        <w:t>Spectra obtained in deuterated chloroform (CDCl</w:t>
      </w:r>
      <w:r w:rsidRPr="00E227C9">
        <w:rPr>
          <w:rFonts w:ascii="Arial" w:eastAsia="Arial" w:hAnsi="Arial" w:cs="Arial"/>
          <w:sz w:val="20"/>
          <w:szCs w:val="20"/>
          <w:vertAlign w:val="subscript"/>
        </w:rPr>
        <w:t>3</w:t>
      </w:r>
      <w:r w:rsidRPr="00E227C9">
        <w:rPr>
          <w:rFonts w:ascii="Arial" w:eastAsia="Arial" w:hAnsi="Arial" w:cs="Arial"/>
          <w:sz w:val="20"/>
          <w:szCs w:val="20"/>
        </w:rPr>
        <w:t>) were referenced to the residual chloroform signal (7.26 ppm for proton NMR, 77.16 ppm for carbon NMR). Coupling constants (J) are reported in Hertz (Hz). Signal multiplicity is indicated as follows: singlet (s), doublet (d), doublet of doublet (dd), split doublet of doublet (</w:t>
      </w:r>
      <w:proofErr w:type="spellStart"/>
      <w:r w:rsidRPr="00E227C9">
        <w:rPr>
          <w:rFonts w:ascii="Arial" w:eastAsia="Arial" w:hAnsi="Arial" w:cs="Arial"/>
          <w:sz w:val="20"/>
          <w:szCs w:val="20"/>
        </w:rPr>
        <w:t>ddd</w:t>
      </w:r>
      <w:proofErr w:type="spellEnd"/>
      <w:r w:rsidRPr="00E227C9">
        <w:rPr>
          <w:rFonts w:ascii="Arial" w:eastAsia="Arial" w:hAnsi="Arial" w:cs="Arial"/>
          <w:sz w:val="20"/>
          <w:szCs w:val="20"/>
        </w:rPr>
        <w:t xml:space="preserve">), triplet of doublet (td), quadruplet (q), and </w:t>
      </w:r>
      <w:proofErr w:type="spellStart"/>
      <w:r w:rsidRPr="00E227C9">
        <w:rPr>
          <w:rFonts w:ascii="Arial" w:eastAsia="Arial" w:hAnsi="Arial" w:cs="Arial"/>
          <w:sz w:val="20"/>
          <w:szCs w:val="20"/>
        </w:rPr>
        <w:t>multiplet</w:t>
      </w:r>
      <w:proofErr w:type="spellEnd"/>
      <w:r w:rsidRPr="00E227C9">
        <w:rPr>
          <w:rFonts w:ascii="Arial" w:eastAsia="Arial" w:hAnsi="Arial" w:cs="Arial"/>
          <w:sz w:val="20"/>
          <w:szCs w:val="20"/>
        </w:rPr>
        <w:t xml:space="preserve"> (m).</w:t>
      </w:r>
    </w:p>
    <w:p w14:paraId="3A1006FB" w14:textId="77777777" w:rsidR="00B0210B" w:rsidRPr="00E227C9" w:rsidRDefault="00424C6B">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Melting points of </w:t>
      </w:r>
      <w:r w:rsidR="00237DC4" w:rsidRPr="00E227C9">
        <w:rPr>
          <w:rFonts w:ascii="Arial" w:eastAsia="Arial" w:hAnsi="Arial" w:cs="Arial"/>
          <w:sz w:val="20"/>
          <w:szCs w:val="20"/>
        </w:rPr>
        <w:t>6-chloroimidazo[1,2-</w:t>
      </w:r>
      <w:proofErr w:type="gramStart"/>
      <w:r w:rsidR="00237DC4" w:rsidRPr="00E227C9">
        <w:rPr>
          <w:rFonts w:ascii="Arial" w:eastAsia="Arial" w:hAnsi="Arial" w:cs="Arial"/>
          <w:sz w:val="20"/>
          <w:szCs w:val="20"/>
        </w:rPr>
        <w:t>a]pyridinyl</w:t>
      </w:r>
      <w:proofErr w:type="gramEnd"/>
      <w:r w:rsidR="00237DC4" w:rsidRPr="00E227C9">
        <w:rPr>
          <w:rFonts w:ascii="Arial" w:eastAsia="Arial" w:hAnsi="Arial" w:cs="Arial"/>
          <w:sz w:val="20"/>
          <w:szCs w:val="20"/>
        </w:rPr>
        <w:t xml:space="preserve">-chalcone derivatives </w:t>
      </w:r>
      <w:r w:rsidRPr="00E227C9">
        <w:rPr>
          <w:rFonts w:ascii="Arial" w:eastAsia="Arial" w:hAnsi="Arial" w:cs="Arial"/>
          <w:sz w:val="20"/>
          <w:szCs w:val="20"/>
        </w:rPr>
        <w:t xml:space="preserve">were determined on a </w:t>
      </w:r>
      <w:proofErr w:type="spellStart"/>
      <w:r w:rsidRPr="00E227C9">
        <w:rPr>
          <w:rFonts w:ascii="Arial" w:eastAsia="Arial" w:hAnsi="Arial" w:cs="Arial"/>
          <w:sz w:val="20"/>
          <w:szCs w:val="20"/>
        </w:rPr>
        <w:t>Köfler</w:t>
      </w:r>
      <w:proofErr w:type="spellEnd"/>
      <w:r w:rsidRPr="00E227C9">
        <w:rPr>
          <w:rFonts w:ascii="Arial" w:eastAsia="Arial" w:hAnsi="Arial" w:cs="Arial"/>
          <w:sz w:val="20"/>
          <w:szCs w:val="20"/>
        </w:rPr>
        <w:t xml:space="preserve"> bench and are uncorrected.</w:t>
      </w:r>
    </w:p>
    <w:p w14:paraId="5192D5F1" w14:textId="77777777" w:rsidR="00237DC4" w:rsidRPr="00E227C9" w:rsidRDefault="00237DC4" w:rsidP="00237DC4">
      <w:pPr>
        <w:spacing w:after="0" w:line="240" w:lineRule="auto"/>
        <w:jc w:val="both"/>
        <w:rPr>
          <w:rFonts w:ascii="Arial" w:eastAsia="Arial" w:hAnsi="Arial" w:cs="Arial"/>
          <w:sz w:val="20"/>
          <w:szCs w:val="20"/>
        </w:rPr>
      </w:pPr>
    </w:p>
    <w:p w14:paraId="64AA5B1F" w14:textId="11A7C33A" w:rsidR="00237DC4" w:rsidRPr="00E227C9" w:rsidRDefault="00237DC4" w:rsidP="00237DC4">
      <w:pPr>
        <w:spacing w:after="0" w:line="240" w:lineRule="auto"/>
        <w:contextualSpacing/>
        <w:jc w:val="both"/>
        <w:rPr>
          <w:rFonts w:ascii="Arial" w:eastAsia="Arial" w:hAnsi="Arial" w:cs="Arial"/>
          <w:sz w:val="20"/>
          <w:szCs w:val="20"/>
        </w:rPr>
      </w:pPr>
      <w:r w:rsidRPr="00E227C9">
        <w:rPr>
          <w:rFonts w:ascii="Arial" w:eastAsia="Arial" w:hAnsi="Arial" w:cs="Arial"/>
          <w:b/>
          <w:sz w:val="20"/>
          <w:szCs w:val="20"/>
        </w:rPr>
        <w:t xml:space="preserve">2.2 </w:t>
      </w:r>
      <w:r w:rsidRPr="00E227C9">
        <w:rPr>
          <w:rFonts w:ascii="Arial" w:eastAsia="Arial" w:hAnsi="Arial" w:cs="Arial"/>
          <w:b/>
          <w:bCs/>
          <w:sz w:val="20"/>
          <w:szCs w:val="20"/>
        </w:rPr>
        <w:t>Synthesis of 3-acetyl-6-chloro-2-methylimidazo[1,2-</w:t>
      </w:r>
      <w:proofErr w:type="gramStart"/>
      <w:r w:rsidRPr="00E227C9">
        <w:rPr>
          <w:rFonts w:ascii="Arial" w:eastAsia="Arial" w:hAnsi="Arial" w:cs="Arial"/>
          <w:b/>
          <w:bCs/>
          <w:sz w:val="20"/>
          <w:szCs w:val="20"/>
        </w:rPr>
        <w:t>a]pyridine</w:t>
      </w:r>
      <w:proofErr w:type="gramEnd"/>
    </w:p>
    <w:p w14:paraId="22C5BBB6" w14:textId="77777777" w:rsidR="00237DC4" w:rsidRPr="00E227C9" w:rsidRDefault="00237DC4" w:rsidP="00237DC4">
      <w:pPr>
        <w:spacing w:after="0" w:line="240" w:lineRule="auto"/>
        <w:jc w:val="both"/>
        <w:rPr>
          <w:rFonts w:ascii="Arial" w:eastAsia="Arial" w:hAnsi="Arial" w:cs="Arial"/>
          <w:sz w:val="20"/>
          <w:szCs w:val="20"/>
        </w:rPr>
      </w:pPr>
    </w:p>
    <w:p w14:paraId="56C50523" w14:textId="6BE6C42A" w:rsidR="00237DC4" w:rsidRPr="00E227C9" w:rsidRDefault="00237DC4" w:rsidP="00237DC4">
      <w:pPr>
        <w:spacing w:after="0" w:line="240" w:lineRule="auto"/>
        <w:jc w:val="both"/>
        <w:rPr>
          <w:rFonts w:ascii="Arial" w:eastAsia="Arial" w:hAnsi="Arial" w:cs="Arial"/>
          <w:sz w:val="20"/>
          <w:szCs w:val="20"/>
        </w:rPr>
      </w:pPr>
      <w:r w:rsidRPr="00E227C9">
        <w:rPr>
          <w:rFonts w:ascii="Arial" w:eastAsia="Arial" w:hAnsi="Arial" w:cs="Arial"/>
          <w:sz w:val="20"/>
          <w:szCs w:val="20"/>
        </w:rPr>
        <w:t>3-acetyl-6-chloro-2-methylimidazo[1,2-</w:t>
      </w:r>
      <w:proofErr w:type="gramStart"/>
      <w:r w:rsidRPr="00E227C9">
        <w:rPr>
          <w:rFonts w:ascii="Arial" w:eastAsia="Arial" w:hAnsi="Arial" w:cs="Arial"/>
          <w:sz w:val="20"/>
          <w:szCs w:val="20"/>
        </w:rPr>
        <w:t>a]pyridine</w:t>
      </w:r>
      <w:proofErr w:type="gramEnd"/>
      <w:r w:rsidRPr="00E227C9">
        <w:rPr>
          <w:rFonts w:ascii="Arial" w:eastAsia="Arial" w:hAnsi="Arial" w:cs="Arial"/>
          <w:sz w:val="20"/>
          <w:szCs w:val="20"/>
        </w:rPr>
        <w:t xml:space="preserve"> (1) was prepared by condensation between 5-chloropyridin-2-amine (a) and 3-chloropentan-2,4-dione (b) under reflux in ethanol</w:t>
      </w:r>
      <w:r w:rsidR="00F71498" w:rsidRPr="00E227C9">
        <w:rPr>
          <w:rFonts w:ascii="Arial" w:eastAsia="Arial" w:hAnsi="Arial" w:cs="Arial"/>
          <w:sz w:val="20"/>
          <w:szCs w:val="20"/>
        </w:rPr>
        <w:t xml:space="preserve"> (Fig. 1) </w:t>
      </w:r>
      <w:r w:rsidRPr="00E227C9">
        <w:rPr>
          <w:rFonts w:ascii="Arial" w:eastAsia="Arial" w:hAnsi="Arial" w:cs="Arial"/>
          <w:sz w:val="20"/>
          <w:szCs w:val="20"/>
        </w:rPr>
        <w:t>according to the protocols described previously</w:t>
      </w:r>
      <w:r w:rsidR="00F71498" w:rsidRPr="00E227C9">
        <w:rPr>
          <w:rFonts w:ascii="Arial" w:eastAsia="Arial" w:hAnsi="Arial" w:cs="Arial"/>
          <w:sz w:val="20"/>
          <w:szCs w:val="20"/>
        </w:rPr>
        <w:t xml:space="preserve"> </w:t>
      </w:r>
      <w:r w:rsidR="006E5835" w:rsidRPr="00E227C9">
        <w:rPr>
          <w:rFonts w:ascii="Arial" w:eastAsia="Arial" w:hAnsi="Arial" w:cs="Arial"/>
          <w:sz w:val="20"/>
          <w:szCs w:val="20"/>
        </w:rPr>
        <w:t xml:space="preserve">(Adingra </w:t>
      </w:r>
      <w:r w:rsidR="00A83200">
        <w:rPr>
          <w:rFonts w:ascii="Arial" w:eastAsia="Arial" w:hAnsi="Arial" w:cs="Arial"/>
          <w:sz w:val="20"/>
          <w:szCs w:val="20"/>
        </w:rPr>
        <w:t>and</w:t>
      </w:r>
      <w:r w:rsidR="006E5835" w:rsidRPr="00E227C9">
        <w:rPr>
          <w:rFonts w:ascii="Arial" w:eastAsia="Arial" w:hAnsi="Arial" w:cs="Arial"/>
          <w:sz w:val="20"/>
          <w:szCs w:val="20"/>
        </w:rPr>
        <w:t xml:space="preserve"> al., 2022)</w:t>
      </w:r>
      <w:r w:rsidRPr="00E227C9">
        <w:rPr>
          <w:rFonts w:ascii="Arial" w:eastAsia="Arial" w:hAnsi="Arial" w:cs="Arial"/>
          <w:sz w:val="20"/>
          <w:szCs w:val="20"/>
        </w:rPr>
        <w:t>.</w:t>
      </w:r>
    </w:p>
    <w:p w14:paraId="6E1B9DB7" w14:textId="77777777" w:rsidR="00237DC4" w:rsidRPr="00E227C9" w:rsidRDefault="00237DC4" w:rsidP="00237DC4">
      <w:pPr>
        <w:spacing w:after="0" w:line="240" w:lineRule="auto"/>
        <w:jc w:val="both"/>
        <w:rPr>
          <w:rFonts w:ascii="Arial" w:eastAsia="Arial" w:hAnsi="Arial" w:cs="Arial"/>
          <w:sz w:val="20"/>
          <w:szCs w:val="20"/>
        </w:rPr>
      </w:pPr>
    </w:p>
    <w:p w14:paraId="0A36B7F7" w14:textId="6465C62A" w:rsidR="00237DC4" w:rsidRPr="00E227C9" w:rsidRDefault="00237DC4" w:rsidP="00237DC4">
      <w:pPr>
        <w:spacing w:after="0" w:line="240" w:lineRule="auto"/>
        <w:jc w:val="both"/>
        <w:rPr>
          <w:rFonts w:ascii="Arial" w:eastAsia="Arial" w:hAnsi="Arial" w:cs="Arial"/>
          <w:b/>
          <w:bCs/>
          <w:sz w:val="20"/>
          <w:szCs w:val="20"/>
        </w:rPr>
      </w:pPr>
      <w:r w:rsidRPr="00E227C9">
        <w:rPr>
          <w:rFonts w:ascii="Arial" w:eastAsia="Arial" w:hAnsi="Arial" w:cs="Arial"/>
          <w:b/>
          <w:bCs/>
          <w:sz w:val="20"/>
          <w:szCs w:val="20"/>
        </w:rPr>
        <w:t>2.3 Synthesis of 6-chloroimidazo[1,2-</w:t>
      </w:r>
      <w:proofErr w:type="gramStart"/>
      <w:r w:rsidRPr="00E227C9">
        <w:rPr>
          <w:rFonts w:ascii="Arial" w:eastAsia="Arial" w:hAnsi="Arial" w:cs="Arial"/>
          <w:b/>
          <w:bCs/>
          <w:sz w:val="20"/>
          <w:szCs w:val="20"/>
        </w:rPr>
        <w:t>a]pyridinyl</w:t>
      </w:r>
      <w:proofErr w:type="gramEnd"/>
      <w:r w:rsidRPr="00E227C9">
        <w:rPr>
          <w:rFonts w:ascii="Arial" w:eastAsia="Arial" w:hAnsi="Arial" w:cs="Arial"/>
          <w:b/>
          <w:bCs/>
          <w:sz w:val="20"/>
          <w:szCs w:val="20"/>
        </w:rPr>
        <w:t>-chalcone hybrids</w:t>
      </w:r>
    </w:p>
    <w:p w14:paraId="6F2A21DE" w14:textId="4579A4C9" w:rsidR="00237DC4" w:rsidRPr="00E227C9" w:rsidRDefault="00A83200">
      <w:pPr>
        <w:spacing w:after="0" w:line="240" w:lineRule="auto"/>
        <w:jc w:val="both"/>
        <w:rPr>
          <w:rFonts w:ascii="Arial" w:eastAsia="Arial" w:hAnsi="Arial" w:cs="Arial"/>
          <w:sz w:val="20"/>
          <w:szCs w:val="20"/>
        </w:rPr>
      </w:pPr>
      <w:r w:rsidRPr="00A83200">
        <w:rPr>
          <w:rFonts w:ascii="Arial" w:eastAsia="Arial" w:hAnsi="Arial" w:cs="Arial"/>
          <w:sz w:val="20"/>
          <w:szCs w:val="20"/>
        </w:rPr>
        <w:t>The 6-chloroimidazo[1,2-</w:t>
      </w:r>
      <w:proofErr w:type="gramStart"/>
      <w:r w:rsidRPr="00A83200">
        <w:rPr>
          <w:rFonts w:ascii="Arial" w:eastAsia="Arial" w:hAnsi="Arial" w:cs="Arial"/>
          <w:sz w:val="20"/>
          <w:szCs w:val="20"/>
        </w:rPr>
        <w:t>a]pyridinyl</w:t>
      </w:r>
      <w:proofErr w:type="gramEnd"/>
      <w:r w:rsidRPr="00A83200">
        <w:rPr>
          <w:rFonts w:ascii="Arial" w:eastAsia="Arial" w:hAnsi="Arial" w:cs="Arial"/>
          <w:sz w:val="20"/>
          <w:szCs w:val="20"/>
        </w:rPr>
        <w:t>-chalcones were prepared by the Claisen-Schmidt method (1</w:t>
      </w:r>
      <w:r w:rsidRPr="00A83200">
        <w:rPr>
          <w:rFonts w:ascii="Arial" w:eastAsia="Arial" w:hAnsi="Arial" w:cs="Arial"/>
          <w:color w:val="EE0000"/>
          <w:sz w:val="20"/>
          <w:szCs w:val="20"/>
        </w:rPr>
        <w:t xml:space="preserve"> Claisen</w:t>
      </w:r>
      <w:r>
        <w:rPr>
          <w:rFonts w:ascii="Arial" w:eastAsia="Arial" w:hAnsi="Arial" w:cs="Arial"/>
          <w:color w:val="EE0000"/>
          <w:sz w:val="20"/>
          <w:szCs w:val="20"/>
        </w:rPr>
        <w:t xml:space="preserve"> and al</w:t>
      </w:r>
      <w:r w:rsidRPr="00A83200">
        <w:rPr>
          <w:rFonts w:ascii="Arial" w:eastAsia="Arial" w:hAnsi="Arial" w:cs="Arial"/>
          <w:color w:val="EE0000"/>
          <w:sz w:val="20"/>
          <w:szCs w:val="20"/>
        </w:rPr>
        <w:t xml:space="preserve">, 1881). </w:t>
      </w:r>
      <w:r w:rsidRPr="00A83200">
        <w:rPr>
          <w:rFonts w:ascii="Arial" w:eastAsia="Arial" w:hAnsi="Arial" w:cs="Arial"/>
          <w:sz w:val="20"/>
          <w:szCs w:val="20"/>
        </w:rPr>
        <w:t>To a solution of 3-acetyl-6-chloro-2-methylimidazo[1,2-</w:t>
      </w:r>
      <w:proofErr w:type="gramStart"/>
      <w:r w:rsidRPr="00A83200">
        <w:rPr>
          <w:rFonts w:ascii="Arial" w:eastAsia="Arial" w:hAnsi="Arial" w:cs="Arial"/>
          <w:sz w:val="20"/>
          <w:szCs w:val="20"/>
        </w:rPr>
        <w:t>a]pyridine</w:t>
      </w:r>
      <w:proofErr w:type="gramEnd"/>
      <w:r w:rsidRPr="00A83200">
        <w:rPr>
          <w:rFonts w:ascii="Arial" w:eastAsia="Arial" w:hAnsi="Arial" w:cs="Arial"/>
          <w:sz w:val="20"/>
          <w:szCs w:val="20"/>
        </w:rPr>
        <w:t xml:space="preserve"> (1) (1 equiv.) in ethanol (10 mL), the appropriate aromatic aldehyde (2a – 2j) (1.2 equiv.) and a solution of potassium hydroxide (2 equiv.) in water (2 mL) were added. The reaction mixture was stirred at room temperature for 24 h. After neutralization with dilute hydrochloric acid, the precipitate formed was filtered, washed with cold water, and recrystallized in ethanol to give the expected 6-chloroimidazo[1,2-</w:t>
      </w:r>
      <w:proofErr w:type="gramStart"/>
      <w:r w:rsidRPr="00A83200">
        <w:rPr>
          <w:rFonts w:ascii="Arial" w:eastAsia="Arial" w:hAnsi="Arial" w:cs="Arial"/>
          <w:sz w:val="20"/>
          <w:szCs w:val="20"/>
        </w:rPr>
        <w:t>a]pyridinyl</w:t>
      </w:r>
      <w:proofErr w:type="gramEnd"/>
      <w:r w:rsidRPr="00A83200">
        <w:rPr>
          <w:rFonts w:ascii="Arial" w:eastAsia="Arial" w:hAnsi="Arial" w:cs="Arial"/>
          <w:sz w:val="20"/>
          <w:szCs w:val="20"/>
        </w:rPr>
        <w:t>-chalcone hybrids (3a – 3j)</w:t>
      </w:r>
      <w:r>
        <w:rPr>
          <w:rFonts w:ascii="Arial" w:eastAsia="Arial" w:hAnsi="Arial" w:cs="Arial"/>
          <w:sz w:val="20"/>
          <w:szCs w:val="20"/>
        </w:rPr>
        <w:t xml:space="preserve"> </w:t>
      </w:r>
      <w:r w:rsidR="00F71498" w:rsidRPr="00E227C9">
        <w:rPr>
          <w:rFonts w:ascii="Arial" w:eastAsia="Arial" w:hAnsi="Arial" w:cs="Arial"/>
          <w:sz w:val="20"/>
          <w:szCs w:val="20"/>
        </w:rPr>
        <w:t>(Fig. 1)</w:t>
      </w:r>
      <w:r w:rsidR="00237DC4" w:rsidRPr="00E227C9">
        <w:rPr>
          <w:rFonts w:ascii="Arial" w:eastAsia="Arial" w:hAnsi="Arial" w:cs="Arial"/>
          <w:sz w:val="20"/>
          <w:szCs w:val="20"/>
        </w:rPr>
        <w:t>.</w:t>
      </w:r>
    </w:p>
    <w:p w14:paraId="07A502C4" w14:textId="681AA5B4" w:rsidR="00237DC4" w:rsidRPr="00E227C9" w:rsidRDefault="00237DC4">
      <w:pPr>
        <w:spacing w:after="0" w:line="240" w:lineRule="auto"/>
        <w:jc w:val="both"/>
        <w:rPr>
          <w:rFonts w:ascii="Arial" w:eastAsia="Arial" w:hAnsi="Arial" w:cs="Arial"/>
          <w:sz w:val="20"/>
          <w:szCs w:val="20"/>
        </w:rPr>
        <w:sectPr w:rsidR="00237DC4" w:rsidRPr="00E227C9">
          <w:type w:val="continuous"/>
          <w:pgSz w:w="11909" w:h="16834"/>
          <w:pgMar w:top="1440" w:right="1440" w:bottom="1440" w:left="1440" w:header="720" w:footer="864" w:gutter="0"/>
          <w:cols w:num="2" w:space="720" w:equalWidth="0">
            <w:col w:w="4370" w:space="288"/>
            <w:col w:w="4370" w:space="0"/>
          </w:cols>
          <w:titlePg/>
        </w:sectPr>
      </w:pPr>
    </w:p>
    <w:p w14:paraId="0AFE4B8C" w14:textId="59E726B3" w:rsidR="00B0210B" w:rsidRPr="00E227C9" w:rsidRDefault="00F71498">
      <w:pPr>
        <w:spacing w:after="0" w:line="240" w:lineRule="auto"/>
        <w:jc w:val="center"/>
        <w:rPr>
          <w:rFonts w:ascii="Arial" w:eastAsia="Arial" w:hAnsi="Arial" w:cs="Arial"/>
          <w:b/>
          <w:sz w:val="20"/>
          <w:szCs w:val="20"/>
        </w:rPr>
      </w:pPr>
      <w:r w:rsidRPr="00E227C9">
        <w:rPr>
          <w:rFonts w:ascii="Arial" w:hAnsi="Arial" w:cs="Arial"/>
        </w:rPr>
        <w:object w:dxaOrig="9701" w:dyaOrig="4567" w14:anchorId="13A43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11.6pt" o:ole="">
            <v:imagedata r:id="rId16" o:title=""/>
          </v:shape>
          <o:OLEObject Type="Embed" ProgID="ChemDraw.Document.6.0" ShapeID="_x0000_i1025" DrawAspect="Content" ObjectID="_1827485019" r:id="rId17"/>
        </w:object>
      </w:r>
    </w:p>
    <w:p w14:paraId="58A4F773" w14:textId="77777777" w:rsidR="00B0210B" w:rsidRPr="00E227C9" w:rsidRDefault="00B0210B">
      <w:pPr>
        <w:spacing w:after="0" w:line="240" w:lineRule="auto"/>
        <w:jc w:val="center"/>
        <w:rPr>
          <w:rFonts w:ascii="Arial" w:eastAsia="Arial" w:hAnsi="Arial" w:cs="Arial"/>
          <w:b/>
          <w:sz w:val="16"/>
          <w:szCs w:val="16"/>
        </w:rPr>
      </w:pPr>
    </w:p>
    <w:p w14:paraId="51BD6A08" w14:textId="388430AD" w:rsidR="00B0210B" w:rsidRPr="00E227C9" w:rsidRDefault="00424C6B">
      <w:pPr>
        <w:spacing w:after="0" w:line="240" w:lineRule="auto"/>
        <w:jc w:val="center"/>
        <w:rPr>
          <w:rFonts w:ascii="Arial" w:eastAsia="Arial" w:hAnsi="Arial" w:cs="Arial"/>
          <w:b/>
          <w:sz w:val="20"/>
          <w:szCs w:val="20"/>
        </w:rPr>
      </w:pPr>
      <w:r w:rsidRPr="00E227C9">
        <w:rPr>
          <w:rFonts w:ascii="Arial" w:eastAsia="Arial" w:hAnsi="Arial" w:cs="Arial"/>
          <w:b/>
          <w:sz w:val="20"/>
          <w:szCs w:val="20"/>
        </w:rPr>
        <w:lastRenderedPageBreak/>
        <w:t xml:space="preserve">Fig. 1. Synthesis of </w:t>
      </w:r>
      <w:r w:rsidR="00F71498" w:rsidRPr="00E227C9">
        <w:rPr>
          <w:rFonts w:ascii="Arial" w:eastAsia="Arial" w:hAnsi="Arial" w:cs="Arial"/>
          <w:b/>
          <w:bCs/>
          <w:sz w:val="20"/>
          <w:szCs w:val="20"/>
        </w:rPr>
        <w:t>6-chloroimidazo[1,2-</w:t>
      </w:r>
      <w:proofErr w:type="gramStart"/>
      <w:r w:rsidR="00F71498" w:rsidRPr="00E227C9">
        <w:rPr>
          <w:rFonts w:ascii="Arial" w:eastAsia="Arial" w:hAnsi="Arial" w:cs="Arial"/>
          <w:b/>
          <w:bCs/>
          <w:sz w:val="20"/>
          <w:szCs w:val="20"/>
        </w:rPr>
        <w:t>a]pyridinyl</w:t>
      </w:r>
      <w:proofErr w:type="gramEnd"/>
      <w:r w:rsidR="00F71498" w:rsidRPr="00E227C9">
        <w:rPr>
          <w:rFonts w:ascii="Arial" w:eastAsia="Arial" w:hAnsi="Arial" w:cs="Arial"/>
          <w:b/>
          <w:bCs/>
          <w:sz w:val="20"/>
          <w:szCs w:val="20"/>
        </w:rPr>
        <w:t>-chalcone hybrids</w:t>
      </w:r>
      <w:r w:rsidR="00F71498" w:rsidRPr="00E227C9">
        <w:rPr>
          <w:rFonts w:ascii="Arial" w:eastAsia="Arial" w:hAnsi="Arial" w:cs="Arial"/>
          <w:b/>
          <w:sz w:val="20"/>
          <w:szCs w:val="20"/>
        </w:rPr>
        <w:t xml:space="preserve"> </w:t>
      </w:r>
      <w:r w:rsidRPr="00E227C9">
        <w:rPr>
          <w:rFonts w:ascii="Arial" w:eastAsia="Arial" w:hAnsi="Arial" w:cs="Arial"/>
          <w:b/>
          <w:sz w:val="20"/>
          <w:szCs w:val="20"/>
        </w:rPr>
        <w:t>derivatives</w:t>
      </w:r>
    </w:p>
    <w:p w14:paraId="7F5FAD25" w14:textId="77777777" w:rsidR="00237DC4" w:rsidRPr="00E227C9" w:rsidRDefault="00237DC4">
      <w:pPr>
        <w:spacing w:after="0" w:line="240" w:lineRule="auto"/>
        <w:jc w:val="center"/>
        <w:rPr>
          <w:rFonts w:ascii="Arial" w:eastAsia="Arial" w:hAnsi="Arial" w:cs="Arial"/>
          <w:b/>
          <w:sz w:val="20"/>
          <w:szCs w:val="20"/>
        </w:rPr>
      </w:pPr>
    </w:p>
    <w:p w14:paraId="4BB5DC74" w14:textId="77777777" w:rsidR="00237DC4" w:rsidRPr="00E227C9" w:rsidRDefault="00237DC4">
      <w:pPr>
        <w:spacing w:after="0" w:line="240" w:lineRule="auto"/>
        <w:jc w:val="center"/>
        <w:rPr>
          <w:rFonts w:ascii="Arial" w:eastAsia="Arial" w:hAnsi="Arial" w:cs="Arial"/>
          <w:b/>
          <w:sz w:val="20"/>
          <w:szCs w:val="20"/>
        </w:rPr>
        <w:sectPr w:rsidR="00237DC4" w:rsidRPr="00E227C9">
          <w:type w:val="continuous"/>
          <w:pgSz w:w="11909" w:h="16834"/>
          <w:pgMar w:top="1440" w:right="1440" w:bottom="1440" w:left="1440" w:header="720" w:footer="864" w:gutter="0"/>
          <w:cols w:space="720"/>
        </w:sectPr>
      </w:pPr>
    </w:p>
    <w:p w14:paraId="41D1B51C" w14:textId="4A1D3823" w:rsidR="00B0210B" w:rsidRPr="00E227C9" w:rsidRDefault="00424C6B">
      <w:pPr>
        <w:spacing w:after="0" w:line="240" w:lineRule="auto"/>
        <w:jc w:val="both"/>
        <w:rPr>
          <w:rFonts w:ascii="Arial" w:eastAsia="Arial" w:hAnsi="Arial" w:cs="Arial"/>
          <w:b/>
        </w:rPr>
      </w:pPr>
      <w:r w:rsidRPr="00E227C9">
        <w:rPr>
          <w:rFonts w:ascii="Arial" w:eastAsia="Arial" w:hAnsi="Arial" w:cs="Arial"/>
          <w:b/>
        </w:rPr>
        <w:t>2.</w:t>
      </w:r>
      <w:r w:rsidR="00F71498" w:rsidRPr="00E227C9">
        <w:rPr>
          <w:rFonts w:ascii="Arial" w:eastAsia="Arial" w:hAnsi="Arial" w:cs="Arial"/>
          <w:b/>
        </w:rPr>
        <w:t>4</w:t>
      </w:r>
      <w:r w:rsidRPr="00E227C9">
        <w:rPr>
          <w:rFonts w:ascii="Arial" w:eastAsia="Arial" w:hAnsi="Arial" w:cs="Arial"/>
          <w:b/>
        </w:rPr>
        <w:t xml:space="preserve"> Biology</w:t>
      </w:r>
    </w:p>
    <w:p w14:paraId="251DC90B" w14:textId="77777777" w:rsidR="00B0210B" w:rsidRPr="00E227C9" w:rsidRDefault="00B0210B">
      <w:pPr>
        <w:spacing w:after="0" w:line="240" w:lineRule="auto"/>
        <w:jc w:val="both"/>
        <w:rPr>
          <w:rFonts w:ascii="Arial" w:eastAsia="Arial" w:hAnsi="Arial" w:cs="Arial"/>
          <w:b/>
          <w:sz w:val="14"/>
          <w:szCs w:val="14"/>
          <w:u w:val="single"/>
        </w:rPr>
      </w:pPr>
    </w:p>
    <w:p w14:paraId="02B6649F" w14:textId="6ED77FD9" w:rsidR="00B0210B" w:rsidRPr="00E227C9" w:rsidRDefault="00424C6B">
      <w:pPr>
        <w:spacing w:after="0" w:line="240" w:lineRule="auto"/>
        <w:jc w:val="both"/>
        <w:rPr>
          <w:rFonts w:ascii="Arial" w:eastAsia="Arial" w:hAnsi="Arial" w:cs="Arial"/>
          <w:b/>
          <w:sz w:val="20"/>
          <w:szCs w:val="20"/>
        </w:rPr>
      </w:pPr>
      <w:r w:rsidRPr="00E227C9">
        <w:rPr>
          <w:rFonts w:ascii="Arial" w:eastAsia="Arial" w:hAnsi="Arial" w:cs="Arial"/>
          <w:b/>
          <w:sz w:val="20"/>
          <w:szCs w:val="20"/>
        </w:rPr>
        <w:t>2.</w:t>
      </w:r>
      <w:r w:rsidR="00E067BA" w:rsidRPr="00E227C9">
        <w:rPr>
          <w:rFonts w:ascii="Arial" w:eastAsia="Arial" w:hAnsi="Arial" w:cs="Arial"/>
          <w:b/>
          <w:sz w:val="20"/>
          <w:szCs w:val="20"/>
        </w:rPr>
        <w:t>4</w:t>
      </w:r>
      <w:r w:rsidRPr="00E227C9">
        <w:rPr>
          <w:rFonts w:ascii="Arial" w:eastAsia="Arial" w:hAnsi="Arial" w:cs="Arial"/>
          <w:b/>
          <w:sz w:val="20"/>
          <w:szCs w:val="20"/>
        </w:rPr>
        <w:t>.1 Microbiological material</w:t>
      </w:r>
    </w:p>
    <w:p w14:paraId="4698F9EA" w14:textId="5FD05CC5" w:rsidR="00B0210B" w:rsidRPr="00E227C9" w:rsidRDefault="006E5835">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To evaluate the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activity of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 xml:space="preserve">-chalcone hybrids, we used an environmental strain of Aspergillus flavus provided by the Parasitology and Mycology Unit of the </w:t>
      </w:r>
      <w:proofErr w:type="spellStart"/>
      <w:r w:rsidRPr="00E227C9">
        <w:rPr>
          <w:rFonts w:ascii="Arial" w:eastAsia="Arial" w:hAnsi="Arial" w:cs="Arial"/>
          <w:sz w:val="20"/>
          <w:szCs w:val="20"/>
        </w:rPr>
        <w:t>Angré</w:t>
      </w:r>
      <w:proofErr w:type="spellEnd"/>
      <w:r w:rsidRPr="00E227C9">
        <w:rPr>
          <w:rFonts w:ascii="Arial" w:eastAsia="Arial" w:hAnsi="Arial" w:cs="Arial"/>
          <w:sz w:val="20"/>
          <w:szCs w:val="20"/>
        </w:rPr>
        <w:t xml:space="preserve"> University Hospital, Abidjan, Côte d'Ivoire.</w:t>
      </w:r>
    </w:p>
    <w:p w14:paraId="75B86397" w14:textId="77777777" w:rsidR="00B0210B" w:rsidRPr="00E227C9" w:rsidRDefault="00B0210B">
      <w:pPr>
        <w:spacing w:after="0" w:line="240" w:lineRule="auto"/>
        <w:jc w:val="both"/>
        <w:rPr>
          <w:rFonts w:ascii="Arial" w:eastAsia="Arial" w:hAnsi="Arial" w:cs="Arial"/>
          <w:b/>
          <w:sz w:val="14"/>
          <w:szCs w:val="14"/>
        </w:rPr>
      </w:pPr>
    </w:p>
    <w:p w14:paraId="3DD1930A" w14:textId="1CB2D9F3" w:rsidR="00B0210B" w:rsidRPr="00E227C9" w:rsidRDefault="00424C6B">
      <w:pPr>
        <w:spacing w:after="0" w:line="240" w:lineRule="auto"/>
        <w:ind w:left="540" w:hanging="540"/>
        <w:jc w:val="both"/>
        <w:rPr>
          <w:rFonts w:ascii="Arial" w:eastAsia="Arial" w:hAnsi="Arial" w:cs="Arial"/>
          <w:b/>
          <w:sz w:val="20"/>
          <w:szCs w:val="20"/>
        </w:rPr>
      </w:pPr>
      <w:r w:rsidRPr="00E227C9">
        <w:rPr>
          <w:rFonts w:ascii="Arial" w:eastAsia="Arial" w:hAnsi="Arial" w:cs="Arial"/>
          <w:b/>
          <w:sz w:val="20"/>
          <w:szCs w:val="20"/>
        </w:rPr>
        <w:t>2.</w:t>
      </w:r>
      <w:r w:rsidR="00E067BA" w:rsidRPr="00E227C9">
        <w:rPr>
          <w:rFonts w:ascii="Arial" w:eastAsia="Arial" w:hAnsi="Arial" w:cs="Arial"/>
          <w:b/>
          <w:sz w:val="20"/>
          <w:szCs w:val="20"/>
        </w:rPr>
        <w:t>4</w:t>
      </w:r>
      <w:r w:rsidRPr="00E227C9">
        <w:rPr>
          <w:rFonts w:ascii="Arial" w:eastAsia="Arial" w:hAnsi="Arial" w:cs="Arial"/>
          <w:b/>
          <w:sz w:val="20"/>
          <w:szCs w:val="20"/>
        </w:rPr>
        <w:t>.2</w:t>
      </w:r>
      <w:r w:rsidRPr="00E227C9">
        <w:rPr>
          <w:rFonts w:ascii="Arial" w:eastAsia="Arial" w:hAnsi="Arial" w:cs="Arial"/>
          <w:b/>
          <w:sz w:val="20"/>
          <w:szCs w:val="20"/>
        </w:rPr>
        <w:tab/>
        <w:t>Determination of minimum inhibitory concentrations (MICs) by microplate dilution</w:t>
      </w:r>
    </w:p>
    <w:p w14:paraId="2C02B1CA" w14:textId="77777777" w:rsidR="00B0210B" w:rsidRPr="00E227C9" w:rsidRDefault="00B0210B">
      <w:pPr>
        <w:spacing w:after="0" w:line="240" w:lineRule="auto"/>
        <w:jc w:val="both"/>
        <w:rPr>
          <w:rFonts w:ascii="Arial" w:eastAsia="Arial" w:hAnsi="Arial" w:cs="Arial"/>
          <w:sz w:val="14"/>
          <w:szCs w:val="14"/>
        </w:rPr>
      </w:pPr>
    </w:p>
    <w:p w14:paraId="5690D50B" w14:textId="743C8096" w:rsidR="006E5835" w:rsidRPr="00E227C9" w:rsidRDefault="006E5835" w:rsidP="0050598C">
      <w:pPr>
        <w:spacing w:after="0" w:line="240" w:lineRule="auto"/>
        <w:jc w:val="both"/>
        <w:rPr>
          <w:rFonts w:ascii="Arial" w:hAnsi="Arial" w:cs="Arial"/>
          <w:noProof/>
          <w:sz w:val="20"/>
          <w:szCs w:val="20"/>
        </w:rPr>
      </w:pPr>
      <w:r w:rsidRPr="00E227C9">
        <w:rPr>
          <w:rFonts w:ascii="Arial" w:hAnsi="Arial" w:cs="Arial"/>
          <w:noProof/>
          <w:sz w:val="20"/>
          <w:szCs w:val="20"/>
        </w:rPr>
        <w:t xml:space="preserve">The minimum inhibitory concentrations (MICs) of 1,10-phenanthrolinones against the clinical strain of </w:t>
      </w:r>
      <w:r w:rsidRPr="00E227C9">
        <w:rPr>
          <w:rFonts w:ascii="Arial" w:hAnsi="Arial" w:cs="Arial"/>
          <w:i/>
          <w:iCs/>
          <w:noProof/>
          <w:sz w:val="20"/>
          <w:szCs w:val="20"/>
        </w:rPr>
        <w:t>Aspergillus f</w:t>
      </w:r>
      <w:r w:rsidR="0050598C" w:rsidRPr="00E227C9">
        <w:rPr>
          <w:rFonts w:ascii="Arial" w:hAnsi="Arial" w:cs="Arial"/>
          <w:i/>
          <w:iCs/>
          <w:noProof/>
          <w:sz w:val="20"/>
          <w:szCs w:val="20"/>
        </w:rPr>
        <w:t>lavus</w:t>
      </w:r>
      <w:r w:rsidRPr="00E227C9">
        <w:rPr>
          <w:rFonts w:ascii="Arial" w:hAnsi="Arial" w:cs="Arial"/>
          <w:noProof/>
          <w:sz w:val="20"/>
          <w:szCs w:val="20"/>
        </w:rPr>
        <w:t xml:space="preserve"> were determined using the microplate dilution method in liquid medium. The principle is based on bringing an inoculum of </w:t>
      </w:r>
      <w:r w:rsidRPr="00E227C9">
        <w:rPr>
          <w:rFonts w:ascii="Arial" w:hAnsi="Arial" w:cs="Arial"/>
          <w:i/>
          <w:iCs/>
          <w:noProof/>
          <w:sz w:val="20"/>
          <w:szCs w:val="20"/>
        </w:rPr>
        <w:t>Aspergillus f</w:t>
      </w:r>
      <w:r w:rsidR="0050598C" w:rsidRPr="00E227C9">
        <w:rPr>
          <w:rFonts w:ascii="Arial" w:hAnsi="Arial" w:cs="Arial"/>
          <w:i/>
          <w:iCs/>
          <w:noProof/>
          <w:sz w:val="20"/>
          <w:szCs w:val="20"/>
        </w:rPr>
        <w:t>lavus</w:t>
      </w:r>
      <w:r w:rsidRPr="00E227C9">
        <w:rPr>
          <w:rFonts w:ascii="Arial" w:hAnsi="Arial" w:cs="Arial"/>
          <w:noProof/>
          <w:sz w:val="20"/>
          <w:szCs w:val="20"/>
        </w:rPr>
        <w:t xml:space="preserve"> into contact with increasing dilutions of the molecule to be evaluated in 96-well microplates (12 rows of 8 wells). Fungal growth inhibition is evaluated by color detection of the dehydrogenase activity of the germs using </w:t>
      </w:r>
      <w:bookmarkStart w:id="0" w:name="_Hlk215221636"/>
      <w:r w:rsidRPr="00E227C9">
        <w:rPr>
          <w:rFonts w:ascii="Arial" w:hAnsi="Arial" w:cs="Arial"/>
          <w:noProof/>
          <w:sz w:val="20"/>
          <w:szCs w:val="20"/>
        </w:rPr>
        <w:t>methyl thiazolyl tetrazolium chloride (MTT)</w:t>
      </w:r>
      <w:bookmarkEnd w:id="0"/>
      <w:r w:rsidRPr="00E227C9">
        <w:rPr>
          <w:rFonts w:ascii="Arial" w:hAnsi="Arial" w:cs="Arial"/>
          <w:noProof/>
          <w:sz w:val="20"/>
          <w:szCs w:val="20"/>
        </w:rPr>
        <w:t>. This coloration (violet) comes from the activity of the mitochondria of active living cells. The MIC is given by the lowest concentration that does not cause a change in the yellow color of the MTT</w:t>
      </w:r>
      <w:r w:rsidR="0050598C" w:rsidRPr="00E227C9">
        <w:rPr>
          <w:rFonts w:ascii="Arial" w:hAnsi="Arial" w:cs="Arial"/>
          <w:noProof/>
          <w:sz w:val="20"/>
          <w:szCs w:val="20"/>
        </w:rPr>
        <w:t xml:space="preserve"> (</w:t>
      </w:r>
      <w:proofErr w:type="spellStart"/>
      <w:r w:rsidR="0050598C" w:rsidRPr="00E227C9">
        <w:rPr>
          <w:rFonts w:ascii="Arial" w:hAnsi="Arial" w:cs="Arial"/>
        </w:rPr>
        <w:t>Tsukatani</w:t>
      </w:r>
      <w:proofErr w:type="spellEnd"/>
      <w:r w:rsidR="0050598C" w:rsidRPr="00E227C9">
        <w:rPr>
          <w:rFonts w:ascii="Arial" w:hAnsi="Arial" w:cs="Arial"/>
        </w:rPr>
        <w:t xml:space="preserve"> </w:t>
      </w:r>
      <w:r w:rsidR="00A83200">
        <w:rPr>
          <w:rFonts w:ascii="Arial" w:hAnsi="Arial" w:cs="Arial"/>
        </w:rPr>
        <w:t>and</w:t>
      </w:r>
      <w:r w:rsidR="0050598C" w:rsidRPr="00E227C9">
        <w:rPr>
          <w:rFonts w:ascii="Arial" w:hAnsi="Arial" w:cs="Arial"/>
        </w:rPr>
        <w:t xml:space="preserve"> al., 2009). </w:t>
      </w:r>
      <w:r w:rsidRPr="00E227C9">
        <w:rPr>
          <w:rFonts w:ascii="Arial" w:hAnsi="Arial" w:cs="Arial"/>
          <w:noProof/>
          <w:sz w:val="20"/>
          <w:szCs w:val="20"/>
        </w:rPr>
        <w:t xml:space="preserve">From 7-day-old colonies of </w:t>
      </w:r>
      <w:r w:rsidRPr="00E227C9">
        <w:rPr>
          <w:rFonts w:ascii="Arial" w:hAnsi="Arial" w:cs="Arial"/>
          <w:i/>
          <w:iCs/>
          <w:noProof/>
          <w:sz w:val="20"/>
          <w:szCs w:val="20"/>
        </w:rPr>
        <w:t>Aspergillus fumigatus</w:t>
      </w:r>
      <w:r w:rsidRPr="00E227C9">
        <w:rPr>
          <w:rFonts w:ascii="Arial" w:hAnsi="Arial" w:cs="Arial"/>
          <w:noProof/>
          <w:sz w:val="20"/>
          <w:szCs w:val="20"/>
        </w:rPr>
        <w:t xml:space="preserve"> grown on Sabouraud chloramphenicol agar, a master inoculum suspension was prepared in typotone soy broth (OXOID®) (5 ml). The conidia suspension was vortexed vigorously for 15-20 seconds using a vortex mixer. The concentration of the inoculum suspension was determined by counting the number of conidia using a Malassez cell, and the spore concentration was then adjusted to obtain a stock suspension with a turbidity of 0.5 McFarland (0.4-5 × 10⁶ spores per milliliter). A 50-fold dilution was performed to prepare a working suspension of approximately 0.08-1 × 105 CFU/mL. The number of colony-forming units was confirmed in the inoculum using a Malassez cell. The stock solutions of </w:t>
      </w:r>
      <w:r w:rsidR="0050598C" w:rsidRPr="00E227C9">
        <w:rPr>
          <w:rFonts w:ascii="Arial" w:eastAsia="Arial" w:hAnsi="Arial" w:cs="Arial"/>
          <w:sz w:val="20"/>
          <w:szCs w:val="20"/>
        </w:rPr>
        <w:t>6-chloroimidazo[1,2-</w:t>
      </w:r>
      <w:proofErr w:type="gramStart"/>
      <w:r w:rsidR="0050598C" w:rsidRPr="00E227C9">
        <w:rPr>
          <w:rFonts w:ascii="Arial" w:eastAsia="Arial" w:hAnsi="Arial" w:cs="Arial"/>
          <w:sz w:val="20"/>
          <w:szCs w:val="20"/>
        </w:rPr>
        <w:t>a]pyridinyl</w:t>
      </w:r>
      <w:proofErr w:type="gramEnd"/>
      <w:r w:rsidR="0050598C" w:rsidRPr="00E227C9">
        <w:rPr>
          <w:rFonts w:ascii="Arial" w:eastAsia="Arial" w:hAnsi="Arial" w:cs="Arial"/>
          <w:sz w:val="20"/>
          <w:szCs w:val="20"/>
        </w:rPr>
        <w:t>-chalcone hybrids</w:t>
      </w:r>
      <w:r w:rsidR="0050598C" w:rsidRPr="00E227C9">
        <w:rPr>
          <w:rFonts w:ascii="Arial" w:hAnsi="Arial" w:cs="Arial"/>
          <w:noProof/>
          <w:sz w:val="20"/>
          <w:szCs w:val="20"/>
        </w:rPr>
        <w:t xml:space="preserve"> </w:t>
      </w:r>
      <w:r w:rsidRPr="00E227C9">
        <w:rPr>
          <w:rFonts w:ascii="Arial" w:hAnsi="Arial" w:cs="Arial"/>
          <w:noProof/>
          <w:sz w:val="20"/>
          <w:szCs w:val="20"/>
        </w:rPr>
        <w:t xml:space="preserve">and itraconazole (reference drug substance) were prepared with dimethyl sulfoxide (DMSO) at a concentration of 1 mg/mL, and 100 µL of this dilution was deposited in the wells of the first row. Next, 50 µL of Tryptone Soy Broth (OXOID®) was distributed into all the other wells. 50 µL of the solution from the first well was used to obtain the dilution range, and finally 50 µL of broth 3 containing the inoculum was distributed into all the </w:t>
      </w:r>
      <w:r w:rsidRPr="00E227C9">
        <w:rPr>
          <w:rFonts w:ascii="Arial" w:hAnsi="Arial" w:cs="Arial"/>
          <w:noProof/>
          <w:sz w:val="20"/>
          <w:szCs w:val="20"/>
        </w:rPr>
        <w:t xml:space="preserve">wells. The 96-well plates are incubated at 37°C for 7 days. For detection, 40 µL of an aqueous solution of methyl thiazolyl tetrazolium chloride (MTT) at a concentration of 2.5 mg/mL is distributed into the wells and incubated for another day at 37°C. The aqueous MTT solution is yellow in color. Wells containing cells that are still alive turn purple due to the dehydrogenase activity of the mitochondria. The MIC is determined as the lowest concentration at which no change occurs. The aqueous MTT solution is yellow in color </w:t>
      </w:r>
      <w:r w:rsidR="00E067BA" w:rsidRPr="00E227C9">
        <w:rPr>
          <w:rFonts w:ascii="Arial" w:hAnsi="Arial" w:cs="Arial"/>
          <w:noProof/>
          <w:sz w:val="20"/>
          <w:szCs w:val="20"/>
        </w:rPr>
        <w:t xml:space="preserve">(Arikan </w:t>
      </w:r>
      <w:r w:rsidR="006E3603">
        <w:rPr>
          <w:rFonts w:ascii="Arial" w:hAnsi="Arial" w:cs="Arial"/>
          <w:noProof/>
          <w:sz w:val="20"/>
          <w:szCs w:val="20"/>
        </w:rPr>
        <w:t>and</w:t>
      </w:r>
      <w:r w:rsidR="00E067BA" w:rsidRPr="00E227C9">
        <w:rPr>
          <w:rFonts w:ascii="Arial" w:hAnsi="Arial" w:cs="Arial"/>
          <w:noProof/>
          <w:sz w:val="20"/>
          <w:szCs w:val="20"/>
        </w:rPr>
        <w:t xml:space="preserve"> al., 2007)</w:t>
      </w:r>
      <w:r w:rsidRPr="00E227C9">
        <w:rPr>
          <w:rFonts w:ascii="Arial" w:hAnsi="Arial" w:cs="Arial"/>
          <w:noProof/>
          <w:sz w:val="20"/>
          <w:szCs w:val="20"/>
        </w:rPr>
        <w:t>. The wells containing cells that are still alive turn purple due to the dehydrogenase activity of the mitochondria. The MIC is the lowest concentration at which no color change was observed with the naked eye</w:t>
      </w:r>
      <w:r w:rsidR="0050598C" w:rsidRPr="00E227C9">
        <w:rPr>
          <w:rFonts w:ascii="Arial" w:hAnsi="Arial" w:cs="Arial"/>
          <w:noProof/>
          <w:sz w:val="20"/>
          <w:szCs w:val="20"/>
        </w:rPr>
        <w:t xml:space="preserve"> </w:t>
      </w:r>
      <w:r w:rsidR="0050598C" w:rsidRPr="00E227C9">
        <w:rPr>
          <w:rFonts w:ascii="Arial" w:eastAsia="Arial" w:hAnsi="Arial" w:cs="Arial"/>
          <w:sz w:val="20"/>
          <w:szCs w:val="20"/>
        </w:rPr>
        <w:t>(Fig. 2).</w:t>
      </w:r>
      <w:r w:rsidRPr="00E227C9">
        <w:rPr>
          <w:rFonts w:ascii="Arial" w:hAnsi="Arial" w:cs="Arial"/>
          <w:noProof/>
          <w:sz w:val="20"/>
          <w:szCs w:val="20"/>
        </w:rPr>
        <w:t xml:space="preserve"> All samples were tested in duplicate and the tests were repeated twice.</w:t>
      </w:r>
    </w:p>
    <w:p w14:paraId="48B1E33D" w14:textId="77777777" w:rsidR="0050598C" w:rsidRPr="00E227C9" w:rsidRDefault="0050598C" w:rsidP="00E067BA">
      <w:pPr>
        <w:spacing w:after="0" w:line="240" w:lineRule="auto"/>
        <w:jc w:val="both"/>
        <w:rPr>
          <w:rFonts w:ascii="Arial" w:hAnsi="Arial" w:cs="Arial"/>
          <w:b/>
          <w:sz w:val="6"/>
          <w:szCs w:val="6"/>
        </w:rPr>
      </w:pPr>
    </w:p>
    <w:p w14:paraId="0D49D9CC" w14:textId="14BD101C" w:rsidR="006E5835" w:rsidRPr="00E227C9" w:rsidRDefault="0050598C" w:rsidP="00E067BA">
      <w:pPr>
        <w:spacing w:after="0" w:line="240" w:lineRule="auto"/>
        <w:jc w:val="center"/>
        <w:rPr>
          <w:rFonts w:ascii="Arial" w:hAnsi="Arial" w:cs="Arial"/>
          <w:noProof/>
        </w:rPr>
      </w:pPr>
      <w:r w:rsidRPr="00E227C9">
        <w:rPr>
          <w:rFonts w:ascii="Arial" w:hAnsi="Arial" w:cs="Arial"/>
          <w:noProof/>
          <w:kern w:val="2"/>
          <w:sz w:val="24"/>
          <w:szCs w:val="24"/>
          <w14:ligatures w14:val="standardContextual"/>
        </w:rPr>
        <w:drawing>
          <wp:inline distT="0" distB="0" distL="0" distR="0" wp14:anchorId="341FBEDD" wp14:editId="2AFF5801">
            <wp:extent cx="1801504" cy="1231900"/>
            <wp:effectExtent l="0" t="0" r="8255" b="6350"/>
            <wp:docPr id="186460728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06" r="1994" b="33590"/>
                    <a:stretch/>
                  </pic:blipFill>
                  <pic:spPr bwMode="auto">
                    <a:xfrm>
                      <a:off x="0" y="0"/>
                      <a:ext cx="1804107" cy="1233680"/>
                    </a:xfrm>
                    <a:prstGeom prst="rect">
                      <a:avLst/>
                    </a:prstGeom>
                    <a:noFill/>
                    <a:ln>
                      <a:noFill/>
                    </a:ln>
                    <a:extLst>
                      <a:ext uri="{53640926-AAD7-44D8-BBD7-CCE9431645EC}">
                        <a14:shadowObscured xmlns:a14="http://schemas.microsoft.com/office/drawing/2010/main"/>
                      </a:ext>
                    </a:extLst>
                  </pic:spPr>
                </pic:pic>
              </a:graphicData>
            </a:graphic>
          </wp:inline>
        </w:drawing>
      </w:r>
    </w:p>
    <w:p w14:paraId="4788C0C9" w14:textId="1FC1D599" w:rsidR="006E5835" w:rsidRPr="00E227C9" w:rsidRDefault="0050598C" w:rsidP="00E067BA">
      <w:pPr>
        <w:spacing w:after="0" w:line="240" w:lineRule="auto"/>
        <w:jc w:val="center"/>
        <w:rPr>
          <w:rFonts w:ascii="Arial" w:hAnsi="Arial" w:cs="Arial"/>
          <w:noProof/>
          <w:sz w:val="20"/>
          <w:szCs w:val="20"/>
        </w:rPr>
      </w:pPr>
      <w:r w:rsidRPr="00E227C9">
        <w:rPr>
          <w:rFonts w:ascii="Arial" w:eastAsia="Arial" w:hAnsi="Arial" w:cs="Arial"/>
          <w:b/>
          <w:sz w:val="20"/>
          <w:szCs w:val="20"/>
        </w:rPr>
        <w:t>Fig. 2</w:t>
      </w:r>
      <w:r w:rsidR="006E5835" w:rsidRPr="00E227C9">
        <w:rPr>
          <w:rFonts w:ascii="Arial" w:hAnsi="Arial" w:cs="Arial"/>
          <w:noProof/>
          <w:sz w:val="20"/>
          <w:szCs w:val="20"/>
        </w:rPr>
        <w:t>: Figure of a dilution plate on a microplate in liquid medium</w:t>
      </w:r>
    </w:p>
    <w:p w14:paraId="7F1DCB67" w14:textId="77777777" w:rsidR="00E067BA" w:rsidRPr="00E227C9" w:rsidRDefault="00E067BA" w:rsidP="00E067BA">
      <w:pPr>
        <w:spacing w:after="0" w:line="240" w:lineRule="auto"/>
        <w:jc w:val="center"/>
        <w:rPr>
          <w:rFonts w:ascii="Arial" w:hAnsi="Arial" w:cs="Arial"/>
          <w:noProof/>
          <w:sz w:val="20"/>
          <w:szCs w:val="20"/>
        </w:rPr>
      </w:pPr>
    </w:p>
    <w:p w14:paraId="08637C9C" w14:textId="77777777" w:rsidR="00B0210B" w:rsidRPr="00E227C9" w:rsidRDefault="00424C6B">
      <w:pPr>
        <w:pStyle w:val="Heading2"/>
      </w:pPr>
      <w:r w:rsidRPr="00E227C9">
        <w:t>3. RESULTS AND DISCUSSION</w:t>
      </w:r>
    </w:p>
    <w:p w14:paraId="6BB02E62" w14:textId="77777777" w:rsidR="00B0210B" w:rsidRPr="00E227C9" w:rsidRDefault="00B0210B">
      <w:pPr>
        <w:spacing w:after="0" w:line="240" w:lineRule="auto"/>
        <w:jc w:val="both"/>
        <w:rPr>
          <w:rFonts w:ascii="Arial" w:eastAsia="Arial" w:hAnsi="Arial" w:cs="Arial"/>
          <w:b/>
          <w:sz w:val="18"/>
          <w:szCs w:val="18"/>
        </w:rPr>
      </w:pPr>
    </w:p>
    <w:p w14:paraId="60F04AE7" w14:textId="77777777" w:rsidR="00B0210B" w:rsidRPr="00E227C9" w:rsidRDefault="00424C6B">
      <w:pPr>
        <w:spacing w:after="0" w:line="240" w:lineRule="auto"/>
        <w:jc w:val="both"/>
        <w:rPr>
          <w:rFonts w:ascii="Arial" w:eastAsia="Arial" w:hAnsi="Arial" w:cs="Arial"/>
          <w:b/>
        </w:rPr>
      </w:pPr>
      <w:r w:rsidRPr="00E227C9">
        <w:rPr>
          <w:rFonts w:ascii="Arial" w:eastAsia="Arial" w:hAnsi="Arial" w:cs="Arial"/>
          <w:b/>
        </w:rPr>
        <w:t>3.1 Results</w:t>
      </w:r>
    </w:p>
    <w:p w14:paraId="7D766FEF" w14:textId="77777777" w:rsidR="00B0210B" w:rsidRPr="00E227C9" w:rsidRDefault="00B0210B">
      <w:pPr>
        <w:spacing w:after="0" w:line="240" w:lineRule="auto"/>
        <w:jc w:val="both"/>
        <w:rPr>
          <w:rFonts w:ascii="Arial" w:eastAsia="Arial" w:hAnsi="Arial" w:cs="Arial"/>
          <w:b/>
          <w:sz w:val="18"/>
          <w:szCs w:val="18"/>
          <w:u w:val="single"/>
        </w:rPr>
      </w:pPr>
    </w:p>
    <w:p w14:paraId="43B112DE" w14:textId="77777777" w:rsidR="00B0210B" w:rsidRPr="00E227C9" w:rsidRDefault="00424C6B">
      <w:pPr>
        <w:spacing w:after="0" w:line="240" w:lineRule="auto"/>
        <w:jc w:val="both"/>
        <w:rPr>
          <w:rFonts w:ascii="Arial" w:eastAsia="Arial" w:hAnsi="Arial" w:cs="Arial"/>
          <w:b/>
          <w:sz w:val="20"/>
          <w:szCs w:val="20"/>
        </w:rPr>
      </w:pPr>
      <w:r w:rsidRPr="00E227C9">
        <w:rPr>
          <w:rFonts w:ascii="Arial" w:eastAsia="Arial" w:hAnsi="Arial" w:cs="Arial"/>
          <w:b/>
          <w:sz w:val="20"/>
          <w:szCs w:val="20"/>
        </w:rPr>
        <w:t>3.1.1 Chemistry</w:t>
      </w:r>
    </w:p>
    <w:p w14:paraId="7B2DAFFA" w14:textId="77777777" w:rsidR="00B0210B" w:rsidRPr="00E227C9" w:rsidRDefault="00B0210B">
      <w:pPr>
        <w:spacing w:after="0" w:line="240" w:lineRule="auto"/>
        <w:jc w:val="both"/>
        <w:rPr>
          <w:rFonts w:ascii="Arial" w:eastAsia="Arial" w:hAnsi="Arial" w:cs="Arial"/>
          <w:sz w:val="18"/>
          <w:szCs w:val="18"/>
        </w:rPr>
      </w:pPr>
    </w:p>
    <w:p w14:paraId="0E6EA05E" w14:textId="087996F6" w:rsidR="00E067BA" w:rsidRPr="00E227C9" w:rsidRDefault="00E067BA">
      <w:pPr>
        <w:spacing w:after="0" w:line="240" w:lineRule="auto"/>
        <w:jc w:val="both"/>
        <w:rPr>
          <w:rFonts w:ascii="Arial" w:eastAsia="Arial" w:hAnsi="Arial" w:cs="Arial"/>
          <w:sz w:val="20"/>
          <w:szCs w:val="20"/>
        </w:rPr>
      </w:pPr>
      <w:r w:rsidRPr="00E227C9">
        <w:rPr>
          <w:rFonts w:ascii="Arial" w:eastAsia="Arial" w:hAnsi="Arial" w:cs="Arial"/>
          <w:sz w:val="20"/>
          <w:szCs w:val="20"/>
        </w:rPr>
        <w:t>Ten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-chalcone hybrid derivatives were successfully synthesized by Claisen-Schmidt condensation (Scheme 1). The yields obtained ranged from 40% to 68%, reflecting the influence of aromatic substituents on the reactivity of the corresponding aldehydes. These derivatives were characterized by ¹H and ¹³C NMR. The NMR analysis data for the synthesized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 xml:space="preserve">-chalcones presented above show that our hybrids are in a trans (E) configuration with coupling constants J greater than or equal to </w:t>
      </w:r>
      <w:r w:rsidRPr="00731222">
        <w:rPr>
          <w:rFonts w:ascii="Arial" w:eastAsia="Arial" w:hAnsi="Arial" w:cs="Arial"/>
          <w:color w:val="000000" w:themeColor="text1"/>
          <w:sz w:val="20"/>
          <w:szCs w:val="20"/>
        </w:rPr>
        <w:t>15</w:t>
      </w:r>
      <w:r w:rsidR="00B33461" w:rsidRPr="00731222">
        <w:rPr>
          <w:rFonts w:ascii="Arial" w:eastAsia="Arial" w:hAnsi="Arial" w:cs="Arial"/>
          <w:color w:val="EE0000"/>
          <w:sz w:val="20"/>
          <w:szCs w:val="20"/>
        </w:rPr>
        <w:t xml:space="preserve"> </w:t>
      </w:r>
      <w:r w:rsidR="00B33461" w:rsidRPr="00B33461">
        <w:rPr>
          <w:rFonts w:ascii="Arial" w:eastAsia="Arial" w:hAnsi="Arial" w:cs="Arial"/>
          <w:color w:val="EE0000"/>
          <w:sz w:val="20"/>
          <w:szCs w:val="20"/>
          <w:highlight w:val="yellow"/>
        </w:rPr>
        <w:t>(</w:t>
      </w:r>
      <w:proofErr w:type="spellStart"/>
      <w:r w:rsidR="00B33461" w:rsidRPr="00B33461">
        <w:rPr>
          <w:rFonts w:ascii="Arial" w:eastAsia="Arial" w:hAnsi="Arial" w:cs="Arial"/>
          <w:color w:val="EE0000"/>
          <w:sz w:val="20"/>
          <w:szCs w:val="20"/>
          <w:highlight w:val="yellow"/>
        </w:rPr>
        <w:t>Sissouma</w:t>
      </w:r>
      <w:proofErr w:type="spellEnd"/>
      <w:r w:rsidR="00B33461" w:rsidRPr="00B33461">
        <w:rPr>
          <w:rFonts w:ascii="Arial" w:eastAsia="Arial" w:hAnsi="Arial" w:cs="Arial"/>
          <w:color w:val="EE0000"/>
          <w:sz w:val="20"/>
          <w:szCs w:val="20"/>
          <w:highlight w:val="yellow"/>
        </w:rPr>
        <w:t xml:space="preserve"> </w:t>
      </w:r>
      <w:r w:rsidR="006E3603">
        <w:rPr>
          <w:rFonts w:ascii="Arial" w:eastAsia="Arial" w:hAnsi="Arial" w:cs="Arial"/>
          <w:color w:val="EE0000"/>
          <w:sz w:val="20"/>
          <w:szCs w:val="20"/>
          <w:highlight w:val="yellow"/>
        </w:rPr>
        <w:t>and</w:t>
      </w:r>
      <w:r w:rsidR="00B33461" w:rsidRPr="00B33461">
        <w:rPr>
          <w:rFonts w:ascii="Arial" w:eastAsia="Arial" w:hAnsi="Arial" w:cs="Arial"/>
          <w:color w:val="EE0000"/>
          <w:sz w:val="20"/>
          <w:szCs w:val="20"/>
          <w:highlight w:val="yellow"/>
        </w:rPr>
        <w:t xml:space="preserve"> al., 2011)</w:t>
      </w:r>
      <w:r w:rsidRPr="00B33461">
        <w:rPr>
          <w:rFonts w:ascii="Arial" w:eastAsia="Arial" w:hAnsi="Arial" w:cs="Arial"/>
          <w:color w:val="EE0000"/>
          <w:sz w:val="20"/>
          <w:szCs w:val="20"/>
          <w:highlight w:val="yellow"/>
        </w:rPr>
        <w:t>.</w:t>
      </w:r>
    </w:p>
    <w:p w14:paraId="7BD67D3B" w14:textId="77777777" w:rsidR="00B0210B" w:rsidRPr="00E227C9" w:rsidRDefault="00B0210B" w:rsidP="00E067BA">
      <w:pPr>
        <w:spacing w:after="0" w:line="240" w:lineRule="auto"/>
        <w:jc w:val="both"/>
        <w:rPr>
          <w:rFonts w:ascii="Arial" w:eastAsia="Arial" w:hAnsi="Arial" w:cs="Arial"/>
          <w:sz w:val="20"/>
          <w:szCs w:val="20"/>
        </w:rPr>
      </w:pPr>
    </w:p>
    <w:p w14:paraId="7147AA08" w14:textId="77777777"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sz w:val="20"/>
          <w:szCs w:val="20"/>
        </w:rPr>
        <w:t>(</w:t>
      </w:r>
      <w:r w:rsidRPr="00E227C9">
        <w:rPr>
          <w:rFonts w:ascii="Arial" w:hAnsi="Arial" w:cs="Arial"/>
          <w:b/>
          <w:bCs/>
          <w:sz w:val="20"/>
          <w:szCs w:val="20"/>
        </w:rPr>
        <w:t>E)-1-(6-chloro-2-méthylimidazo[1,2-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-3-yl)-3-phénylprop-2-én-1-one (3a)</w:t>
      </w:r>
    </w:p>
    <w:p w14:paraId="6552DC15"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68%. M. p. 157-159°C. brown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9.87 (s, 1H); 7.80 (d, 1H, J = 15.5 Hz</w:t>
      </w:r>
      <w:proofErr w:type="gramStart"/>
      <w:r w:rsidRPr="00E227C9">
        <w:rPr>
          <w:rFonts w:ascii="Arial" w:hAnsi="Arial" w:cs="Arial"/>
          <w:sz w:val="20"/>
          <w:szCs w:val="20"/>
        </w:rPr>
        <w:t>) ;</w:t>
      </w:r>
      <w:proofErr w:type="gramEnd"/>
      <w:r w:rsidRPr="00E227C9">
        <w:rPr>
          <w:rFonts w:ascii="Arial" w:hAnsi="Arial" w:cs="Arial"/>
          <w:sz w:val="20"/>
          <w:szCs w:val="20"/>
        </w:rPr>
        <w:t xml:space="preserve"> 7.63 – 7.54 (m, 2H) ; 7.41 (dd, 1H) ; 7.32 – 7.20 (m, 3H) ; 6.95 (d, 1H, J = 15.5 </w:t>
      </w:r>
      <w:r w:rsidRPr="00E227C9">
        <w:rPr>
          <w:rFonts w:ascii="Arial" w:hAnsi="Arial" w:cs="Arial"/>
          <w:sz w:val="20"/>
          <w:szCs w:val="20"/>
        </w:rPr>
        <w:lastRenderedPageBreak/>
        <w:t xml:space="preserve">Hz) ; 2.88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180.3 (C=O</w:t>
      </w:r>
      <w:proofErr w:type="gramStart"/>
      <w:r w:rsidRPr="00E227C9">
        <w:rPr>
          <w:rFonts w:ascii="Arial" w:hAnsi="Arial" w:cs="Arial"/>
          <w:sz w:val="20"/>
          <w:szCs w:val="20"/>
        </w:rPr>
        <w:t>) ;</w:t>
      </w:r>
      <w:proofErr w:type="gramEnd"/>
      <w:r w:rsidRPr="00E227C9">
        <w:rPr>
          <w:rFonts w:ascii="Arial" w:hAnsi="Arial" w:cs="Arial"/>
          <w:sz w:val="20"/>
          <w:szCs w:val="20"/>
        </w:rPr>
        <w:t xml:space="preserve"> 161.7 (C) ; 151.9 (C) ; 145.3 (C) ; 142.9 (C) ; 137.4 (C) ; 130.6 (C) ; 130.1 (C) ; 129.9 (C) ; 128.9 (C) ; 127.6 (C) ; 127.1 (C) ; 126.6 (C) ; 122.5 (C) ; 121.9 (C) ; 113.8 (C) ; 18.5 (C).</w:t>
      </w:r>
    </w:p>
    <w:p w14:paraId="01C93AE2" w14:textId="77777777" w:rsidR="00E067BA" w:rsidRPr="00E227C9" w:rsidRDefault="00E067BA" w:rsidP="00E067BA">
      <w:pPr>
        <w:spacing w:after="0" w:line="240" w:lineRule="auto"/>
        <w:jc w:val="both"/>
        <w:rPr>
          <w:rFonts w:ascii="Arial" w:hAnsi="Arial" w:cs="Arial"/>
          <w:sz w:val="20"/>
          <w:szCs w:val="20"/>
        </w:rPr>
      </w:pPr>
    </w:p>
    <w:p w14:paraId="2EF56440" w14:textId="2C603475"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(E)-1-(6-chloro-2-méthylimidazo[1,2-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-3-yl)-3-(m-chlorophényl)prop-2-én-1-one (3b)</w:t>
      </w:r>
    </w:p>
    <w:p w14:paraId="1713AB51"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53%. M. p. 150-153°C. Yellow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9.80 (s, 1H) ; 7.82 (d, 1H, J = 15.5 Hz) ; 7.65–7.55 (m, 2H) ; 7.45–7.35 (m, 2H) ; 7.30–7.20 (m, 1H) ; 6.95 (d, 1H, J = 15.5 Hz) ; 2.88 (s, 3H).¹³C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180.3 ; 161.7 ; 151.9 ; 145.3 ; 142.9 ; 137.4 ; 134.6 ; 130.6 ; 130.1 ; 129.9 ; 128.2 ; 127.6 ; 127.1 ; 126.6 ; 122.5 ; 121.9 ; 113.8 ; 18.5.</w:t>
      </w:r>
    </w:p>
    <w:p w14:paraId="215E76B3" w14:textId="77777777" w:rsidR="00E067BA" w:rsidRPr="00E227C9" w:rsidRDefault="00E067BA" w:rsidP="00E067BA">
      <w:pPr>
        <w:spacing w:after="0" w:line="240" w:lineRule="auto"/>
        <w:jc w:val="both"/>
        <w:rPr>
          <w:rFonts w:ascii="Arial" w:hAnsi="Arial" w:cs="Arial"/>
          <w:b/>
          <w:bCs/>
          <w:sz w:val="20"/>
          <w:szCs w:val="20"/>
        </w:rPr>
      </w:pPr>
    </w:p>
    <w:p w14:paraId="5D66FC8B" w14:textId="1FE4A36E"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(E)-1-(6-chloro-2-méthylimidazo[1,2-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-3-yl)-3-(o-hydroxyphényl)prop-2-én-1-one (3c)</w:t>
      </w:r>
    </w:p>
    <w:p w14:paraId="52F3474C"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44,8%. M. p. 130-132°C. Yellow powder.¹H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9.77 (s, 1H) ; 7.75 (dd, 1H, J = 15.5, 8.5 Hz) ; 7.51 (m, 1H) ; 7.31 (d, 1H, J = 15.5 Hz) ; 7.01 (m, 3H) ; 6.85 (m, 1H) ; 2.32 (s, 3H).¹³C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179.98 ; 161.91 ; 155.98 ; 147.80 ; 138.08 ; 134.15 ; 133.61 ; 130.42 ; 121.12 ; 119.35 ; 118.89 ; 117.33 ; 115.5 ; 123.1 ; 122.4 ; 116.2 ; 113.8 ; 17.9.</w:t>
      </w:r>
    </w:p>
    <w:p w14:paraId="5545E562" w14:textId="77777777" w:rsidR="00E067BA" w:rsidRPr="00E227C9" w:rsidRDefault="00E067BA" w:rsidP="00E067BA">
      <w:pPr>
        <w:spacing w:after="0" w:line="240" w:lineRule="auto"/>
        <w:jc w:val="both"/>
        <w:rPr>
          <w:rFonts w:ascii="Arial" w:hAnsi="Arial" w:cs="Arial"/>
          <w:b/>
          <w:bCs/>
          <w:sz w:val="20"/>
          <w:szCs w:val="20"/>
        </w:rPr>
      </w:pPr>
    </w:p>
    <w:p w14:paraId="5A03108A" w14:textId="3FFC834D"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(E)-1-(6-chloro-2-méthylimidazo[1,2-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-3-yl)-3-(o-méthoxyphényl)prop-2-én-1-one (3d)</w:t>
      </w:r>
    </w:p>
    <w:p w14:paraId="429E677B"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Yield – 45%. M. p. 161-164°C. brown powder. ¹H NMR (300 MHz, DMSO-d</w:t>
      </w:r>
      <w:r w:rsidRPr="00E227C9">
        <w:rPr>
          <w:rFonts w:ascii="Cambria Math" w:hAnsi="Cambria Math" w:cs="Cambria Math"/>
          <w:sz w:val="20"/>
          <w:szCs w:val="20"/>
        </w:rPr>
        <w:t>₆</w:t>
      </w:r>
      <w:r w:rsidRPr="00E227C9">
        <w:rPr>
          <w:rFonts w:ascii="Arial" w:hAnsi="Arial" w:cs="Arial"/>
          <w:sz w:val="20"/>
          <w:szCs w:val="20"/>
        </w:rPr>
        <w:t>) δ 9.67 (s, 1H</w:t>
      </w:r>
      <w:proofErr w:type="gramStart"/>
      <w:r w:rsidRPr="00E227C9">
        <w:rPr>
          <w:rFonts w:ascii="Arial" w:hAnsi="Arial" w:cs="Arial"/>
          <w:sz w:val="20"/>
          <w:szCs w:val="20"/>
        </w:rPr>
        <w:t>) ;</w:t>
      </w:r>
      <w:proofErr w:type="gramEnd"/>
      <w:r w:rsidRPr="00E227C9">
        <w:rPr>
          <w:rFonts w:ascii="Arial" w:hAnsi="Arial" w:cs="Arial"/>
          <w:sz w:val="20"/>
          <w:szCs w:val="20"/>
        </w:rPr>
        <w:t xml:space="preserve"> 7.94 (d, 1H, J = 15.5 Hz) ; 7.72 (m, 1H) ; 7.45 (m, 1H) ; 7.30–7.10 (m, 3H) ; 7.14 (d, 1H, J = 15.5 Hz) ; 3.93 (s, 3H) ; 2.82 (s, 3H). ¹³C NMR (75 MHz, DMSO-d</w:t>
      </w:r>
      <w:r w:rsidRPr="00E227C9">
        <w:rPr>
          <w:rFonts w:ascii="Cambria Math" w:hAnsi="Cambria Math" w:cs="Cambria Math"/>
          <w:sz w:val="20"/>
          <w:szCs w:val="20"/>
        </w:rPr>
        <w:t>₆</w:t>
      </w:r>
      <w:r w:rsidRPr="00E227C9">
        <w:rPr>
          <w:rFonts w:ascii="Arial" w:hAnsi="Arial" w:cs="Arial"/>
          <w:sz w:val="20"/>
          <w:szCs w:val="20"/>
        </w:rPr>
        <w:t xml:space="preserve">) δ </w:t>
      </w:r>
      <w:proofErr w:type="gramStart"/>
      <w:r w:rsidRPr="00E227C9">
        <w:rPr>
          <w:rFonts w:ascii="Arial" w:hAnsi="Arial" w:cs="Arial"/>
          <w:sz w:val="20"/>
          <w:szCs w:val="20"/>
        </w:rPr>
        <w:t>179.86 ;</w:t>
      </w:r>
      <w:proofErr w:type="gramEnd"/>
      <w:r w:rsidRPr="00E227C9">
        <w:rPr>
          <w:rFonts w:ascii="Arial" w:hAnsi="Arial" w:cs="Arial"/>
          <w:sz w:val="20"/>
          <w:szCs w:val="20"/>
        </w:rPr>
        <w:t xml:space="preserve"> 161.7 ; 157.2 ; 151.9 ; 142.9 ; 132.00 ; 129.91 ; 129.67 ; 125.98 ; 125.08 ; 121.40 ; 120.81 ; 117.16 ; 111.84 ; 55.74 ; 18.00.</w:t>
      </w:r>
    </w:p>
    <w:p w14:paraId="7277BD74" w14:textId="77777777" w:rsidR="00E067BA" w:rsidRPr="00E227C9" w:rsidRDefault="00E067BA" w:rsidP="00E067BA">
      <w:pPr>
        <w:spacing w:after="0" w:line="240" w:lineRule="auto"/>
        <w:jc w:val="both"/>
        <w:rPr>
          <w:rFonts w:ascii="Arial" w:hAnsi="Arial" w:cs="Arial"/>
          <w:b/>
          <w:bCs/>
          <w:sz w:val="20"/>
          <w:szCs w:val="20"/>
        </w:rPr>
      </w:pPr>
    </w:p>
    <w:p w14:paraId="51F4C25C" w14:textId="757DB438"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(E)-1-(6-chloro-2-méthylimidazo[1,2-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-3-yl)-3-(m-méthoxyphényl)prop-2-én-1-one (3e)</w:t>
      </w:r>
    </w:p>
    <w:p w14:paraId="35D113BF"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58%. M. p. 157-160°C. brown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9.80 (s, 1H</w:t>
      </w:r>
      <w:proofErr w:type="gramStart"/>
      <w:r w:rsidRPr="00E227C9">
        <w:rPr>
          <w:rFonts w:ascii="Arial" w:hAnsi="Arial" w:cs="Arial"/>
          <w:sz w:val="20"/>
          <w:szCs w:val="20"/>
        </w:rPr>
        <w:t>) ;</w:t>
      </w:r>
      <w:proofErr w:type="gramEnd"/>
      <w:r w:rsidRPr="00E227C9">
        <w:rPr>
          <w:rFonts w:ascii="Arial" w:hAnsi="Arial" w:cs="Arial"/>
          <w:sz w:val="20"/>
          <w:szCs w:val="20"/>
        </w:rPr>
        <w:t xml:space="preserve"> 7.82 (d, 1H, J = 15.5 Hz) ; 7.58 (m, 1H) ; 7.35 (t, 1H, J = 7.8 Hz) ; 7.15 (m, 2H) ; 6.95 (d, 1H, J = 15.5 Hz) ; 6.90 (m, 1H) ; 3.85 (s, 3H) ; 2.88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w:t>
      </w:r>
      <w:proofErr w:type="gramStart"/>
      <w:r w:rsidRPr="00E227C9">
        <w:rPr>
          <w:rFonts w:ascii="Arial" w:hAnsi="Arial" w:cs="Arial"/>
          <w:sz w:val="20"/>
          <w:szCs w:val="20"/>
        </w:rPr>
        <w:t>180.3 ;</w:t>
      </w:r>
      <w:proofErr w:type="gramEnd"/>
      <w:r w:rsidRPr="00E227C9">
        <w:rPr>
          <w:rFonts w:ascii="Arial" w:hAnsi="Arial" w:cs="Arial"/>
          <w:sz w:val="20"/>
          <w:szCs w:val="20"/>
        </w:rPr>
        <w:t xml:space="preserve"> 161.7 ; 159.8 ; 151.9 ; 145.3 ; 142.9 ; 137.4 ; 130.1 ; 129.6 ; 122.5 ; 121.9 ; 117.5 ; 113.8 ; 113.5 ; 112.8 ; 55.4 ; 18.5.</w:t>
      </w:r>
    </w:p>
    <w:p w14:paraId="40B206EC" w14:textId="77777777" w:rsidR="00E067BA" w:rsidRPr="00E227C9" w:rsidRDefault="00E067BA" w:rsidP="00E067BA">
      <w:pPr>
        <w:spacing w:after="0" w:line="240" w:lineRule="auto"/>
        <w:jc w:val="both"/>
        <w:rPr>
          <w:rFonts w:ascii="Arial" w:hAnsi="Arial" w:cs="Arial"/>
          <w:b/>
          <w:bCs/>
          <w:sz w:val="20"/>
          <w:szCs w:val="20"/>
        </w:rPr>
      </w:pPr>
    </w:p>
    <w:p w14:paraId="30EF5570" w14:textId="76AC07BE"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(E)-1-(6-chloro-2-methylimidazo[1,2-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-3-yl)-3-(2,4-diméthoxyphényl)prop-2-én-1-one (3f)</w:t>
      </w:r>
    </w:p>
    <w:p w14:paraId="68AD755D"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Yield – 42%. M. p. 82-85°C. brown powder. ¹H NMR (300 MHz, DMSO-d</w:t>
      </w:r>
      <w:r w:rsidRPr="00E227C9">
        <w:rPr>
          <w:rFonts w:ascii="Cambria Math" w:hAnsi="Cambria Math" w:cs="Cambria Math"/>
          <w:sz w:val="20"/>
          <w:szCs w:val="20"/>
        </w:rPr>
        <w:t>₆</w:t>
      </w:r>
      <w:r w:rsidRPr="00E227C9">
        <w:rPr>
          <w:rFonts w:ascii="Arial" w:hAnsi="Arial" w:cs="Arial"/>
          <w:sz w:val="20"/>
          <w:szCs w:val="20"/>
        </w:rPr>
        <w:t>) δ 9.57 (s, 1H</w:t>
      </w:r>
      <w:proofErr w:type="gramStart"/>
      <w:r w:rsidRPr="00E227C9">
        <w:rPr>
          <w:rFonts w:ascii="Arial" w:hAnsi="Arial" w:cs="Arial"/>
          <w:sz w:val="20"/>
          <w:szCs w:val="20"/>
        </w:rPr>
        <w:t>) ;</w:t>
      </w:r>
      <w:proofErr w:type="gramEnd"/>
      <w:r w:rsidRPr="00E227C9">
        <w:rPr>
          <w:rFonts w:ascii="Arial" w:hAnsi="Arial" w:cs="Arial"/>
          <w:sz w:val="20"/>
          <w:szCs w:val="20"/>
        </w:rPr>
        <w:t xml:space="preserve"> 7.88 </w:t>
      </w:r>
      <w:r w:rsidRPr="00E227C9">
        <w:rPr>
          <w:rFonts w:ascii="Arial" w:hAnsi="Arial" w:cs="Arial"/>
          <w:sz w:val="20"/>
          <w:szCs w:val="20"/>
        </w:rPr>
        <w:t>(d, 1H, J = 15.5 Hz) ; 7.68 (m, 1H) ; 7.62 (d, 1H, J = 8.5 Hz) ; 6.65 (m, 2H) ; 6.61 (dd, 1H, J = 8.5, 2.4 Hz) ; 3.88 (s, 3H) ; 3.84 (s, 3H) ; 2.80 (s, 3H). ¹³C NMR (75 MHz, DMSO-d</w:t>
      </w:r>
      <w:r w:rsidRPr="00E227C9">
        <w:rPr>
          <w:rFonts w:ascii="Cambria Math" w:hAnsi="Cambria Math" w:cs="Cambria Math"/>
          <w:sz w:val="20"/>
          <w:szCs w:val="20"/>
        </w:rPr>
        <w:t>₆</w:t>
      </w:r>
      <w:r w:rsidRPr="00E227C9">
        <w:rPr>
          <w:rFonts w:ascii="Arial" w:hAnsi="Arial" w:cs="Arial"/>
          <w:sz w:val="20"/>
          <w:szCs w:val="20"/>
        </w:rPr>
        <w:t xml:space="preserve">) δ </w:t>
      </w:r>
      <w:proofErr w:type="gramStart"/>
      <w:r w:rsidRPr="00E227C9">
        <w:rPr>
          <w:rFonts w:ascii="Arial" w:hAnsi="Arial" w:cs="Arial"/>
          <w:sz w:val="20"/>
          <w:szCs w:val="20"/>
        </w:rPr>
        <w:t>179.98 ;</w:t>
      </w:r>
      <w:proofErr w:type="gramEnd"/>
      <w:r w:rsidRPr="00E227C9">
        <w:rPr>
          <w:rFonts w:ascii="Arial" w:hAnsi="Arial" w:cs="Arial"/>
          <w:sz w:val="20"/>
          <w:szCs w:val="20"/>
        </w:rPr>
        <w:t xml:space="preserve"> 161.7 ; 160.5 ; 158.2 ; 151.9 ; 142.9 ; 131.46 ; 129.62 ; 125.93 ; 122.35 ; 117.11 ; 115.92 ; 106.34 ; 98.46 ; 55.84 ; 55.51 ; 17.97.</w:t>
      </w:r>
    </w:p>
    <w:p w14:paraId="59E87459" w14:textId="77777777" w:rsidR="00E067BA" w:rsidRPr="00E227C9" w:rsidRDefault="00E067BA" w:rsidP="00E067BA">
      <w:pPr>
        <w:spacing w:after="0" w:line="240" w:lineRule="auto"/>
        <w:jc w:val="both"/>
        <w:rPr>
          <w:rFonts w:ascii="Arial" w:hAnsi="Arial" w:cs="Arial"/>
          <w:b/>
          <w:bCs/>
          <w:sz w:val="20"/>
          <w:szCs w:val="20"/>
        </w:rPr>
      </w:pPr>
    </w:p>
    <w:p w14:paraId="617C5C28" w14:textId="08C0722A"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(E)-1-(6-chloro-2-methylimidazo[1,2-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-3-yl)-3-(p-tolyl)prop-2-én-1-one (3g)</w:t>
      </w:r>
    </w:p>
    <w:p w14:paraId="7AE84F88"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61 %. M. p. 160-162°C. Orange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δ 9.90 (s, 1H</w:t>
      </w:r>
      <w:proofErr w:type="gramStart"/>
      <w:r w:rsidRPr="00E227C9">
        <w:rPr>
          <w:rFonts w:ascii="Arial" w:hAnsi="Arial" w:cs="Arial"/>
          <w:sz w:val="20"/>
          <w:szCs w:val="20"/>
        </w:rPr>
        <w:t>) ;</w:t>
      </w:r>
      <w:proofErr w:type="gramEnd"/>
      <w:r w:rsidRPr="00E227C9">
        <w:rPr>
          <w:rFonts w:ascii="Arial" w:hAnsi="Arial" w:cs="Arial"/>
          <w:sz w:val="20"/>
          <w:szCs w:val="20"/>
        </w:rPr>
        <w:t xml:space="preserve"> 7.83 (d, 1H, J = 15.5 Hz) ; 7.58 (m, 1H) ; 7.45 (m, 2H) ; 7.26 (d, 2H, J = 7.8 Hz) ; 6.95 (d, 1H, J = 15.5 Hz) ; 2.90 (s, 3H) ; 2.42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w:t>
      </w:r>
      <w:proofErr w:type="gramStart"/>
      <w:r w:rsidRPr="00E227C9">
        <w:rPr>
          <w:rFonts w:ascii="Arial" w:hAnsi="Arial" w:cs="Arial"/>
          <w:sz w:val="20"/>
          <w:szCs w:val="20"/>
        </w:rPr>
        <w:t>180.31 ;</w:t>
      </w:r>
      <w:proofErr w:type="gramEnd"/>
      <w:r w:rsidRPr="00E227C9">
        <w:rPr>
          <w:rFonts w:ascii="Arial" w:hAnsi="Arial" w:cs="Arial"/>
          <w:sz w:val="20"/>
          <w:szCs w:val="20"/>
        </w:rPr>
        <w:t xml:space="preserve"> 161.7 ; 151.9 ; 143.19 ; 141.09 ; 132.14 ; 130.09 ; 129.78 ; 128.35 ; 127.11 ; 123.24 ; 122.62 ; 116.71 ; 113.8 ; 21.51 ; 18.49.</w:t>
      </w:r>
    </w:p>
    <w:p w14:paraId="1787B18A" w14:textId="77777777" w:rsidR="00E067BA" w:rsidRPr="00E227C9" w:rsidRDefault="00E067BA" w:rsidP="00E067BA">
      <w:pPr>
        <w:spacing w:after="0" w:line="240" w:lineRule="auto"/>
        <w:jc w:val="both"/>
        <w:rPr>
          <w:rFonts w:ascii="Arial" w:hAnsi="Arial" w:cs="Arial"/>
          <w:b/>
          <w:bCs/>
          <w:sz w:val="20"/>
          <w:szCs w:val="20"/>
        </w:rPr>
      </w:pPr>
    </w:p>
    <w:p w14:paraId="3D400EEA" w14:textId="45C451EC"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(E)-1-(6-chloro-2-methylimidazo[1,2-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-3-yl)-3-(m-tolyl)prop-2-én-1-one (3h)</w:t>
      </w:r>
    </w:p>
    <w:p w14:paraId="5D89003F"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59 %. M. p. 148-151°C. Orange powder.¹H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9.37 (s, 1H) ; 7.82 (d, 1H, J = 15.5 Hz) ; 7.58 (m, 1H) ; 7.45 (s, 1H) ; 7.35 (d, 1H, J = 7.6 Hz) ; 7.25 (t, 1H, J = 7.6 Hz) ; 7.15 (d, 1H, J = 7.6 Hz) ; 6.95 (d, 1H, J = 15.5 Hz) ; 2.88 (s, 3H) ; 2.42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w:t>
      </w:r>
      <w:proofErr w:type="gramStart"/>
      <w:r w:rsidRPr="00E227C9">
        <w:rPr>
          <w:rFonts w:ascii="Arial" w:hAnsi="Arial" w:cs="Arial"/>
          <w:sz w:val="20"/>
          <w:szCs w:val="20"/>
        </w:rPr>
        <w:t>180.3 ;</w:t>
      </w:r>
      <w:proofErr w:type="gramEnd"/>
      <w:r w:rsidRPr="00E227C9">
        <w:rPr>
          <w:rFonts w:ascii="Arial" w:hAnsi="Arial" w:cs="Arial"/>
          <w:sz w:val="20"/>
          <w:szCs w:val="20"/>
        </w:rPr>
        <w:t xml:space="preserve"> 161.7 ; 151.9 ; 145.3 ; 142.9 ; 138.2 ; 137.4 ; 132.8 ; 130.1 ; 129.2 ; 128.5 ; 127.8 ; 127.6 ; 127.1 ; 126.6 ; 122.5 ; 121.9 ; 113.8 ; 21.5 ; 18.5.</w:t>
      </w:r>
    </w:p>
    <w:p w14:paraId="2217DA61" w14:textId="77777777" w:rsidR="00E067BA" w:rsidRPr="00E227C9" w:rsidRDefault="00E067BA" w:rsidP="00E067BA">
      <w:pPr>
        <w:spacing w:after="0" w:line="240" w:lineRule="auto"/>
        <w:jc w:val="both"/>
        <w:rPr>
          <w:rFonts w:ascii="Arial" w:hAnsi="Arial" w:cs="Arial"/>
          <w:b/>
          <w:bCs/>
          <w:sz w:val="20"/>
          <w:szCs w:val="20"/>
        </w:rPr>
      </w:pPr>
    </w:p>
    <w:p w14:paraId="6BDB5789" w14:textId="4BB2B6B3"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(E)-1-(6-chloro-2-methylimidazo[1,2-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-3-yl)-3-(o-nitrophényl)prop-2-én-1-one (3i)</w:t>
      </w:r>
    </w:p>
    <w:p w14:paraId="58BA1D20" w14:textId="77777777" w:rsidR="00E067BA" w:rsidRPr="00E227C9" w:rsidRDefault="00E067BA" w:rsidP="00E067BA">
      <w:pPr>
        <w:spacing w:after="0" w:line="240" w:lineRule="auto"/>
        <w:jc w:val="both"/>
        <w:rPr>
          <w:rFonts w:ascii="Arial" w:hAnsi="Arial" w:cs="Arial"/>
          <w:sz w:val="20"/>
          <w:szCs w:val="20"/>
        </w:rPr>
      </w:pPr>
      <w:r w:rsidRPr="00E227C9">
        <w:rPr>
          <w:rFonts w:ascii="Arial" w:hAnsi="Arial" w:cs="Arial"/>
          <w:sz w:val="20"/>
          <w:szCs w:val="20"/>
        </w:rPr>
        <w:t xml:space="preserve">Yield – 32%. M. p. 228-230°C. brown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9.53 (s, 1H) ; 8.25 (dd, 1H, J = 8.2, 1.2 Hz) ; 7.95 (d, 1H, J = 15.5 Hz) ; 7.75 (td, 1H, J = 7.5, 1.2 Hz) ; 7.65 (m, 1H) ; 7.60 (td, 1H, J = 7.5, 1.5 Hz) ; 7.45 (dd, 1H, J = 7.5, 1.5 Hz) ; 7.35 (d, 1H, J = 15.5 Hz) ; 2.88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w:t>
      </w:r>
      <w:proofErr w:type="gramStart"/>
      <w:r w:rsidRPr="00E227C9">
        <w:rPr>
          <w:rFonts w:ascii="Arial" w:hAnsi="Arial" w:cs="Arial"/>
          <w:sz w:val="20"/>
          <w:szCs w:val="20"/>
        </w:rPr>
        <w:t>180.1 ;</w:t>
      </w:r>
      <w:proofErr w:type="gramEnd"/>
      <w:r w:rsidRPr="00E227C9">
        <w:rPr>
          <w:rFonts w:ascii="Arial" w:hAnsi="Arial" w:cs="Arial"/>
          <w:sz w:val="20"/>
          <w:szCs w:val="20"/>
        </w:rPr>
        <w:t xml:space="preserve"> 161.7 ; 151.9 ; 148.5 ; 142.9 ; 137.4 ; 133.8 ; 132.5 ; 130.8 ; 129.5 ; 127.6 ; 127.1 ; 126.6 ; 124.8 ; 122.5 ; 121.9 ; 113.8 ; 18.5.</w:t>
      </w:r>
    </w:p>
    <w:p w14:paraId="76FC464A" w14:textId="77777777" w:rsidR="00E067BA" w:rsidRPr="00E227C9" w:rsidRDefault="00E067BA" w:rsidP="00E067BA">
      <w:pPr>
        <w:spacing w:after="0" w:line="240" w:lineRule="auto"/>
        <w:jc w:val="both"/>
        <w:rPr>
          <w:rFonts w:ascii="Arial" w:hAnsi="Arial" w:cs="Arial"/>
          <w:b/>
          <w:bCs/>
          <w:sz w:val="20"/>
          <w:szCs w:val="20"/>
        </w:rPr>
      </w:pPr>
      <w:r w:rsidRPr="00E227C9">
        <w:rPr>
          <w:rFonts w:ascii="Arial" w:hAnsi="Arial" w:cs="Arial"/>
          <w:b/>
          <w:bCs/>
          <w:sz w:val="20"/>
          <w:szCs w:val="20"/>
        </w:rPr>
        <w:t>(E)-1-(6-chloro-2-methylimidazo[1,2-</w:t>
      </w:r>
      <w:proofErr w:type="gramStart"/>
      <w:r w:rsidRPr="00E227C9">
        <w:rPr>
          <w:rFonts w:ascii="Arial" w:hAnsi="Arial" w:cs="Arial"/>
          <w:b/>
          <w:bCs/>
          <w:sz w:val="20"/>
          <w:szCs w:val="20"/>
        </w:rPr>
        <w:t>a]pyridin</w:t>
      </w:r>
      <w:proofErr w:type="gramEnd"/>
      <w:r w:rsidRPr="00E227C9">
        <w:rPr>
          <w:rFonts w:ascii="Arial" w:hAnsi="Arial" w:cs="Arial"/>
          <w:b/>
          <w:bCs/>
          <w:sz w:val="20"/>
          <w:szCs w:val="20"/>
        </w:rPr>
        <w:t>-3-yl)-3-(m-nitrophényl)prop-2-én-1-one (3j)</w:t>
      </w:r>
    </w:p>
    <w:p w14:paraId="767BC5A0" w14:textId="7F2E6552" w:rsidR="00B0210B" w:rsidRPr="00E227C9" w:rsidRDefault="00E067BA">
      <w:pPr>
        <w:spacing w:after="0" w:line="240" w:lineRule="auto"/>
        <w:jc w:val="both"/>
        <w:rPr>
          <w:rFonts w:ascii="Arial" w:hAnsi="Arial" w:cs="Arial"/>
          <w:sz w:val="20"/>
          <w:szCs w:val="20"/>
        </w:rPr>
        <w:sectPr w:rsidR="00B0210B" w:rsidRPr="00E227C9">
          <w:type w:val="continuous"/>
          <w:pgSz w:w="11909" w:h="16834"/>
          <w:pgMar w:top="1440" w:right="1440" w:bottom="1440" w:left="1440" w:header="720" w:footer="864" w:gutter="0"/>
          <w:cols w:num="2" w:space="720" w:equalWidth="0">
            <w:col w:w="4370" w:space="288"/>
            <w:col w:w="4370" w:space="0"/>
          </w:cols>
        </w:sectPr>
      </w:pPr>
      <w:r w:rsidRPr="00E227C9">
        <w:rPr>
          <w:rFonts w:ascii="Arial" w:hAnsi="Arial" w:cs="Arial"/>
          <w:sz w:val="20"/>
          <w:szCs w:val="20"/>
        </w:rPr>
        <w:t xml:space="preserve">Yield – 40%. M. p. 198-200°C. Yellow powder. ¹H NMR (300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9.37 (s, 1H) ; 8.45 (t, 1H, J = 1.8 Hz) ; 8.25 (dd, 1H, J = 8.2, 2.2 Hz) ; 7.95 (d, 1H, J = 15.5 Hz) ; 7.85 (dt, 1H, J = 7.8, 1.4 Hz) ; 7.65 (m, 1H) ; 7.55 (t, 1H, J = 8.0 Hz) ; 7.40 (d, 1H, J = 15.5 Hz) ; 2.88 (s, 3H). ¹³C NMR (75 MHz, </w:t>
      </w:r>
      <w:proofErr w:type="spellStart"/>
      <w:r w:rsidRPr="00E227C9">
        <w:rPr>
          <w:rFonts w:ascii="Arial" w:hAnsi="Arial" w:cs="Arial"/>
          <w:sz w:val="20"/>
          <w:szCs w:val="20"/>
        </w:rPr>
        <w:t>CDCl</w:t>
      </w:r>
      <w:proofErr w:type="spellEnd"/>
      <w:r w:rsidRPr="00E227C9">
        <w:rPr>
          <w:rFonts w:ascii="Cambria Math" w:hAnsi="Cambria Math" w:cs="Cambria Math"/>
          <w:sz w:val="20"/>
          <w:szCs w:val="20"/>
        </w:rPr>
        <w:t>₃</w:t>
      </w:r>
      <w:r w:rsidRPr="00E227C9">
        <w:rPr>
          <w:rFonts w:ascii="Arial" w:hAnsi="Arial" w:cs="Arial"/>
          <w:sz w:val="20"/>
          <w:szCs w:val="20"/>
        </w:rPr>
        <w:t xml:space="preserve">) δ 180.0; 161.7; 151.9; 148.8; </w:t>
      </w:r>
      <w:proofErr w:type="gramStart"/>
      <w:r w:rsidRPr="00E227C9">
        <w:rPr>
          <w:rFonts w:ascii="Arial" w:hAnsi="Arial" w:cs="Arial"/>
          <w:sz w:val="20"/>
          <w:szCs w:val="20"/>
        </w:rPr>
        <w:t>142.9 ;</w:t>
      </w:r>
      <w:proofErr w:type="gramEnd"/>
      <w:r w:rsidRPr="00E227C9">
        <w:rPr>
          <w:rFonts w:ascii="Arial" w:hAnsi="Arial" w:cs="Arial"/>
          <w:sz w:val="20"/>
          <w:szCs w:val="20"/>
        </w:rPr>
        <w:t xml:space="preserve"> 140.2 ; 137.4 ; 133.5 ; 129.8 ; 127.6 ; 127.1 ; 126.6 ; 124.5 ; 122.5 ; 122.1 ; 121.9 ; 113.8 ; 18.5.</w:t>
      </w:r>
    </w:p>
    <w:p w14:paraId="055992C9" w14:textId="77777777" w:rsidR="00B0210B" w:rsidRPr="00E227C9" w:rsidRDefault="00B0210B">
      <w:pPr>
        <w:spacing w:after="0" w:line="240" w:lineRule="auto"/>
        <w:jc w:val="both"/>
        <w:rPr>
          <w:rFonts w:ascii="Arial" w:eastAsia="Arial" w:hAnsi="Arial" w:cs="Arial"/>
          <w:sz w:val="14"/>
          <w:szCs w:val="14"/>
        </w:rPr>
      </w:pPr>
    </w:p>
    <w:p w14:paraId="53AC0ACF" w14:textId="77777777" w:rsidR="002C75B1" w:rsidRPr="00E227C9" w:rsidRDefault="002C75B1">
      <w:pPr>
        <w:spacing w:after="0" w:line="240" w:lineRule="auto"/>
        <w:jc w:val="center"/>
        <w:rPr>
          <w:rFonts w:ascii="Arial" w:eastAsia="Arial" w:hAnsi="Arial" w:cs="Arial"/>
          <w:b/>
          <w:sz w:val="20"/>
          <w:szCs w:val="20"/>
        </w:rPr>
      </w:pPr>
    </w:p>
    <w:p w14:paraId="2B48AEE1" w14:textId="77777777" w:rsidR="002C75B1" w:rsidRPr="00E227C9" w:rsidRDefault="002C75B1">
      <w:pPr>
        <w:spacing w:after="0" w:line="240" w:lineRule="auto"/>
        <w:jc w:val="center"/>
        <w:rPr>
          <w:rFonts w:ascii="Arial" w:eastAsia="Arial" w:hAnsi="Arial" w:cs="Arial"/>
          <w:b/>
          <w:sz w:val="20"/>
          <w:szCs w:val="20"/>
        </w:rPr>
      </w:pPr>
    </w:p>
    <w:p w14:paraId="5A70B211" w14:textId="77777777" w:rsidR="002C75B1" w:rsidRPr="00E227C9" w:rsidRDefault="002C75B1">
      <w:pPr>
        <w:spacing w:after="0" w:line="240" w:lineRule="auto"/>
        <w:jc w:val="center"/>
        <w:rPr>
          <w:rFonts w:ascii="Arial" w:eastAsia="Arial" w:hAnsi="Arial" w:cs="Arial"/>
          <w:b/>
          <w:sz w:val="20"/>
          <w:szCs w:val="20"/>
        </w:rPr>
      </w:pPr>
    </w:p>
    <w:p w14:paraId="3E8F4587" w14:textId="77777777" w:rsidR="002C75B1" w:rsidRPr="00E227C9" w:rsidRDefault="002C75B1">
      <w:pPr>
        <w:spacing w:after="0" w:line="240" w:lineRule="auto"/>
        <w:jc w:val="center"/>
        <w:rPr>
          <w:rFonts w:ascii="Arial" w:eastAsia="Arial" w:hAnsi="Arial" w:cs="Arial"/>
          <w:b/>
          <w:sz w:val="20"/>
          <w:szCs w:val="20"/>
        </w:rPr>
      </w:pPr>
    </w:p>
    <w:p w14:paraId="3EE0FD8A" w14:textId="77777777" w:rsidR="002C75B1" w:rsidRPr="00E227C9" w:rsidRDefault="002C75B1">
      <w:pPr>
        <w:spacing w:after="0" w:line="240" w:lineRule="auto"/>
        <w:jc w:val="center"/>
        <w:rPr>
          <w:rFonts w:ascii="Arial" w:eastAsia="Arial" w:hAnsi="Arial" w:cs="Arial"/>
          <w:b/>
          <w:sz w:val="20"/>
          <w:szCs w:val="20"/>
        </w:rPr>
      </w:pPr>
    </w:p>
    <w:p w14:paraId="2E975E16" w14:textId="77777777" w:rsidR="002C75B1" w:rsidRPr="00E227C9" w:rsidRDefault="002C75B1">
      <w:pPr>
        <w:spacing w:after="0" w:line="240" w:lineRule="auto"/>
        <w:jc w:val="center"/>
        <w:rPr>
          <w:rFonts w:ascii="Arial" w:eastAsia="Arial" w:hAnsi="Arial" w:cs="Arial"/>
          <w:b/>
          <w:sz w:val="20"/>
          <w:szCs w:val="20"/>
        </w:rPr>
      </w:pPr>
    </w:p>
    <w:p w14:paraId="48F887E4" w14:textId="77777777" w:rsidR="002C75B1" w:rsidRPr="00E227C9" w:rsidRDefault="002C75B1">
      <w:pPr>
        <w:spacing w:after="0" w:line="240" w:lineRule="auto"/>
        <w:jc w:val="center"/>
        <w:rPr>
          <w:rFonts w:ascii="Arial" w:eastAsia="Arial" w:hAnsi="Arial" w:cs="Arial"/>
          <w:b/>
          <w:sz w:val="20"/>
          <w:szCs w:val="20"/>
        </w:rPr>
      </w:pPr>
    </w:p>
    <w:p w14:paraId="77F2F7E2" w14:textId="77777777" w:rsidR="002C75B1" w:rsidRPr="00E227C9" w:rsidRDefault="002C75B1">
      <w:pPr>
        <w:spacing w:after="0" w:line="240" w:lineRule="auto"/>
        <w:jc w:val="center"/>
        <w:rPr>
          <w:rFonts w:ascii="Arial" w:eastAsia="Arial" w:hAnsi="Arial" w:cs="Arial"/>
          <w:b/>
          <w:sz w:val="20"/>
          <w:szCs w:val="20"/>
        </w:rPr>
      </w:pPr>
    </w:p>
    <w:p w14:paraId="437D8D4D" w14:textId="77777777" w:rsidR="002C75B1" w:rsidRPr="00E227C9" w:rsidRDefault="002C75B1">
      <w:pPr>
        <w:spacing w:after="0" w:line="240" w:lineRule="auto"/>
        <w:jc w:val="center"/>
        <w:rPr>
          <w:rFonts w:ascii="Arial" w:eastAsia="Arial" w:hAnsi="Arial" w:cs="Arial"/>
          <w:b/>
          <w:sz w:val="20"/>
          <w:szCs w:val="20"/>
        </w:rPr>
      </w:pPr>
    </w:p>
    <w:p w14:paraId="710DE443" w14:textId="77777777" w:rsidR="002C75B1" w:rsidRPr="00E227C9" w:rsidRDefault="002C75B1">
      <w:pPr>
        <w:spacing w:after="0" w:line="240" w:lineRule="auto"/>
        <w:jc w:val="center"/>
        <w:rPr>
          <w:rFonts w:ascii="Arial" w:eastAsia="Arial" w:hAnsi="Arial" w:cs="Arial"/>
          <w:b/>
          <w:sz w:val="20"/>
          <w:szCs w:val="20"/>
        </w:rPr>
      </w:pPr>
    </w:p>
    <w:p w14:paraId="5860EA6E" w14:textId="42A28D27" w:rsidR="00B0210B" w:rsidRPr="00E227C9" w:rsidRDefault="00424C6B">
      <w:pPr>
        <w:spacing w:after="0" w:line="240" w:lineRule="auto"/>
        <w:jc w:val="center"/>
        <w:rPr>
          <w:rFonts w:ascii="Arial" w:eastAsia="Arial" w:hAnsi="Arial" w:cs="Arial"/>
          <w:b/>
          <w:sz w:val="20"/>
          <w:szCs w:val="20"/>
        </w:rPr>
      </w:pPr>
      <w:r w:rsidRPr="00E227C9">
        <w:rPr>
          <w:rFonts w:ascii="Arial" w:eastAsia="Arial" w:hAnsi="Arial" w:cs="Arial"/>
          <w:b/>
          <w:sz w:val="20"/>
          <w:szCs w:val="20"/>
        </w:rPr>
        <w:t xml:space="preserve">Table 1. </w:t>
      </w:r>
      <w:r w:rsidRPr="00E227C9">
        <w:rPr>
          <w:rFonts w:ascii="Arial" w:eastAsia="Arial" w:hAnsi="Arial" w:cs="Arial"/>
          <w:b/>
          <w:i/>
          <w:sz w:val="20"/>
          <w:szCs w:val="20"/>
        </w:rPr>
        <w:t>In vitro</w:t>
      </w:r>
      <w:r w:rsidRPr="00E227C9">
        <w:rPr>
          <w:rFonts w:ascii="Arial" w:eastAsia="Arial" w:hAnsi="Arial" w:cs="Arial"/>
          <w:b/>
          <w:sz w:val="20"/>
          <w:szCs w:val="20"/>
        </w:rPr>
        <w:t xml:space="preserve"> ant</w:t>
      </w:r>
      <w:r w:rsidR="00B10D99" w:rsidRPr="00E227C9">
        <w:rPr>
          <w:rFonts w:ascii="Arial" w:eastAsia="Arial" w:hAnsi="Arial" w:cs="Arial"/>
          <w:b/>
          <w:sz w:val="20"/>
          <w:szCs w:val="20"/>
        </w:rPr>
        <w:t>i-</w:t>
      </w:r>
      <w:proofErr w:type="spellStart"/>
      <w:r w:rsidR="00B10D99" w:rsidRPr="00E227C9">
        <w:rPr>
          <w:rFonts w:ascii="Arial" w:eastAsia="Arial" w:hAnsi="Arial" w:cs="Arial"/>
          <w:b/>
          <w:sz w:val="20"/>
          <w:szCs w:val="20"/>
        </w:rPr>
        <w:t>aspergyllar</w:t>
      </w:r>
      <w:proofErr w:type="spellEnd"/>
      <w:r w:rsidRPr="00E227C9">
        <w:rPr>
          <w:rFonts w:ascii="Arial" w:eastAsia="Arial" w:hAnsi="Arial" w:cs="Arial"/>
          <w:b/>
          <w:sz w:val="20"/>
          <w:szCs w:val="20"/>
        </w:rPr>
        <w:t xml:space="preserve"> activit</w:t>
      </w:r>
      <w:r w:rsidR="00B10D99" w:rsidRPr="00E227C9">
        <w:rPr>
          <w:rFonts w:ascii="Arial" w:eastAsia="Arial" w:hAnsi="Arial" w:cs="Arial"/>
          <w:b/>
          <w:sz w:val="20"/>
          <w:szCs w:val="20"/>
        </w:rPr>
        <w:t>y</w:t>
      </w:r>
      <w:r w:rsidRPr="00E227C9">
        <w:rPr>
          <w:rFonts w:ascii="Arial" w:eastAsia="Arial" w:hAnsi="Arial" w:cs="Arial"/>
          <w:b/>
          <w:sz w:val="20"/>
          <w:szCs w:val="20"/>
        </w:rPr>
        <w:t xml:space="preserve"> of </w:t>
      </w:r>
      <w:r w:rsidR="00B10D99" w:rsidRPr="00E227C9">
        <w:rPr>
          <w:rFonts w:ascii="Arial" w:eastAsia="Arial" w:hAnsi="Arial" w:cs="Arial"/>
          <w:b/>
          <w:sz w:val="20"/>
          <w:szCs w:val="20"/>
        </w:rPr>
        <w:t>6-chloroimidazo[1,2-</w:t>
      </w:r>
      <w:proofErr w:type="gramStart"/>
      <w:r w:rsidR="00B10D99" w:rsidRPr="00E227C9">
        <w:rPr>
          <w:rFonts w:ascii="Arial" w:eastAsia="Arial" w:hAnsi="Arial" w:cs="Arial"/>
          <w:b/>
          <w:sz w:val="20"/>
          <w:szCs w:val="20"/>
        </w:rPr>
        <w:t>a]pyridinyl</w:t>
      </w:r>
      <w:proofErr w:type="gramEnd"/>
      <w:r w:rsidR="00B10D99" w:rsidRPr="00E227C9">
        <w:rPr>
          <w:rFonts w:ascii="Arial" w:eastAsia="Arial" w:hAnsi="Arial" w:cs="Arial"/>
          <w:b/>
          <w:sz w:val="20"/>
          <w:szCs w:val="20"/>
        </w:rPr>
        <w:t xml:space="preserve">-chalcone hybrid derivatives </w:t>
      </w:r>
      <w:r w:rsidRPr="00E227C9">
        <w:rPr>
          <w:rFonts w:ascii="Arial" w:eastAsia="Arial" w:hAnsi="Arial" w:cs="Arial"/>
          <w:b/>
          <w:sz w:val="20"/>
          <w:szCs w:val="20"/>
        </w:rPr>
        <w:t xml:space="preserve">against </w:t>
      </w:r>
      <w:r w:rsidR="00B10D99" w:rsidRPr="00E227C9">
        <w:rPr>
          <w:rFonts w:ascii="Arial" w:eastAsia="Arial" w:hAnsi="Arial" w:cs="Arial"/>
          <w:b/>
          <w:i/>
          <w:sz w:val="20"/>
          <w:szCs w:val="20"/>
        </w:rPr>
        <w:t>Aspergillus flavus</w:t>
      </w:r>
    </w:p>
    <w:p w14:paraId="190E6DC2" w14:textId="77777777" w:rsidR="00B0210B" w:rsidRPr="00E227C9" w:rsidRDefault="00B0210B">
      <w:pPr>
        <w:spacing w:after="0" w:line="240" w:lineRule="auto"/>
        <w:jc w:val="both"/>
        <w:rPr>
          <w:rFonts w:ascii="Arial" w:eastAsia="Arial" w:hAnsi="Arial" w:cs="Arial"/>
          <w:sz w:val="14"/>
          <w:szCs w:val="14"/>
        </w:rPr>
      </w:pPr>
    </w:p>
    <w:tbl>
      <w:tblPr>
        <w:tblStyle w:val="a0"/>
        <w:tblW w:w="9013" w:type="dxa"/>
        <w:jc w:val="center"/>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747"/>
        <w:gridCol w:w="4523"/>
        <w:gridCol w:w="1743"/>
      </w:tblGrid>
      <w:tr w:rsidR="00B17AF8" w:rsidRPr="00E227C9" w14:paraId="0893F72E" w14:textId="77777777" w:rsidTr="00B85776">
        <w:trPr>
          <w:jc w:val="center"/>
        </w:trPr>
        <w:tc>
          <w:tcPr>
            <w:tcW w:w="2747" w:type="dxa"/>
            <w:tcBorders>
              <w:bottom w:val="single" w:sz="4" w:space="0" w:color="000000"/>
            </w:tcBorders>
          </w:tcPr>
          <w:p w14:paraId="59955F40" w14:textId="77777777" w:rsidR="00B0210B" w:rsidRPr="00E227C9" w:rsidRDefault="00424C6B">
            <w:pPr>
              <w:rPr>
                <w:rFonts w:ascii="Arial" w:eastAsia="Arial" w:hAnsi="Arial" w:cs="Arial"/>
                <w:b/>
              </w:rPr>
            </w:pPr>
            <w:r w:rsidRPr="00E227C9">
              <w:rPr>
                <w:rFonts w:ascii="Arial" w:eastAsia="Arial" w:hAnsi="Arial" w:cs="Arial"/>
                <w:b/>
              </w:rPr>
              <w:t>Compounds</w:t>
            </w:r>
          </w:p>
        </w:tc>
        <w:tc>
          <w:tcPr>
            <w:tcW w:w="4523" w:type="dxa"/>
            <w:tcBorders>
              <w:bottom w:val="single" w:sz="4" w:space="0" w:color="000000"/>
            </w:tcBorders>
          </w:tcPr>
          <w:p w14:paraId="527407CB" w14:textId="77777777" w:rsidR="00B0210B" w:rsidRPr="00E227C9" w:rsidRDefault="00424C6B">
            <w:pPr>
              <w:rPr>
                <w:rFonts w:ascii="Arial" w:eastAsia="Arial" w:hAnsi="Arial" w:cs="Arial"/>
                <w:b/>
              </w:rPr>
            </w:pPr>
            <w:r w:rsidRPr="00E227C9">
              <w:rPr>
                <w:rFonts w:ascii="Arial" w:eastAsia="Arial" w:hAnsi="Arial" w:cs="Arial"/>
                <w:b/>
              </w:rPr>
              <w:t>Chemical Structures</w:t>
            </w:r>
          </w:p>
        </w:tc>
        <w:tc>
          <w:tcPr>
            <w:tcW w:w="1743" w:type="dxa"/>
            <w:tcBorders>
              <w:bottom w:val="single" w:sz="4" w:space="0" w:color="000000"/>
            </w:tcBorders>
          </w:tcPr>
          <w:p w14:paraId="485BE604" w14:textId="77777777" w:rsidR="00B0210B" w:rsidRPr="00E227C9" w:rsidRDefault="00424C6B">
            <w:pPr>
              <w:rPr>
                <w:rFonts w:ascii="Arial" w:eastAsia="Arial" w:hAnsi="Arial" w:cs="Arial"/>
                <w:b/>
              </w:rPr>
            </w:pPr>
            <w:r w:rsidRPr="00E227C9">
              <w:rPr>
                <w:rFonts w:ascii="Arial" w:eastAsia="Arial" w:hAnsi="Arial" w:cs="Arial"/>
                <w:b/>
              </w:rPr>
              <w:t>MIC (µM)</w:t>
            </w:r>
          </w:p>
        </w:tc>
      </w:tr>
      <w:tr w:rsidR="00B85776" w:rsidRPr="00E227C9" w14:paraId="05BCF71E" w14:textId="77777777" w:rsidTr="00B85776">
        <w:trPr>
          <w:jc w:val="center"/>
        </w:trPr>
        <w:tc>
          <w:tcPr>
            <w:tcW w:w="2747" w:type="dxa"/>
            <w:tcBorders>
              <w:top w:val="single" w:sz="4" w:space="0" w:color="000000"/>
            </w:tcBorders>
          </w:tcPr>
          <w:p w14:paraId="2F7E5D61" w14:textId="77777777" w:rsidR="00B85776" w:rsidRPr="00E227C9" w:rsidRDefault="00B85776" w:rsidP="00B85776">
            <w:pPr>
              <w:rPr>
                <w:rFonts w:ascii="Arial" w:eastAsia="Arial" w:hAnsi="Arial" w:cs="Arial"/>
              </w:rPr>
            </w:pPr>
            <w:r w:rsidRPr="00E227C9">
              <w:rPr>
                <w:rFonts w:ascii="Arial" w:eastAsia="Arial" w:hAnsi="Arial" w:cs="Arial"/>
                <w:b/>
              </w:rPr>
              <w:t>3a</w:t>
            </w:r>
          </w:p>
        </w:tc>
        <w:tc>
          <w:tcPr>
            <w:tcW w:w="4523" w:type="dxa"/>
            <w:tcBorders>
              <w:top w:val="single" w:sz="4" w:space="0" w:color="000000"/>
            </w:tcBorders>
          </w:tcPr>
          <w:p w14:paraId="1DD11886" w14:textId="163C42C3" w:rsidR="00B85776" w:rsidRPr="00E227C9" w:rsidRDefault="00B85776" w:rsidP="00B85776">
            <w:pPr>
              <w:rPr>
                <w:rFonts w:ascii="Arial" w:eastAsia="Arial" w:hAnsi="Arial" w:cs="Arial"/>
              </w:rPr>
            </w:pPr>
            <w:r w:rsidRPr="00E227C9">
              <w:rPr>
                <w:rFonts w:ascii="Arial" w:hAnsi="Arial" w:cs="Arial"/>
                <w:noProof/>
                <w:sz w:val="24"/>
                <w:szCs w:val="24"/>
              </w:rPr>
              <w:object w:dxaOrig="1978" w:dyaOrig="933" w14:anchorId="4CEC09AE">
                <v:shape id="_x0000_i1026" type="#_x0000_t75" style="width:98.3pt;height:46.35pt" o:ole="">
                  <v:imagedata r:id="rId19" o:title=""/>
                </v:shape>
                <o:OLEObject Type="Embed" ProgID="ChemDraw.Document.6.0" ShapeID="_x0000_i1026" DrawAspect="Content" ObjectID="_1827485020" r:id="rId20"/>
              </w:object>
            </w:r>
          </w:p>
        </w:tc>
        <w:tc>
          <w:tcPr>
            <w:tcW w:w="1743" w:type="dxa"/>
            <w:tcBorders>
              <w:top w:val="single" w:sz="4" w:space="0" w:color="000000"/>
            </w:tcBorders>
          </w:tcPr>
          <w:p w14:paraId="79A68EB0" w14:textId="0D183CBD" w:rsidR="00B85776" w:rsidRPr="00E227C9" w:rsidRDefault="00B85776" w:rsidP="00B85776">
            <w:pPr>
              <w:rPr>
                <w:rFonts w:ascii="Arial" w:eastAsia="Arial" w:hAnsi="Arial" w:cs="Arial"/>
                <w:color w:val="EE0000"/>
              </w:rPr>
            </w:pPr>
            <w:r w:rsidRPr="00E227C9">
              <w:rPr>
                <w:rFonts w:ascii="Arial" w:hAnsi="Arial" w:cs="Arial"/>
                <w:color w:val="EE0000"/>
              </w:rPr>
              <w:t>84,03</w:t>
            </w:r>
          </w:p>
        </w:tc>
      </w:tr>
      <w:tr w:rsidR="00B85776" w:rsidRPr="00E227C9" w14:paraId="634CADE2" w14:textId="77777777" w:rsidTr="00B85776">
        <w:trPr>
          <w:jc w:val="center"/>
        </w:trPr>
        <w:tc>
          <w:tcPr>
            <w:tcW w:w="2747" w:type="dxa"/>
            <w:tcBorders>
              <w:top w:val="single" w:sz="4" w:space="0" w:color="000000"/>
              <w:bottom w:val="single" w:sz="4" w:space="0" w:color="000000"/>
            </w:tcBorders>
          </w:tcPr>
          <w:p w14:paraId="3D60F312" w14:textId="77777777" w:rsidR="00B85776" w:rsidRPr="00E227C9" w:rsidRDefault="00B85776" w:rsidP="00B85776">
            <w:pPr>
              <w:rPr>
                <w:rFonts w:ascii="Arial" w:eastAsia="Arial" w:hAnsi="Arial" w:cs="Arial"/>
                <w:b/>
              </w:rPr>
            </w:pPr>
            <w:r w:rsidRPr="00E227C9">
              <w:rPr>
                <w:rFonts w:ascii="Arial" w:eastAsia="Arial" w:hAnsi="Arial" w:cs="Arial"/>
                <w:b/>
              </w:rPr>
              <w:t>3b</w:t>
            </w:r>
          </w:p>
        </w:tc>
        <w:tc>
          <w:tcPr>
            <w:tcW w:w="4523" w:type="dxa"/>
            <w:tcBorders>
              <w:top w:val="single" w:sz="4" w:space="0" w:color="000000"/>
              <w:bottom w:val="single" w:sz="4" w:space="0" w:color="000000"/>
            </w:tcBorders>
          </w:tcPr>
          <w:p w14:paraId="4B59C3B8" w14:textId="1503F680" w:rsidR="00B85776" w:rsidRPr="00E227C9" w:rsidRDefault="00B85776" w:rsidP="00B85776">
            <w:pPr>
              <w:rPr>
                <w:rFonts w:ascii="Arial" w:eastAsia="Arial" w:hAnsi="Arial" w:cs="Arial"/>
              </w:rPr>
            </w:pPr>
            <w:r w:rsidRPr="00E227C9">
              <w:rPr>
                <w:rFonts w:ascii="Arial" w:hAnsi="Arial" w:cs="Arial"/>
                <w:noProof/>
                <w:sz w:val="24"/>
                <w:szCs w:val="24"/>
              </w:rPr>
              <w:object w:dxaOrig="1978" w:dyaOrig="946" w14:anchorId="20D135A6">
                <v:shape id="_x0000_i1027" type="#_x0000_t75" style="width:98.3pt;height:46.35pt" o:ole="">
                  <v:imagedata r:id="rId21" o:title=""/>
                </v:shape>
                <o:OLEObject Type="Embed" ProgID="ChemDraw.Document.6.0" ShapeID="_x0000_i1027" DrawAspect="Content" ObjectID="_1827485021" r:id="rId22"/>
              </w:object>
            </w:r>
          </w:p>
        </w:tc>
        <w:tc>
          <w:tcPr>
            <w:tcW w:w="1743" w:type="dxa"/>
            <w:tcBorders>
              <w:top w:val="single" w:sz="4" w:space="0" w:color="000000"/>
              <w:bottom w:val="single" w:sz="4" w:space="0" w:color="000000"/>
            </w:tcBorders>
          </w:tcPr>
          <w:p w14:paraId="4DB63CF0" w14:textId="0097D5BC" w:rsidR="00B85776" w:rsidRPr="00E227C9" w:rsidRDefault="00B85776" w:rsidP="00B85776">
            <w:pPr>
              <w:rPr>
                <w:rFonts w:ascii="Arial" w:eastAsia="Arial" w:hAnsi="Arial" w:cs="Arial"/>
                <w:color w:val="EE0000"/>
              </w:rPr>
            </w:pPr>
            <w:r w:rsidRPr="00E227C9">
              <w:rPr>
                <w:rFonts w:ascii="Arial" w:hAnsi="Arial" w:cs="Arial"/>
                <w:color w:val="EE0000"/>
              </w:rPr>
              <w:t>75,48</w:t>
            </w:r>
          </w:p>
        </w:tc>
      </w:tr>
      <w:tr w:rsidR="00B85776" w:rsidRPr="00E227C9" w14:paraId="24CB9C70" w14:textId="77777777" w:rsidTr="00B85776">
        <w:trPr>
          <w:jc w:val="center"/>
        </w:trPr>
        <w:tc>
          <w:tcPr>
            <w:tcW w:w="2747" w:type="dxa"/>
            <w:tcBorders>
              <w:top w:val="single" w:sz="4" w:space="0" w:color="000000"/>
              <w:bottom w:val="single" w:sz="4" w:space="0" w:color="000000"/>
            </w:tcBorders>
          </w:tcPr>
          <w:p w14:paraId="0FB7AA1F" w14:textId="77777777" w:rsidR="00B85776" w:rsidRPr="00E227C9" w:rsidRDefault="00B85776" w:rsidP="00B85776">
            <w:pPr>
              <w:rPr>
                <w:rFonts w:ascii="Arial" w:eastAsia="Arial" w:hAnsi="Arial" w:cs="Arial"/>
                <w:b/>
              </w:rPr>
            </w:pPr>
            <w:r w:rsidRPr="00E227C9">
              <w:rPr>
                <w:rFonts w:ascii="Arial" w:eastAsia="Arial" w:hAnsi="Arial" w:cs="Arial"/>
                <w:b/>
              </w:rPr>
              <w:t>3c</w:t>
            </w:r>
          </w:p>
        </w:tc>
        <w:tc>
          <w:tcPr>
            <w:tcW w:w="4523" w:type="dxa"/>
            <w:tcBorders>
              <w:top w:val="single" w:sz="4" w:space="0" w:color="000000"/>
              <w:bottom w:val="single" w:sz="4" w:space="0" w:color="000000"/>
            </w:tcBorders>
          </w:tcPr>
          <w:p w14:paraId="140613C6" w14:textId="64C4C69F" w:rsidR="00B85776" w:rsidRPr="00E227C9" w:rsidRDefault="00B85776" w:rsidP="00B85776">
            <w:pPr>
              <w:rPr>
                <w:rFonts w:ascii="Arial" w:eastAsia="Arial" w:hAnsi="Arial" w:cs="Arial"/>
              </w:rPr>
            </w:pPr>
            <w:r w:rsidRPr="00E227C9">
              <w:rPr>
                <w:rFonts w:ascii="Arial" w:hAnsi="Arial" w:cs="Arial"/>
                <w:noProof/>
                <w:sz w:val="24"/>
                <w:szCs w:val="24"/>
              </w:rPr>
              <w:object w:dxaOrig="1978" w:dyaOrig="933" w14:anchorId="0FCDC9D6">
                <v:shape id="_x0000_i1028" type="#_x0000_t75" style="width:98.3pt;height:46.35pt" o:ole="">
                  <v:imagedata r:id="rId23" o:title=""/>
                </v:shape>
                <o:OLEObject Type="Embed" ProgID="ChemDraw.Document.6.0" ShapeID="_x0000_i1028" DrawAspect="Content" ObjectID="_1827485022" r:id="rId24"/>
              </w:object>
            </w:r>
          </w:p>
        </w:tc>
        <w:tc>
          <w:tcPr>
            <w:tcW w:w="1743" w:type="dxa"/>
            <w:tcBorders>
              <w:top w:val="single" w:sz="4" w:space="0" w:color="000000"/>
              <w:bottom w:val="single" w:sz="4" w:space="0" w:color="000000"/>
            </w:tcBorders>
          </w:tcPr>
          <w:p w14:paraId="4831425C" w14:textId="054CB554" w:rsidR="00B85776" w:rsidRPr="00E227C9" w:rsidRDefault="00B85776" w:rsidP="00B85776">
            <w:pPr>
              <w:rPr>
                <w:rFonts w:ascii="Arial" w:eastAsia="Arial" w:hAnsi="Arial" w:cs="Arial"/>
                <w:color w:val="EE0000"/>
              </w:rPr>
            </w:pPr>
            <w:r w:rsidRPr="00E227C9">
              <w:rPr>
                <w:rFonts w:ascii="Arial" w:hAnsi="Arial" w:cs="Arial"/>
                <w:color w:val="EE0000"/>
              </w:rPr>
              <w:t>79,93</w:t>
            </w:r>
          </w:p>
        </w:tc>
      </w:tr>
      <w:tr w:rsidR="00B85776" w:rsidRPr="00E227C9" w14:paraId="5FCC6669" w14:textId="77777777" w:rsidTr="00B85776">
        <w:trPr>
          <w:jc w:val="center"/>
        </w:trPr>
        <w:tc>
          <w:tcPr>
            <w:tcW w:w="2747" w:type="dxa"/>
            <w:tcBorders>
              <w:top w:val="single" w:sz="4" w:space="0" w:color="000000"/>
              <w:bottom w:val="single" w:sz="4" w:space="0" w:color="000000"/>
            </w:tcBorders>
          </w:tcPr>
          <w:p w14:paraId="323D466F" w14:textId="77777777" w:rsidR="00B85776" w:rsidRPr="00E227C9" w:rsidRDefault="00B85776" w:rsidP="00B85776">
            <w:pPr>
              <w:rPr>
                <w:rFonts w:ascii="Arial" w:eastAsia="Arial" w:hAnsi="Arial" w:cs="Arial"/>
                <w:b/>
              </w:rPr>
            </w:pPr>
            <w:r w:rsidRPr="00E227C9">
              <w:rPr>
                <w:rFonts w:ascii="Arial" w:eastAsia="Arial" w:hAnsi="Arial" w:cs="Arial"/>
                <w:b/>
              </w:rPr>
              <w:t>3d</w:t>
            </w:r>
          </w:p>
        </w:tc>
        <w:tc>
          <w:tcPr>
            <w:tcW w:w="4523" w:type="dxa"/>
            <w:tcBorders>
              <w:top w:val="single" w:sz="4" w:space="0" w:color="000000"/>
              <w:bottom w:val="single" w:sz="4" w:space="0" w:color="000000"/>
            </w:tcBorders>
          </w:tcPr>
          <w:p w14:paraId="73C3F0AE" w14:textId="3B6CC4FE" w:rsidR="00B85776" w:rsidRPr="00E227C9" w:rsidRDefault="00B85776" w:rsidP="00B85776">
            <w:pPr>
              <w:rPr>
                <w:rFonts w:ascii="Arial" w:eastAsia="Arial" w:hAnsi="Arial" w:cs="Arial"/>
              </w:rPr>
            </w:pPr>
            <w:r w:rsidRPr="00E227C9">
              <w:rPr>
                <w:rFonts w:ascii="Arial" w:hAnsi="Arial" w:cs="Arial"/>
                <w:noProof/>
                <w:sz w:val="24"/>
                <w:szCs w:val="24"/>
              </w:rPr>
              <w:object w:dxaOrig="1978" w:dyaOrig="933" w14:anchorId="08478959">
                <v:shape id="_x0000_i1029" type="#_x0000_t75" style="width:98.3pt;height:46.35pt" o:ole="">
                  <v:imagedata r:id="rId25" o:title=""/>
                </v:shape>
                <o:OLEObject Type="Embed" ProgID="ChemDraw.Document.6.0" ShapeID="_x0000_i1029" DrawAspect="Content" ObjectID="_1827485023" r:id="rId26"/>
              </w:object>
            </w:r>
          </w:p>
        </w:tc>
        <w:tc>
          <w:tcPr>
            <w:tcW w:w="1743" w:type="dxa"/>
            <w:tcBorders>
              <w:top w:val="single" w:sz="4" w:space="0" w:color="000000"/>
              <w:bottom w:val="single" w:sz="4" w:space="0" w:color="000000"/>
            </w:tcBorders>
          </w:tcPr>
          <w:p w14:paraId="3EF533AE" w14:textId="0C7208A9" w:rsidR="00B85776" w:rsidRPr="00E227C9" w:rsidRDefault="00B85776" w:rsidP="00B85776">
            <w:pPr>
              <w:rPr>
                <w:rFonts w:ascii="Arial" w:eastAsia="Arial" w:hAnsi="Arial" w:cs="Arial"/>
                <w:color w:val="EE0000"/>
              </w:rPr>
            </w:pPr>
            <w:r w:rsidRPr="00E227C9">
              <w:rPr>
                <w:rFonts w:ascii="Arial" w:hAnsi="Arial" w:cs="Arial"/>
                <w:color w:val="EE0000"/>
              </w:rPr>
              <w:t>76,50</w:t>
            </w:r>
          </w:p>
        </w:tc>
      </w:tr>
      <w:tr w:rsidR="00B85776" w:rsidRPr="00E227C9" w14:paraId="22B72B4E" w14:textId="77777777" w:rsidTr="00B85776">
        <w:trPr>
          <w:jc w:val="center"/>
        </w:trPr>
        <w:tc>
          <w:tcPr>
            <w:tcW w:w="2747" w:type="dxa"/>
            <w:tcBorders>
              <w:top w:val="single" w:sz="4" w:space="0" w:color="000000"/>
              <w:bottom w:val="single" w:sz="4" w:space="0" w:color="000000"/>
            </w:tcBorders>
          </w:tcPr>
          <w:p w14:paraId="3F81BFEF" w14:textId="77777777" w:rsidR="00B85776" w:rsidRPr="00E227C9" w:rsidRDefault="00B85776" w:rsidP="00B85776">
            <w:pPr>
              <w:rPr>
                <w:rFonts w:ascii="Arial" w:eastAsia="Arial" w:hAnsi="Arial" w:cs="Arial"/>
                <w:b/>
              </w:rPr>
            </w:pPr>
            <w:r w:rsidRPr="00E227C9">
              <w:rPr>
                <w:rFonts w:ascii="Arial" w:eastAsia="Arial" w:hAnsi="Arial" w:cs="Arial"/>
                <w:b/>
              </w:rPr>
              <w:t>3e</w:t>
            </w:r>
          </w:p>
        </w:tc>
        <w:tc>
          <w:tcPr>
            <w:tcW w:w="4523" w:type="dxa"/>
            <w:tcBorders>
              <w:top w:val="single" w:sz="4" w:space="0" w:color="000000"/>
              <w:bottom w:val="single" w:sz="4" w:space="0" w:color="000000"/>
            </w:tcBorders>
          </w:tcPr>
          <w:p w14:paraId="6FACFBFA" w14:textId="14AF3613" w:rsidR="00B85776" w:rsidRPr="00E227C9" w:rsidRDefault="00B85776" w:rsidP="00B85776">
            <w:pPr>
              <w:rPr>
                <w:rFonts w:ascii="Arial" w:eastAsia="Arial" w:hAnsi="Arial" w:cs="Arial"/>
              </w:rPr>
            </w:pPr>
            <w:r w:rsidRPr="00E227C9">
              <w:rPr>
                <w:rFonts w:ascii="Arial" w:hAnsi="Arial" w:cs="Arial"/>
                <w:noProof/>
                <w:sz w:val="24"/>
                <w:szCs w:val="24"/>
              </w:rPr>
              <w:object w:dxaOrig="2155" w:dyaOrig="946" w14:anchorId="00533F47">
                <v:shape id="_x0000_i1030" type="#_x0000_t75" style="width:106.45pt;height:46.35pt" o:ole="">
                  <v:imagedata r:id="rId27" o:title=""/>
                </v:shape>
                <o:OLEObject Type="Embed" ProgID="ChemDraw.Document.6.0" ShapeID="_x0000_i1030" DrawAspect="Content" ObjectID="_1827485024" r:id="rId28"/>
              </w:object>
            </w:r>
          </w:p>
        </w:tc>
        <w:tc>
          <w:tcPr>
            <w:tcW w:w="1743" w:type="dxa"/>
            <w:tcBorders>
              <w:top w:val="single" w:sz="4" w:space="0" w:color="000000"/>
              <w:bottom w:val="single" w:sz="4" w:space="0" w:color="000000"/>
            </w:tcBorders>
          </w:tcPr>
          <w:p w14:paraId="5A4BA2F3" w14:textId="0C2FDD38" w:rsidR="00B85776" w:rsidRPr="00E227C9" w:rsidRDefault="00B85776" w:rsidP="00B85776">
            <w:pPr>
              <w:rPr>
                <w:rFonts w:ascii="Arial" w:eastAsia="Arial" w:hAnsi="Arial" w:cs="Arial"/>
                <w:color w:val="EE0000"/>
              </w:rPr>
            </w:pPr>
            <w:r w:rsidRPr="00E227C9">
              <w:rPr>
                <w:rFonts w:ascii="Arial" w:hAnsi="Arial" w:cs="Arial"/>
                <w:color w:val="EE0000"/>
              </w:rPr>
              <w:t>76,50</w:t>
            </w:r>
          </w:p>
        </w:tc>
      </w:tr>
      <w:tr w:rsidR="00B85776" w:rsidRPr="00E227C9" w14:paraId="56460822" w14:textId="77777777" w:rsidTr="00B85776">
        <w:trPr>
          <w:jc w:val="center"/>
        </w:trPr>
        <w:tc>
          <w:tcPr>
            <w:tcW w:w="2747" w:type="dxa"/>
            <w:tcBorders>
              <w:top w:val="single" w:sz="4" w:space="0" w:color="000000"/>
              <w:bottom w:val="single" w:sz="4" w:space="0" w:color="000000"/>
            </w:tcBorders>
          </w:tcPr>
          <w:p w14:paraId="68051FCF" w14:textId="77777777" w:rsidR="00B85776" w:rsidRPr="00E227C9" w:rsidRDefault="00B85776" w:rsidP="00B85776">
            <w:pPr>
              <w:rPr>
                <w:rFonts w:ascii="Arial" w:eastAsia="Arial" w:hAnsi="Arial" w:cs="Arial"/>
                <w:b/>
              </w:rPr>
            </w:pPr>
            <w:r w:rsidRPr="00E227C9">
              <w:rPr>
                <w:rFonts w:ascii="Arial" w:eastAsia="Arial" w:hAnsi="Arial" w:cs="Arial"/>
                <w:b/>
              </w:rPr>
              <w:t>3f</w:t>
            </w:r>
          </w:p>
        </w:tc>
        <w:tc>
          <w:tcPr>
            <w:tcW w:w="4523" w:type="dxa"/>
            <w:tcBorders>
              <w:top w:val="single" w:sz="4" w:space="0" w:color="000000"/>
              <w:bottom w:val="single" w:sz="4" w:space="0" w:color="000000"/>
            </w:tcBorders>
          </w:tcPr>
          <w:p w14:paraId="27A22530" w14:textId="0559BBE0" w:rsidR="00B85776" w:rsidRPr="00E227C9" w:rsidRDefault="00B85776" w:rsidP="00B85776">
            <w:pPr>
              <w:rPr>
                <w:rFonts w:ascii="Arial" w:eastAsia="Arial" w:hAnsi="Arial" w:cs="Arial"/>
              </w:rPr>
            </w:pPr>
            <w:r w:rsidRPr="00E227C9">
              <w:rPr>
                <w:rFonts w:ascii="Arial" w:hAnsi="Arial" w:cs="Arial"/>
                <w:noProof/>
                <w:sz w:val="24"/>
                <w:szCs w:val="24"/>
              </w:rPr>
              <w:object w:dxaOrig="2475" w:dyaOrig="933" w14:anchorId="616F493E">
                <v:shape id="_x0000_i1031" type="#_x0000_t75" style="width:124.6pt;height:46.35pt" o:ole="">
                  <v:imagedata r:id="rId29" o:title=""/>
                </v:shape>
                <o:OLEObject Type="Embed" ProgID="ChemDraw.Document.6.0" ShapeID="_x0000_i1031" DrawAspect="Content" ObjectID="_1827485025" r:id="rId30"/>
              </w:object>
            </w:r>
          </w:p>
        </w:tc>
        <w:tc>
          <w:tcPr>
            <w:tcW w:w="1743" w:type="dxa"/>
            <w:tcBorders>
              <w:top w:val="single" w:sz="4" w:space="0" w:color="000000"/>
              <w:bottom w:val="single" w:sz="4" w:space="0" w:color="000000"/>
            </w:tcBorders>
          </w:tcPr>
          <w:p w14:paraId="127965E0" w14:textId="5EE31F9D" w:rsidR="00B85776" w:rsidRPr="00E227C9" w:rsidRDefault="00B85776" w:rsidP="00B85776">
            <w:pPr>
              <w:rPr>
                <w:rFonts w:ascii="Arial" w:eastAsia="Arial" w:hAnsi="Arial" w:cs="Arial"/>
                <w:color w:val="EE0000"/>
              </w:rPr>
            </w:pPr>
            <w:r w:rsidRPr="00E227C9">
              <w:rPr>
                <w:rFonts w:ascii="Arial" w:hAnsi="Arial" w:cs="Arial"/>
                <w:color w:val="EE0000"/>
              </w:rPr>
              <w:t>140,13</w:t>
            </w:r>
          </w:p>
        </w:tc>
      </w:tr>
      <w:tr w:rsidR="00B85776" w:rsidRPr="00E227C9" w14:paraId="1EEA01B6" w14:textId="77777777" w:rsidTr="00B85776">
        <w:trPr>
          <w:jc w:val="center"/>
        </w:trPr>
        <w:tc>
          <w:tcPr>
            <w:tcW w:w="2747" w:type="dxa"/>
            <w:tcBorders>
              <w:top w:val="single" w:sz="4" w:space="0" w:color="000000"/>
              <w:bottom w:val="single" w:sz="4" w:space="0" w:color="000000"/>
            </w:tcBorders>
          </w:tcPr>
          <w:p w14:paraId="57B2DE4F" w14:textId="77777777" w:rsidR="00B85776" w:rsidRPr="00E227C9" w:rsidRDefault="00B85776" w:rsidP="00B85776">
            <w:pPr>
              <w:rPr>
                <w:rFonts w:ascii="Arial" w:eastAsia="Arial" w:hAnsi="Arial" w:cs="Arial"/>
                <w:b/>
              </w:rPr>
            </w:pPr>
            <w:r w:rsidRPr="00E227C9">
              <w:rPr>
                <w:rFonts w:ascii="Arial" w:eastAsia="Arial" w:hAnsi="Arial" w:cs="Arial"/>
                <w:b/>
              </w:rPr>
              <w:t>3g</w:t>
            </w:r>
          </w:p>
        </w:tc>
        <w:tc>
          <w:tcPr>
            <w:tcW w:w="4523" w:type="dxa"/>
            <w:tcBorders>
              <w:top w:val="single" w:sz="4" w:space="0" w:color="000000"/>
              <w:bottom w:val="single" w:sz="4" w:space="0" w:color="000000"/>
            </w:tcBorders>
          </w:tcPr>
          <w:p w14:paraId="0407745D" w14:textId="169BABEA" w:rsidR="00B85776" w:rsidRPr="00E227C9" w:rsidRDefault="00B85776" w:rsidP="00B85776">
            <w:pPr>
              <w:rPr>
                <w:rFonts w:ascii="Arial" w:eastAsia="Arial" w:hAnsi="Arial" w:cs="Arial"/>
              </w:rPr>
            </w:pPr>
            <w:r w:rsidRPr="00E227C9">
              <w:rPr>
                <w:rFonts w:ascii="Arial" w:hAnsi="Arial" w:cs="Arial"/>
                <w:noProof/>
                <w:sz w:val="24"/>
                <w:szCs w:val="24"/>
              </w:rPr>
              <w:object w:dxaOrig="2379" w:dyaOrig="933" w14:anchorId="230875CB">
                <v:shape id="_x0000_i1032" type="#_x0000_t75" style="width:118.35pt;height:46.35pt" o:ole="">
                  <v:imagedata r:id="rId31" o:title=""/>
                </v:shape>
                <o:OLEObject Type="Embed" ProgID="ChemDraw.Document.6.0" ShapeID="_x0000_i1032" DrawAspect="Content" ObjectID="_1827485026" r:id="rId32"/>
              </w:object>
            </w:r>
          </w:p>
        </w:tc>
        <w:tc>
          <w:tcPr>
            <w:tcW w:w="1743" w:type="dxa"/>
            <w:tcBorders>
              <w:top w:val="single" w:sz="4" w:space="0" w:color="000000"/>
              <w:bottom w:val="single" w:sz="4" w:space="0" w:color="000000"/>
            </w:tcBorders>
          </w:tcPr>
          <w:p w14:paraId="2D07CA56" w14:textId="2F203FED" w:rsidR="00B85776" w:rsidRPr="00E227C9" w:rsidRDefault="00B85776" w:rsidP="00B85776">
            <w:pPr>
              <w:rPr>
                <w:rFonts w:ascii="Arial" w:eastAsia="Arial" w:hAnsi="Arial" w:cs="Arial"/>
                <w:color w:val="EE0000"/>
              </w:rPr>
            </w:pPr>
            <w:r w:rsidRPr="00E227C9">
              <w:rPr>
                <w:rFonts w:ascii="Arial" w:hAnsi="Arial" w:cs="Arial"/>
                <w:color w:val="EE0000"/>
              </w:rPr>
              <w:t>160,89</w:t>
            </w:r>
          </w:p>
        </w:tc>
      </w:tr>
      <w:tr w:rsidR="00B85776" w:rsidRPr="00E227C9" w14:paraId="4ECF5932" w14:textId="77777777" w:rsidTr="00B85776">
        <w:trPr>
          <w:jc w:val="center"/>
        </w:trPr>
        <w:tc>
          <w:tcPr>
            <w:tcW w:w="2747" w:type="dxa"/>
            <w:tcBorders>
              <w:top w:val="single" w:sz="4" w:space="0" w:color="000000"/>
              <w:bottom w:val="single" w:sz="4" w:space="0" w:color="000000"/>
            </w:tcBorders>
          </w:tcPr>
          <w:p w14:paraId="12506D00" w14:textId="77777777" w:rsidR="00B85776" w:rsidRPr="00E227C9" w:rsidRDefault="00B85776" w:rsidP="00B85776">
            <w:pPr>
              <w:rPr>
                <w:rFonts w:ascii="Arial" w:eastAsia="Arial" w:hAnsi="Arial" w:cs="Arial"/>
              </w:rPr>
            </w:pPr>
            <w:r w:rsidRPr="00E227C9">
              <w:rPr>
                <w:rFonts w:ascii="Arial" w:eastAsia="Arial" w:hAnsi="Arial" w:cs="Arial"/>
                <w:b/>
              </w:rPr>
              <w:t>3h</w:t>
            </w:r>
          </w:p>
        </w:tc>
        <w:tc>
          <w:tcPr>
            <w:tcW w:w="4523" w:type="dxa"/>
            <w:tcBorders>
              <w:top w:val="single" w:sz="4" w:space="0" w:color="000000"/>
              <w:bottom w:val="single" w:sz="4" w:space="0" w:color="000000"/>
            </w:tcBorders>
          </w:tcPr>
          <w:p w14:paraId="32725039" w14:textId="2BF2D35D" w:rsidR="00B85776" w:rsidRPr="00E227C9" w:rsidRDefault="00B85776" w:rsidP="00B85776">
            <w:pPr>
              <w:rPr>
                <w:rFonts w:ascii="Arial" w:eastAsia="Arial" w:hAnsi="Arial" w:cs="Arial"/>
              </w:rPr>
            </w:pPr>
            <w:r w:rsidRPr="00E227C9">
              <w:rPr>
                <w:rFonts w:ascii="Arial" w:hAnsi="Arial" w:cs="Arial"/>
                <w:noProof/>
                <w:sz w:val="24"/>
                <w:szCs w:val="24"/>
              </w:rPr>
              <w:object w:dxaOrig="2057" w:dyaOrig="946" w14:anchorId="7AC9D4BA">
                <v:shape id="_x0000_i1033" type="#_x0000_t75" style="width:102.05pt;height:46.35pt" o:ole="">
                  <v:imagedata r:id="rId33" o:title=""/>
                </v:shape>
                <o:OLEObject Type="Embed" ProgID="ChemDraw.Document.6.0" ShapeID="_x0000_i1033" DrawAspect="Content" ObjectID="_1827485027" r:id="rId34"/>
              </w:object>
            </w:r>
          </w:p>
        </w:tc>
        <w:tc>
          <w:tcPr>
            <w:tcW w:w="1743" w:type="dxa"/>
            <w:tcBorders>
              <w:top w:val="single" w:sz="4" w:space="0" w:color="000000"/>
              <w:bottom w:val="single" w:sz="4" w:space="0" w:color="000000"/>
            </w:tcBorders>
          </w:tcPr>
          <w:p w14:paraId="667C6F86" w14:textId="754EB7EE" w:rsidR="00B85776" w:rsidRPr="00E227C9" w:rsidRDefault="00B85776" w:rsidP="00B85776">
            <w:pPr>
              <w:rPr>
                <w:rFonts w:ascii="Arial" w:eastAsia="Arial" w:hAnsi="Arial" w:cs="Arial"/>
                <w:color w:val="EE0000"/>
              </w:rPr>
            </w:pPr>
            <w:r w:rsidRPr="00E227C9">
              <w:rPr>
                <w:rFonts w:ascii="Arial" w:hAnsi="Arial" w:cs="Arial"/>
                <w:color w:val="EE0000"/>
              </w:rPr>
              <w:t>80,44</w:t>
            </w:r>
          </w:p>
        </w:tc>
      </w:tr>
      <w:tr w:rsidR="00B85776" w:rsidRPr="00E227C9" w14:paraId="748F27E1" w14:textId="77777777" w:rsidTr="00B85776">
        <w:trPr>
          <w:jc w:val="center"/>
        </w:trPr>
        <w:tc>
          <w:tcPr>
            <w:tcW w:w="2747" w:type="dxa"/>
            <w:tcBorders>
              <w:top w:val="single" w:sz="4" w:space="0" w:color="000000"/>
              <w:bottom w:val="single" w:sz="4" w:space="0" w:color="000000"/>
            </w:tcBorders>
          </w:tcPr>
          <w:p w14:paraId="039DB420" w14:textId="77777777" w:rsidR="00B85776" w:rsidRPr="00E227C9" w:rsidRDefault="00B85776" w:rsidP="00B85776">
            <w:pPr>
              <w:rPr>
                <w:rFonts w:ascii="Arial" w:eastAsia="Arial" w:hAnsi="Arial" w:cs="Arial"/>
              </w:rPr>
            </w:pPr>
            <w:r w:rsidRPr="00E227C9">
              <w:rPr>
                <w:rFonts w:ascii="Arial" w:eastAsia="Arial" w:hAnsi="Arial" w:cs="Arial"/>
                <w:b/>
              </w:rPr>
              <w:t>3i</w:t>
            </w:r>
          </w:p>
        </w:tc>
        <w:tc>
          <w:tcPr>
            <w:tcW w:w="4523" w:type="dxa"/>
            <w:tcBorders>
              <w:top w:val="single" w:sz="4" w:space="0" w:color="000000"/>
              <w:bottom w:val="single" w:sz="4" w:space="0" w:color="000000"/>
            </w:tcBorders>
          </w:tcPr>
          <w:p w14:paraId="5413E4C0" w14:textId="4903FBF6" w:rsidR="00B85776" w:rsidRPr="00E227C9" w:rsidRDefault="00B85776" w:rsidP="00B85776">
            <w:pPr>
              <w:rPr>
                <w:rFonts w:ascii="Arial" w:eastAsia="Arial" w:hAnsi="Arial" w:cs="Arial"/>
              </w:rPr>
            </w:pPr>
            <w:r w:rsidRPr="00E227C9">
              <w:rPr>
                <w:rFonts w:ascii="Arial" w:hAnsi="Arial" w:cs="Arial"/>
                <w:noProof/>
                <w:sz w:val="24"/>
                <w:szCs w:val="24"/>
              </w:rPr>
              <w:object w:dxaOrig="1978" w:dyaOrig="933" w14:anchorId="3036FFE7">
                <v:shape id="_x0000_i1034" type="#_x0000_t75" style="width:98.3pt;height:46.35pt" o:ole="">
                  <v:imagedata r:id="rId35" o:title=""/>
                </v:shape>
                <o:OLEObject Type="Embed" ProgID="ChemDraw.Document.6.0" ShapeID="_x0000_i1034" DrawAspect="Content" ObjectID="_1827485028" r:id="rId36"/>
              </w:object>
            </w:r>
          </w:p>
        </w:tc>
        <w:tc>
          <w:tcPr>
            <w:tcW w:w="1743" w:type="dxa"/>
            <w:tcBorders>
              <w:top w:val="single" w:sz="4" w:space="0" w:color="000000"/>
              <w:bottom w:val="single" w:sz="4" w:space="0" w:color="000000"/>
            </w:tcBorders>
          </w:tcPr>
          <w:p w14:paraId="1A3B6B46" w14:textId="767D0D7B" w:rsidR="00B85776" w:rsidRPr="00E227C9" w:rsidRDefault="00B85776" w:rsidP="00B85776">
            <w:pPr>
              <w:rPr>
                <w:rFonts w:ascii="Arial" w:eastAsia="Arial" w:hAnsi="Arial" w:cs="Arial"/>
                <w:color w:val="EE0000"/>
              </w:rPr>
            </w:pPr>
            <w:r w:rsidRPr="00E227C9">
              <w:rPr>
                <w:rFonts w:ascii="Arial" w:hAnsi="Arial" w:cs="Arial"/>
                <w:color w:val="EE0000"/>
              </w:rPr>
              <w:t>&gt;292,61</w:t>
            </w:r>
          </w:p>
        </w:tc>
      </w:tr>
      <w:tr w:rsidR="00B85776" w:rsidRPr="00E227C9" w14:paraId="2F20ACF7" w14:textId="77777777" w:rsidTr="00B85776">
        <w:trPr>
          <w:jc w:val="center"/>
        </w:trPr>
        <w:tc>
          <w:tcPr>
            <w:tcW w:w="2747" w:type="dxa"/>
            <w:tcBorders>
              <w:top w:val="single" w:sz="4" w:space="0" w:color="000000"/>
              <w:bottom w:val="single" w:sz="4" w:space="0" w:color="000000"/>
            </w:tcBorders>
          </w:tcPr>
          <w:p w14:paraId="32F9DF92" w14:textId="77777777" w:rsidR="00B85776" w:rsidRPr="00E227C9" w:rsidRDefault="00B85776" w:rsidP="00B85776">
            <w:pPr>
              <w:rPr>
                <w:rFonts w:ascii="Arial" w:eastAsia="Arial" w:hAnsi="Arial" w:cs="Arial"/>
              </w:rPr>
            </w:pPr>
            <w:r w:rsidRPr="00E227C9">
              <w:rPr>
                <w:rFonts w:ascii="Arial" w:eastAsia="Arial" w:hAnsi="Arial" w:cs="Arial"/>
                <w:b/>
              </w:rPr>
              <w:t>3j</w:t>
            </w:r>
          </w:p>
        </w:tc>
        <w:tc>
          <w:tcPr>
            <w:tcW w:w="4523" w:type="dxa"/>
            <w:tcBorders>
              <w:top w:val="single" w:sz="4" w:space="0" w:color="000000"/>
              <w:bottom w:val="single" w:sz="4" w:space="0" w:color="000000"/>
            </w:tcBorders>
          </w:tcPr>
          <w:p w14:paraId="3702AF31" w14:textId="10BF0925" w:rsidR="00B85776" w:rsidRPr="00E227C9" w:rsidRDefault="00B85776" w:rsidP="00B85776">
            <w:pPr>
              <w:rPr>
                <w:rFonts w:ascii="Arial" w:eastAsia="Arial" w:hAnsi="Arial" w:cs="Arial"/>
              </w:rPr>
            </w:pPr>
            <w:r w:rsidRPr="00E227C9">
              <w:rPr>
                <w:rFonts w:ascii="Arial" w:hAnsi="Arial" w:cs="Arial"/>
                <w:noProof/>
                <w:sz w:val="24"/>
                <w:szCs w:val="24"/>
              </w:rPr>
              <w:object w:dxaOrig="2062" w:dyaOrig="946" w14:anchorId="3262BB7A">
                <v:shape id="_x0000_i1035" type="#_x0000_t75" style="width:103.3pt;height:46.35pt" o:ole="">
                  <v:imagedata r:id="rId37" o:title=""/>
                </v:shape>
                <o:OLEObject Type="Embed" ProgID="ChemDraw.Document.6.0" ShapeID="_x0000_i1035" DrawAspect="Content" ObjectID="_1827485029" r:id="rId38"/>
              </w:object>
            </w:r>
          </w:p>
        </w:tc>
        <w:tc>
          <w:tcPr>
            <w:tcW w:w="1743" w:type="dxa"/>
            <w:tcBorders>
              <w:top w:val="single" w:sz="4" w:space="0" w:color="000000"/>
              <w:bottom w:val="single" w:sz="4" w:space="0" w:color="000000"/>
            </w:tcBorders>
          </w:tcPr>
          <w:p w14:paraId="7D07CBC1" w14:textId="2C9F2DD5" w:rsidR="00B85776" w:rsidRPr="00E227C9" w:rsidRDefault="00B85776" w:rsidP="00B85776">
            <w:pPr>
              <w:rPr>
                <w:rFonts w:ascii="Arial" w:eastAsia="Arial" w:hAnsi="Arial" w:cs="Arial"/>
                <w:color w:val="EE0000"/>
              </w:rPr>
            </w:pPr>
            <w:r w:rsidRPr="00E227C9">
              <w:rPr>
                <w:rFonts w:ascii="Arial" w:hAnsi="Arial" w:cs="Arial"/>
                <w:color w:val="EE0000"/>
              </w:rPr>
              <w:t>146,30</w:t>
            </w:r>
          </w:p>
        </w:tc>
      </w:tr>
      <w:tr w:rsidR="00B0210B" w:rsidRPr="00E227C9" w14:paraId="7EAC9525" w14:textId="77777777" w:rsidTr="00B85776">
        <w:trPr>
          <w:jc w:val="center"/>
        </w:trPr>
        <w:tc>
          <w:tcPr>
            <w:tcW w:w="2747" w:type="dxa"/>
            <w:tcBorders>
              <w:top w:val="single" w:sz="4" w:space="0" w:color="000000"/>
              <w:bottom w:val="single" w:sz="4" w:space="0" w:color="000000"/>
            </w:tcBorders>
          </w:tcPr>
          <w:p w14:paraId="13985155" w14:textId="65182E28" w:rsidR="00B0210B" w:rsidRPr="00E227C9" w:rsidRDefault="00E067BA">
            <w:pPr>
              <w:rPr>
                <w:rFonts w:ascii="Arial" w:eastAsia="Arial" w:hAnsi="Arial" w:cs="Arial"/>
              </w:rPr>
            </w:pPr>
            <w:r w:rsidRPr="00E227C9">
              <w:rPr>
                <w:rFonts w:ascii="Arial" w:eastAsia="Arial" w:hAnsi="Arial" w:cs="Arial"/>
              </w:rPr>
              <w:t>Itraconazole</w:t>
            </w:r>
          </w:p>
        </w:tc>
        <w:tc>
          <w:tcPr>
            <w:tcW w:w="4523" w:type="dxa"/>
            <w:tcBorders>
              <w:top w:val="single" w:sz="4" w:space="0" w:color="000000"/>
              <w:bottom w:val="single" w:sz="4" w:space="0" w:color="000000"/>
            </w:tcBorders>
          </w:tcPr>
          <w:p w14:paraId="5574D5F0" w14:textId="77777777" w:rsidR="00B0210B" w:rsidRPr="00E227C9" w:rsidRDefault="00B0210B">
            <w:pPr>
              <w:rPr>
                <w:rFonts w:ascii="Arial" w:eastAsia="Arial" w:hAnsi="Arial" w:cs="Arial"/>
              </w:rPr>
            </w:pPr>
          </w:p>
        </w:tc>
        <w:tc>
          <w:tcPr>
            <w:tcW w:w="1743" w:type="dxa"/>
            <w:tcBorders>
              <w:top w:val="single" w:sz="4" w:space="0" w:color="000000"/>
              <w:bottom w:val="single" w:sz="4" w:space="0" w:color="000000"/>
            </w:tcBorders>
          </w:tcPr>
          <w:p w14:paraId="7E402A88" w14:textId="617339B5" w:rsidR="00B0210B" w:rsidRPr="00E227C9" w:rsidRDefault="00B85776">
            <w:pPr>
              <w:rPr>
                <w:rFonts w:ascii="Arial" w:eastAsia="Arial" w:hAnsi="Arial" w:cs="Arial"/>
                <w:color w:val="EE0000"/>
              </w:rPr>
            </w:pPr>
            <w:r w:rsidRPr="00E227C9">
              <w:rPr>
                <w:rFonts w:ascii="Arial" w:eastAsia="Times New Roman" w:hAnsi="Arial" w:cs="Arial"/>
                <w:noProof/>
                <w:color w:val="EE0000"/>
                <w:lang w:eastAsia="fr-FR"/>
              </w:rPr>
              <w:t>&lt;1,11</w:t>
            </w:r>
          </w:p>
        </w:tc>
      </w:tr>
    </w:tbl>
    <w:p w14:paraId="3DE2A274" w14:textId="77777777" w:rsidR="00B0210B" w:rsidRPr="00E227C9" w:rsidRDefault="00B0210B">
      <w:pPr>
        <w:spacing w:after="0" w:line="240" w:lineRule="auto"/>
        <w:jc w:val="both"/>
        <w:rPr>
          <w:rFonts w:ascii="Arial" w:eastAsia="Arial" w:hAnsi="Arial" w:cs="Arial"/>
          <w:b/>
        </w:rPr>
        <w:sectPr w:rsidR="00B0210B" w:rsidRPr="00E227C9">
          <w:type w:val="continuous"/>
          <w:pgSz w:w="11909" w:h="16834"/>
          <w:pgMar w:top="1440" w:right="1440" w:bottom="1440" w:left="1440" w:header="720" w:footer="864" w:gutter="0"/>
          <w:cols w:space="720"/>
        </w:sectPr>
      </w:pPr>
    </w:p>
    <w:p w14:paraId="72F7A0CB" w14:textId="77777777" w:rsidR="00B10D99" w:rsidRPr="00E227C9" w:rsidRDefault="00B10D99">
      <w:pPr>
        <w:spacing w:after="0" w:line="240" w:lineRule="auto"/>
        <w:jc w:val="both"/>
        <w:rPr>
          <w:rFonts w:ascii="Arial" w:eastAsia="Arial" w:hAnsi="Arial" w:cs="Arial"/>
          <w:b/>
          <w:sz w:val="20"/>
          <w:szCs w:val="20"/>
        </w:rPr>
      </w:pPr>
      <w:bookmarkStart w:id="1" w:name="_Hlk216267329"/>
    </w:p>
    <w:p w14:paraId="25B01C8E" w14:textId="36E7BAD7" w:rsidR="00B0210B" w:rsidRPr="00E227C9" w:rsidRDefault="00424C6B">
      <w:pPr>
        <w:spacing w:after="0" w:line="240" w:lineRule="auto"/>
        <w:jc w:val="both"/>
        <w:rPr>
          <w:rFonts w:ascii="Arial" w:eastAsia="Arial" w:hAnsi="Arial" w:cs="Arial"/>
          <w:b/>
          <w:sz w:val="20"/>
          <w:szCs w:val="20"/>
        </w:rPr>
      </w:pPr>
      <w:r w:rsidRPr="00E227C9">
        <w:rPr>
          <w:rFonts w:ascii="Arial" w:eastAsia="Arial" w:hAnsi="Arial" w:cs="Arial"/>
          <w:b/>
          <w:sz w:val="20"/>
          <w:szCs w:val="20"/>
        </w:rPr>
        <w:t>3.1.2 Antifungal activity</w:t>
      </w:r>
    </w:p>
    <w:bookmarkEnd w:id="1"/>
    <w:p w14:paraId="70442988" w14:textId="77777777" w:rsidR="00B0210B" w:rsidRPr="00E227C9" w:rsidRDefault="00B0210B">
      <w:pPr>
        <w:spacing w:after="0" w:line="240" w:lineRule="auto"/>
        <w:jc w:val="both"/>
        <w:rPr>
          <w:rFonts w:ascii="Arial" w:eastAsia="Arial" w:hAnsi="Arial" w:cs="Arial"/>
          <w:sz w:val="20"/>
          <w:szCs w:val="20"/>
        </w:rPr>
      </w:pPr>
    </w:p>
    <w:p w14:paraId="7831AEE6" w14:textId="784FAD3B" w:rsidR="00B0210B" w:rsidRPr="00E227C9" w:rsidRDefault="00B10D99">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The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activity of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-chalcone hybrids was evaluated in vitro against an Aspergillus flavus strain by determining the minimum inhibitory concentrations (MICs), expressed in µM. The MICs of the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-chalcones are grouped in the table below (Table 1).</w:t>
      </w:r>
    </w:p>
    <w:p w14:paraId="585D98DB" w14:textId="77777777" w:rsidR="00B10D99" w:rsidRPr="00E227C9" w:rsidRDefault="00B10D99">
      <w:pPr>
        <w:spacing w:after="0" w:line="240" w:lineRule="auto"/>
        <w:jc w:val="both"/>
        <w:rPr>
          <w:rFonts w:ascii="Arial" w:eastAsia="Arial" w:hAnsi="Arial" w:cs="Arial"/>
          <w:sz w:val="20"/>
          <w:szCs w:val="20"/>
        </w:rPr>
      </w:pPr>
    </w:p>
    <w:p w14:paraId="250FB57B" w14:textId="77777777" w:rsidR="00B0210B" w:rsidRPr="00E227C9" w:rsidRDefault="00424C6B">
      <w:pPr>
        <w:spacing w:after="0" w:line="240" w:lineRule="auto"/>
        <w:jc w:val="both"/>
        <w:rPr>
          <w:rFonts w:ascii="Arial" w:eastAsia="Arial" w:hAnsi="Arial" w:cs="Arial"/>
          <w:b/>
        </w:rPr>
      </w:pPr>
      <w:bookmarkStart w:id="2" w:name="_Hlk216268684"/>
      <w:r w:rsidRPr="00E227C9">
        <w:rPr>
          <w:rFonts w:ascii="Arial" w:eastAsia="Arial" w:hAnsi="Arial" w:cs="Arial"/>
          <w:b/>
        </w:rPr>
        <w:t xml:space="preserve">3.2 Discussion </w:t>
      </w:r>
      <w:bookmarkEnd w:id="2"/>
    </w:p>
    <w:p w14:paraId="3BAFA0B2" w14:textId="2F7AE6D8" w:rsidR="00B0210B" w:rsidRPr="00E227C9" w:rsidRDefault="00B10D99">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Analysis of the results obtained established that the attachment of the imidazopyridine heterocycle to the </w:t>
      </w:r>
      <w:proofErr w:type="spellStart"/>
      <w:r w:rsidRPr="00E227C9">
        <w:rPr>
          <w:rFonts w:ascii="Arial" w:eastAsia="Arial" w:hAnsi="Arial" w:cs="Arial"/>
          <w:sz w:val="20"/>
          <w:szCs w:val="20"/>
        </w:rPr>
        <w:t>phenylpropenone</w:t>
      </w:r>
      <w:proofErr w:type="spellEnd"/>
      <w:r w:rsidRPr="00E227C9">
        <w:rPr>
          <w:rFonts w:ascii="Arial" w:eastAsia="Arial" w:hAnsi="Arial" w:cs="Arial"/>
          <w:sz w:val="20"/>
          <w:szCs w:val="20"/>
        </w:rPr>
        <w:t xml:space="preserve"> functional group of chalcones at position 3 leads to compound 3a, which possesses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activity against Aspergillus flavus with a MIC of 8</w:t>
      </w:r>
      <w:r w:rsidR="00B85776" w:rsidRPr="00E227C9">
        <w:rPr>
          <w:rFonts w:ascii="Arial" w:eastAsia="Arial" w:hAnsi="Arial" w:cs="Arial"/>
          <w:sz w:val="20"/>
          <w:szCs w:val="20"/>
        </w:rPr>
        <w:t>4</w:t>
      </w:r>
      <w:r w:rsidRPr="00E227C9">
        <w:rPr>
          <w:rFonts w:ascii="Arial" w:eastAsia="Arial" w:hAnsi="Arial" w:cs="Arial"/>
          <w:sz w:val="20"/>
          <w:szCs w:val="20"/>
        </w:rPr>
        <w:t>.</w:t>
      </w:r>
      <w:r w:rsidR="00B85776" w:rsidRPr="00E227C9">
        <w:rPr>
          <w:rFonts w:ascii="Arial" w:eastAsia="Arial" w:hAnsi="Arial" w:cs="Arial"/>
          <w:sz w:val="20"/>
          <w:szCs w:val="20"/>
        </w:rPr>
        <w:t>03</w:t>
      </w:r>
      <w:r w:rsidRPr="00E227C9">
        <w:rPr>
          <w:rFonts w:ascii="Arial" w:eastAsia="Arial" w:hAnsi="Arial" w:cs="Arial"/>
          <w:sz w:val="20"/>
          <w:szCs w:val="20"/>
        </w:rPr>
        <w:t xml:space="preserve"> µM. The presence of </w:t>
      </w:r>
      <w:proofErr w:type="spellStart"/>
      <w:r w:rsidRPr="00E227C9">
        <w:rPr>
          <w:rFonts w:ascii="Arial" w:eastAsia="Arial" w:hAnsi="Arial" w:cs="Arial"/>
          <w:sz w:val="20"/>
          <w:szCs w:val="20"/>
        </w:rPr>
        <w:t>phenylpropenone</w:t>
      </w:r>
      <w:proofErr w:type="spellEnd"/>
      <w:r w:rsidRPr="00E227C9">
        <w:rPr>
          <w:rFonts w:ascii="Arial" w:eastAsia="Arial" w:hAnsi="Arial" w:cs="Arial"/>
          <w:sz w:val="20"/>
          <w:szCs w:val="20"/>
        </w:rPr>
        <w:t xml:space="preserve"> at position 3 of the imidazopyridine appears to be favorable to the development and maintenance of antifungal activity. Based on this result, several structural variations were undertaken around the benzene homocycle of compound 3a to improve its activity. These variations demonstrate that the introduction of a halogen atom, specifically a chlorine atom, at position 3 of the benzene ring (compound 3b) leads to a slight improvement in antifungal activity with a MIC of 75.48 µM. However, this performance remains more than 50 times lower than that of the reference drug, Itraconazole (MIC &lt; 1.11 µM). This result with the chlorine atom, compared to compound 3a, could be partially explained by the greater lipophilicity of the chlorine atom compared to the hydrogen atom. Replacing the chlorine atom with a hydroxyl group at position 2 of benzene (compound 3c) maintains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efficacy with an MIC of 79.93 µM. This slightly better efficacy compared to compound 3a could be explained by the hydroxyl group's ability to form additional hydrogen bonds with the biological</w:t>
      </w:r>
      <w:bookmarkStart w:id="3" w:name="_GoBack"/>
      <w:bookmarkEnd w:id="3"/>
      <w:r w:rsidRPr="00E227C9">
        <w:rPr>
          <w:rFonts w:ascii="Arial" w:eastAsia="Arial" w:hAnsi="Arial" w:cs="Arial"/>
          <w:sz w:val="20"/>
          <w:szCs w:val="20"/>
        </w:rPr>
        <w:t xml:space="preserve"> target. Furthermore, O-methylation of the hydroxyl group at position 2 to obtain the 2-methoxylated derivative (compound 3d) results in efficacy comparable to that of compound 2, with a MIC of 76.50 µM. The presence of the </w:t>
      </w:r>
      <w:proofErr w:type="spellStart"/>
      <w:r w:rsidRPr="00E227C9">
        <w:rPr>
          <w:rFonts w:ascii="Arial" w:eastAsia="Arial" w:hAnsi="Arial" w:cs="Arial"/>
          <w:sz w:val="20"/>
          <w:szCs w:val="20"/>
        </w:rPr>
        <w:t>methoxyl</w:t>
      </w:r>
      <w:proofErr w:type="spellEnd"/>
      <w:r w:rsidRPr="00E227C9">
        <w:rPr>
          <w:rFonts w:ascii="Arial" w:eastAsia="Arial" w:hAnsi="Arial" w:cs="Arial"/>
          <w:sz w:val="20"/>
          <w:szCs w:val="20"/>
        </w:rPr>
        <w:t xml:space="preserve"> group leads to a slight improvement in antifungal activity compared to compound 1, thus confirming the benefit of weakly electron-donating groups in enhancing antifungal activity. Repositioning the </w:t>
      </w:r>
      <w:proofErr w:type="spellStart"/>
      <w:r w:rsidRPr="00E227C9">
        <w:rPr>
          <w:rFonts w:ascii="Arial" w:eastAsia="Arial" w:hAnsi="Arial" w:cs="Arial"/>
          <w:sz w:val="20"/>
          <w:szCs w:val="20"/>
        </w:rPr>
        <w:t>methoxyl</w:t>
      </w:r>
      <w:proofErr w:type="spellEnd"/>
      <w:r w:rsidRPr="00E227C9">
        <w:rPr>
          <w:rFonts w:ascii="Arial" w:eastAsia="Arial" w:hAnsi="Arial" w:cs="Arial"/>
          <w:sz w:val="20"/>
          <w:szCs w:val="20"/>
        </w:rPr>
        <w:t xml:space="preserve"> group to position 3 of benzene (compound 3e) results in the same efficacy observed with compound 3d, also with a MIC of 76.50 µM. Such modulation of antifungal activity by weakly electron-donating groups like </w:t>
      </w:r>
      <w:proofErr w:type="spellStart"/>
      <w:r w:rsidRPr="00E227C9">
        <w:rPr>
          <w:rFonts w:ascii="Arial" w:eastAsia="Arial" w:hAnsi="Arial" w:cs="Arial"/>
          <w:sz w:val="20"/>
          <w:szCs w:val="20"/>
        </w:rPr>
        <w:t>methoxyl</w:t>
      </w:r>
      <w:proofErr w:type="spellEnd"/>
      <w:r w:rsidRPr="00E227C9">
        <w:rPr>
          <w:rFonts w:ascii="Arial" w:eastAsia="Arial" w:hAnsi="Arial" w:cs="Arial"/>
          <w:sz w:val="20"/>
          <w:szCs w:val="20"/>
        </w:rPr>
        <w:t xml:space="preserve"> appears to be beneficial in maintaining these </w:t>
      </w:r>
      <w:r w:rsidR="00E227C9">
        <w:rPr>
          <w:rFonts w:ascii="Arial" w:eastAsia="Arial" w:hAnsi="Arial" w:cs="Arial"/>
          <w:color w:val="EE0000"/>
          <w:sz w:val="20"/>
          <w:szCs w:val="20"/>
        </w:rPr>
        <w:t>anti-</w:t>
      </w:r>
      <w:r w:rsidR="00E227C9">
        <w:rPr>
          <w:rFonts w:ascii="Arial" w:eastAsia="Arial" w:hAnsi="Arial" w:cs="Arial"/>
          <w:color w:val="EE0000"/>
          <w:sz w:val="20"/>
          <w:szCs w:val="20"/>
        </w:rPr>
        <w:t>Aspergillus</w:t>
      </w:r>
      <w:r w:rsidRPr="00E227C9">
        <w:rPr>
          <w:rFonts w:ascii="Arial" w:eastAsia="Arial" w:hAnsi="Arial" w:cs="Arial"/>
          <w:sz w:val="20"/>
          <w:szCs w:val="20"/>
        </w:rPr>
        <w:t xml:space="preserve"> activities. However, duplication of the </w:t>
      </w:r>
      <w:proofErr w:type="spellStart"/>
      <w:r w:rsidRPr="00E227C9">
        <w:rPr>
          <w:rFonts w:ascii="Arial" w:eastAsia="Arial" w:hAnsi="Arial" w:cs="Arial"/>
          <w:sz w:val="20"/>
          <w:szCs w:val="20"/>
        </w:rPr>
        <w:t>methoxyl</w:t>
      </w:r>
      <w:proofErr w:type="spellEnd"/>
      <w:r w:rsidRPr="00E227C9">
        <w:rPr>
          <w:rFonts w:ascii="Arial" w:eastAsia="Arial" w:hAnsi="Arial" w:cs="Arial"/>
          <w:sz w:val="20"/>
          <w:szCs w:val="20"/>
        </w:rPr>
        <w:t xml:space="preserve"> group at positions 2 and 4 of benzene (compound 3f) leads to a decrease in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performance. Indeed, the 2,4-dimethoxylated derivative with a MIC of 140.13 µM proved to be approximately half as effective as its </w:t>
      </w:r>
      <w:proofErr w:type="spellStart"/>
      <w:r w:rsidRPr="00E227C9">
        <w:rPr>
          <w:rFonts w:ascii="Arial" w:eastAsia="Arial" w:hAnsi="Arial" w:cs="Arial"/>
          <w:sz w:val="20"/>
          <w:szCs w:val="20"/>
        </w:rPr>
        <w:t>monomethoxylated</w:t>
      </w:r>
      <w:proofErr w:type="spellEnd"/>
      <w:r w:rsidRPr="00E227C9">
        <w:rPr>
          <w:rFonts w:ascii="Arial" w:eastAsia="Arial" w:hAnsi="Arial" w:cs="Arial"/>
          <w:sz w:val="20"/>
          <w:szCs w:val="20"/>
        </w:rPr>
        <w:t xml:space="preserve"> analogs. Furthermore, the introduction of a methyl group at position 4 of benzene (compound 3g) did not improve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performance. Indeed, compound 3g, with a MIC of 160.89 µM, proved to be half as effective as compound 1. However, repositioning this methyl group to the 3-isomeric position of benzene (compound 3h, MIC = 80.44 µM) resulted in efficacy comparable to that of compounds 1 and 3. Ultimately, modulating antifungal performance with methyl groups appears to be more effective with the methyl group in the 3-position of the benzene ring. The introduction of a nitro-withdrawing electron group (compounds 3i and 3j) generally leads to a loss of molecule efficacy. In fact, compound 3i, with a MIC &gt; 292.61 µM, resulted in the complete elimination of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activity. As for its analog, 3-nitrated (compound 3j) (MIC = 146.30 µM), it proved to be half as active as the initial compound 1. This result also shows that the isomeric position of the nitro group influences the molecule's affinity for its receptor and, consequently, its antifungal activity. The nitro group, known in medicinal chemistry as a modulator of the anti-infective activities of serial 5-nitroimidazoles and analogs (</w:t>
      </w:r>
      <w:r w:rsidRPr="00E227C9">
        <w:rPr>
          <w:rFonts w:ascii="Arial" w:hAnsi="Arial" w:cs="Arial"/>
        </w:rPr>
        <w:t xml:space="preserve">Gupta </w:t>
      </w:r>
      <w:r w:rsidR="006E3603">
        <w:rPr>
          <w:rFonts w:ascii="Arial" w:hAnsi="Arial" w:cs="Arial"/>
        </w:rPr>
        <w:t>and</w:t>
      </w:r>
      <w:r w:rsidRPr="00E227C9">
        <w:rPr>
          <w:rFonts w:ascii="Arial" w:hAnsi="Arial" w:cs="Arial"/>
        </w:rPr>
        <w:t xml:space="preserve"> al., 2022)</w:t>
      </w:r>
      <w:r w:rsidRPr="00E227C9">
        <w:rPr>
          <w:rFonts w:ascii="Arial" w:eastAsia="Arial" w:hAnsi="Arial" w:cs="Arial"/>
          <w:sz w:val="20"/>
          <w:szCs w:val="20"/>
        </w:rPr>
        <w:t xml:space="preserve"> does not appear to be conducive to enhancing the expected antifungal activities.</w:t>
      </w:r>
    </w:p>
    <w:p w14:paraId="020E6C7E" w14:textId="3F330E47" w:rsidR="00B04956" w:rsidRPr="00E227C9" w:rsidRDefault="00B04956">
      <w:pPr>
        <w:spacing w:after="0" w:line="240" w:lineRule="auto"/>
        <w:jc w:val="both"/>
        <w:rPr>
          <w:rFonts w:ascii="Arial" w:eastAsia="Arial" w:hAnsi="Arial" w:cs="Arial"/>
          <w:color w:val="EE0000"/>
          <w:sz w:val="20"/>
          <w:szCs w:val="20"/>
        </w:rPr>
      </w:pPr>
      <w:r w:rsidRPr="00E227C9">
        <w:rPr>
          <w:rFonts w:ascii="Arial" w:eastAsia="Arial" w:hAnsi="Arial" w:cs="Arial"/>
          <w:color w:val="EE0000"/>
          <w:sz w:val="20"/>
          <w:szCs w:val="20"/>
        </w:rPr>
        <w:t>These results allow us to validate the chemical profile of 6-chloroimidazo[1,2-</w:t>
      </w:r>
      <w:proofErr w:type="gramStart"/>
      <w:r w:rsidRPr="00E227C9">
        <w:rPr>
          <w:rFonts w:ascii="Arial" w:eastAsia="Arial" w:hAnsi="Arial" w:cs="Arial"/>
          <w:color w:val="EE0000"/>
          <w:sz w:val="20"/>
          <w:szCs w:val="20"/>
        </w:rPr>
        <w:t>a]pyridinyl</w:t>
      </w:r>
      <w:proofErr w:type="gramEnd"/>
      <w:r w:rsidRPr="00E227C9">
        <w:rPr>
          <w:rFonts w:ascii="Arial" w:eastAsia="Arial" w:hAnsi="Arial" w:cs="Arial"/>
          <w:color w:val="EE0000"/>
          <w:sz w:val="20"/>
          <w:szCs w:val="20"/>
        </w:rPr>
        <w:t xml:space="preserve">-chalcone hybrids as a new </w:t>
      </w:r>
      <w:r w:rsidR="00E227C9">
        <w:rPr>
          <w:rFonts w:ascii="Arial" w:eastAsia="Arial" w:hAnsi="Arial" w:cs="Arial"/>
          <w:color w:val="EE0000"/>
          <w:sz w:val="20"/>
          <w:szCs w:val="20"/>
        </w:rPr>
        <w:t>anti-Aspergillus</w:t>
      </w:r>
      <w:r w:rsidRPr="00E227C9">
        <w:rPr>
          <w:rFonts w:ascii="Arial" w:eastAsia="Arial" w:hAnsi="Arial" w:cs="Arial"/>
          <w:color w:val="EE0000"/>
          <w:sz w:val="20"/>
          <w:szCs w:val="20"/>
        </w:rPr>
        <w:t xml:space="preserve"> pharmacophore. It therefore appears necessary to continue this pharmacochemical work to elucidate the mechanism of action of these new molecules against the Aspergillus genus.</w:t>
      </w:r>
    </w:p>
    <w:p w14:paraId="7DEA2857" w14:textId="77777777" w:rsidR="00B04956" w:rsidRPr="00E227C9" w:rsidRDefault="00B04956">
      <w:pPr>
        <w:spacing w:after="0" w:line="240" w:lineRule="auto"/>
        <w:jc w:val="both"/>
        <w:rPr>
          <w:rFonts w:ascii="Arial" w:eastAsia="Arial" w:hAnsi="Arial" w:cs="Arial"/>
          <w:sz w:val="20"/>
          <w:szCs w:val="20"/>
        </w:rPr>
      </w:pPr>
    </w:p>
    <w:p w14:paraId="1EAEA404" w14:textId="77777777" w:rsidR="00B10D99" w:rsidRPr="00E227C9" w:rsidRDefault="00B10D99">
      <w:pPr>
        <w:spacing w:after="0" w:line="240" w:lineRule="auto"/>
        <w:jc w:val="both"/>
        <w:rPr>
          <w:rFonts w:ascii="Arial" w:eastAsia="Arial" w:hAnsi="Arial" w:cs="Arial"/>
          <w:b/>
          <w:sz w:val="20"/>
          <w:szCs w:val="20"/>
        </w:rPr>
      </w:pPr>
    </w:p>
    <w:p w14:paraId="5BB4AD2C" w14:textId="77777777" w:rsidR="00B0210B" w:rsidRPr="00E227C9" w:rsidRDefault="00424C6B">
      <w:pPr>
        <w:pStyle w:val="Heading2"/>
        <w:keepNext w:val="0"/>
        <w:keepLines w:val="0"/>
      </w:pPr>
      <w:r w:rsidRPr="00E227C9">
        <w:t>4. CONCLUSION</w:t>
      </w:r>
    </w:p>
    <w:p w14:paraId="3D644907" w14:textId="77777777" w:rsidR="00B0210B" w:rsidRPr="00E227C9" w:rsidRDefault="00B0210B">
      <w:pPr>
        <w:spacing w:after="0" w:line="240" w:lineRule="auto"/>
        <w:jc w:val="both"/>
        <w:rPr>
          <w:rFonts w:ascii="Arial" w:eastAsia="Arial" w:hAnsi="Arial" w:cs="Arial"/>
          <w:b/>
          <w:sz w:val="20"/>
          <w:szCs w:val="20"/>
        </w:rPr>
      </w:pPr>
    </w:p>
    <w:p w14:paraId="245904DB" w14:textId="5409C6E3" w:rsidR="00B0210B" w:rsidRPr="00E227C9" w:rsidRDefault="00B10D99">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This study demonstrates the antifungal potential of </w:t>
      </w:r>
      <w:bookmarkStart w:id="4" w:name="_Hlk216794921"/>
      <w:r w:rsidRPr="00E227C9">
        <w:rPr>
          <w:rFonts w:ascii="Arial" w:eastAsia="Arial" w:hAnsi="Arial" w:cs="Arial"/>
          <w:sz w:val="20"/>
          <w:szCs w:val="20"/>
        </w:rPr>
        <w:t>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-chalcone hybrids</w:t>
      </w:r>
      <w:bookmarkEnd w:id="4"/>
      <w:r w:rsidRPr="00E227C9">
        <w:rPr>
          <w:rFonts w:ascii="Arial" w:eastAsia="Arial" w:hAnsi="Arial" w:cs="Arial"/>
          <w:sz w:val="20"/>
          <w:szCs w:val="20"/>
        </w:rPr>
        <w:t xml:space="preserve"> against Aspergillus flavus. The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 xml:space="preserve">-chalcone hybrids were obtained by Claisen-Schmidt condensation in a basic medium between 3-acetyl-6-chloro-2-methylimidazo[1,2-a]pyridine and various aldehydes. The minimum inhibitory concentrations (MICs) of the molecules, expressed in micromolar (µM) terms, were determined against an Aspergillus flavus strain </w:t>
      </w:r>
      <w:r w:rsidRPr="00E227C9">
        <w:rPr>
          <w:rFonts w:ascii="Arial" w:eastAsia="Arial" w:hAnsi="Arial" w:cs="Arial"/>
          <w:sz w:val="20"/>
          <w:szCs w:val="20"/>
        </w:rPr>
        <w:lastRenderedPageBreak/>
        <w:t>using the microplate dilution technique, compared to itraconazole, the reference molecule. The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 xml:space="preserve">-chalcone derivatives were synthesized and characterized by spectroscopic methods. Of these nine compounds, induced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activities with MICs ranging from 75.48 to 160.89 µM. The 2-chlorinated derivative was particularly noteworthy for its superior </w:t>
      </w:r>
      <w:r w:rsidR="00E227C9">
        <w:rPr>
          <w:rFonts w:ascii="Arial" w:eastAsia="Arial" w:hAnsi="Arial" w:cs="Arial"/>
          <w:color w:val="EE0000"/>
          <w:sz w:val="20"/>
          <w:szCs w:val="20"/>
        </w:rPr>
        <w:t>anti-Aspergillus</w:t>
      </w:r>
      <w:r w:rsidRPr="00E227C9">
        <w:rPr>
          <w:rFonts w:ascii="Arial" w:eastAsia="Arial" w:hAnsi="Arial" w:cs="Arial"/>
          <w:sz w:val="20"/>
          <w:szCs w:val="20"/>
        </w:rPr>
        <w:t xml:space="preserve"> efficacy, with an MIC of 75.48 µM. Ultimately, the 2-chlorinated, 2-methoxylated, and 3-methoxylated derivatives can be considered "hit molecules" from which further pharmacomodulations can be undertaken to obtain a drug candidate for the pharmacochemical development of a new class of antifungals with a 6-chloroimidazo[1,2-</w:t>
      </w:r>
      <w:proofErr w:type="gramStart"/>
      <w:r w:rsidRPr="00E227C9">
        <w:rPr>
          <w:rFonts w:ascii="Arial" w:eastAsia="Arial" w:hAnsi="Arial" w:cs="Arial"/>
          <w:sz w:val="20"/>
          <w:szCs w:val="20"/>
        </w:rPr>
        <w:t>a]pyridinyl</w:t>
      </w:r>
      <w:proofErr w:type="gramEnd"/>
      <w:r w:rsidRPr="00E227C9">
        <w:rPr>
          <w:rFonts w:ascii="Arial" w:eastAsia="Arial" w:hAnsi="Arial" w:cs="Arial"/>
          <w:sz w:val="20"/>
          <w:szCs w:val="20"/>
        </w:rPr>
        <w:t>-chalcone profile.</w:t>
      </w:r>
    </w:p>
    <w:p w14:paraId="478D194A" w14:textId="77777777" w:rsidR="00B04956" w:rsidRPr="00E227C9" w:rsidRDefault="00B04956">
      <w:pPr>
        <w:spacing w:after="0" w:line="240" w:lineRule="auto"/>
        <w:jc w:val="both"/>
        <w:rPr>
          <w:rFonts w:ascii="Arial" w:eastAsia="Arial" w:hAnsi="Arial" w:cs="Arial"/>
          <w:sz w:val="20"/>
          <w:szCs w:val="20"/>
        </w:rPr>
      </w:pPr>
    </w:p>
    <w:p w14:paraId="3F051905" w14:textId="77777777" w:rsidR="00B10D99" w:rsidRPr="00E227C9" w:rsidRDefault="00B10D99">
      <w:pPr>
        <w:spacing w:after="0" w:line="240" w:lineRule="auto"/>
        <w:jc w:val="both"/>
        <w:rPr>
          <w:rFonts w:ascii="Arial" w:eastAsia="Arial" w:hAnsi="Arial" w:cs="Arial"/>
          <w:sz w:val="20"/>
          <w:szCs w:val="20"/>
        </w:rPr>
      </w:pPr>
    </w:p>
    <w:p w14:paraId="061C191C" w14:textId="77777777" w:rsidR="00B0210B" w:rsidRPr="00E227C9" w:rsidRDefault="00424C6B">
      <w:pPr>
        <w:pStyle w:val="Heading2"/>
        <w:rPr>
          <w:sz w:val="21"/>
          <w:szCs w:val="21"/>
        </w:rPr>
      </w:pPr>
      <w:r w:rsidRPr="00E227C9">
        <w:rPr>
          <w:sz w:val="21"/>
          <w:szCs w:val="21"/>
        </w:rPr>
        <w:t>DISCLAIMER (ARTIFICIAL INTELLIGENCE)</w:t>
      </w:r>
    </w:p>
    <w:p w14:paraId="7EFBE896" w14:textId="77777777" w:rsidR="00B0210B" w:rsidRPr="00E227C9" w:rsidRDefault="00B0210B">
      <w:pPr>
        <w:spacing w:after="0" w:line="240" w:lineRule="auto"/>
        <w:jc w:val="both"/>
        <w:rPr>
          <w:rFonts w:ascii="Arial" w:eastAsia="Arial" w:hAnsi="Arial" w:cs="Arial"/>
          <w:sz w:val="16"/>
          <w:szCs w:val="16"/>
        </w:rPr>
      </w:pPr>
    </w:p>
    <w:p w14:paraId="2116C325" w14:textId="66EB4F32" w:rsidR="00B0210B" w:rsidRPr="00E227C9" w:rsidRDefault="00424C6B">
      <w:pPr>
        <w:spacing w:after="0" w:line="240" w:lineRule="auto"/>
        <w:jc w:val="both"/>
        <w:rPr>
          <w:rFonts w:ascii="Arial" w:eastAsia="Arial" w:hAnsi="Arial" w:cs="Arial"/>
          <w:sz w:val="20"/>
          <w:szCs w:val="20"/>
        </w:rPr>
      </w:pPr>
      <w:r w:rsidRPr="00E227C9">
        <w:rPr>
          <w:rFonts w:ascii="Arial" w:eastAsia="Arial" w:hAnsi="Arial" w:cs="Arial"/>
          <w:sz w:val="20"/>
          <w:szCs w:val="20"/>
        </w:rPr>
        <w:t xml:space="preserve">Author(s) hereby </w:t>
      </w:r>
      <w:r w:rsidR="0031542C" w:rsidRPr="00E227C9">
        <w:rPr>
          <w:rFonts w:ascii="Arial" w:eastAsia="Arial" w:hAnsi="Arial" w:cs="Arial"/>
          <w:sz w:val="20"/>
          <w:szCs w:val="20"/>
        </w:rPr>
        <w:t>declares</w:t>
      </w:r>
      <w:r w:rsidRPr="00E227C9">
        <w:rPr>
          <w:rFonts w:ascii="Arial" w:eastAsia="Arial" w:hAnsi="Arial" w:cs="Arial"/>
          <w:sz w:val="20"/>
          <w:szCs w:val="20"/>
        </w:rPr>
        <w:t xml:space="preserve"> that NO generative AI technologies such as Large Language Models (ChatGPT, COPILOT, etc.) and text-to-image generators have been used during the writing or editing of this manuscript.</w:t>
      </w:r>
    </w:p>
    <w:p w14:paraId="014937A4" w14:textId="77777777" w:rsidR="00B0210B" w:rsidRPr="00E227C9" w:rsidRDefault="00B0210B">
      <w:pPr>
        <w:spacing w:after="0" w:line="240" w:lineRule="auto"/>
        <w:jc w:val="both"/>
        <w:rPr>
          <w:rFonts w:ascii="Arial" w:eastAsia="Arial" w:hAnsi="Arial" w:cs="Arial"/>
          <w:sz w:val="16"/>
          <w:szCs w:val="16"/>
        </w:rPr>
      </w:pPr>
    </w:p>
    <w:p w14:paraId="7828E08D" w14:textId="77777777" w:rsidR="00B0210B" w:rsidRPr="00E227C9" w:rsidRDefault="00B0210B">
      <w:pPr>
        <w:spacing w:after="0" w:line="240" w:lineRule="auto"/>
        <w:ind w:left="990" w:hanging="990"/>
        <w:jc w:val="both"/>
        <w:rPr>
          <w:rFonts w:ascii="Arial" w:eastAsia="Arial" w:hAnsi="Arial" w:cs="Arial"/>
          <w:i/>
          <w:sz w:val="16"/>
          <w:szCs w:val="16"/>
        </w:rPr>
      </w:pPr>
    </w:p>
    <w:p w14:paraId="533B8C83" w14:textId="77777777" w:rsidR="00B0210B" w:rsidRPr="00E227C9" w:rsidRDefault="00424C6B">
      <w:pPr>
        <w:pBdr>
          <w:top w:val="nil"/>
          <w:left w:val="nil"/>
          <w:bottom w:val="nil"/>
          <w:right w:val="nil"/>
          <w:between w:val="nil"/>
        </w:pBdr>
        <w:spacing w:after="0" w:line="240" w:lineRule="auto"/>
        <w:jc w:val="both"/>
        <w:rPr>
          <w:rFonts w:ascii="Arial" w:eastAsia="Arial" w:hAnsi="Arial" w:cs="Arial"/>
          <w:b/>
          <w:smallCaps/>
        </w:rPr>
      </w:pPr>
      <w:r w:rsidRPr="00E227C9">
        <w:rPr>
          <w:rFonts w:ascii="Arial" w:eastAsia="Arial" w:hAnsi="Arial" w:cs="Arial"/>
          <w:b/>
          <w:smallCaps/>
        </w:rPr>
        <w:t>Competing interests</w:t>
      </w:r>
    </w:p>
    <w:p w14:paraId="2E8A7135" w14:textId="77777777" w:rsidR="00B0210B" w:rsidRPr="00E227C9" w:rsidRDefault="00B0210B">
      <w:pPr>
        <w:pBdr>
          <w:top w:val="nil"/>
          <w:left w:val="nil"/>
          <w:bottom w:val="nil"/>
          <w:right w:val="nil"/>
          <w:between w:val="nil"/>
        </w:pBdr>
        <w:spacing w:after="0" w:line="240" w:lineRule="auto"/>
        <w:rPr>
          <w:rFonts w:ascii="Arial" w:eastAsia="Arial" w:hAnsi="Arial" w:cs="Arial"/>
          <w:b/>
          <w:smallCaps/>
          <w:sz w:val="16"/>
          <w:szCs w:val="16"/>
        </w:rPr>
      </w:pPr>
    </w:p>
    <w:p w14:paraId="1025BC26" w14:textId="77777777" w:rsidR="00B0210B" w:rsidRPr="00E227C9" w:rsidRDefault="00424C6B">
      <w:pPr>
        <w:pBdr>
          <w:top w:val="nil"/>
          <w:left w:val="nil"/>
          <w:bottom w:val="nil"/>
          <w:right w:val="nil"/>
          <w:between w:val="nil"/>
        </w:pBdr>
        <w:spacing w:after="0" w:line="240" w:lineRule="auto"/>
        <w:jc w:val="both"/>
        <w:rPr>
          <w:rFonts w:ascii="Arial" w:eastAsia="Arial" w:hAnsi="Arial" w:cs="Arial"/>
          <w:sz w:val="20"/>
          <w:szCs w:val="20"/>
        </w:rPr>
      </w:pPr>
      <w:r w:rsidRPr="00E227C9">
        <w:rPr>
          <w:rFonts w:ascii="Arial" w:eastAsia="Arial" w:hAnsi="Arial" w:cs="Arial"/>
          <w:sz w:val="20"/>
          <w:szCs w:val="20"/>
        </w:rPr>
        <w:t>Authors have declared that no competing interests exist.</w:t>
      </w:r>
    </w:p>
    <w:p w14:paraId="12AFB2A2" w14:textId="77777777" w:rsidR="00B0210B" w:rsidRPr="00E227C9" w:rsidRDefault="00B0210B">
      <w:pPr>
        <w:spacing w:after="0" w:line="240" w:lineRule="auto"/>
        <w:jc w:val="both"/>
        <w:rPr>
          <w:rFonts w:ascii="Arial" w:eastAsia="Arial" w:hAnsi="Arial" w:cs="Arial"/>
          <w:sz w:val="20"/>
          <w:szCs w:val="20"/>
        </w:rPr>
      </w:pPr>
    </w:p>
    <w:p w14:paraId="0DAFA1C0" w14:textId="77777777" w:rsidR="00D91D71" w:rsidRDefault="00D91D71">
      <w:pPr>
        <w:pStyle w:val="Heading2"/>
        <w:keepNext w:val="0"/>
        <w:keepLines w:val="0"/>
      </w:pPr>
    </w:p>
    <w:p w14:paraId="27FBCAF6" w14:textId="77777777" w:rsidR="00D91D71" w:rsidRDefault="00D91D71">
      <w:pPr>
        <w:pStyle w:val="Heading2"/>
        <w:keepNext w:val="0"/>
        <w:keepLines w:val="0"/>
      </w:pPr>
    </w:p>
    <w:p w14:paraId="591C9AB7" w14:textId="77777777" w:rsidR="00D91D71" w:rsidRDefault="00D91D71">
      <w:pPr>
        <w:pStyle w:val="Heading2"/>
        <w:keepNext w:val="0"/>
        <w:keepLines w:val="0"/>
      </w:pPr>
    </w:p>
    <w:p w14:paraId="7964A67F" w14:textId="01A6050E" w:rsidR="00B0210B" w:rsidRPr="00E227C9" w:rsidRDefault="00424C6B">
      <w:pPr>
        <w:pStyle w:val="Heading2"/>
        <w:keepNext w:val="0"/>
        <w:keepLines w:val="0"/>
      </w:pPr>
      <w:r w:rsidRPr="00E227C9">
        <w:t>REFERENCES</w:t>
      </w:r>
    </w:p>
    <w:p w14:paraId="531679C2" w14:textId="77777777" w:rsidR="00146917" w:rsidRDefault="00146917" w:rsidP="00146917">
      <w:pPr>
        <w:spacing w:after="0" w:line="240" w:lineRule="auto"/>
        <w:jc w:val="both"/>
        <w:rPr>
          <w:rFonts w:ascii="Arial" w:eastAsia="Arial" w:hAnsi="Arial" w:cs="Arial"/>
          <w:sz w:val="18"/>
          <w:szCs w:val="18"/>
        </w:rPr>
      </w:pPr>
    </w:p>
    <w:p w14:paraId="7FC77F3C" w14:textId="77777777" w:rsidR="00D91D71" w:rsidRDefault="00D91D71" w:rsidP="003B5EA5">
      <w:pPr>
        <w:spacing w:after="0" w:line="240" w:lineRule="auto"/>
        <w:jc w:val="both"/>
        <w:rPr>
          <w:rFonts w:ascii="Arial" w:hAnsi="Arial" w:cs="Arial"/>
          <w:sz w:val="20"/>
          <w:szCs w:val="20"/>
        </w:rPr>
        <w:sectPr w:rsidR="00D91D71">
          <w:type w:val="continuous"/>
          <w:pgSz w:w="11909" w:h="16834"/>
          <w:pgMar w:top="1440" w:right="1440" w:bottom="1440" w:left="1440" w:header="720" w:footer="864" w:gutter="0"/>
          <w:cols w:num="2" w:space="720" w:equalWidth="0">
            <w:col w:w="4370" w:space="288"/>
            <w:col w:w="4370" w:space="0"/>
          </w:cols>
        </w:sectPr>
      </w:pPr>
    </w:p>
    <w:p w14:paraId="0CE665CD" w14:textId="7B80EE6C" w:rsidR="006E3603" w:rsidRPr="00D91D71" w:rsidRDefault="006E3603" w:rsidP="00D91D71">
      <w:pPr>
        <w:pStyle w:val="ListParagraph"/>
        <w:numPr>
          <w:ilvl w:val="0"/>
          <w:numId w:val="2"/>
        </w:numPr>
        <w:spacing w:after="0" w:line="240" w:lineRule="auto"/>
        <w:jc w:val="both"/>
        <w:rPr>
          <w:rFonts w:ascii="Arial" w:hAnsi="Arial" w:cs="Arial"/>
          <w:sz w:val="20"/>
          <w:szCs w:val="20"/>
        </w:rPr>
      </w:pPr>
      <w:proofErr w:type="spellStart"/>
      <w:r w:rsidRPr="00D91D71">
        <w:rPr>
          <w:rFonts w:ascii="Arial" w:hAnsi="Arial" w:cs="Arial"/>
          <w:sz w:val="20"/>
          <w:szCs w:val="20"/>
        </w:rPr>
        <w:t>Arikan</w:t>
      </w:r>
      <w:proofErr w:type="spellEnd"/>
      <w:r w:rsidRPr="00D91D71">
        <w:rPr>
          <w:rFonts w:ascii="Arial" w:hAnsi="Arial" w:cs="Arial"/>
          <w:sz w:val="20"/>
          <w:szCs w:val="20"/>
        </w:rPr>
        <w:t xml:space="preserve">, S. (2007). Current status of antifungal susceptibility testing methods. Medical Mycology, 45(7), 569–587. </w:t>
      </w:r>
      <w:hyperlink r:id="rId39" w:history="1">
        <w:r w:rsidRPr="00D91D71">
          <w:rPr>
            <w:rStyle w:val="Hyperlink"/>
            <w:rFonts w:ascii="Arial" w:hAnsi="Arial" w:cs="Arial"/>
            <w:sz w:val="20"/>
            <w:szCs w:val="20"/>
          </w:rPr>
          <w:t>https://doi.org/10.1080/13693780701436794</w:t>
        </w:r>
      </w:hyperlink>
    </w:p>
    <w:p w14:paraId="28C27C09" w14:textId="77777777" w:rsidR="006E3603" w:rsidRDefault="006E3603" w:rsidP="006E3603">
      <w:pPr>
        <w:spacing w:after="0" w:line="240" w:lineRule="auto"/>
        <w:ind w:firstLine="540"/>
        <w:jc w:val="both"/>
        <w:rPr>
          <w:rFonts w:ascii="Arial" w:hAnsi="Arial" w:cs="Arial"/>
          <w:sz w:val="20"/>
          <w:szCs w:val="20"/>
        </w:rPr>
      </w:pPr>
    </w:p>
    <w:p w14:paraId="21998724" w14:textId="1C47AE0E"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Adingra, K. F., Coulibaly, S., Alain, K., Ouattara, M., &amp; </w:t>
      </w:r>
      <w:proofErr w:type="spellStart"/>
      <w:r w:rsidRPr="00D91D71">
        <w:rPr>
          <w:rFonts w:ascii="Arial" w:hAnsi="Arial" w:cs="Arial"/>
          <w:sz w:val="20"/>
          <w:szCs w:val="20"/>
        </w:rPr>
        <w:t>Sissouma</w:t>
      </w:r>
      <w:proofErr w:type="spellEnd"/>
      <w:r w:rsidRPr="00D91D71">
        <w:rPr>
          <w:rFonts w:ascii="Arial" w:hAnsi="Arial" w:cs="Arial"/>
          <w:sz w:val="20"/>
          <w:szCs w:val="20"/>
        </w:rPr>
        <w:t xml:space="preserve">, D. (2022). Synthesis and </w:t>
      </w:r>
      <w:proofErr w:type="spellStart"/>
      <w:r w:rsidRPr="00D91D71">
        <w:rPr>
          <w:rFonts w:ascii="Arial" w:hAnsi="Arial" w:cs="Arial"/>
          <w:sz w:val="20"/>
          <w:szCs w:val="20"/>
        </w:rPr>
        <w:t>anticandidosic</w:t>
      </w:r>
      <w:proofErr w:type="spellEnd"/>
      <w:r w:rsidRPr="00D91D71">
        <w:rPr>
          <w:rFonts w:ascii="Arial" w:hAnsi="Arial" w:cs="Arial"/>
          <w:sz w:val="20"/>
          <w:szCs w:val="20"/>
        </w:rPr>
        <w:t xml:space="preserve"> activities of some 3-imidazo[1,2-</w:t>
      </w:r>
      <w:proofErr w:type="gramStart"/>
      <w:r w:rsidRPr="00D91D71">
        <w:rPr>
          <w:rFonts w:ascii="Arial" w:hAnsi="Arial" w:cs="Arial"/>
          <w:sz w:val="20"/>
          <w:szCs w:val="20"/>
        </w:rPr>
        <w:t>a]pyridinyl</w:t>
      </w:r>
      <w:proofErr w:type="gramEnd"/>
      <w:r w:rsidRPr="00D91D71">
        <w:rPr>
          <w:rFonts w:ascii="Arial" w:hAnsi="Arial" w:cs="Arial"/>
          <w:sz w:val="20"/>
          <w:szCs w:val="20"/>
        </w:rPr>
        <w:t xml:space="preserve">-1-arylpropenone derivatives. Advances in Biological Chemistry, 12(4), 81–91. </w:t>
      </w:r>
      <w:hyperlink r:id="rId40" w:history="1">
        <w:r w:rsidRPr="00D91D71">
          <w:rPr>
            <w:rStyle w:val="Hyperlink"/>
            <w:rFonts w:ascii="Arial" w:hAnsi="Arial" w:cs="Arial"/>
            <w:sz w:val="20"/>
            <w:szCs w:val="20"/>
          </w:rPr>
          <w:t>https://doi.org/10.4236/abc.2022.124008</w:t>
        </w:r>
      </w:hyperlink>
    </w:p>
    <w:p w14:paraId="19E23F88" w14:textId="77777777" w:rsidR="006E3603" w:rsidRPr="00E227C9" w:rsidRDefault="006E3603" w:rsidP="006E3603">
      <w:pPr>
        <w:spacing w:after="0" w:line="240" w:lineRule="auto"/>
        <w:ind w:left="720"/>
        <w:jc w:val="both"/>
        <w:rPr>
          <w:rFonts w:ascii="Arial" w:hAnsi="Arial" w:cs="Arial"/>
          <w:sz w:val="20"/>
          <w:szCs w:val="20"/>
        </w:rPr>
      </w:pPr>
    </w:p>
    <w:p w14:paraId="40CDB152" w14:textId="04ED1CA4"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Cadena, J., Thompson, G. R., &amp; Patterson, T. F. (2021). Aspergillosis: Epidemiology, Diagnosis, and Treatment. Infectious Disease Clinics of North America, 35(2), 415–434. </w:t>
      </w:r>
      <w:hyperlink r:id="rId41" w:history="1">
        <w:r w:rsidRPr="00D91D71">
          <w:rPr>
            <w:rStyle w:val="Hyperlink"/>
            <w:rFonts w:ascii="Arial" w:hAnsi="Arial" w:cs="Arial"/>
            <w:sz w:val="20"/>
            <w:szCs w:val="20"/>
          </w:rPr>
          <w:t>https://doi.org/10.1016/j.idc.2021.03.008</w:t>
        </w:r>
      </w:hyperlink>
    </w:p>
    <w:p w14:paraId="7DF91CB6" w14:textId="77777777" w:rsidR="006E3603" w:rsidRDefault="006E3603" w:rsidP="00146917">
      <w:pPr>
        <w:spacing w:after="0" w:line="240" w:lineRule="auto"/>
        <w:jc w:val="both"/>
        <w:rPr>
          <w:rFonts w:ascii="Arial" w:eastAsia="Arial" w:hAnsi="Arial" w:cs="Arial"/>
          <w:sz w:val="18"/>
          <w:szCs w:val="18"/>
        </w:rPr>
      </w:pPr>
    </w:p>
    <w:p w14:paraId="6661EEBE" w14:textId="1E801AAC" w:rsidR="006E3603" w:rsidRPr="00D91D71" w:rsidRDefault="006E3603" w:rsidP="00D91D71">
      <w:pPr>
        <w:pStyle w:val="ListParagraph"/>
        <w:numPr>
          <w:ilvl w:val="0"/>
          <w:numId w:val="2"/>
        </w:numPr>
        <w:spacing w:after="0" w:line="240" w:lineRule="auto"/>
        <w:jc w:val="both"/>
        <w:rPr>
          <w:rFonts w:ascii="Arial" w:eastAsia="Arial" w:hAnsi="Arial" w:cs="Arial"/>
          <w:color w:val="EE0000"/>
          <w:sz w:val="20"/>
          <w:szCs w:val="20"/>
          <w:lang w:val="fr-CI"/>
        </w:rPr>
      </w:pPr>
      <w:r w:rsidRPr="00D91D71">
        <w:rPr>
          <w:rFonts w:ascii="Arial" w:eastAsia="Arial" w:hAnsi="Arial" w:cs="Arial"/>
          <w:color w:val="EE0000"/>
          <w:sz w:val="20"/>
          <w:szCs w:val="20"/>
        </w:rPr>
        <w:t xml:space="preserve">Claisen, L., and </w:t>
      </w:r>
      <w:proofErr w:type="spellStart"/>
      <w:r w:rsidRPr="00D91D71">
        <w:rPr>
          <w:rFonts w:ascii="Arial" w:eastAsia="Arial" w:hAnsi="Arial" w:cs="Arial"/>
          <w:color w:val="EE0000"/>
          <w:sz w:val="20"/>
          <w:szCs w:val="20"/>
        </w:rPr>
        <w:t>Claparède</w:t>
      </w:r>
      <w:proofErr w:type="spellEnd"/>
      <w:r w:rsidRPr="00D91D71">
        <w:rPr>
          <w:rFonts w:ascii="Arial" w:eastAsia="Arial" w:hAnsi="Arial" w:cs="Arial"/>
          <w:color w:val="EE0000"/>
          <w:sz w:val="20"/>
          <w:szCs w:val="20"/>
        </w:rPr>
        <w:t xml:space="preserve">, A. (1881). </w:t>
      </w:r>
      <w:proofErr w:type="spellStart"/>
      <w:r w:rsidRPr="00D91D71">
        <w:rPr>
          <w:rFonts w:ascii="Arial" w:eastAsia="Arial" w:hAnsi="Arial" w:cs="Arial"/>
          <w:color w:val="EE0000"/>
          <w:sz w:val="20"/>
          <w:szCs w:val="20"/>
        </w:rPr>
        <w:t>Condensationen</w:t>
      </w:r>
      <w:proofErr w:type="spellEnd"/>
      <w:r w:rsidRPr="00D91D71">
        <w:rPr>
          <w:rFonts w:ascii="Arial" w:eastAsia="Arial" w:hAnsi="Arial" w:cs="Arial"/>
          <w:color w:val="EE0000"/>
          <w:sz w:val="20"/>
          <w:szCs w:val="20"/>
        </w:rPr>
        <w:t xml:space="preserve"> von </w:t>
      </w:r>
      <w:proofErr w:type="spellStart"/>
      <w:r w:rsidRPr="00D91D71">
        <w:rPr>
          <w:rFonts w:ascii="Arial" w:eastAsia="Arial" w:hAnsi="Arial" w:cs="Arial"/>
          <w:color w:val="EE0000"/>
          <w:sz w:val="20"/>
          <w:szCs w:val="20"/>
        </w:rPr>
        <w:t>ketonen</w:t>
      </w:r>
      <w:proofErr w:type="spellEnd"/>
      <w:r w:rsidRPr="00D91D71">
        <w:rPr>
          <w:rFonts w:ascii="Arial" w:eastAsia="Arial" w:hAnsi="Arial" w:cs="Arial"/>
          <w:color w:val="EE0000"/>
          <w:sz w:val="20"/>
          <w:szCs w:val="20"/>
        </w:rPr>
        <w:t xml:space="preserve"> </w:t>
      </w:r>
      <w:proofErr w:type="spellStart"/>
      <w:r w:rsidRPr="00D91D71">
        <w:rPr>
          <w:rFonts w:ascii="Arial" w:eastAsia="Arial" w:hAnsi="Arial" w:cs="Arial"/>
          <w:color w:val="EE0000"/>
          <w:sz w:val="20"/>
          <w:szCs w:val="20"/>
        </w:rPr>
        <w:t>mit</w:t>
      </w:r>
      <w:proofErr w:type="spellEnd"/>
      <w:r w:rsidRPr="00D91D71">
        <w:rPr>
          <w:rFonts w:ascii="Arial" w:eastAsia="Arial" w:hAnsi="Arial" w:cs="Arial"/>
          <w:color w:val="EE0000"/>
          <w:sz w:val="20"/>
          <w:szCs w:val="20"/>
        </w:rPr>
        <w:t xml:space="preserve"> </w:t>
      </w:r>
      <w:proofErr w:type="spellStart"/>
      <w:r w:rsidRPr="00D91D71">
        <w:rPr>
          <w:rFonts w:ascii="Arial" w:eastAsia="Arial" w:hAnsi="Arial" w:cs="Arial"/>
          <w:color w:val="EE0000"/>
          <w:sz w:val="20"/>
          <w:szCs w:val="20"/>
        </w:rPr>
        <w:t>aldehyden</w:t>
      </w:r>
      <w:proofErr w:type="spellEnd"/>
      <w:r w:rsidRPr="00D91D71">
        <w:rPr>
          <w:rFonts w:ascii="Arial" w:eastAsia="Arial" w:hAnsi="Arial" w:cs="Arial"/>
          <w:color w:val="EE0000"/>
          <w:sz w:val="20"/>
          <w:szCs w:val="20"/>
        </w:rPr>
        <w:t>. </w:t>
      </w:r>
      <w:r w:rsidRPr="00D91D71">
        <w:rPr>
          <w:rFonts w:ascii="Arial" w:eastAsia="Arial" w:hAnsi="Arial" w:cs="Arial"/>
          <w:i/>
          <w:iCs/>
          <w:color w:val="EE0000"/>
          <w:sz w:val="20"/>
          <w:szCs w:val="20"/>
        </w:rPr>
        <w:t xml:space="preserve">Ber. </w:t>
      </w:r>
      <w:proofErr w:type="spellStart"/>
      <w:r w:rsidRPr="00D91D71">
        <w:rPr>
          <w:rFonts w:ascii="Arial" w:eastAsia="Arial" w:hAnsi="Arial" w:cs="Arial"/>
          <w:i/>
          <w:iCs/>
          <w:color w:val="EE0000"/>
          <w:sz w:val="20"/>
          <w:szCs w:val="20"/>
        </w:rPr>
        <w:t>Dtsch</w:t>
      </w:r>
      <w:proofErr w:type="spellEnd"/>
      <w:r w:rsidRPr="00D91D71">
        <w:rPr>
          <w:rFonts w:ascii="Arial" w:eastAsia="Arial" w:hAnsi="Arial" w:cs="Arial"/>
          <w:i/>
          <w:iCs/>
          <w:color w:val="EE0000"/>
          <w:sz w:val="20"/>
          <w:szCs w:val="20"/>
        </w:rPr>
        <w:t xml:space="preserve">. </w:t>
      </w:r>
      <w:proofErr w:type="spellStart"/>
      <w:r w:rsidRPr="00D91D71">
        <w:rPr>
          <w:rFonts w:ascii="Arial" w:eastAsia="Arial" w:hAnsi="Arial" w:cs="Arial"/>
          <w:i/>
          <w:iCs/>
          <w:color w:val="EE0000"/>
          <w:sz w:val="20"/>
          <w:szCs w:val="20"/>
          <w:lang w:val="fr-CI"/>
        </w:rPr>
        <w:t>Chem</w:t>
      </w:r>
      <w:proofErr w:type="spellEnd"/>
      <w:r w:rsidRPr="00D91D71">
        <w:rPr>
          <w:rFonts w:ascii="Arial" w:eastAsia="Arial" w:hAnsi="Arial" w:cs="Arial"/>
          <w:i/>
          <w:iCs/>
          <w:color w:val="EE0000"/>
          <w:sz w:val="20"/>
          <w:szCs w:val="20"/>
          <w:lang w:val="fr-CI"/>
        </w:rPr>
        <w:t>.</w:t>
      </w:r>
      <w:r w:rsidR="00D91D71" w:rsidRPr="00D91D71">
        <w:rPr>
          <w:rFonts w:ascii="Arial" w:eastAsia="Arial" w:hAnsi="Arial" w:cs="Arial"/>
          <w:i/>
          <w:iCs/>
          <w:color w:val="EE0000"/>
          <w:sz w:val="20"/>
          <w:szCs w:val="20"/>
          <w:lang w:val="fr-CI"/>
        </w:rPr>
        <w:t xml:space="preserve"> </w:t>
      </w:r>
      <w:proofErr w:type="spellStart"/>
      <w:r w:rsidRPr="00D91D71">
        <w:rPr>
          <w:rFonts w:ascii="Arial" w:eastAsia="Arial" w:hAnsi="Arial" w:cs="Arial"/>
          <w:i/>
          <w:iCs/>
          <w:color w:val="EE0000"/>
          <w:sz w:val="20"/>
          <w:szCs w:val="20"/>
          <w:lang w:val="fr-CI"/>
        </w:rPr>
        <w:t>Ges</w:t>
      </w:r>
      <w:proofErr w:type="spellEnd"/>
      <w:r w:rsidRPr="00D91D71">
        <w:rPr>
          <w:rFonts w:ascii="Arial" w:eastAsia="Arial" w:hAnsi="Arial" w:cs="Arial"/>
          <w:i/>
          <w:iCs/>
          <w:color w:val="EE0000"/>
          <w:sz w:val="20"/>
          <w:szCs w:val="20"/>
          <w:lang w:val="fr-CI"/>
        </w:rPr>
        <w:t>. 14</w:t>
      </w:r>
      <w:r w:rsidRPr="00D91D71">
        <w:rPr>
          <w:rFonts w:ascii="Arial" w:eastAsia="Arial" w:hAnsi="Arial" w:cs="Arial"/>
          <w:color w:val="EE0000"/>
          <w:sz w:val="20"/>
          <w:szCs w:val="20"/>
          <w:lang w:val="fr-CI"/>
        </w:rPr>
        <w:t xml:space="preserve">(2), 2460-2468. </w:t>
      </w:r>
      <w:hyperlink r:id="rId42" w:history="1">
        <w:r w:rsidRPr="00D91D71">
          <w:rPr>
            <w:rStyle w:val="Hyperlink"/>
            <w:rFonts w:ascii="Arial" w:eastAsia="Arial" w:hAnsi="Arial" w:cs="Arial"/>
            <w:sz w:val="20"/>
            <w:szCs w:val="20"/>
            <w:lang w:val="fr-CI"/>
          </w:rPr>
          <w:t>https://dx.doi.org/10.1002/cber.188101402192</w:t>
        </w:r>
      </w:hyperlink>
    </w:p>
    <w:p w14:paraId="07731E66" w14:textId="77777777" w:rsidR="006E3603" w:rsidRDefault="006E3603" w:rsidP="00146917">
      <w:pPr>
        <w:spacing w:after="0" w:line="240" w:lineRule="auto"/>
        <w:jc w:val="both"/>
        <w:rPr>
          <w:rFonts w:ascii="Arial" w:eastAsia="Arial" w:hAnsi="Arial" w:cs="Arial"/>
          <w:sz w:val="18"/>
          <w:szCs w:val="18"/>
        </w:rPr>
      </w:pPr>
    </w:p>
    <w:p w14:paraId="3FD16FAF" w14:textId="338C07D6"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Dumont, F., Waterhouse, R. N., Montoya, J. A., </w:t>
      </w:r>
      <w:proofErr w:type="spellStart"/>
      <w:r w:rsidRPr="00D91D71">
        <w:rPr>
          <w:rFonts w:ascii="Arial" w:hAnsi="Arial" w:cs="Arial"/>
          <w:sz w:val="20"/>
          <w:szCs w:val="20"/>
        </w:rPr>
        <w:t>Mattner</w:t>
      </w:r>
      <w:proofErr w:type="spellEnd"/>
      <w:r w:rsidRPr="00D91D71">
        <w:rPr>
          <w:rFonts w:ascii="Arial" w:hAnsi="Arial" w:cs="Arial"/>
          <w:sz w:val="20"/>
          <w:szCs w:val="20"/>
        </w:rPr>
        <w:t xml:space="preserve">, F., </w:t>
      </w:r>
      <w:proofErr w:type="spellStart"/>
      <w:r w:rsidRPr="00D91D71">
        <w:rPr>
          <w:rFonts w:ascii="Arial" w:hAnsi="Arial" w:cs="Arial"/>
          <w:sz w:val="20"/>
          <w:szCs w:val="20"/>
        </w:rPr>
        <w:t>Katsifis</w:t>
      </w:r>
      <w:proofErr w:type="spellEnd"/>
      <w:r w:rsidRPr="00D91D71">
        <w:rPr>
          <w:rFonts w:ascii="Arial" w:hAnsi="Arial" w:cs="Arial"/>
          <w:sz w:val="20"/>
          <w:szCs w:val="20"/>
        </w:rPr>
        <w:t xml:space="preserve">, A., </w:t>
      </w:r>
      <w:proofErr w:type="spellStart"/>
      <w:r w:rsidRPr="00D91D71">
        <w:rPr>
          <w:rFonts w:ascii="Arial" w:hAnsi="Arial" w:cs="Arial"/>
          <w:sz w:val="20"/>
          <w:szCs w:val="20"/>
        </w:rPr>
        <w:t>Kegeles</w:t>
      </w:r>
      <w:proofErr w:type="spellEnd"/>
      <w:r w:rsidRPr="00D91D71">
        <w:rPr>
          <w:rFonts w:ascii="Arial" w:hAnsi="Arial" w:cs="Arial"/>
          <w:sz w:val="20"/>
          <w:szCs w:val="20"/>
        </w:rPr>
        <w:t xml:space="preserve">, L. S., &amp; </w:t>
      </w:r>
      <w:proofErr w:type="spellStart"/>
      <w:r w:rsidRPr="00D91D71">
        <w:rPr>
          <w:rFonts w:ascii="Arial" w:hAnsi="Arial" w:cs="Arial"/>
          <w:sz w:val="20"/>
          <w:szCs w:val="20"/>
        </w:rPr>
        <w:t>Laruelle</w:t>
      </w:r>
      <w:proofErr w:type="spellEnd"/>
      <w:r w:rsidRPr="00D91D71">
        <w:rPr>
          <w:rFonts w:ascii="Arial" w:hAnsi="Arial" w:cs="Arial"/>
          <w:sz w:val="20"/>
          <w:szCs w:val="20"/>
        </w:rPr>
        <w:t>, M. (2003). Synthesis and in vivo evaluation of [11</w:t>
      </w:r>
      <w:proofErr w:type="gramStart"/>
      <w:r w:rsidRPr="00D91D71">
        <w:rPr>
          <w:rFonts w:ascii="Arial" w:hAnsi="Arial" w:cs="Arial"/>
          <w:sz w:val="20"/>
          <w:szCs w:val="20"/>
        </w:rPr>
        <w:t>C]zolpidem</w:t>
      </w:r>
      <w:proofErr w:type="gramEnd"/>
      <w:r w:rsidRPr="00D91D71">
        <w:rPr>
          <w:rFonts w:ascii="Arial" w:hAnsi="Arial" w:cs="Arial"/>
          <w:sz w:val="20"/>
          <w:szCs w:val="20"/>
        </w:rPr>
        <w:t xml:space="preserve">, an imidazopyridine with agonist properties at central benzodiazepine receptors. Nuclear Medicine and Biology, 30(4), 435–439. </w:t>
      </w:r>
      <w:hyperlink r:id="rId43" w:history="1">
        <w:r w:rsidRPr="00D91D71">
          <w:rPr>
            <w:rStyle w:val="Hyperlink"/>
            <w:rFonts w:ascii="Arial" w:hAnsi="Arial" w:cs="Arial"/>
            <w:sz w:val="20"/>
            <w:szCs w:val="20"/>
          </w:rPr>
          <w:t>https://doi.org/10.1016/s0969-8051(03)00006-4</w:t>
        </w:r>
      </w:hyperlink>
    </w:p>
    <w:p w14:paraId="60B6637D" w14:textId="77777777" w:rsidR="006E3603" w:rsidRPr="00E227C9" w:rsidRDefault="006E3603" w:rsidP="006E3603">
      <w:pPr>
        <w:spacing w:after="0" w:line="240" w:lineRule="auto"/>
        <w:ind w:firstLine="720"/>
        <w:jc w:val="both"/>
        <w:rPr>
          <w:rFonts w:ascii="Arial" w:hAnsi="Arial" w:cs="Arial"/>
          <w:sz w:val="20"/>
          <w:szCs w:val="20"/>
        </w:rPr>
      </w:pPr>
    </w:p>
    <w:p w14:paraId="4B516DC8" w14:textId="34C14E5A"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Elkanzi, N. A. A., Hrichi, H., </w:t>
      </w:r>
      <w:proofErr w:type="spellStart"/>
      <w:r w:rsidRPr="00D91D71">
        <w:rPr>
          <w:rFonts w:ascii="Arial" w:hAnsi="Arial" w:cs="Arial"/>
          <w:sz w:val="20"/>
          <w:szCs w:val="20"/>
        </w:rPr>
        <w:t>Alolayan</w:t>
      </w:r>
      <w:proofErr w:type="spellEnd"/>
      <w:r w:rsidRPr="00D91D71">
        <w:rPr>
          <w:rFonts w:ascii="Arial" w:hAnsi="Arial" w:cs="Arial"/>
          <w:sz w:val="20"/>
          <w:szCs w:val="20"/>
        </w:rPr>
        <w:t>, R. A.</w:t>
      </w:r>
      <w:proofErr w:type="gramStart"/>
      <w:r w:rsidRPr="00D91D71">
        <w:rPr>
          <w:rFonts w:ascii="Arial" w:hAnsi="Arial" w:cs="Arial"/>
          <w:sz w:val="20"/>
          <w:szCs w:val="20"/>
        </w:rPr>
        <w:t xml:space="preserve">, </w:t>
      </w:r>
      <w:r w:rsidR="00D91D71" w:rsidRPr="00D91D71">
        <w:rPr>
          <w:rFonts w:ascii="Arial" w:hAnsi="Arial" w:cs="Arial"/>
          <w:sz w:val="20"/>
          <w:szCs w:val="20"/>
        </w:rPr>
        <w:t xml:space="preserve"> </w:t>
      </w:r>
      <w:proofErr w:type="spellStart"/>
      <w:r w:rsidRPr="00D91D71">
        <w:rPr>
          <w:rFonts w:ascii="Arial" w:hAnsi="Arial" w:cs="Arial"/>
          <w:sz w:val="20"/>
          <w:szCs w:val="20"/>
          <w:lang w:val="fr-CI"/>
        </w:rPr>
        <w:t>Derafa</w:t>
      </w:r>
      <w:proofErr w:type="spellEnd"/>
      <w:proofErr w:type="gramEnd"/>
      <w:r w:rsidRPr="00D91D71">
        <w:rPr>
          <w:rFonts w:ascii="Arial" w:hAnsi="Arial" w:cs="Arial"/>
          <w:sz w:val="20"/>
          <w:szCs w:val="20"/>
          <w:lang w:val="fr-CI"/>
        </w:rPr>
        <w:t xml:space="preserve">, W., Zahou, F. M., &amp; Bakr, R. B. (2022). </w:t>
      </w:r>
      <w:r w:rsidRPr="00D91D71">
        <w:rPr>
          <w:rFonts w:ascii="Arial" w:hAnsi="Arial" w:cs="Arial"/>
          <w:sz w:val="20"/>
          <w:szCs w:val="20"/>
        </w:rPr>
        <w:t xml:space="preserve">Synthesis of chalcones derivatives and their biological activities: A review. </w:t>
      </w:r>
      <w:r w:rsidRPr="00D91D71">
        <w:rPr>
          <w:rFonts w:ascii="Arial" w:hAnsi="Arial" w:cs="Arial"/>
          <w:sz w:val="20"/>
          <w:szCs w:val="20"/>
          <w:lang w:val="it-IT"/>
        </w:rPr>
        <w:t xml:space="preserve">ACS Omega, 7(32), 27769–27786. </w:t>
      </w:r>
      <w:r w:rsidRPr="00E227C9">
        <w:fldChar w:fldCharType="begin"/>
      </w:r>
      <w:r w:rsidRPr="00D91D71">
        <w:rPr>
          <w:lang w:val="it-IT"/>
        </w:rPr>
        <w:instrText>HYPERLINK "https://doi.org/10.1021/acsomega.2c01779"</w:instrText>
      </w:r>
      <w:r w:rsidRPr="00E227C9">
        <w:fldChar w:fldCharType="separate"/>
      </w:r>
      <w:r w:rsidRPr="00D91D71">
        <w:rPr>
          <w:rStyle w:val="Hyperlink"/>
          <w:rFonts w:ascii="Arial" w:hAnsi="Arial" w:cs="Arial"/>
          <w:sz w:val="20"/>
          <w:szCs w:val="20"/>
          <w:lang w:val="it-IT"/>
        </w:rPr>
        <w:t>https://doi.org/10.1021/acsomega.2c01779</w:t>
      </w:r>
      <w:r w:rsidRPr="00E227C9">
        <w:fldChar w:fldCharType="end"/>
      </w:r>
    </w:p>
    <w:p w14:paraId="22C0813A" w14:textId="77777777" w:rsidR="006E3603" w:rsidRPr="006E3603" w:rsidRDefault="006E3603" w:rsidP="00146917">
      <w:pPr>
        <w:spacing w:after="0" w:line="240" w:lineRule="auto"/>
        <w:jc w:val="both"/>
        <w:rPr>
          <w:rFonts w:ascii="Arial" w:eastAsia="Arial" w:hAnsi="Arial" w:cs="Arial"/>
          <w:sz w:val="18"/>
          <w:szCs w:val="18"/>
          <w:lang w:val="it-IT"/>
        </w:rPr>
      </w:pPr>
    </w:p>
    <w:p w14:paraId="48562BAC" w14:textId="76E792D5"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lang w:val="it-IT"/>
        </w:rPr>
        <w:t xml:space="preserve">Eschenauer, G. A. (2024). </w:t>
      </w:r>
      <w:r w:rsidRPr="00D91D71">
        <w:rPr>
          <w:rFonts w:ascii="Arial" w:hAnsi="Arial" w:cs="Arial"/>
          <w:sz w:val="20"/>
          <w:szCs w:val="20"/>
        </w:rPr>
        <w:t xml:space="preserve">Antifungal therapies for Aspergillus spp.: Present and future. Seminars in Respiratory and Critical Care Medicine. </w:t>
      </w:r>
      <w:hyperlink r:id="rId44" w:history="1">
        <w:r w:rsidRPr="00D91D71">
          <w:rPr>
            <w:rStyle w:val="Hyperlink"/>
            <w:rFonts w:ascii="Arial" w:hAnsi="Arial" w:cs="Arial"/>
            <w:sz w:val="20"/>
            <w:szCs w:val="20"/>
          </w:rPr>
          <w:t>https://doi.org/10.1055/s-0043-1776776</w:t>
        </w:r>
      </w:hyperlink>
    </w:p>
    <w:p w14:paraId="2CD63AFB" w14:textId="77777777" w:rsidR="006E3603" w:rsidRPr="00E227C9" w:rsidRDefault="006E3603" w:rsidP="006E3603">
      <w:pPr>
        <w:spacing w:after="0" w:line="240" w:lineRule="auto"/>
        <w:ind w:firstLine="720"/>
        <w:jc w:val="both"/>
        <w:rPr>
          <w:rFonts w:ascii="Arial" w:hAnsi="Arial" w:cs="Arial"/>
          <w:sz w:val="20"/>
          <w:szCs w:val="20"/>
        </w:rPr>
      </w:pPr>
    </w:p>
    <w:p w14:paraId="1B9A0991" w14:textId="2CF8E1CD" w:rsidR="006E3603" w:rsidRPr="00D91D71" w:rsidRDefault="006E3603" w:rsidP="00D91D71">
      <w:pPr>
        <w:pStyle w:val="ListParagraph"/>
        <w:numPr>
          <w:ilvl w:val="0"/>
          <w:numId w:val="2"/>
        </w:numPr>
        <w:spacing w:after="0" w:line="240" w:lineRule="auto"/>
        <w:jc w:val="both"/>
        <w:rPr>
          <w:rFonts w:ascii="Arial" w:hAnsi="Arial" w:cs="Arial"/>
          <w:sz w:val="20"/>
          <w:szCs w:val="20"/>
          <w:lang w:val="it-IT"/>
        </w:rPr>
      </w:pPr>
      <w:r w:rsidRPr="00D91D71">
        <w:rPr>
          <w:rFonts w:ascii="Arial" w:hAnsi="Arial" w:cs="Arial"/>
          <w:sz w:val="20"/>
          <w:szCs w:val="20"/>
          <w:lang w:val="it-IT"/>
        </w:rPr>
        <w:t xml:space="preserve">Gupta, R., Sharma, S., Singh, R., Vishwakarma, R. A., Mignani, S., &amp; Singh, P. P. (2022). </w:t>
      </w:r>
      <w:r w:rsidRPr="00D91D71">
        <w:rPr>
          <w:rFonts w:ascii="Arial" w:hAnsi="Arial" w:cs="Arial"/>
          <w:sz w:val="20"/>
          <w:szCs w:val="20"/>
        </w:rPr>
        <w:t xml:space="preserve">Functionalized Nitroimidazole Scaffold Construction and Their Pharmaceutical Applications: A 1950–2021 Comprehensive Overview. Pharmaceuticals, 15(5), 561. </w:t>
      </w:r>
      <w:hyperlink r:id="rId45" w:history="1">
        <w:r w:rsidRPr="00D91D71">
          <w:rPr>
            <w:rStyle w:val="Hyperlink"/>
            <w:rFonts w:ascii="Arial" w:hAnsi="Arial" w:cs="Arial"/>
            <w:sz w:val="20"/>
            <w:szCs w:val="20"/>
          </w:rPr>
          <w:t>https://doi.org/10.3390/ph15050561</w:t>
        </w:r>
      </w:hyperlink>
    </w:p>
    <w:p w14:paraId="41B5FAD3" w14:textId="77777777" w:rsidR="006E3603" w:rsidRPr="00E227C9" w:rsidRDefault="006E3603" w:rsidP="00146917">
      <w:pPr>
        <w:spacing w:after="0" w:line="240" w:lineRule="auto"/>
        <w:jc w:val="both"/>
        <w:rPr>
          <w:rFonts w:ascii="Arial" w:eastAsia="Arial" w:hAnsi="Arial" w:cs="Arial"/>
          <w:sz w:val="18"/>
          <w:szCs w:val="18"/>
        </w:rPr>
      </w:pPr>
    </w:p>
    <w:p w14:paraId="5F244881" w14:textId="5D2D0C99" w:rsidR="00612F37" w:rsidRPr="00D91D71" w:rsidRDefault="00557AF1" w:rsidP="00D91D71">
      <w:pPr>
        <w:pStyle w:val="ListParagraph"/>
        <w:numPr>
          <w:ilvl w:val="0"/>
          <w:numId w:val="2"/>
        </w:numPr>
        <w:spacing w:after="0" w:line="240" w:lineRule="auto"/>
        <w:jc w:val="both"/>
        <w:rPr>
          <w:rStyle w:val="Hyperlink"/>
          <w:rFonts w:ascii="Arial" w:hAnsi="Arial" w:cs="Arial"/>
          <w:sz w:val="20"/>
          <w:szCs w:val="20"/>
        </w:rPr>
      </w:pPr>
      <w:r w:rsidRPr="00D91D71">
        <w:rPr>
          <w:rFonts w:ascii="Arial" w:hAnsi="Arial" w:cs="Arial"/>
          <w:sz w:val="20"/>
          <w:szCs w:val="20"/>
        </w:rPr>
        <w:t xml:space="preserve">Palmieri, F., </w:t>
      </w:r>
      <w:proofErr w:type="spellStart"/>
      <w:r w:rsidRPr="00D91D71">
        <w:rPr>
          <w:rFonts w:ascii="Arial" w:hAnsi="Arial" w:cs="Arial"/>
          <w:sz w:val="20"/>
          <w:szCs w:val="20"/>
        </w:rPr>
        <w:t>Koutsokera</w:t>
      </w:r>
      <w:proofErr w:type="spellEnd"/>
      <w:r w:rsidRPr="00D91D71">
        <w:rPr>
          <w:rFonts w:ascii="Arial" w:hAnsi="Arial" w:cs="Arial"/>
          <w:sz w:val="20"/>
          <w:szCs w:val="20"/>
        </w:rPr>
        <w:t xml:space="preserve">, A., Bernasconi, E., </w:t>
      </w:r>
      <w:proofErr w:type="spellStart"/>
      <w:r w:rsidRPr="00D91D71">
        <w:rPr>
          <w:rFonts w:ascii="Arial" w:hAnsi="Arial" w:cs="Arial"/>
          <w:sz w:val="20"/>
          <w:szCs w:val="20"/>
        </w:rPr>
        <w:t>Junier</w:t>
      </w:r>
      <w:proofErr w:type="spellEnd"/>
      <w:r w:rsidRPr="00D91D71">
        <w:rPr>
          <w:rFonts w:ascii="Arial" w:hAnsi="Arial" w:cs="Arial"/>
          <w:sz w:val="20"/>
          <w:szCs w:val="20"/>
        </w:rPr>
        <w:t xml:space="preserve">, P., von Garnier, C., &amp; </w:t>
      </w:r>
      <w:proofErr w:type="spellStart"/>
      <w:r w:rsidRPr="00D91D71">
        <w:rPr>
          <w:rFonts w:ascii="Arial" w:hAnsi="Arial" w:cs="Arial"/>
          <w:sz w:val="20"/>
          <w:szCs w:val="20"/>
        </w:rPr>
        <w:t>Ubags</w:t>
      </w:r>
      <w:proofErr w:type="spellEnd"/>
      <w:r w:rsidRPr="00D91D71">
        <w:rPr>
          <w:rFonts w:ascii="Arial" w:hAnsi="Arial" w:cs="Arial"/>
          <w:sz w:val="20"/>
          <w:szCs w:val="20"/>
        </w:rPr>
        <w:t xml:space="preserve">, N. (2022). Recent Advances in Fungal Infections: From Lung Ecology to Therapeutic Strategies </w:t>
      </w:r>
      <w:proofErr w:type="gramStart"/>
      <w:r w:rsidRPr="00D91D71">
        <w:rPr>
          <w:rFonts w:ascii="Arial" w:hAnsi="Arial" w:cs="Arial"/>
          <w:sz w:val="20"/>
          <w:szCs w:val="20"/>
        </w:rPr>
        <w:t>With</w:t>
      </w:r>
      <w:proofErr w:type="gramEnd"/>
      <w:r w:rsidRPr="00D91D71">
        <w:rPr>
          <w:rFonts w:ascii="Arial" w:hAnsi="Arial" w:cs="Arial"/>
          <w:sz w:val="20"/>
          <w:szCs w:val="20"/>
        </w:rPr>
        <w:t xml:space="preserve"> a Focus on Aspergillus spp. Frontiers in Medicine. </w:t>
      </w:r>
      <w:hyperlink r:id="rId46" w:history="1">
        <w:r w:rsidRPr="00D91D71">
          <w:rPr>
            <w:rStyle w:val="Hyperlink"/>
            <w:rFonts w:ascii="Arial" w:hAnsi="Arial" w:cs="Arial"/>
            <w:sz w:val="20"/>
            <w:szCs w:val="20"/>
          </w:rPr>
          <w:t>https://doi.org/10.3389/fmed.2022.832510</w:t>
        </w:r>
      </w:hyperlink>
    </w:p>
    <w:p w14:paraId="244923DF" w14:textId="77777777" w:rsidR="00D91D71" w:rsidRPr="00E227C9" w:rsidRDefault="00D91D71" w:rsidP="00D91D71">
      <w:pPr>
        <w:spacing w:after="0" w:line="240" w:lineRule="auto"/>
        <w:jc w:val="both"/>
        <w:rPr>
          <w:rFonts w:ascii="Arial" w:hAnsi="Arial" w:cs="Arial"/>
          <w:sz w:val="20"/>
          <w:szCs w:val="20"/>
        </w:rPr>
      </w:pPr>
    </w:p>
    <w:p w14:paraId="6D3C9E41" w14:textId="496D5BC2" w:rsidR="006E3603" w:rsidRPr="00D91D71" w:rsidRDefault="006E3603"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Narayan, A., Patel, S., Baile, S. B., Jain, S., &amp; Sharma, S. (2024). </w:t>
      </w:r>
      <w:proofErr w:type="spellStart"/>
      <w:proofErr w:type="gramStart"/>
      <w:r w:rsidRPr="00D91D71">
        <w:rPr>
          <w:rFonts w:ascii="Arial" w:hAnsi="Arial" w:cs="Arial"/>
          <w:sz w:val="20"/>
          <w:szCs w:val="20"/>
        </w:rPr>
        <w:t>Imidazo</w:t>
      </w:r>
      <w:proofErr w:type="spellEnd"/>
      <w:r w:rsidRPr="00D91D71">
        <w:rPr>
          <w:rFonts w:ascii="Arial" w:hAnsi="Arial" w:cs="Arial"/>
          <w:sz w:val="20"/>
          <w:szCs w:val="20"/>
        </w:rPr>
        <w:t>[</w:t>
      </w:r>
      <w:proofErr w:type="gramEnd"/>
      <w:r w:rsidRPr="00D91D71">
        <w:rPr>
          <w:rFonts w:ascii="Arial" w:hAnsi="Arial" w:cs="Arial"/>
          <w:sz w:val="20"/>
          <w:szCs w:val="20"/>
        </w:rPr>
        <w:t>1,2</w:t>
      </w:r>
      <w:r w:rsidR="00D91D71" w:rsidRPr="00D91D71">
        <w:rPr>
          <w:rFonts w:ascii="Arial" w:hAnsi="Arial" w:cs="Arial"/>
          <w:sz w:val="20"/>
          <w:szCs w:val="20"/>
        </w:rPr>
        <w:t xml:space="preserve"> </w:t>
      </w:r>
      <w:r w:rsidRPr="00D91D71">
        <w:rPr>
          <w:rFonts w:ascii="Arial" w:hAnsi="Arial" w:cs="Arial"/>
          <w:sz w:val="20"/>
          <w:szCs w:val="20"/>
        </w:rPr>
        <w:t>A]Pyridine: Potent Biological Activity,</w:t>
      </w:r>
      <w:r w:rsidR="00D91D71" w:rsidRPr="00D91D71">
        <w:rPr>
          <w:rFonts w:ascii="Arial" w:hAnsi="Arial" w:cs="Arial"/>
          <w:sz w:val="20"/>
          <w:szCs w:val="20"/>
        </w:rPr>
        <w:t xml:space="preserve"> </w:t>
      </w:r>
      <w:r w:rsidRPr="00D91D71">
        <w:rPr>
          <w:rFonts w:ascii="Arial" w:hAnsi="Arial" w:cs="Arial"/>
          <w:sz w:val="20"/>
          <w:szCs w:val="20"/>
        </w:rPr>
        <w:t>SAR and Docking Investigations (2017</w:t>
      </w:r>
      <w:r w:rsidR="00D91D71" w:rsidRPr="00D91D71">
        <w:rPr>
          <w:rFonts w:ascii="Arial" w:hAnsi="Arial" w:cs="Arial"/>
          <w:sz w:val="20"/>
          <w:szCs w:val="20"/>
        </w:rPr>
        <w:t xml:space="preserve"> </w:t>
      </w:r>
      <w:r w:rsidRPr="00D91D71">
        <w:rPr>
          <w:rFonts w:ascii="Arial" w:hAnsi="Arial" w:cs="Arial"/>
          <w:sz w:val="20"/>
          <w:szCs w:val="20"/>
        </w:rPr>
        <w:t>2022). Infectious Disorders – Drug</w:t>
      </w:r>
      <w:r w:rsidR="00D91D71" w:rsidRPr="00D91D71">
        <w:rPr>
          <w:rFonts w:ascii="Arial" w:hAnsi="Arial" w:cs="Arial"/>
          <w:sz w:val="20"/>
          <w:szCs w:val="20"/>
        </w:rPr>
        <w:t xml:space="preserve"> </w:t>
      </w:r>
      <w:r w:rsidRPr="00D91D71">
        <w:rPr>
          <w:rFonts w:ascii="Arial" w:hAnsi="Arial" w:cs="Arial"/>
          <w:sz w:val="20"/>
          <w:szCs w:val="20"/>
        </w:rPr>
        <w:t>Targets, 24(8), 16–41.</w:t>
      </w:r>
      <w:hyperlink r:id="rId47" w:history="1">
        <w:r w:rsidRPr="00D91D71">
          <w:rPr>
            <w:rStyle w:val="Hyperlink"/>
            <w:rFonts w:ascii="Arial" w:hAnsi="Arial" w:cs="Arial"/>
            <w:sz w:val="20"/>
            <w:szCs w:val="20"/>
          </w:rPr>
          <w:t>https://doi.org/10.2174/011871526527467240223040333</w:t>
        </w:r>
      </w:hyperlink>
    </w:p>
    <w:p w14:paraId="2E7430A8" w14:textId="77777777" w:rsidR="006E3603" w:rsidRDefault="006E3603" w:rsidP="006E3603">
      <w:pPr>
        <w:spacing w:after="0" w:line="240" w:lineRule="auto"/>
        <w:jc w:val="both"/>
        <w:rPr>
          <w:rFonts w:ascii="Arial" w:hAnsi="Arial" w:cs="Arial"/>
          <w:sz w:val="20"/>
          <w:szCs w:val="20"/>
        </w:rPr>
      </w:pPr>
    </w:p>
    <w:p w14:paraId="1FBB7515" w14:textId="24F1F722" w:rsidR="006E3603" w:rsidRPr="00D91D71" w:rsidRDefault="006E3603" w:rsidP="00D91D71">
      <w:pPr>
        <w:pStyle w:val="ListParagraph"/>
        <w:numPr>
          <w:ilvl w:val="0"/>
          <w:numId w:val="2"/>
        </w:numPr>
        <w:spacing w:after="0" w:line="240" w:lineRule="auto"/>
        <w:jc w:val="both"/>
        <w:rPr>
          <w:rStyle w:val="Hyperlink"/>
          <w:rFonts w:ascii="Arial" w:hAnsi="Arial" w:cs="Arial"/>
          <w:sz w:val="20"/>
          <w:szCs w:val="20"/>
        </w:rPr>
      </w:pPr>
      <w:proofErr w:type="spellStart"/>
      <w:r w:rsidRPr="00D91D71">
        <w:rPr>
          <w:rFonts w:ascii="Arial" w:hAnsi="Arial" w:cs="Arial"/>
          <w:sz w:val="20"/>
          <w:szCs w:val="20"/>
        </w:rPr>
        <w:lastRenderedPageBreak/>
        <w:t>N'guessan</w:t>
      </w:r>
      <w:proofErr w:type="spellEnd"/>
      <w:r w:rsidRPr="00D91D71">
        <w:rPr>
          <w:rFonts w:ascii="Arial" w:hAnsi="Arial" w:cs="Arial"/>
          <w:sz w:val="20"/>
          <w:szCs w:val="20"/>
        </w:rPr>
        <w:t xml:space="preserve">, D. U. J.-P., Coulibaly, S., Kacou, A. </w:t>
      </w:r>
      <w:r w:rsidRPr="00D91D71">
        <w:rPr>
          <w:rFonts w:ascii="Arial" w:hAnsi="Arial" w:cs="Arial"/>
          <w:sz w:val="20"/>
          <w:szCs w:val="20"/>
          <w:lang w:val="it-IT"/>
        </w:rPr>
        <w:t xml:space="preserve">A., Angora, K. E., Koffi, F., &amp; Ouattara, M. (2025). </w:t>
      </w:r>
      <w:r w:rsidRPr="00D91D71">
        <w:rPr>
          <w:rFonts w:ascii="Arial" w:hAnsi="Arial" w:cs="Arial"/>
          <w:sz w:val="20"/>
          <w:szCs w:val="20"/>
        </w:rPr>
        <w:t>Synthesis and anticandidal activity of new 6-chloroimidazo[1,2-</w:t>
      </w:r>
      <w:proofErr w:type="gramStart"/>
      <w:r w:rsidRPr="00D91D71">
        <w:rPr>
          <w:rFonts w:ascii="Arial" w:hAnsi="Arial" w:cs="Arial"/>
          <w:sz w:val="20"/>
          <w:szCs w:val="20"/>
        </w:rPr>
        <w:t>a]pyridine</w:t>
      </w:r>
      <w:proofErr w:type="gramEnd"/>
      <w:r w:rsidRPr="00D91D71">
        <w:rPr>
          <w:rFonts w:ascii="Arial" w:hAnsi="Arial" w:cs="Arial"/>
          <w:sz w:val="20"/>
          <w:szCs w:val="20"/>
        </w:rPr>
        <w:t xml:space="preserve"> derivatives. Asian Journal of Chemical Sciences, 15(3), 32–41. </w:t>
      </w:r>
      <w:hyperlink r:id="rId48" w:history="1">
        <w:r w:rsidRPr="00D91D71">
          <w:rPr>
            <w:rStyle w:val="Hyperlink"/>
            <w:rFonts w:ascii="Arial" w:hAnsi="Arial" w:cs="Arial"/>
            <w:sz w:val="20"/>
            <w:szCs w:val="20"/>
          </w:rPr>
          <w:t>https://doi.org/10.9734/ajocs/2025/v15i3371</w:t>
        </w:r>
      </w:hyperlink>
    </w:p>
    <w:p w14:paraId="71A29403" w14:textId="77777777" w:rsidR="00D91D71" w:rsidRPr="00E227C9" w:rsidRDefault="00D91D71" w:rsidP="00D91D71">
      <w:pPr>
        <w:spacing w:after="0" w:line="240" w:lineRule="auto"/>
        <w:jc w:val="both"/>
        <w:rPr>
          <w:rFonts w:ascii="Arial" w:hAnsi="Arial" w:cs="Arial"/>
          <w:sz w:val="20"/>
          <w:szCs w:val="20"/>
        </w:rPr>
      </w:pPr>
    </w:p>
    <w:p w14:paraId="662027C0" w14:textId="188FBA3C" w:rsidR="006E3603" w:rsidRPr="00D91D71" w:rsidRDefault="006E3603" w:rsidP="00D91D71">
      <w:pPr>
        <w:pStyle w:val="ListParagraph"/>
        <w:numPr>
          <w:ilvl w:val="0"/>
          <w:numId w:val="2"/>
        </w:numPr>
        <w:spacing w:after="0" w:line="240" w:lineRule="auto"/>
        <w:jc w:val="both"/>
        <w:rPr>
          <w:rFonts w:ascii="Arial" w:eastAsia="Arial" w:hAnsi="Arial" w:cs="Arial"/>
          <w:color w:val="EE0000"/>
          <w:sz w:val="20"/>
          <w:szCs w:val="20"/>
        </w:rPr>
      </w:pPr>
      <w:r w:rsidRPr="00D91D71">
        <w:rPr>
          <w:rFonts w:ascii="Arial" w:eastAsia="Arial" w:hAnsi="Arial" w:cs="Arial"/>
          <w:color w:val="EE0000"/>
          <w:sz w:val="20"/>
          <w:szCs w:val="20"/>
        </w:rPr>
        <w:t xml:space="preserve">N’Guessan, D. U. J.-P., Coulibaly, S., Kassi, F. K., </w:t>
      </w:r>
      <w:proofErr w:type="spellStart"/>
      <w:r w:rsidRPr="00D91D71">
        <w:rPr>
          <w:rFonts w:ascii="Arial" w:eastAsia="Arial" w:hAnsi="Arial" w:cs="Arial"/>
          <w:color w:val="EE0000"/>
          <w:sz w:val="20"/>
          <w:szCs w:val="20"/>
          <w:lang w:val="fr-CI"/>
        </w:rPr>
        <w:t>Delaye</w:t>
      </w:r>
      <w:proofErr w:type="spellEnd"/>
      <w:r w:rsidRPr="00D91D71">
        <w:rPr>
          <w:rFonts w:ascii="Arial" w:eastAsia="Arial" w:hAnsi="Arial" w:cs="Arial"/>
          <w:color w:val="EE0000"/>
          <w:sz w:val="20"/>
          <w:szCs w:val="20"/>
          <w:lang w:val="fr-CI"/>
        </w:rPr>
        <w:t xml:space="preserve">, P.-O., </w:t>
      </w:r>
      <w:proofErr w:type="spellStart"/>
      <w:r w:rsidRPr="00D91D71">
        <w:rPr>
          <w:rFonts w:ascii="Arial" w:eastAsia="Arial" w:hAnsi="Arial" w:cs="Arial"/>
          <w:color w:val="EE0000"/>
          <w:sz w:val="20"/>
          <w:szCs w:val="20"/>
          <w:lang w:val="fr-CI"/>
        </w:rPr>
        <w:t>Pénichon</w:t>
      </w:r>
      <w:proofErr w:type="spellEnd"/>
      <w:r w:rsidRPr="00D91D71">
        <w:rPr>
          <w:rFonts w:ascii="Arial" w:eastAsia="Arial" w:hAnsi="Arial" w:cs="Arial"/>
          <w:color w:val="EE0000"/>
          <w:sz w:val="20"/>
          <w:szCs w:val="20"/>
          <w:lang w:val="fr-CI"/>
        </w:rPr>
        <w:t xml:space="preserve">, M., </w:t>
      </w:r>
      <w:proofErr w:type="spellStart"/>
      <w:r w:rsidRPr="00D91D71">
        <w:rPr>
          <w:rFonts w:ascii="Arial" w:eastAsia="Arial" w:hAnsi="Arial" w:cs="Arial"/>
          <w:color w:val="EE0000"/>
          <w:sz w:val="20"/>
          <w:szCs w:val="20"/>
          <w:lang w:val="fr-CI"/>
        </w:rPr>
        <w:t>Enguehard-Gueiffier</w:t>
      </w:r>
      <w:proofErr w:type="spellEnd"/>
      <w:r w:rsidRPr="00D91D71">
        <w:rPr>
          <w:rFonts w:ascii="Arial" w:eastAsia="Arial" w:hAnsi="Arial" w:cs="Arial"/>
          <w:color w:val="EE0000"/>
          <w:sz w:val="20"/>
          <w:szCs w:val="20"/>
          <w:lang w:val="fr-CI"/>
        </w:rPr>
        <w:t xml:space="preserve">, C., et al. </w:t>
      </w:r>
      <w:r w:rsidRPr="00D91D71">
        <w:rPr>
          <w:rFonts w:ascii="Arial" w:eastAsia="Arial" w:hAnsi="Arial" w:cs="Arial"/>
          <w:color w:val="EE0000"/>
          <w:sz w:val="20"/>
          <w:szCs w:val="20"/>
        </w:rPr>
        <w:t xml:space="preserve">(2021). Synthesis and SAR of </w:t>
      </w:r>
      <w:proofErr w:type="spellStart"/>
      <w:r w:rsidRPr="00D91D71">
        <w:rPr>
          <w:rFonts w:ascii="Arial" w:eastAsia="Arial" w:hAnsi="Arial" w:cs="Arial"/>
          <w:color w:val="EE0000"/>
          <w:sz w:val="20"/>
          <w:szCs w:val="20"/>
        </w:rPr>
        <w:t>imidazo</w:t>
      </w:r>
      <w:proofErr w:type="spellEnd"/>
      <w:r w:rsidRPr="00D91D71">
        <w:rPr>
          <w:rFonts w:ascii="Arial" w:eastAsia="Arial" w:hAnsi="Arial" w:cs="Arial"/>
          <w:color w:val="EE0000"/>
          <w:sz w:val="20"/>
          <w:szCs w:val="20"/>
        </w:rPr>
        <w:t>[1,2-</w:t>
      </w:r>
      <w:proofErr w:type="gramStart"/>
      <w:r w:rsidRPr="00D91D71">
        <w:rPr>
          <w:rFonts w:ascii="Arial" w:eastAsia="Arial" w:hAnsi="Arial" w:cs="Arial"/>
          <w:color w:val="EE0000"/>
          <w:sz w:val="20"/>
          <w:szCs w:val="20"/>
        </w:rPr>
        <w:t>a]</w:t>
      </w:r>
      <w:proofErr w:type="spellStart"/>
      <w:r w:rsidRPr="00D91D71">
        <w:rPr>
          <w:rFonts w:ascii="Arial" w:eastAsia="Arial" w:hAnsi="Arial" w:cs="Arial"/>
          <w:color w:val="EE0000"/>
          <w:sz w:val="20"/>
          <w:szCs w:val="20"/>
        </w:rPr>
        <w:t>pyridinylphenylacrylonitrile</w:t>
      </w:r>
      <w:proofErr w:type="spellEnd"/>
      <w:proofErr w:type="gramEnd"/>
      <w:r w:rsidRPr="00D91D71">
        <w:rPr>
          <w:rFonts w:ascii="Arial" w:eastAsia="Arial" w:hAnsi="Arial" w:cs="Arial"/>
          <w:color w:val="EE0000"/>
          <w:sz w:val="20"/>
          <w:szCs w:val="20"/>
        </w:rPr>
        <w:t xml:space="preserve"> derivatives as potent </w:t>
      </w:r>
      <w:proofErr w:type="spellStart"/>
      <w:r w:rsidRPr="00D91D71">
        <w:rPr>
          <w:rFonts w:ascii="Arial" w:eastAsia="Arial" w:hAnsi="Arial" w:cs="Arial"/>
          <w:color w:val="EE0000"/>
          <w:sz w:val="20"/>
          <w:szCs w:val="20"/>
        </w:rPr>
        <w:t>anticandidiasis</w:t>
      </w:r>
      <w:proofErr w:type="spellEnd"/>
      <w:r w:rsidRPr="00D91D71">
        <w:rPr>
          <w:rFonts w:ascii="Arial" w:eastAsia="Arial" w:hAnsi="Arial" w:cs="Arial"/>
          <w:color w:val="EE0000"/>
          <w:sz w:val="20"/>
          <w:szCs w:val="20"/>
        </w:rPr>
        <w:t xml:space="preserve"> agents. </w:t>
      </w:r>
      <w:r w:rsidRPr="00D91D71">
        <w:rPr>
          <w:rFonts w:ascii="Arial" w:eastAsia="Arial" w:hAnsi="Arial" w:cs="Arial"/>
          <w:i/>
          <w:color w:val="EE0000"/>
          <w:sz w:val="20"/>
          <w:szCs w:val="20"/>
        </w:rPr>
        <w:t>Journal of Medicinal Chemistry and Sciences, 4</w:t>
      </w:r>
      <w:r w:rsidRPr="00D91D71">
        <w:rPr>
          <w:rFonts w:ascii="Arial" w:eastAsia="Arial" w:hAnsi="Arial" w:cs="Arial"/>
          <w:color w:val="EE0000"/>
          <w:sz w:val="20"/>
          <w:szCs w:val="20"/>
        </w:rPr>
        <w:t>(6), 554–563. https://doi.org/10.1021/acs.jmedchem.1c00544</w:t>
      </w:r>
    </w:p>
    <w:p w14:paraId="5CE8612B" w14:textId="77777777" w:rsidR="00D91D71" w:rsidRPr="006E3603" w:rsidRDefault="00D91D71" w:rsidP="00D91D71">
      <w:pPr>
        <w:spacing w:after="0" w:line="240" w:lineRule="auto"/>
        <w:jc w:val="both"/>
        <w:rPr>
          <w:rFonts w:ascii="Arial" w:eastAsia="Arial" w:hAnsi="Arial" w:cs="Arial"/>
          <w:color w:val="EE0000"/>
          <w:sz w:val="20"/>
          <w:szCs w:val="20"/>
        </w:rPr>
      </w:pPr>
    </w:p>
    <w:p w14:paraId="5BDF1D3B" w14:textId="48BFECA1" w:rsidR="003B5EA5" w:rsidRPr="00D91D71" w:rsidRDefault="003B5EA5"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Pasula, S., &amp; Chandrasekar, P. H. (2021). Azole resistance in Aspergillus species: promising</w:t>
      </w:r>
      <w:r w:rsidR="00D91D71" w:rsidRPr="00D91D71">
        <w:rPr>
          <w:rFonts w:ascii="Arial" w:hAnsi="Arial" w:cs="Arial"/>
          <w:sz w:val="20"/>
          <w:szCs w:val="20"/>
        </w:rPr>
        <w:t xml:space="preserve"> </w:t>
      </w:r>
      <w:r w:rsidRPr="00D91D71">
        <w:rPr>
          <w:rFonts w:ascii="Arial" w:hAnsi="Arial" w:cs="Arial"/>
          <w:sz w:val="20"/>
          <w:szCs w:val="20"/>
        </w:rPr>
        <w:t>therapeutic options. Expert Opinion on</w:t>
      </w:r>
      <w:r w:rsidR="00D91D71" w:rsidRPr="00D91D71">
        <w:rPr>
          <w:rFonts w:ascii="Arial" w:hAnsi="Arial" w:cs="Arial"/>
          <w:sz w:val="20"/>
          <w:szCs w:val="20"/>
        </w:rPr>
        <w:t xml:space="preserve"> </w:t>
      </w:r>
      <w:proofErr w:type="spellStart"/>
      <w:r w:rsidRPr="00D91D71">
        <w:rPr>
          <w:rFonts w:ascii="Arial" w:hAnsi="Arial" w:cs="Arial"/>
          <w:sz w:val="20"/>
          <w:szCs w:val="20"/>
        </w:rPr>
        <w:t>Pharmacotherapy.</w:t>
      </w:r>
      <w:r w:rsidR="004A4990">
        <w:fldChar w:fldCharType="begin"/>
      </w:r>
      <w:r w:rsidR="004A4990">
        <w:instrText xml:space="preserve"> HYPERLINK "https://doi.org/10.1080/14656566.2021.1940134" </w:instrText>
      </w:r>
      <w:r w:rsidR="004A4990">
        <w:fldChar w:fldCharType="separate"/>
      </w:r>
      <w:r w:rsidRPr="00D91D71">
        <w:rPr>
          <w:rStyle w:val="Hyperlink"/>
          <w:rFonts w:ascii="Arial" w:hAnsi="Arial" w:cs="Arial"/>
          <w:sz w:val="20"/>
          <w:szCs w:val="20"/>
        </w:rPr>
        <w:t>https</w:t>
      </w:r>
      <w:proofErr w:type="spellEnd"/>
      <w:r w:rsidRPr="00D91D71">
        <w:rPr>
          <w:rStyle w:val="Hyperlink"/>
          <w:rFonts w:ascii="Arial" w:hAnsi="Arial" w:cs="Arial"/>
          <w:sz w:val="20"/>
          <w:szCs w:val="20"/>
        </w:rPr>
        <w:t>://doi.org/10.1080/14656566.2021.1940134</w:t>
      </w:r>
      <w:r w:rsidR="004A4990" w:rsidRPr="00D91D71">
        <w:rPr>
          <w:rStyle w:val="Hyperlink"/>
          <w:rFonts w:ascii="Arial" w:hAnsi="Arial" w:cs="Arial"/>
          <w:sz w:val="20"/>
          <w:szCs w:val="20"/>
        </w:rPr>
        <w:fldChar w:fldCharType="end"/>
      </w:r>
    </w:p>
    <w:p w14:paraId="19715ACB" w14:textId="77777777" w:rsidR="003B5EA5" w:rsidRPr="00E227C9" w:rsidRDefault="003B5EA5" w:rsidP="003B5EA5">
      <w:pPr>
        <w:spacing w:after="0" w:line="240" w:lineRule="auto"/>
        <w:ind w:left="540" w:firstLine="720"/>
        <w:jc w:val="both"/>
        <w:rPr>
          <w:rFonts w:ascii="Arial" w:hAnsi="Arial" w:cs="Arial"/>
          <w:sz w:val="20"/>
          <w:szCs w:val="20"/>
        </w:rPr>
      </w:pPr>
    </w:p>
    <w:p w14:paraId="54FEA3F6" w14:textId="58BBA43F" w:rsidR="003B5EA5" w:rsidRPr="00D91D71" w:rsidRDefault="003B5EA5" w:rsidP="00D91D71">
      <w:pPr>
        <w:pStyle w:val="ListParagraph"/>
        <w:numPr>
          <w:ilvl w:val="0"/>
          <w:numId w:val="2"/>
        </w:numPr>
        <w:spacing w:after="0" w:line="240" w:lineRule="auto"/>
        <w:jc w:val="both"/>
        <w:rPr>
          <w:rFonts w:ascii="Arial" w:eastAsia="Arial" w:hAnsi="Arial" w:cs="Arial"/>
          <w:color w:val="EE0000"/>
          <w:sz w:val="20"/>
          <w:szCs w:val="20"/>
        </w:rPr>
      </w:pPr>
      <w:proofErr w:type="spellStart"/>
      <w:r w:rsidRPr="00D91D71">
        <w:rPr>
          <w:rFonts w:ascii="Arial" w:eastAsia="Arial" w:hAnsi="Arial" w:cs="Arial"/>
          <w:color w:val="EE0000"/>
          <w:sz w:val="20"/>
          <w:szCs w:val="20"/>
        </w:rPr>
        <w:t>Peytam</w:t>
      </w:r>
      <w:proofErr w:type="spellEnd"/>
      <w:r w:rsidRPr="00D91D71">
        <w:rPr>
          <w:rFonts w:ascii="Arial" w:eastAsia="Arial" w:hAnsi="Arial" w:cs="Arial"/>
          <w:color w:val="EE0000"/>
          <w:sz w:val="20"/>
          <w:szCs w:val="20"/>
        </w:rPr>
        <w:t xml:space="preserve">, F., </w:t>
      </w:r>
      <w:proofErr w:type="spellStart"/>
      <w:r w:rsidRPr="00D91D71">
        <w:rPr>
          <w:rFonts w:ascii="Arial" w:eastAsia="Arial" w:hAnsi="Arial" w:cs="Arial"/>
          <w:color w:val="EE0000"/>
          <w:sz w:val="20"/>
          <w:szCs w:val="20"/>
        </w:rPr>
        <w:t>Emamgholipour</w:t>
      </w:r>
      <w:proofErr w:type="spellEnd"/>
      <w:r w:rsidRPr="00D91D71">
        <w:rPr>
          <w:rFonts w:ascii="Arial" w:eastAsia="Arial" w:hAnsi="Arial" w:cs="Arial"/>
          <w:color w:val="EE0000"/>
          <w:sz w:val="20"/>
          <w:szCs w:val="20"/>
        </w:rPr>
        <w:t xml:space="preserve">, Z., Mousavi, A., Moradi, M., </w:t>
      </w:r>
      <w:proofErr w:type="spellStart"/>
      <w:r w:rsidRPr="00D91D71">
        <w:rPr>
          <w:rFonts w:ascii="Arial" w:eastAsia="Arial" w:hAnsi="Arial" w:cs="Arial"/>
          <w:color w:val="EE0000"/>
          <w:sz w:val="20"/>
          <w:szCs w:val="20"/>
        </w:rPr>
        <w:t>Foroumadi</w:t>
      </w:r>
      <w:proofErr w:type="spellEnd"/>
      <w:r w:rsidRPr="00D91D71">
        <w:rPr>
          <w:rFonts w:ascii="Arial" w:eastAsia="Arial" w:hAnsi="Arial" w:cs="Arial"/>
          <w:color w:val="EE0000"/>
          <w:sz w:val="20"/>
          <w:szCs w:val="20"/>
        </w:rPr>
        <w:t xml:space="preserve">, R., </w:t>
      </w:r>
      <w:proofErr w:type="spellStart"/>
      <w:r w:rsidRPr="00D91D71">
        <w:rPr>
          <w:rFonts w:ascii="Arial" w:eastAsia="Arial" w:hAnsi="Arial" w:cs="Arial"/>
          <w:color w:val="EE0000"/>
          <w:sz w:val="20"/>
          <w:szCs w:val="20"/>
        </w:rPr>
        <w:t>Firoozpour</w:t>
      </w:r>
      <w:proofErr w:type="spellEnd"/>
      <w:r w:rsidRPr="00D91D71">
        <w:rPr>
          <w:rFonts w:ascii="Arial" w:eastAsia="Arial" w:hAnsi="Arial" w:cs="Arial"/>
          <w:color w:val="EE0000"/>
          <w:sz w:val="20"/>
          <w:szCs w:val="20"/>
        </w:rPr>
        <w:t xml:space="preserve">, L., et al. (2023). Imidazopyridine-based kinase inhibitors as potential anticancer agents: A review. </w:t>
      </w:r>
      <w:r w:rsidRPr="00D91D71">
        <w:rPr>
          <w:rFonts w:ascii="Arial" w:eastAsia="Arial" w:hAnsi="Arial" w:cs="Arial"/>
          <w:i/>
          <w:color w:val="EE0000"/>
          <w:sz w:val="20"/>
          <w:szCs w:val="20"/>
        </w:rPr>
        <w:t>Bioorganic Chemistry, 140</w:t>
      </w:r>
      <w:r w:rsidRPr="00D91D71">
        <w:rPr>
          <w:rFonts w:ascii="Arial" w:eastAsia="Arial" w:hAnsi="Arial" w:cs="Arial"/>
          <w:color w:val="EE0000"/>
          <w:sz w:val="20"/>
          <w:szCs w:val="20"/>
        </w:rPr>
        <w:t>, 106831. https://doi.org/10.1016/j.bioorg.2023.106831</w:t>
      </w:r>
    </w:p>
    <w:p w14:paraId="3198ED30" w14:textId="77777777" w:rsidR="00D91D71" w:rsidRPr="006E3603" w:rsidRDefault="00D91D71" w:rsidP="00D91D71">
      <w:pPr>
        <w:spacing w:after="0" w:line="240" w:lineRule="auto"/>
        <w:jc w:val="both"/>
        <w:rPr>
          <w:rFonts w:ascii="Arial" w:eastAsia="Arial" w:hAnsi="Arial" w:cs="Arial"/>
          <w:color w:val="EE0000"/>
          <w:sz w:val="20"/>
          <w:szCs w:val="20"/>
        </w:rPr>
      </w:pPr>
    </w:p>
    <w:p w14:paraId="174CFABA" w14:textId="52D01E48" w:rsidR="00612F37" w:rsidRPr="00D91D71" w:rsidRDefault="00557AF1" w:rsidP="00D91D71">
      <w:pPr>
        <w:pStyle w:val="ListParagraph"/>
        <w:numPr>
          <w:ilvl w:val="0"/>
          <w:numId w:val="2"/>
        </w:numPr>
        <w:spacing w:after="0" w:line="240" w:lineRule="auto"/>
        <w:jc w:val="both"/>
        <w:rPr>
          <w:rFonts w:ascii="Arial" w:hAnsi="Arial" w:cs="Arial"/>
          <w:sz w:val="20"/>
          <w:szCs w:val="20"/>
        </w:rPr>
      </w:pPr>
      <w:r w:rsidRPr="00D91D71">
        <w:rPr>
          <w:rFonts w:ascii="Arial" w:hAnsi="Arial" w:cs="Arial"/>
          <w:sz w:val="20"/>
          <w:szCs w:val="20"/>
        </w:rPr>
        <w:t xml:space="preserve">Shabeer, S., Asad, S., Jamal, A., et al. (2022). Aflatoxin contamination, its impact and management strategies: An updated review. Toxins, 14(5), 307. </w:t>
      </w:r>
      <w:hyperlink r:id="rId49" w:history="1">
        <w:r w:rsidRPr="00D91D71">
          <w:rPr>
            <w:rStyle w:val="Hyperlink"/>
            <w:rFonts w:ascii="Arial" w:hAnsi="Arial" w:cs="Arial"/>
            <w:sz w:val="20"/>
            <w:szCs w:val="20"/>
          </w:rPr>
          <w:t>https://doi.org/10.3390/toxins14050307</w:t>
        </w:r>
      </w:hyperlink>
    </w:p>
    <w:p w14:paraId="3DE582E7" w14:textId="77777777" w:rsidR="00B33461" w:rsidRDefault="00B33461" w:rsidP="00EE786C">
      <w:pPr>
        <w:spacing w:after="0" w:line="240" w:lineRule="auto"/>
        <w:ind w:firstLine="540"/>
        <w:jc w:val="both"/>
        <w:rPr>
          <w:rFonts w:ascii="Arial" w:hAnsi="Arial" w:cs="Arial"/>
          <w:sz w:val="20"/>
          <w:szCs w:val="20"/>
        </w:rPr>
      </w:pPr>
    </w:p>
    <w:p w14:paraId="28E29263" w14:textId="04015C5F" w:rsidR="00B33461" w:rsidRPr="00D91D71" w:rsidRDefault="00B33461" w:rsidP="00D91D71">
      <w:pPr>
        <w:pStyle w:val="ListParagraph"/>
        <w:numPr>
          <w:ilvl w:val="0"/>
          <w:numId w:val="2"/>
        </w:numPr>
        <w:spacing w:after="0" w:line="240" w:lineRule="auto"/>
        <w:jc w:val="both"/>
        <w:rPr>
          <w:rFonts w:ascii="Arial" w:hAnsi="Arial" w:cs="Arial"/>
          <w:sz w:val="20"/>
          <w:szCs w:val="20"/>
        </w:rPr>
      </w:pPr>
      <w:proofErr w:type="spellStart"/>
      <w:r w:rsidRPr="00D91D71">
        <w:rPr>
          <w:rFonts w:ascii="Arial" w:eastAsia="Arial" w:hAnsi="Arial" w:cs="Arial"/>
          <w:color w:val="EE0000"/>
          <w:sz w:val="20"/>
          <w:szCs w:val="20"/>
        </w:rPr>
        <w:t>Sissouma</w:t>
      </w:r>
      <w:proofErr w:type="spellEnd"/>
      <w:r w:rsidRPr="00D91D71">
        <w:rPr>
          <w:rFonts w:ascii="Arial" w:eastAsia="Arial" w:hAnsi="Arial" w:cs="Arial"/>
          <w:color w:val="EE0000"/>
          <w:sz w:val="20"/>
          <w:szCs w:val="20"/>
        </w:rPr>
        <w:t xml:space="preserve">, D., Ouattara, M., Koné, M., Menan, H., </w:t>
      </w:r>
      <w:proofErr w:type="spellStart"/>
      <w:r w:rsidRPr="00D91D71">
        <w:rPr>
          <w:rFonts w:ascii="Arial" w:eastAsia="Arial" w:hAnsi="Arial" w:cs="Arial"/>
          <w:color w:val="EE0000"/>
          <w:sz w:val="20"/>
          <w:szCs w:val="20"/>
        </w:rPr>
        <w:t>Adjou</w:t>
      </w:r>
      <w:proofErr w:type="spellEnd"/>
      <w:r w:rsidRPr="00D91D71">
        <w:rPr>
          <w:rFonts w:ascii="Arial" w:eastAsia="Arial" w:hAnsi="Arial" w:cs="Arial"/>
          <w:color w:val="EE0000"/>
          <w:sz w:val="20"/>
          <w:szCs w:val="20"/>
        </w:rPr>
        <w:t>, A., &amp; Ouattara, L. (2011). Synthesis and in</w:t>
      </w:r>
      <w:r w:rsidR="00D91D71" w:rsidRPr="00D91D71">
        <w:rPr>
          <w:rFonts w:ascii="Arial" w:eastAsia="Arial" w:hAnsi="Arial" w:cs="Arial"/>
          <w:color w:val="EE0000"/>
          <w:sz w:val="20"/>
          <w:szCs w:val="20"/>
        </w:rPr>
        <w:t xml:space="preserve"> </w:t>
      </w:r>
      <w:r w:rsidRPr="00D91D71">
        <w:rPr>
          <w:rFonts w:ascii="Arial" w:eastAsia="Arial" w:hAnsi="Arial" w:cs="Arial"/>
          <w:color w:val="EE0000"/>
          <w:sz w:val="20"/>
          <w:szCs w:val="20"/>
        </w:rPr>
        <w:t xml:space="preserve">vitro </w:t>
      </w:r>
      <w:proofErr w:type="spellStart"/>
      <w:r w:rsidRPr="00D91D71">
        <w:rPr>
          <w:rFonts w:ascii="Arial" w:eastAsia="Arial" w:hAnsi="Arial" w:cs="Arial"/>
          <w:color w:val="EE0000"/>
          <w:sz w:val="20"/>
          <w:szCs w:val="20"/>
        </w:rPr>
        <w:t>nematicidal</w:t>
      </w:r>
      <w:proofErr w:type="spellEnd"/>
      <w:r w:rsidRPr="00D91D71">
        <w:rPr>
          <w:rFonts w:ascii="Arial" w:eastAsia="Arial" w:hAnsi="Arial" w:cs="Arial"/>
          <w:color w:val="EE0000"/>
          <w:sz w:val="20"/>
          <w:szCs w:val="20"/>
        </w:rPr>
        <w:t xml:space="preserve"> activity of new chalcones vectorized by imidazopyridine. </w:t>
      </w:r>
      <w:r w:rsidRPr="00D91D71">
        <w:rPr>
          <w:rFonts w:ascii="Arial" w:eastAsia="Arial" w:hAnsi="Arial" w:cs="Arial"/>
          <w:i/>
          <w:color w:val="EE0000"/>
          <w:sz w:val="20"/>
          <w:szCs w:val="20"/>
        </w:rPr>
        <w:t>African Journal of Pharmacy and Pharmacology, 5</w:t>
      </w:r>
      <w:r w:rsidRPr="00D91D71">
        <w:rPr>
          <w:rFonts w:ascii="Arial" w:eastAsia="Arial" w:hAnsi="Arial" w:cs="Arial"/>
          <w:color w:val="EE0000"/>
          <w:sz w:val="20"/>
          <w:szCs w:val="20"/>
        </w:rPr>
        <w:t xml:space="preserve">(18), 2086–2093. </w:t>
      </w:r>
      <w:hyperlink r:id="rId50" w:history="1">
        <w:r w:rsidRPr="00D91D71">
          <w:rPr>
            <w:rStyle w:val="Hyperlink"/>
            <w:rFonts w:ascii="Arial" w:hAnsi="Arial" w:cs="Arial"/>
            <w:sz w:val="20"/>
            <w:szCs w:val="20"/>
          </w:rPr>
          <w:t>https://doi.org/10.5897/AJPP11.550</w:t>
        </w:r>
      </w:hyperlink>
      <w:r w:rsidRPr="00D91D71">
        <w:rPr>
          <w:rFonts w:ascii="Arial" w:hAnsi="Arial" w:cs="Arial"/>
          <w:sz w:val="20"/>
          <w:szCs w:val="20"/>
        </w:rPr>
        <w:t xml:space="preserve"> </w:t>
      </w:r>
    </w:p>
    <w:p w14:paraId="712FB8DD" w14:textId="77777777" w:rsidR="00A83200" w:rsidRDefault="00A83200" w:rsidP="00B33461">
      <w:pPr>
        <w:spacing w:after="0" w:line="240" w:lineRule="auto"/>
        <w:ind w:left="540" w:hanging="540"/>
        <w:jc w:val="both"/>
        <w:rPr>
          <w:rFonts w:ascii="Arial" w:eastAsia="Arial" w:hAnsi="Arial" w:cs="Arial"/>
          <w:color w:val="EE0000"/>
          <w:sz w:val="20"/>
          <w:szCs w:val="20"/>
        </w:rPr>
      </w:pPr>
    </w:p>
    <w:p w14:paraId="67F3217F" w14:textId="71FEC638" w:rsidR="003B5EA5" w:rsidRPr="00D91D71" w:rsidRDefault="003B5EA5" w:rsidP="00D91D71">
      <w:pPr>
        <w:pStyle w:val="ListParagraph"/>
        <w:numPr>
          <w:ilvl w:val="0"/>
          <w:numId w:val="2"/>
        </w:numPr>
        <w:spacing w:after="0" w:line="240" w:lineRule="auto"/>
        <w:jc w:val="both"/>
        <w:rPr>
          <w:rFonts w:ascii="Arial" w:hAnsi="Arial" w:cs="Arial"/>
          <w:sz w:val="20"/>
          <w:szCs w:val="20"/>
          <w:lang w:val="it-IT"/>
        </w:rPr>
      </w:pPr>
      <w:r w:rsidRPr="00D91D71">
        <w:rPr>
          <w:rFonts w:ascii="Arial" w:hAnsi="Arial" w:cs="Arial"/>
          <w:sz w:val="20"/>
          <w:szCs w:val="20"/>
          <w:lang w:val="it-IT"/>
        </w:rPr>
        <w:t xml:space="preserve">Tsukatani, T., Higuchi, T., Suenaga, H., Akao, T., Ishiyama, M., Ezoe, T., &amp; Matsumoto, K. (2009). </w:t>
      </w:r>
      <w:r w:rsidRPr="00D91D71">
        <w:rPr>
          <w:rFonts w:ascii="Arial" w:hAnsi="Arial" w:cs="Arial"/>
          <w:sz w:val="20"/>
          <w:szCs w:val="20"/>
        </w:rPr>
        <w:t xml:space="preserve">Colorimetric microbial viability assay based on reduction of water-soluble tetrazolium salts for antimicrobial susceptibility testing and screening of antimicrobial substances. Analytical Biochemistry, 393(1), 117–125. </w:t>
      </w:r>
      <w:hyperlink r:id="rId51" w:history="1">
        <w:r w:rsidRPr="00D91D71">
          <w:rPr>
            <w:rStyle w:val="Hyperlink"/>
            <w:rFonts w:ascii="Arial" w:hAnsi="Arial" w:cs="Arial"/>
            <w:sz w:val="20"/>
            <w:szCs w:val="20"/>
          </w:rPr>
          <w:t>https://doi.org/10.1016/j.ab.2009.06.026</w:t>
        </w:r>
      </w:hyperlink>
    </w:p>
    <w:p w14:paraId="12FE7082" w14:textId="77777777" w:rsidR="00D91D71" w:rsidRDefault="00D91D71" w:rsidP="003B5EA5">
      <w:pPr>
        <w:spacing w:after="0" w:line="240" w:lineRule="auto"/>
        <w:jc w:val="both"/>
        <w:rPr>
          <w:rFonts w:ascii="Arial" w:hAnsi="Arial" w:cs="Arial"/>
          <w:sz w:val="20"/>
          <w:szCs w:val="20"/>
        </w:rPr>
        <w:sectPr w:rsidR="00D91D71" w:rsidSect="00D91D71">
          <w:type w:val="continuous"/>
          <w:pgSz w:w="11909" w:h="16834"/>
          <w:pgMar w:top="1440" w:right="1440" w:bottom="1440" w:left="1440" w:header="720" w:footer="864" w:gutter="0"/>
          <w:cols w:space="288"/>
        </w:sectPr>
      </w:pPr>
    </w:p>
    <w:p w14:paraId="75590603" w14:textId="23692007" w:rsidR="003B5EA5" w:rsidRPr="00E227C9" w:rsidRDefault="003B5EA5" w:rsidP="003B5EA5">
      <w:pPr>
        <w:spacing w:after="0" w:line="240" w:lineRule="auto"/>
        <w:jc w:val="both"/>
        <w:rPr>
          <w:rFonts w:ascii="Arial" w:hAnsi="Arial" w:cs="Arial"/>
          <w:sz w:val="20"/>
          <w:szCs w:val="20"/>
        </w:rPr>
      </w:pPr>
    </w:p>
    <w:p w14:paraId="7851DA6A" w14:textId="77777777" w:rsidR="00A83200" w:rsidRPr="006E3603" w:rsidRDefault="00A83200" w:rsidP="00B33461">
      <w:pPr>
        <w:spacing w:after="0" w:line="240" w:lineRule="auto"/>
        <w:ind w:left="540" w:hanging="540"/>
        <w:jc w:val="both"/>
        <w:rPr>
          <w:rFonts w:ascii="Arial" w:eastAsia="Arial" w:hAnsi="Arial" w:cs="Arial"/>
          <w:color w:val="EE0000"/>
          <w:sz w:val="20"/>
          <w:szCs w:val="20"/>
          <w:lang w:val="fr-CI"/>
        </w:rPr>
      </w:pPr>
    </w:p>
    <w:p w14:paraId="0CA20546" w14:textId="77777777" w:rsidR="00B33461" w:rsidRPr="006E3603" w:rsidRDefault="00B33461" w:rsidP="00EE786C">
      <w:pPr>
        <w:spacing w:after="0" w:line="240" w:lineRule="auto"/>
        <w:ind w:firstLine="540"/>
        <w:jc w:val="both"/>
        <w:rPr>
          <w:rFonts w:ascii="Arial" w:hAnsi="Arial" w:cs="Arial"/>
          <w:sz w:val="20"/>
          <w:szCs w:val="20"/>
          <w:lang w:val="fr-CI"/>
        </w:rPr>
      </w:pPr>
    </w:p>
    <w:p w14:paraId="58A481E7" w14:textId="77777777" w:rsidR="00B33461" w:rsidRDefault="00B33461" w:rsidP="00EE786C">
      <w:pPr>
        <w:spacing w:after="0" w:line="240" w:lineRule="auto"/>
        <w:ind w:firstLine="540"/>
        <w:jc w:val="both"/>
        <w:rPr>
          <w:rFonts w:ascii="Arial" w:hAnsi="Arial" w:cs="Arial"/>
          <w:sz w:val="20"/>
          <w:szCs w:val="20"/>
        </w:rPr>
      </w:pPr>
    </w:p>
    <w:p w14:paraId="73513368" w14:textId="77777777" w:rsidR="00B33461" w:rsidRPr="00E227C9" w:rsidRDefault="00B33461" w:rsidP="00EE786C">
      <w:pPr>
        <w:spacing w:after="0" w:line="240" w:lineRule="auto"/>
        <w:ind w:firstLine="540"/>
        <w:jc w:val="both"/>
        <w:rPr>
          <w:rFonts w:ascii="Arial" w:hAnsi="Arial" w:cs="Arial"/>
          <w:sz w:val="20"/>
          <w:szCs w:val="20"/>
        </w:rPr>
      </w:pPr>
    </w:p>
    <w:p w14:paraId="412FFA1F" w14:textId="5ED7466C" w:rsidR="00557AF1" w:rsidRPr="00E227C9" w:rsidRDefault="00557AF1" w:rsidP="00FA78FA">
      <w:pPr>
        <w:spacing w:after="0" w:line="240" w:lineRule="auto"/>
        <w:ind w:left="1080" w:hanging="540"/>
        <w:jc w:val="both"/>
        <w:rPr>
          <w:rFonts w:ascii="Arial" w:eastAsia="Arial" w:hAnsi="Arial" w:cs="Arial"/>
          <w:sz w:val="20"/>
          <w:szCs w:val="20"/>
        </w:rPr>
        <w:sectPr w:rsidR="00557AF1" w:rsidRPr="00E227C9">
          <w:type w:val="continuous"/>
          <w:pgSz w:w="11909" w:h="16834"/>
          <w:pgMar w:top="1440" w:right="1440" w:bottom="1440" w:left="1440" w:header="720" w:footer="864" w:gutter="0"/>
          <w:cols w:num="2" w:space="720" w:equalWidth="0">
            <w:col w:w="4370" w:space="288"/>
            <w:col w:w="4370" w:space="0"/>
          </w:cols>
        </w:sectPr>
      </w:pPr>
    </w:p>
    <w:p w14:paraId="689B590A" w14:textId="77777777" w:rsidR="00B0210B" w:rsidRPr="00E227C9" w:rsidRDefault="00B0210B">
      <w:pPr>
        <w:spacing w:after="0" w:line="240" w:lineRule="auto"/>
        <w:jc w:val="both"/>
        <w:rPr>
          <w:rFonts w:ascii="Arial" w:eastAsia="Arial" w:hAnsi="Arial" w:cs="Arial"/>
          <w:sz w:val="20"/>
          <w:szCs w:val="20"/>
        </w:rPr>
      </w:pPr>
    </w:p>
    <w:p w14:paraId="639C2809" w14:textId="77777777" w:rsidR="00B0210B" w:rsidRPr="00E227C9" w:rsidRDefault="00B0210B">
      <w:pPr>
        <w:jc w:val="right"/>
        <w:rPr>
          <w:rFonts w:ascii="Arial" w:eastAsia="Arial" w:hAnsi="Arial" w:cs="Arial"/>
        </w:rPr>
      </w:pPr>
    </w:p>
    <w:p w14:paraId="78B8D628" w14:textId="77777777" w:rsidR="00B0210B" w:rsidRPr="00E227C9" w:rsidRDefault="00B0210B">
      <w:pPr>
        <w:rPr>
          <w:rFonts w:ascii="Arial" w:eastAsia="Arial" w:hAnsi="Arial" w:cs="Arial"/>
        </w:rPr>
      </w:pPr>
    </w:p>
    <w:sectPr w:rsidR="00B0210B" w:rsidRPr="00E227C9">
      <w:type w:val="continuous"/>
      <w:pgSz w:w="11909" w:h="16834"/>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C6E97" w14:textId="77777777" w:rsidR="004A4990" w:rsidRDefault="004A4990">
      <w:pPr>
        <w:spacing w:after="0" w:line="240" w:lineRule="auto"/>
      </w:pPr>
      <w:r>
        <w:separator/>
      </w:r>
    </w:p>
  </w:endnote>
  <w:endnote w:type="continuationSeparator" w:id="0">
    <w:p w14:paraId="0F5F9C11" w14:textId="77777777" w:rsidR="004A4990" w:rsidRDefault="004A4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8579EC-31A4-4690-A12C-E5FC2506D0C0}"/>
    <w:embedBold r:id="rId2" w:fontKey="{F3C204FB-8291-47F5-B3DF-5E7851A621AB}"/>
    <w:embedItalic r:id="rId3" w:fontKey="{3091D3D1-1529-4D67-9F3E-76559286BD0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1C9E98B-852C-45B9-98E0-6950B18058C5}"/>
    <w:embedItalic r:id="rId5" w:fontKey="{4E21773C-B092-43DD-B70C-C064CCEE62AA}"/>
  </w:font>
  <w:font w:name="Cambria Math">
    <w:panose1 w:val="02040503050406030204"/>
    <w:charset w:val="00"/>
    <w:family w:val="roman"/>
    <w:pitch w:val="variable"/>
    <w:sig w:usb0="E00006FF" w:usb1="420024FF" w:usb2="02000000" w:usb3="00000000" w:csb0="0000019F" w:csb1="00000000"/>
    <w:embedRegular r:id="rId6" w:fontKey="{64B86E30-7645-46B9-805F-FCC82DA515FB}"/>
  </w:font>
  <w:font w:name="Cambria">
    <w:panose1 w:val="02040503050406030204"/>
    <w:charset w:val="00"/>
    <w:family w:val="roman"/>
    <w:pitch w:val="variable"/>
    <w:sig w:usb0="E00006FF" w:usb1="420024FF" w:usb2="02000000" w:usb3="00000000" w:csb0="0000019F" w:csb1="00000000"/>
    <w:embedRegular r:id="rId7" w:fontKey="{C6644A5D-B957-46A2-8C8D-9AA235D83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3479D" w14:textId="77777777" w:rsidR="005D4B38" w:rsidRDefault="005D4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1A80" w14:textId="77777777" w:rsidR="00B0210B" w:rsidRDefault="00B0210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8"/>
        <w:szCs w:val="28"/>
      </w:rPr>
    </w:pPr>
  </w:p>
  <w:p w14:paraId="55327B76" w14:textId="77777777" w:rsidR="00B0210B" w:rsidRDefault="00424C6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E0079">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CB74B57" w14:textId="77777777" w:rsidR="00B0210B" w:rsidRDefault="00B0210B">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E704" w14:textId="77777777" w:rsidR="00B0210B" w:rsidRDefault="00424C6B">
    <w:pPr>
      <w:tabs>
        <w:tab w:val="center" w:pos="4320"/>
        <w:tab w:val="right" w:pos="8640"/>
      </w:tabs>
      <w:spacing w:after="0" w:line="240" w:lineRule="auto"/>
      <w:rPr>
        <w:rFonts w:ascii="Arial" w:eastAsia="Arial" w:hAnsi="Arial" w:cs="Arial"/>
        <w:sz w:val="16"/>
        <w:szCs w:val="16"/>
      </w:rPr>
    </w:pPr>
    <w:r>
      <w:rPr>
        <w:rFonts w:ascii="Arial" w:eastAsia="Arial" w:hAnsi="Arial" w:cs="Arial"/>
        <w:sz w:val="16"/>
        <w:szCs w:val="16"/>
      </w:rPr>
      <w:t>_____________________________________________________________________________________________________</w:t>
    </w:r>
  </w:p>
  <w:p w14:paraId="0F35F3D1" w14:textId="77777777" w:rsidR="00B17AF8" w:rsidRPr="007F64D4" w:rsidRDefault="00B17AF8">
    <w:pPr>
      <w:tabs>
        <w:tab w:val="center" w:pos="4320"/>
        <w:tab w:val="right" w:pos="8640"/>
      </w:tabs>
      <w:spacing w:after="0" w:line="240" w:lineRule="auto"/>
      <w:jc w:val="both"/>
      <w:rPr>
        <w:rFonts w:ascii="Arial" w:eastAsia="Arial" w:hAnsi="Arial" w:cs="Arial"/>
        <w:i/>
        <w:sz w:val="16"/>
        <w:szCs w:val="16"/>
      </w:rPr>
    </w:pPr>
  </w:p>
  <w:p w14:paraId="617B9373"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5CD4872E"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6052D8D5" w14:textId="77777777" w:rsidR="00B0210B" w:rsidRDefault="00B0210B">
    <w:pPr>
      <w:pBdr>
        <w:top w:val="nil"/>
        <w:left w:val="nil"/>
        <w:bottom w:val="nil"/>
        <w:right w:val="nil"/>
        <w:between w:val="nil"/>
      </w:pBdr>
      <w:tabs>
        <w:tab w:val="center" w:pos="4680"/>
        <w:tab w:val="right" w:pos="9360"/>
      </w:tabs>
      <w:spacing w:after="0" w:line="240" w:lineRule="auto"/>
      <w:jc w:val="both"/>
      <w:rPr>
        <w:rFonts w:ascii="Arial" w:eastAsia="Arial" w:hAnsi="Arial" w:cs="Arial"/>
        <w:i/>
        <w:color w:val="000000"/>
        <w:sz w:val="16"/>
        <w:szCs w:val="16"/>
      </w:rPr>
    </w:pPr>
  </w:p>
  <w:p w14:paraId="65555D83" w14:textId="77777777" w:rsidR="00B0210B" w:rsidRDefault="00B0210B">
    <w:pPr>
      <w:tabs>
        <w:tab w:val="center" w:pos="4320"/>
        <w:tab w:val="right" w:pos="8640"/>
      </w:tabs>
      <w:spacing w:after="0" w:line="240" w:lineRule="auto"/>
      <w:jc w:val="both"/>
      <w:rPr>
        <w:rFonts w:ascii="Arial" w:eastAsia="Arial" w:hAnsi="Arial" w:cs="Arial"/>
        <w:i/>
        <w:sz w:val="20"/>
        <w:szCs w:val="20"/>
      </w:rPr>
    </w:pPr>
  </w:p>
  <w:p w14:paraId="16F14747" w14:textId="77777777" w:rsidR="00B0210B" w:rsidRDefault="00B0210B">
    <w:pPr>
      <w:tabs>
        <w:tab w:val="center" w:pos="4320"/>
        <w:tab w:val="right" w:pos="8640"/>
      </w:tabs>
      <w:spacing w:after="0" w:line="240" w:lineRule="auto"/>
      <w:jc w:val="both"/>
      <w:rPr>
        <w:rFonts w:ascii="Arial" w:eastAsia="Arial"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E8CAB" w14:textId="77777777" w:rsidR="004A4990" w:rsidRDefault="004A4990">
      <w:pPr>
        <w:spacing w:after="0" w:line="240" w:lineRule="auto"/>
      </w:pPr>
      <w:r>
        <w:separator/>
      </w:r>
    </w:p>
  </w:footnote>
  <w:footnote w:type="continuationSeparator" w:id="0">
    <w:p w14:paraId="1AA3EF82" w14:textId="77777777" w:rsidR="004A4990" w:rsidRDefault="004A4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E34B" w14:textId="2370CABC" w:rsidR="00B0210B" w:rsidRDefault="004A4990">
    <w:pPr>
      <w:pBdr>
        <w:top w:val="nil"/>
        <w:left w:val="nil"/>
        <w:bottom w:val="nil"/>
        <w:right w:val="nil"/>
        <w:between w:val="nil"/>
      </w:pBdr>
      <w:tabs>
        <w:tab w:val="center" w:pos="4680"/>
        <w:tab w:val="right" w:pos="9360"/>
      </w:tabs>
      <w:spacing w:after="0" w:line="240" w:lineRule="auto"/>
      <w:rPr>
        <w:color w:val="000000"/>
      </w:rPr>
    </w:pPr>
    <w:r>
      <w:rPr>
        <w:noProof/>
      </w:rPr>
      <w:pict w14:anchorId="39238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8" o:spid="_x0000_s2050" type="#_x0000_t136" style="position:absolute;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6D24" w14:textId="764F55E1" w:rsidR="00B0210B" w:rsidRDefault="004A4990">
    <w:pPr>
      <w:tabs>
        <w:tab w:val="center" w:pos="4320"/>
        <w:tab w:val="right" w:pos="8640"/>
      </w:tabs>
      <w:spacing w:after="0" w:line="240" w:lineRule="auto"/>
      <w:jc w:val="right"/>
      <w:rPr>
        <w:rFonts w:ascii="Arial" w:eastAsia="Arial" w:hAnsi="Arial" w:cs="Arial"/>
        <w:i/>
        <w:sz w:val="16"/>
        <w:szCs w:val="16"/>
        <w:highlight w:val="yellow"/>
      </w:rPr>
    </w:pPr>
    <w:r>
      <w:rPr>
        <w:noProof/>
      </w:rPr>
      <w:pict w14:anchorId="582AA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9" o:spid="_x0000_s2051"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161DDB1"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72827A15"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12926CF8" w14:textId="77777777" w:rsidR="00B0210B" w:rsidRDefault="00B0210B">
    <w:pPr>
      <w:tabs>
        <w:tab w:val="center" w:pos="4320"/>
        <w:tab w:val="right" w:pos="8640"/>
      </w:tabs>
      <w:spacing w:after="0" w:line="240" w:lineRule="auto"/>
      <w:jc w:val="right"/>
      <w:rPr>
        <w:rFonts w:ascii="Arial" w:eastAsia="Arial" w:hAnsi="Arial" w:cs="Arial"/>
        <w:i/>
        <w:sz w:val="16"/>
        <w:szCs w:val="16"/>
        <w:highlight w:val="yellow"/>
      </w:rPr>
    </w:pPr>
  </w:p>
  <w:p w14:paraId="285BA9B6" w14:textId="77777777" w:rsidR="00B0210B" w:rsidRDefault="00B0210B">
    <w:pPr>
      <w:tabs>
        <w:tab w:val="center" w:pos="4320"/>
        <w:tab w:val="right" w:pos="8640"/>
      </w:tabs>
      <w:spacing w:after="0" w:line="240" w:lineRule="auto"/>
      <w:jc w:val="right"/>
      <w:rPr>
        <w:rFonts w:ascii="Arial" w:eastAsia="Arial" w:hAnsi="Arial" w:cs="Arial"/>
        <w:i/>
        <w:sz w:val="16"/>
        <w:szCs w:val="16"/>
      </w:rPr>
    </w:pPr>
  </w:p>
  <w:p w14:paraId="5F8A6124" w14:textId="77777777" w:rsidR="00B0210B" w:rsidRDefault="00B0210B">
    <w:pPr>
      <w:tabs>
        <w:tab w:val="center" w:pos="4320"/>
        <w:tab w:val="right" w:pos="8640"/>
      </w:tabs>
      <w:spacing w:after="0" w:line="240" w:lineRule="auto"/>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4A58" w14:textId="51F21E94" w:rsidR="00B0210B" w:rsidRDefault="004A4990">
    <w:pPr>
      <w:pBdr>
        <w:top w:val="nil"/>
        <w:left w:val="nil"/>
        <w:bottom w:val="nil"/>
        <w:right w:val="nil"/>
        <w:between w:val="nil"/>
      </w:pBdr>
      <w:tabs>
        <w:tab w:val="center" w:pos="4680"/>
        <w:tab w:val="right" w:pos="9360"/>
      </w:tabs>
      <w:spacing w:after="0" w:line="240" w:lineRule="auto"/>
      <w:rPr>
        <w:color w:val="000000"/>
      </w:rPr>
    </w:pPr>
    <w:r>
      <w:rPr>
        <w:noProof/>
      </w:rPr>
      <w:pict w14:anchorId="1CD5D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45687" o:spid="_x0000_s2049" type="#_x0000_t136" style="position:absolute;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16460"/>
    <w:multiLevelType w:val="multilevel"/>
    <w:tmpl w:val="FCD2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066DCE"/>
    <w:multiLevelType w:val="hybridMultilevel"/>
    <w:tmpl w:val="746E0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0B"/>
    <w:rsid w:val="00084D5C"/>
    <w:rsid w:val="000B4736"/>
    <w:rsid w:val="00105FEF"/>
    <w:rsid w:val="00146917"/>
    <w:rsid w:val="00153A17"/>
    <w:rsid w:val="001562D1"/>
    <w:rsid w:val="002368C3"/>
    <w:rsid w:val="00237DC4"/>
    <w:rsid w:val="002C75B1"/>
    <w:rsid w:val="0031542C"/>
    <w:rsid w:val="003836F6"/>
    <w:rsid w:val="003B5EA5"/>
    <w:rsid w:val="00424C6B"/>
    <w:rsid w:val="00485D8C"/>
    <w:rsid w:val="004A09E1"/>
    <w:rsid w:val="004A4990"/>
    <w:rsid w:val="0050598C"/>
    <w:rsid w:val="00556D0C"/>
    <w:rsid w:val="00557AF1"/>
    <w:rsid w:val="005D4B38"/>
    <w:rsid w:val="00612F37"/>
    <w:rsid w:val="00687D64"/>
    <w:rsid w:val="006E3603"/>
    <w:rsid w:val="006E5835"/>
    <w:rsid w:val="006F0BA7"/>
    <w:rsid w:val="00731222"/>
    <w:rsid w:val="007433A7"/>
    <w:rsid w:val="007F64D4"/>
    <w:rsid w:val="00821024"/>
    <w:rsid w:val="0086343A"/>
    <w:rsid w:val="008B7B20"/>
    <w:rsid w:val="00A33B32"/>
    <w:rsid w:val="00A83200"/>
    <w:rsid w:val="00AB015D"/>
    <w:rsid w:val="00B0210B"/>
    <w:rsid w:val="00B04956"/>
    <w:rsid w:val="00B10D99"/>
    <w:rsid w:val="00B17AF8"/>
    <w:rsid w:val="00B2379F"/>
    <w:rsid w:val="00B33461"/>
    <w:rsid w:val="00B50D3F"/>
    <w:rsid w:val="00B85776"/>
    <w:rsid w:val="00BE0079"/>
    <w:rsid w:val="00C308E9"/>
    <w:rsid w:val="00C62362"/>
    <w:rsid w:val="00CE5438"/>
    <w:rsid w:val="00D10EBD"/>
    <w:rsid w:val="00D20499"/>
    <w:rsid w:val="00D91D71"/>
    <w:rsid w:val="00DE07BE"/>
    <w:rsid w:val="00E067BA"/>
    <w:rsid w:val="00E227C9"/>
    <w:rsid w:val="00ED4C69"/>
    <w:rsid w:val="00EE786C"/>
    <w:rsid w:val="00F64A70"/>
    <w:rsid w:val="00F71498"/>
    <w:rsid w:val="00FA78F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EB648"/>
  <w15:docId w15:val="{3E9B02AB-C825-46F2-BAE2-510BD27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fr-C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603"/>
  </w:style>
  <w:style w:type="paragraph" w:styleId="Heading1">
    <w:name w:val="heading 1"/>
    <w:basedOn w:val="Normal"/>
    <w:next w:val="Normal"/>
    <w:uiPriority w:val="9"/>
    <w:qFormat/>
    <w:pPr>
      <w:keepNext/>
      <w:keepLines/>
      <w:spacing w:after="0" w:line="240" w:lineRule="auto"/>
      <w:jc w:val="right"/>
      <w:outlineLvl w:val="0"/>
    </w:pPr>
    <w:rPr>
      <w:rFonts w:ascii="Arial" w:eastAsia="Arial" w:hAnsi="Arial" w:cs="Arial"/>
      <w:b/>
      <w:sz w:val="36"/>
      <w:szCs w:val="36"/>
    </w:rPr>
  </w:style>
  <w:style w:type="paragraph" w:styleId="Heading2">
    <w:name w:val="heading 2"/>
    <w:basedOn w:val="Normal"/>
    <w:next w:val="Normal"/>
    <w:uiPriority w:val="9"/>
    <w:unhideWhenUsed/>
    <w:qFormat/>
    <w:pPr>
      <w:keepNext/>
      <w:keepLines/>
      <w:spacing w:after="0" w:line="240" w:lineRule="auto"/>
      <w:jc w:val="both"/>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after="0" w:line="240" w:lineRule="auto"/>
      <w:ind w:left="2160"/>
      <w:outlineLvl w:val="2"/>
    </w:pPr>
    <w:rPr>
      <w:rFonts w:ascii="Arial" w:eastAsia="Arial" w:hAnsi="Arial" w:cs="Arial"/>
      <w:b/>
      <w:i/>
      <w:sz w:val="24"/>
      <w:szCs w:val="24"/>
    </w:rPr>
  </w:style>
  <w:style w:type="paragraph" w:styleId="Heading4">
    <w:name w:val="heading 4"/>
    <w:basedOn w:val="Normal"/>
    <w:next w:val="Normal"/>
    <w:uiPriority w:val="9"/>
    <w:semiHidden/>
    <w:unhideWhenUsed/>
    <w:qFormat/>
    <w:pPr>
      <w:keepNext/>
      <w:keepLines/>
      <w:spacing w:after="0" w:line="240" w:lineRule="auto"/>
      <w:ind w:left="2160"/>
      <w:outlineLvl w:val="3"/>
    </w:pPr>
    <w:rPr>
      <w:rFonts w:ascii="Arial" w:eastAsia="Arial" w:hAnsi="Arial" w:cs="Arial"/>
      <w:b/>
      <w:i/>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rPr>
      <w:sz w:val="20"/>
      <w:szCs w:val="20"/>
    </w:r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146917"/>
    <w:rPr>
      <w:color w:val="0000FF" w:themeColor="hyperlink"/>
      <w:u w:val="single"/>
    </w:rPr>
  </w:style>
  <w:style w:type="character" w:styleId="UnresolvedMention">
    <w:name w:val="Unresolved Mention"/>
    <w:basedOn w:val="DefaultParagraphFont"/>
    <w:uiPriority w:val="99"/>
    <w:semiHidden/>
    <w:unhideWhenUsed/>
    <w:rsid w:val="00612F37"/>
    <w:rPr>
      <w:color w:val="605E5C"/>
      <w:shd w:val="clear" w:color="auto" w:fill="E1DFDD"/>
    </w:rPr>
  </w:style>
  <w:style w:type="character" w:styleId="FollowedHyperlink">
    <w:name w:val="FollowedHyperlink"/>
    <w:basedOn w:val="DefaultParagraphFont"/>
    <w:uiPriority w:val="99"/>
    <w:semiHidden/>
    <w:unhideWhenUsed/>
    <w:rsid w:val="00612F37"/>
    <w:rPr>
      <w:color w:val="800080" w:themeColor="followedHyperlink"/>
      <w:u w:val="single"/>
    </w:rPr>
  </w:style>
  <w:style w:type="paragraph" w:styleId="Footer">
    <w:name w:val="footer"/>
    <w:basedOn w:val="Normal"/>
    <w:link w:val="FooterChar"/>
    <w:uiPriority w:val="99"/>
    <w:unhideWhenUsed/>
    <w:rsid w:val="007F64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64D4"/>
  </w:style>
  <w:style w:type="paragraph" w:styleId="ListParagraph">
    <w:name w:val="List Paragraph"/>
    <w:basedOn w:val="Normal"/>
    <w:uiPriority w:val="34"/>
    <w:qFormat/>
    <w:rsid w:val="00D91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oleObject" Target="embeddings/oleObject5.bin"/><Relationship Id="rId39" Type="http://schemas.openxmlformats.org/officeDocument/2006/relationships/hyperlink" Target="https://doi.org/10.1080/13693780701436794" TargetMode="External"/><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hyperlink" Target="https://dx.doi.org/10.1002/cber.188101402192" TargetMode="External"/><Relationship Id="rId47" Type="http://schemas.openxmlformats.org/officeDocument/2006/relationships/hyperlink" Target="https://doi.org/10.2174/011871526527467240223040333" TargetMode="External"/><Relationship Id="rId50" Type="http://schemas.openxmlformats.org/officeDocument/2006/relationships/hyperlink" Target="https://doi.org/10.5897/AJPP11.55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hyperlink" Target="https://doi.org/10.4236/abc.2022.124008" TargetMode="External"/><Relationship Id="rId45" Type="http://schemas.openxmlformats.org/officeDocument/2006/relationships/hyperlink" Target="https://doi.org/10.3390/ph1505056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https://doi.org/10.3390/toxins14050307" TargetMode="Externa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yperlink" Target="https://doi.org/10.1055/s-0043-177677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hyperlink" Target="https://doi.org/10.1016/s0969-8051(03)00006-4" TargetMode="External"/><Relationship Id="rId48" Type="http://schemas.openxmlformats.org/officeDocument/2006/relationships/hyperlink" Target="https://doi.org/10.9734/ajocs/2025/v15i3371" TargetMode="External"/><Relationship Id="rId51" Type="http://schemas.openxmlformats.org/officeDocument/2006/relationships/hyperlink" Target="https://doi.org/10.1016/j.ab.2009.06.02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1.bin"/><Relationship Id="rId46" Type="http://schemas.openxmlformats.org/officeDocument/2006/relationships/hyperlink" Target="https://doi.org/10.3389/fmed.2022.832510" TargetMode="External"/><Relationship Id="rId20" Type="http://schemas.openxmlformats.org/officeDocument/2006/relationships/oleObject" Target="embeddings/oleObject2.bin"/><Relationship Id="rId41" Type="http://schemas.openxmlformats.org/officeDocument/2006/relationships/hyperlink" Target="https://doi.org/10.1016/j.idc.2021.03.00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86B64-89F3-49CE-B8FB-5CD2BE359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4019</Words>
  <Characters>22913</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Editor-11</cp:lastModifiedBy>
  <cp:revision>3</cp:revision>
  <dcterms:created xsi:type="dcterms:W3CDTF">2025-12-16T17:34:00Z</dcterms:created>
  <dcterms:modified xsi:type="dcterms:W3CDTF">2025-12-17T08:27:00Z</dcterms:modified>
</cp:coreProperties>
</file>