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6D0EA" w14:textId="47E35821" w:rsidR="008E18C2" w:rsidRPr="008E18C2" w:rsidRDefault="008E18C2" w:rsidP="008E18C2">
      <w:pPr>
        <w:bidi w:val="0"/>
        <w:rPr>
          <w:rFonts w:asciiTheme="majorBidi" w:hAnsiTheme="majorBidi" w:cstheme="majorBidi"/>
          <w:b/>
          <w:bCs/>
          <w:sz w:val="24"/>
          <w:szCs w:val="24"/>
          <w:u w:val="single"/>
        </w:rPr>
      </w:pPr>
      <w:r w:rsidRPr="008E18C2">
        <w:rPr>
          <w:rFonts w:asciiTheme="majorBidi" w:hAnsiTheme="majorBidi" w:cstheme="majorBidi"/>
          <w:b/>
          <w:bCs/>
          <w:sz w:val="24"/>
          <w:szCs w:val="24"/>
          <w:u w:val="single"/>
        </w:rPr>
        <w:t>Short Research Article</w:t>
      </w:r>
    </w:p>
    <w:p w14:paraId="5627CD39" w14:textId="07C8CD40" w:rsidR="00FD1B2F" w:rsidRPr="00070C2D" w:rsidRDefault="00FD1B2F" w:rsidP="008E18C2">
      <w:pPr>
        <w:bidi w:val="0"/>
        <w:jc w:val="center"/>
        <w:rPr>
          <w:rFonts w:asciiTheme="majorBidi" w:hAnsiTheme="majorBidi" w:cstheme="majorBidi"/>
          <w:b/>
          <w:bCs/>
          <w:sz w:val="24"/>
          <w:szCs w:val="24"/>
        </w:rPr>
      </w:pPr>
      <w:r w:rsidRPr="00070C2D">
        <w:rPr>
          <w:rFonts w:asciiTheme="majorBidi" w:hAnsiTheme="majorBidi" w:cstheme="majorBidi"/>
          <w:b/>
          <w:bCs/>
          <w:sz w:val="24"/>
          <w:szCs w:val="24"/>
        </w:rPr>
        <w:t>From Prescription to Validation: An Evaluation of a Hybrid Translation</w:t>
      </w:r>
      <w:r w:rsidR="00E31EF2" w:rsidRPr="00070C2D">
        <w:rPr>
          <w:rFonts w:asciiTheme="majorBidi" w:hAnsiTheme="majorBidi" w:cstheme="majorBidi"/>
          <w:b/>
          <w:bCs/>
          <w:sz w:val="24"/>
          <w:szCs w:val="24"/>
        </w:rPr>
        <w:t>-</w:t>
      </w:r>
      <w:r w:rsidRPr="00070C2D">
        <w:rPr>
          <w:rFonts w:asciiTheme="majorBidi" w:hAnsiTheme="majorBidi" w:cstheme="majorBidi"/>
          <w:b/>
          <w:bCs/>
          <w:sz w:val="24"/>
          <w:szCs w:val="24"/>
        </w:rPr>
        <w:t>Transliteration Model for Technical Texts in Arabic</w:t>
      </w:r>
    </w:p>
    <w:p w14:paraId="3A4C43B9" w14:textId="0C0A41A9" w:rsidR="00FD1B2F" w:rsidRPr="00070C2D" w:rsidRDefault="00FD1B2F" w:rsidP="00FD1B2F">
      <w:pPr>
        <w:bidi w:val="0"/>
        <w:jc w:val="center"/>
        <w:rPr>
          <w:rFonts w:asciiTheme="majorBidi" w:hAnsiTheme="majorBidi" w:cstheme="majorBidi"/>
          <w:sz w:val="24"/>
          <w:szCs w:val="24"/>
        </w:rPr>
      </w:pPr>
    </w:p>
    <w:p w14:paraId="4A3515A7" w14:textId="77777777" w:rsidR="00FD1B2F" w:rsidRDefault="00FD1B2F" w:rsidP="00FD1B2F">
      <w:pPr>
        <w:bidi w:val="0"/>
        <w:rPr>
          <w:rFonts w:asciiTheme="majorBidi" w:hAnsiTheme="majorBidi" w:cstheme="majorBidi"/>
          <w:sz w:val="24"/>
          <w:szCs w:val="24"/>
        </w:rPr>
      </w:pPr>
    </w:p>
    <w:p w14:paraId="3AA9B9F1" w14:textId="77777777" w:rsidR="00AA7E91" w:rsidRPr="00DD3D54" w:rsidRDefault="00AA7E91" w:rsidP="00AA7E91">
      <w:pPr>
        <w:bidi w:val="0"/>
        <w:rPr>
          <w:rFonts w:asciiTheme="majorBidi" w:hAnsiTheme="majorBidi" w:cstheme="majorBidi"/>
          <w:sz w:val="24"/>
          <w:szCs w:val="24"/>
        </w:rPr>
      </w:pPr>
      <w:r w:rsidRPr="00DD3D54">
        <w:rPr>
          <w:rFonts w:asciiTheme="majorBidi" w:hAnsiTheme="majorBidi" w:cstheme="majorBidi"/>
          <w:b/>
          <w:bCs/>
          <w:sz w:val="24"/>
          <w:szCs w:val="24"/>
        </w:rPr>
        <w:t xml:space="preserve">Abstract: </w:t>
      </w:r>
    </w:p>
    <w:p w14:paraId="1C4F13E4"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Previous scholarship has argued that the literal translation of technical terminology into Arabic often undermines intelligibility, accuracy, and usability, particularly in highly specialised domains such as information technology, engineering, and medicine. A hybrid translation–transliteration model was therefore proposed, advocating the transliteration (Arabicisation) of established technical terms while translating surrounding syntactic and discursive structures. While this model is theoretically grounded, its practical effectiveness has not been fully examined in sufficient empirical depth. The present study endeavours to extend earlier work by offering an empirical evaluation of the hybrid model through textual analysis, reader-response data, and discipline-specific comparison. Drawing on responses from university instructors and undergraduate students across three technical disciplines, the study investigates comprehension, perceived accuracy, terminological consistency, and cognitive processing effort. The findings demonstrate that the hybrid approach enhances clarity and reduces interpretive burden without compromising communicative precision or academic rigour. The paper concludes by proposing a refined, decision-based framework for technical translators and highlights implications for translator training, terminology planning, and Arabic knowledge dissemination.</w:t>
      </w:r>
    </w:p>
    <w:p w14:paraId="39B4F370" w14:textId="77777777" w:rsidR="00AA7E91" w:rsidRDefault="00AA7E91" w:rsidP="00AA7E91">
      <w:pPr>
        <w:bidi w:val="0"/>
        <w:rPr>
          <w:rFonts w:asciiTheme="majorBidi" w:hAnsiTheme="majorBidi" w:cstheme="majorBidi"/>
          <w:b/>
          <w:bCs/>
          <w:sz w:val="24"/>
          <w:szCs w:val="24"/>
        </w:rPr>
      </w:pPr>
    </w:p>
    <w:p w14:paraId="0D903B8C" w14:textId="77777777" w:rsidR="00AA7E91" w:rsidRDefault="00AA7E91" w:rsidP="00AA7E91">
      <w:pPr>
        <w:bidi w:val="0"/>
        <w:rPr>
          <w:rFonts w:asciiTheme="majorBidi" w:hAnsiTheme="majorBidi" w:cstheme="majorBidi"/>
          <w:b/>
          <w:bCs/>
          <w:sz w:val="24"/>
          <w:szCs w:val="24"/>
        </w:rPr>
      </w:pPr>
    </w:p>
    <w:p w14:paraId="20BAD44B" w14:textId="6DEBE3D4" w:rsidR="00AA7E91" w:rsidRPr="00DD3D54" w:rsidRDefault="00AA7E91" w:rsidP="00AA7E91">
      <w:pPr>
        <w:bidi w:val="0"/>
        <w:rPr>
          <w:rFonts w:asciiTheme="majorBidi" w:hAnsiTheme="majorBidi" w:cstheme="majorBidi"/>
          <w:sz w:val="24"/>
          <w:szCs w:val="24"/>
        </w:rPr>
      </w:pPr>
      <w:r w:rsidRPr="00DD3D54">
        <w:rPr>
          <w:rFonts w:asciiTheme="majorBidi" w:hAnsiTheme="majorBidi" w:cstheme="majorBidi"/>
          <w:b/>
          <w:bCs/>
          <w:sz w:val="24"/>
          <w:szCs w:val="24"/>
        </w:rPr>
        <w:t>Keywords:</w:t>
      </w:r>
      <w:r w:rsidRPr="00DD3D54">
        <w:rPr>
          <w:rFonts w:asciiTheme="majorBidi" w:hAnsiTheme="majorBidi" w:cstheme="majorBidi"/>
          <w:sz w:val="24"/>
          <w:szCs w:val="24"/>
        </w:rPr>
        <w:t xml:space="preserve"> Arabicisation, Cognitive load, ESP, Technical translation, Transliteration.</w:t>
      </w:r>
    </w:p>
    <w:p w14:paraId="3A6EF925" w14:textId="77777777" w:rsidR="00AA7E91" w:rsidRPr="00DD3D54" w:rsidRDefault="00AA7E91" w:rsidP="00AA7E91">
      <w:pPr>
        <w:bidi w:val="0"/>
        <w:rPr>
          <w:rFonts w:asciiTheme="majorBidi" w:hAnsiTheme="majorBidi" w:cstheme="majorBidi"/>
          <w:sz w:val="24"/>
          <w:szCs w:val="24"/>
        </w:rPr>
      </w:pPr>
    </w:p>
    <w:p w14:paraId="4E58C740" w14:textId="77777777" w:rsidR="00AA7E91" w:rsidRPr="00DD3D54" w:rsidRDefault="00AA7E91" w:rsidP="00AA7E91">
      <w:pPr>
        <w:bidi w:val="0"/>
        <w:rPr>
          <w:rFonts w:asciiTheme="majorBidi" w:hAnsiTheme="majorBidi" w:cstheme="majorBidi"/>
          <w:sz w:val="24"/>
          <w:szCs w:val="24"/>
        </w:rPr>
      </w:pPr>
    </w:p>
    <w:p w14:paraId="3EE0AEAD" w14:textId="77777777" w:rsidR="00AA7E91" w:rsidRPr="00DD3D54" w:rsidRDefault="00AA7E91" w:rsidP="00AA7E91">
      <w:pPr>
        <w:bidi w:val="0"/>
        <w:rPr>
          <w:rFonts w:asciiTheme="majorBidi" w:hAnsiTheme="majorBidi" w:cstheme="majorBidi"/>
          <w:sz w:val="24"/>
          <w:szCs w:val="24"/>
        </w:rPr>
      </w:pPr>
    </w:p>
    <w:p w14:paraId="4C9A072D" w14:textId="77777777" w:rsidR="00AA7E91" w:rsidRPr="00DD3D54" w:rsidRDefault="00AA7E91" w:rsidP="00AA7E91">
      <w:pPr>
        <w:bidi w:val="0"/>
        <w:rPr>
          <w:rFonts w:asciiTheme="majorBidi" w:hAnsiTheme="majorBidi" w:cstheme="majorBidi"/>
          <w:sz w:val="24"/>
          <w:szCs w:val="24"/>
        </w:rPr>
      </w:pPr>
    </w:p>
    <w:p w14:paraId="4C122B81" w14:textId="77777777" w:rsidR="00AA7E91" w:rsidRPr="00DD3D54" w:rsidRDefault="00AA7E91" w:rsidP="00AA7E91">
      <w:pPr>
        <w:bidi w:val="0"/>
        <w:rPr>
          <w:rFonts w:asciiTheme="majorBidi" w:hAnsiTheme="majorBidi" w:cstheme="majorBidi"/>
          <w:sz w:val="24"/>
          <w:szCs w:val="24"/>
        </w:rPr>
      </w:pPr>
    </w:p>
    <w:p w14:paraId="701BCBC0" w14:textId="77777777" w:rsidR="00AA7E91" w:rsidRPr="00DD3D54" w:rsidRDefault="00AA7E91" w:rsidP="00AA7E91">
      <w:pPr>
        <w:bidi w:val="0"/>
        <w:rPr>
          <w:rFonts w:asciiTheme="majorBidi" w:hAnsiTheme="majorBidi" w:cstheme="majorBidi"/>
          <w:sz w:val="24"/>
          <w:szCs w:val="24"/>
        </w:rPr>
      </w:pPr>
    </w:p>
    <w:p w14:paraId="7564876C" w14:textId="77777777" w:rsidR="00AA7E91" w:rsidRPr="00DD3D54" w:rsidRDefault="00AA7E91" w:rsidP="00AA7E91">
      <w:pPr>
        <w:bidi w:val="0"/>
        <w:rPr>
          <w:rFonts w:asciiTheme="majorBidi" w:hAnsiTheme="majorBidi" w:cstheme="majorBidi"/>
          <w:sz w:val="24"/>
          <w:szCs w:val="24"/>
        </w:rPr>
      </w:pPr>
    </w:p>
    <w:p w14:paraId="2CAC320C" w14:textId="77777777" w:rsidR="00AA7E91" w:rsidRPr="00DD3D54" w:rsidRDefault="00AA7E91" w:rsidP="00AA7E91">
      <w:pPr>
        <w:bidi w:val="0"/>
        <w:rPr>
          <w:rFonts w:asciiTheme="majorBidi" w:hAnsiTheme="majorBidi" w:cstheme="majorBidi"/>
          <w:sz w:val="24"/>
          <w:szCs w:val="24"/>
        </w:rPr>
      </w:pPr>
    </w:p>
    <w:p w14:paraId="6508BAEB" w14:textId="77777777" w:rsidR="00AA7E91" w:rsidRPr="00DD3D54" w:rsidRDefault="00AA7E91" w:rsidP="00AA7E91">
      <w:pPr>
        <w:bidi w:val="0"/>
        <w:rPr>
          <w:rFonts w:asciiTheme="majorBidi" w:hAnsiTheme="majorBidi" w:cstheme="majorBidi"/>
          <w:sz w:val="24"/>
          <w:szCs w:val="24"/>
        </w:rPr>
      </w:pPr>
    </w:p>
    <w:p w14:paraId="1AF7AAEE" w14:textId="77777777" w:rsidR="00AA7E91" w:rsidRPr="00DD3D54" w:rsidRDefault="00AA7E91" w:rsidP="00AA7E91">
      <w:pPr>
        <w:bidi w:val="0"/>
        <w:rPr>
          <w:rFonts w:asciiTheme="majorBidi" w:hAnsiTheme="majorBidi" w:cstheme="majorBidi"/>
          <w:sz w:val="24"/>
          <w:szCs w:val="24"/>
        </w:rPr>
      </w:pPr>
    </w:p>
    <w:p w14:paraId="2A6532F8" w14:textId="77777777" w:rsidR="00AA7E91" w:rsidRPr="00DD3D54" w:rsidRDefault="00AA7E91" w:rsidP="00AA7E91">
      <w:pPr>
        <w:bidi w:val="0"/>
        <w:rPr>
          <w:rFonts w:asciiTheme="majorBidi" w:hAnsiTheme="majorBidi" w:cstheme="majorBidi"/>
          <w:b/>
          <w:bCs/>
          <w:sz w:val="24"/>
          <w:szCs w:val="24"/>
        </w:rPr>
      </w:pPr>
      <w:r w:rsidRPr="00DD3D54">
        <w:rPr>
          <w:rFonts w:asciiTheme="majorBidi" w:hAnsiTheme="majorBidi" w:cstheme="majorBidi"/>
          <w:b/>
          <w:bCs/>
          <w:sz w:val="24"/>
          <w:szCs w:val="24"/>
        </w:rPr>
        <w:lastRenderedPageBreak/>
        <w:t>1. Introduction:</w:t>
      </w:r>
    </w:p>
    <w:p w14:paraId="07612B04"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 xml:space="preserve">The translation of technical and scientific knowledge into Arabic has long been driven by educational and developmental imperatives (Abdul Jaleel &amp; Larkey, 2003). In recent decades, this effort has intensified due to globalisation, the expansion of higher education, and the growing demand for localised academic resources. Institutions across the Arab world have invested heavily in translating textbooks, manuals, and research materials, particularly from English, which currently dominates scientific and technical production. While the quantity of translated material has increased, questions concerning translation quality and functional adequacy remain largely unresolved (Munday, 2016). </w:t>
      </w:r>
    </w:p>
    <w:p w14:paraId="35BBE08A"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Among the most persistent challenges is the treatment of technical terminology. Translators are frequently faced with the dilemma of whether to translate a term literally, derive a new Arabic equivalent, or retain the original term through transliteration. In practice, these decisions are often made inconsistently and without reference to systematic criteria, resulting in texts that are linguistically correct but pragmatically ineffective. Earlier work argued that many technical terms function not as lexical items carrying semantic content, but as labels for specialised concepts. In such cases, attempting to render meaning through literal translation may obscure rather than clarify the concept. Transliteration, by contrast, preserves terminological stability and aligns Arabic technical discourse with international usage. However, critics of transliteration often regard it as excessive borrowing or as a threat to linguistic authenticity (</w:t>
      </w:r>
      <w:proofErr w:type="spellStart"/>
      <w:r w:rsidRPr="00DD3D54">
        <w:rPr>
          <w:rFonts w:asciiTheme="majorBidi" w:hAnsiTheme="majorBidi" w:cstheme="majorBidi"/>
          <w:sz w:val="24"/>
          <w:szCs w:val="24"/>
        </w:rPr>
        <w:t>Mammadzada</w:t>
      </w:r>
      <w:proofErr w:type="spellEnd"/>
      <w:r w:rsidRPr="00DD3D54">
        <w:rPr>
          <w:rFonts w:asciiTheme="majorBidi" w:hAnsiTheme="majorBidi" w:cstheme="majorBidi"/>
          <w:sz w:val="24"/>
          <w:szCs w:val="24"/>
        </w:rPr>
        <w:t>, 2023). The present study examines whether a hybrid translation–transliteration model improves reader experience and comprehension. Rather than debating transliteration at the level of ideology, this paper evaluates it at the level of use, function, and reception.</w:t>
      </w:r>
    </w:p>
    <w:p w14:paraId="03A1EECB" w14:textId="77777777" w:rsidR="00AA7E91" w:rsidRPr="00DD3D54" w:rsidRDefault="00AA7E91" w:rsidP="00AA7E91">
      <w:pPr>
        <w:bidi w:val="0"/>
        <w:rPr>
          <w:rFonts w:asciiTheme="majorBidi" w:hAnsiTheme="majorBidi" w:cstheme="majorBidi"/>
          <w:b/>
          <w:bCs/>
          <w:sz w:val="24"/>
          <w:szCs w:val="24"/>
        </w:rPr>
      </w:pPr>
    </w:p>
    <w:p w14:paraId="7652A15B" w14:textId="77777777" w:rsidR="00AA7E91" w:rsidRPr="00DD3D54" w:rsidRDefault="00AA7E91" w:rsidP="00AA7E91">
      <w:pPr>
        <w:bidi w:val="0"/>
        <w:rPr>
          <w:rFonts w:asciiTheme="majorBidi" w:hAnsiTheme="majorBidi" w:cstheme="majorBidi"/>
          <w:b/>
          <w:bCs/>
          <w:sz w:val="24"/>
          <w:szCs w:val="24"/>
        </w:rPr>
      </w:pPr>
      <w:r w:rsidRPr="00DD3D54">
        <w:rPr>
          <w:rFonts w:asciiTheme="majorBidi" w:hAnsiTheme="majorBidi" w:cstheme="majorBidi"/>
          <w:b/>
          <w:bCs/>
          <w:sz w:val="24"/>
          <w:szCs w:val="24"/>
        </w:rPr>
        <w:t>2. Theoretical Background</w:t>
      </w:r>
    </w:p>
    <w:p w14:paraId="5B05286D" w14:textId="77777777" w:rsidR="00AA7E91" w:rsidRPr="00DD3D54" w:rsidRDefault="00AA7E91" w:rsidP="00AA7E91">
      <w:pPr>
        <w:bidi w:val="0"/>
        <w:rPr>
          <w:rFonts w:asciiTheme="majorBidi" w:hAnsiTheme="majorBidi" w:cstheme="majorBidi"/>
          <w:b/>
          <w:bCs/>
          <w:sz w:val="24"/>
          <w:szCs w:val="24"/>
        </w:rPr>
      </w:pPr>
      <w:r w:rsidRPr="00DD3D54">
        <w:rPr>
          <w:rFonts w:asciiTheme="majorBidi" w:hAnsiTheme="majorBidi" w:cstheme="majorBidi"/>
          <w:b/>
          <w:bCs/>
          <w:sz w:val="24"/>
          <w:szCs w:val="24"/>
        </w:rPr>
        <w:t>2.1 Translation as a Functional Activity</w:t>
      </w:r>
    </w:p>
    <w:p w14:paraId="6FECCDEA"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Modern translation theory has increasingly moved away from strict equivalence models toward functionalist and communicative approaches. From this perspective, translation is not merely the replacement of linguistic units, but a purpose-driven activity designed to meet the needs of specific audiences in specific contexts. The success of a translation is therefore measured by usability, intelligibility, and effectiveness rather than formal correspondence (Al-Azami, Kenner, Ruby &amp; Gregory, 2010). In technical translation, this functional orientation is especially critical. Technical texts are designed to convey precise information efficiently, often to readers who already possess partial domain knowledge. Any translation strategy that increases ambiguity, slows comprehension, or requires additional explanation undermines the primary function of the text.</w:t>
      </w:r>
    </w:p>
    <w:p w14:paraId="6AA46E8F" w14:textId="77777777" w:rsidR="00AA7E91" w:rsidRPr="00DD3D54" w:rsidRDefault="00AA7E91" w:rsidP="00AA7E91">
      <w:pPr>
        <w:bidi w:val="0"/>
        <w:rPr>
          <w:rFonts w:asciiTheme="majorBidi" w:hAnsiTheme="majorBidi" w:cstheme="majorBidi"/>
          <w:b/>
          <w:bCs/>
          <w:sz w:val="24"/>
          <w:szCs w:val="24"/>
        </w:rPr>
      </w:pPr>
    </w:p>
    <w:p w14:paraId="41325B29" w14:textId="77777777" w:rsidR="00AA7E91" w:rsidRPr="00DD3D54" w:rsidRDefault="00AA7E91" w:rsidP="00AA7E91">
      <w:pPr>
        <w:bidi w:val="0"/>
        <w:rPr>
          <w:rFonts w:asciiTheme="majorBidi" w:hAnsiTheme="majorBidi" w:cstheme="majorBidi"/>
          <w:b/>
          <w:bCs/>
          <w:sz w:val="24"/>
          <w:szCs w:val="24"/>
        </w:rPr>
      </w:pPr>
      <w:r w:rsidRPr="00DD3D54">
        <w:rPr>
          <w:rFonts w:asciiTheme="majorBidi" w:hAnsiTheme="majorBidi" w:cstheme="majorBidi"/>
          <w:b/>
          <w:bCs/>
          <w:sz w:val="24"/>
          <w:szCs w:val="24"/>
        </w:rPr>
        <w:t>2.2 Technical Terminology and Cognitive Processing</w:t>
      </w:r>
    </w:p>
    <w:p w14:paraId="43E00D5C"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 xml:space="preserve">Research in cognitive linguistics and ESP (English for Specific Purposes) suggests that expert readers process technical terms differently from general vocabulary. For </w:t>
      </w:r>
      <w:r w:rsidRPr="00DD3D54">
        <w:rPr>
          <w:rFonts w:asciiTheme="majorBidi" w:hAnsiTheme="majorBidi" w:cstheme="majorBidi"/>
          <w:sz w:val="24"/>
          <w:szCs w:val="24"/>
        </w:rPr>
        <w:lastRenderedPageBreak/>
        <w:t>specialists, technical terms are often stored as unanalysed units, similar to proper names. When such terms are replaced with unfamiliar or artificially constructed equivalents, readers must expend additional cognitive effort to map the new form onto an existing concept. This phenomenon helps explain why literal translations of technical terms are frequently perceived as awkward or confusing, even when they are linguistically accurate. Transliteration, by preserving phonological continuity with the source term, reduces this cognitive burden and facilitates rapid recognition.</w:t>
      </w:r>
    </w:p>
    <w:p w14:paraId="056D579F" w14:textId="77777777" w:rsidR="00AA7E91" w:rsidRPr="00DD3D54" w:rsidRDefault="00AA7E91" w:rsidP="00AA7E91">
      <w:pPr>
        <w:bidi w:val="0"/>
        <w:rPr>
          <w:rFonts w:asciiTheme="majorBidi" w:hAnsiTheme="majorBidi" w:cstheme="majorBidi"/>
          <w:b/>
          <w:bCs/>
          <w:sz w:val="24"/>
          <w:szCs w:val="24"/>
        </w:rPr>
      </w:pPr>
    </w:p>
    <w:p w14:paraId="4EC71008" w14:textId="77777777" w:rsidR="00AA7E91" w:rsidRPr="00DD3D54" w:rsidRDefault="00AA7E91" w:rsidP="00AA7E91">
      <w:pPr>
        <w:bidi w:val="0"/>
        <w:rPr>
          <w:rFonts w:asciiTheme="majorBidi" w:hAnsiTheme="majorBidi" w:cstheme="majorBidi"/>
          <w:b/>
          <w:bCs/>
          <w:sz w:val="24"/>
          <w:szCs w:val="24"/>
        </w:rPr>
      </w:pPr>
      <w:r w:rsidRPr="00DD3D54">
        <w:rPr>
          <w:rFonts w:asciiTheme="majorBidi" w:hAnsiTheme="majorBidi" w:cstheme="majorBidi"/>
          <w:b/>
          <w:bCs/>
          <w:sz w:val="24"/>
          <w:szCs w:val="24"/>
        </w:rPr>
        <w:t>2.3 Arabicisation Revisited</w:t>
      </w:r>
    </w:p>
    <w:p w14:paraId="45BECF42"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Arabicisation has historically played a significant role in the development of Arabic scientific discourse, particularly during periods of intense knowledge transfer (Al-Khatib &amp; Sabbah, 1999). While earlier Arabicisation efforts often involved derivation and semantic expansion, contemporary technical fields evolve at a pace that makes systematic coinage increasingly impractical (Warschauer, El Said &amp; Zohry, 2007). Transliteration thus emerges not as linguistic negligence, but as an adaptive strategy suited to modern conditions of knowledge production.</w:t>
      </w:r>
    </w:p>
    <w:p w14:paraId="4421F456" w14:textId="77777777" w:rsidR="00AA7E91" w:rsidRPr="00DD3D54" w:rsidRDefault="00AA7E91" w:rsidP="00AA7E91">
      <w:pPr>
        <w:bidi w:val="0"/>
        <w:rPr>
          <w:rFonts w:asciiTheme="majorBidi" w:hAnsiTheme="majorBidi" w:cstheme="majorBidi"/>
          <w:b/>
          <w:bCs/>
          <w:sz w:val="24"/>
          <w:szCs w:val="24"/>
        </w:rPr>
      </w:pPr>
    </w:p>
    <w:p w14:paraId="65A76D84" w14:textId="77777777" w:rsidR="00AA7E91" w:rsidRPr="00DD3D54" w:rsidRDefault="00AA7E91" w:rsidP="00AA7E91">
      <w:pPr>
        <w:bidi w:val="0"/>
        <w:rPr>
          <w:rFonts w:asciiTheme="majorBidi" w:hAnsiTheme="majorBidi" w:cstheme="majorBidi"/>
          <w:b/>
          <w:bCs/>
          <w:sz w:val="24"/>
          <w:szCs w:val="24"/>
        </w:rPr>
      </w:pPr>
      <w:r w:rsidRPr="00DD3D54">
        <w:rPr>
          <w:rFonts w:asciiTheme="majorBidi" w:hAnsiTheme="majorBidi" w:cstheme="majorBidi"/>
          <w:b/>
          <w:bCs/>
          <w:sz w:val="24"/>
          <w:szCs w:val="24"/>
        </w:rPr>
        <w:t>3. Literature Review</w:t>
      </w:r>
    </w:p>
    <w:p w14:paraId="63215ED5" w14:textId="77777777" w:rsidR="00AA7E91" w:rsidRPr="00DD3D54" w:rsidRDefault="00AA7E91" w:rsidP="00AA7E91">
      <w:pPr>
        <w:pStyle w:val="NormalWeb"/>
        <w:jc w:val="both"/>
        <w:rPr>
          <w:lang w:val="en-GB"/>
        </w:rPr>
      </w:pPr>
      <w:r w:rsidRPr="00DD3D54">
        <w:rPr>
          <w:lang w:val="en-GB"/>
        </w:rPr>
        <w:t>Research on technical translation into Arabic can be broadly grouped into three main strands: descriptive studies documenting translation strategies and challenges, normative and prescriptive discussions advocating particular techniques, and terminological or computational research focusing on transliteration and standardisation. Together, these strands have contributed valuable insights into the nature of technical translation, while also revealing persistent gaps, particularly with regard to reader reception and empirical evaluation.</w:t>
      </w:r>
    </w:p>
    <w:p w14:paraId="123FF137" w14:textId="77777777" w:rsidR="00AA7E91" w:rsidRPr="00DD3D54" w:rsidRDefault="00AA7E91" w:rsidP="00AA7E91">
      <w:pPr>
        <w:pStyle w:val="NormalWeb"/>
        <w:jc w:val="both"/>
        <w:rPr>
          <w:lang w:val="en-GB"/>
        </w:rPr>
      </w:pPr>
      <w:r w:rsidRPr="00DD3D54">
        <w:rPr>
          <w:lang w:val="en-GB"/>
        </w:rPr>
        <w:t xml:space="preserve">The first strand consists of descriptive and analytical studies that examine how technical terms are translated in practice and identify recurrent difficulties in achieving equivalence. Classic works in translation studies emphasise that technical terms function primarily as labels for specialised concepts rather than as carriers of general lexical meaning (Newmark, 1988; </w:t>
      </w:r>
      <w:proofErr w:type="spellStart"/>
      <w:r w:rsidRPr="00DD3D54">
        <w:rPr>
          <w:lang w:val="en-GB"/>
        </w:rPr>
        <w:t>Pinchuck</w:t>
      </w:r>
      <w:proofErr w:type="spellEnd"/>
      <w:r w:rsidRPr="00DD3D54">
        <w:rPr>
          <w:lang w:val="en-GB"/>
        </w:rPr>
        <w:t xml:space="preserve">, 1977). From this perspective, literal translation often proves problematic, as it may obscure conceptual reference or introduce misleading semantic associations. Studies focusing on Arabic–English translation similarly highlight challenges arising from rapid technological development, terminological density, and the dominance of English as the primary source language for scientific knowledge (Dickins, Hervey, &amp; Higgins, 2017; </w:t>
      </w:r>
      <w:proofErr w:type="spellStart"/>
      <w:r w:rsidRPr="00DD3D54">
        <w:rPr>
          <w:lang w:val="en-GB"/>
        </w:rPr>
        <w:t>Farghal</w:t>
      </w:r>
      <w:proofErr w:type="spellEnd"/>
      <w:r w:rsidRPr="00DD3D54">
        <w:rPr>
          <w:lang w:val="en-GB"/>
        </w:rPr>
        <w:t xml:space="preserve"> &amp; </w:t>
      </w:r>
      <w:proofErr w:type="spellStart"/>
      <w:r w:rsidRPr="00DD3D54">
        <w:rPr>
          <w:lang w:val="en-GB"/>
        </w:rPr>
        <w:t>Shunnaq</w:t>
      </w:r>
      <w:proofErr w:type="spellEnd"/>
      <w:r w:rsidRPr="00DD3D54">
        <w:rPr>
          <w:lang w:val="en-GB"/>
        </w:rPr>
        <w:t>, 1999).</w:t>
      </w:r>
    </w:p>
    <w:p w14:paraId="3A158AAC" w14:textId="77777777" w:rsidR="00AA7E91" w:rsidRPr="00DD3D54" w:rsidRDefault="00AA7E91" w:rsidP="00AA7E91">
      <w:pPr>
        <w:pStyle w:val="NormalWeb"/>
        <w:jc w:val="both"/>
        <w:rPr>
          <w:lang w:val="en-GB"/>
        </w:rPr>
      </w:pPr>
      <w:r w:rsidRPr="00DD3D54">
        <w:rPr>
          <w:lang w:val="en-GB"/>
        </w:rPr>
        <w:t>The second strand of literature is largely normative, advocating specific translation techniques based on functional or ideological considerations. Functionalist approaches argue that translation strategies should be determined by communicative purpose and target audience rather than formal equivalence alone (Nord, 1997; Pym, 2014). In the Arabic context, however, many prescriptive discussions emphasise Arabisation and derivational strategies as a means of preserving linguistic identity, sometimes at the expense of usability and acceptance among specialists (Al-</w:t>
      </w:r>
      <w:proofErr w:type="spellStart"/>
      <w:r w:rsidRPr="00DD3D54">
        <w:rPr>
          <w:lang w:val="en-GB"/>
        </w:rPr>
        <w:t>Kasimi</w:t>
      </w:r>
      <w:proofErr w:type="spellEnd"/>
      <w:r w:rsidRPr="00DD3D54">
        <w:rPr>
          <w:lang w:val="en-GB"/>
        </w:rPr>
        <w:t xml:space="preserve">, 1983). While such </w:t>
      </w:r>
      <w:r w:rsidRPr="00DD3D54">
        <w:rPr>
          <w:lang w:val="en-GB"/>
        </w:rPr>
        <w:lastRenderedPageBreak/>
        <w:t>approaches aim to promote linguistic coherence, they often underestimate the extent to which professional communities rely on internationally recognisable terminology.</w:t>
      </w:r>
    </w:p>
    <w:p w14:paraId="6775AB18" w14:textId="77777777" w:rsidR="00AA7E91" w:rsidRPr="00DD3D54" w:rsidRDefault="00AA7E91" w:rsidP="00AA7E91">
      <w:pPr>
        <w:pStyle w:val="NormalWeb"/>
        <w:jc w:val="both"/>
        <w:rPr>
          <w:lang w:val="en-GB"/>
        </w:rPr>
      </w:pPr>
      <w:r w:rsidRPr="00DD3D54">
        <w:rPr>
          <w:lang w:val="en-GB"/>
        </w:rPr>
        <w:t xml:space="preserve">A third strand focuses on terminology theory, standardisation, and transliteration from a terminological or computational perspective. Terminology scholars stress the importance of consistency, referential stability, and conceptual clarity in specialised communication (Sager, 1990). </w:t>
      </w:r>
      <w:proofErr w:type="spellStart"/>
      <w:r w:rsidRPr="00DD3D54">
        <w:rPr>
          <w:lang w:val="en-GB"/>
        </w:rPr>
        <w:t>Sociocognitive</w:t>
      </w:r>
      <w:proofErr w:type="spellEnd"/>
      <w:r w:rsidRPr="00DD3D54">
        <w:rPr>
          <w:lang w:val="en-GB"/>
        </w:rPr>
        <w:t xml:space="preserve"> approaches to terminology emphasise that term acceptance is shaped by actual usage within expert communities, not by top-down prescription alone (Temmerman, 2000). Despite these insights, much of this research remains detached from reader-centred evaluation.</w:t>
      </w:r>
    </w:p>
    <w:p w14:paraId="2831A3EB" w14:textId="77777777" w:rsidR="00AA7E91" w:rsidRPr="00DD3D54" w:rsidRDefault="00AA7E91" w:rsidP="00AA7E91">
      <w:pPr>
        <w:pStyle w:val="NormalWeb"/>
        <w:jc w:val="both"/>
        <w:rPr>
          <w:lang w:val="en-GB"/>
        </w:rPr>
      </w:pPr>
      <w:r w:rsidRPr="00DD3D54">
        <w:rPr>
          <w:lang w:val="en-GB"/>
        </w:rPr>
        <w:t xml:space="preserve">Notably, empirical studies that focus on reader reception and cognitive processing remain relatively scarce. Much existing research evaluates translations primarily from linguistic, terminological, or theoretical standpoints, rather than from the perspective of end users who must interpret and apply technical texts (House, 2015; </w:t>
      </w:r>
      <w:proofErr w:type="spellStart"/>
      <w:r w:rsidRPr="00DD3D54">
        <w:rPr>
          <w:lang w:val="en-GB"/>
        </w:rPr>
        <w:t>Göpferich</w:t>
      </w:r>
      <w:proofErr w:type="spellEnd"/>
      <w:r w:rsidRPr="00DD3D54">
        <w:rPr>
          <w:lang w:val="en-GB"/>
        </w:rPr>
        <w:t>, 2009). This gap is particularly significant given that the ultimate goal of technical translation is effective communication rather than linguistic purity.</w:t>
      </w:r>
    </w:p>
    <w:p w14:paraId="136A2CF0" w14:textId="77777777" w:rsidR="00AA7E91" w:rsidRPr="00DD3D54" w:rsidRDefault="00AA7E91" w:rsidP="00AA7E91">
      <w:pPr>
        <w:pStyle w:val="NormalWeb"/>
        <w:jc w:val="both"/>
        <w:rPr>
          <w:lang w:val="en-GB"/>
        </w:rPr>
      </w:pPr>
      <w:r w:rsidRPr="00DD3D54">
        <w:rPr>
          <w:lang w:val="en-GB"/>
        </w:rPr>
        <w:t>The present study addresses this gap by foregrounding user experience and empirically comparing translation strategies within authentic disciplinary contexts. By examining reader comprehension, perceived clarity, and processing effort across literal and hybrid translation–transliteration models, the study contributes a user-centred, evidence-based perspective to the literature on technical translation into Arabic, complementing and extending existing theoretical and terminological research.</w:t>
      </w:r>
    </w:p>
    <w:p w14:paraId="6B4AC05C" w14:textId="77777777" w:rsidR="00AA7E91" w:rsidRPr="00DD3D54" w:rsidRDefault="00AA7E91" w:rsidP="00AA7E91">
      <w:pPr>
        <w:bidi w:val="0"/>
        <w:jc w:val="both"/>
        <w:rPr>
          <w:rFonts w:asciiTheme="majorBidi" w:hAnsiTheme="majorBidi" w:cstheme="majorBidi"/>
          <w:b/>
          <w:bCs/>
          <w:sz w:val="24"/>
          <w:szCs w:val="24"/>
        </w:rPr>
      </w:pPr>
      <w:r w:rsidRPr="00DD3D54">
        <w:rPr>
          <w:rFonts w:asciiTheme="majorBidi" w:hAnsiTheme="majorBidi" w:cstheme="majorBidi"/>
          <w:b/>
          <w:bCs/>
          <w:sz w:val="24"/>
          <w:szCs w:val="24"/>
        </w:rPr>
        <w:t>4. Methodology</w:t>
      </w:r>
    </w:p>
    <w:p w14:paraId="2DC28D13" w14:textId="77777777" w:rsidR="00AA7E91" w:rsidRPr="00DD3D54" w:rsidRDefault="00AA7E91" w:rsidP="00AA7E91">
      <w:pPr>
        <w:bidi w:val="0"/>
        <w:jc w:val="both"/>
        <w:rPr>
          <w:rFonts w:asciiTheme="majorBidi" w:hAnsiTheme="majorBidi" w:cstheme="majorBidi"/>
          <w:b/>
          <w:bCs/>
          <w:sz w:val="24"/>
          <w:szCs w:val="24"/>
        </w:rPr>
      </w:pPr>
      <w:r w:rsidRPr="00DD3D54">
        <w:rPr>
          <w:rFonts w:asciiTheme="majorBidi" w:hAnsiTheme="majorBidi" w:cstheme="majorBidi"/>
          <w:b/>
          <w:bCs/>
          <w:sz w:val="24"/>
          <w:szCs w:val="24"/>
        </w:rPr>
        <w:t>4.1 Research Design</w:t>
      </w:r>
    </w:p>
    <w:p w14:paraId="1BAACAED"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The study adopts a mixed-methods research design that integrates quantitative and qualitative data to provide a comprehensive evaluation of translation strategies in technical texts. This approach enables triangulation between objective, measurable outcomes, such as comprehension accuracy and response consistency, and subjective reader perceptions, including clarity, naturalness, and overall preference. By combining these two strands of evidence, the design strengthens the validity of the findings and allows for a more nuanced interpretation of how transliteration functions in real reading contexts.</w:t>
      </w:r>
    </w:p>
    <w:p w14:paraId="0237A258" w14:textId="77777777" w:rsidR="00AA7E91" w:rsidRPr="00DD3D54" w:rsidRDefault="00AA7E91" w:rsidP="00AA7E91">
      <w:pPr>
        <w:bidi w:val="0"/>
        <w:jc w:val="both"/>
        <w:rPr>
          <w:rFonts w:asciiTheme="majorBidi" w:hAnsiTheme="majorBidi" w:cstheme="majorBidi"/>
          <w:b/>
          <w:bCs/>
          <w:sz w:val="24"/>
          <w:szCs w:val="24"/>
        </w:rPr>
      </w:pPr>
    </w:p>
    <w:p w14:paraId="2B5BBEF2" w14:textId="77777777" w:rsidR="00AA7E91" w:rsidRPr="00DD3D54" w:rsidRDefault="00AA7E91" w:rsidP="00AA7E91">
      <w:pPr>
        <w:bidi w:val="0"/>
        <w:jc w:val="both"/>
        <w:rPr>
          <w:rFonts w:asciiTheme="majorBidi" w:hAnsiTheme="majorBidi" w:cstheme="majorBidi"/>
          <w:b/>
          <w:bCs/>
          <w:sz w:val="24"/>
          <w:szCs w:val="24"/>
        </w:rPr>
      </w:pPr>
      <w:r w:rsidRPr="00DD3D54">
        <w:rPr>
          <w:rFonts w:asciiTheme="majorBidi" w:hAnsiTheme="majorBidi" w:cstheme="majorBidi"/>
          <w:b/>
          <w:bCs/>
          <w:sz w:val="24"/>
          <w:szCs w:val="24"/>
        </w:rPr>
        <w:t>4.2 Corpus Selection</w:t>
      </w:r>
    </w:p>
    <w:p w14:paraId="79B90D80"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A small but carefully controlled corpus of Arabic technical texts was compiled from university-level textbooks and instructional materials commonly used in higher education. The corpus covers three disciplines with distinct terminological profiles and varying degrees of internationalisation:</w:t>
      </w:r>
    </w:p>
    <w:p w14:paraId="4B47D233" w14:textId="77777777" w:rsidR="00AA7E91" w:rsidRPr="00DD3D54" w:rsidRDefault="00AA7E91" w:rsidP="00AA7E91">
      <w:pPr>
        <w:numPr>
          <w:ilvl w:val="0"/>
          <w:numId w:val="6"/>
        </w:numPr>
        <w:bidi w:val="0"/>
        <w:jc w:val="both"/>
        <w:rPr>
          <w:rFonts w:asciiTheme="majorBidi" w:hAnsiTheme="majorBidi" w:cstheme="majorBidi"/>
          <w:sz w:val="24"/>
          <w:szCs w:val="24"/>
        </w:rPr>
      </w:pPr>
      <w:r w:rsidRPr="00DD3D54">
        <w:rPr>
          <w:rFonts w:asciiTheme="majorBidi" w:hAnsiTheme="majorBidi" w:cstheme="majorBidi"/>
          <w:sz w:val="24"/>
          <w:szCs w:val="24"/>
        </w:rPr>
        <w:t>Information Technology</w:t>
      </w:r>
    </w:p>
    <w:p w14:paraId="1D57BB2E" w14:textId="77777777" w:rsidR="00AA7E91" w:rsidRPr="00DD3D54" w:rsidRDefault="00AA7E91" w:rsidP="00AA7E91">
      <w:pPr>
        <w:numPr>
          <w:ilvl w:val="0"/>
          <w:numId w:val="6"/>
        </w:numPr>
        <w:bidi w:val="0"/>
        <w:jc w:val="both"/>
        <w:rPr>
          <w:rFonts w:asciiTheme="majorBidi" w:hAnsiTheme="majorBidi" w:cstheme="majorBidi"/>
          <w:sz w:val="24"/>
          <w:szCs w:val="24"/>
        </w:rPr>
      </w:pPr>
      <w:r w:rsidRPr="00DD3D54">
        <w:rPr>
          <w:rFonts w:asciiTheme="majorBidi" w:hAnsiTheme="majorBidi" w:cstheme="majorBidi"/>
          <w:sz w:val="24"/>
          <w:szCs w:val="24"/>
        </w:rPr>
        <w:t>Engineering</w:t>
      </w:r>
    </w:p>
    <w:p w14:paraId="49B4A695" w14:textId="77777777" w:rsidR="00AA7E91" w:rsidRPr="00DD3D54" w:rsidRDefault="00AA7E91" w:rsidP="00AA7E91">
      <w:pPr>
        <w:numPr>
          <w:ilvl w:val="0"/>
          <w:numId w:val="6"/>
        </w:numPr>
        <w:bidi w:val="0"/>
        <w:jc w:val="both"/>
        <w:rPr>
          <w:rFonts w:asciiTheme="majorBidi" w:hAnsiTheme="majorBidi" w:cstheme="majorBidi"/>
          <w:sz w:val="24"/>
          <w:szCs w:val="24"/>
        </w:rPr>
      </w:pPr>
      <w:r w:rsidRPr="00DD3D54">
        <w:rPr>
          <w:rFonts w:asciiTheme="majorBidi" w:hAnsiTheme="majorBidi" w:cstheme="majorBidi"/>
          <w:sz w:val="24"/>
          <w:szCs w:val="24"/>
        </w:rPr>
        <w:t>Medicine</w:t>
      </w:r>
    </w:p>
    <w:p w14:paraId="326777EC"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lastRenderedPageBreak/>
        <w:t>Each discipline was represented by two comparable texts addressing similar content and complexity. One text relied predominantly on literal translation into Arabic, while the other employed a hybrid translation–transliteration approach. Care was taken to control for text length, difficulty level, and informational density to ensure that observed differences in reader response could be attributed primarily to translation strategy rather than content variation.</w:t>
      </w:r>
    </w:p>
    <w:p w14:paraId="467071C0" w14:textId="77777777" w:rsidR="00AA7E91" w:rsidRPr="00DD3D54" w:rsidRDefault="00AA7E91" w:rsidP="00AA7E91">
      <w:pPr>
        <w:bidi w:val="0"/>
        <w:jc w:val="both"/>
        <w:rPr>
          <w:rFonts w:asciiTheme="majorBidi" w:hAnsiTheme="majorBidi" w:cstheme="majorBidi"/>
          <w:b/>
          <w:bCs/>
          <w:sz w:val="24"/>
          <w:szCs w:val="24"/>
        </w:rPr>
      </w:pPr>
    </w:p>
    <w:p w14:paraId="62C8A47F" w14:textId="77777777" w:rsidR="00AA7E91" w:rsidRPr="00DD3D54" w:rsidRDefault="00AA7E91" w:rsidP="00AA7E91">
      <w:pPr>
        <w:bidi w:val="0"/>
        <w:jc w:val="both"/>
        <w:rPr>
          <w:rFonts w:asciiTheme="majorBidi" w:hAnsiTheme="majorBidi" w:cstheme="majorBidi"/>
          <w:b/>
          <w:bCs/>
          <w:sz w:val="24"/>
          <w:szCs w:val="24"/>
        </w:rPr>
      </w:pPr>
      <w:r w:rsidRPr="00DD3D54">
        <w:rPr>
          <w:rFonts w:asciiTheme="majorBidi" w:hAnsiTheme="majorBidi" w:cstheme="majorBidi"/>
          <w:b/>
          <w:bCs/>
          <w:sz w:val="24"/>
          <w:szCs w:val="24"/>
        </w:rPr>
        <w:t>4.3 Participants</w:t>
      </w:r>
    </w:p>
    <w:p w14:paraId="465B7C7F"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The participant pool consisted of 42 individuals drawn from academic environments closely aligned with the selected disciplines. This group included:</w:t>
      </w:r>
    </w:p>
    <w:p w14:paraId="3EC3DE3E" w14:textId="77777777" w:rsidR="00AA7E91" w:rsidRPr="00DD3D54" w:rsidRDefault="00AA7E91" w:rsidP="00AA7E91">
      <w:pPr>
        <w:numPr>
          <w:ilvl w:val="0"/>
          <w:numId w:val="7"/>
        </w:numPr>
        <w:bidi w:val="0"/>
        <w:jc w:val="both"/>
        <w:rPr>
          <w:rFonts w:asciiTheme="majorBidi" w:hAnsiTheme="majorBidi" w:cstheme="majorBidi"/>
          <w:sz w:val="24"/>
          <w:szCs w:val="24"/>
        </w:rPr>
      </w:pPr>
      <w:r w:rsidRPr="00DD3D54">
        <w:rPr>
          <w:rFonts w:asciiTheme="majorBidi" w:hAnsiTheme="majorBidi" w:cstheme="majorBidi"/>
          <w:sz w:val="24"/>
          <w:szCs w:val="24"/>
        </w:rPr>
        <w:t>8 faculty members with teaching and research experience.</w:t>
      </w:r>
    </w:p>
    <w:p w14:paraId="7B31BCA6" w14:textId="77777777" w:rsidR="00AA7E91" w:rsidRPr="00DD3D54" w:rsidRDefault="00AA7E91" w:rsidP="00AA7E91">
      <w:pPr>
        <w:numPr>
          <w:ilvl w:val="0"/>
          <w:numId w:val="7"/>
        </w:numPr>
        <w:bidi w:val="0"/>
        <w:jc w:val="both"/>
        <w:rPr>
          <w:rFonts w:asciiTheme="majorBidi" w:hAnsiTheme="majorBidi" w:cstheme="majorBidi"/>
          <w:sz w:val="24"/>
          <w:szCs w:val="24"/>
        </w:rPr>
      </w:pPr>
      <w:r w:rsidRPr="00DD3D54">
        <w:rPr>
          <w:rFonts w:asciiTheme="majorBidi" w:hAnsiTheme="majorBidi" w:cstheme="majorBidi"/>
          <w:sz w:val="24"/>
          <w:szCs w:val="24"/>
        </w:rPr>
        <w:t>34 senior undergraduate students nearing completion of their degree programs.</w:t>
      </w:r>
    </w:p>
    <w:p w14:paraId="3E1F1B20"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All participants were bilingual in Arabic and English and actively engaged in their respective fields of study or instruction. Their disciplinary familiarity ensured informed evaluation of technical terminology, while variation in academic status allowed for comparison between expert and near-expert reader responses.</w:t>
      </w:r>
    </w:p>
    <w:p w14:paraId="4A6066FA" w14:textId="77777777" w:rsidR="00AA7E91" w:rsidRPr="00DD3D54" w:rsidRDefault="00AA7E91" w:rsidP="00AA7E91">
      <w:pPr>
        <w:bidi w:val="0"/>
        <w:jc w:val="both"/>
        <w:rPr>
          <w:rFonts w:asciiTheme="majorBidi" w:hAnsiTheme="majorBidi" w:cstheme="majorBidi"/>
          <w:b/>
          <w:bCs/>
          <w:sz w:val="24"/>
          <w:szCs w:val="24"/>
        </w:rPr>
      </w:pPr>
    </w:p>
    <w:p w14:paraId="6F5B622E" w14:textId="77777777" w:rsidR="00AA7E91" w:rsidRPr="00DD3D54" w:rsidRDefault="00AA7E91" w:rsidP="00AA7E91">
      <w:pPr>
        <w:bidi w:val="0"/>
        <w:jc w:val="both"/>
        <w:rPr>
          <w:rFonts w:asciiTheme="majorBidi" w:hAnsiTheme="majorBidi" w:cstheme="majorBidi"/>
          <w:b/>
          <w:bCs/>
          <w:sz w:val="24"/>
          <w:szCs w:val="24"/>
        </w:rPr>
      </w:pPr>
      <w:r w:rsidRPr="00DD3D54">
        <w:rPr>
          <w:rFonts w:asciiTheme="majorBidi" w:hAnsiTheme="majorBidi" w:cstheme="majorBidi"/>
          <w:b/>
          <w:bCs/>
          <w:sz w:val="24"/>
          <w:szCs w:val="24"/>
        </w:rPr>
        <w:t>4.4 Instruments</w:t>
      </w:r>
    </w:p>
    <w:p w14:paraId="1FD264FE"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Data were collected using a combination of complementary instruments designed to capture both performance and perception. These included:</w:t>
      </w:r>
    </w:p>
    <w:p w14:paraId="65791580" w14:textId="77777777" w:rsidR="00AA7E91" w:rsidRPr="00DD3D54" w:rsidRDefault="00AA7E91" w:rsidP="00AA7E91">
      <w:pPr>
        <w:numPr>
          <w:ilvl w:val="0"/>
          <w:numId w:val="8"/>
        </w:numPr>
        <w:bidi w:val="0"/>
        <w:jc w:val="both"/>
        <w:rPr>
          <w:rFonts w:asciiTheme="majorBidi" w:hAnsiTheme="majorBidi" w:cstheme="majorBidi"/>
          <w:sz w:val="24"/>
          <w:szCs w:val="24"/>
        </w:rPr>
      </w:pPr>
      <w:r w:rsidRPr="00DD3D54">
        <w:rPr>
          <w:rFonts w:asciiTheme="majorBidi" w:hAnsiTheme="majorBidi" w:cstheme="majorBidi"/>
          <w:sz w:val="24"/>
          <w:szCs w:val="24"/>
        </w:rPr>
        <w:t>Comprehension tests embedded within the texts, focusing on key concepts and terminological understanding</w:t>
      </w:r>
    </w:p>
    <w:p w14:paraId="713AB64D" w14:textId="77777777" w:rsidR="00AA7E91" w:rsidRPr="00DD3D54" w:rsidRDefault="00AA7E91" w:rsidP="00AA7E91">
      <w:pPr>
        <w:numPr>
          <w:ilvl w:val="0"/>
          <w:numId w:val="8"/>
        </w:numPr>
        <w:bidi w:val="0"/>
        <w:jc w:val="both"/>
        <w:rPr>
          <w:rFonts w:asciiTheme="majorBidi" w:hAnsiTheme="majorBidi" w:cstheme="majorBidi"/>
          <w:sz w:val="24"/>
          <w:szCs w:val="24"/>
        </w:rPr>
      </w:pPr>
      <w:r w:rsidRPr="00DD3D54">
        <w:rPr>
          <w:rFonts w:asciiTheme="majorBidi" w:hAnsiTheme="majorBidi" w:cstheme="majorBidi"/>
          <w:sz w:val="24"/>
          <w:szCs w:val="24"/>
        </w:rPr>
        <w:t>Likert-scale questionnaires measuring perceived clarity, accuracy, naturalness, and cognitive effort</w:t>
      </w:r>
    </w:p>
    <w:p w14:paraId="747089E7" w14:textId="77777777" w:rsidR="00AA7E91" w:rsidRPr="00DD3D54" w:rsidRDefault="00AA7E91" w:rsidP="00AA7E91">
      <w:pPr>
        <w:numPr>
          <w:ilvl w:val="0"/>
          <w:numId w:val="8"/>
        </w:numPr>
        <w:bidi w:val="0"/>
        <w:jc w:val="both"/>
        <w:rPr>
          <w:rFonts w:asciiTheme="majorBidi" w:hAnsiTheme="majorBidi" w:cstheme="majorBidi"/>
          <w:sz w:val="24"/>
          <w:szCs w:val="24"/>
        </w:rPr>
      </w:pPr>
      <w:r w:rsidRPr="00DD3D54">
        <w:rPr>
          <w:rFonts w:asciiTheme="majorBidi" w:hAnsiTheme="majorBidi" w:cstheme="majorBidi"/>
          <w:sz w:val="24"/>
          <w:szCs w:val="24"/>
        </w:rPr>
        <w:t>Open-ended response sections inviting participants to comment on terminology choices, readability, and overall translation quality</w:t>
      </w:r>
    </w:p>
    <w:p w14:paraId="1C674C58"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This multi-instrument approach enabled cross-validation of results and provided insight into both how well participants understood the texts and how they experienced the reading process.</w:t>
      </w:r>
    </w:p>
    <w:p w14:paraId="41E89553" w14:textId="77777777" w:rsidR="00AA7E91" w:rsidRPr="00DD3D54" w:rsidRDefault="00AA7E91" w:rsidP="00AA7E91">
      <w:pPr>
        <w:bidi w:val="0"/>
        <w:jc w:val="both"/>
        <w:rPr>
          <w:rFonts w:asciiTheme="majorBidi" w:hAnsiTheme="majorBidi" w:cstheme="majorBidi"/>
          <w:b/>
          <w:bCs/>
          <w:sz w:val="24"/>
          <w:szCs w:val="24"/>
        </w:rPr>
      </w:pPr>
    </w:p>
    <w:p w14:paraId="12B56453" w14:textId="77777777" w:rsidR="00AA7E91" w:rsidRPr="00DD3D54" w:rsidRDefault="00AA7E91" w:rsidP="00AA7E91">
      <w:pPr>
        <w:bidi w:val="0"/>
        <w:jc w:val="both"/>
        <w:rPr>
          <w:rFonts w:asciiTheme="majorBidi" w:hAnsiTheme="majorBidi" w:cstheme="majorBidi"/>
          <w:b/>
          <w:bCs/>
          <w:sz w:val="24"/>
          <w:szCs w:val="24"/>
        </w:rPr>
      </w:pPr>
      <w:r w:rsidRPr="00DD3D54">
        <w:rPr>
          <w:rFonts w:asciiTheme="majorBidi" w:hAnsiTheme="majorBidi" w:cstheme="majorBidi"/>
          <w:b/>
          <w:bCs/>
          <w:sz w:val="24"/>
          <w:szCs w:val="24"/>
        </w:rPr>
        <w:t>4.5 Data Analysis</w:t>
      </w:r>
    </w:p>
    <w:p w14:paraId="53D68F74"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 xml:space="preserve">Quantitative data were analysed descriptively, with mean scores and response patterns compared across translation strategies and disciplines. Qualitative responses were coded thematically to identify recurring evaluative patterns, attitudes toward transliteration, and reported sources of difficulty or ease. Particular attention was paid to discipline-specific variation and points of convergence between faculty and student perspectives. Together, these analyses offered a balanced and empirically grounded </w:t>
      </w:r>
      <w:r w:rsidRPr="00DD3D54">
        <w:rPr>
          <w:rFonts w:asciiTheme="majorBidi" w:hAnsiTheme="majorBidi" w:cstheme="majorBidi"/>
          <w:sz w:val="24"/>
          <w:szCs w:val="24"/>
        </w:rPr>
        <w:lastRenderedPageBreak/>
        <w:t>assessment of the impact of hybrid translation–transliteration strategies on technical text comprehension.</w:t>
      </w:r>
    </w:p>
    <w:p w14:paraId="694A4408" w14:textId="77777777" w:rsidR="00AA7E91" w:rsidRPr="00DD3D54" w:rsidRDefault="00AA7E91" w:rsidP="00AA7E91">
      <w:pPr>
        <w:bidi w:val="0"/>
        <w:rPr>
          <w:rFonts w:asciiTheme="majorBidi" w:hAnsiTheme="majorBidi" w:cstheme="majorBidi"/>
          <w:sz w:val="24"/>
          <w:szCs w:val="24"/>
        </w:rPr>
      </w:pPr>
    </w:p>
    <w:p w14:paraId="6120E083" w14:textId="77777777" w:rsidR="00AA7E91" w:rsidRPr="00DD3D54" w:rsidRDefault="00AA7E91" w:rsidP="00AA7E91">
      <w:pPr>
        <w:bidi w:val="0"/>
        <w:rPr>
          <w:rFonts w:asciiTheme="majorBidi" w:hAnsiTheme="majorBidi"/>
          <w:b/>
          <w:bCs/>
          <w:sz w:val="24"/>
          <w:szCs w:val="24"/>
        </w:rPr>
      </w:pPr>
      <w:r w:rsidRPr="00DD3D54">
        <w:rPr>
          <w:rFonts w:asciiTheme="majorBidi" w:hAnsiTheme="majorBidi" w:cstheme="majorBidi"/>
          <w:b/>
          <w:bCs/>
          <w:sz w:val="24"/>
          <w:szCs w:val="24"/>
        </w:rPr>
        <w:t xml:space="preserve">4.6 </w:t>
      </w:r>
      <w:r w:rsidRPr="00DD3D54">
        <w:rPr>
          <w:rFonts w:asciiTheme="majorBidi" w:hAnsiTheme="majorBidi"/>
          <w:b/>
          <w:bCs/>
          <w:sz w:val="24"/>
          <w:szCs w:val="24"/>
        </w:rPr>
        <w:t>Ethical Considerations</w:t>
      </w:r>
    </w:p>
    <w:p w14:paraId="4551FA39" w14:textId="77777777" w:rsidR="00AA7E91" w:rsidRPr="007C437C" w:rsidRDefault="00AA7E91" w:rsidP="00AA7E91">
      <w:pPr>
        <w:bidi w:val="0"/>
        <w:jc w:val="both"/>
        <w:rPr>
          <w:rFonts w:asciiTheme="majorBidi" w:hAnsiTheme="majorBidi" w:cstheme="majorBidi"/>
          <w:sz w:val="24"/>
          <w:szCs w:val="24"/>
        </w:rPr>
      </w:pPr>
      <w:r w:rsidRPr="007C437C">
        <w:rPr>
          <w:rFonts w:asciiTheme="majorBidi" w:hAnsiTheme="majorBidi" w:cstheme="majorBidi"/>
          <w:sz w:val="24"/>
          <w:szCs w:val="24"/>
        </w:rPr>
        <w:t>Participation was entirely voluntary, and all participants were informed of the purpose of the study, the nature of the tasks involved, and their right to withdraw at any stage without penalty. Informed consent was obtained from all participants prior to data collection. No incentives were offered that might exert undue influence on participation.</w:t>
      </w:r>
      <w:r w:rsidRPr="00DD3D54">
        <w:rPr>
          <w:rFonts w:asciiTheme="majorBidi" w:hAnsiTheme="majorBidi" w:cstheme="majorBidi"/>
          <w:sz w:val="24"/>
          <w:szCs w:val="24"/>
        </w:rPr>
        <w:t xml:space="preserve"> </w:t>
      </w:r>
      <w:r w:rsidRPr="007C437C">
        <w:rPr>
          <w:rFonts w:asciiTheme="majorBidi" w:hAnsiTheme="majorBidi" w:cstheme="majorBidi"/>
          <w:sz w:val="24"/>
          <w:szCs w:val="24"/>
        </w:rPr>
        <w:t>To protect participant confidentiality and anonymity, no identifying personal information was collected, recorded, or reported. Responses were anonymised at the point of data collection and analysed in aggregate form only. Individual participants were not identifiable in any results, quotations, or tables.</w:t>
      </w:r>
    </w:p>
    <w:p w14:paraId="74F9477A" w14:textId="77777777" w:rsidR="00AA7E91" w:rsidRPr="00DD3D54" w:rsidRDefault="00AA7E91" w:rsidP="00AA7E91">
      <w:pPr>
        <w:bidi w:val="0"/>
        <w:rPr>
          <w:rFonts w:asciiTheme="majorBidi" w:hAnsiTheme="majorBidi" w:cstheme="majorBidi"/>
          <w:b/>
          <w:bCs/>
          <w:sz w:val="24"/>
          <w:szCs w:val="24"/>
        </w:rPr>
      </w:pPr>
    </w:p>
    <w:p w14:paraId="1A380D4E" w14:textId="77777777" w:rsidR="00AA7E91" w:rsidRPr="00DD3D54" w:rsidRDefault="00AA7E91" w:rsidP="00AA7E91">
      <w:pPr>
        <w:bidi w:val="0"/>
        <w:rPr>
          <w:rFonts w:asciiTheme="majorBidi" w:hAnsiTheme="majorBidi" w:cstheme="majorBidi"/>
          <w:b/>
          <w:bCs/>
          <w:sz w:val="24"/>
          <w:szCs w:val="24"/>
        </w:rPr>
      </w:pPr>
      <w:r w:rsidRPr="00DD3D54">
        <w:rPr>
          <w:rFonts w:asciiTheme="majorBidi" w:hAnsiTheme="majorBidi" w:cstheme="majorBidi"/>
          <w:b/>
          <w:bCs/>
          <w:sz w:val="24"/>
          <w:szCs w:val="24"/>
        </w:rPr>
        <w:t>5. Results</w:t>
      </w:r>
    </w:p>
    <w:p w14:paraId="73633815" w14:textId="77777777" w:rsidR="00AA7E91" w:rsidRPr="00A74E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 xml:space="preserve">Across all disciplines examined, texts employing the hybrid translation–transliteration model consistently outperformed those relying exclusively on literal translation. Participants achieved higher comprehension scores, demonstrated greater accuracy in identifying and recalling key concepts, and reported significantly lower levels of processing effort. </w:t>
      </w:r>
      <w:r w:rsidRPr="00A74E54">
        <w:rPr>
          <w:rFonts w:asciiTheme="majorBidi" w:hAnsiTheme="majorBidi" w:cstheme="majorBidi"/>
          <w:sz w:val="24"/>
          <w:szCs w:val="24"/>
        </w:rPr>
        <w:t>In the following table, the performance of participants across the two translation strategies</w:t>
      </w:r>
      <w:r w:rsidRPr="00DD3D54">
        <w:rPr>
          <w:rFonts w:asciiTheme="majorBidi" w:hAnsiTheme="majorBidi" w:cstheme="majorBidi"/>
          <w:sz w:val="24"/>
          <w:szCs w:val="24"/>
        </w:rPr>
        <w:t xml:space="preserve">, </w:t>
      </w:r>
      <w:r w:rsidRPr="00A74E54">
        <w:rPr>
          <w:rFonts w:asciiTheme="majorBidi" w:hAnsiTheme="majorBidi" w:cstheme="majorBidi"/>
          <w:sz w:val="24"/>
          <w:szCs w:val="24"/>
        </w:rPr>
        <w:t>hybrid and literal</w:t>
      </w:r>
      <w:r w:rsidRPr="00DD3D54">
        <w:rPr>
          <w:rFonts w:asciiTheme="majorBidi" w:hAnsiTheme="majorBidi" w:cstheme="majorBidi"/>
          <w:sz w:val="24"/>
          <w:szCs w:val="24"/>
        </w:rPr>
        <w:t xml:space="preserve">, is compared </w:t>
      </w:r>
      <w:r w:rsidRPr="00A74E54">
        <w:rPr>
          <w:rFonts w:asciiTheme="majorBidi" w:hAnsiTheme="majorBidi" w:cstheme="majorBidi"/>
          <w:sz w:val="24"/>
          <w:szCs w:val="24"/>
        </w:rPr>
        <w:t>across multiple measures including comprehension, cognitive load, and terminological consistency. These results demonstrate the advantages of the hybrid model in improving reader understanding and reducing cognitive strain.</w:t>
      </w:r>
    </w:p>
    <w:p w14:paraId="406B7A29" w14:textId="77777777" w:rsidR="00AA7E91" w:rsidRPr="00A74E54" w:rsidRDefault="00AA7E91" w:rsidP="00AA7E91">
      <w:pPr>
        <w:bidi w:val="0"/>
        <w:jc w:val="both"/>
        <w:rPr>
          <w:rFonts w:asciiTheme="majorBidi" w:hAnsiTheme="majorBidi" w:cstheme="majorBidi"/>
          <w:sz w:val="24"/>
          <w:szCs w:val="24"/>
        </w:rPr>
      </w:pPr>
      <w:r w:rsidRPr="00A74E54">
        <w:rPr>
          <w:rFonts w:asciiTheme="majorBidi" w:hAnsiTheme="majorBidi" w:cstheme="majorBidi"/>
          <w:b/>
          <w:bCs/>
          <w:sz w:val="24"/>
          <w:szCs w:val="24"/>
        </w:rPr>
        <w:t xml:space="preserve">Table </w:t>
      </w:r>
      <w:r w:rsidRPr="00DD3D54">
        <w:rPr>
          <w:rFonts w:asciiTheme="majorBidi" w:hAnsiTheme="majorBidi" w:cstheme="majorBidi"/>
          <w:b/>
          <w:bCs/>
          <w:sz w:val="24"/>
          <w:szCs w:val="24"/>
        </w:rPr>
        <w:t>1</w:t>
      </w:r>
      <w:r w:rsidRPr="00A74E54">
        <w:rPr>
          <w:rFonts w:asciiTheme="majorBidi" w:hAnsiTheme="majorBidi" w:cstheme="majorBidi"/>
          <w:b/>
          <w:bCs/>
          <w:sz w:val="24"/>
          <w:szCs w:val="24"/>
        </w:rPr>
        <w:t>: Performance Comparison Between Hybrid and Literal Translation Models</w:t>
      </w:r>
    </w:p>
    <w:tbl>
      <w:tblPr>
        <w:tblStyle w:val="TableGrid"/>
        <w:tblW w:w="0" w:type="auto"/>
        <w:tblLook w:val="04A0" w:firstRow="1" w:lastRow="0" w:firstColumn="1" w:lastColumn="0" w:noHBand="0" w:noVBand="1"/>
      </w:tblPr>
      <w:tblGrid>
        <w:gridCol w:w="2913"/>
        <w:gridCol w:w="1769"/>
        <w:gridCol w:w="1996"/>
      </w:tblGrid>
      <w:tr w:rsidR="00AA7E91" w:rsidRPr="00A74E54" w14:paraId="56ABE3A8" w14:textId="77777777" w:rsidTr="00F23D36">
        <w:tc>
          <w:tcPr>
            <w:tcW w:w="0" w:type="auto"/>
            <w:shd w:val="clear" w:color="auto" w:fill="F2F2F2" w:themeFill="background1" w:themeFillShade="F2"/>
            <w:hideMark/>
          </w:tcPr>
          <w:p w14:paraId="763A4C89"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Measure</w:t>
            </w:r>
          </w:p>
        </w:tc>
        <w:tc>
          <w:tcPr>
            <w:tcW w:w="0" w:type="auto"/>
            <w:shd w:val="clear" w:color="auto" w:fill="F2F2F2" w:themeFill="background1" w:themeFillShade="F2"/>
            <w:hideMark/>
          </w:tcPr>
          <w:p w14:paraId="35971536"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Hybrid Model</w:t>
            </w:r>
          </w:p>
        </w:tc>
        <w:tc>
          <w:tcPr>
            <w:tcW w:w="0" w:type="auto"/>
            <w:shd w:val="clear" w:color="auto" w:fill="F2F2F2" w:themeFill="background1" w:themeFillShade="F2"/>
            <w:hideMark/>
          </w:tcPr>
          <w:p w14:paraId="001592C3"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Literal Translation</w:t>
            </w:r>
          </w:p>
        </w:tc>
      </w:tr>
      <w:tr w:rsidR="00AA7E91" w:rsidRPr="00A74E54" w14:paraId="1110CB20" w14:textId="77777777" w:rsidTr="00F23D36">
        <w:tc>
          <w:tcPr>
            <w:tcW w:w="0" w:type="auto"/>
            <w:hideMark/>
          </w:tcPr>
          <w:p w14:paraId="1B49934E"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Comprehension Score (%)</w:t>
            </w:r>
          </w:p>
        </w:tc>
        <w:tc>
          <w:tcPr>
            <w:tcW w:w="0" w:type="auto"/>
            <w:hideMark/>
          </w:tcPr>
          <w:p w14:paraId="70A4CE55"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92%</w:t>
            </w:r>
          </w:p>
        </w:tc>
        <w:tc>
          <w:tcPr>
            <w:tcW w:w="0" w:type="auto"/>
            <w:hideMark/>
          </w:tcPr>
          <w:p w14:paraId="7D8C7927"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80%</w:t>
            </w:r>
          </w:p>
        </w:tc>
      </w:tr>
      <w:tr w:rsidR="00AA7E91" w:rsidRPr="00A74E54" w14:paraId="51804563" w14:textId="77777777" w:rsidTr="00F23D36">
        <w:tc>
          <w:tcPr>
            <w:tcW w:w="0" w:type="auto"/>
            <w:hideMark/>
          </w:tcPr>
          <w:p w14:paraId="4C4D4B23"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Cognitive Load (1-5 Scale)</w:t>
            </w:r>
          </w:p>
        </w:tc>
        <w:tc>
          <w:tcPr>
            <w:tcW w:w="0" w:type="auto"/>
            <w:hideMark/>
          </w:tcPr>
          <w:p w14:paraId="4C48669D"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2.1</w:t>
            </w:r>
          </w:p>
        </w:tc>
        <w:tc>
          <w:tcPr>
            <w:tcW w:w="0" w:type="auto"/>
            <w:hideMark/>
          </w:tcPr>
          <w:p w14:paraId="10957A44"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3.5</w:t>
            </w:r>
          </w:p>
        </w:tc>
      </w:tr>
      <w:tr w:rsidR="00AA7E91" w:rsidRPr="00A74E54" w14:paraId="2E17D429" w14:textId="77777777" w:rsidTr="00F23D36">
        <w:tc>
          <w:tcPr>
            <w:tcW w:w="0" w:type="auto"/>
            <w:hideMark/>
          </w:tcPr>
          <w:p w14:paraId="40F2DA21"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Terminological Consistency</w:t>
            </w:r>
          </w:p>
        </w:tc>
        <w:tc>
          <w:tcPr>
            <w:tcW w:w="0" w:type="auto"/>
            <w:hideMark/>
          </w:tcPr>
          <w:p w14:paraId="3FA704CC"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High</w:t>
            </w:r>
          </w:p>
        </w:tc>
        <w:tc>
          <w:tcPr>
            <w:tcW w:w="0" w:type="auto"/>
            <w:hideMark/>
          </w:tcPr>
          <w:p w14:paraId="056FD3AA"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Low</w:t>
            </w:r>
          </w:p>
        </w:tc>
      </w:tr>
      <w:tr w:rsidR="00AA7E91" w:rsidRPr="00A74E54" w14:paraId="170BE051" w14:textId="77777777" w:rsidTr="00F23D36">
        <w:tc>
          <w:tcPr>
            <w:tcW w:w="0" w:type="auto"/>
            <w:hideMark/>
          </w:tcPr>
          <w:p w14:paraId="6332F399"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Reader Preference</w:t>
            </w:r>
          </w:p>
        </w:tc>
        <w:tc>
          <w:tcPr>
            <w:tcW w:w="0" w:type="auto"/>
            <w:hideMark/>
          </w:tcPr>
          <w:p w14:paraId="34B81218"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85% (Preferred)</w:t>
            </w:r>
          </w:p>
        </w:tc>
        <w:tc>
          <w:tcPr>
            <w:tcW w:w="0" w:type="auto"/>
            <w:hideMark/>
          </w:tcPr>
          <w:p w14:paraId="149AF092" w14:textId="77777777" w:rsidR="00AA7E91" w:rsidRPr="00A74E54" w:rsidRDefault="00AA7E91" w:rsidP="00F23D36">
            <w:pPr>
              <w:bidi w:val="0"/>
              <w:spacing w:after="160" w:line="259" w:lineRule="auto"/>
              <w:jc w:val="both"/>
              <w:rPr>
                <w:rFonts w:asciiTheme="majorBidi" w:hAnsiTheme="majorBidi" w:cstheme="majorBidi"/>
                <w:sz w:val="24"/>
                <w:szCs w:val="24"/>
              </w:rPr>
            </w:pPr>
            <w:r w:rsidRPr="00A74E54">
              <w:rPr>
                <w:rFonts w:asciiTheme="majorBidi" w:hAnsiTheme="majorBidi" w:cstheme="majorBidi"/>
                <w:sz w:val="24"/>
                <w:szCs w:val="24"/>
              </w:rPr>
              <w:t>15% (Preferred)</w:t>
            </w:r>
          </w:p>
        </w:tc>
      </w:tr>
    </w:tbl>
    <w:p w14:paraId="3DA93DA5" w14:textId="77777777" w:rsidR="00AA7E91" w:rsidRPr="00DD3D54" w:rsidRDefault="00AA7E91" w:rsidP="00AA7E91">
      <w:pPr>
        <w:bidi w:val="0"/>
        <w:jc w:val="both"/>
        <w:rPr>
          <w:rFonts w:asciiTheme="majorBidi" w:hAnsiTheme="majorBidi" w:cstheme="majorBidi"/>
          <w:sz w:val="24"/>
          <w:szCs w:val="24"/>
        </w:rPr>
      </w:pPr>
    </w:p>
    <w:p w14:paraId="20AEC1F4"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These outcomes indicate that the hybrid model reduces cognitive strain by allowing readers to recognise technical terms as stable conceptual anchors rather than deciphering newly coined or semantically opaque Arabic renderings. Transliteration, in particular, was repeatedly described by participants as “natural,” “familiar,” and “closer to real practice,” reflecting its entrenched role in authentic technical and professional communication.</w:t>
      </w:r>
    </w:p>
    <w:p w14:paraId="6B536D67" w14:textId="77777777" w:rsidR="00AA7E91" w:rsidRPr="00DD3D54" w:rsidRDefault="00AA7E91" w:rsidP="00AA7E91">
      <w:pPr>
        <w:bidi w:val="0"/>
        <w:jc w:val="both"/>
        <w:rPr>
          <w:rFonts w:asciiTheme="majorBidi" w:hAnsiTheme="majorBidi" w:cstheme="majorBidi"/>
          <w:sz w:val="24"/>
          <w:szCs w:val="24"/>
        </w:rPr>
      </w:pPr>
    </w:p>
    <w:p w14:paraId="7A98F85C" w14:textId="77777777" w:rsidR="00AA7E91" w:rsidRPr="007E0482" w:rsidRDefault="00AA7E91" w:rsidP="00AA7E91">
      <w:pPr>
        <w:bidi w:val="0"/>
        <w:jc w:val="both"/>
        <w:rPr>
          <w:rFonts w:asciiTheme="majorBidi" w:hAnsiTheme="majorBidi" w:cstheme="majorBidi"/>
          <w:sz w:val="24"/>
          <w:szCs w:val="24"/>
        </w:rPr>
      </w:pPr>
      <w:r w:rsidRPr="007E0482">
        <w:rPr>
          <w:rFonts w:asciiTheme="majorBidi" w:hAnsiTheme="majorBidi" w:cstheme="majorBidi"/>
          <w:sz w:val="24"/>
          <w:szCs w:val="24"/>
        </w:rPr>
        <w:lastRenderedPageBreak/>
        <w:t>To facilitate comparison between the two translation strategies across the main evaluative dimensions, Table 1 summarises overall participant performance in terms of comprehension, perceived cognitive effort, terminological consistency, and reader preference.</w:t>
      </w:r>
    </w:p>
    <w:p w14:paraId="597CC9A5" w14:textId="77777777" w:rsidR="00AA7E91" w:rsidRPr="00DD3D54" w:rsidRDefault="00AA7E91" w:rsidP="00AA7E91">
      <w:pPr>
        <w:bidi w:val="0"/>
        <w:jc w:val="both"/>
        <w:rPr>
          <w:rFonts w:asciiTheme="majorBidi" w:hAnsiTheme="majorBidi" w:cstheme="majorBidi"/>
          <w:b/>
          <w:bCs/>
          <w:sz w:val="24"/>
          <w:szCs w:val="24"/>
        </w:rPr>
      </w:pPr>
    </w:p>
    <w:p w14:paraId="2350B242" w14:textId="77777777" w:rsidR="00AA7E91" w:rsidRPr="007E0482" w:rsidRDefault="00AA7E91" w:rsidP="00AA7E91">
      <w:pPr>
        <w:bidi w:val="0"/>
        <w:jc w:val="both"/>
        <w:rPr>
          <w:rFonts w:asciiTheme="majorBidi" w:hAnsiTheme="majorBidi" w:cstheme="majorBidi"/>
          <w:sz w:val="24"/>
          <w:szCs w:val="24"/>
        </w:rPr>
      </w:pPr>
      <w:r w:rsidRPr="007E0482">
        <w:rPr>
          <w:rFonts w:asciiTheme="majorBidi" w:hAnsiTheme="majorBidi" w:cstheme="majorBidi"/>
          <w:b/>
          <w:bCs/>
          <w:sz w:val="24"/>
          <w:szCs w:val="24"/>
        </w:rPr>
        <w:t xml:space="preserve">Table </w:t>
      </w:r>
      <w:r w:rsidRPr="00DD3D54">
        <w:rPr>
          <w:rFonts w:asciiTheme="majorBidi" w:hAnsiTheme="majorBidi" w:cstheme="majorBidi"/>
          <w:b/>
          <w:bCs/>
          <w:sz w:val="24"/>
          <w:szCs w:val="24"/>
        </w:rPr>
        <w:t>2</w:t>
      </w:r>
      <w:r w:rsidRPr="007E0482">
        <w:rPr>
          <w:rFonts w:asciiTheme="majorBidi" w:hAnsiTheme="majorBidi" w:cstheme="majorBidi"/>
          <w:b/>
          <w:bCs/>
          <w:sz w:val="24"/>
          <w:szCs w:val="24"/>
        </w:rPr>
        <w:t>. Overall Comparison between Hybrid Translation–Transliteration and Literal Translation</w:t>
      </w:r>
    </w:p>
    <w:tbl>
      <w:tblPr>
        <w:tblStyle w:val="TableGrid"/>
        <w:tblW w:w="0" w:type="auto"/>
        <w:tblLook w:val="04A0" w:firstRow="1" w:lastRow="0" w:firstColumn="1" w:lastColumn="0" w:noHBand="0" w:noVBand="1"/>
      </w:tblPr>
      <w:tblGrid>
        <w:gridCol w:w="2859"/>
        <w:gridCol w:w="1983"/>
        <w:gridCol w:w="2161"/>
      </w:tblGrid>
      <w:tr w:rsidR="00AA7E91" w:rsidRPr="007E0482" w14:paraId="6D378B6F" w14:textId="77777777" w:rsidTr="00F23D36">
        <w:tc>
          <w:tcPr>
            <w:tcW w:w="0" w:type="auto"/>
            <w:hideMark/>
          </w:tcPr>
          <w:p w14:paraId="69D3565B" w14:textId="77777777" w:rsidR="00AA7E91" w:rsidRPr="007E0482" w:rsidRDefault="00AA7E91" w:rsidP="00F23D36">
            <w:pPr>
              <w:bidi w:val="0"/>
              <w:spacing w:after="160" w:line="259" w:lineRule="auto"/>
              <w:jc w:val="both"/>
              <w:rPr>
                <w:rFonts w:asciiTheme="majorBidi" w:hAnsiTheme="majorBidi" w:cstheme="majorBidi"/>
                <w:b/>
                <w:bCs/>
                <w:sz w:val="24"/>
                <w:szCs w:val="24"/>
              </w:rPr>
            </w:pPr>
            <w:r w:rsidRPr="007E0482">
              <w:rPr>
                <w:rFonts w:asciiTheme="majorBidi" w:hAnsiTheme="majorBidi" w:cstheme="majorBidi"/>
                <w:b/>
                <w:bCs/>
                <w:sz w:val="24"/>
                <w:szCs w:val="24"/>
              </w:rPr>
              <w:t>Measure</w:t>
            </w:r>
          </w:p>
        </w:tc>
        <w:tc>
          <w:tcPr>
            <w:tcW w:w="0" w:type="auto"/>
            <w:hideMark/>
          </w:tcPr>
          <w:p w14:paraId="6BA4CCBA" w14:textId="77777777" w:rsidR="00AA7E91" w:rsidRPr="007E0482" w:rsidRDefault="00AA7E91" w:rsidP="00F23D36">
            <w:pPr>
              <w:bidi w:val="0"/>
              <w:spacing w:after="160" w:line="259" w:lineRule="auto"/>
              <w:jc w:val="both"/>
              <w:rPr>
                <w:rFonts w:asciiTheme="majorBidi" w:hAnsiTheme="majorBidi" w:cstheme="majorBidi"/>
                <w:b/>
                <w:bCs/>
                <w:sz w:val="24"/>
                <w:szCs w:val="24"/>
              </w:rPr>
            </w:pPr>
            <w:r w:rsidRPr="007E0482">
              <w:rPr>
                <w:rFonts w:asciiTheme="majorBidi" w:hAnsiTheme="majorBidi" w:cstheme="majorBidi"/>
                <w:b/>
                <w:bCs/>
                <w:sz w:val="24"/>
                <w:szCs w:val="24"/>
              </w:rPr>
              <w:t>Hybrid Model</w:t>
            </w:r>
          </w:p>
        </w:tc>
        <w:tc>
          <w:tcPr>
            <w:tcW w:w="0" w:type="auto"/>
            <w:hideMark/>
          </w:tcPr>
          <w:p w14:paraId="2C4EFC73" w14:textId="77777777" w:rsidR="00AA7E91" w:rsidRPr="007E0482" w:rsidRDefault="00AA7E91" w:rsidP="00F23D36">
            <w:pPr>
              <w:bidi w:val="0"/>
              <w:spacing w:after="160" w:line="259" w:lineRule="auto"/>
              <w:jc w:val="both"/>
              <w:rPr>
                <w:rFonts w:asciiTheme="majorBidi" w:hAnsiTheme="majorBidi" w:cstheme="majorBidi"/>
                <w:b/>
                <w:bCs/>
                <w:sz w:val="24"/>
                <w:szCs w:val="24"/>
              </w:rPr>
            </w:pPr>
            <w:r w:rsidRPr="007E0482">
              <w:rPr>
                <w:rFonts w:asciiTheme="majorBidi" w:hAnsiTheme="majorBidi" w:cstheme="majorBidi"/>
                <w:b/>
                <w:bCs/>
                <w:sz w:val="24"/>
                <w:szCs w:val="24"/>
              </w:rPr>
              <w:t>Literal Translation</w:t>
            </w:r>
          </w:p>
        </w:tc>
      </w:tr>
      <w:tr w:rsidR="00AA7E91" w:rsidRPr="007E0482" w14:paraId="3219A140" w14:textId="77777777" w:rsidTr="00F23D36">
        <w:tc>
          <w:tcPr>
            <w:tcW w:w="0" w:type="auto"/>
            <w:hideMark/>
          </w:tcPr>
          <w:p w14:paraId="06ED225B"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Mean comprehension score</w:t>
            </w:r>
          </w:p>
        </w:tc>
        <w:tc>
          <w:tcPr>
            <w:tcW w:w="0" w:type="auto"/>
            <w:hideMark/>
          </w:tcPr>
          <w:p w14:paraId="524BA871"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Higher</w:t>
            </w:r>
          </w:p>
        </w:tc>
        <w:tc>
          <w:tcPr>
            <w:tcW w:w="0" w:type="auto"/>
            <w:hideMark/>
          </w:tcPr>
          <w:p w14:paraId="3B89D769"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Lower</w:t>
            </w:r>
          </w:p>
        </w:tc>
      </w:tr>
      <w:tr w:rsidR="00AA7E91" w:rsidRPr="007E0482" w14:paraId="2B1284F2" w14:textId="77777777" w:rsidTr="00F23D36">
        <w:tc>
          <w:tcPr>
            <w:tcW w:w="0" w:type="auto"/>
            <w:hideMark/>
          </w:tcPr>
          <w:p w14:paraId="1C4BE061"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Reported cognitive load</w:t>
            </w:r>
          </w:p>
        </w:tc>
        <w:tc>
          <w:tcPr>
            <w:tcW w:w="0" w:type="auto"/>
            <w:hideMark/>
          </w:tcPr>
          <w:p w14:paraId="25EBB1B2"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Low</w:t>
            </w:r>
          </w:p>
        </w:tc>
        <w:tc>
          <w:tcPr>
            <w:tcW w:w="0" w:type="auto"/>
            <w:hideMark/>
          </w:tcPr>
          <w:p w14:paraId="5E0CC5F1"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High</w:t>
            </w:r>
          </w:p>
        </w:tc>
      </w:tr>
      <w:tr w:rsidR="00AA7E91" w:rsidRPr="007E0482" w14:paraId="2CEF3CD5" w14:textId="77777777" w:rsidTr="00F23D36">
        <w:tc>
          <w:tcPr>
            <w:tcW w:w="0" w:type="auto"/>
            <w:hideMark/>
          </w:tcPr>
          <w:p w14:paraId="0082FBF4"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Terminological consistency</w:t>
            </w:r>
          </w:p>
        </w:tc>
        <w:tc>
          <w:tcPr>
            <w:tcW w:w="0" w:type="auto"/>
            <w:hideMark/>
          </w:tcPr>
          <w:p w14:paraId="3C08706B"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High</w:t>
            </w:r>
          </w:p>
        </w:tc>
        <w:tc>
          <w:tcPr>
            <w:tcW w:w="0" w:type="auto"/>
            <w:hideMark/>
          </w:tcPr>
          <w:p w14:paraId="2ACD9C3B"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Low</w:t>
            </w:r>
          </w:p>
        </w:tc>
      </w:tr>
      <w:tr w:rsidR="00AA7E91" w:rsidRPr="007E0482" w14:paraId="43FA5812" w14:textId="77777777" w:rsidTr="00F23D36">
        <w:tc>
          <w:tcPr>
            <w:tcW w:w="0" w:type="auto"/>
            <w:hideMark/>
          </w:tcPr>
          <w:p w14:paraId="70FD7019"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Overall reader preference</w:t>
            </w:r>
          </w:p>
        </w:tc>
        <w:tc>
          <w:tcPr>
            <w:tcW w:w="0" w:type="auto"/>
            <w:hideMark/>
          </w:tcPr>
          <w:p w14:paraId="45C25C2D"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Strongly preferred</w:t>
            </w:r>
          </w:p>
        </w:tc>
        <w:tc>
          <w:tcPr>
            <w:tcW w:w="0" w:type="auto"/>
            <w:hideMark/>
          </w:tcPr>
          <w:p w14:paraId="4C57162B"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Weakly preferred</w:t>
            </w:r>
          </w:p>
        </w:tc>
      </w:tr>
    </w:tbl>
    <w:p w14:paraId="76118C51" w14:textId="77777777" w:rsidR="00AA7E91" w:rsidRPr="00DD3D54" w:rsidRDefault="00AA7E91" w:rsidP="00AA7E91">
      <w:pPr>
        <w:bidi w:val="0"/>
        <w:jc w:val="both"/>
        <w:rPr>
          <w:rFonts w:asciiTheme="majorBidi" w:hAnsiTheme="majorBidi" w:cstheme="majorBidi"/>
          <w:sz w:val="24"/>
          <w:szCs w:val="24"/>
        </w:rPr>
      </w:pPr>
    </w:p>
    <w:p w14:paraId="1A410134"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Notably, resistance to transliteration proved minimal, even among participants who initially expressed strong attachment to Arabic linguistic heritage and a preference for linguistic purity. This finding suggests that, in technical contexts, functional considerations such as clarity, efficiency, and accuracy outweigh ideological or purist concerns when comprehension is at stake. Participants appeared willing to accept transliteration when it demonstrably facilitated understanding and aligned with their prior exposure to international terminology. This pragmatic orientation underscores the importance of viewing transliteration not as a threat to linguistic identity, but as a communicative tool that enables effective participation in global knowledge networks while preserving the core integrity of the Arabic language.</w:t>
      </w:r>
    </w:p>
    <w:p w14:paraId="4AD7F272" w14:textId="77777777" w:rsidR="00AA7E91" w:rsidRPr="00DD3D54" w:rsidRDefault="00AA7E91" w:rsidP="00AA7E91">
      <w:pPr>
        <w:bidi w:val="0"/>
        <w:rPr>
          <w:rFonts w:asciiTheme="majorBidi" w:hAnsiTheme="majorBidi" w:cstheme="majorBidi"/>
          <w:sz w:val="24"/>
          <w:szCs w:val="24"/>
        </w:rPr>
      </w:pPr>
    </w:p>
    <w:p w14:paraId="597CCEFD" w14:textId="77777777" w:rsidR="00AA7E91" w:rsidRPr="00DD3D54" w:rsidRDefault="00AA7E91" w:rsidP="00AA7E91">
      <w:pPr>
        <w:bidi w:val="0"/>
        <w:rPr>
          <w:rFonts w:asciiTheme="majorBidi" w:hAnsiTheme="majorBidi" w:cstheme="majorBidi"/>
          <w:b/>
          <w:bCs/>
          <w:sz w:val="24"/>
          <w:szCs w:val="24"/>
        </w:rPr>
      </w:pPr>
      <w:r w:rsidRPr="00DD3D54">
        <w:rPr>
          <w:rFonts w:asciiTheme="majorBidi" w:hAnsiTheme="majorBidi" w:cstheme="majorBidi"/>
          <w:b/>
          <w:bCs/>
          <w:sz w:val="24"/>
          <w:szCs w:val="24"/>
        </w:rPr>
        <w:t>6. Discussion</w:t>
      </w:r>
    </w:p>
    <w:p w14:paraId="241D9601" w14:textId="77777777" w:rsidR="00AA7E91" w:rsidRPr="007E0482"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 xml:space="preserve">The findings confirm that technical terms are best understood as referential markers rather than carriers of rich lexical meaning. In specialised discourse, such terms function primarily as fixed labels that point to well-defined concepts within a disciplinary framework. Transliteration preserves this referential function by maintaining a stable and recognisable form, allowing readers to map the term directly onto an established concept. In contrast, literal translation often disrupts this function by foregrounding surface semantics that may be irrelevant or misleading in technical contexts, thereby increasing cognitive load and risking conceptual misinterpretation. The hybrid model, which combines selective transliteration with informed translation, therefore aligns more closely with both documented cognitive processing patterns and established professional practice in technical communication. </w:t>
      </w:r>
      <w:r w:rsidRPr="007E0482">
        <w:rPr>
          <w:rFonts w:asciiTheme="majorBidi" w:hAnsiTheme="majorBidi" w:cstheme="majorBidi"/>
          <w:sz w:val="24"/>
          <w:szCs w:val="24"/>
        </w:rPr>
        <w:t>To complement these interpretive observations, Table 2 summarises recurring qualitative themes from participant comments, organised by discipline and translation strategy.</w:t>
      </w:r>
    </w:p>
    <w:p w14:paraId="1E1072E4" w14:textId="77777777" w:rsidR="00AA7E91" w:rsidRPr="00DD3D54" w:rsidRDefault="00AA7E91" w:rsidP="00AA7E91">
      <w:pPr>
        <w:bidi w:val="0"/>
        <w:jc w:val="both"/>
        <w:rPr>
          <w:rFonts w:asciiTheme="majorBidi" w:hAnsiTheme="majorBidi" w:cstheme="majorBidi"/>
          <w:b/>
          <w:bCs/>
          <w:sz w:val="24"/>
          <w:szCs w:val="24"/>
        </w:rPr>
      </w:pPr>
    </w:p>
    <w:p w14:paraId="78145616" w14:textId="77777777" w:rsidR="00AA7E91" w:rsidRPr="007E0482" w:rsidRDefault="00AA7E91" w:rsidP="00AA7E91">
      <w:pPr>
        <w:bidi w:val="0"/>
        <w:jc w:val="both"/>
        <w:rPr>
          <w:rFonts w:asciiTheme="majorBidi" w:hAnsiTheme="majorBidi" w:cstheme="majorBidi"/>
          <w:sz w:val="24"/>
          <w:szCs w:val="24"/>
        </w:rPr>
      </w:pPr>
      <w:r w:rsidRPr="007E0482">
        <w:rPr>
          <w:rFonts w:asciiTheme="majorBidi" w:hAnsiTheme="majorBidi" w:cstheme="majorBidi"/>
          <w:b/>
          <w:bCs/>
          <w:sz w:val="24"/>
          <w:szCs w:val="24"/>
        </w:rPr>
        <w:lastRenderedPageBreak/>
        <w:t xml:space="preserve">Table </w:t>
      </w:r>
      <w:r w:rsidRPr="00DD3D54">
        <w:rPr>
          <w:rFonts w:asciiTheme="majorBidi" w:hAnsiTheme="majorBidi" w:cstheme="majorBidi"/>
          <w:b/>
          <w:bCs/>
          <w:sz w:val="24"/>
          <w:szCs w:val="24"/>
        </w:rPr>
        <w:t>3</w:t>
      </w:r>
      <w:r w:rsidRPr="007E0482">
        <w:rPr>
          <w:rFonts w:asciiTheme="majorBidi" w:hAnsiTheme="majorBidi" w:cstheme="majorBidi"/>
          <w:b/>
          <w:bCs/>
          <w:sz w:val="24"/>
          <w:szCs w:val="24"/>
        </w:rPr>
        <w:t>. Summary of Recurrent Reader Feedback by Discipline</w:t>
      </w:r>
    </w:p>
    <w:tbl>
      <w:tblPr>
        <w:tblStyle w:val="TableGrid"/>
        <w:tblW w:w="0" w:type="auto"/>
        <w:tblLook w:val="04A0" w:firstRow="1" w:lastRow="0" w:firstColumn="1" w:lastColumn="0" w:noHBand="0" w:noVBand="1"/>
      </w:tblPr>
      <w:tblGrid>
        <w:gridCol w:w="1389"/>
        <w:gridCol w:w="2100"/>
        <w:gridCol w:w="2602"/>
        <w:gridCol w:w="2205"/>
      </w:tblGrid>
      <w:tr w:rsidR="00AA7E91" w:rsidRPr="007E0482" w14:paraId="7058E467" w14:textId="77777777" w:rsidTr="00F23D36">
        <w:tc>
          <w:tcPr>
            <w:tcW w:w="0" w:type="auto"/>
            <w:hideMark/>
          </w:tcPr>
          <w:p w14:paraId="3F379236" w14:textId="77777777" w:rsidR="00AA7E91" w:rsidRPr="007E0482" w:rsidRDefault="00AA7E91" w:rsidP="00F23D36">
            <w:pPr>
              <w:bidi w:val="0"/>
              <w:spacing w:after="160" w:line="259" w:lineRule="auto"/>
              <w:jc w:val="both"/>
              <w:rPr>
                <w:rFonts w:asciiTheme="majorBidi" w:hAnsiTheme="majorBidi" w:cstheme="majorBidi"/>
                <w:b/>
                <w:bCs/>
                <w:sz w:val="24"/>
                <w:szCs w:val="24"/>
              </w:rPr>
            </w:pPr>
            <w:r w:rsidRPr="007E0482">
              <w:rPr>
                <w:rFonts w:asciiTheme="majorBidi" w:hAnsiTheme="majorBidi" w:cstheme="majorBidi"/>
                <w:b/>
                <w:bCs/>
                <w:sz w:val="24"/>
                <w:szCs w:val="24"/>
              </w:rPr>
              <w:t>Discipline</w:t>
            </w:r>
          </w:p>
        </w:tc>
        <w:tc>
          <w:tcPr>
            <w:tcW w:w="0" w:type="auto"/>
            <w:hideMark/>
          </w:tcPr>
          <w:p w14:paraId="51F10426" w14:textId="77777777" w:rsidR="00AA7E91" w:rsidRPr="007E0482" w:rsidRDefault="00AA7E91" w:rsidP="00F23D36">
            <w:pPr>
              <w:bidi w:val="0"/>
              <w:spacing w:after="160" w:line="259" w:lineRule="auto"/>
              <w:jc w:val="both"/>
              <w:rPr>
                <w:rFonts w:asciiTheme="majorBidi" w:hAnsiTheme="majorBidi" w:cstheme="majorBidi"/>
                <w:b/>
                <w:bCs/>
                <w:sz w:val="24"/>
                <w:szCs w:val="24"/>
              </w:rPr>
            </w:pPr>
            <w:r w:rsidRPr="007E0482">
              <w:rPr>
                <w:rFonts w:asciiTheme="majorBidi" w:hAnsiTheme="majorBidi" w:cstheme="majorBidi"/>
                <w:b/>
                <w:bCs/>
                <w:sz w:val="24"/>
                <w:szCs w:val="24"/>
              </w:rPr>
              <w:t>Evaluation focus</w:t>
            </w:r>
          </w:p>
        </w:tc>
        <w:tc>
          <w:tcPr>
            <w:tcW w:w="0" w:type="auto"/>
            <w:hideMark/>
          </w:tcPr>
          <w:p w14:paraId="2638FA2D" w14:textId="77777777" w:rsidR="00AA7E91" w:rsidRPr="007E0482" w:rsidRDefault="00AA7E91" w:rsidP="00F23D36">
            <w:pPr>
              <w:bidi w:val="0"/>
              <w:spacing w:after="160" w:line="259" w:lineRule="auto"/>
              <w:jc w:val="both"/>
              <w:rPr>
                <w:rFonts w:asciiTheme="majorBidi" w:hAnsiTheme="majorBidi" w:cstheme="majorBidi"/>
                <w:b/>
                <w:bCs/>
                <w:sz w:val="24"/>
                <w:szCs w:val="24"/>
              </w:rPr>
            </w:pPr>
            <w:r w:rsidRPr="007E0482">
              <w:rPr>
                <w:rFonts w:asciiTheme="majorBidi" w:hAnsiTheme="majorBidi" w:cstheme="majorBidi"/>
                <w:b/>
                <w:bCs/>
                <w:sz w:val="24"/>
                <w:szCs w:val="24"/>
              </w:rPr>
              <w:t>Hybrid model</w:t>
            </w:r>
          </w:p>
        </w:tc>
        <w:tc>
          <w:tcPr>
            <w:tcW w:w="0" w:type="auto"/>
            <w:hideMark/>
          </w:tcPr>
          <w:p w14:paraId="72E2580D" w14:textId="77777777" w:rsidR="00AA7E91" w:rsidRPr="007E0482" w:rsidRDefault="00AA7E91" w:rsidP="00F23D36">
            <w:pPr>
              <w:bidi w:val="0"/>
              <w:spacing w:after="160" w:line="259" w:lineRule="auto"/>
              <w:jc w:val="both"/>
              <w:rPr>
                <w:rFonts w:asciiTheme="majorBidi" w:hAnsiTheme="majorBidi" w:cstheme="majorBidi"/>
                <w:b/>
                <w:bCs/>
                <w:sz w:val="24"/>
                <w:szCs w:val="24"/>
              </w:rPr>
            </w:pPr>
            <w:r w:rsidRPr="007E0482">
              <w:rPr>
                <w:rFonts w:asciiTheme="majorBidi" w:hAnsiTheme="majorBidi" w:cstheme="majorBidi"/>
                <w:b/>
                <w:bCs/>
                <w:sz w:val="24"/>
                <w:szCs w:val="24"/>
              </w:rPr>
              <w:t>Literal translation</w:t>
            </w:r>
          </w:p>
        </w:tc>
      </w:tr>
      <w:tr w:rsidR="00AA7E91" w:rsidRPr="007E0482" w14:paraId="6ED511C1" w14:textId="77777777" w:rsidTr="00F23D36">
        <w:tc>
          <w:tcPr>
            <w:tcW w:w="0" w:type="auto"/>
            <w:hideMark/>
          </w:tcPr>
          <w:p w14:paraId="1D3F4306"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IT</w:t>
            </w:r>
          </w:p>
        </w:tc>
        <w:tc>
          <w:tcPr>
            <w:tcW w:w="0" w:type="auto"/>
            <w:hideMark/>
          </w:tcPr>
          <w:p w14:paraId="1EFAFD8C"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Terminological clarity</w:t>
            </w:r>
          </w:p>
        </w:tc>
        <w:tc>
          <w:tcPr>
            <w:tcW w:w="0" w:type="auto"/>
            <w:hideMark/>
          </w:tcPr>
          <w:p w14:paraId="1DDD9876"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Familiar, aligned with practice</w:t>
            </w:r>
          </w:p>
        </w:tc>
        <w:tc>
          <w:tcPr>
            <w:tcW w:w="0" w:type="auto"/>
            <w:hideMark/>
          </w:tcPr>
          <w:p w14:paraId="592EADF9"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Artificial, inconsistent</w:t>
            </w:r>
          </w:p>
        </w:tc>
      </w:tr>
      <w:tr w:rsidR="00AA7E91" w:rsidRPr="007E0482" w14:paraId="774EFD66" w14:textId="77777777" w:rsidTr="00F23D36">
        <w:tc>
          <w:tcPr>
            <w:tcW w:w="0" w:type="auto"/>
            <w:hideMark/>
          </w:tcPr>
          <w:p w14:paraId="7F171351"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Engineering</w:t>
            </w:r>
          </w:p>
        </w:tc>
        <w:tc>
          <w:tcPr>
            <w:tcW w:w="0" w:type="auto"/>
            <w:hideMark/>
          </w:tcPr>
          <w:p w14:paraId="334D1485"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Processing effort</w:t>
            </w:r>
          </w:p>
        </w:tc>
        <w:tc>
          <w:tcPr>
            <w:tcW w:w="0" w:type="auto"/>
            <w:hideMark/>
          </w:tcPr>
          <w:p w14:paraId="2F19032A"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Faster comprehension</w:t>
            </w:r>
          </w:p>
        </w:tc>
        <w:tc>
          <w:tcPr>
            <w:tcW w:w="0" w:type="auto"/>
            <w:hideMark/>
          </w:tcPr>
          <w:p w14:paraId="6D9B3BB8"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Slower, effortful</w:t>
            </w:r>
          </w:p>
        </w:tc>
      </w:tr>
      <w:tr w:rsidR="00AA7E91" w:rsidRPr="007E0482" w14:paraId="48529D7C" w14:textId="77777777" w:rsidTr="00F23D36">
        <w:tc>
          <w:tcPr>
            <w:tcW w:w="0" w:type="auto"/>
            <w:hideMark/>
          </w:tcPr>
          <w:p w14:paraId="2C5C2020"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Medicine</w:t>
            </w:r>
          </w:p>
        </w:tc>
        <w:tc>
          <w:tcPr>
            <w:tcW w:w="0" w:type="auto"/>
            <w:hideMark/>
          </w:tcPr>
          <w:p w14:paraId="65493F05"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Concept recognition</w:t>
            </w:r>
          </w:p>
        </w:tc>
        <w:tc>
          <w:tcPr>
            <w:tcW w:w="0" w:type="auto"/>
            <w:hideMark/>
          </w:tcPr>
          <w:p w14:paraId="46038306"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Immediate identification</w:t>
            </w:r>
          </w:p>
        </w:tc>
        <w:tc>
          <w:tcPr>
            <w:tcW w:w="0" w:type="auto"/>
            <w:hideMark/>
          </w:tcPr>
          <w:p w14:paraId="0FC65FB7" w14:textId="77777777" w:rsidR="00AA7E91" w:rsidRPr="007E0482" w:rsidRDefault="00AA7E91" w:rsidP="00F23D36">
            <w:pPr>
              <w:bidi w:val="0"/>
              <w:spacing w:after="160" w:line="259" w:lineRule="auto"/>
              <w:jc w:val="both"/>
              <w:rPr>
                <w:rFonts w:asciiTheme="majorBidi" w:hAnsiTheme="majorBidi" w:cstheme="majorBidi"/>
                <w:sz w:val="24"/>
                <w:szCs w:val="24"/>
              </w:rPr>
            </w:pPr>
            <w:r w:rsidRPr="007E0482">
              <w:rPr>
                <w:rFonts w:asciiTheme="majorBidi" w:hAnsiTheme="majorBidi" w:cstheme="majorBidi"/>
                <w:sz w:val="24"/>
                <w:szCs w:val="24"/>
              </w:rPr>
              <w:t>Ambiguous or misleading</w:t>
            </w:r>
          </w:p>
        </w:tc>
      </w:tr>
    </w:tbl>
    <w:p w14:paraId="24708C1E" w14:textId="77777777" w:rsidR="00AA7E91" w:rsidRPr="00DD3D54" w:rsidRDefault="00AA7E91" w:rsidP="00AA7E91">
      <w:pPr>
        <w:bidi w:val="0"/>
        <w:jc w:val="both"/>
        <w:rPr>
          <w:rFonts w:asciiTheme="majorBidi" w:hAnsiTheme="majorBidi" w:cstheme="majorBidi"/>
          <w:sz w:val="24"/>
          <w:szCs w:val="24"/>
        </w:rPr>
      </w:pPr>
    </w:p>
    <w:p w14:paraId="0CBC2E39"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Furthermore, the results underscore the significant cost of terminological inconsistency. Participants reported confusion and frustration when multiple Arabic equivalents were used to represent the same English technical term across different texts or even within a single document. Such variation undermines reader confidence, impedes cumulative knowledge building, and complicates cross-textual reference. This finding reinforces the need for terminological stability as a core principle of technical translation, achievable through consistent transliteration or standardised equivalents. By prioritising consistency and referential clarity, the hybrid model supports more efficient knowledge acquisition and fosters a coherent technical register within Arabic, benefiting both readers and practitioners alike.</w:t>
      </w:r>
    </w:p>
    <w:p w14:paraId="2A45F396" w14:textId="77777777" w:rsidR="00AA7E91" w:rsidRPr="00DD3D54" w:rsidRDefault="00AA7E91" w:rsidP="00AA7E91">
      <w:pPr>
        <w:bidi w:val="0"/>
        <w:rPr>
          <w:rFonts w:asciiTheme="majorBidi" w:hAnsiTheme="majorBidi" w:cstheme="majorBidi"/>
          <w:sz w:val="24"/>
          <w:szCs w:val="24"/>
        </w:rPr>
      </w:pPr>
    </w:p>
    <w:p w14:paraId="589E81C8" w14:textId="77777777" w:rsidR="00AA7E91" w:rsidRPr="00DD3D54" w:rsidRDefault="00AA7E91" w:rsidP="00AA7E91">
      <w:pPr>
        <w:bidi w:val="0"/>
        <w:rPr>
          <w:rFonts w:asciiTheme="majorBidi" w:hAnsiTheme="majorBidi" w:cstheme="majorBidi"/>
          <w:b/>
          <w:bCs/>
          <w:sz w:val="24"/>
          <w:szCs w:val="24"/>
        </w:rPr>
      </w:pPr>
      <w:r w:rsidRPr="00DD3D54">
        <w:rPr>
          <w:rFonts w:asciiTheme="majorBidi" w:hAnsiTheme="majorBidi" w:cstheme="majorBidi"/>
          <w:b/>
          <w:bCs/>
          <w:sz w:val="24"/>
          <w:szCs w:val="24"/>
        </w:rPr>
        <w:t>7. A Refined Decision-based Framework</w:t>
      </w:r>
    </w:p>
    <w:p w14:paraId="53E5A9A6"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Building on the empirical findings, the study proposes a refined decision-based framework that guides translators through a structured series of evaluative questions concerning term status, usage frequency, user familiarity, and the potential for ambiguity. Rather than treating transliteration as an intuitive or last-resort solution, this framework systematises the decision-making process and anchors it in linguistic, cognitive, and communicative criteria. In doing so, it transforms transliteration from an ad hoc choice into a principled translational strategy.</w:t>
      </w:r>
    </w:p>
    <w:p w14:paraId="2CAA36E6"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At the first level, the framework requires translators to assess the terminological status of the source item – whether it represents an internationally standardised term, a proprietary label, an emerging concept, or a culture-specific designation. Terms that are globally fixed or lack a stable Arabic equivalent are flagged as strong candidates for transliteration. The second level examines frequency and conventionality in Arabic usage, encouraging translators to consult corpora, glossaries, and disciplinary publications to determine whether a transliterated form has already gained acceptance among specialists.</w:t>
      </w:r>
    </w:p>
    <w:p w14:paraId="1908D71F"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The framework further incorporates user-</w:t>
      </w:r>
      <w:proofErr w:type="spellStart"/>
      <w:r w:rsidRPr="00DD3D54">
        <w:rPr>
          <w:rFonts w:asciiTheme="majorBidi" w:hAnsiTheme="majorBidi" w:cstheme="majorBidi"/>
          <w:sz w:val="24"/>
          <w:szCs w:val="24"/>
        </w:rPr>
        <w:t>centered</w:t>
      </w:r>
      <w:proofErr w:type="spellEnd"/>
      <w:r w:rsidRPr="00DD3D54">
        <w:rPr>
          <w:rFonts w:asciiTheme="majorBidi" w:hAnsiTheme="majorBidi" w:cstheme="majorBidi"/>
          <w:sz w:val="24"/>
          <w:szCs w:val="24"/>
        </w:rPr>
        <w:t xml:space="preserve"> considerations, prompting translators to evaluate the target audience’s level of expertise and familiarity with the concept. For specialist readers, transliteration may facilitate precision and alignment with international discourse, while for semi-specialist or general audiences, transliteration may be paired with brief explanations or functional translations. This </w:t>
      </w:r>
      <w:r w:rsidRPr="00DD3D54">
        <w:rPr>
          <w:rFonts w:asciiTheme="majorBidi" w:hAnsiTheme="majorBidi" w:cstheme="majorBidi"/>
          <w:sz w:val="24"/>
          <w:szCs w:val="24"/>
        </w:rPr>
        <w:lastRenderedPageBreak/>
        <w:t>adaptive component ensures that terminological choices support comprehension without sacrificing accuracy.</w:t>
      </w:r>
    </w:p>
    <w:p w14:paraId="03317145"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Finally, the framework addresses semantic transparency and ambiguity, guiding translators to avoid literal translations that may introduce misleading associations or dilute technical meaning. Where full translation risks distortion, transliteration is prioritised as a stabilising strategy that preserves conceptual integrity. By integrating these evaluative stages into a coherent workflow, the framework promotes consistency, accountability, and transparency in technical translation practice, offering a practical tool that can be applied across domains and incorporated into translator training and professional guidelines.</w:t>
      </w:r>
    </w:p>
    <w:p w14:paraId="1AD30F9A" w14:textId="77777777" w:rsidR="00AA7E91" w:rsidRPr="00DD3D54" w:rsidRDefault="00AA7E91" w:rsidP="00AA7E91">
      <w:pPr>
        <w:bidi w:val="0"/>
        <w:rPr>
          <w:rFonts w:asciiTheme="majorBidi" w:hAnsiTheme="majorBidi" w:cstheme="majorBidi"/>
          <w:sz w:val="24"/>
          <w:szCs w:val="24"/>
        </w:rPr>
      </w:pPr>
    </w:p>
    <w:p w14:paraId="2E0A4EE1" w14:textId="77777777" w:rsidR="00AA7E91" w:rsidRPr="00DD3D54" w:rsidRDefault="00AA7E91" w:rsidP="00AA7E91">
      <w:pPr>
        <w:bidi w:val="0"/>
        <w:rPr>
          <w:rFonts w:asciiTheme="majorBidi" w:hAnsiTheme="majorBidi" w:cstheme="majorBidi"/>
          <w:b/>
          <w:bCs/>
          <w:sz w:val="24"/>
          <w:szCs w:val="24"/>
        </w:rPr>
      </w:pPr>
      <w:r w:rsidRPr="00DD3D54">
        <w:rPr>
          <w:rFonts w:asciiTheme="majorBidi" w:hAnsiTheme="majorBidi" w:cstheme="majorBidi"/>
          <w:b/>
          <w:bCs/>
          <w:sz w:val="24"/>
          <w:szCs w:val="24"/>
        </w:rPr>
        <w:t xml:space="preserve">8. Conclusion </w:t>
      </w:r>
    </w:p>
    <w:p w14:paraId="5C80E69A"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The present study provides empirical support for the hybrid translation–transliteration model and demonstrates its advantage over indiscriminate literal translation in technical contexts. The findings confirm that strategic transliteration is not a sign of linguistic insufficiency, but rather a principled and informed translation choice that responds to the cognitive, communicative, and terminological demands of specialised discourse. When applied selectively, transliteration enhances reader comprehension, preserves technical precision, and minimises semantic distortion, while simultaneously maintaining consistency with internationally standardised terminology.</w:t>
      </w:r>
    </w:p>
    <w:p w14:paraId="581B8C1E"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Moreover, the study highlights the role of transliteration in aligning Arabic technical discourse with global knowledge systems. By facilitating terminological interoperability and easing access to international research and documentation, transliteration supports knowledge transfer and reduces barriers between Arabic-speaking specialists and the wider scientific community. The hybrid model thus contributes not only to textual clarity but also to the modernisation and sustainability of Arabic technical language in rapidly evolving fields.</w:t>
      </w:r>
    </w:p>
    <w:p w14:paraId="33DB4380"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Based on these findings, the study recommends that translation and linguistics programs incorporate explicit training on terminology evaluation and decision-making, equipping future translators with the analytical tools needed to balance translation, transliteration, and explanation where appropriate. In addition, academic and technical publishers are urged to adopt clearer, standardised guidelines that recognise transliteration as a legitimate and often necessary strategy rather than an ad hoc or secondary solution.</w:t>
      </w:r>
    </w:p>
    <w:p w14:paraId="7DB94EDA" w14:textId="77777777" w:rsidR="00AA7E91" w:rsidRPr="00DD3D54" w:rsidRDefault="00AA7E91" w:rsidP="00AA7E91">
      <w:pPr>
        <w:bidi w:val="0"/>
        <w:jc w:val="both"/>
        <w:rPr>
          <w:rFonts w:asciiTheme="majorBidi" w:hAnsiTheme="majorBidi" w:cstheme="majorBidi"/>
          <w:sz w:val="24"/>
          <w:szCs w:val="24"/>
        </w:rPr>
      </w:pPr>
      <w:r w:rsidRPr="00DD3D54">
        <w:rPr>
          <w:rFonts w:asciiTheme="majorBidi" w:hAnsiTheme="majorBidi" w:cstheme="majorBidi"/>
          <w:sz w:val="24"/>
          <w:szCs w:val="24"/>
        </w:rPr>
        <w:t>Future research may build on this work by including a wider range of technical domains, investigating reader responses across different proficiency and specialisation levels, and examining the long-term effects of transliteration on terminology acquisition, retention, and standardisation in Arabic. Such research would further refine best practices and contribute to a more systematic and evidence-based approach to technical translation.</w:t>
      </w:r>
    </w:p>
    <w:p w14:paraId="4912FABB" w14:textId="77777777" w:rsidR="00AA7E91" w:rsidRPr="00DD3D54" w:rsidRDefault="00AA7E91" w:rsidP="00AA7E91">
      <w:pPr>
        <w:bidi w:val="0"/>
        <w:rPr>
          <w:rFonts w:asciiTheme="majorBidi" w:hAnsiTheme="majorBidi" w:cstheme="majorBidi"/>
          <w:b/>
          <w:bCs/>
          <w:sz w:val="24"/>
          <w:szCs w:val="24"/>
        </w:rPr>
      </w:pPr>
    </w:p>
    <w:p w14:paraId="66A58BDA" w14:textId="77777777" w:rsidR="006845E6" w:rsidRDefault="006845E6" w:rsidP="006845E6">
      <w:r>
        <w:t>Disclaimer (Artificial intelligence)</w:t>
      </w:r>
    </w:p>
    <w:p w14:paraId="77F316EA" w14:textId="77777777" w:rsidR="006845E6" w:rsidRDefault="006845E6" w:rsidP="006845E6">
      <w:r>
        <w:lastRenderedPageBreak/>
        <w:t xml:space="preserve">Option 1: </w:t>
      </w:r>
    </w:p>
    <w:p w14:paraId="43C2FE5A" w14:textId="77777777" w:rsidR="006845E6" w:rsidRDefault="006845E6" w:rsidP="006845E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AA4998A" w14:textId="77777777" w:rsidR="006845E6" w:rsidRDefault="006845E6" w:rsidP="006845E6">
      <w:r>
        <w:t xml:space="preserve">Option 2: </w:t>
      </w:r>
    </w:p>
    <w:p w14:paraId="07A30A9E" w14:textId="77777777" w:rsidR="006845E6" w:rsidRDefault="006845E6" w:rsidP="006845E6">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DB0DD1" w14:textId="77777777" w:rsidR="006845E6" w:rsidRDefault="006845E6" w:rsidP="006845E6">
      <w:r>
        <w:t>Details of the AI usage are given below:</w:t>
      </w:r>
    </w:p>
    <w:p w14:paraId="32ADCA2B" w14:textId="77777777" w:rsidR="006845E6" w:rsidRDefault="006845E6" w:rsidP="006845E6">
      <w:r>
        <w:t>1.</w:t>
      </w:r>
    </w:p>
    <w:p w14:paraId="503192C9" w14:textId="77777777" w:rsidR="006845E6" w:rsidRDefault="006845E6" w:rsidP="006845E6">
      <w:r>
        <w:t>2.</w:t>
      </w:r>
    </w:p>
    <w:p w14:paraId="18D90795" w14:textId="77777777" w:rsidR="006845E6" w:rsidRPr="00D047BB" w:rsidRDefault="006845E6" w:rsidP="006845E6">
      <w:r>
        <w:t>3.</w:t>
      </w:r>
    </w:p>
    <w:p w14:paraId="59049B72" w14:textId="77777777" w:rsidR="006845E6" w:rsidRPr="0063354D" w:rsidRDefault="006845E6" w:rsidP="006845E6"/>
    <w:p w14:paraId="20CC46B9" w14:textId="77777777" w:rsidR="006845E6" w:rsidRPr="00F7241A" w:rsidRDefault="006845E6" w:rsidP="006845E6"/>
    <w:p w14:paraId="7829A362" w14:textId="77777777" w:rsidR="00AA7E91" w:rsidRPr="00DD3D54" w:rsidRDefault="00AA7E91" w:rsidP="00AA7E91">
      <w:pPr>
        <w:bidi w:val="0"/>
        <w:rPr>
          <w:rFonts w:asciiTheme="majorBidi" w:hAnsiTheme="majorBidi" w:cstheme="majorBidi"/>
          <w:b/>
          <w:bCs/>
          <w:sz w:val="24"/>
          <w:szCs w:val="24"/>
        </w:rPr>
      </w:pPr>
      <w:bookmarkStart w:id="0" w:name="_GoBack"/>
      <w:bookmarkEnd w:id="0"/>
    </w:p>
    <w:p w14:paraId="706DE36E" w14:textId="77777777" w:rsidR="00AA7E91" w:rsidRPr="00DD3D54" w:rsidRDefault="00AA7E91" w:rsidP="00AA7E91">
      <w:pPr>
        <w:bidi w:val="0"/>
        <w:rPr>
          <w:rFonts w:asciiTheme="majorBidi" w:hAnsiTheme="majorBidi" w:cstheme="majorBidi"/>
          <w:b/>
          <w:bCs/>
          <w:sz w:val="24"/>
          <w:szCs w:val="24"/>
        </w:rPr>
      </w:pPr>
      <w:r w:rsidRPr="00DD3D54">
        <w:rPr>
          <w:rFonts w:asciiTheme="majorBidi" w:hAnsiTheme="majorBidi" w:cstheme="majorBidi"/>
          <w:b/>
          <w:bCs/>
          <w:sz w:val="24"/>
          <w:szCs w:val="24"/>
        </w:rPr>
        <w:t>References:</w:t>
      </w:r>
    </w:p>
    <w:p w14:paraId="42BAE47A" w14:textId="29FB7835"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Abdul Jaleel, N., &amp; Larkey, L. S. (2003). Statistical transliteration for English-Arabic cross language information retrieval. </w:t>
      </w:r>
      <w:r w:rsidRPr="00415BA7">
        <w:rPr>
          <w:rFonts w:asciiTheme="majorBidi" w:hAnsiTheme="majorBidi" w:cstheme="majorBidi"/>
          <w:i/>
          <w:iCs/>
          <w:sz w:val="24"/>
          <w:szCs w:val="24"/>
        </w:rPr>
        <w:t>Proceedings of the Conference on Information and Knowledge Management</w:t>
      </w:r>
      <w:r w:rsidRPr="00415BA7">
        <w:rPr>
          <w:rFonts w:asciiTheme="majorBidi" w:hAnsiTheme="majorBidi" w:cstheme="majorBidi"/>
          <w:sz w:val="24"/>
          <w:szCs w:val="24"/>
        </w:rPr>
        <w:t>, 139–146.</w:t>
      </w:r>
      <w:hyperlink r:id="rId7" w:history="1">
        <w:r w:rsidR="00415BA7" w:rsidRPr="00F534ED">
          <w:rPr>
            <w:rStyle w:val="Hyperlink"/>
            <w:rFonts w:asciiTheme="majorBidi" w:hAnsiTheme="majorBidi" w:cstheme="majorBidi"/>
            <w:sz w:val="24"/>
            <w:szCs w:val="24"/>
          </w:rPr>
          <w:t>https://doi.org/10.1145/956863.95689</w:t>
        </w:r>
      </w:hyperlink>
    </w:p>
    <w:p w14:paraId="16DBFD5B" w14:textId="52045B49"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Alshehri, F. A., Alshehri, F. A., &amp; Qassem, M. et al. (2025). </w:t>
      </w:r>
      <w:r w:rsidRPr="00415BA7">
        <w:rPr>
          <w:rFonts w:asciiTheme="majorBidi" w:hAnsiTheme="majorBidi" w:cstheme="majorBidi"/>
          <w:i/>
          <w:iCs/>
          <w:sz w:val="24"/>
          <w:szCs w:val="24"/>
        </w:rPr>
        <w:t xml:space="preserve">The dynamics of translation from and into Arabic in the Arab world: bibliometric analysis of the Index </w:t>
      </w:r>
      <w:proofErr w:type="spellStart"/>
      <w:r w:rsidRPr="00415BA7">
        <w:rPr>
          <w:rFonts w:asciiTheme="majorBidi" w:hAnsiTheme="majorBidi" w:cstheme="majorBidi"/>
          <w:i/>
          <w:iCs/>
          <w:sz w:val="24"/>
          <w:szCs w:val="24"/>
        </w:rPr>
        <w:t>Translationum</w:t>
      </w:r>
      <w:proofErr w:type="spellEnd"/>
      <w:r w:rsidRPr="00415BA7">
        <w:rPr>
          <w:rFonts w:asciiTheme="majorBidi" w:hAnsiTheme="majorBidi" w:cstheme="majorBidi"/>
          <w:i/>
          <w:iCs/>
          <w:sz w:val="24"/>
          <w:szCs w:val="24"/>
        </w:rPr>
        <w:t xml:space="preserve"> UNESCO database (1979–2012).</w:t>
      </w:r>
      <w:r w:rsidRPr="00415BA7">
        <w:rPr>
          <w:rFonts w:asciiTheme="majorBidi" w:hAnsiTheme="majorBidi" w:cstheme="majorBidi"/>
          <w:sz w:val="24"/>
          <w:szCs w:val="24"/>
        </w:rPr>
        <w:t xml:space="preserve"> Humanities and Social Sciences Communications.</w:t>
      </w:r>
      <w:r w:rsidR="00214E66" w:rsidRPr="00415BA7">
        <w:rPr>
          <w:rFonts w:asciiTheme="majorBidi" w:hAnsiTheme="majorBidi" w:cstheme="majorBidi"/>
          <w:sz w:val="24"/>
          <w:szCs w:val="24"/>
        </w:rPr>
        <w:t xml:space="preserve"> </w:t>
      </w:r>
      <w:hyperlink r:id="rId8" w:history="1">
        <w:r w:rsidR="00214E66" w:rsidRPr="00415BA7">
          <w:rPr>
            <w:rStyle w:val="Hyperlink"/>
            <w:rFonts w:asciiTheme="majorBidi" w:hAnsiTheme="majorBidi" w:cstheme="majorBidi"/>
            <w:sz w:val="24"/>
            <w:szCs w:val="24"/>
          </w:rPr>
          <w:t>https://doi.org/10.1057/s41599-024-04225-5</w:t>
        </w:r>
      </w:hyperlink>
      <w:r w:rsidR="00214E66" w:rsidRPr="00415BA7">
        <w:rPr>
          <w:rFonts w:asciiTheme="majorBidi" w:hAnsiTheme="majorBidi" w:cstheme="majorBidi"/>
          <w:sz w:val="24"/>
          <w:szCs w:val="24"/>
        </w:rPr>
        <w:t xml:space="preserve"> </w:t>
      </w:r>
    </w:p>
    <w:p w14:paraId="4D91B2DE" w14:textId="2D73DCEC" w:rsidR="00214E66" w:rsidRPr="00415BA7" w:rsidRDefault="00AA7E91" w:rsidP="00415BA7">
      <w:pPr>
        <w:pStyle w:val="ListParagraph"/>
        <w:numPr>
          <w:ilvl w:val="0"/>
          <w:numId w:val="12"/>
        </w:numPr>
        <w:bidi w:val="0"/>
        <w:jc w:val="both"/>
        <w:rPr>
          <w:rFonts w:asciiTheme="majorBidi" w:hAnsiTheme="majorBidi" w:cstheme="majorBidi"/>
          <w:sz w:val="24"/>
          <w:szCs w:val="24"/>
          <w:lang w:val="en-US"/>
        </w:rPr>
      </w:pPr>
      <w:r w:rsidRPr="00415BA7">
        <w:rPr>
          <w:rFonts w:asciiTheme="majorBidi" w:hAnsiTheme="majorBidi" w:cstheme="majorBidi"/>
          <w:sz w:val="24"/>
          <w:szCs w:val="24"/>
        </w:rPr>
        <w:t>Al-Azami, S., Kenner, C., Ruby, M., &amp; Gregory, E. (2010). Transliteration as a bridge to education for bilingual children. </w:t>
      </w:r>
      <w:r w:rsidRPr="00415BA7">
        <w:rPr>
          <w:rFonts w:asciiTheme="majorBidi" w:hAnsiTheme="majorBidi" w:cstheme="majorBidi"/>
          <w:i/>
          <w:iCs/>
          <w:sz w:val="24"/>
          <w:szCs w:val="24"/>
        </w:rPr>
        <w:t>International Journal of Bilingual Education &amp; Bilingualism</w:t>
      </w:r>
      <w:r w:rsidRPr="00415BA7">
        <w:rPr>
          <w:rFonts w:asciiTheme="majorBidi" w:hAnsiTheme="majorBidi" w:cstheme="majorBidi"/>
          <w:sz w:val="24"/>
          <w:szCs w:val="24"/>
        </w:rPr>
        <w:t>, </w:t>
      </w:r>
      <w:r w:rsidRPr="00415BA7">
        <w:rPr>
          <w:rFonts w:asciiTheme="majorBidi" w:hAnsiTheme="majorBidi" w:cstheme="majorBidi"/>
          <w:i/>
          <w:iCs/>
          <w:sz w:val="24"/>
          <w:szCs w:val="24"/>
        </w:rPr>
        <w:t>13</w:t>
      </w:r>
      <w:r w:rsidRPr="00415BA7">
        <w:rPr>
          <w:rFonts w:asciiTheme="majorBidi" w:hAnsiTheme="majorBidi" w:cstheme="majorBidi"/>
          <w:sz w:val="24"/>
          <w:szCs w:val="24"/>
        </w:rPr>
        <w:t>(6), 683–700.</w:t>
      </w:r>
      <w:hyperlink r:id="rId9" w:history="1">
        <w:r w:rsidR="00415BA7" w:rsidRPr="00F534ED">
          <w:rPr>
            <w:rStyle w:val="Hyperlink"/>
            <w:rFonts w:asciiTheme="majorBidi" w:hAnsiTheme="majorBidi" w:cstheme="majorBidi"/>
            <w:sz w:val="24"/>
            <w:szCs w:val="24"/>
            <w:lang w:val="en-US"/>
          </w:rPr>
          <w:t>https://doi.org/10.1080/13670050903406335</w:t>
        </w:r>
      </w:hyperlink>
    </w:p>
    <w:p w14:paraId="7D43CD91"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Al-Khatib, M. A., &amp; Sabbah, E. H. (1999). Language choice in mobile text messages among Jordanian University students. </w:t>
      </w:r>
      <w:r w:rsidRPr="00415BA7">
        <w:rPr>
          <w:rFonts w:asciiTheme="majorBidi" w:hAnsiTheme="majorBidi" w:cstheme="majorBidi"/>
          <w:i/>
          <w:iCs/>
          <w:sz w:val="24"/>
          <w:szCs w:val="24"/>
        </w:rPr>
        <w:t>SKY Journal of Linguistics</w:t>
      </w:r>
      <w:r w:rsidRPr="00415BA7">
        <w:rPr>
          <w:rFonts w:asciiTheme="majorBidi" w:hAnsiTheme="majorBidi" w:cstheme="majorBidi"/>
          <w:sz w:val="24"/>
          <w:szCs w:val="24"/>
        </w:rPr>
        <w:t>, </w:t>
      </w:r>
      <w:r w:rsidRPr="00415BA7">
        <w:rPr>
          <w:rFonts w:asciiTheme="majorBidi" w:hAnsiTheme="majorBidi" w:cstheme="majorBidi"/>
          <w:i/>
          <w:iCs/>
          <w:sz w:val="24"/>
          <w:szCs w:val="24"/>
        </w:rPr>
        <w:t>12</w:t>
      </w:r>
      <w:r w:rsidRPr="00415BA7">
        <w:rPr>
          <w:rFonts w:asciiTheme="majorBidi" w:hAnsiTheme="majorBidi" w:cstheme="majorBidi"/>
          <w:sz w:val="24"/>
          <w:szCs w:val="24"/>
        </w:rPr>
        <w:t>, 37–64.</w:t>
      </w:r>
    </w:p>
    <w:p w14:paraId="2D3225DE"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Baker, C. (2006). </w:t>
      </w:r>
      <w:r w:rsidRPr="00415BA7">
        <w:rPr>
          <w:rFonts w:asciiTheme="majorBidi" w:hAnsiTheme="majorBidi" w:cstheme="majorBidi"/>
          <w:i/>
          <w:iCs/>
          <w:sz w:val="24"/>
          <w:szCs w:val="24"/>
        </w:rPr>
        <w:t>Foundations of Bilingual Education and Bilingualism</w:t>
      </w:r>
      <w:r w:rsidRPr="00415BA7">
        <w:rPr>
          <w:rFonts w:asciiTheme="majorBidi" w:hAnsiTheme="majorBidi" w:cstheme="majorBidi"/>
          <w:sz w:val="24"/>
          <w:szCs w:val="24"/>
        </w:rPr>
        <w:t>. Clevedon: Multilingual Matters.</w:t>
      </w:r>
    </w:p>
    <w:p w14:paraId="77E38897"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Baker, M. (2018). </w:t>
      </w:r>
      <w:r w:rsidRPr="00415BA7">
        <w:rPr>
          <w:rFonts w:asciiTheme="majorBidi" w:hAnsiTheme="majorBidi" w:cstheme="majorBidi"/>
          <w:i/>
          <w:iCs/>
          <w:sz w:val="24"/>
          <w:szCs w:val="24"/>
        </w:rPr>
        <w:t>In Other Words: A Coursebook on Translation</w:t>
      </w:r>
      <w:r w:rsidRPr="00415BA7">
        <w:rPr>
          <w:rFonts w:asciiTheme="majorBidi" w:hAnsiTheme="majorBidi" w:cstheme="majorBidi"/>
          <w:sz w:val="24"/>
          <w:szCs w:val="24"/>
        </w:rPr>
        <w:t>. (3</w:t>
      </w:r>
      <w:r w:rsidRPr="00415BA7">
        <w:rPr>
          <w:rFonts w:asciiTheme="majorBidi" w:hAnsiTheme="majorBidi" w:cstheme="majorBidi"/>
          <w:sz w:val="24"/>
          <w:szCs w:val="24"/>
          <w:vertAlign w:val="superscript"/>
        </w:rPr>
        <w:t>rd</w:t>
      </w:r>
      <w:r w:rsidRPr="00415BA7">
        <w:rPr>
          <w:rFonts w:asciiTheme="majorBidi" w:hAnsiTheme="majorBidi" w:cstheme="majorBidi"/>
          <w:sz w:val="24"/>
          <w:szCs w:val="24"/>
        </w:rPr>
        <w:t xml:space="preserve"> ed.). London: Routledge. </w:t>
      </w:r>
    </w:p>
    <w:p w14:paraId="6EFC0BFA"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Bowker, L. &amp; Pearson, J. (2002). </w:t>
      </w:r>
      <w:r w:rsidRPr="00415BA7">
        <w:rPr>
          <w:rFonts w:asciiTheme="majorBidi" w:hAnsiTheme="majorBidi" w:cstheme="majorBidi"/>
          <w:i/>
          <w:iCs/>
          <w:sz w:val="24"/>
          <w:szCs w:val="24"/>
        </w:rPr>
        <w:t>Working with Specialized Language A Practical Guide to Using Corpora</w:t>
      </w:r>
      <w:r w:rsidRPr="00415BA7">
        <w:rPr>
          <w:rFonts w:asciiTheme="majorBidi" w:hAnsiTheme="majorBidi" w:cstheme="majorBidi"/>
          <w:sz w:val="24"/>
          <w:szCs w:val="24"/>
        </w:rPr>
        <w:t>. London: Routledge.</w:t>
      </w:r>
    </w:p>
    <w:p w14:paraId="5664713A" w14:textId="14270AFD"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lastRenderedPageBreak/>
        <w:t xml:space="preserve">Castilho, S. (2025). </w:t>
      </w:r>
      <w:r w:rsidRPr="00415BA7">
        <w:rPr>
          <w:rFonts w:asciiTheme="majorBidi" w:hAnsiTheme="majorBidi" w:cstheme="majorBidi"/>
          <w:i/>
          <w:iCs/>
          <w:sz w:val="24"/>
          <w:szCs w:val="24"/>
        </w:rPr>
        <w:t>Bringing Context into MT Evaluation: Translator Training Insights from the Classroom.</w:t>
      </w:r>
      <w:r w:rsidRPr="00415BA7">
        <w:rPr>
          <w:rFonts w:asciiTheme="majorBidi" w:hAnsiTheme="majorBidi" w:cstheme="majorBidi"/>
          <w:sz w:val="24"/>
          <w:szCs w:val="24"/>
        </w:rPr>
        <w:t xml:space="preserve"> Information, 16(11), 965. </w:t>
      </w:r>
      <w:r w:rsidR="00214E66" w:rsidRPr="00415BA7">
        <w:rPr>
          <w:rFonts w:asciiTheme="majorBidi" w:hAnsiTheme="majorBidi" w:cstheme="majorBidi"/>
          <w:sz w:val="24"/>
          <w:szCs w:val="24"/>
        </w:rPr>
        <w:t> </w:t>
      </w:r>
      <w:hyperlink r:id="rId10" w:history="1">
        <w:r w:rsidR="00214E66" w:rsidRPr="00415BA7">
          <w:rPr>
            <w:rStyle w:val="Hyperlink"/>
            <w:rFonts w:asciiTheme="majorBidi" w:hAnsiTheme="majorBidi" w:cstheme="majorBidi"/>
            <w:sz w:val="24"/>
            <w:szCs w:val="24"/>
            <w:lang w:val="en-US"/>
          </w:rPr>
          <w:t>https://doi.org/10.3390/info16110965</w:t>
        </w:r>
      </w:hyperlink>
    </w:p>
    <w:p w14:paraId="66589E34"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Crystal, D. (2003). </w:t>
      </w:r>
      <w:r w:rsidRPr="00415BA7">
        <w:rPr>
          <w:rFonts w:asciiTheme="majorBidi" w:hAnsiTheme="majorBidi" w:cstheme="majorBidi"/>
          <w:i/>
          <w:iCs/>
          <w:sz w:val="24"/>
          <w:szCs w:val="24"/>
        </w:rPr>
        <w:t>English as a Global Language</w:t>
      </w:r>
      <w:r w:rsidRPr="00415BA7">
        <w:rPr>
          <w:rFonts w:asciiTheme="majorBidi" w:hAnsiTheme="majorBidi" w:cstheme="majorBidi"/>
          <w:sz w:val="24"/>
          <w:szCs w:val="24"/>
        </w:rPr>
        <w:t xml:space="preserve"> (2</w:t>
      </w:r>
      <w:r w:rsidRPr="00415BA7">
        <w:rPr>
          <w:rFonts w:asciiTheme="majorBidi" w:hAnsiTheme="majorBidi" w:cstheme="majorBidi"/>
          <w:sz w:val="24"/>
          <w:szCs w:val="24"/>
          <w:vertAlign w:val="superscript"/>
        </w:rPr>
        <w:t>nd</w:t>
      </w:r>
      <w:r w:rsidRPr="00415BA7">
        <w:rPr>
          <w:rFonts w:asciiTheme="majorBidi" w:hAnsiTheme="majorBidi" w:cstheme="majorBidi"/>
          <w:sz w:val="24"/>
          <w:szCs w:val="24"/>
        </w:rPr>
        <w:t xml:space="preserve"> ed.). Cambridge: Cambridge University Press. </w:t>
      </w:r>
    </w:p>
    <w:p w14:paraId="70BA0C73"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Dickins, J., Hervey, S., &amp; Higgins, I. (2017). </w:t>
      </w:r>
      <w:r w:rsidRPr="00415BA7">
        <w:rPr>
          <w:rFonts w:asciiTheme="majorBidi" w:hAnsiTheme="majorBidi" w:cstheme="majorBidi"/>
          <w:i/>
          <w:iCs/>
          <w:sz w:val="24"/>
          <w:szCs w:val="24"/>
        </w:rPr>
        <w:t>Thinking Arabic Translation: A Course in Translation Method</w:t>
      </w:r>
      <w:r w:rsidRPr="00415BA7">
        <w:rPr>
          <w:rFonts w:asciiTheme="majorBidi" w:hAnsiTheme="majorBidi" w:cstheme="majorBidi"/>
          <w:sz w:val="24"/>
          <w:szCs w:val="24"/>
        </w:rPr>
        <w:t xml:space="preserve"> (2</w:t>
      </w:r>
      <w:r w:rsidRPr="00415BA7">
        <w:rPr>
          <w:rFonts w:asciiTheme="majorBidi" w:hAnsiTheme="majorBidi" w:cstheme="majorBidi"/>
          <w:sz w:val="24"/>
          <w:szCs w:val="24"/>
          <w:vertAlign w:val="superscript"/>
        </w:rPr>
        <w:t>nd</w:t>
      </w:r>
      <w:r w:rsidRPr="00415BA7">
        <w:rPr>
          <w:rFonts w:asciiTheme="majorBidi" w:hAnsiTheme="majorBidi" w:cstheme="majorBidi"/>
          <w:sz w:val="24"/>
          <w:szCs w:val="24"/>
        </w:rPr>
        <w:t xml:space="preserve"> ed.). London: Routledge.</w:t>
      </w:r>
    </w:p>
    <w:p w14:paraId="2C7C96A2"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proofErr w:type="spellStart"/>
      <w:r w:rsidRPr="00415BA7">
        <w:rPr>
          <w:rFonts w:asciiTheme="majorBidi" w:hAnsiTheme="majorBidi" w:cstheme="majorBidi"/>
          <w:sz w:val="24"/>
          <w:szCs w:val="24"/>
        </w:rPr>
        <w:t>Farghal</w:t>
      </w:r>
      <w:proofErr w:type="spellEnd"/>
      <w:r w:rsidRPr="00415BA7">
        <w:rPr>
          <w:rFonts w:asciiTheme="majorBidi" w:hAnsiTheme="majorBidi" w:cstheme="majorBidi"/>
          <w:sz w:val="24"/>
          <w:szCs w:val="24"/>
        </w:rPr>
        <w:t xml:space="preserve">, M., &amp; </w:t>
      </w:r>
      <w:proofErr w:type="spellStart"/>
      <w:r w:rsidRPr="00415BA7">
        <w:rPr>
          <w:rFonts w:asciiTheme="majorBidi" w:hAnsiTheme="majorBidi" w:cstheme="majorBidi"/>
          <w:sz w:val="24"/>
          <w:szCs w:val="24"/>
        </w:rPr>
        <w:t>Shunnaq</w:t>
      </w:r>
      <w:proofErr w:type="spellEnd"/>
      <w:r w:rsidRPr="00415BA7">
        <w:rPr>
          <w:rFonts w:asciiTheme="majorBidi" w:hAnsiTheme="majorBidi" w:cstheme="majorBidi"/>
          <w:sz w:val="24"/>
          <w:szCs w:val="24"/>
        </w:rPr>
        <w:t xml:space="preserve">, A. (1999). </w:t>
      </w:r>
      <w:r w:rsidRPr="00415BA7">
        <w:rPr>
          <w:rFonts w:asciiTheme="majorBidi" w:hAnsiTheme="majorBidi" w:cstheme="majorBidi"/>
          <w:i/>
          <w:iCs/>
          <w:sz w:val="24"/>
          <w:szCs w:val="24"/>
        </w:rPr>
        <w:t>Translation with Reference to English and Arabic: A Practical Guide</w:t>
      </w:r>
      <w:r w:rsidRPr="00415BA7">
        <w:rPr>
          <w:rFonts w:asciiTheme="majorBidi" w:hAnsiTheme="majorBidi" w:cstheme="majorBidi"/>
          <w:sz w:val="24"/>
          <w:szCs w:val="24"/>
        </w:rPr>
        <w:t xml:space="preserve">. Irbid: Dar Al-Hilal. </w:t>
      </w:r>
    </w:p>
    <w:p w14:paraId="42AB8C42"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proofErr w:type="spellStart"/>
      <w:r w:rsidRPr="00415BA7">
        <w:rPr>
          <w:rFonts w:asciiTheme="majorBidi" w:hAnsiTheme="majorBidi" w:cstheme="majorBidi"/>
          <w:sz w:val="24"/>
          <w:szCs w:val="24"/>
        </w:rPr>
        <w:t>Göpferich</w:t>
      </w:r>
      <w:proofErr w:type="spellEnd"/>
      <w:r w:rsidRPr="00415BA7">
        <w:rPr>
          <w:rFonts w:asciiTheme="majorBidi" w:hAnsiTheme="majorBidi" w:cstheme="majorBidi"/>
          <w:sz w:val="24"/>
          <w:szCs w:val="24"/>
        </w:rPr>
        <w:t xml:space="preserve">, S. (2009). Towards a model of translation competence and its acquisition. </w:t>
      </w:r>
      <w:r w:rsidRPr="00415BA7">
        <w:rPr>
          <w:rFonts w:asciiTheme="majorBidi" w:hAnsiTheme="majorBidi" w:cstheme="majorBidi"/>
          <w:i/>
          <w:iCs/>
          <w:sz w:val="24"/>
          <w:szCs w:val="24"/>
        </w:rPr>
        <w:t xml:space="preserve">Perspectives: Studies in </w:t>
      </w:r>
      <w:proofErr w:type="spellStart"/>
      <w:r w:rsidRPr="00415BA7">
        <w:rPr>
          <w:rFonts w:asciiTheme="majorBidi" w:hAnsiTheme="majorBidi" w:cstheme="majorBidi"/>
          <w:i/>
          <w:iCs/>
          <w:sz w:val="24"/>
          <w:szCs w:val="24"/>
        </w:rPr>
        <w:t>Translatology</w:t>
      </w:r>
      <w:proofErr w:type="spellEnd"/>
      <w:r w:rsidRPr="00415BA7">
        <w:rPr>
          <w:rFonts w:asciiTheme="majorBidi" w:hAnsiTheme="majorBidi" w:cstheme="majorBidi"/>
          <w:sz w:val="24"/>
          <w:szCs w:val="24"/>
        </w:rPr>
        <w:t>, 17(1): 5-18.</w:t>
      </w:r>
    </w:p>
    <w:p w14:paraId="4A309DC9"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House, J. (2015). </w:t>
      </w:r>
      <w:r w:rsidRPr="00415BA7">
        <w:rPr>
          <w:rFonts w:asciiTheme="majorBidi" w:hAnsiTheme="majorBidi" w:cstheme="majorBidi"/>
          <w:i/>
          <w:iCs/>
          <w:sz w:val="24"/>
          <w:szCs w:val="24"/>
        </w:rPr>
        <w:t>Translation Quality Assessment: Past and Present</w:t>
      </w:r>
      <w:r w:rsidRPr="00415BA7">
        <w:rPr>
          <w:rFonts w:asciiTheme="majorBidi" w:hAnsiTheme="majorBidi" w:cstheme="majorBidi"/>
          <w:sz w:val="24"/>
          <w:szCs w:val="24"/>
        </w:rPr>
        <w:t xml:space="preserve"> (2</w:t>
      </w:r>
      <w:r w:rsidRPr="00415BA7">
        <w:rPr>
          <w:rFonts w:asciiTheme="majorBidi" w:hAnsiTheme="majorBidi" w:cstheme="majorBidi"/>
          <w:sz w:val="24"/>
          <w:szCs w:val="24"/>
          <w:vertAlign w:val="superscript"/>
        </w:rPr>
        <w:t>nd</w:t>
      </w:r>
      <w:r w:rsidRPr="00415BA7">
        <w:rPr>
          <w:rFonts w:asciiTheme="majorBidi" w:hAnsiTheme="majorBidi" w:cstheme="majorBidi"/>
          <w:sz w:val="24"/>
          <w:szCs w:val="24"/>
        </w:rPr>
        <w:t xml:space="preserve"> ed.). London: Routledge. </w:t>
      </w:r>
    </w:p>
    <w:p w14:paraId="5D4201ED" w14:textId="78922542" w:rsidR="00214E66" w:rsidRPr="00415BA7" w:rsidRDefault="00AA7E91" w:rsidP="00415BA7">
      <w:pPr>
        <w:pStyle w:val="ListParagraph"/>
        <w:numPr>
          <w:ilvl w:val="0"/>
          <w:numId w:val="12"/>
        </w:numPr>
        <w:bidi w:val="0"/>
        <w:jc w:val="both"/>
        <w:rPr>
          <w:rFonts w:asciiTheme="majorBidi" w:hAnsiTheme="majorBidi" w:cstheme="majorBidi"/>
          <w:sz w:val="24"/>
          <w:szCs w:val="24"/>
          <w:lang w:val="en-US"/>
        </w:rPr>
      </w:pPr>
      <w:proofErr w:type="spellStart"/>
      <w:r w:rsidRPr="00415BA7">
        <w:rPr>
          <w:rFonts w:asciiTheme="majorBidi" w:hAnsiTheme="majorBidi" w:cstheme="majorBidi"/>
          <w:sz w:val="24"/>
          <w:szCs w:val="24"/>
        </w:rPr>
        <w:t>Mammadzada</w:t>
      </w:r>
      <w:proofErr w:type="spellEnd"/>
      <w:r w:rsidRPr="00415BA7">
        <w:rPr>
          <w:rFonts w:asciiTheme="majorBidi" w:hAnsiTheme="majorBidi" w:cstheme="majorBidi"/>
          <w:sz w:val="24"/>
          <w:szCs w:val="24"/>
        </w:rPr>
        <w:t>, S. (2023). A review of existing transliteration approaches and methods. </w:t>
      </w:r>
      <w:r w:rsidRPr="00415BA7">
        <w:rPr>
          <w:rFonts w:asciiTheme="majorBidi" w:hAnsiTheme="majorBidi" w:cstheme="majorBidi"/>
          <w:i/>
          <w:iCs/>
          <w:sz w:val="24"/>
          <w:szCs w:val="24"/>
        </w:rPr>
        <w:t>International Journal of Multilingualism</w:t>
      </w:r>
      <w:r w:rsidRPr="00415BA7">
        <w:rPr>
          <w:rFonts w:asciiTheme="majorBidi" w:hAnsiTheme="majorBidi" w:cstheme="majorBidi"/>
          <w:sz w:val="24"/>
          <w:szCs w:val="24"/>
        </w:rPr>
        <w:t>, </w:t>
      </w:r>
      <w:r w:rsidRPr="00415BA7">
        <w:rPr>
          <w:rFonts w:asciiTheme="majorBidi" w:hAnsiTheme="majorBidi" w:cstheme="majorBidi"/>
          <w:i/>
          <w:iCs/>
          <w:sz w:val="24"/>
          <w:szCs w:val="24"/>
        </w:rPr>
        <w:t>20</w:t>
      </w:r>
      <w:r w:rsidRPr="00415BA7">
        <w:rPr>
          <w:rFonts w:asciiTheme="majorBidi" w:hAnsiTheme="majorBidi" w:cstheme="majorBidi"/>
          <w:sz w:val="24"/>
          <w:szCs w:val="24"/>
        </w:rPr>
        <w:t>(3)</w:t>
      </w:r>
      <w:r w:rsidR="00052CB8" w:rsidRPr="00415BA7">
        <w:rPr>
          <w:rFonts w:asciiTheme="majorBidi" w:hAnsiTheme="majorBidi" w:cstheme="majorBidi"/>
          <w:sz w:val="24"/>
          <w:szCs w:val="24"/>
        </w:rPr>
        <w:t xml:space="preserve">: </w:t>
      </w:r>
      <w:r w:rsidRPr="00415BA7">
        <w:rPr>
          <w:rFonts w:asciiTheme="majorBidi" w:hAnsiTheme="majorBidi" w:cstheme="majorBidi"/>
          <w:sz w:val="24"/>
          <w:szCs w:val="24"/>
        </w:rPr>
        <w:t>1052–1066.</w:t>
      </w:r>
      <w:hyperlink r:id="rId11" w:history="1">
        <w:r w:rsidR="00415BA7" w:rsidRPr="00F534ED">
          <w:rPr>
            <w:rStyle w:val="Hyperlink"/>
            <w:rFonts w:asciiTheme="majorBidi" w:hAnsiTheme="majorBidi" w:cstheme="majorBidi"/>
            <w:sz w:val="24"/>
            <w:szCs w:val="24"/>
            <w:lang w:val="en-US"/>
          </w:rPr>
          <w:t>https://doi.org/10.1080/14790718.2021.1958821</w:t>
        </w:r>
      </w:hyperlink>
    </w:p>
    <w:p w14:paraId="240F8B2E" w14:textId="7C629CBB"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Munday, J. (2016). </w:t>
      </w:r>
      <w:r w:rsidRPr="00415BA7">
        <w:rPr>
          <w:rFonts w:asciiTheme="majorBidi" w:hAnsiTheme="majorBidi" w:cstheme="majorBidi"/>
          <w:i/>
          <w:iCs/>
          <w:sz w:val="24"/>
          <w:szCs w:val="24"/>
        </w:rPr>
        <w:t>Introducing Translation Studies: Theories and Applications</w:t>
      </w:r>
      <w:r w:rsidR="00052CB8" w:rsidRPr="00415BA7">
        <w:rPr>
          <w:rFonts w:asciiTheme="majorBidi" w:hAnsiTheme="majorBidi" w:cstheme="majorBidi"/>
          <w:sz w:val="24"/>
          <w:szCs w:val="24"/>
        </w:rPr>
        <w:t xml:space="preserve">. </w:t>
      </w:r>
      <w:r w:rsidRPr="00415BA7">
        <w:rPr>
          <w:rFonts w:asciiTheme="majorBidi" w:hAnsiTheme="majorBidi" w:cstheme="majorBidi"/>
          <w:sz w:val="24"/>
          <w:szCs w:val="24"/>
        </w:rPr>
        <w:t>(4</w:t>
      </w:r>
      <w:r w:rsidRPr="00415BA7">
        <w:rPr>
          <w:rFonts w:asciiTheme="majorBidi" w:hAnsiTheme="majorBidi" w:cstheme="majorBidi"/>
          <w:sz w:val="24"/>
          <w:szCs w:val="24"/>
          <w:vertAlign w:val="superscript"/>
        </w:rPr>
        <w:t>th</w:t>
      </w:r>
      <w:r w:rsidRPr="00415BA7">
        <w:rPr>
          <w:rFonts w:asciiTheme="majorBidi" w:hAnsiTheme="majorBidi" w:cstheme="majorBidi"/>
          <w:sz w:val="24"/>
          <w:szCs w:val="24"/>
        </w:rPr>
        <w:t xml:space="preserve"> ed.). London: Routledge. </w:t>
      </w:r>
    </w:p>
    <w:p w14:paraId="035B1F6F"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Newmark, P. (1988). </w:t>
      </w:r>
      <w:r w:rsidRPr="00415BA7">
        <w:rPr>
          <w:rFonts w:asciiTheme="majorBidi" w:hAnsiTheme="majorBidi" w:cstheme="majorBidi"/>
          <w:i/>
          <w:iCs/>
          <w:sz w:val="24"/>
          <w:szCs w:val="24"/>
        </w:rPr>
        <w:t>A Textbook of Translation</w:t>
      </w:r>
      <w:r w:rsidRPr="00415BA7">
        <w:rPr>
          <w:rFonts w:asciiTheme="majorBidi" w:hAnsiTheme="majorBidi" w:cstheme="majorBidi"/>
          <w:sz w:val="24"/>
          <w:szCs w:val="24"/>
        </w:rPr>
        <w:t>. New York: Prentice Hall.</w:t>
      </w:r>
    </w:p>
    <w:p w14:paraId="59D18FE2"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Nord, C. (1997) </w:t>
      </w:r>
      <w:r w:rsidRPr="00415BA7">
        <w:rPr>
          <w:rFonts w:asciiTheme="majorBidi" w:hAnsiTheme="majorBidi" w:cstheme="majorBidi"/>
          <w:i/>
          <w:iCs/>
          <w:sz w:val="24"/>
          <w:szCs w:val="24"/>
        </w:rPr>
        <w:t>Translation as a Purposeful Activity, Functionalist Approaches Explained</w:t>
      </w:r>
      <w:r w:rsidRPr="00415BA7">
        <w:rPr>
          <w:rFonts w:asciiTheme="majorBidi" w:hAnsiTheme="majorBidi" w:cstheme="majorBidi"/>
          <w:sz w:val="24"/>
          <w:szCs w:val="24"/>
        </w:rPr>
        <w:t>. Manchester: St. Jerome Publishing.</w:t>
      </w:r>
    </w:p>
    <w:p w14:paraId="5789B188" w14:textId="75B4C86F" w:rsidR="00AA7E91" w:rsidRPr="00415BA7" w:rsidRDefault="00AA7E91" w:rsidP="00415BA7">
      <w:pPr>
        <w:pStyle w:val="ListParagraph"/>
        <w:numPr>
          <w:ilvl w:val="0"/>
          <w:numId w:val="12"/>
        </w:numPr>
        <w:bidi w:val="0"/>
        <w:jc w:val="both"/>
        <w:rPr>
          <w:rFonts w:asciiTheme="majorBidi" w:hAnsiTheme="majorBidi" w:cstheme="majorBidi"/>
          <w:sz w:val="24"/>
          <w:szCs w:val="24"/>
        </w:rPr>
      </w:pPr>
      <w:proofErr w:type="spellStart"/>
      <w:r w:rsidRPr="00415BA7">
        <w:rPr>
          <w:rFonts w:asciiTheme="majorBidi" w:hAnsiTheme="majorBidi" w:cstheme="majorBidi"/>
          <w:sz w:val="24"/>
          <w:szCs w:val="24"/>
        </w:rPr>
        <w:t>Pinchuck</w:t>
      </w:r>
      <w:proofErr w:type="spellEnd"/>
      <w:r w:rsidRPr="00415BA7">
        <w:rPr>
          <w:rFonts w:asciiTheme="majorBidi" w:hAnsiTheme="majorBidi" w:cstheme="majorBidi"/>
          <w:sz w:val="24"/>
          <w:szCs w:val="24"/>
        </w:rPr>
        <w:t xml:space="preserve">, I. (1977). </w:t>
      </w:r>
      <w:r w:rsidRPr="00415BA7">
        <w:rPr>
          <w:rFonts w:asciiTheme="majorBidi" w:hAnsiTheme="majorBidi" w:cstheme="majorBidi"/>
          <w:i/>
          <w:iCs/>
          <w:sz w:val="24"/>
          <w:szCs w:val="24"/>
        </w:rPr>
        <w:t>Scientific and technical translation</w:t>
      </w:r>
      <w:r w:rsidRPr="00415BA7">
        <w:rPr>
          <w:rFonts w:asciiTheme="majorBidi" w:hAnsiTheme="majorBidi" w:cstheme="majorBidi"/>
          <w:sz w:val="24"/>
          <w:szCs w:val="24"/>
        </w:rPr>
        <w:t>. London: A. Deutsch</w:t>
      </w:r>
    </w:p>
    <w:p w14:paraId="586CA5D7"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Pym, A. (2014). </w:t>
      </w:r>
      <w:r w:rsidRPr="00415BA7">
        <w:rPr>
          <w:rFonts w:asciiTheme="majorBidi" w:hAnsiTheme="majorBidi" w:cstheme="majorBidi"/>
          <w:i/>
          <w:iCs/>
          <w:sz w:val="24"/>
          <w:szCs w:val="24"/>
        </w:rPr>
        <w:t>Exploring Translation Theories</w:t>
      </w:r>
      <w:r w:rsidRPr="00415BA7">
        <w:rPr>
          <w:rFonts w:asciiTheme="majorBidi" w:hAnsiTheme="majorBidi" w:cstheme="majorBidi"/>
          <w:sz w:val="24"/>
          <w:szCs w:val="24"/>
        </w:rPr>
        <w:t xml:space="preserve"> (2</w:t>
      </w:r>
      <w:r w:rsidRPr="00415BA7">
        <w:rPr>
          <w:rFonts w:asciiTheme="majorBidi" w:hAnsiTheme="majorBidi" w:cstheme="majorBidi"/>
          <w:sz w:val="24"/>
          <w:szCs w:val="24"/>
          <w:vertAlign w:val="superscript"/>
        </w:rPr>
        <w:t>nd</w:t>
      </w:r>
      <w:r w:rsidRPr="00415BA7">
        <w:rPr>
          <w:rFonts w:asciiTheme="majorBidi" w:hAnsiTheme="majorBidi" w:cstheme="majorBidi"/>
          <w:sz w:val="24"/>
          <w:szCs w:val="24"/>
        </w:rPr>
        <w:t xml:space="preserve"> ed.). London: Routledge.</w:t>
      </w:r>
    </w:p>
    <w:p w14:paraId="5B231779"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Saeed, A. M. A. (2025). Machine Translation Evaluation between Arabic and English during 2020 to 2024: A Review Study. </w:t>
      </w:r>
      <w:r w:rsidRPr="00415BA7">
        <w:rPr>
          <w:rFonts w:asciiTheme="majorBidi" w:hAnsiTheme="majorBidi" w:cstheme="majorBidi"/>
          <w:i/>
          <w:iCs/>
          <w:sz w:val="24"/>
          <w:szCs w:val="24"/>
        </w:rPr>
        <w:t>Arts for Linguistic &amp; Literary Studies</w:t>
      </w:r>
      <w:r w:rsidRPr="00415BA7">
        <w:rPr>
          <w:rFonts w:asciiTheme="majorBidi" w:hAnsiTheme="majorBidi" w:cstheme="majorBidi"/>
          <w:sz w:val="24"/>
          <w:szCs w:val="24"/>
        </w:rPr>
        <w:t>, </w:t>
      </w:r>
      <w:r w:rsidRPr="00415BA7">
        <w:rPr>
          <w:rFonts w:asciiTheme="majorBidi" w:hAnsiTheme="majorBidi" w:cstheme="majorBidi"/>
          <w:i/>
          <w:iCs/>
          <w:sz w:val="24"/>
          <w:szCs w:val="24"/>
        </w:rPr>
        <w:t>7</w:t>
      </w:r>
      <w:r w:rsidRPr="00415BA7">
        <w:rPr>
          <w:rFonts w:asciiTheme="majorBidi" w:hAnsiTheme="majorBidi" w:cstheme="majorBidi"/>
          <w:sz w:val="24"/>
          <w:szCs w:val="24"/>
        </w:rPr>
        <w:t>(2), 665–678.</w:t>
      </w:r>
    </w:p>
    <w:p w14:paraId="6C486C26" w14:textId="77777777"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Sager, C. (1990). </w:t>
      </w:r>
      <w:r w:rsidRPr="00415BA7">
        <w:rPr>
          <w:rFonts w:asciiTheme="majorBidi" w:hAnsiTheme="majorBidi" w:cstheme="majorBidi"/>
          <w:i/>
          <w:iCs/>
          <w:sz w:val="24"/>
          <w:szCs w:val="24"/>
        </w:rPr>
        <w:t>A Practical Course in Terminology Processing</w:t>
      </w:r>
      <w:r w:rsidRPr="00415BA7">
        <w:rPr>
          <w:rFonts w:asciiTheme="majorBidi" w:hAnsiTheme="majorBidi" w:cstheme="majorBidi"/>
          <w:sz w:val="24"/>
          <w:szCs w:val="24"/>
        </w:rPr>
        <w:t>. Amsterdam-Philadelphia, John Benjamins Publishing.</w:t>
      </w:r>
    </w:p>
    <w:p w14:paraId="3C5327E5" w14:textId="206BC0E0" w:rsidR="00052CB8" w:rsidRPr="00415BA7" w:rsidRDefault="00AA7E91" w:rsidP="00415BA7">
      <w:pPr>
        <w:pStyle w:val="ListParagraph"/>
        <w:numPr>
          <w:ilvl w:val="0"/>
          <w:numId w:val="12"/>
        </w:numPr>
        <w:bidi w:val="0"/>
        <w:jc w:val="both"/>
        <w:rPr>
          <w:rFonts w:asciiTheme="majorBidi" w:hAnsiTheme="majorBidi" w:cstheme="majorBidi"/>
          <w:sz w:val="24"/>
          <w:szCs w:val="24"/>
        </w:rPr>
      </w:pPr>
      <w:proofErr w:type="spellStart"/>
      <w:r w:rsidRPr="00415BA7">
        <w:rPr>
          <w:rFonts w:asciiTheme="majorBidi" w:hAnsiTheme="majorBidi" w:cstheme="majorBidi"/>
          <w:sz w:val="24"/>
          <w:szCs w:val="24"/>
        </w:rPr>
        <w:t>Sayaheen</w:t>
      </w:r>
      <w:proofErr w:type="spellEnd"/>
      <w:r w:rsidRPr="00415BA7">
        <w:rPr>
          <w:rFonts w:asciiTheme="majorBidi" w:hAnsiTheme="majorBidi" w:cstheme="majorBidi"/>
          <w:sz w:val="24"/>
          <w:szCs w:val="24"/>
        </w:rPr>
        <w:t>, M., AL-</w:t>
      </w:r>
      <w:proofErr w:type="spellStart"/>
      <w:r w:rsidRPr="00415BA7">
        <w:rPr>
          <w:rFonts w:asciiTheme="majorBidi" w:hAnsiTheme="majorBidi" w:cstheme="majorBidi"/>
          <w:sz w:val="24"/>
          <w:szCs w:val="24"/>
        </w:rPr>
        <w:t>Hawamdeh</w:t>
      </w:r>
      <w:proofErr w:type="spellEnd"/>
      <w:r w:rsidRPr="00415BA7">
        <w:rPr>
          <w:rFonts w:asciiTheme="majorBidi" w:hAnsiTheme="majorBidi" w:cstheme="majorBidi"/>
          <w:sz w:val="24"/>
          <w:szCs w:val="24"/>
        </w:rPr>
        <w:t>, B. M., Alhawamdeh, S. M., &amp; AL-</w:t>
      </w:r>
      <w:proofErr w:type="spellStart"/>
      <w:r w:rsidRPr="00415BA7">
        <w:rPr>
          <w:rFonts w:asciiTheme="majorBidi" w:hAnsiTheme="majorBidi" w:cstheme="majorBidi"/>
          <w:sz w:val="24"/>
          <w:szCs w:val="24"/>
        </w:rPr>
        <w:t>Hawamdeh</w:t>
      </w:r>
      <w:proofErr w:type="spellEnd"/>
      <w:r w:rsidRPr="00415BA7">
        <w:rPr>
          <w:rFonts w:asciiTheme="majorBidi" w:hAnsiTheme="majorBidi" w:cstheme="majorBidi"/>
          <w:sz w:val="24"/>
          <w:szCs w:val="24"/>
        </w:rPr>
        <w:t xml:space="preserve">, A. M. (2025). </w:t>
      </w:r>
      <w:r w:rsidRPr="00415BA7">
        <w:rPr>
          <w:rFonts w:asciiTheme="majorBidi" w:hAnsiTheme="majorBidi" w:cstheme="majorBidi"/>
          <w:i/>
          <w:iCs/>
          <w:sz w:val="24"/>
          <w:szCs w:val="24"/>
        </w:rPr>
        <w:t>The Place of Technology in Translator Training Programs in the Arab World.</w:t>
      </w:r>
      <w:r w:rsidRPr="00415BA7">
        <w:rPr>
          <w:rFonts w:asciiTheme="majorBidi" w:hAnsiTheme="majorBidi" w:cstheme="majorBidi"/>
          <w:sz w:val="24"/>
          <w:szCs w:val="24"/>
        </w:rPr>
        <w:t xml:space="preserve"> International Journal of Translation and Interpretation Studies, 5(2), 59–67.</w:t>
      </w:r>
      <w:r w:rsidR="00052CB8" w:rsidRPr="00415BA7">
        <w:rPr>
          <w:rFonts w:asciiTheme="majorBidi" w:hAnsiTheme="majorBidi" w:cstheme="majorBidi"/>
          <w:sz w:val="24"/>
          <w:szCs w:val="24"/>
        </w:rPr>
        <w:t xml:space="preserve"> </w:t>
      </w:r>
      <w:hyperlink r:id="rId12" w:tgtFrame="_blank" w:history="1">
        <w:r w:rsidR="00052CB8" w:rsidRPr="00415BA7">
          <w:rPr>
            <w:rStyle w:val="Hyperlink"/>
            <w:rFonts w:asciiTheme="majorBidi" w:hAnsiTheme="majorBidi" w:cstheme="majorBidi"/>
            <w:sz w:val="24"/>
            <w:szCs w:val="24"/>
          </w:rPr>
          <w:t>http://dx.doi.org/10.2139/ssrn.4679599</w:t>
        </w:r>
      </w:hyperlink>
    </w:p>
    <w:p w14:paraId="454D31F6" w14:textId="64F8CE82"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 xml:space="preserve">Temmerman, R. (2000). </w:t>
      </w:r>
      <w:r w:rsidRPr="00415BA7">
        <w:rPr>
          <w:rFonts w:asciiTheme="majorBidi" w:hAnsiTheme="majorBidi" w:cstheme="majorBidi"/>
          <w:i/>
          <w:iCs/>
          <w:sz w:val="24"/>
          <w:szCs w:val="24"/>
        </w:rPr>
        <w:t xml:space="preserve">Towards New Ways of Terminology Description: The </w:t>
      </w:r>
      <w:proofErr w:type="spellStart"/>
      <w:r w:rsidRPr="00415BA7">
        <w:rPr>
          <w:rFonts w:asciiTheme="majorBidi" w:hAnsiTheme="majorBidi" w:cstheme="majorBidi"/>
          <w:i/>
          <w:iCs/>
          <w:sz w:val="24"/>
          <w:szCs w:val="24"/>
        </w:rPr>
        <w:t>Sociocognitive</w:t>
      </w:r>
      <w:proofErr w:type="spellEnd"/>
      <w:r w:rsidRPr="00415BA7">
        <w:rPr>
          <w:rFonts w:asciiTheme="majorBidi" w:hAnsiTheme="majorBidi" w:cstheme="majorBidi"/>
          <w:i/>
          <w:iCs/>
          <w:sz w:val="24"/>
          <w:szCs w:val="24"/>
        </w:rPr>
        <w:t xml:space="preserve"> Approach</w:t>
      </w:r>
      <w:r w:rsidRPr="00415BA7">
        <w:rPr>
          <w:rFonts w:asciiTheme="majorBidi" w:hAnsiTheme="majorBidi" w:cstheme="majorBidi"/>
          <w:sz w:val="24"/>
          <w:szCs w:val="24"/>
        </w:rPr>
        <w:t>. Amsterdam: John Benjamins.</w:t>
      </w:r>
    </w:p>
    <w:p w14:paraId="21BBBF61" w14:textId="36C35EA8" w:rsidR="00AA7E91" w:rsidRPr="00415BA7" w:rsidRDefault="00AA7E91" w:rsidP="00415BA7">
      <w:pPr>
        <w:pStyle w:val="ListParagraph"/>
        <w:numPr>
          <w:ilvl w:val="0"/>
          <w:numId w:val="12"/>
        </w:numPr>
        <w:bidi w:val="0"/>
        <w:jc w:val="both"/>
        <w:rPr>
          <w:rFonts w:asciiTheme="majorBidi" w:hAnsiTheme="majorBidi" w:cstheme="majorBidi"/>
          <w:sz w:val="24"/>
          <w:szCs w:val="24"/>
        </w:rPr>
      </w:pPr>
      <w:r w:rsidRPr="00415BA7">
        <w:rPr>
          <w:rFonts w:asciiTheme="majorBidi" w:hAnsiTheme="majorBidi" w:cstheme="majorBidi"/>
          <w:sz w:val="24"/>
          <w:szCs w:val="24"/>
        </w:rPr>
        <w:t>Warschauer, M., El Said, G. R., &amp; Zohry, A. A. (2007). Language choice online: Globalization and identity in Egypt</w:t>
      </w:r>
      <w:r w:rsidR="00052CB8" w:rsidRPr="00415BA7">
        <w:rPr>
          <w:rFonts w:asciiTheme="majorBidi" w:hAnsiTheme="majorBidi" w:cstheme="majorBidi"/>
          <w:sz w:val="24"/>
          <w:szCs w:val="24"/>
        </w:rPr>
        <w:t>.</w:t>
      </w:r>
      <w:r w:rsidRPr="00415BA7">
        <w:rPr>
          <w:rFonts w:asciiTheme="majorBidi" w:hAnsiTheme="majorBidi" w:cstheme="majorBidi"/>
          <w:i/>
          <w:iCs/>
          <w:sz w:val="24"/>
          <w:szCs w:val="24"/>
        </w:rPr>
        <w:t xml:space="preserve"> The multilingual internet: Language, culture, and communication online</w:t>
      </w:r>
      <w:r w:rsidRPr="00415BA7">
        <w:rPr>
          <w:rFonts w:asciiTheme="majorBidi" w:hAnsiTheme="majorBidi" w:cstheme="majorBidi"/>
          <w:sz w:val="24"/>
          <w:szCs w:val="24"/>
        </w:rPr>
        <w:t>, 303–318. </w:t>
      </w:r>
      <w:hyperlink r:id="rId13" w:history="1">
        <w:r w:rsidR="00052CB8" w:rsidRPr="00415BA7">
          <w:rPr>
            <w:rStyle w:val="Hyperlink"/>
            <w:rFonts w:asciiTheme="majorBidi" w:hAnsiTheme="majorBidi" w:cstheme="majorBidi"/>
            <w:sz w:val="24"/>
            <w:szCs w:val="24"/>
          </w:rPr>
          <w:t>https://doi.org/10.1111/j.1083-6101.2002.tb00157.x</w:t>
        </w:r>
      </w:hyperlink>
    </w:p>
    <w:sectPr w:rsidR="00AA7E91" w:rsidRPr="00415BA7" w:rsidSect="00F63B1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CD83F" w14:textId="77777777" w:rsidR="00794A47" w:rsidRDefault="00794A47" w:rsidP="00086707">
      <w:pPr>
        <w:spacing w:after="0" w:line="240" w:lineRule="auto"/>
      </w:pPr>
      <w:r>
        <w:separator/>
      </w:r>
    </w:p>
  </w:endnote>
  <w:endnote w:type="continuationSeparator" w:id="0">
    <w:p w14:paraId="0E1BF87E" w14:textId="77777777" w:rsidR="00794A47" w:rsidRDefault="00794A47" w:rsidP="0008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221C" w14:textId="77777777" w:rsidR="00086707" w:rsidRDefault="00086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DD9F" w14:textId="77777777" w:rsidR="00086707" w:rsidRDefault="00086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0F89" w14:textId="77777777" w:rsidR="00086707" w:rsidRDefault="0008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2C320" w14:textId="77777777" w:rsidR="00794A47" w:rsidRDefault="00794A47" w:rsidP="00086707">
      <w:pPr>
        <w:spacing w:after="0" w:line="240" w:lineRule="auto"/>
      </w:pPr>
      <w:r>
        <w:separator/>
      </w:r>
    </w:p>
  </w:footnote>
  <w:footnote w:type="continuationSeparator" w:id="0">
    <w:p w14:paraId="4E16FA76" w14:textId="77777777" w:rsidR="00794A47" w:rsidRDefault="00794A47" w:rsidP="00086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55F5" w14:textId="38697BDD" w:rsidR="00086707" w:rsidRDefault="00794A47">
    <w:pPr>
      <w:pStyle w:val="Header"/>
    </w:pPr>
    <w:r>
      <w:rPr>
        <w:noProof/>
      </w:rPr>
      <w:pict w14:anchorId="14BD2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974829"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87B0" w14:textId="4B68EE99" w:rsidR="00086707" w:rsidRDefault="00794A47">
    <w:pPr>
      <w:pStyle w:val="Header"/>
    </w:pPr>
    <w:r>
      <w:rPr>
        <w:noProof/>
      </w:rPr>
      <w:pict w14:anchorId="7010B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974830"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040B4" w14:textId="1A3BA8F7" w:rsidR="00086707" w:rsidRDefault="00794A47">
    <w:pPr>
      <w:pStyle w:val="Header"/>
    </w:pPr>
    <w:r>
      <w:rPr>
        <w:noProof/>
      </w:rPr>
      <w:pict w14:anchorId="7A048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974828"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376B8"/>
    <w:multiLevelType w:val="multilevel"/>
    <w:tmpl w:val="7F8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D540F"/>
    <w:multiLevelType w:val="multilevel"/>
    <w:tmpl w:val="1BD2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E1171"/>
    <w:multiLevelType w:val="multilevel"/>
    <w:tmpl w:val="83C4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6385A"/>
    <w:multiLevelType w:val="multilevel"/>
    <w:tmpl w:val="0B4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47AEA"/>
    <w:multiLevelType w:val="multilevel"/>
    <w:tmpl w:val="91A4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42B60"/>
    <w:multiLevelType w:val="multilevel"/>
    <w:tmpl w:val="6540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B14BB0"/>
    <w:multiLevelType w:val="hybridMultilevel"/>
    <w:tmpl w:val="0B421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E04CF"/>
    <w:multiLevelType w:val="hybridMultilevel"/>
    <w:tmpl w:val="39A498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1817B7C"/>
    <w:multiLevelType w:val="hybridMultilevel"/>
    <w:tmpl w:val="20F02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E5780"/>
    <w:multiLevelType w:val="multilevel"/>
    <w:tmpl w:val="2B1C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5204A"/>
    <w:multiLevelType w:val="multilevel"/>
    <w:tmpl w:val="BDBE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C04B4"/>
    <w:multiLevelType w:val="multilevel"/>
    <w:tmpl w:val="496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11"/>
  </w:num>
  <w:num w:numId="5">
    <w:abstractNumId w:val="6"/>
  </w:num>
  <w:num w:numId="6">
    <w:abstractNumId w:val="9"/>
  </w:num>
  <w:num w:numId="7">
    <w:abstractNumId w:val="2"/>
  </w:num>
  <w:num w:numId="8">
    <w:abstractNumId w:val="4"/>
  </w:num>
  <w:num w:numId="9">
    <w:abstractNumId w:val="8"/>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2F"/>
    <w:rsid w:val="00002440"/>
    <w:rsid w:val="00052CB8"/>
    <w:rsid w:val="00070C2D"/>
    <w:rsid w:val="00086707"/>
    <w:rsid w:val="0009592D"/>
    <w:rsid w:val="000F73E1"/>
    <w:rsid w:val="00214E66"/>
    <w:rsid w:val="00255E4F"/>
    <w:rsid w:val="0027770C"/>
    <w:rsid w:val="002A7EBA"/>
    <w:rsid w:val="002E15A7"/>
    <w:rsid w:val="00345EB1"/>
    <w:rsid w:val="00361E04"/>
    <w:rsid w:val="0038746A"/>
    <w:rsid w:val="003B1940"/>
    <w:rsid w:val="00415BA7"/>
    <w:rsid w:val="00465384"/>
    <w:rsid w:val="004A1BBA"/>
    <w:rsid w:val="004A6DD0"/>
    <w:rsid w:val="004C7FDB"/>
    <w:rsid w:val="00565205"/>
    <w:rsid w:val="005C7EA5"/>
    <w:rsid w:val="005D368B"/>
    <w:rsid w:val="006845E6"/>
    <w:rsid w:val="00687C0A"/>
    <w:rsid w:val="006C2C3A"/>
    <w:rsid w:val="007303D4"/>
    <w:rsid w:val="00732DA3"/>
    <w:rsid w:val="00744EB5"/>
    <w:rsid w:val="00761C2D"/>
    <w:rsid w:val="00794A47"/>
    <w:rsid w:val="00854877"/>
    <w:rsid w:val="00886553"/>
    <w:rsid w:val="00887669"/>
    <w:rsid w:val="008966A4"/>
    <w:rsid w:val="008D79D9"/>
    <w:rsid w:val="008E18C2"/>
    <w:rsid w:val="00906703"/>
    <w:rsid w:val="00A22EDE"/>
    <w:rsid w:val="00A23028"/>
    <w:rsid w:val="00A30BFD"/>
    <w:rsid w:val="00A7043F"/>
    <w:rsid w:val="00A81E7F"/>
    <w:rsid w:val="00A93EC8"/>
    <w:rsid w:val="00AA4438"/>
    <w:rsid w:val="00AA7E91"/>
    <w:rsid w:val="00AD1E83"/>
    <w:rsid w:val="00B02152"/>
    <w:rsid w:val="00B5218E"/>
    <w:rsid w:val="00CA3E8B"/>
    <w:rsid w:val="00CC4969"/>
    <w:rsid w:val="00D21616"/>
    <w:rsid w:val="00D448FA"/>
    <w:rsid w:val="00D662CD"/>
    <w:rsid w:val="00D7036D"/>
    <w:rsid w:val="00D708C3"/>
    <w:rsid w:val="00D90555"/>
    <w:rsid w:val="00DA46E4"/>
    <w:rsid w:val="00DF0A4A"/>
    <w:rsid w:val="00E31EF2"/>
    <w:rsid w:val="00F63B1A"/>
    <w:rsid w:val="00FA473B"/>
    <w:rsid w:val="00FB6B41"/>
    <w:rsid w:val="00FD1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834B5A"/>
  <w15:chartTrackingRefBased/>
  <w15:docId w15:val="{3B19442B-30A3-4F6E-AB7F-8AB8EE23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C3A"/>
    <w:pPr>
      <w:bidi/>
    </w:pPr>
    <w:rPr>
      <w:lang w:val="en-GB"/>
    </w:rPr>
  </w:style>
  <w:style w:type="paragraph" w:styleId="Heading1">
    <w:name w:val="heading 1"/>
    <w:basedOn w:val="Normal"/>
    <w:next w:val="Normal"/>
    <w:link w:val="Heading1Char"/>
    <w:uiPriority w:val="9"/>
    <w:qFormat/>
    <w:rsid w:val="00FD1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B2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D1B2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D1B2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D1B2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D1B2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D1B2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D1B2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D1B2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D1B2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D1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B2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D1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B2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D1B2F"/>
    <w:pPr>
      <w:spacing w:before="160"/>
      <w:jc w:val="center"/>
    </w:pPr>
    <w:rPr>
      <w:i/>
      <w:iCs/>
      <w:color w:val="404040" w:themeColor="text1" w:themeTint="BF"/>
    </w:rPr>
  </w:style>
  <w:style w:type="character" w:customStyle="1" w:styleId="QuoteChar">
    <w:name w:val="Quote Char"/>
    <w:basedOn w:val="DefaultParagraphFont"/>
    <w:link w:val="Quote"/>
    <w:uiPriority w:val="29"/>
    <w:rsid w:val="00FD1B2F"/>
    <w:rPr>
      <w:i/>
      <w:iCs/>
      <w:color w:val="404040" w:themeColor="text1" w:themeTint="BF"/>
      <w:lang w:val="en-GB"/>
    </w:rPr>
  </w:style>
  <w:style w:type="paragraph" w:styleId="ListParagraph">
    <w:name w:val="List Paragraph"/>
    <w:basedOn w:val="Normal"/>
    <w:uiPriority w:val="34"/>
    <w:qFormat/>
    <w:rsid w:val="00FD1B2F"/>
    <w:pPr>
      <w:ind w:left="720"/>
      <w:contextualSpacing/>
    </w:pPr>
  </w:style>
  <w:style w:type="character" w:styleId="IntenseEmphasis">
    <w:name w:val="Intense Emphasis"/>
    <w:basedOn w:val="DefaultParagraphFont"/>
    <w:uiPriority w:val="21"/>
    <w:qFormat/>
    <w:rsid w:val="00FD1B2F"/>
    <w:rPr>
      <w:i/>
      <w:iCs/>
      <w:color w:val="0F4761" w:themeColor="accent1" w:themeShade="BF"/>
    </w:rPr>
  </w:style>
  <w:style w:type="paragraph" w:styleId="IntenseQuote">
    <w:name w:val="Intense Quote"/>
    <w:basedOn w:val="Normal"/>
    <w:next w:val="Normal"/>
    <w:link w:val="IntenseQuoteChar"/>
    <w:uiPriority w:val="30"/>
    <w:qFormat/>
    <w:rsid w:val="00FD1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B2F"/>
    <w:rPr>
      <w:i/>
      <w:iCs/>
      <w:color w:val="0F4761" w:themeColor="accent1" w:themeShade="BF"/>
      <w:lang w:val="en-GB"/>
    </w:rPr>
  </w:style>
  <w:style w:type="character" w:styleId="IntenseReference">
    <w:name w:val="Intense Reference"/>
    <w:basedOn w:val="DefaultParagraphFont"/>
    <w:uiPriority w:val="32"/>
    <w:qFormat/>
    <w:rsid w:val="00FD1B2F"/>
    <w:rPr>
      <w:b/>
      <w:bCs/>
      <w:smallCaps/>
      <w:color w:val="0F4761" w:themeColor="accent1" w:themeShade="BF"/>
      <w:spacing w:val="5"/>
    </w:rPr>
  </w:style>
  <w:style w:type="character" w:styleId="Hyperlink">
    <w:name w:val="Hyperlink"/>
    <w:basedOn w:val="DefaultParagraphFont"/>
    <w:uiPriority w:val="99"/>
    <w:unhideWhenUsed/>
    <w:rsid w:val="00FD1B2F"/>
    <w:rPr>
      <w:color w:val="467886" w:themeColor="hyperlink"/>
      <w:u w:val="single"/>
    </w:rPr>
  </w:style>
  <w:style w:type="character" w:styleId="UnresolvedMention">
    <w:name w:val="Unresolved Mention"/>
    <w:basedOn w:val="DefaultParagraphFont"/>
    <w:uiPriority w:val="99"/>
    <w:semiHidden/>
    <w:unhideWhenUsed/>
    <w:rsid w:val="00FD1B2F"/>
    <w:rPr>
      <w:color w:val="605E5C"/>
      <w:shd w:val="clear" w:color="auto" w:fill="E1DFDD"/>
    </w:rPr>
  </w:style>
  <w:style w:type="paragraph" w:styleId="NormalWeb">
    <w:name w:val="Normal (Web)"/>
    <w:basedOn w:val="Normal"/>
    <w:uiPriority w:val="99"/>
    <w:semiHidden/>
    <w:unhideWhenUsed/>
    <w:rsid w:val="00FB6B41"/>
    <w:pPr>
      <w:bidi w:val="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086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707"/>
    <w:rPr>
      <w:lang w:val="en-GB"/>
    </w:rPr>
  </w:style>
  <w:style w:type="paragraph" w:styleId="Footer">
    <w:name w:val="footer"/>
    <w:basedOn w:val="Normal"/>
    <w:link w:val="FooterChar"/>
    <w:uiPriority w:val="99"/>
    <w:unhideWhenUsed/>
    <w:rsid w:val="0008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707"/>
    <w:rPr>
      <w:lang w:val="en-GB"/>
    </w:rPr>
  </w:style>
  <w:style w:type="table" w:styleId="TableGrid">
    <w:name w:val="Table Grid"/>
    <w:basedOn w:val="TableNormal"/>
    <w:uiPriority w:val="39"/>
    <w:rsid w:val="00AA7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7/s41599-024-04225-5" TargetMode="External"/><Relationship Id="rId13" Type="http://schemas.openxmlformats.org/officeDocument/2006/relationships/hyperlink" Target="https://doi.org/10.1111/j.1083-6101.2002.tb00157.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45/956863.95689" TargetMode="External"/><Relationship Id="rId12" Type="http://schemas.openxmlformats.org/officeDocument/2006/relationships/hyperlink" Target="https://dx.doi.org/10.2139/ssrn.467959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4790718.2021.19588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90/info1611096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80/13670050903406335" TargetMode="External"/><Relationship Id="rId14"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11</Pages>
  <Words>4193</Words>
  <Characters>23903</Characters>
  <Application>Microsoft Office Word</Application>
  <DocSecurity>0</DocSecurity>
  <Lines>199</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SDI 1186</cp:lastModifiedBy>
  <cp:revision>30</cp:revision>
  <dcterms:created xsi:type="dcterms:W3CDTF">2025-12-13T12:23:00Z</dcterms:created>
  <dcterms:modified xsi:type="dcterms:W3CDTF">2025-12-19T06:18:00Z</dcterms:modified>
</cp:coreProperties>
</file>