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A6493" w14:textId="77777777" w:rsidR="00D95785" w:rsidRPr="00D95785" w:rsidRDefault="00D95785" w:rsidP="00D95785">
      <w:pPr>
        <w:spacing w:after="0" w:line="240" w:lineRule="auto"/>
        <w:jc w:val="right"/>
        <w:rPr>
          <w:rFonts w:ascii="Arial" w:eastAsia="Calibri" w:hAnsi="Arial" w:cs="Arial"/>
          <w:b/>
          <w:bCs/>
          <w:i/>
          <w:iCs/>
          <w:kern w:val="24"/>
          <w:sz w:val="18"/>
          <w:szCs w:val="18"/>
          <w:u w:val="single"/>
        </w:rPr>
      </w:pPr>
      <w:r w:rsidRPr="00D95785">
        <w:rPr>
          <w:rFonts w:ascii="Arial" w:eastAsia="Calibri" w:hAnsi="Arial" w:cs="Arial"/>
          <w:b/>
          <w:bCs/>
          <w:i/>
          <w:iCs/>
          <w:kern w:val="24"/>
          <w:sz w:val="18"/>
          <w:szCs w:val="18"/>
          <w:u w:val="single"/>
        </w:rPr>
        <w:t>Original Research Article</w:t>
      </w:r>
    </w:p>
    <w:p w14:paraId="13113F96" w14:textId="77777777" w:rsidR="00836689" w:rsidRPr="0002581A" w:rsidRDefault="007F632E" w:rsidP="00836689">
      <w:pPr>
        <w:spacing w:after="0" w:line="240" w:lineRule="auto"/>
        <w:jc w:val="right"/>
        <w:rPr>
          <w:rFonts w:ascii="Arial" w:eastAsia="Calibri" w:hAnsi="Arial" w:cs="Arial"/>
          <w:b/>
          <w:kern w:val="24"/>
          <w:sz w:val="40"/>
          <w:szCs w:val="40"/>
          <w:lang w:val="en-IN"/>
        </w:rPr>
      </w:pPr>
      <w:r w:rsidRPr="0002581A">
        <w:rPr>
          <w:rFonts w:ascii="Arial" w:eastAsia="Calibri" w:hAnsi="Arial" w:cs="Arial"/>
          <w:b/>
          <w:kern w:val="24"/>
          <w:sz w:val="40"/>
          <w:szCs w:val="40"/>
          <w:lang w:val="en-IN"/>
        </w:rPr>
        <w:t xml:space="preserve">Spatial Distribution and Service Coverage Analysis of Primary Health Centres </w:t>
      </w:r>
    </w:p>
    <w:p w14:paraId="17C10B5A" w14:textId="0EDBCF00" w:rsidR="00836689" w:rsidRDefault="007F632E" w:rsidP="0002581A">
      <w:pPr>
        <w:spacing w:after="0" w:line="240" w:lineRule="auto"/>
        <w:jc w:val="right"/>
        <w:rPr>
          <w:rFonts w:ascii="Arial" w:eastAsia="Calibri" w:hAnsi="Arial" w:cs="Arial"/>
          <w:b/>
          <w:kern w:val="24"/>
          <w:sz w:val="40"/>
          <w:szCs w:val="40"/>
          <w:lang w:val="en-IN"/>
        </w:rPr>
      </w:pPr>
      <w:r w:rsidRPr="0002581A">
        <w:rPr>
          <w:rFonts w:ascii="Arial" w:eastAsia="Calibri" w:hAnsi="Arial" w:cs="Arial"/>
          <w:b/>
          <w:kern w:val="24"/>
          <w:sz w:val="40"/>
          <w:szCs w:val="40"/>
          <w:lang w:val="en-IN"/>
        </w:rPr>
        <w:t>in South West Garo Hills District, Meghalaya</w:t>
      </w:r>
      <w:r w:rsidR="00735E4B">
        <w:rPr>
          <w:rFonts w:ascii="Arial" w:eastAsia="Calibri" w:hAnsi="Arial" w:cs="Arial"/>
          <w:b/>
          <w:kern w:val="24"/>
          <w:sz w:val="40"/>
          <w:szCs w:val="40"/>
          <w:lang w:val="en-IN"/>
        </w:rPr>
        <w:t xml:space="preserve">, India </w:t>
      </w:r>
    </w:p>
    <w:p w14:paraId="63DD3577" w14:textId="77777777" w:rsidR="00D95785" w:rsidRDefault="00D95785" w:rsidP="00585774">
      <w:pPr>
        <w:jc w:val="center"/>
        <w:rPr>
          <w:rFonts w:ascii="Arial" w:hAnsi="Arial" w:cs="Arial"/>
          <w:b/>
          <w:lang w:bidi="he-IL"/>
        </w:rPr>
      </w:pPr>
    </w:p>
    <w:p w14:paraId="3858F1CB" w14:textId="77777777" w:rsidR="00792956" w:rsidRDefault="00792956" w:rsidP="00585774">
      <w:pPr>
        <w:jc w:val="center"/>
        <w:rPr>
          <w:rFonts w:ascii="Arial" w:hAnsi="Arial" w:cs="Arial"/>
          <w:b/>
          <w:lang w:bidi="he-IL"/>
        </w:rPr>
      </w:pPr>
    </w:p>
    <w:p w14:paraId="1CA7D87F" w14:textId="4CA89EC6" w:rsidR="00D95785" w:rsidRPr="002B7546" w:rsidRDefault="007F632E" w:rsidP="002B7546">
      <w:pPr>
        <w:jc w:val="center"/>
        <w:rPr>
          <w:rFonts w:ascii="Arial" w:hAnsi="Arial" w:cs="Arial"/>
          <w:b/>
          <w:highlight w:val="yellow"/>
          <w:lang w:bidi="he-IL"/>
        </w:rPr>
      </w:pPr>
      <w:r w:rsidRPr="002B7546">
        <w:rPr>
          <w:rFonts w:ascii="Arial" w:hAnsi="Arial" w:cs="Arial"/>
          <w:b/>
          <w:highlight w:val="yellow"/>
          <w:lang w:bidi="he-IL"/>
        </w:rPr>
        <w:t>Abstract</w:t>
      </w:r>
    </w:p>
    <w:p w14:paraId="6E29309D"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Objective: This study aims to analyze the spatial distribution and service coverage of Primary Health Centres (PHCs) in South West Garo Hills district, Meghalaya, North East India, using geospatial techniques to assess accessibility and planning efficiency.</w:t>
      </w:r>
    </w:p>
    <w:p w14:paraId="3D3AE4E1"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Methodology: The study was conducted from March to September 2025, using secondary data from geographic, demographic, and administrative sources. Eleven PHCs were analyzed using Nearest Neighbor Analysis to determine whether their spatial arrangement was clustered, random, or dispersed, with the Nearest Neighbor Index quantifying the degree of dispersion. Thiessen Polygon analysis was employed to delineate service areas for each PHC and assess spatial coverage and locational efficiency. Geographic boundary shapefiles facilitated accurate spatial mapping.</w:t>
      </w:r>
    </w:p>
    <w:p w14:paraId="176B70AB"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Results: The Nearest Neighbor Index was 1.24, indicating a generally dispersed distribution, with the mean observed distance between centers (5.35 km) exceeding the expected distance (4.32 km). Thiessen Polygon analysis revealed significant variability in service areas, with some PHCs covering extensive regions, suggesting reduced accessibility, while others served smaller, more localized zones. These disparities highlight uneven health service availability, particularly in remote and geographically challenging areas.</w:t>
      </w:r>
    </w:p>
    <w:p w14:paraId="0FCE1D4D" w14:textId="77777777" w:rsidR="001140DF" w:rsidRPr="002B7546" w:rsidRDefault="001140DF" w:rsidP="001140DF">
      <w:pPr>
        <w:pStyle w:val="p1"/>
        <w:tabs>
          <w:tab w:val="left" w:pos="2160"/>
        </w:tabs>
        <w:spacing w:line="360" w:lineRule="auto"/>
        <w:jc w:val="both"/>
        <w:rPr>
          <w:rFonts w:ascii="Arial" w:hAnsi="Arial" w:cs="Arial"/>
          <w:bCs/>
          <w:sz w:val="20"/>
          <w:szCs w:val="20"/>
          <w:highlight w:val="yellow"/>
          <w:lang w:bidi="he-IL"/>
        </w:rPr>
      </w:pPr>
      <w:r w:rsidRPr="002B7546">
        <w:rPr>
          <w:rFonts w:ascii="Arial" w:hAnsi="Arial" w:cs="Arial"/>
          <w:bCs/>
          <w:sz w:val="20"/>
          <w:szCs w:val="20"/>
          <w:highlight w:val="yellow"/>
          <w:lang w:bidi="he-IL"/>
        </w:rPr>
        <w:t>Conclusion: The study emphasizes the need for strategic reallocation of existing PHCs and establishment of additional facilities, considering population distribution and terrain, to enhance equitable healthcare access. Geospatial analysis proves valuable for evidence-based planning, supporting targeted interventions to improve the efficiency and accessibility of rural health infrastructure.</w:t>
      </w:r>
    </w:p>
    <w:p w14:paraId="7146C9E4" w14:textId="77777777" w:rsidR="00520EFD" w:rsidRPr="002B7546" w:rsidRDefault="007F632E" w:rsidP="007F632E">
      <w:pPr>
        <w:pStyle w:val="p1"/>
        <w:tabs>
          <w:tab w:val="left" w:pos="2160"/>
        </w:tabs>
        <w:spacing w:line="360" w:lineRule="auto"/>
        <w:jc w:val="both"/>
        <w:rPr>
          <w:rFonts w:ascii="Arial" w:hAnsi="Arial" w:cs="Arial"/>
          <w:bCs/>
          <w:sz w:val="20"/>
          <w:szCs w:val="20"/>
          <w:lang w:val="en-US" w:eastAsia="en-US" w:bidi="he-IL"/>
        </w:rPr>
      </w:pPr>
      <w:r w:rsidRPr="002B7546">
        <w:rPr>
          <w:rFonts w:ascii="Arial" w:hAnsi="Arial" w:cs="Arial"/>
          <w:b/>
          <w:sz w:val="20"/>
          <w:szCs w:val="20"/>
          <w:highlight w:val="yellow"/>
          <w:lang w:val="en-US" w:eastAsia="en-US" w:bidi="he-IL"/>
        </w:rPr>
        <w:t>Keywords:</w:t>
      </w:r>
      <w:r w:rsidR="00585774" w:rsidRPr="002B7546">
        <w:rPr>
          <w:rFonts w:ascii="Arial" w:hAnsi="Arial" w:cs="Arial"/>
          <w:bCs/>
          <w:sz w:val="20"/>
          <w:szCs w:val="20"/>
          <w:highlight w:val="yellow"/>
          <w:lang w:val="en-US" w:eastAsia="en-US" w:bidi="he-IL"/>
        </w:rPr>
        <w:t>PHC</w:t>
      </w:r>
      <w:r w:rsidR="007A3A5B" w:rsidRPr="002B7546">
        <w:rPr>
          <w:rFonts w:ascii="Arial" w:hAnsi="Arial" w:cs="Arial"/>
          <w:bCs/>
          <w:sz w:val="20"/>
          <w:szCs w:val="20"/>
          <w:highlight w:val="yellow"/>
          <w:lang w:val="en-US" w:eastAsia="en-US" w:bidi="he-IL"/>
        </w:rPr>
        <w:t xml:space="preserve">, </w:t>
      </w:r>
      <w:r w:rsidRPr="002B7546">
        <w:rPr>
          <w:rFonts w:ascii="Arial" w:hAnsi="Arial" w:cs="Arial"/>
          <w:bCs/>
          <w:sz w:val="20"/>
          <w:szCs w:val="20"/>
          <w:highlight w:val="yellow"/>
          <w:lang w:val="en-US" w:eastAsia="en-US" w:bidi="he-IL"/>
        </w:rPr>
        <w:t>Spatial Distribution,Nearest Neighbor Analysis, Thiessen</w:t>
      </w:r>
      <w:r w:rsidR="001D7984" w:rsidRPr="002B7546">
        <w:rPr>
          <w:rFonts w:ascii="Arial" w:hAnsi="Arial" w:cs="Arial"/>
          <w:bCs/>
          <w:sz w:val="20"/>
          <w:szCs w:val="20"/>
          <w:highlight w:val="yellow"/>
          <w:lang w:val="en-US" w:eastAsia="en-US" w:bidi="he-IL"/>
        </w:rPr>
        <w:t xml:space="preserve"> Polygon,</w:t>
      </w:r>
      <w:r w:rsidR="00585774" w:rsidRPr="002B7546">
        <w:rPr>
          <w:rFonts w:ascii="Arial" w:hAnsi="Arial" w:cs="Arial"/>
          <w:bCs/>
          <w:sz w:val="20"/>
          <w:szCs w:val="20"/>
          <w:highlight w:val="yellow"/>
          <w:lang w:val="en-US" w:eastAsia="en-US" w:bidi="he-IL"/>
        </w:rPr>
        <w:t xml:space="preserve"> Health Accessibility</w:t>
      </w:r>
    </w:p>
    <w:p w14:paraId="43BC3580" w14:textId="77777777" w:rsidR="001D7984" w:rsidRPr="002B7546" w:rsidRDefault="001D7984" w:rsidP="007F632E">
      <w:pPr>
        <w:pStyle w:val="p1"/>
        <w:tabs>
          <w:tab w:val="left" w:pos="2160"/>
        </w:tabs>
        <w:spacing w:line="360" w:lineRule="auto"/>
        <w:jc w:val="both"/>
        <w:rPr>
          <w:rFonts w:ascii="Arial" w:hAnsi="Arial" w:cs="Arial"/>
          <w:bCs/>
          <w:sz w:val="20"/>
          <w:szCs w:val="20"/>
          <w:lang w:val="en-US" w:eastAsia="en-US" w:bidi="he-IL"/>
        </w:rPr>
      </w:pPr>
    </w:p>
    <w:p w14:paraId="5795BF8C" w14:textId="77777777" w:rsidR="002B7546" w:rsidRPr="0091190F" w:rsidRDefault="002B7546" w:rsidP="007F632E">
      <w:pPr>
        <w:pStyle w:val="p1"/>
        <w:tabs>
          <w:tab w:val="left" w:pos="2160"/>
        </w:tabs>
        <w:spacing w:line="360" w:lineRule="auto"/>
        <w:jc w:val="both"/>
        <w:rPr>
          <w:rFonts w:ascii="Arial" w:hAnsi="Arial" w:cs="Arial"/>
          <w:bCs/>
          <w:sz w:val="20"/>
          <w:szCs w:val="20"/>
          <w:lang w:val="en-US" w:eastAsia="en-US" w:bidi="he-IL"/>
        </w:rPr>
      </w:pPr>
    </w:p>
    <w:p w14:paraId="265D4B24" w14:textId="77777777" w:rsidR="001D7984" w:rsidRPr="0091190F" w:rsidRDefault="001D7984" w:rsidP="007F632E">
      <w:pPr>
        <w:pStyle w:val="p1"/>
        <w:tabs>
          <w:tab w:val="left" w:pos="2160"/>
        </w:tabs>
        <w:spacing w:line="360" w:lineRule="auto"/>
        <w:jc w:val="both"/>
        <w:rPr>
          <w:rFonts w:ascii="Arial" w:hAnsi="Arial" w:cs="Arial"/>
          <w:bCs/>
          <w:sz w:val="20"/>
          <w:szCs w:val="20"/>
          <w:lang w:val="en-US" w:eastAsia="en-US" w:bidi="he-IL"/>
        </w:rPr>
      </w:pPr>
    </w:p>
    <w:p w14:paraId="64185D2C" w14:textId="77777777" w:rsidR="001D7984" w:rsidRPr="0091190F" w:rsidRDefault="002866A2" w:rsidP="002866A2">
      <w:pPr>
        <w:spacing w:line="360" w:lineRule="auto"/>
        <w:jc w:val="both"/>
        <w:rPr>
          <w:rStyle w:val="s1"/>
          <w:rFonts w:ascii="Arial" w:hAnsi="Arial" w:cs="Arial"/>
          <w:b/>
          <w:lang w:val="en-IN" w:eastAsia="en-GB"/>
        </w:rPr>
      </w:pPr>
      <w:r>
        <w:rPr>
          <w:rStyle w:val="s1"/>
          <w:rFonts w:ascii="Arial" w:hAnsi="Arial" w:cs="Arial"/>
          <w:b/>
          <w:lang w:val="en-IN" w:eastAsia="en-GB"/>
        </w:rPr>
        <w:t xml:space="preserve">1. </w:t>
      </w:r>
      <w:r w:rsidRPr="0091190F">
        <w:rPr>
          <w:rStyle w:val="s1"/>
          <w:rFonts w:ascii="Arial" w:hAnsi="Arial" w:cs="Arial"/>
          <w:b/>
          <w:lang w:val="en-IN" w:eastAsia="en-GB"/>
        </w:rPr>
        <w:t>INTRODUCTION</w:t>
      </w:r>
    </w:p>
    <w:p w14:paraId="15BB4A90" w14:textId="5AFF1310" w:rsidR="001D7984" w:rsidRDefault="001D7984" w:rsidP="00236B3F">
      <w:pPr>
        <w:spacing w:after="0" w:line="360" w:lineRule="auto"/>
        <w:jc w:val="both"/>
        <w:rPr>
          <w:rStyle w:val="s1"/>
          <w:rFonts w:ascii="Arial" w:hAnsi="Arial" w:cs="Arial"/>
          <w:bCs/>
          <w:sz w:val="20"/>
          <w:szCs w:val="20"/>
          <w:lang w:val="en-IN" w:eastAsia="en-GB"/>
        </w:rPr>
      </w:pPr>
      <w:r w:rsidRPr="0091190F">
        <w:rPr>
          <w:rStyle w:val="s1"/>
          <w:rFonts w:ascii="Arial" w:hAnsi="Arial" w:cs="Arial"/>
          <w:bCs/>
          <w:sz w:val="20"/>
          <w:szCs w:val="20"/>
          <w:lang w:val="en-IN" w:eastAsia="en-GB"/>
        </w:rPr>
        <w:t xml:space="preserve">Primary Health Care (PHC) has been a cornerstone of global health initiatives since the Alma-Ata Declaration of 1978, which emphasized equitable access to essential health services through community participation and multisectoral collaboration </w:t>
      </w:r>
      <w:r w:rsidRPr="00236B3F">
        <w:rPr>
          <w:rStyle w:val="s1"/>
          <w:rFonts w:ascii="Arial" w:hAnsi="Arial" w:cs="Arial"/>
          <w:bCs/>
          <w:sz w:val="20"/>
          <w:szCs w:val="20"/>
          <w:lang w:val="en-IN" w:eastAsia="en-GB"/>
        </w:rPr>
        <w:t>(</w:t>
      </w:r>
      <w:r w:rsidR="000D74B1" w:rsidRPr="00236B3F">
        <w:t>Danyon Dameshwa Jyrwa et al</w:t>
      </w:r>
      <w:r w:rsidR="00BB73A7" w:rsidRPr="00236B3F">
        <w:t>,</w:t>
      </w:r>
      <w:r w:rsidR="000D74B1" w:rsidRPr="00236B3F">
        <w:t>2025;</w:t>
      </w:r>
      <w:r w:rsidR="0014227A">
        <w:t xml:space="preserve"> </w:t>
      </w:r>
      <w:r w:rsidR="00236B3F" w:rsidRPr="00236B3F">
        <w:rPr>
          <w:rFonts w:ascii="Arial" w:eastAsia="Times New Roman" w:hAnsi="Arial" w:cs="Arial"/>
          <w:sz w:val="20"/>
          <w:szCs w:val="20"/>
          <w:lang w:eastAsia="en-IN"/>
        </w:rPr>
        <w:t>Lori Engjaipi</w:t>
      </w:r>
      <w:r w:rsidR="000D74B1" w:rsidRPr="00236B3F">
        <w:t>et al</w:t>
      </w:r>
      <w:r w:rsidR="00BB73A7" w:rsidRPr="00236B3F">
        <w:t>,</w:t>
      </w:r>
      <w:r w:rsidR="000D74B1" w:rsidRPr="00236B3F">
        <w:t xml:space="preserve"> 2025;</w:t>
      </w:r>
      <w:r w:rsidR="005D2B90" w:rsidRPr="000B23AD">
        <w:rPr>
          <w:rFonts w:ascii="Arial" w:hAnsi="Arial" w:cs="Arial"/>
          <w:bCs/>
          <w:sz w:val="20"/>
          <w:szCs w:val="20"/>
        </w:rPr>
        <w:t>Ramphila</w:t>
      </w:r>
      <w:r w:rsidR="000D74B1" w:rsidRPr="00236B3F">
        <w:t xml:space="preserve"> et al</w:t>
      </w:r>
      <w:r w:rsidR="00BB73A7" w:rsidRPr="00236B3F">
        <w:t>,</w:t>
      </w:r>
      <w:r w:rsidR="000D74B1" w:rsidRPr="00236B3F">
        <w:t xml:space="preserve"> 2025;</w:t>
      </w:r>
      <w:r w:rsidR="0014227A">
        <w:t xml:space="preserve"> </w:t>
      </w:r>
      <w:r w:rsidR="0014227A" w:rsidRPr="0014227A">
        <w:rPr>
          <w:rFonts w:ascii="Arial" w:hAnsi="Arial" w:cs="Arial"/>
          <w:color w:val="222222"/>
          <w:sz w:val="20"/>
          <w:szCs w:val="20"/>
          <w:shd w:val="clear" w:color="auto" w:fill="FFFFFF"/>
        </w:rPr>
        <w:t>Nemaha Mate</w:t>
      </w:r>
      <w:r w:rsidR="000D74B1" w:rsidRPr="00236B3F">
        <w:t xml:space="preserve"> et al</w:t>
      </w:r>
      <w:r w:rsidR="00BB73A7" w:rsidRPr="00236B3F">
        <w:t>,</w:t>
      </w:r>
      <w:r w:rsidR="000D74B1" w:rsidRPr="00236B3F">
        <w:t xml:space="preserve"> 2025</w:t>
      </w:r>
      <w:r w:rsidRPr="00236B3F">
        <w:rPr>
          <w:rStyle w:val="s1"/>
          <w:rFonts w:ascii="Arial" w:hAnsi="Arial" w:cs="Arial"/>
          <w:bCs/>
          <w:sz w:val="20"/>
          <w:szCs w:val="20"/>
          <w:lang w:val="en-IN" w:eastAsia="en-GB"/>
        </w:rPr>
        <w:t>). Despite widespread recognition of its importance, delivering effective primary healthcare remains a significant</w:t>
      </w:r>
      <w:r w:rsidRPr="0091190F">
        <w:rPr>
          <w:rStyle w:val="s1"/>
          <w:rFonts w:ascii="Arial" w:hAnsi="Arial" w:cs="Arial"/>
          <w:bCs/>
          <w:sz w:val="20"/>
          <w:szCs w:val="20"/>
          <w:lang w:val="en-IN" w:eastAsia="en-GB"/>
        </w:rPr>
        <w:t xml:space="preserve"> challenge, especially in developing countries like India, where geographic, infrastructural, and socio-economic barriers limit access, particularly in remote and rural </w:t>
      </w:r>
      <w:r w:rsidRPr="00236B3F">
        <w:rPr>
          <w:rStyle w:val="s1"/>
          <w:rFonts w:ascii="Arial" w:hAnsi="Arial" w:cs="Arial"/>
          <w:bCs/>
          <w:sz w:val="20"/>
          <w:szCs w:val="20"/>
          <w:lang w:val="en-IN" w:eastAsia="en-GB"/>
        </w:rPr>
        <w:t>areas (</w:t>
      </w:r>
      <w:r w:rsidR="001C4353" w:rsidRPr="00236B3F">
        <w:rPr>
          <w:rStyle w:val="s1"/>
          <w:rFonts w:ascii="Arial" w:hAnsi="Arial" w:cs="Arial"/>
          <w:bCs/>
          <w:sz w:val="20"/>
          <w:szCs w:val="20"/>
          <w:lang w:val="en-IN" w:eastAsia="en-GB"/>
        </w:rPr>
        <w:t>Saravanabavan et al</w:t>
      </w:r>
      <w:r w:rsidR="00BB73A7" w:rsidRPr="00236B3F">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2021;2019</w:t>
      </w:r>
      <w:r w:rsidRPr="00236B3F">
        <w:rPr>
          <w:rStyle w:val="s1"/>
          <w:rFonts w:ascii="Arial" w:hAnsi="Arial" w:cs="Arial"/>
          <w:bCs/>
          <w:sz w:val="20"/>
          <w:szCs w:val="20"/>
          <w:lang w:val="en-IN" w:eastAsia="en-GB"/>
        </w:rPr>
        <w:t>). Research</w:t>
      </w:r>
      <w:r w:rsidRPr="0091190F">
        <w:rPr>
          <w:rStyle w:val="s1"/>
          <w:rFonts w:ascii="Arial" w:hAnsi="Arial" w:cs="Arial"/>
          <w:bCs/>
          <w:sz w:val="20"/>
          <w:szCs w:val="20"/>
          <w:lang w:val="en-IN" w:eastAsia="en-GB"/>
        </w:rPr>
        <w:t xml:space="preserve"> indicates that accessibility to healthcare is influenced not only by physical distance but also by travel time and transportation availability </w:t>
      </w:r>
      <w:r w:rsidRPr="00A51BCB">
        <w:rPr>
          <w:rStyle w:val="s1"/>
          <w:rFonts w:ascii="Arial" w:hAnsi="Arial" w:cs="Arial"/>
          <w:bCs/>
          <w:sz w:val="20"/>
          <w:szCs w:val="20"/>
          <w:lang w:val="en-IN" w:eastAsia="en-GB"/>
        </w:rPr>
        <w:t>(Agbenyo et al., 2017</w:t>
      </w:r>
      <w:r w:rsidR="00075ABF" w:rsidRPr="00653348">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Vinothini et al</w:t>
      </w:r>
      <w:r w:rsidR="00BB73A7" w:rsidRPr="00236B3F">
        <w:rPr>
          <w:rStyle w:val="s1"/>
          <w:rFonts w:ascii="Arial" w:hAnsi="Arial" w:cs="Arial"/>
          <w:bCs/>
          <w:sz w:val="20"/>
          <w:szCs w:val="20"/>
          <w:lang w:val="en-IN" w:eastAsia="en-GB"/>
        </w:rPr>
        <w:t>,</w:t>
      </w:r>
      <w:r w:rsidR="00075ABF" w:rsidRPr="00236B3F">
        <w:rPr>
          <w:rStyle w:val="s1"/>
          <w:rFonts w:ascii="Arial" w:hAnsi="Arial" w:cs="Arial"/>
          <w:bCs/>
          <w:sz w:val="20"/>
          <w:szCs w:val="20"/>
          <w:lang w:val="en-IN" w:eastAsia="en-GB"/>
        </w:rPr>
        <w:t xml:space="preserve"> 2025;</w:t>
      </w:r>
      <w:r w:rsidR="00591FA6" w:rsidRPr="00236B3F">
        <w:rPr>
          <w:rStyle w:val="s1"/>
          <w:rFonts w:ascii="Arial" w:hAnsi="Arial" w:cs="Arial"/>
          <w:bCs/>
          <w:sz w:val="20"/>
          <w:szCs w:val="20"/>
          <w:lang w:val="en-IN" w:eastAsia="en-GB"/>
        </w:rPr>
        <w:t xml:space="preserve">2024;2022 </w:t>
      </w:r>
      <w:r w:rsidRPr="00236B3F">
        <w:rPr>
          <w:rStyle w:val="s1"/>
          <w:rFonts w:ascii="Arial" w:hAnsi="Arial" w:cs="Arial"/>
          <w:bCs/>
          <w:sz w:val="20"/>
          <w:szCs w:val="20"/>
          <w:lang w:val="en-IN" w:eastAsia="en-GB"/>
        </w:rPr>
        <w:t>).</w:t>
      </w:r>
      <w:r w:rsidRPr="0091190F">
        <w:rPr>
          <w:rStyle w:val="s1"/>
          <w:rFonts w:ascii="Arial" w:hAnsi="Arial" w:cs="Arial"/>
          <w:bCs/>
          <w:sz w:val="20"/>
          <w:szCs w:val="20"/>
          <w:lang w:val="en-IN" w:eastAsia="en-GB"/>
        </w:rPr>
        <w:t xml:space="preserve"> Many populations depend on public health services, yet these are often unevenly distributed, leaving gaps in coverage that compel reliance on private alternatives </w:t>
      </w:r>
      <w:r w:rsidRPr="0072442A">
        <w:rPr>
          <w:rStyle w:val="s1"/>
          <w:rFonts w:ascii="Arial" w:hAnsi="Arial" w:cs="Arial"/>
          <w:bCs/>
          <w:sz w:val="20"/>
          <w:szCs w:val="20"/>
          <w:lang w:val="en-IN" w:eastAsia="en-GB"/>
        </w:rPr>
        <w:t>(Kumar et al., 2004).</w:t>
      </w:r>
      <w:r w:rsidR="00885C86">
        <w:rPr>
          <w:rFonts w:ascii="Arial" w:hAnsi="Arial" w:cs="Arial"/>
          <w:color w:val="222222"/>
          <w:sz w:val="20"/>
          <w:szCs w:val="20"/>
          <w:shd w:val="clear" w:color="auto" w:fill="FFFFFF"/>
        </w:rPr>
        <w:t>Resource allocation efficiency of urban medical and health financial expenditure under the background of employees’ health. </w:t>
      </w:r>
      <w:r w:rsidR="00046920" w:rsidRPr="00885C86">
        <w:rPr>
          <w:rStyle w:val="s1"/>
          <w:rFonts w:ascii="Arial" w:hAnsi="Arial" w:cs="Arial"/>
          <w:bCs/>
          <w:sz w:val="20"/>
          <w:szCs w:val="20"/>
          <w:lang w:val="en-IN" w:eastAsia="en-GB"/>
        </w:rPr>
        <w:t>(</w:t>
      </w:r>
      <w:r w:rsidR="00046920">
        <w:rPr>
          <w:rFonts w:ascii="Arial" w:hAnsi="Arial" w:cs="Arial"/>
          <w:color w:val="222222"/>
          <w:sz w:val="20"/>
          <w:szCs w:val="20"/>
          <w:shd w:val="clear" w:color="auto" w:fill="FFFFFF"/>
        </w:rPr>
        <w:t>Gong, &amp; Kang, 2023)</w:t>
      </w:r>
      <w:r w:rsidRPr="0091190F">
        <w:rPr>
          <w:rStyle w:val="s1"/>
          <w:rFonts w:ascii="Arial" w:hAnsi="Arial" w:cs="Arial"/>
          <w:bCs/>
          <w:sz w:val="20"/>
          <w:szCs w:val="20"/>
          <w:lang w:val="en-IN" w:eastAsia="en-GB"/>
        </w:rPr>
        <w:t xml:space="preserve"> and in India, where rapid urbanization and resource constraints hinder primary healthcare development </w:t>
      </w:r>
      <w:r w:rsidRPr="00046920">
        <w:rPr>
          <w:rStyle w:val="s1"/>
          <w:rFonts w:ascii="Arial" w:hAnsi="Arial" w:cs="Arial"/>
          <w:bCs/>
          <w:sz w:val="20"/>
          <w:szCs w:val="20"/>
          <w:lang w:val="en-IN" w:eastAsia="en-GB"/>
        </w:rPr>
        <w:t>(</w:t>
      </w:r>
      <w:r w:rsidR="00046920">
        <w:rPr>
          <w:rFonts w:ascii="Arial" w:eastAsia="Times New Roman" w:hAnsi="Arial" w:cs="Arial"/>
          <w:sz w:val="20"/>
          <w:szCs w:val="20"/>
          <w:shd w:val="clear" w:color="auto" w:fill="FFFFFF"/>
        </w:rPr>
        <w:t>Kumar ,</w:t>
      </w:r>
      <w:r w:rsidR="00790065">
        <w:rPr>
          <w:rFonts w:ascii="Arial" w:eastAsia="Times New Roman" w:hAnsi="Arial" w:cs="Arial"/>
          <w:sz w:val="20"/>
          <w:szCs w:val="20"/>
          <w:shd w:val="clear" w:color="auto" w:fill="FFFFFF"/>
        </w:rPr>
        <w:t>202</w:t>
      </w:r>
      <w:r w:rsidR="00046920">
        <w:rPr>
          <w:rFonts w:ascii="Arial" w:eastAsia="Times New Roman" w:hAnsi="Arial" w:cs="Arial"/>
          <w:sz w:val="20"/>
          <w:szCs w:val="20"/>
          <w:shd w:val="clear" w:color="auto" w:fill="FFFFFF"/>
        </w:rPr>
        <w:t>4</w:t>
      </w:r>
      <w:r w:rsidRPr="00046920">
        <w:rPr>
          <w:rStyle w:val="s1"/>
          <w:rFonts w:ascii="Arial" w:hAnsi="Arial" w:cs="Arial"/>
          <w:bCs/>
          <w:sz w:val="20"/>
          <w:szCs w:val="20"/>
          <w:lang w:val="en-IN" w:eastAsia="en-GB"/>
        </w:rPr>
        <w:t>;Kaushal</w:t>
      </w:r>
      <w:r w:rsidR="0009156A" w:rsidRPr="0009156A">
        <w:rPr>
          <w:rStyle w:val="s1"/>
          <w:rFonts w:ascii="Arial" w:hAnsi="Arial" w:cs="Arial"/>
          <w:bCs/>
          <w:sz w:val="20"/>
          <w:szCs w:val="20"/>
          <w:lang w:val="en-IN" w:eastAsia="en-GB"/>
        </w:rPr>
        <w:t xml:space="preserve"> Kumar</w:t>
      </w:r>
      <w:r w:rsidRPr="0009156A">
        <w:rPr>
          <w:rStyle w:val="s1"/>
          <w:rFonts w:ascii="Arial" w:hAnsi="Arial" w:cs="Arial"/>
          <w:bCs/>
          <w:sz w:val="20"/>
          <w:szCs w:val="20"/>
          <w:lang w:val="en-IN" w:eastAsia="en-GB"/>
        </w:rPr>
        <w:t xml:space="preserve"> 2023).</w:t>
      </w:r>
      <w:r w:rsidRPr="0091190F">
        <w:rPr>
          <w:rStyle w:val="s1"/>
          <w:rFonts w:ascii="Arial" w:hAnsi="Arial" w:cs="Arial"/>
          <w:bCs/>
          <w:sz w:val="20"/>
          <w:szCs w:val="20"/>
          <w:lang w:val="en-IN" w:eastAsia="en-GB"/>
        </w:rPr>
        <w:t xml:space="preserve"> Spatial analysis tools such as GIS have been employed across different regions to understa</w:t>
      </w:r>
      <w:r w:rsidR="00046920">
        <w:rPr>
          <w:rStyle w:val="s1"/>
          <w:rFonts w:ascii="Arial" w:hAnsi="Arial" w:cs="Arial"/>
          <w:bCs/>
          <w:sz w:val="20"/>
          <w:szCs w:val="20"/>
          <w:lang w:val="en-IN" w:eastAsia="en-GB"/>
        </w:rPr>
        <w:t xml:space="preserve">nd healthcare accessibility. In India </w:t>
      </w:r>
      <w:r w:rsidRPr="0091190F">
        <w:rPr>
          <w:rStyle w:val="s1"/>
          <w:rFonts w:ascii="Arial" w:hAnsi="Arial" w:cs="Arial"/>
          <w:bCs/>
          <w:sz w:val="20"/>
          <w:szCs w:val="20"/>
          <w:lang w:val="en-IN" w:eastAsia="en-GB"/>
        </w:rPr>
        <w:t xml:space="preserve">demonstrated the significance of distance in healthcare </w:t>
      </w:r>
      <w:r w:rsidR="00BB73A7">
        <w:rPr>
          <w:rStyle w:val="s1"/>
          <w:rFonts w:ascii="Arial" w:hAnsi="Arial" w:cs="Arial"/>
          <w:bCs/>
          <w:sz w:val="20"/>
          <w:szCs w:val="20"/>
          <w:lang w:val="en-IN" w:eastAsia="en-GB"/>
        </w:rPr>
        <w:t>utilisation</w:t>
      </w:r>
      <w:r w:rsidRPr="0091190F">
        <w:rPr>
          <w:rStyle w:val="s1"/>
          <w:rFonts w:ascii="Arial" w:hAnsi="Arial" w:cs="Arial"/>
          <w:bCs/>
          <w:sz w:val="20"/>
          <w:szCs w:val="20"/>
          <w:lang w:val="en-IN" w:eastAsia="en-GB"/>
        </w:rPr>
        <w:t xml:space="preserve"> among children, while </w:t>
      </w:r>
      <w:r w:rsidR="00AA5953">
        <w:rPr>
          <w:rStyle w:val="s1"/>
          <w:rFonts w:ascii="Arial" w:hAnsi="Arial" w:cs="Arial"/>
          <w:bCs/>
          <w:sz w:val="20"/>
          <w:szCs w:val="20"/>
          <w:lang w:val="en-IN" w:eastAsia="en-GB"/>
        </w:rPr>
        <w:t>highlighting</w:t>
      </w:r>
      <w:r w:rsidRPr="0091190F">
        <w:rPr>
          <w:rStyle w:val="s1"/>
          <w:rFonts w:ascii="Arial" w:hAnsi="Arial" w:cs="Arial"/>
          <w:bCs/>
          <w:sz w:val="20"/>
          <w:szCs w:val="20"/>
          <w:lang w:val="en-IN" w:eastAsia="en-GB"/>
        </w:rPr>
        <w:t xml:space="preserve"> how road connectivity influences access in </w:t>
      </w:r>
      <w:r w:rsidR="00BE442B">
        <w:rPr>
          <w:rStyle w:val="s1"/>
          <w:rFonts w:ascii="Arial" w:hAnsi="Arial" w:cs="Arial"/>
          <w:bCs/>
          <w:sz w:val="20"/>
          <w:szCs w:val="20"/>
          <w:lang w:val="en-IN" w:eastAsia="en-GB"/>
        </w:rPr>
        <w:t xml:space="preserve">PHC </w:t>
      </w:r>
      <w:r w:rsidR="00BB73A7">
        <w:rPr>
          <w:rStyle w:val="s1"/>
          <w:rFonts w:ascii="Arial" w:hAnsi="Arial" w:cs="Arial"/>
          <w:bCs/>
          <w:sz w:val="20"/>
          <w:szCs w:val="20"/>
          <w:lang w:val="en-IN" w:eastAsia="en-GB"/>
        </w:rPr>
        <w:t>centres</w:t>
      </w:r>
      <w:r w:rsidR="00BE442B">
        <w:rPr>
          <w:rStyle w:val="s1"/>
          <w:rFonts w:ascii="Arial" w:hAnsi="Arial" w:cs="Arial"/>
          <w:bCs/>
          <w:sz w:val="20"/>
          <w:szCs w:val="20"/>
          <w:lang w:val="en-IN" w:eastAsia="en-GB"/>
        </w:rPr>
        <w:t>.</w:t>
      </w:r>
      <w:r w:rsidR="00046920">
        <w:rPr>
          <w:rStyle w:val="s1"/>
          <w:rFonts w:ascii="Arial" w:hAnsi="Arial" w:cs="Arial"/>
          <w:bCs/>
          <w:sz w:val="20"/>
          <w:szCs w:val="20"/>
          <w:lang w:val="en-IN" w:eastAsia="en-GB"/>
        </w:rPr>
        <w:t>(</w:t>
      </w:r>
      <w:r w:rsidR="00046920" w:rsidRPr="0091190F">
        <w:rPr>
          <w:rStyle w:val="s1"/>
          <w:rFonts w:ascii="Arial" w:hAnsi="Arial" w:cs="Arial"/>
          <w:bCs/>
          <w:sz w:val="20"/>
          <w:szCs w:val="20"/>
          <w:lang w:val="en-IN" w:eastAsia="en-GB"/>
        </w:rPr>
        <w:t>Saravanabhavan et al.</w:t>
      </w:r>
      <w:r w:rsidR="00046920">
        <w:rPr>
          <w:rStyle w:val="s1"/>
          <w:rFonts w:ascii="Arial" w:hAnsi="Arial" w:cs="Arial"/>
          <w:bCs/>
          <w:sz w:val="20"/>
          <w:szCs w:val="20"/>
          <w:lang w:val="en-IN" w:eastAsia="en-GB"/>
        </w:rPr>
        <w:t xml:space="preserve"> 2025;2025</w:t>
      </w:r>
      <w:r w:rsidR="00800FAA">
        <w:rPr>
          <w:rStyle w:val="s1"/>
          <w:rFonts w:ascii="Arial" w:hAnsi="Arial" w:cs="Arial"/>
          <w:bCs/>
          <w:sz w:val="20"/>
          <w:szCs w:val="20"/>
          <w:lang w:val="en-IN" w:eastAsia="en-GB"/>
        </w:rPr>
        <w:t>a</w:t>
      </w:r>
      <w:r w:rsidR="00046920">
        <w:rPr>
          <w:rStyle w:val="s1"/>
          <w:rFonts w:ascii="Arial" w:hAnsi="Arial" w:cs="Arial"/>
          <w:bCs/>
          <w:sz w:val="20"/>
          <w:szCs w:val="20"/>
          <w:lang w:val="en-IN" w:eastAsia="en-GB"/>
        </w:rPr>
        <w:t>;2025</w:t>
      </w:r>
      <w:r w:rsidR="00800FAA">
        <w:rPr>
          <w:rStyle w:val="s1"/>
          <w:rFonts w:ascii="Arial" w:hAnsi="Arial" w:cs="Arial"/>
          <w:bCs/>
          <w:sz w:val="20"/>
          <w:szCs w:val="20"/>
          <w:lang w:val="en-IN" w:eastAsia="en-GB"/>
        </w:rPr>
        <w:t>b</w:t>
      </w:r>
      <w:r w:rsidR="00046920">
        <w:rPr>
          <w:rStyle w:val="s1"/>
          <w:rFonts w:ascii="Arial" w:hAnsi="Arial" w:cs="Arial"/>
          <w:bCs/>
          <w:sz w:val="20"/>
          <w:szCs w:val="20"/>
          <w:lang w:val="en-IN" w:eastAsia="en-GB"/>
        </w:rPr>
        <w:t>;2025</w:t>
      </w:r>
      <w:r w:rsidR="00800FAA">
        <w:rPr>
          <w:rStyle w:val="s1"/>
          <w:rFonts w:ascii="Arial" w:hAnsi="Arial" w:cs="Arial"/>
          <w:bCs/>
          <w:sz w:val="20"/>
          <w:szCs w:val="20"/>
          <w:lang w:val="en-IN" w:eastAsia="en-GB"/>
        </w:rPr>
        <w:t>c</w:t>
      </w:r>
      <w:r w:rsidR="00046920">
        <w:rPr>
          <w:rStyle w:val="s1"/>
          <w:rFonts w:ascii="Arial" w:hAnsi="Arial" w:cs="Arial"/>
          <w:bCs/>
          <w:sz w:val="20"/>
          <w:szCs w:val="20"/>
          <w:lang w:val="en-IN" w:eastAsia="en-GB"/>
        </w:rPr>
        <w:t>;2024)</w:t>
      </w:r>
      <w:r w:rsidRPr="0091190F">
        <w:rPr>
          <w:rStyle w:val="s1"/>
          <w:rFonts w:ascii="Arial" w:hAnsi="Arial" w:cs="Arial"/>
          <w:bCs/>
          <w:sz w:val="20"/>
          <w:szCs w:val="20"/>
          <w:lang w:val="en-IN" w:eastAsia="en-GB"/>
        </w:rPr>
        <w:t xml:space="preserve"> Similar studies in Latin America, Africa, and Asia have shown that reducing travel distances and improving transportation infrastructure can significantly enhance healthcare access (Mendoza-Gomez et al., 2022; Shaltynov et al., 2022). In high-income countries, disparities persist despite better resource distribution. For instance, measuring healthcare equity solely by doctor counts is inadequate, and remote areas still face access challenges, especially among vulnerable populations</w:t>
      </w:r>
      <w:r w:rsidR="00BE442B">
        <w:rPr>
          <w:rStyle w:val="s1"/>
          <w:rFonts w:ascii="Arial" w:hAnsi="Arial" w:cs="Arial"/>
          <w:bCs/>
          <w:sz w:val="20"/>
          <w:szCs w:val="20"/>
          <w:lang w:val="en-IN" w:eastAsia="en-GB"/>
        </w:rPr>
        <w:t>(</w:t>
      </w:r>
      <w:r w:rsidR="006553BF" w:rsidRPr="006553BF">
        <w:rPr>
          <w:rFonts w:ascii="Arial" w:hAnsi="Arial" w:cs="Arial"/>
          <w:color w:val="000000" w:themeColor="text1"/>
          <w:sz w:val="20"/>
          <w:szCs w:val="20"/>
        </w:rPr>
        <w:t>Sheheersha</w:t>
      </w:r>
      <w:r w:rsidR="009E078B">
        <w:rPr>
          <w:rFonts w:ascii="Arial" w:hAnsi="Arial" w:cs="Arial"/>
          <w:color w:val="000000" w:themeColor="text1"/>
          <w:sz w:val="20"/>
          <w:szCs w:val="20"/>
        </w:rPr>
        <w:t>&amp;</w:t>
      </w:r>
      <w:r w:rsidR="006553BF" w:rsidRPr="006553BF">
        <w:rPr>
          <w:rFonts w:ascii="Arial" w:hAnsi="Arial" w:cs="Arial"/>
          <w:color w:val="000000" w:themeColor="text1"/>
          <w:sz w:val="20"/>
          <w:szCs w:val="20"/>
        </w:rPr>
        <w:t>Saravanabavan</w:t>
      </w:r>
      <w:r w:rsidR="00915791" w:rsidRPr="006553BF">
        <w:rPr>
          <w:color w:val="000000" w:themeColor="text1"/>
        </w:rPr>
        <w:t>,2021</w:t>
      </w:r>
      <w:r w:rsidR="00915791">
        <w:t>;</w:t>
      </w:r>
      <w:r w:rsidR="00915791" w:rsidRPr="0008789F">
        <w:t>Radhakrishnan, &amp;Vaithialingam</w:t>
      </w:r>
      <w:r w:rsidR="00915791">
        <w:t>,2023</w:t>
      </w:r>
      <w:r w:rsidR="00BB73A7">
        <w:t xml:space="preserve">; </w:t>
      </w:r>
      <w:r w:rsidR="00915791">
        <w:t>Saravanabavan, et al</w:t>
      </w:r>
      <w:r w:rsidR="00BB73A7">
        <w:t>,</w:t>
      </w:r>
      <w:r w:rsidR="009E078B">
        <w:t>2025</w:t>
      </w:r>
      <w:r w:rsidR="00800FAA">
        <w:t>d</w:t>
      </w:r>
      <w:r w:rsidR="009E078B">
        <w:t>;2024</w:t>
      </w:r>
      <w:r w:rsidR="00800FAA">
        <w:t>a</w:t>
      </w:r>
      <w:r w:rsidR="009E078B">
        <w:t xml:space="preserve">;2023;2006; </w:t>
      </w:r>
      <w:r w:rsidRPr="00835AFB">
        <w:rPr>
          <w:rStyle w:val="s1"/>
          <w:rFonts w:ascii="Arial" w:hAnsi="Arial" w:cs="Arial"/>
          <w:bCs/>
          <w:sz w:val="20"/>
          <w:szCs w:val="20"/>
          <w:lang w:val="en-IN" w:eastAsia="en-GB"/>
        </w:rPr>
        <w:t>Ryskina et al., 2021).</w:t>
      </w:r>
      <w:r w:rsidRPr="0091190F">
        <w:rPr>
          <w:rStyle w:val="s1"/>
          <w:rFonts w:ascii="Arial" w:hAnsi="Arial" w:cs="Arial"/>
          <w:bCs/>
          <w:sz w:val="20"/>
          <w:szCs w:val="20"/>
          <w:lang w:val="en-IN" w:eastAsia="en-GB"/>
        </w:rPr>
        <w:t xml:space="preserve"> During crises like the COVID-19 pandemic, telemedicine emerged as a vital tool to bridge access gaps, although issues of inequality and technological barriers remain (Carrillo de et al., 2022). Efforts to optimize PHC placement have involved models such as the capacitated P-median methods, which help identify optimal locations and assess accessibility more accurately in rural settings (</w:t>
      </w:r>
      <w:bookmarkStart w:id="0" w:name="_Hlk214795310"/>
      <w:r w:rsidR="00E419EC" w:rsidRPr="004A72B4">
        <w:rPr>
          <w:rFonts w:ascii="Arial" w:hAnsi="Arial" w:cs="Arial"/>
          <w:sz w:val="20"/>
          <w:szCs w:val="20"/>
        </w:rPr>
        <w:t>Yanhua Gong</w:t>
      </w:r>
      <w:bookmarkEnd w:id="0"/>
      <w:r w:rsidR="00E419EC">
        <w:rPr>
          <w:rFonts w:ascii="Arial" w:hAnsi="Arial" w:cs="Arial"/>
          <w:sz w:val="20"/>
          <w:szCs w:val="20"/>
        </w:rPr>
        <w:t>,2023 ;</w:t>
      </w:r>
      <w:r w:rsidRPr="0091190F">
        <w:rPr>
          <w:rStyle w:val="s1"/>
          <w:rFonts w:ascii="Arial" w:hAnsi="Arial" w:cs="Arial"/>
          <w:bCs/>
          <w:sz w:val="20"/>
          <w:szCs w:val="20"/>
          <w:lang w:val="en-IN" w:eastAsia="en-GB"/>
        </w:rPr>
        <w:t xml:space="preserve"> Hong et al., 2023). In South Asia, stigma and lack of awareness continue to hinder mental health service utilization, but targeted awareness campaigns show promise (Devkota et al., 2021). Similarly, socio-cultural factors and systemic inefficiencies influence healthcare utilization for non-communicable </w:t>
      </w:r>
      <w:r w:rsidRPr="00835AFB">
        <w:rPr>
          <w:rStyle w:val="s1"/>
          <w:rFonts w:ascii="Arial" w:hAnsi="Arial" w:cs="Arial"/>
          <w:bCs/>
          <w:sz w:val="20"/>
          <w:szCs w:val="20"/>
          <w:lang w:val="en-IN" w:eastAsia="en-GB"/>
        </w:rPr>
        <w:t>diseases (Kabir et al., 2022</w:t>
      </w:r>
      <w:r w:rsidR="005C53B6" w:rsidRPr="00835AFB">
        <w:rPr>
          <w:rStyle w:val="s1"/>
          <w:rFonts w:ascii="Arial" w:hAnsi="Arial" w:cs="Arial"/>
          <w:bCs/>
          <w:sz w:val="20"/>
          <w:szCs w:val="20"/>
          <w:lang w:val="en-IN" w:eastAsia="en-GB"/>
        </w:rPr>
        <w:t>; Vinothini</w:t>
      </w:r>
      <w:r w:rsidR="005C53B6">
        <w:rPr>
          <w:rStyle w:val="s1"/>
          <w:rFonts w:ascii="Arial" w:hAnsi="Arial" w:cs="Arial"/>
          <w:bCs/>
          <w:sz w:val="20"/>
          <w:szCs w:val="20"/>
          <w:lang w:val="en-IN" w:eastAsia="en-GB"/>
        </w:rPr>
        <w:t xml:space="preserve">et al </w:t>
      </w:r>
      <w:r w:rsidR="006129EB">
        <w:rPr>
          <w:rStyle w:val="s1"/>
          <w:rFonts w:ascii="Arial" w:hAnsi="Arial" w:cs="Arial"/>
          <w:bCs/>
          <w:sz w:val="20"/>
          <w:szCs w:val="20"/>
          <w:lang w:val="en-IN" w:eastAsia="en-GB"/>
        </w:rPr>
        <w:t>2025</w:t>
      </w:r>
      <w:r w:rsidR="00653348">
        <w:rPr>
          <w:rStyle w:val="s1"/>
          <w:rFonts w:ascii="Arial" w:hAnsi="Arial" w:cs="Arial"/>
          <w:bCs/>
          <w:sz w:val="20"/>
          <w:szCs w:val="20"/>
          <w:lang w:val="en-IN" w:eastAsia="en-GB"/>
        </w:rPr>
        <w:t>a</w:t>
      </w:r>
      <w:r w:rsidR="00BB73A7">
        <w:rPr>
          <w:rStyle w:val="s1"/>
          <w:rFonts w:ascii="Arial" w:hAnsi="Arial" w:cs="Arial"/>
          <w:bCs/>
          <w:sz w:val="20"/>
          <w:szCs w:val="20"/>
          <w:lang w:val="en-IN" w:eastAsia="en-GB"/>
        </w:rPr>
        <w:t xml:space="preserve">, </w:t>
      </w:r>
      <w:r w:rsidR="006129EB">
        <w:rPr>
          <w:rStyle w:val="s1"/>
          <w:rFonts w:ascii="Arial" w:hAnsi="Arial" w:cs="Arial"/>
          <w:bCs/>
          <w:sz w:val="20"/>
          <w:szCs w:val="20"/>
          <w:lang w:val="en-IN" w:eastAsia="en-GB"/>
        </w:rPr>
        <w:t>2025</w:t>
      </w:r>
      <w:r w:rsidR="00653348">
        <w:rPr>
          <w:rStyle w:val="s1"/>
          <w:rFonts w:ascii="Arial" w:hAnsi="Arial" w:cs="Arial"/>
          <w:bCs/>
          <w:sz w:val="20"/>
          <w:szCs w:val="20"/>
          <w:lang w:val="en-IN" w:eastAsia="en-GB"/>
        </w:rPr>
        <w:t>b</w:t>
      </w:r>
      <w:r w:rsidRPr="0091190F">
        <w:rPr>
          <w:rStyle w:val="s1"/>
          <w:rFonts w:ascii="Arial" w:hAnsi="Arial" w:cs="Arial"/>
          <w:bCs/>
          <w:sz w:val="20"/>
          <w:szCs w:val="20"/>
          <w:lang w:val="en-IN" w:eastAsia="en-GB"/>
        </w:rPr>
        <w:t xml:space="preserve">). In Meghalaya’s Garo Hills, disparities are particularly stark, with some districts lacking basic healthcare infrastructure, and traditional healing practices remain integral to community health (Sangma and Jevaraaj, 2021; </w:t>
      </w:r>
      <w:r w:rsidRPr="00BB073A">
        <w:rPr>
          <w:rStyle w:val="s1"/>
          <w:rFonts w:ascii="Arial" w:hAnsi="Arial" w:cs="Arial"/>
          <w:bCs/>
          <w:sz w:val="20"/>
          <w:szCs w:val="20"/>
          <w:lang w:val="en-IN" w:eastAsia="en-GB"/>
        </w:rPr>
        <w:t>Lyngdoh, 2022</w:t>
      </w:r>
      <w:r w:rsidRPr="0091190F">
        <w:rPr>
          <w:rStyle w:val="s1"/>
          <w:rFonts w:ascii="Arial" w:hAnsi="Arial" w:cs="Arial"/>
          <w:bCs/>
          <w:sz w:val="20"/>
          <w:szCs w:val="20"/>
          <w:lang w:val="en-IN" w:eastAsia="en-GB"/>
        </w:rPr>
        <w:t>). These disparities underscore the need for spatial analysis to better understand distribution patterns and improve service efficiency.</w:t>
      </w:r>
    </w:p>
    <w:p w14:paraId="66BFC750" w14:textId="664E3109" w:rsidR="002B7546" w:rsidRPr="002B7546" w:rsidRDefault="002B7546" w:rsidP="002B7546">
      <w:pPr>
        <w:spacing w:after="0" w:line="360" w:lineRule="auto"/>
        <w:ind w:firstLine="720"/>
        <w:jc w:val="both"/>
        <w:rPr>
          <w:rStyle w:val="s1"/>
          <w:rFonts w:ascii="Arial" w:hAnsi="Arial" w:cs="Arial"/>
          <w:bCs/>
          <w:sz w:val="20"/>
          <w:szCs w:val="20"/>
          <w:lang w:val="en-IN" w:eastAsia="en-GB"/>
        </w:rPr>
      </w:pPr>
      <w:r w:rsidRPr="002B7546">
        <w:rPr>
          <w:rFonts w:ascii="Times New Roman" w:hAnsi="Times New Roman" w:cs="Helvetica"/>
          <w:b/>
          <w:highlight w:val="yellow"/>
          <w:lang w:val="en-GB"/>
        </w:rPr>
        <w:lastRenderedPageBreak/>
        <w:t xml:space="preserve">This study provides important insights into the spatial distribution and service coverage of Primary Health Centres (PHCs) in South West Garo Hills, a region where accessibility gaps can directly influence public health outcomes. By using geospatial techniques, the research identifies underserved areas and highlights where strategic reallocation or additional facilities may be required. These findings contribute to a better understanding of healthcare inequalities in remote and hilly regions, and they offer evidence that can guide more equitable and efficient health planning. The study therefore supports both policymakers and researchers in addressing health </w:t>
      </w:r>
      <w:r w:rsidRPr="002B7546">
        <w:rPr>
          <w:rFonts w:ascii="Times New Roman" w:hAnsi="Times New Roman" w:cs="Helvetica"/>
          <w:b/>
          <w:lang w:val="en-GB"/>
        </w:rPr>
        <w:t>service disparities.</w:t>
      </w:r>
    </w:p>
    <w:p w14:paraId="4D28272A" w14:textId="77777777" w:rsidR="001D7984" w:rsidRPr="0091190F" w:rsidRDefault="002866A2" w:rsidP="001D7984">
      <w:pPr>
        <w:spacing w:line="360" w:lineRule="auto"/>
        <w:jc w:val="both"/>
        <w:rPr>
          <w:rStyle w:val="s1"/>
          <w:rFonts w:ascii="Arial" w:hAnsi="Arial" w:cs="Arial"/>
          <w:b/>
          <w:lang w:val="en-IN" w:eastAsia="en-GB"/>
        </w:rPr>
      </w:pPr>
      <w:r>
        <w:rPr>
          <w:rStyle w:val="s1"/>
          <w:rFonts w:ascii="Arial" w:hAnsi="Arial" w:cs="Arial"/>
          <w:b/>
          <w:lang w:val="en-IN" w:eastAsia="en-GB"/>
        </w:rPr>
        <w:t xml:space="preserve">2. </w:t>
      </w:r>
      <w:r w:rsidRPr="0091190F">
        <w:rPr>
          <w:rStyle w:val="s1"/>
          <w:rFonts w:ascii="Arial" w:hAnsi="Arial" w:cs="Arial"/>
          <w:b/>
          <w:lang w:val="en-IN" w:eastAsia="en-GB"/>
        </w:rPr>
        <w:t>OBJECTIVES</w:t>
      </w:r>
    </w:p>
    <w:p w14:paraId="18736095" w14:textId="77777777" w:rsidR="001D7984" w:rsidRPr="0091190F" w:rsidRDefault="001D7984" w:rsidP="002866A2">
      <w:pPr>
        <w:spacing w:line="360" w:lineRule="auto"/>
        <w:jc w:val="both"/>
        <w:rPr>
          <w:rStyle w:val="s1"/>
          <w:rFonts w:ascii="Arial" w:hAnsi="Arial" w:cs="Arial"/>
          <w:bCs/>
          <w:sz w:val="20"/>
          <w:szCs w:val="20"/>
          <w:lang w:val="en-IN" w:eastAsia="en-GB"/>
        </w:rPr>
      </w:pPr>
      <w:r w:rsidRPr="0091190F">
        <w:rPr>
          <w:rStyle w:val="s1"/>
          <w:rFonts w:ascii="Arial" w:hAnsi="Arial" w:cs="Arial"/>
          <w:bCs/>
          <w:sz w:val="20"/>
          <w:szCs w:val="20"/>
          <w:lang w:val="en-IN" w:eastAsia="en-GB"/>
        </w:rPr>
        <w:t>This study aims to analyze the spatial distribution pattern of Primary Health Centers in the South West Garo Hills district of Meghalaya and assess the location efficiency of these centers. Through this, the research seeks to identify gaps in healthcare coverage and inform strategies for equitable health service delivery in the region.</w:t>
      </w:r>
    </w:p>
    <w:p w14:paraId="00642423" w14:textId="77CE0C61" w:rsidR="00B23439" w:rsidRDefault="002866A2" w:rsidP="001D7984">
      <w:pPr>
        <w:spacing w:line="360" w:lineRule="auto"/>
        <w:jc w:val="both"/>
        <w:rPr>
          <w:rFonts w:ascii="Arial" w:eastAsia="Times New Roman" w:hAnsi="Arial" w:cs="Arial"/>
          <w:b/>
          <w:bCs/>
          <w:kern w:val="36"/>
          <w:lang w:bidi="ta-IN"/>
        </w:rPr>
      </w:pPr>
      <w:r>
        <w:rPr>
          <w:rFonts w:ascii="Arial" w:eastAsia="Times New Roman" w:hAnsi="Arial" w:cs="Arial"/>
          <w:b/>
          <w:bCs/>
          <w:kern w:val="36"/>
          <w:lang w:bidi="ta-IN"/>
        </w:rPr>
        <w:t xml:space="preserve">3. </w:t>
      </w:r>
      <w:r w:rsidR="00B23439">
        <w:rPr>
          <w:rFonts w:ascii="Arial" w:eastAsia="Times New Roman" w:hAnsi="Arial" w:cs="Arial"/>
          <w:b/>
          <w:bCs/>
          <w:kern w:val="36"/>
          <w:lang w:bidi="ta-IN"/>
        </w:rPr>
        <w:t>Methodology</w:t>
      </w:r>
    </w:p>
    <w:p w14:paraId="1D4D044E" w14:textId="17F07FD1" w:rsidR="00FE05A4" w:rsidRPr="00FE05A4" w:rsidRDefault="002866A2" w:rsidP="001D7984">
      <w:pPr>
        <w:spacing w:line="360" w:lineRule="auto"/>
        <w:jc w:val="both"/>
        <w:rPr>
          <w:rFonts w:ascii="Arial" w:eastAsiaTheme="majorEastAsia" w:hAnsi="Arial" w:cs="Arial"/>
        </w:rPr>
      </w:pPr>
      <w:r w:rsidRPr="0091190F">
        <w:rPr>
          <w:rFonts w:ascii="Arial" w:eastAsia="Times New Roman" w:hAnsi="Arial" w:cs="Arial"/>
          <w:b/>
          <w:bCs/>
          <w:kern w:val="36"/>
          <w:lang w:bidi="ta-IN"/>
        </w:rPr>
        <w:t>STUDY AREA</w:t>
      </w:r>
    </w:p>
    <w:p w14:paraId="2EAAE573" w14:textId="77777777" w:rsidR="007F632E" w:rsidRPr="00FE05A4" w:rsidRDefault="00FE05A4" w:rsidP="001D7984">
      <w:pPr>
        <w:spacing w:before="100" w:beforeAutospacing="1" w:after="100" w:afterAutospacing="1" w:line="360" w:lineRule="auto"/>
        <w:jc w:val="both"/>
        <w:rPr>
          <w:rFonts w:ascii="Arial" w:eastAsia="Times New Roman" w:hAnsi="Arial" w:cs="Arial"/>
          <w:sz w:val="20"/>
          <w:szCs w:val="20"/>
          <w:lang w:bidi="ta-IN"/>
        </w:rPr>
      </w:pPr>
      <w:r w:rsidRPr="00FE05A4">
        <w:rPr>
          <w:rFonts w:ascii="Arial" w:eastAsia="Times New Roman" w:hAnsi="Arial" w:cs="Arial"/>
          <w:sz w:val="20"/>
          <w:szCs w:val="20"/>
          <w:lang w:bidi="ta-IN"/>
        </w:rPr>
        <w:t xml:space="preserve">South West Garo Hills (SWGH) is one of the smallest districts of Meghalaya, created in 2012 with Ampati as its headquarters. It covers </w:t>
      </w:r>
      <w:r w:rsidRPr="0091190F">
        <w:rPr>
          <w:rFonts w:ascii="Arial" w:eastAsia="Times New Roman" w:hAnsi="Arial" w:cs="Arial"/>
          <w:sz w:val="20"/>
          <w:szCs w:val="20"/>
          <w:lang w:bidi="ta-IN"/>
        </w:rPr>
        <w:t>822 sq. km</w:t>
      </w:r>
      <w:r w:rsidRPr="00FE05A4">
        <w:rPr>
          <w:rFonts w:ascii="Arial" w:eastAsia="Times New Roman" w:hAnsi="Arial" w:cs="Arial"/>
          <w:sz w:val="20"/>
          <w:szCs w:val="20"/>
          <w:lang w:bidi="ta-IN"/>
        </w:rPr>
        <w:t xml:space="preserve"> and had a population of </w:t>
      </w:r>
      <w:r w:rsidRPr="0091190F">
        <w:rPr>
          <w:rFonts w:ascii="Arial" w:eastAsia="Times New Roman" w:hAnsi="Arial" w:cs="Arial"/>
          <w:sz w:val="20"/>
          <w:szCs w:val="20"/>
          <w:lang w:bidi="ta-IN"/>
        </w:rPr>
        <w:t>172,495</w:t>
      </w:r>
      <w:r w:rsidRPr="00FE05A4">
        <w:rPr>
          <w:rFonts w:ascii="Arial" w:eastAsia="Times New Roman" w:hAnsi="Arial" w:cs="Arial"/>
          <w:sz w:val="20"/>
          <w:szCs w:val="20"/>
          <w:lang w:bidi="ta-IN"/>
        </w:rPr>
        <w:t xml:space="preserve"> in 2011. The district is inhabited mainly by Garos along with Koch and Hajong communities. Its landscape includes both hills and plains along the Assam–Bangladesh border.The district has a </w:t>
      </w:r>
      <w:r w:rsidRPr="0091190F">
        <w:rPr>
          <w:rFonts w:ascii="Arial" w:eastAsia="Times New Roman" w:hAnsi="Arial" w:cs="Arial"/>
          <w:sz w:val="20"/>
          <w:szCs w:val="20"/>
          <w:lang w:bidi="ta-IN"/>
        </w:rPr>
        <w:t>sex ratio of 942</w:t>
      </w:r>
      <w:r w:rsidRPr="00FE05A4">
        <w:rPr>
          <w:rFonts w:ascii="Arial" w:eastAsia="Times New Roman" w:hAnsi="Arial" w:cs="Arial"/>
          <w:sz w:val="20"/>
          <w:szCs w:val="20"/>
          <w:lang w:bidi="ta-IN"/>
        </w:rPr>
        <w:t xml:space="preserve">, a </w:t>
      </w:r>
      <w:r w:rsidRPr="0091190F">
        <w:rPr>
          <w:rFonts w:ascii="Arial" w:eastAsia="Times New Roman" w:hAnsi="Arial" w:cs="Arial"/>
          <w:sz w:val="20"/>
          <w:szCs w:val="20"/>
          <w:lang w:bidi="ta-IN"/>
        </w:rPr>
        <w:t>literacy rate of 56.7%</w:t>
      </w:r>
      <w:r w:rsidRPr="00FE05A4">
        <w:rPr>
          <w:rFonts w:ascii="Arial" w:eastAsia="Times New Roman" w:hAnsi="Arial" w:cs="Arial"/>
          <w:sz w:val="20"/>
          <w:szCs w:val="20"/>
          <w:lang w:bidi="ta-IN"/>
        </w:rPr>
        <w:t xml:space="preserve">, and a </w:t>
      </w:r>
      <w:r w:rsidRPr="0091190F">
        <w:rPr>
          <w:rFonts w:ascii="Arial" w:eastAsia="Times New Roman" w:hAnsi="Arial" w:cs="Arial"/>
          <w:sz w:val="20"/>
          <w:szCs w:val="20"/>
          <w:lang w:bidi="ta-IN"/>
        </w:rPr>
        <w:t>population density of 210 per sq. km</w:t>
      </w:r>
      <w:r w:rsidRPr="00FE05A4">
        <w:rPr>
          <w:rFonts w:ascii="Arial" w:eastAsia="Times New Roman" w:hAnsi="Arial" w:cs="Arial"/>
          <w:sz w:val="20"/>
          <w:szCs w:val="20"/>
          <w:lang w:bidi="ta-IN"/>
        </w:rPr>
        <w:t xml:space="preserve">. </w:t>
      </w:r>
    </w:p>
    <w:p w14:paraId="6D3140B2" w14:textId="77777777" w:rsidR="00816D50" w:rsidRPr="0091190F" w:rsidRDefault="00EA3384" w:rsidP="001D7984">
      <w:pPr>
        <w:spacing w:after="0" w:line="360" w:lineRule="auto"/>
        <w:jc w:val="center"/>
        <w:rPr>
          <w:rFonts w:ascii="Arial" w:hAnsi="Arial" w:cs="Arial"/>
          <w:sz w:val="20"/>
          <w:szCs w:val="20"/>
          <w:lang w:bidi="he-IL"/>
        </w:rPr>
      </w:pPr>
      <w:r w:rsidRPr="0091190F">
        <w:rPr>
          <w:rFonts w:ascii="Arial" w:hAnsi="Arial" w:cs="Arial"/>
          <w:noProof/>
          <w:sz w:val="20"/>
          <w:szCs w:val="20"/>
        </w:rPr>
        <w:lastRenderedPageBreak/>
        <w:drawing>
          <wp:inline distT="0" distB="0" distL="0" distR="0" wp14:anchorId="54FD7ACA" wp14:editId="1B5C6D41">
            <wp:extent cx="5876663" cy="4143375"/>
            <wp:effectExtent l="19050" t="19050" r="9787" b="28575"/>
            <wp:docPr id="9" name="Picture 1" descr="C:\Users\91600\Desktop\Dissertation\IMG-20250522-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1600\Desktop\Dissertation\IMG-20250522-WA0000.jpg"/>
                    <pic:cNvPicPr>
                      <a:picLocks noChangeAspect="1" noChangeArrowheads="1"/>
                    </pic:cNvPicPr>
                  </pic:nvPicPr>
                  <pic:blipFill>
                    <a:blip r:embed="rId8" cstate="print"/>
                    <a:srcRect t="13839"/>
                    <a:stretch>
                      <a:fillRect/>
                    </a:stretch>
                  </pic:blipFill>
                  <pic:spPr bwMode="auto">
                    <a:xfrm>
                      <a:off x="0" y="0"/>
                      <a:ext cx="5902634" cy="4161686"/>
                    </a:xfrm>
                    <a:prstGeom prst="rect">
                      <a:avLst/>
                    </a:prstGeom>
                    <a:noFill/>
                    <a:ln w="3175">
                      <a:solidFill>
                        <a:schemeClr val="bg2">
                          <a:lumMod val="90000"/>
                        </a:schemeClr>
                      </a:solidFill>
                      <a:miter lim="800000"/>
                      <a:headEnd/>
                      <a:tailEnd/>
                    </a:ln>
                  </pic:spPr>
                </pic:pic>
              </a:graphicData>
            </a:graphic>
          </wp:inline>
        </w:drawing>
      </w:r>
    </w:p>
    <w:p w14:paraId="158BD74A" w14:textId="77777777" w:rsidR="00EA3384" w:rsidRPr="00A8595A" w:rsidRDefault="00EA3384" w:rsidP="00D47F4C">
      <w:pPr>
        <w:rPr>
          <w:rFonts w:ascii="Arial" w:eastAsiaTheme="majorEastAsia" w:hAnsi="Arial" w:cs="Arial"/>
          <w:i/>
          <w:sz w:val="18"/>
          <w:szCs w:val="18"/>
        </w:rPr>
      </w:pPr>
      <w:r w:rsidRPr="00A8595A">
        <w:rPr>
          <w:rFonts w:ascii="Arial" w:eastAsiaTheme="majorEastAsia" w:hAnsi="Arial" w:cs="Arial"/>
          <w:i/>
          <w:sz w:val="18"/>
          <w:szCs w:val="18"/>
        </w:rPr>
        <w:t>Figure 1: Location of the study area</w:t>
      </w:r>
    </w:p>
    <w:p w14:paraId="30CEF7A4" w14:textId="77777777" w:rsidR="00C63664" w:rsidRDefault="00C63664" w:rsidP="00C63664">
      <w:pPr>
        <w:spacing w:before="100" w:beforeAutospacing="1" w:after="100" w:afterAutospacing="1" w:line="360" w:lineRule="auto"/>
        <w:jc w:val="both"/>
        <w:rPr>
          <w:rFonts w:ascii="Arial" w:eastAsia="Times New Roman" w:hAnsi="Arial" w:cs="Arial"/>
          <w:sz w:val="20"/>
          <w:szCs w:val="20"/>
          <w:lang w:bidi="ta-IN"/>
        </w:rPr>
      </w:pPr>
      <w:r w:rsidRPr="00FE05A4">
        <w:rPr>
          <w:rFonts w:ascii="Arial" w:eastAsia="Times New Roman" w:hAnsi="Arial" w:cs="Arial"/>
          <w:sz w:val="20"/>
          <w:szCs w:val="20"/>
          <w:lang w:bidi="ta-IN"/>
        </w:rPr>
        <w:t xml:space="preserve">The climate is warm, humid, and receives about </w:t>
      </w:r>
      <w:r w:rsidRPr="0091190F">
        <w:rPr>
          <w:rFonts w:ascii="Arial" w:eastAsia="Times New Roman" w:hAnsi="Arial" w:cs="Arial"/>
          <w:sz w:val="20"/>
          <w:szCs w:val="20"/>
          <w:lang w:bidi="ta-IN"/>
        </w:rPr>
        <w:t>2000 mm</w:t>
      </w:r>
      <w:r w:rsidRPr="00FE05A4">
        <w:rPr>
          <w:rFonts w:ascii="Arial" w:eastAsia="Times New Roman" w:hAnsi="Arial" w:cs="Arial"/>
          <w:sz w:val="20"/>
          <w:szCs w:val="20"/>
          <w:lang w:bidi="ta-IN"/>
        </w:rPr>
        <w:t xml:space="preserve"> of annual rainfall. Major rivers include the </w:t>
      </w:r>
      <w:r w:rsidRPr="0091190F">
        <w:rPr>
          <w:rFonts w:ascii="Arial" w:eastAsia="Times New Roman" w:hAnsi="Arial" w:cs="Arial"/>
          <w:sz w:val="20"/>
          <w:szCs w:val="20"/>
          <w:lang w:bidi="ta-IN"/>
        </w:rPr>
        <w:t>Ganol, Dilni, Rongkhai, Daru,</w:t>
      </w:r>
      <w:r w:rsidRPr="00FE05A4">
        <w:rPr>
          <w:rFonts w:ascii="Arial" w:eastAsia="Times New Roman" w:hAnsi="Arial" w:cs="Arial"/>
          <w:sz w:val="20"/>
          <w:szCs w:val="20"/>
          <w:lang w:bidi="ta-IN"/>
        </w:rPr>
        <w:t xml:space="preserve"> and </w:t>
      </w:r>
      <w:r w:rsidRPr="0091190F">
        <w:rPr>
          <w:rFonts w:ascii="Arial" w:eastAsia="Times New Roman" w:hAnsi="Arial" w:cs="Arial"/>
          <w:sz w:val="20"/>
          <w:szCs w:val="20"/>
          <w:lang w:bidi="ta-IN"/>
        </w:rPr>
        <w:t>Muji</w:t>
      </w:r>
      <w:r w:rsidRPr="00FE05A4">
        <w:rPr>
          <w:rFonts w:ascii="Arial" w:eastAsia="Times New Roman" w:hAnsi="Arial" w:cs="Arial"/>
          <w:sz w:val="20"/>
          <w:szCs w:val="20"/>
          <w:lang w:bidi="ta-IN"/>
        </w:rPr>
        <w:t xml:space="preserve">, forming a dendritic drainage pattern.Vegetation is dominated by </w:t>
      </w:r>
      <w:r w:rsidRPr="0091190F">
        <w:rPr>
          <w:rFonts w:ascii="Arial" w:eastAsia="Times New Roman" w:hAnsi="Arial" w:cs="Arial"/>
          <w:sz w:val="20"/>
          <w:szCs w:val="20"/>
          <w:lang w:bidi="ta-IN"/>
        </w:rPr>
        <w:t>Tropical Moist Deciduous Forests</w:t>
      </w:r>
      <w:r w:rsidRPr="00FE05A4">
        <w:rPr>
          <w:rFonts w:ascii="Arial" w:eastAsia="Times New Roman" w:hAnsi="Arial" w:cs="Arial"/>
          <w:sz w:val="20"/>
          <w:szCs w:val="20"/>
          <w:lang w:bidi="ta-IN"/>
        </w:rPr>
        <w:t xml:space="preserve">, covering about </w:t>
      </w:r>
      <w:r w:rsidRPr="0091190F">
        <w:rPr>
          <w:rFonts w:ascii="Arial" w:eastAsia="Times New Roman" w:hAnsi="Arial" w:cs="Arial"/>
          <w:sz w:val="20"/>
          <w:szCs w:val="20"/>
          <w:lang w:bidi="ta-IN"/>
        </w:rPr>
        <w:t>38%</w:t>
      </w:r>
      <w:r w:rsidRPr="00FE05A4">
        <w:rPr>
          <w:rFonts w:ascii="Arial" w:eastAsia="Times New Roman" w:hAnsi="Arial" w:cs="Arial"/>
          <w:sz w:val="20"/>
          <w:szCs w:val="20"/>
          <w:lang w:bidi="ta-IN"/>
        </w:rPr>
        <w:t xml:space="preserve"> of the area. Settlement patterns are mostly dispersed. Soils are deep, loamy, well-drained, and slightly acidic. Agriculture is the main livelihood, with rice as the major crop. Health facilities include </w:t>
      </w:r>
      <w:r w:rsidRPr="0091190F">
        <w:rPr>
          <w:rFonts w:ascii="Arial" w:eastAsia="Times New Roman" w:hAnsi="Arial" w:cs="Arial"/>
          <w:sz w:val="20"/>
          <w:szCs w:val="20"/>
          <w:lang w:bidi="ta-IN"/>
        </w:rPr>
        <w:t>1 district hospital, 2 CHCs, 9 PHCs, and 27 sub-centres</w:t>
      </w:r>
      <w:r w:rsidRPr="00FE05A4">
        <w:rPr>
          <w:rFonts w:ascii="Arial" w:eastAsia="Times New Roman" w:hAnsi="Arial" w:cs="Arial"/>
          <w:sz w:val="20"/>
          <w:szCs w:val="20"/>
          <w:lang w:bidi="ta-IN"/>
        </w:rPr>
        <w:t>, though accessibility remains a challenge due to terrain and connectivity issues</w:t>
      </w:r>
      <w:r w:rsidRPr="0091190F">
        <w:rPr>
          <w:rFonts w:ascii="Arial" w:eastAsia="Times New Roman" w:hAnsi="Arial" w:cs="Arial"/>
          <w:sz w:val="20"/>
          <w:szCs w:val="20"/>
          <w:lang w:bidi="ta-IN"/>
        </w:rPr>
        <w:t xml:space="preserve"> (Figure 1).</w:t>
      </w:r>
    </w:p>
    <w:p w14:paraId="0EFF2C8B" w14:textId="3A5382F7" w:rsidR="007F632E" w:rsidRPr="00AA6843" w:rsidRDefault="002866A2" w:rsidP="007F632E">
      <w:pPr>
        <w:pStyle w:val="text-justify"/>
        <w:shd w:val="clear" w:color="auto" w:fill="FFFFFF"/>
        <w:spacing w:line="360" w:lineRule="auto"/>
        <w:rPr>
          <w:rStyle w:val="s2"/>
          <w:rFonts w:ascii="Arial" w:hAnsi="Arial" w:cs="Arial"/>
          <w:b/>
          <w:sz w:val="22"/>
          <w:szCs w:val="22"/>
        </w:rPr>
      </w:pPr>
      <w:r>
        <w:rPr>
          <w:rStyle w:val="s2"/>
          <w:rFonts w:ascii="Arial" w:hAnsi="Arial" w:cs="Arial"/>
          <w:b/>
          <w:sz w:val="22"/>
          <w:szCs w:val="22"/>
        </w:rPr>
        <w:t xml:space="preserve"> </w:t>
      </w:r>
      <w:r w:rsidR="007F632E" w:rsidRPr="00AA6843">
        <w:rPr>
          <w:rStyle w:val="s2"/>
          <w:rFonts w:ascii="Arial" w:hAnsi="Arial" w:cs="Arial"/>
          <w:b/>
          <w:sz w:val="22"/>
          <w:szCs w:val="22"/>
        </w:rPr>
        <w:t>SOURCES OF DATA</w:t>
      </w:r>
    </w:p>
    <w:p w14:paraId="6E5C7B6D" w14:textId="77777777" w:rsidR="007F632E" w:rsidRPr="0091190F" w:rsidRDefault="007F632E" w:rsidP="007F632E">
      <w:pPr>
        <w:pStyle w:val="p1"/>
        <w:spacing w:line="360" w:lineRule="auto"/>
        <w:jc w:val="both"/>
        <w:rPr>
          <w:rStyle w:val="s2"/>
          <w:rFonts w:ascii="Arial" w:hAnsi="Arial" w:cs="Arial"/>
          <w:sz w:val="20"/>
          <w:szCs w:val="20"/>
        </w:rPr>
      </w:pPr>
      <w:r w:rsidRPr="0091190F">
        <w:rPr>
          <w:rStyle w:val="s2"/>
          <w:rFonts w:ascii="Arial" w:hAnsi="Arial" w:cs="Arial"/>
          <w:sz w:val="20"/>
          <w:szCs w:val="20"/>
        </w:rPr>
        <w:t>The data for this study were obtained from secondary sources to ensure a comprehensive spatial analysis of the distribution of Primary Health Centres (PHCs) in South West Garo Hills district. The list of Primary Health Centres (PHCs), including names and location was obtained from the official portal of Meghalaya Health Department. The data for the population has been taken from 2011 census. The administrative boundary shapefile including blocks and villages, were sourced from Survey of India and used for creating Nearest Neighbour Analysis and Thiessen Polygon map.  Additionally, relevant academic literature, government reports and planning documents were also referred to for context and secondary data support.</w:t>
      </w:r>
    </w:p>
    <w:p w14:paraId="6CF807DF" w14:textId="7F066637" w:rsidR="007F632E" w:rsidRPr="00AA6843" w:rsidRDefault="008A52D0" w:rsidP="007F632E">
      <w:pPr>
        <w:pStyle w:val="p1"/>
        <w:spacing w:line="360" w:lineRule="auto"/>
        <w:jc w:val="both"/>
        <w:rPr>
          <w:rFonts w:ascii="Arial" w:hAnsi="Arial" w:cs="Arial"/>
          <w:sz w:val="22"/>
          <w:szCs w:val="22"/>
          <w:lang w:val="en-US"/>
        </w:rPr>
      </w:pPr>
      <w:r>
        <w:rPr>
          <w:rFonts w:ascii="Arial" w:hAnsi="Arial" w:cs="Arial"/>
          <w:b/>
          <w:bCs/>
          <w:sz w:val="22"/>
          <w:szCs w:val="22"/>
          <w:lang w:val="en-US"/>
        </w:rPr>
        <w:lastRenderedPageBreak/>
        <w:t>Study Protocol</w:t>
      </w:r>
    </w:p>
    <w:p w14:paraId="0252D8D9" w14:textId="77777777" w:rsidR="00EA3384" w:rsidRPr="00E350C8" w:rsidRDefault="007F632E" w:rsidP="001D7984">
      <w:pPr>
        <w:pStyle w:val="p1"/>
        <w:spacing w:line="360" w:lineRule="auto"/>
        <w:jc w:val="both"/>
        <w:rPr>
          <w:rFonts w:ascii="Arial" w:hAnsi="Arial" w:cs="Arial"/>
          <w:sz w:val="20"/>
          <w:szCs w:val="20"/>
          <w:lang w:val="en-US"/>
        </w:rPr>
      </w:pPr>
      <w:r w:rsidRPr="00E350C8">
        <w:rPr>
          <w:rFonts w:ascii="Arial" w:hAnsi="Arial" w:cs="Arial"/>
          <w:sz w:val="20"/>
          <w:szCs w:val="20"/>
          <w:lang w:val="en-US"/>
        </w:rPr>
        <w:t>The location of the PHCs will be studied using Nearest Neighbor Analysis Known as RN Statistic. This method helps to understand whether PHCs are close together, random or evenly spread or cluster. If Rn = 0, the PHCs are clustered</w:t>
      </w:r>
      <w:r w:rsidR="00E350C8">
        <w:rPr>
          <w:rFonts w:ascii="Arial" w:hAnsi="Arial" w:cs="Arial"/>
          <w:sz w:val="20"/>
          <w:szCs w:val="20"/>
          <w:lang w:val="en-US"/>
        </w:rPr>
        <w:t xml:space="preserve">, </w:t>
      </w:r>
      <w:r w:rsidRPr="00E350C8">
        <w:rPr>
          <w:rFonts w:ascii="Arial" w:hAnsi="Arial" w:cs="Arial"/>
          <w:sz w:val="20"/>
          <w:szCs w:val="20"/>
          <w:lang w:val="en-US"/>
        </w:rPr>
        <w:t>If Rn = 1, the PHCs are random.</w:t>
      </w:r>
      <w:r w:rsidR="00E350C8">
        <w:rPr>
          <w:rFonts w:ascii="Arial" w:hAnsi="Arial" w:cs="Arial"/>
          <w:sz w:val="20"/>
          <w:szCs w:val="20"/>
          <w:lang w:val="en-US"/>
        </w:rPr>
        <w:t xml:space="preserve">, </w:t>
      </w:r>
      <w:r w:rsidRPr="00E350C8">
        <w:rPr>
          <w:rFonts w:ascii="Arial" w:hAnsi="Arial" w:cs="Arial"/>
          <w:sz w:val="20"/>
          <w:szCs w:val="20"/>
          <w:lang w:val="en-US"/>
        </w:rPr>
        <w:t>If Rn = 2.15, the PHCs are evenly spaced. To plan the service areas of each PHCs, The Thiessen Polygon Method will be used. This method draws shape around each PHC to show that is nearest to it. It helps to make sure that all areas get proper health services.</w:t>
      </w:r>
    </w:p>
    <w:p w14:paraId="3F55A06C" w14:textId="77777777" w:rsidR="0091190F" w:rsidRPr="00AA6843" w:rsidRDefault="002866A2" w:rsidP="001D7984">
      <w:pPr>
        <w:pStyle w:val="p1"/>
        <w:spacing w:line="360" w:lineRule="auto"/>
        <w:jc w:val="both"/>
        <w:rPr>
          <w:rFonts w:ascii="Arial" w:hAnsi="Arial" w:cs="Arial"/>
          <w:b/>
          <w:bCs/>
          <w:sz w:val="22"/>
          <w:szCs w:val="22"/>
        </w:rPr>
      </w:pPr>
      <w:r>
        <w:rPr>
          <w:rFonts w:ascii="Arial" w:hAnsi="Arial" w:cs="Arial"/>
          <w:b/>
          <w:bCs/>
          <w:sz w:val="22"/>
          <w:szCs w:val="22"/>
          <w:lang w:val="en-US"/>
        </w:rPr>
        <w:t xml:space="preserve">5. </w:t>
      </w:r>
      <w:r w:rsidR="0091190F" w:rsidRPr="00AA6843">
        <w:rPr>
          <w:rFonts w:ascii="Arial" w:hAnsi="Arial" w:cs="Arial"/>
          <w:b/>
          <w:bCs/>
          <w:sz w:val="22"/>
          <w:szCs w:val="22"/>
          <w:lang w:val="en-US"/>
        </w:rPr>
        <w:t>RESULT AND DISCUSSION</w:t>
      </w:r>
    </w:p>
    <w:p w14:paraId="52F833CA" w14:textId="77777777" w:rsidR="00723884" w:rsidRPr="00AA6843" w:rsidRDefault="002866A2" w:rsidP="00FE05A4">
      <w:pPr>
        <w:pStyle w:val="p1"/>
        <w:spacing w:line="360" w:lineRule="auto"/>
        <w:rPr>
          <w:rStyle w:val="s2"/>
          <w:rFonts w:ascii="Arial" w:hAnsi="Arial" w:cs="Arial"/>
          <w:b/>
          <w:sz w:val="22"/>
          <w:szCs w:val="22"/>
        </w:rPr>
      </w:pPr>
      <w:r>
        <w:rPr>
          <w:rStyle w:val="s2"/>
          <w:rFonts w:ascii="Arial" w:hAnsi="Arial" w:cs="Arial"/>
          <w:b/>
          <w:sz w:val="22"/>
          <w:szCs w:val="22"/>
        </w:rPr>
        <w:t xml:space="preserve">5.1 </w:t>
      </w:r>
      <w:r w:rsidR="00DE0EC9" w:rsidRPr="00AA6843">
        <w:rPr>
          <w:rStyle w:val="s2"/>
          <w:rFonts w:ascii="Arial" w:hAnsi="Arial" w:cs="Arial"/>
          <w:b/>
          <w:sz w:val="22"/>
          <w:szCs w:val="22"/>
        </w:rPr>
        <w:t>SPATIAL DISTRIBUTION</w:t>
      </w:r>
      <w:r w:rsidR="008327CA" w:rsidRPr="00AA6843">
        <w:rPr>
          <w:rStyle w:val="s2"/>
          <w:rFonts w:ascii="Arial" w:hAnsi="Arial" w:cs="Arial"/>
          <w:b/>
          <w:sz w:val="22"/>
          <w:szCs w:val="22"/>
        </w:rPr>
        <w:t>PATTERN OF PHC</w:t>
      </w:r>
      <w:r w:rsidR="00CD67A7" w:rsidRPr="00AA6843">
        <w:rPr>
          <w:rStyle w:val="s2"/>
          <w:rFonts w:ascii="Arial" w:hAnsi="Arial" w:cs="Arial"/>
          <w:b/>
          <w:sz w:val="22"/>
          <w:szCs w:val="22"/>
        </w:rPr>
        <w:t xml:space="preserve"> IN SOUTH WEST GARO HILLS DISTRICT</w:t>
      </w:r>
    </w:p>
    <w:p w14:paraId="16E7B416" w14:textId="77777777" w:rsidR="00644515" w:rsidRPr="0091190F" w:rsidRDefault="006A73CD"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The spatial distribution of Primary Health Centre (PHCs) in the South West Garo Hills shows variation in across</w:t>
      </w:r>
      <w:r w:rsidR="00A9753E" w:rsidRPr="0091190F">
        <w:rPr>
          <w:rStyle w:val="s2"/>
          <w:rFonts w:ascii="Arial" w:hAnsi="Arial" w:cs="Arial"/>
          <w:sz w:val="20"/>
          <w:szCs w:val="20"/>
        </w:rPr>
        <w:t xml:space="preserve"> different</w:t>
      </w:r>
      <w:r w:rsidRPr="0091190F">
        <w:rPr>
          <w:rStyle w:val="s2"/>
          <w:rFonts w:ascii="Arial" w:hAnsi="Arial" w:cs="Arial"/>
          <w:sz w:val="20"/>
          <w:szCs w:val="20"/>
        </w:rPr>
        <w:t xml:space="preserve"> areas. Most of the PHCs </w:t>
      </w:r>
      <w:r w:rsidR="00A9753E" w:rsidRPr="0091190F">
        <w:rPr>
          <w:rStyle w:val="s2"/>
          <w:rFonts w:ascii="Arial" w:hAnsi="Arial" w:cs="Arial"/>
          <w:sz w:val="20"/>
          <w:szCs w:val="20"/>
        </w:rPr>
        <w:t>ar</w:t>
      </w:r>
      <w:r w:rsidRPr="0091190F">
        <w:rPr>
          <w:rStyle w:val="s2"/>
          <w:rFonts w:ascii="Arial" w:hAnsi="Arial" w:cs="Arial"/>
          <w:sz w:val="20"/>
          <w:szCs w:val="20"/>
        </w:rPr>
        <w:t>e concentrated in the blocks of Zikzak, Betasing and Rerapara ensuring health care access in many parts of the district. However</w:t>
      </w:r>
      <w:r w:rsidR="00BB73A7">
        <w:rPr>
          <w:rStyle w:val="s2"/>
          <w:rFonts w:ascii="Arial" w:hAnsi="Arial" w:cs="Arial"/>
          <w:sz w:val="20"/>
          <w:szCs w:val="20"/>
        </w:rPr>
        <w:t>,</w:t>
      </w:r>
      <w:r w:rsidRPr="0091190F">
        <w:rPr>
          <w:rStyle w:val="s2"/>
          <w:rFonts w:ascii="Arial" w:hAnsi="Arial" w:cs="Arial"/>
          <w:sz w:val="20"/>
          <w:szCs w:val="20"/>
        </w:rPr>
        <w:t xml:space="preserve"> one ar</w:t>
      </w:r>
      <w:r w:rsidR="00A9753E" w:rsidRPr="0091190F">
        <w:rPr>
          <w:rStyle w:val="s2"/>
          <w:rFonts w:ascii="Arial" w:hAnsi="Arial" w:cs="Arial"/>
          <w:sz w:val="20"/>
          <w:szCs w:val="20"/>
        </w:rPr>
        <w:t>ea</w:t>
      </w:r>
      <w:r w:rsidR="00BB73A7">
        <w:rPr>
          <w:rStyle w:val="s2"/>
          <w:rFonts w:ascii="Arial" w:hAnsi="Arial" w:cs="Arial"/>
          <w:sz w:val="20"/>
          <w:szCs w:val="20"/>
        </w:rPr>
        <w:t>,</w:t>
      </w:r>
      <w:r w:rsidR="00A9753E" w:rsidRPr="0091190F">
        <w:rPr>
          <w:rStyle w:val="s2"/>
          <w:rFonts w:ascii="Arial" w:hAnsi="Arial" w:cs="Arial"/>
          <w:sz w:val="20"/>
          <w:szCs w:val="20"/>
        </w:rPr>
        <w:t>Purakhasia block appears blan</w:t>
      </w:r>
      <w:r w:rsidRPr="0091190F">
        <w:rPr>
          <w:rStyle w:val="s2"/>
          <w:rFonts w:ascii="Arial" w:hAnsi="Arial" w:cs="Arial"/>
          <w:sz w:val="20"/>
          <w:szCs w:val="20"/>
        </w:rPr>
        <w:t xml:space="preserve">k </w:t>
      </w:r>
      <w:r w:rsidR="00A9753E" w:rsidRPr="0091190F">
        <w:rPr>
          <w:rStyle w:val="s2"/>
          <w:rFonts w:ascii="Arial" w:hAnsi="Arial" w:cs="Arial"/>
          <w:sz w:val="20"/>
          <w:szCs w:val="20"/>
        </w:rPr>
        <w:t>on the map in terms of PHC presence. This is because the only PHC serving the Purakhasia region is administratively part of the West Garo Hills district</w:t>
      </w:r>
      <w:r w:rsidR="00BB73A7">
        <w:rPr>
          <w:rStyle w:val="s2"/>
          <w:rFonts w:ascii="Arial" w:hAnsi="Arial" w:cs="Arial"/>
          <w:sz w:val="20"/>
          <w:szCs w:val="20"/>
        </w:rPr>
        <w:t>,</w:t>
      </w:r>
      <w:r w:rsidR="00A9753E" w:rsidRPr="0091190F">
        <w:rPr>
          <w:rStyle w:val="s2"/>
          <w:rFonts w:ascii="Arial" w:hAnsi="Arial" w:cs="Arial"/>
          <w:sz w:val="20"/>
          <w:szCs w:val="20"/>
        </w:rPr>
        <w:t xml:space="preserve"> even though it geographically lies closer to South West Garo Hills. As per the records of the Meghalaya Health Government, Purakhasia PHC does not fall under the jurisdiction of South West Garo Hills. Primary Health Centre is the only way people f</w:t>
      </w:r>
      <w:r w:rsidR="00D55DE1" w:rsidRPr="0091190F">
        <w:rPr>
          <w:rStyle w:val="s2"/>
          <w:rFonts w:ascii="Arial" w:hAnsi="Arial" w:cs="Arial"/>
          <w:sz w:val="20"/>
          <w:szCs w:val="20"/>
        </w:rPr>
        <w:t>r</w:t>
      </w:r>
      <w:r w:rsidR="00A9753E" w:rsidRPr="0091190F">
        <w:rPr>
          <w:rStyle w:val="s2"/>
          <w:rFonts w:ascii="Arial" w:hAnsi="Arial" w:cs="Arial"/>
          <w:sz w:val="20"/>
          <w:szCs w:val="20"/>
        </w:rPr>
        <w:t>om such are</w:t>
      </w:r>
      <w:r w:rsidR="00D55DE1" w:rsidRPr="0091190F">
        <w:rPr>
          <w:rStyle w:val="s2"/>
          <w:rFonts w:ascii="Arial" w:hAnsi="Arial" w:cs="Arial"/>
          <w:sz w:val="20"/>
          <w:szCs w:val="20"/>
        </w:rPr>
        <w:t>as get health facilities but it’s</w:t>
      </w:r>
      <w:r w:rsidR="00A9753E" w:rsidRPr="0091190F">
        <w:rPr>
          <w:rStyle w:val="s2"/>
          <w:rFonts w:ascii="Arial" w:hAnsi="Arial" w:cs="Arial"/>
          <w:sz w:val="20"/>
          <w:szCs w:val="20"/>
        </w:rPr>
        <w:t xml:space="preserve"> very less and sometimes </w:t>
      </w:r>
      <w:r w:rsidR="00BB73A7">
        <w:rPr>
          <w:rStyle w:val="s2"/>
          <w:rFonts w:ascii="Arial" w:hAnsi="Arial" w:cs="Arial"/>
          <w:sz w:val="20"/>
          <w:szCs w:val="20"/>
        </w:rPr>
        <w:t>it</w:t>
      </w:r>
      <w:r w:rsidR="00A9753E" w:rsidRPr="0091190F">
        <w:rPr>
          <w:rStyle w:val="s2"/>
          <w:rFonts w:ascii="Arial" w:hAnsi="Arial" w:cs="Arial"/>
          <w:sz w:val="20"/>
          <w:szCs w:val="20"/>
        </w:rPr>
        <w:t xml:space="preserve">lack to </w:t>
      </w:r>
      <w:r w:rsidR="00BB73A7">
        <w:rPr>
          <w:rStyle w:val="s2"/>
          <w:rFonts w:ascii="Arial" w:hAnsi="Arial" w:cs="Arial"/>
          <w:sz w:val="20"/>
          <w:szCs w:val="20"/>
        </w:rPr>
        <w:t>meet</w:t>
      </w:r>
      <w:r w:rsidR="00D55DE1" w:rsidRPr="0091190F">
        <w:rPr>
          <w:rStyle w:val="s2"/>
          <w:rFonts w:ascii="Arial" w:hAnsi="Arial" w:cs="Arial"/>
          <w:sz w:val="20"/>
          <w:szCs w:val="20"/>
        </w:rPr>
        <w:t xml:space="preserve"> the needs of the rural people, since the workers and nurses are very less. For such </w:t>
      </w:r>
      <w:r w:rsidR="00BB73A7">
        <w:rPr>
          <w:rStyle w:val="s2"/>
          <w:rFonts w:ascii="Arial" w:hAnsi="Arial" w:cs="Arial"/>
          <w:sz w:val="20"/>
          <w:szCs w:val="20"/>
        </w:rPr>
        <w:t>reasons,</w:t>
      </w:r>
      <w:r w:rsidR="00D55DE1" w:rsidRPr="0091190F">
        <w:rPr>
          <w:rStyle w:val="s2"/>
          <w:rFonts w:ascii="Arial" w:hAnsi="Arial" w:cs="Arial"/>
          <w:sz w:val="20"/>
          <w:szCs w:val="20"/>
        </w:rPr>
        <w:t xml:space="preserve"> people have to travel far away for treatment</w:t>
      </w:r>
      <w:r w:rsidR="00BB73A7">
        <w:rPr>
          <w:rStyle w:val="s2"/>
          <w:rFonts w:ascii="Arial" w:hAnsi="Arial" w:cs="Arial"/>
          <w:sz w:val="20"/>
          <w:szCs w:val="20"/>
        </w:rPr>
        <w:t>,</w:t>
      </w:r>
      <w:r w:rsidR="00D55DE1" w:rsidRPr="0091190F">
        <w:rPr>
          <w:rStyle w:val="s2"/>
          <w:rFonts w:ascii="Arial" w:hAnsi="Arial" w:cs="Arial"/>
          <w:sz w:val="20"/>
          <w:szCs w:val="20"/>
        </w:rPr>
        <w:t xml:space="preserve"> and sometimes they cannot afford to travel far places and are unable to get </w:t>
      </w:r>
      <w:r w:rsidR="00BB73A7">
        <w:rPr>
          <w:rStyle w:val="s2"/>
          <w:rFonts w:ascii="Arial" w:hAnsi="Arial" w:cs="Arial"/>
          <w:sz w:val="20"/>
          <w:szCs w:val="20"/>
        </w:rPr>
        <w:t xml:space="preserve">the </w:t>
      </w:r>
      <w:r w:rsidR="00D55DE1" w:rsidRPr="0091190F">
        <w:rPr>
          <w:rStyle w:val="s2"/>
          <w:rFonts w:ascii="Arial" w:hAnsi="Arial" w:cs="Arial"/>
          <w:sz w:val="20"/>
          <w:szCs w:val="20"/>
        </w:rPr>
        <w:t xml:space="preserve">treatment they need. For such </w:t>
      </w:r>
      <w:r w:rsidR="00BB73A7">
        <w:rPr>
          <w:rStyle w:val="s2"/>
          <w:rFonts w:ascii="Arial" w:hAnsi="Arial" w:cs="Arial"/>
          <w:sz w:val="20"/>
          <w:szCs w:val="20"/>
        </w:rPr>
        <w:t>reasons,</w:t>
      </w:r>
      <w:r w:rsidR="00D55DE1" w:rsidRPr="0091190F">
        <w:rPr>
          <w:rStyle w:val="s2"/>
          <w:rFonts w:ascii="Arial" w:hAnsi="Arial" w:cs="Arial"/>
          <w:sz w:val="20"/>
          <w:szCs w:val="20"/>
        </w:rPr>
        <w:t xml:space="preserve"> the distribution of Primary Health Centre is important in South West Garo Hills to understand the efficiency of this PHC.</w:t>
      </w:r>
    </w:p>
    <w:p w14:paraId="51F47274" w14:textId="77777777" w:rsidR="00D55DE1" w:rsidRPr="0091190F" w:rsidRDefault="002866A2"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 </w:t>
      </w:r>
      <w:r w:rsidR="00D55DE1" w:rsidRPr="0091190F">
        <w:rPr>
          <w:rStyle w:val="s2"/>
          <w:rFonts w:ascii="Arial" w:hAnsi="Arial" w:cs="Arial"/>
          <w:b/>
          <w:sz w:val="20"/>
          <w:szCs w:val="20"/>
        </w:rPr>
        <w:t>LOCATION OF PRIMARY HEALTH CENTRE</w:t>
      </w:r>
    </w:p>
    <w:p w14:paraId="29D7AA67" w14:textId="77777777" w:rsidR="00C915CB" w:rsidRPr="0091190F" w:rsidRDefault="00A8595A" w:rsidP="00C63302">
      <w:pPr>
        <w:pStyle w:val="p1"/>
        <w:spacing w:line="360" w:lineRule="auto"/>
        <w:jc w:val="both"/>
        <w:rPr>
          <w:rStyle w:val="s2"/>
          <w:rFonts w:ascii="Arial" w:hAnsi="Arial" w:cs="Arial"/>
          <w:sz w:val="20"/>
          <w:szCs w:val="20"/>
        </w:rPr>
      </w:pPr>
      <w:r>
        <w:rPr>
          <w:rFonts w:ascii="Arial" w:hAnsi="Arial" w:cs="Arial"/>
          <w:noProof/>
          <w:sz w:val="20"/>
          <w:szCs w:val="20"/>
          <w:lang w:val="en-US" w:eastAsia="en-US"/>
        </w:rPr>
        <w:lastRenderedPageBreak/>
        <w:drawing>
          <wp:anchor distT="0" distB="0" distL="114300" distR="114300" simplePos="0" relativeHeight="251657728" behindDoc="0" locked="0" layoutInCell="1" allowOverlap="1" wp14:anchorId="43D8103C" wp14:editId="52F39B6C">
            <wp:simplePos x="0" y="0"/>
            <wp:positionH relativeFrom="column">
              <wp:posOffset>26670</wp:posOffset>
            </wp:positionH>
            <wp:positionV relativeFrom="paragraph">
              <wp:posOffset>1779270</wp:posOffset>
            </wp:positionV>
            <wp:extent cx="5901690" cy="4301490"/>
            <wp:effectExtent l="19050" t="19050" r="3810" b="3810"/>
            <wp:wrapSquare wrapText="bothSides"/>
            <wp:docPr id="6" name="Picture 6" descr="C:\Users\91600\AppData\Local\Microsoft\Windows\INetCache\Content.Word\LOCATIO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91600\AppData\Local\Microsoft\Windows\INetCache\Content.Word\LOCATIONAL.PNG"/>
                    <pic:cNvPicPr>
                      <a:picLocks noChangeAspect="1" noChangeArrowheads="1"/>
                    </pic:cNvPicPr>
                  </pic:nvPicPr>
                  <pic:blipFill>
                    <a:blip r:embed="rId9" cstate="print"/>
                    <a:srcRect/>
                    <a:stretch>
                      <a:fillRect/>
                    </a:stretch>
                  </pic:blipFill>
                  <pic:spPr bwMode="auto">
                    <a:xfrm>
                      <a:off x="0" y="0"/>
                      <a:ext cx="5901690" cy="4301490"/>
                    </a:xfrm>
                    <a:prstGeom prst="rect">
                      <a:avLst/>
                    </a:prstGeom>
                    <a:noFill/>
                    <a:ln w="9525">
                      <a:solidFill>
                        <a:schemeClr val="tx1"/>
                      </a:solidFill>
                      <a:miter lim="800000"/>
                      <a:headEnd/>
                      <a:tailEnd/>
                    </a:ln>
                  </pic:spPr>
                </pic:pic>
              </a:graphicData>
            </a:graphic>
          </wp:anchor>
        </w:drawing>
      </w:r>
      <w:r w:rsidR="004D5860" w:rsidRPr="0091190F">
        <w:rPr>
          <w:rStyle w:val="s2"/>
          <w:rFonts w:ascii="Arial" w:hAnsi="Arial" w:cs="Arial"/>
          <w:sz w:val="20"/>
          <w:szCs w:val="20"/>
        </w:rPr>
        <w:t>In South West Garo Hills district of Meghalaya, Primary Health Centres (PHCs) play an important role in providing basic health care to the rural population. The South West Garo Hills district is divided into four Community and Rural Development (C&amp;RD) Blocks namely Zikzak block, Betasing block, Rerapara Block and Purakhasia block. Each block has the PHCs distributed in such a way that the health needs of the local people are met efficiently and without much travel. According to Meghalaya Health Department, there are 9 Primary Health Centres (PHCs) in the South West Garo Hills district namely Zikzak, Mellim, Betasing, Salmanpara, Garobadha, Kalaichar, Belbari, Rangsakona and Nogorpara PHC.</w:t>
      </w:r>
    </w:p>
    <w:p w14:paraId="51B0F839" w14:textId="02C0DB44" w:rsidR="004E11EA" w:rsidRPr="00E350C8" w:rsidRDefault="00C915CB" w:rsidP="002866A2">
      <w:pPr>
        <w:pStyle w:val="p1"/>
        <w:spacing w:line="276" w:lineRule="auto"/>
        <w:rPr>
          <w:rStyle w:val="s2"/>
          <w:rFonts w:ascii="Arial" w:hAnsi="Arial" w:cs="Arial"/>
          <w:sz w:val="20"/>
          <w:szCs w:val="20"/>
        </w:rPr>
      </w:pPr>
      <w:r w:rsidRPr="0091190F">
        <w:rPr>
          <w:rStyle w:val="s2"/>
          <w:rFonts w:ascii="Arial" w:hAnsi="Arial" w:cs="Arial"/>
          <w:sz w:val="20"/>
          <w:szCs w:val="20"/>
        </w:rPr>
        <w:br w:type="textWrapping" w:clear="all"/>
      </w:r>
      <w:r w:rsidR="00076460" w:rsidRPr="0091190F">
        <w:rPr>
          <w:rStyle w:val="s2"/>
          <w:rFonts w:ascii="Arial" w:hAnsi="Arial" w:cs="Arial"/>
          <w:i/>
          <w:sz w:val="20"/>
          <w:szCs w:val="20"/>
        </w:rPr>
        <w:t>Figure</w:t>
      </w:r>
      <w:r w:rsidR="0091190F" w:rsidRPr="0091190F">
        <w:rPr>
          <w:rStyle w:val="s2"/>
          <w:rFonts w:ascii="Arial" w:hAnsi="Arial" w:cs="Arial"/>
          <w:i/>
          <w:sz w:val="20"/>
          <w:szCs w:val="20"/>
        </w:rPr>
        <w:t xml:space="preserve"> 2</w:t>
      </w:r>
      <w:r w:rsidR="00DB4C98" w:rsidRPr="0091190F">
        <w:rPr>
          <w:rStyle w:val="s2"/>
          <w:rFonts w:ascii="Arial" w:hAnsi="Arial" w:cs="Arial"/>
          <w:i/>
          <w:sz w:val="20"/>
          <w:szCs w:val="20"/>
        </w:rPr>
        <w:t xml:space="preserve">: </w:t>
      </w:r>
      <w:r w:rsidR="00F00B5D" w:rsidRPr="0091190F">
        <w:rPr>
          <w:rStyle w:val="s2"/>
          <w:rFonts w:ascii="Arial" w:hAnsi="Arial" w:cs="Arial"/>
          <w:i/>
          <w:sz w:val="20"/>
          <w:szCs w:val="20"/>
        </w:rPr>
        <w:t xml:space="preserve">The </w:t>
      </w:r>
      <w:r w:rsidR="00DB4C98" w:rsidRPr="0091190F">
        <w:rPr>
          <w:rStyle w:val="s2"/>
          <w:rFonts w:ascii="Arial" w:hAnsi="Arial" w:cs="Arial"/>
          <w:i/>
          <w:sz w:val="20"/>
          <w:szCs w:val="20"/>
        </w:rPr>
        <w:t>distribution of PHCs across South West Garo Hills district</w:t>
      </w:r>
    </w:p>
    <w:p w14:paraId="0D2F9580" w14:textId="77777777" w:rsidR="00A8595A" w:rsidRDefault="00A8595A" w:rsidP="00C63302">
      <w:pPr>
        <w:pStyle w:val="p1"/>
        <w:spacing w:line="360" w:lineRule="auto"/>
        <w:rPr>
          <w:rStyle w:val="s2"/>
          <w:rFonts w:ascii="Arial" w:hAnsi="Arial" w:cs="Arial"/>
          <w:b/>
          <w:sz w:val="20"/>
          <w:szCs w:val="20"/>
        </w:rPr>
      </w:pPr>
    </w:p>
    <w:p w14:paraId="75870D76" w14:textId="77777777" w:rsidR="00AA5953" w:rsidRDefault="00AA5953" w:rsidP="00C63302">
      <w:pPr>
        <w:pStyle w:val="p1"/>
        <w:spacing w:line="360" w:lineRule="auto"/>
        <w:rPr>
          <w:rStyle w:val="s2"/>
          <w:rFonts w:ascii="Arial" w:hAnsi="Arial" w:cs="Arial"/>
          <w:b/>
          <w:sz w:val="20"/>
          <w:szCs w:val="20"/>
        </w:rPr>
      </w:pPr>
    </w:p>
    <w:p w14:paraId="07D5688A" w14:textId="77777777" w:rsidR="00D901D9" w:rsidRDefault="00D901D9" w:rsidP="00C63302">
      <w:pPr>
        <w:pStyle w:val="p1"/>
        <w:spacing w:line="360" w:lineRule="auto"/>
        <w:rPr>
          <w:rStyle w:val="s2"/>
          <w:rFonts w:ascii="Arial" w:hAnsi="Arial" w:cs="Arial"/>
          <w:b/>
          <w:sz w:val="20"/>
          <w:szCs w:val="20"/>
        </w:rPr>
      </w:pPr>
    </w:p>
    <w:p w14:paraId="37855165" w14:textId="77777777" w:rsidR="00D901D9" w:rsidRDefault="00D901D9" w:rsidP="00C63302">
      <w:pPr>
        <w:pStyle w:val="p1"/>
        <w:spacing w:line="360" w:lineRule="auto"/>
        <w:rPr>
          <w:rStyle w:val="s2"/>
          <w:rFonts w:ascii="Arial" w:hAnsi="Arial" w:cs="Arial"/>
          <w:b/>
          <w:sz w:val="20"/>
          <w:szCs w:val="20"/>
        </w:rPr>
      </w:pPr>
    </w:p>
    <w:p w14:paraId="591C7063" w14:textId="77777777" w:rsidR="00E6107E" w:rsidRPr="0091190F" w:rsidRDefault="002E57A1" w:rsidP="00C63302">
      <w:pPr>
        <w:pStyle w:val="p1"/>
        <w:spacing w:line="360" w:lineRule="auto"/>
        <w:rPr>
          <w:rStyle w:val="s2"/>
          <w:rFonts w:ascii="Arial" w:hAnsi="Arial" w:cs="Arial"/>
          <w:b/>
          <w:sz w:val="20"/>
          <w:szCs w:val="20"/>
        </w:rPr>
      </w:pPr>
      <w:r>
        <w:rPr>
          <w:rStyle w:val="s2"/>
          <w:rFonts w:ascii="Arial" w:hAnsi="Arial" w:cs="Arial"/>
          <w:b/>
          <w:sz w:val="20"/>
          <w:szCs w:val="20"/>
        </w:rPr>
        <w:t xml:space="preserve">5.2.1 </w:t>
      </w:r>
      <w:r w:rsidR="00E6107E" w:rsidRPr="0091190F">
        <w:rPr>
          <w:rStyle w:val="s2"/>
          <w:rFonts w:ascii="Arial" w:hAnsi="Arial" w:cs="Arial"/>
          <w:b/>
          <w:sz w:val="20"/>
          <w:szCs w:val="20"/>
        </w:rPr>
        <w:t>Betasing Block</w:t>
      </w:r>
    </w:p>
    <w:p w14:paraId="33105E02" w14:textId="77777777" w:rsidR="00DE0EC9" w:rsidRPr="0091190F" w:rsidRDefault="00E6107E" w:rsidP="00C63302">
      <w:pPr>
        <w:pStyle w:val="p1"/>
        <w:tabs>
          <w:tab w:val="left" w:pos="709"/>
        </w:tabs>
        <w:spacing w:line="360" w:lineRule="auto"/>
        <w:jc w:val="both"/>
        <w:rPr>
          <w:rStyle w:val="s2"/>
          <w:rFonts w:ascii="Arial" w:hAnsi="Arial" w:cs="Arial"/>
          <w:sz w:val="20"/>
          <w:szCs w:val="20"/>
        </w:rPr>
      </w:pPr>
      <w:r w:rsidRPr="0091190F">
        <w:rPr>
          <w:rStyle w:val="s2"/>
          <w:rFonts w:ascii="Arial" w:hAnsi="Arial" w:cs="Arial"/>
          <w:sz w:val="20"/>
          <w:szCs w:val="20"/>
        </w:rPr>
        <w:lastRenderedPageBreak/>
        <w:t>Betasing is one of the most popula</w:t>
      </w:r>
      <w:r w:rsidR="00966E92" w:rsidRPr="0091190F">
        <w:rPr>
          <w:rStyle w:val="s2"/>
          <w:rFonts w:ascii="Arial" w:hAnsi="Arial" w:cs="Arial"/>
          <w:sz w:val="20"/>
          <w:szCs w:val="20"/>
        </w:rPr>
        <w:t>ted blocks in district. It has 4</w:t>
      </w:r>
      <w:r w:rsidRPr="0091190F">
        <w:rPr>
          <w:rStyle w:val="s2"/>
          <w:rFonts w:ascii="Arial" w:hAnsi="Arial" w:cs="Arial"/>
          <w:sz w:val="20"/>
          <w:szCs w:val="20"/>
        </w:rPr>
        <w:t xml:space="preserve"> PHCs – Betasing PHC, Garbadha PHC</w:t>
      </w:r>
      <w:r w:rsidR="00050956" w:rsidRPr="0091190F">
        <w:rPr>
          <w:rStyle w:val="s2"/>
          <w:rFonts w:ascii="Arial" w:hAnsi="Arial" w:cs="Arial"/>
          <w:sz w:val="20"/>
          <w:szCs w:val="20"/>
        </w:rPr>
        <w:t>, Rangsakona PHC</w:t>
      </w:r>
      <w:r w:rsidRPr="0091190F">
        <w:rPr>
          <w:rStyle w:val="s2"/>
          <w:rFonts w:ascii="Arial" w:hAnsi="Arial" w:cs="Arial"/>
          <w:sz w:val="20"/>
          <w:szCs w:val="20"/>
        </w:rPr>
        <w:t xml:space="preserve"> and Belbari PHC. These PHCs are located strategically to serves the villages in the northern and central parts of the district.</w:t>
      </w:r>
      <w:r w:rsidR="003867C4" w:rsidRPr="0091190F">
        <w:rPr>
          <w:rStyle w:val="s2"/>
          <w:rFonts w:ascii="Arial" w:hAnsi="Arial" w:cs="Arial"/>
          <w:sz w:val="20"/>
          <w:szCs w:val="20"/>
        </w:rPr>
        <w:t xml:space="preserve">These health centres are located in different parts of the block and help reduce the burden on the district hospital like Civil hospital at Ampati. They provide essential services such as outpatient care, maternal and child health services, immunization and health awareness programs. </w:t>
      </w:r>
    </w:p>
    <w:p w14:paraId="15F3369D" w14:textId="77777777" w:rsidR="003867C4" w:rsidRPr="0091190F" w:rsidRDefault="002E57A1" w:rsidP="00C63302">
      <w:pPr>
        <w:pStyle w:val="p1"/>
        <w:tabs>
          <w:tab w:val="left" w:pos="5310"/>
        </w:tabs>
        <w:spacing w:line="360" w:lineRule="auto"/>
        <w:jc w:val="both"/>
        <w:rPr>
          <w:rStyle w:val="s2"/>
          <w:rFonts w:ascii="Arial" w:hAnsi="Arial" w:cs="Arial"/>
          <w:b/>
          <w:sz w:val="20"/>
          <w:szCs w:val="20"/>
        </w:rPr>
      </w:pPr>
      <w:r>
        <w:rPr>
          <w:rStyle w:val="s2"/>
          <w:rFonts w:ascii="Arial" w:hAnsi="Arial" w:cs="Arial"/>
          <w:b/>
          <w:sz w:val="20"/>
          <w:szCs w:val="20"/>
        </w:rPr>
        <w:t xml:space="preserve">5.2.2 </w:t>
      </w:r>
      <w:r w:rsidR="003867C4" w:rsidRPr="0091190F">
        <w:rPr>
          <w:rStyle w:val="s2"/>
          <w:rFonts w:ascii="Arial" w:hAnsi="Arial" w:cs="Arial"/>
          <w:b/>
          <w:sz w:val="20"/>
          <w:szCs w:val="20"/>
        </w:rPr>
        <w:t>Zi</w:t>
      </w:r>
      <w:r w:rsidR="00F75D8B" w:rsidRPr="0091190F">
        <w:rPr>
          <w:rStyle w:val="s2"/>
          <w:rFonts w:ascii="Arial" w:hAnsi="Arial" w:cs="Arial"/>
          <w:b/>
          <w:sz w:val="20"/>
          <w:szCs w:val="20"/>
        </w:rPr>
        <w:t>k</w:t>
      </w:r>
      <w:r w:rsidR="003867C4" w:rsidRPr="0091190F">
        <w:rPr>
          <w:rStyle w:val="s2"/>
          <w:rFonts w:ascii="Arial" w:hAnsi="Arial" w:cs="Arial"/>
          <w:b/>
          <w:sz w:val="20"/>
          <w:szCs w:val="20"/>
        </w:rPr>
        <w:t>zak Block</w:t>
      </w:r>
      <w:r w:rsidR="00966E92" w:rsidRPr="0091190F">
        <w:rPr>
          <w:rStyle w:val="s2"/>
          <w:rFonts w:ascii="Arial" w:hAnsi="Arial" w:cs="Arial"/>
          <w:b/>
          <w:sz w:val="20"/>
          <w:szCs w:val="20"/>
        </w:rPr>
        <w:tab/>
      </w:r>
    </w:p>
    <w:p w14:paraId="2E82EE3E" w14:textId="77777777" w:rsidR="00DE0EC9" w:rsidRPr="0091190F" w:rsidRDefault="003867C4"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The Zikzak block lies in the southe</w:t>
      </w:r>
      <w:r w:rsidR="005A2C1F" w:rsidRPr="0091190F">
        <w:rPr>
          <w:rStyle w:val="s2"/>
          <w:rFonts w:ascii="Arial" w:hAnsi="Arial" w:cs="Arial"/>
          <w:sz w:val="20"/>
          <w:szCs w:val="20"/>
        </w:rPr>
        <w:t>rn part of the district having 4</w:t>
      </w:r>
      <w:r w:rsidRPr="0091190F">
        <w:rPr>
          <w:rStyle w:val="s2"/>
          <w:rFonts w:ascii="Arial" w:hAnsi="Arial" w:cs="Arial"/>
          <w:sz w:val="20"/>
          <w:szCs w:val="20"/>
        </w:rPr>
        <w:t>PHCs:Zikzak PHC</w:t>
      </w:r>
      <w:r w:rsidR="001B61B1" w:rsidRPr="0091190F">
        <w:rPr>
          <w:rStyle w:val="s2"/>
          <w:rFonts w:ascii="Arial" w:hAnsi="Arial" w:cs="Arial"/>
          <w:sz w:val="20"/>
          <w:szCs w:val="20"/>
        </w:rPr>
        <w:t xml:space="preserve">, </w:t>
      </w:r>
      <w:r w:rsidRPr="0091190F">
        <w:rPr>
          <w:rStyle w:val="s2"/>
          <w:rFonts w:ascii="Arial" w:hAnsi="Arial" w:cs="Arial"/>
          <w:sz w:val="20"/>
          <w:szCs w:val="20"/>
        </w:rPr>
        <w:t>Kalaichar PHC</w:t>
      </w:r>
      <w:r w:rsidR="001B61B1" w:rsidRPr="0091190F">
        <w:rPr>
          <w:rStyle w:val="s2"/>
          <w:rFonts w:ascii="Arial" w:hAnsi="Arial" w:cs="Arial"/>
          <w:sz w:val="20"/>
          <w:szCs w:val="20"/>
        </w:rPr>
        <w:t xml:space="preserve">, </w:t>
      </w:r>
      <w:r w:rsidRPr="0091190F">
        <w:rPr>
          <w:rStyle w:val="s2"/>
          <w:rFonts w:ascii="Arial" w:hAnsi="Arial" w:cs="Arial"/>
          <w:sz w:val="20"/>
          <w:szCs w:val="20"/>
        </w:rPr>
        <w:t>Nogorpara PHC</w:t>
      </w:r>
      <w:r w:rsidR="001B61B1" w:rsidRPr="0091190F">
        <w:rPr>
          <w:rStyle w:val="s2"/>
          <w:rFonts w:ascii="Arial" w:hAnsi="Arial" w:cs="Arial"/>
          <w:sz w:val="20"/>
          <w:szCs w:val="20"/>
        </w:rPr>
        <w:t xml:space="preserve">, </w:t>
      </w:r>
      <w:r w:rsidR="005A2C1F" w:rsidRPr="0091190F">
        <w:rPr>
          <w:rStyle w:val="s2"/>
          <w:rFonts w:ascii="Arial" w:hAnsi="Arial" w:cs="Arial"/>
          <w:sz w:val="20"/>
          <w:szCs w:val="20"/>
        </w:rPr>
        <w:t>Salmanpara PHC</w:t>
      </w:r>
      <w:r w:rsidR="00050956" w:rsidRPr="0091190F">
        <w:rPr>
          <w:rStyle w:val="s2"/>
          <w:rFonts w:ascii="Arial" w:hAnsi="Arial" w:cs="Arial"/>
          <w:sz w:val="20"/>
          <w:szCs w:val="20"/>
        </w:rPr>
        <w:t xml:space="preserve">. </w:t>
      </w:r>
      <w:r w:rsidRPr="0091190F">
        <w:rPr>
          <w:rStyle w:val="s2"/>
          <w:rFonts w:ascii="Arial" w:hAnsi="Arial" w:cs="Arial"/>
          <w:sz w:val="20"/>
          <w:szCs w:val="20"/>
        </w:rPr>
        <w:t>These health centres are crucial for providing medical services to border areas and remote villages. Due to the rural nature of the block, the role of these PHCs is very important in ensuring timely and accessible healthcare for the people. Services like immunization, basic treatment, delivery services and health checkups are regularly carried out at PHC.</w:t>
      </w:r>
    </w:p>
    <w:p w14:paraId="6FFA85C1" w14:textId="77777777" w:rsidR="00DE0EC9" w:rsidRPr="0091190F" w:rsidRDefault="002E57A1"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5.2.3 </w:t>
      </w:r>
      <w:r w:rsidR="005A2C1F" w:rsidRPr="0091190F">
        <w:rPr>
          <w:rStyle w:val="s2"/>
          <w:rFonts w:ascii="Arial" w:hAnsi="Arial" w:cs="Arial"/>
          <w:b/>
          <w:sz w:val="20"/>
          <w:szCs w:val="20"/>
        </w:rPr>
        <w:t xml:space="preserve">Rerapara Block </w:t>
      </w:r>
    </w:p>
    <w:p w14:paraId="78EA3705" w14:textId="77777777" w:rsidR="00DE0EC9" w:rsidRPr="0091190F" w:rsidRDefault="005A2C1F"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Rerapara is located in the eastern region of South We</w:t>
      </w:r>
      <w:r w:rsidR="00966E92" w:rsidRPr="0091190F">
        <w:rPr>
          <w:rStyle w:val="s2"/>
          <w:rFonts w:ascii="Arial" w:hAnsi="Arial" w:cs="Arial"/>
          <w:sz w:val="20"/>
          <w:szCs w:val="20"/>
        </w:rPr>
        <w:t>st Garo Hills district and has 1</w:t>
      </w:r>
      <w:r w:rsidRPr="0091190F">
        <w:rPr>
          <w:rStyle w:val="s2"/>
          <w:rFonts w:ascii="Arial" w:hAnsi="Arial" w:cs="Arial"/>
          <w:sz w:val="20"/>
          <w:szCs w:val="20"/>
        </w:rPr>
        <w:t>PHCs.Mellim PHC</w:t>
      </w:r>
      <w:r w:rsidR="00050956" w:rsidRPr="0091190F">
        <w:rPr>
          <w:rStyle w:val="s2"/>
          <w:rFonts w:ascii="Arial" w:hAnsi="Arial" w:cs="Arial"/>
          <w:sz w:val="20"/>
          <w:szCs w:val="20"/>
        </w:rPr>
        <w:t xml:space="preserve">. </w:t>
      </w:r>
      <w:r w:rsidRPr="0091190F">
        <w:rPr>
          <w:rStyle w:val="s2"/>
          <w:rFonts w:ascii="Arial" w:hAnsi="Arial" w:cs="Arial"/>
          <w:sz w:val="20"/>
          <w:szCs w:val="20"/>
        </w:rPr>
        <w:t>These PHCs are situated in areas with relatively lower road connectivity. They serve tribal village and help in reducing travel time to Ampati Civil Hospital. The PHCs in Rerapara block contribute significantly to improving rural health by offering preventive and curative care to people in need.</w:t>
      </w:r>
    </w:p>
    <w:p w14:paraId="4C4DA909" w14:textId="77777777" w:rsidR="005A2C1F" w:rsidRPr="0091190F" w:rsidRDefault="002E57A1" w:rsidP="00C63302">
      <w:pPr>
        <w:pStyle w:val="p1"/>
        <w:spacing w:line="360" w:lineRule="auto"/>
        <w:jc w:val="both"/>
        <w:rPr>
          <w:rStyle w:val="s2"/>
          <w:rFonts w:ascii="Arial" w:hAnsi="Arial" w:cs="Arial"/>
          <w:b/>
          <w:sz w:val="20"/>
          <w:szCs w:val="20"/>
        </w:rPr>
      </w:pPr>
      <w:r>
        <w:rPr>
          <w:rStyle w:val="s2"/>
          <w:rFonts w:ascii="Arial" w:hAnsi="Arial" w:cs="Arial"/>
          <w:b/>
          <w:sz w:val="20"/>
          <w:szCs w:val="20"/>
        </w:rPr>
        <w:t xml:space="preserve">5.2.4 </w:t>
      </w:r>
      <w:r w:rsidR="005A2C1F" w:rsidRPr="0091190F">
        <w:rPr>
          <w:rStyle w:val="s2"/>
          <w:rFonts w:ascii="Arial" w:hAnsi="Arial" w:cs="Arial"/>
          <w:b/>
          <w:sz w:val="20"/>
          <w:szCs w:val="20"/>
        </w:rPr>
        <w:t>Purakhasia block</w:t>
      </w:r>
    </w:p>
    <w:p w14:paraId="5A5A9F9A" w14:textId="77777777" w:rsidR="00966E92" w:rsidRPr="0091190F" w:rsidRDefault="00ED142D" w:rsidP="00C63302">
      <w:pPr>
        <w:pStyle w:val="p1"/>
        <w:spacing w:line="360" w:lineRule="auto"/>
        <w:jc w:val="both"/>
        <w:rPr>
          <w:rStyle w:val="s2"/>
          <w:rFonts w:ascii="Arial" w:hAnsi="Arial" w:cs="Arial"/>
          <w:sz w:val="20"/>
          <w:szCs w:val="20"/>
        </w:rPr>
      </w:pPr>
      <w:r w:rsidRPr="0091190F">
        <w:rPr>
          <w:rStyle w:val="s2"/>
          <w:rFonts w:ascii="Arial" w:hAnsi="Arial" w:cs="Arial"/>
          <w:sz w:val="20"/>
          <w:szCs w:val="20"/>
        </w:rPr>
        <w:t>Purakhasia is one of the newly created blocks in South West Garo Hills, Meghalaya.</w:t>
      </w:r>
      <w:r w:rsidR="006A7B5A" w:rsidRPr="0091190F">
        <w:rPr>
          <w:rStyle w:val="s2"/>
          <w:rFonts w:ascii="Arial" w:hAnsi="Arial" w:cs="Arial"/>
          <w:sz w:val="20"/>
          <w:szCs w:val="20"/>
        </w:rPr>
        <w:t xml:space="preserve"> Earlier this area was under W</w:t>
      </w:r>
      <w:r w:rsidRPr="0091190F">
        <w:rPr>
          <w:rStyle w:val="s2"/>
          <w:rFonts w:ascii="Arial" w:hAnsi="Arial" w:cs="Arial"/>
          <w:sz w:val="20"/>
          <w:szCs w:val="20"/>
        </w:rPr>
        <w:t>e</w:t>
      </w:r>
      <w:r w:rsidR="006A7B5A" w:rsidRPr="0091190F">
        <w:rPr>
          <w:rStyle w:val="s2"/>
          <w:rFonts w:ascii="Arial" w:hAnsi="Arial" w:cs="Arial"/>
          <w:sz w:val="20"/>
          <w:szCs w:val="20"/>
        </w:rPr>
        <w:t>s</w:t>
      </w:r>
      <w:r w:rsidRPr="0091190F">
        <w:rPr>
          <w:rStyle w:val="s2"/>
          <w:rFonts w:ascii="Arial" w:hAnsi="Arial" w:cs="Arial"/>
          <w:sz w:val="20"/>
          <w:szCs w:val="20"/>
        </w:rPr>
        <w:t>t Garo Hills district and the  Purakhasia</w:t>
      </w:r>
      <w:r w:rsidR="006A7B5A" w:rsidRPr="0091190F">
        <w:rPr>
          <w:rStyle w:val="s2"/>
          <w:rFonts w:ascii="Arial" w:hAnsi="Arial" w:cs="Arial"/>
          <w:sz w:val="20"/>
          <w:szCs w:val="20"/>
        </w:rPr>
        <w:t xml:space="preserve"> PHC</w:t>
      </w:r>
      <w:r w:rsidRPr="0091190F">
        <w:rPr>
          <w:rStyle w:val="s2"/>
          <w:rFonts w:ascii="Arial" w:hAnsi="Arial" w:cs="Arial"/>
          <w:sz w:val="20"/>
          <w:szCs w:val="20"/>
        </w:rPr>
        <w:t xml:space="preserve"> was officially listed under Dalu Block in government record</w:t>
      </w:r>
      <w:r w:rsidR="006A7B5A" w:rsidRPr="0091190F">
        <w:rPr>
          <w:rStyle w:val="s2"/>
          <w:rFonts w:ascii="Arial" w:hAnsi="Arial" w:cs="Arial"/>
          <w:sz w:val="20"/>
          <w:szCs w:val="20"/>
        </w:rPr>
        <w:t>s</w:t>
      </w:r>
      <w:r w:rsidRPr="0091190F">
        <w:rPr>
          <w:rStyle w:val="s2"/>
          <w:rFonts w:ascii="Arial" w:hAnsi="Arial" w:cs="Arial"/>
          <w:sz w:val="20"/>
          <w:szCs w:val="20"/>
        </w:rPr>
        <w:t>. However af</w:t>
      </w:r>
      <w:r w:rsidR="006A7B5A" w:rsidRPr="0091190F">
        <w:rPr>
          <w:rStyle w:val="s2"/>
          <w:rFonts w:ascii="Arial" w:hAnsi="Arial" w:cs="Arial"/>
          <w:sz w:val="20"/>
          <w:szCs w:val="20"/>
        </w:rPr>
        <w:t>ter the format</w:t>
      </w:r>
      <w:r w:rsidR="00236B6A" w:rsidRPr="0091190F">
        <w:rPr>
          <w:rStyle w:val="s2"/>
          <w:rFonts w:ascii="Arial" w:hAnsi="Arial" w:cs="Arial"/>
          <w:sz w:val="20"/>
          <w:szCs w:val="20"/>
        </w:rPr>
        <w:t>ion of Purakhasia C &amp; RD block,</w:t>
      </w:r>
      <w:r w:rsidR="006A7B5A" w:rsidRPr="0091190F">
        <w:rPr>
          <w:rStyle w:val="s2"/>
          <w:rFonts w:ascii="Arial" w:hAnsi="Arial" w:cs="Arial"/>
          <w:sz w:val="20"/>
          <w:szCs w:val="20"/>
        </w:rPr>
        <w:t xml:space="preserve"> it now falls under the administrative boundary of South West Garo Hills district. Currently the Purakhasia PHC continues to be shown under Dalu block by the Meghalaya Health Department. But on ground reality it serves the people of Purakhasia block, as it is the nearest and most accessible primary health facility in the region. </w:t>
      </w:r>
      <w:r w:rsidR="0006305F" w:rsidRPr="0091190F">
        <w:rPr>
          <w:rStyle w:val="s2"/>
          <w:rFonts w:ascii="Arial" w:hAnsi="Arial" w:cs="Arial"/>
          <w:sz w:val="20"/>
          <w:szCs w:val="20"/>
        </w:rPr>
        <w:t>Purakhasia block currently does not have a designated PHC under South West Garo Hills district. However, people from this block depends on nearby PHCs or even PHCs in West Garo Hills district like Purakhasia PHC which is geographi</w:t>
      </w:r>
      <w:r w:rsidR="00966E92" w:rsidRPr="0091190F">
        <w:rPr>
          <w:rStyle w:val="s2"/>
          <w:rFonts w:ascii="Arial" w:hAnsi="Arial" w:cs="Arial"/>
          <w:sz w:val="20"/>
          <w:szCs w:val="20"/>
        </w:rPr>
        <w:t>cally located under Dalu block.</w:t>
      </w:r>
    </w:p>
    <w:p w14:paraId="61A9AEE9" w14:textId="77777777" w:rsidR="00D64FF1" w:rsidRDefault="002866A2" w:rsidP="00C63302">
      <w:pPr>
        <w:spacing w:line="360" w:lineRule="auto"/>
        <w:jc w:val="both"/>
        <w:rPr>
          <w:rFonts w:ascii="Arial" w:hAnsi="Arial" w:cs="Arial"/>
          <w:b/>
          <w:sz w:val="20"/>
          <w:szCs w:val="20"/>
        </w:rPr>
      </w:pPr>
      <w:r>
        <w:rPr>
          <w:rFonts w:ascii="Arial" w:hAnsi="Arial" w:cs="Arial"/>
          <w:b/>
          <w:sz w:val="20"/>
          <w:szCs w:val="20"/>
        </w:rPr>
        <w:t xml:space="preserve">5.3 </w:t>
      </w:r>
      <w:r w:rsidR="00D64FF1" w:rsidRPr="0091190F">
        <w:rPr>
          <w:rFonts w:ascii="Arial" w:hAnsi="Arial" w:cs="Arial"/>
          <w:b/>
          <w:sz w:val="20"/>
          <w:szCs w:val="20"/>
        </w:rPr>
        <w:t>NEAREST NEIGHBOR ANALYSIS</w:t>
      </w:r>
    </w:p>
    <w:p w14:paraId="45A803ED" w14:textId="77777777" w:rsidR="00D64FF1" w:rsidRPr="0091190F" w:rsidRDefault="002866A2" w:rsidP="002866A2">
      <w:pPr>
        <w:pStyle w:val="p1"/>
        <w:spacing w:line="360" w:lineRule="auto"/>
        <w:jc w:val="both"/>
        <w:rPr>
          <w:rFonts w:ascii="Arial" w:hAnsi="Arial" w:cs="Arial"/>
          <w:sz w:val="20"/>
          <w:szCs w:val="20"/>
        </w:rPr>
      </w:pPr>
      <w:r>
        <w:rPr>
          <w:rStyle w:val="s2"/>
          <w:rFonts w:ascii="Arial" w:hAnsi="Arial" w:cs="Arial"/>
          <w:sz w:val="20"/>
          <w:szCs w:val="20"/>
        </w:rPr>
        <w:t>T</w:t>
      </w:r>
      <w:r w:rsidRPr="0091190F">
        <w:rPr>
          <w:rStyle w:val="s2"/>
          <w:rFonts w:ascii="Arial" w:hAnsi="Arial" w:cs="Arial"/>
          <w:sz w:val="20"/>
          <w:szCs w:val="20"/>
        </w:rPr>
        <w:t xml:space="preserve">he </w:t>
      </w:r>
      <w:r w:rsidR="00AA5953">
        <w:rPr>
          <w:rStyle w:val="s2"/>
          <w:rFonts w:ascii="Arial" w:hAnsi="Arial" w:cs="Arial"/>
          <w:sz w:val="20"/>
          <w:szCs w:val="20"/>
        </w:rPr>
        <w:t>characteristic</w:t>
      </w:r>
      <w:r w:rsidRPr="0091190F">
        <w:rPr>
          <w:rStyle w:val="s2"/>
          <w:rFonts w:ascii="Arial" w:hAnsi="Arial" w:cs="Arial"/>
          <w:sz w:val="20"/>
          <w:szCs w:val="20"/>
        </w:rPr>
        <w:t xml:space="preserve"> features of spatial distribution of health care centres, which is estimated with the Nearest Neighbour Analysis.</w:t>
      </w:r>
      <w:r w:rsidR="00D64FF1" w:rsidRPr="0091190F">
        <w:rPr>
          <w:rFonts w:ascii="Arial" w:hAnsi="Arial" w:cs="Arial"/>
          <w:sz w:val="20"/>
          <w:szCs w:val="20"/>
        </w:rPr>
        <w:t xml:space="preserve">A Nearest Neighbor Analysis is a descriptive statistic that shows a pattern of locating features by comparing graphically the observed nearest </w:t>
      </w:r>
      <w:r w:rsidR="00AC11B9">
        <w:rPr>
          <w:rFonts w:ascii="Arial" w:hAnsi="Arial" w:cs="Arial"/>
          <w:sz w:val="20"/>
          <w:szCs w:val="20"/>
        </w:rPr>
        <w:t xml:space="preserve">neighbour </w:t>
      </w:r>
      <w:r w:rsidR="00D64FF1" w:rsidRPr="0091190F">
        <w:rPr>
          <w:rFonts w:ascii="Arial" w:hAnsi="Arial" w:cs="Arial"/>
          <w:sz w:val="20"/>
          <w:szCs w:val="20"/>
        </w:rPr>
        <w:t>distance.</w:t>
      </w:r>
      <w:r w:rsidR="00C2747D">
        <w:rPr>
          <w:rFonts w:ascii="Arial" w:hAnsi="Arial" w:cs="Arial"/>
          <w:sz w:val="20"/>
          <w:szCs w:val="20"/>
        </w:rPr>
        <w:t>(</w:t>
      </w:r>
      <w:r w:rsidR="00BB73A7">
        <w:rPr>
          <w:rFonts w:ascii="Arial" w:hAnsi="Arial" w:cs="Arial"/>
          <w:sz w:val="20"/>
          <w:szCs w:val="20"/>
        </w:rPr>
        <w:t>Vinothini et al  2025</w:t>
      </w:r>
      <w:r w:rsidR="00653348">
        <w:rPr>
          <w:rFonts w:ascii="Arial" w:hAnsi="Arial" w:cs="Arial"/>
          <w:sz w:val="20"/>
          <w:szCs w:val="20"/>
        </w:rPr>
        <w:t>c</w:t>
      </w:r>
      <w:r w:rsidR="00BB73A7">
        <w:rPr>
          <w:rFonts w:ascii="Arial" w:hAnsi="Arial" w:cs="Arial"/>
          <w:sz w:val="20"/>
          <w:szCs w:val="20"/>
        </w:rPr>
        <w:t>;2024</w:t>
      </w:r>
      <w:r w:rsidR="00653348">
        <w:rPr>
          <w:rFonts w:ascii="Arial" w:hAnsi="Arial" w:cs="Arial"/>
          <w:sz w:val="20"/>
          <w:szCs w:val="20"/>
        </w:rPr>
        <w:t>a</w:t>
      </w:r>
      <w:r w:rsidR="00BB73A7">
        <w:rPr>
          <w:rFonts w:ascii="Arial" w:hAnsi="Arial" w:cs="Arial"/>
          <w:sz w:val="20"/>
          <w:szCs w:val="20"/>
        </w:rPr>
        <w:t>)</w:t>
      </w:r>
      <w:r w:rsidR="00D64FF1" w:rsidRPr="0091190F">
        <w:rPr>
          <w:rFonts w:ascii="Arial" w:hAnsi="Arial" w:cs="Arial"/>
          <w:sz w:val="20"/>
          <w:szCs w:val="20"/>
        </w:rPr>
        <w:t xml:space="preserve"> That is, it describes phenomenon based on its distance from another phenomenon in </w:t>
      </w:r>
      <w:r w:rsidR="00D64FF1" w:rsidRPr="0091190F">
        <w:rPr>
          <w:rFonts w:ascii="Arial" w:hAnsi="Arial" w:cs="Arial"/>
          <w:sz w:val="20"/>
          <w:szCs w:val="20"/>
        </w:rPr>
        <w:lastRenderedPageBreak/>
        <w:t>space. The Nearest Neighbor Analysis do not only examine distance points, but it also examines the closest point to it.</w:t>
      </w:r>
      <w:r w:rsidR="00BB73A7">
        <w:rPr>
          <w:rFonts w:ascii="Arial" w:hAnsi="Arial" w:cs="Arial"/>
          <w:sz w:val="20"/>
          <w:szCs w:val="20"/>
        </w:rPr>
        <w:t>(Saravanabavan et al 202</w:t>
      </w:r>
      <w:r w:rsidR="000C6031">
        <w:rPr>
          <w:rFonts w:ascii="Arial" w:hAnsi="Arial" w:cs="Arial"/>
          <w:sz w:val="20"/>
          <w:szCs w:val="20"/>
        </w:rPr>
        <w:t>3</w:t>
      </w:r>
      <w:r w:rsidR="00653348">
        <w:rPr>
          <w:rFonts w:ascii="Arial" w:hAnsi="Arial" w:cs="Arial"/>
          <w:sz w:val="20"/>
          <w:szCs w:val="20"/>
        </w:rPr>
        <w:t>a</w:t>
      </w:r>
      <w:r w:rsidR="00BB73A7">
        <w:rPr>
          <w:rFonts w:ascii="Arial" w:hAnsi="Arial" w:cs="Arial"/>
          <w:sz w:val="20"/>
          <w:szCs w:val="20"/>
        </w:rPr>
        <w:t>;202</w:t>
      </w:r>
      <w:r w:rsidR="000C6031">
        <w:rPr>
          <w:rFonts w:ascii="Arial" w:hAnsi="Arial" w:cs="Arial"/>
          <w:sz w:val="20"/>
          <w:szCs w:val="20"/>
        </w:rPr>
        <w:t>1</w:t>
      </w:r>
      <w:r w:rsidR="00653348">
        <w:rPr>
          <w:rFonts w:ascii="Arial" w:hAnsi="Arial" w:cs="Arial"/>
          <w:sz w:val="20"/>
          <w:szCs w:val="20"/>
        </w:rPr>
        <w:t>a</w:t>
      </w:r>
      <w:r w:rsidR="00BB73A7">
        <w:rPr>
          <w:rFonts w:ascii="Arial" w:hAnsi="Arial" w:cs="Arial"/>
          <w:sz w:val="20"/>
          <w:szCs w:val="20"/>
        </w:rPr>
        <w:t>)</w:t>
      </w:r>
      <w:r w:rsidR="00D64FF1" w:rsidRPr="0091190F">
        <w:rPr>
          <w:rFonts w:ascii="Arial" w:hAnsi="Arial" w:cs="Arial"/>
          <w:sz w:val="20"/>
          <w:szCs w:val="20"/>
        </w:rPr>
        <w:t>The Nearest Neighbor Index (NNI) is a complicated tool to precisely measure the spatial distribution of a pattern and see if it is regularly dispersed, randomly dispersed, or clustered. The Nearest neighbor analysis an effective for quantifying distribution and decreasing distribution pattern of health care centers such as primary health center and sub centers. Which could be located and pointed on maps on a particular scale nearest neighbor statistic.</w:t>
      </w:r>
    </w:p>
    <w:p w14:paraId="59AB686C" w14:textId="77777777" w:rsidR="00C63664" w:rsidRPr="00A8595A" w:rsidRDefault="001779D5" w:rsidP="00C63302">
      <w:pPr>
        <w:spacing w:line="360" w:lineRule="auto"/>
        <w:jc w:val="both"/>
        <w:rPr>
          <w:rFonts w:ascii="Arial" w:hAnsi="Arial" w:cs="Arial"/>
          <w:i/>
          <w:iCs/>
          <w:sz w:val="20"/>
          <w:szCs w:val="20"/>
        </w:rPr>
      </w:pPr>
      <w:r>
        <w:rPr>
          <w:rFonts w:ascii="Arial" w:hAnsi="Arial" w:cs="Arial"/>
          <w:i/>
          <w:iCs/>
          <w:noProof/>
          <w:sz w:val="20"/>
          <w:szCs w:val="20"/>
          <w:lang w:bidi="ta-IN"/>
        </w:rPr>
        <w:pict w14:anchorId="669E5EF7">
          <v:shapetype id="_x0000_t32" coordsize="21600,21600" o:spt="32" o:oned="t" path="m,l21600,21600e" filled="f">
            <v:path arrowok="t" fillok="f" o:connecttype="none"/>
            <o:lock v:ext="edit" shapetype="t"/>
          </v:shapetype>
          <v:shape id="_x0000_s1028" type="#_x0000_t32" style="position:absolute;left:0;text-align:left;margin-left:28.45pt;margin-top:16.9pt;width:21.75pt;height:.85pt;flip:y;z-index:251663360" o:connectortype="straight"/>
        </w:pict>
      </w:r>
      <w:r w:rsidR="00C63664" w:rsidRPr="00A8595A">
        <w:rPr>
          <w:rFonts w:ascii="Arial" w:hAnsi="Arial" w:cs="Arial"/>
          <w:i/>
          <w:iCs/>
          <w:sz w:val="20"/>
          <w:szCs w:val="20"/>
        </w:rPr>
        <w:t xml:space="preserve">RN = </w:t>
      </w:r>
      <w:r w:rsidR="00D64FF1" w:rsidRPr="00A8595A">
        <w:rPr>
          <w:rFonts w:ascii="Arial" w:hAnsi="Arial" w:cs="Arial"/>
          <w:i/>
          <w:iCs/>
          <w:sz w:val="20"/>
          <w:szCs w:val="20"/>
        </w:rPr>
        <w:t xml:space="preserve"> Dob</w:t>
      </w:r>
    </w:p>
    <w:p w14:paraId="1FD1E276"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i/>
          <w:iCs/>
          <w:sz w:val="20"/>
          <w:szCs w:val="20"/>
        </w:rPr>
        <w:t>Dexp</w:t>
      </w:r>
    </w:p>
    <w:p w14:paraId="51E97992"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RN –</w:t>
      </w:r>
      <w:r w:rsidRPr="00A8595A">
        <w:rPr>
          <w:rFonts w:ascii="Arial" w:hAnsi="Arial" w:cs="Arial"/>
          <w:i/>
          <w:iCs/>
          <w:sz w:val="20"/>
          <w:szCs w:val="20"/>
        </w:rPr>
        <w:t xml:space="preserve">    Nearest Neighbor index of spacing</w:t>
      </w:r>
    </w:p>
    <w:p w14:paraId="04E9B26E"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Dobs -</w:t>
      </w:r>
      <w:r w:rsidRPr="00A8595A">
        <w:rPr>
          <w:rFonts w:ascii="Arial" w:hAnsi="Arial" w:cs="Arial"/>
          <w:i/>
          <w:iCs/>
          <w:sz w:val="20"/>
          <w:szCs w:val="20"/>
        </w:rPr>
        <w:t xml:space="preserve"> The average of the observed distance between each center and itsnearest neighbor in kms            </w:t>
      </w:r>
    </w:p>
    <w:p w14:paraId="146ED804" w14:textId="77777777" w:rsidR="00D64FF1" w:rsidRPr="00A8595A" w:rsidRDefault="00D64FF1" w:rsidP="00C63302">
      <w:pPr>
        <w:spacing w:line="360" w:lineRule="auto"/>
        <w:jc w:val="both"/>
        <w:rPr>
          <w:rFonts w:ascii="Arial" w:hAnsi="Arial" w:cs="Arial"/>
          <w:i/>
          <w:iCs/>
          <w:sz w:val="20"/>
          <w:szCs w:val="20"/>
        </w:rPr>
      </w:pPr>
      <w:r w:rsidRPr="00A8595A">
        <w:rPr>
          <w:rFonts w:ascii="Arial" w:hAnsi="Arial" w:cs="Arial"/>
          <w:b/>
          <w:bCs/>
          <w:i/>
          <w:iCs/>
          <w:sz w:val="20"/>
          <w:szCs w:val="20"/>
        </w:rPr>
        <w:t>Dexp –</w:t>
      </w:r>
      <w:r w:rsidRPr="00A8595A">
        <w:rPr>
          <w:rFonts w:ascii="Arial" w:hAnsi="Arial" w:cs="Arial"/>
          <w:i/>
          <w:iCs/>
          <w:sz w:val="20"/>
          <w:szCs w:val="20"/>
        </w:rPr>
        <w:t>The expected average distance between each center and its</w:t>
      </w:r>
      <w:r w:rsidR="00870BE8" w:rsidRPr="00A8595A">
        <w:rPr>
          <w:rFonts w:ascii="Arial" w:hAnsi="Arial" w:cs="Arial"/>
          <w:i/>
          <w:iCs/>
          <w:sz w:val="20"/>
          <w:szCs w:val="20"/>
        </w:rPr>
        <w:t xml:space="preserve">  nearest</w:t>
      </w:r>
      <w:r w:rsidRPr="00A8595A">
        <w:rPr>
          <w:rFonts w:ascii="Arial" w:hAnsi="Arial" w:cs="Arial"/>
          <w:i/>
          <w:iCs/>
          <w:sz w:val="20"/>
          <w:szCs w:val="20"/>
        </w:rPr>
        <w:t>neighbor in Kilometers.</w:t>
      </w:r>
    </w:p>
    <w:p w14:paraId="7B61D1D0" w14:textId="77777777" w:rsidR="00D64FF1" w:rsidRPr="00A8595A" w:rsidRDefault="001779D5" w:rsidP="00C63302">
      <w:pPr>
        <w:pStyle w:val="Title"/>
        <w:tabs>
          <w:tab w:val="left" w:pos="1440"/>
        </w:tabs>
        <w:spacing w:line="360" w:lineRule="auto"/>
        <w:jc w:val="both"/>
        <w:rPr>
          <w:rFonts w:ascii="Arial" w:hAnsi="Arial" w:cs="Arial"/>
          <w:i/>
          <w:iCs/>
          <w:sz w:val="20"/>
          <w:szCs w:val="20"/>
        </w:rPr>
      </w:pPr>
      <w:r>
        <w:rPr>
          <w:rFonts w:ascii="Arial" w:hAnsi="Arial" w:cs="Arial"/>
          <w:i/>
          <w:iCs/>
          <w:noProof/>
          <w:sz w:val="20"/>
          <w:szCs w:val="20"/>
          <w:lang w:bidi="ta-IN"/>
        </w:rPr>
        <w:pict w14:anchorId="64AE16AD">
          <v:shape id="_x0000_s1026" type="#_x0000_t32" style="position:absolute;left:0;text-align:left;margin-left:36pt;margin-top:15.15pt;width:21.75pt;height:.85pt;flip:y;z-index:251661312" o:connectortype="straight"/>
        </w:pict>
      </w:r>
      <w:r w:rsidR="00D64FF1" w:rsidRPr="00A8595A">
        <w:rPr>
          <w:rFonts w:ascii="Arial" w:hAnsi="Arial" w:cs="Arial"/>
          <w:i/>
          <w:iCs/>
          <w:sz w:val="20"/>
          <w:szCs w:val="20"/>
        </w:rPr>
        <w:t xml:space="preserve">Dexp= 1                                        </w:t>
      </w:r>
    </w:p>
    <w:p w14:paraId="72BB19E3" w14:textId="77777777" w:rsidR="00D64FF1" w:rsidRPr="00A8595A" w:rsidRDefault="00D64FF1" w:rsidP="002866A2">
      <w:pPr>
        <w:pStyle w:val="Title"/>
        <w:tabs>
          <w:tab w:val="left" w:pos="1440"/>
        </w:tabs>
        <w:spacing w:line="360" w:lineRule="auto"/>
        <w:jc w:val="both"/>
        <w:rPr>
          <w:rFonts w:ascii="Arial" w:hAnsi="Arial" w:cs="Arial"/>
          <w:i/>
          <w:iCs/>
          <w:sz w:val="20"/>
          <w:szCs w:val="20"/>
        </w:rPr>
      </w:pPr>
      <w:r w:rsidRPr="00A8595A">
        <w:rPr>
          <w:rFonts w:ascii="Arial" w:hAnsi="Arial" w:cs="Arial"/>
          <w:i/>
          <w:iCs/>
          <w:sz w:val="20"/>
          <w:szCs w:val="20"/>
        </w:rPr>
        <w:t>2 N/A  N – Number of Health Centre</w:t>
      </w:r>
      <w:r w:rsidR="00C63664" w:rsidRPr="00A8595A">
        <w:rPr>
          <w:rFonts w:ascii="Arial" w:hAnsi="Arial" w:cs="Arial"/>
          <w:i/>
          <w:iCs/>
          <w:sz w:val="20"/>
          <w:szCs w:val="20"/>
        </w:rPr>
        <w:t xml:space="preserve">, </w:t>
      </w:r>
      <w:r w:rsidRPr="00A8595A">
        <w:rPr>
          <w:rFonts w:ascii="Arial" w:hAnsi="Arial" w:cs="Arial"/>
          <w:i/>
          <w:iCs/>
          <w:sz w:val="20"/>
          <w:szCs w:val="20"/>
        </w:rPr>
        <w:t>A – Area</w:t>
      </w:r>
      <w:r w:rsidR="00C63664" w:rsidRPr="00A8595A">
        <w:rPr>
          <w:rFonts w:ascii="Arial" w:hAnsi="Arial" w:cs="Arial"/>
          <w:i/>
          <w:iCs/>
          <w:sz w:val="20"/>
          <w:szCs w:val="20"/>
        </w:rPr>
        <w:t>.</w:t>
      </w:r>
    </w:p>
    <w:p w14:paraId="0EDD0717" w14:textId="77777777" w:rsidR="00D64FF1" w:rsidRPr="0091190F" w:rsidRDefault="00D64FF1" w:rsidP="002866A2">
      <w:pPr>
        <w:pStyle w:val="BodyText"/>
        <w:tabs>
          <w:tab w:val="left" w:pos="1440"/>
        </w:tabs>
        <w:rPr>
          <w:rFonts w:ascii="Arial" w:hAnsi="Arial" w:cs="Arial"/>
          <w:sz w:val="20"/>
          <w:szCs w:val="20"/>
          <w:vertAlign w:val="superscript"/>
        </w:rPr>
      </w:pPr>
      <w:r w:rsidRPr="0091190F">
        <w:rPr>
          <w:rFonts w:ascii="Arial" w:hAnsi="Arial" w:cs="Arial"/>
          <w:sz w:val="20"/>
          <w:szCs w:val="20"/>
        </w:rPr>
        <w:t xml:space="preserve">               The nearest neighbor technique involves the measurement of distance from an individual point to its nearest neighbor irrespective of any diversion</w:t>
      </w:r>
      <w:r w:rsidR="00C805CC">
        <w:rPr>
          <w:rFonts w:ascii="Arial" w:hAnsi="Arial" w:cs="Arial"/>
          <w:sz w:val="20"/>
          <w:szCs w:val="20"/>
        </w:rPr>
        <w:t xml:space="preserve"> (Saravanabavan,1996)</w:t>
      </w:r>
      <w:r w:rsidRPr="0091190F">
        <w:rPr>
          <w:rFonts w:ascii="Arial" w:hAnsi="Arial" w:cs="Arial"/>
          <w:sz w:val="20"/>
          <w:szCs w:val="20"/>
        </w:rPr>
        <w:t>. A series of such distance measurement are made using all the individual points present on a randomly selected sample and the value of mean distance (Do) to nearest neighbor that would be theoretically expected if the individual of that population were randomly distributed is calculated using the formula.</w:t>
      </w:r>
    </w:p>
    <w:p w14:paraId="5065A6F1" w14:textId="77777777" w:rsidR="00D64FF1" w:rsidRPr="00A8595A" w:rsidRDefault="001779D5" w:rsidP="00C63302">
      <w:pPr>
        <w:pStyle w:val="Title"/>
        <w:tabs>
          <w:tab w:val="left" w:pos="1440"/>
        </w:tabs>
        <w:spacing w:line="360" w:lineRule="auto"/>
        <w:jc w:val="both"/>
        <w:rPr>
          <w:rFonts w:ascii="Arial" w:hAnsi="Arial" w:cs="Arial"/>
          <w:i/>
          <w:iCs/>
          <w:sz w:val="20"/>
          <w:szCs w:val="20"/>
        </w:rPr>
      </w:pPr>
      <w:r>
        <w:rPr>
          <w:rFonts w:ascii="Arial" w:hAnsi="Arial" w:cs="Arial"/>
          <w:i/>
          <w:iCs/>
          <w:noProof/>
          <w:sz w:val="20"/>
          <w:szCs w:val="20"/>
          <w:lang w:bidi="ta-IN"/>
        </w:rPr>
        <w:pict w14:anchorId="05A8C8BD">
          <v:shape id="_x0000_s1027" type="#_x0000_t32" style="position:absolute;left:0;text-align:left;margin-left:122.2pt;margin-top:16.3pt;width:30.15pt;height:.85pt;flip:y;z-index:251662336" o:connectortype="straight"/>
        </w:pict>
      </w:r>
      <w:r w:rsidR="00D64FF1" w:rsidRPr="00A8595A">
        <w:rPr>
          <w:rFonts w:ascii="Arial" w:hAnsi="Arial" w:cs="Arial"/>
          <w:i/>
          <w:iCs/>
          <w:sz w:val="20"/>
          <w:szCs w:val="20"/>
        </w:rPr>
        <w:t xml:space="preserve">                                    Dexp.DE   = 1</w:t>
      </w:r>
    </w:p>
    <w:p w14:paraId="66C23E1F" w14:textId="77777777" w:rsidR="00A84207" w:rsidRDefault="00D64FF1" w:rsidP="00C63302">
      <w:pPr>
        <w:pStyle w:val="Title"/>
        <w:tabs>
          <w:tab w:val="left" w:pos="1440"/>
        </w:tabs>
        <w:spacing w:line="360" w:lineRule="auto"/>
        <w:jc w:val="both"/>
        <w:rPr>
          <w:rFonts w:ascii="Arial" w:hAnsi="Arial" w:cs="Arial"/>
          <w:sz w:val="20"/>
          <w:szCs w:val="20"/>
        </w:rPr>
      </w:pPr>
      <w:r w:rsidRPr="00A8595A">
        <w:rPr>
          <w:rFonts w:ascii="Arial" w:hAnsi="Arial" w:cs="Arial"/>
          <w:i/>
          <w:iCs/>
          <w:sz w:val="20"/>
          <w:szCs w:val="20"/>
        </w:rPr>
        <w:t xml:space="preserve">                                                        2 N/A</w:t>
      </w:r>
      <w:r w:rsidR="00C63664">
        <w:rPr>
          <w:rFonts w:ascii="Arial" w:hAnsi="Arial" w:cs="Arial"/>
          <w:sz w:val="20"/>
          <w:szCs w:val="20"/>
        </w:rPr>
        <w:t>T</w:t>
      </w:r>
    </w:p>
    <w:p w14:paraId="44D60B8B" w14:textId="77777777" w:rsidR="00D64FF1" w:rsidRPr="0091190F" w:rsidRDefault="00A84207" w:rsidP="00C63302">
      <w:pPr>
        <w:pStyle w:val="Title"/>
        <w:tabs>
          <w:tab w:val="left" w:pos="1440"/>
        </w:tabs>
        <w:spacing w:line="360" w:lineRule="auto"/>
        <w:jc w:val="both"/>
        <w:rPr>
          <w:rFonts w:ascii="Arial" w:hAnsi="Arial" w:cs="Arial"/>
          <w:sz w:val="20"/>
          <w:szCs w:val="20"/>
        </w:rPr>
      </w:pPr>
      <w:r>
        <w:rPr>
          <w:rFonts w:ascii="Arial" w:hAnsi="Arial" w:cs="Arial"/>
          <w:sz w:val="20"/>
          <w:szCs w:val="20"/>
        </w:rPr>
        <w:t xml:space="preserve">                 T</w:t>
      </w:r>
      <w:r w:rsidR="00C63664">
        <w:rPr>
          <w:rFonts w:ascii="Arial" w:hAnsi="Arial" w:cs="Arial"/>
          <w:sz w:val="20"/>
          <w:szCs w:val="20"/>
        </w:rPr>
        <w:t>he</w:t>
      </w:r>
      <w:r w:rsidR="00D64FF1" w:rsidRPr="0091190F">
        <w:rPr>
          <w:rFonts w:ascii="Arial" w:hAnsi="Arial" w:cs="Arial"/>
          <w:sz w:val="20"/>
          <w:szCs w:val="20"/>
        </w:rPr>
        <w:t xml:space="preserve">result is </w:t>
      </w:r>
      <w:r w:rsidR="0002581A" w:rsidRPr="0091190F">
        <w:rPr>
          <w:rFonts w:ascii="Arial" w:hAnsi="Arial" w:cs="Arial"/>
          <w:sz w:val="20"/>
          <w:szCs w:val="20"/>
        </w:rPr>
        <w:t>respected</w:t>
      </w:r>
    </w:p>
    <w:p w14:paraId="6285BCFE" w14:textId="77777777" w:rsidR="00492913" w:rsidRPr="0091190F" w:rsidRDefault="00D64FF1" w:rsidP="00C63664">
      <w:pPr>
        <w:pStyle w:val="Title"/>
        <w:tabs>
          <w:tab w:val="left" w:pos="1440"/>
        </w:tabs>
        <w:spacing w:line="360" w:lineRule="auto"/>
        <w:jc w:val="both"/>
        <w:rPr>
          <w:rFonts w:ascii="Arial" w:hAnsi="Arial" w:cs="Arial"/>
          <w:sz w:val="20"/>
          <w:szCs w:val="20"/>
        </w:rPr>
      </w:pPr>
      <w:r w:rsidRPr="0091190F">
        <w:rPr>
          <w:rFonts w:ascii="Arial" w:hAnsi="Arial" w:cs="Arial"/>
          <w:sz w:val="20"/>
          <w:szCs w:val="20"/>
        </w:rPr>
        <w:t xml:space="preserve">                 Nearest neighbour</w:t>
      </w:r>
      <w:r w:rsidR="002866A2">
        <w:rPr>
          <w:rFonts w:ascii="Arial" w:hAnsi="Arial" w:cs="Arial"/>
          <w:sz w:val="20"/>
          <w:szCs w:val="20"/>
        </w:rPr>
        <w:t>:</w:t>
      </w:r>
      <w:r w:rsidRPr="0091190F">
        <w:rPr>
          <w:rFonts w:ascii="Arial" w:hAnsi="Arial" w:cs="Arial"/>
          <w:sz w:val="20"/>
          <w:szCs w:val="20"/>
        </w:rPr>
        <w:t xml:space="preserve">  0-</w:t>
      </w:r>
      <w:r w:rsidR="00AA5953">
        <w:rPr>
          <w:rFonts w:ascii="Arial" w:hAnsi="Arial" w:cs="Arial"/>
          <w:sz w:val="20"/>
          <w:szCs w:val="20"/>
        </w:rPr>
        <w:t>C</w:t>
      </w:r>
      <w:r w:rsidRPr="0091190F">
        <w:rPr>
          <w:rFonts w:ascii="Arial" w:hAnsi="Arial" w:cs="Arial"/>
          <w:sz w:val="20"/>
          <w:szCs w:val="20"/>
        </w:rPr>
        <w:t>luster</w:t>
      </w:r>
      <w:r w:rsidR="00C63664">
        <w:rPr>
          <w:rFonts w:ascii="Arial" w:hAnsi="Arial" w:cs="Arial"/>
          <w:sz w:val="20"/>
          <w:szCs w:val="20"/>
        </w:rPr>
        <w:t xml:space="preserve">, </w:t>
      </w:r>
      <w:r w:rsidRPr="0091190F">
        <w:rPr>
          <w:rFonts w:ascii="Arial" w:hAnsi="Arial" w:cs="Arial"/>
          <w:sz w:val="20"/>
          <w:szCs w:val="20"/>
        </w:rPr>
        <w:t>1-</w:t>
      </w:r>
      <w:r w:rsidR="00AA5953">
        <w:rPr>
          <w:rFonts w:ascii="Arial" w:hAnsi="Arial" w:cs="Arial"/>
          <w:sz w:val="20"/>
          <w:szCs w:val="20"/>
        </w:rPr>
        <w:t>R</w:t>
      </w:r>
      <w:r w:rsidRPr="0091190F">
        <w:rPr>
          <w:rFonts w:ascii="Arial" w:hAnsi="Arial" w:cs="Arial"/>
          <w:sz w:val="20"/>
          <w:szCs w:val="20"/>
        </w:rPr>
        <w:t>andom</w:t>
      </w:r>
      <w:r w:rsidR="00C63664">
        <w:rPr>
          <w:rFonts w:ascii="Arial" w:hAnsi="Arial" w:cs="Arial"/>
          <w:sz w:val="20"/>
          <w:szCs w:val="20"/>
        </w:rPr>
        <w:t>,</w:t>
      </w:r>
      <w:r w:rsidRPr="0091190F">
        <w:rPr>
          <w:rFonts w:ascii="Arial" w:hAnsi="Arial" w:cs="Arial"/>
          <w:sz w:val="20"/>
          <w:szCs w:val="20"/>
        </w:rPr>
        <w:t xml:space="preserve">  2.15-</w:t>
      </w:r>
      <w:r w:rsidR="00AA5953">
        <w:rPr>
          <w:rFonts w:ascii="Arial" w:hAnsi="Arial" w:cs="Arial"/>
          <w:sz w:val="20"/>
          <w:szCs w:val="20"/>
        </w:rPr>
        <w:t>U</w:t>
      </w:r>
      <w:r w:rsidRPr="0091190F">
        <w:rPr>
          <w:rFonts w:ascii="Arial" w:hAnsi="Arial" w:cs="Arial"/>
          <w:sz w:val="20"/>
          <w:szCs w:val="20"/>
        </w:rPr>
        <w:t>niform</w:t>
      </w:r>
      <w:r w:rsidR="00C63664">
        <w:rPr>
          <w:rFonts w:ascii="Arial" w:hAnsi="Arial" w:cs="Arial"/>
          <w:sz w:val="20"/>
          <w:szCs w:val="20"/>
        </w:rPr>
        <w:t>.</w:t>
      </w:r>
    </w:p>
    <w:p w14:paraId="3FB052E3" w14:textId="77777777" w:rsidR="000A1A00" w:rsidRPr="00C63664" w:rsidRDefault="0005595E" w:rsidP="00C63664">
      <w:pPr>
        <w:jc w:val="center"/>
        <w:rPr>
          <w:rFonts w:ascii="Arial" w:hAnsi="Arial" w:cs="Arial"/>
          <w:sz w:val="20"/>
          <w:szCs w:val="20"/>
        </w:rPr>
      </w:pPr>
      <w:bookmarkStart w:id="1" w:name="_GoBack"/>
      <w:r w:rsidRPr="00C63664">
        <w:rPr>
          <w:rFonts w:ascii="Arial" w:hAnsi="Arial" w:cs="Arial"/>
          <w:sz w:val="20"/>
          <w:szCs w:val="20"/>
        </w:rPr>
        <w:t>T</w:t>
      </w:r>
      <w:r w:rsidR="00C63664" w:rsidRPr="00C63664">
        <w:rPr>
          <w:rFonts w:ascii="Arial" w:hAnsi="Arial" w:cs="Arial"/>
          <w:sz w:val="20"/>
          <w:szCs w:val="20"/>
        </w:rPr>
        <w:t>able</w:t>
      </w:r>
      <w:bookmarkEnd w:id="1"/>
      <w:r w:rsidR="00C63664" w:rsidRPr="00C63664">
        <w:rPr>
          <w:rFonts w:ascii="Arial" w:hAnsi="Arial" w:cs="Arial"/>
          <w:sz w:val="20"/>
          <w:szCs w:val="20"/>
        </w:rPr>
        <w:t xml:space="preserve"> </w:t>
      </w:r>
      <w:r w:rsidR="002D1756" w:rsidRPr="00C63664">
        <w:rPr>
          <w:rFonts w:ascii="Arial" w:hAnsi="Arial" w:cs="Arial"/>
          <w:sz w:val="20"/>
          <w:szCs w:val="20"/>
        </w:rPr>
        <w:t>1</w:t>
      </w:r>
      <w:r w:rsidR="00C63664" w:rsidRPr="00C63664">
        <w:rPr>
          <w:rFonts w:ascii="Arial" w:hAnsi="Arial" w:cs="Arial"/>
          <w:sz w:val="20"/>
          <w:szCs w:val="20"/>
        </w:rPr>
        <w:t>; Nearest Neighbour Analysis</w:t>
      </w:r>
    </w:p>
    <w:tbl>
      <w:tblPr>
        <w:tblStyle w:val="TableGrid"/>
        <w:tblW w:w="0" w:type="auto"/>
        <w:jc w:val="center"/>
        <w:tblLook w:val="04A0" w:firstRow="1" w:lastRow="0" w:firstColumn="1" w:lastColumn="0" w:noHBand="0" w:noVBand="1"/>
      </w:tblPr>
      <w:tblGrid>
        <w:gridCol w:w="2071"/>
        <w:gridCol w:w="2799"/>
        <w:gridCol w:w="1994"/>
        <w:gridCol w:w="2332"/>
      </w:tblGrid>
      <w:tr w:rsidR="00EC2F68" w:rsidRPr="0091190F" w14:paraId="7955B5EC" w14:textId="77777777" w:rsidTr="00A84207">
        <w:trPr>
          <w:trHeight w:val="138"/>
          <w:jc w:val="center"/>
        </w:trPr>
        <w:tc>
          <w:tcPr>
            <w:tcW w:w="2071" w:type="dxa"/>
          </w:tcPr>
          <w:p w14:paraId="6A68968B" w14:textId="77777777" w:rsidR="00EC2F68" w:rsidRPr="00AA5953" w:rsidRDefault="00A7138C" w:rsidP="00C63664">
            <w:pPr>
              <w:jc w:val="center"/>
              <w:rPr>
                <w:rFonts w:ascii="Arial" w:hAnsi="Arial" w:cs="Arial"/>
                <w:b/>
                <w:bCs/>
                <w:sz w:val="20"/>
                <w:szCs w:val="20"/>
              </w:rPr>
            </w:pPr>
            <w:r w:rsidRPr="00AA5953">
              <w:rPr>
                <w:rFonts w:ascii="Arial" w:hAnsi="Arial" w:cs="Arial"/>
                <w:b/>
                <w:bCs/>
                <w:sz w:val="20"/>
                <w:szCs w:val="20"/>
              </w:rPr>
              <w:t>Sl. No.</w:t>
            </w:r>
            <w:r w:rsidR="00EC2F68" w:rsidRPr="00AA5953">
              <w:rPr>
                <w:rFonts w:ascii="Arial" w:hAnsi="Arial" w:cs="Arial"/>
                <w:b/>
                <w:bCs/>
                <w:sz w:val="20"/>
                <w:szCs w:val="20"/>
              </w:rPr>
              <w:t>.</w:t>
            </w:r>
          </w:p>
        </w:tc>
        <w:tc>
          <w:tcPr>
            <w:tcW w:w="2799" w:type="dxa"/>
          </w:tcPr>
          <w:p w14:paraId="496448A8" w14:textId="77777777" w:rsidR="00EC2F68" w:rsidRPr="00AA5953" w:rsidRDefault="00EC2F68" w:rsidP="00C63664">
            <w:pPr>
              <w:jc w:val="center"/>
              <w:rPr>
                <w:rFonts w:ascii="Arial" w:hAnsi="Arial" w:cs="Arial"/>
                <w:b/>
                <w:bCs/>
                <w:sz w:val="20"/>
                <w:szCs w:val="20"/>
              </w:rPr>
            </w:pPr>
            <w:r w:rsidRPr="00AA5953">
              <w:rPr>
                <w:rFonts w:ascii="Arial" w:hAnsi="Arial" w:cs="Arial"/>
                <w:b/>
                <w:bCs/>
                <w:sz w:val="20"/>
                <w:szCs w:val="20"/>
              </w:rPr>
              <w:t>N</w:t>
            </w:r>
            <w:r w:rsidR="00A7138C" w:rsidRPr="00AA5953">
              <w:rPr>
                <w:rFonts w:ascii="Arial" w:hAnsi="Arial" w:cs="Arial"/>
                <w:b/>
                <w:bCs/>
                <w:sz w:val="20"/>
                <w:szCs w:val="20"/>
              </w:rPr>
              <w:t>earest Neighbour</w:t>
            </w:r>
          </w:p>
        </w:tc>
        <w:tc>
          <w:tcPr>
            <w:tcW w:w="1994" w:type="dxa"/>
          </w:tcPr>
          <w:p w14:paraId="27444008" w14:textId="77777777" w:rsidR="00EC2F68" w:rsidRPr="00AA5953" w:rsidRDefault="00A7138C" w:rsidP="00A84207">
            <w:pPr>
              <w:jc w:val="center"/>
              <w:rPr>
                <w:rFonts w:ascii="Arial" w:hAnsi="Arial" w:cs="Arial"/>
                <w:b/>
                <w:bCs/>
                <w:sz w:val="20"/>
                <w:szCs w:val="20"/>
              </w:rPr>
            </w:pPr>
            <w:r w:rsidRPr="00AA5953">
              <w:rPr>
                <w:rFonts w:ascii="Arial" w:hAnsi="Arial" w:cs="Arial"/>
                <w:b/>
                <w:bCs/>
                <w:sz w:val="20"/>
                <w:szCs w:val="20"/>
              </w:rPr>
              <w:t>Distance in (</w:t>
            </w:r>
            <w:r w:rsidR="00A84207">
              <w:rPr>
                <w:rFonts w:ascii="Arial" w:hAnsi="Arial" w:cs="Arial"/>
                <w:b/>
                <w:bCs/>
                <w:sz w:val="20"/>
                <w:szCs w:val="20"/>
              </w:rPr>
              <w:t>CM</w:t>
            </w:r>
            <w:r w:rsidRPr="00AA5953">
              <w:rPr>
                <w:rFonts w:ascii="Arial" w:hAnsi="Arial" w:cs="Arial"/>
                <w:b/>
                <w:bCs/>
                <w:sz w:val="20"/>
                <w:szCs w:val="20"/>
              </w:rPr>
              <w:t>)</w:t>
            </w:r>
          </w:p>
        </w:tc>
        <w:tc>
          <w:tcPr>
            <w:tcW w:w="2332" w:type="dxa"/>
          </w:tcPr>
          <w:p w14:paraId="00593512" w14:textId="77777777" w:rsidR="00EC2F68" w:rsidRPr="00AA5953" w:rsidRDefault="00A7138C" w:rsidP="00A84207">
            <w:pPr>
              <w:jc w:val="center"/>
              <w:rPr>
                <w:rFonts w:ascii="Arial" w:hAnsi="Arial" w:cs="Arial"/>
                <w:b/>
                <w:bCs/>
                <w:sz w:val="20"/>
                <w:szCs w:val="20"/>
              </w:rPr>
            </w:pPr>
            <w:r w:rsidRPr="00AA5953">
              <w:rPr>
                <w:rFonts w:ascii="Arial" w:hAnsi="Arial" w:cs="Arial"/>
                <w:b/>
                <w:bCs/>
                <w:sz w:val="20"/>
                <w:szCs w:val="20"/>
              </w:rPr>
              <w:t>Ditance in (</w:t>
            </w:r>
            <w:r w:rsidR="00A84207">
              <w:rPr>
                <w:rFonts w:ascii="Arial" w:hAnsi="Arial" w:cs="Arial"/>
                <w:b/>
                <w:bCs/>
                <w:sz w:val="20"/>
                <w:szCs w:val="20"/>
              </w:rPr>
              <w:t>KM</w:t>
            </w:r>
            <w:r w:rsidRPr="00AA5953">
              <w:rPr>
                <w:rFonts w:ascii="Arial" w:hAnsi="Arial" w:cs="Arial"/>
                <w:b/>
                <w:bCs/>
                <w:sz w:val="20"/>
                <w:szCs w:val="20"/>
              </w:rPr>
              <w:t>)</w:t>
            </w:r>
          </w:p>
        </w:tc>
      </w:tr>
      <w:tr w:rsidR="00EC2F68" w:rsidRPr="0091190F" w14:paraId="650CFD39" w14:textId="77777777" w:rsidTr="00A84207">
        <w:trPr>
          <w:jc w:val="center"/>
        </w:trPr>
        <w:tc>
          <w:tcPr>
            <w:tcW w:w="2071" w:type="dxa"/>
          </w:tcPr>
          <w:p w14:paraId="68311C6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1</w:t>
            </w:r>
          </w:p>
        </w:tc>
        <w:tc>
          <w:tcPr>
            <w:tcW w:w="2799" w:type="dxa"/>
          </w:tcPr>
          <w:p w14:paraId="3F1B01B8" w14:textId="77777777" w:rsidR="00EC2F68" w:rsidRPr="0091190F" w:rsidRDefault="00E91C6C" w:rsidP="00C63664">
            <w:pPr>
              <w:jc w:val="center"/>
              <w:rPr>
                <w:rFonts w:ascii="Arial" w:hAnsi="Arial" w:cs="Arial"/>
                <w:sz w:val="20"/>
                <w:szCs w:val="20"/>
              </w:rPr>
            </w:pPr>
            <w:r w:rsidRPr="0091190F">
              <w:rPr>
                <w:rFonts w:ascii="Arial" w:hAnsi="Arial" w:cs="Arial"/>
                <w:sz w:val="20"/>
                <w:szCs w:val="20"/>
              </w:rPr>
              <w:t>1</w:t>
            </w:r>
            <w:r w:rsidR="00EC2F68" w:rsidRPr="0091190F">
              <w:rPr>
                <w:rFonts w:ascii="Arial" w:hAnsi="Arial" w:cs="Arial"/>
                <w:sz w:val="20"/>
                <w:szCs w:val="20"/>
              </w:rPr>
              <w:t>-2</w:t>
            </w:r>
          </w:p>
        </w:tc>
        <w:tc>
          <w:tcPr>
            <w:tcW w:w="1994" w:type="dxa"/>
          </w:tcPr>
          <w:p w14:paraId="0A1DBE13" w14:textId="77777777" w:rsidR="00EC2F68" w:rsidRPr="0091190F" w:rsidRDefault="00A84207" w:rsidP="00C63664">
            <w:pPr>
              <w:jc w:val="center"/>
              <w:rPr>
                <w:rFonts w:ascii="Arial" w:hAnsi="Arial" w:cs="Arial"/>
                <w:sz w:val="20"/>
                <w:szCs w:val="20"/>
              </w:rPr>
            </w:pPr>
            <w:r>
              <w:rPr>
                <w:rFonts w:ascii="Arial" w:hAnsi="Arial" w:cs="Arial"/>
                <w:sz w:val="20"/>
                <w:szCs w:val="20"/>
              </w:rPr>
              <w:t>0</w:t>
            </w:r>
            <w:r w:rsidR="00EC2F68" w:rsidRPr="0091190F">
              <w:rPr>
                <w:rFonts w:ascii="Arial" w:hAnsi="Arial" w:cs="Arial"/>
                <w:sz w:val="20"/>
                <w:szCs w:val="20"/>
              </w:rPr>
              <w:t xml:space="preserve">2 </w:t>
            </w:r>
            <w:r>
              <w:rPr>
                <w:rFonts w:ascii="Arial" w:hAnsi="Arial" w:cs="Arial"/>
                <w:sz w:val="20"/>
                <w:szCs w:val="20"/>
              </w:rPr>
              <w:t>cm</w:t>
            </w:r>
          </w:p>
        </w:tc>
        <w:tc>
          <w:tcPr>
            <w:tcW w:w="2332" w:type="dxa"/>
          </w:tcPr>
          <w:p w14:paraId="3211844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3.50</w:t>
            </w:r>
          </w:p>
        </w:tc>
      </w:tr>
      <w:tr w:rsidR="00EC2F68" w:rsidRPr="0091190F" w14:paraId="4BA106AE" w14:textId="77777777" w:rsidTr="00A84207">
        <w:trPr>
          <w:jc w:val="center"/>
        </w:trPr>
        <w:tc>
          <w:tcPr>
            <w:tcW w:w="2071" w:type="dxa"/>
          </w:tcPr>
          <w:p w14:paraId="3E5B549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w:t>
            </w:r>
          </w:p>
        </w:tc>
        <w:tc>
          <w:tcPr>
            <w:tcW w:w="2799" w:type="dxa"/>
          </w:tcPr>
          <w:p w14:paraId="50C8F960"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2-3</w:t>
            </w:r>
          </w:p>
        </w:tc>
        <w:tc>
          <w:tcPr>
            <w:tcW w:w="1994" w:type="dxa"/>
          </w:tcPr>
          <w:p w14:paraId="4913AD85" w14:textId="77777777" w:rsidR="00EC2F68" w:rsidRPr="0091190F" w:rsidRDefault="00A84207" w:rsidP="00C63664">
            <w:pPr>
              <w:jc w:val="center"/>
              <w:rPr>
                <w:rFonts w:ascii="Arial" w:hAnsi="Arial" w:cs="Arial"/>
                <w:sz w:val="20"/>
                <w:szCs w:val="20"/>
              </w:rPr>
            </w:pPr>
            <w:r>
              <w:rPr>
                <w:rFonts w:ascii="Arial" w:hAnsi="Arial" w:cs="Arial"/>
                <w:sz w:val="20"/>
                <w:szCs w:val="20"/>
              </w:rPr>
              <w:t>0</w:t>
            </w:r>
            <w:r w:rsidR="00EC2F68" w:rsidRPr="0091190F">
              <w:rPr>
                <w:rFonts w:ascii="Arial" w:hAnsi="Arial" w:cs="Arial"/>
                <w:sz w:val="20"/>
                <w:szCs w:val="20"/>
              </w:rPr>
              <w:t xml:space="preserve">3 </w:t>
            </w:r>
            <w:r>
              <w:rPr>
                <w:rFonts w:ascii="Arial" w:hAnsi="Arial" w:cs="Arial"/>
                <w:sz w:val="20"/>
                <w:szCs w:val="20"/>
              </w:rPr>
              <w:t>cm</w:t>
            </w:r>
          </w:p>
        </w:tc>
        <w:tc>
          <w:tcPr>
            <w:tcW w:w="2332" w:type="dxa"/>
          </w:tcPr>
          <w:p w14:paraId="12F49266"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5.25</w:t>
            </w:r>
          </w:p>
        </w:tc>
      </w:tr>
      <w:tr w:rsidR="00EC2F68" w:rsidRPr="0091190F" w14:paraId="19C0B07D" w14:textId="77777777" w:rsidTr="00A84207">
        <w:trPr>
          <w:jc w:val="center"/>
        </w:trPr>
        <w:tc>
          <w:tcPr>
            <w:tcW w:w="2071" w:type="dxa"/>
          </w:tcPr>
          <w:p w14:paraId="7B8A20D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w:t>
            </w:r>
          </w:p>
        </w:tc>
        <w:tc>
          <w:tcPr>
            <w:tcW w:w="2799" w:type="dxa"/>
          </w:tcPr>
          <w:p w14:paraId="7D19E96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3-4</w:t>
            </w:r>
          </w:p>
        </w:tc>
        <w:tc>
          <w:tcPr>
            <w:tcW w:w="1994" w:type="dxa"/>
          </w:tcPr>
          <w:p w14:paraId="661D3CB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3.2 </w:t>
            </w:r>
            <w:r w:rsidR="00A84207">
              <w:rPr>
                <w:rFonts w:ascii="Arial" w:hAnsi="Arial" w:cs="Arial"/>
                <w:sz w:val="20"/>
                <w:szCs w:val="20"/>
              </w:rPr>
              <w:t>cm</w:t>
            </w:r>
          </w:p>
        </w:tc>
        <w:tc>
          <w:tcPr>
            <w:tcW w:w="2332" w:type="dxa"/>
          </w:tcPr>
          <w:p w14:paraId="0AAFEA6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5.60</w:t>
            </w:r>
          </w:p>
        </w:tc>
      </w:tr>
      <w:tr w:rsidR="00EC2F68" w:rsidRPr="0091190F" w14:paraId="68300F94" w14:textId="77777777" w:rsidTr="00A84207">
        <w:trPr>
          <w:jc w:val="center"/>
        </w:trPr>
        <w:tc>
          <w:tcPr>
            <w:tcW w:w="2071" w:type="dxa"/>
          </w:tcPr>
          <w:p w14:paraId="103F65E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w:t>
            </w:r>
          </w:p>
        </w:tc>
        <w:tc>
          <w:tcPr>
            <w:tcW w:w="2799" w:type="dxa"/>
          </w:tcPr>
          <w:p w14:paraId="6B362FF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3-5</w:t>
            </w:r>
          </w:p>
        </w:tc>
        <w:tc>
          <w:tcPr>
            <w:tcW w:w="1994" w:type="dxa"/>
          </w:tcPr>
          <w:p w14:paraId="18DB85D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3.3</w:t>
            </w:r>
            <w:r w:rsidR="00A84207">
              <w:rPr>
                <w:rFonts w:ascii="Arial" w:hAnsi="Arial" w:cs="Arial"/>
                <w:sz w:val="20"/>
                <w:szCs w:val="20"/>
              </w:rPr>
              <w:t xml:space="preserve"> cm</w:t>
            </w:r>
          </w:p>
        </w:tc>
        <w:tc>
          <w:tcPr>
            <w:tcW w:w="2332" w:type="dxa"/>
          </w:tcPr>
          <w:p w14:paraId="38A9E12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5.78</w:t>
            </w:r>
          </w:p>
        </w:tc>
      </w:tr>
      <w:tr w:rsidR="00EC2F68" w:rsidRPr="0091190F" w14:paraId="2C31465C" w14:textId="77777777" w:rsidTr="00A84207">
        <w:trPr>
          <w:jc w:val="center"/>
        </w:trPr>
        <w:tc>
          <w:tcPr>
            <w:tcW w:w="2071" w:type="dxa"/>
          </w:tcPr>
          <w:p w14:paraId="16D27C42"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w:t>
            </w:r>
          </w:p>
        </w:tc>
        <w:tc>
          <w:tcPr>
            <w:tcW w:w="2799" w:type="dxa"/>
          </w:tcPr>
          <w:p w14:paraId="23F59B2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5-6</w:t>
            </w:r>
          </w:p>
        </w:tc>
        <w:tc>
          <w:tcPr>
            <w:tcW w:w="1994" w:type="dxa"/>
          </w:tcPr>
          <w:p w14:paraId="204D592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3.3 </w:t>
            </w:r>
            <w:r w:rsidR="00A84207">
              <w:rPr>
                <w:rFonts w:ascii="Arial" w:hAnsi="Arial" w:cs="Arial"/>
                <w:sz w:val="20"/>
                <w:szCs w:val="20"/>
              </w:rPr>
              <w:t>cm</w:t>
            </w:r>
          </w:p>
        </w:tc>
        <w:tc>
          <w:tcPr>
            <w:tcW w:w="2332" w:type="dxa"/>
          </w:tcPr>
          <w:p w14:paraId="52629D16"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5.78</w:t>
            </w:r>
          </w:p>
        </w:tc>
      </w:tr>
      <w:tr w:rsidR="00EC2F68" w:rsidRPr="0091190F" w14:paraId="0AC336B6" w14:textId="77777777" w:rsidTr="00A84207">
        <w:trPr>
          <w:jc w:val="center"/>
        </w:trPr>
        <w:tc>
          <w:tcPr>
            <w:tcW w:w="2071" w:type="dxa"/>
          </w:tcPr>
          <w:p w14:paraId="79650A70"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6</w:t>
            </w:r>
          </w:p>
        </w:tc>
        <w:tc>
          <w:tcPr>
            <w:tcW w:w="2799" w:type="dxa"/>
          </w:tcPr>
          <w:p w14:paraId="344E74C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6-7</w:t>
            </w:r>
          </w:p>
        </w:tc>
        <w:tc>
          <w:tcPr>
            <w:tcW w:w="1994" w:type="dxa"/>
          </w:tcPr>
          <w:p w14:paraId="40E2ED8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2.1 </w:t>
            </w:r>
            <w:r w:rsidR="00A84207">
              <w:rPr>
                <w:rFonts w:ascii="Arial" w:hAnsi="Arial" w:cs="Arial"/>
                <w:sz w:val="20"/>
                <w:szCs w:val="20"/>
              </w:rPr>
              <w:t>cm</w:t>
            </w:r>
          </w:p>
        </w:tc>
        <w:tc>
          <w:tcPr>
            <w:tcW w:w="2332" w:type="dxa"/>
          </w:tcPr>
          <w:p w14:paraId="5CBE475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3.68</w:t>
            </w:r>
          </w:p>
        </w:tc>
      </w:tr>
      <w:tr w:rsidR="00EC2F68" w:rsidRPr="0091190F" w14:paraId="0C0CF218" w14:textId="77777777" w:rsidTr="00A84207">
        <w:trPr>
          <w:jc w:val="center"/>
        </w:trPr>
        <w:tc>
          <w:tcPr>
            <w:tcW w:w="2071" w:type="dxa"/>
          </w:tcPr>
          <w:p w14:paraId="7E16ABB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w:t>
            </w:r>
          </w:p>
        </w:tc>
        <w:tc>
          <w:tcPr>
            <w:tcW w:w="2799" w:type="dxa"/>
          </w:tcPr>
          <w:p w14:paraId="46C7B11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7-8</w:t>
            </w:r>
          </w:p>
        </w:tc>
        <w:tc>
          <w:tcPr>
            <w:tcW w:w="1994" w:type="dxa"/>
          </w:tcPr>
          <w:p w14:paraId="75E20FE1"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2.8</w:t>
            </w:r>
            <w:r w:rsidR="00A84207">
              <w:rPr>
                <w:rFonts w:ascii="Arial" w:hAnsi="Arial" w:cs="Arial"/>
                <w:sz w:val="20"/>
                <w:szCs w:val="20"/>
              </w:rPr>
              <w:t xml:space="preserve"> cm</w:t>
            </w:r>
          </w:p>
        </w:tc>
        <w:tc>
          <w:tcPr>
            <w:tcW w:w="2332" w:type="dxa"/>
          </w:tcPr>
          <w:p w14:paraId="7C8817FB"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4.90</w:t>
            </w:r>
          </w:p>
        </w:tc>
      </w:tr>
      <w:tr w:rsidR="00EC2F68" w:rsidRPr="0091190F" w14:paraId="47265FD5" w14:textId="77777777" w:rsidTr="00A84207">
        <w:trPr>
          <w:jc w:val="center"/>
        </w:trPr>
        <w:tc>
          <w:tcPr>
            <w:tcW w:w="2071" w:type="dxa"/>
          </w:tcPr>
          <w:p w14:paraId="67B04A93"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8</w:t>
            </w:r>
          </w:p>
        </w:tc>
        <w:tc>
          <w:tcPr>
            <w:tcW w:w="2799" w:type="dxa"/>
          </w:tcPr>
          <w:p w14:paraId="7129CAA8"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7-9</w:t>
            </w:r>
          </w:p>
        </w:tc>
        <w:tc>
          <w:tcPr>
            <w:tcW w:w="1994" w:type="dxa"/>
          </w:tcPr>
          <w:p w14:paraId="6B50866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2.8 </w:t>
            </w:r>
            <w:r w:rsidR="00A84207">
              <w:rPr>
                <w:rFonts w:ascii="Arial" w:hAnsi="Arial" w:cs="Arial"/>
                <w:sz w:val="20"/>
                <w:szCs w:val="20"/>
              </w:rPr>
              <w:t>cm</w:t>
            </w:r>
          </w:p>
        </w:tc>
        <w:tc>
          <w:tcPr>
            <w:tcW w:w="2332" w:type="dxa"/>
          </w:tcPr>
          <w:p w14:paraId="0B4091CF"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4.90</w:t>
            </w:r>
          </w:p>
        </w:tc>
      </w:tr>
      <w:tr w:rsidR="00EC2F68" w:rsidRPr="0091190F" w14:paraId="6800BF76" w14:textId="77777777" w:rsidTr="00A84207">
        <w:trPr>
          <w:jc w:val="center"/>
        </w:trPr>
        <w:tc>
          <w:tcPr>
            <w:tcW w:w="2071" w:type="dxa"/>
          </w:tcPr>
          <w:p w14:paraId="2637399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w:t>
            </w:r>
          </w:p>
        </w:tc>
        <w:tc>
          <w:tcPr>
            <w:tcW w:w="2799" w:type="dxa"/>
          </w:tcPr>
          <w:p w14:paraId="2FA9D73C"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9-10</w:t>
            </w:r>
          </w:p>
        </w:tc>
        <w:tc>
          <w:tcPr>
            <w:tcW w:w="1994" w:type="dxa"/>
          </w:tcPr>
          <w:p w14:paraId="21B2F02A"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2.2 </w:t>
            </w:r>
            <w:r w:rsidR="00A84207">
              <w:rPr>
                <w:rFonts w:ascii="Arial" w:hAnsi="Arial" w:cs="Arial"/>
                <w:sz w:val="20"/>
                <w:szCs w:val="20"/>
              </w:rPr>
              <w:t>cm</w:t>
            </w:r>
          </w:p>
        </w:tc>
        <w:tc>
          <w:tcPr>
            <w:tcW w:w="2332" w:type="dxa"/>
          </w:tcPr>
          <w:p w14:paraId="68B44D2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3.85</w:t>
            </w:r>
          </w:p>
        </w:tc>
      </w:tr>
      <w:tr w:rsidR="00EC2F68" w:rsidRPr="0091190F" w14:paraId="7285EB3E" w14:textId="77777777" w:rsidTr="00A84207">
        <w:trPr>
          <w:trHeight w:val="77"/>
          <w:jc w:val="center"/>
        </w:trPr>
        <w:tc>
          <w:tcPr>
            <w:tcW w:w="2071" w:type="dxa"/>
          </w:tcPr>
          <w:p w14:paraId="7FBDFA17"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10</w:t>
            </w:r>
          </w:p>
        </w:tc>
        <w:tc>
          <w:tcPr>
            <w:tcW w:w="2799" w:type="dxa"/>
          </w:tcPr>
          <w:p w14:paraId="36303799"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9-11</w:t>
            </w:r>
          </w:p>
        </w:tc>
        <w:tc>
          <w:tcPr>
            <w:tcW w:w="1994" w:type="dxa"/>
          </w:tcPr>
          <w:p w14:paraId="72D1AA24"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 xml:space="preserve">3.0 </w:t>
            </w:r>
            <w:r w:rsidR="00A84207">
              <w:rPr>
                <w:rFonts w:ascii="Arial" w:hAnsi="Arial" w:cs="Arial"/>
                <w:sz w:val="20"/>
                <w:szCs w:val="20"/>
              </w:rPr>
              <w:t>cm</w:t>
            </w:r>
          </w:p>
        </w:tc>
        <w:tc>
          <w:tcPr>
            <w:tcW w:w="2332" w:type="dxa"/>
          </w:tcPr>
          <w:p w14:paraId="707924CE" w14:textId="77777777" w:rsidR="00EC2F68" w:rsidRPr="0091190F" w:rsidRDefault="00EC2F68" w:rsidP="00C63664">
            <w:pPr>
              <w:jc w:val="center"/>
              <w:rPr>
                <w:rFonts w:ascii="Arial" w:hAnsi="Arial" w:cs="Arial"/>
                <w:sz w:val="20"/>
                <w:szCs w:val="20"/>
              </w:rPr>
            </w:pPr>
            <w:r w:rsidRPr="0091190F">
              <w:rPr>
                <w:rFonts w:ascii="Arial" w:hAnsi="Arial" w:cs="Arial"/>
                <w:sz w:val="20"/>
                <w:szCs w:val="20"/>
              </w:rPr>
              <w:t>5.25</w:t>
            </w:r>
          </w:p>
        </w:tc>
      </w:tr>
    </w:tbl>
    <w:p w14:paraId="169EA5D5" w14:textId="77777777" w:rsidR="00D64FF1" w:rsidRPr="00A8595A" w:rsidRDefault="00C63664" w:rsidP="00A8595A">
      <w:pPr>
        <w:rPr>
          <w:rFonts w:ascii="Arial" w:hAnsi="Arial" w:cs="Arial"/>
          <w:sz w:val="18"/>
          <w:szCs w:val="18"/>
        </w:rPr>
      </w:pPr>
      <w:r w:rsidRPr="00A8595A">
        <w:rPr>
          <w:rFonts w:ascii="Arial" w:hAnsi="Arial" w:cs="Arial"/>
          <w:sz w:val="18"/>
          <w:szCs w:val="18"/>
        </w:rPr>
        <w:t xml:space="preserve">Source: Compiled by </w:t>
      </w:r>
      <w:r w:rsidR="00AA5953">
        <w:rPr>
          <w:rFonts w:ascii="Arial" w:hAnsi="Arial" w:cs="Arial"/>
          <w:sz w:val="18"/>
          <w:szCs w:val="18"/>
        </w:rPr>
        <w:t xml:space="preserve">the </w:t>
      </w:r>
      <w:r w:rsidR="002866A2" w:rsidRPr="00A8595A">
        <w:rPr>
          <w:rFonts w:ascii="Arial" w:hAnsi="Arial" w:cs="Arial"/>
          <w:sz w:val="18"/>
          <w:szCs w:val="18"/>
        </w:rPr>
        <w:t>author</w:t>
      </w:r>
    </w:p>
    <w:p w14:paraId="5F4C9D0A" w14:textId="77777777" w:rsidR="00665823" w:rsidRPr="0091190F" w:rsidRDefault="00B0143A" w:rsidP="000E42B0">
      <w:pPr>
        <w:jc w:val="center"/>
        <w:rPr>
          <w:rFonts w:ascii="Arial" w:hAnsi="Arial" w:cs="Arial"/>
          <w:sz w:val="20"/>
          <w:szCs w:val="20"/>
        </w:rPr>
      </w:pPr>
      <w:r w:rsidRPr="0091190F">
        <w:rPr>
          <w:rFonts w:ascii="Arial" w:hAnsi="Arial" w:cs="Arial"/>
          <w:noProof/>
          <w:sz w:val="20"/>
          <w:szCs w:val="20"/>
        </w:rPr>
        <w:lastRenderedPageBreak/>
        <w:drawing>
          <wp:inline distT="0" distB="0" distL="0" distR="0" wp14:anchorId="37299EA0" wp14:editId="52B74128">
            <wp:extent cx="5859463" cy="4385310"/>
            <wp:effectExtent l="19050" t="19050" r="8255" b="0"/>
            <wp:docPr id="4" name="Picture 2" descr="C:\Users\91600\Desktop\New folder (2)\NEA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1600\Desktop\New folder (2)\NEAREST.png"/>
                    <pic:cNvPicPr>
                      <a:picLocks noChangeAspect="1" noChangeArrowheads="1"/>
                    </pic:cNvPicPr>
                  </pic:nvPicPr>
                  <pic:blipFill>
                    <a:blip r:embed="rId10" cstate="print"/>
                    <a:srcRect/>
                    <a:stretch>
                      <a:fillRect/>
                    </a:stretch>
                  </pic:blipFill>
                  <pic:spPr bwMode="auto">
                    <a:xfrm>
                      <a:off x="0" y="0"/>
                      <a:ext cx="5883368" cy="4403201"/>
                    </a:xfrm>
                    <a:prstGeom prst="rect">
                      <a:avLst/>
                    </a:prstGeom>
                    <a:noFill/>
                    <a:ln w="9525">
                      <a:solidFill>
                        <a:schemeClr val="tx1"/>
                      </a:solidFill>
                      <a:miter lim="800000"/>
                      <a:headEnd/>
                      <a:tailEnd/>
                    </a:ln>
                  </pic:spPr>
                </pic:pic>
              </a:graphicData>
            </a:graphic>
          </wp:inline>
        </w:drawing>
      </w:r>
    </w:p>
    <w:p w14:paraId="19317F79" w14:textId="77777777" w:rsidR="00794A64" w:rsidRPr="00421C7E" w:rsidRDefault="00E3081C" w:rsidP="00A8595A">
      <w:pPr>
        <w:spacing w:after="0"/>
        <w:rPr>
          <w:rFonts w:ascii="Arial" w:hAnsi="Arial" w:cs="Arial"/>
          <w:sz w:val="18"/>
          <w:szCs w:val="18"/>
        </w:rPr>
      </w:pPr>
      <w:r w:rsidRPr="00421C7E">
        <w:rPr>
          <w:rFonts w:ascii="Arial" w:hAnsi="Arial" w:cs="Arial"/>
          <w:sz w:val="18"/>
          <w:szCs w:val="18"/>
        </w:rPr>
        <w:t>Figure</w:t>
      </w:r>
      <w:r w:rsidR="0091190F" w:rsidRPr="00421C7E">
        <w:rPr>
          <w:rFonts w:ascii="Arial" w:hAnsi="Arial" w:cs="Arial"/>
          <w:sz w:val="18"/>
          <w:szCs w:val="18"/>
        </w:rPr>
        <w:t xml:space="preserve"> 3</w:t>
      </w:r>
      <w:r w:rsidR="00794A64" w:rsidRPr="00421C7E">
        <w:rPr>
          <w:rFonts w:ascii="Arial" w:hAnsi="Arial" w:cs="Arial"/>
          <w:sz w:val="18"/>
          <w:szCs w:val="18"/>
        </w:rPr>
        <w:t>: Map of nearest neighbor distri</w:t>
      </w:r>
      <w:r w:rsidR="001F2E18" w:rsidRPr="00421C7E">
        <w:rPr>
          <w:rFonts w:ascii="Arial" w:hAnsi="Arial" w:cs="Arial"/>
          <w:sz w:val="18"/>
          <w:szCs w:val="18"/>
        </w:rPr>
        <w:t xml:space="preserve">bution in </w:t>
      </w:r>
      <w:r w:rsidR="00A8595A" w:rsidRPr="00421C7E">
        <w:rPr>
          <w:rFonts w:ascii="Arial" w:hAnsi="Arial" w:cs="Arial"/>
          <w:sz w:val="18"/>
          <w:szCs w:val="18"/>
        </w:rPr>
        <w:t xml:space="preserve">the </w:t>
      </w:r>
      <w:r w:rsidR="001F2E18" w:rsidRPr="00421C7E">
        <w:rPr>
          <w:rFonts w:ascii="Arial" w:hAnsi="Arial" w:cs="Arial"/>
          <w:sz w:val="18"/>
          <w:szCs w:val="18"/>
        </w:rPr>
        <w:t>South West Garo Hills district.</w:t>
      </w:r>
    </w:p>
    <w:p w14:paraId="1AF3FB95" w14:textId="77777777" w:rsidR="00B535F7" w:rsidRDefault="00A60249" w:rsidP="00A8595A">
      <w:pPr>
        <w:spacing w:after="0" w:line="240" w:lineRule="auto"/>
        <w:jc w:val="both"/>
        <w:rPr>
          <w:rFonts w:ascii="Arial" w:hAnsi="Arial" w:cs="Arial"/>
          <w:i/>
          <w:iCs/>
          <w:sz w:val="20"/>
          <w:szCs w:val="20"/>
        </w:rPr>
      </w:pPr>
      <w:r w:rsidRPr="00A8595A">
        <w:rPr>
          <w:rFonts w:ascii="Arial" w:hAnsi="Arial" w:cs="Arial"/>
          <w:i/>
          <w:iCs/>
          <w:sz w:val="20"/>
          <w:szCs w:val="20"/>
        </w:rPr>
        <w:t>Number of PHC (n): 11</w:t>
      </w:r>
      <w:r w:rsidR="00C63664" w:rsidRPr="00A8595A">
        <w:rPr>
          <w:rFonts w:ascii="Arial" w:hAnsi="Arial" w:cs="Arial"/>
          <w:i/>
          <w:iCs/>
          <w:sz w:val="20"/>
          <w:szCs w:val="20"/>
        </w:rPr>
        <w:t xml:space="preserve">; </w:t>
      </w:r>
      <w:r w:rsidR="00B535F7" w:rsidRPr="00A8595A">
        <w:rPr>
          <w:rFonts w:ascii="Arial" w:hAnsi="Arial" w:cs="Arial"/>
          <w:i/>
          <w:iCs/>
          <w:sz w:val="20"/>
          <w:szCs w:val="20"/>
        </w:rPr>
        <w:t>Area of study (A):822sq. km</w:t>
      </w:r>
      <w:r w:rsidR="00C63664" w:rsidRPr="00A8595A">
        <w:rPr>
          <w:rFonts w:ascii="Arial" w:hAnsi="Arial" w:cs="Arial"/>
          <w:i/>
          <w:iCs/>
          <w:sz w:val="20"/>
          <w:szCs w:val="20"/>
        </w:rPr>
        <w:t xml:space="preserve">; </w:t>
      </w:r>
      <w:r w:rsidR="00B535F7" w:rsidRPr="00A8595A">
        <w:rPr>
          <w:rFonts w:ascii="Arial" w:hAnsi="Arial" w:cs="Arial"/>
          <w:i/>
          <w:iCs/>
          <w:sz w:val="20"/>
          <w:szCs w:val="20"/>
        </w:rPr>
        <w:t xml:space="preserve">Observed </w:t>
      </w:r>
      <w:r w:rsidR="0005595E" w:rsidRPr="00A8595A">
        <w:rPr>
          <w:rFonts w:ascii="Arial" w:hAnsi="Arial" w:cs="Arial"/>
          <w:i/>
          <w:iCs/>
          <w:sz w:val="20"/>
          <w:szCs w:val="20"/>
        </w:rPr>
        <w:t>Mean D</w:t>
      </w:r>
      <w:r w:rsidR="00B535F7" w:rsidRPr="00A8595A">
        <w:rPr>
          <w:rFonts w:ascii="Arial" w:hAnsi="Arial" w:cs="Arial"/>
          <w:i/>
          <w:iCs/>
          <w:sz w:val="20"/>
          <w:szCs w:val="20"/>
        </w:rPr>
        <w:t>istance (d</w:t>
      </w:r>
      <w:r w:rsidR="0005595E" w:rsidRPr="00A8595A">
        <w:rPr>
          <w:rFonts w:ascii="Arial" w:hAnsi="Arial" w:cs="Arial"/>
          <w:i/>
          <w:iCs/>
          <w:sz w:val="20"/>
          <w:szCs w:val="20"/>
        </w:rPr>
        <w:t>ₒ</w:t>
      </w:r>
      <w:r w:rsidR="00793586" w:rsidRPr="00A8595A">
        <w:rPr>
          <w:rFonts w:ascii="Arial" w:hAnsi="Arial" w:cs="Arial"/>
          <w:i/>
          <w:iCs/>
          <w:sz w:val="20"/>
          <w:szCs w:val="20"/>
        </w:rPr>
        <w:t>): 5</w:t>
      </w:r>
      <w:r w:rsidR="00B535F7" w:rsidRPr="00A8595A">
        <w:rPr>
          <w:rFonts w:ascii="Arial" w:hAnsi="Arial" w:cs="Arial"/>
          <w:i/>
          <w:iCs/>
          <w:sz w:val="20"/>
          <w:szCs w:val="20"/>
        </w:rPr>
        <w:t>.</w:t>
      </w:r>
      <w:r w:rsidR="00793586" w:rsidRPr="00A8595A">
        <w:rPr>
          <w:rFonts w:ascii="Arial" w:hAnsi="Arial" w:cs="Arial"/>
          <w:i/>
          <w:iCs/>
          <w:sz w:val="20"/>
          <w:szCs w:val="20"/>
        </w:rPr>
        <w:t>349</w:t>
      </w:r>
      <w:r w:rsidR="00B535F7" w:rsidRPr="00A8595A">
        <w:rPr>
          <w:rFonts w:ascii="Arial" w:hAnsi="Arial" w:cs="Arial"/>
          <w:i/>
          <w:iCs/>
          <w:sz w:val="20"/>
          <w:szCs w:val="20"/>
        </w:rPr>
        <w:t>km</w:t>
      </w:r>
      <w:r w:rsidR="00C63664" w:rsidRPr="00A8595A">
        <w:rPr>
          <w:rFonts w:ascii="Arial" w:hAnsi="Arial" w:cs="Arial"/>
          <w:i/>
          <w:iCs/>
          <w:sz w:val="20"/>
          <w:szCs w:val="20"/>
        </w:rPr>
        <w:t xml:space="preserve">;   </w:t>
      </w:r>
      <w:r w:rsidR="0005595E" w:rsidRPr="00A8595A">
        <w:rPr>
          <w:rFonts w:ascii="Arial" w:hAnsi="Arial" w:cs="Arial"/>
          <w:i/>
          <w:iCs/>
          <w:sz w:val="20"/>
          <w:szCs w:val="20"/>
        </w:rPr>
        <w:t>Expected Mean Distance (dₑ</w:t>
      </w:r>
      <w:r w:rsidR="00793586" w:rsidRPr="00A8595A">
        <w:rPr>
          <w:rFonts w:ascii="Arial" w:hAnsi="Arial" w:cs="Arial"/>
          <w:i/>
          <w:iCs/>
          <w:sz w:val="20"/>
          <w:szCs w:val="20"/>
        </w:rPr>
        <w:t>): 4.</w:t>
      </w:r>
      <w:r w:rsidR="00B535F7" w:rsidRPr="00A8595A">
        <w:rPr>
          <w:rFonts w:ascii="Arial" w:hAnsi="Arial" w:cs="Arial"/>
          <w:i/>
          <w:iCs/>
          <w:sz w:val="20"/>
          <w:szCs w:val="20"/>
        </w:rPr>
        <w:t>3</w:t>
      </w:r>
      <w:r w:rsidR="00793586" w:rsidRPr="00A8595A">
        <w:rPr>
          <w:rFonts w:ascii="Arial" w:hAnsi="Arial" w:cs="Arial"/>
          <w:i/>
          <w:iCs/>
          <w:sz w:val="20"/>
          <w:szCs w:val="20"/>
        </w:rPr>
        <w:t>2</w:t>
      </w:r>
      <w:r w:rsidR="00B535F7" w:rsidRPr="00A8595A">
        <w:rPr>
          <w:rFonts w:ascii="Arial" w:hAnsi="Arial" w:cs="Arial"/>
          <w:i/>
          <w:iCs/>
          <w:sz w:val="20"/>
          <w:szCs w:val="20"/>
        </w:rPr>
        <w:t>km</w:t>
      </w:r>
      <w:r w:rsidR="00C63664" w:rsidRPr="00A8595A">
        <w:rPr>
          <w:rFonts w:ascii="Arial" w:hAnsi="Arial" w:cs="Arial"/>
          <w:i/>
          <w:iCs/>
          <w:sz w:val="20"/>
          <w:szCs w:val="20"/>
        </w:rPr>
        <w:t xml:space="preserve">; </w:t>
      </w:r>
      <w:r w:rsidR="0005595E" w:rsidRPr="00A8595A">
        <w:rPr>
          <w:rFonts w:ascii="Arial" w:hAnsi="Arial" w:cs="Arial"/>
          <w:i/>
          <w:iCs/>
          <w:sz w:val="20"/>
          <w:szCs w:val="20"/>
        </w:rPr>
        <w:t xml:space="preserve"> NearestNeighbour Index (R</w:t>
      </w:r>
      <w:r w:rsidR="002C484E" w:rsidRPr="00A8595A">
        <w:rPr>
          <w:rFonts w:ascii="Arial" w:hAnsi="Arial" w:cs="Arial"/>
          <w:i/>
          <w:iCs/>
          <w:sz w:val="20"/>
          <w:szCs w:val="20"/>
        </w:rPr>
        <w:t>Ν</w:t>
      </w:r>
      <w:r w:rsidRPr="00A8595A">
        <w:rPr>
          <w:rFonts w:ascii="Arial" w:hAnsi="Arial" w:cs="Arial"/>
          <w:i/>
          <w:iCs/>
          <w:sz w:val="20"/>
          <w:szCs w:val="20"/>
        </w:rPr>
        <w:t xml:space="preserve">): </w:t>
      </w:r>
      <w:r w:rsidR="00793586" w:rsidRPr="00A8595A">
        <w:rPr>
          <w:rFonts w:ascii="Arial" w:hAnsi="Arial" w:cs="Arial"/>
          <w:i/>
          <w:iCs/>
          <w:sz w:val="20"/>
          <w:szCs w:val="20"/>
        </w:rPr>
        <w:t>1.24</w:t>
      </w:r>
    </w:p>
    <w:p w14:paraId="1D074691" w14:textId="77777777" w:rsidR="00A8595A" w:rsidRDefault="00A8595A" w:rsidP="00A8595A">
      <w:pPr>
        <w:spacing w:after="0" w:line="240" w:lineRule="auto"/>
        <w:jc w:val="both"/>
        <w:rPr>
          <w:rFonts w:ascii="Arial" w:hAnsi="Arial" w:cs="Arial"/>
          <w:i/>
          <w:iCs/>
          <w:sz w:val="20"/>
          <w:szCs w:val="20"/>
        </w:rPr>
      </w:pPr>
    </w:p>
    <w:p w14:paraId="3B2AEE6F" w14:textId="77777777" w:rsidR="00A8595A" w:rsidRPr="00A8595A" w:rsidRDefault="00A8595A" w:rsidP="00A8595A">
      <w:pPr>
        <w:spacing w:after="0" w:line="240" w:lineRule="auto"/>
        <w:jc w:val="both"/>
        <w:rPr>
          <w:rFonts w:ascii="Arial" w:hAnsi="Arial" w:cs="Arial"/>
          <w:i/>
          <w:iCs/>
          <w:sz w:val="20"/>
          <w:szCs w:val="20"/>
        </w:rPr>
      </w:pPr>
    </w:p>
    <w:p w14:paraId="7909F648" w14:textId="77777777" w:rsidR="0082350B" w:rsidRPr="0091190F" w:rsidRDefault="0005595E" w:rsidP="00DD6D1C">
      <w:pPr>
        <w:spacing w:line="360" w:lineRule="auto"/>
        <w:jc w:val="both"/>
        <w:rPr>
          <w:rStyle w:val="s2"/>
          <w:rFonts w:ascii="Arial" w:hAnsi="Arial" w:cs="Arial"/>
          <w:sz w:val="20"/>
          <w:szCs w:val="20"/>
        </w:rPr>
      </w:pPr>
      <w:r w:rsidRPr="0091190F">
        <w:rPr>
          <w:rFonts w:ascii="Arial" w:hAnsi="Arial" w:cs="Arial"/>
          <w:sz w:val="20"/>
          <w:szCs w:val="20"/>
        </w:rPr>
        <w:t>The spatial pattern of distribution of Primary Health Centre in South West Garo Hi</w:t>
      </w:r>
      <w:r w:rsidR="00524356" w:rsidRPr="0091190F">
        <w:rPr>
          <w:rFonts w:ascii="Arial" w:hAnsi="Arial" w:cs="Arial"/>
          <w:sz w:val="20"/>
          <w:szCs w:val="20"/>
        </w:rPr>
        <w:t>lls</w:t>
      </w:r>
      <w:r w:rsidR="0091190F" w:rsidRPr="0091190F">
        <w:rPr>
          <w:rFonts w:ascii="Arial" w:hAnsi="Arial" w:cs="Arial"/>
          <w:sz w:val="20"/>
          <w:szCs w:val="20"/>
        </w:rPr>
        <w:t xml:space="preserve"> district is dispersed (Figure 3</w:t>
      </w:r>
      <w:r w:rsidRPr="0091190F">
        <w:rPr>
          <w:rFonts w:ascii="Arial" w:hAnsi="Arial" w:cs="Arial"/>
          <w:sz w:val="20"/>
          <w:szCs w:val="20"/>
        </w:rPr>
        <w:t>)</w:t>
      </w:r>
      <w:r w:rsidR="00A8595A">
        <w:rPr>
          <w:rFonts w:ascii="Arial" w:hAnsi="Arial" w:cs="Arial"/>
          <w:sz w:val="20"/>
          <w:szCs w:val="20"/>
        </w:rPr>
        <w:t>.</w:t>
      </w:r>
      <w:r w:rsidR="002C484E" w:rsidRPr="0091190F">
        <w:rPr>
          <w:rFonts w:ascii="Arial" w:hAnsi="Arial" w:cs="Arial"/>
          <w:sz w:val="20"/>
          <w:szCs w:val="20"/>
        </w:rPr>
        <w:t>The ne</w:t>
      </w:r>
      <w:r w:rsidR="00793586" w:rsidRPr="0091190F">
        <w:rPr>
          <w:rFonts w:ascii="Arial" w:hAnsi="Arial" w:cs="Arial"/>
          <w:sz w:val="20"/>
          <w:szCs w:val="20"/>
        </w:rPr>
        <w:t>arest Neighbour Index ( R = 1.24</w:t>
      </w:r>
      <w:r w:rsidR="002C484E" w:rsidRPr="0091190F">
        <w:rPr>
          <w:rFonts w:ascii="Arial" w:hAnsi="Arial" w:cs="Arial"/>
          <w:sz w:val="20"/>
          <w:szCs w:val="20"/>
        </w:rPr>
        <w:t>) indicates that the Primary Health Centres (PHCs)  in South West Gar</w:t>
      </w:r>
      <w:r w:rsidR="00793586" w:rsidRPr="0091190F">
        <w:rPr>
          <w:rFonts w:ascii="Arial" w:hAnsi="Arial" w:cs="Arial"/>
          <w:sz w:val="20"/>
          <w:szCs w:val="20"/>
        </w:rPr>
        <w:t>o Hills district exhibits a dispersed spatial distribution patern</w:t>
      </w:r>
      <w:r w:rsidR="002C484E" w:rsidRPr="0091190F">
        <w:rPr>
          <w:rFonts w:ascii="Arial" w:hAnsi="Arial" w:cs="Arial"/>
          <w:sz w:val="20"/>
          <w:szCs w:val="20"/>
        </w:rPr>
        <w:t>. This suggest</w:t>
      </w:r>
      <w:r w:rsidR="000A1A00" w:rsidRPr="0091190F">
        <w:rPr>
          <w:rFonts w:ascii="Arial" w:hAnsi="Arial" w:cs="Arial"/>
          <w:sz w:val="20"/>
          <w:szCs w:val="20"/>
        </w:rPr>
        <w:t>s</w:t>
      </w:r>
      <w:r w:rsidR="002C484E" w:rsidRPr="0091190F">
        <w:rPr>
          <w:rFonts w:ascii="Arial" w:hAnsi="Arial" w:cs="Arial"/>
          <w:sz w:val="20"/>
          <w:szCs w:val="20"/>
        </w:rPr>
        <w:t xml:space="preserve"> that the health services are moderately spaced across the district, helping reduce clustering and ensuring better regional accessibility.</w:t>
      </w:r>
      <w:r w:rsidR="000A1A00" w:rsidRPr="0091190F">
        <w:rPr>
          <w:rFonts w:ascii="Arial" w:hAnsi="Arial" w:cs="Arial"/>
          <w:sz w:val="20"/>
          <w:szCs w:val="20"/>
        </w:rPr>
        <w:t xml:space="preserve"> However, minor irregularities in spacing may still exist due to physical geography, settlement patterns, or administrative priorities.</w:t>
      </w:r>
      <w:r w:rsidR="002C484E" w:rsidRPr="0091190F">
        <w:rPr>
          <w:rStyle w:val="s2"/>
          <w:rFonts w:ascii="Arial" w:hAnsi="Arial" w:cs="Arial"/>
          <w:sz w:val="20"/>
          <w:szCs w:val="20"/>
        </w:rPr>
        <w:tab/>
      </w:r>
    </w:p>
    <w:p w14:paraId="0E3A1FD2" w14:textId="77777777" w:rsidR="004B4182" w:rsidRPr="0091190F" w:rsidRDefault="002866A2" w:rsidP="00DD6D1C">
      <w:pPr>
        <w:spacing w:before="100" w:beforeAutospacing="1" w:after="100" w:afterAutospacing="1" w:line="360" w:lineRule="auto"/>
        <w:jc w:val="both"/>
        <w:outlineLvl w:val="2"/>
        <w:rPr>
          <w:rFonts w:ascii="Arial" w:hAnsi="Arial" w:cs="Arial"/>
          <w:b/>
          <w:bCs/>
          <w:sz w:val="20"/>
          <w:szCs w:val="20"/>
        </w:rPr>
      </w:pPr>
      <w:r>
        <w:rPr>
          <w:rFonts w:ascii="Arial" w:eastAsia="Times New Roman" w:hAnsi="Arial" w:cs="Arial"/>
          <w:b/>
          <w:bCs/>
          <w:sz w:val="20"/>
          <w:szCs w:val="20"/>
        </w:rPr>
        <w:t>5.</w:t>
      </w:r>
      <w:r w:rsidR="002E57A1">
        <w:rPr>
          <w:rFonts w:ascii="Arial" w:eastAsia="Times New Roman" w:hAnsi="Arial" w:cs="Arial"/>
          <w:b/>
          <w:bCs/>
          <w:sz w:val="20"/>
          <w:szCs w:val="20"/>
        </w:rPr>
        <w:t xml:space="preserve">3.1 </w:t>
      </w:r>
      <w:r w:rsidR="005557D4" w:rsidRPr="0091190F">
        <w:rPr>
          <w:rFonts w:ascii="Arial" w:eastAsia="Times New Roman" w:hAnsi="Arial" w:cs="Arial"/>
          <w:b/>
          <w:bCs/>
          <w:sz w:val="20"/>
          <w:szCs w:val="20"/>
        </w:rPr>
        <w:t>SPATIAL PATTERN BASED ON NEAREST NEIGHBOUR ANALYSIS</w:t>
      </w:r>
    </w:p>
    <w:p w14:paraId="66E371E9" w14:textId="77777777" w:rsidR="00BA034E" w:rsidRPr="0091190F" w:rsidRDefault="0091190F" w:rsidP="00DD6D1C">
      <w:pPr>
        <w:spacing w:before="100" w:beforeAutospacing="1" w:after="100" w:afterAutospacing="1" w:line="360" w:lineRule="auto"/>
        <w:jc w:val="both"/>
        <w:rPr>
          <w:rFonts w:ascii="Arial" w:hAnsi="Arial" w:cs="Arial"/>
          <w:sz w:val="20"/>
          <w:szCs w:val="20"/>
        </w:rPr>
      </w:pPr>
      <w:r w:rsidRPr="0091190F">
        <w:rPr>
          <w:rFonts w:ascii="Arial" w:hAnsi="Arial" w:cs="Arial"/>
          <w:sz w:val="20"/>
          <w:szCs w:val="20"/>
        </w:rPr>
        <w:t xml:space="preserve">The </w:t>
      </w:r>
      <w:r w:rsidR="004B4182" w:rsidRPr="0091190F">
        <w:rPr>
          <w:rFonts w:ascii="Arial" w:hAnsi="Arial" w:cs="Arial"/>
          <w:sz w:val="20"/>
          <w:szCs w:val="20"/>
        </w:rPr>
        <w:t>Nearest Neighbour Analysis revealed a Neare</w:t>
      </w:r>
      <w:r w:rsidR="00BD489F" w:rsidRPr="0091190F">
        <w:rPr>
          <w:rFonts w:ascii="Arial" w:hAnsi="Arial" w:cs="Arial"/>
          <w:sz w:val="20"/>
          <w:szCs w:val="20"/>
        </w:rPr>
        <w:t>st Neighbour Index (NNI) of 1.24 which is greater than 1, indicating a dispersed pattern</w:t>
      </w:r>
      <w:r w:rsidR="004B4182" w:rsidRPr="0091190F">
        <w:rPr>
          <w:rFonts w:ascii="Arial" w:hAnsi="Arial" w:cs="Arial"/>
          <w:sz w:val="20"/>
          <w:szCs w:val="20"/>
        </w:rPr>
        <w:t xml:space="preserve"> spatial distribution of PHCs across the district.</w:t>
      </w:r>
      <w:r w:rsidR="00AC11B9">
        <w:rPr>
          <w:rFonts w:ascii="Arial" w:hAnsi="Arial" w:cs="Arial"/>
          <w:sz w:val="20"/>
          <w:szCs w:val="20"/>
        </w:rPr>
        <w:t xml:space="preserve"> (Vinothini &amp; Saravanabavan,2022;2023).</w:t>
      </w:r>
      <w:r w:rsidR="00BD489F" w:rsidRPr="0091190F">
        <w:rPr>
          <w:rFonts w:ascii="Arial" w:hAnsi="Arial" w:cs="Arial"/>
          <w:sz w:val="20"/>
          <w:szCs w:val="20"/>
        </w:rPr>
        <w:t xml:space="preserve"> Such a pattern suggests that the PHCs were planned to cover a wider geographical area so that people living in remote areas could also access health care services. The aim seems to be ensuring fair and even distribution instead of crowding services in one region.</w:t>
      </w:r>
      <w:r w:rsidR="00BA034E" w:rsidRPr="0091190F">
        <w:rPr>
          <w:rFonts w:ascii="Arial" w:hAnsi="Arial" w:cs="Arial"/>
          <w:sz w:val="20"/>
          <w:szCs w:val="20"/>
        </w:rPr>
        <w:t xml:space="preserve">However, in terms of locational efficiency the distance between some PHCs still varies. In few places, they are closer </w:t>
      </w:r>
      <w:r w:rsidR="00BA034E" w:rsidRPr="0091190F">
        <w:rPr>
          <w:rFonts w:ascii="Arial" w:hAnsi="Arial" w:cs="Arial"/>
          <w:sz w:val="20"/>
          <w:szCs w:val="20"/>
        </w:rPr>
        <w:lastRenderedPageBreak/>
        <w:t>together, while others they are far apart. This may be because of terrain, population spread or road connectivity.</w:t>
      </w:r>
    </w:p>
    <w:p w14:paraId="3E95E172" w14:textId="77777777" w:rsidR="005557D4" w:rsidRPr="0091190F" w:rsidRDefault="002866A2" w:rsidP="00DD6D1C">
      <w:pPr>
        <w:spacing w:before="100" w:beforeAutospacing="1" w:after="100" w:afterAutospacing="1" w:line="360" w:lineRule="auto"/>
        <w:jc w:val="both"/>
        <w:outlineLvl w:val="2"/>
        <w:rPr>
          <w:rFonts w:ascii="Arial" w:eastAsia="Times New Roman" w:hAnsi="Arial" w:cs="Arial"/>
          <w:b/>
          <w:bCs/>
          <w:sz w:val="20"/>
          <w:szCs w:val="20"/>
        </w:rPr>
      </w:pPr>
      <w:r>
        <w:rPr>
          <w:rFonts w:ascii="Arial" w:eastAsia="Times New Roman" w:hAnsi="Arial" w:cs="Arial"/>
          <w:b/>
          <w:bCs/>
          <w:sz w:val="20"/>
          <w:szCs w:val="20"/>
        </w:rPr>
        <w:t>5.4</w:t>
      </w:r>
      <w:r w:rsidR="005557D4" w:rsidRPr="0091190F">
        <w:rPr>
          <w:rFonts w:ascii="Arial" w:eastAsia="Times New Roman" w:hAnsi="Arial" w:cs="Arial"/>
          <w:b/>
          <w:bCs/>
          <w:sz w:val="20"/>
          <w:szCs w:val="20"/>
        </w:rPr>
        <w:t>SERVICE AREA DELINEATION USING THIESSEN POLYGON</w:t>
      </w:r>
      <w:r w:rsidR="004B4182" w:rsidRPr="0091190F">
        <w:rPr>
          <w:rFonts w:ascii="Arial" w:eastAsia="Times New Roman" w:hAnsi="Arial" w:cs="Arial"/>
          <w:b/>
          <w:bCs/>
          <w:sz w:val="20"/>
          <w:szCs w:val="20"/>
        </w:rPr>
        <w:t xml:space="preserve"> M</w:t>
      </w:r>
      <w:r w:rsidR="005557D4" w:rsidRPr="0091190F">
        <w:rPr>
          <w:rFonts w:ascii="Arial" w:eastAsia="Times New Roman" w:hAnsi="Arial" w:cs="Arial"/>
          <w:b/>
          <w:bCs/>
          <w:sz w:val="20"/>
          <w:szCs w:val="20"/>
        </w:rPr>
        <w:t>ETHOD</w:t>
      </w:r>
    </w:p>
    <w:p w14:paraId="16F6982D" w14:textId="77777777" w:rsidR="004B4182" w:rsidRPr="0091190F" w:rsidRDefault="004B4182" w:rsidP="00DD6D1C">
      <w:pPr>
        <w:spacing w:before="100" w:beforeAutospacing="1" w:after="100" w:afterAutospacing="1" w:line="360" w:lineRule="auto"/>
        <w:jc w:val="both"/>
        <w:outlineLvl w:val="2"/>
        <w:rPr>
          <w:rFonts w:ascii="Arial" w:eastAsia="Times New Roman" w:hAnsi="Arial" w:cs="Arial"/>
          <w:b/>
          <w:bCs/>
          <w:sz w:val="20"/>
          <w:szCs w:val="20"/>
        </w:rPr>
      </w:pPr>
      <w:r w:rsidRPr="0091190F">
        <w:rPr>
          <w:rFonts w:ascii="Arial" w:hAnsi="Arial" w:cs="Arial"/>
          <w:sz w:val="20"/>
          <w:szCs w:val="20"/>
        </w:rPr>
        <w:t xml:space="preserve">To complement the findings from NNA, the Thiessen Polygon Method was used to delineate the service zones of each PHC. </w:t>
      </w:r>
    </w:p>
    <w:p w14:paraId="0D38ADF3" w14:textId="77777777" w:rsidR="004B4182" w:rsidRPr="0091190F" w:rsidRDefault="00AC1553" w:rsidP="00BE46DE">
      <w:pPr>
        <w:spacing w:before="100" w:beforeAutospacing="1" w:after="100" w:afterAutospacing="1"/>
        <w:jc w:val="center"/>
        <w:rPr>
          <w:rFonts w:ascii="Arial" w:hAnsi="Arial" w:cs="Arial"/>
          <w:sz w:val="20"/>
          <w:szCs w:val="20"/>
        </w:rPr>
      </w:pPr>
      <w:r w:rsidRPr="0091190F">
        <w:rPr>
          <w:rFonts w:ascii="Arial" w:hAnsi="Arial" w:cs="Arial"/>
          <w:b/>
          <w:noProof/>
          <w:sz w:val="20"/>
          <w:szCs w:val="20"/>
        </w:rPr>
        <w:drawing>
          <wp:inline distT="0" distB="0" distL="0" distR="0" wp14:anchorId="5B4B7DFC" wp14:editId="7A2D204F">
            <wp:extent cx="5796915" cy="4355597"/>
            <wp:effectExtent l="19050" t="19050" r="0" b="6985"/>
            <wp:docPr id="20" name="Picture 20" descr="C:\Users\91600\AppData\Local\Microsoft\Windows\INetCache\Content.Word\THESI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91600\AppData\Local\Microsoft\Windows\INetCache\Content.Word\THESIIN.PNG"/>
                    <pic:cNvPicPr>
                      <a:picLocks noChangeAspect="1" noChangeArrowheads="1"/>
                    </pic:cNvPicPr>
                  </pic:nvPicPr>
                  <pic:blipFill>
                    <a:blip r:embed="rId11" cstate="print"/>
                    <a:srcRect/>
                    <a:stretch>
                      <a:fillRect/>
                    </a:stretch>
                  </pic:blipFill>
                  <pic:spPr bwMode="auto">
                    <a:xfrm>
                      <a:off x="0" y="0"/>
                      <a:ext cx="5830994" cy="4381203"/>
                    </a:xfrm>
                    <a:prstGeom prst="rect">
                      <a:avLst/>
                    </a:prstGeom>
                    <a:noFill/>
                    <a:ln w="6350" cmpd="sng">
                      <a:solidFill>
                        <a:srgbClr val="000000"/>
                      </a:solidFill>
                      <a:miter lim="800000"/>
                      <a:headEnd/>
                      <a:tailEnd/>
                    </a:ln>
                    <a:effectLst/>
                  </pic:spPr>
                </pic:pic>
              </a:graphicData>
            </a:graphic>
          </wp:inline>
        </w:drawing>
      </w:r>
    </w:p>
    <w:p w14:paraId="5275EE36" w14:textId="77777777" w:rsidR="00824735" w:rsidRPr="0091190F" w:rsidRDefault="0091190F" w:rsidP="00BE46DE">
      <w:pPr>
        <w:spacing w:before="100" w:beforeAutospacing="1" w:after="100" w:afterAutospacing="1"/>
        <w:jc w:val="center"/>
        <w:rPr>
          <w:rFonts w:ascii="Arial" w:hAnsi="Arial" w:cs="Arial"/>
          <w:i/>
          <w:sz w:val="20"/>
          <w:szCs w:val="20"/>
        </w:rPr>
      </w:pPr>
      <w:r w:rsidRPr="0091190F">
        <w:rPr>
          <w:rFonts w:ascii="Arial" w:hAnsi="Arial" w:cs="Arial"/>
          <w:i/>
          <w:sz w:val="20"/>
          <w:szCs w:val="20"/>
        </w:rPr>
        <w:t xml:space="preserve">Figure 4: </w:t>
      </w:r>
      <w:r w:rsidR="00E91C6C" w:rsidRPr="0091190F">
        <w:rPr>
          <w:rFonts w:ascii="Arial" w:hAnsi="Arial" w:cs="Arial"/>
          <w:i/>
          <w:sz w:val="20"/>
          <w:szCs w:val="20"/>
        </w:rPr>
        <w:t xml:space="preserve"> Thiessen Polygon</w:t>
      </w:r>
      <w:r w:rsidR="00F970A3" w:rsidRPr="0091190F">
        <w:rPr>
          <w:rFonts w:ascii="Arial" w:hAnsi="Arial" w:cs="Arial"/>
          <w:i/>
          <w:sz w:val="20"/>
          <w:szCs w:val="20"/>
        </w:rPr>
        <w:t xml:space="preserve"> map of South West Garo Hills district</w:t>
      </w:r>
    </w:p>
    <w:p w14:paraId="11406A88" w14:textId="77777777" w:rsidR="004A5FDE" w:rsidRDefault="00C63664"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 xml:space="preserve">This method assigns a geographical area to each PHC based on proximity, under the assumption that people will visit the nearest available health </w:t>
      </w:r>
      <w:r w:rsidRPr="00FA1E95">
        <w:rPr>
          <w:rFonts w:ascii="Arial" w:hAnsi="Arial" w:cs="Arial"/>
          <w:sz w:val="20"/>
          <w:szCs w:val="20"/>
        </w:rPr>
        <w:t>facility</w:t>
      </w:r>
      <w:r w:rsidR="00C2747D" w:rsidRPr="00FA1E95">
        <w:rPr>
          <w:rStyle w:val="s1"/>
          <w:rFonts w:ascii="Arial" w:hAnsi="Arial" w:cs="Arial"/>
          <w:bCs/>
          <w:sz w:val="20"/>
          <w:szCs w:val="20"/>
          <w:lang w:val="en-IN" w:eastAsia="en-GB"/>
        </w:rPr>
        <w:t>(</w:t>
      </w:r>
      <w:r w:rsidR="00F353F3" w:rsidRPr="00FA1E95">
        <w:rPr>
          <w:rStyle w:val="s1"/>
          <w:rFonts w:ascii="Arial" w:hAnsi="Arial" w:cs="Arial"/>
          <w:bCs/>
          <w:sz w:val="20"/>
          <w:szCs w:val="20"/>
          <w:lang w:val="en-IN" w:eastAsia="en-GB"/>
        </w:rPr>
        <w:t>Balaji &amp; Saravanabavan</w:t>
      </w:r>
      <w:r w:rsidR="00FA1E95" w:rsidRPr="00FA1E95">
        <w:rPr>
          <w:rStyle w:val="s1"/>
          <w:rFonts w:ascii="Arial" w:hAnsi="Arial" w:cs="Arial"/>
          <w:bCs/>
          <w:sz w:val="20"/>
          <w:szCs w:val="20"/>
          <w:lang w:val="en-IN" w:eastAsia="en-GB"/>
        </w:rPr>
        <w:t>,2021;2021a</w:t>
      </w:r>
      <w:r w:rsidR="00C2747D" w:rsidRPr="00FA1E95">
        <w:rPr>
          <w:rStyle w:val="s1"/>
          <w:rFonts w:ascii="Arial" w:hAnsi="Arial" w:cs="Arial"/>
          <w:bCs/>
          <w:sz w:val="20"/>
          <w:szCs w:val="20"/>
          <w:lang w:val="en-IN" w:eastAsia="en-GB"/>
        </w:rPr>
        <w:t>).</w:t>
      </w:r>
      <w:r w:rsidR="004A5FDE" w:rsidRPr="00FA1E95">
        <w:rPr>
          <w:rFonts w:ascii="Arial" w:hAnsi="Arial" w:cs="Arial"/>
          <w:sz w:val="20"/>
          <w:szCs w:val="20"/>
        </w:rPr>
        <w:t>The</w:t>
      </w:r>
      <w:r w:rsidR="004A5FDE" w:rsidRPr="0091190F">
        <w:rPr>
          <w:rFonts w:ascii="Arial" w:hAnsi="Arial" w:cs="Arial"/>
          <w:sz w:val="20"/>
          <w:szCs w:val="20"/>
        </w:rPr>
        <w:t xml:space="preserve"> Thiessen Polygon Method reveals the spatial coverage of each Primary Health Centre (PHCs) within South West Garo Hills</w:t>
      </w:r>
      <w:r w:rsidR="0091190F" w:rsidRPr="0091190F">
        <w:rPr>
          <w:rFonts w:ascii="Arial" w:hAnsi="Arial" w:cs="Arial"/>
          <w:sz w:val="20"/>
          <w:szCs w:val="20"/>
        </w:rPr>
        <w:t xml:space="preserve"> (Figure 4)</w:t>
      </w:r>
      <w:r w:rsidR="004A5FDE" w:rsidRPr="0091190F">
        <w:rPr>
          <w:rFonts w:ascii="Arial" w:hAnsi="Arial" w:cs="Arial"/>
          <w:sz w:val="20"/>
          <w:szCs w:val="20"/>
        </w:rPr>
        <w:t>. The polygon size directly reflects the geographic area that each PHC serves. A larger polygon size indicates a wider and less accessible services area, while smaller polygons suggest better accessibility and efficient spatial coverage.</w:t>
      </w:r>
    </w:p>
    <w:p w14:paraId="6F439FDF" w14:textId="77777777" w:rsidR="00A8595A" w:rsidRPr="00C63664" w:rsidRDefault="00A8595A" w:rsidP="00DD6D1C">
      <w:pPr>
        <w:spacing w:before="100" w:beforeAutospacing="1" w:after="100" w:afterAutospacing="1" w:line="360" w:lineRule="auto"/>
        <w:jc w:val="both"/>
        <w:outlineLvl w:val="2"/>
        <w:rPr>
          <w:rFonts w:ascii="Arial" w:eastAsia="Times New Roman" w:hAnsi="Arial" w:cs="Arial"/>
          <w:b/>
          <w:bCs/>
          <w:sz w:val="20"/>
          <w:szCs w:val="20"/>
        </w:rPr>
      </w:pPr>
    </w:p>
    <w:p w14:paraId="10591E42" w14:textId="77777777" w:rsidR="004A5FDE"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lastRenderedPageBreak/>
        <w:t xml:space="preserve">5.4.1 </w:t>
      </w:r>
      <w:r w:rsidR="004A5FDE" w:rsidRPr="0091190F">
        <w:rPr>
          <w:rFonts w:ascii="Arial" w:hAnsi="Arial" w:cs="Arial"/>
          <w:b/>
          <w:sz w:val="20"/>
          <w:szCs w:val="20"/>
        </w:rPr>
        <w:t xml:space="preserve">Low efficiency Zone </w:t>
      </w:r>
    </w:p>
    <w:p w14:paraId="45EA8159" w14:textId="77777777" w:rsidR="00585BA8" w:rsidRPr="0091190F" w:rsidRDefault="004A5FDE"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Salmanpara PHC and Mellim PHC occupy the largest polygons in the district. These centre covered broad and potentially scattered rural regions, where population density may be low but the physical distance to access is high</w:t>
      </w:r>
      <w:r w:rsidR="00585BA8" w:rsidRPr="0091190F">
        <w:rPr>
          <w:rFonts w:ascii="Arial" w:hAnsi="Arial" w:cs="Arial"/>
          <w:sz w:val="20"/>
          <w:szCs w:val="20"/>
        </w:rPr>
        <w:t>. Such wide areas reflect low locational efficiency due to increased travel time and connectivity, especially during emergencies.</w:t>
      </w:r>
    </w:p>
    <w:p w14:paraId="50711616" w14:textId="77777777" w:rsidR="00585BA8"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t xml:space="preserve">5.4.2 </w:t>
      </w:r>
      <w:r w:rsidR="00585BA8" w:rsidRPr="0091190F">
        <w:rPr>
          <w:rFonts w:ascii="Arial" w:hAnsi="Arial" w:cs="Arial"/>
          <w:b/>
          <w:sz w:val="20"/>
          <w:szCs w:val="20"/>
        </w:rPr>
        <w:t xml:space="preserve">Moderate Efficiency Zones </w:t>
      </w:r>
    </w:p>
    <w:p w14:paraId="1D693345" w14:textId="77777777" w:rsidR="00FA6FF8" w:rsidRPr="0091190F" w:rsidRDefault="00FA6FF8"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PHCs like Mahendraganj CHC, Nogorpara PHC, Kalaichar PHC and Zikzak PHC show moderate sized polygons reflecting a balance distribution of services. These centres are more centrally placed within their respective catchment areas, suggesting relatively better locational efficiency.</w:t>
      </w:r>
    </w:p>
    <w:p w14:paraId="67E09968" w14:textId="77777777" w:rsidR="00091CE1" w:rsidRPr="0091190F" w:rsidRDefault="002E57A1" w:rsidP="00DD6D1C">
      <w:pPr>
        <w:spacing w:before="100" w:beforeAutospacing="1" w:after="100" w:afterAutospacing="1" w:line="360" w:lineRule="auto"/>
        <w:jc w:val="both"/>
        <w:outlineLvl w:val="2"/>
        <w:rPr>
          <w:rFonts w:ascii="Arial" w:hAnsi="Arial" w:cs="Arial"/>
          <w:b/>
          <w:sz w:val="20"/>
          <w:szCs w:val="20"/>
        </w:rPr>
      </w:pPr>
      <w:r>
        <w:rPr>
          <w:rFonts w:ascii="Arial" w:hAnsi="Arial" w:cs="Arial"/>
          <w:b/>
          <w:sz w:val="20"/>
          <w:szCs w:val="20"/>
        </w:rPr>
        <w:t xml:space="preserve">5.4.3 </w:t>
      </w:r>
      <w:r w:rsidR="00091CE1" w:rsidRPr="0091190F">
        <w:rPr>
          <w:rFonts w:ascii="Arial" w:hAnsi="Arial" w:cs="Arial"/>
          <w:b/>
          <w:sz w:val="20"/>
          <w:szCs w:val="20"/>
        </w:rPr>
        <w:t xml:space="preserve">High Efficiency Zones </w:t>
      </w:r>
    </w:p>
    <w:p w14:paraId="2E6A2597" w14:textId="77777777" w:rsidR="0091190F" w:rsidRPr="0091190F" w:rsidRDefault="00091CE1" w:rsidP="00DD6D1C">
      <w:pPr>
        <w:spacing w:before="100" w:beforeAutospacing="1" w:after="100" w:afterAutospacing="1" w:line="360" w:lineRule="auto"/>
        <w:jc w:val="both"/>
        <w:outlineLvl w:val="2"/>
        <w:rPr>
          <w:rFonts w:ascii="Arial" w:hAnsi="Arial" w:cs="Arial"/>
          <w:sz w:val="20"/>
          <w:szCs w:val="20"/>
        </w:rPr>
      </w:pPr>
      <w:r w:rsidRPr="0091190F">
        <w:rPr>
          <w:rFonts w:ascii="Arial" w:hAnsi="Arial" w:cs="Arial"/>
          <w:sz w:val="20"/>
          <w:szCs w:val="20"/>
        </w:rPr>
        <w:t>Ampati CHC, Betasing PHC and Rangsakona PHC are located close to each other and exhibits smaller polygon sizes. This indicates high locational efficiency in these parts, where health services are accessible within shorter distances. Belbari PHC and Garobadha PHC located on the northern side, also cover smaller polygons, implying efficient coverage in the northern fringe.</w:t>
      </w:r>
    </w:p>
    <w:p w14:paraId="3930E088" w14:textId="77777777" w:rsidR="004B4182" w:rsidRPr="0091190F" w:rsidRDefault="002866A2" w:rsidP="00DD6D1C">
      <w:pPr>
        <w:spacing w:before="100" w:beforeAutospacing="1" w:after="100" w:afterAutospacing="1" w:line="360" w:lineRule="auto"/>
        <w:jc w:val="both"/>
        <w:outlineLvl w:val="2"/>
        <w:rPr>
          <w:rFonts w:ascii="Arial" w:hAnsi="Arial" w:cs="Arial"/>
          <w:sz w:val="20"/>
          <w:szCs w:val="20"/>
        </w:rPr>
      </w:pPr>
      <w:r>
        <w:rPr>
          <w:rFonts w:ascii="Arial" w:eastAsia="Times New Roman" w:hAnsi="Arial" w:cs="Arial"/>
          <w:b/>
          <w:bCs/>
          <w:sz w:val="20"/>
          <w:szCs w:val="20"/>
        </w:rPr>
        <w:t xml:space="preserve">5.5 </w:t>
      </w:r>
      <w:r w:rsidR="005557D4" w:rsidRPr="0091190F">
        <w:rPr>
          <w:rFonts w:ascii="Arial" w:eastAsia="Times New Roman" w:hAnsi="Arial" w:cs="Arial"/>
          <w:b/>
          <w:bCs/>
          <w:sz w:val="20"/>
          <w:szCs w:val="20"/>
        </w:rPr>
        <w:t>OVERALL INTERPRETATION OF LOCATIONAL EFFIECIENCY</w:t>
      </w:r>
    </w:p>
    <w:p w14:paraId="2322909C" w14:textId="77777777" w:rsidR="004B4182" w:rsidRPr="0091190F" w:rsidRDefault="004B4182" w:rsidP="00DD6D1C">
      <w:pPr>
        <w:spacing w:before="100" w:beforeAutospacing="1" w:after="100" w:afterAutospacing="1" w:line="360" w:lineRule="auto"/>
        <w:jc w:val="both"/>
        <w:rPr>
          <w:rFonts w:ascii="Arial" w:hAnsi="Arial" w:cs="Arial"/>
          <w:sz w:val="20"/>
          <w:szCs w:val="20"/>
        </w:rPr>
      </w:pPr>
      <w:r w:rsidRPr="0091190F">
        <w:rPr>
          <w:rFonts w:ascii="Arial" w:hAnsi="Arial" w:cs="Arial"/>
          <w:sz w:val="20"/>
          <w:szCs w:val="20"/>
        </w:rPr>
        <w:t>The integration of findings from the Nearest Neighbour Analysis and Thiessen Polygon Method provides a comprehensive understanding of PHC locational efficiency in South West Garo Hills:</w:t>
      </w:r>
    </w:p>
    <w:p w14:paraId="001263ED" w14:textId="77777777" w:rsidR="004B4182" w:rsidRPr="0091190F" w:rsidRDefault="004B4182" w:rsidP="00DD6D1C">
      <w:pPr>
        <w:spacing w:before="100" w:beforeAutospacing="1" w:after="100" w:afterAutospacing="1" w:line="360" w:lineRule="auto"/>
        <w:ind w:left="720"/>
        <w:jc w:val="both"/>
        <w:rPr>
          <w:rFonts w:ascii="Arial" w:hAnsi="Arial" w:cs="Arial"/>
          <w:sz w:val="20"/>
          <w:szCs w:val="20"/>
        </w:rPr>
      </w:pPr>
      <w:r w:rsidRPr="0091190F">
        <w:rPr>
          <w:rFonts w:ascii="Arial" w:hAnsi="Arial" w:cs="Arial"/>
          <w:sz w:val="20"/>
          <w:szCs w:val="20"/>
        </w:rPr>
        <w:t>The NNI value of 1.</w:t>
      </w:r>
      <w:r w:rsidR="00BF5A49" w:rsidRPr="0091190F">
        <w:rPr>
          <w:rFonts w:ascii="Arial" w:hAnsi="Arial" w:cs="Arial"/>
          <w:sz w:val="20"/>
          <w:szCs w:val="20"/>
        </w:rPr>
        <w:t>24</w:t>
      </w:r>
      <w:r w:rsidRPr="0091190F">
        <w:rPr>
          <w:rFonts w:ascii="Arial" w:hAnsi="Arial" w:cs="Arial"/>
          <w:sz w:val="20"/>
          <w:szCs w:val="20"/>
        </w:rPr>
        <w:t xml:space="preserve"> confirms that the PH</w:t>
      </w:r>
      <w:r w:rsidR="00BF5A49" w:rsidRPr="0091190F">
        <w:rPr>
          <w:rFonts w:ascii="Arial" w:hAnsi="Arial" w:cs="Arial"/>
          <w:sz w:val="20"/>
          <w:szCs w:val="20"/>
        </w:rPr>
        <w:t xml:space="preserve">Cs are </w:t>
      </w:r>
      <w:r w:rsidR="00A8595A">
        <w:rPr>
          <w:rFonts w:ascii="Arial" w:hAnsi="Arial" w:cs="Arial"/>
          <w:sz w:val="20"/>
          <w:szCs w:val="20"/>
        </w:rPr>
        <w:t>dispersed</w:t>
      </w:r>
      <w:r w:rsidRPr="0091190F">
        <w:rPr>
          <w:rFonts w:ascii="Arial" w:hAnsi="Arial" w:cs="Arial"/>
          <w:sz w:val="20"/>
          <w:szCs w:val="20"/>
        </w:rPr>
        <w:t>, which reflects moderate planning, but lacks strong alignment with population needs or spatial equity.</w:t>
      </w:r>
    </w:p>
    <w:p w14:paraId="5C9037DD" w14:textId="77777777" w:rsidR="004B4182" w:rsidRPr="0091190F" w:rsidRDefault="004B4182" w:rsidP="00DD6D1C">
      <w:pPr>
        <w:spacing w:before="100" w:beforeAutospacing="1" w:after="100" w:afterAutospacing="1" w:line="360" w:lineRule="auto"/>
        <w:ind w:left="720"/>
        <w:jc w:val="both"/>
        <w:rPr>
          <w:rFonts w:ascii="Arial" w:hAnsi="Arial" w:cs="Arial"/>
          <w:sz w:val="20"/>
          <w:szCs w:val="20"/>
        </w:rPr>
      </w:pPr>
      <w:r w:rsidRPr="0091190F">
        <w:rPr>
          <w:rFonts w:ascii="Arial" w:hAnsi="Arial" w:cs="Arial"/>
          <w:sz w:val="20"/>
          <w:szCs w:val="20"/>
        </w:rPr>
        <w:t xml:space="preserve">The Thiessen Polygon analysis reveals disparity in catchment areas, with certain regions being underserved due to wide spatial gaps </w:t>
      </w:r>
      <w:r w:rsidR="004A5FDE" w:rsidRPr="0091190F">
        <w:rPr>
          <w:rFonts w:ascii="Arial" w:hAnsi="Arial" w:cs="Arial"/>
          <w:sz w:val="20"/>
          <w:szCs w:val="20"/>
        </w:rPr>
        <w:t>betwee</w:t>
      </w:r>
      <w:r w:rsidRPr="0091190F">
        <w:rPr>
          <w:rFonts w:ascii="Arial" w:hAnsi="Arial" w:cs="Arial"/>
          <w:sz w:val="20"/>
          <w:szCs w:val="20"/>
        </w:rPr>
        <w:t>n health facilities.</w:t>
      </w:r>
    </w:p>
    <w:p w14:paraId="23BBFF0B" w14:textId="77777777" w:rsidR="00E947E5" w:rsidRPr="0091190F" w:rsidRDefault="004B4182" w:rsidP="001D7984">
      <w:pPr>
        <w:spacing w:before="100" w:beforeAutospacing="1" w:after="100" w:afterAutospacing="1" w:line="360" w:lineRule="auto"/>
        <w:jc w:val="both"/>
        <w:rPr>
          <w:rFonts w:ascii="Arial" w:hAnsi="Arial" w:cs="Arial"/>
          <w:b/>
          <w:sz w:val="20"/>
          <w:szCs w:val="20"/>
        </w:rPr>
      </w:pPr>
      <w:r w:rsidRPr="0091190F">
        <w:rPr>
          <w:rFonts w:ascii="Arial" w:hAnsi="Arial" w:cs="Arial"/>
          <w:sz w:val="20"/>
          <w:szCs w:val="20"/>
        </w:rPr>
        <w:t>Together, these findings suggest that the present distribution of PHCs only partially meets the criteria for spatial efficiency. The network covers the district in a broad sense but fails to ensure uniform access to all population groups, especially those in isolated or geographically challenging areas</w:t>
      </w:r>
      <w:r w:rsidRPr="0091190F">
        <w:rPr>
          <w:rFonts w:ascii="Arial" w:hAnsi="Arial" w:cs="Arial"/>
          <w:b/>
          <w:sz w:val="20"/>
          <w:szCs w:val="20"/>
        </w:rPr>
        <w:t>.</w:t>
      </w:r>
    </w:p>
    <w:p w14:paraId="7E33FD5E" w14:textId="77777777" w:rsidR="00FE05A4" w:rsidRPr="00E93E42" w:rsidRDefault="002866A2" w:rsidP="00FE05A4">
      <w:pPr>
        <w:pStyle w:val="Heading3"/>
        <w:rPr>
          <w:rFonts w:ascii="Arial" w:hAnsi="Arial" w:cs="Arial"/>
          <w:color w:val="auto"/>
        </w:rPr>
      </w:pPr>
      <w:r>
        <w:rPr>
          <w:rStyle w:val="Strong"/>
          <w:rFonts w:ascii="Arial" w:hAnsi="Arial" w:cs="Arial"/>
          <w:b/>
          <w:bCs/>
          <w:color w:val="auto"/>
        </w:rPr>
        <w:t xml:space="preserve">6. </w:t>
      </w:r>
      <w:r w:rsidR="00FE05A4" w:rsidRPr="00E93E42">
        <w:rPr>
          <w:rStyle w:val="Strong"/>
          <w:rFonts w:ascii="Arial" w:hAnsi="Arial" w:cs="Arial"/>
          <w:b/>
          <w:bCs/>
          <w:color w:val="auto"/>
        </w:rPr>
        <w:t>CONCLUSION</w:t>
      </w:r>
    </w:p>
    <w:p w14:paraId="2B8BFE14" w14:textId="77777777" w:rsidR="00FE05A4" w:rsidRDefault="00FE05A4" w:rsidP="00E93E42">
      <w:pPr>
        <w:pStyle w:val="NormalWeb"/>
        <w:spacing w:line="360" w:lineRule="auto"/>
        <w:jc w:val="both"/>
        <w:rPr>
          <w:rFonts w:ascii="Arial" w:hAnsi="Arial" w:cs="Arial"/>
          <w:sz w:val="20"/>
          <w:szCs w:val="20"/>
        </w:rPr>
      </w:pPr>
      <w:r w:rsidRPr="0091190F">
        <w:rPr>
          <w:rFonts w:ascii="Arial" w:hAnsi="Arial" w:cs="Arial"/>
          <w:sz w:val="20"/>
          <w:szCs w:val="20"/>
        </w:rPr>
        <w:t xml:space="preserve">The study assessed how Primary Health Centres (PHCs) are distributed and how effectively they serve </w:t>
      </w:r>
      <w:r w:rsidR="00A8595A">
        <w:rPr>
          <w:rFonts w:ascii="Arial" w:hAnsi="Arial" w:cs="Arial"/>
          <w:sz w:val="20"/>
          <w:szCs w:val="20"/>
        </w:rPr>
        <w:t xml:space="preserve">the </w:t>
      </w:r>
      <w:r w:rsidRPr="0091190F">
        <w:rPr>
          <w:rFonts w:ascii="Arial" w:hAnsi="Arial" w:cs="Arial"/>
          <w:sz w:val="20"/>
          <w:szCs w:val="20"/>
        </w:rPr>
        <w:t xml:space="preserve">South West Garo Hills district. Although the PHCs show a dispersed and fairly even distribution pattern, accessibility varies across the region. Central PHCs like Ampati and Zikzak serve smaller, well-connected areas and are more efficient, while PHCs such as Mellim and Salmanpara cover large areas, </w:t>
      </w:r>
      <w:r w:rsidRPr="0091190F">
        <w:rPr>
          <w:rFonts w:ascii="Arial" w:hAnsi="Arial" w:cs="Arial"/>
          <w:sz w:val="20"/>
          <w:szCs w:val="20"/>
        </w:rPr>
        <w:lastRenderedPageBreak/>
        <w:t>making access difficult for remote populations. A major issue was found in Purakhasia Block, where outdated boundaries place its PHC under West Garo Hills, leading to administrative confusion and poor service delivery.The study concludes that updating district boundaries, improving connectivity, strengthening PHCs with large coverage areas, clarifying jurisdictional issues, and using GIS for planning can significantly improve health service accessibility. Overall, the research provides a base for further studies on health infrastructure and spatial planning in the district.</w:t>
      </w:r>
    </w:p>
    <w:p w14:paraId="349F13B7" w14:textId="77777777" w:rsidR="00C63664" w:rsidRPr="00C63664" w:rsidRDefault="00C63664" w:rsidP="00C63664">
      <w:pPr>
        <w:pStyle w:val="NormalWeb"/>
        <w:rPr>
          <w:rFonts w:ascii="Arial" w:hAnsi="Arial" w:cs="Arial"/>
          <w:b/>
          <w:bCs/>
          <w:sz w:val="22"/>
          <w:szCs w:val="22"/>
        </w:rPr>
      </w:pPr>
      <w:r w:rsidRPr="00C63664">
        <w:rPr>
          <w:rFonts w:ascii="Arial" w:hAnsi="Arial" w:cs="Arial"/>
          <w:b/>
          <w:bCs/>
          <w:sz w:val="22"/>
          <w:szCs w:val="22"/>
        </w:rPr>
        <w:t>Ethical Approval</w:t>
      </w:r>
    </w:p>
    <w:p w14:paraId="55C43423" w14:textId="77777777" w:rsidR="00C63664" w:rsidRPr="00C63664" w:rsidRDefault="00C63664" w:rsidP="00C63664">
      <w:pPr>
        <w:pStyle w:val="NormalWeb"/>
        <w:rPr>
          <w:rFonts w:ascii="Arial" w:hAnsi="Arial" w:cs="Arial"/>
          <w:sz w:val="20"/>
          <w:szCs w:val="20"/>
        </w:rPr>
      </w:pPr>
      <w:r w:rsidRPr="00C63664">
        <w:rPr>
          <w:rFonts w:ascii="Arial" w:hAnsi="Arial" w:cs="Arial"/>
          <w:sz w:val="20"/>
          <w:szCs w:val="20"/>
        </w:rPr>
        <w:t xml:space="preserve">Ethical approval not required. </w:t>
      </w:r>
    </w:p>
    <w:p w14:paraId="631108B1" w14:textId="7C3E3D8B" w:rsidR="00C63664" w:rsidRPr="00C63664" w:rsidRDefault="00C42755" w:rsidP="00C63664">
      <w:pPr>
        <w:pStyle w:val="NormalWeb"/>
        <w:rPr>
          <w:rFonts w:ascii="Arial" w:hAnsi="Arial" w:cs="Arial"/>
          <w:b/>
          <w:bCs/>
          <w:sz w:val="22"/>
          <w:szCs w:val="22"/>
        </w:rPr>
      </w:pPr>
      <w:r>
        <w:rPr>
          <w:rFonts w:ascii="Arial" w:hAnsi="Arial" w:cs="Arial"/>
          <w:b/>
          <w:bCs/>
          <w:sz w:val="22"/>
          <w:szCs w:val="22"/>
        </w:rPr>
        <w:t xml:space="preserve">Declaration </w:t>
      </w:r>
    </w:p>
    <w:p w14:paraId="1F87504F" w14:textId="77777777" w:rsidR="00C63664" w:rsidRDefault="00C63664" w:rsidP="00C63664">
      <w:pPr>
        <w:pStyle w:val="NormalWeb"/>
        <w:rPr>
          <w:rFonts w:ascii="Arial" w:hAnsi="Arial" w:cs="Arial"/>
          <w:sz w:val="20"/>
          <w:szCs w:val="20"/>
        </w:rPr>
      </w:pPr>
      <w:r w:rsidRPr="00C63664">
        <w:rPr>
          <w:rFonts w:ascii="Arial" w:hAnsi="Arial" w:cs="Arial"/>
          <w:sz w:val="20"/>
          <w:szCs w:val="20"/>
        </w:rPr>
        <w:tab/>
        <w:t>This article does not contain any studies with human participants or animals performed by any of the authors, since only the secondary data collected at various centres are used in the study.</w:t>
      </w:r>
    </w:p>
    <w:p w14:paraId="2520B0A8" w14:textId="77777777" w:rsidR="008C4B86" w:rsidRDefault="008C4B86" w:rsidP="00C63664">
      <w:pPr>
        <w:pStyle w:val="NormalWeb"/>
        <w:rPr>
          <w:rFonts w:ascii="Arial" w:hAnsi="Arial" w:cs="Arial"/>
          <w:sz w:val="20"/>
          <w:szCs w:val="20"/>
        </w:rPr>
      </w:pPr>
    </w:p>
    <w:p w14:paraId="7225DB38" w14:textId="77777777" w:rsidR="008C4B86" w:rsidRDefault="008C4B86" w:rsidP="00C63664">
      <w:pPr>
        <w:pStyle w:val="NormalWeb"/>
        <w:rPr>
          <w:rFonts w:ascii="Arial" w:hAnsi="Arial" w:cs="Arial"/>
          <w:sz w:val="20"/>
          <w:szCs w:val="20"/>
        </w:rPr>
      </w:pPr>
    </w:p>
    <w:p w14:paraId="3157EA68" w14:textId="77777777" w:rsidR="008C4B86" w:rsidRDefault="008C4B86" w:rsidP="008C4B86">
      <w:pPr>
        <w:rPr>
          <w:rFonts w:ascii="Calibri" w:eastAsia="Calibri" w:hAnsi="Calibri" w:cs="Times New Roman"/>
          <w:kern w:val="2"/>
          <w:highlight w:val="yellow"/>
        </w:rPr>
      </w:pPr>
      <w:bookmarkStart w:id="2" w:name="_Hlk204003461"/>
      <w:bookmarkStart w:id="3" w:name="_Hlk213070710"/>
      <w:r>
        <w:rPr>
          <w:rFonts w:ascii="Calibri" w:eastAsia="Calibri" w:hAnsi="Calibri" w:cs="Times New Roman"/>
          <w:kern w:val="2"/>
          <w:highlight w:val="yellow"/>
        </w:rPr>
        <w:t>Disclaimer (Artificial intelligence)</w:t>
      </w:r>
    </w:p>
    <w:p w14:paraId="14C86363"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Option 1:</w:t>
      </w:r>
    </w:p>
    <w:p w14:paraId="66998B01"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2B768E7D"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7E45252D"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B03266"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2B8A410E"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1.</w:t>
      </w:r>
    </w:p>
    <w:p w14:paraId="71EE934B"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2.</w:t>
      </w:r>
    </w:p>
    <w:p w14:paraId="6895A2F3" w14:textId="77777777" w:rsidR="008C4B86" w:rsidRDefault="008C4B86" w:rsidP="008C4B86">
      <w:pPr>
        <w:rPr>
          <w:rFonts w:ascii="Calibri" w:eastAsia="Calibri" w:hAnsi="Calibri" w:cs="Times New Roman"/>
          <w:kern w:val="2"/>
          <w:highlight w:val="yellow"/>
        </w:rPr>
      </w:pPr>
      <w:r>
        <w:rPr>
          <w:rFonts w:ascii="Calibri" w:eastAsia="Calibri" w:hAnsi="Calibri" w:cs="Times New Roman"/>
          <w:kern w:val="2"/>
          <w:highlight w:val="yellow"/>
        </w:rPr>
        <w:t>3.</w:t>
      </w:r>
      <w:bookmarkEnd w:id="2"/>
    </w:p>
    <w:bookmarkEnd w:id="3"/>
    <w:p w14:paraId="4F99241C" w14:textId="77777777" w:rsidR="008C4B86" w:rsidRDefault="008C4B86" w:rsidP="00C63664">
      <w:pPr>
        <w:pStyle w:val="NormalWeb"/>
        <w:rPr>
          <w:rFonts w:ascii="Arial" w:hAnsi="Arial" w:cs="Arial"/>
          <w:sz w:val="20"/>
          <w:szCs w:val="20"/>
        </w:rPr>
      </w:pPr>
    </w:p>
    <w:p w14:paraId="410B2C39" w14:textId="77777777" w:rsidR="00A4359A" w:rsidRPr="00FD7C4B" w:rsidRDefault="00A4359A" w:rsidP="00A4359A">
      <w:pPr>
        <w:spacing w:after="0" w:line="240" w:lineRule="auto"/>
        <w:rPr>
          <w:rFonts w:ascii="Arial" w:hAnsi="Arial" w:cs="Arial"/>
          <w:b/>
          <w:sz w:val="24"/>
          <w:szCs w:val="24"/>
        </w:rPr>
      </w:pPr>
      <w:r w:rsidRPr="00FD7C4B">
        <w:rPr>
          <w:rFonts w:ascii="Arial" w:hAnsi="Arial" w:cs="Arial"/>
          <w:b/>
          <w:sz w:val="24"/>
          <w:szCs w:val="24"/>
        </w:rPr>
        <w:t>References</w:t>
      </w:r>
    </w:p>
    <w:p w14:paraId="64AC6FAE" w14:textId="77777777" w:rsidR="00A4359A" w:rsidRPr="000B23AD" w:rsidRDefault="00A4359A" w:rsidP="00A4359A">
      <w:pPr>
        <w:spacing w:after="0" w:line="240" w:lineRule="auto"/>
        <w:rPr>
          <w:rFonts w:ascii="Arial" w:hAnsi="Arial" w:cs="Arial"/>
          <w:sz w:val="20"/>
          <w:szCs w:val="20"/>
        </w:rPr>
      </w:pPr>
    </w:p>
    <w:p w14:paraId="46455268" w14:textId="77777777" w:rsidR="00A4359A" w:rsidRPr="009852AE" w:rsidRDefault="00A4359A" w:rsidP="00A4359A">
      <w:pPr>
        <w:pStyle w:val="ListParagraph"/>
        <w:numPr>
          <w:ilvl w:val="0"/>
          <w:numId w:val="28"/>
        </w:numPr>
        <w:jc w:val="both"/>
        <w:rPr>
          <w:rFonts w:ascii="Arial" w:hAnsi="Arial" w:cs="Arial"/>
          <w:sz w:val="20"/>
          <w:szCs w:val="20"/>
          <w:shd w:val="clear" w:color="auto" w:fill="FFFFFF"/>
        </w:rPr>
      </w:pPr>
      <w:bookmarkStart w:id="4" w:name="_Hlk214796347"/>
      <w:r w:rsidRPr="00C70DEB">
        <w:rPr>
          <w:rFonts w:ascii="Arial" w:hAnsi="Arial" w:cs="Arial"/>
          <w:sz w:val="20"/>
          <w:szCs w:val="20"/>
          <w:shd w:val="clear" w:color="auto" w:fill="FFFFFF"/>
        </w:rPr>
        <w:lastRenderedPageBreak/>
        <w:t>Agbenyo, F., Nunbogu, A. M., &amp; Dongzagla, A. (2017). Accessibility mapping of health facilities in rural Ghana. </w:t>
      </w:r>
      <w:r w:rsidRPr="00C70DEB">
        <w:rPr>
          <w:rFonts w:ascii="Arial" w:hAnsi="Arial" w:cs="Arial"/>
          <w:i/>
          <w:iCs/>
          <w:sz w:val="20"/>
          <w:szCs w:val="20"/>
          <w:shd w:val="clear" w:color="auto" w:fill="FFFFFF"/>
        </w:rPr>
        <w:t>Journal of Transport &amp; Health</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6</w:t>
      </w:r>
      <w:r w:rsidRPr="00C70DEB">
        <w:rPr>
          <w:rFonts w:ascii="Arial" w:hAnsi="Arial" w:cs="Arial"/>
          <w:sz w:val="20"/>
          <w:szCs w:val="20"/>
          <w:shd w:val="clear" w:color="auto" w:fill="FFFFFF"/>
        </w:rPr>
        <w:t>, 73-83.</w:t>
      </w:r>
      <w:r w:rsidRPr="00C70DEB">
        <w:t>https://doi.org/10.1016/j.jth.2017.04.010</w:t>
      </w:r>
    </w:p>
    <w:p w14:paraId="18E25FA5" w14:textId="77777777" w:rsidR="009852AE" w:rsidRPr="00C70DEB" w:rsidRDefault="009852AE" w:rsidP="009852AE">
      <w:pPr>
        <w:pStyle w:val="ListParagraph"/>
        <w:ind w:left="900"/>
        <w:jc w:val="both"/>
        <w:rPr>
          <w:rFonts w:ascii="Arial" w:hAnsi="Arial" w:cs="Arial"/>
          <w:sz w:val="20"/>
          <w:szCs w:val="20"/>
          <w:shd w:val="clear" w:color="auto" w:fill="FFFFFF"/>
        </w:rPr>
      </w:pPr>
    </w:p>
    <w:p w14:paraId="6C7744B5" w14:textId="77777777" w:rsidR="00A4359A"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Balaji, D., &amp; Saravanabavan, V. (2021). Geo spatial variation of dengue risk zone in Madurai city using autocorrelation techniques. </w:t>
      </w:r>
      <w:r w:rsidRPr="00C70DEB">
        <w:rPr>
          <w:rFonts w:ascii="Arial" w:hAnsi="Arial" w:cs="Arial"/>
          <w:i/>
          <w:iCs/>
          <w:sz w:val="20"/>
          <w:szCs w:val="20"/>
          <w:shd w:val="clear" w:color="auto" w:fill="FFFFFF"/>
        </w:rPr>
        <w:t>GeoJournal</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86</w:t>
      </w:r>
      <w:r w:rsidRPr="00C70DEB">
        <w:rPr>
          <w:rFonts w:ascii="Arial" w:hAnsi="Arial" w:cs="Arial"/>
          <w:sz w:val="20"/>
          <w:szCs w:val="20"/>
          <w:shd w:val="clear" w:color="auto" w:fill="FFFFFF"/>
        </w:rPr>
        <w:t>(3), 1481-1501.https://doi.org/10.1007/s10708-020-10143-1</w:t>
      </w:r>
    </w:p>
    <w:p w14:paraId="4B109A62" w14:textId="77777777" w:rsidR="009852AE" w:rsidRPr="009852AE" w:rsidRDefault="009852AE" w:rsidP="009852AE">
      <w:pPr>
        <w:pStyle w:val="ListParagraph"/>
        <w:rPr>
          <w:rFonts w:ascii="Arial" w:hAnsi="Arial" w:cs="Arial"/>
          <w:sz w:val="20"/>
          <w:szCs w:val="20"/>
          <w:shd w:val="clear" w:color="auto" w:fill="FFFFFF"/>
        </w:rPr>
      </w:pPr>
    </w:p>
    <w:p w14:paraId="0FAF16F6" w14:textId="77777777" w:rsidR="009852AE" w:rsidRPr="00C70DEB" w:rsidRDefault="009852AE" w:rsidP="009852AE">
      <w:pPr>
        <w:pStyle w:val="ListParagraph"/>
        <w:autoSpaceDE w:val="0"/>
        <w:autoSpaceDN w:val="0"/>
        <w:adjustRightInd w:val="0"/>
        <w:spacing w:after="0" w:line="240" w:lineRule="auto"/>
        <w:ind w:left="900"/>
        <w:rPr>
          <w:rFonts w:ascii="Arial" w:hAnsi="Arial" w:cs="Arial"/>
          <w:sz w:val="20"/>
          <w:szCs w:val="20"/>
          <w:shd w:val="clear" w:color="auto" w:fill="FFFFFF"/>
        </w:rPr>
      </w:pPr>
    </w:p>
    <w:p w14:paraId="3693C74B" w14:textId="77777777" w:rsidR="00A4359A"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Balaji, D., &amp; Saravanabavan, V. (2021a). Geo spatial variation of dengue risk zone in Madurai city using autocorrelation techniques. </w:t>
      </w:r>
      <w:r w:rsidRPr="00C70DEB">
        <w:rPr>
          <w:rFonts w:ascii="Arial" w:hAnsi="Arial" w:cs="Arial"/>
          <w:i/>
          <w:iCs/>
          <w:sz w:val="20"/>
          <w:szCs w:val="20"/>
          <w:shd w:val="clear" w:color="auto" w:fill="FFFFFF"/>
        </w:rPr>
        <w:t>GeoJournal</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86</w:t>
      </w:r>
      <w:r w:rsidRPr="00C70DEB">
        <w:rPr>
          <w:rFonts w:ascii="Arial" w:hAnsi="Arial" w:cs="Arial"/>
          <w:sz w:val="20"/>
          <w:szCs w:val="20"/>
          <w:shd w:val="clear" w:color="auto" w:fill="FFFFFF"/>
        </w:rPr>
        <w:t>(3), 1481-1501.https://doi.org/10.1007/s10708-020-10143-1</w:t>
      </w:r>
    </w:p>
    <w:p w14:paraId="42A15A74" w14:textId="77777777" w:rsidR="009852AE" w:rsidRPr="00C70DEB" w:rsidRDefault="009852AE" w:rsidP="009852AE">
      <w:pPr>
        <w:pStyle w:val="ListParagraph"/>
        <w:autoSpaceDE w:val="0"/>
        <w:autoSpaceDN w:val="0"/>
        <w:adjustRightInd w:val="0"/>
        <w:spacing w:after="0" w:line="240" w:lineRule="auto"/>
        <w:ind w:left="900"/>
        <w:rPr>
          <w:rFonts w:ascii="Arial" w:hAnsi="Arial" w:cs="Arial"/>
          <w:sz w:val="20"/>
          <w:szCs w:val="20"/>
          <w:shd w:val="clear" w:color="auto" w:fill="FFFFFF"/>
        </w:rPr>
      </w:pPr>
    </w:p>
    <w:p w14:paraId="5E5165AE" w14:textId="77777777" w:rsidR="00A4359A" w:rsidRPr="00C70DEB" w:rsidRDefault="00A4359A" w:rsidP="00A4359A">
      <w:pPr>
        <w:pStyle w:val="ListParagraph"/>
        <w:numPr>
          <w:ilvl w:val="0"/>
          <w:numId w:val="28"/>
        </w:numPr>
        <w:jc w:val="both"/>
        <w:rPr>
          <w:rFonts w:ascii="Arial" w:hAnsi="Arial" w:cs="Arial"/>
          <w:sz w:val="20"/>
          <w:szCs w:val="20"/>
        </w:rPr>
      </w:pPr>
      <w:r w:rsidRPr="00C70DEB">
        <w:rPr>
          <w:rFonts w:ascii="Arial" w:eastAsia="Times New Roman" w:hAnsi="Arial" w:cs="Arial"/>
          <w:sz w:val="20"/>
          <w:szCs w:val="20"/>
          <w:shd w:val="clear" w:color="auto" w:fill="FFFFFF"/>
        </w:rPr>
        <w:t>Carrillo de Albornoz</w:t>
      </w:r>
      <w:bookmarkEnd w:id="4"/>
      <w:r w:rsidRPr="00C70DEB">
        <w:rPr>
          <w:rFonts w:ascii="Arial" w:eastAsia="Times New Roman" w:hAnsi="Arial" w:cs="Arial"/>
          <w:sz w:val="20"/>
          <w:szCs w:val="20"/>
          <w:shd w:val="clear" w:color="auto" w:fill="FFFFFF"/>
        </w:rPr>
        <w:t>, S., Sia, K. L., &amp; Harris, A. (2022). The effectiveness of teleconsultations in primary care: systematic review.</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Family Practice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39</w:t>
      </w:r>
      <w:r w:rsidRPr="00C70DEB">
        <w:rPr>
          <w:rFonts w:ascii="Arial" w:eastAsia="Times New Roman" w:hAnsi="Arial" w:cs="Arial"/>
          <w:sz w:val="20"/>
          <w:szCs w:val="20"/>
          <w:shd w:val="clear" w:color="auto" w:fill="FFFFFF"/>
        </w:rPr>
        <w:t>(1), 168-182.</w:t>
      </w:r>
      <w:r w:rsidRPr="00C70DEB">
        <w:t>https://doi.org/10.1093/fampra/cmab077</w:t>
      </w:r>
    </w:p>
    <w:p w14:paraId="73B6B174" w14:textId="35F15589" w:rsidR="00A4359A" w:rsidRPr="009852AE" w:rsidRDefault="00A4359A" w:rsidP="00A4359A">
      <w:pPr>
        <w:pStyle w:val="Default"/>
        <w:numPr>
          <w:ilvl w:val="0"/>
          <w:numId w:val="28"/>
        </w:numPr>
        <w:rPr>
          <w:rFonts w:ascii="Arial" w:hAnsi="Arial" w:cs="Arial"/>
          <w:color w:val="auto"/>
          <w:sz w:val="20"/>
          <w:szCs w:val="20"/>
        </w:rPr>
      </w:pPr>
      <w:r w:rsidRPr="000B23AD">
        <w:rPr>
          <w:rFonts w:ascii="Arial" w:hAnsi="Arial" w:cs="Arial"/>
          <w:color w:val="auto"/>
          <w:sz w:val="20"/>
          <w:szCs w:val="20"/>
        </w:rPr>
        <w:t xml:space="preserve">Danyon Dameshwa Jyrwa,V Saravanabavan, LaitpharlangCajee, C Vinothini (2025) Spatial analysis and efficiency of healthcare delivery system in Meghalaya State,India:A Z Score Approach International Journal of Science and Research Archive 15 (01),1312-1324 </w:t>
      </w:r>
      <w:hyperlink r:id="rId12" w:history="1">
        <w:r w:rsidR="009852AE" w:rsidRPr="00B36337">
          <w:rPr>
            <w:rStyle w:val="Hyperlink"/>
            <w:rFonts w:ascii="Arial" w:hAnsi="Arial" w:cs="Arial"/>
            <w:sz w:val="20"/>
            <w:szCs w:val="20"/>
          </w:rPr>
          <w:t>https://doi.org/10.30574/ijsra.2025.15.1.1148</w:t>
        </w:r>
      </w:hyperlink>
    </w:p>
    <w:p w14:paraId="0670BA9D" w14:textId="77777777" w:rsidR="009852AE" w:rsidRPr="00C70DEB" w:rsidRDefault="009852AE" w:rsidP="009852AE">
      <w:pPr>
        <w:pStyle w:val="Default"/>
        <w:ind w:left="900"/>
        <w:rPr>
          <w:rFonts w:ascii="Arial" w:hAnsi="Arial" w:cs="Arial"/>
          <w:color w:val="auto"/>
          <w:sz w:val="20"/>
          <w:szCs w:val="20"/>
        </w:rPr>
      </w:pPr>
    </w:p>
    <w:p w14:paraId="42C2A8E6" w14:textId="77777777" w:rsidR="00A4359A" w:rsidRPr="009852AE" w:rsidRDefault="00A4359A" w:rsidP="00A4359A">
      <w:pPr>
        <w:pStyle w:val="ListParagraph"/>
        <w:numPr>
          <w:ilvl w:val="0"/>
          <w:numId w:val="28"/>
        </w:numPr>
        <w:jc w:val="both"/>
        <w:rPr>
          <w:rFonts w:ascii="Arial" w:eastAsia="Times New Roman" w:hAnsi="Arial" w:cs="Arial"/>
          <w:color w:val="FF0000"/>
          <w:sz w:val="20"/>
          <w:szCs w:val="20"/>
          <w:shd w:val="clear" w:color="auto" w:fill="FFFFFF"/>
        </w:rPr>
      </w:pPr>
      <w:bookmarkStart w:id="5" w:name="_Hlk214795938"/>
      <w:r w:rsidRPr="00C70DEB">
        <w:rPr>
          <w:rFonts w:ascii="Arial" w:eastAsia="Times New Roman" w:hAnsi="Arial" w:cs="Arial"/>
          <w:sz w:val="20"/>
          <w:szCs w:val="20"/>
          <w:shd w:val="clear" w:color="auto" w:fill="FFFFFF"/>
        </w:rPr>
        <w:t>Devkota</w:t>
      </w:r>
      <w:bookmarkEnd w:id="5"/>
      <w:r w:rsidRPr="00C70DEB">
        <w:rPr>
          <w:rFonts w:ascii="Arial" w:eastAsia="Times New Roman" w:hAnsi="Arial" w:cs="Arial"/>
          <w:sz w:val="20"/>
          <w:szCs w:val="20"/>
          <w:shd w:val="clear" w:color="auto" w:fill="FFFFFF"/>
        </w:rPr>
        <w:t>, G., Basnet, P., Thapa, B., &amp;Subedi, M. (2021). Factors affecting utilization of mental health services from Primary Health Care (PHC) facilities of western hilly district of Nepal</w:t>
      </w:r>
      <w:r w:rsidRPr="00C70DEB">
        <w:rPr>
          <w:rFonts w:ascii="Arial" w:eastAsia="Times New Roman" w:hAnsi="Arial" w:cs="Arial"/>
          <w:color w:val="C00000"/>
          <w:sz w:val="20"/>
          <w:szCs w:val="20"/>
          <w:shd w:val="clear" w:color="auto" w:fill="FFFFFF"/>
        </w:rPr>
        <w:t>.</w:t>
      </w:r>
      <w:r w:rsidRPr="00C70DEB">
        <w:rPr>
          <w:rStyle w:val="apple-converted-space"/>
          <w:rFonts w:ascii="Arial" w:eastAsia="Times New Roman" w:hAnsi="Arial" w:cs="Arial"/>
          <w:color w:val="C00000"/>
          <w:sz w:val="20"/>
          <w:szCs w:val="20"/>
          <w:shd w:val="clear" w:color="auto" w:fill="FFFFFF"/>
        </w:rPr>
        <w:t> </w:t>
      </w:r>
      <w:r w:rsidRPr="00C70DEB">
        <w:rPr>
          <w:rFonts w:ascii="Arial" w:eastAsia="Times New Roman" w:hAnsi="Arial" w:cs="Arial"/>
          <w:i/>
          <w:iCs/>
          <w:sz w:val="20"/>
          <w:szCs w:val="20"/>
        </w:rPr>
        <w:t>PloS one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16</w:t>
      </w:r>
      <w:r w:rsidRPr="00C70DEB">
        <w:rPr>
          <w:rFonts w:ascii="Arial" w:eastAsia="Times New Roman" w:hAnsi="Arial" w:cs="Arial"/>
          <w:sz w:val="20"/>
          <w:szCs w:val="20"/>
          <w:shd w:val="clear" w:color="auto" w:fill="FFFFFF"/>
        </w:rPr>
        <w:t>(4),</w:t>
      </w:r>
      <w:r w:rsidRPr="00C70DEB">
        <w:rPr>
          <w:rFonts w:ascii="Arial" w:eastAsia="Times New Roman" w:hAnsi="Arial" w:cs="Arial"/>
          <w:color w:val="C00000"/>
          <w:sz w:val="20"/>
          <w:szCs w:val="20"/>
          <w:shd w:val="clear" w:color="auto" w:fill="FFFFFF"/>
        </w:rPr>
        <w:t xml:space="preserve"> https://doi.org/10.1371/journal.pone.0250694</w:t>
      </w:r>
    </w:p>
    <w:p w14:paraId="595AA9B3" w14:textId="77777777" w:rsidR="009852AE" w:rsidRPr="00C70DEB" w:rsidRDefault="009852AE" w:rsidP="009852AE">
      <w:pPr>
        <w:pStyle w:val="ListParagraph"/>
        <w:ind w:left="900"/>
        <w:jc w:val="both"/>
        <w:rPr>
          <w:rFonts w:ascii="Arial" w:eastAsia="Times New Roman" w:hAnsi="Arial" w:cs="Arial"/>
          <w:color w:val="FF0000"/>
          <w:sz w:val="20"/>
          <w:szCs w:val="20"/>
          <w:shd w:val="clear" w:color="auto" w:fill="FFFFFF"/>
        </w:rPr>
      </w:pPr>
    </w:p>
    <w:p w14:paraId="40D65FD6" w14:textId="77777777" w:rsidR="00A4359A" w:rsidRPr="009852AE" w:rsidRDefault="00A4359A" w:rsidP="00A4359A">
      <w:pPr>
        <w:pStyle w:val="ListParagraph"/>
        <w:numPr>
          <w:ilvl w:val="0"/>
          <w:numId w:val="28"/>
        </w:numPr>
        <w:spacing w:before="240" w:line="240" w:lineRule="auto"/>
        <w:rPr>
          <w:rFonts w:ascii="Arial" w:hAnsi="Arial" w:cs="Arial"/>
          <w:color w:val="333333"/>
          <w:sz w:val="20"/>
          <w:szCs w:val="20"/>
        </w:rPr>
      </w:pPr>
      <w:r w:rsidRPr="00C70DEB">
        <w:rPr>
          <w:rFonts w:ascii="Arial" w:hAnsi="Arial" w:cs="Arial"/>
          <w:sz w:val="20"/>
          <w:szCs w:val="20"/>
          <w:shd w:val="clear" w:color="auto" w:fill="FFFFFF"/>
        </w:rPr>
        <w:t>Gong, C., &amp; Kang, H. (2023). Resource allocation efficiency of urban medical and health financial expenditure under the background of employees’ health. </w:t>
      </w:r>
      <w:r w:rsidRPr="00C70DEB">
        <w:rPr>
          <w:rFonts w:ascii="Arial" w:hAnsi="Arial" w:cs="Arial"/>
          <w:i/>
          <w:iCs/>
          <w:sz w:val="20"/>
          <w:szCs w:val="20"/>
          <w:shd w:val="clear" w:color="auto" w:fill="FFFFFF"/>
        </w:rPr>
        <w:t>Risk Management and Healthcare Policy</w:t>
      </w:r>
      <w:r w:rsidRPr="00C70DEB">
        <w:rPr>
          <w:rFonts w:ascii="Arial" w:hAnsi="Arial" w:cs="Arial"/>
          <w:sz w:val="20"/>
          <w:szCs w:val="20"/>
          <w:shd w:val="clear" w:color="auto" w:fill="FFFFFF"/>
        </w:rPr>
        <w:t>, 1059-1074.</w:t>
      </w:r>
      <w:bookmarkStart w:id="6" w:name="_Hlk214795015"/>
      <w:r w:rsidRPr="00C70DEB">
        <w:t>https://doi.org/10.2147/RMHP.S412514</w:t>
      </w:r>
    </w:p>
    <w:p w14:paraId="589958CB" w14:textId="77777777" w:rsidR="009852AE" w:rsidRPr="009852AE" w:rsidRDefault="009852AE" w:rsidP="009852AE">
      <w:pPr>
        <w:pStyle w:val="ListParagraph"/>
        <w:rPr>
          <w:rFonts w:ascii="Arial" w:hAnsi="Arial" w:cs="Arial"/>
          <w:color w:val="333333"/>
          <w:sz w:val="20"/>
          <w:szCs w:val="20"/>
        </w:rPr>
      </w:pPr>
    </w:p>
    <w:p w14:paraId="16912085" w14:textId="77777777" w:rsidR="009852AE" w:rsidRPr="00C70DEB" w:rsidRDefault="009852AE" w:rsidP="009852AE">
      <w:pPr>
        <w:pStyle w:val="ListParagraph"/>
        <w:spacing w:before="240" w:line="240" w:lineRule="auto"/>
        <w:ind w:left="900"/>
        <w:rPr>
          <w:rFonts w:ascii="Arial" w:hAnsi="Arial" w:cs="Arial"/>
          <w:color w:val="333333"/>
          <w:sz w:val="20"/>
          <w:szCs w:val="20"/>
        </w:rPr>
      </w:pPr>
    </w:p>
    <w:p w14:paraId="7B277E3D" w14:textId="77777777" w:rsidR="00A4359A" w:rsidRDefault="00A4359A" w:rsidP="00A4359A">
      <w:pPr>
        <w:pStyle w:val="ListParagraph"/>
        <w:numPr>
          <w:ilvl w:val="0"/>
          <w:numId w:val="28"/>
        </w:numPr>
        <w:spacing w:before="240"/>
        <w:jc w:val="both"/>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t>Hong, I., Wilson, B., Gross, T., Conley, J., &amp; Powers, T. (2023). Challenging terrains: socio-spatial analysis of primary health care access disparities in West Virginia.</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Applied spatial analysis and policy</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16</w:t>
      </w:r>
      <w:r w:rsidRPr="00C70DEB">
        <w:rPr>
          <w:rFonts w:ascii="Arial" w:eastAsia="Times New Roman" w:hAnsi="Arial" w:cs="Arial"/>
          <w:sz w:val="20"/>
          <w:szCs w:val="20"/>
          <w:shd w:val="clear" w:color="auto" w:fill="FFFFFF"/>
        </w:rPr>
        <w:t>(1), 141-161.https://doi.org/10.1007/s12061-022-09472-0</w:t>
      </w:r>
    </w:p>
    <w:p w14:paraId="0E6B7B67" w14:textId="77777777" w:rsidR="009852AE" w:rsidRDefault="009852AE" w:rsidP="009852AE">
      <w:pPr>
        <w:pStyle w:val="ListParagraph"/>
        <w:spacing w:before="240"/>
        <w:ind w:left="900"/>
        <w:jc w:val="both"/>
        <w:rPr>
          <w:rFonts w:ascii="Arial" w:eastAsia="Times New Roman" w:hAnsi="Arial" w:cs="Arial"/>
          <w:sz w:val="20"/>
          <w:szCs w:val="20"/>
          <w:shd w:val="clear" w:color="auto" w:fill="FFFFFF"/>
        </w:rPr>
      </w:pPr>
    </w:p>
    <w:p w14:paraId="771E2A1E" w14:textId="77777777" w:rsidR="009852AE" w:rsidRPr="00C70DEB" w:rsidRDefault="009852AE" w:rsidP="009852AE">
      <w:pPr>
        <w:pStyle w:val="ListParagraph"/>
        <w:spacing w:before="240"/>
        <w:ind w:left="900"/>
        <w:jc w:val="both"/>
        <w:rPr>
          <w:rFonts w:ascii="Arial" w:eastAsia="Times New Roman" w:hAnsi="Arial" w:cs="Arial"/>
          <w:sz w:val="20"/>
          <w:szCs w:val="20"/>
          <w:shd w:val="clear" w:color="auto" w:fill="FFFFFF"/>
        </w:rPr>
      </w:pPr>
    </w:p>
    <w:p w14:paraId="3522E0C6" w14:textId="77777777" w:rsidR="00A4359A" w:rsidRPr="009852AE" w:rsidRDefault="00A4359A" w:rsidP="00A4359A">
      <w:pPr>
        <w:pStyle w:val="ListParagraph"/>
        <w:numPr>
          <w:ilvl w:val="0"/>
          <w:numId w:val="28"/>
        </w:numPr>
        <w:jc w:val="both"/>
        <w:rPr>
          <w:rFonts w:ascii="Helvetica" w:hAnsi="Helvetica"/>
          <w:color w:val="222222"/>
          <w:shd w:val="clear" w:color="auto" w:fill="FFFFFF"/>
        </w:rPr>
      </w:pPr>
      <w:bookmarkStart w:id="7" w:name="_Hlk214796242"/>
      <w:bookmarkEnd w:id="6"/>
      <w:r w:rsidRPr="00C70DEB">
        <w:rPr>
          <w:rFonts w:ascii="Arial" w:eastAsia="Times New Roman" w:hAnsi="Arial" w:cs="Arial"/>
          <w:sz w:val="20"/>
          <w:szCs w:val="20"/>
          <w:shd w:val="clear" w:color="auto" w:fill="FFFFFF"/>
        </w:rPr>
        <w:t>Kabir, A., Karim, N., &amp;Billah, B. (2022). Preference and willingness to receive non-communicable disease services from primary healthcare facilities in Bangladesh: A qualitative study.</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BMC Health Services Research</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22</w:t>
      </w:r>
      <w:r w:rsidRPr="00C70DEB">
        <w:rPr>
          <w:rFonts w:ascii="Arial" w:eastAsia="Times New Roman" w:hAnsi="Arial" w:cs="Arial"/>
          <w:sz w:val="20"/>
          <w:szCs w:val="20"/>
          <w:shd w:val="clear" w:color="auto" w:fill="FFFFFF"/>
        </w:rPr>
        <w:t>(1), 1473.</w:t>
      </w:r>
      <w:r w:rsidRPr="00C70DEB">
        <w:t>https://doi.org/10.1186/s12913-022-08886-3</w:t>
      </w:r>
    </w:p>
    <w:p w14:paraId="2C3A054F" w14:textId="77777777" w:rsidR="009852AE" w:rsidRPr="00C70DEB" w:rsidRDefault="009852AE" w:rsidP="009852AE">
      <w:pPr>
        <w:pStyle w:val="ListParagraph"/>
        <w:ind w:left="900"/>
        <w:jc w:val="both"/>
        <w:rPr>
          <w:rFonts w:ascii="Helvetica" w:hAnsi="Helvetica"/>
          <w:color w:val="222222"/>
          <w:shd w:val="clear" w:color="auto" w:fill="FFFFFF"/>
        </w:rPr>
      </w:pPr>
    </w:p>
    <w:p w14:paraId="1615D417" w14:textId="4D7E0C55" w:rsidR="00A4359A" w:rsidRPr="002B7546" w:rsidRDefault="00A4359A" w:rsidP="00A4359A">
      <w:pPr>
        <w:pStyle w:val="ListParagraph"/>
        <w:numPr>
          <w:ilvl w:val="0"/>
          <w:numId w:val="28"/>
        </w:numPr>
        <w:jc w:val="both"/>
        <w:rPr>
          <w:rFonts w:ascii="Arial" w:hAnsi="Arial" w:cs="Arial"/>
          <w:i/>
          <w:iCs/>
          <w:sz w:val="20"/>
          <w:szCs w:val="20"/>
          <w:highlight w:val="yellow"/>
        </w:rPr>
      </w:pPr>
      <w:r w:rsidRPr="002B7546">
        <w:rPr>
          <w:rFonts w:ascii="Arial" w:hAnsi="Arial" w:cs="Arial"/>
          <w:sz w:val="20"/>
          <w:szCs w:val="20"/>
          <w:highlight w:val="yellow"/>
        </w:rPr>
        <w:t>Kumar</w:t>
      </w:r>
      <w:r w:rsidR="009852AE" w:rsidRPr="002B7546">
        <w:rPr>
          <w:rFonts w:ascii="Arial" w:hAnsi="Arial" w:cs="Arial"/>
          <w:sz w:val="20"/>
          <w:szCs w:val="20"/>
          <w:highlight w:val="yellow"/>
        </w:rPr>
        <w:t>,K</w:t>
      </w:r>
      <w:r w:rsidRPr="002B7546">
        <w:rPr>
          <w:rFonts w:ascii="Arial" w:hAnsi="Arial" w:cs="Arial"/>
          <w:sz w:val="20"/>
          <w:szCs w:val="20"/>
          <w:highlight w:val="yellow"/>
        </w:rPr>
        <w:t xml:space="preserve"> (2023), Lcation analysis of primary Health Care Centers: A case study of Mohalla clinics in Delhi, </w:t>
      </w:r>
      <w:r w:rsidRPr="002B7546">
        <w:rPr>
          <w:rFonts w:ascii="Arial" w:hAnsi="Arial" w:cs="Arial"/>
          <w:i/>
          <w:iCs/>
          <w:sz w:val="20"/>
          <w:szCs w:val="20"/>
          <w:highlight w:val="yellow"/>
        </w:rPr>
        <w:t xml:space="preserve">SN Operations research forum 4(2) April 2023. </w:t>
      </w:r>
      <w:hyperlink r:id="rId13" w:history="1">
        <w:r w:rsidR="009852AE" w:rsidRPr="002B7546">
          <w:rPr>
            <w:rStyle w:val="Hyperlink"/>
            <w:rFonts w:ascii="Arial" w:hAnsi="Arial" w:cs="Arial"/>
            <w:i/>
            <w:iCs/>
            <w:sz w:val="20"/>
            <w:szCs w:val="20"/>
            <w:highlight w:val="yellow"/>
          </w:rPr>
          <w:t>https://doi.org/10.1007/s43069-023-00204-9</w:t>
        </w:r>
      </w:hyperlink>
    </w:p>
    <w:p w14:paraId="77AC0572" w14:textId="77777777" w:rsidR="009852AE" w:rsidRPr="009852AE" w:rsidRDefault="009852AE" w:rsidP="009852AE">
      <w:pPr>
        <w:pStyle w:val="ListParagraph"/>
        <w:rPr>
          <w:rFonts w:ascii="Arial" w:hAnsi="Arial" w:cs="Arial"/>
          <w:i/>
          <w:iCs/>
          <w:sz w:val="20"/>
          <w:szCs w:val="20"/>
        </w:rPr>
      </w:pPr>
    </w:p>
    <w:p w14:paraId="6E5D31C5" w14:textId="77777777" w:rsidR="009852AE" w:rsidRPr="00C70DEB" w:rsidRDefault="009852AE" w:rsidP="009852AE">
      <w:pPr>
        <w:pStyle w:val="ListParagraph"/>
        <w:ind w:left="900"/>
        <w:jc w:val="both"/>
        <w:rPr>
          <w:rFonts w:ascii="Arial" w:hAnsi="Arial" w:cs="Arial"/>
          <w:i/>
          <w:iCs/>
          <w:sz w:val="20"/>
          <w:szCs w:val="20"/>
        </w:rPr>
      </w:pPr>
    </w:p>
    <w:p w14:paraId="5E7626C2" w14:textId="1A1599AB" w:rsidR="00A4359A" w:rsidRPr="009852AE" w:rsidRDefault="00A4359A" w:rsidP="00A4359A">
      <w:pPr>
        <w:pStyle w:val="ListParagraph"/>
        <w:numPr>
          <w:ilvl w:val="0"/>
          <w:numId w:val="28"/>
        </w:numPr>
        <w:jc w:val="both"/>
        <w:rPr>
          <w:rFonts w:ascii="Arial" w:eastAsia="Times New Roman" w:hAnsi="Arial" w:cs="Arial"/>
          <w:color w:val="C00000"/>
          <w:sz w:val="20"/>
          <w:szCs w:val="20"/>
          <w:shd w:val="clear" w:color="auto" w:fill="FFFFFF"/>
        </w:rPr>
      </w:pPr>
      <w:bookmarkStart w:id="8" w:name="_Hlk214826083"/>
      <w:bookmarkEnd w:id="7"/>
      <w:r w:rsidRPr="00C70DEB">
        <w:rPr>
          <w:rFonts w:ascii="Arial" w:hAnsi="Arial" w:cs="Arial"/>
          <w:color w:val="222222"/>
          <w:sz w:val="20"/>
          <w:szCs w:val="20"/>
          <w:shd w:val="clear" w:color="auto" w:fill="FFFFFF"/>
        </w:rPr>
        <w:t>Kumar, I. B. (2024). Challenges And Innovations In The Primary Healthcare System Of Bihar: A Comprehensive Review. </w:t>
      </w:r>
      <w:r w:rsidRPr="00C70DEB">
        <w:rPr>
          <w:rFonts w:ascii="Arial" w:hAnsi="Arial" w:cs="Arial"/>
          <w:i/>
          <w:iCs/>
          <w:color w:val="222222"/>
          <w:sz w:val="20"/>
          <w:szCs w:val="20"/>
          <w:shd w:val="clear" w:color="auto" w:fill="FFFFFF"/>
        </w:rPr>
        <w:t>Library of Progress-Library Science, Information Technology &amp; Computer</w:t>
      </w:r>
      <w:r w:rsidRPr="00C70DEB">
        <w:rPr>
          <w:rFonts w:ascii="Arial" w:hAnsi="Arial" w:cs="Arial"/>
          <w:color w:val="222222"/>
          <w:sz w:val="20"/>
          <w:szCs w:val="20"/>
          <w:shd w:val="clear" w:color="auto" w:fill="FFFFFF"/>
        </w:rPr>
        <w:t>, </w:t>
      </w:r>
      <w:r w:rsidRPr="00C70DEB">
        <w:rPr>
          <w:rFonts w:ascii="Arial" w:hAnsi="Arial" w:cs="Arial"/>
          <w:i/>
          <w:iCs/>
          <w:color w:val="222222"/>
          <w:sz w:val="20"/>
          <w:szCs w:val="20"/>
          <w:shd w:val="clear" w:color="auto" w:fill="FFFFFF"/>
        </w:rPr>
        <w:t>44</w:t>
      </w:r>
      <w:r w:rsidRPr="00C70DEB">
        <w:rPr>
          <w:rFonts w:ascii="Arial" w:hAnsi="Arial" w:cs="Arial"/>
          <w:color w:val="222222"/>
          <w:sz w:val="20"/>
          <w:szCs w:val="20"/>
          <w:shd w:val="clear" w:color="auto" w:fill="FFFFFF"/>
        </w:rPr>
        <w:t>(4)</w:t>
      </w:r>
      <w:r w:rsidR="009852AE">
        <w:rPr>
          <w:rFonts w:ascii="Arial" w:hAnsi="Arial" w:cs="Arial"/>
          <w:color w:val="222222"/>
          <w:sz w:val="20"/>
          <w:szCs w:val="20"/>
          <w:shd w:val="clear" w:color="auto" w:fill="FFFFFF"/>
        </w:rPr>
        <w:t xml:space="preserve"> </w:t>
      </w:r>
      <w:r w:rsidRPr="00C70DEB">
        <w:rPr>
          <w:rFonts w:ascii="Arial" w:hAnsi="Arial" w:cs="Arial"/>
          <w:color w:val="222222"/>
          <w:sz w:val="20"/>
          <w:szCs w:val="20"/>
          <w:shd w:val="clear" w:color="auto" w:fill="FFFFFF"/>
        </w:rPr>
        <w:t>.https://doi.org/10.48165/bapas.2024.44.2.1</w:t>
      </w:r>
    </w:p>
    <w:p w14:paraId="40B2D48F" w14:textId="77777777" w:rsidR="009852AE" w:rsidRPr="00C70DEB" w:rsidRDefault="009852AE" w:rsidP="009852AE">
      <w:pPr>
        <w:pStyle w:val="ListParagraph"/>
        <w:ind w:left="900"/>
        <w:jc w:val="both"/>
        <w:rPr>
          <w:rFonts w:ascii="Arial" w:eastAsia="Times New Roman" w:hAnsi="Arial" w:cs="Arial"/>
          <w:color w:val="C00000"/>
          <w:sz w:val="20"/>
          <w:szCs w:val="20"/>
          <w:shd w:val="clear" w:color="auto" w:fill="FFFFFF"/>
        </w:rPr>
      </w:pPr>
    </w:p>
    <w:bookmarkEnd w:id="8"/>
    <w:p w14:paraId="75B9C75A" w14:textId="2B92CD88" w:rsidR="00A4359A" w:rsidRPr="009852AE" w:rsidRDefault="00A4359A" w:rsidP="00A4359A">
      <w:pPr>
        <w:pStyle w:val="Default"/>
        <w:numPr>
          <w:ilvl w:val="0"/>
          <w:numId w:val="28"/>
        </w:numPr>
        <w:rPr>
          <w:rFonts w:ascii="Arial" w:hAnsi="Arial" w:cs="Arial"/>
          <w:sz w:val="20"/>
          <w:szCs w:val="20"/>
        </w:rPr>
      </w:pPr>
      <w:r w:rsidRPr="000B23AD">
        <w:rPr>
          <w:rFonts w:ascii="Arial" w:hAnsi="Arial" w:cs="Arial"/>
          <w:color w:val="auto"/>
          <w:sz w:val="20"/>
          <w:szCs w:val="20"/>
        </w:rPr>
        <w:lastRenderedPageBreak/>
        <w:t xml:space="preserve">Lori Engiaipi., Saravanabavan, V., &amp; Vinothini, C. (2025). Gender-wise travel pattern and utilization of primary health centers of Karbi Anglong district, Assam. International Journal of Science and Research Archive 14 (03),1320-1330 </w:t>
      </w:r>
      <w:hyperlink r:id="rId14" w:history="1">
        <w:r w:rsidR="009852AE" w:rsidRPr="00B36337">
          <w:rPr>
            <w:rStyle w:val="Hyperlink"/>
            <w:rFonts w:ascii="Arial" w:hAnsi="Arial" w:cs="Arial"/>
            <w:sz w:val="20"/>
            <w:szCs w:val="20"/>
          </w:rPr>
          <w:t>https://doi.org/10.30574/ijsra.2025.14.3.0779</w:t>
        </w:r>
      </w:hyperlink>
    </w:p>
    <w:p w14:paraId="070B7A3A" w14:textId="77777777" w:rsidR="009852AE" w:rsidRPr="00C70DEB" w:rsidRDefault="009852AE" w:rsidP="009852AE">
      <w:pPr>
        <w:pStyle w:val="Default"/>
        <w:rPr>
          <w:rFonts w:ascii="Arial" w:hAnsi="Arial" w:cs="Arial"/>
          <w:sz w:val="20"/>
          <w:szCs w:val="20"/>
        </w:rPr>
      </w:pPr>
    </w:p>
    <w:p w14:paraId="7321B098" w14:textId="4AF1C32F" w:rsidR="00A4359A" w:rsidRPr="002B7546" w:rsidRDefault="00A4359A" w:rsidP="00A4359A">
      <w:pPr>
        <w:pStyle w:val="ListParagraph"/>
        <w:numPr>
          <w:ilvl w:val="0"/>
          <w:numId w:val="28"/>
        </w:numPr>
        <w:jc w:val="both"/>
        <w:rPr>
          <w:rFonts w:ascii="Arial" w:hAnsi="Arial" w:cs="Arial"/>
          <w:sz w:val="20"/>
          <w:szCs w:val="20"/>
          <w:highlight w:val="yellow"/>
        </w:rPr>
      </w:pPr>
      <w:bookmarkStart w:id="9" w:name="_Hlk214795801"/>
      <w:r w:rsidRPr="002B7546">
        <w:rPr>
          <w:rFonts w:ascii="Arial" w:eastAsia="Times New Roman" w:hAnsi="Arial" w:cs="Arial"/>
          <w:sz w:val="20"/>
          <w:szCs w:val="20"/>
          <w:highlight w:val="yellow"/>
          <w:shd w:val="clear" w:color="auto" w:fill="FFFFFF"/>
        </w:rPr>
        <w:t>Lyngdoh,</w:t>
      </w:r>
      <w:bookmarkEnd w:id="9"/>
      <w:r w:rsidRPr="002B7546">
        <w:rPr>
          <w:rFonts w:ascii="Arial" w:eastAsia="Times New Roman" w:hAnsi="Arial" w:cs="Arial"/>
          <w:sz w:val="20"/>
          <w:szCs w:val="20"/>
          <w:highlight w:val="yellow"/>
          <w:shd w:val="clear" w:color="auto" w:fill="FFFFFF"/>
        </w:rPr>
        <w:t xml:space="preserve"> J. P. (2022). Contribution of Traditional Medicine Toward Primary Health Care in Meghalaya. In</w:t>
      </w:r>
      <w:r w:rsidRPr="002B7546">
        <w:rPr>
          <w:rStyle w:val="apple-converted-space"/>
          <w:rFonts w:ascii="Arial" w:eastAsia="Times New Roman" w:hAnsi="Arial" w:cs="Arial"/>
          <w:sz w:val="20"/>
          <w:szCs w:val="20"/>
          <w:highlight w:val="yellow"/>
          <w:shd w:val="clear" w:color="auto" w:fill="FFFFFF"/>
        </w:rPr>
        <w:t> </w:t>
      </w:r>
      <w:r w:rsidRPr="002B7546">
        <w:rPr>
          <w:rFonts w:ascii="Arial" w:eastAsia="Times New Roman" w:hAnsi="Arial" w:cs="Arial"/>
          <w:i/>
          <w:iCs/>
          <w:sz w:val="20"/>
          <w:szCs w:val="20"/>
          <w:highlight w:val="yellow"/>
        </w:rPr>
        <w:t>Narratives and New Voices from India: Cases of Community Development for Social Change</w:t>
      </w:r>
      <w:r w:rsidRPr="002B7546">
        <w:rPr>
          <w:rStyle w:val="apple-converted-space"/>
          <w:rFonts w:ascii="Arial" w:eastAsia="Times New Roman" w:hAnsi="Arial" w:cs="Arial"/>
          <w:sz w:val="20"/>
          <w:szCs w:val="20"/>
          <w:highlight w:val="yellow"/>
          <w:shd w:val="clear" w:color="auto" w:fill="FFFFFF"/>
        </w:rPr>
        <w:t> </w:t>
      </w:r>
      <w:r w:rsidRPr="002B7546">
        <w:rPr>
          <w:rFonts w:ascii="Arial" w:eastAsia="Times New Roman" w:hAnsi="Arial" w:cs="Arial"/>
          <w:sz w:val="20"/>
          <w:szCs w:val="20"/>
          <w:highlight w:val="yellow"/>
          <w:shd w:val="clear" w:color="auto" w:fill="FFFFFF"/>
        </w:rPr>
        <w:t>(pp. 203-214). Singapore: Springer Nature Singapore</w:t>
      </w:r>
      <w:r w:rsidR="009852AE" w:rsidRPr="002B7546">
        <w:rPr>
          <w:rFonts w:ascii="Arial" w:eastAsia="Times New Roman" w:hAnsi="Arial" w:cs="Arial"/>
          <w:sz w:val="20"/>
          <w:szCs w:val="20"/>
          <w:highlight w:val="yellow"/>
          <w:shd w:val="clear" w:color="auto" w:fill="FFFFFF"/>
        </w:rPr>
        <w:t>.</w:t>
      </w:r>
    </w:p>
    <w:p w14:paraId="3780AC61" w14:textId="5E61CF1E" w:rsidR="009852AE" w:rsidRPr="009852AE" w:rsidRDefault="009852AE" w:rsidP="009852AE">
      <w:pPr>
        <w:pStyle w:val="ListParagraph"/>
        <w:ind w:left="900"/>
        <w:jc w:val="both"/>
        <w:rPr>
          <w:rFonts w:ascii="Arial" w:hAnsi="Arial" w:cs="Arial"/>
          <w:sz w:val="20"/>
          <w:szCs w:val="20"/>
        </w:rPr>
      </w:pPr>
      <w:r w:rsidRPr="002B7546">
        <w:rPr>
          <w:rFonts w:ascii="Arial" w:eastAsia="Times New Roman" w:hAnsi="Arial" w:cs="Arial"/>
          <w:sz w:val="18"/>
          <w:szCs w:val="18"/>
          <w:highlight w:val="yellow"/>
        </w:rPr>
        <w:t>https://doi.org/10.1007/978-981-19-2496-5_14</w:t>
      </w:r>
    </w:p>
    <w:p w14:paraId="3F61FBC6" w14:textId="77777777" w:rsidR="009852AE" w:rsidRPr="00C70DEB" w:rsidRDefault="009852AE" w:rsidP="009852AE">
      <w:pPr>
        <w:pStyle w:val="ListParagraph"/>
        <w:ind w:left="900"/>
        <w:jc w:val="both"/>
        <w:rPr>
          <w:rFonts w:ascii="Arial" w:hAnsi="Arial" w:cs="Arial"/>
          <w:sz w:val="20"/>
          <w:szCs w:val="20"/>
        </w:rPr>
      </w:pPr>
    </w:p>
    <w:p w14:paraId="2B540E86" w14:textId="08872F6C" w:rsidR="009852AE" w:rsidRPr="002B7546" w:rsidRDefault="009852AE" w:rsidP="009852AE">
      <w:pPr>
        <w:pStyle w:val="ListParagraph"/>
        <w:numPr>
          <w:ilvl w:val="0"/>
          <w:numId w:val="28"/>
        </w:numPr>
        <w:spacing w:after="0"/>
        <w:rPr>
          <w:rFonts w:ascii="Arial" w:hAnsi="Arial" w:cs="Arial"/>
          <w:color w:val="222222"/>
          <w:sz w:val="20"/>
          <w:szCs w:val="20"/>
          <w:highlight w:val="yellow"/>
          <w:shd w:val="clear" w:color="auto" w:fill="FFFFFF"/>
        </w:rPr>
      </w:pPr>
      <w:r w:rsidRPr="002B7546">
        <w:rPr>
          <w:rFonts w:ascii="Arial" w:hAnsi="Arial" w:cs="Arial"/>
          <w:color w:val="222222"/>
          <w:sz w:val="20"/>
          <w:szCs w:val="20"/>
          <w:highlight w:val="yellow"/>
          <w:shd w:val="clear" w:color="auto" w:fill="FFFFFF"/>
        </w:rPr>
        <w:t xml:space="preserve">Nemcha Mate.T , Saravanabavan, V., &amp; Vinothini, C.(2025) Consumption of Areca Nut and its </w:t>
      </w:r>
    </w:p>
    <w:p w14:paraId="5D206F9C" w14:textId="68EC4410" w:rsidR="009852AE" w:rsidRDefault="009852AE" w:rsidP="009852AE">
      <w:pPr>
        <w:spacing w:after="0"/>
        <w:ind w:left="900"/>
        <w:rPr>
          <w:rFonts w:ascii="Arial" w:eastAsia="Times New Roman" w:hAnsi="Arial" w:cs="Arial"/>
          <w:sz w:val="18"/>
          <w:szCs w:val="18"/>
        </w:rPr>
      </w:pPr>
      <w:r w:rsidRPr="002B7546">
        <w:rPr>
          <w:rFonts w:ascii="Arial" w:hAnsi="Arial" w:cs="Arial"/>
          <w:color w:val="222222"/>
          <w:sz w:val="20"/>
          <w:szCs w:val="20"/>
          <w:highlight w:val="yellow"/>
          <w:shd w:val="clear" w:color="auto" w:fill="FFFFFF"/>
        </w:rPr>
        <w:t xml:space="preserve">Socioeconomic and Health Impacts in Shillong, Meghalaya- Geographical Analysis. </w:t>
      </w:r>
      <w:r w:rsidRPr="002B7546">
        <w:rPr>
          <w:rFonts w:ascii="Arial" w:eastAsia="Times New Roman" w:hAnsi="Arial" w:cs="Arial"/>
          <w:sz w:val="18"/>
          <w:szCs w:val="18"/>
          <w:highlight w:val="yellow"/>
        </w:rPr>
        <w:t>International Journal of Research Publication and Reviews 6 (11), 899-909 https://doi.org/10.55248/gengpi.06.1125.3842</w:t>
      </w:r>
    </w:p>
    <w:p w14:paraId="39AE91E8" w14:textId="77777777" w:rsidR="009852AE" w:rsidRPr="00C70DEB" w:rsidRDefault="009852AE" w:rsidP="009852AE">
      <w:pPr>
        <w:pStyle w:val="ListParagraph"/>
        <w:ind w:left="900"/>
        <w:rPr>
          <w:rFonts w:ascii="Arial" w:hAnsi="Arial" w:cs="Arial"/>
          <w:sz w:val="20"/>
          <w:szCs w:val="20"/>
        </w:rPr>
      </w:pPr>
    </w:p>
    <w:p w14:paraId="56FEAA8A" w14:textId="77777777" w:rsidR="00A4359A" w:rsidRPr="000F684D" w:rsidRDefault="00A4359A" w:rsidP="00A4359A">
      <w:pPr>
        <w:pStyle w:val="ListParagraph"/>
        <w:numPr>
          <w:ilvl w:val="0"/>
          <w:numId w:val="28"/>
        </w:numPr>
        <w:spacing w:after="0"/>
        <w:jc w:val="both"/>
        <w:rPr>
          <w:rStyle w:val="anchor-text"/>
          <w:rFonts w:ascii="Arial" w:eastAsia="Times New Roman" w:hAnsi="Arial" w:cs="Arial"/>
          <w:sz w:val="20"/>
          <w:szCs w:val="20"/>
          <w:shd w:val="clear" w:color="auto" w:fill="FFFFFF"/>
        </w:rPr>
      </w:pPr>
      <w:bookmarkStart w:id="10" w:name="_Hlk214795178"/>
      <w:r w:rsidRPr="00C70DEB">
        <w:rPr>
          <w:rFonts w:ascii="Arial" w:eastAsia="Times New Roman" w:hAnsi="Arial" w:cs="Arial"/>
          <w:sz w:val="20"/>
          <w:szCs w:val="20"/>
          <w:shd w:val="clear" w:color="auto" w:fill="FFFFFF"/>
        </w:rPr>
        <w:t>Mendoza-Gómez, R., &amp;Ríos-Mercado, R</w:t>
      </w:r>
      <w:bookmarkEnd w:id="10"/>
      <w:r w:rsidRPr="00C70DEB">
        <w:rPr>
          <w:rFonts w:ascii="Arial" w:eastAsia="Times New Roman" w:hAnsi="Arial" w:cs="Arial"/>
          <w:sz w:val="20"/>
          <w:szCs w:val="20"/>
          <w:shd w:val="clear" w:color="auto" w:fill="FFFFFF"/>
        </w:rPr>
        <w:t>. Z. (2022). Location of primary health care centers for demand coverage of complementary services.</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Computers &amp; Industrial Engineering</w:t>
      </w:r>
      <w:r w:rsidRPr="00C70DEB">
        <w:rPr>
          <w:rFonts w:ascii="Arial" w:eastAsia="Times New Roman" w:hAnsi="Arial" w:cs="Arial"/>
          <w:color w:val="C00000"/>
          <w:sz w:val="20"/>
          <w:szCs w:val="20"/>
          <w:shd w:val="clear" w:color="auto" w:fill="FFFFFF"/>
        </w:rPr>
        <w:t>,</w:t>
      </w:r>
      <w:r w:rsidRPr="00C70DEB">
        <w:rPr>
          <w:rStyle w:val="apple-converted-space"/>
          <w:rFonts w:ascii="Arial" w:eastAsia="Times New Roman" w:hAnsi="Arial" w:cs="Arial"/>
          <w:color w:val="C00000"/>
          <w:sz w:val="20"/>
          <w:szCs w:val="20"/>
          <w:shd w:val="clear" w:color="auto" w:fill="FFFFFF"/>
        </w:rPr>
        <w:t> </w:t>
      </w:r>
      <w:r w:rsidRPr="00C70DEB">
        <w:rPr>
          <w:rFonts w:ascii="Arial" w:eastAsia="Times New Roman" w:hAnsi="Arial" w:cs="Arial"/>
          <w:i/>
          <w:iCs/>
          <w:sz w:val="20"/>
          <w:szCs w:val="20"/>
        </w:rPr>
        <w:t>169</w:t>
      </w:r>
      <w:r w:rsidRPr="00C70DEB">
        <w:rPr>
          <w:rFonts w:ascii="Arial" w:eastAsia="Times New Roman" w:hAnsi="Arial" w:cs="Arial"/>
          <w:sz w:val="20"/>
          <w:szCs w:val="20"/>
          <w:shd w:val="clear" w:color="auto" w:fill="FFFFFF"/>
        </w:rPr>
        <w:t>, 108237.</w:t>
      </w:r>
      <w:r w:rsidRPr="00CC62D8">
        <w:rPr>
          <w:rStyle w:val="anchor-text"/>
          <w:rFonts w:ascii="Arial" w:hAnsi="Arial" w:cs="Arial"/>
          <w:color w:val="0272B1"/>
          <w:sz w:val="21"/>
          <w:szCs w:val="21"/>
        </w:rPr>
        <w:t>https://doi.org/10.1016/j.cie.2022.108237</w:t>
      </w:r>
    </w:p>
    <w:p w14:paraId="6B3A3E75" w14:textId="77777777" w:rsidR="000F684D" w:rsidRPr="00C70DEB" w:rsidRDefault="000F684D" w:rsidP="000F684D">
      <w:pPr>
        <w:pStyle w:val="ListParagraph"/>
        <w:spacing w:after="0"/>
        <w:ind w:left="900"/>
        <w:jc w:val="both"/>
        <w:rPr>
          <w:rFonts w:ascii="Arial" w:eastAsia="Times New Roman" w:hAnsi="Arial" w:cs="Arial"/>
          <w:sz w:val="20"/>
          <w:szCs w:val="20"/>
          <w:shd w:val="clear" w:color="auto" w:fill="FFFFFF"/>
        </w:rPr>
      </w:pPr>
    </w:p>
    <w:p w14:paraId="02E143FB" w14:textId="7777777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Radhakrishnan, R., &amp; Vaithialingam, S. (2023). Exploring the Suitability of Groundwater for Domestic Water Quality and Irrigation Purpose in Dindigul District, Tamil Nadu. In </w:t>
      </w:r>
      <w:r w:rsidRPr="00C70DEB">
        <w:rPr>
          <w:rFonts w:ascii="Arial" w:hAnsi="Arial" w:cs="Arial"/>
          <w:i/>
          <w:iCs/>
          <w:sz w:val="20"/>
          <w:szCs w:val="20"/>
        </w:rPr>
        <w:t>Surface and groundwater resources development and management in semi-arid region: strategies and solutions for sustainable water management</w:t>
      </w:r>
      <w:r w:rsidRPr="00C70DEB">
        <w:rPr>
          <w:rFonts w:ascii="Arial" w:hAnsi="Arial" w:cs="Arial"/>
          <w:sz w:val="20"/>
          <w:szCs w:val="20"/>
        </w:rPr>
        <w:t> (pp. 253-277). Cham: Springer International Publishing.</w:t>
      </w:r>
      <w:r w:rsidRPr="00CC62D8">
        <w:rPr>
          <w:rFonts w:ascii="Arial" w:hAnsi="Arial" w:cs="Arial"/>
          <w:sz w:val="20"/>
          <w:szCs w:val="20"/>
          <w:shd w:val="clear" w:color="auto" w:fill="FFFFFF"/>
        </w:rPr>
        <w:t>https://doi.org/10.1007/978-3-031-29394-8_14</w:t>
      </w:r>
    </w:p>
    <w:p w14:paraId="56CB01E5" w14:textId="77777777" w:rsidR="000F684D" w:rsidRPr="000F684D" w:rsidRDefault="000F684D" w:rsidP="000F684D">
      <w:pPr>
        <w:pStyle w:val="ListParagraph"/>
        <w:rPr>
          <w:rFonts w:ascii="Arial" w:hAnsi="Arial" w:cs="Arial"/>
          <w:sz w:val="20"/>
          <w:szCs w:val="20"/>
        </w:rPr>
      </w:pPr>
    </w:p>
    <w:p w14:paraId="16F9B17A" w14:textId="77777777" w:rsidR="00A4359A" w:rsidRPr="000F684D" w:rsidRDefault="00A4359A" w:rsidP="00A4359A">
      <w:pPr>
        <w:pStyle w:val="ListParagraph"/>
        <w:numPr>
          <w:ilvl w:val="0"/>
          <w:numId w:val="28"/>
        </w:numPr>
        <w:spacing w:after="0" w:line="240" w:lineRule="auto"/>
        <w:rPr>
          <w:rFonts w:ascii="Arial" w:hAnsi="Arial" w:cs="Arial"/>
          <w:bCs/>
          <w:sz w:val="20"/>
          <w:szCs w:val="20"/>
        </w:rPr>
      </w:pPr>
      <w:r w:rsidRPr="00C70DEB">
        <w:rPr>
          <w:rFonts w:ascii="Arial" w:hAnsi="Arial" w:cs="Arial"/>
          <w:bCs/>
          <w:sz w:val="20"/>
          <w:szCs w:val="20"/>
        </w:rPr>
        <w:t>Ramphila  A. Shatsang,V. Saravanabavan, C.Vinothini (2025)Health and Socio – Economic Analysis of Adolescent Drug Abuse in Ukhrul District, Manipur.International Journal of Research Publication and Reviews, Vol6.Issue 10, pp 2479-2488.</w:t>
      </w:r>
      <w:r w:rsidRPr="00CC62D8">
        <w:t>https://doi.org/10.55248/gengpi.6.1025.3641</w:t>
      </w:r>
    </w:p>
    <w:p w14:paraId="7F5077CE" w14:textId="77777777" w:rsidR="000F684D" w:rsidRPr="00C70DEB" w:rsidRDefault="000F684D" w:rsidP="000F684D">
      <w:pPr>
        <w:pStyle w:val="ListParagraph"/>
        <w:spacing w:after="0" w:line="240" w:lineRule="auto"/>
        <w:ind w:left="900"/>
        <w:rPr>
          <w:rFonts w:ascii="Arial" w:hAnsi="Arial" w:cs="Arial"/>
          <w:bCs/>
          <w:sz w:val="20"/>
          <w:szCs w:val="20"/>
        </w:rPr>
      </w:pPr>
    </w:p>
    <w:p w14:paraId="041A5F22" w14:textId="77777777" w:rsidR="00A4359A" w:rsidRDefault="00A4359A" w:rsidP="00A4359A">
      <w:pPr>
        <w:pStyle w:val="ListParagraph"/>
        <w:numPr>
          <w:ilvl w:val="0"/>
          <w:numId w:val="28"/>
        </w:numPr>
        <w:jc w:val="both"/>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t>Ryskina, K. L., Shultz, K., Zhou, Y., Lautenbach, G., &amp; Brown, R. T. (2021). Older adults' access to primary care: gender, racial, and ethnic disparities in telemedicine.</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Journal of the American Geriatrics Society</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69</w:t>
      </w:r>
      <w:r w:rsidRPr="00C70DEB">
        <w:rPr>
          <w:rFonts w:ascii="Arial" w:eastAsia="Times New Roman" w:hAnsi="Arial" w:cs="Arial"/>
          <w:sz w:val="20"/>
          <w:szCs w:val="20"/>
          <w:shd w:val="clear" w:color="auto" w:fill="FFFFFF"/>
        </w:rPr>
        <w:t>(10), 2732-2740.</w:t>
      </w:r>
      <w:r w:rsidRPr="00CC62D8">
        <w:rPr>
          <w:rFonts w:ascii="Arial" w:eastAsia="Times New Roman" w:hAnsi="Arial" w:cs="Arial"/>
          <w:sz w:val="20"/>
          <w:szCs w:val="20"/>
          <w:shd w:val="clear" w:color="auto" w:fill="FFFFFF"/>
        </w:rPr>
        <w:t>https://doi.org/10.1111/jgs.17354</w:t>
      </w:r>
    </w:p>
    <w:p w14:paraId="20DF28E3" w14:textId="77777777" w:rsidR="000F684D" w:rsidRPr="00C70DEB" w:rsidRDefault="000F684D" w:rsidP="000F684D">
      <w:pPr>
        <w:pStyle w:val="ListParagraph"/>
        <w:ind w:left="900"/>
        <w:jc w:val="both"/>
        <w:rPr>
          <w:rFonts w:ascii="Arial" w:eastAsia="Times New Roman" w:hAnsi="Arial" w:cs="Arial"/>
          <w:sz w:val="20"/>
          <w:szCs w:val="20"/>
          <w:shd w:val="clear" w:color="auto" w:fill="FFFFFF"/>
        </w:rPr>
      </w:pPr>
    </w:p>
    <w:p w14:paraId="02C03C40" w14:textId="47F6DCFF" w:rsidR="00A4359A" w:rsidRPr="002B7546" w:rsidRDefault="00A4359A" w:rsidP="00A4359A">
      <w:pPr>
        <w:pStyle w:val="ListParagraph"/>
        <w:numPr>
          <w:ilvl w:val="0"/>
          <w:numId w:val="28"/>
        </w:numPr>
        <w:spacing w:after="0" w:line="240" w:lineRule="auto"/>
        <w:rPr>
          <w:highlight w:val="yellow"/>
        </w:rPr>
      </w:pPr>
      <w:r w:rsidRPr="002B7546">
        <w:rPr>
          <w:rFonts w:ascii="Arial" w:hAnsi="Arial" w:cs="Arial"/>
          <w:color w:val="222222"/>
          <w:sz w:val="20"/>
          <w:szCs w:val="20"/>
          <w:highlight w:val="yellow"/>
          <w:shd w:val="clear" w:color="auto" w:fill="FFFFFF"/>
        </w:rPr>
        <w:t>Saravanabavan, V. (1996). Bicycles and health-a geo medical study of Madurai city. In </w:t>
      </w:r>
      <w:r w:rsidRPr="002B7546">
        <w:rPr>
          <w:rFonts w:ascii="Arial" w:hAnsi="Arial" w:cs="Arial"/>
          <w:i/>
          <w:iCs/>
          <w:color w:val="222222"/>
          <w:sz w:val="20"/>
          <w:szCs w:val="20"/>
          <w:highlight w:val="yellow"/>
          <w:shd w:val="clear" w:color="auto" w:fill="FFFFFF"/>
        </w:rPr>
        <w:t>Velo Australis and Velo-City'96, International Bicycle Conference, 1996, Fremantle, Western Australia</w:t>
      </w:r>
      <w:r w:rsidRPr="002B7546">
        <w:rPr>
          <w:rFonts w:ascii="Arial" w:hAnsi="Arial" w:cs="Arial"/>
          <w:color w:val="222222"/>
          <w:sz w:val="20"/>
          <w:szCs w:val="20"/>
          <w:highlight w:val="yellow"/>
          <w:shd w:val="clear" w:color="auto" w:fill="FFFFFF"/>
        </w:rPr>
        <w:t>.</w:t>
      </w:r>
      <w:r w:rsidR="000F684D" w:rsidRPr="002B7546">
        <w:rPr>
          <w:rFonts w:ascii="Arial" w:hAnsi="Arial" w:cs="Arial"/>
          <w:color w:val="222222"/>
          <w:sz w:val="20"/>
          <w:szCs w:val="20"/>
          <w:highlight w:val="yellow"/>
          <w:shd w:val="clear" w:color="auto" w:fill="FFFFFF"/>
        </w:rPr>
        <w:t xml:space="preserve"> </w:t>
      </w:r>
      <w:hyperlink r:id="rId15" w:history="1">
        <w:r w:rsidR="000F684D" w:rsidRPr="002B7546">
          <w:rPr>
            <w:rStyle w:val="Hyperlink"/>
            <w:rFonts w:ascii="Arial" w:hAnsi="Arial" w:cs="Arial"/>
            <w:sz w:val="21"/>
            <w:szCs w:val="21"/>
            <w:highlight w:val="yellow"/>
            <w:shd w:val="clear" w:color="auto" w:fill="FFFFFF"/>
          </w:rPr>
          <w:t>http://worldcat.org/isbn/1863080554</w:t>
        </w:r>
      </w:hyperlink>
    </w:p>
    <w:p w14:paraId="194846F1" w14:textId="77777777" w:rsidR="000F684D" w:rsidRDefault="000F684D" w:rsidP="000F684D">
      <w:pPr>
        <w:pStyle w:val="ListParagraph"/>
        <w:spacing w:after="0" w:line="240" w:lineRule="auto"/>
        <w:ind w:left="900"/>
      </w:pPr>
    </w:p>
    <w:p w14:paraId="23D40CC3" w14:textId="5BC80CB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Nongspung, C., Vinothini, C., &amp; Vadivel, S. (2025). Healthcare Accessibility in East Khasi Hills, Meghalaya, India: Age, Gender, and Socioeconomic Barriers to Primary Health Centre Access. </w:t>
      </w:r>
      <w:r w:rsidRPr="00C70DEB">
        <w:rPr>
          <w:rFonts w:ascii="Arial" w:hAnsi="Arial" w:cs="Arial"/>
          <w:i/>
          <w:iCs/>
          <w:sz w:val="20"/>
          <w:szCs w:val="20"/>
        </w:rPr>
        <w:t>Asian Journal of Geographical Research</w:t>
      </w:r>
      <w:r w:rsidRPr="00C70DEB">
        <w:rPr>
          <w:rFonts w:ascii="Arial" w:hAnsi="Arial" w:cs="Arial"/>
          <w:sz w:val="20"/>
          <w:szCs w:val="20"/>
        </w:rPr>
        <w:t>, </w:t>
      </w:r>
      <w:r w:rsidRPr="00C70DEB">
        <w:rPr>
          <w:rFonts w:ascii="Arial" w:hAnsi="Arial" w:cs="Arial"/>
          <w:i/>
          <w:iCs/>
          <w:sz w:val="20"/>
          <w:szCs w:val="20"/>
        </w:rPr>
        <w:t>8</w:t>
      </w:r>
      <w:r w:rsidRPr="00C70DEB">
        <w:rPr>
          <w:rFonts w:ascii="Arial" w:hAnsi="Arial" w:cs="Arial"/>
          <w:sz w:val="20"/>
          <w:szCs w:val="20"/>
        </w:rPr>
        <w:t xml:space="preserve">(3), 488-505.DOI: </w:t>
      </w:r>
      <w:hyperlink r:id="rId16" w:history="1">
        <w:r w:rsidR="000F684D" w:rsidRPr="00B36337">
          <w:rPr>
            <w:rStyle w:val="Hyperlink"/>
          </w:rPr>
          <w:t>https://doi.org/10.9734/ajgr/2025/v8i3313</w:t>
        </w:r>
      </w:hyperlink>
    </w:p>
    <w:p w14:paraId="249CBD72" w14:textId="77777777" w:rsidR="000F684D" w:rsidRPr="000F684D" w:rsidRDefault="000F684D" w:rsidP="000F684D">
      <w:pPr>
        <w:pStyle w:val="ListParagraph"/>
        <w:rPr>
          <w:rFonts w:ascii="Arial" w:hAnsi="Arial" w:cs="Arial"/>
          <w:sz w:val="20"/>
          <w:szCs w:val="20"/>
        </w:rPr>
      </w:pPr>
    </w:p>
    <w:p w14:paraId="2BD5F077" w14:textId="77777777" w:rsidR="000F684D" w:rsidRPr="00C70DEB" w:rsidRDefault="000F684D" w:rsidP="000F684D">
      <w:pPr>
        <w:pStyle w:val="ListParagraph"/>
        <w:spacing w:after="0"/>
        <w:ind w:left="900"/>
        <w:rPr>
          <w:rFonts w:ascii="Arial" w:hAnsi="Arial" w:cs="Arial"/>
          <w:sz w:val="20"/>
          <w:szCs w:val="20"/>
        </w:rPr>
      </w:pPr>
    </w:p>
    <w:p w14:paraId="18FA6073" w14:textId="7777777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Vinothini, C., Suja Rose, R. S., &amp; Balaji, D. (2025a). A Geo-Chemical Study of Water Pollution Due to the Tanning Industry: A Case Study of Dindigul District, Tamilnadu, India. In </w:t>
      </w:r>
      <w:r w:rsidRPr="00C70DEB">
        <w:rPr>
          <w:rFonts w:ascii="Arial" w:hAnsi="Arial" w:cs="Arial"/>
          <w:i/>
          <w:iCs/>
          <w:sz w:val="20"/>
          <w:szCs w:val="20"/>
        </w:rPr>
        <w:t>Groundwater Resource Management Planning Strategies: A Geospatial Approach: Volume 1</w:t>
      </w:r>
      <w:r w:rsidRPr="00C70DEB">
        <w:rPr>
          <w:rFonts w:ascii="Arial" w:hAnsi="Arial" w:cs="Arial"/>
          <w:sz w:val="20"/>
          <w:szCs w:val="20"/>
        </w:rPr>
        <w:t> (pp. 651-683). Cham: Springer Nature Switzerland.</w:t>
      </w:r>
      <w:r w:rsidRPr="00CC62D8">
        <w:rPr>
          <w:rFonts w:ascii="Arial" w:hAnsi="Arial" w:cs="Arial"/>
          <w:sz w:val="20"/>
          <w:szCs w:val="20"/>
          <w:shd w:val="clear" w:color="auto" w:fill="FFFFFF"/>
        </w:rPr>
        <w:t>https://doi.org/10.1007/978-3-031-88870-0_25</w:t>
      </w:r>
    </w:p>
    <w:p w14:paraId="39333256" w14:textId="77777777" w:rsidR="000F684D" w:rsidRPr="00C70DEB" w:rsidRDefault="000F684D" w:rsidP="000F684D">
      <w:pPr>
        <w:pStyle w:val="ListParagraph"/>
        <w:spacing w:after="0"/>
        <w:ind w:left="900"/>
        <w:rPr>
          <w:rFonts w:ascii="Arial" w:hAnsi="Arial" w:cs="Arial"/>
          <w:sz w:val="20"/>
          <w:szCs w:val="20"/>
        </w:rPr>
      </w:pPr>
    </w:p>
    <w:p w14:paraId="5852CA75" w14:textId="77777777" w:rsidR="00A4359A" w:rsidRDefault="00A4359A" w:rsidP="00A4359A">
      <w:pPr>
        <w:pStyle w:val="ListParagraph"/>
        <w:numPr>
          <w:ilvl w:val="0"/>
          <w:numId w:val="28"/>
        </w:numPr>
        <w:spacing w:after="0"/>
        <w:rPr>
          <w:rFonts w:ascii="Arial" w:hAnsi="Arial" w:cs="Arial"/>
          <w:color w:val="C00000"/>
          <w:sz w:val="20"/>
          <w:szCs w:val="20"/>
        </w:rPr>
      </w:pPr>
      <w:r w:rsidRPr="00C70DEB">
        <w:rPr>
          <w:rFonts w:ascii="Arial" w:hAnsi="Arial" w:cs="Arial"/>
          <w:sz w:val="20"/>
          <w:szCs w:val="20"/>
        </w:rPr>
        <w:lastRenderedPageBreak/>
        <w:t>Saravanabavan, V., Vinothini, C., Vadivel, S., Sanjeevi Prasad, S., Katturajan, K., &amp; Balaji, D. (2025b). Assessing the performance of primary health centres in Meghalaya: An automatic linear modelling. </w:t>
      </w:r>
      <w:r w:rsidRPr="00C70DEB">
        <w:rPr>
          <w:rFonts w:ascii="Arial" w:hAnsi="Arial" w:cs="Arial"/>
          <w:i/>
          <w:iCs/>
          <w:sz w:val="20"/>
          <w:szCs w:val="20"/>
        </w:rPr>
        <w:t>International Journal of Science and Research Archive</w:t>
      </w:r>
      <w:r w:rsidRPr="00C70DEB">
        <w:rPr>
          <w:rFonts w:ascii="Arial" w:hAnsi="Arial" w:cs="Arial"/>
          <w:sz w:val="20"/>
          <w:szCs w:val="20"/>
        </w:rPr>
        <w:t>, </w:t>
      </w:r>
      <w:r w:rsidRPr="00C70DEB">
        <w:rPr>
          <w:rFonts w:ascii="Arial" w:hAnsi="Arial" w:cs="Arial"/>
          <w:i/>
          <w:iCs/>
          <w:sz w:val="20"/>
          <w:szCs w:val="20"/>
        </w:rPr>
        <w:t>16</w:t>
      </w:r>
      <w:r w:rsidRPr="00C70DEB">
        <w:rPr>
          <w:rFonts w:ascii="Arial" w:hAnsi="Arial" w:cs="Arial"/>
          <w:sz w:val="20"/>
          <w:szCs w:val="20"/>
        </w:rPr>
        <w:t>(1), 454-465</w:t>
      </w:r>
      <w:r w:rsidRPr="00CC62D8">
        <w:rPr>
          <w:rFonts w:ascii="Arial" w:hAnsi="Arial" w:cs="Arial"/>
          <w:color w:val="C00000"/>
          <w:sz w:val="20"/>
          <w:szCs w:val="20"/>
        </w:rPr>
        <w:t>https://doi.org/10.30574/ijsra.2025.16.1.2010</w:t>
      </w:r>
    </w:p>
    <w:p w14:paraId="3ADF6635" w14:textId="77777777" w:rsidR="000F684D" w:rsidRPr="000F684D" w:rsidRDefault="000F684D" w:rsidP="000F684D">
      <w:pPr>
        <w:pStyle w:val="ListParagraph"/>
        <w:rPr>
          <w:rFonts w:ascii="Arial" w:hAnsi="Arial" w:cs="Arial"/>
          <w:color w:val="C00000"/>
          <w:sz w:val="20"/>
          <w:szCs w:val="20"/>
        </w:rPr>
      </w:pPr>
    </w:p>
    <w:p w14:paraId="4A265032" w14:textId="77777777" w:rsidR="000F684D" w:rsidRPr="00C70DEB" w:rsidRDefault="000F684D" w:rsidP="000F684D">
      <w:pPr>
        <w:pStyle w:val="ListParagraph"/>
        <w:spacing w:after="0"/>
        <w:ind w:left="900"/>
        <w:rPr>
          <w:rFonts w:ascii="Arial" w:hAnsi="Arial" w:cs="Arial"/>
          <w:color w:val="C00000"/>
          <w:sz w:val="20"/>
          <w:szCs w:val="20"/>
        </w:rPr>
      </w:pPr>
    </w:p>
    <w:p w14:paraId="7B2DCA8F" w14:textId="0F05689F" w:rsidR="00A4359A" w:rsidRPr="002B7546" w:rsidRDefault="00A4359A" w:rsidP="000F684D">
      <w:pPr>
        <w:pStyle w:val="ListParagraph"/>
        <w:numPr>
          <w:ilvl w:val="0"/>
          <w:numId w:val="28"/>
        </w:numPr>
        <w:rPr>
          <w:rFonts w:ascii="Arial" w:hAnsi="Arial" w:cs="Arial"/>
          <w:sz w:val="20"/>
          <w:szCs w:val="20"/>
          <w:highlight w:val="yellow"/>
          <w:shd w:val="clear" w:color="auto" w:fill="FFFFFF"/>
        </w:rPr>
      </w:pPr>
      <w:r w:rsidRPr="002B7546">
        <w:rPr>
          <w:rFonts w:ascii="Arial" w:hAnsi="Arial" w:cs="Arial"/>
          <w:sz w:val="20"/>
          <w:szCs w:val="20"/>
          <w:highlight w:val="yellow"/>
          <w:shd w:val="clear" w:color="auto" w:fill="FFFFFF"/>
        </w:rPr>
        <w:t>Saravanabavan V</w:t>
      </w:r>
      <w:r w:rsidR="000F684D" w:rsidRPr="002B7546">
        <w:rPr>
          <w:rFonts w:ascii="Arial" w:hAnsi="Arial" w:cs="Arial"/>
          <w:sz w:val="20"/>
          <w:szCs w:val="20"/>
          <w:highlight w:val="yellow"/>
          <w:shd w:val="clear" w:color="auto" w:fill="FFFFFF"/>
        </w:rPr>
        <w:t>, K</w:t>
      </w:r>
      <w:r w:rsidR="000F684D" w:rsidRPr="002B7546">
        <w:rPr>
          <w:rFonts w:ascii="Arial" w:hAnsi="Arial" w:cs="Arial"/>
          <w:color w:val="222222"/>
          <w:sz w:val="20"/>
          <w:szCs w:val="20"/>
          <w:highlight w:val="yellow"/>
          <w:shd w:val="clear" w:color="auto" w:fill="FFFFFF"/>
        </w:rPr>
        <w:t>hakchang Debbarma</w:t>
      </w:r>
      <w:r w:rsidRPr="002B7546">
        <w:rPr>
          <w:rFonts w:ascii="Arial" w:hAnsi="Arial" w:cs="Arial"/>
          <w:sz w:val="20"/>
          <w:szCs w:val="20"/>
          <w:highlight w:val="yellow"/>
          <w:shd w:val="clear" w:color="auto" w:fill="FFFFFF"/>
        </w:rPr>
        <w:t>., &amp; Vinothini, C. (2025c). Primary health care access and socio-economic conditions of the patients in Sepahijala District, Tripura. </w:t>
      </w:r>
      <w:r w:rsidRPr="002B7546">
        <w:rPr>
          <w:rFonts w:ascii="Arial" w:hAnsi="Arial" w:cs="Arial"/>
          <w:i/>
          <w:iCs/>
          <w:sz w:val="20"/>
          <w:szCs w:val="20"/>
          <w:highlight w:val="yellow"/>
          <w:shd w:val="clear" w:color="auto" w:fill="FFFFFF"/>
        </w:rPr>
        <w:t>International Journal of Science and Research Archive</w:t>
      </w:r>
      <w:r w:rsidRPr="002B7546">
        <w:rPr>
          <w:rFonts w:ascii="Arial" w:hAnsi="Arial" w:cs="Arial"/>
          <w:sz w:val="20"/>
          <w:szCs w:val="20"/>
          <w:highlight w:val="yellow"/>
          <w:shd w:val="clear" w:color="auto" w:fill="FFFFFF"/>
        </w:rPr>
        <w:t>, </w:t>
      </w:r>
      <w:r w:rsidRPr="002B7546">
        <w:rPr>
          <w:rFonts w:ascii="Arial" w:hAnsi="Arial" w:cs="Arial"/>
          <w:i/>
          <w:iCs/>
          <w:sz w:val="20"/>
          <w:szCs w:val="20"/>
          <w:highlight w:val="yellow"/>
          <w:shd w:val="clear" w:color="auto" w:fill="FFFFFF"/>
        </w:rPr>
        <w:t>6</w:t>
      </w:r>
      <w:r w:rsidRPr="002B7546">
        <w:rPr>
          <w:rFonts w:ascii="Arial" w:hAnsi="Arial" w:cs="Arial"/>
          <w:sz w:val="20"/>
          <w:szCs w:val="20"/>
          <w:highlight w:val="yellow"/>
          <w:shd w:val="clear" w:color="auto" w:fill="FFFFFF"/>
        </w:rPr>
        <w:t>(1), 295-</w:t>
      </w:r>
      <w:r w:rsidR="002B7546">
        <w:rPr>
          <w:rFonts w:ascii="Arial" w:hAnsi="Arial" w:cs="Arial"/>
          <w:sz w:val="20"/>
          <w:szCs w:val="20"/>
          <w:highlight w:val="yellow"/>
          <w:shd w:val="clear" w:color="auto" w:fill="FFFFFF"/>
        </w:rPr>
        <w:t xml:space="preserve">30 </w:t>
      </w:r>
      <w:r w:rsidRPr="002B7546">
        <w:rPr>
          <w:rFonts w:ascii="Arial" w:hAnsi="Arial" w:cs="Arial"/>
          <w:sz w:val="20"/>
          <w:szCs w:val="20"/>
          <w:highlight w:val="yellow"/>
          <w:shd w:val="clear" w:color="auto" w:fill="FFFFFF"/>
        </w:rPr>
        <w:t>.https://doi.org/10.55248/genger.6.1.189</w:t>
      </w:r>
    </w:p>
    <w:p w14:paraId="1D00DEFC" w14:textId="77777777" w:rsidR="000F684D" w:rsidRPr="00C70DEB" w:rsidRDefault="000F684D" w:rsidP="000F684D">
      <w:pPr>
        <w:pStyle w:val="ListParagraph"/>
        <w:ind w:left="900"/>
        <w:rPr>
          <w:rFonts w:ascii="Arial" w:hAnsi="Arial" w:cs="Arial"/>
          <w:sz w:val="20"/>
          <w:szCs w:val="20"/>
          <w:shd w:val="clear" w:color="auto" w:fill="FFFFFF"/>
        </w:rPr>
      </w:pPr>
    </w:p>
    <w:p w14:paraId="26C0CAE9" w14:textId="4960CAB5" w:rsidR="00A4359A" w:rsidRPr="000F684D" w:rsidRDefault="00A4359A" w:rsidP="00A4359A">
      <w:pPr>
        <w:pStyle w:val="ListParagraph"/>
        <w:numPr>
          <w:ilvl w:val="0"/>
          <w:numId w:val="28"/>
        </w:numPr>
        <w:autoSpaceDE w:val="0"/>
        <w:autoSpaceDN w:val="0"/>
        <w:adjustRightInd w:val="0"/>
        <w:spacing w:after="0" w:line="240" w:lineRule="auto"/>
        <w:rPr>
          <w:rFonts w:ascii="Arial" w:hAnsi="Arial" w:cs="Arial"/>
          <w:sz w:val="20"/>
          <w:szCs w:val="20"/>
          <w:bdr w:val="none" w:sz="0" w:space="0" w:color="auto" w:frame="1"/>
          <w:shd w:val="clear" w:color="auto" w:fill="FFFFFF"/>
        </w:rPr>
      </w:pPr>
      <w:r w:rsidRPr="000F684D">
        <w:rPr>
          <w:rFonts w:ascii="Arial" w:hAnsi="Arial" w:cs="Arial"/>
          <w:sz w:val="20"/>
          <w:szCs w:val="20"/>
        </w:rPr>
        <w:t>Saravanabavan, V., Vinothini, C., &amp;SujaRose, R. S. (2024). Transport accessibility and efficiency of PHC location in Kanyakumari district, Tamil Nadu. </w:t>
      </w:r>
      <w:r w:rsidRPr="000F684D">
        <w:rPr>
          <w:rFonts w:ascii="Arial" w:hAnsi="Arial" w:cs="Arial"/>
          <w:i/>
          <w:iCs/>
          <w:sz w:val="20"/>
          <w:szCs w:val="20"/>
        </w:rPr>
        <w:t>International Journal of Science and Research Archive</w:t>
      </w:r>
      <w:r w:rsidRPr="000F684D">
        <w:rPr>
          <w:rFonts w:ascii="Arial" w:hAnsi="Arial" w:cs="Arial"/>
          <w:sz w:val="20"/>
          <w:szCs w:val="20"/>
        </w:rPr>
        <w:t>, </w:t>
      </w:r>
      <w:r w:rsidRPr="000F684D">
        <w:rPr>
          <w:rFonts w:ascii="Arial" w:hAnsi="Arial" w:cs="Arial"/>
          <w:i/>
          <w:iCs/>
          <w:sz w:val="20"/>
          <w:szCs w:val="20"/>
        </w:rPr>
        <w:t>11</w:t>
      </w:r>
      <w:r w:rsidRPr="000F684D">
        <w:rPr>
          <w:rFonts w:ascii="Arial" w:hAnsi="Arial" w:cs="Arial"/>
          <w:sz w:val="20"/>
          <w:szCs w:val="20"/>
        </w:rPr>
        <w:t>(2), 1342-1351.</w:t>
      </w:r>
      <w:r w:rsidRPr="000F684D">
        <w:t xml:space="preserve"> </w:t>
      </w:r>
      <w:hyperlink r:id="rId17" w:history="1">
        <w:r w:rsidR="000F684D" w:rsidRPr="00B36337">
          <w:rPr>
            <w:rStyle w:val="Hyperlink"/>
          </w:rPr>
          <w:t>https://doi.org/10.30574/ijsra.2024.11.2.0605</w:t>
        </w:r>
      </w:hyperlink>
    </w:p>
    <w:p w14:paraId="214D5D18" w14:textId="77777777" w:rsidR="000F684D" w:rsidRPr="000F684D" w:rsidRDefault="000F684D" w:rsidP="000F684D">
      <w:pPr>
        <w:pStyle w:val="ListParagraph"/>
        <w:rPr>
          <w:rFonts w:ascii="Arial" w:hAnsi="Arial" w:cs="Arial"/>
          <w:sz w:val="20"/>
          <w:szCs w:val="20"/>
          <w:bdr w:val="none" w:sz="0" w:space="0" w:color="auto" w:frame="1"/>
          <w:shd w:val="clear" w:color="auto" w:fill="FFFFFF"/>
        </w:rPr>
      </w:pPr>
    </w:p>
    <w:p w14:paraId="5DDE37DD" w14:textId="77777777" w:rsidR="000F684D" w:rsidRPr="000F684D" w:rsidRDefault="000F684D" w:rsidP="000F684D">
      <w:pPr>
        <w:pStyle w:val="ListParagraph"/>
        <w:autoSpaceDE w:val="0"/>
        <w:autoSpaceDN w:val="0"/>
        <w:adjustRightInd w:val="0"/>
        <w:spacing w:after="0" w:line="240" w:lineRule="auto"/>
        <w:ind w:left="900"/>
        <w:rPr>
          <w:rFonts w:ascii="Arial" w:hAnsi="Arial" w:cs="Arial"/>
          <w:sz w:val="20"/>
          <w:szCs w:val="20"/>
          <w:bdr w:val="none" w:sz="0" w:space="0" w:color="auto" w:frame="1"/>
          <w:shd w:val="clear" w:color="auto" w:fill="FFFFFF"/>
        </w:rPr>
      </w:pPr>
    </w:p>
    <w:p w14:paraId="4D3502F8" w14:textId="72B9AD3A" w:rsidR="00A4359A" w:rsidRPr="000F684D"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Saravanabavan, V., Sangma, N. N., &amp; Vinothini, C. (2024a). Spatial distribution and pattern of location in primary health centers in West Garo Hills District, Meghalaya. </w:t>
      </w:r>
      <w:r w:rsidRPr="00C70DEB">
        <w:rPr>
          <w:rFonts w:ascii="Arial" w:hAnsi="Arial" w:cs="Arial"/>
          <w:i/>
          <w:iCs/>
          <w:sz w:val="20"/>
          <w:szCs w:val="20"/>
        </w:rPr>
        <w:t>International Journal of Research Publication and Reviews</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(11), 694-701.</w:t>
      </w:r>
      <w:r w:rsidRPr="00CC62D8">
        <w:t xml:space="preserve"> </w:t>
      </w:r>
      <w:hyperlink r:id="rId18" w:history="1">
        <w:r w:rsidR="000F684D" w:rsidRPr="00B36337">
          <w:rPr>
            <w:rStyle w:val="Hyperlink"/>
          </w:rPr>
          <w:t>https://doi.org/https://doi.org/10.55248/gengpi.5.1124.3126</w:t>
        </w:r>
      </w:hyperlink>
    </w:p>
    <w:p w14:paraId="699F4B61" w14:textId="77777777" w:rsidR="000F684D" w:rsidRPr="00C70DEB" w:rsidRDefault="000F684D" w:rsidP="000F684D">
      <w:pPr>
        <w:pStyle w:val="ListParagraph"/>
        <w:ind w:left="900"/>
        <w:rPr>
          <w:rFonts w:ascii="Arial" w:hAnsi="Arial" w:cs="Arial"/>
          <w:sz w:val="20"/>
          <w:szCs w:val="20"/>
        </w:rPr>
      </w:pPr>
    </w:p>
    <w:p w14:paraId="05BFB206" w14:textId="19920FA9" w:rsidR="00A4359A" w:rsidRPr="00B8258F" w:rsidRDefault="00A4359A" w:rsidP="00A4359A">
      <w:pPr>
        <w:pStyle w:val="ListParagraph"/>
        <w:numPr>
          <w:ilvl w:val="0"/>
          <w:numId w:val="28"/>
        </w:numPr>
        <w:spacing w:after="0" w:line="240" w:lineRule="auto"/>
        <w:rPr>
          <w:rFonts w:ascii="Arial" w:hAnsi="Arial" w:cs="Arial"/>
          <w:sz w:val="20"/>
          <w:szCs w:val="20"/>
          <w:highlight w:val="yellow"/>
        </w:rPr>
      </w:pPr>
      <w:r w:rsidRPr="00B8258F">
        <w:rPr>
          <w:rFonts w:ascii="Arial" w:hAnsi="Arial" w:cs="Arial"/>
          <w:sz w:val="20"/>
          <w:szCs w:val="20"/>
          <w:highlight w:val="yellow"/>
        </w:rPr>
        <w:t>Saravanabavan, V., Emayavaramban, V., Thangamani, V., Manonmani, I. K., Rose, R. S., Balaji, D., ... &amp; Vinothini, C. (2023). Spatial variation of covid-19 morbidity status and identification of risk zone in Tamil Nadu (India) during first wave. </w:t>
      </w:r>
      <w:r w:rsidRPr="00B8258F">
        <w:rPr>
          <w:rFonts w:ascii="Arial" w:hAnsi="Arial" w:cs="Arial"/>
          <w:i/>
          <w:iCs/>
          <w:sz w:val="20"/>
          <w:szCs w:val="20"/>
          <w:highlight w:val="yellow"/>
        </w:rPr>
        <w:t>GeoJournal</w:t>
      </w:r>
      <w:r w:rsidRPr="00B8258F">
        <w:rPr>
          <w:rFonts w:ascii="Arial" w:hAnsi="Arial" w:cs="Arial"/>
          <w:sz w:val="20"/>
          <w:szCs w:val="20"/>
          <w:highlight w:val="yellow"/>
        </w:rPr>
        <w:t>,</w:t>
      </w:r>
      <w:r w:rsidR="00B8258F">
        <w:rPr>
          <w:rFonts w:ascii="Arial" w:hAnsi="Arial" w:cs="Arial"/>
          <w:sz w:val="20"/>
          <w:szCs w:val="20"/>
          <w:highlight w:val="yellow"/>
        </w:rPr>
        <w:t xml:space="preserve"> Springer</w:t>
      </w:r>
      <w:r w:rsidRPr="00B8258F">
        <w:rPr>
          <w:rFonts w:ascii="Arial" w:hAnsi="Arial" w:cs="Arial"/>
          <w:sz w:val="20"/>
          <w:szCs w:val="20"/>
          <w:highlight w:val="yellow"/>
        </w:rPr>
        <w:t> </w:t>
      </w:r>
      <w:r w:rsidRPr="00B8258F">
        <w:rPr>
          <w:rFonts w:ascii="Arial" w:hAnsi="Arial" w:cs="Arial"/>
          <w:i/>
          <w:iCs/>
          <w:sz w:val="20"/>
          <w:szCs w:val="20"/>
          <w:highlight w:val="yellow"/>
        </w:rPr>
        <w:t>88</w:t>
      </w:r>
      <w:r w:rsidRPr="00B8258F">
        <w:rPr>
          <w:rFonts w:ascii="Arial" w:hAnsi="Arial" w:cs="Arial"/>
          <w:sz w:val="20"/>
          <w:szCs w:val="20"/>
          <w:highlight w:val="yellow"/>
        </w:rPr>
        <w:t>(2), 1341-1354.</w:t>
      </w:r>
      <w:r w:rsidRPr="00B8258F">
        <w:rPr>
          <w:highlight w:val="yellow"/>
        </w:rPr>
        <w:t xml:space="preserve"> </w:t>
      </w:r>
      <w:hyperlink r:id="rId19" w:history="1">
        <w:r w:rsidR="000F684D" w:rsidRPr="00B8258F">
          <w:rPr>
            <w:rStyle w:val="Hyperlink"/>
            <w:highlight w:val="yellow"/>
          </w:rPr>
          <w:t>https://doi.org/10.1007/s10708-022-10680-x</w:t>
        </w:r>
      </w:hyperlink>
    </w:p>
    <w:p w14:paraId="2D62C719" w14:textId="77777777" w:rsidR="000F684D" w:rsidRPr="000F684D" w:rsidRDefault="000F684D" w:rsidP="000F684D">
      <w:pPr>
        <w:pStyle w:val="ListParagraph"/>
        <w:rPr>
          <w:rFonts w:ascii="Arial" w:hAnsi="Arial" w:cs="Arial"/>
          <w:sz w:val="20"/>
          <w:szCs w:val="20"/>
        </w:rPr>
      </w:pPr>
    </w:p>
    <w:p w14:paraId="62C3D393" w14:textId="77777777" w:rsidR="000F684D" w:rsidRPr="00C70DEB" w:rsidRDefault="000F684D" w:rsidP="000F684D">
      <w:pPr>
        <w:pStyle w:val="ListParagraph"/>
        <w:spacing w:after="0" w:line="240" w:lineRule="auto"/>
        <w:ind w:left="900"/>
        <w:rPr>
          <w:rFonts w:ascii="Arial" w:hAnsi="Arial" w:cs="Arial"/>
          <w:sz w:val="20"/>
          <w:szCs w:val="20"/>
        </w:rPr>
      </w:pPr>
    </w:p>
    <w:p w14:paraId="261D4010" w14:textId="57291A94" w:rsidR="00A4359A" w:rsidRPr="000F684D"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Saravanabavan, V., Vinothini, C., &amp; Rose, R. S. (2023a). Spatial distribution of primary health care centre and socio economic conditions of patients in Madurai district. </w:t>
      </w:r>
      <w:r w:rsidRPr="00C70DEB">
        <w:rPr>
          <w:rFonts w:ascii="Arial" w:hAnsi="Arial" w:cs="Arial"/>
          <w:i/>
          <w:iCs/>
          <w:sz w:val="20"/>
          <w:szCs w:val="20"/>
        </w:rPr>
        <w:t>International Journal of Geography, Geology and Environment</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(2), 192-198.</w:t>
      </w:r>
      <w:r w:rsidRPr="00CC62D8">
        <w:t xml:space="preserve"> </w:t>
      </w:r>
      <w:hyperlink r:id="rId20" w:history="1">
        <w:r w:rsidR="000F684D" w:rsidRPr="00B36337">
          <w:rPr>
            <w:rStyle w:val="Hyperlink"/>
          </w:rPr>
          <w:t>https://doi.org/10.22271/27067483.2023.v5.i2b.192</w:t>
        </w:r>
      </w:hyperlink>
    </w:p>
    <w:p w14:paraId="57D851AA" w14:textId="77777777" w:rsidR="000F684D" w:rsidRPr="00C70DEB" w:rsidRDefault="000F684D" w:rsidP="000F684D">
      <w:pPr>
        <w:pStyle w:val="ListParagraph"/>
        <w:ind w:left="900"/>
        <w:rPr>
          <w:rFonts w:ascii="Arial" w:hAnsi="Arial" w:cs="Arial"/>
          <w:sz w:val="20"/>
          <w:szCs w:val="20"/>
        </w:rPr>
      </w:pPr>
    </w:p>
    <w:p w14:paraId="4B2F5BE9" w14:textId="77777777" w:rsidR="00A4359A" w:rsidRPr="000F684D"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Saravanabavan, V., Reshma, C. U., &amp; Preethi, S. (2021). Determinants of reproductive health in working women in Thrissur district, Kerala. </w:t>
      </w:r>
      <w:r w:rsidRPr="00C70DEB">
        <w:rPr>
          <w:rFonts w:ascii="Arial" w:hAnsi="Arial" w:cs="Arial"/>
          <w:i/>
          <w:iCs/>
          <w:sz w:val="20"/>
          <w:szCs w:val="20"/>
        </w:rPr>
        <w:t>GeoJournal</w:t>
      </w:r>
      <w:r w:rsidRPr="00C70DEB">
        <w:rPr>
          <w:rFonts w:ascii="Arial" w:hAnsi="Arial" w:cs="Arial"/>
          <w:sz w:val="20"/>
          <w:szCs w:val="20"/>
        </w:rPr>
        <w:t>, </w:t>
      </w:r>
      <w:r w:rsidRPr="00C70DEB">
        <w:rPr>
          <w:rFonts w:ascii="Arial" w:hAnsi="Arial" w:cs="Arial"/>
          <w:i/>
          <w:iCs/>
          <w:sz w:val="20"/>
          <w:szCs w:val="20"/>
        </w:rPr>
        <w:t>86</w:t>
      </w:r>
      <w:r w:rsidRPr="00C70DEB">
        <w:rPr>
          <w:rFonts w:ascii="Arial" w:hAnsi="Arial" w:cs="Arial"/>
          <w:sz w:val="20"/>
          <w:szCs w:val="20"/>
        </w:rPr>
        <w:t>(1), 239-253.</w:t>
      </w:r>
      <w:r w:rsidRPr="00CC62D8">
        <w:rPr>
          <w:rFonts w:ascii="Arial" w:hAnsi="Arial" w:cs="Arial"/>
          <w:sz w:val="20"/>
          <w:szCs w:val="20"/>
          <w:shd w:val="clear" w:color="auto" w:fill="FFFFFF"/>
        </w:rPr>
        <w:t>https://doi.org/10.1007/s10708-019-10051-z</w:t>
      </w:r>
    </w:p>
    <w:p w14:paraId="58C4BEAC" w14:textId="77777777" w:rsidR="000F684D" w:rsidRPr="000F684D" w:rsidRDefault="000F684D" w:rsidP="000F684D">
      <w:pPr>
        <w:pStyle w:val="ListParagraph"/>
        <w:rPr>
          <w:rFonts w:ascii="Arial" w:hAnsi="Arial" w:cs="Arial"/>
          <w:sz w:val="20"/>
          <w:szCs w:val="20"/>
        </w:rPr>
      </w:pPr>
    </w:p>
    <w:p w14:paraId="596A2971" w14:textId="77777777" w:rsidR="000F684D" w:rsidRPr="00C70DEB" w:rsidRDefault="000F684D" w:rsidP="000F684D">
      <w:pPr>
        <w:pStyle w:val="ListParagraph"/>
        <w:spacing w:after="0"/>
        <w:ind w:left="900"/>
        <w:rPr>
          <w:rFonts w:ascii="Arial" w:hAnsi="Arial" w:cs="Arial"/>
          <w:sz w:val="20"/>
          <w:szCs w:val="20"/>
        </w:rPr>
      </w:pPr>
    </w:p>
    <w:p w14:paraId="72E5D907" w14:textId="77777777" w:rsidR="00A4359A" w:rsidRPr="000F684D" w:rsidRDefault="00A4359A" w:rsidP="00A4359A">
      <w:pPr>
        <w:pStyle w:val="ListParagraph"/>
        <w:numPr>
          <w:ilvl w:val="0"/>
          <w:numId w:val="28"/>
        </w:numPr>
        <w:spacing w:after="0"/>
        <w:rPr>
          <w:rFonts w:ascii="Arial" w:hAnsi="Arial" w:cs="Arial"/>
          <w:color w:val="C00000"/>
          <w:sz w:val="20"/>
          <w:szCs w:val="20"/>
        </w:rPr>
      </w:pPr>
      <w:r w:rsidRPr="00C70DEB">
        <w:rPr>
          <w:rFonts w:ascii="Arial" w:hAnsi="Arial" w:cs="Arial"/>
          <w:sz w:val="20"/>
          <w:szCs w:val="20"/>
        </w:rPr>
        <w:t>Saravanabavan, V., Balaji, D., Reshma, C. U., Sheheersha, S. K., Sudharsan, R., Vimala Vinnarasi, J., ... &amp; Balasubramani, K. (2021a). Urban disease ecology and its spatial variation of Chikungunya in Madurai City, Tamilnadu, India: a geo-medical study. </w:t>
      </w:r>
      <w:r w:rsidRPr="00C70DEB">
        <w:rPr>
          <w:rFonts w:ascii="Arial" w:hAnsi="Arial" w:cs="Arial"/>
          <w:i/>
          <w:iCs/>
          <w:sz w:val="20"/>
          <w:szCs w:val="20"/>
        </w:rPr>
        <w:t>GeoJournal</w:t>
      </w:r>
      <w:r w:rsidRPr="00C70DEB">
        <w:rPr>
          <w:rFonts w:ascii="Arial" w:hAnsi="Arial" w:cs="Arial"/>
          <w:sz w:val="20"/>
          <w:szCs w:val="20"/>
        </w:rPr>
        <w:t>, </w:t>
      </w:r>
      <w:r w:rsidRPr="00C70DEB">
        <w:rPr>
          <w:rFonts w:ascii="Arial" w:hAnsi="Arial" w:cs="Arial"/>
          <w:i/>
          <w:iCs/>
          <w:sz w:val="20"/>
          <w:szCs w:val="20"/>
        </w:rPr>
        <w:t>86</w:t>
      </w:r>
      <w:r w:rsidRPr="00C70DEB">
        <w:rPr>
          <w:rFonts w:ascii="Arial" w:hAnsi="Arial" w:cs="Arial"/>
          <w:sz w:val="20"/>
          <w:szCs w:val="20"/>
        </w:rPr>
        <w:t>(5), 2335-2350</w:t>
      </w:r>
      <w:r w:rsidRPr="00CC62D8">
        <w:rPr>
          <w:rFonts w:ascii="Arial" w:hAnsi="Arial" w:cs="Arial"/>
          <w:sz w:val="20"/>
          <w:szCs w:val="20"/>
          <w:shd w:val="clear" w:color="auto" w:fill="FFFFFF"/>
        </w:rPr>
        <w:t>https://doi.org/10.1007/s10708-020-10192-6</w:t>
      </w:r>
    </w:p>
    <w:p w14:paraId="005816BA" w14:textId="77777777" w:rsidR="000F684D" w:rsidRPr="00C70DEB" w:rsidRDefault="000F684D" w:rsidP="000F684D">
      <w:pPr>
        <w:pStyle w:val="ListParagraph"/>
        <w:spacing w:after="0"/>
        <w:ind w:left="900"/>
        <w:rPr>
          <w:rFonts w:ascii="Arial" w:hAnsi="Arial" w:cs="Arial"/>
          <w:color w:val="C00000"/>
          <w:sz w:val="20"/>
          <w:szCs w:val="20"/>
        </w:rPr>
      </w:pPr>
    </w:p>
    <w:p w14:paraId="76C3C425" w14:textId="77777777" w:rsidR="00A4359A" w:rsidRDefault="00A4359A" w:rsidP="00A4359A">
      <w:pPr>
        <w:pStyle w:val="ListParagraph"/>
        <w:numPr>
          <w:ilvl w:val="0"/>
          <w:numId w:val="28"/>
        </w:numPr>
        <w:spacing w:after="0" w:line="240" w:lineRule="auto"/>
        <w:rPr>
          <w:rFonts w:ascii="Arial" w:hAnsi="Arial" w:cs="Arial"/>
          <w:sz w:val="20"/>
          <w:szCs w:val="20"/>
          <w:shd w:val="clear" w:color="auto" w:fill="FFFFFF"/>
        </w:rPr>
      </w:pPr>
      <w:r w:rsidRPr="00C70DEB">
        <w:rPr>
          <w:rFonts w:ascii="Arial" w:hAnsi="Arial" w:cs="Arial"/>
          <w:sz w:val="20"/>
          <w:szCs w:val="20"/>
          <w:shd w:val="clear" w:color="auto" w:fill="FFFFFF"/>
        </w:rPr>
        <w:t>Saravanabavan, V., Balaji, D., &amp; Preethi, S. (2019). Identification of dengue risk zone: A geo-medical study on Madurai city. </w:t>
      </w:r>
      <w:r w:rsidRPr="00C70DEB">
        <w:rPr>
          <w:rFonts w:ascii="Arial" w:hAnsi="Arial" w:cs="Arial"/>
          <w:i/>
          <w:iCs/>
          <w:sz w:val="20"/>
          <w:szCs w:val="20"/>
          <w:shd w:val="clear" w:color="auto" w:fill="FFFFFF"/>
        </w:rPr>
        <w:t>GeoJournal</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84</w:t>
      </w:r>
      <w:r w:rsidRPr="00C70DEB">
        <w:rPr>
          <w:rFonts w:ascii="Arial" w:hAnsi="Arial" w:cs="Arial"/>
          <w:sz w:val="20"/>
          <w:szCs w:val="20"/>
          <w:shd w:val="clear" w:color="auto" w:fill="FFFFFF"/>
        </w:rPr>
        <w:t>(4), 1073-1087.</w:t>
      </w:r>
      <w:r w:rsidRPr="00CC62D8">
        <w:rPr>
          <w:rFonts w:ascii="Arial" w:hAnsi="Arial" w:cs="Arial"/>
          <w:sz w:val="20"/>
          <w:szCs w:val="20"/>
          <w:shd w:val="clear" w:color="auto" w:fill="FFFFFF"/>
        </w:rPr>
        <w:t>https://doi.org/10.1007/s10708-018-9909-9</w:t>
      </w:r>
    </w:p>
    <w:p w14:paraId="72DF37FF" w14:textId="77777777" w:rsidR="000F684D" w:rsidRPr="000F684D" w:rsidRDefault="000F684D" w:rsidP="000F684D">
      <w:pPr>
        <w:pStyle w:val="ListParagraph"/>
        <w:rPr>
          <w:rFonts w:ascii="Arial" w:hAnsi="Arial" w:cs="Arial"/>
          <w:sz w:val="20"/>
          <w:szCs w:val="20"/>
          <w:shd w:val="clear" w:color="auto" w:fill="FFFFFF"/>
        </w:rPr>
      </w:pPr>
    </w:p>
    <w:p w14:paraId="331CCC87" w14:textId="77777777" w:rsidR="000F684D" w:rsidRPr="00C70DEB" w:rsidRDefault="000F684D" w:rsidP="000F684D">
      <w:pPr>
        <w:pStyle w:val="ListParagraph"/>
        <w:spacing w:after="0" w:line="240" w:lineRule="auto"/>
        <w:ind w:left="900"/>
        <w:rPr>
          <w:rFonts w:ascii="Arial" w:hAnsi="Arial" w:cs="Arial"/>
          <w:sz w:val="20"/>
          <w:szCs w:val="20"/>
          <w:shd w:val="clear" w:color="auto" w:fill="FFFFFF"/>
        </w:rPr>
      </w:pPr>
    </w:p>
    <w:p w14:paraId="4F48C124" w14:textId="1C23260E" w:rsidR="00A4359A" w:rsidRPr="00B8258F" w:rsidRDefault="00A4359A" w:rsidP="00A4359A">
      <w:pPr>
        <w:pStyle w:val="ListParagraph"/>
        <w:numPr>
          <w:ilvl w:val="0"/>
          <w:numId w:val="28"/>
        </w:numPr>
        <w:rPr>
          <w:rFonts w:ascii="Arial" w:hAnsi="Arial" w:cs="Arial"/>
          <w:sz w:val="20"/>
          <w:szCs w:val="20"/>
          <w:highlight w:val="yellow"/>
        </w:rPr>
      </w:pPr>
      <w:r w:rsidRPr="00B8258F">
        <w:rPr>
          <w:rFonts w:ascii="Arial" w:hAnsi="Arial" w:cs="Arial"/>
          <w:sz w:val="20"/>
          <w:szCs w:val="20"/>
          <w:highlight w:val="yellow"/>
        </w:rPr>
        <w:t>Saravanabavan, V.,  R. J</w:t>
      </w:r>
      <w:r w:rsidR="004F559B" w:rsidRPr="00B8258F">
        <w:rPr>
          <w:rFonts w:ascii="Arial" w:hAnsi="Arial" w:cs="Arial"/>
          <w:sz w:val="20"/>
          <w:szCs w:val="20"/>
          <w:highlight w:val="yellow"/>
        </w:rPr>
        <w:t xml:space="preserve"> </w:t>
      </w:r>
      <w:r w:rsidR="000F684D" w:rsidRPr="00B8258F">
        <w:rPr>
          <w:rFonts w:ascii="Arial" w:hAnsi="Arial" w:cs="Arial"/>
          <w:sz w:val="20"/>
          <w:szCs w:val="20"/>
          <w:highlight w:val="yellow"/>
        </w:rPr>
        <w:t>Reejo</w:t>
      </w:r>
      <w:r w:rsidRPr="00B8258F">
        <w:rPr>
          <w:rFonts w:ascii="Arial" w:hAnsi="Arial" w:cs="Arial"/>
          <w:sz w:val="20"/>
          <w:szCs w:val="20"/>
          <w:highlight w:val="yellow"/>
        </w:rPr>
        <w:t xml:space="preserve">, </w:t>
      </w:r>
      <w:r w:rsidR="004F559B" w:rsidRPr="00B8258F">
        <w:rPr>
          <w:rFonts w:ascii="Arial" w:hAnsi="Arial" w:cs="Arial"/>
          <w:sz w:val="20"/>
          <w:szCs w:val="20"/>
          <w:highlight w:val="yellow"/>
        </w:rPr>
        <w:t xml:space="preserve">A </w:t>
      </w:r>
      <w:r w:rsidRPr="00B8258F">
        <w:rPr>
          <w:rFonts w:ascii="Arial" w:hAnsi="Arial" w:cs="Arial"/>
          <w:sz w:val="20"/>
          <w:szCs w:val="20"/>
          <w:highlight w:val="yellow"/>
        </w:rPr>
        <w:t>Neethidevi., &amp;</w:t>
      </w:r>
      <w:r w:rsidR="004F559B" w:rsidRPr="00B8258F">
        <w:rPr>
          <w:rFonts w:ascii="Arial" w:hAnsi="Arial" w:cs="Arial"/>
          <w:sz w:val="20"/>
          <w:szCs w:val="20"/>
          <w:highlight w:val="yellow"/>
        </w:rPr>
        <w:t xml:space="preserve"> R</w:t>
      </w:r>
      <w:r w:rsidRPr="00B8258F">
        <w:rPr>
          <w:rFonts w:ascii="Arial" w:hAnsi="Arial" w:cs="Arial"/>
          <w:sz w:val="20"/>
          <w:szCs w:val="20"/>
          <w:highlight w:val="yellow"/>
        </w:rPr>
        <w:t xml:space="preserve"> Jayashree (2006). Travel and health care utilization pattern of patients in Vadippati panchayat union: A micro level study using GIS. </w:t>
      </w:r>
      <w:r w:rsidRPr="00B8258F">
        <w:rPr>
          <w:rFonts w:ascii="Arial" w:hAnsi="Arial" w:cs="Arial"/>
          <w:i/>
          <w:iCs/>
          <w:sz w:val="20"/>
          <w:szCs w:val="20"/>
          <w:highlight w:val="yellow"/>
        </w:rPr>
        <w:t>Journal of Deccan Geographer</w:t>
      </w:r>
      <w:r w:rsidRPr="00B8258F">
        <w:rPr>
          <w:rFonts w:ascii="Arial" w:hAnsi="Arial" w:cs="Arial"/>
          <w:sz w:val="20"/>
          <w:szCs w:val="20"/>
          <w:highlight w:val="yellow"/>
        </w:rPr>
        <w:t>, </w:t>
      </w:r>
      <w:r w:rsidRPr="00B8258F">
        <w:rPr>
          <w:rFonts w:ascii="Arial" w:hAnsi="Arial" w:cs="Arial"/>
          <w:i/>
          <w:iCs/>
          <w:sz w:val="20"/>
          <w:szCs w:val="20"/>
          <w:highlight w:val="yellow"/>
        </w:rPr>
        <w:t>44</w:t>
      </w:r>
      <w:r w:rsidRPr="00B8258F">
        <w:rPr>
          <w:rFonts w:ascii="Arial" w:hAnsi="Arial" w:cs="Arial"/>
          <w:sz w:val="20"/>
          <w:szCs w:val="20"/>
          <w:highlight w:val="yellow"/>
        </w:rPr>
        <w:t>(2), 97-108.</w:t>
      </w:r>
    </w:p>
    <w:p w14:paraId="35266C1A" w14:textId="77777777" w:rsidR="00A4359A" w:rsidRDefault="00A4359A" w:rsidP="00A4359A">
      <w:pPr>
        <w:pStyle w:val="ListParagraph"/>
        <w:numPr>
          <w:ilvl w:val="0"/>
          <w:numId w:val="28"/>
        </w:numPr>
        <w:rPr>
          <w:rFonts w:ascii="Arial" w:eastAsia="Times New Roman" w:hAnsi="Arial" w:cs="Arial"/>
          <w:sz w:val="20"/>
          <w:szCs w:val="20"/>
          <w:shd w:val="clear" w:color="auto" w:fill="FFFFFF"/>
        </w:rPr>
      </w:pPr>
      <w:r w:rsidRPr="00C70DEB">
        <w:rPr>
          <w:rFonts w:ascii="Arial" w:eastAsia="Times New Roman" w:hAnsi="Arial" w:cs="Arial"/>
          <w:sz w:val="20"/>
          <w:szCs w:val="20"/>
          <w:shd w:val="clear" w:color="auto" w:fill="FFFFFF"/>
        </w:rPr>
        <w:lastRenderedPageBreak/>
        <w:t>Sangma, Y. M., &amp;Jeyaraaj, T. R. (2021). A Comparative Study on the Availability of Public Health Care Infrastructure in Garo Hills Region, Meghalaya.</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Ilkogretim Online</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20</w:t>
      </w:r>
      <w:r w:rsidRPr="00C70DEB">
        <w:rPr>
          <w:rFonts w:ascii="Arial" w:eastAsia="Times New Roman" w:hAnsi="Arial" w:cs="Arial"/>
          <w:sz w:val="20"/>
          <w:szCs w:val="20"/>
          <w:shd w:val="clear" w:color="auto" w:fill="FFFFFF"/>
        </w:rPr>
        <w:t>(5).</w:t>
      </w:r>
      <w:r w:rsidRPr="00CC62D8">
        <w:rPr>
          <w:rFonts w:ascii="Arial" w:eastAsia="Times New Roman" w:hAnsi="Arial" w:cs="Arial"/>
          <w:sz w:val="20"/>
          <w:szCs w:val="20"/>
          <w:shd w:val="clear" w:color="auto" w:fill="FFFFFF"/>
        </w:rPr>
        <w:t>https://doi.org/10.17051/ilkonline.2021.05.409</w:t>
      </w:r>
    </w:p>
    <w:p w14:paraId="6477E385" w14:textId="77777777" w:rsidR="000F684D" w:rsidRPr="00C70DEB" w:rsidRDefault="000F684D" w:rsidP="000F684D">
      <w:pPr>
        <w:pStyle w:val="ListParagraph"/>
        <w:ind w:left="900"/>
        <w:rPr>
          <w:rFonts w:ascii="Arial" w:eastAsia="Times New Roman" w:hAnsi="Arial" w:cs="Arial"/>
          <w:sz w:val="20"/>
          <w:szCs w:val="20"/>
          <w:shd w:val="clear" w:color="auto" w:fill="FFFFFF"/>
        </w:rPr>
      </w:pPr>
    </w:p>
    <w:p w14:paraId="1E0DFC1C" w14:textId="77777777" w:rsidR="00A4359A" w:rsidRPr="00C70DEB" w:rsidRDefault="00A4359A" w:rsidP="00A4359A">
      <w:pPr>
        <w:pStyle w:val="ListParagraph"/>
        <w:numPr>
          <w:ilvl w:val="0"/>
          <w:numId w:val="28"/>
        </w:numPr>
        <w:jc w:val="both"/>
        <w:rPr>
          <w:rFonts w:ascii="Arial" w:hAnsi="Arial" w:cs="Arial"/>
          <w:color w:val="C00000"/>
          <w:sz w:val="20"/>
          <w:szCs w:val="20"/>
        </w:rPr>
      </w:pPr>
      <w:bookmarkStart w:id="11" w:name="_Hlk214795416"/>
      <w:r w:rsidRPr="00C70DEB">
        <w:rPr>
          <w:rFonts w:ascii="Arial" w:eastAsia="Times New Roman" w:hAnsi="Arial" w:cs="Arial"/>
          <w:sz w:val="20"/>
          <w:szCs w:val="20"/>
          <w:shd w:val="clear" w:color="auto" w:fill="FFFFFF"/>
        </w:rPr>
        <w:t>Shaltynov</w:t>
      </w:r>
      <w:bookmarkEnd w:id="11"/>
      <w:r w:rsidRPr="00C70DEB">
        <w:rPr>
          <w:rFonts w:ascii="Arial" w:eastAsia="Times New Roman" w:hAnsi="Arial" w:cs="Arial"/>
          <w:sz w:val="20"/>
          <w:szCs w:val="20"/>
          <w:shd w:val="clear" w:color="auto" w:fill="FFFFFF"/>
        </w:rPr>
        <w:t>, A., Rocha, J., Jamedinova, U., &amp;Myssayev, A. (2022). Assessment of primary healthcare accessibility and inequality in north-eastern Kazakhstan.</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Geospatial Health</w:t>
      </w:r>
      <w:r w:rsidRPr="00C70DEB">
        <w:rPr>
          <w:rFonts w:ascii="Arial" w:eastAsia="Times New Roman" w:hAnsi="Arial" w:cs="Arial"/>
          <w:sz w:val="20"/>
          <w:szCs w:val="20"/>
          <w:shd w:val="clear" w:color="auto" w:fill="FFFFFF"/>
        </w:rPr>
        <w:t>,</w:t>
      </w:r>
      <w:r w:rsidRPr="00C70DEB">
        <w:rPr>
          <w:rStyle w:val="apple-converted-space"/>
          <w:rFonts w:ascii="Arial" w:eastAsia="Times New Roman" w:hAnsi="Arial" w:cs="Arial"/>
          <w:sz w:val="20"/>
          <w:szCs w:val="20"/>
          <w:shd w:val="clear" w:color="auto" w:fill="FFFFFF"/>
        </w:rPr>
        <w:t> </w:t>
      </w:r>
      <w:r w:rsidRPr="00C70DEB">
        <w:rPr>
          <w:rFonts w:ascii="Arial" w:eastAsia="Times New Roman" w:hAnsi="Arial" w:cs="Arial"/>
          <w:i/>
          <w:iCs/>
          <w:sz w:val="20"/>
          <w:szCs w:val="20"/>
        </w:rPr>
        <w:t>17</w:t>
      </w:r>
      <w:r w:rsidRPr="00C70DEB">
        <w:rPr>
          <w:rFonts w:ascii="Arial" w:eastAsia="Times New Roman" w:hAnsi="Arial" w:cs="Arial"/>
          <w:sz w:val="20"/>
          <w:szCs w:val="20"/>
          <w:shd w:val="clear" w:color="auto" w:fill="FFFFFF"/>
        </w:rPr>
        <w:t>(1).</w:t>
      </w:r>
      <w:r w:rsidRPr="00CC62D8">
        <w:rPr>
          <w:rFonts w:ascii="Arial" w:eastAsia="Times New Roman" w:hAnsi="Arial" w:cs="Arial"/>
          <w:sz w:val="20"/>
          <w:szCs w:val="20"/>
          <w:shd w:val="clear" w:color="auto" w:fill="FFFFFF"/>
        </w:rPr>
        <w:t>https://doi.org/10.4081/gh.2022.1046</w:t>
      </w:r>
    </w:p>
    <w:p w14:paraId="198D8FC5" w14:textId="77777777" w:rsidR="00A4359A" w:rsidRDefault="00A4359A" w:rsidP="00A4359A">
      <w:pPr>
        <w:pStyle w:val="Default"/>
        <w:numPr>
          <w:ilvl w:val="0"/>
          <w:numId w:val="28"/>
        </w:numPr>
        <w:spacing w:line="276" w:lineRule="auto"/>
        <w:jc w:val="both"/>
        <w:rPr>
          <w:rFonts w:ascii="Arial" w:hAnsi="Arial" w:cs="Arial"/>
          <w:color w:val="auto"/>
          <w:sz w:val="20"/>
          <w:szCs w:val="20"/>
        </w:rPr>
      </w:pPr>
      <w:r w:rsidRPr="000B23AD">
        <w:rPr>
          <w:rFonts w:ascii="Arial" w:hAnsi="Arial" w:cs="Arial"/>
          <w:color w:val="auto"/>
          <w:sz w:val="20"/>
          <w:szCs w:val="20"/>
        </w:rPr>
        <w:t>Sheheersha.S.K., V.Saravanabavan (2021). Geo-Medical Analysis of Telemedicine Based Mobile Tele-Ophthalmology Screening For Cataract Cases in Thiruvananthapuram District, Kerala, India. IOSR Journal of Humanities and Social Science (IOSR-JHSS) Volume 26, Issue 10, Series 7 (October. 2021) 01-07</w:t>
      </w:r>
      <w:r w:rsidRPr="00CC62D8">
        <w:rPr>
          <w:rFonts w:ascii="Arial" w:hAnsi="Arial" w:cs="Arial"/>
          <w:color w:val="auto"/>
          <w:sz w:val="20"/>
          <w:szCs w:val="20"/>
        </w:rPr>
        <w:t>https://doi.org/10.9790/0837-2610070107</w:t>
      </w:r>
    </w:p>
    <w:p w14:paraId="071DD03B" w14:textId="77777777" w:rsidR="004F559B" w:rsidRPr="00C70DEB" w:rsidRDefault="004F559B" w:rsidP="004F559B">
      <w:pPr>
        <w:pStyle w:val="Default"/>
        <w:spacing w:line="276" w:lineRule="auto"/>
        <w:ind w:left="900"/>
        <w:jc w:val="both"/>
        <w:rPr>
          <w:rFonts w:ascii="Arial" w:hAnsi="Arial" w:cs="Arial"/>
          <w:color w:val="auto"/>
          <w:sz w:val="20"/>
          <w:szCs w:val="20"/>
        </w:rPr>
      </w:pPr>
    </w:p>
    <w:p w14:paraId="66D14AFC" w14:textId="77777777" w:rsidR="00A4359A" w:rsidRPr="004F559B" w:rsidRDefault="00A4359A" w:rsidP="00A4359A">
      <w:pPr>
        <w:pStyle w:val="ListParagraph"/>
        <w:numPr>
          <w:ilvl w:val="0"/>
          <w:numId w:val="28"/>
        </w:numPr>
        <w:rPr>
          <w:rFonts w:ascii="Arial" w:hAnsi="Arial" w:cs="Arial"/>
          <w:i/>
          <w:iCs/>
          <w:sz w:val="20"/>
          <w:szCs w:val="20"/>
        </w:rPr>
      </w:pPr>
      <w:r w:rsidRPr="00C70DEB">
        <w:rPr>
          <w:rFonts w:ascii="Arial" w:hAnsi="Arial" w:cs="Arial"/>
          <w:sz w:val="20"/>
          <w:szCs w:val="20"/>
        </w:rPr>
        <w:t>Vinothini, C., &amp; Saravanabavan, V. (2023). Determinants of health care facilities and patients’ accessibility to PHC in Madurai district. </w:t>
      </w:r>
      <w:r w:rsidRPr="00C70DEB">
        <w:rPr>
          <w:rFonts w:ascii="Arial" w:hAnsi="Arial" w:cs="Arial"/>
          <w:i/>
          <w:iCs/>
          <w:sz w:val="20"/>
          <w:szCs w:val="20"/>
        </w:rPr>
        <w:t>International Journal of Geography, Geology, and Environment</w:t>
      </w:r>
      <w:r w:rsidRPr="00C70DEB">
        <w:rPr>
          <w:rFonts w:ascii="Arial" w:hAnsi="Arial" w:cs="Arial"/>
          <w:sz w:val="20"/>
          <w:szCs w:val="20"/>
        </w:rPr>
        <w:t>, </w:t>
      </w:r>
      <w:r w:rsidRPr="00C70DEB">
        <w:rPr>
          <w:rFonts w:ascii="Arial" w:hAnsi="Arial" w:cs="Arial"/>
          <w:i/>
          <w:iCs/>
          <w:sz w:val="20"/>
          <w:szCs w:val="20"/>
        </w:rPr>
        <w:t>5</w:t>
      </w:r>
      <w:r w:rsidRPr="00C70DEB">
        <w:rPr>
          <w:rFonts w:ascii="Arial" w:hAnsi="Arial" w:cs="Arial"/>
          <w:sz w:val="20"/>
          <w:szCs w:val="20"/>
        </w:rPr>
        <w:t>(2), 17-22.</w:t>
      </w:r>
      <w:r w:rsidRPr="00983EED">
        <w:rPr>
          <w:rFonts w:ascii="Arial" w:hAnsi="Arial" w:cs="Arial"/>
          <w:sz w:val="20"/>
          <w:szCs w:val="20"/>
        </w:rPr>
        <w:t>https://www.geojournal.net/upload/2023/july-aug/IJGGE%202023;%205(2):%2017-22.pdf</w:t>
      </w:r>
    </w:p>
    <w:p w14:paraId="43DBE866" w14:textId="77777777" w:rsidR="004F559B" w:rsidRPr="004F559B" w:rsidRDefault="004F559B" w:rsidP="004F559B">
      <w:pPr>
        <w:pStyle w:val="ListParagraph"/>
        <w:rPr>
          <w:rFonts w:ascii="Arial" w:hAnsi="Arial" w:cs="Arial"/>
          <w:i/>
          <w:iCs/>
          <w:sz w:val="20"/>
          <w:szCs w:val="20"/>
        </w:rPr>
      </w:pPr>
    </w:p>
    <w:p w14:paraId="6AD68C94" w14:textId="77777777" w:rsidR="004F559B" w:rsidRPr="00C70DEB" w:rsidRDefault="004F559B" w:rsidP="004F559B">
      <w:pPr>
        <w:pStyle w:val="ListParagraph"/>
        <w:ind w:left="900"/>
        <w:rPr>
          <w:rFonts w:ascii="Arial" w:hAnsi="Arial" w:cs="Arial"/>
          <w:i/>
          <w:iCs/>
          <w:sz w:val="20"/>
          <w:szCs w:val="20"/>
        </w:rPr>
      </w:pPr>
    </w:p>
    <w:p w14:paraId="06369E43" w14:textId="77777777" w:rsidR="00A4359A" w:rsidRPr="004F559B" w:rsidRDefault="00A4359A" w:rsidP="00A4359A">
      <w:pPr>
        <w:pStyle w:val="ListParagraph"/>
        <w:numPr>
          <w:ilvl w:val="0"/>
          <w:numId w:val="28"/>
        </w:numPr>
        <w:rPr>
          <w:rFonts w:ascii="Arial" w:hAnsi="Arial" w:cs="Arial"/>
          <w:i/>
          <w:iCs/>
          <w:sz w:val="20"/>
          <w:szCs w:val="20"/>
        </w:rPr>
      </w:pPr>
      <w:r w:rsidRPr="00C70DEB">
        <w:rPr>
          <w:rFonts w:ascii="Arial" w:hAnsi="Arial" w:cs="Arial"/>
          <w:sz w:val="20"/>
          <w:szCs w:val="20"/>
        </w:rPr>
        <w:t>Vinothini, C., &amp; Saravanabavan, V. (2022). Spatial Distribution of Emerging Diseases in Madurai District: A Geo Medical Study. </w:t>
      </w:r>
      <w:r w:rsidRPr="00C70DEB">
        <w:rPr>
          <w:rFonts w:ascii="Arial" w:hAnsi="Arial" w:cs="Arial"/>
          <w:i/>
          <w:iCs/>
          <w:sz w:val="20"/>
          <w:szCs w:val="20"/>
        </w:rPr>
        <w:t>International Journal of Innovative Science and Research Technology</w:t>
      </w:r>
      <w:r w:rsidRPr="00C70DEB">
        <w:rPr>
          <w:rFonts w:ascii="Arial" w:hAnsi="Arial" w:cs="Arial"/>
          <w:sz w:val="20"/>
          <w:szCs w:val="20"/>
        </w:rPr>
        <w:t>, </w:t>
      </w:r>
      <w:r w:rsidRPr="00C70DEB">
        <w:rPr>
          <w:rFonts w:ascii="Arial" w:hAnsi="Arial" w:cs="Arial"/>
          <w:i/>
          <w:iCs/>
          <w:sz w:val="20"/>
          <w:szCs w:val="20"/>
        </w:rPr>
        <w:t>7</w:t>
      </w:r>
      <w:r w:rsidRPr="00C70DEB">
        <w:rPr>
          <w:rFonts w:ascii="Arial" w:hAnsi="Arial" w:cs="Arial"/>
          <w:sz w:val="20"/>
          <w:szCs w:val="20"/>
        </w:rPr>
        <w:t>(6), 2456-2165.</w:t>
      </w:r>
      <w:r w:rsidRPr="00983EED">
        <w:rPr>
          <w:rFonts w:ascii="Arial" w:hAnsi="Arial" w:cs="Arial"/>
          <w:sz w:val="20"/>
          <w:szCs w:val="20"/>
        </w:rPr>
        <w:t>https://doi.org/10.5281/zenodo.6914305</w:t>
      </w:r>
    </w:p>
    <w:p w14:paraId="0CB17A0D" w14:textId="77777777" w:rsidR="004F559B" w:rsidRPr="00C70DEB" w:rsidRDefault="004F559B" w:rsidP="004F559B">
      <w:pPr>
        <w:pStyle w:val="ListParagraph"/>
        <w:ind w:left="900"/>
        <w:rPr>
          <w:rFonts w:ascii="Arial" w:hAnsi="Arial" w:cs="Arial"/>
          <w:i/>
          <w:iCs/>
          <w:sz w:val="20"/>
          <w:szCs w:val="20"/>
        </w:rPr>
      </w:pPr>
    </w:p>
    <w:p w14:paraId="65DA138E" w14:textId="14E6F140" w:rsidR="00A4359A" w:rsidRPr="00B8258F" w:rsidRDefault="00634A66" w:rsidP="00A4359A">
      <w:pPr>
        <w:pStyle w:val="ListParagraph"/>
        <w:numPr>
          <w:ilvl w:val="0"/>
          <w:numId w:val="28"/>
        </w:numPr>
        <w:rPr>
          <w:rFonts w:ascii="Arial" w:hAnsi="Arial" w:cs="Arial"/>
          <w:sz w:val="20"/>
          <w:szCs w:val="20"/>
        </w:rPr>
      </w:pPr>
      <w:r>
        <w:rPr>
          <w:rFonts w:ascii="Arial" w:eastAsia="Times New Roman" w:hAnsi="Arial" w:cs="Arial"/>
          <w:sz w:val="18"/>
          <w:szCs w:val="18"/>
        </w:rPr>
        <w:t xml:space="preserve">Vinothini, C., Saravanabavan, V., &amp;Suja Rose, R. S. (2025). Travel Behaviour of Child Patients and Health Care Accessibility of PHC in Madurai District,Tamilnadu. International Research Journal of Education and Technology, 7(02). </w:t>
      </w:r>
    </w:p>
    <w:p w14:paraId="2D658749" w14:textId="77777777" w:rsidR="00B8258F" w:rsidRPr="00B8258F" w:rsidRDefault="00B8258F" w:rsidP="00B8258F">
      <w:pPr>
        <w:pStyle w:val="ListParagraph"/>
        <w:rPr>
          <w:rFonts w:ascii="Arial" w:hAnsi="Arial" w:cs="Arial"/>
          <w:sz w:val="20"/>
          <w:szCs w:val="20"/>
        </w:rPr>
      </w:pPr>
    </w:p>
    <w:p w14:paraId="3A61EB23" w14:textId="77777777" w:rsidR="00B8258F" w:rsidRDefault="00B8258F" w:rsidP="00B8258F">
      <w:pPr>
        <w:pStyle w:val="ListParagraph"/>
        <w:numPr>
          <w:ilvl w:val="0"/>
          <w:numId w:val="28"/>
        </w:numPr>
        <w:rPr>
          <w:rFonts w:ascii="Arial" w:eastAsia="Times New Roman" w:hAnsi="Arial" w:cs="Arial"/>
          <w:sz w:val="18"/>
          <w:szCs w:val="18"/>
        </w:rPr>
      </w:pPr>
      <w:r w:rsidRPr="00B8258F">
        <w:rPr>
          <w:rFonts w:ascii="Arial" w:eastAsia="Times New Roman" w:hAnsi="Arial" w:cs="Arial"/>
          <w:sz w:val="18"/>
          <w:szCs w:val="18"/>
        </w:rPr>
        <w:t xml:space="preserve">Vinothini, C., R S Suja Rose, &amp;Saravanabavan, V.(2025a) Non-Communicable Diseases and Socio Economic Disparities: A Case Study of Madurai District. International Research Journal of Education and Technology 8 (9), 50-63      </w:t>
      </w:r>
    </w:p>
    <w:p w14:paraId="598670CF" w14:textId="77777777" w:rsidR="00B8258F" w:rsidRPr="00B8258F" w:rsidRDefault="00B8258F" w:rsidP="00B8258F">
      <w:pPr>
        <w:pStyle w:val="ListParagraph"/>
        <w:rPr>
          <w:rFonts w:ascii="Arial" w:eastAsia="Times New Roman" w:hAnsi="Arial" w:cs="Arial"/>
          <w:sz w:val="18"/>
          <w:szCs w:val="18"/>
        </w:rPr>
      </w:pPr>
    </w:p>
    <w:p w14:paraId="1EBDC1FD" w14:textId="60410B78" w:rsidR="004F559B" w:rsidRPr="00B8258F" w:rsidRDefault="00B8258F" w:rsidP="00B8258F">
      <w:pPr>
        <w:pStyle w:val="ListParagraph"/>
        <w:ind w:left="900"/>
        <w:rPr>
          <w:rFonts w:ascii="Arial" w:eastAsia="Times New Roman" w:hAnsi="Arial" w:cs="Arial"/>
          <w:sz w:val="18"/>
          <w:szCs w:val="18"/>
        </w:rPr>
      </w:pPr>
      <w:r w:rsidRPr="00B8258F">
        <w:rPr>
          <w:rFonts w:ascii="Arial" w:eastAsia="Times New Roman" w:hAnsi="Arial" w:cs="Arial"/>
          <w:sz w:val="18"/>
          <w:szCs w:val="18"/>
        </w:rPr>
        <w:t xml:space="preserve">  </w:t>
      </w:r>
    </w:p>
    <w:p w14:paraId="7A2D2425" w14:textId="17575656" w:rsidR="00A4359A" w:rsidRPr="004F559B" w:rsidRDefault="00A4359A" w:rsidP="00A4359A">
      <w:pPr>
        <w:pStyle w:val="ListParagraph"/>
        <w:numPr>
          <w:ilvl w:val="0"/>
          <w:numId w:val="28"/>
        </w:numPr>
        <w:spacing w:after="0" w:line="240" w:lineRule="auto"/>
        <w:rPr>
          <w:rFonts w:ascii="Arial" w:eastAsia="Times New Roman" w:hAnsi="Arial" w:cs="Arial"/>
          <w:sz w:val="20"/>
          <w:szCs w:val="20"/>
          <w:lang w:eastAsia="en-IN"/>
        </w:rPr>
      </w:pPr>
      <w:r w:rsidRPr="00C70DEB">
        <w:rPr>
          <w:rFonts w:ascii="Arial" w:eastAsia="Times New Roman" w:hAnsi="Arial" w:cs="Arial"/>
          <w:sz w:val="20"/>
          <w:szCs w:val="20"/>
          <w:lang w:eastAsia="en-IN"/>
        </w:rPr>
        <w:t xml:space="preserve">Vinothini C , Suja Rose R.S , Saravanabavan V (2025b </w:t>
      </w:r>
      <w:r w:rsidR="00B8258F">
        <w:rPr>
          <w:rFonts w:ascii="Arial" w:eastAsia="Times New Roman" w:hAnsi="Arial" w:cs="Arial"/>
          <w:sz w:val="20"/>
          <w:szCs w:val="20"/>
          <w:lang w:eastAsia="en-IN"/>
        </w:rPr>
        <w:t xml:space="preserve">) </w:t>
      </w:r>
      <w:hyperlink r:id="rId21" w:history="1">
        <w:r w:rsidRPr="00C70DEB">
          <w:rPr>
            <w:rFonts w:ascii="Arial" w:eastAsia="Times New Roman" w:hAnsi="Arial" w:cs="Arial"/>
            <w:sz w:val="20"/>
            <w:szCs w:val="20"/>
            <w:lang w:eastAsia="en-IN"/>
          </w:rPr>
          <w:t>Disease Prevalence and Socio-Demographic Influences on Healthcare Access in Madurai District, Tamil Nadu</w:t>
        </w:r>
      </w:hyperlink>
      <w:r w:rsidRPr="00C70DEB">
        <w:rPr>
          <w:rFonts w:ascii="Arial" w:eastAsia="Times New Roman" w:hAnsi="Arial" w:cs="Arial"/>
          <w:sz w:val="20"/>
          <w:szCs w:val="20"/>
          <w:lang w:eastAsia="en-IN"/>
        </w:rPr>
        <w:t xml:space="preserve">Goya Journal 18 (10), 227 – 241. </w:t>
      </w:r>
      <w:hyperlink r:id="rId22" w:history="1">
        <w:r w:rsidR="004F559B" w:rsidRPr="00B36337">
          <w:rPr>
            <w:rStyle w:val="Hyperlink"/>
          </w:rPr>
          <w:t>https://doi.org/12.163022.Gj.2025.v18.10.017</w:t>
        </w:r>
      </w:hyperlink>
    </w:p>
    <w:p w14:paraId="0A09E6FC" w14:textId="77777777" w:rsidR="004F559B" w:rsidRPr="00C70DEB" w:rsidRDefault="004F559B" w:rsidP="004F559B">
      <w:pPr>
        <w:pStyle w:val="ListParagraph"/>
        <w:spacing w:after="0" w:line="240" w:lineRule="auto"/>
        <w:ind w:left="900"/>
        <w:rPr>
          <w:rFonts w:ascii="Arial" w:eastAsia="Times New Roman" w:hAnsi="Arial" w:cs="Arial"/>
          <w:sz w:val="20"/>
          <w:szCs w:val="20"/>
          <w:lang w:eastAsia="en-IN"/>
        </w:rPr>
      </w:pPr>
    </w:p>
    <w:p w14:paraId="30D09F6C" w14:textId="77777777" w:rsidR="00A4359A" w:rsidRDefault="00A4359A" w:rsidP="00A4359A">
      <w:pPr>
        <w:pStyle w:val="ListParagraph"/>
        <w:numPr>
          <w:ilvl w:val="0"/>
          <w:numId w:val="28"/>
        </w:numPr>
        <w:spacing w:after="0"/>
        <w:rPr>
          <w:rFonts w:ascii="Arial" w:hAnsi="Arial" w:cs="Arial"/>
          <w:sz w:val="20"/>
          <w:szCs w:val="20"/>
        </w:rPr>
      </w:pPr>
      <w:r w:rsidRPr="00C70DEB">
        <w:rPr>
          <w:rFonts w:ascii="Arial" w:hAnsi="Arial" w:cs="Arial"/>
          <w:sz w:val="20"/>
          <w:szCs w:val="20"/>
        </w:rPr>
        <w:t>Vinothini, C., Rose, R. S., Vadivel, S., &amp; Saravanabavan, V. (2025c). Determinants of primary healthcare centers utilization: A geo-statistical study of healthcare access in Madurai district, Tamil Nadu. International Journal of Science and Research Archive, 2025, 15(02), 1557–1567</w:t>
      </w:r>
      <w:r w:rsidRPr="00983EED">
        <w:rPr>
          <w:rFonts w:ascii="Arial" w:hAnsi="Arial" w:cs="Arial"/>
          <w:sz w:val="20"/>
          <w:szCs w:val="20"/>
        </w:rPr>
        <w:t>https://doi.org/10.30574/ijsra.2025.15.2.1544</w:t>
      </w:r>
    </w:p>
    <w:p w14:paraId="17922432" w14:textId="77777777" w:rsidR="004F559B" w:rsidRPr="004F559B" w:rsidRDefault="004F559B" w:rsidP="004F559B">
      <w:pPr>
        <w:pStyle w:val="ListParagraph"/>
        <w:rPr>
          <w:rFonts w:ascii="Arial" w:hAnsi="Arial" w:cs="Arial"/>
          <w:sz w:val="20"/>
          <w:szCs w:val="20"/>
        </w:rPr>
      </w:pPr>
    </w:p>
    <w:p w14:paraId="203B21F3" w14:textId="77777777" w:rsidR="004F559B" w:rsidRPr="00C70DEB" w:rsidRDefault="004F559B" w:rsidP="004F559B">
      <w:pPr>
        <w:pStyle w:val="ListParagraph"/>
        <w:spacing w:after="0"/>
        <w:ind w:left="900"/>
        <w:rPr>
          <w:rFonts w:ascii="Arial" w:hAnsi="Arial" w:cs="Arial"/>
          <w:sz w:val="20"/>
          <w:szCs w:val="20"/>
        </w:rPr>
      </w:pPr>
    </w:p>
    <w:p w14:paraId="4E80AF00" w14:textId="7785C0A1" w:rsidR="00A4359A" w:rsidRPr="004F559B" w:rsidRDefault="00A4359A" w:rsidP="00A4359A">
      <w:pPr>
        <w:pStyle w:val="ListParagraph"/>
        <w:numPr>
          <w:ilvl w:val="0"/>
          <w:numId w:val="28"/>
        </w:numPr>
        <w:autoSpaceDE w:val="0"/>
        <w:autoSpaceDN w:val="0"/>
        <w:adjustRightInd w:val="0"/>
        <w:spacing w:after="0" w:line="240" w:lineRule="auto"/>
        <w:rPr>
          <w:rFonts w:ascii="Arial" w:hAnsi="Arial" w:cs="Arial"/>
          <w:color w:val="0000FF" w:themeColor="hyperlink"/>
          <w:sz w:val="20"/>
          <w:szCs w:val="20"/>
          <w:u w:val="single"/>
        </w:rPr>
      </w:pPr>
      <w:r w:rsidRPr="00C70DEB">
        <w:rPr>
          <w:rFonts w:ascii="Arial" w:hAnsi="Arial" w:cs="Arial"/>
          <w:sz w:val="20"/>
          <w:szCs w:val="20"/>
        </w:rPr>
        <w:t>Vinothini, C., Suja Rose, R. S., &amp; Saravanabavan, V. (2024). Assessment of primary health care accessibility and patients’ perception in Madurai district: a geo-medical study. </w:t>
      </w:r>
      <w:r w:rsidRPr="00C70DEB">
        <w:rPr>
          <w:rFonts w:ascii="Arial" w:hAnsi="Arial" w:cs="Arial"/>
          <w:i/>
          <w:iCs/>
          <w:sz w:val="20"/>
          <w:szCs w:val="20"/>
        </w:rPr>
        <w:t>Geo Journal</w:t>
      </w:r>
      <w:r w:rsidRPr="00C70DEB">
        <w:rPr>
          <w:rFonts w:ascii="Arial" w:hAnsi="Arial" w:cs="Arial"/>
          <w:sz w:val="20"/>
          <w:szCs w:val="20"/>
        </w:rPr>
        <w:t>,  </w:t>
      </w:r>
      <w:r w:rsidRPr="00C70DEB">
        <w:rPr>
          <w:rFonts w:ascii="Arial" w:hAnsi="Arial" w:cs="Arial"/>
          <w:i/>
          <w:iCs/>
          <w:sz w:val="20"/>
          <w:szCs w:val="20"/>
        </w:rPr>
        <w:t>89</w:t>
      </w:r>
      <w:r w:rsidRPr="00C70DEB">
        <w:rPr>
          <w:rFonts w:ascii="Arial" w:hAnsi="Arial" w:cs="Arial"/>
          <w:sz w:val="20"/>
          <w:szCs w:val="20"/>
        </w:rPr>
        <w:t>(5), 211.</w:t>
      </w:r>
      <w:bookmarkStart w:id="12" w:name="_Hlk183634718"/>
      <w:r w:rsidRPr="00983EED">
        <w:t xml:space="preserve"> </w:t>
      </w:r>
      <w:hyperlink r:id="rId23" w:history="1">
        <w:r w:rsidR="004F559B" w:rsidRPr="00B36337">
          <w:rPr>
            <w:rStyle w:val="Hyperlink"/>
          </w:rPr>
          <w:t>https://doi.org/10.1007/s10708-024-11208-1</w:t>
        </w:r>
      </w:hyperlink>
    </w:p>
    <w:p w14:paraId="6027553F" w14:textId="77777777" w:rsidR="004F559B" w:rsidRPr="00C70DEB" w:rsidRDefault="004F559B" w:rsidP="004F559B">
      <w:pPr>
        <w:pStyle w:val="ListParagraph"/>
        <w:autoSpaceDE w:val="0"/>
        <w:autoSpaceDN w:val="0"/>
        <w:adjustRightInd w:val="0"/>
        <w:spacing w:after="0" w:line="240" w:lineRule="auto"/>
        <w:ind w:left="900"/>
        <w:rPr>
          <w:rFonts w:ascii="Arial" w:hAnsi="Arial" w:cs="Arial"/>
          <w:color w:val="0000FF" w:themeColor="hyperlink"/>
          <w:sz w:val="20"/>
          <w:szCs w:val="20"/>
          <w:u w:val="single"/>
        </w:rPr>
      </w:pPr>
    </w:p>
    <w:bookmarkEnd w:id="12"/>
    <w:p w14:paraId="39C678C1" w14:textId="77777777" w:rsidR="00A4359A" w:rsidRDefault="00A4359A" w:rsidP="00A4359A">
      <w:pPr>
        <w:pStyle w:val="ListParagraph"/>
        <w:numPr>
          <w:ilvl w:val="0"/>
          <w:numId w:val="28"/>
        </w:numPr>
        <w:rPr>
          <w:rFonts w:ascii="Arial" w:hAnsi="Arial" w:cs="Arial"/>
          <w:sz w:val="20"/>
          <w:szCs w:val="20"/>
          <w:shd w:val="clear" w:color="auto" w:fill="FFFFFF"/>
        </w:rPr>
      </w:pPr>
      <w:r w:rsidRPr="00C70DEB">
        <w:rPr>
          <w:rFonts w:ascii="Arial" w:hAnsi="Arial" w:cs="Arial"/>
          <w:sz w:val="20"/>
          <w:szCs w:val="20"/>
          <w:shd w:val="clear" w:color="auto" w:fill="FFFFFF"/>
        </w:rPr>
        <w:t>Vinothini, C., Saravanabavan, V., &amp; Rose, R. S. (2024a). Travel patterns of adult patients to primary health centers in Madurai district: A public health perspective. </w:t>
      </w:r>
      <w:r w:rsidRPr="00C70DEB">
        <w:rPr>
          <w:rFonts w:ascii="Arial" w:hAnsi="Arial" w:cs="Arial"/>
          <w:i/>
          <w:iCs/>
          <w:sz w:val="20"/>
          <w:szCs w:val="20"/>
          <w:shd w:val="clear" w:color="auto" w:fill="FFFFFF"/>
        </w:rPr>
        <w:t>International Journal of Science and Research Archive</w:t>
      </w:r>
      <w:r w:rsidRPr="00C70DEB">
        <w:rPr>
          <w:rFonts w:ascii="Arial" w:hAnsi="Arial" w:cs="Arial"/>
          <w:sz w:val="20"/>
          <w:szCs w:val="20"/>
          <w:shd w:val="clear" w:color="auto" w:fill="FFFFFF"/>
        </w:rPr>
        <w:t>, </w:t>
      </w:r>
      <w:r w:rsidRPr="00C70DEB">
        <w:rPr>
          <w:rFonts w:ascii="Arial" w:hAnsi="Arial" w:cs="Arial"/>
          <w:i/>
          <w:iCs/>
          <w:sz w:val="20"/>
          <w:szCs w:val="20"/>
          <w:shd w:val="clear" w:color="auto" w:fill="FFFFFF"/>
        </w:rPr>
        <w:t>13</w:t>
      </w:r>
      <w:r w:rsidRPr="00C70DEB">
        <w:rPr>
          <w:rFonts w:ascii="Arial" w:hAnsi="Arial" w:cs="Arial"/>
          <w:sz w:val="20"/>
          <w:szCs w:val="20"/>
          <w:shd w:val="clear" w:color="auto" w:fill="FFFFFF"/>
        </w:rPr>
        <w:t>(1), 141-149.</w:t>
      </w:r>
      <w:r w:rsidRPr="00983EED">
        <w:rPr>
          <w:rFonts w:ascii="Arial" w:hAnsi="Arial" w:cs="Arial"/>
          <w:sz w:val="20"/>
          <w:szCs w:val="20"/>
          <w:shd w:val="clear" w:color="auto" w:fill="FFFFFF"/>
        </w:rPr>
        <w:t>https://doi.org/10.30574/ijsra.2024.13.1.1605</w:t>
      </w:r>
    </w:p>
    <w:p w14:paraId="016C7CF0" w14:textId="77777777" w:rsidR="004F559B" w:rsidRPr="004F559B" w:rsidRDefault="004F559B" w:rsidP="004F559B">
      <w:pPr>
        <w:pStyle w:val="ListParagraph"/>
        <w:rPr>
          <w:rFonts w:ascii="Arial" w:hAnsi="Arial" w:cs="Arial"/>
          <w:sz w:val="20"/>
          <w:szCs w:val="20"/>
          <w:shd w:val="clear" w:color="auto" w:fill="FFFFFF"/>
        </w:rPr>
      </w:pPr>
    </w:p>
    <w:p w14:paraId="50AEFD7B" w14:textId="77777777" w:rsidR="004F559B" w:rsidRDefault="004F559B" w:rsidP="004F559B">
      <w:pPr>
        <w:rPr>
          <w:rFonts w:ascii="Arial" w:hAnsi="Arial" w:cs="Arial"/>
          <w:sz w:val="20"/>
          <w:szCs w:val="20"/>
          <w:shd w:val="clear" w:color="auto" w:fill="FFFFFF"/>
        </w:rPr>
      </w:pPr>
    </w:p>
    <w:p w14:paraId="7B961DDF" w14:textId="77777777" w:rsidR="004F559B" w:rsidRDefault="004F559B" w:rsidP="004F559B">
      <w:pPr>
        <w:rPr>
          <w:rFonts w:ascii="Arial" w:hAnsi="Arial" w:cs="Arial"/>
          <w:sz w:val="20"/>
          <w:szCs w:val="20"/>
          <w:shd w:val="clear" w:color="auto" w:fill="FFFFFF"/>
        </w:rPr>
      </w:pPr>
    </w:p>
    <w:p w14:paraId="5B28959C" w14:textId="77777777" w:rsidR="004F559B" w:rsidRDefault="004F559B" w:rsidP="004F559B">
      <w:pPr>
        <w:rPr>
          <w:rFonts w:ascii="Arial" w:hAnsi="Arial" w:cs="Arial"/>
          <w:sz w:val="20"/>
          <w:szCs w:val="20"/>
          <w:shd w:val="clear" w:color="auto" w:fill="FFFFFF"/>
        </w:rPr>
      </w:pPr>
    </w:p>
    <w:p w14:paraId="0D924D72" w14:textId="77777777" w:rsidR="004F559B" w:rsidRDefault="004F559B" w:rsidP="004F559B">
      <w:pPr>
        <w:rPr>
          <w:rFonts w:ascii="Arial" w:hAnsi="Arial" w:cs="Arial"/>
          <w:sz w:val="20"/>
          <w:szCs w:val="20"/>
          <w:shd w:val="clear" w:color="auto" w:fill="FFFFFF"/>
        </w:rPr>
      </w:pPr>
    </w:p>
    <w:p w14:paraId="7CA4CDCD" w14:textId="77777777" w:rsidR="004F559B" w:rsidRDefault="004F559B" w:rsidP="004F559B">
      <w:pPr>
        <w:rPr>
          <w:rFonts w:ascii="Arial" w:hAnsi="Arial" w:cs="Arial"/>
          <w:sz w:val="20"/>
          <w:szCs w:val="20"/>
          <w:shd w:val="clear" w:color="auto" w:fill="FFFFFF"/>
        </w:rPr>
      </w:pPr>
    </w:p>
    <w:p w14:paraId="1290DCED" w14:textId="77777777" w:rsidR="004F559B" w:rsidRPr="004F559B" w:rsidRDefault="004F559B" w:rsidP="004F559B">
      <w:pPr>
        <w:rPr>
          <w:rFonts w:ascii="Arial" w:hAnsi="Arial" w:cs="Arial"/>
          <w:sz w:val="20"/>
          <w:szCs w:val="20"/>
          <w:shd w:val="clear" w:color="auto" w:fill="FFFFFF"/>
        </w:rPr>
      </w:pPr>
    </w:p>
    <w:p w14:paraId="0E135138" w14:textId="1B7D9D42" w:rsidR="00A4359A" w:rsidRDefault="00A4359A" w:rsidP="00A4359A">
      <w:pPr>
        <w:pStyle w:val="ListParagraph"/>
        <w:numPr>
          <w:ilvl w:val="0"/>
          <w:numId w:val="28"/>
        </w:numPr>
        <w:rPr>
          <w:rFonts w:ascii="Arial" w:hAnsi="Arial" w:cs="Arial"/>
          <w:sz w:val="20"/>
          <w:szCs w:val="20"/>
        </w:rPr>
      </w:pPr>
      <w:r w:rsidRPr="00C70DEB">
        <w:rPr>
          <w:rFonts w:ascii="Arial" w:hAnsi="Arial" w:cs="Arial"/>
          <w:sz w:val="20"/>
          <w:szCs w:val="20"/>
        </w:rPr>
        <w:t>Vinothini, C., Saravanabavan, V., &amp;</w:t>
      </w:r>
      <w:r w:rsidR="00EC49D9">
        <w:rPr>
          <w:rFonts w:ascii="Arial" w:hAnsi="Arial" w:cs="Arial"/>
          <w:sz w:val="20"/>
          <w:szCs w:val="20"/>
        </w:rPr>
        <w:t xml:space="preserve"> </w:t>
      </w:r>
      <w:r w:rsidRPr="00C70DEB">
        <w:rPr>
          <w:rFonts w:ascii="Arial" w:hAnsi="Arial" w:cs="Arial"/>
          <w:sz w:val="20"/>
          <w:szCs w:val="20"/>
        </w:rPr>
        <w:t xml:space="preserve">Emayavaramban, V. (2022). Location Accessibility of PHC and Health </w:t>
      </w:r>
      <w:r w:rsidR="00EC49D9">
        <w:rPr>
          <w:rFonts w:ascii="Arial" w:hAnsi="Arial" w:cs="Arial"/>
          <w:sz w:val="20"/>
          <w:szCs w:val="20"/>
        </w:rPr>
        <w:t>Care Travel Performance</w:t>
      </w:r>
      <w:r w:rsidRPr="00C70DEB">
        <w:rPr>
          <w:rFonts w:ascii="Arial" w:hAnsi="Arial" w:cs="Arial"/>
          <w:sz w:val="20"/>
          <w:szCs w:val="20"/>
        </w:rPr>
        <w:t xml:space="preserve"> in Madurai District. </w:t>
      </w:r>
      <w:r w:rsidRPr="00C70DEB">
        <w:rPr>
          <w:rFonts w:ascii="Arial" w:hAnsi="Arial" w:cs="Arial"/>
          <w:i/>
          <w:iCs/>
          <w:sz w:val="20"/>
          <w:szCs w:val="20"/>
        </w:rPr>
        <w:t>International Journal of Innovative Science and Research Technology</w:t>
      </w:r>
      <w:r w:rsidRPr="00C70DEB">
        <w:rPr>
          <w:rFonts w:ascii="Arial" w:hAnsi="Arial" w:cs="Arial"/>
          <w:sz w:val="20"/>
          <w:szCs w:val="20"/>
        </w:rPr>
        <w:t>, </w:t>
      </w:r>
      <w:r w:rsidRPr="00C70DEB">
        <w:rPr>
          <w:rFonts w:ascii="Arial" w:hAnsi="Arial" w:cs="Arial"/>
          <w:i/>
          <w:iCs/>
          <w:sz w:val="20"/>
          <w:szCs w:val="20"/>
        </w:rPr>
        <w:t>7</w:t>
      </w:r>
      <w:r w:rsidRPr="00C70DEB">
        <w:rPr>
          <w:rFonts w:ascii="Arial" w:hAnsi="Arial" w:cs="Arial"/>
          <w:sz w:val="20"/>
          <w:szCs w:val="20"/>
        </w:rPr>
        <w:t>(12), 2456-2165</w:t>
      </w:r>
      <w:r w:rsidRPr="00983EED">
        <w:rPr>
          <w:rFonts w:ascii="Arial" w:hAnsi="Arial" w:cs="Arial"/>
          <w:sz w:val="20"/>
          <w:szCs w:val="20"/>
        </w:rPr>
        <w:t>https://doi.org/10.5281/zenodo.7493591</w:t>
      </w:r>
    </w:p>
    <w:p w14:paraId="4D4D17D5" w14:textId="77777777" w:rsidR="004F559B" w:rsidRPr="00C70DEB" w:rsidRDefault="004F559B" w:rsidP="004F559B">
      <w:pPr>
        <w:pStyle w:val="ListParagraph"/>
        <w:ind w:left="900"/>
        <w:rPr>
          <w:rFonts w:ascii="Arial" w:hAnsi="Arial" w:cs="Arial"/>
          <w:sz w:val="20"/>
          <w:szCs w:val="20"/>
        </w:rPr>
      </w:pPr>
    </w:p>
    <w:p w14:paraId="161F814D" w14:textId="77777777" w:rsidR="00A4359A" w:rsidRPr="00B8258F" w:rsidRDefault="00A4359A" w:rsidP="00A4359A">
      <w:pPr>
        <w:pStyle w:val="ListParagraph"/>
        <w:numPr>
          <w:ilvl w:val="0"/>
          <w:numId w:val="28"/>
        </w:numPr>
        <w:rPr>
          <w:rFonts w:ascii="Helvetica" w:hAnsi="Helvetica"/>
          <w:color w:val="606060"/>
          <w:sz w:val="20"/>
          <w:szCs w:val="20"/>
          <w:highlight w:val="yellow"/>
        </w:rPr>
      </w:pPr>
      <w:r w:rsidRPr="00B8258F">
        <w:rPr>
          <w:rFonts w:ascii="Arial" w:hAnsi="Arial" w:cs="Arial"/>
          <w:sz w:val="20"/>
          <w:szCs w:val="20"/>
          <w:highlight w:val="yellow"/>
        </w:rPr>
        <w:t xml:space="preserve">Yanhua Gong, Dong Ma , Wen Feng (2023), Study on the allocation efficiency of medical and health resources in Hainan Province: Based on the super-efficiency SBM— Malmquist model, </w:t>
      </w:r>
      <w:r w:rsidRPr="00B8258F">
        <w:rPr>
          <w:rFonts w:ascii="Arial" w:hAnsi="Arial" w:cs="Arial"/>
          <w:i/>
          <w:iCs/>
          <w:sz w:val="20"/>
          <w:szCs w:val="20"/>
          <w:highlight w:val="yellow"/>
        </w:rPr>
        <w:t xml:space="preserve">School of Management, Hainan Medical University, Haikou City, Hainan Province, China , April 11 2023. </w:t>
      </w:r>
      <w:r w:rsidRPr="00B8258F">
        <w:rPr>
          <w:highlight w:val="yellow"/>
        </w:rPr>
        <w:t>https://doi.org/10.1371/journal.pone.0294774</w:t>
      </w:r>
    </w:p>
    <w:p w14:paraId="51B0240A" w14:textId="77777777" w:rsidR="00A4359A" w:rsidRPr="00F4693B" w:rsidRDefault="00A4359A" w:rsidP="00A4359A">
      <w:pPr>
        <w:spacing w:after="160" w:line="259" w:lineRule="auto"/>
        <w:rPr>
          <w:rFonts w:ascii="Arial" w:hAnsi="Arial" w:cs="Arial"/>
          <w:i/>
          <w:iCs/>
          <w:sz w:val="20"/>
          <w:szCs w:val="20"/>
        </w:rPr>
      </w:pPr>
    </w:p>
    <w:p w14:paraId="6D636EE5" w14:textId="77777777" w:rsidR="00A4359A" w:rsidRDefault="00A4359A" w:rsidP="00A4359A">
      <w:pPr>
        <w:shd w:val="clear" w:color="auto" w:fill="FFFFFF"/>
        <w:spacing w:before="100" w:beforeAutospacing="1" w:after="100" w:afterAutospacing="1" w:line="240" w:lineRule="auto"/>
        <w:ind w:left="720"/>
        <w:rPr>
          <w:rFonts w:ascii="Helvetica" w:hAnsi="Helvetica"/>
          <w:color w:val="606060"/>
          <w:sz w:val="20"/>
          <w:szCs w:val="20"/>
        </w:rPr>
      </w:pPr>
    </w:p>
    <w:p w14:paraId="1AA22A2D" w14:textId="77777777" w:rsidR="000F006B" w:rsidRDefault="000F006B" w:rsidP="000F006B">
      <w:pPr>
        <w:shd w:val="clear" w:color="auto" w:fill="FFFFFF"/>
        <w:spacing w:before="100" w:beforeAutospacing="1" w:after="100" w:afterAutospacing="1" w:line="240" w:lineRule="auto"/>
        <w:ind w:left="720"/>
        <w:rPr>
          <w:rFonts w:ascii="Helvetica" w:hAnsi="Helvetica"/>
          <w:color w:val="606060"/>
          <w:sz w:val="20"/>
          <w:szCs w:val="20"/>
        </w:rPr>
      </w:pPr>
    </w:p>
    <w:p w14:paraId="5A38B1E0" w14:textId="77777777" w:rsidR="000F006B" w:rsidRDefault="000F006B" w:rsidP="000F006B">
      <w:pPr>
        <w:spacing w:after="0" w:line="240" w:lineRule="auto"/>
        <w:rPr>
          <w:rFonts w:ascii="Arial" w:hAnsi="Arial" w:cs="Arial"/>
          <w:bCs/>
          <w:sz w:val="20"/>
          <w:szCs w:val="20"/>
        </w:rPr>
      </w:pPr>
    </w:p>
    <w:p w14:paraId="4C0CBAB0" w14:textId="77777777" w:rsidR="000F006B" w:rsidRDefault="000F006B" w:rsidP="000F006B">
      <w:pPr>
        <w:spacing w:after="0" w:line="240" w:lineRule="auto"/>
        <w:rPr>
          <w:rFonts w:ascii="Arial" w:hAnsi="Arial" w:cs="Arial"/>
          <w:bCs/>
          <w:sz w:val="20"/>
          <w:szCs w:val="20"/>
        </w:rPr>
      </w:pPr>
    </w:p>
    <w:p w14:paraId="1F62C363" w14:textId="77777777" w:rsidR="00F0458D" w:rsidRPr="007F632E" w:rsidRDefault="00F0458D" w:rsidP="00BE46DE">
      <w:pPr>
        <w:jc w:val="both"/>
        <w:rPr>
          <w:rFonts w:ascii="Arial" w:hAnsi="Arial" w:cs="Arial"/>
        </w:rPr>
      </w:pPr>
    </w:p>
    <w:p w14:paraId="2AEE7173" w14:textId="77777777" w:rsidR="00474A75" w:rsidRPr="007F632E" w:rsidRDefault="00474A75" w:rsidP="00BE46DE">
      <w:pPr>
        <w:jc w:val="both"/>
        <w:rPr>
          <w:rFonts w:ascii="Arial" w:hAnsi="Arial" w:cs="Arial"/>
          <w:sz w:val="24"/>
          <w:szCs w:val="24"/>
        </w:rPr>
      </w:pPr>
    </w:p>
    <w:p w14:paraId="1883235E" w14:textId="77777777" w:rsidR="00C60C53" w:rsidRPr="007F632E" w:rsidRDefault="00C60C53" w:rsidP="00BE46DE">
      <w:pPr>
        <w:jc w:val="both"/>
        <w:rPr>
          <w:rFonts w:ascii="Arial" w:hAnsi="Arial" w:cs="Arial"/>
          <w:sz w:val="24"/>
          <w:szCs w:val="24"/>
        </w:rPr>
      </w:pPr>
    </w:p>
    <w:p w14:paraId="79F097C6" w14:textId="77777777" w:rsidR="00C60C53" w:rsidRPr="007F632E" w:rsidRDefault="00C60C53" w:rsidP="00BE46DE">
      <w:pPr>
        <w:jc w:val="both"/>
        <w:rPr>
          <w:rFonts w:ascii="Arial" w:hAnsi="Arial" w:cs="Arial"/>
          <w:sz w:val="24"/>
          <w:szCs w:val="24"/>
        </w:rPr>
      </w:pPr>
    </w:p>
    <w:p w14:paraId="1DFB83D6" w14:textId="77777777" w:rsidR="00C60C53" w:rsidRPr="007F632E" w:rsidRDefault="00C60C53" w:rsidP="00BE46DE">
      <w:pPr>
        <w:jc w:val="both"/>
        <w:rPr>
          <w:rFonts w:ascii="Arial" w:hAnsi="Arial" w:cs="Arial"/>
          <w:sz w:val="24"/>
          <w:szCs w:val="24"/>
        </w:rPr>
      </w:pPr>
    </w:p>
    <w:sectPr w:rsidR="00C60C53" w:rsidRPr="007F632E" w:rsidSect="004F2F2F">
      <w:headerReference w:type="even" r:id="rId24"/>
      <w:headerReference w:type="default" r:id="rId25"/>
      <w:footerReference w:type="even" r:id="rId26"/>
      <w:footerReference w:type="default" r:id="rId27"/>
      <w:headerReference w:type="first" r:id="rId28"/>
      <w:footerReference w:type="first" r:id="rId29"/>
      <w:pgSz w:w="12240" w:h="15840"/>
      <w:pgMar w:top="1135"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D7B4" w14:textId="77777777" w:rsidR="001779D5" w:rsidRDefault="001779D5" w:rsidP="00816D50">
      <w:pPr>
        <w:spacing w:after="0" w:line="240" w:lineRule="auto"/>
      </w:pPr>
      <w:r>
        <w:separator/>
      </w:r>
    </w:p>
  </w:endnote>
  <w:endnote w:type="continuationSeparator" w:id="0">
    <w:p w14:paraId="3A1D445A" w14:textId="77777777" w:rsidR="001779D5" w:rsidRDefault="001779D5" w:rsidP="0081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A9032" w14:textId="77777777" w:rsidR="00792956" w:rsidRDefault="00792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F66C3" w14:textId="1C5788CE" w:rsidR="00BF5F58" w:rsidRDefault="00F404DC">
    <w:pPr>
      <w:pStyle w:val="Footer"/>
      <w:jc w:val="center"/>
    </w:pPr>
    <w:r>
      <w:fldChar w:fldCharType="begin"/>
    </w:r>
    <w:r w:rsidR="00F55E23">
      <w:instrText xml:space="preserve"> PAGE   \* MERGEFORMAT </w:instrText>
    </w:r>
    <w:r>
      <w:fldChar w:fldCharType="separate"/>
    </w:r>
    <w:r w:rsidR="00F00B5D">
      <w:rPr>
        <w:noProof/>
      </w:rPr>
      <w:t>9</w:t>
    </w:r>
    <w:r>
      <w:rPr>
        <w:noProof/>
      </w:rPr>
      <w:fldChar w:fldCharType="end"/>
    </w:r>
  </w:p>
  <w:p w14:paraId="0EA6251A" w14:textId="77777777" w:rsidR="00BF5F58" w:rsidRDefault="00BF5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541EE" w14:textId="77777777" w:rsidR="00792956" w:rsidRDefault="0079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5F5C" w14:textId="77777777" w:rsidR="001779D5" w:rsidRDefault="001779D5" w:rsidP="00816D50">
      <w:pPr>
        <w:spacing w:after="0" w:line="240" w:lineRule="auto"/>
      </w:pPr>
      <w:r>
        <w:separator/>
      </w:r>
    </w:p>
  </w:footnote>
  <w:footnote w:type="continuationSeparator" w:id="0">
    <w:p w14:paraId="5AF04FC6" w14:textId="77777777" w:rsidR="001779D5" w:rsidRDefault="001779D5" w:rsidP="0081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2E91" w14:textId="77777777" w:rsidR="00792956" w:rsidRDefault="001779D5">
    <w:pPr>
      <w:pStyle w:val="Header"/>
    </w:pPr>
    <w:r>
      <w:rPr>
        <w:noProof/>
      </w:rPr>
      <w:pict w14:anchorId="496CE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9169" w14:textId="77777777" w:rsidR="00792956" w:rsidRDefault="001779D5">
    <w:pPr>
      <w:pStyle w:val="Header"/>
    </w:pPr>
    <w:r>
      <w:rPr>
        <w:noProof/>
      </w:rPr>
      <w:pict w14:anchorId="721E7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D2C8" w14:textId="77777777" w:rsidR="00792956" w:rsidRDefault="001779D5">
    <w:pPr>
      <w:pStyle w:val="Header"/>
    </w:pPr>
    <w:r>
      <w:rPr>
        <w:noProof/>
      </w:rPr>
      <w:pict w14:anchorId="14FF8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434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4CA4"/>
    <w:multiLevelType w:val="hybridMultilevel"/>
    <w:tmpl w:val="CD249332"/>
    <w:lvl w:ilvl="0" w:tplc="782A8600">
      <w:start w:val="1"/>
      <w:numFmt w:val="bullet"/>
      <w:lvlText w:val="•"/>
      <w:lvlJc w:val="left"/>
      <w:pPr>
        <w:tabs>
          <w:tab w:val="num" w:pos="720"/>
        </w:tabs>
        <w:ind w:left="720" w:hanging="360"/>
      </w:pPr>
      <w:rPr>
        <w:rFonts w:ascii="Arial" w:hAnsi="Arial" w:hint="default"/>
      </w:rPr>
    </w:lvl>
    <w:lvl w:ilvl="1" w:tplc="12CA3EC4" w:tentative="1">
      <w:start w:val="1"/>
      <w:numFmt w:val="bullet"/>
      <w:lvlText w:val="•"/>
      <w:lvlJc w:val="left"/>
      <w:pPr>
        <w:tabs>
          <w:tab w:val="num" w:pos="1440"/>
        </w:tabs>
        <w:ind w:left="1440" w:hanging="360"/>
      </w:pPr>
      <w:rPr>
        <w:rFonts w:ascii="Arial" w:hAnsi="Arial" w:hint="default"/>
      </w:rPr>
    </w:lvl>
    <w:lvl w:ilvl="2" w:tplc="56DA6462" w:tentative="1">
      <w:start w:val="1"/>
      <w:numFmt w:val="bullet"/>
      <w:lvlText w:val="•"/>
      <w:lvlJc w:val="left"/>
      <w:pPr>
        <w:tabs>
          <w:tab w:val="num" w:pos="2160"/>
        </w:tabs>
        <w:ind w:left="2160" w:hanging="360"/>
      </w:pPr>
      <w:rPr>
        <w:rFonts w:ascii="Arial" w:hAnsi="Arial" w:hint="default"/>
      </w:rPr>
    </w:lvl>
    <w:lvl w:ilvl="3" w:tplc="9B50C0B8" w:tentative="1">
      <w:start w:val="1"/>
      <w:numFmt w:val="bullet"/>
      <w:lvlText w:val="•"/>
      <w:lvlJc w:val="left"/>
      <w:pPr>
        <w:tabs>
          <w:tab w:val="num" w:pos="2880"/>
        </w:tabs>
        <w:ind w:left="2880" w:hanging="360"/>
      </w:pPr>
      <w:rPr>
        <w:rFonts w:ascii="Arial" w:hAnsi="Arial" w:hint="default"/>
      </w:rPr>
    </w:lvl>
    <w:lvl w:ilvl="4" w:tplc="DEDEA7CC" w:tentative="1">
      <w:start w:val="1"/>
      <w:numFmt w:val="bullet"/>
      <w:lvlText w:val="•"/>
      <w:lvlJc w:val="left"/>
      <w:pPr>
        <w:tabs>
          <w:tab w:val="num" w:pos="3600"/>
        </w:tabs>
        <w:ind w:left="3600" w:hanging="360"/>
      </w:pPr>
      <w:rPr>
        <w:rFonts w:ascii="Arial" w:hAnsi="Arial" w:hint="default"/>
      </w:rPr>
    </w:lvl>
    <w:lvl w:ilvl="5" w:tplc="D91CBB1E" w:tentative="1">
      <w:start w:val="1"/>
      <w:numFmt w:val="bullet"/>
      <w:lvlText w:val="•"/>
      <w:lvlJc w:val="left"/>
      <w:pPr>
        <w:tabs>
          <w:tab w:val="num" w:pos="4320"/>
        </w:tabs>
        <w:ind w:left="4320" w:hanging="360"/>
      </w:pPr>
      <w:rPr>
        <w:rFonts w:ascii="Arial" w:hAnsi="Arial" w:hint="default"/>
      </w:rPr>
    </w:lvl>
    <w:lvl w:ilvl="6" w:tplc="20A857A4" w:tentative="1">
      <w:start w:val="1"/>
      <w:numFmt w:val="bullet"/>
      <w:lvlText w:val="•"/>
      <w:lvlJc w:val="left"/>
      <w:pPr>
        <w:tabs>
          <w:tab w:val="num" w:pos="5040"/>
        </w:tabs>
        <w:ind w:left="5040" w:hanging="360"/>
      </w:pPr>
      <w:rPr>
        <w:rFonts w:ascii="Arial" w:hAnsi="Arial" w:hint="default"/>
      </w:rPr>
    </w:lvl>
    <w:lvl w:ilvl="7" w:tplc="C312347C" w:tentative="1">
      <w:start w:val="1"/>
      <w:numFmt w:val="bullet"/>
      <w:lvlText w:val="•"/>
      <w:lvlJc w:val="left"/>
      <w:pPr>
        <w:tabs>
          <w:tab w:val="num" w:pos="5760"/>
        </w:tabs>
        <w:ind w:left="5760" w:hanging="360"/>
      </w:pPr>
      <w:rPr>
        <w:rFonts w:ascii="Arial" w:hAnsi="Arial" w:hint="default"/>
      </w:rPr>
    </w:lvl>
    <w:lvl w:ilvl="8" w:tplc="E95E4C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14D09"/>
    <w:multiLevelType w:val="hybridMultilevel"/>
    <w:tmpl w:val="26DC09BC"/>
    <w:lvl w:ilvl="0" w:tplc="C3B694BE">
      <w:start w:val="1"/>
      <w:numFmt w:val="bullet"/>
      <w:lvlText w:val="•"/>
      <w:lvlJc w:val="left"/>
      <w:pPr>
        <w:tabs>
          <w:tab w:val="num" w:pos="720"/>
        </w:tabs>
        <w:ind w:left="720" w:hanging="360"/>
      </w:pPr>
      <w:rPr>
        <w:rFonts w:ascii="Arial" w:hAnsi="Arial" w:hint="default"/>
      </w:rPr>
    </w:lvl>
    <w:lvl w:ilvl="1" w:tplc="AD2E4AD0" w:tentative="1">
      <w:start w:val="1"/>
      <w:numFmt w:val="bullet"/>
      <w:lvlText w:val="•"/>
      <w:lvlJc w:val="left"/>
      <w:pPr>
        <w:tabs>
          <w:tab w:val="num" w:pos="1440"/>
        </w:tabs>
        <w:ind w:left="1440" w:hanging="360"/>
      </w:pPr>
      <w:rPr>
        <w:rFonts w:ascii="Arial" w:hAnsi="Arial" w:hint="default"/>
      </w:rPr>
    </w:lvl>
    <w:lvl w:ilvl="2" w:tplc="9C9CB054" w:tentative="1">
      <w:start w:val="1"/>
      <w:numFmt w:val="bullet"/>
      <w:lvlText w:val="•"/>
      <w:lvlJc w:val="left"/>
      <w:pPr>
        <w:tabs>
          <w:tab w:val="num" w:pos="2160"/>
        </w:tabs>
        <w:ind w:left="2160" w:hanging="360"/>
      </w:pPr>
      <w:rPr>
        <w:rFonts w:ascii="Arial" w:hAnsi="Arial" w:hint="default"/>
      </w:rPr>
    </w:lvl>
    <w:lvl w:ilvl="3" w:tplc="FB42D4CC" w:tentative="1">
      <w:start w:val="1"/>
      <w:numFmt w:val="bullet"/>
      <w:lvlText w:val="•"/>
      <w:lvlJc w:val="left"/>
      <w:pPr>
        <w:tabs>
          <w:tab w:val="num" w:pos="2880"/>
        </w:tabs>
        <w:ind w:left="2880" w:hanging="360"/>
      </w:pPr>
      <w:rPr>
        <w:rFonts w:ascii="Arial" w:hAnsi="Arial" w:hint="default"/>
      </w:rPr>
    </w:lvl>
    <w:lvl w:ilvl="4" w:tplc="310AB430" w:tentative="1">
      <w:start w:val="1"/>
      <w:numFmt w:val="bullet"/>
      <w:lvlText w:val="•"/>
      <w:lvlJc w:val="left"/>
      <w:pPr>
        <w:tabs>
          <w:tab w:val="num" w:pos="3600"/>
        </w:tabs>
        <w:ind w:left="3600" w:hanging="360"/>
      </w:pPr>
      <w:rPr>
        <w:rFonts w:ascii="Arial" w:hAnsi="Arial" w:hint="default"/>
      </w:rPr>
    </w:lvl>
    <w:lvl w:ilvl="5" w:tplc="2FA2D7BC" w:tentative="1">
      <w:start w:val="1"/>
      <w:numFmt w:val="bullet"/>
      <w:lvlText w:val="•"/>
      <w:lvlJc w:val="left"/>
      <w:pPr>
        <w:tabs>
          <w:tab w:val="num" w:pos="4320"/>
        </w:tabs>
        <w:ind w:left="4320" w:hanging="360"/>
      </w:pPr>
      <w:rPr>
        <w:rFonts w:ascii="Arial" w:hAnsi="Arial" w:hint="default"/>
      </w:rPr>
    </w:lvl>
    <w:lvl w:ilvl="6" w:tplc="072EEE2E" w:tentative="1">
      <w:start w:val="1"/>
      <w:numFmt w:val="bullet"/>
      <w:lvlText w:val="•"/>
      <w:lvlJc w:val="left"/>
      <w:pPr>
        <w:tabs>
          <w:tab w:val="num" w:pos="5040"/>
        </w:tabs>
        <w:ind w:left="5040" w:hanging="360"/>
      </w:pPr>
      <w:rPr>
        <w:rFonts w:ascii="Arial" w:hAnsi="Arial" w:hint="default"/>
      </w:rPr>
    </w:lvl>
    <w:lvl w:ilvl="7" w:tplc="F6F8517E" w:tentative="1">
      <w:start w:val="1"/>
      <w:numFmt w:val="bullet"/>
      <w:lvlText w:val="•"/>
      <w:lvlJc w:val="left"/>
      <w:pPr>
        <w:tabs>
          <w:tab w:val="num" w:pos="5760"/>
        </w:tabs>
        <w:ind w:left="5760" w:hanging="360"/>
      </w:pPr>
      <w:rPr>
        <w:rFonts w:ascii="Arial" w:hAnsi="Arial" w:hint="default"/>
      </w:rPr>
    </w:lvl>
    <w:lvl w:ilvl="8" w:tplc="E960AC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425466"/>
    <w:multiLevelType w:val="hybridMultilevel"/>
    <w:tmpl w:val="19CC23DA"/>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133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B4F8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112B0"/>
    <w:multiLevelType w:val="hybridMultilevel"/>
    <w:tmpl w:val="3F20299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16BE3A28"/>
    <w:multiLevelType w:val="hybridMultilevel"/>
    <w:tmpl w:val="829AB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709DF"/>
    <w:multiLevelType w:val="hybridMultilevel"/>
    <w:tmpl w:val="46D6DC6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FA639E"/>
    <w:multiLevelType w:val="hybridMultilevel"/>
    <w:tmpl w:val="EA96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3489E"/>
    <w:multiLevelType w:val="hybridMultilevel"/>
    <w:tmpl w:val="413A9ADA"/>
    <w:lvl w:ilvl="0" w:tplc="395ABE4C">
      <w:start w:val="1"/>
      <w:numFmt w:val="bullet"/>
      <w:lvlText w:val="•"/>
      <w:lvlJc w:val="left"/>
      <w:pPr>
        <w:tabs>
          <w:tab w:val="num" w:pos="720"/>
        </w:tabs>
        <w:ind w:left="720" w:hanging="360"/>
      </w:pPr>
      <w:rPr>
        <w:rFonts w:ascii="Arial" w:hAnsi="Arial" w:hint="default"/>
      </w:rPr>
    </w:lvl>
    <w:lvl w:ilvl="1" w:tplc="1206EEDC" w:tentative="1">
      <w:start w:val="1"/>
      <w:numFmt w:val="bullet"/>
      <w:lvlText w:val="•"/>
      <w:lvlJc w:val="left"/>
      <w:pPr>
        <w:tabs>
          <w:tab w:val="num" w:pos="1440"/>
        </w:tabs>
        <w:ind w:left="1440" w:hanging="360"/>
      </w:pPr>
      <w:rPr>
        <w:rFonts w:ascii="Arial" w:hAnsi="Arial" w:hint="default"/>
      </w:rPr>
    </w:lvl>
    <w:lvl w:ilvl="2" w:tplc="148A4B8A" w:tentative="1">
      <w:start w:val="1"/>
      <w:numFmt w:val="bullet"/>
      <w:lvlText w:val="•"/>
      <w:lvlJc w:val="left"/>
      <w:pPr>
        <w:tabs>
          <w:tab w:val="num" w:pos="2160"/>
        </w:tabs>
        <w:ind w:left="2160" w:hanging="360"/>
      </w:pPr>
      <w:rPr>
        <w:rFonts w:ascii="Arial" w:hAnsi="Arial" w:hint="default"/>
      </w:rPr>
    </w:lvl>
    <w:lvl w:ilvl="3" w:tplc="7296452A" w:tentative="1">
      <w:start w:val="1"/>
      <w:numFmt w:val="bullet"/>
      <w:lvlText w:val="•"/>
      <w:lvlJc w:val="left"/>
      <w:pPr>
        <w:tabs>
          <w:tab w:val="num" w:pos="2880"/>
        </w:tabs>
        <w:ind w:left="2880" w:hanging="360"/>
      </w:pPr>
      <w:rPr>
        <w:rFonts w:ascii="Arial" w:hAnsi="Arial" w:hint="default"/>
      </w:rPr>
    </w:lvl>
    <w:lvl w:ilvl="4" w:tplc="D33C4A84" w:tentative="1">
      <w:start w:val="1"/>
      <w:numFmt w:val="bullet"/>
      <w:lvlText w:val="•"/>
      <w:lvlJc w:val="left"/>
      <w:pPr>
        <w:tabs>
          <w:tab w:val="num" w:pos="3600"/>
        </w:tabs>
        <w:ind w:left="3600" w:hanging="360"/>
      </w:pPr>
      <w:rPr>
        <w:rFonts w:ascii="Arial" w:hAnsi="Arial" w:hint="default"/>
      </w:rPr>
    </w:lvl>
    <w:lvl w:ilvl="5" w:tplc="F7F8A3BA" w:tentative="1">
      <w:start w:val="1"/>
      <w:numFmt w:val="bullet"/>
      <w:lvlText w:val="•"/>
      <w:lvlJc w:val="left"/>
      <w:pPr>
        <w:tabs>
          <w:tab w:val="num" w:pos="4320"/>
        </w:tabs>
        <w:ind w:left="4320" w:hanging="360"/>
      </w:pPr>
      <w:rPr>
        <w:rFonts w:ascii="Arial" w:hAnsi="Arial" w:hint="default"/>
      </w:rPr>
    </w:lvl>
    <w:lvl w:ilvl="6" w:tplc="915045CC" w:tentative="1">
      <w:start w:val="1"/>
      <w:numFmt w:val="bullet"/>
      <w:lvlText w:val="•"/>
      <w:lvlJc w:val="left"/>
      <w:pPr>
        <w:tabs>
          <w:tab w:val="num" w:pos="5040"/>
        </w:tabs>
        <w:ind w:left="5040" w:hanging="360"/>
      </w:pPr>
      <w:rPr>
        <w:rFonts w:ascii="Arial" w:hAnsi="Arial" w:hint="default"/>
      </w:rPr>
    </w:lvl>
    <w:lvl w:ilvl="7" w:tplc="2486775E" w:tentative="1">
      <w:start w:val="1"/>
      <w:numFmt w:val="bullet"/>
      <w:lvlText w:val="•"/>
      <w:lvlJc w:val="left"/>
      <w:pPr>
        <w:tabs>
          <w:tab w:val="num" w:pos="5760"/>
        </w:tabs>
        <w:ind w:left="5760" w:hanging="360"/>
      </w:pPr>
      <w:rPr>
        <w:rFonts w:ascii="Arial" w:hAnsi="Arial" w:hint="default"/>
      </w:rPr>
    </w:lvl>
    <w:lvl w:ilvl="8" w:tplc="F7A0382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C5C081F"/>
    <w:multiLevelType w:val="hybridMultilevel"/>
    <w:tmpl w:val="66F89524"/>
    <w:lvl w:ilvl="0" w:tplc="1D3CD732">
      <w:start w:val="1"/>
      <w:numFmt w:val="bullet"/>
      <w:lvlText w:val="•"/>
      <w:lvlJc w:val="left"/>
      <w:pPr>
        <w:tabs>
          <w:tab w:val="num" w:pos="720"/>
        </w:tabs>
        <w:ind w:left="720" w:hanging="360"/>
      </w:pPr>
      <w:rPr>
        <w:rFonts w:ascii="Arial" w:hAnsi="Arial" w:hint="default"/>
      </w:rPr>
    </w:lvl>
    <w:lvl w:ilvl="1" w:tplc="4A808AE8" w:tentative="1">
      <w:start w:val="1"/>
      <w:numFmt w:val="bullet"/>
      <w:lvlText w:val="•"/>
      <w:lvlJc w:val="left"/>
      <w:pPr>
        <w:tabs>
          <w:tab w:val="num" w:pos="1440"/>
        </w:tabs>
        <w:ind w:left="1440" w:hanging="360"/>
      </w:pPr>
      <w:rPr>
        <w:rFonts w:ascii="Arial" w:hAnsi="Arial" w:hint="default"/>
      </w:rPr>
    </w:lvl>
    <w:lvl w:ilvl="2" w:tplc="4A807C2C" w:tentative="1">
      <w:start w:val="1"/>
      <w:numFmt w:val="bullet"/>
      <w:lvlText w:val="•"/>
      <w:lvlJc w:val="left"/>
      <w:pPr>
        <w:tabs>
          <w:tab w:val="num" w:pos="2160"/>
        </w:tabs>
        <w:ind w:left="2160" w:hanging="360"/>
      </w:pPr>
      <w:rPr>
        <w:rFonts w:ascii="Arial" w:hAnsi="Arial" w:hint="default"/>
      </w:rPr>
    </w:lvl>
    <w:lvl w:ilvl="3" w:tplc="25720A96" w:tentative="1">
      <w:start w:val="1"/>
      <w:numFmt w:val="bullet"/>
      <w:lvlText w:val="•"/>
      <w:lvlJc w:val="left"/>
      <w:pPr>
        <w:tabs>
          <w:tab w:val="num" w:pos="2880"/>
        </w:tabs>
        <w:ind w:left="2880" w:hanging="360"/>
      </w:pPr>
      <w:rPr>
        <w:rFonts w:ascii="Arial" w:hAnsi="Arial" w:hint="default"/>
      </w:rPr>
    </w:lvl>
    <w:lvl w:ilvl="4" w:tplc="8E7CCC1C" w:tentative="1">
      <w:start w:val="1"/>
      <w:numFmt w:val="bullet"/>
      <w:lvlText w:val="•"/>
      <w:lvlJc w:val="left"/>
      <w:pPr>
        <w:tabs>
          <w:tab w:val="num" w:pos="3600"/>
        </w:tabs>
        <w:ind w:left="3600" w:hanging="360"/>
      </w:pPr>
      <w:rPr>
        <w:rFonts w:ascii="Arial" w:hAnsi="Arial" w:hint="default"/>
      </w:rPr>
    </w:lvl>
    <w:lvl w:ilvl="5" w:tplc="EBF49356" w:tentative="1">
      <w:start w:val="1"/>
      <w:numFmt w:val="bullet"/>
      <w:lvlText w:val="•"/>
      <w:lvlJc w:val="left"/>
      <w:pPr>
        <w:tabs>
          <w:tab w:val="num" w:pos="4320"/>
        </w:tabs>
        <w:ind w:left="4320" w:hanging="360"/>
      </w:pPr>
      <w:rPr>
        <w:rFonts w:ascii="Arial" w:hAnsi="Arial" w:hint="default"/>
      </w:rPr>
    </w:lvl>
    <w:lvl w:ilvl="6" w:tplc="C0AC2846" w:tentative="1">
      <w:start w:val="1"/>
      <w:numFmt w:val="bullet"/>
      <w:lvlText w:val="•"/>
      <w:lvlJc w:val="left"/>
      <w:pPr>
        <w:tabs>
          <w:tab w:val="num" w:pos="5040"/>
        </w:tabs>
        <w:ind w:left="5040" w:hanging="360"/>
      </w:pPr>
      <w:rPr>
        <w:rFonts w:ascii="Arial" w:hAnsi="Arial" w:hint="default"/>
      </w:rPr>
    </w:lvl>
    <w:lvl w:ilvl="7" w:tplc="55FE4F82" w:tentative="1">
      <w:start w:val="1"/>
      <w:numFmt w:val="bullet"/>
      <w:lvlText w:val="•"/>
      <w:lvlJc w:val="left"/>
      <w:pPr>
        <w:tabs>
          <w:tab w:val="num" w:pos="5760"/>
        </w:tabs>
        <w:ind w:left="5760" w:hanging="360"/>
      </w:pPr>
      <w:rPr>
        <w:rFonts w:ascii="Arial" w:hAnsi="Arial" w:hint="default"/>
      </w:rPr>
    </w:lvl>
    <w:lvl w:ilvl="8" w:tplc="8BC0ADB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76D2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7158E"/>
    <w:multiLevelType w:val="hybridMultilevel"/>
    <w:tmpl w:val="58BA527C"/>
    <w:lvl w:ilvl="0" w:tplc="CBD2AC00">
      <w:start w:val="1"/>
      <w:numFmt w:val="bullet"/>
      <w:lvlText w:val="•"/>
      <w:lvlJc w:val="left"/>
      <w:pPr>
        <w:tabs>
          <w:tab w:val="num" w:pos="720"/>
        </w:tabs>
        <w:ind w:left="720" w:hanging="360"/>
      </w:pPr>
      <w:rPr>
        <w:rFonts w:ascii="Arial" w:hAnsi="Arial" w:hint="default"/>
      </w:rPr>
    </w:lvl>
    <w:lvl w:ilvl="1" w:tplc="16EA8F68" w:tentative="1">
      <w:start w:val="1"/>
      <w:numFmt w:val="bullet"/>
      <w:lvlText w:val="•"/>
      <w:lvlJc w:val="left"/>
      <w:pPr>
        <w:tabs>
          <w:tab w:val="num" w:pos="1440"/>
        </w:tabs>
        <w:ind w:left="1440" w:hanging="360"/>
      </w:pPr>
      <w:rPr>
        <w:rFonts w:ascii="Arial" w:hAnsi="Arial" w:hint="default"/>
      </w:rPr>
    </w:lvl>
    <w:lvl w:ilvl="2" w:tplc="1130E4C4" w:tentative="1">
      <w:start w:val="1"/>
      <w:numFmt w:val="bullet"/>
      <w:lvlText w:val="•"/>
      <w:lvlJc w:val="left"/>
      <w:pPr>
        <w:tabs>
          <w:tab w:val="num" w:pos="2160"/>
        </w:tabs>
        <w:ind w:left="2160" w:hanging="360"/>
      </w:pPr>
      <w:rPr>
        <w:rFonts w:ascii="Arial" w:hAnsi="Arial" w:hint="default"/>
      </w:rPr>
    </w:lvl>
    <w:lvl w:ilvl="3" w:tplc="E1EEE2DC" w:tentative="1">
      <w:start w:val="1"/>
      <w:numFmt w:val="bullet"/>
      <w:lvlText w:val="•"/>
      <w:lvlJc w:val="left"/>
      <w:pPr>
        <w:tabs>
          <w:tab w:val="num" w:pos="2880"/>
        </w:tabs>
        <w:ind w:left="2880" w:hanging="360"/>
      </w:pPr>
      <w:rPr>
        <w:rFonts w:ascii="Arial" w:hAnsi="Arial" w:hint="default"/>
      </w:rPr>
    </w:lvl>
    <w:lvl w:ilvl="4" w:tplc="BFCA4552" w:tentative="1">
      <w:start w:val="1"/>
      <w:numFmt w:val="bullet"/>
      <w:lvlText w:val="•"/>
      <w:lvlJc w:val="left"/>
      <w:pPr>
        <w:tabs>
          <w:tab w:val="num" w:pos="3600"/>
        </w:tabs>
        <w:ind w:left="3600" w:hanging="360"/>
      </w:pPr>
      <w:rPr>
        <w:rFonts w:ascii="Arial" w:hAnsi="Arial" w:hint="default"/>
      </w:rPr>
    </w:lvl>
    <w:lvl w:ilvl="5" w:tplc="A7420502" w:tentative="1">
      <w:start w:val="1"/>
      <w:numFmt w:val="bullet"/>
      <w:lvlText w:val="•"/>
      <w:lvlJc w:val="left"/>
      <w:pPr>
        <w:tabs>
          <w:tab w:val="num" w:pos="4320"/>
        </w:tabs>
        <w:ind w:left="4320" w:hanging="360"/>
      </w:pPr>
      <w:rPr>
        <w:rFonts w:ascii="Arial" w:hAnsi="Arial" w:hint="default"/>
      </w:rPr>
    </w:lvl>
    <w:lvl w:ilvl="6" w:tplc="68EEFA86" w:tentative="1">
      <w:start w:val="1"/>
      <w:numFmt w:val="bullet"/>
      <w:lvlText w:val="•"/>
      <w:lvlJc w:val="left"/>
      <w:pPr>
        <w:tabs>
          <w:tab w:val="num" w:pos="5040"/>
        </w:tabs>
        <w:ind w:left="5040" w:hanging="360"/>
      </w:pPr>
      <w:rPr>
        <w:rFonts w:ascii="Arial" w:hAnsi="Arial" w:hint="default"/>
      </w:rPr>
    </w:lvl>
    <w:lvl w:ilvl="7" w:tplc="7B32960A" w:tentative="1">
      <w:start w:val="1"/>
      <w:numFmt w:val="bullet"/>
      <w:lvlText w:val="•"/>
      <w:lvlJc w:val="left"/>
      <w:pPr>
        <w:tabs>
          <w:tab w:val="num" w:pos="5760"/>
        </w:tabs>
        <w:ind w:left="5760" w:hanging="360"/>
      </w:pPr>
      <w:rPr>
        <w:rFonts w:ascii="Arial" w:hAnsi="Arial" w:hint="default"/>
      </w:rPr>
    </w:lvl>
    <w:lvl w:ilvl="8" w:tplc="ABFC5E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15A676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B3565"/>
    <w:multiLevelType w:val="hybridMultilevel"/>
    <w:tmpl w:val="44A6E84A"/>
    <w:lvl w:ilvl="0" w:tplc="782A8600">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9C5D90"/>
    <w:multiLevelType w:val="hybridMultilevel"/>
    <w:tmpl w:val="481CBD1A"/>
    <w:lvl w:ilvl="0" w:tplc="48A2C220">
      <w:start w:val="1"/>
      <w:numFmt w:val="bullet"/>
      <w:lvlText w:val="•"/>
      <w:lvlJc w:val="left"/>
      <w:pPr>
        <w:tabs>
          <w:tab w:val="num" w:pos="720"/>
        </w:tabs>
        <w:ind w:left="720" w:hanging="360"/>
      </w:pPr>
      <w:rPr>
        <w:rFonts w:ascii="Arial" w:hAnsi="Arial" w:hint="default"/>
      </w:rPr>
    </w:lvl>
    <w:lvl w:ilvl="1" w:tplc="FC8291A8" w:tentative="1">
      <w:start w:val="1"/>
      <w:numFmt w:val="bullet"/>
      <w:lvlText w:val="•"/>
      <w:lvlJc w:val="left"/>
      <w:pPr>
        <w:tabs>
          <w:tab w:val="num" w:pos="1440"/>
        </w:tabs>
        <w:ind w:left="1440" w:hanging="360"/>
      </w:pPr>
      <w:rPr>
        <w:rFonts w:ascii="Arial" w:hAnsi="Arial" w:hint="default"/>
      </w:rPr>
    </w:lvl>
    <w:lvl w:ilvl="2" w:tplc="72A233F6" w:tentative="1">
      <w:start w:val="1"/>
      <w:numFmt w:val="bullet"/>
      <w:lvlText w:val="•"/>
      <w:lvlJc w:val="left"/>
      <w:pPr>
        <w:tabs>
          <w:tab w:val="num" w:pos="2160"/>
        </w:tabs>
        <w:ind w:left="2160" w:hanging="360"/>
      </w:pPr>
      <w:rPr>
        <w:rFonts w:ascii="Arial" w:hAnsi="Arial" w:hint="default"/>
      </w:rPr>
    </w:lvl>
    <w:lvl w:ilvl="3" w:tplc="E9982E18" w:tentative="1">
      <w:start w:val="1"/>
      <w:numFmt w:val="bullet"/>
      <w:lvlText w:val="•"/>
      <w:lvlJc w:val="left"/>
      <w:pPr>
        <w:tabs>
          <w:tab w:val="num" w:pos="2880"/>
        </w:tabs>
        <w:ind w:left="2880" w:hanging="360"/>
      </w:pPr>
      <w:rPr>
        <w:rFonts w:ascii="Arial" w:hAnsi="Arial" w:hint="default"/>
      </w:rPr>
    </w:lvl>
    <w:lvl w:ilvl="4" w:tplc="C51A0D2C" w:tentative="1">
      <w:start w:val="1"/>
      <w:numFmt w:val="bullet"/>
      <w:lvlText w:val="•"/>
      <w:lvlJc w:val="left"/>
      <w:pPr>
        <w:tabs>
          <w:tab w:val="num" w:pos="3600"/>
        </w:tabs>
        <w:ind w:left="3600" w:hanging="360"/>
      </w:pPr>
      <w:rPr>
        <w:rFonts w:ascii="Arial" w:hAnsi="Arial" w:hint="default"/>
      </w:rPr>
    </w:lvl>
    <w:lvl w:ilvl="5" w:tplc="CFF0D282" w:tentative="1">
      <w:start w:val="1"/>
      <w:numFmt w:val="bullet"/>
      <w:lvlText w:val="•"/>
      <w:lvlJc w:val="left"/>
      <w:pPr>
        <w:tabs>
          <w:tab w:val="num" w:pos="4320"/>
        </w:tabs>
        <w:ind w:left="4320" w:hanging="360"/>
      </w:pPr>
      <w:rPr>
        <w:rFonts w:ascii="Arial" w:hAnsi="Arial" w:hint="default"/>
      </w:rPr>
    </w:lvl>
    <w:lvl w:ilvl="6" w:tplc="3F62E7CC" w:tentative="1">
      <w:start w:val="1"/>
      <w:numFmt w:val="bullet"/>
      <w:lvlText w:val="•"/>
      <w:lvlJc w:val="left"/>
      <w:pPr>
        <w:tabs>
          <w:tab w:val="num" w:pos="5040"/>
        </w:tabs>
        <w:ind w:left="5040" w:hanging="360"/>
      </w:pPr>
      <w:rPr>
        <w:rFonts w:ascii="Arial" w:hAnsi="Arial" w:hint="default"/>
      </w:rPr>
    </w:lvl>
    <w:lvl w:ilvl="7" w:tplc="1480AF58" w:tentative="1">
      <w:start w:val="1"/>
      <w:numFmt w:val="bullet"/>
      <w:lvlText w:val="•"/>
      <w:lvlJc w:val="left"/>
      <w:pPr>
        <w:tabs>
          <w:tab w:val="num" w:pos="5760"/>
        </w:tabs>
        <w:ind w:left="5760" w:hanging="360"/>
      </w:pPr>
      <w:rPr>
        <w:rFonts w:ascii="Arial" w:hAnsi="Arial" w:hint="default"/>
      </w:rPr>
    </w:lvl>
    <w:lvl w:ilvl="8" w:tplc="3D7C0A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DA68C9"/>
    <w:multiLevelType w:val="hybridMultilevel"/>
    <w:tmpl w:val="55065CCE"/>
    <w:lvl w:ilvl="0" w:tplc="FFFFFFFF">
      <w:start w:val="1"/>
      <w:numFmt w:val="decimal"/>
      <w:lvlText w:val="%1."/>
      <w:lvlJc w:val="left"/>
      <w:pPr>
        <w:ind w:left="720" w:hanging="360"/>
      </w:pPr>
      <w:rPr>
        <w:rFonts w:ascii="Arial" w:eastAsia="Times New Roman" w:hAnsi="Arial" w:cs="Arial" w:hint="default"/>
        <w:color w:val="22222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BA0803"/>
    <w:multiLevelType w:val="hybridMultilevel"/>
    <w:tmpl w:val="F30EF576"/>
    <w:lvl w:ilvl="0" w:tplc="783C0A08">
      <w:start w:val="1"/>
      <w:numFmt w:val="bullet"/>
      <w:lvlText w:val="•"/>
      <w:lvlJc w:val="left"/>
      <w:pPr>
        <w:tabs>
          <w:tab w:val="num" w:pos="720"/>
        </w:tabs>
        <w:ind w:left="720" w:hanging="360"/>
      </w:pPr>
      <w:rPr>
        <w:rFonts w:ascii="Arial" w:hAnsi="Arial" w:hint="default"/>
      </w:rPr>
    </w:lvl>
    <w:lvl w:ilvl="1" w:tplc="3B6C08BC" w:tentative="1">
      <w:start w:val="1"/>
      <w:numFmt w:val="bullet"/>
      <w:lvlText w:val="•"/>
      <w:lvlJc w:val="left"/>
      <w:pPr>
        <w:tabs>
          <w:tab w:val="num" w:pos="1440"/>
        </w:tabs>
        <w:ind w:left="1440" w:hanging="360"/>
      </w:pPr>
      <w:rPr>
        <w:rFonts w:ascii="Arial" w:hAnsi="Arial" w:hint="default"/>
      </w:rPr>
    </w:lvl>
    <w:lvl w:ilvl="2" w:tplc="4F783144" w:tentative="1">
      <w:start w:val="1"/>
      <w:numFmt w:val="bullet"/>
      <w:lvlText w:val="•"/>
      <w:lvlJc w:val="left"/>
      <w:pPr>
        <w:tabs>
          <w:tab w:val="num" w:pos="2160"/>
        </w:tabs>
        <w:ind w:left="2160" w:hanging="360"/>
      </w:pPr>
      <w:rPr>
        <w:rFonts w:ascii="Arial" w:hAnsi="Arial" w:hint="default"/>
      </w:rPr>
    </w:lvl>
    <w:lvl w:ilvl="3" w:tplc="87C28CAA" w:tentative="1">
      <w:start w:val="1"/>
      <w:numFmt w:val="bullet"/>
      <w:lvlText w:val="•"/>
      <w:lvlJc w:val="left"/>
      <w:pPr>
        <w:tabs>
          <w:tab w:val="num" w:pos="2880"/>
        </w:tabs>
        <w:ind w:left="2880" w:hanging="360"/>
      </w:pPr>
      <w:rPr>
        <w:rFonts w:ascii="Arial" w:hAnsi="Arial" w:hint="default"/>
      </w:rPr>
    </w:lvl>
    <w:lvl w:ilvl="4" w:tplc="D1820D6E" w:tentative="1">
      <w:start w:val="1"/>
      <w:numFmt w:val="bullet"/>
      <w:lvlText w:val="•"/>
      <w:lvlJc w:val="left"/>
      <w:pPr>
        <w:tabs>
          <w:tab w:val="num" w:pos="3600"/>
        </w:tabs>
        <w:ind w:left="3600" w:hanging="360"/>
      </w:pPr>
      <w:rPr>
        <w:rFonts w:ascii="Arial" w:hAnsi="Arial" w:hint="default"/>
      </w:rPr>
    </w:lvl>
    <w:lvl w:ilvl="5" w:tplc="A3DA61A0" w:tentative="1">
      <w:start w:val="1"/>
      <w:numFmt w:val="bullet"/>
      <w:lvlText w:val="•"/>
      <w:lvlJc w:val="left"/>
      <w:pPr>
        <w:tabs>
          <w:tab w:val="num" w:pos="4320"/>
        </w:tabs>
        <w:ind w:left="4320" w:hanging="360"/>
      </w:pPr>
      <w:rPr>
        <w:rFonts w:ascii="Arial" w:hAnsi="Arial" w:hint="default"/>
      </w:rPr>
    </w:lvl>
    <w:lvl w:ilvl="6" w:tplc="D320EC1E" w:tentative="1">
      <w:start w:val="1"/>
      <w:numFmt w:val="bullet"/>
      <w:lvlText w:val="•"/>
      <w:lvlJc w:val="left"/>
      <w:pPr>
        <w:tabs>
          <w:tab w:val="num" w:pos="5040"/>
        </w:tabs>
        <w:ind w:left="5040" w:hanging="360"/>
      </w:pPr>
      <w:rPr>
        <w:rFonts w:ascii="Arial" w:hAnsi="Arial" w:hint="default"/>
      </w:rPr>
    </w:lvl>
    <w:lvl w:ilvl="7" w:tplc="D5DE47C6" w:tentative="1">
      <w:start w:val="1"/>
      <w:numFmt w:val="bullet"/>
      <w:lvlText w:val="•"/>
      <w:lvlJc w:val="left"/>
      <w:pPr>
        <w:tabs>
          <w:tab w:val="num" w:pos="5760"/>
        </w:tabs>
        <w:ind w:left="5760" w:hanging="360"/>
      </w:pPr>
      <w:rPr>
        <w:rFonts w:ascii="Arial" w:hAnsi="Arial" w:hint="default"/>
      </w:rPr>
    </w:lvl>
    <w:lvl w:ilvl="8" w:tplc="F86CF6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E25080"/>
    <w:multiLevelType w:val="hybridMultilevel"/>
    <w:tmpl w:val="770ECBAA"/>
    <w:lvl w:ilvl="0" w:tplc="B5C6F58E">
      <w:start w:val="1"/>
      <w:numFmt w:val="bullet"/>
      <w:lvlText w:val="•"/>
      <w:lvlJc w:val="left"/>
      <w:pPr>
        <w:tabs>
          <w:tab w:val="num" w:pos="720"/>
        </w:tabs>
        <w:ind w:left="720" w:hanging="360"/>
      </w:pPr>
      <w:rPr>
        <w:rFonts w:ascii="Arial" w:hAnsi="Arial" w:hint="default"/>
      </w:rPr>
    </w:lvl>
    <w:lvl w:ilvl="1" w:tplc="FD067514" w:tentative="1">
      <w:start w:val="1"/>
      <w:numFmt w:val="bullet"/>
      <w:lvlText w:val="•"/>
      <w:lvlJc w:val="left"/>
      <w:pPr>
        <w:tabs>
          <w:tab w:val="num" w:pos="1440"/>
        </w:tabs>
        <w:ind w:left="1440" w:hanging="360"/>
      </w:pPr>
      <w:rPr>
        <w:rFonts w:ascii="Arial" w:hAnsi="Arial" w:hint="default"/>
      </w:rPr>
    </w:lvl>
    <w:lvl w:ilvl="2" w:tplc="DEDC5724" w:tentative="1">
      <w:start w:val="1"/>
      <w:numFmt w:val="bullet"/>
      <w:lvlText w:val="•"/>
      <w:lvlJc w:val="left"/>
      <w:pPr>
        <w:tabs>
          <w:tab w:val="num" w:pos="2160"/>
        </w:tabs>
        <w:ind w:left="2160" w:hanging="360"/>
      </w:pPr>
      <w:rPr>
        <w:rFonts w:ascii="Arial" w:hAnsi="Arial" w:hint="default"/>
      </w:rPr>
    </w:lvl>
    <w:lvl w:ilvl="3" w:tplc="9C2CCBC2" w:tentative="1">
      <w:start w:val="1"/>
      <w:numFmt w:val="bullet"/>
      <w:lvlText w:val="•"/>
      <w:lvlJc w:val="left"/>
      <w:pPr>
        <w:tabs>
          <w:tab w:val="num" w:pos="2880"/>
        </w:tabs>
        <w:ind w:left="2880" w:hanging="360"/>
      </w:pPr>
      <w:rPr>
        <w:rFonts w:ascii="Arial" w:hAnsi="Arial" w:hint="default"/>
      </w:rPr>
    </w:lvl>
    <w:lvl w:ilvl="4" w:tplc="4D229D3A" w:tentative="1">
      <w:start w:val="1"/>
      <w:numFmt w:val="bullet"/>
      <w:lvlText w:val="•"/>
      <w:lvlJc w:val="left"/>
      <w:pPr>
        <w:tabs>
          <w:tab w:val="num" w:pos="3600"/>
        </w:tabs>
        <w:ind w:left="3600" w:hanging="360"/>
      </w:pPr>
      <w:rPr>
        <w:rFonts w:ascii="Arial" w:hAnsi="Arial" w:hint="default"/>
      </w:rPr>
    </w:lvl>
    <w:lvl w:ilvl="5" w:tplc="34FC1636" w:tentative="1">
      <w:start w:val="1"/>
      <w:numFmt w:val="bullet"/>
      <w:lvlText w:val="•"/>
      <w:lvlJc w:val="left"/>
      <w:pPr>
        <w:tabs>
          <w:tab w:val="num" w:pos="4320"/>
        </w:tabs>
        <w:ind w:left="4320" w:hanging="360"/>
      </w:pPr>
      <w:rPr>
        <w:rFonts w:ascii="Arial" w:hAnsi="Arial" w:hint="default"/>
      </w:rPr>
    </w:lvl>
    <w:lvl w:ilvl="6" w:tplc="60B6AD7E" w:tentative="1">
      <w:start w:val="1"/>
      <w:numFmt w:val="bullet"/>
      <w:lvlText w:val="•"/>
      <w:lvlJc w:val="left"/>
      <w:pPr>
        <w:tabs>
          <w:tab w:val="num" w:pos="5040"/>
        </w:tabs>
        <w:ind w:left="5040" w:hanging="360"/>
      </w:pPr>
      <w:rPr>
        <w:rFonts w:ascii="Arial" w:hAnsi="Arial" w:hint="default"/>
      </w:rPr>
    </w:lvl>
    <w:lvl w:ilvl="7" w:tplc="537644CC" w:tentative="1">
      <w:start w:val="1"/>
      <w:numFmt w:val="bullet"/>
      <w:lvlText w:val="•"/>
      <w:lvlJc w:val="left"/>
      <w:pPr>
        <w:tabs>
          <w:tab w:val="num" w:pos="5760"/>
        </w:tabs>
        <w:ind w:left="5760" w:hanging="360"/>
      </w:pPr>
      <w:rPr>
        <w:rFonts w:ascii="Arial" w:hAnsi="Arial" w:hint="default"/>
      </w:rPr>
    </w:lvl>
    <w:lvl w:ilvl="8" w:tplc="C8E238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C5F63F0"/>
    <w:multiLevelType w:val="hybridMultilevel"/>
    <w:tmpl w:val="587E3EF2"/>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F769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8D5F2B"/>
    <w:multiLevelType w:val="hybridMultilevel"/>
    <w:tmpl w:val="83D03B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C153608"/>
    <w:multiLevelType w:val="hybridMultilevel"/>
    <w:tmpl w:val="615A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D47D0"/>
    <w:multiLevelType w:val="hybridMultilevel"/>
    <w:tmpl w:val="91700254"/>
    <w:lvl w:ilvl="0" w:tplc="782A860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43F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3609E7"/>
    <w:multiLevelType w:val="hybridMultilevel"/>
    <w:tmpl w:val="0338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E27F84"/>
    <w:multiLevelType w:val="hybridMultilevel"/>
    <w:tmpl w:val="9FA8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16DD9"/>
    <w:multiLevelType w:val="hybridMultilevel"/>
    <w:tmpl w:val="4654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
  </w:num>
  <w:num w:numId="4">
    <w:abstractNumId w:val="4"/>
  </w:num>
  <w:num w:numId="5">
    <w:abstractNumId w:val="20"/>
  </w:num>
  <w:num w:numId="6">
    <w:abstractNumId w:val="26"/>
  </w:num>
  <w:num w:numId="7">
    <w:abstractNumId w:val="8"/>
  </w:num>
  <w:num w:numId="8">
    <w:abstractNumId w:val="16"/>
  </w:num>
  <w:num w:numId="9">
    <w:abstractNumId w:val="23"/>
  </w:num>
  <w:num w:numId="10">
    <w:abstractNumId w:val="14"/>
  </w:num>
  <w:num w:numId="11">
    <w:abstractNumId w:val="2"/>
  </w:num>
  <w:num w:numId="12">
    <w:abstractNumId w:val="19"/>
  </w:num>
  <w:num w:numId="13">
    <w:abstractNumId w:val="11"/>
  </w:num>
  <w:num w:numId="14">
    <w:abstractNumId w:val="3"/>
  </w:num>
  <w:num w:numId="15">
    <w:abstractNumId w:val="24"/>
  </w:num>
  <w:num w:numId="16">
    <w:abstractNumId w:val="9"/>
  </w:num>
  <w:num w:numId="17">
    <w:abstractNumId w:val="10"/>
  </w:num>
  <w:num w:numId="18">
    <w:abstractNumId w:val="12"/>
  </w:num>
  <w:num w:numId="19">
    <w:abstractNumId w:val="17"/>
  </w:num>
  <w:num w:numId="20">
    <w:abstractNumId w:val="15"/>
  </w:num>
  <w:num w:numId="21">
    <w:abstractNumId w:val="13"/>
  </w:num>
  <w:num w:numId="22">
    <w:abstractNumId w:val="21"/>
  </w:num>
  <w:num w:numId="23">
    <w:abstractNumId w:val="22"/>
  </w:num>
  <w:num w:numId="24">
    <w:abstractNumId w:val="5"/>
  </w:num>
  <w:num w:numId="25">
    <w:abstractNumId w:val="25"/>
  </w:num>
  <w:num w:numId="26">
    <w:abstractNumId w:val="27"/>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F28"/>
    <w:rsid w:val="00004DC9"/>
    <w:rsid w:val="00005367"/>
    <w:rsid w:val="0002581A"/>
    <w:rsid w:val="000259A9"/>
    <w:rsid w:val="00026B66"/>
    <w:rsid w:val="00030967"/>
    <w:rsid w:val="00030B28"/>
    <w:rsid w:val="00030D8F"/>
    <w:rsid w:val="000340A3"/>
    <w:rsid w:val="000374BD"/>
    <w:rsid w:val="00042261"/>
    <w:rsid w:val="00043CC0"/>
    <w:rsid w:val="00045459"/>
    <w:rsid w:val="00046920"/>
    <w:rsid w:val="00050956"/>
    <w:rsid w:val="00051984"/>
    <w:rsid w:val="00054D8A"/>
    <w:rsid w:val="0005595E"/>
    <w:rsid w:val="0006149F"/>
    <w:rsid w:val="0006305F"/>
    <w:rsid w:val="00066F1A"/>
    <w:rsid w:val="00075ABF"/>
    <w:rsid w:val="00076460"/>
    <w:rsid w:val="0008558E"/>
    <w:rsid w:val="000868B1"/>
    <w:rsid w:val="0009156A"/>
    <w:rsid w:val="00091CE1"/>
    <w:rsid w:val="0009264A"/>
    <w:rsid w:val="000A01FC"/>
    <w:rsid w:val="000A1A00"/>
    <w:rsid w:val="000A2F2C"/>
    <w:rsid w:val="000B0779"/>
    <w:rsid w:val="000C5323"/>
    <w:rsid w:val="000C6031"/>
    <w:rsid w:val="000C6D97"/>
    <w:rsid w:val="000C707E"/>
    <w:rsid w:val="000D3EFB"/>
    <w:rsid w:val="000D74B1"/>
    <w:rsid w:val="000E1339"/>
    <w:rsid w:val="000E42B0"/>
    <w:rsid w:val="000F006B"/>
    <w:rsid w:val="000F2A65"/>
    <w:rsid w:val="000F684D"/>
    <w:rsid w:val="0010110A"/>
    <w:rsid w:val="00101E43"/>
    <w:rsid w:val="00102AA4"/>
    <w:rsid w:val="00106397"/>
    <w:rsid w:val="0010672A"/>
    <w:rsid w:val="001140DF"/>
    <w:rsid w:val="00116FA9"/>
    <w:rsid w:val="00117834"/>
    <w:rsid w:val="0011788D"/>
    <w:rsid w:val="001179D9"/>
    <w:rsid w:val="001212D7"/>
    <w:rsid w:val="00123E3A"/>
    <w:rsid w:val="001301D3"/>
    <w:rsid w:val="001302EA"/>
    <w:rsid w:val="00134046"/>
    <w:rsid w:val="0014227A"/>
    <w:rsid w:val="00144A7F"/>
    <w:rsid w:val="001551AA"/>
    <w:rsid w:val="001578AB"/>
    <w:rsid w:val="00160744"/>
    <w:rsid w:val="00163110"/>
    <w:rsid w:val="00163EEF"/>
    <w:rsid w:val="0016526C"/>
    <w:rsid w:val="00174855"/>
    <w:rsid w:val="001779D5"/>
    <w:rsid w:val="00180D65"/>
    <w:rsid w:val="00195FE7"/>
    <w:rsid w:val="001A1309"/>
    <w:rsid w:val="001A4F55"/>
    <w:rsid w:val="001A5739"/>
    <w:rsid w:val="001B3BD5"/>
    <w:rsid w:val="001B46AF"/>
    <w:rsid w:val="001B597A"/>
    <w:rsid w:val="001B61B1"/>
    <w:rsid w:val="001C04B3"/>
    <w:rsid w:val="001C4353"/>
    <w:rsid w:val="001C74A0"/>
    <w:rsid w:val="001C7AC7"/>
    <w:rsid w:val="001D2496"/>
    <w:rsid w:val="001D58FE"/>
    <w:rsid w:val="001D7984"/>
    <w:rsid w:val="001E2189"/>
    <w:rsid w:val="001E290B"/>
    <w:rsid w:val="001E38CA"/>
    <w:rsid w:val="001E61F5"/>
    <w:rsid w:val="001E6210"/>
    <w:rsid w:val="001F2E18"/>
    <w:rsid w:val="001F3555"/>
    <w:rsid w:val="001F54AF"/>
    <w:rsid w:val="002010D4"/>
    <w:rsid w:val="002113E9"/>
    <w:rsid w:val="0021468A"/>
    <w:rsid w:val="002303DE"/>
    <w:rsid w:val="00232C2D"/>
    <w:rsid w:val="00234CD4"/>
    <w:rsid w:val="002353A8"/>
    <w:rsid w:val="00236B3F"/>
    <w:rsid w:val="00236B6A"/>
    <w:rsid w:val="00242613"/>
    <w:rsid w:val="00247B27"/>
    <w:rsid w:val="00252539"/>
    <w:rsid w:val="00253787"/>
    <w:rsid w:val="00254C94"/>
    <w:rsid w:val="00261205"/>
    <w:rsid w:val="00270F7D"/>
    <w:rsid w:val="0027705C"/>
    <w:rsid w:val="00277F34"/>
    <w:rsid w:val="00283F6D"/>
    <w:rsid w:val="002866A2"/>
    <w:rsid w:val="002A0838"/>
    <w:rsid w:val="002A557C"/>
    <w:rsid w:val="002B20A0"/>
    <w:rsid w:val="002B6E8E"/>
    <w:rsid w:val="002B7546"/>
    <w:rsid w:val="002C484E"/>
    <w:rsid w:val="002C666E"/>
    <w:rsid w:val="002D1756"/>
    <w:rsid w:val="002D5ADC"/>
    <w:rsid w:val="002D76DC"/>
    <w:rsid w:val="002D7E39"/>
    <w:rsid w:val="002E3F07"/>
    <w:rsid w:val="002E57A1"/>
    <w:rsid w:val="002F387D"/>
    <w:rsid w:val="00302336"/>
    <w:rsid w:val="0031371A"/>
    <w:rsid w:val="003140B9"/>
    <w:rsid w:val="00316F96"/>
    <w:rsid w:val="00322AB6"/>
    <w:rsid w:val="0032382E"/>
    <w:rsid w:val="00331375"/>
    <w:rsid w:val="00331D7A"/>
    <w:rsid w:val="00337C9C"/>
    <w:rsid w:val="00343E12"/>
    <w:rsid w:val="00346D37"/>
    <w:rsid w:val="003506F3"/>
    <w:rsid w:val="003679FE"/>
    <w:rsid w:val="00370915"/>
    <w:rsid w:val="00371731"/>
    <w:rsid w:val="00383294"/>
    <w:rsid w:val="003867C4"/>
    <w:rsid w:val="00386A12"/>
    <w:rsid w:val="0039721B"/>
    <w:rsid w:val="003A5465"/>
    <w:rsid w:val="003B57CE"/>
    <w:rsid w:val="003B6034"/>
    <w:rsid w:val="003B78FF"/>
    <w:rsid w:val="003C129C"/>
    <w:rsid w:val="003D660A"/>
    <w:rsid w:val="003E514A"/>
    <w:rsid w:val="003E5209"/>
    <w:rsid w:val="003E7327"/>
    <w:rsid w:val="003F0C84"/>
    <w:rsid w:val="003F2D46"/>
    <w:rsid w:val="0040213C"/>
    <w:rsid w:val="0040441A"/>
    <w:rsid w:val="00404775"/>
    <w:rsid w:val="00410319"/>
    <w:rsid w:val="004113D8"/>
    <w:rsid w:val="00420444"/>
    <w:rsid w:val="00421C7E"/>
    <w:rsid w:val="00430592"/>
    <w:rsid w:val="0043337E"/>
    <w:rsid w:val="00433DE2"/>
    <w:rsid w:val="00435ED4"/>
    <w:rsid w:val="0043634E"/>
    <w:rsid w:val="00440541"/>
    <w:rsid w:val="004444DE"/>
    <w:rsid w:val="004572FC"/>
    <w:rsid w:val="00461CC3"/>
    <w:rsid w:val="00463C67"/>
    <w:rsid w:val="004643C5"/>
    <w:rsid w:val="00474A75"/>
    <w:rsid w:val="00475EC3"/>
    <w:rsid w:val="004833B0"/>
    <w:rsid w:val="00491256"/>
    <w:rsid w:val="00492913"/>
    <w:rsid w:val="00494B02"/>
    <w:rsid w:val="00496327"/>
    <w:rsid w:val="004A43ED"/>
    <w:rsid w:val="004A5FDE"/>
    <w:rsid w:val="004B1E65"/>
    <w:rsid w:val="004B4182"/>
    <w:rsid w:val="004C02AA"/>
    <w:rsid w:val="004C4C15"/>
    <w:rsid w:val="004C7235"/>
    <w:rsid w:val="004D0F22"/>
    <w:rsid w:val="004D2C33"/>
    <w:rsid w:val="004D5860"/>
    <w:rsid w:val="004D7346"/>
    <w:rsid w:val="004E11EA"/>
    <w:rsid w:val="004E1666"/>
    <w:rsid w:val="004F2F2F"/>
    <w:rsid w:val="004F365C"/>
    <w:rsid w:val="004F4702"/>
    <w:rsid w:val="004F559B"/>
    <w:rsid w:val="00500D0D"/>
    <w:rsid w:val="00505F5B"/>
    <w:rsid w:val="00507746"/>
    <w:rsid w:val="00512837"/>
    <w:rsid w:val="00517C6A"/>
    <w:rsid w:val="00520EFD"/>
    <w:rsid w:val="00524356"/>
    <w:rsid w:val="005313E7"/>
    <w:rsid w:val="00534A35"/>
    <w:rsid w:val="005371CF"/>
    <w:rsid w:val="005435CD"/>
    <w:rsid w:val="00543EFF"/>
    <w:rsid w:val="0054428D"/>
    <w:rsid w:val="0054515E"/>
    <w:rsid w:val="0055147D"/>
    <w:rsid w:val="0055562F"/>
    <w:rsid w:val="005557D4"/>
    <w:rsid w:val="00562FAF"/>
    <w:rsid w:val="005717A8"/>
    <w:rsid w:val="005771FC"/>
    <w:rsid w:val="00577B4A"/>
    <w:rsid w:val="00585774"/>
    <w:rsid w:val="00585BA8"/>
    <w:rsid w:val="00585F83"/>
    <w:rsid w:val="005870BE"/>
    <w:rsid w:val="00591FA6"/>
    <w:rsid w:val="00596015"/>
    <w:rsid w:val="005A2C1F"/>
    <w:rsid w:val="005B1B2F"/>
    <w:rsid w:val="005C0A20"/>
    <w:rsid w:val="005C357F"/>
    <w:rsid w:val="005C53B6"/>
    <w:rsid w:val="005D0C11"/>
    <w:rsid w:val="005D2B90"/>
    <w:rsid w:val="005E2DE6"/>
    <w:rsid w:val="005E474C"/>
    <w:rsid w:val="005F2055"/>
    <w:rsid w:val="005F3DAD"/>
    <w:rsid w:val="00610BC6"/>
    <w:rsid w:val="006129EB"/>
    <w:rsid w:val="006206D8"/>
    <w:rsid w:val="00632615"/>
    <w:rsid w:val="00634A66"/>
    <w:rsid w:val="00635BD0"/>
    <w:rsid w:val="00644515"/>
    <w:rsid w:val="00653348"/>
    <w:rsid w:val="006553BF"/>
    <w:rsid w:val="00664D34"/>
    <w:rsid w:val="00665823"/>
    <w:rsid w:val="00672269"/>
    <w:rsid w:val="00673902"/>
    <w:rsid w:val="006863A4"/>
    <w:rsid w:val="00686AF6"/>
    <w:rsid w:val="006A73CD"/>
    <w:rsid w:val="006A7B5A"/>
    <w:rsid w:val="006B1E6C"/>
    <w:rsid w:val="006B4583"/>
    <w:rsid w:val="006C313E"/>
    <w:rsid w:val="006C3884"/>
    <w:rsid w:val="006D0ED4"/>
    <w:rsid w:val="006D2169"/>
    <w:rsid w:val="006E5031"/>
    <w:rsid w:val="006E7977"/>
    <w:rsid w:val="006F1A76"/>
    <w:rsid w:val="00701094"/>
    <w:rsid w:val="00703F34"/>
    <w:rsid w:val="007109F5"/>
    <w:rsid w:val="00715F5D"/>
    <w:rsid w:val="00721059"/>
    <w:rsid w:val="00723884"/>
    <w:rsid w:val="0072442A"/>
    <w:rsid w:val="00735E4B"/>
    <w:rsid w:val="00751878"/>
    <w:rsid w:val="00753CD6"/>
    <w:rsid w:val="00756F74"/>
    <w:rsid w:val="00764366"/>
    <w:rsid w:val="00783AA1"/>
    <w:rsid w:val="007853D2"/>
    <w:rsid w:val="007858F5"/>
    <w:rsid w:val="0078608A"/>
    <w:rsid w:val="00790065"/>
    <w:rsid w:val="00792956"/>
    <w:rsid w:val="00793586"/>
    <w:rsid w:val="00794A64"/>
    <w:rsid w:val="007A0471"/>
    <w:rsid w:val="007A0ECE"/>
    <w:rsid w:val="007A12CF"/>
    <w:rsid w:val="007A1A3B"/>
    <w:rsid w:val="007A3A5B"/>
    <w:rsid w:val="007B067C"/>
    <w:rsid w:val="007B1163"/>
    <w:rsid w:val="007D18C7"/>
    <w:rsid w:val="007E6159"/>
    <w:rsid w:val="007F1CA7"/>
    <w:rsid w:val="007F2CB7"/>
    <w:rsid w:val="007F5BB4"/>
    <w:rsid w:val="007F632E"/>
    <w:rsid w:val="00800FAA"/>
    <w:rsid w:val="00802747"/>
    <w:rsid w:val="008055F8"/>
    <w:rsid w:val="00806B27"/>
    <w:rsid w:val="00815787"/>
    <w:rsid w:val="00816D50"/>
    <w:rsid w:val="0082350B"/>
    <w:rsid w:val="00824735"/>
    <w:rsid w:val="008327CA"/>
    <w:rsid w:val="008342F9"/>
    <w:rsid w:val="00835AFB"/>
    <w:rsid w:val="00836689"/>
    <w:rsid w:val="0085104E"/>
    <w:rsid w:val="0085356A"/>
    <w:rsid w:val="00854B08"/>
    <w:rsid w:val="00861D26"/>
    <w:rsid w:val="00866089"/>
    <w:rsid w:val="00867398"/>
    <w:rsid w:val="008707CF"/>
    <w:rsid w:val="00870BE8"/>
    <w:rsid w:val="00873F60"/>
    <w:rsid w:val="00885C86"/>
    <w:rsid w:val="00890057"/>
    <w:rsid w:val="008958BC"/>
    <w:rsid w:val="00896970"/>
    <w:rsid w:val="0089773B"/>
    <w:rsid w:val="008A50FE"/>
    <w:rsid w:val="008A52D0"/>
    <w:rsid w:val="008A5611"/>
    <w:rsid w:val="008A7B58"/>
    <w:rsid w:val="008B373B"/>
    <w:rsid w:val="008C0FDB"/>
    <w:rsid w:val="008C4B86"/>
    <w:rsid w:val="008C76B6"/>
    <w:rsid w:val="008D5DBA"/>
    <w:rsid w:val="008D78B1"/>
    <w:rsid w:val="008E0389"/>
    <w:rsid w:val="008E1921"/>
    <w:rsid w:val="008E5D65"/>
    <w:rsid w:val="008F2B41"/>
    <w:rsid w:val="008F7A4C"/>
    <w:rsid w:val="00902FFD"/>
    <w:rsid w:val="009061D7"/>
    <w:rsid w:val="0091152B"/>
    <w:rsid w:val="0091190F"/>
    <w:rsid w:val="00915791"/>
    <w:rsid w:val="009161CB"/>
    <w:rsid w:val="00920966"/>
    <w:rsid w:val="00934394"/>
    <w:rsid w:val="00942FD2"/>
    <w:rsid w:val="00944378"/>
    <w:rsid w:val="00947202"/>
    <w:rsid w:val="00952DE7"/>
    <w:rsid w:val="00956255"/>
    <w:rsid w:val="0095743C"/>
    <w:rsid w:val="009613C5"/>
    <w:rsid w:val="00965C0A"/>
    <w:rsid w:val="00966E92"/>
    <w:rsid w:val="009703B1"/>
    <w:rsid w:val="009852AE"/>
    <w:rsid w:val="00985ED0"/>
    <w:rsid w:val="0099192A"/>
    <w:rsid w:val="00991BE8"/>
    <w:rsid w:val="009A4A00"/>
    <w:rsid w:val="009A5B6D"/>
    <w:rsid w:val="009B0125"/>
    <w:rsid w:val="009B6417"/>
    <w:rsid w:val="009C0BE1"/>
    <w:rsid w:val="009C7CFC"/>
    <w:rsid w:val="009D1F5E"/>
    <w:rsid w:val="009D3266"/>
    <w:rsid w:val="009E078B"/>
    <w:rsid w:val="009E3F28"/>
    <w:rsid w:val="009E5928"/>
    <w:rsid w:val="009F79B1"/>
    <w:rsid w:val="00A0338D"/>
    <w:rsid w:val="00A11EEA"/>
    <w:rsid w:val="00A12667"/>
    <w:rsid w:val="00A25800"/>
    <w:rsid w:val="00A261C8"/>
    <w:rsid w:val="00A31A75"/>
    <w:rsid w:val="00A40D3C"/>
    <w:rsid w:val="00A4359A"/>
    <w:rsid w:val="00A46708"/>
    <w:rsid w:val="00A512E9"/>
    <w:rsid w:val="00A51BCB"/>
    <w:rsid w:val="00A56628"/>
    <w:rsid w:val="00A60249"/>
    <w:rsid w:val="00A7138C"/>
    <w:rsid w:val="00A737CE"/>
    <w:rsid w:val="00A84207"/>
    <w:rsid w:val="00A8595A"/>
    <w:rsid w:val="00A9753E"/>
    <w:rsid w:val="00AA0476"/>
    <w:rsid w:val="00AA2AB1"/>
    <w:rsid w:val="00AA5953"/>
    <w:rsid w:val="00AA6843"/>
    <w:rsid w:val="00AB599B"/>
    <w:rsid w:val="00AC11B9"/>
    <w:rsid w:val="00AC1553"/>
    <w:rsid w:val="00AD05D8"/>
    <w:rsid w:val="00AF0CAC"/>
    <w:rsid w:val="00AF133A"/>
    <w:rsid w:val="00B001B5"/>
    <w:rsid w:val="00B0143A"/>
    <w:rsid w:val="00B12FF6"/>
    <w:rsid w:val="00B15516"/>
    <w:rsid w:val="00B1595B"/>
    <w:rsid w:val="00B21F74"/>
    <w:rsid w:val="00B21F9B"/>
    <w:rsid w:val="00B23439"/>
    <w:rsid w:val="00B23989"/>
    <w:rsid w:val="00B445A7"/>
    <w:rsid w:val="00B5304D"/>
    <w:rsid w:val="00B535F7"/>
    <w:rsid w:val="00B56ED0"/>
    <w:rsid w:val="00B72B25"/>
    <w:rsid w:val="00B75AAB"/>
    <w:rsid w:val="00B80317"/>
    <w:rsid w:val="00B8258F"/>
    <w:rsid w:val="00B83198"/>
    <w:rsid w:val="00B848D7"/>
    <w:rsid w:val="00B91BCF"/>
    <w:rsid w:val="00BA034E"/>
    <w:rsid w:val="00BB073A"/>
    <w:rsid w:val="00BB1341"/>
    <w:rsid w:val="00BB2263"/>
    <w:rsid w:val="00BB73A7"/>
    <w:rsid w:val="00BC341E"/>
    <w:rsid w:val="00BD489F"/>
    <w:rsid w:val="00BD68D0"/>
    <w:rsid w:val="00BD765C"/>
    <w:rsid w:val="00BE442B"/>
    <w:rsid w:val="00BE46DE"/>
    <w:rsid w:val="00BE5604"/>
    <w:rsid w:val="00BF5A49"/>
    <w:rsid w:val="00BF5AAA"/>
    <w:rsid w:val="00BF5F58"/>
    <w:rsid w:val="00C00039"/>
    <w:rsid w:val="00C02F37"/>
    <w:rsid w:val="00C10624"/>
    <w:rsid w:val="00C13299"/>
    <w:rsid w:val="00C14FF5"/>
    <w:rsid w:val="00C2747D"/>
    <w:rsid w:val="00C320AA"/>
    <w:rsid w:val="00C33CC9"/>
    <w:rsid w:val="00C347C6"/>
    <w:rsid w:val="00C42755"/>
    <w:rsid w:val="00C4477C"/>
    <w:rsid w:val="00C465E0"/>
    <w:rsid w:val="00C47085"/>
    <w:rsid w:val="00C51F2D"/>
    <w:rsid w:val="00C569E0"/>
    <w:rsid w:val="00C60C53"/>
    <w:rsid w:val="00C61A5D"/>
    <w:rsid w:val="00C63302"/>
    <w:rsid w:val="00C63664"/>
    <w:rsid w:val="00C709D2"/>
    <w:rsid w:val="00C72629"/>
    <w:rsid w:val="00C805CC"/>
    <w:rsid w:val="00C815FE"/>
    <w:rsid w:val="00C86C3C"/>
    <w:rsid w:val="00C915CB"/>
    <w:rsid w:val="00C96B19"/>
    <w:rsid w:val="00CB1EC1"/>
    <w:rsid w:val="00CB58EC"/>
    <w:rsid w:val="00CC19C3"/>
    <w:rsid w:val="00CC233F"/>
    <w:rsid w:val="00CC2A2E"/>
    <w:rsid w:val="00CC3149"/>
    <w:rsid w:val="00CC343E"/>
    <w:rsid w:val="00CD0133"/>
    <w:rsid w:val="00CD23CA"/>
    <w:rsid w:val="00CD2EA5"/>
    <w:rsid w:val="00CD67A7"/>
    <w:rsid w:val="00CE1CF9"/>
    <w:rsid w:val="00CE48B8"/>
    <w:rsid w:val="00CE5BF9"/>
    <w:rsid w:val="00CE6402"/>
    <w:rsid w:val="00CE790A"/>
    <w:rsid w:val="00CF240E"/>
    <w:rsid w:val="00CF566C"/>
    <w:rsid w:val="00CF772E"/>
    <w:rsid w:val="00D17AC9"/>
    <w:rsid w:val="00D213C7"/>
    <w:rsid w:val="00D23C0C"/>
    <w:rsid w:val="00D41882"/>
    <w:rsid w:val="00D419BE"/>
    <w:rsid w:val="00D429AB"/>
    <w:rsid w:val="00D43955"/>
    <w:rsid w:val="00D43CF4"/>
    <w:rsid w:val="00D47F4C"/>
    <w:rsid w:val="00D52107"/>
    <w:rsid w:val="00D55DE1"/>
    <w:rsid w:val="00D64FF1"/>
    <w:rsid w:val="00D7044D"/>
    <w:rsid w:val="00D81475"/>
    <w:rsid w:val="00D82313"/>
    <w:rsid w:val="00D83903"/>
    <w:rsid w:val="00D901D9"/>
    <w:rsid w:val="00D95785"/>
    <w:rsid w:val="00DA08BC"/>
    <w:rsid w:val="00DA1A11"/>
    <w:rsid w:val="00DA3266"/>
    <w:rsid w:val="00DA595F"/>
    <w:rsid w:val="00DB4C98"/>
    <w:rsid w:val="00DC0DAA"/>
    <w:rsid w:val="00DD6D1C"/>
    <w:rsid w:val="00DE0EC9"/>
    <w:rsid w:val="00DF009C"/>
    <w:rsid w:val="00DF46FC"/>
    <w:rsid w:val="00DF67A0"/>
    <w:rsid w:val="00E01B36"/>
    <w:rsid w:val="00E0485C"/>
    <w:rsid w:val="00E0505A"/>
    <w:rsid w:val="00E14E42"/>
    <w:rsid w:val="00E1668C"/>
    <w:rsid w:val="00E20125"/>
    <w:rsid w:val="00E25E60"/>
    <w:rsid w:val="00E3081C"/>
    <w:rsid w:val="00E350C8"/>
    <w:rsid w:val="00E35B77"/>
    <w:rsid w:val="00E36100"/>
    <w:rsid w:val="00E36E92"/>
    <w:rsid w:val="00E419EC"/>
    <w:rsid w:val="00E43227"/>
    <w:rsid w:val="00E457DB"/>
    <w:rsid w:val="00E47FEA"/>
    <w:rsid w:val="00E6107E"/>
    <w:rsid w:val="00E86276"/>
    <w:rsid w:val="00E86613"/>
    <w:rsid w:val="00E86C4C"/>
    <w:rsid w:val="00E91C6C"/>
    <w:rsid w:val="00E924F3"/>
    <w:rsid w:val="00E930B5"/>
    <w:rsid w:val="00E93E42"/>
    <w:rsid w:val="00E947E5"/>
    <w:rsid w:val="00E949D5"/>
    <w:rsid w:val="00E961DD"/>
    <w:rsid w:val="00EA259A"/>
    <w:rsid w:val="00EA3384"/>
    <w:rsid w:val="00EB408D"/>
    <w:rsid w:val="00EC10C8"/>
    <w:rsid w:val="00EC2F68"/>
    <w:rsid w:val="00EC49D9"/>
    <w:rsid w:val="00ED142D"/>
    <w:rsid w:val="00EE02CE"/>
    <w:rsid w:val="00EF4351"/>
    <w:rsid w:val="00EF5B79"/>
    <w:rsid w:val="00F00B5D"/>
    <w:rsid w:val="00F0458D"/>
    <w:rsid w:val="00F04F3F"/>
    <w:rsid w:val="00F275C7"/>
    <w:rsid w:val="00F353F3"/>
    <w:rsid w:val="00F404DC"/>
    <w:rsid w:val="00F41876"/>
    <w:rsid w:val="00F5025C"/>
    <w:rsid w:val="00F51799"/>
    <w:rsid w:val="00F53272"/>
    <w:rsid w:val="00F5524D"/>
    <w:rsid w:val="00F55E23"/>
    <w:rsid w:val="00F67A12"/>
    <w:rsid w:val="00F71B8B"/>
    <w:rsid w:val="00F75D8B"/>
    <w:rsid w:val="00F87394"/>
    <w:rsid w:val="00F91823"/>
    <w:rsid w:val="00F970A3"/>
    <w:rsid w:val="00FA1E95"/>
    <w:rsid w:val="00FA6FF8"/>
    <w:rsid w:val="00FB227E"/>
    <w:rsid w:val="00FB54B5"/>
    <w:rsid w:val="00FD0A4D"/>
    <w:rsid w:val="00FD2BB8"/>
    <w:rsid w:val="00FD34DA"/>
    <w:rsid w:val="00FD3BEA"/>
    <w:rsid w:val="00FD7C4B"/>
    <w:rsid w:val="00FE05A4"/>
    <w:rsid w:val="00FE4D56"/>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 id="V:Rule2" type="connector" idref="#_x0000_s1027"/>
        <o:r id="V:Rule3" type="connector" idref="#_x0000_s1028"/>
      </o:rules>
    </o:shapelayout>
  </w:shapeDefaults>
  <w:decimalSymbol w:val="."/>
  <w:listSeparator w:val=","/>
  <w14:docId w14:val="5255A61A"/>
  <w15:docId w15:val="{D7A4F17B-6E9F-4068-97DB-0745039D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F28"/>
    <w:rPr>
      <w:rFonts w:eastAsiaTheme="minorEastAsia"/>
    </w:rPr>
  </w:style>
  <w:style w:type="paragraph" w:styleId="Heading1">
    <w:name w:val="heading 1"/>
    <w:basedOn w:val="Normal"/>
    <w:link w:val="Heading1Char"/>
    <w:uiPriority w:val="9"/>
    <w:qFormat/>
    <w:rsid w:val="00FE05A4"/>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3">
    <w:name w:val="heading 3"/>
    <w:basedOn w:val="Normal"/>
    <w:next w:val="Normal"/>
    <w:link w:val="Heading3Char"/>
    <w:uiPriority w:val="9"/>
    <w:semiHidden/>
    <w:unhideWhenUsed/>
    <w:qFormat/>
    <w:rsid w:val="00FE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7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22AB6"/>
    <w:pPr>
      <w:ind w:left="720"/>
      <w:contextualSpacing/>
    </w:pPr>
  </w:style>
  <w:style w:type="character" w:styleId="CommentReference">
    <w:name w:val="annotation reference"/>
    <w:basedOn w:val="DefaultParagraphFont"/>
    <w:uiPriority w:val="99"/>
    <w:semiHidden/>
    <w:unhideWhenUsed/>
    <w:rsid w:val="00383294"/>
    <w:rPr>
      <w:sz w:val="16"/>
      <w:szCs w:val="16"/>
    </w:rPr>
  </w:style>
  <w:style w:type="paragraph" w:styleId="CommentText">
    <w:name w:val="annotation text"/>
    <w:basedOn w:val="Normal"/>
    <w:link w:val="CommentTextChar"/>
    <w:uiPriority w:val="99"/>
    <w:unhideWhenUsed/>
    <w:rsid w:val="00383294"/>
    <w:pPr>
      <w:spacing w:line="240" w:lineRule="auto"/>
    </w:pPr>
    <w:rPr>
      <w:sz w:val="20"/>
      <w:szCs w:val="20"/>
    </w:rPr>
  </w:style>
  <w:style w:type="character" w:customStyle="1" w:styleId="CommentTextChar">
    <w:name w:val="Comment Text Char"/>
    <w:basedOn w:val="DefaultParagraphFont"/>
    <w:link w:val="CommentText"/>
    <w:uiPriority w:val="99"/>
    <w:rsid w:val="0038329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3294"/>
    <w:rPr>
      <w:b/>
      <w:bCs/>
    </w:rPr>
  </w:style>
  <w:style w:type="character" w:customStyle="1" w:styleId="CommentSubjectChar">
    <w:name w:val="Comment Subject Char"/>
    <w:basedOn w:val="CommentTextChar"/>
    <w:link w:val="CommentSubject"/>
    <w:uiPriority w:val="99"/>
    <w:semiHidden/>
    <w:rsid w:val="00383294"/>
    <w:rPr>
      <w:rFonts w:eastAsiaTheme="minorEastAsia"/>
      <w:b/>
      <w:bCs/>
      <w:sz w:val="20"/>
      <w:szCs w:val="20"/>
    </w:rPr>
  </w:style>
  <w:style w:type="paragraph" w:styleId="BalloonText">
    <w:name w:val="Balloon Text"/>
    <w:basedOn w:val="Normal"/>
    <w:link w:val="BalloonTextChar"/>
    <w:uiPriority w:val="99"/>
    <w:semiHidden/>
    <w:unhideWhenUsed/>
    <w:rsid w:val="0038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294"/>
    <w:rPr>
      <w:rFonts w:ascii="Tahoma" w:eastAsiaTheme="minorEastAsia" w:hAnsi="Tahoma" w:cs="Tahoma"/>
      <w:sz w:val="16"/>
      <w:szCs w:val="16"/>
    </w:rPr>
  </w:style>
  <w:style w:type="paragraph" w:styleId="Subtitle">
    <w:name w:val="Subtitle"/>
    <w:basedOn w:val="Normal"/>
    <w:next w:val="Normal"/>
    <w:link w:val="SubtitleChar"/>
    <w:uiPriority w:val="11"/>
    <w:qFormat/>
    <w:rsid w:val="006D0ED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0ED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410319"/>
    <w:pPr>
      <w:spacing w:after="0" w:line="240" w:lineRule="auto"/>
    </w:pPr>
    <w:rPr>
      <w:rFonts w:eastAsiaTheme="minorEastAsia"/>
    </w:rPr>
  </w:style>
  <w:style w:type="paragraph" w:customStyle="1" w:styleId="p1">
    <w:name w:val="p1"/>
    <w:basedOn w:val="Normal"/>
    <w:rsid w:val="00E961DD"/>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1">
    <w:name w:val="s1"/>
    <w:basedOn w:val="DefaultParagraphFont"/>
    <w:rsid w:val="00E961DD"/>
  </w:style>
  <w:style w:type="paragraph" w:customStyle="1" w:styleId="p2">
    <w:name w:val="p2"/>
    <w:basedOn w:val="Normal"/>
    <w:rsid w:val="00E961DD"/>
    <w:pPr>
      <w:spacing w:before="100" w:beforeAutospacing="1" w:after="100" w:afterAutospacing="1" w:line="240" w:lineRule="auto"/>
    </w:pPr>
    <w:rPr>
      <w:rFonts w:ascii="Times New Roman" w:hAnsi="Times New Roman" w:cs="Times New Roman"/>
      <w:sz w:val="24"/>
      <w:szCs w:val="24"/>
      <w:lang w:val="en-IN" w:eastAsia="en-GB"/>
    </w:rPr>
  </w:style>
  <w:style w:type="character" w:customStyle="1" w:styleId="s2">
    <w:name w:val="s2"/>
    <w:basedOn w:val="DefaultParagraphFont"/>
    <w:rsid w:val="00E961DD"/>
  </w:style>
  <w:style w:type="paragraph" w:customStyle="1" w:styleId="text-justify">
    <w:name w:val="text-justify"/>
    <w:basedOn w:val="Normal"/>
    <w:rsid w:val="007A0ECE"/>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pple-converted-space">
    <w:name w:val="apple-converted-space"/>
    <w:basedOn w:val="DefaultParagraphFont"/>
    <w:rsid w:val="00CC2A2E"/>
  </w:style>
  <w:style w:type="paragraph" w:styleId="Header">
    <w:name w:val="header"/>
    <w:basedOn w:val="Normal"/>
    <w:link w:val="HeaderChar"/>
    <w:uiPriority w:val="99"/>
    <w:unhideWhenUsed/>
    <w:rsid w:val="00816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D50"/>
    <w:rPr>
      <w:rFonts w:eastAsiaTheme="minorEastAsia"/>
    </w:rPr>
  </w:style>
  <w:style w:type="paragraph" w:styleId="Footer">
    <w:name w:val="footer"/>
    <w:basedOn w:val="Normal"/>
    <w:link w:val="FooterChar"/>
    <w:uiPriority w:val="99"/>
    <w:unhideWhenUsed/>
    <w:rsid w:val="00816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D50"/>
    <w:rPr>
      <w:rFonts w:eastAsiaTheme="minorEastAsia"/>
    </w:rPr>
  </w:style>
  <w:style w:type="character" w:styleId="PlaceholderText">
    <w:name w:val="Placeholder Text"/>
    <w:basedOn w:val="DefaultParagraphFont"/>
    <w:uiPriority w:val="99"/>
    <w:semiHidden/>
    <w:rsid w:val="00965C0A"/>
    <w:rPr>
      <w:color w:val="808080"/>
    </w:rPr>
  </w:style>
  <w:style w:type="paragraph" w:styleId="Title">
    <w:name w:val="Title"/>
    <w:basedOn w:val="Normal"/>
    <w:next w:val="Normal"/>
    <w:link w:val="TitleChar"/>
    <w:uiPriority w:val="99"/>
    <w:qFormat/>
    <w:rsid w:val="00D64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64FF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rsid w:val="00D64FF1"/>
    <w:pPr>
      <w:spacing w:after="0" w:line="360" w:lineRule="auto"/>
      <w:jc w:val="both"/>
    </w:pPr>
    <w:rPr>
      <w:rFonts w:ascii="Times New Roman" w:hAnsi="Times New Roman" w:cs="Times New Roman"/>
      <w:sz w:val="27"/>
      <w:szCs w:val="27"/>
    </w:rPr>
  </w:style>
  <w:style w:type="character" w:customStyle="1" w:styleId="BodyTextChar">
    <w:name w:val="Body Text Char"/>
    <w:basedOn w:val="DefaultParagraphFont"/>
    <w:link w:val="BodyText"/>
    <w:uiPriority w:val="99"/>
    <w:rsid w:val="00D64FF1"/>
    <w:rPr>
      <w:rFonts w:ascii="Times New Roman" w:eastAsiaTheme="minorEastAsia" w:hAnsi="Times New Roman" w:cs="Times New Roman"/>
      <w:sz w:val="27"/>
      <w:szCs w:val="27"/>
    </w:rPr>
  </w:style>
  <w:style w:type="character" w:customStyle="1" w:styleId="Heading1Char">
    <w:name w:val="Heading 1 Char"/>
    <w:basedOn w:val="DefaultParagraphFont"/>
    <w:link w:val="Heading1"/>
    <w:uiPriority w:val="9"/>
    <w:rsid w:val="00FE05A4"/>
    <w:rPr>
      <w:rFonts w:ascii="Times New Roman" w:eastAsia="Times New Roman" w:hAnsi="Times New Roman" w:cs="Times New Roman"/>
      <w:b/>
      <w:bCs/>
      <w:kern w:val="36"/>
      <w:sz w:val="48"/>
      <w:szCs w:val="48"/>
      <w:lang w:bidi="ta-IN"/>
    </w:rPr>
  </w:style>
  <w:style w:type="character" w:styleId="Strong">
    <w:name w:val="Strong"/>
    <w:basedOn w:val="DefaultParagraphFont"/>
    <w:uiPriority w:val="22"/>
    <w:qFormat/>
    <w:rsid w:val="00FE05A4"/>
    <w:rPr>
      <w:b/>
      <w:bCs/>
    </w:rPr>
  </w:style>
  <w:style w:type="paragraph" w:styleId="NormalWeb">
    <w:name w:val="Normal (Web)"/>
    <w:basedOn w:val="Normal"/>
    <w:uiPriority w:val="99"/>
    <w:semiHidden/>
    <w:unhideWhenUsed/>
    <w:rsid w:val="00FE05A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3Char">
    <w:name w:val="Heading 3 Char"/>
    <w:basedOn w:val="DefaultParagraphFont"/>
    <w:link w:val="Heading3"/>
    <w:uiPriority w:val="9"/>
    <w:semiHidden/>
    <w:rsid w:val="00FE05A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F006B"/>
    <w:rPr>
      <w:color w:val="0000FF" w:themeColor="hyperlink"/>
      <w:u w:val="single"/>
    </w:rPr>
  </w:style>
  <w:style w:type="paragraph" w:customStyle="1" w:styleId="Default">
    <w:name w:val="Default"/>
    <w:rsid w:val="000F006B"/>
    <w:pPr>
      <w:autoSpaceDE w:val="0"/>
      <w:autoSpaceDN w:val="0"/>
      <w:adjustRightInd w:val="0"/>
      <w:spacing w:after="0" w:line="240" w:lineRule="auto"/>
    </w:pPr>
    <w:rPr>
      <w:rFonts w:ascii="Cambria" w:hAnsi="Cambria" w:cs="Cambria"/>
      <w:color w:val="000000"/>
      <w:sz w:val="24"/>
      <w:szCs w:val="24"/>
    </w:rPr>
  </w:style>
  <w:style w:type="character" w:customStyle="1" w:styleId="anchor-text">
    <w:name w:val="anchor-text"/>
    <w:basedOn w:val="DefaultParagraphFont"/>
    <w:rsid w:val="000F006B"/>
  </w:style>
  <w:style w:type="character" w:customStyle="1" w:styleId="UnresolvedMention1">
    <w:name w:val="Unresolved Mention1"/>
    <w:basedOn w:val="DefaultParagraphFont"/>
    <w:uiPriority w:val="99"/>
    <w:semiHidden/>
    <w:unhideWhenUsed/>
    <w:rsid w:val="00D95785"/>
    <w:rPr>
      <w:color w:val="605E5C"/>
      <w:shd w:val="clear" w:color="auto" w:fill="E1DFDD"/>
    </w:rPr>
  </w:style>
  <w:style w:type="character" w:customStyle="1" w:styleId="UnresolvedMention">
    <w:name w:val="Unresolved Mention"/>
    <w:basedOn w:val="DefaultParagraphFont"/>
    <w:uiPriority w:val="99"/>
    <w:semiHidden/>
    <w:unhideWhenUsed/>
    <w:rsid w:val="009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975">
      <w:bodyDiv w:val="1"/>
      <w:marLeft w:val="0"/>
      <w:marRight w:val="0"/>
      <w:marTop w:val="0"/>
      <w:marBottom w:val="0"/>
      <w:divBdr>
        <w:top w:val="none" w:sz="0" w:space="0" w:color="auto"/>
        <w:left w:val="none" w:sz="0" w:space="0" w:color="auto"/>
        <w:bottom w:val="none" w:sz="0" w:space="0" w:color="auto"/>
        <w:right w:val="none" w:sz="0" w:space="0" w:color="auto"/>
      </w:divBdr>
    </w:div>
    <w:div w:id="275910508">
      <w:bodyDiv w:val="1"/>
      <w:marLeft w:val="0"/>
      <w:marRight w:val="0"/>
      <w:marTop w:val="0"/>
      <w:marBottom w:val="0"/>
      <w:divBdr>
        <w:top w:val="none" w:sz="0" w:space="0" w:color="auto"/>
        <w:left w:val="none" w:sz="0" w:space="0" w:color="auto"/>
        <w:bottom w:val="none" w:sz="0" w:space="0" w:color="auto"/>
        <w:right w:val="none" w:sz="0" w:space="0" w:color="auto"/>
      </w:divBdr>
      <w:divsChild>
        <w:div w:id="1832982079">
          <w:marLeft w:val="0"/>
          <w:marRight w:val="0"/>
          <w:marTop w:val="0"/>
          <w:marBottom w:val="240"/>
          <w:divBdr>
            <w:top w:val="none" w:sz="0" w:space="0" w:color="auto"/>
            <w:left w:val="none" w:sz="0" w:space="0" w:color="auto"/>
            <w:bottom w:val="none" w:sz="0" w:space="0" w:color="auto"/>
            <w:right w:val="none" w:sz="0" w:space="0" w:color="auto"/>
          </w:divBdr>
          <w:divsChild>
            <w:div w:id="770249195">
              <w:marLeft w:val="0"/>
              <w:marRight w:val="0"/>
              <w:marTop w:val="0"/>
              <w:marBottom w:val="0"/>
              <w:divBdr>
                <w:top w:val="none" w:sz="0" w:space="0" w:color="auto"/>
                <w:left w:val="none" w:sz="0" w:space="0" w:color="auto"/>
                <w:bottom w:val="none" w:sz="0" w:space="0" w:color="auto"/>
                <w:right w:val="none" w:sz="0" w:space="0" w:color="auto"/>
              </w:divBdr>
            </w:div>
          </w:divsChild>
        </w:div>
        <w:div w:id="1741171799">
          <w:marLeft w:val="0"/>
          <w:marRight w:val="0"/>
          <w:marTop w:val="0"/>
          <w:marBottom w:val="0"/>
          <w:divBdr>
            <w:top w:val="none" w:sz="0" w:space="0" w:color="auto"/>
            <w:left w:val="none" w:sz="0" w:space="0" w:color="auto"/>
            <w:bottom w:val="none" w:sz="0" w:space="0" w:color="auto"/>
            <w:right w:val="none" w:sz="0" w:space="0" w:color="auto"/>
          </w:divBdr>
          <w:divsChild>
            <w:div w:id="1184437849">
              <w:marLeft w:val="0"/>
              <w:marRight w:val="0"/>
              <w:marTop w:val="0"/>
              <w:marBottom w:val="0"/>
              <w:divBdr>
                <w:top w:val="none" w:sz="0" w:space="0" w:color="auto"/>
                <w:left w:val="none" w:sz="0" w:space="0" w:color="auto"/>
                <w:bottom w:val="none" w:sz="0" w:space="0" w:color="auto"/>
                <w:right w:val="none" w:sz="0" w:space="0" w:color="auto"/>
              </w:divBdr>
              <w:divsChild>
                <w:div w:id="2118673023">
                  <w:marLeft w:val="1740"/>
                  <w:marRight w:val="0"/>
                  <w:marTop w:val="0"/>
                  <w:marBottom w:val="240"/>
                  <w:divBdr>
                    <w:top w:val="none" w:sz="0" w:space="0" w:color="auto"/>
                    <w:left w:val="none" w:sz="0" w:space="0" w:color="auto"/>
                    <w:bottom w:val="none" w:sz="0" w:space="0" w:color="auto"/>
                    <w:right w:val="none" w:sz="0" w:space="0" w:color="auto"/>
                  </w:divBdr>
                </w:div>
              </w:divsChild>
            </w:div>
            <w:div w:id="1221526520">
              <w:marLeft w:val="0"/>
              <w:marRight w:val="0"/>
              <w:marTop w:val="0"/>
              <w:marBottom w:val="0"/>
              <w:divBdr>
                <w:top w:val="none" w:sz="0" w:space="0" w:color="auto"/>
                <w:left w:val="none" w:sz="0" w:space="0" w:color="auto"/>
                <w:bottom w:val="none" w:sz="0" w:space="0" w:color="auto"/>
                <w:right w:val="none" w:sz="0" w:space="0" w:color="auto"/>
              </w:divBdr>
              <w:divsChild>
                <w:div w:id="1716277592">
                  <w:marLeft w:val="1740"/>
                  <w:marRight w:val="0"/>
                  <w:marTop w:val="0"/>
                  <w:marBottom w:val="240"/>
                  <w:divBdr>
                    <w:top w:val="none" w:sz="0" w:space="0" w:color="auto"/>
                    <w:left w:val="none" w:sz="0" w:space="0" w:color="auto"/>
                    <w:bottom w:val="none" w:sz="0" w:space="0" w:color="auto"/>
                    <w:right w:val="none" w:sz="0" w:space="0" w:color="auto"/>
                  </w:divBdr>
                </w:div>
              </w:divsChild>
            </w:div>
            <w:div w:id="265966391">
              <w:marLeft w:val="0"/>
              <w:marRight w:val="0"/>
              <w:marTop w:val="0"/>
              <w:marBottom w:val="0"/>
              <w:divBdr>
                <w:top w:val="none" w:sz="0" w:space="0" w:color="auto"/>
                <w:left w:val="none" w:sz="0" w:space="0" w:color="auto"/>
                <w:bottom w:val="none" w:sz="0" w:space="0" w:color="auto"/>
                <w:right w:val="none" w:sz="0" w:space="0" w:color="auto"/>
              </w:divBdr>
              <w:divsChild>
                <w:div w:id="1287348244">
                  <w:marLeft w:val="1740"/>
                  <w:marRight w:val="0"/>
                  <w:marTop w:val="0"/>
                  <w:marBottom w:val="240"/>
                  <w:divBdr>
                    <w:top w:val="none" w:sz="0" w:space="0" w:color="auto"/>
                    <w:left w:val="none" w:sz="0" w:space="0" w:color="auto"/>
                    <w:bottom w:val="none" w:sz="0" w:space="0" w:color="auto"/>
                    <w:right w:val="none" w:sz="0" w:space="0" w:color="auto"/>
                  </w:divBdr>
                </w:div>
              </w:divsChild>
            </w:div>
            <w:div w:id="1986158228">
              <w:marLeft w:val="0"/>
              <w:marRight w:val="0"/>
              <w:marTop w:val="0"/>
              <w:marBottom w:val="0"/>
              <w:divBdr>
                <w:top w:val="none" w:sz="0" w:space="0" w:color="auto"/>
                <w:left w:val="none" w:sz="0" w:space="0" w:color="auto"/>
                <w:bottom w:val="none" w:sz="0" w:space="0" w:color="auto"/>
                <w:right w:val="none" w:sz="0" w:space="0" w:color="auto"/>
              </w:divBdr>
              <w:divsChild>
                <w:div w:id="34309178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91711697">
      <w:bodyDiv w:val="1"/>
      <w:marLeft w:val="0"/>
      <w:marRight w:val="0"/>
      <w:marTop w:val="0"/>
      <w:marBottom w:val="0"/>
      <w:divBdr>
        <w:top w:val="none" w:sz="0" w:space="0" w:color="auto"/>
        <w:left w:val="none" w:sz="0" w:space="0" w:color="auto"/>
        <w:bottom w:val="none" w:sz="0" w:space="0" w:color="auto"/>
        <w:right w:val="none" w:sz="0" w:space="0" w:color="auto"/>
      </w:divBdr>
      <w:divsChild>
        <w:div w:id="481895930">
          <w:marLeft w:val="547"/>
          <w:marRight w:val="0"/>
          <w:marTop w:val="86"/>
          <w:marBottom w:val="0"/>
          <w:divBdr>
            <w:top w:val="none" w:sz="0" w:space="0" w:color="auto"/>
            <w:left w:val="none" w:sz="0" w:space="0" w:color="auto"/>
            <w:bottom w:val="none" w:sz="0" w:space="0" w:color="auto"/>
            <w:right w:val="none" w:sz="0" w:space="0" w:color="auto"/>
          </w:divBdr>
        </w:div>
        <w:div w:id="2075858658">
          <w:marLeft w:val="547"/>
          <w:marRight w:val="0"/>
          <w:marTop w:val="86"/>
          <w:marBottom w:val="0"/>
          <w:divBdr>
            <w:top w:val="none" w:sz="0" w:space="0" w:color="auto"/>
            <w:left w:val="none" w:sz="0" w:space="0" w:color="auto"/>
            <w:bottom w:val="none" w:sz="0" w:space="0" w:color="auto"/>
            <w:right w:val="none" w:sz="0" w:space="0" w:color="auto"/>
          </w:divBdr>
        </w:div>
        <w:div w:id="1865510246">
          <w:marLeft w:val="547"/>
          <w:marRight w:val="0"/>
          <w:marTop w:val="86"/>
          <w:marBottom w:val="0"/>
          <w:divBdr>
            <w:top w:val="none" w:sz="0" w:space="0" w:color="auto"/>
            <w:left w:val="none" w:sz="0" w:space="0" w:color="auto"/>
            <w:bottom w:val="none" w:sz="0" w:space="0" w:color="auto"/>
            <w:right w:val="none" w:sz="0" w:space="0" w:color="auto"/>
          </w:divBdr>
        </w:div>
        <w:div w:id="216626898">
          <w:marLeft w:val="547"/>
          <w:marRight w:val="0"/>
          <w:marTop w:val="86"/>
          <w:marBottom w:val="0"/>
          <w:divBdr>
            <w:top w:val="none" w:sz="0" w:space="0" w:color="auto"/>
            <w:left w:val="none" w:sz="0" w:space="0" w:color="auto"/>
            <w:bottom w:val="none" w:sz="0" w:space="0" w:color="auto"/>
            <w:right w:val="none" w:sz="0" w:space="0" w:color="auto"/>
          </w:divBdr>
        </w:div>
        <w:div w:id="259610937">
          <w:marLeft w:val="547"/>
          <w:marRight w:val="0"/>
          <w:marTop w:val="86"/>
          <w:marBottom w:val="0"/>
          <w:divBdr>
            <w:top w:val="none" w:sz="0" w:space="0" w:color="auto"/>
            <w:left w:val="none" w:sz="0" w:space="0" w:color="auto"/>
            <w:bottom w:val="none" w:sz="0" w:space="0" w:color="auto"/>
            <w:right w:val="none" w:sz="0" w:space="0" w:color="auto"/>
          </w:divBdr>
        </w:div>
        <w:div w:id="2095734764">
          <w:marLeft w:val="547"/>
          <w:marRight w:val="0"/>
          <w:marTop w:val="86"/>
          <w:marBottom w:val="0"/>
          <w:divBdr>
            <w:top w:val="none" w:sz="0" w:space="0" w:color="auto"/>
            <w:left w:val="none" w:sz="0" w:space="0" w:color="auto"/>
            <w:bottom w:val="none" w:sz="0" w:space="0" w:color="auto"/>
            <w:right w:val="none" w:sz="0" w:space="0" w:color="auto"/>
          </w:divBdr>
        </w:div>
        <w:div w:id="54745331">
          <w:marLeft w:val="547"/>
          <w:marRight w:val="0"/>
          <w:marTop w:val="86"/>
          <w:marBottom w:val="0"/>
          <w:divBdr>
            <w:top w:val="none" w:sz="0" w:space="0" w:color="auto"/>
            <w:left w:val="none" w:sz="0" w:space="0" w:color="auto"/>
            <w:bottom w:val="none" w:sz="0" w:space="0" w:color="auto"/>
            <w:right w:val="none" w:sz="0" w:space="0" w:color="auto"/>
          </w:divBdr>
        </w:div>
      </w:divsChild>
    </w:div>
    <w:div w:id="297730526">
      <w:bodyDiv w:val="1"/>
      <w:marLeft w:val="0"/>
      <w:marRight w:val="0"/>
      <w:marTop w:val="0"/>
      <w:marBottom w:val="0"/>
      <w:divBdr>
        <w:top w:val="none" w:sz="0" w:space="0" w:color="auto"/>
        <w:left w:val="none" w:sz="0" w:space="0" w:color="auto"/>
        <w:bottom w:val="none" w:sz="0" w:space="0" w:color="auto"/>
        <w:right w:val="none" w:sz="0" w:space="0" w:color="auto"/>
      </w:divBdr>
      <w:divsChild>
        <w:div w:id="2106923207">
          <w:marLeft w:val="0"/>
          <w:marRight w:val="0"/>
          <w:marTop w:val="0"/>
          <w:marBottom w:val="0"/>
          <w:divBdr>
            <w:top w:val="none" w:sz="0" w:space="0" w:color="auto"/>
            <w:left w:val="none" w:sz="0" w:space="0" w:color="auto"/>
            <w:bottom w:val="none" w:sz="0" w:space="0" w:color="auto"/>
            <w:right w:val="none" w:sz="0" w:space="0" w:color="auto"/>
          </w:divBdr>
          <w:divsChild>
            <w:div w:id="168023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5438">
      <w:bodyDiv w:val="1"/>
      <w:marLeft w:val="0"/>
      <w:marRight w:val="0"/>
      <w:marTop w:val="0"/>
      <w:marBottom w:val="0"/>
      <w:divBdr>
        <w:top w:val="none" w:sz="0" w:space="0" w:color="auto"/>
        <w:left w:val="none" w:sz="0" w:space="0" w:color="auto"/>
        <w:bottom w:val="none" w:sz="0" w:space="0" w:color="auto"/>
        <w:right w:val="none" w:sz="0" w:space="0" w:color="auto"/>
      </w:divBdr>
      <w:divsChild>
        <w:div w:id="485240464">
          <w:marLeft w:val="547"/>
          <w:marRight w:val="0"/>
          <w:marTop w:val="86"/>
          <w:marBottom w:val="0"/>
          <w:divBdr>
            <w:top w:val="none" w:sz="0" w:space="0" w:color="auto"/>
            <w:left w:val="none" w:sz="0" w:space="0" w:color="auto"/>
            <w:bottom w:val="none" w:sz="0" w:space="0" w:color="auto"/>
            <w:right w:val="none" w:sz="0" w:space="0" w:color="auto"/>
          </w:divBdr>
        </w:div>
        <w:div w:id="1693534620">
          <w:marLeft w:val="547"/>
          <w:marRight w:val="0"/>
          <w:marTop w:val="86"/>
          <w:marBottom w:val="0"/>
          <w:divBdr>
            <w:top w:val="none" w:sz="0" w:space="0" w:color="auto"/>
            <w:left w:val="none" w:sz="0" w:space="0" w:color="auto"/>
            <w:bottom w:val="none" w:sz="0" w:space="0" w:color="auto"/>
            <w:right w:val="none" w:sz="0" w:space="0" w:color="auto"/>
          </w:divBdr>
        </w:div>
      </w:divsChild>
    </w:div>
    <w:div w:id="450589653">
      <w:bodyDiv w:val="1"/>
      <w:marLeft w:val="0"/>
      <w:marRight w:val="0"/>
      <w:marTop w:val="0"/>
      <w:marBottom w:val="0"/>
      <w:divBdr>
        <w:top w:val="none" w:sz="0" w:space="0" w:color="auto"/>
        <w:left w:val="none" w:sz="0" w:space="0" w:color="auto"/>
        <w:bottom w:val="none" w:sz="0" w:space="0" w:color="auto"/>
        <w:right w:val="none" w:sz="0" w:space="0" w:color="auto"/>
      </w:divBdr>
      <w:divsChild>
        <w:div w:id="37898145">
          <w:marLeft w:val="547"/>
          <w:marRight w:val="0"/>
          <w:marTop w:val="86"/>
          <w:marBottom w:val="0"/>
          <w:divBdr>
            <w:top w:val="none" w:sz="0" w:space="0" w:color="auto"/>
            <w:left w:val="none" w:sz="0" w:space="0" w:color="auto"/>
            <w:bottom w:val="none" w:sz="0" w:space="0" w:color="auto"/>
            <w:right w:val="none" w:sz="0" w:space="0" w:color="auto"/>
          </w:divBdr>
        </w:div>
      </w:divsChild>
    </w:div>
    <w:div w:id="887181503">
      <w:bodyDiv w:val="1"/>
      <w:marLeft w:val="0"/>
      <w:marRight w:val="0"/>
      <w:marTop w:val="0"/>
      <w:marBottom w:val="0"/>
      <w:divBdr>
        <w:top w:val="none" w:sz="0" w:space="0" w:color="auto"/>
        <w:left w:val="none" w:sz="0" w:space="0" w:color="auto"/>
        <w:bottom w:val="none" w:sz="0" w:space="0" w:color="auto"/>
        <w:right w:val="none" w:sz="0" w:space="0" w:color="auto"/>
      </w:divBdr>
    </w:div>
    <w:div w:id="1226334560">
      <w:bodyDiv w:val="1"/>
      <w:marLeft w:val="0"/>
      <w:marRight w:val="0"/>
      <w:marTop w:val="0"/>
      <w:marBottom w:val="0"/>
      <w:divBdr>
        <w:top w:val="none" w:sz="0" w:space="0" w:color="auto"/>
        <w:left w:val="none" w:sz="0" w:space="0" w:color="auto"/>
        <w:bottom w:val="none" w:sz="0" w:space="0" w:color="auto"/>
        <w:right w:val="none" w:sz="0" w:space="0" w:color="auto"/>
      </w:divBdr>
    </w:div>
    <w:div w:id="1295988231">
      <w:bodyDiv w:val="1"/>
      <w:marLeft w:val="0"/>
      <w:marRight w:val="0"/>
      <w:marTop w:val="0"/>
      <w:marBottom w:val="0"/>
      <w:divBdr>
        <w:top w:val="none" w:sz="0" w:space="0" w:color="auto"/>
        <w:left w:val="none" w:sz="0" w:space="0" w:color="auto"/>
        <w:bottom w:val="none" w:sz="0" w:space="0" w:color="auto"/>
        <w:right w:val="none" w:sz="0" w:space="0" w:color="auto"/>
      </w:divBdr>
    </w:div>
    <w:div w:id="1312297136">
      <w:bodyDiv w:val="1"/>
      <w:marLeft w:val="0"/>
      <w:marRight w:val="0"/>
      <w:marTop w:val="0"/>
      <w:marBottom w:val="0"/>
      <w:divBdr>
        <w:top w:val="none" w:sz="0" w:space="0" w:color="auto"/>
        <w:left w:val="none" w:sz="0" w:space="0" w:color="auto"/>
        <w:bottom w:val="none" w:sz="0" w:space="0" w:color="auto"/>
        <w:right w:val="none" w:sz="0" w:space="0" w:color="auto"/>
      </w:divBdr>
      <w:divsChild>
        <w:div w:id="962150514">
          <w:marLeft w:val="547"/>
          <w:marRight w:val="0"/>
          <w:marTop w:val="77"/>
          <w:marBottom w:val="0"/>
          <w:divBdr>
            <w:top w:val="none" w:sz="0" w:space="0" w:color="auto"/>
            <w:left w:val="none" w:sz="0" w:space="0" w:color="auto"/>
            <w:bottom w:val="none" w:sz="0" w:space="0" w:color="auto"/>
            <w:right w:val="none" w:sz="0" w:space="0" w:color="auto"/>
          </w:divBdr>
        </w:div>
        <w:div w:id="1919750566">
          <w:marLeft w:val="547"/>
          <w:marRight w:val="0"/>
          <w:marTop w:val="77"/>
          <w:marBottom w:val="0"/>
          <w:divBdr>
            <w:top w:val="none" w:sz="0" w:space="0" w:color="auto"/>
            <w:left w:val="none" w:sz="0" w:space="0" w:color="auto"/>
            <w:bottom w:val="none" w:sz="0" w:space="0" w:color="auto"/>
            <w:right w:val="none" w:sz="0" w:space="0" w:color="auto"/>
          </w:divBdr>
        </w:div>
        <w:div w:id="718017819">
          <w:marLeft w:val="547"/>
          <w:marRight w:val="0"/>
          <w:marTop w:val="77"/>
          <w:marBottom w:val="0"/>
          <w:divBdr>
            <w:top w:val="none" w:sz="0" w:space="0" w:color="auto"/>
            <w:left w:val="none" w:sz="0" w:space="0" w:color="auto"/>
            <w:bottom w:val="none" w:sz="0" w:space="0" w:color="auto"/>
            <w:right w:val="none" w:sz="0" w:space="0" w:color="auto"/>
          </w:divBdr>
        </w:div>
        <w:div w:id="1307658847">
          <w:marLeft w:val="547"/>
          <w:marRight w:val="0"/>
          <w:marTop w:val="77"/>
          <w:marBottom w:val="0"/>
          <w:divBdr>
            <w:top w:val="none" w:sz="0" w:space="0" w:color="auto"/>
            <w:left w:val="none" w:sz="0" w:space="0" w:color="auto"/>
            <w:bottom w:val="none" w:sz="0" w:space="0" w:color="auto"/>
            <w:right w:val="none" w:sz="0" w:space="0" w:color="auto"/>
          </w:divBdr>
        </w:div>
        <w:div w:id="884485011">
          <w:marLeft w:val="547"/>
          <w:marRight w:val="0"/>
          <w:marTop w:val="77"/>
          <w:marBottom w:val="0"/>
          <w:divBdr>
            <w:top w:val="none" w:sz="0" w:space="0" w:color="auto"/>
            <w:left w:val="none" w:sz="0" w:space="0" w:color="auto"/>
            <w:bottom w:val="none" w:sz="0" w:space="0" w:color="auto"/>
            <w:right w:val="none" w:sz="0" w:space="0" w:color="auto"/>
          </w:divBdr>
        </w:div>
        <w:div w:id="1221475653">
          <w:marLeft w:val="547"/>
          <w:marRight w:val="0"/>
          <w:marTop w:val="77"/>
          <w:marBottom w:val="0"/>
          <w:divBdr>
            <w:top w:val="none" w:sz="0" w:space="0" w:color="auto"/>
            <w:left w:val="none" w:sz="0" w:space="0" w:color="auto"/>
            <w:bottom w:val="none" w:sz="0" w:space="0" w:color="auto"/>
            <w:right w:val="none" w:sz="0" w:space="0" w:color="auto"/>
          </w:divBdr>
        </w:div>
        <w:div w:id="652950634">
          <w:marLeft w:val="547"/>
          <w:marRight w:val="0"/>
          <w:marTop w:val="77"/>
          <w:marBottom w:val="0"/>
          <w:divBdr>
            <w:top w:val="none" w:sz="0" w:space="0" w:color="auto"/>
            <w:left w:val="none" w:sz="0" w:space="0" w:color="auto"/>
            <w:bottom w:val="none" w:sz="0" w:space="0" w:color="auto"/>
            <w:right w:val="none" w:sz="0" w:space="0" w:color="auto"/>
          </w:divBdr>
        </w:div>
      </w:divsChild>
    </w:div>
    <w:div w:id="1439106485">
      <w:bodyDiv w:val="1"/>
      <w:marLeft w:val="0"/>
      <w:marRight w:val="0"/>
      <w:marTop w:val="0"/>
      <w:marBottom w:val="0"/>
      <w:divBdr>
        <w:top w:val="none" w:sz="0" w:space="0" w:color="auto"/>
        <w:left w:val="none" w:sz="0" w:space="0" w:color="auto"/>
        <w:bottom w:val="none" w:sz="0" w:space="0" w:color="auto"/>
        <w:right w:val="none" w:sz="0" w:space="0" w:color="auto"/>
      </w:divBdr>
    </w:div>
    <w:div w:id="1905800721">
      <w:bodyDiv w:val="1"/>
      <w:marLeft w:val="0"/>
      <w:marRight w:val="0"/>
      <w:marTop w:val="0"/>
      <w:marBottom w:val="0"/>
      <w:divBdr>
        <w:top w:val="none" w:sz="0" w:space="0" w:color="auto"/>
        <w:left w:val="none" w:sz="0" w:space="0" w:color="auto"/>
        <w:bottom w:val="none" w:sz="0" w:space="0" w:color="auto"/>
        <w:right w:val="none" w:sz="0" w:space="0" w:color="auto"/>
      </w:divBdr>
      <w:divsChild>
        <w:div w:id="897666281">
          <w:marLeft w:val="547"/>
          <w:marRight w:val="0"/>
          <w:marTop w:val="106"/>
          <w:marBottom w:val="0"/>
          <w:divBdr>
            <w:top w:val="none" w:sz="0" w:space="0" w:color="auto"/>
            <w:left w:val="none" w:sz="0" w:space="0" w:color="auto"/>
            <w:bottom w:val="none" w:sz="0" w:space="0" w:color="auto"/>
            <w:right w:val="none" w:sz="0" w:space="0" w:color="auto"/>
          </w:divBdr>
        </w:div>
        <w:div w:id="812411371">
          <w:marLeft w:val="547"/>
          <w:marRight w:val="0"/>
          <w:marTop w:val="106"/>
          <w:marBottom w:val="0"/>
          <w:divBdr>
            <w:top w:val="none" w:sz="0" w:space="0" w:color="auto"/>
            <w:left w:val="none" w:sz="0" w:space="0" w:color="auto"/>
            <w:bottom w:val="none" w:sz="0" w:space="0" w:color="auto"/>
            <w:right w:val="none" w:sz="0" w:space="0" w:color="auto"/>
          </w:divBdr>
        </w:div>
        <w:div w:id="237331688">
          <w:marLeft w:val="547"/>
          <w:marRight w:val="0"/>
          <w:marTop w:val="106"/>
          <w:marBottom w:val="0"/>
          <w:divBdr>
            <w:top w:val="none" w:sz="0" w:space="0" w:color="auto"/>
            <w:left w:val="none" w:sz="0" w:space="0" w:color="auto"/>
            <w:bottom w:val="none" w:sz="0" w:space="0" w:color="auto"/>
            <w:right w:val="none" w:sz="0" w:space="0" w:color="auto"/>
          </w:divBdr>
        </w:div>
        <w:div w:id="1747532206">
          <w:marLeft w:val="547"/>
          <w:marRight w:val="0"/>
          <w:marTop w:val="106"/>
          <w:marBottom w:val="0"/>
          <w:divBdr>
            <w:top w:val="none" w:sz="0" w:space="0" w:color="auto"/>
            <w:left w:val="none" w:sz="0" w:space="0" w:color="auto"/>
            <w:bottom w:val="none" w:sz="0" w:space="0" w:color="auto"/>
            <w:right w:val="none" w:sz="0" w:space="0" w:color="auto"/>
          </w:divBdr>
        </w:div>
      </w:divsChild>
    </w:div>
    <w:div w:id="2092894016">
      <w:bodyDiv w:val="1"/>
      <w:marLeft w:val="0"/>
      <w:marRight w:val="0"/>
      <w:marTop w:val="0"/>
      <w:marBottom w:val="0"/>
      <w:divBdr>
        <w:top w:val="none" w:sz="0" w:space="0" w:color="auto"/>
        <w:left w:val="none" w:sz="0" w:space="0" w:color="auto"/>
        <w:bottom w:val="none" w:sz="0" w:space="0" w:color="auto"/>
        <w:right w:val="none" w:sz="0" w:space="0" w:color="auto"/>
      </w:divBdr>
      <w:divsChild>
        <w:div w:id="1742101263">
          <w:marLeft w:val="547"/>
          <w:marRight w:val="0"/>
          <w:marTop w:val="86"/>
          <w:marBottom w:val="0"/>
          <w:divBdr>
            <w:top w:val="none" w:sz="0" w:space="0" w:color="auto"/>
            <w:left w:val="none" w:sz="0" w:space="0" w:color="auto"/>
            <w:bottom w:val="none" w:sz="0" w:space="0" w:color="auto"/>
            <w:right w:val="none" w:sz="0" w:space="0" w:color="auto"/>
          </w:divBdr>
        </w:div>
        <w:div w:id="2146971298">
          <w:marLeft w:val="547"/>
          <w:marRight w:val="0"/>
          <w:marTop w:val="86"/>
          <w:marBottom w:val="0"/>
          <w:divBdr>
            <w:top w:val="none" w:sz="0" w:space="0" w:color="auto"/>
            <w:left w:val="none" w:sz="0" w:space="0" w:color="auto"/>
            <w:bottom w:val="none" w:sz="0" w:space="0" w:color="auto"/>
            <w:right w:val="none" w:sz="0" w:space="0" w:color="auto"/>
          </w:divBdr>
        </w:div>
        <w:div w:id="89858511">
          <w:marLeft w:val="547"/>
          <w:marRight w:val="0"/>
          <w:marTop w:val="86"/>
          <w:marBottom w:val="0"/>
          <w:divBdr>
            <w:top w:val="none" w:sz="0" w:space="0" w:color="auto"/>
            <w:left w:val="none" w:sz="0" w:space="0" w:color="auto"/>
            <w:bottom w:val="none" w:sz="0" w:space="0" w:color="auto"/>
            <w:right w:val="none" w:sz="0" w:space="0" w:color="auto"/>
          </w:divBdr>
        </w:div>
        <w:div w:id="38555672">
          <w:marLeft w:val="547"/>
          <w:marRight w:val="0"/>
          <w:marTop w:val="86"/>
          <w:marBottom w:val="0"/>
          <w:divBdr>
            <w:top w:val="none" w:sz="0" w:space="0" w:color="auto"/>
            <w:left w:val="none" w:sz="0" w:space="0" w:color="auto"/>
            <w:bottom w:val="none" w:sz="0" w:space="0" w:color="auto"/>
            <w:right w:val="none" w:sz="0" w:space="0" w:color="auto"/>
          </w:divBdr>
        </w:div>
        <w:div w:id="1250384914">
          <w:marLeft w:val="547"/>
          <w:marRight w:val="0"/>
          <w:marTop w:val="86"/>
          <w:marBottom w:val="0"/>
          <w:divBdr>
            <w:top w:val="none" w:sz="0" w:space="0" w:color="auto"/>
            <w:left w:val="none" w:sz="0" w:space="0" w:color="auto"/>
            <w:bottom w:val="none" w:sz="0" w:space="0" w:color="auto"/>
            <w:right w:val="none" w:sz="0" w:space="0" w:color="auto"/>
          </w:divBdr>
        </w:div>
        <w:div w:id="1038360300">
          <w:marLeft w:val="547"/>
          <w:marRight w:val="0"/>
          <w:marTop w:val="86"/>
          <w:marBottom w:val="0"/>
          <w:divBdr>
            <w:top w:val="none" w:sz="0" w:space="0" w:color="auto"/>
            <w:left w:val="none" w:sz="0" w:space="0" w:color="auto"/>
            <w:bottom w:val="none" w:sz="0" w:space="0" w:color="auto"/>
            <w:right w:val="none" w:sz="0" w:space="0" w:color="auto"/>
          </w:divBdr>
        </w:div>
        <w:div w:id="1593708084">
          <w:marLeft w:val="547"/>
          <w:marRight w:val="0"/>
          <w:marTop w:val="86"/>
          <w:marBottom w:val="0"/>
          <w:divBdr>
            <w:top w:val="none" w:sz="0" w:space="0" w:color="auto"/>
            <w:left w:val="none" w:sz="0" w:space="0" w:color="auto"/>
            <w:bottom w:val="none" w:sz="0" w:space="0" w:color="auto"/>
            <w:right w:val="none" w:sz="0" w:space="0" w:color="auto"/>
          </w:divBdr>
        </w:div>
      </w:divsChild>
    </w:div>
    <w:div w:id="2112585060">
      <w:bodyDiv w:val="1"/>
      <w:marLeft w:val="0"/>
      <w:marRight w:val="0"/>
      <w:marTop w:val="0"/>
      <w:marBottom w:val="0"/>
      <w:divBdr>
        <w:top w:val="none" w:sz="0" w:space="0" w:color="auto"/>
        <w:left w:val="none" w:sz="0" w:space="0" w:color="auto"/>
        <w:bottom w:val="none" w:sz="0" w:space="0" w:color="auto"/>
        <w:right w:val="none" w:sz="0" w:space="0" w:color="auto"/>
      </w:divBdr>
      <w:divsChild>
        <w:div w:id="690647109">
          <w:marLeft w:val="547"/>
          <w:marRight w:val="0"/>
          <w:marTop w:val="86"/>
          <w:marBottom w:val="0"/>
          <w:divBdr>
            <w:top w:val="none" w:sz="0" w:space="0" w:color="auto"/>
            <w:left w:val="none" w:sz="0" w:space="0" w:color="auto"/>
            <w:bottom w:val="none" w:sz="0" w:space="0" w:color="auto"/>
            <w:right w:val="none" w:sz="0" w:space="0" w:color="auto"/>
          </w:divBdr>
        </w:div>
        <w:div w:id="851409996">
          <w:marLeft w:val="547"/>
          <w:marRight w:val="0"/>
          <w:marTop w:val="86"/>
          <w:marBottom w:val="0"/>
          <w:divBdr>
            <w:top w:val="none" w:sz="0" w:space="0" w:color="auto"/>
            <w:left w:val="none" w:sz="0" w:space="0" w:color="auto"/>
            <w:bottom w:val="none" w:sz="0" w:space="0" w:color="auto"/>
            <w:right w:val="none" w:sz="0" w:space="0" w:color="auto"/>
          </w:divBdr>
        </w:div>
        <w:div w:id="325326090">
          <w:marLeft w:val="547"/>
          <w:marRight w:val="0"/>
          <w:marTop w:val="86"/>
          <w:marBottom w:val="0"/>
          <w:divBdr>
            <w:top w:val="none" w:sz="0" w:space="0" w:color="auto"/>
            <w:left w:val="none" w:sz="0" w:space="0" w:color="auto"/>
            <w:bottom w:val="none" w:sz="0" w:space="0" w:color="auto"/>
            <w:right w:val="none" w:sz="0" w:space="0" w:color="auto"/>
          </w:divBdr>
        </w:div>
        <w:div w:id="59513625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43069-023-00204-9" TargetMode="External"/><Relationship Id="rId18" Type="http://schemas.openxmlformats.org/officeDocument/2006/relationships/hyperlink" Target="https://doi.org/https://doi.org/10.55248/gengpi.5.1124.312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cholar.google.com/citations?view_op=view_citation&amp;hl=en&amp;user=Ox0M0HwAAAAJ&amp;cstart=20&amp;pagesize=80&amp;citation_for_view=Ox0M0HwAAAAJ:dQ2og3OwTAUC" TargetMode="External"/><Relationship Id="rId7" Type="http://schemas.openxmlformats.org/officeDocument/2006/relationships/endnotes" Target="endnotes.xml"/><Relationship Id="rId12" Type="http://schemas.openxmlformats.org/officeDocument/2006/relationships/hyperlink" Target="https://doi.org/10.30574/ijsra.2025.15.1.1148" TargetMode="External"/><Relationship Id="rId17" Type="http://schemas.openxmlformats.org/officeDocument/2006/relationships/hyperlink" Target="https://doi.org/10.30574/ijsra.2024.11.2.060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9734/ajgr/2025/v8i3313" TargetMode="External"/><Relationship Id="rId20" Type="http://schemas.openxmlformats.org/officeDocument/2006/relationships/hyperlink" Target="https://doi.org/10.22271/27067483.2023.v5.i2b.192"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orldcat.org/isbn/1863080554" TargetMode="External"/><Relationship Id="rId23" Type="http://schemas.openxmlformats.org/officeDocument/2006/relationships/hyperlink" Target="https://doi.org/10.1007/s10708-024-11208-1"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doi.org/10.1007/s10708-022-10680-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0574/ijsra.2025.14.3.0779" TargetMode="External"/><Relationship Id="rId22" Type="http://schemas.openxmlformats.org/officeDocument/2006/relationships/hyperlink" Target="https://doi.org/12.163022.Gj.2025.v18.10.017"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F6E7B-6313-430F-94F7-250F4AD3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17</Pages>
  <Words>5192</Words>
  <Characters>29596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916009168216</dc:creator>
  <cp:lastModifiedBy>SDI CPU 1117</cp:lastModifiedBy>
  <cp:revision>62</cp:revision>
  <dcterms:created xsi:type="dcterms:W3CDTF">2025-07-08T13:17:00Z</dcterms:created>
  <dcterms:modified xsi:type="dcterms:W3CDTF">2025-12-03T07:25:00Z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18cdb4e9-7ed5-4d2e-a8ec-54fc836fa790</vt:lpwstr>
  </property>
</Properties>
</file>