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0D3E6" w14:textId="3DF010E8" w:rsidR="00C06C70" w:rsidRPr="00CF335D" w:rsidRDefault="00D94756" w:rsidP="000D027A">
      <w:pPr>
        <w:spacing w:before="240"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color w:val="EE0000"/>
          <w:sz w:val="22"/>
          <w:szCs w:val="22"/>
          <w:shd w:val="clear" w:color="auto" w:fill="FFFFFF"/>
        </w:rPr>
        <w:t>Comprehensive Proximate, Amino Acid, and Mineral composition of Edible Oyster Mushroom (</w:t>
      </w:r>
      <w:r w:rsidRPr="00CF335D">
        <w:rPr>
          <w:rFonts w:ascii="Times New Roman" w:hAnsi="Times New Roman" w:cs="Times New Roman"/>
          <w:i/>
          <w:iCs/>
          <w:color w:val="EE0000"/>
          <w:sz w:val="22"/>
          <w:szCs w:val="22"/>
          <w:shd w:val="clear" w:color="auto" w:fill="FFFFFF"/>
        </w:rPr>
        <w:t>Pleurotus ostreatus</w:t>
      </w:r>
    </w:p>
    <w:p w14:paraId="58AD7449" w14:textId="5190F697" w:rsidR="001C3C53" w:rsidRPr="00CF335D" w:rsidRDefault="001C3C53" w:rsidP="000D027A">
      <w:pPr>
        <w:spacing w:before="240"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Abstract</w:t>
      </w:r>
    </w:p>
    <w:p w14:paraId="15363D34" w14:textId="6E11D3DD" w:rsidR="009D0EED" w:rsidRPr="00CF335D" w:rsidRDefault="009D0EED" w:rsidP="000D027A">
      <w:pPr>
        <w:spacing w:line="240"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Oyster mushrooms have been considered as therapeutic and nutrient-rich foods in numerous countries for years due to their significant levels of nutritional components, proximate amino acids, and minerals. This study focuses on the quantitative investigation of the proximate, amino acid, and mineral profiles of edible oyster mushrooms (</w:t>
      </w:r>
      <w:r w:rsidRPr="00CF335D">
        <w:rPr>
          <w:rFonts w:ascii="Times New Roman" w:hAnsi="Times New Roman" w:cs="Times New Roman"/>
          <w:i/>
          <w:iCs/>
          <w:color w:val="000000" w:themeColor="text1"/>
          <w:sz w:val="22"/>
          <w:szCs w:val="22"/>
        </w:rPr>
        <w:t xml:space="preserve">Pleurotus </w:t>
      </w:r>
      <w:r w:rsidRPr="00CF335D">
        <w:rPr>
          <w:rFonts w:ascii="Times New Roman" w:hAnsi="Times New Roman" w:cs="Times New Roman"/>
          <w:color w:val="000000" w:themeColor="text1"/>
          <w:sz w:val="22"/>
          <w:szCs w:val="22"/>
        </w:rPr>
        <w:t>o</w:t>
      </w:r>
      <w:r w:rsidRPr="00CF335D">
        <w:rPr>
          <w:rFonts w:ascii="Times New Roman" w:hAnsi="Times New Roman" w:cs="Times New Roman"/>
          <w:i/>
          <w:iCs/>
          <w:color w:val="000000" w:themeColor="text1"/>
          <w:sz w:val="22"/>
          <w:szCs w:val="22"/>
        </w:rPr>
        <w:t>streatus</w:t>
      </w:r>
      <w:r w:rsidRPr="00CF335D">
        <w:rPr>
          <w:rFonts w:ascii="Times New Roman" w:hAnsi="Times New Roman" w:cs="Times New Roman"/>
          <w:color w:val="000000" w:themeColor="text1"/>
          <w:sz w:val="22"/>
          <w:szCs w:val="22"/>
        </w:rPr>
        <w:t xml:space="preserve">). The proximate parameters analyzed include ash, moisture, crude protein, fat, </w:t>
      </w:r>
      <w:r w:rsidR="0004223B" w:rsidRPr="00CF335D">
        <w:rPr>
          <w:rFonts w:ascii="Times New Roman" w:hAnsi="Times New Roman" w:cs="Times New Roman"/>
          <w:color w:val="EE0000"/>
          <w:sz w:val="22"/>
          <w:szCs w:val="22"/>
        </w:rPr>
        <w:t>fibre</w:t>
      </w:r>
      <w:r w:rsidRPr="00CF335D">
        <w:rPr>
          <w:rFonts w:ascii="Times New Roman" w:hAnsi="Times New Roman" w:cs="Times New Roman"/>
          <w:color w:val="EE0000"/>
          <w:sz w:val="22"/>
          <w:szCs w:val="22"/>
        </w:rPr>
        <w:t xml:space="preserve">, </w:t>
      </w:r>
      <w:r w:rsidRPr="00CF335D">
        <w:rPr>
          <w:rFonts w:ascii="Times New Roman" w:hAnsi="Times New Roman" w:cs="Times New Roman"/>
          <w:color w:val="000000" w:themeColor="text1"/>
          <w:sz w:val="22"/>
          <w:szCs w:val="22"/>
        </w:rPr>
        <w:t xml:space="preserve">and carbohydrate. Amino acid composition was assessed using the High-Performance Liquid Chromatographic (HPLC) Technique, while mineral analysis was conducted using the Agilent FS240AA Atomic Absorption Spectrophotometer. The findings revealed that oyster mushroom was high in moisture (43.43±0.141%), carbohydrate (25.51±0.121%), </w:t>
      </w:r>
      <w:r w:rsidR="0004223B" w:rsidRPr="00CF335D">
        <w:rPr>
          <w:rFonts w:ascii="Times New Roman" w:hAnsi="Times New Roman" w:cs="Times New Roman"/>
          <w:color w:val="EE0000"/>
          <w:sz w:val="22"/>
          <w:szCs w:val="22"/>
        </w:rPr>
        <w:t>fibre</w:t>
      </w:r>
      <w:r w:rsidRPr="00CF335D">
        <w:rPr>
          <w:rFonts w:ascii="Times New Roman" w:hAnsi="Times New Roman" w:cs="Times New Roman"/>
          <w:color w:val="000000" w:themeColor="text1"/>
          <w:sz w:val="22"/>
          <w:szCs w:val="22"/>
        </w:rPr>
        <w:t xml:space="preserve"> (11.21±0.099%), protein (8.57±0.127%), and ash (6.63±0.021%) but low in fat (4.67±0.011%). </w:t>
      </w:r>
      <w:r w:rsidR="00D94756" w:rsidRPr="00CF335D">
        <w:rPr>
          <w:rFonts w:ascii="Times New Roman" w:hAnsi="Times New Roman" w:cs="Times New Roman"/>
          <w:i/>
          <w:iCs/>
          <w:color w:val="EE0000"/>
          <w:sz w:val="22"/>
          <w:szCs w:val="22"/>
        </w:rPr>
        <w:t>Pleurotus ostreatus</w:t>
      </w:r>
      <w:r w:rsidR="00D94756" w:rsidRPr="00CF335D">
        <w:rPr>
          <w:rFonts w:ascii="Times New Roman" w:hAnsi="Times New Roman" w:cs="Times New Roman"/>
          <w:color w:val="EE0000"/>
          <w:sz w:val="22"/>
          <w:szCs w:val="22"/>
        </w:rPr>
        <w:t xml:space="preserve"> indicated richness in amino acid composition with higher total concentrations of essential amino acids than non-essential amino acids of the isolated protein. Isoleucine presented the highest essential amino acid content (38.189 ppm while proline showed the highest nonessential amino acid content (20.051 ppm). </w:t>
      </w:r>
      <w:r w:rsidRPr="00CF335D">
        <w:rPr>
          <w:rFonts w:ascii="Times New Roman" w:hAnsi="Times New Roman" w:cs="Times New Roman"/>
          <w:color w:val="000000" w:themeColor="text1"/>
          <w:sz w:val="22"/>
          <w:szCs w:val="22"/>
        </w:rPr>
        <w:t xml:space="preserve">Also, </w:t>
      </w:r>
      <w:r w:rsidRPr="00CF335D">
        <w:rPr>
          <w:rFonts w:ascii="Times New Roman" w:hAnsi="Times New Roman" w:cs="Times New Roman"/>
          <w:i/>
          <w:iCs/>
          <w:color w:val="000000" w:themeColor="text1"/>
          <w:sz w:val="22"/>
          <w:szCs w:val="22"/>
        </w:rPr>
        <w:t>Pleurotus ostreatus</w:t>
      </w:r>
      <w:r w:rsidRPr="00CF335D">
        <w:rPr>
          <w:rFonts w:ascii="Times New Roman" w:hAnsi="Times New Roman" w:cs="Times New Roman"/>
          <w:color w:val="000000" w:themeColor="text1"/>
          <w:sz w:val="22"/>
          <w:szCs w:val="22"/>
        </w:rPr>
        <w:t xml:space="preserve"> contains considerable amounts of calcium (8.267±0.114 ppm), potassium (7.454±0.077 ppm), sodium (6.454±0.041 ppm), and magnesium (6.379±0.016 ppm), and moderate amounts of zinc (0.267±0.021 ppm), iron (0.595±0.02 ppm), manganese (0.267±0.01 ppm), aluminum (0.021±0.01), and molybdenum (0.178±0.01 ppm). Heavy metals like nickel, chromium, mercury, vanadium, and silicon were present in tolerable quantities while arsenic and silver were completely absent. Our result suggests that </w:t>
      </w:r>
      <w:r w:rsidRPr="00CF335D">
        <w:rPr>
          <w:rFonts w:ascii="Times New Roman" w:hAnsi="Times New Roman" w:cs="Times New Roman"/>
          <w:i/>
          <w:iCs/>
          <w:color w:val="000000" w:themeColor="text1"/>
          <w:sz w:val="22"/>
          <w:szCs w:val="22"/>
        </w:rPr>
        <w:t>Pleurotus ostreatus</w:t>
      </w:r>
      <w:r w:rsidRPr="00CF335D">
        <w:rPr>
          <w:rFonts w:ascii="Times New Roman" w:hAnsi="Times New Roman" w:cs="Times New Roman"/>
          <w:color w:val="000000" w:themeColor="text1"/>
          <w:sz w:val="22"/>
          <w:szCs w:val="22"/>
        </w:rPr>
        <w:t xml:space="preserve"> could be a good source of nutrition and important for medicinal purposes.</w:t>
      </w:r>
    </w:p>
    <w:p w14:paraId="2EE566CA" w14:textId="079E01AF" w:rsidR="00134E3E" w:rsidRPr="00CF335D" w:rsidRDefault="00134E3E" w:rsidP="000D027A">
      <w:pPr>
        <w:spacing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 xml:space="preserve">Keywords: </w:t>
      </w:r>
      <w:r w:rsidRPr="00CF335D">
        <w:rPr>
          <w:rFonts w:ascii="Times New Roman" w:hAnsi="Times New Roman" w:cs="Times New Roman"/>
          <w:i/>
          <w:iCs/>
          <w:color w:val="000000" w:themeColor="text1"/>
          <w:sz w:val="22"/>
          <w:szCs w:val="22"/>
        </w:rPr>
        <w:t>Pleurotus ostreatus,</w:t>
      </w:r>
      <w:r w:rsidRPr="00CF335D">
        <w:rPr>
          <w:rFonts w:ascii="Times New Roman" w:hAnsi="Times New Roman" w:cs="Times New Roman"/>
          <w:color w:val="000000" w:themeColor="text1"/>
          <w:sz w:val="22"/>
          <w:szCs w:val="22"/>
        </w:rPr>
        <w:t xml:space="preserve"> proximate, </w:t>
      </w:r>
      <w:bookmarkStart w:id="0" w:name="_Hlk217158434"/>
      <w:r w:rsidR="00D94756" w:rsidRPr="00CF335D">
        <w:rPr>
          <w:rFonts w:ascii="Times New Roman" w:hAnsi="Times New Roman" w:cs="Times New Roman"/>
          <w:color w:val="EE0000"/>
          <w:sz w:val="22"/>
          <w:szCs w:val="22"/>
        </w:rPr>
        <w:t>moisture</w:t>
      </w:r>
      <w:r w:rsidR="00D94756" w:rsidRPr="00CF335D">
        <w:rPr>
          <w:rFonts w:ascii="Times New Roman" w:hAnsi="Times New Roman" w:cs="Times New Roman"/>
          <w:color w:val="000000" w:themeColor="text1"/>
          <w:sz w:val="22"/>
          <w:szCs w:val="22"/>
        </w:rPr>
        <w:t xml:space="preserve">, </w:t>
      </w:r>
      <w:r w:rsidRPr="00CF335D">
        <w:rPr>
          <w:rFonts w:ascii="Times New Roman" w:hAnsi="Times New Roman" w:cs="Times New Roman"/>
          <w:color w:val="000000" w:themeColor="text1"/>
          <w:sz w:val="22"/>
          <w:szCs w:val="22"/>
        </w:rPr>
        <w:t>amino acid</w:t>
      </w:r>
      <w:r w:rsidR="00D94756" w:rsidRPr="00CF335D">
        <w:rPr>
          <w:rFonts w:ascii="Times New Roman" w:hAnsi="Times New Roman" w:cs="Times New Roman"/>
          <w:color w:val="000000" w:themeColor="text1"/>
          <w:sz w:val="22"/>
          <w:szCs w:val="22"/>
        </w:rPr>
        <w:t>,</w:t>
      </w:r>
      <w:r w:rsidR="00D94756" w:rsidRPr="00CF335D">
        <w:rPr>
          <w:rFonts w:ascii="Times New Roman" w:hAnsi="Times New Roman" w:cs="Times New Roman"/>
          <w:color w:val="EE0000"/>
          <w:sz w:val="22"/>
          <w:szCs w:val="22"/>
        </w:rPr>
        <w:t xml:space="preserve"> Isoleucine</w:t>
      </w:r>
      <w:r w:rsidRPr="00CF335D">
        <w:rPr>
          <w:rFonts w:ascii="Times New Roman" w:hAnsi="Times New Roman" w:cs="Times New Roman"/>
          <w:color w:val="000000" w:themeColor="text1"/>
          <w:sz w:val="22"/>
          <w:szCs w:val="22"/>
        </w:rPr>
        <w:t xml:space="preserve"> </w:t>
      </w:r>
      <w:bookmarkEnd w:id="0"/>
      <w:r w:rsidRPr="00CF335D">
        <w:rPr>
          <w:rFonts w:ascii="Times New Roman" w:hAnsi="Times New Roman" w:cs="Times New Roman"/>
          <w:color w:val="000000" w:themeColor="text1"/>
          <w:sz w:val="22"/>
          <w:szCs w:val="22"/>
        </w:rPr>
        <w:t>and mineral composition</w:t>
      </w:r>
    </w:p>
    <w:p w14:paraId="6DF76548" w14:textId="77777777" w:rsidR="000D027A" w:rsidRPr="00CF335D" w:rsidRDefault="008E4E9C" w:rsidP="000D027A">
      <w:pPr>
        <w:pStyle w:val="NormalWeb"/>
        <w:numPr>
          <w:ilvl w:val="0"/>
          <w:numId w:val="6"/>
        </w:numPr>
        <w:spacing w:before="0" w:beforeAutospacing="0" w:after="0" w:afterAutospacing="0" w:line="276" w:lineRule="auto"/>
        <w:jc w:val="both"/>
        <w:rPr>
          <w:b/>
          <w:bCs/>
          <w:color w:val="000000" w:themeColor="text1"/>
          <w:sz w:val="22"/>
          <w:szCs w:val="22"/>
        </w:rPr>
      </w:pPr>
      <w:r w:rsidRPr="00CF335D">
        <w:rPr>
          <w:b/>
          <w:bCs/>
          <w:color w:val="000000" w:themeColor="text1"/>
          <w:sz w:val="22"/>
          <w:szCs w:val="22"/>
        </w:rPr>
        <w:t>Introduction</w:t>
      </w:r>
    </w:p>
    <w:p w14:paraId="34EFCAE3" w14:textId="77777777" w:rsidR="00B76E0B" w:rsidRPr="00CF335D" w:rsidRDefault="000D027A" w:rsidP="00B76E0B">
      <w:pPr>
        <w:pStyle w:val="NormalWeb"/>
        <w:spacing w:after="0" w:line="276" w:lineRule="auto"/>
        <w:jc w:val="both"/>
        <w:rPr>
          <w:rFonts w:eastAsia="Times New Roman"/>
          <w:color w:val="EE0000"/>
          <w:sz w:val="22"/>
          <w:szCs w:val="22"/>
          <w:lang w:val="en-US"/>
        </w:rPr>
      </w:pPr>
      <w:r w:rsidRPr="00CF335D">
        <w:rPr>
          <w:rFonts w:eastAsia="Times New Roman"/>
          <w:color w:val="000000" w:themeColor="text1"/>
          <w:sz w:val="22"/>
          <w:szCs w:val="22"/>
        </w:rPr>
        <w:t>Mushrooms are an important group of fungi with notable dietary, healing, and commercial uses. Unlike plants, mushrooms are decomposers that live on organic matter, especially wood. They help break down complex materials like lignin and cellulose and return essential nutrients back to the environment in a usable form. This role is key to recycling nutrients in nature (Wu et al., 2025; Dou et al., 2025). The nutritional benefit mushrooms provide to people depends on their ability to absorb and concentrate nutrients and minerals from the materials they grow on (Jasinska et al., 2024). One such mushroom, the oyster mushroom (</w:t>
      </w:r>
      <w:r w:rsidRPr="00CF335D">
        <w:rPr>
          <w:rFonts w:eastAsia="Times New Roman"/>
          <w:i/>
          <w:iCs/>
          <w:color w:val="000000" w:themeColor="text1"/>
          <w:sz w:val="22"/>
          <w:szCs w:val="22"/>
        </w:rPr>
        <w:t>Pleurotus ostreatus</w:t>
      </w:r>
      <w:r w:rsidRPr="00CF335D">
        <w:rPr>
          <w:rFonts w:eastAsia="Times New Roman"/>
          <w:color w:val="000000" w:themeColor="text1"/>
          <w:sz w:val="22"/>
          <w:szCs w:val="22"/>
        </w:rPr>
        <w:t xml:space="preserve">), has received global attention because of its good nutrition, ease of growing, and health benefits (Wal et al., 2022). </w:t>
      </w:r>
      <w:bookmarkStart w:id="1" w:name="_Hlk217160414"/>
      <w:r w:rsidR="00A96F25" w:rsidRPr="00CF335D">
        <w:rPr>
          <w:rFonts w:eastAsia="Times New Roman"/>
          <w:color w:val="EE0000"/>
          <w:sz w:val="22"/>
          <w:szCs w:val="22"/>
          <w:lang w:val="en-US"/>
        </w:rPr>
        <w:t xml:space="preserve">The oyster mushroom is a member of the </w:t>
      </w:r>
      <w:r w:rsidR="00A96F25" w:rsidRPr="00CF335D">
        <w:rPr>
          <w:rFonts w:eastAsia="Times New Roman"/>
          <w:i/>
          <w:iCs/>
          <w:color w:val="EE0000"/>
          <w:sz w:val="22"/>
          <w:szCs w:val="22"/>
          <w:lang w:val="en-US"/>
        </w:rPr>
        <w:t>Pleurotaceae</w:t>
      </w:r>
      <w:r w:rsidR="00A96F25" w:rsidRPr="00CF335D">
        <w:rPr>
          <w:rFonts w:eastAsia="Times New Roman"/>
          <w:color w:val="EE0000"/>
          <w:sz w:val="22"/>
          <w:szCs w:val="22"/>
          <w:lang w:val="en-US"/>
        </w:rPr>
        <w:t xml:space="preserve"> family and is characterized by its shell-like or spatula-like form. </w:t>
      </w:r>
      <w:r w:rsidR="00B76E0B" w:rsidRPr="00CF335D">
        <w:rPr>
          <w:rFonts w:eastAsia="Times New Roman"/>
          <w:color w:val="EE0000"/>
          <w:sz w:val="22"/>
          <w:szCs w:val="22"/>
          <w:lang w:val="en-US"/>
        </w:rPr>
        <w:t>Depending on the species, it might be light brown, white, cream, gray, yellow, or pink (Ladli, 2020).</w:t>
      </w:r>
      <w:bookmarkEnd w:id="1"/>
    </w:p>
    <w:p w14:paraId="6B39A558" w14:textId="35264E6A" w:rsidR="000D027A" w:rsidRPr="00CF335D" w:rsidRDefault="000D027A" w:rsidP="00A96F25">
      <w:pPr>
        <w:pStyle w:val="NormalWeb"/>
        <w:spacing w:after="0" w:line="276" w:lineRule="auto"/>
        <w:jc w:val="both"/>
        <w:rPr>
          <w:rFonts w:eastAsia="Times New Roman"/>
          <w:color w:val="000000" w:themeColor="text1"/>
          <w:sz w:val="22"/>
          <w:szCs w:val="22"/>
        </w:rPr>
      </w:pPr>
      <w:r w:rsidRPr="00CF335D">
        <w:rPr>
          <w:rFonts w:eastAsia="Times New Roman"/>
          <w:color w:val="000000" w:themeColor="text1"/>
          <w:sz w:val="22"/>
          <w:szCs w:val="22"/>
        </w:rPr>
        <w:t xml:space="preserve">The global cultivation of </w:t>
      </w:r>
      <w:r w:rsidRPr="00CF335D">
        <w:rPr>
          <w:rFonts w:eastAsia="Times New Roman"/>
          <w:i/>
          <w:iCs/>
          <w:color w:val="000000" w:themeColor="text1"/>
          <w:sz w:val="22"/>
          <w:szCs w:val="22"/>
        </w:rPr>
        <w:t>P. ostreatus</w:t>
      </w:r>
      <w:r w:rsidRPr="00CF335D">
        <w:rPr>
          <w:rFonts w:eastAsia="Times New Roman"/>
          <w:color w:val="000000" w:themeColor="text1"/>
          <w:sz w:val="22"/>
          <w:szCs w:val="22"/>
        </w:rPr>
        <w:t xml:space="preserve"> has expanded rapidly due to its simple and cost-effective growing method. It uses a wide range of industrial and agricultural by-products such as sawdust, rice straw, wheat straw, and corn cobs as growing materials (Aditya et al., 2024). This process transforms low-value waste into valuable food while offering an environmentally friendly solution to waste management. Oyster mushrooms are edible and nutritious, and they can be added to meals in both rural and urban areas to help address nutrient deficiencies in developing countries (Effiong et al., 2024). They contribute to health by providing proteins, carbohydrates, fats, vitamins, and minerals. Their high </w:t>
      </w:r>
      <w:r w:rsidR="0004223B" w:rsidRPr="00CF335D">
        <w:rPr>
          <w:rFonts w:eastAsia="Times New Roman"/>
          <w:color w:val="EE0000"/>
          <w:sz w:val="22"/>
          <w:szCs w:val="22"/>
        </w:rPr>
        <w:t>fibre</w:t>
      </w:r>
      <w:r w:rsidRPr="00CF335D">
        <w:rPr>
          <w:rFonts w:eastAsia="Times New Roman"/>
          <w:color w:val="EE0000"/>
          <w:sz w:val="22"/>
          <w:szCs w:val="22"/>
        </w:rPr>
        <w:t xml:space="preserve"> </w:t>
      </w:r>
      <w:r w:rsidRPr="00CF335D">
        <w:rPr>
          <w:rFonts w:eastAsia="Times New Roman"/>
          <w:color w:val="000000" w:themeColor="text1"/>
          <w:sz w:val="22"/>
          <w:szCs w:val="22"/>
        </w:rPr>
        <w:t xml:space="preserve">and low-fat content make them a healthy choice for diets aimed at preventing heart disease (Ogbuji et al., 2024). Oyster mushrooms </w:t>
      </w:r>
      <w:r w:rsidRPr="00CF335D">
        <w:rPr>
          <w:rFonts w:eastAsia="Times New Roman"/>
          <w:color w:val="000000" w:themeColor="text1"/>
          <w:sz w:val="22"/>
          <w:szCs w:val="22"/>
        </w:rPr>
        <w:lastRenderedPageBreak/>
        <w:t xml:space="preserve">are rich in protein (15–30%), carbohydrates (43–60%), </w:t>
      </w:r>
      <w:r w:rsidR="0004223B" w:rsidRPr="00CF335D">
        <w:rPr>
          <w:rFonts w:eastAsia="Times New Roman"/>
          <w:color w:val="EE0000"/>
          <w:sz w:val="22"/>
          <w:szCs w:val="22"/>
        </w:rPr>
        <w:t>fibre</w:t>
      </w:r>
      <w:r w:rsidRPr="00CF335D">
        <w:rPr>
          <w:rFonts w:eastAsia="Times New Roman"/>
          <w:color w:val="000000" w:themeColor="text1"/>
          <w:sz w:val="22"/>
          <w:szCs w:val="22"/>
        </w:rPr>
        <w:t xml:space="preserve">, key amino acids and important nutrients like potassium, phosphorus, selenium and zinc (Tiupova et al., 2025; Aditya et al., 2024). </w:t>
      </w:r>
    </w:p>
    <w:p w14:paraId="20FF24C2" w14:textId="3953BF4D" w:rsidR="000D027A" w:rsidRPr="00CF335D" w:rsidRDefault="000D027A" w:rsidP="000D027A">
      <w:pPr>
        <w:pStyle w:val="NormalWeb"/>
        <w:spacing w:before="0" w:beforeAutospacing="0" w:after="0" w:afterAutospacing="0" w:line="276" w:lineRule="auto"/>
        <w:jc w:val="both"/>
        <w:rPr>
          <w:rFonts w:eastAsia="Times New Roman"/>
          <w:color w:val="000000" w:themeColor="text1"/>
          <w:sz w:val="22"/>
          <w:szCs w:val="22"/>
        </w:rPr>
      </w:pPr>
      <w:r w:rsidRPr="00CF335D">
        <w:rPr>
          <w:rFonts w:eastAsia="Times New Roman"/>
          <w:color w:val="000000" w:themeColor="text1"/>
          <w:sz w:val="22"/>
          <w:szCs w:val="22"/>
        </w:rPr>
        <w:br/>
        <w:t xml:space="preserve">To understand how mushrooms contribute to human nutrition, </w:t>
      </w:r>
      <w:r w:rsidRPr="00CF335D">
        <w:rPr>
          <w:rFonts w:eastAsia="Times New Roman"/>
          <w:color w:val="EE0000"/>
          <w:sz w:val="22"/>
          <w:szCs w:val="22"/>
        </w:rPr>
        <w:t>it</w:t>
      </w:r>
      <w:r w:rsidR="006074DD" w:rsidRPr="00CF335D">
        <w:rPr>
          <w:rFonts w:eastAsia="Times New Roman"/>
          <w:color w:val="EE0000"/>
          <w:sz w:val="22"/>
          <w:szCs w:val="22"/>
        </w:rPr>
        <w:t xml:space="preserve"> i</w:t>
      </w:r>
      <w:r w:rsidRPr="00CF335D">
        <w:rPr>
          <w:rFonts w:eastAsia="Times New Roman"/>
          <w:color w:val="EE0000"/>
          <w:sz w:val="22"/>
          <w:szCs w:val="22"/>
        </w:rPr>
        <w:t xml:space="preserve">s </w:t>
      </w:r>
      <w:r w:rsidRPr="00CF335D">
        <w:rPr>
          <w:rFonts w:eastAsia="Times New Roman"/>
          <w:color w:val="000000" w:themeColor="text1"/>
          <w:sz w:val="22"/>
          <w:szCs w:val="22"/>
        </w:rPr>
        <w:t xml:space="preserve">important to know their composition, including protein, carbohydrates, fats, moisture, </w:t>
      </w:r>
      <w:r w:rsidR="0004223B" w:rsidRPr="00CF335D">
        <w:rPr>
          <w:rFonts w:eastAsia="Times New Roman"/>
          <w:color w:val="EE0000"/>
          <w:sz w:val="22"/>
          <w:szCs w:val="22"/>
        </w:rPr>
        <w:t>fibre</w:t>
      </w:r>
      <w:r w:rsidRPr="00CF335D">
        <w:rPr>
          <w:rFonts w:eastAsia="Times New Roman"/>
          <w:color w:val="EE0000"/>
          <w:sz w:val="22"/>
          <w:szCs w:val="22"/>
        </w:rPr>
        <w:t>,</w:t>
      </w:r>
      <w:r w:rsidRPr="00CF335D">
        <w:rPr>
          <w:rFonts w:eastAsia="Times New Roman"/>
          <w:color w:val="000000" w:themeColor="text1"/>
          <w:sz w:val="22"/>
          <w:szCs w:val="22"/>
        </w:rPr>
        <w:t xml:space="preserve"> and ash, which can be determined through proximate analysis. Chandraprakash et al. (2022) found that oyster mushrooms contain fat, ash, </w:t>
      </w:r>
      <w:r w:rsidR="0004223B" w:rsidRPr="00CF335D">
        <w:rPr>
          <w:rFonts w:eastAsia="Times New Roman"/>
          <w:color w:val="000000" w:themeColor="text1"/>
          <w:sz w:val="22"/>
          <w:szCs w:val="22"/>
        </w:rPr>
        <w:t>fibre</w:t>
      </w:r>
      <w:r w:rsidRPr="00CF335D">
        <w:rPr>
          <w:rFonts w:eastAsia="Times New Roman"/>
          <w:color w:val="000000" w:themeColor="text1"/>
          <w:sz w:val="22"/>
          <w:szCs w:val="22"/>
        </w:rPr>
        <w:t xml:space="preserve">, protein, and carbohydrates. Although they have a low-fat content (~1.2%), they are rich in protein, carbohydrates, </w:t>
      </w:r>
      <w:r w:rsidR="0004223B" w:rsidRPr="00CF335D">
        <w:rPr>
          <w:rFonts w:eastAsia="Times New Roman"/>
          <w:color w:val="000000" w:themeColor="text1"/>
          <w:sz w:val="22"/>
          <w:szCs w:val="22"/>
        </w:rPr>
        <w:t>fibre</w:t>
      </w:r>
      <w:r w:rsidRPr="00CF335D">
        <w:rPr>
          <w:rFonts w:eastAsia="Times New Roman"/>
          <w:color w:val="000000" w:themeColor="text1"/>
          <w:sz w:val="22"/>
          <w:szCs w:val="22"/>
        </w:rPr>
        <w:t>, and minerals (Tiupova et al., 2025). According to Muthu &amp; Shanmugasundaram (2016), oyster mushrooms provide a good source of ash</w:t>
      </w:r>
      <w:r w:rsidR="00A60B17" w:rsidRPr="00CF335D">
        <w:rPr>
          <w:rFonts w:eastAsia="Times New Roman"/>
          <w:color w:val="000000" w:themeColor="text1"/>
          <w:sz w:val="22"/>
          <w:szCs w:val="22"/>
        </w:rPr>
        <w:t>,</w:t>
      </w:r>
      <w:r w:rsidRPr="00CF335D">
        <w:rPr>
          <w:rFonts w:eastAsia="Times New Roman"/>
          <w:color w:val="000000" w:themeColor="text1"/>
          <w:sz w:val="22"/>
          <w:szCs w:val="22"/>
        </w:rPr>
        <w:t xml:space="preserve"> crude </w:t>
      </w:r>
      <w:r w:rsidR="0004223B" w:rsidRPr="00CF335D">
        <w:rPr>
          <w:rFonts w:eastAsia="Times New Roman"/>
          <w:color w:val="EE0000"/>
          <w:sz w:val="22"/>
          <w:szCs w:val="22"/>
        </w:rPr>
        <w:t>fibre</w:t>
      </w:r>
      <w:r w:rsidR="00A60B17" w:rsidRPr="00CF335D">
        <w:rPr>
          <w:rFonts w:eastAsia="Times New Roman"/>
          <w:color w:val="000000" w:themeColor="text1"/>
          <w:sz w:val="22"/>
          <w:szCs w:val="22"/>
        </w:rPr>
        <w:t>,</w:t>
      </w:r>
      <w:r w:rsidRPr="00CF335D">
        <w:rPr>
          <w:rFonts w:eastAsia="Times New Roman"/>
          <w:color w:val="000000" w:themeColor="text1"/>
          <w:sz w:val="22"/>
          <w:szCs w:val="22"/>
        </w:rPr>
        <w:t xml:space="preserve"> fat</w:t>
      </w:r>
      <w:r w:rsidR="00A60B17" w:rsidRPr="00CF335D">
        <w:rPr>
          <w:rFonts w:eastAsia="Times New Roman"/>
          <w:color w:val="000000" w:themeColor="text1"/>
          <w:sz w:val="22"/>
          <w:szCs w:val="22"/>
        </w:rPr>
        <w:t xml:space="preserve">, </w:t>
      </w:r>
      <w:r w:rsidRPr="00CF335D">
        <w:rPr>
          <w:rFonts w:eastAsia="Times New Roman"/>
          <w:color w:val="000000" w:themeColor="text1"/>
          <w:sz w:val="22"/>
          <w:szCs w:val="22"/>
        </w:rPr>
        <w:t>and moisture</w:t>
      </w:r>
      <w:r w:rsidR="00A60B17" w:rsidRPr="00CF335D">
        <w:rPr>
          <w:rFonts w:eastAsia="Times New Roman"/>
          <w:color w:val="000000" w:themeColor="text1"/>
          <w:sz w:val="22"/>
          <w:szCs w:val="22"/>
        </w:rPr>
        <w:t>.</w:t>
      </w:r>
      <w:r w:rsidRPr="00CF335D">
        <w:rPr>
          <w:rFonts w:eastAsia="Times New Roman"/>
          <w:color w:val="000000" w:themeColor="text1"/>
          <w:sz w:val="22"/>
          <w:szCs w:val="22"/>
        </w:rPr>
        <w:t xml:space="preserve"> Their high </w:t>
      </w:r>
      <w:r w:rsidR="0004223B" w:rsidRPr="00CF335D">
        <w:rPr>
          <w:rFonts w:eastAsia="Times New Roman"/>
          <w:color w:val="EE0000"/>
          <w:sz w:val="22"/>
          <w:szCs w:val="22"/>
        </w:rPr>
        <w:t>fibre</w:t>
      </w:r>
      <w:r w:rsidRPr="00CF335D">
        <w:rPr>
          <w:rFonts w:eastAsia="Times New Roman"/>
          <w:color w:val="EE0000"/>
          <w:sz w:val="22"/>
          <w:szCs w:val="22"/>
        </w:rPr>
        <w:t xml:space="preserve"> </w:t>
      </w:r>
      <w:r w:rsidRPr="00CF335D">
        <w:rPr>
          <w:rFonts w:eastAsia="Times New Roman"/>
          <w:color w:val="000000" w:themeColor="text1"/>
          <w:sz w:val="22"/>
          <w:szCs w:val="22"/>
        </w:rPr>
        <w:t>and low-fat content support weight management, lower cholesterol, and promote digestive health (Tiupova et al., 2025).</w:t>
      </w:r>
      <w:r w:rsidRPr="00CF335D">
        <w:rPr>
          <w:rFonts w:eastAsia="Times New Roman"/>
          <w:color w:val="000000" w:themeColor="text1"/>
          <w:sz w:val="22"/>
          <w:szCs w:val="22"/>
        </w:rPr>
        <w:br/>
      </w:r>
      <w:r w:rsidRPr="00CF335D">
        <w:rPr>
          <w:rFonts w:eastAsia="Times New Roman"/>
          <w:color w:val="000000" w:themeColor="text1"/>
          <w:sz w:val="22"/>
          <w:szCs w:val="22"/>
        </w:rPr>
        <w:br/>
        <w:t xml:space="preserve">Adebisi et al. (2025) found that oyster mushrooms and Agrocybe aegerita contain significant amounts of essential and non-essential amino acids, including lysine, methionine, threonine, isoleucine, leucine, phenylalanine, valine, tryptophan, histidine, arginine, serine, cysteine, tyrosine, alanine, aspartic acid, glutamic acid, glycine, and proline. These amino acids make them a great plant-based protein source. In Nigeria, traditional protein sources like eggs, beef, and milk are expensive. Oyster mushrooms are rich in water (90%), protein, vitamins, and minerals like phosphorus, calcium, iron, potassium, and sodium. Their nutritional value is similar to that of eggs, milk, and meat (Ogbu et al., 2021). They are also rich in trace elements such as copper, zinc, iron, molybdenum, and cadmium, as well as essential minerals like potassium, phosphorus, sodium, calcium, and magnesium. These minerals support various bodily functions, including electrolyte balance, nerve and muscle function, brain health, heart health, reducing inflammation, supporting the immune system, and regulating iron metabolism. For vegans or individuals looking to boost their protein intake, mushrooms are a useful option. Fresh mushrooms are low in calories and have very little fat or carbohydrate due to their </w:t>
      </w:r>
      <w:r w:rsidR="004D45E2" w:rsidRPr="00CF335D">
        <w:rPr>
          <w:rFonts w:eastAsia="Times New Roman"/>
          <w:color w:val="000000" w:themeColor="text1"/>
          <w:sz w:val="22"/>
          <w:szCs w:val="22"/>
        </w:rPr>
        <w:t>high-water</w:t>
      </w:r>
      <w:r w:rsidRPr="00CF335D">
        <w:rPr>
          <w:rFonts w:eastAsia="Times New Roman"/>
          <w:color w:val="000000" w:themeColor="text1"/>
          <w:sz w:val="22"/>
          <w:szCs w:val="22"/>
        </w:rPr>
        <w:t xml:space="preserve"> content (Muthu &amp; Shanmugasundaram, 2016).</w:t>
      </w:r>
    </w:p>
    <w:p w14:paraId="7CCE9C3D" w14:textId="77777777" w:rsidR="008E4E9C" w:rsidRPr="00CF335D" w:rsidRDefault="008E4E9C" w:rsidP="000D027A">
      <w:pPr>
        <w:widowControl w:val="0"/>
        <w:autoSpaceDE w:val="0"/>
        <w:autoSpaceDN w:val="0"/>
        <w:adjustRightInd w:val="0"/>
        <w:spacing w:before="240" w:after="0" w:line="276" w:lineRule="auto"/>
        <w:jc w:val="both"/>
        <w:rPr>
          <w:rFonts w:ascii="Times New Roman" w:hAnsi="Times New Roman" w:cs="Times New Roman"/>
          <w:b/>
          <w:color w:val="000000" w:themeColor="text1"/>
          <w:sz w:val="22"/>
          <w:szCs w:val="22"/>
        </w:rPr>
      </w:pPr>
      <w:r w:rsidRPr="00CF335D">
        <w:rPr>
          <w:rFonts w:ascii="Times New Roman" w:hAnsi="Times New Roman" w:cs="Times New Roman"/>
          <w:b/>
          <w:color w:val="000000" w:themeColor="text1"/>
          <w:sz w:val="22"/>
          <w:szCs w:val="22"/>
        </w:rPr>
        <w:t xml:space="preserve">2.0 MATERIALS AND METHODS </w:t>
      </w:r>
    </w:p>
    <w:p w14:paraId="75B26BE4" w14:textId="77777777" w:rsidR="00780D01" w:rsidRPr="00CF335D" w:rsidRDefault="008E4E9C" w:rsidP="000D027A">
      <w:pPr>
        <w:widowControl w:val="0"/>
        <w:autoSpaceDE w:val="0"/>
        <w:autoSpaceDN w:val="0"/>
        <w:adjustRightInd w:val="0"/>
        <w:spacing w:after="0" w:line="276" w:lineRule="auto"/>
        <w:jc w:val="both"/>
        <w:rPr>
          <w:rFonts w:ascii="Times New Roman" w:hAnsi="Times New Roman" w:cs="Times New Roman"/>
          <w:b/>
          <w:bCs/>
          <w:color w:val="000000" w:themeColor="text1"/>
          <w:sz w:val="22"/>
          <w:szCs w:val="22"/>
        </w:rPr>
      </w:pPr>
      <w:bookmarkStart w:id="2" w:name="_Hlk217162294"/>
      <w:r w:rsidRPr="00CF335D">
        <w:rPr>
          <w:rFonts w:ascii="Times New Roman" w:hAnsi="Times New Roman" w:cs="Times New Roman"/>
          <w:b/>
          <w:bCs/>
          <w:color w:val="000000" w:themeColor="text1"/>
          <w:sz w:val="22"/>
          <w:szCs w:val="22"/>
        </w:rPr>
        <w:t xml:space="preserve">2.1 Sample Collection and Identification </w:t>
      </w:r>
    </w:p>
    <w:p w14:paraId="682D9A5D" w14:textId="77777777" w:rsidR="006074DD" w:rsidRPr="00CF335D" w:rsidRDefault="006074DD" w:rsidP="006074DD">
      <w:pPr>
        <w:spacing w:line="276" w:lineRule="auto"/>
        <w:jc w:val="both"/>
        <w:rPr>
          <w:rFonts w:ascii="Times New Roman" w:hAnsi="Times New Roman" w:cs="Times New Roman"/>
          <w:color w:val="EE0000"/>
          <w:sz w:val="22"/>
          <w:szCs w:val="22"/>
        </w:rPr>
      </w:pPr>
      <w:r w:rsidRPr="00CF335D">
        <w:rPr>
          <w:rFonts w:ascii="Times New Roman" w:hAnsi="Times New Roman" w:cs="Times New Roman"/>
          <w:color w:val="EE0000"/>
          <w:sz w:val="22"/>
          <w:szCs w:val="22"/>
        </w:rPr>
        <w:t>Fresh oyster mushrooms were purchased from Princess Roseline Egbo's farm in Enugu South, Enugu State, Southeastern Nigeria. The oyster mushroom was scientifically identified in Applied Biology Department's herbarium unit at the Enugu State University of Science and Technology.</w:t>
      </w:r>
    </w:p>
    <w:p w14:paraId="324EDB0A" w14:textId="77777777" w:rsidR="008E4E9C" w:rsidRPr="00CF335D" w:rsidRDefault="008E4E9C" w:rsidP="000D027A">
      <w:pPr>
        <w:spacing w:before="240"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 xml:space="preserve">2.2 Sample Preparation </w:t>
      </w:r>
    </w:p>
    <w:p w14:paraId="0F8F1AC1" w14:textId="77777777" w:rsidR="00543144" w:rsidRPr="00CF335D" w:rsidRDefault="00543144" w:rsidP="000D027A">
      <w:pPr>
        <w:spacing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Oyster mushrooms (</w:t>
      </w:r>
      <w:r w:rsidRPr="00CF335D">
        <w:rPr>
          <w:rFonts w:ascii="Times New Roman" w:hAnsi="Times New Roman" w:cs="Times New Roman"/>
          <w:i/>
          <w:iCs/>
          <w:color w:val="000000" w:themeColor="text1"/>
          <w:sz w:val="22"/>
          <w:szCs w:val="22"/>
        </w:rPr>
        <w:t>Pleurotus ostreatus</w:t>
      </w:r>
      <w:r w:rsidRPr="00CF335D">
        <w:rPr>
          <w:rFonts w:ascii="Times New Roman" w:hAnsi="Times New Roman" w:cs="Times New Roman"/>
          <w:color w:val="000000" w:themeColor="text1"/>
          <w:sz w:val="22"/>
          <w:szCs w:val="22"/>
        </w:rPr>
        <w:t>) weighing two kilograms (2 kg) were cleaned to get rid of contaminants and then dried at a temperature of 28°C in the shade. Before the analysis started, the dried mushrooms were powdered and stored in a polythene bag (Roghini et al., 2018).</w:t>
      </w:r>
    </w:p>
    <w:p w14:paraId="4D14B8DE" w14:textId="77777777" w:rsidR="00780D01" w:rsidRPr="00CF335D" w:rsidRDefault="008E4E9C" w:rsidP="000D027A">
      <w:pPr>
        <w:spacing w:before="240" w:after="0" w:line="276" w:lineRule="auto"/>
        <w:jc w:val="both"/>
        <w:rPr>
          <w:rFonts w:ascii="Times New Roman" w:hAnsi="Times New Roman" w:cs="Times New Roman"/>
          <w:b/>
          <w:caps/>
          <w:color w:val="000000" w:themeColor="text1"/>
          <w:sz w:val="22"/>
          <w:szCs w:val="22"/>
        </w:rPr>
      </w:pPr>
      <w:r w:rsidRPr="00CF335D">
        <w:rPr>
          <w:rFonts w:ascii="Times New Roman" w:hAnsi="Times New Roman" w:cs="Times New Roman"/>
          <w:b/>
          <w:caps/>
          <w:color w:val="000000" w:themeColor="text1"/>
          <w:sz w:val="22"/>
          <w:szCs w:val="22"/>
        </w:rPr>
        <w:t xml:space="preserve">2.3 </w:t>
      </w:r>
      <w:r w:rsidRPr="00CF335D">
        <w:rPr>
          <w:rFonts w:ascii="Times New Roman" w:hAnsi="Times New Roman" w:cs="Times New Roman"/>
          <w:b/>
          <w:color w:val="000000" w:themeColor="text1"/>
          <w:sz w:val="22"/>
          <w:szCs w:val="22"/>
        </w:rPr>
        <w:t>Proximate Investigation</w:t>
      </w:r>
    </w:p>
    <w:p w14:paraId="31C71392" w14:textId="17C50C2A" w:rsidR="00543144" w:rsidRPr="00CF335D" w:rsidRDefault="00543144" w:rsidP="000D027A">
      <w:pPr>
        <w:spacing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 xml:space="preserve">Ash, moisture, crude protein, fat, </w:t>
      </w:r>
      <w:r w:rsidR="0004223B" w:rsidRPr="00CF335D">
        <w:rPr>
          <w:rFonts w:ascii="Times New Roman" w:hAnsi="Times New Roman" w:cs="Times New Roman"/>
          <w:color w:val="EE0000"/>
          <w:sz w:val="22"/>
          <w:szCs w:val="22"/>
        </w:rPr>
        <w:t>fibre</w:t>
      </w:r>
      <w:r w:rsidRPr="00CF335D">
        <w:rPr>
          <w:rFonts w:ascii="Times New Roman" w:hAnsi="Times New Roman" w:cs="Times New Roman"/>
          <w:color w:val="000000" w:themeColor="text1"/>
          <w:sz w:val="22"/>
          <w:szCs w:val="22"/>
        </w:rPr>
        <w:t>, and carbohydrates are the parameters identified for proximate analysis. These were all assessed using the procedures outlined in Association of Official Analytical Chemists [AOAC] (1990).</w:t>
      </w:r>
    </w:p>
    <w:p w14:paraId="5A5791F1" w14:textId="77777777" w:rsidR="008E4E9C" w:rsidRPr="00CF335D" w:rsidRDefault="008E4E9C" w:rsidP="000D027A">
      <w:pPr>
        <w:spacing w:before="240" w:after="0" w:line="276" w:lineRule="auto"/>
        <w:jc w:val="both"/>
        <w:rPr>
          <w:rFonts w:ascii="Times New Roman" w:hAnsi="Times New Roman" w:cs="Times New Roman"/>
          <w:b/>
          <w:color w:val="000000" w:themeColor="text1"/>
          <w:sz w:val="22"/>
          <w:szCs w:val="22"/>
        </w:rPr>
      </w:pPr>
      <w:r w:rsidRPr="00CF335D">
        <w:rPr>
          <w:rFonts w:ascii="Times New Roman" w:hAnsi="Times New Roman" w:cs="Times New Roman"/>
          <w:b/>
          <w:caps/>
          <w:color w:val="000000" w:themeColor="text1"/>
          <w:sz w:val="22"/>
          <w:szCs w:val="22"/>
        </w:rPr>
        <w:t>2.3.1 m</w:t>
      </w:r>
      <w:r w:rsidRPr="00CF335D">
        <w:rPr>
          <w:rFonts w:ascii="Times New Roman" w:hAnsi="Times New Roman" w:cs="Times New Roman"/>
          <w:b/>
          <w:color w:val="000000" w:themeColor="text1"/>
          <w:sz w:val="22"/>
          <w:szCs w:val="22"/>
        </w:rPr>
        <w:t xml:space="preserve">oisture </w:t>
      </w:r>
      <w:r w:rsidRPr="00CF335D">
        <w:rPr>
          <w:rFonts w:ascii="Times New Roman" w:hAnsi="Times New Roman" w:cs="Times New Roman"/>
          <w:b/>
          <w:caps/>
          <w:color w:val="000000" w:themeColor="text1"/>
          <w:sz w:val="22"/>
          <w:szCs w:val="22"/>
        </w:rPr>
        <w:t>c</w:t>
      </w:r>
      <w:r w:rsidRPr="00CF335D">
        <w:rPr>
          <w:rFonts w:ascii="Times New Roman" w:hAnsi="Times New Roman" w:cs="Times New Roman"/>
          <w:b/>
          <w:color w:val="000000" w:themeColor="text1"/>
          <w:sz w:val="22"/>
          <w:szCs w:val="22"/>
        </w:rPr>
        <w:t>ontent Determination</w:t>
      </w:r>
    </w:p>
    <w:p w14:paraId="6CB004A8" w14:textId="77777777" w:rsidR="00543144" w:rsidRPr="00CF335D" w:rsidRDefault="00543144" w:rsidP="000D027A">
      <w:pPr>
        <w:spacing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 xml:space="preserve">A petri dish was cleaned and oven-dried. Approximately 2 g of </w:t>
      </w:r>
      <w:r w:rsidRPr="00CF335D">
        <w:rPr>
          <w:rFonts w:ascii="Times New Roman" w:hAnsi="Times New Roman" w:cs="Times New Roman"/>
          <w:i/>
          <w:iCs/>
          <w:color w:val="000000" w:themeColor="text1"/>
          <w:sz w:val="22"/>
          <w:szCs w:val="22"/>
        </w:rPr>
        <w:t>Pleurotus ostreatus</w:t>
      </w:r>
      <w:r w:rsidRPr="00CF335D">
        <w:rPr>
          <w:rFonts w:ascii="Times New Roman" w:hAnsi="Times New Roman" w:cs="Times New Roman"/>
          <w:color w:val="000000" w:themeColor="text1"/>
          <w:sz w:val="22"/>
          <w:szCs w:val="22"/>
        </w:rPr>
        <w:t xml:space="preserve"> was weighed into a petri dish. Prior to drying, the weight of the sample and petri dish was recorded. The Petri plate and sample were </w:t>
      </w:r>
      <w:r w:rsidRPr="00CF335D">
        <w:rPr>
          <w:rFonts w:ascii="Times New Roman" w:hAnsi="Times New Roman" w:cs="Times New Roman"/>
          <w:color w:val="000000" w:themeColor="text1"/>
          <w:sz w:val="22"/>
          <w:szCs w:val="22"/>
        </w:rPr>
        <w:lastRenderedPageBreak/>
        <w:t>placed in the oven and heated to 105°C for 2 h. The results were recorded, and the oven was heated for an additional 1 h until a consistent result was reached and the weight was recorded. The drying process was carried out repeatedly until the weight remained constant.</w:t>
      </w:r>
    </w:p>
    <w:p w14:paraId="08FDACB9" w14:textId="77777777" w:rsidR="008E4E9C" w:rsidRPr="00CF335D" w:rsidRDefault="008E4E9C" w:rsidP="000D027A">
      <w:pPr>
        <w:spacing w:after="0" w:line="276" w:lineRule="auto"/>
        <w:jc w:val="both"/>
        <w:rPr>
          <w:rFonts w:ascii="Times New Roman" w:hAnsi="Times New Roman" w:cs="Times New Roman"/>
          <w:color w:val="000000" w:themeColor="text1"/>
          <w:sz w:val="22"/>
          <w:szCs w:val="22"/>
        </w:rPr>
      </w:pPr>
      <m:oMathPara>
        <m:oMath>
          <m:r>
            <m:rPr>
              <m:sty m:val="p"/>
            </m:rPr>
            <w:rPr>
              <w:rFonts w:ascii="Cambria Math" w:hAnsi="Cambria Math" w:cs="Times New Roman"/>
              <w:color w:val="000000" w:themeColor="text1"/>
              <w:sz w:val="22"/>
              <w:szCs w:val="22"/>
            </w:rPr>
            <m:t>% Moisture content</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W1-W2</m:t>
              </m:r>
            </m:num>
            <m:den>
              <m:r>
                <w:rPr>
                  <w:rFonts w:ascii="Cambria Math" w:hAnsi="Cambria Math" w:cs="Times New Roman"/>
                  <w:color w:val="000000" w:themeColor="text1"/>
                  <w:sz w:val="22"/>
                  <w:szCs w:val="22"/>
                </w:rPr>
                <m:t>Weight of sample</m:t>
              </m:r>
            </m:den>
          </m:f>
          <m:r>
            <w:rPr>
              <w:rFonts w:ascii="Cambria Math" w:hAnsi="Cambria Math" w:cs="Times New Roman"/>
              <w:color w:val="000000" w:themeColor="text1"/>
              <w:sz w:val="22"/>
              <w:szCs w:val="22"/>
            </w:rPr>
            <m:t xml:space="preserve"> x 100%</m:t>
          </m:r>
        </m:oMath>
      </m:oMathPara>
    </w:p>
    <w:p w14:paraId="06D7DE7F" w14:textId="77777777" w:rsidR="008E4E9C" w:rsidRPr="00CF335D" w:rsidRDefault="008E4E9C" w:rsidP="000D027A">
      <w:pPr>
        <w:spacing w:before="240"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 xml:space="preserve">Where; W1 = weight of Petri dish and sample before drying, and W2 = weigh of Petri dish and sample after drying.   </w:t>
      </w:r>
    </w:p>
    <w:p w14:paraId="227F64D6" w14:textId="77777777" w:rsidR="008E4E9C" w:rsidRPr="00CF335D" w:rsidRDefault="008E4E9C" w:rsidP="000D027A">
      <w:pPr>
        <w:spacing w:before="240" w:after="0" w:line="276" w:lineRule="auto"/>
        <w:jc w:val="both"/>
        <w:rPr>
          <w:rFonts w:ascii="Times New Roman" w:hAnsi="Times New Roman" w:cs="Times New Roman"/>
          <w:b/>
          <w:color w:val="000000" w:themeColor="text1"/>
          <w:sz w:val="22"/>
          <w:szCs w:val="22"/>
        </w:rPr>
      </w:pPr>
      <w:r w:rsidRPr="00CF335D">
        <w:rPr>
          <w:rFonts w:ascii="Times New Roman" w:hAnsi="Times New Roman" w:cs="Times New Roman"/>
          <w:b/>
          <w:caps/>
          <w:color w:val="000000" w:themeColor="text1"/>
          <w:sz w:val="22"/>
          <w:szCs w:val="22"/>
        </w:rPr>
        <w:t xml:space="preserve">2.3.2. </w:t>
      </w:r>
      <w:r w:rsidRPr="00CF335D">
        <w:rPr>
          <w:rFonts w:ascii="Times New Roman" w:hAnsi="Times New Roman" w:cs="Times New Roman"/>
          <w:b/>
          <w:color w:val="000000" w:themeColor="text1"/>
          <w:sz w:val="22"/>
          <w:szCs w:val="22"/>
        </w:rPr>
        <w:t>Carbohydrate Determination</w:t>
      </w:r>
    </w:p>
    <w:p w14:paraId="1E80699D" w14:textId="597B39CC" w:rsidR="00543144" w:rsidRPr="00CF335D" w:rsidRDefault="00543144" w:rsidP="000D027A">
      <w:pPr>
        <w:spacing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The total carbohydrate content of the</w:t>
      </w:r>
      <w:r w:rsidRPr="00CF335D">
        <w:rPr>
          <w:rFonts w:ascii="Times New Roman" w:hAnsi="Times New Roman" w:cs="Times New Roman"/>
          <w:i/>
          <w:iCs/>
          <w:color w:val="000000" w:themeColor="text1"/>
          <w:sz w:val="22"/>
          <w:szCs w:val="22"/>
        </w:rPr>
        <w:t xml:space="preserve"> Pleurotus ostreatus</w:t>
      </w:r>
      <w:r w:rsidRPr="00CF335D">
        <w:rPr>
          <w:rFonts w:ascii="Times New Roman" w:hAnsi="Times New Roman" w:cs="Times New Roman"/>
          <w:color w:val="000000" w:themeColor="text1"/>
          <w:sz w:val="22"/>
          <w:szCs w:val="22"/>
        </w:rPr>
        <w:t xml:space="preserve"> was determined by difference (subtracting crude protein, moisture, fat, </w:t>
      </w:r>
      <w:r w:rsidR="0004223B" w:rsidRPr="00CF335D">
        <w:rPr>
          <w:rFonts w:ascii="Times New Roman" w:hAnsi="Times New Roman" w:cs="Times New Roman"/>
          <w:color w:val="EE0000"/>
          <w:sz w:val="22"/>
          <w:szCs w:val="22"/>
        </w:rPr>
        <w:t>fibre</w:t>
      </w:r>
      <w:r w:rsidRPr="00CF335D">
        <w:rPr>
          <w:rFonts w:ascii="Times New Roman" w:hAnsi="Times New Roman" w:cs="Times New Roman"/>
          <w:color w:val="000000" w:themeColor="text1"/>
          <w:sz w:val="22"/>
          <w:szCs w:val="22"/>
        </w:rPr>
        <w:t>, and ash content from 100%).</w:t>
      </w:r>
    </w:p>
    <w:p w14:paraId="61DFE371" w14:textId="53D29289" w:rsidR="008E4E9C" w:rsidRPr="00CF335D" w:rsidRDefault="008E4E9C" w:rsidP="000D027A">
      <w:pPr>
        <w:spacing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Calculations:</w:t>
      </w:r>
    </w:p>
    <w:p w14:paraId="65254462" w14:textId="2E93D19B" w:rsidR="008E4E9C" w:rsidRPr="00CF335D" w:rsidRDefault="008E4E9C" w:rsidP="000D027A">
      <w:pPr>
        <w:spacing w:after="0" w:line="276" w:lineRule="auto"/>
        <w:jc w:val="both"/>
        <w:rPr>
          <w:rFonts w:ascii="Times New Roman" w:hAnsi="Times New Roman" w:cs="Times New Roman"/>
          <w:color w:val="000000" w:themeColor="text1"/>
          <w:sz w:val="22"/>
          <w:szCs w:val="22"/>
        </w:rPr>
      </w:pPr>
      <m:oMath>
        <m:r>
          <m:rPr>
            <m:sty m:val="p"/>
          </m:rPr>
          <w:rPr>
            <w:rFonts w:ascii="Cambria Math" w:hAnsi="Cambria Math" w:cs="Times New Roman"/>
            <w:color w:val="000000" w:themeColor="text1"/>
            <w:sz w:val="22"/>
            <w:szCs w:val="22"/>
          </w:rPr>
          <m:t>%  Carbohydrate content</m:t>
        </m:r>
        <m:r>
          <w:rPr>
            <w:rFonts w:ascii="Cambria Math" w:hAnsi="Cambria Math" w:cs="Times New Roman"/>
            <w:color w:val="000000" w:themeColor="text1"/>
            <w:sz w:val="22"/>
            <w:szCs w:val="22"/>
          </w:rPr>
          <m:t>=</m:t>
        </m:r>
      </m:oMath>
      <w:r w:rsidRPr="00CF335D">
        <w:rPr>
          <w:rFonts w:ascii="Times New Roman" w:hAnsi="Times New Roman" w:cs="Times New Roman"/>
          <w:color w:val="000000" w:themeColor="text1"/>
          <w:sz w:val="22"/>
          <w:szCs w:val="22"/>
        </w:rPr>
        <w:t xml:space="preserve">100 – (% Protein + % Moisture + % Ash + % Fat + % </w:t>
      </w:r>
      <w:r w:rsidR="0004223B" w:rsidRPr="00CF335D">
        <w:rPr>
          <w:rFonts w:ascii="Times New Roman" w:hAnsi="Times New Roman" w:cs="Times New Roman"/>
          <w:color w:val="EE0000"/>
          <w:sz w:val="22"/>
          <w:szCs w:val="22"/>
        </w:rPr>
        <w:t>Fibre</w:t>
      </w:r>
      <w:r w:rsidRPr="00CF335D">
        <w:rPr>
          <w:rFonts w:ascii="Times New Roman" w:hAnsi="Times New Roman" w:cs="Times New Roman"/>
          <w:color w:val="000000" w:themeColor="text1"/>
          <w:sz w:val="22"/>
          <w:szCs w:val="22"/>
        </w:rPr>
        <w:t>)</w:t>
      </w:r>
    </w:p>
    <w:p w14:paraId="61BD57BD" w14:textId="77777777" w:rsidR="008E4E9C" w:rsidRPr="00CF335D" w:rsidRDefault="008E4E9C" w:rsidP="000D027A">
      <w:pPr>
        <w:spacing w:before="240"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b/>
          <w:caps/>
          <w:color w:val="000000" w:themeColor="text1"/>
          <w:sz w:val="22"/>
          <w:szCs w:val="22"/>
        </w:rPr>
        <w:t xml:space="preserve">2.3.3 </w:t>
      </w:r>
      <w:r w:rsidRPr="00CF335D">
        <w:rPr>
          <w:rFonts w:ascii="Times New Roman" w:hAnsi="Times New Roman" w:cs="Times New Roman"/>
          <w:b/>
          <w:color w:val="000000" w:themeColor="text1"/>
          <w:sz w:val="22"/>
          <w:szCs w:val="22"/>
        </w:rPr>
        <w:t>Ash Content Determination</w:t>
      </w:r>
    </w:p>
    <w:p w14:paraId="1CB20B69" w14:textId="77777777" w:rsidR="00543144" w:rsidRPr="00CF335D" w:rsidRDefault="00543144" w:rsidP="000D027A">
      <w:pPr>
        <w:spacing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 xml:space="preserve">The empty platinum crucible was washed, dried, and the weight noted. Approximately 2 g of </w:t>
      </w:r>
      <w:r w:rsidRPr="00CF335D">
        <w:rPr>
          <w:rFonts w:ascii="Times New Roman" w:hAnsi="Times New Roman" w:cs="Times New Roman"/>
          <w:i/>
          <w:iCs/>
          <w:color w:val="000000" w:themeColor="text1"/>
          <w:sz w:val="22"/>
          <w:szCs w:val="22"/>
        </w:rPr>
        <w:t>Pleurotus ostreatus</w:t>
      </w:r>
      <w:r w:rsidRPr="00CF335D">
        <w:rPr>
          <w:rFonts w:ascii="Times New Roman" w:hAnsi="Times New Roman" w:cs="Times New Roman"/>
          <w:color w:val="000000" w:themeColor="text1"/>
          <w:sz w:val="22"/>
          <w:szCs w:val="22"/>
        </w:rPr>
        <w:t xml:space="preserve"> was weighed into the platinum crucible and placed in a muffle furnace at 550°C for 3 h. The sample was cooled in a desiccator after burning and weighed.</w:t>
      </w:r>
    </w:p>
    <w:p w14:paraId="08A06739" w14:textId="185CEA1C" w:rsidR="008E4E9C" w:rsidRPr="00CF335D" w:rsidRDefault="008E4E9C" w:rsidP="000D027A">
      <w:pPr>
        <w:spacing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 xml:space="preserve">      Calculations: </w:t>
      </w:r>
      <w:r w:rsidRPr="00CF335D">
        <w:rPr>
          <w:rFonts w:ascii="Times New Roman" w:hAnsi="Times New Roman" w:cs="Times New Roman"/>
          <w:color w:val="000000" w:themeColor="text1"/>
          <w:sz w:val="22"/>
          <w:szCs w:val="22"/>
        </w:rPr>
        <w:tab/>
      </w:r>
      <m:oMath>
        <m:r>
          <m:rPr>
            <m:sty m:val="p"/>
          </m:rPr>
          <w:rPr>
            <w:rFonts w:ascii="Cambria Math" w:hAnsi="Cambria Math" w:cs="Times New Roman"/>
            <w:color w:val="000000" w:themeColor="text1"/>
            <w:sz w:val="22"/>
            <w:szCs w:val="22"/>
          </w:rPr>
          <m:t xml:space="preserve">% Ash content </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W3-W1</m:t>
            </m:r>
          </m:num>
          <m:den>
            <m:r>
              <w:rPr>
                <w:rFonts w:ascii="Cambria Math" w:hAnsi="Cambria Math" w:cs="Times New Roman"/>
                <w:color w:val="000000" w:themeColor="text1"/>
                <w:sz w:val="22"/>
                <w:szCs w:val="22"/>
              </w:rPr>
              <m:t>W2- W1</m:t>
            </m:r>
          </m:den>
        </m:f>
        <m:r>
          <w:rPr>
            <w:rFonts w:ascii="Cambria Math" w:hAnsi="Cambria Math" w:cs="Times New Roman"/>
            <w:color w:val="000000" w:themeColor="text1"/>
            <w:sz w:val="22"/>
            <w:szCs w:val="22"/>
          </w:rPr>
          <m:t xml:space="preserve"> x 100%</m:t>
        </m:r>
      </m:oMath>
    </w:p>
    <w:p w14:paraId="0CA4ADFB" w14:textId="77777777" w:rsidR="008E4E9C" w:rsidRPr="00CF335D" w:rsidRDefault="008E4E9C" w:rsidP="000D027A">
      <w:pPr>
        <w:spacing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Where; W1 = weight of empty platinum crucible, W2 = weight of platinum crucible and sample before burning and W3 = weight of platinum and ash.</w:t>
      </w:r>
    </w:p>
    <w:p w14:paraId="24B33979" w14:textId="7106C891" w:rsidR="008E4E9C" w:rsidRPr="00CF335D" w:rsidRDefault="008E4E9C" w:rsidP="000D027A">
      <w:pPr>
        <w:pStyle w:val="ListParagraph"/>
        <w:numPr>
          <w:ilvl w:val="2"/>
          <w:numId w:val="2"/>
        </w:numPr>
        <w:spacing w:before="240" w:after="0" w:line="276" w:lineRule="auto"/>
        <w:jc w:val="both"/>
        <w:rPr>
          <w:rFonts w:ascii="Times New Roman" w:hAnsi="Times New Roman" w:cs="Times New Roman"/>
          <w:b/>
          <w:color w:val="000000" w:themeColor="text1"/>
          <w:sz w:val="22"/>
          <w:szCs w:val="22"/>
        </w:rPr>
      </w:pPr>
      <w:r w:rsidRPr="00CF335D">
        <w:rPr>
          <w:rFonts w:ascii="Times New Roman" w:hAnsi="Times New Roman" w:cs="Times New Roman"/>
          <w:b/>
          <w:color w:val="000000" w:themeColor="text1"/>
          <w:sz w:val="22"/>
          <w:szCs w:val="22"/>
        </w:rPr>
        <w:t xml:space="preserve">Crude </w:t>
      </w:r>
      <w:r w:rsidR="0004223B" w:rsidRPr="00CF335D">
        <w:rPr>
          <w:rFonts w:ascii="Times New Roman" w:hAnsi="Times New Roman" w:cs="Times New Roman"/>
          <w:b/>
          <w:color w:val="EE0000"/>
          <w:sz w:val="22"/>
          <w:szCs w:val="22"/>
        </w:rPr>
        <w:t>Fibre</w:t>
      </w:r>
      <w:r w:rsidRPr="00CF335D">
        <w:rPr>
          <w:rFonts w:ascii="Times New Roman" w:hAnsi="Times New Roman" w:cs="Times New Roman"/>
          <w:b/>
          <w:color w:val="000000" w:themeColor="text1"/>
          <w:sz w:val="22"/>
          <w:szCs w:val="22"/>
        </w:rPr>
        <w:t xml:space="preserve"> Determination</w:t>
      </w:r>
    </w:p>
    <w:p w14:paraId="7B9A3373" w14:textId="124CD290" w:rsidR="00543144" w:rsidRPr="00CF335D" w:rsidRDefault="00543144" w:rsidP="000D027A">
      <w:pPr>
        <w:spacing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 xml:space="preserve">Two grams (2 g) of </w:t>
      </w:r>
      <w:r w:rsidRPr="00CF335D">
        <w:rPr>
          <w:rFonts w:ascii="Times New Roman" w:hAnsi="Times New Roman" w:cs="Times New Roman"/>
          <w:i/>
          <w:iCs/>
          <w:color w:val="000000" w:themeColor="text1"/>
          <w:sz w:val="22"/>
          <w:szCs w:val="22"/>
        </w:rPr>
        <w:t>Pleurotus ostreatus</w:t>
      </w:r>
      <w:r w:rsidRPr="00CF335D">
        <w:rPr>
          <w:rFonts w:ascii="Times New Roman" w:hAnsi="Times New Roman" w:cs="Times New Roman"/>
          <w:color w:val="000000" w:themeColor="text1"/>
          <w:sz w:val="22"/>
          <w:szCs w:val="22"/>
        </w:rPr>
        <w:t xml:space="preserve"> were defatted with petroleum ether (if the fat content is more than 10%). The defatted material was boiled under reflux for 30 minutes with 200 ml of a solution containing 1.25 g of H₂SO₄ per 100 ml of solution. The solution was filtered through linen and then washed with boiling water until the washings were no longer acidic. The residue was transferred to a beaker and boiled for 30 minutes with 200 ml of a solution containing 1.25 g of carbonate-free NaOH per 100 ml. The final residue was filtered through a thin but close pad of washed and ignited asbestos in a Gooch crucible, dried in an electric oven, and weighed. It was incinerated, cooled, and weighed again. The loss in weight after incineration x 100 is the percentage of crude </w:t>
      </w:r>
      <w:r w:rsidR="0004223B" w:rsidRPr="00CF335D">
        <w:rPr>
          <w:rFonts w:ascii="Times New Roman" w:hAnsi="Times New Roman" w:cs="Times New Roman"/>
          <w:color w:val="EE0000"/>
          <w:sz w:val="22"/>
          <w:szCs w:val="22"/>
        </w:rPr>
        <w:t>fibre</w:t>
      </w:r>
      <w:r w:rsidRPr="00CF335D">
        <w:rPr>
          <w:rFonts w:ascii="Times New Roman" w:hAnsi="Times New Roman" w:cs="Times New Roman"/>
          <w:color w:val="000000" w:themeColor="text1"/>
          <w:sz w:val="22"/>
          <w:szCs w:val="22"/>
        </w:rPr>
        <w:t>.</w:t>
      </w:r>
    </w:p>
    <w:p w14:paraId="32624E7F" w14:textId="2D1170BB" w:rsidR="008E4E9C" w:rsidRPr="00CF335D" w:rsidRDefault="008E4E9C" w:rsidP="000D027A">
      <w:pPr>
        <w:spacing w:after="0" w:line="276" w:lineRule="auto"/>
        <w:jc w:val="both"/>
        <w:rPr>
          <w:rFonts w:ascii="Times New Roman" w:hAnsi="Times New Roman" w:cs="Times New Roman"/>
          <w:color w:val="000000" w:themeColor="text1"/>
          <w:sz w:val="22"/>
          <w:szCs w:val="22"/>
        </w:rPr>
      </w:pPr>
      <m:oMathPara>
        <m:oMath>
          <m:r>
            <m:rPr>
              <m:sty m:val="p"/>
            </m:rPr>
            <w:rPr>
              <w:rFonts w:ascii="Cambria Math" w:hAnsi="Cambria Math" w:cs="Times New Roman"/>
              <w:color w:val="000000" w:themeColor="text1"/>
              <w:sz w:val="22"/>
              <w:szCs w:val="22"/>
            </w:rPr>
            <m:t xml:space="preserve">% Crude </m:t>
          </m:r>
          <m:r>
            <m:rPr>
              <m:sty m:val="p"/>
            </m:rPr>
            <w:rPr>
              <w:rFonts w:ascii="Cambria Math" w:hAnsi="Cambria Math" w:cs="Times New Roman"/>
              <w:color w:val="EE0000"/>
              <w:sz w:val="22"/>
              <w:szCs w:val="22"/>
            </w:rPr>
            <m:t xml:space="preserve">fibre </m:t>
          </m:r>
          <m:r>
            <m:rPr>
              <m:sty m:val="p"/>
            </m:rPr>
            <w:rPr>
              <w:rFonts w:ascii="Cambria Math" w:hAnsi="Cambria Math" w:cs="Times New Roman"/>
              <w:color w:val="000000" w:themeColor="text1"/>
              <w:sz w:val="22"/>
              <w:szCs w:val="22"/>
            </w:rPr>
            <m:t xml:space="preserve"> </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u w:val="single"/>
                </w:rPr>
                <m:t xml:space="preserve">Weight of </m:t>
              </m:r>
              <m:r>
                <m:rPr>
                  <m:sty m:val="p"/>
                </m:rPr>
                <w:rPr>
                  <w:rFonts w:ascii="Cambria Math" w:hAnsi="Cambria Math" w:cs="Times New Roman"/>
                  <w:color w:val="EE0000"/>
                  <w:sz w:val="22"/>
                  <w:szCs w:val="22"/>
                  <w:u w:val="single"/>
                </w:rPr>
                <m:t>fibre</m:t>
              </m:r>
            </m:num>
            <m:den>
              <m:r>
                <m:rPr>
                  <m:sty m:val="p"/>
                </m:rPr>
                <w:rPr>
                  <w:rFonts w:ascii="Cambria Math" w:hAnsi="Cambria Math" w:cs="Times New Roman"/>
                  <w:color w:val="000000" w:themeColor="text1"/>
                  <w:sz w:val="22"/>
                  <w:szCs w:val="22"/>
                </w:rPr>
                <m:t>Weight of sample</m:t>
              </m:r>
            </m:den>
          </m:f>
          <m:r>
            <w:rPr>
              <w:rFonts w:ascii="Cambria Math" w:hAnsi="Cambria Math" w:cs="Times New Roman"/>
              <w:color w:val="000000" w:themeColor="text1"/>
              <w:sz w:val="22"/>
              <w:szCs w:val="22"/>
            </w:rPr>
            <m:t xml:space="preserve"> x 100%</m:t>
          </m:r>
        </m:oMath>
      </m:oMathPara>
    </w:p>
    <w:p w14:paraId="006A2EB0" w14:textId="5BFE11FE" w:rsidR="008E4E9C" w:rsidRPr="00CF335D" w:rsidRDefault="008E4E9C" w:rsidP="000D027A">
      <w:pPr>
        <w:pStyle w:val="ListParagraph"/>
        <w:numPr>
          <w:ilvl w:val="2"/>
          <w:numId w:val="1"/>
        </w:numPr>
        <w:spacing w:after="0" w:line="276" w:lineRule="auto"/>
        <w:jc w:val="both"/>
        <w:rPr>
          <w:rFonts w:ascii="Times New Roman" w:hAnsi="Times New Roman" w:cs="Times New Roman"/>
          <w:b/>
          <w:color w:val="000000" w:themeColor="text1"/>
          <w:sz w:val="22"/>
          <w:szCs w:val="22"/>
        </w:rPr>
      </w:pPr>
      <w:r w:rsidRPr="00CF335D">
        <w:rPr>
          <w:rFonts w:ascii="Times New Roman" w:hAnsi="Times New Roman" w:cs="Times New Roman"/>
          <w:b/>
          <w:color w:val="000000" w:themeColor="text1"/>
          <w:sz w:val="22"/>
          <w:szCs w:val="22"/>
        </w:rPr>
        <w:t xml:space="preserve">Crude </w:t>
      </w:r>
      <w:r w:rsidR="00E21C37" w:rsidRPr="00CF335D">
        <w:rPr>
          <w:rFonts w:ascii="Times New Roman" w:hAnsi="Times New Roman" w:cs="Times New Roman"/>
          <w:b/>
          <w:color w:val="EE0000"/>
          <w:sz w:val="22"/>
          <w:szCs w:val="22"/>
        </w:rPr>
        <w:t>F</w:t>
      </w:r>
      <w:r w:rsidRPr="00CF335D">
        <w:rPr>
          <w:rFonts w:ascii="Times New Roman" w:hAnsi="Times New Roman" w:cs="Times New Roman"/>
          <w:b/>
          <w:color w:val="EE0000"/>
          <w:sz w:val="22"/>
          <w:szCs w:val="22"/>
        </w:rPr>
        <w:t xml:space="preserve">at </w:t>
      </w:r>
      <w:r w:rsidRPr="00CF335D">
        <w:rPr>
          <w:rFonts w:ascii="Times New Roman" w:hAnsi="Times New Roman" w:cs="Times New Roman"/>
          <w:b/>
          <w:color w:val="000000" w:themeColor="text1"/>
          <w:sz w:val="22"/>
          <w:szCs w:val="22"/>
        </w:rPr>
        <w:t>Determination</w:t>
      </w:r>
    </w:p>
    <w:p w14:paraId="1475CA2A" w14:textId="77777777" w:rsidR="00730B00" w:rsidRPr="00CF335D" w:rsidRDefault="00730B00" w:rsidP="000D027A">
      <w:pPr>
        <w:spacing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Crude fat was extracted with petroleum ether, using a Soxhlet apparatus following methods outlined in AOAC (1990). This method was carried out by continuously extracting a food with a nonpolar organic solvent such as petroleum ether for about 1 hour or more. Two hundred and fifty milliliters (250 ml) of clean boiling flasks were dried in an oven at 105–10°C for about 30 minutes. The boiling flasks were transferred into a desiccator and allowed to cool. The cooled boiling flasks were weighed and correspondingly labeled. The boiling flasks were filled with about 300 ml of petroleum ether (boiling point 40–60°C), and the extraction thimble was plugged lightly with cotton wool.</w:t>
      </w:r>
      <w:r w:rsidRPr="00CF335D">
        <w:rPr>
          <w:rFonts w:ascii="Times New Roman" w:hAnsi="Times New Roman" w:cs="Times New Roman"/>
          <w:b/>
          <w:bCs/>
          <w:color w:val="000000" w:themeColor="text1"/>
          <w:sz w:val="22"/>
          <w:szCs w:val="22"/>
        </w:rPr>
        <w:t xml:space="preserve"> </w:t>
      </w:r>
      <w:r w:rsidRPr="00CF335D">
        <w:rPr>
          <w:rFonts w:ascii="Times New Roman" w:hAnsi="Times New Roman" w:cs="Times New Roman"/>
          <w:color w:val="000000" w:themeColor="text1"/>
          <w:sz w:val="22"/>
          <w:szCs w:val="22"/>
        </w:rPr>
        <w:t xml:space="preserve">The Soxhlet apparatus was </w:t>
      </w:r>
      <w:r w:rsidRPr="00CF335D">
        <w:rPr>
          <w:rFonts w:ascii="Times New Roman" w:hAnsi="Times New Roman" w:cs="Times New Roman"/>
          <w:color w:val="000000" w:themeColor="text1"/>
          <w:sz w:val="22"/>
          <w:szCs w:val="22"/>
        </w:rPr>
        <w:lastRenderedPageBreak/>
        <w:t>assembled and allowed to reflux for about 6 hours, after which the thimble was removed with care and petroleum ether collected in the top container of the setup and drained into a container for reuse. Flasks almost free of petroleum ether were removed and dried at 105°C–110°C for 1 hour. They were transferred from the oven into a desiccator and allowed to cool and then weighed.</w:t>
      </w:r>
    </w:p>
    <w:p w14:paraId="4FF8C7B9" w14:textId="77777777" w:rsidR="008E4E9C" w:rsidRPr="00CF335D" w:rsidRDefault="008E4E9C" w:rsidP="000D027A">
      <w:pPr>
        <w:spacing w:after="0" w:line="276" w:lineRule="auto"/>
        <w:jc w:val="both"/>
        <w:rPr>
          <w:rFonts w:ascii="Times New Roman" w:hAnsi="Times New Roman" w:cs="Times New Roman"/>
          <w:b/>
          <w:color w:val="000000" w:themeColor="text1"/>
          <w:sz w:val="22"/>
          <w:szCs w:val="22"/>
        </w:rPr>
      </w:pPr>
      <m:oMathPara>
        <m:oMath>
          <m:r>
            <m:rPr>
              <m:sty m:val="b"/>
            </m:rPr>
            <w:rPr>
              <w:rFonts w:ascii="Cambria Math" w:hAnsi="Cambria Math" w:cs="Times New Roman"/>
              <w:color w:val="000000" w:themeColor="text1"/>
              <w:sz w:val="22"/>
              <w:szCs w:val="22"/>
            </w:rPr>
            <m:t>%</m:t>
          </m:r>
          <m:r>
            <m:rPr>
              <m:sty m:val="p"/>
            </m:rPr>
            <w:rPr>
              <w:rFonts w:ascii="Cambria Math" w:hAnsi="Cambria Math" w:cs="Times New Roman"/>
              <w:color w:val="000000" w:themeColor="text1"/>
              <w:sz w:val="22"/>
              <w:szCs w:val="22"/>
            </w:rPr>
            <m:t xml:space="preserve"> Fat  </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 xml:space="preserve">Wt of flask  contaning  Oil  - Wt of flask   </m:t>
              </m:r>
            </m:num>
            <m:den>
              <m:r>
                <m:rPr>
                  <m:sty m:val="p"/>
                </m:rPr>
                <w:rPr>
                  <w:rFonts w:ascii="Cambria Math" w:hAnsi="Cambria Math" w:cs="Times New Roman"/>
                  <w:color w:val="000000" w:themeColor="text1"/>
                  <w:sz w:val="22"/>
                  <w:szCs w:val="22"/>
                </w:rPr>
                <m:t>Weight of sample</m:t>
              </m:r>
            </m:den>
          </m:f>
          <m:r>
            <w:rPr>
              <w:rFonts w:ascii="Cambria Math" w:hAnsi="Cambria Math" w:cs="Times New Roman"/>
              <w:color w:val="000000" w:themeColor="text1"/>
              <w:sz w:val="22"/>
              <w:szCs w:val="22"/>
            </w:rPr>
            <m:t xml:space="preserve"> x 100%</m:t>
          </m:r>
        </m:oMath>
      </m:oMathPara>
    </w:p>
    <w:p w14:paraId="1612D5D7" w14:textId="776C6092" w:rsidR="008E4E9C" w:rsidRPr="00CF335D" w:rsidRDefault="008E4E9C" w:rsidP="000D027A">
      <w:pPr>
        <w:spacing w:before="240" w:after="0" w:line="276" w:lineRule="auto"/>
        <w:jc w:val="both"/>
        <w:rPr>
          <w:rFonts w:ascii="Times New Roman" w:hAnsi="Times New Roman" w:cs="Times New Roman"/>
          <w:b/>
          <w:color w:val="000000" w:themeColor="text1"/>
          <w:sz w:val="22"/>
          <w:szCs w:val="22"/>
        </w:rPr>
      </w:pPr>
      <w:r w:rsidRPr="00CF335D">
        <w:rPr>
          <w:rFonts w:ascii="Times New Roman" w:hAnsi="Times New Roman" w:cs="Times New Roman"/>
          <w:b/>
          <w:caps/>
          <w:color w:val="000000" w:themeColor="text1"/>
          <w:sz w:val="22"/>
          <w:szCs w:val="22"/>
        </w:rPr>
        <w:t xml:space="preserve">2.3.6 </w:t>
      </w:r>
      <w:r w:rsidRPr="00CF335D">
        <w:rPr>
          <w:rFonts w:ascii="Times New Roman" w:hAnsi="Times New Roman" w:cs="Times New Roman"/>
          <w:color w:val="000000" w:themeColor="text1"/>
          <w:sz w:val="22"/>
          <w:szCs w:val="22"/>
        </w:rPr>
        <w:t>Cr</w:t>
      </w:r>
      <w:r w:rsidRPr="00CF335D">
        <w:rPr>
          <w:rFonts w:ascii="Times New Roman" w:hAnsi="Times New Roman" w:cs="Times New Roman"/>
          <w:b/>
          <w:color w:val="000000" w:themeColor="text1"/>
          <w:sz w:val="22"/>
          <w:szCs w:val="22"/>
        </w:rPr>
        <w:t>ude Protein</w:t>
      </w:r>
      <w:r w:rsidR="001042B6" w:rsidRPr="00CF335D">
        <w:rPr>
          <w:rFonts w:ascii="Times New Roman" w:hAnsi="Times New Roman" w:cs="Times New Roman"/>
          <w:b/>
          <w:color w:val="000000" w:themeColor="text1"/>
          <w:sz w:val="22"/>
          <w:szCs w:val="22"/>
        </w:rPr>
        <w:t xml:space="preserve"> Determination</w:t>
      </w:r>
    </w:p>
    <w:p w14:paraId="312798FE" w14:textId="2B03D4EC" w:rsidR="00730B00" w:rsidRPr="00CF335D" w:rsidRDefault="00730B00" w:rsidP="000D027A">
      <w:pPr>
        <w:spacing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 xml:space="preserve">Exactly 0.5 g of sample was weighed into a 30 ml Kjehdal flask (gently to prevent the sample from touching the walls of the side of each), and then the flasks were stoppered and shaken. Then 0.5 g of the Kjedahl catalyst mixture was added. The mixture was heated cautiously in a digestion rack under fire until a clear solution appeared. The clear solution was then allowed to stand for 30 minutes and allowed to cool. After cooling, the solution was made up to 100 ml with distilled water to avoid caking, and then 5 ml was transferred to the Kjedahl distillation apparatus, followed by 5 ml of 40% sodium hydroxide. A 100 ml receiver flask containing 5 ml of 2% boric acid and an indicator mixture containing 5 drops of bromocresol blue and 1 drop of methylene blue was placed under a condenser of the distillation apparatus so that the tap was about 20 cm inside the solution, and distillation commenced immediately until 50 drops got into the receiver flask, after which it was titrated to a pink </w:t>
      </w:r>
      <w:r w:rsidR="0004223B" w:rsidRPr="00CF335D">
        <w:rPr>
          <w:rFonts w:ascii="Times New Roman" w:hAnsi="Times New Roman" w:cs="Times New Roman"/>
          <w:color w:val="EE0000"/>
          <w:sz w:val="22"/>
          <w:szCs w:val="22"/>
        </w:rPr>
        <w:t>colour</w:t>
      </w:r>
      <w:r w:rsidRPr="00CF335D">
        <w:rPr>
          <w:rFonts w:ascii="Times New Roman" w:hAnsi="Times New Roman" w:cs="Times New Roman"/>
          <w:color w:val="000000" w:themeColor="text1"/>
          <w:sz w:val="22"/>
          <w:szCs w:val="22"/>
        </w:rPr>
        <w:t xml:space="preserve"> using 0.01N hydrochloric acid.</w:t>
      </w:r>
    </w:p>
    <w:p w14:paraId="4D85F49C" w14:textId="515E7E7E" w:rsidR="008E4E9C" w:rsidRPr="00CF335D" w:rsidRDefault="008E4E9C" w:rsidP="000D027A">
      <w:pPr>
        <w:spacing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Calculations:</w:t>
      </w:r>
    </w:p>
    <w:p w14:paraId="2705DFB6" w14:textId="77777777" w:rsidR="008E4E9C" w:rsidRPr="00CF335D" w:rsidRDefault="008E4E9C" w:rsidP="000D027A">
      <w:pPr>
        <w:spacing w:after="0" w:line="276" w:lineRule="auto"/>
        <w:jc w:val="both"/>
        <w:rPr>
          <w:rFonts w:ascii="Times New Roman" w:hAnsi="Times New Roman" w:cs="Times New Roman"/>
          <w:color w:val="000000" w:themeColor="text1"/>
          <w:sz w:val="22"/>
          <w:szCs w:val="22"/>
        </w:rPr>
      </w:pPr>
      <m:oMathPara>
        <m:oMath>
          <m:r>
            <m:rPr>
              <m:sty m:val="p"/>
            </m:rPr>
            <w:rPr>
              <w:rFonts w:ascii="Cambria Math" w:hAnsi="Cambria Math" w:cs="Times New Roman"/>
              <w:color w:val="000000" w:themeColor="text1"/>
              <w:sz w:val="22"/>
              <w:szCs w:val="22"/>
            </w:rPr>
            <m:t>%  Nitrogen</m:t>
          </m:r>
          <m:r>
            <w:rPr>
              <w:rFonts w:ascii="Cambria Math" w:hAnsi="Cambria Math" w:cs="Times New Roman"/>
              <w:color w:val="000000" w:themeColor="text1"/>
              <w:sz w:val="22"/>
              <w:szCs w:val="22"/>
            </w:rPr>
            <m:t>=</m:t>
          </m:r>
          <m:r>
            <m:rPr>
              <m:sty m:val="p"/>
            </m:rPr>
            <w:rPr>
              <w:rFonts w:ascii="Cambria Math" w:hAnsi="Cambria Math" w:cs="Times New Roman"/>
              <w:color w:val="000000" w:themeColor="text1"/>
              <w:sz w:val="22"/>
              <w:szCs w:val="22"/>
            </w:rPr>
            <m:t>Titre value x  0.01 x 14 x 4</m:t>
          </m:r>
        </m:oMath>
      </m:oMathPara>
    </w:p>
    <w:p w14:paraId="27641732" w14:textId="77777777" w:rsidR="008E4E9C" w:rsidRPr="00CF335D" w:rsidRDefault="008E4E9C" w:rsidP="000D027A">
      <w:pPr>
        <w:spacing w:line="276" w:lineRule="auto"/>
        <w:jc w:val="both"/>
        <w:rPr>
          <w:rFonts w:ascii="Times New Roman" w:hAnsi="Times New Roman" w:cs="Times New Roman"/>
          <w:color w:val="000000" w:themeColor="text1"/>
          <w:sz w:val="22"/>
          <w:szCs w:val="22"/>
        </w:rPr>
      </w:pPr>
      <m:oMathPara>
        <m:oMath>
          <m:r>
            <m:rPr>
              <m:sty m:val="p"/>
            </m:rPr>
            <w:rPr>
              <w:rFonts w:ascii="Cambria Math" w:hAnsi="Cambria Math" w:cs="Times New Roman"/>
              <w:color w:val="000000" w:themeColor="text1"/>
              <w:sz w:val="22"/>
              <w:szCs w:val="22"/>
            </w:rPr>
            <m:t>% Protein</m:t>
          </m:r>
          <m:r>
            <w:rPr>
              <w:rFonts w:ascii="Cambria Math" w:hAnsi="Cambria Math" w:cs="Times New Roman"/>
              <w:color w:val="000000" w:themeColor="text1"/>
              <w:sz w:val="22"/>
              <w:szCs w:val="22"/>
            </w:rPr>
            <m:t xml:space="preserve">= </m:t>
          </m:r>
          <m:r>
            <m:rPr>
              <m:sty m:val="p"/>
            </m:rPr>
            <w:rPr>
              <w:rFonts w:ascii="Cambria Math" w:hAnsi="Cambria Math" w:cs="Times New Roman"/>
              <w:color w:val="000000" w:themeColor="text1"/>
              <w:sz w:val="22"/>
              <w:szCs w:val="22"/>
            </w:rPr>
            <m:t>% Nitrogen x 6.25</m:t>
          </m:r>
          <m:r>
            <w:rPr>
              <w:rFonts w:ascii="Cambria Math" w:hAnsi="Cambria Math" w:cs="Times New Roman"/>
              <w:color w:val="000000" w:themeColor="text1"/>
              <w:sz w:val="22"/>
              <w:szCs w:val="22"/>
            </w:rPr>
            <m:t xml:space="preserve"> </m:t>
          </m:r>
        </m:oMath>
      </m:oMathPara>
    </w:p>
    <w:p w14:paraId="45DA96FB" w14:textId="6D210240" w:rsidR="008E4E9C" w:rsidRPr="00CF335D" w:rsidRDefault="008B2983" w:rsidP="00CA086D">
      <w:pPr>
        <w:pStyle w:val="ListParagraph"/>
        <w:numPr>
          <w:ilvl w:val="1"/>
          <w:numId w:val="1"/>
        </w:numPr>
        <w:spacing w:before="240"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 xml:space="preserve">Determination of </w:t>
      </w:r>
      <w:bookmarkStart w:id="3" w:name="_Hlk216074595"/>
      <w:r w:rsidR="008E4E9C" w:rsidRPr="00CF335D">
        <w:rPr>
          <w:rFonts w:ascii="Times New Roman" w:hAnsi="Times New Roman" w:cs="Times New Roman"/>
          <w:b/>
          <w:bCs/>
          <w:color w:val="000000" w:themeColor="text1"/>
          <w:sz w:val="22"/>
          <w:szCs w:val="22"/>
        </w:rPr>
        <w:t>Amino Acid Composition using High-Performance Liquid Chromatography (HPLC) Technique</w:t>
      </w:r>
    </w:p>
    <w:p w14:paraId="320E55B4" w14:textId="3B907A59" w:rsidR="00CA086D" w:rsidRPr="00CF335D" w:rsidRDefault="00D1410D" w:rsidP="00D1410D">
      <w:pPr>
        <w:spacing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Amino acid determination</w:t>
      </w:r>
      <w:r w:rsidRPr="00CF335D">
        <w:rPr>
          <w:rFonts w:ascii="Times New Roman" w:hAnsi="Times New Roman" w:cs="Times New Roman"/>
          <w:b/>
          <w:bCs/>
          <w:color w:val="000000" w:themeColor="text1"/>
          <w:sz w:val="22"/>
          <w:szCs w:val="22"/>
        </w:rPr>
        <w:t xml:space="preserve"> </w:t>
      </w:r>
      <w:r w:rsidRPr="00CF335D">
        <w:rPr>
          <w:rFonts w:ascii="Times New Roman" w:hAnsi="Times New Roman" w:cs="Times New Roman"/>
          <w:color w:val="000000" w:themeColor="text1"/>
          <w:sz w:val="22"/>
          <w:szCs w:val="22"/>
        </w:rPr>
        <w:t>was carried out using the method described in</w:t>
      </w:r>
      <w:r w:rsidRPr="00CF335D">
        <w:rPr>
          <w:rFonts w:ascii="Times New Roman" w:hAnsi="Times New Roman" w:cs="Times New Roman"/>
          <w:b/>
          <w:bCs/>
          <w:color w:val="000000" w:themeColor="text1"/>
          <w:sz w:val="22"/>
          <w:szCs w:val="22"/>
        </w:rPr>
        <w:t xml:space="preserve"> </w:t>
      </w:r>
      <w:r w:rsidRPr="00CF335D">
        <w:rPr>
          <w:rFonts w:ascii="Times New Roman" w:eastAsiaTheme="minorEastAsia" w:hAnsi="Times New Roman" w:cs="Times New Roman"/>
          <w:color w:val="000000" w:themeColor="text1"/>
          <w:kern w:val="0"/>
          <w:sz w:val="22"/>
          <w:szCs w:val="22"/>
          <w:lang w:eastAsia="en-GB"/>
          <w14:ligatures w14:val="none"/>
        </w:rPr>
        <w:t>Adobeze &amp; Enemor (2020).</w:t>
      </w:r>
    </w:p>
    <w:bookmarkEnd w:id="3"/>
    <w:p w14:paraId="67AB3414" w14:textId="77777777" w:rsidR="00C12E73" w:rsidRPr="00CF335D" w:rsidRDefault="00C12E73" w:rsidP="00D1410D">
      <w:pPr>
        <w:spacing w:before="240"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2.4.1 High Performance Liquid Chromatography (HPLC) Apparatus</w:t>
      </w:r>
    </w:p>
    <w:p w14:paraId="2DF9D71B" w14:textId="153DB2BC" w:rsidR="00C12E73" w:rsidRPr="00CF335D" w:rsidRDefault="00C12E73" w:rsidP="000D027A">
      <w:pPr>
        <w:spacing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The HPLC equipment consisted of a Spectra Physics (San Jose, CA) HPLC apparatus comprising an 8700 XR ternary pump, a 20-µL Rheodyne (Cotati, CA) injection loop, an SP8792 column heater, an 8440 XR UV-vis detector, and a 4290-integrator linked via Labnet to a computer running WINner 8086 software (operating system, MS-DOS version 3.2). For separation, a 250 x 4.6 mm column packed with 5-µm Spherisorb C18 (Sugelabor, Madrid, Spain) was used.</w:t>
      </w:r>
    </w:p>
    <w:p w14:paraId="64BDF99A" w14:textId="77777777" w:rsidR="00C12E73" w:rsidRPr="00CF335D" w:rsidRDefault="00C12E73" w:rsidP="000D027A">
      <w:pPr>
        <w:spacing w:before="240"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2.4.2 Preparation of Samples and Standards</w:t>
      </w:r>
    </w:p>
    <w:p w14:paraId="671D7E22" w14:textId="77777777" w:rsidR="00C12E73" w:rsidRPr="00CF335D" w:rsidRDefault="00C12E73" w:rsidP="000D027A">
      <w:pPr>
        <w:spacing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Prior to derivatization, sample proteins were hydrolyzed as follows: A 0.1-g lyophilized sample was weighed into a 16 x 125 mm screw-cap Pyrex (Barcelona, Spain) tube, 15 mL of 6N hydrochloric acid was added, and the tube was thoroughly flushed with N₂, quickly capped, and placed in an oven at 110°C for 24 hrs. After hydrolysis, the tube contents were vacuum filtered (Whatman #541, Maidstone, England) to remove solids, the filtrate was made up to 25 mL with water, and an aliquot of this solution was further filtered through a 0.50 µm pore-size membrane (Millipore, Madrid, Spain). A standard solution containing 1.25 µmol/mL of each amino acid in 0.1 N hydrochloric acid was prepared.</w:t>
      </w:r>
    </w:p>
    <w:p w14:paraId="717CBB7C" w14:textId="77777777" w:rsidR="00C12E73" w:rsidRPr="00CF335D" w:rsidRDefault="00C12E73" w:rsidP="000D027A">
      <w:pPr>
        <w:spacing w:before="240"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2.4.3 Derivatization Procedure</w:t>
      </w:r>
    </w:p>
    <w:p w14:paraId="59317BC8" w14:textId="77777777" w:rsidR="00C12E73" w:rsidRPr="00CF335D" w:rsidRDefault="00C12E73" w:rsidP="000D027A">
      <w:pPr>
        <w:spacing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lastRenderedPageBreak/>
        <w:t>The procedure used was the method of Elkin et al. (1985). A standard solution (5, 10, 15, or 20 µL) or 50 µL of sample solution was pipetted into a 10 x 5 mm tube and dried in vacuo at 65°C. To the residue, 30 µL of methanol-water-phenyl isothiocyanate (2:2:1 [v/v]) was added and then removed in vacuo at 65°C. Next, 30 µL of the derivatizing reagent methanol-water-phenyl isothiocyanate (7:1:1:1 [v/v]) was added, and the tube was agitated and left to stand at room temperature for 20 min. Finally, the solvents were removed under a nitrogen stream, and the tube was sealed and stored at 4°C, pending analysis. Prior to injection, 150 µL of diluent consisting of 5 mM sodium phosphate with 5% acetonitrile was added to each tube.</w:t>
      </w:r>
    </w:p>
    <w:p w14:paraId="5A668BAF" w14:textId="77777777" w:rsidR="00C12E73" w:rsidRPr="00CF335D" w:rsidRDefault="00C12E73" w:rsidP="000D027A">
      <w:pPr>
        <w:spacing w:before="240"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2.4.4 Chromatographic Procedure</w:t>
      </w:r>
    </w:p>
    <w:p w14:paraId="2B09A539" w14:textId="1935512E" w:rsidR="00C12E73" w:rsidRPr="00CF335D" w:rsidRDefault="00C12E73" w:rsidP="000D027A">
      <w:pPr>
        <w:spacing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Chromatography was carried out at a constant temperature of 30°C using a gradient elution as follows. Eluant A was an aqueous buffer prepared by adding 0.5 mL/L triethylamine to 0.14M sodium acetate and titrating it to pH 6.20 with glacial acetic acid; eluant B was acetonitrile-water (60:40 [v/v]). The gradient program is shown in Table 1</w:t>
      </w:r>
    </w:p>
    <w:p w14:paraId="43BFFDA1" w14:textId="477B7918" w:rsidR="00DE0664" w:rsidRPr="00CF335D" w:rsidRDefault="00DE0664" w:rsidP="000D027A">
      <w:pPr>
        <w:spacing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Table 1. Gradient Program Employed for the Separation of PTC-Amino acids</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1274"/>
        <w:gridCol w:w="2135"/>
        <w:gridCol w:w="1060"/>
        <w:gridCol w:w="1060"/>
      </w:tblGrid>
      <w:tr w:rsidR="00D1410D" w:rsidRPr="00CF335D" w14:paraId="28A5635B" w14:textId="77777777" w:rsidTr="004F5BDC">
        <w:trPr>
          <w:trHeight w:val="389"/>
        </w:trPr>
        <w:tc>
          <w:tcPr>
            <w:tcW w:w="0" w:type="auto"/>
          </w:tcPr>
          <w:p w14:paraId="256A735D" w14:textId="77777777" w:rsidR="00DE0664" w:rsidRPr="00CF335D" w:rsidRDefault="00DE0664" w:rsidP="000D027A">
            <w:pPr>
              <w:spacing w:line="276" w:lineRule="auto"/>
              <w:rPr>
                <w:b/>
                <w:bCs/>
                <w:color w:val="000000" w:themeColor="text1"/>
                <w:sz w:val="22"/>
                <w:szCs w:val="22"/>
              </w:rPr>
            </w:pPr>
            <w:r w:rsidRPr="00CF335D">
              <w:rPr>
                <w:b/>
                <w:bCs/>
                <w:color w:val="000000" w:themeColor="text1"/>
                <w:sz w:val="22"/>
                <w:szCs w:val="22"/>
              </w:rPr>
              <w:t>S/N</w:t>
            </w:r>
          </w:p>
        </w:tc>
        <w:tc>
          <w:tcPr>
            <w:tcW w:w="0" w:type="auto"/>
          </w:tcPr>
          <w:p w14:paraId="7FD886E1" w14:textId="00974C7A" w:rsidR="00DE0664" w:rsidRPr="00CF335D" w:rsidRDefault="00B76FCE" w:rsidP="000D027A">
            <w:pPr>
              <w:spacing w:line="276" w:lineRule="auto"/>
              <w:rPr>
                <w:b/>
                <w:bCs/>
                <w:color w:val="000000" w:themeColor="text1"/>
                <w:sz w:val="22"/>
                <w:szCs w:val="22"/>
              </w:rPr>
            </w:pPr>
            <w:r w:rsidRPr="00CF335D">
              <w:rPr>
                <w:b/>
                <w:bCs/>
                <w:color w:val="000000" w:themeColor="text1"/>
                <w:sz w:val="22"/>
                <w:szCs w:val="22"/>
              </w:rPr>
              <w:t xml:space="preserve">Time </w:t>
            </w:r>
            <w:r w:rsidR="00DE0664" w:rsidRPr="00CF335D">
              <w:rPr>
                <w:b/>
                <w:bCs/>
                <w:color w:val="000000" w:themeColor="text1"/>
                <w:sz w:val="22"/>
                <w:szCs w:val="22"/>
              </w:rPr>
              <w:t>(min)</w:t>
            </w:r>
          </w:p>
        </w:tc>
        <w:tc>
          <w:tcPr>
            <w:tcW w:w="0" w:type="auto"/>
          </w:tcPr>
          <w:p w14:paraId="30BB6C9C" w14:textId="6F459189" w:rsidR="00DE0664" w:rsidRPr="00CF335D" w:rsidRDefault="00B76FCE" w:rsidP="000D027A">
            <w:pPr>
              <w:spacing w:line="276" w:lineRule="auto"/>
              <w:rPr>
                <w:b/>
                <w:bCs/>
                <w:color w:val="000000" w:themeColor="text1"/>
                <w:sz w:val="22"/>
                <w:szCs w:val="22"/>
              </w:rPr>
            </w:pPr>
            <w:r w:rsidRPr="00CF335D">
              <w:rPr>
                <w:b/>
                <w:bCs/>
                <w:color w:val="000000" w:themeColor="text1"/>
                <w:sz w:val="22"/>
                <w:szCs w:val="22"/>
              </w:rPr>
              <w:t xml:space="preserve">Flow Rate </w:t>
            </w:r>
            <w:r w:rsidR="00DE0664" w:rsidRPr="00CF335D">
              <w:rPr>
                <w:b/>
                <w:bCs/>
                <w:color w:val="000000" w:themeColor="text1"/>
                <w:sz w:val="22"/>
                <w:szCs w:val="22"/>
              </w:rPr>
              <w:t>(mL/min)</w:t>
            </w:r>
          </w:p>
        </w:tc>
        <w:tc>
          <w:tcPr>
            <w:tcW w:w="0" w:type="auto"/>
          </w:tcPr>
          <w:p w14:paraId="214274B7" w14:textId="77777777" w:rsidR="00DE0664" w:rsidRPr="00CF335D" w:rsidRDefault="00DE0664" w:rsidP="000D027A">
            <w:pPr>
              <w:spacing w:line="276" w:lineRule="auto"/>
              <w:rPr>
                <w:b/>
                <w:bCs/>
                <w:color w:val="000000" w:themeColor="text1"/>
                <w:sz w:val="22"/>
                <w:szCs w:val="22"/>
              </w:rPr>
            </w:pPr>
            <w:r w:rsidRPr="00CF335D">
              <w:rPr>
                <w:b/>
                <w:bCs/>
                <w:color w:val="000000" w:themeColor="text1"/>
                <w:sz w:val="22"/>
                <w:szCs w:val="22"/>
              </w:rPr>
              <w:t>%Eluent</w:t>
            </w:r>
          </w:p>
        </w:tc>
        <w:tc>
          <w:tcPr>
            <w:tcW w:w="0" w:type="auto"/>
          </w:tcPr>
          <w:p w14:paraId="0D84545E" w14:textId="77777777" w:rsidR="00DE0664" w:rsidRPr="00CF335D" w:rsidRDefault="00DE0664" w:rsidP="000D027A">
            <w:pPr>
              <w:spacing w:line="276" w:lineRule="auto"/>
              <w:rPr>
                <w:b/>
                <w:bCs/>
                <w:color w:val="000000" w:themeColor="text1"/>
                <w:sz w:val="22"/>
                <w:szCs w:val="22"/>
              </w:rPr>
            </w:pPr>
            <w:r w:rsidRPr="00CF335D">
              <w:rPr>
                <w:b/>
                <w:bCs/>
                <w:color w:val="000000" w:themeColor="text1"/>
                <w:sz w:val="22"/>
                <w:szCs w:val="22"/>
              </w:rPr>
              <w:t>%Eluent</w:t>
            </w:r>
          </w:p>
        </w:tc>
      </w:tr>
      <w:tr w:rsidR="00D1410D" w:rsidRPr="00CF335D" w14:paraId="37FD599C" w14:textId="77777777" w:rsidTr="004F5BDC">
        <w:trPr>
          <w:trHeight w:val="389"/>
        </w:trPr>
        <w:tc>
          <w:tcPr>
            <w:tcW w:w="0" w:type="auto"/>
            <w:tcBorders>
              <w:bottom w:val="single" w:sz="4" w:space="0" w:color="auto"/>
            </w:tcBorders>
          </w:tcPr>
          <w:p w14:paraId="6BE15F4A" w14:textId="77777777" w:rsidR="00DE0664" w:rsidRPr="00CF335D" w:rsidRDefault="00DE0664" w:rsidP="000D027A">
            <w:pPr>
              <w:spacing w:line="276" w:lineRule="auto"/>
              <w:rPr>
                <w:b/>
                <w:bCs/>
                <w:color w:val="000000" w:themeColor="text1"/>
                <w:sz w:val="22"/>
                <w:szCs w:val="22"/>
              </w:rPr>
            </w:pPr>
          </w:p>
        </w:tc>
        <w:tc>
          <w:tcPr>
            <w:tcW w:w="0" w:type="auto"/>
            <w:tcBorders>
              <w:bottom w:val="single" w:sz="4" w:space="0" w:color="auto"/>
            </w:tcBorders>
          </w:tcPr>
          <w:p w14:paraId="401193CB" w14:textId="77777777" w:rsidR="00DE0664" w:rsidRPr="00CF335D" w:rsidRDefault="00DE0664" w:rsidP="000D027A">
            <w:pPr>
              <w:spacing w:line="276" w:lineRule="auto"/>
              <w:rPr>
                <w:b/>
                <w:bCs/>
                <w:color w:val="000000" w:themeColor="text1"/>
                <w:sz w:val="22"/>
                <w:szCs w:val="22"/>
              </w:rPr>
            </w:pPr>
          </w:p>
        </w:tc>
        <w:tc>
          <w:tcPr>
            <w:tcW w:w="0" w:type="auto"/>
            <w:tcBorders>
              <w:bottom w:val="single" w:sz="4" w:space="0" w:color="auto"/>
            </w:tcBorders>
          </w:tcPr>
          <w:p w14:paraId="7D5F9A99" w14:textId="77777777" w:rsidR="00DE0664" w:rsidRPr="00CF335D" w:rsidRDefault="00DE0664" w:rsidP="000D027A">
            <w:pPr>
              <w:spacing w:line="276" w:lineRule="auto"/>
              <w:rPr>
                <w:b/>
                <w:bCs/>
                <w:color w:val="000000" w:themeColor="text1"/>
                <w:sz w:val="22"/>
                <w:szCs w:val="22"/>
              </w:rPr>
            </w:pPr>
          </w:p>
        </w:tc>
        <w:tc>
          <w:tcPr>
            <w:tcW w:w="0" w:type="auto"/>
            <w:tcBorders>
              <w:bottom w:val="single" w:sz="4" w:space="0" w:color="auto"/>
            </w:tcBorders>
          </w:tcPr>
          <w:p w14:paraId="57BAE733" w14:textId="77777777" w:rsidR="00DE0664" w:rsidRPr="00CF335D" w:rsidRDefault="00DE0664" w:rsidP="000D027A">
            <w:pPr>
              <w:spacing w:line="276" w:lineRule="auto"/>
              <w:rPr>
                <w:b/>
                <w:bCs/>
                <w:color w:val="000000" w:themeColor="text1"/>
                <w:sz w:val="22"/>
                <w:szCs w:val="22"/>
              </w:rPr>
            </w:pPr>
            <w:r w:rsidRPr="00CF335D">
              <w:rPr>
                <w:b/>
                <w:bCs/>
                <w:color w:val="000000" w:themeColor="text1"/>
                <w:sz w:val="22"/>
                <w:szCs w:val="22"/>
              </w:rPr>
              <w:t>A</w:t>
            </w:r>
          </w:p>
        </w:tc>
        <w:tc>
          <w:tcPr>
            <w:tcW w:w="0" w:type="auto"/>
            <w:tcBorders>
              <w:bottom w:val="single" w:sz="4" w:space="0" w:color="auto"/>
            </w:tcBorders>
          </w:tcPr>
          <w:p w14:paraId="3844870A" w14:textId="77777777" w:rsidR="00DE0664" w:rsidRPr="00CF335D" w:rsidRDefault="00DE0664" w:rsidP="000D027A">
            <w:pPr>
              <w:spacing w:line="276" w:lineRule="auto"/>
              <w:rPr>
                <w:b/>
                <w:bCs/>
                <w:color w:val="000000" w:themeColor="text1"/>
                <w:sz w:val="22"/>
                <w:szCs w:val="22"/>
              </w:rPr>
            </w:pPr>
            <w:r w:rsidRPr="00CF335D">
              <w:rPr>
                <w:b/>
                <w:bCs/>
                <w:color w:val="000000" w:themeColor="text1"/>
                <w:sz w:val="22"/>
                <w:szCs w:val="22"/>
              </w:rPr>
              <w:t>B</w:t>
            </w:r>
          </w:p>
        </w:tc>
      </w:tr>
      <w:tr w:rsidR="00D1410D" w:rsidRPr="00CF335D" w14:paraId="6D5068AB" w14:textId="77777777" w:rsidTr="004F5BDC">
        <w:trPr>
          <w:trHeight w:val="212"/>
        </w:trPr>
        <w:tc>
          <w:tcPr>
            <w:tcW w:w="0" w:type="auto"/>
            <w:tcBorders>
              <w:top w:val="single" w:sz="4" w:space="0" w:color="auto"/>
            </w:tcBorders>
          </w:tcPr>
          <w:p w14:paraId="0D637A62" w14:textId="77777777" w:rsidR="00DE0664" w:rsidRPr="00CF335D" w:rsidRDefault="00DE0664" w:rsidP="000D027A">
            <w:pPr>
              <w:numPr>
                <w:ilvl w:val="0"/>
                <w:numId w:val="4"/>
              </w:numPr>
              <w:spacing w:line="276" w:lineRule="auto"/>
              <w:rPr>
                <w:b/>
                <w:bCs/>
                <w:color w:val="000000" w:themeColor="text1"/>
                <w:sz w:val="22"/>
                <w:szCs w:val="22"/>
              </w:rPr>
            </w:pPr>
          </w:p>
        </w:tc>
        <w:tc>
          <w:tcPr>
            <w:tcW w:w="0" w:type="auto"/>
            <w:tcBorders>
              <w:top w:val="single" w:sz="4" w:space="0" w:color="auto"/>
            </w:tcBorders>
          </w:tcPr>
          <w:p w14:paraId="3C5ACABB"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0</w:t>
            </w:r>
          </w:p>
        </w:tc>
        <w:tc>
          <w:tcPr>
            <w:tcW w:w="0" w:type="auto"/>
            <w:tcBorders>
              <w:top w:val="single" w:sz="4" w:space="0" w:color="auto"/>
            </w:tcBorders>
          </w:tcPr>
          <w:p w14:paraId="02204C91"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1.0</w:t>
            </w:r>
          </w:p>
        </w:tc>
        <w:tc>
          <w:tcPr>
            <w:tcW w:w="0" w:type="auto"/>
            <w:tcBorders>
              <w:top w:val="single" w:sz="4" w:space="0" w:color="auto"/>
            </w:tcBorders>
          </w:tcPr>
          <w:p w14:paraId="2C2607FB"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90</w:t>
            </w:r>
          </w:p>
        </w:tc>
        <w:tc>
          <w:tcPr>
            <w:tcW w:w="0" w:type="auto"/>
            <w:tcBorders>
              <w:top w:val="single" w:sz="4" w:space="0" w:color="auto"/>
            </w:tcBorders>
          </w:tcPr>
          <w:p w14:paraId="4A0CEF98"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10</w:t>
            </w:r>
          </w:p>
        </w:tc>
      </w:tr>
      <w:tr w:rsidR="00D1410D" w:rsidRPr="00CF335D" w14:paraId="4C41F8C0" w14:textId="77777777" w:rsidTr="004F5BDC">
        <w:trPr>
          <w:trHeight w:val="225"/>
        </w:trPr>
        <w:tc>
          <w:tcPr>
            <w:tcW w:w="0" w:type="auto"/>
          </w:tcPr>
          <w:p w14:paraId="40CC48C7" w14:textId="77777777" w:rsidR="00DE0664" w:rsidRPr="00CF335D" w:rsidRDefault="00DE0664" w:rsidP="000D027A">
            <w:pPr>
              <w:numPr>
                <w:ilvl w:val="0"/>
                <w:numId w:val="4"/>
              </w:numPr>
              <w:spacing w:line="276" w:lineRule="auto"/>
              <w:rPr>
                <w:b/>
                <w:bCs/>
                <w:color w:val="000000" w:themeColor="text1"/>
                <w:sz w:val="22"/>
                <w:szCs w:val="22"/>
              </w:rPr>
            </w:pPr>
          </w:p>
        </w:tc>
        <w:tc>
          <w:tcPr>
            <w:tcW w:w="0" w:type="auto"/>
          </w:tcPr>
          <w:p w14:paraId="7810E06B"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12.0</w:t>
            </w:r>
          </w:p>
        </w:tc>
        <w:tc>
          <w:tcPr>
            <w:tcW w:w="0" w:type="auto"/>
          </w:tcPr>
          <w:p w14:paraId="3A7E58D1"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1.0</w:t>
            </w:r>
          </w:p>
        </w:tc>
        <w:tc>
          <w:tcPr>
            <w:tcW w:w="0" w:type="auto"/>
          </w:tcPr>
          <w:p w14:paraId="1C220BCA"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70</w:t>
            </w:r>
          </w:p>
        </w:tc>
        <w:tc>
          <w:tcPr>
            <w:tcW w:w="0" w:type="auto"/>
          </w:tcPr>
          <w:p w14:paraId="612B1142"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30</w:t>
            </w:r>
          </w:p>
        </w:tc>
      </w:tr>
      <w:tr w:rsidR="00D1410D" w:rsidRPr="00CF335D" w14:paraId="24B56363" w14:textId="77777777" w:rsidTr="004F5BDC">
        <w:trPr>
          <w:trHeight w:val="243"/>
        </w:trPr>
        <w:tc>
          <w:tcPr>
            <w:tcW w:w="0" w:type="auto"/>
          </w:tcPr>
          <w:p w14:paraId="19F0CD8C" w14:textId="77777777" w:rsidR="00DE0664" w:rsidRPr="00CF335D" w:rsidRDefault="00DE0664" w:rsidP="000D027A">
            <w:pPr>
              <w:numPr>
                <w:ilvl w:val="0"/>
                <w:numId w:val="4"/>
              </w:numPr>
              <w:spacing w:line="276" w:lineRule="auto"/>
              <w:rPr>
                <w:b/>
                <w:bCs/>
                <w:color w:val="000000" w:themeColor="text1"/>
                <w:sz w:val="22"/>
                <w:szCs w:val="22"/>
              </w:rPr>
            </w:pPr>
          </w:p>
        </w:tc>
        <w:tc>
          <w:tcPr>
            <w:tcW w:w="0" w:type="auto"/>
          </w:tcPr>
          <w:p w14:paraId="460A27A3"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20.0</w:t>
            </w:r>
          </w:p>
        </w:tc>
        <w:tc>
          <w:tcPr>
            <w:tcW w:w="0" w:type="auto"/>
          </w:tcPr>
          <w:p w14:paraId="0E9F5F66"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1.0</w:t>
            </w:r>
          </w:p>
        </w:tc>
        <w:tc>
          <w:tcPr>
            <w:tcW w:w="0" w:type="auto"/>
          </w:tcPr>
          <w:p w14:paraId="131B94F7"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52</w:t>
            </w:r>
          </w:p>
        </w:tc>
        <w:tc>
          <w:tcPr>
            <w:tcW w:w="0" w:type="auto"/>
          </w:tcPr>
          <w:p w14:paraId="242E7118"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48</w:t>
            </w:r>
          </w:p>
        </w:tc>
      </w:tr>
      <w:tr w:rsidR="00D1410D" w:rsidRPr="00CF335D" w14:paraId="2C017323" w14:textId="77777777" w:rsidTr="004F5BDC">
        <w:trPr>
          <w:trHeight w:val="91"/>
        </w:trPr>
        <w:tc>
          <w:tcPr>
            <w:tcW w:w="0" w:type="auto"/>
          </w:tcPr>
          <w:p w14:paraId="5DB2933F" w14:textId="77777777" w:rsidR="00DE0664" w:rsidRPr="00CF335D" w:rsidRDefault="00DE0664" w:rsidP="000D027A">
            <w:pPr>
              <w:numPr>
                <w:ilvl w:val="0"/>
                <w:numId w:val="4"/>
              </w:numPr>
              <w:spacing w:line="276" w:lineRule="auto"/>
              <w:rPr>
                <w:b/>
                <w:bCs/>
                <w:color w:val="000000" w:themeColor="text1"/>
                <w:sz w:val="22"/>
                <w:szCs w:val="22"/>
              </w:rPr>
            </w:pPr>
          </w:p>
        </w:tc>
        <w:tc>
          <w:tcPr>
            <w:tcW w:w="0" w:type="auto"/>
          </w:tcPr>
          <w:p w14:paraId="26C7C044"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22.0</w:t>
            </w:r>
          </w:p>
        </w:tc>
        <w:tc>
          <w:tcPr>
            <w:tcW w:w="0" w:type="auto"/>
          </w:tcPr>
          <w:p w14:paraId="5827A527"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1.0</w:t>
            </w:r>
          </w:p>
        </w:tc>
        <w:tc>
          <w:tcPr>
            <w:tcW w:w="0" w:type="auto"/>
          </w:tcPr>
          <w:p w14:paraId="03F7A8B5"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0</w:t>
            </w:r>
          </w:p>
        </w:tc>
        <w:tc>
          <w:tcPr>
            <w:tcW w:w="0" w:type="auto"/>
          </w:tcPr>
          <w:p w14:paraId="4F0FCB92"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100</w:t>
            </w:r>
          </w:p>
        </w:tc>
      </w:tr>
      <w:tr w:rsidR="00D1410D" w:rsidRPr="00CF335D" w14:paraId="03983152" w14:textId="77777777" w:rsidTr="004F5BDC">
        <w:trPr>
          <w:trHeight w:val="110"/>
        </w:trPr>
        <w:tc>
          <w:tcPr>
            <w:tcW w:w="0" w:type="auto"/>
          </w:tcPr>
          <w:p w14:paraId="4EAACA0D" w14:textId="77777777" w:rsidR="00DE0664" w:rsidRPr="00CF335D" w:rsidRDefault="00DE0664" w:rsidP="000D027A">
            <w:pPr>
              <w:numPr>
                <w:ilvl w:val="0"/>
                <w:numId w:val="4"/>
              </w:numPr>
              <w:spacing w:line="276" w:lineRule="auto"/>
              <w:rPr>
                <w:b/>
                <w:bCs/>
                <w:color w:val="000000" w:themeColor="text1"/>
                <w:sz w:val="22"/>
                <w:szCs w:val="22"/>
              </w:rPr>
            </w:pPr>
          </w:p>
        </w:tc>
        <w:tc>
          <w:tcPr>
            <w:tcW w:w="0" w:type="auto"/>
          </w:tcPr>
          <w:p w14:paraId="09162161"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24.0</w:t>
            </w:r>
          </w:p>
        </w:tc>
        <w:tc>
          <w:tcPr>
            <w:tcW w:w="0" w:type="auto"/>
          </w:tcPr>
          <w:p w14:paraId="310B32BF"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1.0</w:t>
            </w:r>
          </w:p>
        </w:tc>
        <w:tc>
          <w:tcPr>
            <w:tcW w:w="0" w:type="auto"/>
          </w:tcPr>
          <w:p w14:paraId="15A69F2F"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0</w:t>
            </w:r>
          </w:p>
        </w:tc>
        <w:tc>
          <w:tcPr>
            <w:tcW w:w="0" w:type="auto"/>
          </w:tcPr>
          <w:p w14:paraId="343580BA"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100</w:t>
            </w:r>
          </w:p>
        </w:tc>
      </w:tr>
      <w:tr w:rsidR="00D1410D" w:rsidRPr="00CF335D" w14:paraId="2F372C17" w14:textId="77777777" w:rsidTr="004F5BDC">
        <w:trPr>
          <w:trHeight w:val="255"/>
        </w:trPr>
        <w:tc>
          <w:tcPr>
            <w:tcW w:w="0" w:type="auto"/>
          </w:tcPr>
          <w:p w14:paraId="00A8D0CA" w14:textId="77777777" w:rsidR="00DE0664" w:rsidRPr="00CF335D" w:rsidRDefault="00DE0664" w:rsidP="000D027A">
            <w:pPr>
              <w:numPr>
                <w:ilvl w:val="0"/>
                <w:numId w:val="4"/>
              </w:numPr>
              <w:spacing w:line="276" w:lineRule="auto"/>
              <w:rPr>
                <w:b/>
                <w:bCs/>
                <w:color w:val="000000" w:themeColor="text1"/>
                <w:sz w:val="22"/>
                <w:szCs w:val="22"/>
              </w:rPr>
            </w:pPr>
          </w:p>
        </w:tc>
        <w:tc>
          <w:tcPr>
            <w:tcW w:w="0" w:type="auto"/>
          </w:tcPr>
          <w:p w14:paraId="675E791F"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30.0</w:t>
            </w:r>
          </w:p>
        </w:tc>
        <w:tc>
          <w:tcPr>
            <w:tcW w:w="0" w:type="auto"/>
          </w:tcPr>
          <w:p w14:paraId="2E598CC1"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1.5</w:t>
            </w:r>
          </w:p>
        </w:tc>
        <w:tc>
          <w:tcPr>
            <w:tcW w:w="0" w:type="auto"/>
          </w:tcPr>
          <w:p w14:paraId="3C799C09"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0</w:t>
            </w:r>
          </w:p>
        </w:tc>
        <w:tc>
          <w:tcPr>
            <w:tcW w:w="0" w:type="auto"/>
          </w:tcPr>
          <w:p w14:paraId="2063C988"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100</w:t>
            </w:r>
          </w:p>
        </w:tc>
      </w:tr>
      <w:tr w:rsidR="00543144" w:rsidRPr="00CF335D" w14:paraId="5A9EFEE3" w14:textId="77777777" w:rsidTr="004F5BDC">
        <w:trPr>
          <w:trHeight w:val="398"/>
        </w:trPr>
        <w:tc>
          <w:tcPr>
            <w:tcW w:w="0" w:type="auto"/>
          </w:tcPr>
          <w:p w14:paraId="72A34558" w14:textId="77777777" w:rsidR="00DE0664" w:rsidRPr="00CF335D" w:rsidRDefault="00DE0664" w:rsidP="000D027A">
            <w:pPr>
              <w:numPr>
                <w:ilvl w:val="0"/>
                <w:numId w:val="4"/>
              </w:numPr>
              <w:spacing w:line="276" w:lineRule="auto"/>
              <w:rPr>
                <w:b/>
                <w:bCs/>
                <w:color w:val="000000" w:themeColor="text1"/>
                <w:sz w:val="22"/>
                <w:szCs w:val="22"/>
              </w:rPr>
            </w:pPr>
          </w:p>
        </w:tc>
        <w:tc>
          <w:tcPr>
            <w:tcW w:w="0" w:type="auto"/>
          </w:tcPr>
          <w:p w14:paraId="7CA83CBF"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37.0</w:t>
            </w:r>
          </w:p>
        </w:tc>
        <w:tc>
          <w:tcPr>
            <w:tcW w:w="0" w:type="auto"/>
          </w:tcPr>
          <w:p w14:paraId="5D2F6E49"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1.0</w:t>
            </w:r>
          </w:p>
        </w:tc>
        <w:tc>
          <w:tcPr>
            <w:tcW w:w="0" w:type="auto"/>
          </w:tcPr>
          <w:p w14:paraId="7FA6CCF1"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90</w:t>
            </w:r>
          </w:p>
        </w:tc>
        <w:tc>
          <w:tcPr>
            <w:tcW w:w="0" w:type="auto"/>
          </w:tcPr>
          <w:p w14:paraId="3D11455E" w14:textId="77777777" w:rsidR="00DE0664" w:rsidRPr="00CF335D" w:rsidRDefault="00DE0664" w:rsidP="000D027A">
            <w:pPr>
              <w:spacing w:line="276" w:lineRule="auto"/>
              <w:rPr>
                <w:color w:val="000000" w:themeColor="text1"/>
                <w:sz w:val="22"/>
                <w:szCs w:val="22"/>
              </w:rPr>
            </w:pPr>
            <w:r w:rsidRPr="00CF335D">
              <w:rPr>
                <w:color w:val="000000" w:themeColor="text1"/>
                <w:sz w:val="22"/>
                <w:szCs w:val="22"/>
              </w:rPr>
              <w:t>10</w:t>
            </w:r>
          </w:p>
        </w:tc>
      </w:tr>
    </w:tbl>
    <w:p w14:paraId="38E2D4D2" w14:textId="77777777" w:rsidR="004F5BDC" w:rsidRPr="00CF335D" w:rsidRDefault="004F5BDC" w:rsidP="000D027A">
      <w:pPr>
        <w:spacing w:after="0" w:line="276" w:lineRule="auto"/>
        <w:jc w:val="both"/>
        <w:rPr>
          <w:rFonts w:ascii="Times New Roman" w:hAnsi="Times New Roman" w:cs="Times New Roman"/>
          <w:b/>
          <w:bCs/>
          <w:color w:val="000000" w:themeColor="text1"/>
          <w:sz w:val="22"/>
          <w:szCs w:val="22"/>
        </w:rPr>
      </w:pPr>
    </w:p>
    <w:p w14:paraId="128E7710" w14:textId="77777777" w:rsidR="00C12E73" w:rsidRPr="00CF335D" w:rsidRDefault="00C12E73" w:rsidP="000D027A">
      <w:pPr>
        <w:spacing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2.5 Mineral Analysis</w:t>
      </w:r>
    </w:p>
    <w:p w14:paraId="7E7A6EA9" w14:textId="317157DC" w:rsidR="00C12E73" w:rsidRPr="00CF335D" w:rsidRDefault="00C12E73" w:rsidP="000D027A">
      <w:pPr>
        <w:spacing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Mineral analysis was conducted using an</w:t>
      </w:r>
      <w:r w:rsidR="000D4A29" w:rsidRPr="00CF335D">
        <w:rPr>
          <w:rFonts w:ascii="Times New Roman" w:hAnsi="Times New Roman" w:cs="Times New Roman"/>
          <w:color w:val="000000" w:themeColor="text1"/>
          <w:sz w:val="22"/>
          <w:szCs w:val="22"/>
        </w:rPr>
        <w:t xml:space="preserve"> </w:t>
      </w:r>
      <w:r w:rsidRPr="00CF335D">
        <w:rPr>
          <w:rFonts w:ascii="Times New Roman" w:hAnsi="Times New Roman" w:cs="Times New Roman"/>
          <w:color w:val="000000" w:themeColor="text1"/>
          <w:sz w:val="22"/>
          <w:szCs w:val="22"/>
        </w:rPr>
        <w:t>Agilent FS240AA Atomic Absorption Spectrophotometer according to the method of the American Public Health Association, APHA (1998).</w:t>
      </w:r>
    </w:p>
    <w:p w14:paraId="52EEB258" w14:textId="77777777" w:rsidR="000D4A29" w:rsidRPr="00CF335D" w:rsidRDefault="00C12E73" w:rsidP="000D027A">
      <w:pPr>
        <w:spacing w:before="240"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2.5.1 Working Principle</w:t>
      </w:r>
    </w:p>
    <w:p w14:paraId="39F43F08" w14:textId="127037EC" w:rsidR="00C12E73" w:rsidRPr="00CF335D" w:rsidRDefault="00C12E73" w:rsidP="000D027A">
      <w:pPr>
        <w:spacing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The</w:t>
      </w:r>
      <w:r w:rsidRPr="00CF335D">
        <w:rPr>
          <w:rFonts w:ascii="Times New Roman" w:hAnsi="Times New Roman" w:cs="Times New Roman"/>
          <w:i/>
          <w:iCs/>
          <w:color w:val="000000" w:themeColor="text1"/>
          <w:sz w:val="22"/>
          <w:szCs w:val="22"/>
        </w:rPr>
        <w:t xml:space="preserve"> </w:t>
      </w:r>
      <w:r w:rsidRPr="00CF335D">
        <w:rPr>
          <w:rFonts w:ascii="Times New Roman" w:hAnsi="Times New Roman" w:cs="Times New Roman"/>
          <w:color w:val="000000" w:themeColor="text1"/>
          <w:sz w:val="22"/>
          <w:szCs w:val="22"/>
        </w:rPr>
        <w:t>atomic absorption spectrophotometer's (AAS) working principle is based on the sample being aspirated into the flame and atomized when the AAS's light beam is directed through the flame into the monochromator and onto the detector that measures the amount of light absorbed by the atomized element in the flame. Since metals have their own characteristic absorption wavelength, a source lamp composed of that element is used, making the method relatively free from spectral or radiational interferences. The amount of energy of the characteristic wavelength absorbed in the flame is proportional to the concentration of the element in the sample.</w:t>
      </w:r>
    </w:p>
    <w:p w14:paraId="6A22F6A3" w14:textId="77777777" w:rsidR="00C12E73" w:rsidRPr="00CF335D" w:rsidRDefault="00C12E73" w:rsidP="000D027A">
      <w:pPr>
        <w:spacing w:before="240"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2.5.2 Sample Digestion</w:t>
      </w:r>
    </w:p>
    <w:p w14:paraId="5A5CB829" w14:textId="6E02EDB9" w:rsidR="00C12E73" w:rsidRPr="00CF335D" w:rsidRDefault="00C12E73" w:rsidP="000D027A">
      <w:pPr>
        <w:spacing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Sample digestion was carried out using the method of Adrian (1973). Approximately 2 g of the dried sample were weighed into a digestion flask, and 20 ml of the acid mixture (650 ml conc. HNO₃, 80 ml. HNO₃, 80 ml perchloric acid, and 20 ml conc. H₂SO₄) were added. The flask was heated until a clear digest was obtained. The digest was diluted with distilled water to the 100 ml mark.</w:t>
      </w:r>
    </w:p>
    <w:p w14:paraId="3211DAC8" w14:textId="2454DA05" w:rsidR="00C12E73" w:rsidRPr="00CF335D" w:rsidRDefault="00C12E73" w:rsidP="000D027A">
      <w:pPr>
        <w:spacing w:before="240"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lastRenderedPageBreak/>
        <w:t xml:space="preserve">2.5.3 </w:t>
      </w:r>
      <w:r w:rsidRPr="00CF335D">
        <w:rPr>
          <w:rFonts w:ascii="Times New Roman" w:hAnsi="Times New Roman" w:cs="Times New Roman"/>
          <w:b/>
          <w:bCs/>
          <w:color w:val="EE0000"/>
          <w:sz w:val="22"/>
          <w:szCs w:val="22"/>
        </w:rPr>
        <w:t xml:space="preserve">Preparation of </w:t>
      </w:r>
      <w:r w:rsidR="00E21C37" w:rsidRPr="00CF335D">
        <w:rPr>
          <w:rFonts w:ascii="Times New Roman" w:hAnsi="Times New Roman" w:cs="Times New Roman"/>
          <w:b/>
          <w:bCs/>
          <w:color w:val="EE0000"/>
          <w:sz w:val="22"/>
          <w:szCs w:val="22"/>
        </w:rPr>
        <w:t>R</w:t>
      </w:r>
      <w:r w:rsidRPr="00CF335D">
        <w:rPr>
          <w:rFonts w:ascii="Times New Roman" w:hAnsi="Times New Roman" w:cs="Times New Roman"/>
          <w:b/>
          <w:bCs/>
          <w:color w:val="EE0000"/>
          <w:sz w:val="22"/>
          <w:szCs w:val="22"/>
        </w:rPr>
        <w:t xml:space="preserve">eference </w:t>
      </w:r>
      <w:r w:rsidR="00E21C37" w:rsidRPr="00CF335D">
        <w:rPr>
          <w:rFonts w:ascii="Times New Roman" w:hAnsi="Times New Roman" w:cs="Times New Roman"/>
          <w:b/>
          <w:bCs/>
          <w:color w:val="EE0000"/>
          <w:sz w:val="22"/>
          <w:szCs w:val="22"/>
        </w:rPr>
        <w:t>S</w:t>
      </w:r>
      <w:r w:rsidRPr="00CF335D">
        <w:rPr>
          <w:rFonts w:ascii="Times New Roman" w:hAnsi="Times New Roman" w:cs="Times New Roman"/>
          <w:b/>
          <w:bCs/>
          <w:color w:val="EE0000"/>
          <w:sz w:val="22"/>
          <w:szCs w:val="22"/>
        </w:rPr>
        <w:t>olutions</w:t>
      </w:r>
    </w:p>
    <w:p w14:paraId="7202F4FB" w14:textId="1EC5E9AA" w:rsidR="00C12E73" w:rsidRPr="00CF335D" w:rsidRDefault="00C12E73" w:rsidP="000D027A">
      <w:pPr>
        <w:spacing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A series of standard metal solutions in the optimum concentration range were prepared; the reference solutions were prepared daily by diluting the single stock element solutions with water containing 1.5 mL concentrated nitric acid/liter. A calibration blank was prepared using all the reagents except for the metal stock solutions. A calibration curve for each metal was prepared by plotting the absorbance of standards versus their concentrations.</w:t>
      </w:r>
    </w:p>
    <w:p w14:paraId="767D4893" w14:textId="77777777" w:rsidR="00C12E73" w:rsidRPr="00CF335D" w:rsidRDefault="00C12E73" w:rsidP="000D027A">
      <w:pPr>
        <w:spacing w:before="240"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2.6 Statistical Analysis</w:t>
      </w:r>
    </w:p>
    <w:p w14:paraId="3F56384C" w14:textId="79700559" w:rsidR="00C12E73" w:rsidRPr="00CF335D" w:rsidRDefault="00C12E73" w:rsidP="000D027A">
      <w:pPr>
        <w:spacing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Data was examined with the Microsoft Excel statistical package. Results were determined as the mean ± STD of duplicate determinations.</w:t>
      </w:r>
    </w:p>
    <w:bookmarkEnd w:id="2"/>
    <w:p w14:paraId="69BA900D" w14:textId="77777777" w:rsidR="00C12E73" w:rsidRPr="00CF335D" w:rsidRDefault="00C12E73" w:rsidP="000D027A">
      <w:pPr>
        <w:spacing w:before="240"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3. Result</w:t>
      </w:r>
    </w:p>
    <w:p w14:paraId="4B359BFD" w14:textId="27F03F6B"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3.1 Proximate composition of oyster mushroom (</w:t>
      </w:r>
      <w:r w:rsidRPr="00CF335D">
        <w:rPr>
          <w:rFonts w:ascii="Times New Roman" w:hAnsi="Times New Roman" w:cs="Times New Roman"/>
          <w:b/>
          <w:bCs/>
          <w:i/>
          <w:iCs/>
          <w:color w:val="000000" w:themeColor="text1"/>
          <w:sz w:val="22"/>
          <w:szCs w:val="22"/>
        </w:rPr>
        <w:t>Pleurotus ostreatus</w:t>
      </w:r>
      <w:r w:rsidRPr="00CF335D">
        <w:rPr>
          <w:rFonts w:ascii="Times New Roman" w:hAnsi="Times New Roman" w:cs="Times New Roman"/>
          <w:b/>
          <w:bCs/>
          <w:color w:val="000000" w:themeColor="text1"/>
          <w:sz w:val="22"/>
          <w:szCs w:val="22"/>
        </w:rPr>
        <w:t>)</w:t>
      </w:r>
    </w:p>
    <w:p w14:paraId="62AE1F8F" w14:textId="77777777"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color w:val="000000" w:themeColor="text1"/>
          <w:sz w:val="22"/>
          <w:szCs w:val="22"/>
        </w:rPr>
        <w:t>The proximate composition of oyster mushroom (</w:t>
      </w:r>
      <w:r w:rsidRPr="00CF335D">
        <w:rPr>
          <w:rFonts w:ascii="Times New Roman" w:hAnsi="Times New Roman" w:cs="Times New Roman"/>
          <w:i/>
          <w:iCs/>
          <w:color w:val="000000" w:themeColor="text1"/>
          <w:sz w:val="22"/>
          <w:szCs w:val="22"/>
        </w:rPr>
        <w:t>Pleurotus ostreatus</w:t>
      </w:r>
      <w:r w:rsidRPr="00CF335D">
        <w:rPr>
          <w:rFonts w:ascii="Times New Roman" w:hAnsi="Times New Roman" w:cs="Times New Roman"/>
          <w:color w:val="000000" w:themeColor="text1"/>
          <w:sz w:val="22"/>
          <w:szCs w:val="22"/>
        </w:rPr>
        <w:t xml:space="preserve">) is presented in </w:t>
      </w:r>
      <w:r w:rsidRPr="00CF335D">
        <w:rPr>
          <w:rFonts w:ascii="Times New Roman" w:hAnsi="Times New Roman" w:cs="Times New Roman"/>
          <w:color w:val="EE0000"/>
          <w:sz w:val="22"/>
          <w:szCs w:val="22"/>
        </w:rPr>
        <w:t>Table 2</w:t>
      </w:r>
      <w:r w:rsidRPr="00CF335D">
        <w:rPr>
          <w:rFonts w:ascii="Times New Roman" w:hAnsi="Times New Roman" w:cs="Times New Roman"/>
          <w:color w:val="000000" w:themeColor="text1"/>
          <w:sz w:val="22"/>
          <w:szCs w:val="22"/>
        </w:rPr>
        <w:t xml:space="preserve">. It shows that </w:t>
      </w:r>
      <w:r w:rsidRPr="00CF335D">
        <w:rPr>
          <w:rFonts w:ascii="Times New Roman" w:hAnsi="Times New Roman" w:cs="Times New Roman"/>
          <w:i/>
          <w:iCs/>
          <w:color w:val="000000" w:themeColor="text1"/>
          <w:sz w:val="22"/>
          <w:szCs w:val="22"/>
        </w:rPr>
        <w:t>Pleurotus ostreatus</w:t>
      </w:r>
      <w:r w:rsidRPr="00CF335D">
        <w:rPr>
          <w:rFonts w:ascii="Times New Roman" w:hAnsi="Times New Roman" w:cs="Times New Roman"/>
          <w:color w:val="000000" w:themeColor="text1"/>
          <w:sz w:val="22"/>
          <w:szCs w:val="22"/>
        </w:rPr>
        <w:t xml:space="preserve"> has high moisture content (43.43±0.141%), carbohydrate content (25.51±0.121%), </w:t>
      </w:r>
      <w:r w:rsidRPr="00CF335D">
        <w:rPr>
          <w:rFonts w:ascii="Times New Roman" w:hAnsi="Times New Roman" w:cs="Times New Roman"/>
          <w:color w:val="EE0000"/>
          <w:sz w:val="22"/>
          <w:szCs w:val="22"/>
        </w:rPr>
        <w:t>fiber</w:t>
      </w:r>
      <w:r w:rsidRPr="00CF335D">
        <w:rPr>
          <w:rFonts w:ascii="Times New Roman" w:hAnsi="Times New Roman" w:cs="Times New Roman"/>
          <w:color w:val="000000" w:themeColor="text1"/>
          <w:sz w:val="22"/>
          <w:szCs w:val="22"/>
        </w:rPr>
        <w:t xml:space="preserve"> content (11.21±0.099%), protein content (8.57±0.127%), ash content (6.63±0.021%) and low-fat content (4.67±0.011 %).</w:t>
      </w:r>
    </w:p>
    <w:p w14:paraId="4CFDAB4F" w14:textId="77777777" w:rsidR="003547D9" w:rsidRPr="00CF335D" w:rsidRDefault="003547D9" w:rsidP="003547D9">
      <w:pPr>
        <w:spacing w:before="240" w:after="0" w:line="276" w:lineRule="auto"/>
        <w:jc w:val="both"/>
        <w:rPr>
          <w:rFonts w:ascii="Times New Roman" w:hAnsi="Times New Roman" w:cs="Times New Roman"/>
          <w:b/>
          <w:color w:val="000000" w:themeColor="text1"/>
          <w:sz w:val="22"/>
          <w:szCs w:val="22"/>
        </w:rPr>
      </w:pPr>
      <w:r w:rsidRPr="00CF335D">
        <w:rPr>
          <w:rFonts w:ascii="Times New Roman" w:hAnsi="Times New Roman" w:cs="Times New Roman"/>
          <w:b/>
          <w:color w:val="EE0000"/>
          <w:sz w:val="22"/>
          <w:szCs w:val="22"/>
        </w:rPr>
        <w:t>Table 2</w:t>
      </w:r>
      <w:r w:rsidRPr="00CF335D">
        <w:rPr>
          <w:rFonts w:ascii="Times New Roman" w:hAnsi="Times New Roman" w:cs="Times New Roman"/>
          <w:b/>
          <w:color w:val="000000" w:themeColor="text1"/>
          <w:sz w:val="22"/>
          <w:szCs w:val="22"/>
        </w:rPr>
        <w:t>: Proximate composition of Oyster mushroom (</w:t>
      </w:r>
      <w:r w:rsidRPr="00CF335D">
        <w:rPr>
          <w:rFonts w:ascii="Times New Roman" w:hAnsi="Times New Roman" w:cs="Times New Roman"/>
          <w:b/>
          <w:i/>
          <w:iCs/>
          <w:color w:val="000000" w:themeColor="text1"/>
          <w:sz w:val="22"/>
          <w:szCs w:val="22"/>
        </w:rPr>
        <w:t>Pleurotus ostreatus</w:t>
      </w:r>
      <w:r w:rsidRPr="00CF335D">
        <w:rPr>
          <w:rFonts w:ascii="Times New Roman" w:hAnsi="Times New Roman" w:cs="Times New Roman"/>
          <w:b/>
          <w:color w:val="000000" w:themeColor="text1"/>
          <w:sz w:val="22"/>
          <w:szCs w:val="22"/>
        </w:rPr>
        <w:t>)</w:t>
      </w:r>
    </w:p>
    <w:tbl>
      <w:tblPr>
        <w:tblStyle w:val="LightShading"/>
        <w:tblW w:w="0" w:type="auto"/>
        <w:shd w:val="clear" w:color="auto" w:fill="FFFFFF" w:themeFill="background1"/>
        <w:tblLook w:val="04A0" w:firstRow="1" w:lastRow="0" w:firstColumn="1" w:lastColumn="0" w:noHBand="0" w:noVBand="1"/>
      </w:tblPr>
      <w:tblGrid>
        <w:gridCol w:w="4682"/>
        <w:gridCol w:w="4678"/>
      </w:tblGrid>
      <w:tr w:rsidR="003547D9" w:rsidRPr="00CF335D" w14:paraId="5F6CB98B" w14:textId="77777777" w:rsidTr="00153A92">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682" w:type="dxa"/>
            <w:shd w:val="clear" w:color="auto" w:fill="FFFFFF" w:themeFill="background1"/>
          </w:tcPr>
          <w:p w14:paraId="3AA1C0EE" w14:textId="77777777" w:rsidR="003547D9" w:rsidRPr="00CF335D" w:rsidRDefault="003547D9" w:rsidP="00153A92">
            <w:pPr>
              <w:spacing w:line="276" w:lineRule="auto"/>
              <w:jc w:val="both"/>
              <w:rPr>
                <w:rFonts w:ascii="Times New Roman" w:hAnsi="Times New Roman" w:cs="Times New Roman"/>
                <w:color w:val="000000" w:themeColor="text1"/>
              </w:rPr>
            </w:pPr>
            <w:r w:rsidRPr="00CF335D">
              <w:rPr>
                <w:rFonts w:ascii="Times New Roman" w:hAnsi="Times New Roman" w:cs="Times New Roman"/>
                <w:color w:val="000000" w:themeColor="text1"/>
              </w:rPr>
              <w:t>Content</w:t>
            </w:r>
          </w:p>
        </w:tc>
        <w:tc>
          <w:tcPr>
            <w:tcW w:w="4678" w:type="dxa"/>
            <w:shd w:val="clear" w:color="auto" w:fill="FFFFFF" w:themeFill="background1"/>
          </w:tcPr>
          <w:p w14:paraId="6A732C05" w14:textId="77777777" w:rsidR="003547D9" w:rsidRPr="00CF335D" w:rsidRDefault="003547D9" w:rsidP="00153A9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Composition (%)</w:t>
            </w:r>
          </w:p>
        </w:tc>
      </w:tr>
      <w:tr w:rsidR="003547D9" w:rsidRPr="00CF335D" w14:paraId="6D797901" w14:textId="77777777" w:rsidTr="00153A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shd w:val="clear" w:color="auto" w:fill="FFFFFF" w:themeFill="background1"/>
          </w:tcPr>
          <w:p w14:paraId="691701C1"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Moisture content</w:t>
            </w:r>
          </w:p>
        </w:tc>
        <w:tc>
          <w:tcPr>
            <w:tcW w:w="4678" w:type="dxa"/>
            <w:shd w:val="clear" w:color="auto" w:fill="FFFFFF" w:themeFill="background1"/>
          </w:tcPr>
          <w:p w14:paraId="32AB3769" w14:textId="77777777" w:rsidR="003547D9" w:rsidRPr="00CF335D" w:rsidRDefault="003547D9" w:rsidP="00153A9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43.43±0.141</w:t>
            </w:r>
          </w:p>
        </w:tc>
      </w:tr>
      <w:tr w:rsidR="003547D9" w:rsidRPr="00CF335D" w14:paraId="23276F61" w14:textId="77777777" w:rsidTr="00153A92">
        <w:trPr>
          <w:trHeight w:val="187"/>
        </w:trPr>
        <w:tc>
          <w:tcPr>
            <w:cnfStyle w:val="001000000000" w:firstRow="0" w:lastRow="0" w:firstColumn="1" w:lastColumn="0" w:oddVBand="0" w:evenVBand="0" w:oddHBand="0" w:evenHBand="0" w:firstRowFirstColumn="0" w:firstRowLastColumn="0" w:lastRowFirstColumn="0" w:lastRowLastColumn="0"/>
            <w:tcW w:w="4682" w:type="dxa"/>
            <w:shd w:val="clear" w:color="auto" w:fill="FFFFFF" w:themeFill="background1"/>
          </w:tcPr>
          <w:p w14:paraId="68240E9A"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Fat content</w:t>
            </w:r>
          </w:p>
        </w:tc>
        <w:tc>
          <w:tcPr>
            <w:tcW w:w="4678" w:type="dxa"/>
            <w:shd w:val="clear" w:color="auto" w:fill="FFFFFF" w:themeFill="background1"/>
          </w:tcPr>
          <w:p w14:paraId="4A5111DF" w14:textId="77777777" w:rsidR="003547D9" w:rsidRPr="00CF335D" w:rsidRDefault="003547D9" w:rsidP="00153A9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4.67±0.011</w:t>
            </w:r>
          </w:p>
        </w:tc>
      </w:tr>
      <w:tr w:rsidR="003547D9" w:rsidRPr="00CF335D" w14:paraId="78BC6E2A" w14:textId="77777777" w:rsidTr="00153A9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4682" w:type="dxa"/>
            <w:shd w:val="clear" w:color="auto" w:fill="FFFFFF" w:themeFill="background1"/>
          </w:tcPr>
          <w:p w14:paraId="3AE8AE23"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Ash content</w:t>
            </w:r>
          </w:p>
        </w:tc>
        <w:tc>
          <w:tcPr>
            <w:tcW w:w="4678" w:type="dxa"/>
            <w:shd w:val="clear" w:color="auto" w:fill="FFFFFF" w:themeFill="background1"/>
          </w:tcPr>
          <w:p w14:paraId="0B6D3CA6" w14:textId="77777777" w:rsidR="003547D9" w:rsidRPr="00CF335D" w:rsidRDefault="003547D9" w:rsidP="00153A9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6.63±0.021</w:t>
            </w:r>
          </w:p>
        </w:tc>
      </w:tr>
      <w:tr w:rsidR="003547D9" w:rsidRPr="00CF335D" w14:paraId="27C94141" w14:textId="77777777" w:rsidTr="00153A92">
        <w:tc>
          <w:tcPr>
            <w:cnfStyle w:val="001000000000" w:firstRow="0" w:lastRow="0" w:firstColumn="1" w:lastColumn="0" w:oddVBand="0" w:evenVBand="0" w:oddHBand="0" w:evenHBand="0" w:firstRowFirstColumn="0" w:firstRowLastColumn="0" w:lastRowFirstColumn="0" w:lastRowLastColumn="0"/>
            <w:tcW w:w="4682" w:type="dxa"/>
            <w:shd w:val="clear" w:color="auto" w:fill="FFFFFF" w:themeFill="background1"/>
          </w:tcPr>
          <w:p w14:paraId="6FDB347F"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Fiber content</w:t>
            </w:r>
          </w:p>
        </w:tc>
        <w:tc>
          <w:tcPr>
            <w:tcW w:w="4678" w:type="dxa"/>
            <w:shd w:val="clear" w:color="auto" w:fill="FFFFFF" w:themeFill="background1"/>
          </w:tcPr>
          <w:p w14:paraId="4779D410" w14:textId="77777777" w:rsidR="003547D9" w:rsidRPr="00CF335D" w:rsidRDefault="003547D9" w:rsidP="00153A9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11.21±0.099</w:t>
            </w:r>
          </w:p>
        </w:tc>
      </w:tr>
      <w:tr w:rsidR="003547D9" w:rsidRPr="00CF335D" w14:paraId="0710FF74" w14:textId="77777777" w:rsidTr="00153A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shd w:val="clear" w:color="auto" w:fill="FFFFFF" w:themeFill="background1"/>
          </w:tcPr>
          <w:p w14:paraId="6ED9337A"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Protein content</w:t>
            </w:r>
          </w:p>
        </w:tc>
        <w:tc>
          <w:tcPr>
            <w:tcW w:w="4678" w:type="dxa"/>
            <w:shd w:val="clear" w:color="auto" w:fill="FFFFFF" w:themeFill="background1"/>
          </w:tcPr>
          <w:p w14:paraId="1D98B97F" w14:textId="77777777" w:rsidR="003547D9" w:rsidRPr="00CF335D" w:rsidRDefault="003547D9" w:rsidP="00153A9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8.57±0.127</w:t>
            </w:r>
          </w:p>
        </w:tc>
      </w:tr>
      <w:tr w:rsidR="003547D9" w:rsidRPr="00CF335D" w14:paraId="6FE99ED0" w14:textId="77777777" w:rsidTr="00153A92">
        <w:trPr>
          <w:trHeight w:val="198"/>
        </w:trPr>
        <w:tc>
          <w:tcPr>
            <w:cnfStyle w:val="001000000000" w:firstRow="0" w:lastRow="0" w:firstColumn="1" w:lastColumn="0" w:oddVBand="0" w:evenVBand="0" w:oddHBand="0" w:evenHBand="0" w:firstRowFirstColumn="0" w:firstRowLastColumn="0" w:lastRowFirstColumn="0" w:lastRowLastColumn="0"/>
            <w:tcW w:w="4682" w:type="dxa"/>
            <w:shd w:val="clear" w:color="auto" w:fill="FFFFFF" w:themeFill="background1"/>
          </w:tcPr>
          <w:p w14:paraId="3224AF1A"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Carbohydrate</w:t>
            </w:r>
          </w:p>
        </w:tc>
        <w:tc>
          <w:tcPr>
            <w:tcW w:w="4678" w:type="dxa"/>
            <w:shd w:val="clear" w:color="auto" w:fill="FFFFFF" w:themeFill="background1"/>
          </w:tcPr>
          <w:p w14:paraId="445E477F" w14:textId="77777777" w:rsidR="003547D9" w:rsidRPr="00CF335D" w:rsidRDefault="003547D9" w:rsidP="00153A9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25.51±0.121</w:t>
            </w:r>
          </w:p>
        </w:tc>
      </w:tr>
    </w:tbl>
    <w:p w14:paraId="707E7CEF" w14:textId="77777777" w:rsidR="003547D9" w:rsidRPr="00CF335D" w:rsidRDefault="003547D9" w:rsidP="003547D9">
      <w:pPr>
        <w:spacing w:line="276" w:lineRule="auto"/>
        <w:jc w:val="both"/>
        <w:rPr>
          <w:rFonts w:ascii="Times New Roman" w:hAnsi="Times New Roman" w:cs="Times New Roman"/>
          <w:color w:val="000000" w:themeColor="text1"/>
          <w:sz w:val="22"/>
          <w:szCs w:val="22"/>
        </w:rPr>
      </w:pPr>
      <w:bookmarkStart w:id="4" w:name="_Hlk209873636"/>
      <w:r w:rsidRPr="00CF335D">
        <w:rPr>
          <w:rFonts w:ascii="Times New Roman" w:hAnsi="Times New Roman" w:cs="Times New Roman"/>
          <w:color w:val="000000" w:themeColor="text1"/>
          <w:sz w:val="22"/>
          <w:szCs w:val="22"/>
        </w:rPr>
        <w:t>Values are presented as mean ± standard deviation (n=2)</w:t>
      </w:r>
    </w:p>
    <w:bookmarkEnd w:id="4"/>
    <w:p w14:paraId="3F8BC1E7" w14:textId="77777777"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3.2 Amino Acid Profile of Oyster Mushroom (</w:t>
      </w:r>
      <w:r w:rsidRPr="00CF335D">
        <w:rPr>
          <w:rFonts w:ascii="Times New Roman" w:hAnsi="Times New Roman" w:cs="Times New Roman"/>
          <w:b/>
          <w:bCs/>
          <w:i/>
          <w:iCs/>
          <w:color w:val="000000" w:themeColor="text1"/>
          <w:sz w:val="22"/>
          <w:szCs w:val="22"/>
        </w:rPr>
        <w:t>Pleurotus ostreatus</w:t>
      </w:r>
      <w:r w:rsidRPr="00CF335D">
        <w:rPr>
          <w:rFonts w:ascii="Times New Roman" w:hAnsi="Times New Roman" w:cs="Times New Roman"/>
          <w:b/>
          <w:bCs/>
          <w:color w:val="000000" w:themeColor="text1"/>
          <w:sz w:val="22"/>
          <w:szCs w:val="22"/>
        </w:rPr>
        <w:t>)</w:t>
      </w:r>
    </w:p>
    <w:p w14:paraId="6F9A961A" w14:textId="77777777" w:rsidR="003547D9" w:rsidRPr="00CF335D" w:rsidRDefault="003547D9" w:rsidP="003547D9">
      <w:pPr>
        <w:spacing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 xml:space="preserve">Figure 1 shows the chromatogram of </w:t>
      </w:r>
      <w:r w:rsidRPr="00CF335D">
        <w:rPr>
          <w:rFonts w:ascii="Times New Roman" w:hAnsi="Times New Roman" w:cs="Times New Roman"/>
          <w:i/>
          <w:iCs/>
          <w:color w:val="000000" w:themeColor="text1"/>
          <w:sz w:val="22"/>
          <w:szCs w:val="22"/>
        </w:rPr>
        <w:t>Pleurotus ostreatus</w:t>
      </w:r>
      <w:r w:rsidRPr="00CF335D">
        <w:rPr>
          <w:rFonts w:ascii="Times New Roman" w:hAnsi="Times New Roman" w:cs="Times New Roman"/>
          <w:color w:val="000000" w:themeColor="text1"/>
          <w:sz w:val="22"/>
          <w:szCs w:val="22"/>
        </w:rPr>
        <w:t xml:space="preserve"> amino acids separated using high-performance liquid chromatography (HPLC). The result of this study showed a total of eighteen (18) amino acids, ten essential (valine, threonine, isoleucine, leucine, lysine, methionine, phenylalanine, histidine, arginine) and eight non-essential (tryptophan, alanine, proline, serine, tyrosine, aspartate, cysteine, and glutamate) detected using the HPLC (</w:t>
      </w:r>
      <w:r w:rsidRPr="00CF335D">
        <w:rPr>
          <w:rFonts w:ascii="Times New Roman" w:hAnsi="Times New Roman" w:cs="Times New Roman"/>
          <w:color w:val="EE0000"/>
          <w:sz w:val="22"/>
          <w:szCs w:val="22"/>
        </w:rPr>
        <w:t>Table 3</w:t>
      </w:r>
      <w:r w:rsidRPr="00CF335D">
        <w:rPr>
          <w:rFonts w:ascii="Times New Roman" w:hAnsi="Times New Roman" w:cs="Times New Roman"/>
          <w:color w:val="000000" w:themeColor="text1"/>
          <w:sz w:val="22"/>
          <w:szCs w:val="22"/>
        </w:rPr>
        <w:t xml:space="preserve">). </w:t>
      </w:r>
      <w:r w:rsidRPr="00CF335D">
        <w:rPr>
          <w:rFonts w:ascii="Times New Roman" w:hAnsi="Times New Roman" w:cs="Times New Roman"/>
          <w:i/>
          <w:iCs/>
          <w:color w:val="000000" w:themeColor="text1"/>
          <w:sz w:val="22"/>
          <w:szCs w:val="22"/>
        </w:rPr>
        <w:t>Pleurotus ostreatus</w:t>
      </w:r>
      <w:r w:rsidRPr="00CF335D">
        <w:rPr>
          <w:rFonts w:ascii="Times New Roman" w:hAnsi="Times New Roman" w:cs="Times New Roman"/>
          <w:color w:val="000000" w:themeColor="text1"/>
          <w:sz w:val="22"/>
          <w:szCs w:val="22"/>
        </w:rPr>
        <w:t xml:space="preserve"> indicated richness in amino acid composition with higher total concentrations of essential amino acids (107.403 ppm) than non-essential amino acids (62.502 ppm) of the isolated protein. For essential amino acids, isoleucine had the highest amino acid content (38.189 ppm), followed by threonine (18.688 ppm) and arginine (18.688 ppm), while for nonessential amino acids, proline had the highest amino acid content (20.051 ppm), followed by cysteine (20.051 ppm) and alanine (9.186 ppm). Asparagine and glutamine were converted to their corresponding acids during the hydrolysis procedure.</w:t>
      </w:r>
    </w:p>
    <w:p w14:paraId="187D65D3" w14:textId="77777777" w:rsidR="003547D9" w:rsidRPr="00CF335D" w:rsidRDefault="003547D9" w:rsidP="003547D9">
      <w:pPr>
        <w:spacing w:after="0" w:line="276" w:lineRule="auto"/>
        <w:jc w:val="both"/>
        <w:rPr>
          <w:rFonts w:ascii="Times New Roman" w:hAnsi="Times New Roman" w:cs="Times New Roman"/>
          <w:color w:val="000000" w:themeColor="text1"/>
          <w:sz w:val="22"/>
          <w:szCs w:val="22"/>
        </w:rPr>
      </w:pPr>
      <w:r w:rsidRPr="00CF335D">
        <w:rPr>
          <w:rFonts w:ascii="Times New Roman" w:hAnsi="Times New Roman" w:cs="Times New Roman"/>
          <w:noProof/>
          <w:color w:val="000000" w:themeColor="text1"/>
          <w:sz w:val="22"/>
          <w:szCs w:val="22"/>
        </w:rPr>
        <w:lastRenderedPageBreak/>
        <w:drawing>
          <wp:inline distT="0" distB="0" distL="0" distR="0" wp14:anchorId="13FC2AC8" wp14:editId="4C01EE22">
            <wp:extent cx="5981700" cy="5762625"/>
            <wp:effectExtent l="0" t="0" r="0" b="9525"/>
            <wp:docPr id="88795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5329" name=""/>
                    <pic:cNvPicPr/>
                  </pic:nvPicPr>
                  <pic:blipFill rotWithShape="1">
                    <a:blip r:embed="rId7"/>
                    <a:srcRect l="24482" t="30216" r="21314" b="21739"/>
                    <a:stretch>
                      <a:fillRect/>
                    </a:stretch>
                  </pic:blipFill>
                  <pic:spPr bwMode="auto">
                    <a:xfrm>
                      <a:off x="0" y="0"/>
                      <a:ext cx="5981700" cy="5762625"/>
                    </a:xfrm>
                    <a:prstGeom prst="rect">
                      <a:avLst/>
                    </a:prstGeom>
                    <a:ln>
                      <a:noFill/>
                    </a:ln>
                    <a:extLst>
                      <a:ext uri="{53640926-AAD7-44D8-BBD7-CCE9431645EC}">
                        <a14:shadowObscured xmlns:a14="http://schemas.microsoft.com/office/drawing/2010/main"/>
                      </a:ext>
                    </a:extLst>
                  </pic:spPr>
                </pic:pic>
              </a:graphicData>
            </a:graphic>
          </wp:inline>
        </w:drawing>
      </w:r>
    </w:p>
    <w:p w14:paraId="1DB8053A" w14:textId="77777777" w:rsidR="003547D9" w:rsidRPr="00CF335D" w:rsidRDefault="003547D9" w:rsidP="003547D9">
      <w:pPr>
        <w:spacing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EE0000"/>
          <w:sz w:val="22"/>
          <w:szCs w:val="22"/>
        </w:rPr>
        <w:t xml:space="preserve">Figure 1:  </w:t>
      </w:r>
      <w:r w:rsidRPr="00CF335D">
        <w:rPr>
          <w:rFonts w:ascii="Times New Roman" w:hAnsi="Times New Roman" w:cs="Times New Roman"/>
          <w:color w:val="000000" w:themeColor="text1"/>
          <w:sz w:val="22"/>
          <w:szCs w:val="22"/>
        </w:rPr>
        <w:t xml:space="preserve">Chromatogram of </w:t>
      </w:r>
      <w:r w:rsidRPr="00CF335D">
        <w:rPr>
          <w:rFonts w:ascii="Times New Roman" w:hAnsi="Times New Roman" w:cs="Times New Roman"/>
          <w:i/>
          <w:iCs/>
          <w:color w:val="000000" w:themeColor="text1"/>
          <w:sz w:val="22"/>
          <w:szCs w:val="22"/>
        </w:rPr>
        <w:t xml:space="preserve">Pleurotus ostreatus </w:t>
      </w:r>
      <w:r w:rsidRPr="00CF335D">
        <w:rPr>
          <w:rFonts w:ascii="Times New Roman" w:hAnsi="Times New Roman" w:cs="Times New Roman"/>
          <w:color w:val="000000" w:themeColor="text1"/>
          <w:sz w:val="22"/>
          <w:szCs w:val="22"/>
        </w:rPr>
        <w:t xml:space="preserve">amino acids </w:t>
      </w:r>
    </w:p>
    <w:p w14:paraId="37AD570A" w14:textId="77777777" w:rsidR="003547D9" w:rsidRPr="00CF335D" w:rsidRDefault="003547D9" w:rsidP="003547D9">
      <w:pPr>
        <w:spacing w:line="276" w:lineRule="auto"/>
        <w:jc w:val="both"/>
        <w:rPr>
          <w:rFonts w:ascii="Times New Roman" w:hAnsi="Times New Roman" w:cs="Times New Roman"/>
          <w:b/>
          <w:bCs/>
          <w:color w:val="000000" w:themeColor="text1"/>
          <w:sz w:val="22"/>
          <w:szCs w:val="22"/>
        </w:rPr>
      </w:pPr>
    </w:p>
    <w:p w14:paraId="0FF0F3BA" w14:textId="77777777" w:rsidR="003547D9" w:rsidRPr="00CF335D" w:rsidRDefault="003547D9" w:rsidP="003547D9">
      <w:pPr>
        <w:spacing w:line="276" w:lineRule="auto"/>
        <w:jc w:val="both"/>
        <w:rPr>
          <w:rFonts w:ascii="Times New Roman" w:hAnsi="Times New Roman" w:cs="Times New Roman"/>
          <w:b/>
          <w:bCs/>
          <w:color w:val="000000" w:themeColor="text1"/>
          <w:sz w:val="22"/>
          <w:szCs w:val="22"/>
        </w:rPr>
      </w:pPr>
    </w:p>
    <w:p w14:paraId="29C2D8EC" w14:textId="77777777" w:rsidR="003547D9" w:rsidRPr="00CF335D" w:rsidRDefault="003547D9" w:rsidP="003547D9">
      <w:pPr>
        <w:spacing w:line="276" w:lineRule="auto"/>
        <w:jc w:val="both"/>
        <w:rPr>
          <w:rFonts w:ascii="Times New Roman" w:hAnsi="Times New Roman" w:cs="Times New Roman"/>
          <w:b/>
          <w:bCs/>
          <w:color w:val="000000" w:themeColor="text1"/>
          <w:sz w:val="22"/>
          <w:szCs w:val="22"/>
        </w:rPr>
      </w:pPr>
    </w:p>
    <w:p w14:paraId="3308B1F9" w14:textId="77777777" w:rsidR="003547D9" w:rsidRPr="00CF335D" w:rsidRDefault="003547D9" w:rsidP="003547D9">
      <w:pPr>
        <w:spacing w:line="276" w:lineRule="auto"/>
        <w:jc w:val="both"/>
        <w:rPr>
          <w:rFonts w:ascii="Times New Roman" w:hAnsi="Times New Roman" w:cs="Times New Roman"/>
          <w:b/>
          <w:bCs/>
          <w:color w:val="000000" w:themeColor="text1"/>
          <w:sz w:val="22"/>
          <w:szCs w:val="22"/>
        </w:rPr>
      </w:pPr>
    </w:p>
    <w:p w14:paraId="6FA067EF" w14:textId="77777777" w:rsidR="003547D9" w:rsidRPr="00CF335D" w:rsidRDefault="003547D9" w:rsidP="003547D9">
      <w:pPr>
        <w:spacing w:line="276" w:lineRule="auto"/>
        <w:jc w:val="both"/>
        <w:rPr>
          <w:rFonts w:ascii="Times New Roman" w:hAnsi="Times New Roman" w:cs="Times New Roman"/>
          <w:b/>
          <w:bCs/>
          <w:color w:val="000000" w:themeColor="text1"/>
          <w:sz w:val="22"/>
          <w:szCs w:val="22"/>
        </w:rPr>
      </w:pPr>
    </w:p>
    <w:p w14:paraId="77C02ACA" w14:textId="77777777" w:rsidR="003547D9" w:rsidRPr="00CF335D" w:rsidRDefault="003547D9" w:rsidP="003547D9">
      <w:pPr>
        <w:spacing w:line="276" w:lineRule="auto"/>
        <w:jc w:val="both"/>
        <w:rPr>
          <w:rFonts w:ascii="Times New Roman" w:hAnsi="Times New Roman" w:cs="Times New Roman"/>
          <w:b/>
          <w:bCs/>
          <w:color w:val="000000" w:themeColor="text1"/>
          <w:sz w:val="22"/>
          <w:szCs w:val="22"/>
        </w:rPr>
      </w:pPr>
    </w:p>
    <w:p w14:paraId="22368809" w14:textId="77777777" w:rsidR="003547D9" w:rsidRPr="00CF335D" w:rsidRDefault="003547D9" w:rsidP="003547D9">
      <w:pPr>
        <w:spacing w:line="276" w:lineRule="auto"/>
        <w:jc w:val="both"/>
        <w:rPr>
          <w:rFonts w:ascii="Times New Roman" w:hAnsi="Times New Roman" w:cs="Times New Roman"/>
          <w:b/>
          <w:bCs/>
          <w:color w:val="000000" w:themeColor="text1"/>
          <w:sz w:val="22"/>
          <w:szCs w:val="22"/>
        </w:rPr>
      </w:pPr>
    </w:p>
    <w:p w14:paraId="210D9677" w14:textId="77777777" w:rsidR="003547D9" w:rsidRPr="00CF335D" w:rsidRDefault="003547D9" w:rsidP="003547D9">
      <w:pPr>
        <w:spacing w:line="276" w:lineRule="auto"/>
        <w:jc w:val="both"/>
        <w:rPr>
          <w:rFonts w:ascii="Times New Roman" w:hAnsi="Times New Roman" w:cs="Times New Roman"/>
          <w:b/>
          <w:bCs/>
          <w:i/>
          <w:iCs/>
          <w:color w:val="000000" w:themeColor="text1"/>
          <w:sz w:val="22"/>
          <w:szCs w:val="22"/>
        </w:rPr>
      </w:pPr>
      <w:r w:rsidRPr="00CF335D">
        <w:rPr>
          <w:rFonts w:ascii="Times New Roman" w:hAnsi="Times New Roman" w:cs="Times New Roman"/>
          <w:b/>
          <w:bCs/>
          <w:color w:val="EE0000"/>
          <w:sz w:val="22"/>
          <w:szCs w:val="22"/>
        </w:rPr>
        <w:lastRenderedPageBreak/>
        <w:t>Table 3</w:t>
      </w:r>
      <w:r w:rsidRPr="00CF335D">
        <w:rPr>
          <w:rFonts w:ascii="Times New Roman" w:hAnsi="Times New Roman" w:cs="Times New Roman"/>
          <w:b/>
          <w:bCs/>
          <w:color w:val="000000" w:themeColor="text1"/>
          <w:sz w:val="22"/>
          <w:szCs w:val="22"/>
        </w:rPr>
        <w:t xml:space="preserve">: Amino acid composition of </w:t>
      </w:r>
      <w:r w:rsidRPr="00CF335D">
        <w:rPr>
          <w:rFonts w:ascii="Times New Roman" w:hAnsi="Times New Roman" w:cs="Times New Roman"/>
          <w:b/>
          <w:bCs/>
          <w:i/>
          <w:iCs/>
          <w:color w:val="000000" w:themeColor="text1"/>
          <w:sz w:val="22"/>
          <w:szCs w:val="22"/>
        </w:rPr>
        <w:t>Pleurotus ostreatus</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510"/>
      </w:tblGrid>
      <w:tr w:rsidR="003547D9" w:rsidRPr="00CF335D" w14:paraId="7837B693" w14:textId="77777777" w:rsidTr="00153A92">
        <w:trPr>
          <w:trHeight w:val="350"/>
        </w:trPr>
        <w:tc>
          <w:tcPr>
            <w:tcW w:w="4950" w:type="dxa"/>
            <w:tcBorders>
              <w:top w:val="single" w:sz="4" w:space="0" w:color="auto"/>
              <w:bottom w:val="single" w:sz="4" w:space="0" w:color="auto"/>
            </w:tcBorders>
          </w:tcPr>
          <w:p w14:paraId="21521ADD" w14:textId="77777777" w:rsidR="003547D9" w:rsidRPr="00CF335D" w:rsidRDefault="003547D9" w:rsidP="00153A92">
            <w:pPr>
              <w:spacing w:line="276" w:lineRule="auto"/>
              <w:rPr>
                <w:b/>
                <w:bCs/>
                <w:color w:val="000000" w:themeColor="text1"/>
                <w:sz w:val="22"/>
                <w:szCs w:val="22"/>
              </w:rPr>
            </w:pPr>
            <w:bookmarkStart w:id="5" w:name="_Hlk214449945"/>
            <w:r w:rsidRPr="00CF335D">
              <w:rPr>
                <w:b/>
                <w:bCs/>
                <w:color w:val="000000" w:themeColor="text1"/>
                <w:sz w:val="22"/>
                <w:szCs w:val="22"/>
              </w:rPr>
              <w:t>Amino Acid Composition</w:t>
            </w:r>
          </w:p>
        </w:tc>
        <w:tc>
          <w:tcPr>
            <w:tcW w:w="3510" w:type="dxa"/>
            <w:tcBorders>
              <w:top w:val="single" w:sz="4" w:space="0" w:color="auto"/>
              <w:bottom w:val="single" w:sz="4" w:space="0" w:color="auto"/>
            </w:tcBorders>
          </w:tcPr>
          <w:p w14:paraId="65DD5CA3" w14:textId="77777777" w:rsidR="003547D9" w:rsidRPr="00CF335D" w:rsidRDefault="003547D9" w:rsidP="00153A92">
            <w:pPr>
              <w:spacing w:line="276" w:lineRule="auto"/>
              <w:rPr>
                <w:b/>
                <w:bCs/>
                <w:color w:val="000000" w:themeColor="text1"/>
                <w:sz w:val="22"/>
                <w:szCs w:val="22"/>
              </w:rPr>
            </w:pPr>
            <w:r w:rsidRPr="00CF335D">
              <w:rPr>
                <w:b/>
                <w:bCs/>
                <w:color w:val="000000" w:themeColor="text1"/>
                <w:sz w:val="22"/>
                <w:szCs w:val="22"/>
              </w:rPr>
              <w:t>Value/Concentration (ppm)</w:t>
            </w:r>
          </w:p>
        </w:tc>
      </w:tr>
      <w:tr w:rsidR="003547D9" w:rsidRPr="00CF335D" w14:paraId="0AB64447" w14:textId="77777777" w:rsidTr="00153A92">
        <w:trPr>
          <w:trHeight w:val="175"/>
        </w:trPr>
        <w:tc>
          <w:tcPr>
            <w:tcW w:w="4950" w:type="dxa"/>
            <w:tcBorders>
              <w:top w:val="single" w:sz="4" w:space="0" w:color="auto"/>
            </w:tcBorders>
          </w:tcPr>
          <w:p w14:paraId="0C640BAF" w14:textId="77777777" w:rsidR="003547D9" w:rsidRPr="00CF335D" w:rsidRDefault="003547D9" w:rsidP="00153A92">
            <w:pPr>
              <w:spacing w:line="276" w:lineRule="auto"/>
              <w:rPr>
                <w:color w:val="000000" w:themeColor="text1"/>
                <w:sz w:val="22"/>
                <w:szCs w:val="22"/>
              </w:rPr>
            </w:pPr>
            <w:r w:rsidRPr="00CF335D">
              <w:rPr>
                <w:b/>
                <w:bCs/>
                <w:color w:val="000000" w:themeColor="text1"/>
                <w:sz w:val="22"/>
                <w:szCs w:val="22"/>
              </w:rPr>
              <w:t>Essential Amino Acids (EAA)</w:t>
            </w:r>
          </w:p>
        </w:tc>
        <w:tc>
          <w:tcPr>
            <w:tcW w:w="3510" w:type="dxa"/>
            <w:tcBorders>
              <w:top w:val="single" w:sz="4" w:space="0" w:color="auto"/>
            </w:tcBorders>
          </w:tcPr>
          <w:p w14:paraId="7520E9CD" w14:textId="77777777" w:rsidR="003547D9" w:rsidRPr="00CF335D" w:rsidRDefault="003547D9" w:rsidP="00153A92">
            <w:pPr>
              <w:spacing w:line="276" w:lineRule="auto"/>
              <w:rPr>
                <w:b/>
                <w:bCs/>
                <w:color w:val="000000" w:themeColor="text1"/>
                <w:sz w:val="22"/>
                <w:szCs w:val="22"/>
              </w:rPr>
            </w:pPr>
          </w:p>
        </w:tc>
      </w:tr>
      <w:tr w:rsidR="003547D9" w:rsidRPr="00CF335D" w14:paraId="7875033D" w14:textId="77777777" w:rsidTr="00153A92">
        <w:trPr>
          <w:trHeight w:val="254"/>
        </w:trPr>
        <w:tc>
          <w:tcPr>
            <w:tcW w:w="4950" w:type="dxa"/>
          </w:tcPr>
          <w:p w14:paraId="0D66135D"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lang w:eastAsia="zh-CN"/>
              </w:rPr>
              <w:t>Valine</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200199C6"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rPr>
              <w:t>10.291</w:t>
            </w:r>
          </w:p>
        </w:tc>
      </w:tr>
      <w:tr w:rsidR="003547D9" w:rsidRPr="00CF335D" w14:paraId="6E2549C7" w14:textId="77777777" w:rsidTr="00153A92">
        <w:trPr>
          <w:trHeight w:val="175"/>
        </w:trPr>
        <w:tc>
          <w:tcPr>
            <w:tcW w:w="4950" w:type="dxa"/>
          </w:tcPr>
          <w:p w14:paraId="3C0A31D9" w14:textId="77777777" w:rsidR="003547D9" w:rsidRPr="00CF335D" w:rsidRDefault="003547D9" w:rsidP="00153A92">
            <w:pPr>
              <w:spacing w:line="276" w:lineRule="auto"/>
              <w:rPr>
                <w:b/>
                <w:bCs/>
                <w:color w:val="000000" w:themeColor="text1"/>
                <w:sz w:val="22"/>
                <w:szCs w:val="22"/>
              </w:rPr>
            </w:pPr>
            <w:r w:rsidRPr="00CF335D">
              <w:rPr>
                <w:color w:val="000000" w:themeColor="text1"/>
                <w:sz w:val="22"/>
                <w:szCs w:val="22"/>
                <w:lang w:eastAsia="zh-CN"/>
              </w:rPr>
              <w:t>Threonine</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6E2720E1"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rPr>
              <w:t>18.688</w:t>
            </w:r>
          </w:p>
        </w:tc>
      </w:tr>
      <w:tr w:rsidR="003547D9" w:rsidRPr="00CF335D" w14:paraId="5E77B8A3" w14:textId="77777777" w:rsidTr="00153A92">
        <w:trPr>
          <w:trHeight w:val="185"/>
        </w:trPr>
        <w:tc>
          <w:tcPr>
            <w:tcW w:w="4950" w:type="dxa"/>
          </w:tcPr>
          <w:p w14:paraId="278C42D1"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lang w:eastAsia="zh-CN"/>
              </w:rPr>
              <w:t>Isoleucine</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4AEC1894"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rPr>
              <w:t>38.189</w:t>
            </w:r>
          </w:p>
        </w:tc>
      </w:tr>
      <w:tr w:rsidR="003547D9" w:rsidRPr="00CF335D" w14:paraId="3A3CEEC5" w14:textId="77777777" w:rsidTr="00153A92">
        <w:trPr>
          <w:trHeight w:val="185"/>
        </w:trPr>
        <w:tc>
          <w:tcPr>
            <w:tcW w:w="4950" w:type="dxa"/>
          </w:tcPr>
          <w:p w14:paraId="31F31B02" w14:textId="77777777" w:rsidR="003547D9" w:rsidRPr="00CF335D" w:rsidRDefault="003547D9" w:rsidP="00153A92">
            <w:pPr>
              <w:spacing w:line="276" w:lineRule="auto"/>
              <w:rPr>
                <w:b/>
                <w:bCs/>
                <w:color w:val="000000" w:themeColor="text1"/>
                <w:sz w:val="22"/>
                <w:szCs w:val="22"/>
              </w:rPr>
            </w:pPr>
            <w:r w:rsidRPr="00CF335D">
              <w:rPr>
                <w:color w:val="000000" w:themeColor="text1"/>
                <w:sz w:val="22"/>
                <w:szCs w:val="22"/>
                <w:lang w:eastAsia="zh-CN"/>
              </w:rPr>
              <w:t>Leucine</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565FF4BE"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rPr>
              <w:t>1.817</w:t>
            </w:r>
          </w:p>
        </w:tc>
      </w:tr>
      <w:tr w:rsidR="003547D9" w:rsidRPr="00CF335D" w14:paraId="0A2FE005" w14:textId="77777777" w:rsidTr="00153A92">
        <w:trPr>
          <w:trHeight w:val="175"/>
        </w:trPr>
        <w:tc>
          <w:tcPr>
            <w:tcW w:w="4950" w:type="dxa"/>
          </w:tcPr>
          <w:p w14:paraId="4EA0DBEC"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lang w:eastAsia="zh-CN"/>
              </w:rPr>
              <w:t>Lysine</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0C21DD35"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rPr>
              <w:t>4.908</w:t>
            </w:r>
          </w:p>
        </w:tc>
      </w:tr>
      <w:tr w:rsidR="003547D9" w:rsidRPr="00CF335D" w14:paraId="546AA325" w14:textId="77777777" w:rsidTr="00153A92">
        <w:trPr>
          <w:trHeight w:val="185"/>
        </w:trPr>
        <w:tc>
          <w:tcPr>
            <w:tcW w:w="4950" w:type="dxa"/>
          </w:tcPr>
          <w:p w14:paraId="69B1E845" w14:textId="77777777" w:rsidR="003547D9" w:rsidRPr="00CF335D" w:rsidRDefault="003547D9" w:rsidP="00153A92">
            <w:pPr>
              <w:spacing w:line="276" w:lineRule="auto"/>
              <w:rPr>
                <w:b/>
                <w:bCs/>
                <w:color w:val="000000" w:themeColor="text1"/>
                <w:sz w:val="22"/>
                <w:szCs w:val="22"/>
              </w:rPr>
            </w:pPr>
            <w:r w:rsidRPr="00CF335D">
              <w:rPr>
                <w:color w:val="000000" w:themeColor="text1"/>
                <w:sz w:val="22"/>
                <w:szCs w:val="22"/>
                <w:lang w:eastAsia="zh-CN"/>
              </w:rPr>
              <w:t>Methionine</w:t>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692891B4"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rPr>
              <w:t>1.176</w:t>
            </w:r>
          </w:p>
        </w:tc>
      </w:tr>
      <w:tr w:rsidR="003547D9" w:rsidRPr="00CF335D" w14:paraId="25FAD33E" w14:textId="77777777" w:rsidTr="00153A92">
        <w:trPr>
          <w:trHeight w:val="175"/>
        </w:trPr>
        <w:tc>
          <w:tcPr>
            <w:tcW w:w="4950" w:type="dxa"/>
          </w:tcPr>
          <w:p w14:paraId="1A01ACD8"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lang w:eastAsia="zh-CN"/>
              </w:rPr>
              <w:t>Phenylalanine</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4D508B3F"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rPr>
              <w:t>4.210</w:t>
            </w:r>
          </w:p>
        </w:tc>
      </w:tr>
      <w:tr w:rsidR="003547D9" w:rsidRPr="00CF335D" w14:paraId="20D645FD" w14:textId="77777777" w:rsidTr="00153A92">
        <w:trPr>
          <w:trHeight w:val="175"/>
        </w:trPr>
        <w:tc>
          <w:tcPr>
            <w:tcW w:w="4950" w:type="dxa"/>
          </w:tcPr>
          <w:p w14:paraId="2286C5D2"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lang w:eastAsia="zh-CN"/>
              </w:rPr>
              <w:t>Histidine</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275FCA07"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rPr>
              <w:t>2.071</w:t>
            </w:r>
          </w:p>
        </w:tc>
      </w:tr>
      <w:tr w:rsidR="003547D9" w:rsidRPr="00CF335D" w14:paraId="3A252F07" w14:textId="77777777" w:rsidTr="00153A92">
        <w:trPr>
          <w:trHeight w:val="185"/>
        </w:trPr>
        <w:tc>
          <w:tcPr>
            <w:tcW w:w="4950" w:type="dxa"/>
          </w:tcPr>
          <w:p w14:paraId="5747AD69"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lang w:eastAsia="zh-CN"/>
              </w:rPr>
              <w:t>Arginine</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73D47F51"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rPr>
              <w:t>18.636</w:t>
            </w:r>
          </w:p>
        </w:tc>
      </w:tr>
      <w:tr w:rsidR="003547D9" w:rsidRPr="00CF335D" w14:paraId="4BE1B4DF" w14:textId="77777777" w:rsidTr="00153A92">
        <w:trPr>
          <w:trHeight w:val="185"/>
        </w:trPr>
        <w:tc>
          <w:tcPr>
            <w:tcW w:w="4950" w:type="dxa"/>
          </w:tcPr>
          <w:p w14:paraId="3F89E8E6" w14:textId="77777777" w:rsidR="003547D9" w:rsidRPr="00CF335D" w:rsidRDefault="003547D9" w:rsidP="00153A92">
            <w:pPr>
              <w:spacing w:line="276" w:lineRule="auto"/>
              <w:rPr>
                <w:b/>
                <w:bCs/>
                <w:color w:val="000000" w:themeColor="text1"/>
                <w:sz w:val="22"/>
                <w:szCs w:val="22"/>
              </w:rPr>
            </w:pPr>
            <w:r w:rsidRPr="00CF335D">
              <w:rPr>
                <w:color w:val="000000" w:themeColor="text1"/>
                <w:sz w:val="22"/>
                <w:szCs w:val="22"/>
                <w:lang w:eastAsia="zh-CN"/>
              </w:rPr>
              <w:t>Tryptophan</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28B892BA"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rPr>
              <w:t>7.417</w:t>
            </w:r>
          </w:p>
        </w:tc>
      </w:tr>
      <w:tr w:rsidR="003547D9" w:rsidRPr="00CF335D" w14:paraId="2DF64D51" w14:textId="77777777" w:rsidTr="00153A92">
        <w:trPr>
          <w:trHeight w:val="175"/>
        </w:trPr>
        <w:tc>
          <w:tcPr>
            <w:tcW w:w="4950" w:type="dxa"/>
          </w:tcPr>
          <w:p w14:paraId="2CE4BDE8" w14:textId="77777777" w:rsidR="003547D9" w:rsidRPr="00CF335D" w:rsidRDefault="003547D9" w:rsidP="00153A92">
            <w:pPr>
              <w:spacing w:line="276" w:lineRule="auto"/>
              <w:rPr>
                <w:b/>
                <w:bCs/>
                <w:color w:val="000000" w:themeColor="text1"/>
                <w:sz w:val="22"/>
                <w:szCs w:val="22"/>
              </w:rPr>
            </w:pPr>
            <w:r w:rsidRPr="00CF335D">
              <w:rPr>
                <w:b/>
                <w:bCs/>
                <w:color w:val="000000" w:themeColor="text1"/>
                <w:sz w:val="22"/>
                <w:szCs w:val="22"/>
                <w:lang w:eastAsia="zh-CN"/>
              </w:rPr>
              <w:t>Total EAA</w:t>
            </w:r>
            <w:r w:rsidRPr="00CF335D">
              <w:rPr>
                <w:b/>
                <w:bCs/>
                <w:color w:val="000000" w:themeColor="text1"/>
                <w:sz w:val="22"/>
                <w:szCs w:val="22"/>
                <w:lang w:eastAsia="zh-CN"/>
              </w:rPr>
              <w:tab/>
            </w:r>
            <w:r w:rsidRPr="00CF335D">
              <w:rPr>
                <w:b/>
                <w:bCs/>
                <w:color w:val="000000" w:themeColor="text1"/>
                <w:sz w:val="22"/>
                <w:szCs w:val="22"/>
                <w:lang w:eastAsia="zh-CN"/>
              </w:rPr>
              <w:tab/>
            </w:r>
            <w:r w:rsidRPr="00CF335D">
              <w:rPr>
                <w:b/>
                <w:bCs/>
                <w:color w:val="000000" w:themeColor="text1"/>
                <w:sz w:val="22"/>
                <w:szCs w:val="22"/>
                <w:lang w:eastAsia="zh-CN"/>
              </w:rPr>
              <w:tab/>
            </w:r>
            <w:r w:rsidRPr="00CF335D">
              <w:rPr>
                <w:b/>
                <w:bCs/>
                <w:color w:val="000000" w:themeColor="text1"/>
                <w:sz w:val="22"/>
                <w:szCs w:val="22"/>
                <w:lang w:eastAsia="zh-CN"/>
              </w:rPr>
              <w:tab/>
            </w:r>
            <w:r w:rsidRPr="00CF335D">
              <w:rPr>
                <w:b/>
                <w:bCs/>
                <w:color w:val="000000" w:themeColor="text1"/>
                <w:sz w:val="22"/>
                <w:szCs w:val="22"/>
                <w:lang w:eastAsia="zh-CN"/>
              </w:rPr>
              <w:tab/>
            </w:r>
          </w:p>
        </w:tc>
        <w:tc>
          <w:tcPr>
            <w:tcW w:w="3510" w:type="dxa"/>
          </w:tcPr>
          <w:p w14:paraId="5E564086" w14:textId="77777777" w:rsidR="003547D9" w:rsidRPr="00CF335D" w:rsidRDefault="003547D9" w:rsidP="00153A92">
            <w:pPr>
              <w:spacing w:line="276" w:lineRule="auto"/>
              <w:rPr>
                <w:b/>
                <w:bCs/>
                <w:color w:val="000000" w:themeColor="text1"/>
                <w:sz w:val="22"/>
                <w:szCs w:val="22"/>
              </w:rPr>
            </w:pPr>
            <w:r w:rsidRPr="00CF335D">
              <w:rPr>
                <w:b/>
                <w:bCs/>
                <w:color w:val="000000" w:themeColor="text1"/>
                <w:sz w:val="22"/>
                <w:szCs w:val="22"/>
              </w:rPr>
              <w:t>107.403</w:t>
            </w:r>
          </w:p>
        </w:tc>
      </w:tr>
      <w:tr w:rsidR="003547D9" w:rsidRPr="00CF335D" w14:paraId="6F77CF88" w14:textId="77777777" w:rsidTr="00153A92">
        <w:trPr>
          <w:trHeight w:val="175"/>
        </w:trPr>
        <w:tc>
          <w:tcPr>
            <w:tcW w:w="4950" w:type="dxa"/>
          </w:tcPr>
          <w:p w14:paraId="5D00E0D5" w14:textId="77777777" w:rsidR="003547D9" w:rsidRPr="00CF335D" w:rsidRDefault="003547D9" w:rsidP="00153A92">
            <w:pPr>
              <w:spacing w:line="276" w:lineRule="auto"/>
              <w:rPr>
                <w:color w:val="000000" w:themeColor="text1"/>
                <w:sz w:val="22"/>
                <w:szCs w:val="22"/>
              </w:rPr>
            </w:pPr>
            <w:r w:rsidRPr="00CF335D">
              <w:rPr>
                <w:b/>
                <w:bCs/>
                <w:color w:val="000000" w:themeColor="text1"/>
                <w:sz w:val="22"/>
                <w:szCs w:val="22"/>
                <w:lang w:eastAsia="zh-CN"/>
              </w:rPr>
              <w:t>Non - Essential Amino Acids (NEAA)</w:t>
            </w:r>
          </w:p>
        </w:tc>
        <w:tc>
          <w:tcPr>
            <w:tcW w:w="3510" w:type="dxa"/>
          </w:tcPr>
          <w:p w14:paraId="05BE455E" w14:textId="77777777" w:rsidR="003547D9" w:rsidRPr="00CF335D" w:rsidRDefault="003547D9" w:rsidP="00153A92">
            <w:pPr>
              <w:spacing w:line="276" w:lineRule="auto"/>
              <w:rPr>
                <w:b/>
                <w:bCs/>
                <w:color w:val="000000" w:themeColor="text1"/>
                <w:sz w:val="22"/>
                <w:szCs w:val="22"/>
              </w:rPr>
            </w:pPr>
          </w:p>
        </w:tc>
      </w:tr>
      <w:tr w:rsidR="003547D9" w:rsidRPr="00CF335D" w14:paraId="7018E274" w14:textId="77777777" w:rsidTr="00153A92">
        <w:trPr>
          <w:trHeight w:val="185"/>
        </w:trPr>
        <w:tc>
          <w:tcPr>
            <w:tcW w:w="4950" w:type="dxa"/>
          </w:tcPr>
          <w:p w14:paraId="626190EF"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lang w:eastAsia="zh-CN"/>
              </w:rPr>
              <w:t>Glycine</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54021CD4" w14:textId="77777777" w:rsidR="003547D9" w:rsidRPr="00CF335D" w:rsidRDefault="003547D9" w:rsidP="00153A92">
            <w:pPr>
              <w:spacing w:line="276" w:lineRule="auto"/>
              <w:rPr>
                <w:b/>
                <w:bCs/>
                <w:color w:val="000000" w:themeColor="text1"/>
                <w:sz w:val="22"/>
                <w:szCs w:val="22"/>
              </w:rPr>
            </w:pPr>
            <w:r w:rsidRPr="00CF335D">
              <w:rPr>
                <w:b/>
                <w:bCs/>
                <w:color w:val="000000" w:themeColor="text1"/>
                <w:sz w:val="22"/>
                <w:szCs w:val="22"/>
              </w:rPr>
              <w:t>-</w:t>
            </w:r>
          </w:p>
        </w:tc>
      </w:tr>
      <w:tr w:rsidR="003547D9" w:rsidRPr="00CF335D" w14:paraId="6A8ED99E" w14:textId="77777777" w:rsidTr="00153A92">
        <w:trPr>
          <w:trHeight w:val="175"/>
        </w:trPr>
        <w:tc>
          <w:tcPr>
            <w:tcW w:w="4950" w:type="dxa"/>
          </w:tcPr>
          <w:p w14:paraId="05B47C7F"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lang w:eastAsia="zh-CN"/>
              </w:rPr>
              <w:t>Alanine</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7818CD74" w14:textId="77777777" w:rsidR="003547D9" w:rsidRPr="00CF335D" w:rsidRDefault="003547D9" w:rsidP="00153A92">
            <w:pPr>
              <w:spacing w:line="276" w:lineRule="auto"/>
              <w:rPr>
                <w:color w:val="000000" w:themeColor="text1"/>
                <w:sz w:val="22"/>
                <w:szCs w:val="22"/>
              </w:rPr>
            </w:pPr>
            <w:bookmarkStart w:id="6" w:name="_Hlk215887654"/>
            <w:r w:rsidRPr="00CF335D">
              <w:rPr>
                <w:color w:val="000000" w:themeColor="text1"/>
                <w:sz w:val="22"/>
                <w:szCs w:val="22"/>
                <w:lang w:eastAsia="zh-CN"/>
              </w:rPr>
              <w:t>9.186</w:t>
            </w:r>
            <w:bookmarkEnd w:id="6"/>
          </w:p>
        </w:tc>
      </w:tr>
      <w:tr w:rsidR="003547D9" w:rsidRPr="00CF335D" w14:paraId="24010FA8" w14:textId="77777777" w:rsidTr="00153A92">
        <w:trPr>
          <w:trHeight w:val="185"/>
        </w:trPr>
        <w:tc>
          <w:tcPr>
            <w:tcW w:w="4950" w:type="dxa"/>
          </w:tcPr>
          <w:p w14:paraId="053F739E" w14:textId="77777777" w:rsidR="003547D9" w:rsidRPr="00CF335D" w:rsidRDefault="003547D9" w:rsidP="00153A92">
            <w:pPr>
              <w:spacing w:line="276" w:lineRule="auto"/>
              <w:rPr>
                <w:b/>
                <w:bCs/>
                <w:color w:val="000000" w:themeColor="text1"/>
                <w:sz w:val="22"/>
                <w:szCs w:val="22"/>
              </w:rPr>
            </w:pPr>
            <w:r w:rsidRPr="00CF335D">
              <w:rPr>
                <w:color w:val="000000" w:themeColor="text1"/>
                <w:sz w:val="22"/>
                <w:szCs w:val="22"/>
                <w:lang w:eastAsia="zh-CN"/>
              </w:rPr>
              <w:t>Serine</w:t>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6E43397B"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lang w:eastAsia="zh-CN"/>
              </w:rPr>
              <w:t>3.369</w:t>
            </w:r>
          </w:p>
        </w:tc>
      </w:tr>
      <w:tr w:rsidR="003547D9" w:rsidRPr="00CF335D" w14:paraId="1A1F1A2E" w14:textId="77777777" w:rsidTr="00153A92">
        <w:trPr>
          <w:trHeight w:val="175"/>
        </w:trPr>
        <w:tc>
          <w:tcPr>
            <w:tcW w:w="4950" w:type="dxa"/>
          </w:tcPr>
          <w:p w14:paraId="57C27021"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lang w:eastAsia="zh-CN"/>
              </w:rPr>
              <w:t>Proline</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5954827F" w14:textId="77777777" w:rsidR="003547D9" w:rsidRPr="00CF335D" w:rsidRDefault="003547D9" w:rsidP="00153A92">
            <w:pPr>
              <w:spacing w:line="276" w:lineRule="auto"/>
              <w:rPr>
                <w:b/>
                <w:bCs/>
                <w:color w:val="000000" w:themeColor="text1"/>
                <w:sz w:val="22"/>
                <w:szCs w:val="22"/>
              </w:rPr>
            </w:pPr>
            <w:bookmarkStart w:id="7" w:name="_Hlk215887617"/>
            <w:r w:rsidRPr="00CF335D">
              <w:rPr>
                <w:color w:val="000000" w:themeColor="text1"/>
                <w:sz w:val="22"/>
                <w:szCs w:val="22"/>
              </w:rPr>
              <w:t>20.051</w:t>
            </w:r>
            <w:bookmarkEnd w:id="7"/>
          </w:p>
        </w:tc>
      </w:tr>
      <w:tr w:rsidR="003547D9" w:rsidRPr="00CF335D" w14:paraId="1E8A929E" w14:textId="77777777" w:rsidTr="00153A92">
        <w:trPr>
          <w:trHeight w:val="175"/>
        </w:trPr>
        <w:tc>
          <w:tcPr>
            <w:tcW w:w="4950" w:type="dxa"/>
          </w:tcPr>
          <w:p w14:paraId="363C1A99"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lang w:eastAsia="zh-CN"/>
              </w:rPr>
              <w:t>Glutamate</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3AD528CA"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rPr>
              <w:t>5.637</w:t>
            </w:r>
          </w:p>
        </w:tc>
      </w:tr>
      <w:tr w:rsidR="003547D9" w:rsidRPr="00CF335D" w14:paraId="3687DFF4" w14:textId="77777777" w:rsidTr="00153A92">
        <w:trPr>
          <w:trHeight w:val="185"/>
        </w:trPr>
        <w:tc>
          <w:tcPr>
            <w:tcW w:w="4950" w:type="dxa"/>
          </w:tcPr>
          <w:p w14:paraId="45278AF2" w14:textId="77777777" w:rsidR="003547D9" w:rsidRPr="00CF335D" w:rsidRDefault="003547D9" w:rsidP="00153A92">
            <w:pPr>
              <w:spacing w:line="276" w:lineRule="auto"/>
              <w:rPr>
                <w:b/>
                <w:bCs/>
                <w:color w:val="000000" w:themeColor="text1"/>
                <w:sz w:val="22"/>
                <w:szCs w:val="22"/>
              </w:rPr>
            </w:pPr>
            <w:r w:rsidRPr="00CF335D">
              <w:rPr>
                <w:color w:val="000000" w:themeColor="text1"/>
                <w:sz w:val="22"/>
                <w:szCs w:val="22"/>
                <w:lang w:eastAsia="zh-CN"/>
              </w:rPr>
              <w:t>Aspartate</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190A2DB3"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rPr>
              <w:t>2.120</w:t>
            </w:r>
          </w:p>
        </w:tc>
      </w:tr>
      <w:tr w:rsidR="003547D9" w:rsidRPr="00CF335D" w14:paraId="648E4256" w14:textId="77777777" w:rsidTr="00153A92">
        <w:trPr>
          <w:trHeight w:val="175"/>
        </w:trPr>
        <w:tc>
          <w:tcPr>
            <w:tcW w:w="4950" w:type="dxa"/>
          </w:tcPr>
          <w:p w14:paraId="15A768C3" w14:textId="77777777" w:rsidR="003547D9" w:rsidRPr="00CF335D" w:rsidRDefault="003547D9" w:rsidP="00153A92">
            <w:pPr>
              <w:spacing w:line="276" w:lineRule="auto"/>
              <w:rPr>
                <w:b/>
                <w:bCs/>
                <w:color w:val="000000" w:themeColor="text1"/>
                <w:sz w:val="22"/>
                <w:szCs w:val="22"/>
              </w:rPr>
            </w:pPr>
            <w:r w:rsidRPr="00CF335D">
              <w:rPr>
                <w:color w:val="000000" w:themeColor="text1"/>
                <w:sz w:val="22"/>
                <w:szCs w:val="22"/>
                <w:lang w:eastAsia="zh-CN"/>
              </w:rPr>
              <w:t>Tyrosine</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526AC181"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rPr>
              <w:t>5.535</w:t>
            </w:r>
          </w:p>
        </w:tc>
      </w:tr>
      <w:tr w:rsidR="003547D9" w:rsidRPr="00CF335D" w14:paraId="31322CC5" w14:textId="77777777" w:rsidTr="00153A92">
        <w:trPr>
          <w:trHeight w:val="185"/>
        </w:trPr>
        <w:tc>
          <w:tcPr>
            <w:tcW w:w="4950" w:type="dxa"/>
          </w:tcPr>
          <w:p w14:paraId="4093BA3A" w14:textId="77777777" w:rsidR="003547D9" w:rsidRPr="00CF335D" w:rsidRDefault="003547D9" w:rsidP="00153A92">
            <w:pPr>
              <w:spacing w:line="276" w:lineRule="auto"/>
              <w:rPr>
                <w:color w:val="000000" w:themeColor="text1"/>
                <w:sz w:val="22"/>
                <w:szCs w:val="22"/>
              </w:rPr>
            </w:pPr>
            <w:r w:rsidRPr="00CF335D">
              <w:rPr>
                <w:color w:val="000000" w:themeColor="text1"/>
                <w:sz w:val="22"/>
                <w:szCs w:val="22"/>
                <w:lang w:eastAsia="zh-CN"/>
              </w:rPr>
              <w:t>Cysteine</w:t>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r w:rsidRPr="00CF335D">
              <w:rPr>
                <w:color w:val="000000" w:themeColor="text1"/>
                <w:sz w:val="22"/>
                <w:szCs w:val="22"/>
                <w:lang w:eastAsia="zh-CN"/>
              </w:rPr>
              <w:tab/>
            </w:r>
          </w:p>
        </w:tc>
        <w:tc>
          <w:tcPr>
            <w:tcW w:w="3510" w:type="dxa"/>
          </w:tcPr>
          <w:p w14:paraId="7E5C2CDE" w14:textId="77777777" w:rsidR="003547D9" w:rsidRPr="00CF335D" w:rsidRDefault="003547D9" w:rsidP="00153A92">
            <w:pPr>
              <w:spacing w:line="276" w:lineRule="auto"/>
              <w:rPr>
                <w:color w:val="000000" w:themeColor="text1"/>
                <w:sz w:val="22"/>
                <w:szCs w:val="22"/>
                <w:lang w:eastAsia="zh-CN"/>
              </w:rPr>
            </w:pPr>
            <w:r w:rsidRPr="00CF335D">
              <w:rPr>
                <w:color w:val="000000" w:themeColor="text1"/>
                <w:sz w:val="22"/>
                <w:szCs w:val="22"/>
                <w:lang w:eastAsia="zh-CN"/>
              </w:rPr>
              <w:t>16.604</w:t>
            </w:r>
          </w:p>
        </w:tc>
      </w:tr>
      <w:tr w:rsidR="003547D9" w:rsidRPr="00CF335D" w14:paraId="34E3438F" w14:textId="77777777" w:rsidTr="00153A92">
        <w:trPr>
          <w:trHeight w:val="185"/>
        </w:trPr>
        <w:tc>
          <w:tcPr>
            <w:tcW w:w="4950" w:type="dxa"/>
          </w:tcPr>
          <w:p w14:paraId="6CEC5F99" w14:textId="77777777" w:rsidR="003547D9" w:rsidRPr="00CF335D" w:rsidRDefault="003547D9" w:rsidP="00153A92">
            <w:pPr>
              <w:spacing w:line="276" w:lineRule="auto"/>
              <w:rPr>
                <w:color w:val="000000" w:themeColor="text1"/>
                <w:sz w:val="22"/>
                <w:szCs w:val="22"/>
                <w:lang w:eastAsia="zh-CN"/>
              </w:rPr>
            </w:pPr>
            <w:r w:rsidRPr="00CF335D">
              <w:rPr>
                <w:b/>
                <w:bCs/>
                <w:color w:val="000000" w:themeColor="text1"/>
                <w:sz w:val="22"/>
                <w:szCs w:val="22"/>
                <w:lang w:eastAsia="zh-CN"/>
              </w:rPr>
              <w:t>Total NEAA</w:t>
            </w:r>
          </w:p>
        </w:tc>
        <w:tc>
          <w:tcPr>
            <w:tcW w:w="3510" w:type="dxa"/>
          </w:tcPr>
          <w:p w14:paraId="431C6F36" w14:textId="77777777" w:rsidR="003547D9" w:rsidRPr="00CF335D" w:rsidRDefault="003547D9" w:rsidP="00153A92">
            <w:pPr>
              <w:spacing w:line="276" w:lineRule="auto"/>
              <w:rPr>
                <w:color w:val="000000" w:themeColor="text1"/>
                <w:sz w:val="22"/>
                <w:szCs w:val="22"/>
                <w:lang w:eastAsia="zh-CN"/>
              </w:rPr>
            </w:pPr>
            <w:bookmarkStart w:id="8" w:name="_Hlk215886516"/>
            <w:r w:rsidRPr="00CF335D">
              <w:rPr>
                <w:b/>
                <w:bCs/>
                <w:color w:val="000000" w:themeColor="text1"/>
                <w:sz w:val="22"/>
                <w:szCs w:val="22"/>
                <w:lang w:eastAsia="zh-CN"/>
              </w:rPr>
              <w:t>62.502</w:t>
            </w:r>
            <w:bookmarkEnd w:id="8"/>
          </w:p>
        </w:tc>
      </w:tr>
    </w:tbl>
    <w:bookmarkEnd w:id="5"/>
    <w:p w14:paraId="0DA38FBB" w14:textId="77777777" w:rsidR="003547D9" w:rsidRPr="00CF335D" w:rsidRDefault="003547D9" w:rsidP="003547D9">
      <w:pPr>
        <w:spacing w:before="240"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 xml:space="preserve">3.3 Mineral Composition of </w:t>
      </w:r>
      <w:r w:rsidRPr="00CF335D">
        <w:rPr>
          <w:rFonts w:ascii="Times New Roman" w:hAnsi="Times New Roman" w:cs="Times New Roman"/>
          <w:b/>
          <w:bCs/>
          <w:i/>
          <w:iCs/>
          <w:color w:val="000000" w:themeColor="text1"/>
          <w:sz w:val="22"/>
          <w:szCs w:val="22"/>
        </w:rPr>
        <w:t>Pleurotus ostreatus</w:t>
      </w:r>
    </w:p>
    <w:p w14:paraId="56CDB70C" w14:textId="77777777" w:rsidR="003547D9" w:rsidRPr="00CF335D" w:rsidRDefault="003547D9" w:rsidP="003547D9">
      <w:pPr>
        <w:spacing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The mineral compositions of Oyster mushroom (</w:t>
      </w:r>
      <w:r w:rsidRPr="00CF335D">
        <w:rPr>
          <w:rFonts w:ascii="Times New Roman" w:hAnsi="Times New Roman" w:cs="Times New Roman"/>
          <w:i/>
          <w:iCs/>
          <w:color w:val="000000" w:themeColor="text1"/>
          <w:sz w:val="22"/>
          <w:szCs w:val="22"/>
        </w:rPr>
        <w:t>Pleurotus ostreatus)</w:t>
      </w:r>
      <w:r w:rsidRPr="00CF335D">
        <w:rPr>
          <w:rFonts w:ascii="Times New Roman" w:hAnsi="Times New Roman" w:cs="Times New Roman"/>
          <w:b/>
          <w:bCs/>
          <w:color w:val="000000" w:themeColor="text1"/>
          <w:sz w:val="22"/>
          <w:szCs w:val="22"/>
        </w:rPr>
        <w:t xml:space="preserve"> </w:t>
      </w:r>
      <w:r w:rsidRPr="00CF335D">
        <w:rPr>
          <w:rFonts w:ascii="Times New Roman" w:hAnsi="Times New Roman" w:cs="Times New Roman"/>
          <w:color w:val="000000" w:themeColor="text1"/>
          <w:sz w:val="22"/>
          <w:szCs w:val="22"/>
        </w:rPr>
        <w:t xml:space="preserve">are shown in </w:t>
      </w:r>
      <w:r w:rsidRPr="00CF335D">
        <w:rPr>
          <w:rFonts w:ascii="Times New Roman" w:hAnsi="Times New Roman" w:cs="Times New Roman"/>
          <w:color w:val="EE0000"/>
          <w:sz w:val="22"/>
          <w:szCs w:val="22"/>
        </w:rPr>
        <w:t>Table 4</w:t>
      </w:r>
      <w:r w:rsidRPr="00CF335D">
        <w:rPr>
          <w:rFonts w:ascii="Times New Roman" w:hAnsi="Times New Roman" w:cs="Times New Roman"/>
          <w:color w:val="000000" w:themeColor="text1"/>
          <w:sz w:val="22"/>
          <w:szCs w:val="22"/>
        </w:rPr>
        <w:t xml:space="preserve">. </w:t>
      </w:r>
      <w:bookmarkStart w:id="9" w:name="_Hlk216075388"/>
      <w:r w:rsidRPr="00CF335D">
        <w:rPr>
          <w:rFonts w:ascii="Times New Roman" w:hAnsi="Times New Roman" w:cs="Times New Roman"/>
          <w:color w:val="000000" w:themeColor="text1"/>
          <w:sz w:val="22"/>
          <w:szCs w:val="22"/>
        </w:rPr>
        <w:t xml:space="preserve">It contains considerable amounts of calcium (8.267±0.114 ppm), potassium (7.454±0.077 ppm), sodium (6.454±0.041 ppm) and magnesium (6.379±0.016 ppm), and moderate amounts of zinc (0.267±0.021 ppm), and iron (0.595±0.02 ppm), manganese (0.267±0.01 ppm), aluminum (0.021±0.01) and molybdenum (0.178±0.01 ppm). Heavy metal like nickel, chromium, mercury, vanadium and silicon are present in tolerable quantities while arsenic and silver are complete absent in the sample </w:t>
      </w:r>
      <w:bookmarkEnd w:id="9"/>
      <w:r w:rsidRPr="00CF335D">
        <w:rPr>
          <w:rFonts w:ascii="Times New Roman" w:hAnsi="Times New Roman" w:cs="Times New Roman"/>
          <w:color w:val="000000" w:themeColor="text1"/>
          <w:sz w:val="22"/>
          <w:szCs w:val="22"/>
        </w:rPr>
        <w:t>(</w:t>
      </w:r>
      <w:r w:rsidRPr="00CF335D">
        <w:rPr>
          <w:rFonts w:ascii="Times New Roman" w:hAnsi="Times New Roman" w:cs="Times New Roman"/>
          <w:color w:val="EE0000"/>
          <w:sz w:val="22"/>
          <w:szCs w:val="22"/>
        </w:rPr>
        <w:t>Table 4</w:t>
      </w:r>
      <w:r w:rsidRPr="00CF335D">
        <w:rPr>
          <w:rFonts w:ascii="Times New Roman" w:hAnsi="Times New Roman" w:cs="Times New Roman"/>
          <w:color w:val="000000" w:themeColor="text1"/>
          <w:sz w:val="22"/>
          <w:szCs w:val="22"/>
        </w:rPr>
        <w:t>)</w:t>
      </w:r>
    </w:p>
    <w:p w14:paraId="2CF43774" w14:textId="77777777"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p>
    <w:p w14:paraId="30002CCA" w14:textId="77777777"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p>
    <w:p w14:paraId="11C31E72" w14:textId="77777777"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p>
    <w:p w14:paraId="0573C5D2" w14:textId="77777777"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p>
    <w:p w14:paraId="4578CAED" w14:textId="77777777"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p>
    <w:p w14:paraId="460DC46F" w14:textId="77777777"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p>
    <w:p w14:paraId="1935A41A" w14:textId="77777777"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p>
    <w:p w14:paraId="39E541C0" w14:textId="77777777"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p>
    <w:p w14:paraId="2B184775" w14:textId="77777777"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p>
    <w:p w14:paraId="5D7A0BC6" w14:textId="77777777"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p>
    <w:p w14:paraId="2E229494" w14:textId="77777777"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p>
    <w:p w14:paraId="7FAACFF2" w14:textId="77777777"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p>
    <w:p w14:paraId="56F8837A" w14:textId="77777777" w:rsidR="003547D9" w:rsidRPr="00CF335D" w:rsidRDefault="003547D9" w:rsidP="003547D9">
      <w:pPr>
        <w:spacing w:after="0" w:line="276" w:lineRule="auto"/>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EE0000"/>
          <w:sz w:val="22"/>
          <w:szCs w:val="22"/>
        </w:rPr>
        <w:t xml:space="preserve">Table 4: </w:t>
      </w:r>
      <w:r w:rsidRPr="00CF335D">
        <w:rPr>
          <w:rFonts w:ascii="Times New Roman" w:hAnsi="Times New Roman" w:cs="Times New Roman"/>
          <w:b/>
          <w:bCs/>
          <w:color w:val="000000" w:themeColor="text1"/>
          <w:sz w:val="22"/>
          <w:szCs w:val="22"/>
        </w:rPr>
        <w:t xml:space="preserve">Mineral composition of </w:t>
      </w:r>
      <w:r w:rsidRPr="00CF335D">
        <w:rPr>
          <w:rFonts w:ascii="Times New Roman" w:hAnsi="Times New Roman" w:cs="Times New Roman"/>
          <w:b/>
          <w:bCs/>
          <w:i/>
          <w:iCs/>
          <w:color w:val="000000" w:themeColor="text1"/>
          <w:sz w:val="22"/>
          <w:szCs w:val="22"/>
        </w:rPr>
        <w:t>Pleurotus ostreatus</w:t>
      </w:r>
      <w:r w:rsidRPr="00CF335D">
        <w:rPr>
          <w:rFonts w:ascii="Times New Roman" w:hAnsi="Times New Roman" w:cs="Times New Roman"/>
          <w:b/>
          <w:bCs/>
          <w:color w:val="000000" w:themeColor="text1"/>
          <w:sz w:val="22"/>
          <w:szCs w:val="22"/>
        </w:rPr>
        <w:t xml:space="preserve"> </w:t>
      </w:r>
    </w:p>
    <w:tbl>
      <w:tblPr>
        <w:tblStyle w:val="LightShading1"/>
        <w:tblW w:w="0" w:type="auto"/>
        <w:shd w:val="clear" w:color="auto" w:fill="FFFFFF" w:themeFill="background1"/>
        <w:tblLook w:val="04A0" w:firstRow="1" w:lastRow="0" w:firstColumn="1" w:lastColumn="0" w:noHBand="0" w:noVBand="1"/>
      </w:tblPr>
      <w:tblGrid>
        <w:gridCol w:w="4501"/>
        <w:gridCol w:w="4679"/>
      </w:tblGrid>
      <w:tr w:rsidR="003547D9" w:rsidRPr="00CF335D" w14:paraId="5C00B0A4" w14:textId="77777777" w:rsidTr="00153A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16D8D63C" w14:textId="77777777" w:rsidR="003547D9" w:rsidRPr="00CF335D" w:rsidRDefault="003547D9" w:rsidP="00153A92">
            <w:pPr>
              <w:spacing w:line="276" w:lineRule="auto"/>
              <w:jc w:val="both"/>
              <w:rPr>
                <w:rFonts w:ascii="Times New Roman" w:hAnsi="Times New Roman" w:cs="Times New Roman"/>
                <w:color w:val="000000" w:themeColor="text1"/>
              </w:rPr>
            </w:pPr>
            <w:r w:rsidRPr="00CF335D">
              <w:rPr>
                <w:rFonts w:ascii="Times New Roman" w:hAnsi="Times New Roman" w:cs="Times New Roman"/>
                <w:color w:val="000000" w:themeColor="text1"/>
              </w:rPr>
              <w:t>Mineral composition</w:t>
            </w:r>
          </w:p>
        </w:tc>
        <w:tc>
          <w:tcPr>
            <w:tcW w:w="4679" w:type="dxa"/>
            <w:shd w:val="clear" w:color="auto" w:fill="FFFFFF" w:themeFill="background1"/>
          </w:tcPr>
          <w:p w14:paraId="179F7964" w14:textId="77777777" w:rsidR="003547D9" w:rsidRPr="00CF335D" w:rsidRDefault="003547D9" w:rsidP="00153A9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Concentration (ppm)</w:t>
            </w:r>
          </w:p>
        </w:tc>
      </w:tr>
      <w:tr w:rsidR="003547D9" w:rsidRPr="00CF335D" w14:paraId="29D4E3AA" w14:textId="77777777" w:rsidTr="00153A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21857014"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 xml:space="preserve">Sodium </w:t>
            </w:r>
          </w:p>
        </w:tc>
        <w:tc>
          <w:tcPr>
            <w:tcW w:w="4679" w:type="dxa"/>
            <w:shd w:val="clear" w:color="auto" w:fill="FFFFFF" w:themeFill="background1"/>
          </w:tcPr>
          <w:p w14:paraId="17296358" w14:textId="77777777" w:rsidR="003547D9" w:rsidRPr="00CF335D" w:rsidRDefault="003547D9" w:rsidP="00153A9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6.454±0.041</w:t>
            </w:r>
          </w:p>
        </w:tc>
      </w:tr>
      <w:tr w:rsidR="003547D9" w:rsidRPr="00CF335D" w14:paraId="6B9F18C4" w14:textId="77777777" w:rsidTr="00153A92">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672EA92D"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 xml:space="preserve">Potassium </w:t>
            </w:r>
          </w:p>
        </w:tc>
        <w:tc>
          <w:tcPr>
            <w:tcW w:w="4679" w:type="dxa"/>
            <w:shd w:val="clear" w:color="auto" w:fill="FFFFFF" w:themeFill="background1"/>
          </w:tcPr>
          <w:p w14:paraId="041D1AF0" w14:textId="77777777" w:rsidR="003547D9" w:rsidRPr="00CF335D" w:rsidRDefault="003547D9" w:rsidP="00153A9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7.454±0.077</w:t>
            </w:r>
          </w:p>
        </w:tc>
      </w:tr>
      <w:tr w:rsidR="003547D9" w:rsidRPr="00CF335D" w14:paraId="2B51101F" w14:textId="77777777" w:rsidTr="00153A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5185FE27"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Calcium</w:t>
            </w:r>
          </w:p>
        </w:tc>
        <w:tc>
          <w:tcPr>
            <w:tcW w:w="4679" w:type="dxa"/>
            <w:shd w:val="clear" w:color="auto" w:fill="FFFFFF" w:themeFill="background1"/>
          </w:tcPr>
          <w:p w14:paraId="1C740E30" w14:textId="77777777" w:rsidR="003547D9" w:rsidRPr="00CF335D" w:rsidRDefault="003547D9" w:rsidP="00153A9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8.267±0.114</w:t>
            </w:r>
          </w:p>
        </w:tc>
      </w:tr>
      <w:tr w:rsidR="003547D9" w:rsidRPr="00CF335D" w14:paraId="5F039B8D" w14:textId="77777777" w:rsidTr="00153A92">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5FE43014"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Magnesium</w:t>
            </w:r>
          </w:p>
        </w:tc>
        <w:tc>
          <w:tcPr>
            <w:tcW w:w="4679" w:type="dxa"/>
            <w:shd w:val="clear" w:color="auto" w:fill="FFFFFF" w:themeFill="background1"/>
          </w:tcPr>
          <w:p w14:paraId="50155FA8" w14:textId="77777777" w:rsidR="003547D9" w:rsidRPr="00CF335D" w:rsidRDefault="003547D9" w:rsidP="00153A9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6.379±0.016</w:t>
            </w:r>
          </w:p>
        </w:tc>
      </w:tr>
      <w:tr w:rsidR="003547D9" w:rsidRPr="00CF335D" w14:paraId="161C14D0" w14:textId="77777777" w:rsidTr="00153A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2873632A"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 xml:space="preserve">Manganese </w:t>
            </w:r>
          </w:p>
        </w:tc>
        <w:tc>
          <w:tcPr>
            <w:tcW w:w="4679" w:type="dxa"/>
            <w:shd w:val="clear" w:color="auto" w:fill="FFFFFF" w:themeFill="background1"/>
          </w:tcPr>
          <w:p w14:paraId="6DB00E28" w14:textId="77777777" w:rsidR="003547D9" w:rsidRPr="00CF335D" w:rsidRDefault="003547D9" w:rsidP="00153A9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0.267±0.01</w:t>
            </w:r>
          </w:p>
        </w:tc>
      </w:tr>
      <w:tr w:rsidR="003547D9" w:rsidRPr="00CF335D" w14:paraId="1F2CD37A" w14:textId="77777777" w:rsidTr="00153A92">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4E5721D7"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 xml:space="preserve">Cobalt </w:t>
            </w:r>
          </w:p>
        </w:tc>
        <w:tc>
          <w:tcPr>
            <w:tcW w:w="4679" w:type="dxa"/>
            <w:shd w:val="clear" w:color="auto" w:fill="FFFFFF" w:themeFill="background1"/>
          </w:tcPr>
          <w:p w14:paraId="7FBA0A5F" w14:textId="77777777" w:rsidR="003547D9" w:rsidRPr="00CF335D" w:rsidRDefault="003547D9" w:rsidP="00153A9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0.002±0.016</w:t>
            </w:r>
          </w:p>
        </w:tc>
      </w:tr>
      <w:tr w:rsidR="003547D9" w:rsidRPr="00CF335D" w14:paraId="2470F8A7" w14:textId="77777777" w:rsidTr="00153A92">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15B9B7A1"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 xml:space="preserve">Lead </w:t>
            </w:r>
          </w:p>
        </w:tc>
        <w:tc>
          <w:tcPr>
            <w:tcW w:w="4679" w:type="dxa"/>
            <w:shd w:val="clear" w:color="auto" w:fill="FFFFFF" w:themeFill="background1"/>
          </w:tcPr>
          <w:p w14:paraId="10C659D5" w14:textId="77777777" w:rsidR="003547D9" w:rsidRPr="00CF335D" w:rsidRDefault="003547D9" w:rsidP="00153A9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0.016±0.011</w:t>
            </w:r>
          </w:p>
        </w:tc>
      </w:tr>
      <w:tr w:rsidR="003547D9" w:rsidRPr="00CF335D" w14:paraId="5F7A23DA" w14:textId="77777777" w:rsidTr="00153A92">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1CFFE1F5"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Copper</w:t>
            </w:r>
          </w:p>
        </w:tc>
        <w:tc>
          <w:tcPr>
            <w:tcW w:w="4679" w:type="dxa"/>
            <w:shd w:val="clear" w:color="auto" w:fill="FFFFFF" w:themeFill="background1"/>
          </w:tcPr>
          <w:p w14:paraId="1F8C2BD4" w14:textId="77777777" w:rsidR="003547D9" w:rsidRPr="00CF335D" w:rsidRDefault="003547D9" w:rsidP="00153A9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0.052±0.01</w:t>
            </w:r>
          </w:p>
        </w:tc>
      </w:tr>
      <w:tr w:rsidR="003547D9" w:rsidRPr="00CF335D" w14:paraId="7AF3D2AA" w14:textId="77777777" w:rsidTr="00153A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6BBE591B"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Zinc</w:t>
            </w:r>
          </w:p>
        </w:tc>
        <w:tc>
          <w:tcPr>
            <w:tcW w:w="4679" w:type="dxa"/>
            <w:shd w:val="clear" w:color="auto" w:fill="FFFFFF" w:themeFill="background1"/>
          </w:tcPr>
          <w:p w14:paraId="006D44C4" w14:textId="77777777" w:rsidR="003547D9" w:rsidRPr="00CF335D" w:rsidRDefault="003547D9" w:rsidP="00153A9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0.267±0.021</w:t>
            </w:r>
          </w:p>
        </w:tc>
      </w:tr>
      <w:tr w:rsidR="003547D9" w:rsidRPr="00CF335D" w14:paraId="2AFED99A" w14:textId="77777777" w:rsidTr="00153A92">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76E5BE30"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Iron</w:t>
            </w:r>
          </w:p>
        </w:tc>
        <w:tc>
          <w:tcPr>
            <w:tcW w:w="4679" w:type="dxa"/>
            <w:shd w:val="clear" w:color="auto" w:fill="FFFFFF" w:themeFill="background1"/>
          </w:tcPr>
          <w:p w14:paraId="66BE3B89" w14:textId="77777777" w:rsidR="003547D9" w:rsidRPr="00CF335D" w:rsidRDefault="003547D9" w:rsidP="00153A9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0.595±0.02</w:t>
            </w:r>
          </w:p>
        </w:tc>
      </w:tr>
      <w:tr w:rsidR="003547D9" w:rsidRPr="00CF335D" w14:paraId="0C7AC6FC" w14:textId="77777777" w:rsidTr="00153A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0DEEB2D4"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Aluminum</w:t>
            </w:r>
          </w:p>
        </w:tc>
        <w:tc>
          <w:tcPr>
            <w:tcW w:w="4679" w:type="dxa"/>
            <w:shd w:val="clear" w:color="auto" w:fill="FFFFFF" w:themeFill="background1"/>
          </w:tcPr>
          <w:p w14:paraId="194F263E" w14:textId="77777777" w:rsidR="003547D9" w:rsidRPr="00CF335D" w:rsidRDefault="003547D9" w:rsidP="00153A9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0.021±0.01</w:t>
            </w:r>
          </w:p>
        </w:tc>
      </w:tr>
      <w:tr w:rsidR="003547D9" w:rsidRPr="00CF335D" w14:paraId="4AFA3A04" w14:textId="77777777" w:rsidTr="00153A92">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5D305656"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 xml:space="preserve">Molybdenum </w:t>
            </w:r>
          </w:p>
        </w:tc>
        <w:tc>
          <w:tcPr>
            <w:tcW w:w="4679" w:type="dxa"/>
            <w:shd w:val="clear" w:color="auto" w:fill="FFFFFF" w:themeFill="background1"/>
          </w:tcPr>
          <w:p w14:paraId="226D0234" w14:textId="77777777" w:rsidR="003547D9" w:rsidRPr="00CF335D" w:rsidRDefault="003547D9" w:rsidP="00153A9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0.178±0.01</w:t>
            </w:r>
          </w:p>
        </w:tc>
      </w:tr>
      <w:tr w:rsidR="003547D9" w:rsidRPr="00CF335D" w14:paraId="6F22A9F8" w14:textId="77777777" w:rsidTr="00153A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7C907CF9"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Nickel</w:t>
            </w:r>
          </w:p>
        </w:tc>
        <w:tc>
          <w:tcPr>
            <w:tcW w:w="4679" w:type="dxa"/>
            <w:shd w:val="clear" w:color="auto" w:fill="FFFFFF" w:themeFill="background1"/>
          </w:tcPr>
          <w:p w14:paraId="4E174E46" w14:textId="77777777" w:rsidR="003547D9" w:rsidRPr="00CF335D" w:rsidRDefault="003547D9" w:rsidP="00153A9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0.040±0.02</w:t>
            </w:r>
          </w:p>
        </w:tc>
      </w:tr>
      <w:tr w:rsidR="003547D9" w:rsidRPr="00CF335D" w14:paraId="13FF7CC5" w14:textId="77777777" w:rsidTr="00153A92">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1FDF876E"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Chromium</w:t>
            </w:r>
          </w:p>
        </w:tc>
        <w:tc>
          <w:tcPr>
            <w:tcW w:w="4679" w:type="dxa"/>
            <w:shd w:val="clear" w:color="auto" w:fill="FFFFFF" w:themeFill="background1"/>
          </w:tcPr>
          <w:p w14:paraId="5D5B5602" w14:textId="77777777" w:rsidR="003547D9" w:rsidRPr="00CF335D" w:rsidRDefault="003547D9" w:rsidP="00153A9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0.056±0.03</w:t>
            </w:r>
          </w:p>
        </w:tc>
      </w:tr>
      <w:tr w:rsidR="003547D9" w:rsidRPr="00CF335D" w14:paraId="1987ABEE" w14:textId="77777777" w:rsidTr="00153A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4B625693"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Mercury</w:t>
            </w:r>
          </w:p>
        </w:tc>
        <w:tc>
          <w:tcPr>
            <w:tcW w:w="4679" w:type="dxa"/>
            <w:shd w:val="clear" w:color="auto" w:fill="FFFFFF" w:themeFill="background1"/>
          </w:tcPr>
          <w:p w14:paraId="16A02A69" w14:textId="77777777" w:rsidR="003547D9" w:rsidRPr="00CF335D" w:rsidRDefault="003547D9" w:rsidP="00153A9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0.022±0.02</w:t>
            </w:r>
          </w:p>
        </w:tc>
      </w:tr>
      <w:tr w:rsidR="003547D9" w:rsidRPr="00CF335D" w14:paraId="37FD1C4C" w14:textId="77777777" w:rsidTr="00153A92">
        <w:trPr>
          <w:trHeight w:val="288"/>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04DB7C44"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 xml:space="preserve">Arsenic </w:t>
            </w:r>
          </w:p>
        </w:tc>
        <w:tc>
          <w:tcPr>
            <w:tcW w:w="4679" w:type="dxa"/>
            <w:shd w:val="clear" w:color="auto" w:fill="FFFFFF" w:themeFill="background1"/>
          </w:tcPr>
          <w:p w14:paraId="733AF605" w14:textId="77777777" w:rsidR="003547D9" w:rsidRPr="00CF335D" w:rsidRDefault="003547D9" w:rsidP="00153A9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0.00</w:t>
            </w:r>
          </w:p>
        </w:tc>
      </w:tr>
      <w:tr w:rsidR="003547D9" w:rsidRPr="00CF335D" w14:paraId="5BD68508" w14:textId="77777777" w:rsidTr="00153A92">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04335A77"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Silver</w:t>
            </w:r>
          </w:p>
        </w:tc>
        <w:tc>
          <w:tcPr>
            <w:tcW w:w="4679" w:type="dxa"/>
            <w:shd w:val="clear" w:color="auto" w:fill="FFFFFF" w:themeFill="background1"/>
          </w:tcPr>
          <w:p w14:paraId="41224C51" w14:textId="77777777" w:rsidR="003547D9" w:rsidRPr="00CF335D" w:rsidRDefault="003547D9" w:rsidP="00153A9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0.00</w:t>
            </w:r>
          </w:p>
        </w:tc>
      </w:tr>
      <w:tr w:rsidR="003547D9" w:rsidRPr="00CF335D" w14:paraId="51AAC32E" w14:textId="77777777" w:rsidTr="00153A92">
        <w:trPr>
          <w:trHeight w:val="27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4FBA7A4B"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Vanadium</w:t>
            </w:r>
          </w:p>
        </w:tc>
        <w:tc>
          <w:tcPr>
            <w:tcW w:w="4679" w:type="dxa"/>
            <w:shd w:val="clear" w:color="auto" w:fill="FFFFFF" w:themeFill="background1"/>
          </w:tcPr>
          <w:p w14:paraId="3FF268C9" w14:textId="77777777" w:rsidR="003547D9" w:rsidRPr="00CF335D" w:rsidRDefault="003547D9" w:rsidP="00153A9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0.004±0.001</w:t>
            </w:r>
          </w:p>
        </w:tc>
      </w:tr>
      <w:tr w:rsidR="003547D9" w:rsidRPr="00CF335D" w14:paraId="00C09630" w14:textId="77777777" w:rsidTr="00153A9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1F0EA596" w14:textId="77777777" w:rsidR="003547D9" w:rsidRPr="00CF335D" w:rsidRDefault="003547D9" w:rsidP="00153A92">
            <w:pPr>
              <w:spacing w:line="276" w:lineRule="auto"/>
              <w:jc w:val="both"/>
              <w:rPr>
                <w:rFonts w:ascii="Times New Roman" w:hAnsi="Times New Roman" w:cs="Times New Roman"/>
                <w:b w:val="0"/>
                <w:bCs w:val="0"/>
                <w:color w:val="000000" w:themeColor="text1"/>
              </w:rPr>
            </w:pPr>
            <w:r w:rsidRPr="00CF335D">
              <w:rPr>
                <w:rFonts w:ascii="Times New Roman" w:hAnsi="Times New Roman" w:cs="Times New Roman"/>
                <w:b w:val="0"/>
                <w:bCs w:val="0"/>
                <w:color w:val="000000" w:themeColor="text1"/>
              </w:rPr>
              <w:t xml:space="preserve">Silicon </w:t>
            </w:r>
          </w:p>
        </w:tc>
        <w:tc>
          <w:tcPr>
            <w:tcW w:w="4679" w:type="dxa"/>
            <w:shd w:val="clear" w:color="auto" w:fill="FFFFFF" w:themeFill="background1"/>
          </w:tcPr>
          <w:p w14:paraId="0FF33839" w14:textId="77777777" w:rsidR="003547D9" w:rsidRPr="00CF335D" w:rsidRDefault="003547D9" w:rsidP="00153A9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F335D">
              <w:rPr>
                <w:rFonts w:ascii="Times New Roman" w:hAnsi="Times New Roman" w:cs="Times New Roman"/>
                <w:color w:val="000000" w:themeColor="text1"/>
              </w:rPr>
              <w:t>0.007±0.001</w:t>
            </w:r>
          </w:p>
        </w:tc>
      </w:tr>
    </w:tbl>
    <w:p w14:paraId="774E5ABE" w14:textId="77777777" w:rsidR="003547D9" w:rsidRPr="00CF335D" w:rsidRDefault="003547D9" w:rsidP="003547D9">
      <w:pPr>
        <w:spacing w:line="276" w:lineRule="auto"/>
        <w:jc w:val="both"/>
        <w:rPr>
          <w:rFonts w:ascii="Times New Roman" w:hAnsi="Times New Roman" w:cs="Times New Roman"/>
          <w:color w:val="000000" w:themeColor="text1"/>
          <w:sz w:val="22"/>
          <w:szCs w:val="22"/>
        </w:rPr>
      </w:pPr>
      <w:r w:rsidRPr="00CF335D">
        <w:rPr>
          <w:rFonts w:ascii="Times New Roman" w:hAnsi="Times New Roman" w:cs="Times New Roman"/>
          <w:color w:val="000000" w:themeColor="text1"/>
          <w:sz w:val="22"/>
          <w:szCs w:val="22"/>
        </w:rPr>
        <w:t>Values are presented as mean ± standard deviation (n=2)</w:t>
      </w:r>
    </w:p>
    <w:p w14:paraId="2A99DD89" w14:textId="19BD64BE" w:rsidR="008F5BAE" w:rsidRPr="00CF335D" w:rsidRDefault="00B97732" w:rsidP="000D027A">
      <w:pPr>
        <w:spacing w:after="0" w:line="276" w:lineRule="auto"/>
        <w:ind w:left="720" w:hanging="720"/>
        <w:jc w:val="both"/>
        <w:rPr>
          <w:rFonts w:ascii="Times New Roman" w:hAnsi="Times New Roman" w:cs="Times New Roman"/>
          <w:b/>
          <w:bCs/>
          <w:color w:val="000000" w:themeColor="text1"/>
          <w:sz w:val="22"/>
          <w:szCs w:val="22"/>
        </w:rPr>
      </w:pPr>
      <w:r w:rsidRPr="00CF335D">
        <w:rPr>
          <w:rFonts w:ascii="Times New Roman" w:hAnsi="Times New Roman" w:cs="Times New Roman"/>
          <w:b/>
          <w:bCs/>
          <w:color w:val="000000" w:themeColor="text1"/>
          <w:sz w:val="22"/>
          <w:szCs w:val="22"/>
        </w:rPr>
        <w:t xml:space="preserve">4. </w:t>
      </w:r>
      <w:r w:rsidR="00470079" w:rsidRPr="00CF335D">
        <w:rPr>
          <w:rFonts w:ascii="Times New Roman" w:hAnsi="Times New Roman" w:cs="Times New Roman"/>
          <w:b/>
          <w:bCs/>
          <w:color w:val="000000" w:themeColor="text1"/>
          <w:sz w:val="22"/>
          <w:szCs w:val="22"/>
        </w:rPr>
        <w:t>Discussion</w:t>
      </w:r>
    </w:p>
    <w:p w14:paraId="302B4329" w14:textId="69A8D607" w:rsidR="004D716D" w:rsidRPr="00CF335D" w:rsidRDefault="00F95CE9" w:rsidP="000D027A">
      <w:pPr>
        <w:spacing w:after="100" w:afterAutospacing="1" w:line="276" w:lineRule="auto"/>
        <w:jc w:val="both"/>
        <w:rPr>
          <w:rFonts w:ascii="Times New Roman" w:eastAsia="Times New Roman" w:hAnsi="Times New Roman" w:cs="Times New Roman"/>
          <w:color w:val="000000" w:themeColor="text1"/>
          <w:kern w:val="0"/>
          <w:sz w:val="22"/>
          <w:szCs w:val="22"/>
          <w14:ligatures w14:val="none"/>
        </w:rPr>
      </w:pPr>
      <w:r w:rsidRPr="00CF335D">
        <w:rPr>
          <w:rFonts w:ascii="Times New Roman" w:eastAsia="Times New Roman" w:hAnsi="Times New Roman" w:cs="Times New Roman"/>
          <w:i/>
          <w:iCs/>
          <w:color w:val="EE0000"/>
          <w:kern w:val="0"/>
          <w:sz w:val="22"/>
          <w:szCs w:val="22"/>
          <w14:ligatures w14:val="none"/>
        </w:rPr>
        <w:t xml:space="preserve">Pleurotus ostreatus </w:t>
      </w:r>
      <w:r w:rsidRPr="00CF335D">
        <w:rPr>
          <w:rFonts w:ascii="Times New Roman" w:eastAsia="Times New Roman" w:hAnsi="Times New Roman" w:cs="Times New Roman"/>
          <w:color w:val="EE0000"/>
          <w:kern w:val="0"/>
          <w:sz w:val="22"/>
          <w:szCs w:val="22"/>
          <w14:ligatures w14:val="none"/>
        </w:rPr>
        <w:t>has been shown to be both wealthy in nutrients and useful in medicine. Due to their high concentrations of crude fibers, proteins, water, carbohydrates, vitamins, lipids, and amino acids, mushrooms are regarded as rich foods (Singh et al., 2025)</w:t>
      </w:r>
      <w:r w:rsidRPr="00CF335D">
        <w:rPr>
          <w:rFonts w:ascii="Times New Roman" w:eastAsia="Times New Roman" w:hAnsi="Times New Roman" w:cs="Times New Roman"/>
          <w:color w:val="000000" w:themeColor="text1"/>
          <w:kern w:val="0"/>
          <w:sz w:val="22"/>
          <w:szCs w:val="22"/>
          <w14:ligatures w14:val="none"/>
        </w:rPr>
        <w:t xml:space="preserve">. </w:t>
      </w:r>
      <w:r w:rsidR="004D716D" w:rsidRPr="00CF335D">
        <w:rPr>
          <w:rFonts w:ascii="Times New Roman" w:eastAsia="Times New Roman" w:hAnsi="Times New Roman" w:cs="Times New Roman"/>
          <w:i/>
          <w:iCs/>
          <w:color w:val="EE0000"/>
          <w:kern w:val="0"/>
          <w:sz w:val="22"/>
          <w:szCs w:val="22"/>
          <w14:ligatures w14:val="none"/>
        </w:rPr>
        <w:t>Pleurotus ostreatus</w:t>
      </w:r>
      <w:r w:rsidR="004D716D" w:rsidRPr="00CF335D">
        <w:rPr>
          <w:rFonts w:ascii="Times New Roman" w:eastAsia="Times New Roman" w:hAnsi="Times New Roman" w:cs="Times New Roman"/>
          <w:color w:val="EE0000"/>
          <w:kern w:val="0"/>
          <w:sz w:val="22"/>
          <w:szCs w:val="22"/>
          <w14:ligatures w14:val="none"/>
        </w:rPr>
        <w:t xml:space="preserve"> is utilized in place of meat since it has a moderate protein content (Sultana et al., 2024). </w:t>
      </w:r>
      <w:r w:rsidR="004D716D" w:rsidRPr="00CF335D">
        <w:rPr>
          <w:rFonts w:ascii="Times New Roman" w:eastAsia="Times New Roman" w:hAnsi="Times New Roman" w:cs="Times New Roman"/>
          <w:color w:val="000000" w:themeColor="text1"/>
          <w:kern w:val="0"/>
          <w:sz w:val="22"/>
          <w:szCs w:val="22"/>
          <w14:ligatures w14:val="none"/>
        </w:rPr>
        <w:t>The current study shows the edible oyster mushroom's quantitative proximate, amino acid, and mineral compositions.</w:t>
      </w:r>
    </w:p>
    <w:p w14:paraId="06BC4E18" w14:textId="77E0F999" w:rsidR="004D716D" w:rsidRPr="00CF335D" w:rsidRDefault="004D716D" w:rsidP="000D027A">
      <w:pPr>
        <w:spacing w:before="100" w:beforeAutospacing="1" w:after="100" w:afterAutospacing="1" w:line="276" w:lineRule="auto"/>
        <w:jc w:val="both"/>
        <w:rPr>
          <w:rFonts w:ascii="Times New Roman" w:eastAsia="Times New Roman" w:hAnsi="Times New Roman" w:cs="Times New Roman"/>
          <w:color w:val="000000" w:themeColor="text1"/>
          <w:kern w:val="0"/>
          <w:sz w:val="22"/>
          <w:szCs w:val="22"/>
          <w14:ligatures w14:val="none"/>
        </w:rPr>
      </w:pPr>
      <w:r w:rsidRPr="00CF335D">
        <w:rPr>
          <w:rFonts w:ascii="Times New Roman" w:eastAsia="Times New Roman" w:hAnsi="Times New Roman" w:cs="Times New Roman"/>
          <w:color w:val="000000" w:themeColor="text1"/>
          <w:kern w:val="0"/>
          <w:sz w:val="22"/>
          <w:szCs w:val="22"/>
          <w14:ligatures w14:val="none"/>
        </w:rPr>
        <w:t xml:space="preserve">In </w:t>
      </w:r>
      <w:r w:rsidRPr="00CF335D">
        <w:rPr>
          <w:rFonts w:ascii="Times New Roman" w:eastAsia="Times New Roman" w:hAnsi="Times New Roman" w:cs="Times New Roman"/>
          <w:color w:val="EE0000"/>
          <w:kern w:val="0"/>
          <w:sz w:val="22"/>
          <w:szCs w:val="22"/>
          <w14:ligatures w14:val="none"/>
        </w:rPr>
        <w:t xml:space="preserve">Table </w:t>
      </w:r>
      <w:r w:rsidR="003547D9" w:rsidRPr="00CF335D">
        <w:rPr>
          <w:rFonts w:ascii="Times New Roman" w:eastAsia="Times New Roman" w:hAnsi="Times New Roman" w:cs="Times New Roman"/>
          <w:color w:val="EE0000"/>
          <w:kern w:val="0"/>
          <w:sz w:val="22"/>
          <w:szCs w:val="22"/>
          <w14:ligatures w14:val="none"/>
        </w:rPr>
        <w:t>2</w:t>
      </w:r>
      <w:r w:rsidRPr="00CF335D">
        <w:rPr>
          <w:rFonts w:ascii="Times New Roman" w:eastAsia="Times New Roman" w:hAnsi="Times New Roman" w:cs="Times New Roman"/>
          <w:color w:val="EE0000"/>
          <w:kern w:val="0"/>
          <w:sz w:val="22"/>
          <w:szCs w:val="22"/>
          <w14:ligatures w14:val="none"/>
        </w:rPr>
        <w:t xml:space="preserve"> </w:t>
      </w:r>
      <w:r w:rsidRPr="00CF335D">
        <w:rPr>
          <w:rFonts w:ascii="Times New Roman" w:eastAsia="Times New Roman" w:hAnsi="Times New Roman" w:cs="Times New Roman"/>
          <w:color w:val="000000" w:themeColor="text1"/>
          <w:kern w:val="0"/>
          <w:sz w:val="22"/>
          <w:szCs w:val="22"/>
          <w14:ligatures w14:val="none"/>
        </w:rPr>
        <w:t xml:space="preserve">the result of proximate analysis of oyster mushrooms shows high moisture content of 43.43±0.141%, followed by carbohydrate content of 25.51±0.121%, </w:t>
      </w:r>
      <w:r w:rsidR="0004223B" w:rsidRPr="00430555">
        <w:rPr>
          <w:rFonts w:ascii="Times New Roman" w:eastAsia="Times New Roman" w:hAnsi="Times New Roman" w:cs="Times New Roman"/>
          <w:color w:val="EE0000"/>
          <w:kern w:val="0"/>
          <w:sz w:val="22"/>
          <w:szCs w:val="22"/>
          <w14:ligatures w14:val="none"/>
        </w:rPr>
        <w:t>fibre</w:t>
      </w:r>
      <w:r w:rsidRPr="00430555">
        <w:rPr>
          <w:rFonts w:ascii="Times New Roman" w:eastAsia="Times New Roman" w:hAnsi="Times New Roman" w:cs="Times New Roman"/>
          <w:color w:val="EE0000"/>
          <w:kern w:val="0"/>
          <w:sz w:val="22"/>
          <w:szCs w:val="22"/>
          <w14:ligatures w14:val="none"/>
        </w:rPr>
        <w:t xml:space="preserve"> </w:t>
      </w:r>
      <w:r w:rsidRPr="00CF335D">
        <w:rPr>
          <w:rFonts w:ascii="Times New Roman" w:eastAsia="Times New Roman" w:hAnsi="Times New Roman" w:cs="Times New Roman"/>
          <w:color w:val="000000" w:themeColor="text1"/>
          <w:kern w:val="0"/>
          <w:sz w:val="22"/>
          <w:szCs w:val="22"/>
          <w14:ligatures w14:val="none"/>
        </w:rPr>
        <w:t xml:space="preserve">content of 11.21±0.099%, protein content of 8.57±0.127%, ash content of 6.63±0.021%, and fat content of 4.67±0.011%. Sharmila et al. (2015) and Nwaogu et al. (2024) stated that oyster mushrooms contain moisture, protein, </w:t>
      </w:r>
      <w:r w:rsidR="0004223B" w:rsidRPr="00430555">
        <w:rPr>
          <w:rFonts w:ascii="Times New Roman" w:eastAsia="Times New Roman" w:hAnsi="Times New Roman" w:cs="Times New Roman"/>
          <w:color w:val="EE0000"/>
          <w:kern w:val="0"/>
          <w:sz w:val="22"/>
          <w:szCs w:val="22"/>
          <w14:ligatures w14:val="none"/>
        </w:rPr>
        <w:t>fibre</w:t>
      </w:r>
      <w:r w:rsidRPr="00CF335D">
        <w:rPr>
          <w:rFonts w:ascii="Times New Roman" w:eastAsia="Times New Roman" w:hAnsi="Times New Roman" w:cs="Times New Roman"/>
          <w:color w:val="000000" w:themeColor="text1"/>
          <w:kern w:val="0"/>
          <w:sz w:val="22"/>
          <w:szCs w:val="22"/>
          <w14:ligatures w14:val="none"/>
        </w:rPr>
        <w:t xml:space="preserve">, ash, crude fat, and carbohydrates. Ghaffar et al. (2024) found that </w:t>
      </w:r>
      <w:r w:rsidRPr="00CF335D">
        <w:rPr>
          <w:rFonts w:ascii="Times New Roman" w:eastAsia="Times New Roman" w:hAnsi="Times New Roman" w:cs="Times New Roman"/>
          <w:i/>
          <w:iCs/>
          <w:color w:val="000000" w:themeColor="text1"/>
          <w:kern w:val="0"/>
          <w:sz w:val="22"/>
          <w:szCs w:val="22"/>
          <w14:ligatures w14:val="none"/>
        </w:rPr>
        <w:t>Pleurotus ostreatus</w:t>
      </w:r>
      <w:r w:rsidRPr="00CF335D">
        <w:rPr>
          <w:rFonts w:ascii="Times New Roman" w:eastAsia="Times New Roman" w:hAnsi="Times New Roman" w:cs="Times New Roman"/>
          <w:color w:val="000000" w:themeColor="text1"/>
          <w:kern w:val="0"/>
          <w:sz w:val="22"/>
          <w:szCs w:val="22"/>
          <w14:ligatures w14:val="none"/>
        </w:rPr>
        <w:t xml:space="preserve"> cultivated on wheat and rice straws had similar high moisture contents of 42.14% and 43.07%, respectively. Similarly, Agbagwa et al. (2025) found that </w:t>
      </w:r>
      <w:r w:rsidRPr="00CF335D">
        <w:rPr>
          <w:rFonts w:ascii="Times New Roman" w:eastAsia="Times New Roman" w:hAnsi="Times New Roman" w:cs="Times New Roman"/>
          <w:i/>
          <w:iCs/>
          <w:color w:val="000000" w:themeColor="text1"/>
          <w:kern w:val="0"/>
          <w:sz w:val="22"/>
          <w:szCs w:val="22"/>
          <w14:ligatures w14:val="none"/>
        </w:rPr>
        <w:t>Pleurotus ostreatus</w:t>
      </w:r>
      <w:r w:rsidRPr="00CF335D">
        <w:rPr>
          <w:rFonts w:ascii="Times New Roman" w:eastAsia="Times New Roman" w:hAnsi="Times New Roman" w:cs="Times New Roman"/>
          <w:color w:val="000000" w:themeColor="text1"/>
          <w:kern w:val="0"/>
          <w:sz w:val="22"/>
          <w:szCs w:val="22"/>
          <w14:ligatures w14:val="none"/>
        </w:rPr>
        <w:t xml:space="preserve"> and </w:t>
      </w:r>
      <w:r w:rsidRPr="00CF335D">
        <w:rPr>
          <w:rFonts w:ascii="Times New Roman" w:eastAsia="Times New Roman" w:hAnsi="Times New Roman" w:cs="Times New Roman"/>
          <w:i/>
          <w:iCs/>
          <w:color w:val="000000" w:themeColor="text1"/>
          <w:kern w:val="0"/>
          <w:sz w:val="22"/>
          <w:szCs w:val="22"/>
          <w14:ligatures w14:val="none"/>
        </w:rPr>
        <w:t>Pleurotus eryngii</w:t>
      </w:r>
      <w:r w:rsidRPr="00CF335D">
        <w:rPr>
          <w:rFonts w:ascii="Times New Roman" w:eastAsia="Times New Roman" w:hAnsi="Times New Roman" w:cs="Times New Roman"/>
          <w:color w:val="000000" w:themeColor="text1"/>
          <w:kern w:val="0"/>
          <w:sz w:val="22"/>
          <w:szCs w:val="22"/>
          <w14:ligatures w14:val="none"/>
        </w:rPr>
        <w:t xml:space="preserve"> grown on different substrates and in different seasons had the greatest moisture content of 46.13±1%. Due to their rich polysaccharide content, which is mainly non-starch polysaccharides with 4–9% soluble and 22–30% insoluble, </w:t>
      </w:r>
      <w:r w:rsidRPr="00CF335D">
        <w:rPr>
          <w:rFonts w:ascii="Times New Roman" w:eastAsia="Times New Roman" w:hAnsi="Times New Roman" w:cs="Times New Roman"/>
          <w:i/>
          <w:iCs/>
          <w:color w:val="000000" w:themeColor="text1"/>
          <w:kern w:val="0"/>
          <w:sz w:val="22"/>
          <w:szCs w:val="22"/>
          <w14:ligatures w14:val="none"/>
        </w:rPr>
        <w:t>Pleurotus species</w:t>
      </w:r>
      <w:r w:rsidRPr="00CF335D">
        <w:rPr>
          <w:rFonts w:ascii="Times New Roman" w:eastAsia="Times New Roman" w:hAnsi="Times New Roman" w:cs="Times New Roman"/>
          <w:color w:val="000000" w:themeColor="text1"/>
          <w:kern w:val="0"/>
          <w:sz w:val="22"/>
          <w:szCs w:val="22"/>
          <w14:ligatures w14:val="none"/>
        </w:rPr>
        <w:t xml:space="preserve"> have high quantities of carbohydrates (Yu et al., 2023). The study's carbohydrate content of 25.51±0.121% is comparable to the carbohydrate content of 22.61±0.00% reported by Agbagwa et al. (2020). Immunomodulatory activities have been associated with polysaccharides found in mushrooms (Sun et al., 2023). The current study's crude </w:t>
      </w:r>
      <w:r w:rsidR="0004223B" w:rsidRPr="00430555">
        <w:rPr>
          <w:rFonts w:ascii="Times New Roman" w:eastAsia="Times New Roman" w:hAnsi="Times New Roman" w:cs="Times New Roman"/>
          <w:color w:val="EE0000"/>
          <w:kern w:val="0"/>
          <w:sz w:val="22"/>
          <w:szCs w:val="22"/>
          <w14:ligatures w14:val="none"/>
        </w:rPr>
        <w:t>fibre</w:t>
      </w:r>
      <w:r w:rsidRPr="00430555">
        <w:rPr>
          <w:rFonts w:ascii="Times New Roman" w:eastAsia="Times New Roman" w:hAnsi="Times New Roman" w:cs="Times New Roman"/>
          <w:color w:val="EE0000"/>
          <w:kern w:val="0"/>
          <w:sz w:val="22"/>
          <w:szCs w:val="22"/>
          <w14:ligatures w14:val="none"/>
        </w:rPr>
        <w:t xml:space="preserve"> </w:t>
      </w:r>
      <w:r w:rsidRPr="00CF335D">
        <w:rPr>
          <w:rFonts w:ascii="Times New Roman" w:eastAsia="Times New Roman" w:hAnsi="Times New Roman" w:cs="Times New Roman"/>
          <w:color w:val="000000" w:themeColor="text1"/>
          <w:kern w:val="0"/>
          <w:sz w:val="22"/>
          <w:szCs w:val="22"/>
          <w14:ligatures w14:val="none"/>
        </w:rPr>
        <w:t xml:space="preserve">content (11.21±0.099%) may indicate that it can prevent digestive </w:t>
      </w:r>
      <w:r w:rsidRPr="00CF335D">
        <w:rPr>
          <w:rFonts w:ascii="Times New Roman" w:eastAsia="Times New Roman" w:hAnsi="Times New Roman" w:cs="Times New Roman"/>
          <w:color w:val="000000" w:themeColor="text1"/>
          <w:kern w:val="0"/>
          <w:sz w:val="22"/>
          <w:szCs w:val="22"/>
          <w14:ligatures w14:val="none"/>
        </w:rPr>
        <w:lastRenderedPageBreak/>
        <w:t xml:space="preserve">tract metabolic disorders such as diabetes mellitus and hypercholesteremia, as well as constipation (Enemor et al., 2020). By regulating the expression of glycogen synthase kinase (GSK-3β), glycogen synthase (GS), and glucose transporter 4 (GLUT4), mushroom extracts from </w:t>
      </w:r>
      <w:r w:rsidRPr="00CF335D">
        <w:rPr>
          <w:rFonts w:ascii="Times New Roman" w:eastAsia="Times New Roman" w:hAnsi="Times New Roman" w:cs="Times New Roman"/>
          <w:i/>
          <w:iCs/>
          <w:color w:val="000000" w:themeColor="text1"/>
          <w:kern w:val="0"/>
          <w:sz w:val="22"/>
          <w:szCs w:val="22"/>
          <w14:ligatures w14:val="none"/>
        </w:rPr>
        <w:t xml:space="preserve">A. bisporus, H. erinaceus, G. species, </w:t>
      </w:r>
      <w:r w:rsidRPr="00CF335D">
        <w:rPr>
          <w:rFonts w:ascii="Times New Roman" w:eastAsia="Times New Roman" w:hAnsi="Times New Roman" w:cs="Times New Roman"/>
          <w:color w:val="000000" w:themeColor="text1"/>
          <w:kern w:val="0"/>
          <w:sz w:val="22"/>
          <w:szCs w:val="22"/>
          <w14:ligatures w14:val="none"/>
        </w:rPr>
        <w:t xml:space="preserve">and </w:t>
      </w:r>
      <w:r w:rsidRPr="00CF335D">
        <w:rPr>
          <w:rFonts w:ascii="Times New Roman" w:eastAsia="Times New Roman" w:hAnsi="Times New Roman" w:cs="Times New Roman"/>
          <w:i/>
          <w:iCs/>
          <w:color w:val="000000" w:themeColor="text1"/>
          <w:kern w:val="0"/>
          <w:sz w:val="22"/>
          <w:szCs w:val="22"/>
          <w14:ligatures w14:val="none"/>
        </w:rPr>
        <w:t>Pleurotus species</w:t>
      </w:r>
      <w:r w:rsidRPr="00CF335D">
        <w:rPr>
          <w:rFonts w:ascii="Times New Roman" w:eastAsia="Times New Roman" w:hAnsi="Times New Roman" w:cs="Times New Roman"/>
          <w:color w:val="000000" w:themeColor="text1"/>
          <w:kern w:val="0"/>
          <w:sz w:val="22"/>
          <w:szCs w:val="22"/>
          <w14:ligatures w14:val="none"/>
        </w:rPr>
        <w:t xml:space="preserve"> lower blood glucose levels in the liver and muscle (Singh et al., 2025). Oyster mushrooms are a fantastic vegetarian protein source since they are rich in essential amino acids and a great resource of plant-based protein (Maurya et al., 2025). The protein content in this paper was 8.57±0.127%. According to Muhammed et al. (2023), </w:t>
      </w:r>
      <w:r w:rsidRPr="00CF335D">
        <w:rPr>
          <w:rFonts w:ascii="Times New Roman" w:eastAsia="Times New Roman" w:hAnsi="Times New Roman" w:cs="Times New Roman"/>
          <w:i/>
          <w:iCs/>
          <w:color w:val="000000" w:themeColor="text1"/>
          <w:kern w:val="0"/>
          <w:sz w:val="22"/>
          <w:szCs w:val="22"/>
          <w14:ligatures w14:val="none"/>
        </w:rPr>
        <w:t>Pleurotus ostreatus</w:t>
      </w:r>
      <w:r w:rsidRPr="00CF335D">
        <w:rPr>
          <w:rFonts w:ascii="Times New Roman" w:eastAsia="Times New Roman" w:hAnsi="Times New Roman" w:cs="Times New Roman"/>
          <w:color w:val="000000" w:themeColor="text1"/>
          <w:kern w:val="0"/>
          <w:sz w:val="22"/>
          <w:szCs w:val="22"/>
          <w14:ligatures w14:val="none"/>
        </w:rPr>
        <w:t xml:space="preserve"> grown on maize husk has a protein content of 7.31%. </w:t>
      </w:r>
      <w:r w:rsidRPr="00CF335D">
        <w:rPr>
          <w:rFonts w:ascii="Times New Roman" w:eastAsia="Times New Roman" w:hAnsi="Times New Roman" w:cs="Times New Roman"/>
          <w:i/>
          <w:iCs/>
          <w:color w:val="000000" w:themeColor="text1"/>
          <w:kern w:val="0"/>
          <w:sz w:val="22"/>
          <w:szCs w:val="22"/>
          <w14:ligatures w14:val="none"/>
        </w:rPr>
        <w:t>Pleurotus ostreatus's</w:t>
      </w:r>
      <w:r w:rsidRPr="00CF335D">
        <w:rPr>
          <w:rFonts w:ascii="Times New Roman" w:eastAsia="Times New Roman" w:hAnsi="Times New Roman" w:cs="Times New Roman"/>
          <w:color w:val="000000" w:themeColor="text1"/>
          <w:kern w:val="0"/>
          <w:sz w:val="22"/>
          <w:szCs w:val="22"/>
          <w14:ligatures w14:val="none"/>
        </w:rPr>
        <w:t xml:space="preserve"> nutritional makeup varies greatly depending on the plant substrate it is cultivated on (Muhammed et al., 2023). Additionally, the type of protein in the oyster mushroom's substrate affects the protein concentration of its fruiting bodies.</w:t>
      </w:r>
    </w:p>
    <w:p w14:paraId="5E3578A2" w14:textId="060EA92F" w:rsidR="004D716D" w:rsidRPr="00CF335D" w:rsidRDefault="002415FB" w:rsidP="000D027A">
      <w:pPr>
        <w:spacing w:before="100" w:beforeAutospacing="1" w:after="100" w:afterAutospacing="1" w:line="276" w:lineRule="auto"/>
        <w:jc w:val="both"/>
        <w:rPr>
          <w:rFonts w:ascii="Times New Roman" w:eastAsia="Times New Roman" w:hAnsi="Times New Roman" w:cs="Times New Roman"/>
          <w:color w:val="000000" w:themeColor="text1"/>
          <w:kern w:val="0"/>
          <w:sz w:val="22"/>
          <w:szCs w:val="22"/>
          <w14:ligatures w14:val="none"/>
        </w:rPr>
      </w:pPr>
      <w:r w:rsidRPr="00CF335D">
        <w:rPr>
          <w:rFonts w:ascii="Times New Roman" w:eastAsia="Times New Roman" w:hAnsi="Times New Roman" w:cs="Times New Roman"/>
          <w:color w:val="EE0000"/>
          <w:kern w:val="0"/>
          <w:sz w:val="22"/>
          <w:szCs w:val="22"/>
          <w14:ligatures w14:val="none"/>
        </w:rPr>
        <w:t>The inorganic salts in food samples that are completely non-burnable are called ash (</w:t>
      </w:r>
      <w:r w:rsidRPr="00CF335D">
        <w:rPr>
          <w:rFonts w:ascii="Times New Roman" w:hAnsi="Times New Roman" w:cs="Times New Roman"/>
          <w:color w:val="EE0000"/>
          <w:sz w:val="22"/>
          <w:szCs w:val="22"/>
          <w:shd w:val="clear" w:color="auto" w:fill="FFFFFF"/>
        </w:rPr>
        <w:t>Sultana et al., 2024</w:t>
      </w:r>
      <w:r w:rsidRPr="00CF335D">
        <w:rPr>
          <w:rFonts w:ascii="Times New Roman" w:eastAsia="Times New Roman" w:hAnsi="Times New Roman" w:cs="Times New Roman"/>
          <w:color w:val="EE0000"/>
          <w:kern w:val="0"/>
          <w:sz w:val="22"/>
          <w:szCs w:val="22"/>
          <w14:ligatures w14:val="none"/>
        </w:rPr>
        <w:t xml:space="preserve">). </w:t>
      </w:r>
      <w:r w:rsidR="004D716D" w:rsidRPr="00CF335D">
        <w:rPr>
          <w:rFonts w:ascii="Times New Roman" w:eastAsia="Times New Roman" w:hAnsi="Times New Roman" w:cs="Times New Roman"/>
          <w:color w:val="000000" w:themeColor="text1"/>
          <w:kern w:val="0"/>
          <w:sz w:val="22"/>
          <w:szCs w:val="22"/>
          <w14:ligatures w14:val="none"/>
        </w:rPr>
        <w:t xml:space="preserve">The study's 6.628% ash percentage is similar to the 7.94%, 7.88%, 7.75%, and 6.93% ash contents reported by Nwaogu et al. (2024) for </w:t>
      </w:r>
      <w:r w:rsidR="004D716D" w:rsidRPr="00CF335D">
        <w:rPr>
          <w:rFonts w:ascii="Times New Roman" w:eastAsia="Times New Roman" w:hAnsi="Times New Roman" w:cs="Times New Roman"/>
          <w:i/>
          <w:iCs/>
          <w:color w:val="000000" w:themeColor="text1"/>
          <w:kern w:val="0"/>
          <w:sz w:val="22"/>
          <w:szCs w:val="22"/>
          <w14:ligatures w14:val="none"/>
        </w:rPr>
        <w:t>Pleurotus ostreatus</w:t>
      </w:r>
      <w:r w:rsidR="004D716D" w:rsidRPr="00CF335D">
        <w:rPr>
          <w:rFonts w:ascii="Times New Roman" w:eastAsia="Times New Roman" w:hAnsi="Times New Roman" w:cs="Times New Roman"/>
          <w:color w:val="000000" w:themeColor="text1"/>
          <w:kern w:val="0"/>
          <w:sz w:val="22"/>
          <w:szCs w:val="22"/>
          <w14:ligatures w14:val="none"/>
        </w:rPr>
        <w:t xml:space="preserve"> cultivated on breadfruit substrate, sterilized cassava peel, non-sterilized sawdust, and sterilized sawdust, respectively. Sultana et al. (2024) reported that oyster mushrooms cultivated in Bangladesh had a total ash concentration ranging from 7.28 to 9.41 g/100. </w:t>
      </w:r>
      <w:r w:rsidR="004D716D" w:rsidRPr="00CF335D">
        <w:rPr>
          <w:rFonts w:ascii="Times New Roman" w:eastAsia="Times New Roman" w:hAnsi="Times New Roman" w:cs="Times New Roman"/>
          <w:i/>
          <w:iCs/>
          <w:color w:val="000000" w:themeColor="text1"/>
          <w:kern w:val="0"/>
          <w:sz w:val="22"/>
          <w:szCs w:val="22"/>
          <w14:ligatures w14:val="none"/>
        </w:rPr>
        <w:t>Pleurotus ostreatus</w:t>
      </w:r>
      <w:r w:rsidR="004D716D" w:rsidRPr="00CF335D">
        <w:rPr>
          <w:rFonts w:ascii="Times New Roman" w:eastAsia="Times New Roman" w:hAnsi="Times New Roman" w:cs="Times New Roman"/>
          <w:color w:val="000000" w:themeColor="text1"/>
          <w:kern w:val="0"/>
          <w:sz w:val="22"/>
          <w:szCs w:val="22"/>
          <w14:ligatures w14:val="none"/>
        </w:rPr>
        <w:t xml:space="preserve"> may contain more minerals due to its high ash value (Adebisi et al., 2025). Mushroom fats include unsaturated fatty acids and are hypocholesterolemic (Bereda, 2022). </w:t>
      </w:r>
      <w:r w:rsidR="004D716D" w:rsidRPr="00CF335D">
        <w:rPr>
          <w:rFonts w:ascii="Times New Roman" w:eastAsia="Times New Roman" w:hAnsi="Times New Roman" w:cs="Times New Roman"/>
          <w:i/>
          <w:iCs/>
          <w:color w:val="000000" w:themeColor="text1"/>
          <w:kern w:val="0"/>
          <w:sz w:val="22"/>
          <w:szCs w:val="22"/>
          <w14:ligatures w14:val="none"/>
        </w:rPr>
        <w:t>Pleurotus ostreatus</w:t>
      </w:r>
      <w:r w:rsidR="004D716D" w:rsidRPr="00CF335D">
        <w:rPr>
          <w:rFonts w:ascii="Times New Roman" w:eastAsia="Times New Roman" w:hAnsi="Times New Roman" w:cs="Times New Roman"/>
          <w:color w:val="000000" w:themeColor="text1"/>
          <w:kern w:val="0"/>
          <w:sz w:val="22"/>
          <w:szCs w:val="22"/>
          <w14:ligatures w14:val="none"/>
        </w:rPr>
        <w:t xml:space="preserve"> was found to have a fat content of 4.67±0.011. Mushrooms are considered hypocaloric due to their low lipid content, which ranges from 2% to 6% of the dry mass (Araújo-Rodrigues et al., 2024). Low-lipid diets are beneficial for managing obesity and heart-related conditions (Olasupo et al., 2024). This study's low lipid and high </w:t>
      </w:r>
      <w:r w:rsidR="0004223B" w:rsidRPr="00CF335D">
        <w:rPr>
          <w:rFonts w:ascii="Times New Roman" w:eastAsia="Times New Roman" w:hAnsi="Times New Roman" w:cs="Times New Roman"/>
          <w:color w:val="000000" w:themeColor="text1"/>
          <w:kern w:val="0"/>
          <w:sz w:val="22"/>
          <w:szCs w:val="22"/>
          <w14:ligatures w14:val="none"/>
        </w:rPr>
        <w:t>fibre</w:t>
      </w:r>
      <w:r w:rsidR="004D716D" w:rsidRPr="00CF335D">
        <w:rPr>
          <w:rFonts w:ascii="Times New Roman" w:eastAsia="Times New Roman" w:hAnsi="Times New Roman" w:cs="Times New Roman"/>
          <w:color w:val="000000" w:themeColor="text1"/>
          <w:kern w:val="0"/>
          <w:sz w:val="22"/>
          <w:szCs w:val="22"/>
          <w14:ligatures w14:val="none"/>
        </w:rPr>
        <w:t xml:space="preserve"> content confirms earlier research showing that diets containing fresh oyster mushroom fruiting bodies dramatically reduced cholesterol and plasma lipids in both humans and experimental animals (Igile et al., 2020).</w:t>
      </w:r>
    </w:p>
    <w:p w14:paraId="4461D397" w14:textId="7036DE34" w:rsidR="004D716D" w:rsidRPr="00CF335D" w:rsidRDefault="004D716D" w:rsidP="000D027A">
      <w:pPr>
        <w:spacing w:before="100" w:beforeAutospacing="1" w:after="100" w:afterAutospacing="1" w:line="276" w:lineRule="auto"/>
        <w:jc w:val="both"/>
        <w:rPr>
          <w:rFonts w:ascii="Times New Roman" w:eastAsia="Times New Roman" w:hAnsi="Times New Roman" w:cs="Times New Roman"/>
          <w:color w:val="000000" w:themeColor="text1"/>
          <w:kern w:val="0"/>
          <w:sz w:val="22"/>
          <w:szCs w:val="22"/>
          <w14:ligatures w14:val="none"/>
        </w:rPr>
      </w:pPr>
      <w:r w:rsidRPr="00CF335D">
        <w:rPr>
          <w:rFonts w:ascii="Times New Roman" w:eastAsia="Times New Roman" w:hAnsi="Times New Roman" w:cs="Times New Roman"/>
          <w:color w:val="000000" w:themeColor="text1"/>
          <w:kern w:val="0"/>
          <w:sz w:val="22"/>
          <w:szCs w:val="22"/>
          <w14:ligatures w14:val="none"/>
        </w:rPr>
        <w:t>The quality of amino acids in a meal protein determines its quality. The result of this study showed a total of ten essential and eight non-essential amino acids detected using the HPLC (</w:t>
      </w:r>
      <w:r w:rsidRPr="00CF335D">
        <w:rPr>
          <w:rFonts w:ascii="Times New Roman" w:eastAsia="Times New Roman" w:hAnsi="Times New Roman" w:cs="Times New Roman"/>
          <w:color w:val="EE0000"/>
          <w:kern w:val="0"/>
          <w:sz w:val="22"/>
          <w:szCs w:val="22"/>
          <w14:ligatures w14:val="none"/>
        </w:rPr>
        <w:t xml:space="preserve">Table </w:t>
      </w:r>
      <w:r w:rsidR="002415FB" w:rsidRPr="00CF335D">
        <w:rPr>
          <w:rFonts w:ascii="Times New Roman" w:eastAsia="Times New Roman" w:hAnsi="Times New Roman" w:cs="Times New Roman"/>
          <w:color w:val="EE0000"/>
          <w:kern w:val="0"/>
          <w:sz w:val="22"/>
          <w:szCs w:val="22"/>
          <w14:ligatures w14:val="none"/>
        </w:rPr>
        <w:t>3</w:t>
      </w:r>
      <w:r w:rsidRPr="00CF335D">
        <w:rPr>
          <w:rFonts w:ascii="Times New Roman" w:eastAsia="Times New Roman" w:hAnsi="Times New Roman" w:cs="Times New Roman"/>
          <w:color w:val="000000" w:themeColor="text1"/>
          <w:kern w:val="0"/>
          <w:sz w:val="22"/>
          <w:szCs w:val="22"/>
          <w14:ligatures w14:val="none"/>
        </w:rPr>
        <w:t xml:space="preserve">). Similarly, </w:t>
      </w:r>
      <w:r w:rsidRPr="00CF335D">
        <w:rPr>
          <w:rFonts w:ascii="Times New Roman" w:eastAsia="Times New Roman" w:hAnsi="Times New Roman" w:cs="Times New Roman"/>
          <w:i/>
          <w:iCs/>
          <w:color w:val="000000" w:themeColor="text1"/>
          <w:kern w:val="0"/>
          <w:sz w:val="22"/>
          <w:szCs w:val="22"/>
          <w14:ligatures w14:val="none"/>
        </w:rPr>
        <w:t>P. ostreatus</w:t>
      </w:r>
      <w:r w:rsidRPr="00CF335D">
        <w:rPr>
          <w:rFonts w:ascii="Times New Roman" w:eastAsia="Times New Roman" w:hAnsi="Times New Roman" w:cs="Times New Roman"/>
          <w:color w:val="000000" w:themeColor="text1"/>
          <w:kern w:val="0"/>
          <w:sz w:val="22"/>
          <w:szCs w:val="22"/>
          <w14:ligatures w14:val="none"/>
        </w:rPr>
        <w:t xml:space="preserve"> and </w:t>
      </w:r>
      <w:r w:rsidRPr="00CF335D">
        <w:rPr>
          <w:rFonts w:ascii="Times New Roman" w:eastAsia="Times New Roman" w:hAnsi="Times New Roman" w:cs="Times New Roman"/>
          <w:i/>
          <w:iCs/>
          <w:color w:val="000000" w:themeColor="text1"/>
          <w:kern w:val="0"/>
          <w:sz w:val="22"/>
          <w:szCs w:val="22"/>
          <w14:ligatures w14:val="none"/>
        </w:rPr>
        <w:t>P. sajor-caju</w:t>
      </w:r>
      <w:r w:rsidRPr="00CF335D">
        <w:rPr>
          <w:rFonts w:ascii="Times New Roman" w:eastAsia="Times New Roman" w:hAnsi="Times New Roman" w:cs="Times New Roman"/>
          <w:color w:val="000000" w:themeColor="text1"/>
          <w:kern w:val="0"/>
          <w:sz w:val="22"/>
          <w:szCs w:val="22"/>
          <w14:ligatures w14:val="none"/>
        </w:rPr>
        <w:t xml:space="preserve"> have been reported to have a total of eighteen amino acids by Chirinang and Intarapichet (2009). </w:t>
      </w:r>
      <w:r w:rsidRPr="00CF335D">
        <w:rPr>
          <w:rFonts w:ascii="Times New Roman" w:eastAsia="Times New Roman" w:hAnsi="Times New Roman" w:cs="Times New Roman"/>
          <w:i/>
          <w:iCs/>
          <w:color w:val="000000" w:themeColor="text1"/>
          <w:kern w:val="0"/>
          <w:sz w:val="22"/>
          <w:szCs w:val="22"/>
          <w14:ligatures w14:val="none"/>
        </w:rPr>
        <w:t>Pleurotus ostreatus</w:t>
      </w:r>
      <w:r w:rsidRPr="00CF335D">
        <w:rPr>
          <w:rFonts w:ascii="Times New Roman" w:eastAsia="Times New Roman" w:hAnsi="Times New Roman" w:cs="Times New Roman"/>
          <w:color w:val="000000" w:themeColor="text1"/>
          <w:kern w:val="0"/>
          <w:sz w:val="22"/>
          <w:szCs w:val="22"/>
          <w14:ligatures w14:val="none"/>
        </w:rPr>
        <w:t xml:space="preserve"> indicated richness in amino acid composition with higher total concentrations of essential amino acids (107.403 ppm) than non-essential amino acids (62.502 ppm) of the isolated protein. </w:t>
      </w:r>
      <w:r w:rsidRPr="00CF335D">
        <w:rPr>
          <w:rFonts w:ascii="Times New Roman" w:eastAsia="Times New Roman" w:hAnsi="Times New Roman" w:cs="Times New Roman"/>
          <w:i/>
          <w:iCs/>
          <w:color w:val="000000" w:themeColor="text1"/>
          <w:kern w:val="0"/>
          <w:sz w:val="22"/>
          <w:szCs w:val="22"/>
          <w14:ligatures w14:val="none"/>
        </w:rPr>
        <w:t>Pleurotus ostreatus</w:t>
      </w:r>
      <w:r w:rsidRPr="00CF335D">
        <w:rPr>
          <w:rFonts w:ascii="Times New Roman" w:eastAsia="Times New Roman" w:hAnsi="Times New Roman" w:cs="Times New Roman"/>
          <w:color w:val="000000" w:themeColor="text1"/>
          <w:kern w:val="0"/>
          <w:sz w:val="22"/>
          <w:szCs w:val="22"/>
          <w14:ligatures w14:val="none"/>
        </w:rPr>
        <w:t xml:space="preserve"> appears to have a high biological protein value based on the greater quantity of essential amino acids (Kouassi et al., 2016). A higher concentration of essential amino acids indicates its potential and role in wound healing, cell proliferation, and body-building activities (Enemor et al., 2020). Isoleucine had the highest amino acid content (38.189 ppm) for essential amino acids, followed by threonine (18.688 ppm) and arginine (18.688 ppm), while proline had the highest amino acid concentration (20.051 ppm) for nonessential amino acids, followed by cysteine (16.604 ppm) and alanine (9.186 ppm). The highest concentration of the branched-chain essential amino acid, isoleucine (38.189 ppm), recorded for oyster mushroom will serve as a supplement that will meet the desired energy requirements of proteins and will also enhance muscle growth and performance (Effiong et al., 2024). Also, high concentrations of essential amino acids like threonine and arginine have functional roles in wound healing, immune function, intestinal turnover, and vasodilation (Adhikari et al., 2025). A high amount of the nonessential amino acid proline found in oyster mushrooms will serve to enhance the immune system and boost wound healing</w:t>
      </w:r>
      <w:r w:rsidRPr="00CF335D">
        <w:rPr>
          <w:rFonts w:ascii="Times New Roman" w:eastAsia="Times New Roman" w:hAnsi="Times New Roman" w:cs="Times New Roman"/>
          <w:b/>
          <w:bCs/>
          <w:color w:val="000000" w:themeColor="text1"/>
          <w:kern w:val="0"/>
          <w:sz w:val="22"/>
          <w:szCs w:val="22"/>
          <w14:ligatures w14:val="none"/>
        </w:rPr>
        <w:t xml:space="preserve"> (</w:t>
      </w:r>
      <w:r w:rsidRPr="00CF335D">
        <w:rPr>
          <w:rFonts w:ascii="Times New Roman" w:eastAsia="Times New Roman" w:hAnsi="Times New Roman" w:cs="Times New Roman"/>
          <w:color w:val="000000" w:themeColor="text1"/>
          <w:kern w:val="0"/>
          <w:sz w:val="22"/>
          <w:szCs w:val="22"/>
          <w14:ligatures w14:val="none"/>
        </w:rPr>
        <w:t>Bouchebti et al., 2022</w:t>
      </w:r>
      <w:r w:rsidRPr="00CF335D">
        <w:rPr>
          <w:rFonts w:ascii="Times New Roman" w:eastAsia="Times New Roman" w:hAnsi="Times New Roman" w:cs="Times New Roman"/>
          <w:b/>
          <w:bCs/>
          <w:color w:val="000000" w:themeColor="text1"/>
          <w:kern w:val="0"/>
          <w:sz w:val="22"/>
          <w:szCs w:val="22"/>
          <w14:ligatures w14:val="none"/>
        </w:rPr>
        <w:t xml:space="preserve">). </w:t>
      </w:r>
      <w:r w:rsidRPr="00CF335D">
        <w:rPr>
          <w:rFonts w:ascii="Times New Roman" w:eastAsia="Times New Roman" w:hAnsi="Times New Roman" w:cs="Times New Roman"/>
          <w:color w:val="000000" w:themeColor="text1"/>
          <w:kern w:val="0"/>
          <w:sz w:val="22"/>
          <w:szCs w:val="22"/>
          <w14:ligatures w14:val="none"/>
        </w:rPr>
        <w:t>Alanine supplementation has been shown to stimulate the proliferation of lymphocytes and </w:t>
      </w:r>
      <w:hyperlink r:id="rId8" w:tgtFrame="_blank" w:history="1">
        <w:r w:rsidRPr="00CF335D">
          <w:rPr>
            <w:rFonts w:ascii="Times New Roman" w:eastAsia="Times New Roman" w:hAnsi="Times New Roman" w:cs="Times New Roman"/>
            <w:color w:val="000000" w:themeColor="text1"/>
            <w:kern w:val="0"/>
            <w:sz w:val="22"/>
            <w:szCs w:val="22"/>
            <w14:ligatures w14:val="none"/>
          </w:rPr>
          <w:t>thymocytes</w:t>
        </w:r>
      </w:hyperlink>
      <w:r w:rsidRPr="00CF335D">
        <w:rPr>
          <w:rFonts w:ascii="Times New Roman" w:eastAsia="Times New Roman" w:hAnsi="Times New Roman" w:cs="Times New Roman"/>
          <w:color w:val="000000" w:themeColor="text1"/>
          <w:kern w:val="0"/>
          <w:sz w:val="22"/>
          <w:szCs w:val="22"/>
          <w14:ligatures w14:val="none"/>
        </w:rPr>
        <w:t>, which may decrease the aging-related loss of </w:t>
      </w:r>
      <w:hyperlink r:id="rId9" w:tgtFrame="_blank" w:history="1">
        <w:r w:rsidRPr="00CF335D">
          <w:rPr>
            <w:rFonts w:ascii="Times New Roman" w:eastAsia="Times New Roman" w:hAnsi="Times New Roman" w:cs="Times New Roman"/>
            <w:color w:val="000000" w:themeColor="text1"/>
            <w:kern w:val="0"/>
            <w:sz w:val="22"/>
            <w:szCs w:val="22"/>
            <w14:ligatures w14:val="none"/>
          </w:rPr>
          <w:t xml:space="preserve">immune </w:t>
        </w:r>
        <w:r w:rsidRPr="00CF335D">
          <w:rPr>
            <w:rFonts w:ascii="Times New Roman" w:eastAsia="Times New Roman" w:hAnsi="Times New Roman" w:cs="Times New Roman"/>
            <w:color w:val="000000" w:themeColor="text1"/>
            <w:kern w:val="0"/>
            <w:sz w:val="22"/>
            <w:szCs w:val="22"/>
            <w14:ligatures w14:val="none"/>
          </w:rPr>
          <w:lastRenderedPageBreak/>
          <w:t>system function</w:t>
        </w:r>
      </w:hyperlink>
      <w:r w:rsidRPr="00CF335D">
        <w:rPr>
          <w:rFonts w:ascii="Times New Roman" w:eastAsia="Times New Roman" w:hAnsi="Times New Roman" w:cs="Times New Roman"/>
          <w:color w:val="000000" w:themeColor="text1"/>
          <w:kern w:val="0"/>
          <w:sz w:val="22"/>
          <w:szCs w:val="22"/>
          <w14:ligatures w14:val="none"/>
        </w:rPr>
        <w:t xml:space="preserve"> (Moskalev et al., 2020). Also, cysteine is a sulfur-containing non-essential amino acid that plays significant roles in the formation of glutathione (Fujii et al., 2023).  Notably, mushrooms of the </w:t>
      </w:r>
      <w:r w:rsidRPr="00CF335D">
        <w:rPr>
          <w:rFonts w:ascii="Times New Roman" w:eastAsia="Times New Roman" w:hAnsi="Times New Roman" w:cs="Times New Roman"/>
          <w:i/>
          <w:iCs/>
          <w:color w:val="000000" w:themeColor="text1"/>
          <w:kern w:val="0"/>
          <w:sz w:val="22"/>
          <w:szCs w:val="22"/>
          <w14:ligatures w14:val="none"/>
        </w:rPr>
        <w:t>Pleurotus species</w:t>
      </w:r>
      <w:r w:rsidRPr="00CF335D">
        <w:rPr>
          <w:rFonts w:ascii="Times New Roman" w:eastAsia="Times New Roman" w:hAnsi="Times New Roman" w:cs="Times New Roman"/>
          <w:color w:val="000000" w:themeColor="text1"/>
          <w:kern w:val="0"/>
          <w:sz w:val="22"/>
          <w:szCs w:val="22"/>
          <w14:ligatures w14:val="none"/>
        </w:rPr>
        <w:t xml:space="preserve"> have high-quality protein due to the effective distribution of essential and non-essential amino acids (Assemie &amp; Abaya, 2022).</w:t>
      </w:r>
    </w:p>
    <w:p w14:paraId="77FF2D01" w14:textId="44CEED81" w:rsidR="004D716D" w:rsidRPr="00CF335D" w:rsidRDefault="004D716D" w:rsidP="000D027A">
      <w:pPr>
        <w:spacing w:before="100" w:beforeAutospacing="1" w:after="100" w:afterAutospacing="1" w:line="276" w:lineRule="auto"/>
        <w:jc w:val="both"/>
        <w:rPr>
          <w:rFonts w:ascii="Times New Roman" w:eastAsia="Times New Roman" w:hAnsi="Times New Roman" w:cs="Times New Roman"/>
          <w:color w:val="000000" w:themeColor="text1"/>
          <w:kern w:val="0"/>
          <w:sz w:val="22"/>
          <w:szCs w:val="22"/>
          <w14:ligatures w14:val="none"/>
        </w:rPr>
      </w:pPr>
      <w:r w:rsidRPr="00CF335D">
        <w:rPr>
          <w:rFonts w:ascii="Times New Roman" w:eastAsia="Times New Roman" w:hAnsi="Times New Roman" w:cs="Times New Roman"/>
          <w:color w:val="000000" w:themeColor="text1"/>
          <w:kern w:val="0"/>
          <w:sz w:val="22"/>
          <w:szCs w:val="22"/>
          <w14:ligatures w14:val="none"/>
        </w:rPr>
        <w:t>Mineral compositions show the amount of ash left over after dry mushrooms have burned completely (Boadu et al., 2023). Mineral elements support and aid in metabolic, biochemical, and physiological processes. According to the study's results, oyster mushrooms have substantial concentrations of calcium (8.267±0.114 ppm), potassium (7.454±0.077 ppm), sodium (6.454±0.041 ppm), magnesium (6.379±0.016 ppm), iron (0.595±0.02 ppm), manganese (0.267±0.01 ppm), aluminum (0.021±0.01 ppm), and molybdenum (0.178±0.01 ppm) (</w:t>
      </w:r>
      <w:r w:rsidRPr="00CF335D">
        <w:rPr>
          <w:rFonts w:ascii="Times New Roman" w:eastAsia="Times New Roman" w:hAnsi="Times New Roman" w:cs="Times New Roman"/>
          <w:color w:val="EE0000"/>
          <w:kern w:val="0"/>
          <w:sz w:val="22"/>
          <w:szCs w:val="22"/>
          <w14:ligatures w14:val="none"/>
        </w:rPr>
        <w:t xml:space="preserve">Table </w:t>
      </w:r>
      <w:r w:rsidR="002415FB" w:rsidRPr="00CF335D">
        <w:rPr>
          <w:rFonts w:ascii="Times New Roman" w:eastAsia="Times New Roman" w:hAnsi="Times New Roman" w:cs="Times New Roman"/>
          <w:color w:val="EE0000"/>
          <w:kern w:val="0"/>
          <w:sz w:val="22"/>
          <w:szCs w:val="22"/>
          <w14:ligatures w14:val="none"/>
        </w:rPr>
        <w:t>4</w:t>
      </w:r>
      <w:r w:rsidRPr="00CF335D">
        <w:rPr>
          <w:rFonts w:ascii="Times New Roman" w:eastAsia="Times New Roman" w:hAnsi="Times New Roman" w:cs="Times New Roman"/>
          <w:color w:val="000000" w:themeColor="text1"/>
          <w:kern w:val="0"/>
          <w:sz w:val="22"/>
          <w:szCs w:val="22"/>
          <w14:ligatures w14:val="none"/>
        </w:rPr>
        <w:t xml:space="preserve">). Similarly, Owabie et al. (2025) found that the fungal flora of </w:t>
      </w:r>
      <w:r w:rsidRPr="00CF335D">
        <w:rPr>
          <w:rFonts w:ascii="Times New Roman" w:eastAsia="Times New Roman" w:hAnsi="Times New Roman" w:cs="Times New Roman"/>
          <w:i/>
          <w:iCs/>
          <w:color w:val="000000" w:themeColor="text1"/>
          <w:kern w:val="0"/>
          <w:sz w:val="22"/>
          <w:szCs w:val="22"/>
          <w14:ligatures w14:val="none"/>
        </w:rPr>
        <w:t>Pleurotus ostreatus</w:t>
      </w:r>
      <w:r w:rsidRPr="00CF335D">
        <w:rPr>
          <w:rFonts w:ascii="Times New Roman" w:eastAsia="Times New Roman" w:hAnsi="Times New Roman" w:cs="Times New Roman"/>
          <w:color w:val="000000" w:themeColor="text1"/>
          <w:kern w:val="0"/>
          <w:sz w:val="22"/>
          <w:szCs w:val="22"/>
          <w14:ligatures w14:val="none"/>
        </w:rPr>
        <w:t xml:space="preserve"> and </w:t>
      </w:r>
      <w:r w:rsidRPr="00CF335D">
        <w:rPr>
          <w:rFonts w:ascii="Times New Roman" w:eastAsia="Times New Roman" w:hAnsi="Times New Roman" w:cs="Times New Roman"/>
          <w:i/>
          <w:iCs/>
          <w:color w:val="000000" w:themeColor="text1"/>
          <w:kern w:val="0"/>
          <w:sz w:val="22"/>
          <w:szCs w:val="22"/>
          <w14:ligatures w14:val="none"/>
        </w:rPr>
        <w:t xml:space="preserve">Pleurotus tuber-regium </w:t>
      </w:r>
      <w:r w:rsidRPr="00CF335D">
        <w:rPr>
          <w:rFonts w:ascii="Times New Roman" w:eastAsia="Times New Roman" w:hAnsi="Times New Roman" w:cs="Times New Roman"/>
          <w:color w:val="000000" w:themeColor="text1"/>
          <w:kern w:val="0"/>
          <w:sz w:val="22"/>
          <w:szCs w:val="22"/>
          <w14:ligatures w14:val="none"/>
        </w:rPr>
        <w:t xml:space="preserve">contained calcium, iron, magnesium, phosphorus, potassium, and sodium. Additionally, Gnanwa et al. (2021) found that </w:t>
      </w:r>
      <w:r w:rsidRPr="00CF335D">
        <w:rPr>
          <w:rFonts w:ascii="Times New Roman" w:eastAsia="Times New Roman" w:hAnsi="Times New Roman" w:cs="Times New Roman"/>
          <w:i/>
          <w:iCs/>
          <w:color w:val="000000" w:themeColor="text1"/>
          <w:kern w:val="0"/>
          <w:sz w:val="22"/>
          <w:szCs w:val="22"/>
          <w14:ligatures w14:val="none"/>
        </w:rPr>
        <w:t>Pleurotus ostreatus</w:t>
      </w:r>
      <w:r w:rsidRPr="00CF335D">
        <w:rPr>
          <w:rFonts w:ascii="Times New Roman" w:eastAsia="Times New Roman" w:hAnsi="Times New Roman" w:cs="Times New Roman"/>
          <w:color w:val="000000" w:themeColor="text1"/>
          <w:kern w:val="0"/>
          <w:sz w:val="22"/>
          <w:szCs w:val="22"/>
          <w14:ligatures w14:val="none"/>
        </w:rPr>
        <w:t xml:space="preserve"> grown and sold in the village of M'Badon (Abidjan, Côte d'Ivoire) had a rich content of minerals, including copper, iron, magnesium, and sodium, and a smaller amount of calcium, phosphorus, potassium, and zinc. Potassium, selenium, zinc, and iron are important minerals found in oyster mushrooms that are necessary for immune system function and reducing oxidative stress (Maurya et al., 2025). Agbagwa et al. (2020) and Owabie et al. (2025) presented the highest contents of calcium for </w:t>
      </w:r>
      <w:r w:rsidRPr="00CF335D">
        <w:rPr>
          <w:rFonts w:ascii="Times New Roman" w:eastAsia="Times New Roman" w:hAnsi="Times New Roman" w:cs="Times New Roman"/>
          <w:i/>
          <w:iCs/>
          <w:color w:val="000000" w:themeColor="text1"/>
          <w:kern w:val="0"/>
          <w:sz w:val="22"/>
          <w:szCs w:val="22"/>
          <w14:ligatures w14:val="none"/>
        </w:rPr>
        <w:t>P. ostreatus</w:t>
      </w:r>
      <w:r w:rsidRPr="00CF335D">
        <w:rPr>
          <w:rFonts w:ascii="Times New Roman" w:eastAsia="Times New Roman" w:hAnsi="Times New Roman" w:cs="Times New Roman"/>
          <w:color w:val="000000" w:themeColor="text1"/>
          <w:kern w:val="0"/>
          <w:sz w:val="22"/>
          <w:szCs w:val="22"/>
          <w14:ligatures w14:val="none"/>
        </w:rPr>
        <w:t xml:space="preserve"> as found in this study. Strong bone building, blood circulation, heart rhythm regulation, and nerve conduction are just a few of the biological processes in the human body that depend heavily on calcium (Agbagwa et al., 2020; Awewomom et al., 2025). Because mushrooms are known to have a lower sodium content and a greater potassium content, oyster mushrooms' high potassium content will assist in easing blood vessel constriction and ultimately lower blood pressure (Alazzeh et al., 2023). The oyster mushroom contains essential mineral elements like iron, copper, zinc, and manganese, which may be linked to brain health through a number of biological pathways. For example, zinc is a crucial component of several nervous system enzymes, and iron, copper, and manganese may be involved in the inflammatory, oxidative, and stress response processes of neurons (Zhao et al., 2023). Arsenic and silver are totally absent from the sample, while heavy metals like nickel, chromium, mercury, vanadium, and silicon are present in acceptable amounts. Adults are expected to take 50–200 µg of chromium (III) per day as a necessary element (Awewomom et al., 2025). The tolerable weekly dietary levels of mercury, lead, cadmium, and arsenic metals are 0.0016, 0.025, 0.007, and 0.015 mg/kg body, respectively, according to WHO/EUROPE. (Witkowska et al., 2021). According to Ezomoh et al. (2019), high concentrations of certain heavy metals over allowable limits can cause metabolic disorders or toxicity.</w:t>
      </w:r>
    </w:p>
    <w:p w14:paraId="54E8FE32" w14:textId="7C0D288A" w:rsidR="00E01200" w:rsidRPr="00CF335D" w:rsidRDefault="00B97732" w:rsidP="000D027A">
      <w:pPr>
        <w:pStyle w:val="Normal1"/>
        <w:spacing w:after="0" w:line="276" w:lineRule="auto"/>
        <w:jc w:val="both"/>
        <w:rPr>
          <w:rFonts w:ascii="Times New Roman" w:eastAsia="Times New Roman" w:hAnsi="Times New Roman" w:cs="Times New Roman"/>
          <w:b/>
          <w:bCs/>
          <w:color w:val="000000" w:themeColor="text1"/>
          <w:sz w:val="22"/>
          <w:szCs w:val="22"/>
        </w:rPr>
      </w:pPr>
      <w:r w:rsidRPr="00CF335D">
        <w:rPr>
          <w:rFonts w:ascii="Times New Roman" w:eastAsia="Times New Roman" w:hAnsi="Times New Roman" w:cs="Times New Roman"/>
          <w:b/>
          <w:bCs/>
          <w:color w:val="000000" w:themeColor="text1"/>
          <w:sz w:val="22"/>
          <w:szCs w:val="22"/>
        </w:rPr>
        <w:t xml:space="preserve">5. </w:t>
      </w:r>
      <w:r w:rsidR="00E01200" w:rsidRPr="00CF335D">
        <w:rPr>
          <w:rFonts w:ascii="Times New Roman" w:eastAsia="Times New Roman" w:hAnsi="Times New Roman" w:cs="Times New Roman"/>
          <w:b/>
          <w:bCs/>
          <w:color w:val="000000" w:themeColor="text1"/>
          <w:sz w:val="22"/>
          <w:szCs w:val="22"/>
        </w:rPr>
        <w:t>Conclusion</w:t>
      </w:r>
    </w:p>
    <w:p w14:paraId="7BDBDC92" w14:textId="4A9257C0" w:rsidR="00BB5106" w:rsidRPr="00430555" w:rsidRDefault="00BB5106" w:rsidP="000D027A">
      <w:pPr>
        <w:pStyle w:val="Normal1"/>
        <w:spacing w:after="0" w:line="276" w:lineRule="auto"/>
        <w:jc w:val="both"/>
        <w:rPr>
          <w:rFonts w:ascii="Times New Roman" w:eastAsia="Times New Roman" w:hAnsi="Times New Roman" w:cs="Times New Roman"/>
          <w:color w:val="EE0000"/>
          <w:sz w:val="22"/>
          <w:szCs w:val="22"/>
        </w:rPr>
      </w:pPr>
      <w:bookmarkStart w:id="10" w:name="_Hlk217283645"/>
      <w:r w:rsidRPr="00430555">
        <w:rPr>
          <w:rFonts w:ascii="Times New Roman" w:eastAsia="Times New Roman" w:hAnsi="Times New Roman" w:cs="Times New Roman"/>
          <w:color w:val="EE0000"/>
          <w:sz w:val="22"/>
          <w:szCs w:val="22"/>
        </w:rPr>
        <w:t xml:space="preserve">The proximate, amino acid and mineral analyses of the </w:t>
      </w:r>
      <w:r w:rsidRPr="00430555">
        <w:rPr>
          <w:rFonts w:ascii="Times New Roman" w:eastAsia="Times New Roman" w:hAnsi="Times New Roman" w:cs="Times New Roman"/>
          <w:i/>
          <w:iCs/>
          <w:color w:val="EE0000"/>
          <w:sz w:val="22"/>
          <w:szCs w:val="22"/>
        </w:rPr>
        <w:t>Pleurotus ostreatus</w:t>
      </w:r>
      <w:r w:rsidRPr="00430555">
        <w:rPr>
          <w:rFonts w:ascii="Times New Roman" w:eastAsia="Times New Roman" w:hAnsi="Times New Roman" w:cs="Times New Roman"/>
          <w:color w:val="EE0000"/>
          <w:sz w:val="22"/>
          <w:szCs w:val="22"/>
        </w:rPr>
        <w:t xml:space="preserve"> reveals that it is a nutritionally dense food source. </w:t>
      </w:r>
      <w:r w:rsidR="00430555" w:rsidRPr="00430555">
        <w:rPr>
          <w:rFonts w:ascii="Times New Roman" w:eastAsia="Times New Roman" w:hAnsi="Times New Roman" w:cs="Times New Roman"/>
          <w:color w:val="EE0000"/>
          <w:sz w:val="22"/>
          <w:szCs w:val="22"/>
        </w:rPr>
        <w:t xml:space="preserve">Proximate analysis of oyster mushrooms shows high moisture content of 43.43±0.141%, followed by carbohydrate content of 25.51±0.121%, fibre content of 11.21±0.099%, protein content of 8.57±0.127% and ash content of 6.63±0.021%, </w:t>
      </w:r>
      <w:r w:rsidRPr="00430555">
        <w:rPr>
          <w:rFonts w:ascii="Times New Roman" w:eastAsia="Times New Roman" w:hAnsi="Times New Roman" w:cs="Times New Roman"/>
          <w:color w:val="EE0000"/>
          <w:sz w:val="22"/>
          <w:szCs w:val="22"/>
        </w:rPr>
        <w:t xml:space="preserve">It is especially low in fat and high in moisture, protein, carbohydrates, dietary </w:t>
      </w:r>
      <w:r w:rsidR="0004223B" w:rsidRPr="00430555">
        <w:rPr>
          <w:rFonts w:ascii="Times New Roman" w:eastAsia="Times New Roman" w:hAnsi="Times New Roman" w:cs="Times New Roman"/>
          <w:color w:val="EE0000"/>
          <w:sz w:val="22"/>
          <w:szCs w:val="22"/>
        </w:rPr>
        <w:t>fibre</w:t>
      </w:r>
      <w:r w:rsidRPr="00430555">
        <w:rPr>
          <w:rFonts w:ascii="Times New Roman" w:eastAsia="Times New Roman" w:hAnsi="Times New Roman" w:cs="Times New Roman"/>
          <w:color w:val="EE0000"/>
          <w:sz w:val="22"/>
          <w:szCs w:val="22"/>
        </w:rPr>
        <w:t>, minerals, and essential amino acids. The</w:t>
      </w:r>
      <w:r w:rsidR="00430555">
        <w:rPr>
          <w:rFonts w:ascii="Times New Roman" w:eastAsia="Times New Roman" w:hAnsi="Times New Roman" w:cs="Times New Roman"/>
          <w:color w:val="EE0000"/>
          <w:sz w:val="22"/>
          <w:szCs w:val="22"/>
        </w:rPr>
        <w:t>se</w:t>
      </w:r>
      <w:r w:rsidRPr="00430555">
        <w:rPr>
          <w:rFonts w:ascii="Times New Roman" w:eastAsia="Times New Roman" w:hAnsi="Times New Roman" w:cs="Times New Roman"/>
          <w:color w:val="EE0000"/>
          <w:sz w:val="22"/>
          <w:szCs w:val="22"/>
        </w:rPr>
        <w:t xml:space="preserve"> results suggest that eating oyster mushrooms on a daily basis will enhance favorable lipid profiles and dietary </w:t>
      </w:r>
      <w:r w:rsidR="0004223B" w:rsidRPr="00430555">
        <w:rPr>
          <w:rFonts w:ascii="Times New Roman" w:eastAsia="Times New Roman" w:hAnsi="Times New Roman" w:cs="Times New Roman"/>
          <w:color w:val="EE0000"/>
          <w:sz w:val="22"/>
          <w:szCs w:val="22"/>
        </w:rPr>
        <w:t>fibre</w:t>
      </w:r>
      <w:r w:rsidRPr="00430555">
        <w:rPr>
          <w:rFonts w:ascii="Times New Roman" w:eastAsia="Times New Roman" w:hAnsi="Times New Roman" w:cs="Times New Roman"/>
          <w:color w:val="EE0000"/>
          <w:sz w:val="22"/>
          <w:szCs w:val="22"/>
        </w:rPr>
        <w:t xml:space="preserve"> intake, among other beneficial nutritional outcomes.</w:t>
      </w:r>
    </w:p>
    <w:bookmarkEnd w:id="10"/>
    <w:p w14:paraId="63A52BBB" w14:textId="1D6B6741" w:rsidR="00EF0506" w:rsidRPr="00CF335D" w:rsidRDefault="00EF0506" w:rsidP="000D027A">
      <w:pPr>
        <w:pStyle w:val="Normal1"/>
        <w:spacing w:before="240" w:after="0" w:line="276" w:lineRule="auto"/>
        <w:jc w:val="both"/>
        <w:rPr>
          <w:rFonts w:ascii="Times New Roman" w:eastAsia="Times New Roman" w:hAnsi="Times New Roman" w:cs="Times New Roman"/>
          <w:b/>
          <w:bCs/>
          <w:iCs/>
          <w:color w:val="000000" w:themeColor="text1"/>
          <w:sz w:val="22"/>
          <w:szCs w:val="22"/>
        </w:rPr>
      </w:pPr>
      <w:r w:rsidRPr="00CF335D">
        <w:rPr>
          <w:rFonts w:ascii="Times New Roman" w:eastAsia="Times New Roman" w:hAnsi="Times New Roman" w:cs="Times New Roman"/>
          <w:b/>
          <w:bCs/>
          <w:color w:val="000000" w:themeColor="text1"/>
          <w:sz w:val="22"/>
          <w:szCs w:val="22"/>
        </w:rPr>
        <w:t xml:space="preserve">Disclaimer </w:t>
      </w:r>
    </w:p>
    <w:p w14:paraId="753919F8" w14:textId="6412C7E4" w:rsidR="00B97732" w:rsidRPr="00CF335D" w:rsidRDefault="00EF0506" w:rsidP="00916AE8">
      <w:pPr>
        <w:spacing w:line="276" w:lineRule="auto"/>
        <w:jc w:val="both"/>
        <w:rPr>
          <w:rFonts w:ascii="Times New Roman" w:eastAsia="Times New Roman" w:hAnsi="Times New Roman" w:cs="Times New Roman"/>
          <w:bCs/>
          <w:iCs/>
          <w:color w:val="000000" w:themeColor="text1"/>
          <w:sz w:val="22"/>
          <w:szCs w:val="22"/>
        </w:rPr>
      </w:pPr>
      <w:r w:rsidRPr="00CF335D">
        <w:rPr>
          <w:rFonts w:ascii="Times New Roman" w:eastAsia="Times New Roman" w:hAnsi="Times New Roman" w:cs="Times New Roman"/>
          <w:bCs/>
          <w:iCs/>
          <w:color w:val="000000" w:themeColor="text1"/>
          <w:sz w:val="22"/>
          <w:szCs w:val="22"/>
        </w:rPr>
        <w:lastRenderedPageBreak/>
        <w:t xml:space="preserve">No generative </w:t>
      </w:r>
      <w:r w:rsidRPr="00CF335D">
        <w:rPr>
          <w:rFonts w:ascii="Times New Roman" w:eastAsia="Times New Roman" w:hAnsi="Times New Roman" w:cs="Times New Roman"/>
          <w:color w:val="000000" w:themeColor="text1"/>
          <w:sz w:val="22"/>
          <w:szCs w:val="22"/>
        </w:rPr>
        <w:t>Artificial Intelligence</w:t>
      </w:r>
      <w:r w:rsidRPr="00CF335D">
        <w:rPr>
          <w:rFonts w:ascii="Times New Roman" w:eastAsia="Times New Roman" w:hAnsi="Times New Roman" w:cs="Times New Roman"/>
          <w:bCs/>
          <w:iCs/>
          <w:color w:val="000000" w:themeColor="text1"/>
          <w:sz w:val="22"/>
          <w:szCs w:val="22"/>
        </w:rPr>
        <w:t xml:space="preserve"> technologies and text-to-image generators were used during the writing of this manuscript. </w:t>
      </w:r>
    </w:p>
    <w:p w14:paraId="09E30E80" w14:textId="6A5D427D" w:rsidR="00100B76" w:rsidRPr="00CF335D" w:rsidRDefault="00100B76" w:rsidP="00100B76">
      <w:pPr>
        <w:pStyle w:val="Normal1"/>
        <w:spacing w:after="0" w:line="276" w:lineRule="auto"/>
        <w:jc w:val="both"/>
        <w:rPr>
          <w:rFonts w:ascii="Times New Roman" w:eastAsia="Times New Roman" w:hAnsi="Times New Roman" w:cs="Times New Roman"/>
          <w:color w:val="000000" w:themeColor="text1"/>
          <w:sz w:val="22"/>
          <w:szCs w:val="22"/>
        </w:rPr>
      </w:pPr>
      <w:r w:rsidRPr="00CF335D">
        <w:rPr>
          <w:rFonts w:ascii="Times New Roman" w:eastAsia="Times New Roman" w:hAnsi="Times New Roman" w:cs="Times New Roman"/>
          <w:color w:val="000000" w:themeColor="text1"/>
          <w:sz w:val="22"/>
          <w:szCs w:val="22"/>
        </w:rPr>
        <w:t>COMPETING INTERESTS DISCLAIMER:</w:t>
      </w:r>
    </w:p>
    <w:p w14:paraId="31BEBAE9" w14:textId="66AFE7A4" w:rsidR="00100B76" w:rsidRPr="00CF335D" w:rsidRDefault="00100B76" w:rsidP="00100B76">
      <w:pPr>
        <w:pStyle w:val="Normal1"/>
        <w:spacing w:after="0" w:line="276" w:lineRule="auto"/>
        <w:jc w:val="both"/>
        <w:rPr>
          <w:rFonts w:ascii="Times New Roman" w:eastAsia="Times New Roman" w:hAnsi="Times New Roman" w:cs="Times New Roman"/>
          <w:color w:val="000000" w:themeColor="text1"/>
          <w:sz w:val="22"/>
          <w:szCs w:val="22"/>
        </w:rPr>
      </w:pPr>
      <w:r w:rsidRPr="00CF335D">
        <w:rPr>
          <w:rFonts w:ascii="Times New Roman" w:eastAsia="Times New Roman" w:hAnsi="Times New Roman" w:cs="Times New Roman"/>
          <w:color w:val="000000" w:themeColor="text1"/>
          <w:sz w:val="22"/>
          <w:szCs w:val="22"/>
        </w:rPr>
        <w:t>Authors have declared that they have no known competing financial interests OR non-financial interests OR personal relationships that could have appeared to influence the work reported in this paper.</w:t>
      </w:r>
    </w:p>
    <w:p w14:paraId="26097730" w14:textId="3B69DB6F" w:rsidR="00F00EC6" w:rsidRDefault="008F5BAE" w:rsidP="000D027A">
      <w:pPr>
        <w:pStyle w:val="NormalWeb"/>
        <w:spacing w:after="0" w:afterAutospacing="0"/>
        <w:jc w:val="both"/>
        <w:rPr>
          <w:b/>
          <w:bCs/>
          <w:color w:val="000000" w:themeColor="text1"/>
          <w:sz w:val="22"/>
          <w:szCs w:val="22"/>
          <w:lang w:val="en-US"/>
        </w:rPr>
      </w:pPr>
      <w:r w:rsidRPr="00CF335D">
        <w:rPr>
          <w:b/>
          <w:bCs/>
          <w:color w:val="000000" w:themeColor="text1"/>
          <w:sz w:val="22"/>
          <w:szCs w:val="22"/>
          <w:lang w:val="en-US"/>
        </w:rPr>
        <w:t>References</w:t>
      </w:r>
    </w:p>
    <w:p w14:paraId="3104FEB8"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bookmarkStart w:id="11" w:name="_Hlk215910349"/>
      <w:bookmarkStart w:id="12" w:name="_Hlk217282983"/>
      <w:r>
        <w:rPr>
          <w:rFonts w:ascii="Times New Roman" w:hAnsi="Times New Roman" w:cs="Times New Roman"/>
          <w:color w:val="EE0000"/>
          <w:sz w:val="22"/>
          <w:szCs w:val="22"/>
        </w:rPr>
        <w:t xml:space="preserve">Adebisi, A. K., Joseph, I. T., Adams, I. H., Mohammed, I. U., David, B. C., Efoseh, D., &amp; Umaru, I. J. (2025). Comparative study on the proximate and amino acids levels in selected edible mushroom species. </w:t>
      </w:r>
      <w:r>
        <w:rPr>
          <w:rFonts w:ascii="Times New Roman" w:hAnsi="Times New Roman" w:cs="Times New Roman"/>
          <w:i/>
          <w:iCs/>
          <w:color w:val="EE0000"/>
          <w:sz w:val="22"/>
          <w:szCs w:val="22"/>
        </w:rPr>
        <w:t>African Journal of Biochemistry and Molecular Biology Research</w:t>
      </w:r>
      <w:r>
        <w:rPr>
          <w:rFonts w:ascii="Times New Roman" w:hAnsi="Times New Roman" w:cs="Times New Roman"/>
          <w:color w:val="EE0000"/>
          <w:sz w:val="22"/>
          <w:szCs w:val="22"/>
        </w:rPr>
        <w:t xml:space="preserve">, </w:t>
      </w:r>
      <w:r>
        <w:rPr>
          <w:rFonts w:ascii="Times New Roman" w:hAnsi="Times New Roman" w:cs="Times New Roman"/>
          <w:i/>
          <w:iCs/>
          <w:color w:val="EE0000"/>
          <w:sz w:val="22"/>
          <w:szCs w:val="22"/>
        </w:rPr>
        <w:t>2(</w:t>
      </w:r>
      <w:r>
        <w:rPr>
          <w:rFonts w:ascii="Times New Roman" w:hAnsi="Times New Roman" w:cs="Times New Roman"/>
          <w:color w:val="EE0000"/>
          <w:sz w:val="22"/>
          <w:szCs w:val="22"/>
        </w:rPr>
        <w:t xml:space="preserve">2), 239-251. </w:t>
      </w:r>
      <w:hyperlink r:id="rId10" w:history="1">
        <w:r>
          <w:rPr>
            <w:rStyle w:val="Hyperlink"/>
            <w:rFonts w:ascii="Times New Roman" w:hAnsi="Times New Roman" w:cs="Times New Roman"/>
            <w:color w:val="EE0000"/>
            <w:sz w:val="22"/>
            <w:szCs w:val="22"/>
          </w:rPr>
          <w:t>https://doi.org/10.58578/ajbmbr.v2i2.5892</w:t>
        </w:r>
      </w:hyperlink>
      <w:r>
        <w:rPr>
          <w:rFonts w:ascii="Times New Roman" w:hAnsi="Times New Roman" w:cs="Times New Roman"/>
          <w:color w:val="EE0000"/>
          <w:sz w:val="22"/>
          <w:szCs w:val="22"/>
        </w:rPr>
        <w:t xml:space="preserve"> .</w:t>
      </w:r>
    </w:p>
    <w:p w14:paraId="27ACAFFD"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Adhikari, R., Rochell, S. J., Kriseldi, R., Silva, M., Greiner, L., Williams, C., Matton, B., Anderson, A., Erf, G. F., Park, E., Haydon, K., &amp; Lee, J. (2025). Recent advances in protein and amino acid nutritional dynamics in relation to performance, health, welfare, and cost of production. </w:t>
      </w:r>
      <w:r>
        <w:rPr>
          <w:rFonts w:ascii="Times New Roman" w:hAnsi="Times New Roman" w:cs="Times New Roman"/>
          <w:i/>
          <w:iCs/>
          <w:color w:val="EE0000"/>
          <w:sz w:val="22"/>
          <w:szCs w:val="22"/>
        </w:rPr>
        <w:t>Poultry Science</w:t>
      </w:r>
      <w:r>
        <w:rPr>
          <w:rFonts w:ascii="Times New Roman" w:hAnsi="Times New Roman" w:cs="Times New Roman"/>
          <w:color w:val="EE0000"/>
          <w:sz w:val="22"/>
          <w:szCs w:val="22"/>
        </w:rPr>
        <w:t xml:space="preserve">, </w:t>
      </w:r>
      <w:r>
        <w:rPr>
          <w:rFonts w:ascii="Times New Roman" w:hAnsi="Times New Roman" w:cs="Times New Roman"/>
          <w:i/>
          <w:iCs/>
          <w:color w:val="EE0000"/>
          <w:sz w:val="22"/>
          <w:szCs w:val="22"/>
        </w:rPr>
        <w:t>104</w:t>
      </w:r>
      <w:r>
        <w:rPr>
          <w:rFonts w:ascii="Times New Roman" w:hAnsi="Times New Roman" w:cs="Times New Roman"/>
          <w:color w:val="EE0000"/>
          <w:sz w:val="22"/>
          <w:szCs w:val="22"/>
        </w:rPr>
        <w:t xml:space="preserve">(3), 104852. </w:t>
      </w:r>
      <w:hyperlink r:id="rId11" w:history="1">
        <w:r>
          <w:rPr>
            <w:rStyle w:val="Hyperlink"/>
            <w:rFonts w:ascii="Times New Roman" w:hAnsi="Times New Roman" w:cs="Times New Roman"/>
            <w:color w:val="EE0000"/>
            <w:sz w:val="22"/>
            <w:szCs w:val="22"/>
          </w:rPr>
          <w:t>https://doi.org/10.1016/j.psj.2025.104852</w:t>
        </w:r>
      </w:hyperlink>
      <w:r>
        <w:rPr>
          <w:rFonts w:ascii="Times New Roman" w:hAnsi="Times New Roman" w:cs="Times New Roman"/>
          <w:color w:val="EE0000"/>
          <w:sz w:val="22"/>
          <w:szCs w:val="22"/>
        </w:rPr>
        <w:t xml:space="preserve"> .</w:t>
      </w:r>
    </w:p>
    <w:p w14:paraId="26E839E7"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Aditya, N., Jarial, R. S., Jarial, K., &amp; Bhatia, J. N. (2024). Comprehensive review on oyster mushroom species (</w:t>
      </w:r>
      <w:r>
        <w:rPr>
          <w:rFonts w:ascii="Times New Roman" w:hAnsi="Times New Roman" w:cs="Times New Roman"/>
          <w:i/>
          <w:iCs/>
          <w:color w:val="EE0000"/>
          <w:sz w:val="22"/>
          <w:szCs w:val="22"/>
        </w:rPr>
        <w:t>Agaricomycetes</w:t>
      </w:r>
      <w:r>
        <w:rPr>
          <w:rFonts w:ascii="Times New Roman" w:hAnsi="Times New Roman" w:cs="Times New Roman"/>
          <w:color w:val="EE0000"/>
          <w:sz w:val="22"/>
          <w:szCs w:val="22"/>
        </w:rPr>
        <w:t xml:space="preserve">): Morphology, nutrition, cultivation and future aspects. </w:t>
      </w:r>
      <w:r>
        <w:rPr>
          <w:rFonts w:ascii="Times New Roman" w:hAnsi="Times New Roman" w:cs="Times New Roman"/>
          <w:i/>
          <w:iCs/>
          <w:color w:val="EE0000"/>
          <w:sz w:val="22"/>
          <w:szCs w:val="22"/>
        </w:rPr>
        <w:t>Heliyon,</w:t>
      </w:r>
      <w:r>
        <w:rPr>
          <w:rFonts w:ascii="Times New Roman" w:hAnsi="Times New Roman" w:cs="Times New Roman"/>
          <w:color w:val="EE0000"/>
          <w:sz w:val="22"/>
          <w:szCs w:val="22"/>
        </w:rPr>
        <w:t xml:space="preserve"> </w:t>
      </w:r>
      <w:r>
        <w:rPr>
          <w:rFonts w:ascii="Times New Roman" w:hAnsi="Times New Roman" w:cs="Times New Roman"/>
          <w:i/>
          <w:iCs/>
          <w:color w:val="EE0000"/>
          <w:sz w:val="22"/>
          <w:szCs w:val="22"/>
        </w:rPr>
        <w:t>10</w:t>
      </w:r>
      <w:r>
        <w:rPr>
          <w:rFonts w:ascii="Times New Roman" w:hAnsi="Times New Roman" w:cs="Times New Roman"/>
          <w:color w:val="EE0000"/>
          <w:sz w:val="22"/>
          <w:szCs w:val="22"/>
        </w:rPr>
        <w:t xml:space="preserve">(5), e26539. </w:t>
      </w:r>
      <w:hyperlink r:id="rId12" w:history="1">
        <w:r>
          <w:rPr>
            <w:rStyle w:val="Hyperlink"/>
            <w:rFonts w:ascii="Times New Roman" w:hAnsi="Times New Roman" w:cs="Times New Roman"/>
            <w:color w:val="EE0000"/>
            <w:sz w:val="22"/>
            <w:szCs w:val="22"/>
          </w:rPr>
          <w:t>https://doi.org/10.1016/j.heliyon.2024.e26539</w:t>
        </w:r>
      </w:hyperlink>
      <w:r>
        <w:rPr>
          <w:rFonts w:ascii="Times New Roman" w:hAnsi="Times New Roman" w:cs="Times New Roman"/>
          <w:color w:val="EE0000"/>
          <w:sz w:val="22"/>
          <w:szCs w:val="22"/>
        </w:rPr>
        <w:t xml:space="preserve"> .</w:t>
      </w:r>
    </w:p>
    <w:p w14:paraId="36022737" w14:textId="77777777" w:rsidR="00C81169" w:rsidRDefault="00C81169" w:rsidP="00C81169">
      <w:pPr>
        <w:pStyle w:val="ListParagraph"/>
        <w:numPr>
          <w:ilvl w:val="0"/>
          <w:numId w:val="9"/>
        </w:numPr>
        <w:spacing w:line="240" w:lineRule="auto"/>
        <w:jc w:val="both"/>
        <w:rPr>
          <w:rFonts w:ascii="Times New Roman" w:eastAsiaTheme="minorEastAsia" w:hAnsi="Times New Roman" w:cs="Times New Roman"/>
          <w:color w:val="EE0000"/>
          <w:kern w:val="0"/>
          <w:sz w:val="22"/>
          <w:szCs w:val="22"/>
          <w:lang w:eastAsia="en-GB"/>
          <w14:ligatures w14:val="none"/>
        </w:rPr>
      </w:pPr>
      <w:r>
        <w:rPr>
          <w:rFonts w:ascii="Times New Roman" w:eastAsiaTheme="minorEastAsia" w:hAnsi="Times New Roman" w:cs="Times New Roman"/>
          <w:color w:val="EE0000"/>
          <w:kern w:val="0"/>
          <w:sz w:val="22"/>
          <w:szCs w:val="22"/>
          <w:lang w:eastAsia="en-GB"/>
          <w14:ligatures w14:val="none"/>
        </w:rPr>
        <w:t xml:space="preserve">Adobeze, L. N., &amp; Enemor, V. H. A. (2020). Amino acid and carbohydrate profiles of </w:t>
      </w:r>
      <w:r>
        <w:rPr>
          <w:rFonts w:ascii="Times New Roman" w:eastAsiaTheme="minorEastAsia" w:hAnsi="Times New Roman" w:cs="Times New Roman"/>
          <w:i/>
          <w:iCs/>
          <w:color w:val="EE0000"/>
          <w:kern w:val="0"/>
          <w:sz w:val="22"/>
          <w:szCs w:val="22"/>
          <w:lang w:eastAsia="en-GB"/>
          <w14:ligatures w14:val="none"/>
        </w:rPr>
        <w:t>Rhynchophorus phoenicis</w:t>
      </w:r>
      <w:r>
        <w:rPr>
          <w:rFonts w:ascii="Times New Roman" w:eastAsiaTheme="minorEastAsia" w:hAnsi="Times New Roman" w:cs="Times New Roman"/>
          <w:color w:val="EE0000"/>
          <w:kern w:val="0"/>
          <w:sz w:val="22"/>
          <w:szCs w:val="22"/>
          <w:lang w:eastAsia="en-GB"/>
          <w14:ligatures w14:val="none"/>
        </w:rPr>
        <w:t xml:space="preserve"> (the larva of raffia palm weevil). </w:t>
      </w:r>
      <w:r>
        <w:rPr>
          <w:rFonts w:ascii="Times New Roman" w:eastAsiaTheme="minorEastAsia" w:hAnsi="Times New Roman" w:cs="Times New Roman"/>
          <w:i/>
          <w:iCs/>
          <w:color w:val="EE0000"/>
          <w:kern w:val="0"/>
          <w:sz w:val="22"/>
          <w:szCs w:val="22"/>
          <w:lang w:eastAsia="en-GB"/>
          <w14:ligatures w14:val="none"/>
        </w:rPr>
        <w:t>American Journal of Health Research, 8</w:t>
      </w:r>
      <w:r>
        <w:rPr>
          <w:rFonts w:ascii="Times New Roman" w:eastAsiaTheme="minorEastAsia" w:hAnsi="Times New Roman" w:cs="Times New Roman"/>
          <w:color w:val="EE0000"/>
          <w:kern w:val="0"/>
          <w:sz w:val="22"/>
          <w:szCs w:val="22"/>
          <w:lang w:eastAsia="en-GB"/>
          <w14:ligatures w14:val="none"/>
        </w:rPr>
        <w:t xml:space="preserve">(5), 89-95. </w:t>
      </w:r>
      <w:hyperlink r:id="rId13" w:history="1">
        <w:r>
          <w:rPr>
            <w:rStyle w:val="Hyperlink"/>
            <w:rFonts w:ascii="Times New Roman" w:eastAsiaTheme="minorEastAsia" w:hAnsi="Times New Roman" w:cs="Times New Roman"/>
            <w:color w:val="EE0000"/>
            <w:kern w:val="0"/>
            <w:sz w:val="22"/>
            <w:szCs w:val="22"/>
            <w:lang w:eastAsia="en-GB"/>
            <w14:ligatures w14:val="none"/>
          </w:rPr>
          <w:t>https://doi.org/10.11648/j.ajhr.20200805.13</w:t>
        </w:r>
      </w:hyperlink>
      <w:r>
        <w:rPr>
          <w:rFonts w:ascii="Times New Roman" w:eastAsiaTheme="minorEastAsia" w:hAnsi="Times New Roman" w:cs="Times New Roman"/>
          <w:color w:val="EE0000"/>
          <w:kern w:val="0"/>
          <w:sz w:val="22"/>
          <w:szCs w:val="22"/>
          <w:lang w:eastAsia="en-GB"/>
          <w14:ligatures w14:val="none"/>
        </w:rPr>
        <w:t xml:space="preserve"> .</w:t>
      </w:r>
    </w:p>
    <w:p w14:paraId="0BA729B9"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Adrian, W. J. (1973). A comparison of a wet pressure digestion method with other commonly used wet and dry-ashing methods. </w:t>
      </w:r>
      <w:r>
        <w:rPr>
          <w:rFonts w:ascii="Times New Roman" w:hAnsi="Times New Roman" w:cs="Times New Roman"/>
          <w:i/>
          <w:iCs/>
          <w:color w:val="EE0000"/>
          <w:sz w:val="22"/>
          <w:szCs w:val="22"/>
        </w:rPr>
        <w:t>Analyst, 98,</w:t>
      </w:r>
      <w:r>
        <w:rPr>
          <w:rFonts w:ascii="Times New Roman" w:hAnsi="Times New Roman" w:cs="Times New Roman"/>
          <w:color w:val="EE0000"/>
          <w:sz w:val="22"/>
          <w:szCs w:val="22"/>
        </w:rPr>
        <w:t xml:space="preserve"> 213-216 </w:t>
      </w:r>
      <w:hyperlink r:id="rId14" w:history="1">
        <w:r>
          <w:rPr>
            <w:rStyle w:val="Hyperlink"/>
            <w:rFonts w:ascii="Times New Roman" w:hAnsi="Times New Roman" w:cs="Times New Roman"/>
            <w:color w:val="EE0000"/>
            <w:sz w:val="22"/>
            <w:szCs w:val="22"/>
          </w:rPr>
          <w:t>https://doi.org/10.1039/AN9739800213</w:t>
        </w:r>
      </w:hyperlink>
      <w:r>
        <w:rPr>
          <w:rFonts w:ascii="Times New Roman" w:hAnsi="Times New Roman" w:cs="Times New Roman"/>
          <w:color w:val="EE0000"/>
          <w:sz w:val="22"/>
          <w:szCs w:val="22"/>
        </w:rPr>
        <w:t xml:space="preserve"> .</w:t>
      </w:r>
    </w:p>
    <w:p w14:paraId="26F84F49"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Agbagwa, S. S., Chuku, E. C., &amp; Emiri, U. N. (2020). Determination of mineral and proximate compositions of Pleurotus ostreatus grown on three agrowastes. </w:t>
      </w:r>
      <w:r>
        <w:rPr>
          <w:rFonts w:ascii="Times New Roman" w:hAnsi="Times New Roman" w:cs="Times New Roman"/>
          <w:i/>
          <w:iCs/>
          <w:color w:val="EE0000"/>
          <w:sz w:val="22"/>
          <w:szCs w:val="22"/>
        </w:rPr>
        <w:t>International Journal of Agriculture, Biology &amp; Environment</w:t>
      </w:r>
      <w:r>
        <w:rPr>
          <w:rFonts w:ascii="Times New Roman" w:hAnsi="Times New Roman" w:cs="Times New Roman"/>
          <w:color w:val="EE0000"/>
          <w:sz w:val="22"/>
          <w:szCs w:val="22"/>
        </w:rPr>
        <w:t xml:space="preserve">, </w:t>
      </w:r>
      <w:r>
        <w:rPr>
          <w:rFonts w:ascii="Times New Roman" w:hAnsi="Times New Roman" w:cs="Times New Roman"/>
          <w:i/>
          <w:iCs/>
          <w:color w:val="EE0000"/>
          <w:sz w:val="22"/>
          <w:szCs w:val="22"/>
        </w:rPr>
        <w:t>1</w:t>
      </w:r>
      <w:r>
        <w:rPr>
          <w:rFonts w:ascii="Times New Roman" w:hAnsi="Times New Roman" w:cs="Times New Roman"/>
          <w:color w:val="EE0000"/>
          <w:sz w:val="22"/>
          <w:szCs w:val="22"/>
        </w:rPr>
        <w:t xml:space="preserve">(2), 22–27. </w:t>
      </w:r>
      <w:hyperlink r:id="rId15" w:history="1">
        <w:r>
          <w:rPr>
            <w:rStyle w:val="Hyperlink"/>
            <w:rFonts w:ascii="Times New Roman" w:hAnsi="Times New Roman" w:cs="Times New Roman"/>
            <w:color w:val="EE0000"/>
            <w:sz w:val="22"/>
            <w:szCs w:val="22"/>
          </w:rPr>
          <w:t>https://doi.org/10.47504/IJAGRI.2020.5119</w:t>
        </w:r>
      </w:hyperlink>
      <w:r>
        <w:rPr>
          <w:rFonts w:ascii="Times New Roman" w:hAnsi="Times New Roman" w:cs="Times New Roman"/>
          <w:color w:val="EE0000"/>
          <w:sz w:val="22"/>
          <w:szCs w:val="22"/>
        </w:rPr>
        <w:t xml:space="preserve"> </w:t>
      </w:r>
      <w:r>
        <w:rPr>
          <w:rStyle w:val="Hyperlink"/>
          <w:rFonts w:ascii="Times New Roman" w:hAnsi="Times New Roman" w:cs="Times New Roman"/>
          <w:color w:val="EE0000"/>
          <w:sz w:val="22"/>
          <w:szCs w:val="22"/>
        </w:rPr>
        <w:t>.</w:t>
      </w:r>
    </w:p>
    <w:p w14:paraId="1F067C63"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Agbagwa, S. S., Chuku, E. C., Wekhe, O. E., &amp; Okhifo, A. (2025</w:t>
      </w:r>
      <w:r>
        <w:rPr>
          <w:rFonts w:ascii="Times New Roman" w:hAnsi="Times New Roman" w:cs="Times New Roman"/>
          <w:i/>
          <w:iCs/>
          <w:color w:val="EE0000"/>
          <w:sz w:val="22"/>
          <w:szCs w:val="22"/>
        </w:rPr>
        <w:t>)</w:t>
      </w:r>
      <w:r>
        <w:rPr>
          <w:rFonts w:ascii="Times New Roman" w:hAnsi="Times New Roman" w:cs="Times New Roman"/>
          <w:color w:val="EE0000"/>
          <w:sz w:val="22"/>
          <w:szCs w:val="22"/>
        </w:rPr>
        <w:t xml:space="preserve">. Influence of seasonal variation and substrate type on the nutritional </w:t>
      </w:r>
      <w:r>
        <w:rPr>
          <w:rFonts w:ascii="Times New Roman" w:hAnsi="Times New Roman" w:cs="Times New Roman"/>
          <w:b/>
          <w:bCs/>
          <w:color w:val="EE0000"/>
          <w:sz w:val="22"/>
          <w:szCs w:val="22"/>
        </w:rPr>
        <w:t>c</w:t>
      </w:r>
      <w:r>
        <w:rPr>
          <w:rFonts w:ascii="Times New Roman" w:hAnsi="Times New Roman" w:cs="Times New Roman"/>
          <w:color w:val="EE0000"/>
          <w:sz w:val="22"/>
          <w:szCs w:val="22"/>
        </w:rPr>
        <w:t xml:space="preserve">omposition of </w:t>
      </w:r>
      <w:r>
        <w:rPr>
          <w:rFonts w:ascii="Times New Roman" w:hAnsi="Times New Roman" w:cs="Times New Roman"/>
          <w:i/>
          <w:iCs/>
          <w:color w:val="EE0000"/>
          <w:sz w:val="22"/>
          <w:szCs w:val="22"/>
        </w:rPr>
        <w:t xml:space="preserve">Pleurotus ostreatus </w:t>
      </w:r>
      <w:r>
        <w:rPr>
          <w:rFonts w:ascii="Times New Roman" w:hAnsi="Times New Roman" w:cs="Times New Roman"/>
          <w:color w:val="EE0000"/>
          <w:sz w:val="22"/>
          <w:szCs w:val="22"/>
        </w:rPr>
        <w:t xml:space="preserve">and </w:t>
      </w:r>
      <w:r>
        <w:rPr>
          <w:rFonts w:ascii="Times New Roman" w:hAnsi="Times New Roman" w:cs="Times New Roman"/>
          <w:i/>
          <w:iCs/>
          <w:color w:val="EE0000"/>
          <w:sz w:val="22"/>
          <w:szCs w:val="22"/>
        </w:rPr>
        <w:t xml:space="preserve">Pleurotus eryngii </w:t>
      </w:r>
      <w:r>
        <w:rPr>
          <w:rFonts w:ascii="Times New Roman" w:hAnsi="Times New Roman" w:cs="Times New Roman"/>
          <w:color w:val="EE0000"/>
          <w:sz w:val="22"/>
          <w:szCs w:val="22"/>
        </w:rPr>
        <w:t>cultivated in Port Harcourt, Nigeria.</w:t>
      </w:r>
      <w:r>
        <w:rPr>
          <w:rFonts w:ascii="Times New Roman" w:hAnsi="Times New Roman" w:cs="Times New Roman"/>
          <w:b/>
          <w:bCs/>
          <w:color w:val="EE0000"/>
          <w:sz w:val="22"/>
          <w:szCs w:val="22"/>
        </w:rPr>
        <w:t xml:space="preserve"> </w:t>
      </w:r>
      <w:r>
        <w:rPr>
          <w:rFonts w:ascii="Times New Roman" w:hAnsi="Times New Roman" w:cs="Times New Roman"/>
          <w:i/>
          <w:iCs/>
          <w:color w:val="EE0000"/>
          <w:sz w:val="22"/>
          <w:szCs w:val="22"/>
        </w:rPr>
        <w:t>Journal of Horticultural Science and Technology 8</w:t>
      </w:r>
      <w:r>
        <w:rPr>
          <w:rFonts w:ascii="Times New Roman" w:hAnsi="Times New Roman" w:cs="Times New Roman"/>
          <w:color w:val="EE0000"/>
          <w:sz w:val="22"/>
          <w:szCs w:val="22"/>
        </w:rPr>
        <w:t xml:space="preserve">(1), 17-22. </w:t>
      </w:r>
      <w:hyperlink r:id="rId16" w:tgtFrame="_blank" w:history="1">
        <w:r>
          <w:rPr>
            <w:rStyle w:val="Hyperlink"/>
            <w:rFonts w:ascii="Times New Roman" w:hAnsi="Times New Roman" w:cs="Times New Roman"/>
            <w:color w:val="EE0000"/>
            <w:sz w:val="22"/>
            <w:szCs w:val="22"/>
          </w:rPr>
          <w:t>https://doi.org/10.46653/jhst25081017</w:t>
        </w:r>
      </w:hyperlink>
    </w:p>
    <w:p w14:paraId="56DEA5C6"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Alazzeh, A. Y., Khalifa, A. M., Khatoon, F., Khan, F. H., Almughais, E. S., Shommo, S. A. M., Ibrahim, S., Ghonim, M. E. E. A., Alreshidi, F. S., Azzeh, F. S., &amp; Alshammari, F. M. (2023). Nutrition value of mushroom intake and its impact on human health. </w:t>
      </w:r>
      <w:r>
        <w:rPr>
          <w:rFonts w:ascii="Times New Roman" w:hAnsi="Times New Roman" w:cs="Times New Roman"/>
          <w:i/>
          <w:iCs/>
          <w:color w:val="EE0000"/>
          <w:sz w:val="22"/>
          <w:szCs w:val="22"/>
        </w:rPr>
        <w:t>International Neurourology Journal, 27</w:t>
      </w:r>
      <w:r>
        <w:rPr>
          <w:rFonts w:ascii="Times New Roman" w:hAnsi="Times New Roman" w:cs="Times New Roman"/>
          <w:color w:val="EE0000"/>
          <w:sz w:val="22"/>
          <w:szCs w:val="22"/>
        </w:rPr>
        <w:t xml:space="preserve">(3), 12–17. </w:t>
      </w:r>
      <w:hyperlink r:id="rId17" w:history="1">
        <w:r>
          <w:rPr>
            <w:rStyle w:val="Hyperlink"/>
            <w:rFonts w:ascii="Times New Roman" w:hAnsi="Times New Roman" w:cs="Times New Roman"/>
            <w:color w:val="EE0000"/>
            <w:sz w:val="22"/>
            <w:szCs w:val="22"/>
          </w:rPr>
          <w:t>https://doi.org/10.5123/inj.2024.1.inj3</w:t>
        </w:r>
      </w:hyperlink>
      <w:r>
        <w:rPr>
          <w:rFonts w:ascii="Times New Roman" w:hAnsi="Times New Roman" w:cs="Times New Roman"/>
          <w:color w:val="EE0000"/>
          <w:sz w:val="22"/>
          <w:szCs w:val="22"/>
        </w:rPr>
        <w:t xml:space="preserve"> .</w:t>
      </w:r>
    </w:p>
    <w:p w14:paraId="368A8588"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American Public Health Association, American Water Works Association, &amp; Water Environment Federation. (1998). 3111B, Direct air-acetylene flame method. In Standard methods for the examination of water and wastewater (20th ed.). </w:t>
      </w:r>
      <w:hyperlink r:id="rId18" w:history="1">
        <w:r>
          <w:rPr>
            <w:rStyle w:val="Hyperlink"/>
            <w:rFonts w:ascii="Times New Roman" w:hAnsi="Times New Roman" w:cs="Times New Roman"/>
            <w:color w:val="EE0000"/>
            <w:sz w:val="22"/>
            <w:szCs w:val="22"/>
          </w:rPr>
          <w:t>https://doi.org/10.2105/SMWW.2882.043</w:t>
        </w:r>
      </w:hyperlink>
      <w:r>
        <w:rPr>
          <w:rFonts w:ascii="Times New Roman" w:hAnsi="Times New Roman" w:cs="Times New Roman"/>
          <w:color w:val="EE0000"/>
          <w:sz w:val="22"/>
          <w:szCs w:val="22"/>
        </w:rPr>
        <w:t xml:space="preserve"> .</w:t>
      </w:r>
    </w:p>
    <w:p w14:paraId="7B317BC2"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Araújo-Rodrigues, H., Sousa, A. S., Relvas, J. B., Tavaria, F. K., &amp; Pintado, M. (2024). An overview on mushroom polysaccharides: Health-promoting properties, prebiotic and gut microbiota modulation effects and structure-function correlation. Carbohydrate Polymers. </w:t>
      </w:r>
      <w:hyperlink r:id="rId19" w:history="1">
        <w:r>
          <w:rPr>
            <w:rStyle w:val="Hyperlink"/>
            <w:rFonts w:ascii="Times New Roman" w:hAnsi="Times New Roman" w:cs="Times New Roman"/>
            <w:color w:val="EE0000"/>
            <w:sz w:val="22"/>
            <w:szCs w:val="22"/>
          </w:rPr>
          <w:t>https://doi.org/10.1016/j.carbpol.2024.121978</w:t>
        </w:r>
      </w:hyperlink>
      <w:r>
        <w:rPr>
          <w:rFonts w:ascii="Times New Roman" w:hAnsi="Times New Roman" w:cs="Times New Roman"/>
          <w:color w:val="EE0000"/>
          <w:sz w:val="22"/>
          <w:szCs w:val="22"/>
        </w:rPr>
        <w:t xml:space="preserve"> </w:t>
      </w:r>
      <w:bookmarkEnd w:id="11"/>
    </w:p>
    <w:p w14:paraId="3465BB03"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Assemie, A., &amp; Abaya, G. (2022). The effect of edible mushroom on health and their Biochemistry. </w:t>
      </w:r>
      <w:r>
        <w:rPr>
          <w:rFonts w:ascii="Times New Roman" w:hAnsi="Times New Roman" w:cs="Times New Roman"/>
          <w:i/>
          <w:iCs/>
          <w:color w:val="EE0000"/>
          <w:sz w:val="22"/>
          <w:szCs w:val="22"/>
        </w:rPr>
        <w:t>International Journal of Microbiology</w:t>
      </w:r>
      <w:r>
        <w:rPr>
          <w:rFonts w:ascii="Times New Roman" w:hAnsi="Times New Roman" w:cs="Times New Roman"/>
          <w:color w:val="EE0000"/>
          <w:sz w:val="22"/>
          <w:szCs w:val="22"/>
        </w:rPr>
        <w:t>.</w:t>
      </w:r>
      <w:r>
        <w:rPr>
          <w:rFonts w:ascii="Times New Roman" w:eastAsia="Times New Roman" w:hAnsi="Times New Roman" w:cs="Times New Roman"/>
          <w:color w:val="EE0000"/>
          <w:kern w:val="0"/>
          <w:sz w:val="22"/>
          <w:szCs w:val="22"/>
          <w14:ligatures w14:val="none"/>
        </w:rPr>
        <w:t xml:space="preserve"> </w:t>
      </w:r>
      <w:r>
        <w:rPr>
          <w:rFonts w:ascii="Times New Roman" w:eastAsia="Times New Roman" w:hAnsi="Times New Roman" w:cs="Times New Roman"/>
          <w:i/>
          <w:iCs/>
          <w:color w:val="EE0000"/>
          <w:kern w:val="0"/>
          <w:sz w:val="22"/>
          <w:szCs w:val="22"/>
          <w14:ligatures w14:val="none"/>
        </w:rPr>
        <w:t xml:space="preserve">2022, </w:t>
      </w:r>
      <w:r>
        <w:rPr>
          <w:rFonts w:ascii="Times New Roman" w:hAnsi="Times New Roman" w:cs="Times New Roman"/>
          <w:color w:val="EE0000"/>
          <w:sz w:val="22"/>
          <w:szCs w:val="22"/>
        </w:rPr>
        <w:t xml:space="preserve">8744788. </w:t>
      </w:r>
      <w:hyperlink r:id="rId20" w:history="1">
        <w:r>
          <w:rPr>
            <w:rStyle w:val="Hyperlink"/>
            <w:rFonts w:ascii="Times New Roman" w:hAnsi="Times New Roman" w:cs="Times New Roman"/>
            <w:color w:val="EE0000"/>
            <w:sz w:val="22"/>
            <w:szCs w:val="22"/>
          </w:rPr>
          <w:t>https://doi.org/10.1155/2022/8744788</w:t>
        </w:r>
      </w:hyperlink>
      <w:r>
        <w:rPr>
          <w:rFonts w:ascii="Times New Roman" w:hAnsi="Times New Roman" w:cs="Times New Roman"/>
          <w:color w:val="EE0000"/>
          <w:sz w:val="22"/>
          <w:szCs w:val="22"/>
        </w:rPr>
        <w:t xml:space="preserve"> .</w:t>
      </w:r>
    </w:p>
    <w:p w14:paraId="3DC42D8B"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Association of Official Analytical Chemists. (1990). </w:t>
      </w:r>
      <w:r>
        <w:rPr>
          <w:rFonts w:ascii="Times New Roman" w:hAnsi="Times New Roman" w:cs="Times New Roman"/>
          <w:i/>
          <w:iCs/>
          <w:color w:val="EE0000"/>
          <w:sz w:val="22"/>
          <w:szCs w:val="22"/>
        </w:rPr>
        <w:t>Official methods of analysis</w:t>
      </w:r>
      <w:r>
        <w:rPr>
          <w:rFonts w:ascii="Times New Roman" w:hAnsi="Times New Roman" w:cs="Times New Roman"/>
          <w:color w:val="EE0000"/>
          <w:sz w:val="22"/>
          <w:szCs w:val="22"/>
        </w:rPr>
        <w:t> (15th ed., pp. 2217-2280). </w:t>
      </w:r>
    </w:p>
    <w:p w14:paraId="2A1403F7"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Awewomom, J., Arhin, T. Y., Takyi, Y. D., Gyasi Yaw, A., Saaka, J., Opoku, F., Tandoh, M. A., Amankwah, E. A., &amp; Akoto, O. (2025). Exposure and Health Impact Assessment of Essential and Non-essential Elements in Rice Sold on Ghanaian Markets. </w:t>
      </w:r>
      <w:r>
        <w:rPr>
          <w:rFonts w:ascii="Times New Roman" w:hAnsi="Times New Roman" w:cs="Times New Roman"/>
          <w:i/>
          <w:iCs/>
          <w:color w:val="EE0000"/>
          <w:sz w:val="22"/>
          <w:szCs w:val="22"/>
        </w:rPr>
        <w:t>Environmental Health Insights</w:t>
      </w:r>
      <w:r>
        <w:rPr>
          <w:rFonts w:ascii="Times New Roman" w:hAnsi="Times New Roman" w:cs="Times New Roman"/>
          <w:color w:val="EE0000"/>
          <w:sz w:val="22"/>
          <w:szCs w:val="22"/>
        </w:rPr>
        <w:t xml:space="preserve">, </w:t>
      </w:r>
      <w:r>
        <w:rPr>
          <w:rFonts w:ascii="Times New Roman" w:hAnsi="Times New Roman" w:cs="Times New Roman"/>
          <w:i/>
          <w:iCs/>
          <w:color w:val="EE0000"/>
          <w:sz w:val="22"/>
          <w:szCs w:val="22"/>
        </w:rPr>
        <w:t>19</w:t>
      </w:r>
      <w:r>
        <w:rPr>
          <w:rFonts w:ascii="Times New Roman" w:hAnsi="Times New Roman" w:cs="Times New Roman"/>
          <w:color w:val="EE0000"/>
          <w:sz w:val="22"/>
          <w:szCs w:val="22"/>
        </w:rPr>
        <w:t xml:space="preserve">, 11786302251350482. </w:t>
      </w:r>
      <w:hyperlink r:id="rId21" w:history="1">
        <w:r>
          <w:rPr>
            <w:rStyle w:val="Hyperlink"/>
            <w:rFonts w:ascii="Times New Roman" w:hAnsi="Times New Roman" w:cs="Times New Roman"/>
            <w:color w:val="EE0000"/>
            <w:sz w:val="22"/>
            <w:szCs w:val="22"/>
          </w:rPr>
          <w:t>https://doi.org/10.1177/11786302251350482</w:t>
        </w:r>
      </w:hyperlink>
      <w:r>
        <w:rPr>
          <w:rFonts w:ascii="Times New Roman" w:hAnsi="Times New Roman" w:cs="Times New Roman"/>
          <w:color w:val="EE0000"/>
          <w:sz w:val="22"/>
          <w:szCs w:val="22"/>
        </w:rPr>
        <w:t xml:space="preserve"> .</w:t>
      </w:r>
    </w:p>
    <w:p w14:paraId="5CE8E5BB"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lastRenderedPageBreak/>
        <w:t xml:space="preserve">Bereda, G. (2022). Medicinal application of Mushrooms in treatment and management of communicable or non-communicable disease. </w:t>
      </w:r>
      <w:r>
        <w:rPr>
          <w:rFonts w:ascii="Times New Roman" w:hAnsi="Times New Roman" w:cs="Times New Roman"/>
          <w:i/>
          <w:iCs/>
          <w:color w:val="EE0000"/>
          <w:sz w:val="22"/>
          <w:szCs w:val="22"/>
        </w:rPr>
        <w:t>Academia Journal of Food Research, 10</w:t>
      </w:r>
      <w:r>
        <w:rPr>
          <w:rFonts w:ascii="Times New Roman" w:hAnsi="Times New Roman" w:cs="Times New Roman"/>
          <w:color w:val="EE0000"/>
          <w:sz w:val="22"/>
          <w:szCs w:val="22"/>
        </w:rPr>
        <w:t xml:space="preserve">(3), 025-028. </w:t>
      </w:r>
      <w:hyperlink r:id="rId22" w:history="1">
        <w:r>
          <w:rPr>
            <w:rStyle w:val="Hyperlink"/>
            <w:rFonts w:ascii="Times New Roman" w:hAnsi="Times New Roman" w:cs="Times New Roman"/>
            <w:color w:val="EE0000"/>
            <w:sz w:val="22"/>
            <w:szCs w:val="22"/>
          </w:rPr>
          <w:t>https://doi.org/10.15413/ajfr.2022.0102</w:t>
        </w:r>
      </w:hyperlink>
      <w:r>
        <w:rPr>
          <w:rFonts w:ascii="Times New Roman" w:hAnsi="Times New Roman" w:cs="Times New Roman"/>
          <w:color w:val="EE0000"/>
          <w:sz w:val="22"/>
          <w:szCs w:val="22"/>
        </w:rPr>
        <w:t xml:space="preserve"> .</w:t>
      </w:r>
    </w:p>
    <w:p w14:paraId="6DC23051"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Boadu, K. B., Nsiah-Asante, R., Antwi, R. T., Obirikorang, K. A., Anokye, R., &amp; Ansong, M. (2023). Influence of the chemical content of sawdust on the levels of important macronutrients and ash composition in Pearl oyster mushroom (Pleurotus ostreatus). </w:t>
      </w:r>
      <w:r>
        <w:rPr>
          <w:rFonts w:ascii="Times New Roman" w:hAnsi="Times New Roman" w:cs="Times New Roman"/>
          <w:i/>
          <w:iCs/>
          <w:color w:val="EE0000"/>
          <w:sz w:val="22"/>
          <w:szCs w:val="22"/>
        </w:rPr>
        <w:t>PLoS One</w:t>
      </w:r>
      <w:r>
        <w:rPr>
          <w:rFonts w:ascii="Times New Roman" w:hAnsi="Times New Roman" w:cs="Times New Roman"/>
          <w:color w:val="EE0000"/>
          <w:sz w:val="22"/>
          <w:szCs w:val="22"/>
        </w:rPr>
        <w:t xml:space="preserve">. </w:t>
      </w:r>
      <w:hyperlink r:id="rId23" w:history="1">
        <w:r>
          <w:rPr>
            <w:rStyle w:val="Hyperlink"/>
            <w:rFonts w:ascii="Times New Roman" w:hAnsi="Times New Roman" w:cs="Times New Roman"/>
            <w:color w:val="EE0000"/>
            <w:sz w:val="22"/>
            <w:szCs w:val="22"/>
          </w:rPr>
          <w:t>https://doi.org/10.1371/journal.pone.0287532</w:t>
        </w:r>
      </w:hyperlink>
      <w:r>
        <w:rPr>
          <w:rFonts w:ascii="Times New Roman" w:hAnsi="Times New Roman" w:cs="Times New Roman"/>
          <w:color w:val="EE0000"/>
          <w:sz w:val="22"/>
          <w:szCs w:val="22"/>
        </w:rPr>
        <w:t xml:space="preserve"> .</w:t>
      </w:r>
    </w:p>
    <w:p w14:paraId="4DC47728"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Bouchebti, S., Bodner, L., Bergman, M., Magory Cohen, T., &amp; Levin, E. (2022). The effects of dietary proline, β-alanine, and γ-aminobutyric acid (GABA) on the nest construction behavior in the Oriental hornet (Vespa orientalis</w:t>
      </w:r>
      <w:r>
        <w:rPr>
          <w:rFonts w:ascii="Times New Roman" w:hAnsi="Times New Roman" w:cs="Times New Roman"/>
          <w:i/>
          <w:iCs/>
          <w:color w:val="EE0000"/>
          <w:sz w:val="22"/>
          <w:szCs w:val="22"/>
        </w:rPr>
        <w:t>). Scientific Reports, 12</w:t>
      </w:r>
      <w:r>
        <w:rPr>
          <w:rFonts w:ascii="Times New Roman" w:hAnsi="Times New Roman" w:cs="Times New Roman"/>
          <w:color w:val="EE0000"/>
          <w:sz w:val="22"/>
          <w:szCs w:val="22"/>
        </w:rPr>
        <w:t xml:space="preserve">(1), 7449. </w:t>
      </w:r>
      <w:hyperlink r:id="rId24" w:history="1">
        <w:r>
          <w:rPr>
            <w:rStyle w:val="Hyperlink"/>
            <w:rFonts w:ascii="Times New Roman" w:hAnsi="Times New Roman" w:cs="Times New Roman"/>
            <w:color w:val="EE0000"/>
            <w:sz w:val="22"/>
            <w:szCs w:val="22"/>
          </w:rPr>
          <w:t>https://doi.org/10.1038/s41598-022-11579-w</w:t>
        </w:r>
      </w:hyperlink>
      <w:r>
        <w:rPr>
          <w:rFonts w:ascii="Times New Roman" w:hAnsi="Times New Roman" w:cs="Times New Roman"/>
          <w:color w:val="EE0000"/>
          <w:sz w:val="22"/>
          <w:szCs w:val="22"/>
        </w:rPr>
        <w:t xml:space="preserve"> .</w:t>
      </w:r>
    </w:p>
    <w:p w14:paraId="051C0A62"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Chandraprakash, S., Kamalasuriyan, C. M., Kumar, P.R., Manoj, R., Pradesh, G. J., Kumar, R. N., Kumar, D. K., &amp; Kalaiamutan, S. (2021). Performance of various substrates in the cultivation of oyster mushroom (Pleurotus sajor-caju). </w:t>
      </w:r>
      <w:r>
        <w:rPr>
          <w:rFonts w:ascii="Times New Roman" w:hAnsi="Times New Roman" w:cs="Times New Roman"/>
          <w:i/>
          <w:iCs/>
          <w:color w:val="EE0000"/>
          <w:sz w:val="22"/>
          <w:szCs w:val="22"/>
        </w:rPr>
        <w:t>Ecology Environment and Conservation, 28</w:t>
      </w:r>
      <w:r>
        <w:rPr>
          <w:rFonts w:ascii="Times New Roman" w:hAnsi="Times New Roman" w:cs="Times New Roman"/>
          <w:color w:val="EE0000"/>
          <w:sz w:val="22"/>
          <w:szCs w:val="22"/>
        </w:rPr>
        <w:t xml:space="preserve">(8), 252–257. </w:t>
      </w:r>
      <w:hyperlink r:id="rId25" w:history="1">
        <w:r>
          <w:rPr>
            <w:rStyle w:val="Hyperlink"/>
            <w:rFonts w:ascii="Times New Roman" w:hAnsi="Times New Roman" w:cs="Times New Roman"/>
            <w:color w:val="EE0000"/>
            <w:sz w:val="22"/>
            <w:szCs w:val="22"/>
          </w:rPr>
          <w:t>https://www.eminternational.com/journals/ecology-environment-conservation/archieved-issues</w:t>
        </w:r>
      </w:hyperlink>
      <w:r>
        <w:rPr>
          <w:rFonts w:ascii="Times New Roman" w:hAnsi="Times New Roman" w:cs="Times New Roman"/>
          <w:color w:val="EE0000"/>
          <w:sz w:val="22"/>
          <w:szCs w:val="22"/>
        </w:rPr>
        <w:t xml:space="preserve"> .</w:t>
      </w:r>
    </w:p>
    <w:p w14:paraId="1FC704B4"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Chirinang, P., &amp; Intarapichet, K. -O. (2009). Amino acids and antioxidant properties of the oyster mushrooms, Pleurotus ostreatus and Pleurotus sajor-caju. </w:t>
      </w:r>
      <w:r>
        <w:rPr>
          <w:rFonts w:ascii="Times New Roman" w:hAnsi="Times New Roman" w:cs="Times New Roman"/>
          <w:i/>
          <w:iCs/>
          <w:color w:val="EE0000"/>
          <w:sz w:val="22"/>
          <w:szCs w:val="22"/>
        </w:rPr>
        <w:t>ScienceAsia, 35</w:t>
      </w:r>
      <w:r>
        <w:rPr>
          <w:rFonts w:ascii="Times New Roman" w:hAnsi="Times New Roman" w:cs="Times New Roman"/>
          <w:color w:val="EE0000"/>
          <w:sz w:val="22"/>
          <w:szCs w:val="22"/>
        </w:rPr>
        <w:t xml:space="preserve">, 326–331. </w:t>
      </w:r>
      <w:hyperlink r:id="rId26" w:history="1">
        <w:r>
          <w:rPr>
            <w:rStyle w:val="Hyperlink"/>
            <w:rFonts w:ascii="Times New Roman" w:hAnsi="Times New Roman" w:cs="Times New Roman"/>
            <w:color w:val="EE0000"/>
            <w:sz w:val="22"/>
            <w:szCs w:val="22"/>
          </w:rPr>
          <w:t>https://doi.org/10.2306/scienceasia1513-1874.2009.35.326</w:t>
        </w:r>
      </w:hyperlink>
      <w:r>
        <w:rPr>
          <w:rFonts w:ascii="Times New Roman" w:hAnsi="Times New Roman" w:cs="Times New Roman"/>
          <w:color w:val="EE0000"/>
          <w:sz w:val="22"/>
          <w:szCs w:val="22"/>
        </w:rPr>
        <w:t xml:space="preserve"> .</w:t>
      </w:r>
    </w:p>
    <w:p w14:paraId="310C4296"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Dou, T., Zhang, K., Shi, X., Liu, W., Yu, F., &amp; Liu, D. (2025). Crop–Mushroom Rotation: A Comprehensive Review of Its Multifaceted Impacts on Soil Quality, Agricultural Sustainability, and Ecosystem Health. </w:t>
      </w:r>
      <w:r>
        <w:rPr>
          <w:rFonts w:ascii="Times New Roman" w:hAnsi="Times New Roman" w:cs="Times New Roman"/>
          <w:i/>
          <w:iCs/>
          <w:color w:val="EE0000"/>
          <w:sz w:val="22"/>
          <w:szCs w:val="22"/>
        </w:rPr>
        <w:t>Agronomy, 15</w:t>
      </w:r>
      <w:r>
        <w:rPr>
          <w:rFonts w:ascii="Times New Roman" w:hAnsi="Times New Roman" w:cs="Times New Roman"/>
          <w:color w:val="EE0000"/>
          <w:sz w:val="22"/>
          <w:szCs w:val="22"/>
        </w:rPr>
        <w:t xml:space="preserve">(3), 563. </w:t>
      </w:r>
      <w:hyperlink r:id="rId27" w:history="1">
        <w:r>
          <w:rPr>
            <w:rStyle w:val="Hyperlink"/>
            <w:rFonts w:ascii="Times New Roman" w:hAnsi="Times New Roman" w:cs="Times New Roman"/>
            <w:color w:val="EE0000"/>
            <w:sz w:val="22"/>
            <w:szCs w:val="22"/>
          </w:rPr>
          <w:t>https://doi.org/10.3390/agronomy15030563</w:t>
        </w:r>
      </w:hyperlink>
      <w:r>
        <w:rPr>
          <w:rFonts w:ascii="Times New Roman" w:hAnsi="Times New Roman" w:cs="Times New Roman"/>
          <w:color w:val="EE0000"/>
          <w:sz w:val="22"/>
          <w:szCs w:val="22"/>
        </w:rPr>
        <w:t xml:space="preserve"> </w:t>
      </w:r>
      <w:r>
        <w:rPr>
          <w:rStyle w:val="Hyperlink"/>
          <w:rFonts w:ascii="Times New Roman" w:hAnsi="Times New Roman" w:cs="Times New Roman"/>
          <w:color w:val="EE0000"/>
          <w:sz w:val="22"/>
          <w:szCs w:val="22"/>
        </w:rPr>
        <w:t>.</w:t>
      </w:r>
    </w:p>
    <w:p w14:paraId="3E633C20"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Effiong, M. E., Umeokwochi, C. P., Afolabi, I. S., &amp; Chinedu, S. N. (2024). Assessing the nutritional quality of Pleurotus ostreatus (oyster mushroom). </w:t>
      </w:r>
      <w:r>
        <w:rPr>
          <w:rFonts w:ascii="Times New Roman" w:hAnsi="Times New Roman" w:cs="Times New Roman"/>
          <w:i/>
          <w:iCs/>
          <w:color w:val="EE0000"/>
          <w:sz w:val="22"/>
          <w:szCs w:val="22"/>
        </w:rPr>
        <w:t>Frontiers in Nutrition.</w:t>
      </w:r>
      <w:r>
        <w:rPr>
          <w:rFonts w:ascii="Times New Roman" w:hAnsi="Times New Roman" w:cs="Times New Roman"/>
          <w:i/>
          <w:iCs/>
          <w:color w:val="EE0000"/>
          <w:sz w:val="22"/>
          <w:szCs w:val="22"/>
          <w:shd w:val="clear" w:color="auto" w:fill="FFFFFF"/>
        </w:rPr>
        <w:t xml:space="preserve"> </w:t>
      </w:r>
      <w:r>
        <w:rPr>
          <w:rFonts w:ascii="Times New Roman" w:hAnsi="Times New Roman" w:cs="Times New Roman"/>
          <w:i/>
          <w:iCs/>
          <w:color w:val="EE0000"/>
          <w:sz w:val="22"/>
          <w:szCs w:val="22"/>
        </w:rPr>
        <w:t>10</w:t>
      </w:r>
      <w:r>
        <w:rPr>
          <w:rFonts w:ascii="Times New Roman" w:hAnsi="Times New Roman" w:cs="Times New Roman"/>
          <w:color w:val="EE0000"/>
          <w:sz w:val="22"/>
          <w:szCs w:val="22"/>
        </w:rPr>
        <w:t xml:space="preserve">, 1279208. </w:t>
      </w:r>
      <w:hyperlink r:id="rId28" w:history="1">
        <w:r>
          <w:rPr>
            <w:rStyle w:val="Hyperlink"/>
            <w:rFonts w:ascii="Times New Roman" w:hAnsi="Times New Roman" w:cs="Times New Roman"/>
            <w:color w:val="EE0000"/>
            <w:sz w:val="22"/>
            <w:szCs w:val="22"/>
          </w:rPr>
          <w:t>https://doi.org/10.3389/fnut.2023.1279208</w:t>
        </w:r>
      </w:hyperlink>
      <w:r>
        <w:rPr>
          <w:rFonts w:ascii="Times New Roman" w:hAnsi="Times New Roman" w:cs="Times New Roman"/>
          <w:color w:val="EE0000"/>
          <w:sz w:val="22"/>
          <w:szCs w:val="22"/>
        </w:rPr>
        <w:t xml:space="preserve"> .</w:t>
      </w:r>
    </w:p>
    <w:p w14:paraId="000663FB"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Elkin, R. G., &amp; Griffith. J. E. (1985). Hydrolysate preparation for analysis of amino acids in sorghum grains: Effect of oxidative pretreatment. </w:t>
      </w:r>
      <w:r>
        <w:rPr>
          <w:rFonts w:ascii="Times New Roman" w:hAnsi="Times New Roman" w:cs="Times New Roman"/>
          <w:i/>
          <w:iCs/>
          <w:color w:val="EE0000"/>
          <w:sz w:val="22"/>
          <w:szCs w:val="22"/>
        </w:rPr>
        <w:t>Journal of the Association of the Official Analytical Chemists</w:t>
      </w:r>
      <w:r>
        <w:rPr>
          <w:rFonts w:ascii="Times New Roman" w:hAnsi="Times New Roman" w:cs="Times New Roman"/>
          <w:color w:val="EE0000"/>
          <w:sz w:val="22"/>
          <w:szCs w:val="22"/>
        </w:rPr>
        <w:t xml:space="preserve">, </w:t>
      </w:r>
      <w:r>
        <w:rPr>
          <w:rFonts w:ascii="Times New Roman" w:hAnsi="Times New Roman" w:cs="Times New Roman"/>
          <w:i/>
          <w:iCs/>
          <w:color w:val="EE0000"/>
          <w:sz w:val="22"/>
          <w:szCs w:val="22"/>
        </w:rPr>
        <w:t>68</w:t>
      </w:r>
      <w:r>
        <w:rPr>
          <w:rFonts w:ascii="Times New Roman" w:hAnsi="Times New Roman" w:cs="Times New Roman"/>
          <w:color w:val="EE0000"/>
          <w:sz w:val="22"/>
          <w:szCs w:val="22"/>
        </w:rPr>
        <w:t xml:space="preserve">, 1028-1032 </w:t>
      </w:r>
      <w:hyperlink r:id="rId29" w:history="1">
        <w:r>
          <w:rPr>
            <w:rStyle w:val="Hyperlink"/>
            <w:rFonts w:ascii="Times New Roman" w:hAnsi="Times New Roman" w:cs="Times New Roman"/>
            <w:color w:val="EE0000"/>
            <w:sz w:val="22"/>
            <w:szCs w:val="22"/>
          </w:rPr>
          <w:t>https://doi.org/10.1093/jaoac/68.6.1117</w:t>
        </w:r>
      </w:hyperlink>
      <w:r>
        <w:rPr>
          <w:rFonts w:ascii="Times New Roman" w:hAnsi="Times New Roman" w:cs="Times New Roman"/>
          <w:color w:val="EE0000"/>
          <w:sz w:val="22"/>
          <w:szCs w:val="22"/>
        </w:rPr>
        <w:t xml:space="preserve"> .</w:t>
      </w:r>
    </w:p>
    <w:p w14:paraId="10364B2F"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Enemor, V. H. A., Ogbodo, U. C., Nworji, O. F., Ezeigwe, O. C., Okpala, C. O., &amp; Iheonunekwu, G. C. (2020). Evaluation of the Nutritional Status and Phytomedicinal Properties of Dried Rhizomes of Turmeric (Curcuma longa). </w:t>
      </w:r>
      <w:r>
        <w:rPr>
          <w:rFonts w:ascii="Times New Roman" w:hAnsi="Times New Roman" w:cs="Times New Roman"/>
          <w:i/>
          <w:iCs/>
          <w:color w:val="EE0000"/>
          <w:sz w:val="22"/>
          <w:szCs w:val="22"/>
        </w:rPr>
        <w:t>Journal of Biosciences and Medicines, 8</w:t>
      </w:r>
      <w:r>
        <w:rPr>
          <w:rFonts w:ascii="Times New Roman" w:hAnsi="Times New Roman" w:cs="Times New Roman"/>
          <w:color w:val="EE0000"/>
          <w:sz w:val="22"/>
          <w:szCs w:val="22"/>
        </w:rPr>
        <w:t xml:space="preserve">, 163-179. </w:t>
      </w:r>
      <w:hyperlink r:id="rId30" w:history="1">
        <w:r>
          <w:rPr>
            <w:rStyle w:val="Hyperlink"/>
            <w:rFonts w:ascii="Times New Roman" w:hAnsi="Times New Roman" w:cs="Times New Roman"/>
            <w:color w:val="EE0000"/>
            <w:sz w:val="22"/>
            <w:szCs w:val="22"/>
          </w:rPr>
          <w:t>https://doi.org/10.4236/jbm.2020.88015</w:t>
        </w:r>
      </w:hyperlink>
      <w:r>
        <w:rPr>
          <w:rFonts w:ascii="Times New Roman" w:hAnsi="Times New Roman" w:cs="Times New Roman"/>
          <w:color w:val="EE0000"/>
          <w:sz w:val="22"/>
          <w:szCs w:val="22"/>
        </w:rPr>
        <w:t xml:space="preserve"> .</w:t>
      </w:r>
    </w:p>
    <w:p w14:paraId="0DEF09FE"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Ezomoh, O. O., Samson, A., Egwonu, S. B., &amp; Chiamaka, O. A. (2019). Determination of heavy metal, cadmium, iron, lead, mercury, tin, nickel and vanadium in four different water samples in Bayelsa metropolis. </w:t>
      </w:r>
      <w:r>
        <w:rPr>
          <w:rFonts w:ascii="Times New Roman" w:hAnsi="Times New Roman" w:cs="Times New Roman"/>
          <w:i/>
          <w:iCs/>
          <w:color w:val="EE0000"/>
          <w:sz w:val="22"/>
          <w:szCs w:val="22"/>
        </w:rPr>
        <w:t>Journal of Research in Environmental and Earth Sciences, 5</w:t>
      </w:r>
      <w:r>
        <w:rPr>
          <w:rFonts w:ascii="Times New Roman" w:hAnsi="Times New Roman" w:cs="Times New Roman"/>
          <w:color w:val="EE0000"/>
          <w:sz w:val="22"/>
          <w:szCs w:val="22"/>
        </w:rPr>
        <w:t xml:space="preserve">(1), 16-19. </w:t>
      </w:r>
      <w:hyperlink r:id="rId31" w:history="1">
        <w:r>
          <w:rPr>
            <w:rStyle w:val="Hyperlink"/>
            <w:rFonts w:ascii="Times New Roman" w:hAnsi="Times New Roman" w:cs="Times New Roman"/>
            <w:color w:val="EE0000"/>
            <w:sz w:val="22"/>
            <w:szCs w:val="22"/>
          </w:rPr>
          <w:t>http://www.questjournals.org/jrees/v5-i1.html</w:t>
        </w:r>
      </w:hyperlink>
      <w:r>
        <w:rPr>
          <w:rFonts w:ascii="Times New Roman" w:hAnsi="Times New Roman" w:cs="Times New Roman"/>
          <w:color w:val="EE0000"/>
          <w:sz w:val="22"/>
          <w:szCs w:val="22"/>
        </w:rPr>
        <w:t xml:space="preserve"> .</w:t>
      </w:r>
    </w:p>
    <w:p w14:paraId="265F1415"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Fitsum, S., Sbhatu, D. B., &amp; Gebreyohannes, G. (2025). Harnessing the nutritional value, therapeutic applications, and environmental impact of mushrooms. </w:t>
      </w:r>
      <w:r>
        <w:rPr>
          <w:rFonts w:ascii="Times New Roman" w:hAnsi="Times New Roman" w:cs="Times New Roman"/>
          <w:i/>
          <w:iCs/>
          <w:color w:val="EE0000"/>
          <w:sz w:val="22"/>
          <w:szCs w:val="22"/>
        </w:rPr>
        <w:t>Food Science and Nutrition.</w:t>
      </w:r>
      <w:r>
        <w:rPr>
          <w:rFonts w:ascii="Times New Roman" w:hAnsi="Times New Roman" w:cs="Times New Roman"/>
          <w:i/>
          <w:iCs/>
          <w:color w:val="EE0000"/>
          <w:sz w:val="22"/>
          <w:szCs w:val="22"/>
          <w:shd w:val="clear" w:color="auto" w:fill="FFFFFF"/>
        </w:rPr>
        <w:t xml:space="preserve"> </w:t>
      </w:r>
      <w:r>
        <w:rPr>
          <w:rFonts w:ascii="Times New Roman" w:hAnsi="Times New Roman" w:cs="Times New Roman"/>
          <w:i/>
          <w:iCs/>
          <w:color w:val="EE0000"/>
          <w:sz w:val="22"/>
          <w:szCs w:val="22"/>
        </w:rPr>
        <w:t>13</w:t>
      </w:r>
      <w:r>
        <w:rPr>
          <w:rFonts w:ascii="Times New Roman" w:hAnsi="Times New Roman" w:cs="Times New Roman"/>
          <w:color w:val="EE0000"/>
          <w:sz w:val="22"/>
          <w:szCs w:val="22"/>
        </w:rPr>
        <w:t xml:space="preserve">(7), e70611. </w:t>
      </w:r>
      <w:hyperlink r:id="rId32" w:history="1">
        <w:r>
          <w:rPr>
            <w:rStyle w:val="Hyperlink"/>
            <w:rFonts w:ascii="Times New Roman" w:hAnsi="Times New Roman" w:cs="Times New Roman"/>
            <w:color w:val="EE0000"/>
            <w:sz w:val="22"/>
            <w:szCs w:val="22"/>
          </w:rPr>
          <w:t>https://doi.org/10.1002/fsn3.70611</w:t>
        </w:r>
      </w:hyperlink>
      <w:r>
        <w:rPr>
          <w:rStyle w:val="Hyperlink"/>
          <w:rFonts w:ascii="Times New Roman" w:hAnsi="Times New Roman" w:cs="Times New Roman"/>
          <w:color w:val="EE0000"/>
          <w:sz w:val="22"/>
          <w:szCs w:val="22"/>
        </w:rPr>
        <w:t>.</w:t>
      </w:r>
    </w:p>
    <w:p w14:paraId="289243DD"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Fujii, J., Osaki, T., Soma, Y., &amp; Matsuda, Y. (2023). Critical roles of the cysteine-glutathione axis in the production of γ-glutamyl peptides in the nervous system. </w:t>
      </w:r>
      <w:r>
        <w:rPr>
          <w:rFonts w:ascii="Times New Roman" w:hAnsi="Times New Roman" w:cs="Times New Roman"/>
          <w:i/>
          <w:iCs/>
          <w:color w:val="EE0000"/>
          <w:sz w:val="22"/>
          <w:szCs w:val="22"/>
        </w:rPr>
        <w:t>International Journal of Molecular Sciences, 24</w:t>
      </w:r>
      <w:r>
        <w:rPr>
          <w:rFonts w:ascii="Times New Roman" w:hAnsi="Times New Roman" w:cs="Times New Roman"/>
          <w:color w:val="EE0000"/>
          <w:sz w:val="22"/>
          <w:szCs w:val="22"/>
        </w:rPr>
        <w:t xml:space="preserve">(9), 8044. </w:t>
      </w:r>
      <w:hyperlink r:id="rId33" w:history="1">
        <w:r>
          <w:rPr>
            <w:rStyle w:val="Hyperlink"/>
            <w:rFonts w:ascii="Times New Roman" w:hAnsi="Times New Roman" w:cs="Times New Roman"/>
            <w:color w:val="EE0000"/>
            <w:sz w:val="22"/>
            <w:szCs w:val="22"/>
          </w:rPr>
          <w:t>https://doi.org/10.3390/ijms24098044</w:t>
        </w:r>
      </w:hyperlink>
      <w:r>
        <w:rPr>
          <w:rFonts w:ascii="Times New Roman" w:hAnsi="Times New Roman" w:cs="Times New Roman"/>
          <w:color w:val="EE0000"/>
          <w:sz w:val="22"/>
          <w:szCs w:val="22"/>
        </w:rPr>
        <w:t xml:space="preserve"> .</w:t>
      </w:r>
    </w:p>
    <w:p w14:paraId="0E423B92"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Ghaffar, F., Mehmood, Z., &amp; Dar, S. A. (2024). Nutritional composition and morphlogical characteristics of oyster mushroom (Pleurotus ostreatus) cultivated on two agro-based ligoncellulosic substrates. </w:t>
      </w:r>
      <w:r>
        <w:rPr>
          <w:rFonts w:ascii="Times New Roman" w:hAnsi="Times New Roman" w:cs="Times New Roman"/>
          <w:i/>
          <w:iCs/>
          <w:color w:val="EE0000"/>
          <w:sz w:val="22"/>
          <w:szCs w:val="22"/>
        </w:rPr>
        <w:t>Journal of Population Therapeutics and Clinical Pharmacology, 31</w:t>
      </w:r>
      <w:r>
        <w:rPr>
          <w:rFonts w:ascii="Times New Roman" w:hAnsi="Times New Roman" w:cs="Times New Roman"/>
          <w:color w:val="EE0000"/>
          <w:sz w:val="22"/>
          <w:szCs w:val="22"/>
        </w:rPr>
        <w:t xml:space="preserve">(6), 3436-3445. </w:t>
      </w:r>
      <w:hyperlink r:id="rId34" w:history="1">
        <w:r>
          <w:rPr>
            <w:rStyle w:val="Hyperlink"/>
            <w:rFonts w:ascii="Times New Roman" w:hAnsi="Times New Roman" w:cs="Times New Roman"/>
            <w:color w:val="EE0000"/>
            <w:sz w:val="22"/>
            <w:szCs w:val="22"/>
          </w:rPr>
          <w:t>https://doi.org/10.53555/xktgdw29</w:t>
        </w:r>
      </w:hyperlink>
      <w:r>
        <w:rPr>
          <w:rFonts w:ascii="Times New Roman" w:hAnsi="Times New Roman" w:cs="Times New Roman"/>
          <w:color w:val="EE0000"/>
          <w:sz w:val="22"/>
          <w:szCs w:val="22"/>
        </w:rPr>
        <w:t xml:space="preserve"> .</w:t>
      </w:r>
    </w:p>
    <w:p w14:paraId="1DF4120E"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Gnanwa, J. M., Soro, L. C., Fagbohoun, J. B., Yorou, N. S., &amp; Kouame, L. P. (2021). Assessment of minerals, vitamins, amino and fatty acids components of Pleurotus ostreatus mushrooms cultivated and sold in the village of M’Badon (Abidjan, Côte d’Ivoire). </w:t>
      </w:r>
      <w:r>
        <w:rPr>
          <w:rFonts w:ascii="Times New Roman" w:hAnsi="Times New Roman" w:cs="Times New Roman"/>
          <w:i/>
          <w:iCs/>
          <w:color w:val="EE0000"/>
          <w:sz w:val="22"/>
          <w:szCs w:val="22"/>
        </w:rPr>
        <w:t>International Journal of Current Microbiology and Applied Sciences, 10</w:t>
      </w:r>
      <w:r>
        <w:rPr>
          <w:rFonts w:ascii="Times New Roman" w:hAnsi="Times New Roman" w:cs="Times New Roman"/>
          <w:color w:val="EE0000"/>
          <w:sz w:val="22"/>
          <w:szCs w:val="22"/>
        </w:rPr>
        <w:t xml:space="preserve">, 276–283. </w:t>
      </w:r>
      <w:hyperlink r:id="rId35" w:history="1">
        <w:r>
          <w:rPr>
            <w:rStyle w:val="Hyperlink"/>
            <w:rFonts w:ascii="Times New Roman" w:hAnsi="Times New Roman" w:cs="Times New Roman"/>
            <w:color w:val="EE0000"/>
            <w:sz w:val="22"/>
            <w:szCs w:val="22"/>
          </w:rPr>
          <w:t>https://doi.org/10.20546/ijcmas.2021.1009.032</w:t>
        </w:r>
      </w:hyperlink>
      <w:r>
        <w:rPr>
          <w:rFonts w:ascii="Times New Roman" w:hAnsi="Times New Roman" w:cs="Times New Roman"/>
          <w:color w:val="EE0000"/>
          <w:sz w:val="22"/>
          <w:szCs w:val="22"/>
        </w:rPr>
        <w:t xml:space="preserve"> .</w:t>
      </w:r>
    </w:p>
    <w:p w14:paraId="37655789"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lastRenderedPageBreak/>
        <w:t xml:space="preserve">Igile, G. O., Bassey, S. O., Ekpe, O. O., Essien, N. M., &amp; Assim-Ita, E. A. (2020). Nutrient composition of oyster mushroom (Pleurotus ostreatus), grown on rubber wood sawdust in Calabar, Nigeria, and the nutrient variability between harvest times. </w:t>
      </w:r>
      <w:r>
        <w:rPr>
          <w:rFonts w:ascii="Times New Roman" w:hAnsi="Times New Roman" w:cs="Times New Roman"/>
          <w:i/>
          <w:iCs/>
          <w:color w:val="EE0000"/>
          <w:sz w:val="22"/>
          <w:szCs w:val="22"/>
        </w:rPr>
        <w:t>European Journal of Food Science and Technology, 8</w:t>
      </w:r>
      <w:r>
        <w:rPr>
          <w:rFonts w:ascii="Times New Roman" w:hAnsi="Times New Roman" w:cs="Times New Roman"/>
          <w:color w:val="EE0000"/>
          <w:sz w:val="22"/>
          <w:szCs w:val="22"/>
        </w:rPr>
        <w:t xml:space="preserve">(2), 46-61. </w:t>
      </w:r>
      <w:hyperlink r:id="rId36" w:history="1">
        <w:r>
          <w:rPr>
            <w:rStyle w:val="Hyperlink"/>
            <w:rFonts w:ascii="Times New Roman" w:hAnsi="Times New Roman" w:cs="Times New Roman"/>
            <w:color w:val="EE0000"/>
            <w:sz w:val="22"/>
            <w:szCs w:val="22"/>
          </w:rPr>
          <w:t>https://doi.org/10.37745/ejfst.2013</w:t>
        </w:r>
      </w:hyperlink>
      <w:r>
        <w:rPr>
          <w:rFonts w:ascii="Times New Roman" w:hAnsi="Times New Roman" w:cs="Times New Roman"/>
          <w:color w:val="EE0000"/>
          <w:sz w:val="22"/>
          <w:szCs w:val="22"/>
        </w:rPr>
        <w:t xml:space="preserve"> </w:t>
      </w:r>
    </w:p>
    <w:p w14:paraId="45DC024E"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Jasinska, A., Stoknes, K., Niedzielski, P., Budka, A., &amp; Mleczek, M. (2024). Mushroom production on digestate: Mineral composition of cultivation compost, mushrooms, spent mushroom compost and spent casing. </w:t>
      </w:r>
      <w:r>
        <w:rPr>
          <w:rFonts w:ascii="Times New Roman" w:hAnsi="Times New Roman" w:cs="Times New Roman"/>
          <w:i/>
          <w:iCs/>
          <w:color w:val="EE0000"/>
          <w:sz w:val="22"/>
          <w:szCs w:val="22"/>
        </w:rPr>
        <w:t>Journal of Agriculture and Food Research. 18</w:t>
      </w:r>
      <w:r>
        <w:rPr>
          <w:rFonts w:ascii="Times New Roman" w:hAnsi="Times New Roman" w:cs="Times New Roman"/>
          <w:color w:val="EE0000"/>
          <w:sz w:val="22"/>
          <w:szCs w:val="22"/>
        </w:rPr>
        <w:t xml:space="preserve">, 101518.  </w:t>
      </w:r>
      <w:hyperlink r:id="rId37" w:history="1">
        <w:r>
          <w:rPr>
            <w:rStyle w:val="Hyperlink"/>
            <w:rFonts w:ascii="Times New Roman" w:hAnsi="Times New Roman" w:cs="Times New Roman"/>
            <w:color w:val="EE0000"/>
            <w:sz w:val="22"/>
            <w:szCs w:val="22"/>
          </w:rPr>
          <w:t>https://doi.org/10.1016/j.jafr.2024.101518</w:t>
        </w:r>
      </w:hyperlink>
      <w:r>
        <w:rPr>
          <w:rFonts w:ascii="Times New Roman" w:hAnsi="Times New Roman" w:cs="Times New Roman"/>
          <w:color w:val="EE0000"/>
          <w:sz w:val="22"/>
          <w:szCs w:val="22"/>
        </w:rPr>
        <w:t xml:space="preserve"> </w:t>
      </w:r>
    </w:p>
    <w:p w14:paraId="24513484"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Kouassi, K. A., Konan, K. H., Kouadio, E. J. P., Due, A. E., &amp; Kouamé, L. P. (2016). Proximate Composition, Minerals and Amino Acids Profiles of Selected Wild Edible Russula Species from Côte d'Ivoire. </w:t>
      </w:r>
      <w:r>
        <w:rPr>
          <w:rFonts w:ascii="Times New Roman" w:hAnsi="Times New Roman" w:cs="Times New Roman"/>
          <w:i/>
          <w:iCs/>
          <w:color w:val="EE0000"/>
          <w:sz w:val="22"/>
          <w:szCs w:val="22"/>
        </w:rPr>
        <w:t>Turkish Journal of Agriculture-Food Science and Technology</w:t>
      </w:r>
      <w:r>
        <w:rPr>
          <w:rFonts w:ascii="Times New Roman" w:hAnsi="Times New Roman" w:cs="Times New Roman"/>
          <w:color w:val="EE0000"/>
          <w:sz w:val="22"/>
          <w:szCs w:val="22"/>
        </w:rPr>
        <w:t xml:space="preserve">, </w:t>
      </w:r>
      <w:r>
        <w:rPr>
          <w:rFonts w:ascii="Times New Roman" w:hAnsi="Times New Roman" w:cs="Times New Roman"/>
          <w:i/>
          <w:iCs/>
          <w:color w:val="EE0000"/>
          <w:sz w:val="22"/>
          <w:szCs w:val="22"/>
        </w:rPr>
        <w:t>4</w:t>
      </w:r>
      <w:r>
        <w:rPr>
          <w:rFonts w:ascii="Times New Roman" w:hAnsi="Times New Roman" w:cs="Times New Roman"/>
          <w:color w:val="EE0000"/>
          <w:sz w:val="22"/>
          <w:szCs w:val="22"/>
        </w:rPr>
        <w:t xml:space="preserve">(10), 882-886. </w:t>
      </w:r>
      <w:hyperlink r:id="rId38" w:history="1">
        <w:r>
          <w:rPr>
            <w:rStyle w:val="Hyperlink"/>
            <w:rFonts w:ascii="Times New Roman" w:hAnsi="Times New Roman" w:cs="Times New Roman"/>
            <w:color w:val="EE0000"/>
            <w:sz w:val="22"/>
            <w:szCs w:val="22"/>
          </w:rPr>
          <w:t>https://doi.org/10.24925/turjaf.v4i10.882-886.816</w:t>
        </w:r>
      </w:hyperlink>
      <w:r>
        <w:rPr>
          <w:rFonts w:ascii="Times New Roman" w:hAnsi="Times New Roman" w:cs="Times New Roman"/>
          <w:color w:val="EE0000"/>
          <w:sz w:val="22"/>
          <w:szCs w:val="22"/>
        </w:rPr>
        <w:t xml:space="preserve"> .</w:t>
      </w:r>
    </w:p>
    <w:p w14:paraId="5A587F0C"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Ladli. (2020). A Review on Oyster Mushroom [</w:t>
      </w:r>
      <w:r>
        <w:rPr>
          <w:rFonts w:ascii="Times New Roman" w:hAnsi="Times New Roman" w:cs="Times New Roman"/>
          <w:i/>
          <w:iCs/>
          <w:color w:val="EE0000"/>
          <w:sz w:val="22"/>
          <w:szCs w:val="22"/>
        </w:rPr>
        <w:t>Pleurotus ostreatus</w:t>
      </w:r>
      <w:r>
        <w:rPr>
          <w:rFonts w:ascii="Times New Roman" w:hAnsi="Times New Roman" w:cs="Times New Roman"/>
          <w:color w:val="EE0000"/>
          <w:sz w:val="22"/>
          <w:szCs w:val="22"/>
        </w:rPr>
        <w:t>] Cultivation.</w:t>
      </w:r>
      <w:r>
        <w:rPr>
          <w:rFonts w:ascii="Times New Roman" w:hAnsi="Times New Roman" w:cs="Times New Roman"/>
          <w:i/>
          <w:iCs/>
          <w:color w:val="EE0000"/>
          <w:sz w:val="22"/>
          <w:szCs w:val="22"/>
        </w:rPr>
        <w:t xml:space="preserve"> International Journal of Current Microbiology and Applied Sciences. 11, </w:t>
      </w:r>
      <w:r>
        <w:rPr>
          <w:rFonts w:ascii="Times New Roman" w:hAnsi="Times New Roman" w:cs="Times New Roman"/>
          <w:color w:val="EE0000"/>
          <w:sz w:val="22"/>
          <w:szCs w:val="22"/>
        </w:rPr>
        <w:t xml:space="preserve">1653-1665  </w:t>
      </w:r>
      <w:hyperlink r:id="rId39" w:history="1">
        <w:r>
          <w:rPr>
            <w:rStyle w:val="Hyperlink"/>
            <w:rFonts w:ascii="Times New Roman" w:hAnsi="Times New Roman" w:cs="Times New Roman"/>
            <w:color w:val="EE0000"/>
            <w:sz w:val="22"/>
            <w:szCs w:val="22"/>
          </w:rPr>
          <w:t>http://www.ijcmas.com/special-issue-11/Ladli.pdf</w:t>
        </w:r>
      </w:hyperlink>
      <w:r>
        <w:rPr>
          <w:rFonts w:ascii="Times New Roman" w:hAnsi="Times New Roman" w:cs="Times New Roman"/>
          <w:color w:val="EE0000"/>
          <w:sz w:val="22"/>
          <w:szCs w:val="22"/>
        </w:rPr>
        <w:t xml:space="preserve"> .</w:t>
      </w:r>
    </w:p>
    <w:p w14:paraId="100EDA0F"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Maurya, H., Shankar, P., Daniel, M., &amp; Parveen, Z. (2025). Nutritional and functional properties of oyster mushroom (Plepleurotus ostreatus) based protein bar: a review. </w:t>
      </w:r>
      <w:r>
        <w:rPr>
          <w:rFonts w:ascii="Times New Roman" w:hAnsi="Times New Roman" w:cs="Times New Roman"/>
          <w:i/>
          <w:iCs/>
          <w:color w:val="EE0000"/>
          <w:sz w:val="22"/>
          <w:szCs w:val="22"/>
        </w:rPr>
        <w:t>International Journal of Environmental &amp; Agriculture Research (IJOEAR), 11</w:t>
      </w:r>
      <w:r>
        <w:rPr>
          <w:rFonts w:ascii="Times New Roman" w:hAnsi="Times New Roman" w:cs="Times New Roman"/>
          <w:color w:val="EE0000"/>
          <w:sz w:val="22"/>
          <w:szCs w:val="22"/>
        </w:rPr>
        <w:t xml:space="preserve">(5), 28-33. </w:t>
      </w:r>
      <w:hyperlink r:id="rId40" w:history="1">
        <w:r>
          <w:rPr>
            <w:rStyle w:val="Hyperlink"/>
            <w:rFonts w:ascii="Times New Roman" w:hAnsi="Times New Roman" w:cs="Times New Roman"/>
            <w:color w:val="EE0000"/>
            <w:sz w:val="22"/>
            <w:szCs w:val="22"/>
          </w:rPr>
          <w:t>https://doi.org/10.5281/zenodo.15552109</w:t>
        </w:r>
      </w:hyperlink>
      <w:r>
        <w:rPr>
          <w:rFonts w:ascii="Times New Roman" w:hAnsi="Times New Roman" w:cs="Times New Roman"/>
          <w:color w:val="EE0000"/>
          <w:sz w:val="22"/>
          <w:szCs w:val="22"/>
        </w:rPr>
        <w:t xml:space="preserve"> .</w:t>
      </w:r>
    </w:p>
    <w:p w14:paraId="24D03E1A"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Moskalev, A., Stambler, I., &amp; Caruso, C. (2020). Innate and Adaptive Immunity in Aging and Longevity: The Foundation of Resilience. </w:t>
      </w:r>
      <w:r>
        <w:rPr>
          <w:rFonts w:ascii="Times New Roman" w:hAnsi="Times New Roman" w:cs="Times New Roman"/>
          <w:i/>
          <w:iCs/>
          <w:color w:val="EE0000"/>
          <w:sz w:val="22"/>
          <w:szCs w:val="22"/>
        </w:rPr>
        <w:t>Aging and Disease. 11</w:t>
      </w:r>
      <w:r>
        <w:rPr>
          <w:rFonts w:ascii="Times New Roman" w:hAnsi="Times New Roman" w:cs="Times New Roman"/>
          <w:color w:val="EE0000"/>
          <w:sz w:val="22"/>
          <w:szCs w:val="22"/>
        </w:rPr>
        <w:t xml:space="preserve">(6), 1363-1373. </w:t>
      </w:r>
      <w:hyperlink r:id="rId41" w:history="1">
        <w:r>
          <w:rPr>
            <w:rStyle w:val="Hyperlink"/>
            <w:rFonts w:ascii="Times New Roman" w:hAnsi="Times New Roman" w:cs="Times New Roman"/>
            <w:color w:val="EE0000"/>
            <w:sz w:val="22"/>
            <w:szCs w:val="22"/>
          </w:rPr>
          <w:t>https://doi.org/10.14336/AD.2020.0603</w:t>
        </w:r>
      </w:hyperlink>
      <w:r>
        <w:rPr>
          <w:rFonts w:ascii="Times New Roman" w:hAnsi="Times New Roman" w:cs="Times New Roman"/>
          <w:color w:val="EE0000"/>
          <w:sz w:val="22"/>
          <w:szCs w:val="22"/>
        </w:rPr>
        <w:t xml:space="preserve"> . </w:t>
      </w:r>
    </w:p>
    <w:p w14:paraId="63EB3E50"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Muhammed, H. M., Hafizat, K., Rabe, A. M., Danladi, G. H., Stephen, D. Y., &amp; Isah, A. O. (2023). Determination of nutritional value of </w:t>
      </w:r>
      <w:r>
        <w:rPr>
          <w:rFonts w:ascii="Times New Roman" w:hAnsi="Times New Roman" w:cs="Times New Roman"/>
          <w:i/>
          <w:iCs/>
          <w:color w:val="EE0000"/>
          <w:sz w:val="22"/>
          <w:szCs w:val="22"/>
        </w:rPr>
        <w:t>Pleurotus ostreatus</w:t>
      </w:r>
      <w:r>
        <w:rPr>
          <w:rFonts w:ascii="Times New Roman" w:hAnsi="Times New Roman" w:cs="Times New Roman"/>
          <w:color w:val="EE0000"/>
          <w:sz w:val="22"/>
          <w:szCs w:val="22"/>
        </w:rPr>
        <w:t xml:space="preserve"> Jacq. Exfr. P.Kumn (oyster mushroom) cultivated on some plant substrates. </w:t>
      </w:r>
      <w:r>
        <w:rPr>
          <w:rFonts w:ascii="Times New Roman" w:hAnsi="Times New Roman" w:cs="Times New Roman"/>
          <w:i/>
          <w:iCs/>
          <w:color w:val="EE0000"/>
          <w:sz w:val="22"/>
          <w:szCs w:val="22"/>
        </w:rPr>
        <w:t>FUDMA Journal of Sciences, 7</w:t>
      </w:r>
      <w:r>
        <w:rPr>
          <w:rFonts w:ascii="Times New Roman" w:hAnsi="Times New Roman" w:cs="Times New Roman"/>
          <w:color w:val="EE0000"/>
          <w:sz w:val="22"/>
          <w:szCs w:val="22"/>
        </w:rPr>
        <w:t xml:space="preserve">(5), 30-33. </w:t>
      </w:r>
      <w:hyperlink r:id="rId42" w:history="1">
        <w:r>
          <w:rPr>
            <w:rStyle w:val="Hyperlink"/>
            <w:rFonts w:ascii="Times New Roman" w:hAnsi="Times New Roman" w:cs="Times New Roman"/>
            <w:color w:val="EE0000"/>
            <w:sz w:val="22"/>
            <w:szCs w:val="22"/>
          </w:rPr>
          <w:t>https://doi.org/10.33003/fjs-2023-0705-1891</w:t>
        </w:r>
      </w:hyperlink>
      <w:r>
        <w:rPr>
          <w:rFonts w:ascii="Times New Roman" w:hAnsi="Times New Roman" w:cs="Times New Roman"/>
          <w:color w:val="EE0000"/>
          <w:sz w:val="22"/>
          <w:szCs w:val="22"/>
        </w:rPr>
        <w:t xml:space="preserve"> .</w:t>
      </w:r>
    </w:p>
    <w:p w14:paraId="52C27F38"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Muthu, N., &amp; Shanmugasundaram, K. (2016). Proximate and mineral compositions of edible mushroom </w:t>
      </w:r>
      <w:r>
        <w:rPr>
          <w:rFonts w:ascii="Times New Roman" w:hAnsi="Times New Roman" w:cs="Times New Roman"/>
          <w:i/>
          <w:iCs/>
          <w:color w:val="EE0000"/>
          <w:sz w:val="22"/>
          <w:szCs w:val="22"/>
        </w:rPr>
        <w:t>Agrocybe aegerita</w:t>
      </w:r>
      <w:r>
        <w:rPr>
          <w:rFonts w:ascii="Times New Roman" w:hAnsi="Times New Roman" w:cs="Times New Roman"/>
          <w:color w:val="EE0000"/>
          <w:sz w:val="22"/>
          <w:szCs w:val="22"/>
        </w:rPr>
        <w:t xml:space="preserve">. </w:t>
      </w:r>
      <w:r>
        <w:rPr>
          <w:rFonts w:ascii="Times New Roman" w:hAnsi="Times New Roman" w:cs="Times New Roman"/>
          <w:i/>
          <w:iCs/>
          <w:color w:val="EE0000"/>
          <w:sz w:val="22"/>
          <w:szCs w:val="22"/>
        </w:rPr>
        <w:t>Journal of Pharmacognosy and Phytochemistry, 5</w:t>
      </w:r>
      <w:r>
        <w:rPr>
          <w:rFonts w:ascii="Times New Roman" w:hAnsi="Times New Roman" w:cs="Times New Roman"/>
          <w:color w:val="EE0000"/>
          <w:sz w:val="22"/>
          <w:szCs w:val="22"/>
        </w:rPr>
        <w:t xml:space="preserve">(1), 116-119. </w:t>
      </w:r>
      <w:hyperlink r:id="rId43" w:history="1">
        <w:r>
          <w:rPr>
            <w:rStyle w:val="Hyperlink"/>
            <w:rFonts w:ascii="Times New Roman" w:hAnsi="Times New Roman" w:cs="Times New Roman"/>
            <w:color w:val="EE0000"/>
            <w:sz w:val="22"/>
            <w:szCs w:val="22"/>
          </w:rPr>
          <w:t>https://www.jphytochemistry.com/vol-5-issue-1-2016.html</w:t>
        </w:r>
      </w:hyperlink>
      <w:r>
        <w:rPr>
          <w:rFonts w:ascii="Times New Roman" w:hAnsi="Times New Roman" w:cs="Times New Roman"/>
          <w:color w:val="EE0000"/>
          <w:sz w:val="22"/>
          <w:szCs w:val="22"/>
        </w:rPr>
        <w:t xml:space="preserve"> .</w:t>
      </w:r>
    </w:p>
    <w:p w14:paraId="0A97605D"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Nwaogu, A. G., Amadioha, Ogbonna, A., Obani, F. T., Aja, O. A., &amp; Kolawole, O. O. (2024). Agro-waste substrates on the proximate composition of grey oyster mushroom (</w:t>
      </w:r>
      <w:r>
        <w:rPr>
          <w:rFonts w:ascii="Times New Roman" w:hAnsi="Times New Roman" w:cs="Times New Roman"/>
          <w:i/>
          <w:iCs/>
          <w:color w:val="EE0000"/>
          <w:sz w:val="22"/>
          <w:szCs w:val="22"/>
        </w:rPr>
        <w:t>Pleurotus ostreatus</w:t>
      </w:r>
      <w:r>
        <w:rPr>
          <w:rFonts w:ascii="Times New Roman" w:hAnsi="Times New Roman" w:cs="Times New Roman"/>
          <w:color w:val="EE0000"/>
          <w:sz w:val="22"/>
          <w:szCs w:val="22"/>
        </w:rPr>
        <w:t xml:space="preserve"> Jacq.) in Abia-State. </w:t>
      </w:r>
      <w:r>
        <w:rPr>
          <w:rFonts w:ascii="Times New Roman" w:hAnsi="Times New Roman" w:cs="Times New Roman"/>
          <w:i/>
          <w:iCs/>
          <w:color w:val="EE0000"/>
          <w:sz w:val="22"/>
          <w:szCs w:val="22"/>
        </w:rPr>
        <w:t>Pollution and Effects on Community Health, 3</w:t>
      </w:r>
      <w:r>
        <w:rPr>
          <w:rFonts w:ascii="Times New Roman" w:hAnsi="Times New Roman" w:cs="Times New Roman"/>
          <w:color w:val="EE0000"/>
          <w:sz w:val="22"/>
          <w:szCs w:val="22"/>
        </w:rPr>
        <w:t xml:space="preserve">(2), 024. </w:t>
      </w:r>
      <w:hyperlink r:id="rId44" w:history="1">
        <w:r>
          <w:rPr>
            <w:rStyle w:val="Hyperlink"/>
            <w:rFonts w:ascii="Times New Roman" w:hAnsi="Times New Roman" w:cs="Times New Roman"/>
            <w:color w:val="EE0000"/>
            <w:sz w:val="22"/>
            <w:szCs w:val="22"/>
          </w:rPr>
          <w:t>https://doi.org/10.58489/2836-3590/024</w:t>
        </w:r>
      </w:hyperlink>
      <w:r>
        <w:rPr>
          <w:rFonts w:ascii="Times New Roman" w:hAnsi="Times New Roman" w:cs="Times New Roman"/>
          <w:color w:val="EE0000"/>
          <w:sz w:val="22"/>
          <w:szCs w:val="22"/>
        </w:rPr>
        <w:t xml:space="preserve"> .</w:t>
      </w:r>
    </w:p>
    <w:p w14:paraId="6C587B2B"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Ogbu, B. U., Okonkwo, W. I., &amp; Ugwu, S. N. (2021). Development of a modified environment for oyster mushroom (</w:t>
      </w:r>
      <w:r>
        <w:rPr>
          <w:rFonts w:ascii="Times New Roman" w:hAnsi="Times New Roman" w:cs="Times New Roman"/>
          <w:i/>
          <w:iCs/>
          <w:color w:val="EE0000"/>
          <w:sz w:val="22"/>
          <w:szCs w:val="22"/>
        </w:rPr>
        <w:t>Pleurotus ostreatus</w:t>
      </w:r>
      <w:r>
        <w:rPr>
          <w:rFonts w:ascii="Times New Roman" w:hAnsi="Times New Roman" w:cs="Times New Roman"/>
          <w:color w:val="EE0000"/>
          <w:sz w:val="22"/>
          <w:szCs w:val="22"/>
        </w:rPr>
        <w:t xml:space="preserve">) production system for rural use in Southeast Nigeria. </w:t>
      </w:r>
      <w:r>
        <w:rPr>
          <w:rFonts w:ascii="Times New Roman" w:hAnsi="Times New Roman" w:cs="Times New Roman"/>
          <w:i/>
          <w:iCs/>
          <w:color w:val="EE0000"/>
          <w:sz w:val="22"/>
          <w:szCs w:val="22"/>
        </w:rPr>
        <w:t>Nigerian Journal of Technology, 40</w:t>
      </w:r>
      <w:r>
        <w:rPr>
          <w:rFonts w:ascii="Times New Roman" w:hAnsi="Times New Roman" w:cs="Times New Roman"/>
          <w:color w:val="EE0000"/>
          <w:sz w:val="22"/>
          <w:szCs w:val="22"/>
        </w:rPr>
        <w:t xml:space="preserve">(3), 518–525. </w:t>
      </w:r>
      <w:hyperlink r:id="rId45" w:history="1">
        <w:r>
          <w:rPr>
            <w:rStyle w:val="Hyperlink"/>
            <w:rFonts w:ascii="Times New Roman" w:hAnsi="Times New Roman" w:cs="Times New Roman"/>
            <w:color w:val="EE0000"/>
            <w:sz w:val="22"/>
            <w:szCs w:val="22"/>
          </w:rPr>
          <w:t>https://mail.nijotech.com/index.php/nijotech/article/view/2678</w:t>
        </w:r>
      </w:hyperlink>
      <w:r>
        <w:rPr>
          <w:rFonts w:ascii="Times New Roman" w:hAnsi="Times New Roman" w:cs="Times New Roman"/>
          <w:color w:val="EE0000"/>
          <w:sz w:val="22"/>
          <w:szCs w:val="22"/>
        </w:rPr>
        <w:t xml:space="preserve"> .</w:t>
      </w:r>
    </w:p>
    <w:p w14:paraId="197A00FB"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Ogbuji, N. G., &amp; Mbeke-Gomba, E. S. (2024). Oyster Mushroom [</w:t>
      </w:r>
      <w:r>
        <w:rPr>
          <w:rFonts w:ascii="Times New Roman" w:hAnsi="Times New Roman" w:cs="Times New Roman"/>
          <w:i/>
          <w:iCs/>
          <w:color w:val="EE0000"/>
          <w:sz w:val="22"/>
          <w:szCs w:val="22"/>
        </w:rPr>
        <w:t>Pleurotus</w:t>
      </w:r>
      <w:r>
        <w:rPr>
          <w:rFonts w:ascii="Times New Roman" w:hAnsi="Times New Roman" w:cs="Times New Roman"/>
          <w:color w:val="EE0000"/>
          <w:sz w:val="22"/>
          <w:szCs w:val="22"/>
        </w:rPr>
        <w:t xml:space="preserve"> </w:t>
      </w:r>
      <w:r>
        <w:rPr>
          <w:rFonts w:ascii="Times New Roman" w:hAnsi="Times New Roman" w:cs="Times New Roman"/>
          <w:i/>
          <w:iCs/>
          <w:color w:val="EE0000"/>
          <w:sz w:val="22"/>
          <w:szCs w:val="22"/>
        </w:rPr>
        <w:t>ostreatus</w:t>
      </w:r>
      <w:r>
        <w:rPr>
          <w:rFonts w:ascii="Times New Roman" w:hAnsi="Times New Roman" w:cs="Times New Roman"/>
          <w:color w:val="EE0000"/>
          <w:sz w:val="22"/>
          <w:szCs w:val="22"/>
        </w:rPr>
        <w:t xml:space="preserve"> (Jacq. ex Fr.) P. Kumm.] Cultivation using Agricultural Wastes. </w:t>
      </w:r>
      <w:r>
        <w:rPr>
          <w:rFonts w:ascii="Times New Roman" w:hAnsi="Times New Roman" w:cs="Times New Roman"/>
          <w:i/>
          <w:iCs/>
          <w:color w:val="EE0000"/>
          <w:sz w:val="22"/>
          <w:szCs w:val="22"/>
        </w:rPr>
        <w:t>Ethiopian Journal of Agricultural Sciences, 34</w:t>
      </w:r>
      <w:r>
        <w:rPr>
          <w:rFonts w:ascii="Times New Roman" w:hAnsi="Times New Roman" w:cs="Times New Roman"/>
          <w:color w:val="EE0000"/>
          <w:sz w:val="22"/>
          <w:szCs w:val="22"/>
        </w:rPr>
        <w:t xml:space="preserve">(4), 112–122. </w:t>
      </w:r>
      <w:hyperlink r:id="rId46" w:history="1">
        <w:r>
          <w:rPr>
            <w:rStyle w:val="Hyperlink"/>
            <w:rFonts w:ascii="Times New Roman" w:hAnsi="Times New Roman" w:cs="Times New Roman"/>
            <w:color w:val="EE0000"/>
            <w:sz w:val="22"/>
            <w:szCs w:val="22"/>
          </w:rPr>
          <w:t>https://www.ajol.info/index.php/ejas/article/view/259000</w:t>
        </w:r>
      </w:hyperlink>
      <w:r>
        <w:rPr>
          <w:rFonts w:ascii="Times New Roman" w:hAnsi="Times New Roman" w:cs="Times New Roman"/>
          <w:color w:val="EE0000"/>
          <w:sz w:val="22"/>
          <w:szCs w:val="22"/>
        </w:rPr>
        <w:t xml:space="preserve"> .</w:t>
      </w:r>
    </w:p>
    <w:p w14:paraId="7884676F"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Olasupo, O. O., Asonibare, A. O., Babalola, Y. O., Akeredolu, O. A., Bamgboye, A. M., &amp; Akanni, F. O. (2024). Comparative reports on </w:t>
      </w:r>
      <w:r>
        <w:rPr>
          <w:rFonts w:ascii="Times New Roman" w:hAnsi="Times New Roman" w:cs="Times New Roman"/>
          <w:i/>
          <w:iCs/>
          <w:color w:val="EE0000"/>
          <w:sz w:val="22"/>
          <w:szCs w:val="22"/>
        </w:rPr>
        <w:t>Pleurotus Sajor-caju</w:t>
      </w:r>
      <w:r>
        <w:rPr>
          <w:rFonts w:ascii="Times New Roman" w:hAnsi="Times New Roman" w:cs="Times New Roman"/>
          <w:color w:val="EE0000"/>
          <w:sz w:val="22"/>
          <w:szCs w:val="22"/>
        </w:rPr>
        <w:t xml:space="preserve"> cultivated on local wood wastes in Ibadan metropolis, Nigeria. </w:t>
      </w:r>
      <w:r>
        <w:rPr>
          <w:rFonts w:ascii="Times New Roman" w:hAnsi="Times New Roman" w:cs="Times New Roman"/>
          <w:i/>
          <w:iCs/>
          <w:color w:val="EE0000"/>
          <w:sz w:val="22"/>
          <w:szCs w:val="22"/>
        </w:rPr>
        <w:t>Journal of Applied Sciences and Environmental Management, 28</w:t>
      </w:r>
      <w:r>
        <w:rPr>
          <w:rFonts w:ascii="Times New Roman" w:hAnsi="Times New Roman" w:cs="Times New Roman"/>
          <w:color w:val="EE0000"/>
          <w:sz w:val="22"/>
          <w:szCs w:val="22"/>
        </w:rPr>
        <w:t xml:space="preserve">(2), 595-601. </w:t>
      </w:r>
      <w:hyperlink r:id="rId47" w:history="1">
        <w:r>
          <w:rPr>
            <w:rStyle w:val="Hyperlink"/>
            <w:rFonts w:ascii="Times New Roman" w:hAnsi="Times New Roman" w:cs="Times New Roman"/>
            <w:color w:val="EE0000"/>
            <w:sz w:val="22"/>
            <w:szCs w:val="22"/>
          </w:rPr>
          <w:t>https://doi.org/10.4314/jasem.v28i2.33</w:t>
        </w:r>
      </w:hyperlink>
      <w:r>
        <w:rPr>
          <w:rFonts w:ascii="Times New Roman" w:hAnsi="Times New Roman" w:cs="Times New Roman"/>
          <w:color w:val="EE0000"/>
          <w:sz w:val="22"/>
          <w:szCs w:val="22"/>
        </w:rPr>
        <w:t xml:space="preserve"> .</w:t>
      </w:r>
    </w:p>
    <w:p w14:paraId="0A810DC1"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Owabie, P. I, Chuku, E. C., Nwauzoma, A. B., &amp; Nmom, F. W. (2025). Nutrient composition and fungal flora of </w:t>
      </w:r>
      <w:r>
        <w:rPr>
          <w:rFonts w:ascii="Times New Roman" w:hAnsi="Times New Roman" w:cs="Times New Roman"/>
          <w:i/>
          <w:iCs/>
          <w:color w:val="EE0000"/>
          <w:sz w:val="22"/>
          <w:szCs w:val="22"/>
        </w:rPr>
        <w:t xml:space="preserve">Pleurotus ostreatus </w:t>
      </w:r>
      <w:r>
        <w:rPr>
          <w:rFonts w:ascii="Times New Roman" w:hAnsi="Times New Roman" w:cs="Times New Roman"/>
          <w:color w:val="EE0000"/>
          <w:sz w:val="22"/>
          <w:szCs w:val="22"/>
        </w:rPr>
        <w:t xml:space="preserve">and </w:t>
      </w:r>
      <w:r>
        <w:rPr>
          <w:rFonts w:ascii="Times New Roman" w:hAnsi="Times New Roman" w:cs="Times New Roman"/>
          <w:i/>
          <w:iCs/>
          <w:color w:val="EE0000"/>
          <w:sz w:val="22"/>
          <w:szCs w:val="22"/>
        </w:rPr>
        <w:t>Pleurotus tuber-regium.</w:t>
      </w:r>
      <w:r>
        <w:rPr>
          <w:rFonts w:ascii="Times New Roman" w:hAnsi="Times New Roman" w:cs="Times New Roman"/>
          <w:color w:val="EE0000"/>
          <w:sz w:val="22"/>
          <w:szCs w:val="22"/>
        </w:rPr>
        <w:t xml:space="preserve"> </w:t>
      </w:r>
      <w:r>
        <w:rPr>
          <w:rFonts w:ascii="Times New Roman" w:hAnsi="Times New Roman" w:cs="Times New Roman"/>
          <w:i/>
          <w:iCs/>
          <w:color w:val="EE0000"/>
          <w:sz w:val="22"/>
          <w:szCs w:val="22"/>
        </w:rPr>
        <w:t>International Journal of Agriculture and Earth Science (IJAES),</w:t>
      </w:r>
      <w:r>
        <w:rPr>
          <w:rFonts w:ascii="Times New Roman" w:hAnsi="Times New Roman" w:cs="Times New Roman"/>
          <w:color w:val="EE0000"/>
          <w:sz w:val="22"/>
          <w:szCs w:val="22"/>
        </w:rPr>
        <w:t xml:space="preserve"> </w:t>
      </w:r>
      <w:r>
        <w:rPr>
          <w:rFonts w:ascii="Times New Roman" w:hAnsi="Times New Roman" w:cs="Times New Roman"/>
          <w:i/>
          <w:iCs/>
          <w:color w:val="EE0000"/>
          <w:sz w:val="22"/>
          <w:szCs w:val="22"/>
        </w:rPr>
        <w:t>11</w:t>
      </w:r>
      <w:r>
        <w:rPr>
          <w:rFonts w:ascii="Times New Roman" w:hAnsi="Times New Roman" w:cs="Times New Roman"/>
          <w:color w:val="EE0000"/>
          <w:sz w:val="22"/>
          <w:szCs w:val="22"/>
        </w:rPr>
        <w:t>(8), 153-161.</w:t>
      </w:r>
    </w:p>
    <w:p w14:paraId="13F9657B"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Raman, J., Jang, K. Y., Oh, Y. L., Oh, M., Im, J. H., Lakshmanan, H., &amp; Sabaratnam, V. (2021). Cultivation and nutritional value of prominent </w:t>
      </w:r>
      <w:r>
        <w:rPr>
          <w:rFonts w:ascii="Times New Roman" w:hAnsi="Times New Roman" w:cs="Times New Roman"/>
          <w:i/>
          <w:iCs/>
          <w:color w:val="EE0000"/>
          <w:sz w:val="22"/>
          <w:szCs w:val="22"/>
        </w:rPr>
        <w:t>Pleurotus spp</w:t>
      </w:r>
      <w:r>
        <w:rPr>
          <w:rFonts w:ascii="Times New Roman" w:hAnsi="Times New Roman" w:cs="Times New Roman"/>
          <w:color w:val="EE0000"/>
          <w:sz w:val="22"/>
          <w:szCs w:val="22"/>
        </w:rPr>
        <w:t xml:space="preserve">.: An overview. </w:t>
      </w:r>
      <w:r>
        <w:rPr>
          <w:rFonts w:ascii="Times New Roman" w:hAnsi="Times New Roman" w:cs="Times New Roman"/>
          <w:i/>
          <w:iCs/>
          <w:color w:val="EE0000"/>
          <w:sz w:val="22"/>
          <w:szCs w:val="22"/>
        </w:rPr>
        <w:t>Mycobiology, 49</w:t>
      </w:r>
      <w:r>
        <w:rPr>
          <w:rFonts w:ascii="Times New Roman" w:hAnsi="Times New Roman" w:cs="Times New Roman"/>
          <w:color w:val="EE0000"/>
          <w:sz w:val="22"/>
          <w:szCs w:val="22"/>
        </w:rPr>
        <w:t xml:space="preserve">(1), 1–14. </w:t>
      </w:r>
      <w:hyperlink r:id="rId48" w:history="1">
        <w:r>
          <w:rPr>
            <w:rStyle w:val="Hyperlink"/>
            <w:rFonts w:ascii="Times New Roman" w:hAnsi="Times New Roman" w:cs="Times New Roman"/>
            <w:color w:val="EE0000"/>
            <w:sz w:val="22"/>
            <w:szCs w:val="22"/>
          </w:rPr>
          <w:t>https://doi.org/10.1080/12298093.2020.1835142</w:t>
        </w:r>
      </w:hyperlink>
      <w:r>
        <w:rPr>
          <w:rFonts w:ascii="Times New Roman" w:hAnsi="Times New Roman" w:cs="Times New Roman"/>
          <w:color w:val="EE0000"/>
          <w:sz w:val="22"/>
          <w:szCs w:val="22"/>
        </w:rPr>
        <w:t xml:space="preserve"> .</w:t>
      </w:r>
    </w:p>
    <w:p w14:paraId="61B6D448"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lastRenderedPageBreak/>
        <w:t xml:space="preserve">Roghini, R., &amp; Vijayalakshmi, K. (2018). Phytochemical screening, quantitative analysis of flavonoids and minerals in ethanolic extract of Citrus paradisi. </w:t>
      </w:r>
      <w:r>
        <w:rPr>
          <w:rFonts w:ascii="Times New Roman" w:hAnsi="Times New Roman" w:cs="Times New Roman"/>
          <w:i/>
          <w:iCs/>
          <w:color w:val="EE0000"/>
          <w:sz w:val="22"/>
          <w:szCs w:val="22"/>
        </w:rPr>
        <w:t>International Journal of Pharmaceutical Sciences and Research, 9</w:t>
      </w:r>
      <w:r>
        <w:rPr>
          <w:rFonts w:ascii="Times New Roman" w:hAnsi="Times New Roman" w:cs="Times New Roman"/>
          <w:color w:val="EE0000"/>
          <w:sz w:val="22"/>
          <w:szCs w:val="22"/>
        </w:rPr>
        <w:t xml:space="preserve">(11), 4859–4864. </w:t>
      </w:r>
      <w:hyperlink r:id="rId49" w:history="1">
        <w:r>
          <w:rPr>
            <w:rStyle w:val="Hyperlink"/>
            <w:rFonts w:ascii="Times New Roman" w:hAnsi="Times New Roman" w:cs="Times New Roman"/>
            <w:color w:val="EE0000"/>
            <w:sz w:val="22"/>
            <w:szCs w:val="22"/>
          </w:rPr>
          <w:t>https://doi.org/10.13040/IJPSR.0975-8232.9(11).4859-64</w:t>
        </w:r>
      </w:hyperlink>
      <w:r>
        <w:rPr>
          <w:rFonts w:ascii="Times New Roman" w:hAnsi="Times New Roman" w:cs="Times New Roman"/>
          <w:color w:val="EE0000"/>
          <w:sz w:val="22"/>
          <w:szCs w:val="22"/>
        </w:rPr>
        <w:t xml:space="preserve"> . </w:t>
      </w:r>
    </w:p>
    <w:p w14:paraId="3DFABBA0"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Sharmila, S., Jeyanthi Rebecca, L., Tissopi, T., &amp; Kowsalya, E. (2015). Effect of substrates on the cultivation of Pleurotus ostreatus and its nutritional analysis. </w:t>
      </w:r>
      <w:r>
        <w:rPr>
          <w:rFonts w:ascii="Times New Roman" w:hAnsi="Times New Roman" w:cs="Times New Roman"/>
          <w:i/>
          <w:iCs/>
          <w:color w:val="EE0000"/>
          <w:sz w:val="22"/>
          <w:szCs w:val="22"/>
        </w:rPr>
        <w:t>Der Pharmacia Lettre, 7</w:t>
      </w:r>
      <w:r>
        <w:rPr>
          <w:rFonts w:ascii="Times New Roman" w:hAnsi="Times New Roman" w:cs="Times New Roman"/>
          <w:color w:val="EE0000"/>
          <w:sz w:val="22"/>
          <w:szCs w:val="22"/>
        </w:rPr>
        <w:t xml:space="preserve">(8), 193-196. </w:t>
      </w:r>
    </w:p>
    <w:p w14:paraId="56FCD16D"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Singh, A., Saini, R. K., Kumar, A., Chawla, P., &amp; Kaushik, R. (2025). Mushrooms as nutritional powerhouses: A review of their bioactive compounds, health benefits, and value-added products. </w:t>
      </w:r>
      <w:r>
        <w:rPr>
          <w:rFonts w:ascii="Times New Roman" w:hAnsi="Times New Roman" w:cs="Times New Roman"/>
          <w:i/>
          <w:iCs/>
          <w:color w:val="EE0000"/>
          <w:sz w:val="22"/>
          <w:szCs w:val="22"/>
        </w:rPr>
        <w:t>Foods, 14</w:t>
      </w:r>
      <w:r>
        <w:rPr>
          <w:rFonts w:ascii="Times New Roman" w:hAnsi="Times New Roman" w:cs="Times New Roman"/>
          <w:color w:val="EE0000"/>
          <w:sz w:val="22"/>
          <w:szCs w:val="22"/>
        </w:rPr>
        <w:t xml:space="preserve">(5), 741. </w:t>
      </w:r>
      <w:hyperlink r:id="rId50" w:history="1">
        <w:r>
          <w:rPr>
            <w:rStyle w:val="Hyperlink"/>
            <w:rFonts w:ascii="Times New Roman" w:hAnsi="Times New Roman" w:cs="Times New Roman"/>
            <w:color w:val="EE0000"/>
            <w:sz w:val="22"/>
            <w:szCs w:val="22"/>
          </w:rPr>
          <w:t>https://doi.org/10.3390/foods14050741</w:t>
        </w:r>
      </w:hyperlink>
      <w:r>
        <w:rPr>
          <w:rFonts w:ascii="Times New Roman" w:hAnsi="Times New Roman" w:cs="Times New Roman"/>
          <w:color w:val="EE0000"/>
          <w:sz w:val="22"/>
          <w:szCs w:val="22"/>
        </w:rPr>
        <w:t xml:space="preserve"> .</w:t>
      </w:r>
    </w:p>
    <w:p w14:paraId="3BFB1671"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Sultana, S., Shamsuzzaman, M., Miah, M. A. S., Kakon, A. J., Mafi, A. H., Sen, A., Siddiqui, M. N., &amp; Bhattacharjya, D. K. (2024). Assessment of proximate composition, mineral element profile and antioxidant properties of the edible oyster mushroom grown in Bangladesh. </w:t>
      </w:r>
      <w:r>
        <w:rPr>
          <w:rFonts w:ascii="Times New Roman" w:hAnsi="Times New Roman" w:cs="Times New Roman"/>
          <w:i/>
          <w:iCs/>
          <w:color w:val="EE0000"/>
          <w:sz w:val="22"/>
          <w:szCs w:val="22"/>
        </w:rPr>
        <w:t>Discover Food</w:t>
      </w:r>
      <w:r>
        <w:rPr>
          <w:rFonts w:ascii="Times New Roman" w:hAnsi="Times New Roman" w:cs="Times New Roman"/>
          <w:color w:val="EE0000"/>
          <w:sz w:val="22"/>
          <w:szCs w:val="22"/>
        </w:rPr>
        <w:t xml:space="preserve">. </w:t>
      </w:r>
      <w:r>
        <w:rPr>
          <w:rFonts w:ascii="Times New Roman" w:hAnsi="Times New Roman" w:cs="Times New Roman"/>
          <w:i/>
          <w:iCs/>
          <w:color w:val="EE0000"/>
          <w:sz w:val="22"/>
          <w:szCs w:val="22"/>
        </w:rPr>
        <w:t>4,</w:t>
      </w:r>
      <w:r>
        <w:rPr>
          <w:rFonts w:ascii="Times New Roman" w:hAnsi="Times New Roman" w:cs="Times New Roman"/>
          <w:color w:val="EE0000"/>
          <w:sz w:val="22"/>
          <w:szCs w:val="22"/>
        </w:rPr>
        <w:t xml:space="preserve"> 126|. </w:t>
      </w:r>
      <w:hyperlink r:id="rId51" w:history="1">
        <w:r>
          <w:rPr>
            <w:rStyle w:val="Hyperlink"/>
            <w:rFonts w:ascii="Times New Roman" w:hAnsi="Times New Roman" w:cs="Times New Roman"/>
            <w:color w:val="EE0000"/>
            <w:sz w:val="22"/>
            <w:szCs w:val="22"/>
          </w:rPr>
          <w:t>https://doi.org/10.1007/s44187-024-00216-2</w:t>
        </w:r>
      </w:hyperlink>
      <w:r>
        <w:rPr>
          <w:rFonts w:ascii="Times New Roman" w:hAnsi="Times New Roman" w:cs="Times New Roman"/>
          <w:color w:val="EE0000"/>
          <w:sz w:val="22"/>
          <w:szCs w:val="22"/>
        </w:rPr>
        <w:t xml:space="preserve"> </w:t>
      </w:r>
      <w:r>
        <w:rPr>
          <w:rStyle w:val="Hyperlink"/>
          <w:rFonts w:ascii="Times New Roman" w:hAnsi="Times New Roman" w:cs="Times New Roman"/>
          <w:color w:val="EE0000"/>
          <w:sz w:val="22"/>
          <w:szCs w:val="22"/>
        </w:rPr>
        <w:t>.</w:t>
      </w:r>
    </w:p>
    <w:p w14:paraId="2A98D0B5"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Sun, H., Yang, X., &amp; Zhang, M. (2023). Immunomodulatory effects of mushroom polysaccharides: A review. </w:t>
      </w:r>
      <w:r>
        <w:rPr>
          <w:rFonts w:ascii="Times New Roman" w:hAnsi="Times New Roman" w:cs="Times New Roman"/>
          <w:i/>
          <w:iCs/>
          <w:color w:val="EE0000"/>
          <w:sz w:val="22"/>
          <w:szCs w:val="22"/>
        </w:rPr>
        <w:t>Current Research in Food Science, 4</w:t>
      </w:r>
      <w:r>
        <w:rPr>
          <w:rFonts w:ascii="Times New Roman" w:hAnsi="Times New Roman" w:cs="Times New Roman"/>
          <w:color w:val="EE0000"/>
          <w:sz w:val="22"/>
          <w:szCs w:val="22"/>
        </w:rPr>
        <w:t>, 119-130.</w:t>
      </w:r>
    </w:p>
    <w:p w14:paraId="438B798F"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Tiupova, A., Olędzki, R., &amp; Harasym, J. (2025). Physicochemical, Functio.nal, and Antioxidative Characteristics of Oyster Mushrooms. </w:t>
      </w:r>
      <w:r>
        <w:rPr>
          <w:rFonts w:ascii="Times New Roman" w:hAnsi="Times New Roman" w:cs="Times New Roman"/>
          <w:i/>
          <w:iCs/>
          <w:color w:val="EE0000"/>
          <w:sz w:val="22"/>
          <w:szCs w:val="22"/>
        </w:rPr>
        <w:t>Applied Sciences, 15</w:t>
      </w:r>
      <w:r>
        <w:rPr>
          <w:rFonts w:ascii="Times New Roman" w:hAnsi="Times New Roman" w:cs="Times New Roman"/>
          <w:color w:val="EE0000"/>
          <w:sz w:val="22"/>
          <w:szCs w:val="22"/>
        </w:rPr>
        <w:t xml:space="preserve">(3), 1655. </w:t>
      </w:r>
      <w:hyperlink r:id="rId52" w:history="1">
        <w:r>
          <w:rPr>
            <w:rStyle w:val="Hyperlink"/>
            <w:rFonts w:ascii="Times New Roman" w:hAnsi="Times New Roman" w:cs="Times New Roman"/>
            <w:color w:val="EE0000"/>
            <w:sz w:val="22"/>
            <w:szCs w:val="22"/>
          </w:rPr>
          <w:t>https://doi.org/10.3390/app15031655</w:t>
        </w:r>
      </w:hyperlink>
      <w:r>
        <w:rPr>
          <w:rFonts w:ascii="Times New Roman" w:hAnsi="Times New Roman" w:cs="Times New Roman"/>
          <w:color w:val="EE0000"/>
          <w:sz w:val="22"/>
          <w:szCs w:val="22"/>
        </w:rPr>
        <w:t xml:space="preserve"> </w:t>
      </w:r>
    </w:p>
    <w:p w14:paraId="58C33991"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Wal, P., Dwivedi, J., Kushwaha, S., Yadav, A., Singh, S. P., &amp; Hanumanthachar, K. J. (2023). A comprehensive review on nutritional andmedicinal properties of Pleurotus ostreatus: An oyster mushroom. </w:t>
      </w:r>
      <w:r>
        <w:rPr>
          <w:rFonts w:ascii="Times New Roman" w:hAnsi="Times New Roman" w:cs="Times New Roman"/>
          <w:i/>
          <w:iCs/>
          <w:color w:val="EE0000"/>
          <w:sz w:val="22"/>
          <w:szCs w:val="22"/>
        </w:rPr>
        <w:t>Current Research in Nutrition and Food Science,</w:t>
      </w:r>
      <w:r>
        <w:rPr>
          <w:rFonts w:ascii="Times New Roman" w:hAnsi="Times New Roman" w:cs="Times New Roman"/>
          <w:b/>
          <w:bCs/>
          <w:color w:val="EE0000"/>
          <w:sz w:val="22"/>
          <w:szCs w:val="22"/>
        </w:rPr>
        <w:t xml:space="preserve"> </w:t>
      </w:r>
      <w:r>
        <w:rPr>
          <w:rFonts w:ascii="Times New Roman" w:hAnsi="Times New Roman" w:cs="Times New Roman"/>
          <w:i/>
          <w:iCs/>
          <w:color w:val="EE0000"/>
          <w:sz w:val="22"/>
          <w:szCs w:val="22"/>
        </w:rPr>
        <w:t>19</w:t>
      </w:r>
      <w:r>
        <w:rPr>
          <w:rFonts w:ascii="Times New Roman" w:hAnsi="Times New Roman" w:cs="Times New Roman"/>
          <w:color w:val="EE0000"/>
          <w:sz w:val="22"/>
          <w:szCs w:val="22"/>
        </w:rPr>
        <w:t xml:space="preserve">, 386–398 </w:t>
      </w:r>
      <w:hyperlink r:id="rId53" w:history="1">
        <w:r>
          <w:rPr>
            <w:rStyle w:val="Hyperlink"/>
            <w:rFonts w:ascii="Times New Roman" w:hAnsi="Times New Roman" w:cs="Times New Roman"/>
            <w:color w:val="EE0000"/>
            <w:sz w:val="22"/>
            <w:szCs w:val="22"/>
          </w:rPr>
          <w:t>https://doi.org/10.2174/1573401318666220901144438</w:t>
        </w:r>
      </w:hyperlink>
      <w:r>
        <w:rPr>
          <w:rFonts w:ascii="Times New Roman" w:hAnsi="Times New Roman" w:cs="Times New Roman"/>
          <w:color w:val="EE0000"/>
          <w:sz w:val="22"/>
          <w:szCs w:val="22"/>
        </w:rPr>
        <w:t xml:space="preserve"> .</w:t>
      </w:r>
    </w:p>
    <w:p w14:paraId="5484489D"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Witkowska, D., Słowik, J., &amp; Chilicka, K. (2021). Heavy metals and human health: Possible exposure pathways and the competition for protein binding sites. </w:t>
      </w:r>
      <w:r>
        <w:rPr>
          <w:rFonts w:ascii="Times New Roman" w:hAnsi="Times New Roman" w:cs="Times New Roman"/>
          <w:i/>
          <w:iCs/>
          <w:color w:val="EE0000"/>
          <w:sz w:val="22"/>
          <w:szCs w:val="22"/>
        </w:rPr>
        <w:t>Molecules</w:t>
      </w:r>
      <w:r>
        <w:rPr>
          <w:rFonts w:ascii="Times New Roman" w:hAnsi="Times New Roman" w:cs="Times New Roman"/>
          <w:color w:val="EE0000"/>
          <w:sz w:val="22"/>
          <w:szCs w:val="22"/>
        </w:rPr>
        <w:t xml:space="preserve">, </w:t>
      </w:r>
      <w:r>
        <w:rPr>
          <w:rFonts w:ascii="Times New Roman" w:hAnsi="Times New Roman" w:cs="Times New Roman"/>
          <w:i/>
          <w:iCs/>
          <w:color w:val="EE0000"/>
          <w:sz w:val="22"/>
          <w:szCs w:val="22"/>
        </w:rPr>
        <w:t>26</w:t>
      </w:r>
      <w:r>
        <w:rPr>
          <w:rFonts w:ascii="Times New Roman" w:hAnsi="Times New Roman" w:cs="Times New Roman"/>
          <w:color w:val="EE0000"/>
          <w:sz w:val="22"/>
          <w:szCs w:val="22"/>
        </w:rPr>
        <w:t xml:space="preserve">(19), 6060. </w:t>
      </w:r>
      <w:hyperlink r:id="rId54" w:history="1">
        <w:r>
          <w:rPr>
            <w:rStyle w:val="Hyperlink"/>
            <w:rFonts w:ascii="Times New Roman" w:hAnsi="Times New Roman" w:cs="Times New Roman"/>
            <w:color w:val="EE0000"/>
            <w:sz w:val="22"/>
            <w:szCs w:val="22"/>
          </w:rPr>
          <w:t>https://doi.org/10.3390/molecules26196060</w:t>
        </w:r>
      </w:hyperlink>
      <w:r>
        <w:rPr>
          <w:rFonts w:ascii="Times New Roman" w:hAnsi="Times New Roman" w:cs="Times New Roman"/>
          <w:color w:val="EE0000"/>
          <w:sz w:val="22"/>
          <w:szCs w:val="22"/>
        </w:rPr>
        <w:t xml:space="preserve"> .</w:t>
      </w:r>
    </w:p>
    <w:p w14:paraId="71E2A02D"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Wu, J., Sun, W., Zheng, J., Liu, J., Liang, X., Liu, Q., &amp; Kong, W. (2025). Chromosome-level genome announcement of the monokaryotic </w:t>
      </w:r>
      <w:r>
        <w:rPr>
          <w:rFonts w:ascii="Times New Roman" w:hAnsi="Times New Roman" w:cs="Times New Roman"/>
          <w:i/>
          <w:iCs/>
          <w:color w:val="EE0000"/>
          <w:sz w:val="22"/>
          <w:szCs w:val="22"/>
        </w:rPr>
        <w:t>Pleurotus</w:t>
      </w:r>
      <w:r>
        <w:rPr>
          <w:rFonts w:ascii="Times New Roman" w:hAnsi="Times New Roman" w:cs="Times New Roman"/>
          <w:color w:val="EE0000"/>
          <w:sz w:val="22"/>
          <w:szCs w:val="22"/>
        </w:rPr>
        <w:t xml:space="preserve"> </w:t>
      </w:r>
      <w:r>
        <w:rPr>
          <w:rFonts w:ascii="Times New Roman" w:hAnsi="Times New Roman" w:cs="Times New Roman"/>
          <w:i/>
          <w:iCs/>
          <w:color w:val="EE0000"/>
          <w:sz w:val="22"/>
          <w:szCs w:val="22"/>
        </w:rPr>
        <w:t>ostreatus</w:t>
      </w:r>
      <w:r>
        <w:rPr>
          <w:rFonts w:ascii="Times New Roman" w:hAnsi="Times New Roman" w:cs="Times New Roman"/>
          <w:color w:val="EE0000"/>
          <w:sz w:val="22"/>
          <w:szCs w:val="22"/>
        </w:rPr>
        <w:t xml:space="preserve"> strain PC80. </w:t>
      </w:r>
      <w:r>
        <w:rPr>
          <w:rFonts w:ascii="Times New Roman" w:hAnsi="Times New Roman" w:cs="Times New Roman"/>
          <w:i/>
          <w:iCs/>
          <w:color w:val="EE0000"/>
          <w:sz w:val="22"/>
          <w:szCs w:val="22"/>
        </w:rPr>
        <w:t>Journal of Fungi, 11</w:t>
      </w:r>
      <w:r>
        <w:rPr>
          <w:rFonts w:ascii="Times New Roman" w:hAnsi="Times New Roman" w:cs="Times New Roman"/>
          <w:color w:val="EE0000"/>
          <w:sz w:val="22"/>
          <w:szCs w:val="22"/>
        </w:rPr>
        <w:t xml:space="preserve">, 563. </w:t>
      </w:r>
      <w:hyperlink r:id="rId55" w:history="1">
        <w:r>
          <w:rPr>
            <w:rStyle w:val="Hyperlink"/>
            <w:rFonts w:ascii="Times New Roman" w:hAnsi="Times New Roman" w:cs="Times New Roman"/>
            <w:color w:val="EE0000"/>
            <w:sz w:val="22"/>
            <w:szCs w:val="22"/>
          </w:rPr>
          <w:t>https://doi.org/10.3390/jof11080563</w:t>
        </w:r>
      </w:hyperlink>
      <w:r>
        <w:rPr>
          <w:rStyle w:val="Hyperlink"/>
          <w:rFonts w:ascii="Times New Roman" w:hAnsi="Times New Roman" w:cs="Times New Roman"/>
          <w:color w:val="EE0000"/>
          <w:sz w:val="22"/>
          <w:szCs w:val="22"/>
        </w:rPr>
        <w:t>.</w:t>
      </w:r>
    </w:p>
    <w:p w14:paraId="1E27C2D4"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Yu, C., Dong, Q., Chen, M., Zhao, R., Zha, L., Zhao, Y., Zhang, M., Zhang, B., &amp; Ma, A. (2023). The effect of mushroom dietary fibre on the gut microbiota and related health benefits: A review. </w:t>
      </w:r>
      <w:r>
        <w:rPr>
          <w:rFonts w:ascii="Times New Roman" w:hAnsi="Times New Roman" w:cs="Times New Roman"/>
          <w:i/>
          <w:iCs/>
          <w:color w:val="EE0000"/>
          <w:sz w:val="22"/>
          <w:szCs w:val="22"/>
        </w:rPr>
        <w:t>Journal of Fungi, 9</w:t>
      </w:r>
      <w:r>
        <w:rPr>
          <w:rFonts w:ascii="Times New Roman" w:hAnsi="Times New Roman" w:cs="Times New Roman"/>
          <w:color w:val="EE0000"/>
          <w:sz w:val="22"/>
          <w:szCs w:val="22"/>
        </w:rPr>
        <w:t xml:space="preserve">, 1028. </w:t>
      </w:r>
      <w:hyperlink r:id="rId56" w:history="1">
        <w:r>
          <w:rPr>
            <w:rStyle w:val="Hyperlink"/>
            <w:rFonts w:ascii="Times New Roman" w:hAnsi="Times New Roman" w:cs="Times New Roman"/>
            <w:color w:val="EE0000"/>
            <w:sz w:val="22"/>
            <w:szCs w:val="22"/>
          </w:rPr>
          <w:t>https://doi.org/10.3390/jof9101028</w:t>
        </w:r>
      </w:hyperlink>
      <w:r>
        <w:rPr>
          <w:rFonts w:ascii="Times New Roman" w:hAnsi="Times New Roman" w:cs="Times New Roman"/>
          <w:color w:val="EE0000"/>
          <w:sz w:val="22"/>
          <w:szCs w:val="22"/>
        </w:rPr>
        <w:t>.</w:t>
      </w:r>
    </w:p>
    <w:p w14:paraId="766A08D1" w14:textId="77777777" w:rsidR="00C81169" w:rsidRDefault="00C81169" w:rsidP="00C81169">
      <w:pPr>
        <w:pStyle w:val="ListParagraph"/>
        <w:numPr>
          <w:ilvl w:val="0"/>
          <w:numId w:val="9"/>
        </w:numPr>
        <w:spacing w:line="240" w:lineRule="auto"/>
        <w:jc w:val="both"/>
        <w:rPr>
          <w:rFonts w:ascii="Times New Roman" w:hAnsi="Times New Roman" w:cs="Times New Roman"/>
          <w:color w:val="EE0000"/>
          <w:sz w:val="22"/>
          <w:szCs w:val="22"/>
        </w:rPr>
      </w:pPr>
      <w:r>
        <w:rPr>
          <w:rFonts w:ascii="Times New Roman" w:hAnsi="Times New Roman" w:cs="Times New Roman"/>
          <w:color w:val="EE0000"/>
          <w:sz w:val="22"/>
          <w:szCs w:val="22"/>
        </w:rPr>
        <w:t xml:space="preserve">Zhao, D., Huang, Y., Wang, B., Chen, H., Pan, W., Yang, M., Xia, Z., Zhang, R., &amp; Yuan, C. (2023). Dietary intake levels of iron, copper, zinc, and manganese in relation to cognitive function: a cross-sectional study. </w:t>
      </w:r>
      <w:r>
        <w:rPr>
          <w:rFonts w:ascii="Times New Roman" w:hAnsi="Times New Roman" w:cs="Times New Roman"/>
          <w:i/>
          <w:iCs/>
          <w:color w:val="EE0000"/>
          <w:sz w:val="22"/>
          <w:szCs w:val="22"/>
        </w:rPr>
        <w:t>Nutrients, 15</w:t>
      </w:r>
      <w:r>
        <w:rPr>
          <w:rFonts w:ascii="Times New Roman" w:hAnsi="Times New Roman" w:cs="Times New Roman"/>
          <w:color w:val="EE0000"/>
          <w:sz w:val="22"/>
          <w:szCs w:val="22"/>
        </w:rPr>
        <w:t xml:space="preserve">(3), 704. </w:t>
      </w:r>
      <w:hyperlink r:id="rId57" w:history="1">
        <w:r>
          <w:rPr>
            <w:rStyle w:val="Hyperlink"/>
            <w:rFonts w:ascii="Times New Roman" w:hAnsi="Times New Roman" w:cs="Times New Roman"/>
            <w:color w:val="EE0000"/>
            <w:sz w:val="22"/>
            <w:szCs w:val="22"/>
          </w:rPr>
          <w:t>https://doi.org/10.3390/nu15030704</w:t>
        </w:r>
      </w:hyperlink>
      <w:r>
        <w:rPr>
          <w:rFonts w:ascii="Times New Roman" w:hAnsi="Times New Roman" w:cs="Times New Roman"/>
          <w:color w:val="EE0000"/>
          <w:sz w:val="22"/>
          <w:szCs w:val="22"/>
        </w:rPr>
        <w:t xml:space="preserve"> .</w:t>
      </w:r>
      <w:bookmarkEnd w:id="12"/>
    </w:p>
    <w:p w14:paraId="5CE136E8" w14:textId="77777777" w:rsidR="00C81169" w:rsidRDefault="00C81169" w:rsidP="00C81169"/>
    <w:p w14:paraId="67141474" w14:textId="77777777" w:rsidR="00C81169" w:rsidRPr="00CF335D" w:rsidRDefault="00C81169" w:rsidP="000D027A">
      <w:pPr>
        <w:pStyle w:val="NormalWeb"/>
        <w:spacing w:after="0" w:afterAutospacing="0"/>
        <w:jc w:val="both"/>
        <w:rPr>
          <w:b/>
          <w:bCs/>
          <w:color w:val="000000" w:themeColor="text1"/>
          <w:sz w:val="22"/>
          <w:szCs w:val="22"/>
          <w:lang w:val="en-US"/>
        </w:rPr>
      </w:pPr>
      <w:bookmarkStart w:id="13" w:name="_GoBack"/>
      <w:bookmarkEnd w:id="13"/>
    </w:p>
    <w:sectPr w:rsidR="00C81169" w:rsidRPr="00CF335D">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4DE4E" w14:textId="77777777" w:rsidR="00674AC1" w:rsidRDefault="00674AC1" w:rsidP="000D027A">
      <w:pPr>
        <w:spacing w:after="0" w:line="240" w:lineRule="auto"/>
      </w:pPr>
      <w:r>
        <w:separator/>
      </w:r>
    </w:p>
  </w:endnote>
  <w:endnote w:type="continuationSeparator" w:id="0">
    <w:p w14:paraId="4AD30955" w14:textId="77777777" w:rsidR="00674AC1" w:rsidRDefault="00674AC1" w:rsidP="000D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8697" w14:textId="77777777" w:rsidR="00C06C70" w:rsidRDefault="00C06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DAD3" w14:textId="77777777" w:rsidR="00C06C70" w:rsidRDefault="00C06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79C78" w14:textId="77777777" w:rsidR="00C06C70" w:rsidRDefault="00C06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5C317" w14:textId="77777777" w:rsidR="00674AC1" w:rsidRDefault="00674AC1" w:rsidP="000D027A">
      <w:pPr>
        <w:spacing w:after="0" w:line="240" w:lineRule="auto"/>
      </w:pPr>
      <w:r>
        <w:separator/>
      </w:r>
    </w:p>
  </w:footnote>
  <w:footnote w:type="continuationSeparator" w:id="0">
    <w:p w14:paraId="46CAC253" w14:textId="77777777" w:rsidR="00674AC1" w:rsidRDefault="00674AC1" w:rsidP="000D0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9D17" w14:textId="4AA8C506" w:rsidR="00C06C70" w:rsidRDefault="00674AC1">
    <w:pPr>
      <w:pStyle w:val="Header"/>
    </w:pPr>
    <w:r>
      <w:rPr>
        <w:noProof/>
      </w:rPr>
      <w:pict w14:anchorId="3C029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26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9031" w14:textId="645283F6" w:rsidR="00C06C70" w:rsidRDefault="00674AC1">
    <w:pPr>
      <w:pStyle w:val="Header"/>
    </w:pPr>
    <w:r>
      <w:rPr>
        <w:noProof/>
      </w:rPr>
      <w:pict w14:anchorId="78656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26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0F920" w14:textId="019C420C" w:rsidR="00C06C70" w:rsidRDefault="00674AC1">
    <w:pPr>
      <w:pStyle w:val="Header"/>
    </w:pPr>
    <w:r>
      <w:rPr>
        <w:noProof/>
      </w:rPr>
      <w:pict w14:anchorId="6CC5F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26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952735"/>
    <w:multiLevelType w:val="singleLevel"/>
    <w:tmpl w:val="95952735"/>
    <w:lvl w:ilvl="0">
      <w:start w:val="1"/>
      <w:numFmt w:val="decimal"/>
      <w:lvlText w:val="%1."/>
      <w:lvlJc w:val="left"/>
      <w:pPr>
        <w:tabs>
          <w:tab w:val="left" w:pos="425"/>
        </w:tabs>
        <w:ind w:left="425" w:hanging="425"/>
      </w:pPr>
      <w:rPr>
        <w:rFonts w:hint="default"/>
      </w:rPr>
    </w:lvl>
  </w:abstractNum>
  <w:abstractNum w:abstractNumId="1" w15:restartNumberingAfterBreak="0">
    <w:nsid w:val="26390C3A"/>
    <w:multiLevelType w:val="hybridMultilevel"/>
    <w:tmpl w:val="70C6FB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D135EF"/>
    <w:multiLevelType w:val="hybridMultilevel"/>
    <w:tmpl w:val="D918FF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AC6DC8"/>
    <w:multiLevelType w:val="multilevel"/>
    <w:tmpl w:val="B71673D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2B3333"/>
    <w:multiLevelType w:val="multilevel"/>
    <w:tmpl w:val="B494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41510"/>
    <w:multiLevelType w:val="multilevel"/>
    <w:tmpl w:val="5A68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659C9"/>
    <w:multiLevelType w:val="hybridMultilevel"/>
    <w:tmpl w:val="3DFE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12299"/>
    <w:multiLevelType w:val="multilevel"/>
    <w:tmpl w:val="DD02513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C3B514B"/>
    <w:multiLevelType w:val="hybridMultilevel"/>
    <w:tmpl w:val="E69C9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7"/>
  </w:num>
  <w:num w:numId="3">
    <w:abstractNumId w:val="6"/>
  </w:num>
  <w:num w:numId="4">
    <w:abstractNumId w:val="0"/>
  </w:num>
  <w:num w:numId="5">
    <w:abstractNumId w:val="5"/>
  </w:num>
  <w:num w:numId="6">
    <w:abstractNumId w:val="2"/>
  </w:num>
  <w:num w:numId="7">
    <w:abstractNumId w:val="1"/>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89"/>
    <w:rsid w:val="00003E14"/>
    <w:rsid w:val="00005A69"/>
    <w:rsid w:val="00025B9A"/>
    <w:rsid w:val="0003062F"/>
    <w:rsid w:val="000401D6"/>
    <w:rsid w:val="0004223B"/>
    <w:rsid w:val="0005476F"/>
    <w:rsid w:val="00061640"/>
    <w:rsid w:val="00070911"/>
    <w:rsid w:val="00073E62"/>
    <w:rsid w:val="00077252"/>
    <w:rsid w:val="000A2BFE"/>
    <w:rsid w:val="000A4827"/>
    <w:rsid w:val="000A6A8D"/>
    <w:rsid w:val="000B4A0A"/>
    <w:rsid w:val="000B6765"/>
    <w:rsid w:val="000C03BC"/>
    <w:rsid w:val="000D027A"/>
    <w:rsid w:val="000D2864"/>
    <w:rsid w:val="000D4A29"/>
    <w:rsid w:val="000E3253"/>
    <w:rsid w:val="000E353D"/>
    <w:rsid w:val="000E408F"/>
    <w:rsid w:val="000F7735"/>
    <w:rsid w:val="00100B2C"/>
    <w:rsid w:val="00100B76"/>
    <w:rsid w:val="001042B6"/>
    <w:rsid w:val="00122932"/>
    <w:rsid w:val="00131FB9"/>
    <w:rsid w:val="00133BE7"/>
    <w:rsid w:val="00134E3E"/>
    <w:rsid w:val="001401F4"/>
    <w:rsid w:val="00144256"/>
    <w:rsid w:val="001471B1"/>
    <w:rsid w:val="00155959"/>
    <w:rsid w:val="00167C3D"/>
    <w:rsid w:val="00173D34"/>
    <w:rsid w:val="00177134"/>
    <w:rsid w:val="00181A0A"/>
    <w:rsid w:val="001913DD"/>
    <w:rsid w:val="001A38D2"/>
    <w:rsid w:val="001B0D61"/>
    <w:rsid w:val="001C2292"/>
    <w:rsid w:val="001C3C53"/>
    <w:rsid w:val="001C6526"/>
    <w:rsid w:val="001D5731"/>
    <w:rsid w:val="001E159C"/>
    <w:rsid w:val="001E177C"/>
    <w:rsid w:val="001F3046"/>
    <w:rsid w:val="002222C1"/>
    <w:rsid w:val="00230382"/>
    <w:rsid w:val="0023387B"/>
    <w:rsid w:val="002415FB"/>
    <w:rsid w:val="00245F79"/>
    <w:rsid w:val="00253755"/>
    <w:rsid w:val="002627E7"/>
    <w:rsid w:val="002644DE"/>
    <w:rsid w:val="00274665"/>
    <w:rsid w:val="00286872"/>
    <w:rsid w:val="002A6452"/>
    <w:rsid w:val="002A7CFA"/>
    <w:rsid w:val="002B0CAC"/>
    <w:rsid w:val="002B4006"/>
    <w:rsid w:val="002C07D9"/>
    <w:rsid w:val="002E0FFC"/>
    <w:rsid w:val="0030575D"/>
    <w:rsid w:val="003067C7"/>
    <w:rsid w:val="003169E3"/>
    <w:rsid w:val="00323346"/>
    <w:rsid w:val="00341BF2"/>
    <w:rsid w:val="00341F65"/>
    <w:rsid w:val="003547D9"/>
    <w:rsid w:val="003621BC"/>
    <w:rsid w:val="003625B6"/>
    <w:rsid w:val="003A2C54"/>
    <w:rsid w:val="003B25A6"/>
    <w:rsid w:val="003C2662"/>
    <w:rsid w:val="003C47D5"/>
    <w:rsid w:val="003C5197"/>
    <w:rsid w:val="003C7EA8"/>
    <w:rsid w:val="003E5444"/>
    <w:rsid w:val="0040457A"/>
    <w:rsid w:val="004067B3"/>
    <w:rsid w:val="00406D02"/>
    <w:rsid w:val="00410E61"/>
    <w:rsid w:val="004153AA"/>
    <w:rsid w:val="004172EC"/>
    <w:rsid w:val="00417ED0"/>
    <w:rsid w:val="00422179"/>
    <w:rsid w:val="00430555"/>
    <w:rsid w:val="0044047A"/>
    <w:rsid w:val="0044303E"/>
    <w:rsid w:val="0044732C"/>
    <w:rsid w:val="00454910"/>
    <w:rsid w:val="00457228"/>
    <w:rsid w:val="00461199"/>
    <w:rsid w:val="004637CC"/>
    <w:rsid w:val="00470079"/>
    <w:rsid w:val="00470486"/>
    <w:rsid w:val="0047077C"/>
    <w:rsid w:val="0047294F"/>
    <w:rsid w:val="0047706D"/>
    <w:rsid w:val="00492110"/>
    <w:rsid w:val="004B5AE8"/>
    <w:rsid w:val="004C3752"/>
    <w:rsid w:val="004C685C"/>
    <w:rsid w:val="004D45E2"/>
    <w:rsid w:val="004D6B14"/>
    <w:rsid w:val="004D716D"/>
    <w:rsid w:val="004F5144"/>
    <w:rsid w:val="004F5BDC"/>
    <w:rsid w:val="00506505"/>
    <w:rsid w:val="00507E98"/>
    <w:rsid w:val="005177DB"/>
    <w:rsid w:val="00536CA4"/>
    <w:rsid w:val="00537DEA"/>
    <w:rsid w:val="00542DA8"/>
    <w:rsid w:val="00543144"/>
    <w:rsid w:val="005442A1"/>
    <w:rsid w:val="005458E4"/>
    <w:rsid w:val="00567D96"/>
    <w:rsid w:val="00572B28"/>
    <w:rsid w:val="00583DB5"/>
    <w:rsid w:val="00585A24"/>
    <w:rsid w:val="005936D2"/>
    <w:rsid w:val="00594F59"/>
    <w:rsid w:val="005A0830"/>
    <w:rsid w:val="005A1805"/>
    <w:rsid w:val="005A45C4"/>
    <w:rsid w:val="005A6EF6"/>
    <w:rsid w:val="005B11B5"/>
    <w:rsid w:val="005B731A"/>
    <w:rsid w:val="005C46B5"/>
    <w:rsid w:val="005C691A"/>
    <w:rsid w:val="005D240F"/>
    <w:rsid w:val="005E101C"/>
    <w:rsid w:val="005E2D95"/>
    <w:rsid w:val="005E694A"/>
    <w:rsid w:val="005F2D45"/>
    <w:rsid w:val="00602934"/>
    <w:rsid w:val="006074DD"/>
    <w:rsid w:val="00610477"/>
    <w:rsid w:val="00616550"/>
    <w:rsid w:val="00616F4F"/>
    <w:rsid w:val="00636553"/>
    <w:rsid w:val="006377D1"/>
    <w:rsid w:val="00655C14"/>
    <w:rsid w:val="00655FCB"/>
    <w:rsid w:val="006632FA"/>
    <w:rsid w:val="00667401"/>
    <w:rsid w:val="00670541"/>
    <w:rsid w:val="00674AC1"/>
    <w:rsid w:val="0068349D"/>
    <w:rsid w:val="0068402D"/>
    <w:rsid w:val="00692F7D"/>
    <w:rsid w:val="006A2BF7"/>
    <w:rsid w:val="006B6C01"/>
    <w:rsid w:val="006C0C59"/>
    <w:rsid w:val="006C158A"/>
    <w:rsid w:val="006C4DA9"/>
    <w:rsid w:val="006F1612"/>
    <w:rsid w:val="006F1B29"/>
    <w:rsid w:val="00707966"/>
    <w:rsid w:val="007158B9"/>
    <w:rsid w:val="00720741"/>
    <w:rsid w:val="00730B00"/>
    <w:rsid w:val="00736ACC"/>
    <w:rsid w:val="00747DAB"/>
    <w:rsid w:val="007535DB"/>
    <w:rsid w:val="00754AA5"/>
    <w:rsid w:val="00754DB4"/>
    <w:rsid w:val="0077199F"/>
    <w:rsid w:val="00780D01"/>
    <w:rsid w:val="00795BF4"/>
    <w:rsid w:val="007A25C5"/>
    <w:rsid w:val="007B21BD"/>
    <w:rsid w:val="007B5CEB"/>
    <w:rsid w:val="007C28B2"/>
    <w:rsid w:val="007C6C53"/>
    <w:rsid w:val="007D0085"/>
    <w:rsid w:val="007D4FB5"/>
    <w:rsid w:val="007E08FE"/>
    <w:rsid w:val="007E1D22"/>
    <w:rsid w:val="007E44BB"/>
    <w:rsid w:val="007E7ABA"/>
    <w:rsid w:val="007F424F"/>
    <w:rsid w:val="007F5680"/>
    <w:rsid w:val="0081008E"/>
    <w:rsid w:val="008200ED"/>
    <w:rsid w:val="00854877"/>
    <w:rsid w:val="008608A6"/>
    <w:rsid w:val="008630ED"/>
    <w:rsid w:val="008717B8"/>
    <w:rsid w:val="00895FD7"/>
    <w:rsid w:val="008B0D3D"/>
    <w:rsid w:val="008B2983"/>
    <w:rsid w:val="008C7FEE"/>
    <w:rsid w:val="008D021A"/>
    <w:rsid w:val="008E1F27"/>
    <w:rsid w:val="008E1F92"/>
    <w:rsid w:val="008E4E9C"/>
    <w:rsid w:val="008F5BAE"/>
    <w:rsid w:val="00900C3E"/>
    <w:rsid w:val="0090217A"/>
    <w:rsid w:val="00906E6F"/>
    <w:rsid w:val="00916AE8"/>
    <w:rsid w:val="00940585"/>
    <w:rsid w:val="0094127F"/>
    <w:rsid w:val="009418AC"/>
    <w:rsid w:val="00942A32"/>
    <w:rsid w:val="00942BA9"/>
    <w:rsid w:val="00965468"/>
    <w:rsid w:val="00970A35"/>
    <w:rsid w:val="00982584"/>
    <w:rsid w:val="009919C2"/>
    <w:rsid w:val="00991AA5"/>
    <w:rsid w:val="00993D6B"/>
    <w:rsid w:val="009B1BE4"/>
    <w:rsid w:val="009C4B9E"/>
    <w:rsid w:val="009D0EED"/>
    <w:rsid w:val="009D3593"/>
    <w:rsid w:val="009D7102"/>
    <w:rsid w:val="009D7CD7"/>
    <w:rsid w:val="009E6FFF"/>
    <w:rsid w:val="009F0508"/>
    <w:rsid w:val="009F51A9"/>
    <w:rsid w:val="009F5A59"/>
    <w:rsid w:val="009F797A"/>
    <w:rsid w:val="00A14A46"/>
    <w:rsid w:val="00A24903"/>
    <w:rsid w:val="00A25740"/>
    <w:rsid w:val="00A40092"/>
    <w:rsid w:val="00A43EFB"/>
    <w:rsid w:val="00A45060"/>
    <w:rsid w:val="00A4730E"/>
    <w:rsid w:val="00A55C94"/>
    <w:rsid w:val="00A57595"/>
    <w:rsid w:val="00A60B17"/>
    <w:rsid w:val="00A655B7"/>
    <w:rsid w:val="00A7321F"/>
    <w:rsid w:val="00A77A12"/>
    <w:rsid w:val="00A80895"/>
    <w:rsid w:val="00A81A32"/>
    <w:rsid w:val="00A84EA1"/>
    <w:rsid w:val="00A90380"/>
    <w:rsid w:val="00A96F25"/>
    <w:rsid w:val="00AA2047"/>
    <w:rsid w:val="00AB5F98"/>
    <w:rsid w:val="00AC0EDC"/>
    <w:rsid w:val="00AD244E"/>
    <w:rsid w:val="00AD7D51"/>
    <w:rsid w:val="00AE0AAF"/>
    <w:rsid w:val="00AE204B"/>
    <w:rsid w:val="00AE65C1"/>
    <w:rsid w:val="00AF38EE"/>
    <w:rsid w:val="00AF6923"/>
    <w:rsid w:val="00AF7A05"/>
    <w:rsid w:val="00B00477"/>
    <w:rsid w:val="00B2418D"/>
    <w:rsid w:val="00B43666"/>
    <w:rsid w:val="00B44918"/>
    <w:rsid w:val="00B45F5A"/>
    <w:rsid w:val="00B53BC9"/>
    <w:rsid w:val="00B60EFE"/>
    <w:rsid w:val="00B6779D"/>
    <w:rsid w:val="00B706F8"/>
    <w:rsid w:val="00B72FB5"/>
    <w:rsid w:val="00B76E0B"/>
    <w:rsid w:val="00B76FCE"/>
    <w:rsid w:val="00B83154"/>
    <w:rsid w:val="00B84150"/>
    <w:rsid w:val="00B95B20"/>
    <w:rsid w:val="00B97732"/>
    <w:rsid w:val="00BA069C"/>
    <w:rsid w:val="00BA2655"/>
    <w:rsid w:val="00BA2CBF"/>
    <w:rsid w:val="00BA6A46"/>
    <w:rsid w:val="00BB375E"/>
    <w:rsid w:val="00BB5106"/>
    <w:rsid w:val="00BB5582"/>
    <w:rsid w:val="00BB6F01"/>
    <w:rsid w:val="00BC637E"/>
    <w:rsid w:val="00BD1E51"/>
    <w:rsid w:val="00BD3221"/>
    <w:rsid w:val="00BF32E6"/>
    <w:rsid w:val="00BF46E2"/>
    <w:rsid w:val="00BF76D0"/>
    <w:rsid w:val="00BF7CBF"/>
    <w:rsid w:val="00C06C70"/>
    <w:rsid w:val="00C10E08"/>
    <w:rsid w:val="00C12E73"/>
    <w:rsid w:val="00C15BCE"/>
    <w:rsid w:val="00C310BF"/>
    <w:rsid w:val="00C34593"/>
    <w:rsid w:val="00C369E4"/>
    <w:rsid w:val="00C40F87"/>
    <w:rsid w:val="00C607BD"/>
    <w:rsid w:val="00C6411B"/>
    <w:rsid w:val="00C718CA"/>
    <w:rsid w:val="00C742F1"/>
    <w:rsid w:val="00C80EA8"/>
    <w:rsid w:val="00C81169"/>
    <w:rsid w:val="00C81B52"/>
    <w:rsid w:val="00C85D89"/>
    <w:rsid w:val="00C865AE"/>
    <w:rsid w:val="00C94104"/>
    <w:rsid w:val="00CA086D"/>
    <w:rsid w:val="00CB1142"/>
    <w:rsid w:val="00CB3BC4"/>
    <w:rsid w:val="00CC07A7"/>
    <w:rsid w:val="00CC467C"/>
    <w:rsid w:val="00CC69F7"/>
    <w:rsid w:val="00CD4D19"/>
    <w:rsid w:val="00CF138B"/>
    <w:rsid w:val="00CF335D"/>
    <w:rsid w:val="00D01BCC"/>
    <w:rsid w:val="00D1410D"/>
    <w:rsid w:val="00D23BDF"/>
    <w:rsid w:val="00D2760F"/>
    <w:rsid w:val="00D30049"/>
    <w:rsid w:val="00D30CF8"/>
    <w:rsid w:val="00D3244A"/>
    <w:rsid w:val="00D52440"/>
    <w:rsid w:val="00D57675"/>
    <w:rsid w:val="00D81153"/>
    <w:rsid w:val="00D81312"/>
    <w:rsid w:val="00D84663"/>
    <w:rsid w:val="00D94756"/>
    <w:rsid w:val="00D95E26"/>
    <w:rsid w:val="00DB0D71"/>
    <w:rsid w:val="00DB1E59"/>
    <w:rsid w:val="00DC1BBD"/>
    <w:rsid w:val="00DC3A0F"/>
    <w:rsid w:val="00DC59D0"/>
    <w:rsid w:val="00DC62E3"/>
    <w:rsid w:val="00DD0243"/>
    <w:rsid w:val="00DD499D"/>
    <w:rsid w:val="00DE0664"/>
    <w:rsid w:val="00DE3954"/>
    <w:rsid w:val="00DE6404"/>
    <w:rsid w:val="00DF263B"/>
    <w:rsid w:val="00DF3969"/>
    <w:rsid w:val="00E01200"/>
    <w:rsid w:val="00E045F5"/>
    <w:rsid w:val="00E21C37"/>
    <w:rsid w:val="00E32658"/>
    <w:rsid w:val="00E33F67"/>
    <w:rsid w:val="00E448DA"/>
    <w:rsid w:val="00E73BED"/>
    <w:rsid w:val="00E85F51"/>
    <w:rsid w:val="00E862E9"/>
    <w:rsid w:val="00EA22AC"/>
    <w:rsid w:val="00EA3BDF"/>
    <w:rsid w:val="00EA4710"/>
    <w:rsid w:val="00EB1A9C"/>
    <w:rsid w:val="00EB7535"/>
    <w:rsid w:val="00EC2DF4"/>
    <w:rsid w:val="00EC4527"/>
    <w:rsid w:val="00ED52AE"/>
    <w:rsid w:val="00ED6385"/>
    <w:rsid w:val="00EE6B83"/>
    <w:rsid w:val="00EE6BAC"/>
    <w:rsid w:val="00EF0506"/>
    <w:rsid w:val="00EF174C"/>
    <w:rsid w:val="00EF36E9"/>
    <w:rsid w:val="00EF48D6"/>
    <w:rsid w:val="00F00EC6"/>
    <w:rsid w:val="00F02AC6"/>
    <w:rsid w:val="00F16BE5"/>
    <w:rsid w:val="00F3161C"/>
    <w:rsid w:val="00F334B1"/>
    <w:rsid w:val="00F33D60"/>
    <w:rsid w:val="00F57263"/>
    <w:rsid w:val="00F6119B"/>
    <w:rsid w:val="00F62765"/>
    <w:rsid w:val="00F701B9"/>
    <w:rsid w:val="00F734D6"/>
    <w:rsid w:val="00F77B6B"/>
    <w:rsid w:val="00F8407F"/>
    <w:rsid w:val="00F94869"/>
    <w:rsid w:val="00F95CE9"/>
    <w:rsid w:val="00FC20BA"/>
    <w:rsid w:val="00FC4F5A"/>
    <w:rsid w:val="00FD4167"/>
    <w:rsid w:val="00FD4E65"/>
    <w:rsid w:val="00FE1B7A"/>
    <w:rsid w:val="00FE2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F254B6"/>
  <w15:chartTrackingRefBased/>
  <w15:docId w15:val="{1BCE64E4-3C3F-4392-BB17-6077883D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D89"/>
  </w:style>
  <w:style w:type="paragraph" w:styleId="Heading1">
    <w:name w:val="heading 1"/>
    <w:basedOn w:val="Normal"/>
    <w:next w:val="Normal"/>
    <w:link w:val="Heading1Char"/>
    <w:uiPriority w:val="9"/>
    <w:qFormat/>
    <w:rsid w:val="00C85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85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D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D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85D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D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85D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D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D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C85D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D89"/>
    <w:rPr>
      <w:rFonts w:eastAsiaTheme="majorEastAsia" w:cstheme="majorBidi"/>
      <w:color w:val="272727" w:themeColor="text1" w:themeTint="D8"/>
    </w:rPr>
  </w:style>
  <w:style w:type="paragraph" w:styleId="Title">
    <w:name w:val="Title"/>
    <w:basedOn w:val="Normal"/>
    <w:next w:val="Normal"/>
    <w:link w:val="TitleChar"/>
    <w:uiPriority w:val="10"/>
    <w:qFormat/>
    <w:rsid w:val="00C85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D89"/>
    <w:pPr>
      <w:spacing w:before="160"/>
      <w:jc w:val="center"/>
    </w:pPr>
    <w:rPr>
      <w:i/>
      <w:iCs/>
      <w:color w:val="404040" w:themeColor="text1" w:themeTint="BF"/>
    </w:rPr>
  </w:style>
  <w:style w:type="character" w:customStyle="1" w:styleId="QuoteChar">
    <w:name w:val="Quote Char"/>
    <w:basedOn w:val="DefaultParagraphFont"/>
    <w:link w:val="Quote"/>
    <w:uiPriority w:val="29"/>
    <w:rsid w:val="00C85D89"/>
    <w:rPr>
      <w:i/>
      <w:iCs/>
      <w:color w:val="404040" w:themeColor="text1" w:themeTint="BF"/>
    </w:rPr>
  </w:style>
  <w:style w:type="paragraph" w:styleId="ListParagraph">
    <w:name w:val="List Paragraph"/>
    <w:basedOn w:val="Normal"/>
    <w:uiPriority w:val="34"/>
    <w:qFormat/>
    <w:rsid w:val="00C85D89"/>
    <w:pPr>
      <w:ind w:left="720"/>
      <w:contextualSpacing/>
    </w:pPr>
  </w:style>
  <w:style w:type="character" w:styleId="IntenseEmphasis">
    <w:name w:val="Intense Emphasis"/>
    <w:basedOn w:val="DefaultParagraphFont"/>
    <w:uiPriority w:val="21"/>
    <w:qFormat/>
    <w:rsid w:val="00C85D89"/>
    <w:rPr>
      <w:i/>
      <w:iCs/>
      <w:color w:val="2F5496" w:themeColor="accent1" w:themeShade="BF"/>
    </w:rPr>
  </w:style>
  <w:style w:type="paragraph" w:styleId="IntenseQuote">
    <w:name w:val="Intense Quote"/>
    <w:basedOn w:val="Normal"/>
    <w:next w:val="Normal"/>
    <w:link w:val="IntenseQuoteChar"/>
    <w:uiPriority w:val="30"/>
    <w:qFormat/>
    <w:rsid w:val="00C85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D89"/>
    <w:rPr>
      <w:i/>
      <w:iCs/>
      <w:color w:val="2F5496" w:themeColor="accent1" w:themeShade="BF"/>
    </w:rPr>
  </w:style>
  <w:style w:type="character" w:styleId="IntenseReference">
    <w:name w:val="Intense Reference"/>
    <w:basedOn w:val="DefaultParagraphFont"/>
    <w:uiPriority w:val="32"/>
    <w:qFormat/>
    <w:rsid w:val="00C85D89"/>
    <w:rPr>
      <w:b/>
      <w:bCs/>
      <w:smallCaps/>
      <w:color w:val="2F5496" w:themeColor="accent1" w:themeShade="BF"/>
      <w:spacing w:val="5"/>
    </w:rPr>
  </w:style>
  <w:style w:type="paragraph" w:styleId="NormalWeb">
    <w:name w:val="Normal (Web)"/>
    <w:basedOn w:val="Normal"/>
    <w:uiPriority w:val="99"/>
    <w:unhideWhenUsed/>
    <w:rsid w:val="00C85D89"/>
    <w:pPr>
      <w:spacing w:before="100" w:beforeAutospacing="1" w:after="100" w:afterAutospacing="1" w:line="240" w:lineRule="auto"/>
    </w:pPr>
    <w:rPr>
      <w:rFonts w:ascii="Times New Roman" w:eastAsiaTheme="minorEastAsia" w:hAnsi="Times New Roman" w:cs="Times New Roman"/>
      <w:kern w:val="0"/>
      <w:lang w:val="en-GB" w:eastAsia="en-GB"/>
      <w14:ligatures w14:val="none"/>
    </w:rPr>
  </w:style>
  <w:style w:type="character" w:styleId="Emphasis">
    <w:name w:val="Emphasis"/>
    <w:basedOn w:val="DefaultParagraphFont"/>
    <w:uiPriority w:val="20"/>
    <w:qFormat/>
    <w:rsid w:val="00C85D89"/>
    <w:rPr>
      <w:i/>
      <w:iCs/>
    </w:rPr>
  </w:style>
  <w:style w:type="character" w:styleId="Hyperlink">
    <w:name w:val="Hyperlink"/>
    <w:basedOn w:val="DefaultParagraphFont"/>
    <w:uiPriority w:val="99"/>
    <w:unhideWhenUsed/>
    <w:rsid w:val="00A55C94"/>
    <w:rPr>
      <w:color w:val="0563C1" w:themeColor="hyperlink"/>
      <w:u w:val="single"/>
    </w:rPr>
  </w:style>
  <w:style w:type="character" w:styleId="UnresolvedMention">
    <w:name w:val="Unresolved Mention"/>
    <w:basedOn w:val="DefaultParagraphFont"/>
    <w:uiPriority w:val="99"/>
    <w:semiHidden/>
    <w:unhideWhenUsed/>
    <w:rsid w:val="00A55C94"/>
    <w:rPr>
      <w:color w:val="605E5C"/>
      <w:shd w:val="clear" w:color="auto" w:fill="E1DFDD"/>
    </w:rPr>
  </w:style>
  <w:style w:type="character" w:styleId="Strong">
    <w:name w:val="Strong"/>
    <w:basedOn w:val="DefaultParagraphFont"/>
    <w:uiPriority w:val="22"/>
    <w:qFormat/>
    <w:rsid w:val="00FE1B7A"/>
    <w:rPr>
      <w:b/>
      <w:bCs/>
    </w:rPr>
  </w:style>
  <w:style w:type="table" w:styleId="LightShading">
    <w:name w:val="Light Shading"/>
    <w:basedOn w:val="TableNormal"/>
    <w:uiPriority w:val="60"/>
    <w:rsid w:val="00EB1A9C"/>
    <w:pPr>
      <w:spacing w:after="0" w:line="240" w:lineRule="auto"/>
    </w:pPr>
    <w:rPr>
      <w:rFonts w:eastAsiaTheme="minorEastAsia"/>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qFormat/>
    <w:rsid w:val="00EB1A9C"/>
    <w:pPr>
      <w:widowControl w:val="0"/>
      <w:spacing w:after="0" w:line="240" w:lineRule="auto"/>
      <w:jc w:val="both"/>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LightShading1">
    <w:name w:val="Light Shading1"/>
    <w:basedOn w:val="TableNormal"/>
    <w:uiPriority w:val="60"/>
    <w:rsid w:val="00EB1A9C"/>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E01200"/>
    <w:rPr>
      <w:rFonts w:ascii="Calibri" w:eastAsia="Calibri" w:hAnsi="Calibri" w:cs="Calibri"/>
      <w:kern w:val="0"/>
      <w14:ligatures w14:val="none"/>
    </w:rPr>
  </w:style>
  <w:style w:type="paragraph" w:customStyle="1" w:styleId="Default">
    <w:name w:val="Default"/>
    <w:rsid w:val="001C6526"/>
    <w:pPr>
      <w:autoSpaceDE w:val="0"/>
      <w:autoSpaceDN w:val="0"/>
      <w:adjustRightInd w:val="0"/>
      <w:spacing w:after="0" w:line="240" w:lineRule="auto"/>
    </w:pPr>
    <w:rPr>
      <w:rFonts w:ascii="Monotype Corsiva" w:hAnsi="Monotype Corsiva" w:cs="Monotype Corsiva"/>
      <w:color w:val="000000"/>
      <w:kern w:val="0"/>
    </w:rPr>
  </w:style>
  <w:style w:type="paragraph" w:styleId="Header">
    <w:name w:val="header"/>
    <w:basedOn w:val="Normal"/>
    <w:link w:val="HeaderChar"/>
    <w:uiPriority w:val="99"/>
    <w:unhideWhenUsed/>
    <w:rsid w:val="000D0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27A"/>
  </w:style>
  <w:style w:type="paragraph" w:styleId="Footer">
    <w:name w:val="footer"/>
    <w:basedOn w:val="Normal"/>
    <w:link w:val="FooterChar"/>
    <w:uiPriority w:val="99"/>
    <w:unhideWhenUsed/>
    <w:rsid w:val="000D0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8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306/scienceasia1513-1874.2009.35.326" TargetMode="External"/><Relationship Id="rId21" Type="http://schemas.openxmlformats.org/officeDocument/2006/relationships/hyperlink" Target="https://doi.org/10.1177/11786302251350482" TargetMode="External"/><Relationship Id="rId34" Type="http://schemas.openxmlformats.org/officeDocument/2006/relationships/hyperlink" Target="https://doi.org/10.53555/xktgdw29" TargetMode="External"/><Relationship Id="rId42" Type="http://schemas.openxmlformats.org/officeDocument/2006/relationships/hyperlink" Target="https://doi.org/10.33003/fjs-2023-0705-1891" TargetMode="External"/><Relationship Id="rId47" Type="http://schemas.openxmlformats.org/officeDocument/2006/relationships/hyperlink" Target="https://doi.org/10.4314/jasem.v28i2.33" TargetMode="External"/><Relationship Id="rId50" Type="http://schemas.openxmlformats.org/officeDocument/2006/relationships/hyperlink" Target="https://doi.org/10.3390/foods14050741" TargetMode="External"/><Relationship Id="rId55" Type="http://schemas.openxmlformats.org/officeDocument/2006/relationships/hyperlink" Target="https://doi.org/10.3390/jof11080563" TargetMode="External"/><Relationship Id="rId63"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46653/jhst25081017" TargetMode="External"/><Relationship Id="rId29" Type="http://schemas.openxmlformats.org/officeDocument/2006/relationships/hyperlink" Target="https://doi.org/10.1093/jaoac/68.6.1117" TargetMode="External"/><Relationship Id="rId11" Type="http://schemas.openxmlformats.org/officeDocument/2006/relationships/hyperlink" Target="https://doi.org/10.1016/j.psj.2025.104852" TargetMode="External"/><Relationship Id="rId24" Type="http://schemas.openxmlformats.org/officeDocument/2006/relationships/hyperlink" Target="https://doi.org/10.1038/s41598-022-11579-w" TargetMode="External"/><Relationship Id="rId32" Type="http://schemas.openxmlformats.org/officeDocument/2006/relationships/hyperlink" Target="https://doi.org/10.1002/fsn3.70611" TargetMode="External"/><Relationship Id="rId37" Type="http://schemas.openxmlformats.org/officeDocument/2006/relationships/hyperlink" Target="https://doi.org/10.1016/j.jafr.2024.101518" TargetMode="External"/><Relationship Id="rId40" Type="http://schemas.openxmlformats.org/officeDocument/2006/relationships/hyperlink" Target="https://doi.org/10.5281/zenodo.15552109" TargetMode="External"/><Relationship Id="rId45" Type="http://schemas.openxmlformats.org/officeDocument/2006/relationships/hyperlink" Target="https://mail.nijotech.com/index.php/nijotech/article/view/2678" TargetMode="External"/><Relationship Id="rId53" Type="http://schemas.openxmlformats.org/officeDocument/2006/relationships/hyperlink" Target="https://doi.org/10.2174/1573401318666220901144438"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doi.org/10.1016/j.carbpol.2024.121978" TargetMode="External"/><Relationship Id="rId14" Type="http://schemas.openxmlformats.org/officeDocument/2006/relationships/hyperlink" Target="https://doi.org/10.1039/AN9739800213" TargetMode="External"/><Relationship Id="rId22" Type="http://schemas.openxmlformats.org/officeDocument/2006/relationships/hyperlink" Target="https://doi.org/10.15413/ajfr.2022.0102" TargetMode="External"/><Relationship Id="rId27" Type="http://schemas.openxmlformats.org/officeDocument/2006/relationships/hyperlink" Target="https://doi.org/10.3390/agronomy15030563" TargetMode="External"/><Relationship Id="rId30" Type="http://schemas.openxmlformats.org/officeDocument/2006/relationships/hyperlink" Target="https://doi.org/10.4236/jbm.2020.88015" TargetMode="External"/><Relationship Id="rId35" Type="http://schemas.openxmlformats.org/officeDocument/2006/relationships/hyperlink" Target="https://doi.org/10.20546/ijcmas.2021.1009.032" TargetMode="External"/><Relationship Id="rId43" Type="http://schemas.openxmlformats.org/officeDocument/2006/relationships/hyperlink" Target="https://www.jphytochemistry.com/vol-5-issue-1-2016.html" TargetMode="External"/><Relationship Id="rId48" Type="http://schemas.openxmlformats.org/officeDocument/2006/relationships/hyperlink" Target="https://doi.org/10.1080/12298093.2020.1835142" TargetMode="External"/><Relationship Id="rId56" Type="http://schemas.openxmlformats.org/officeDocument/2006/relationships/hyperlink" Target="https://doi.org/10.3390/jof9101028" TargetMode="External"/><Relationship Id="rId64" Type="http://schemas.openxmlformats.org/officeDocument/2006/relationships/fontTable" Target="fontTable.xml"/><Relationship Id="rId8" Type="http://schemas.openxmlformats.org/officeDocument/2006/relationships/hyperlink" Target="https://www.sciencedirect.com/topics/biochemistry-genetics-and-molecular-biology/thymocyte" TargetMode="External"/><Relationship Id="rId51" Type="http://schemas.openxmlformats.org/officeDocument/2006/relationships/hyperlink" Target="https://doi.org/10.1007/s44187-024-00216-2" TargetMode="External"/><Relationship Id="rId3" Type="http://schemas.openxmlformats.org/officeDocument/2006/relationships/settings" Target="settings.xml"/><Relationship Id="rId12" Type="http://schemas.openxmlformats.org/officeDocument/2006/relationships/hyperlink" Target="https://doi.org/10.1016/j.heliyon.2024.e26539" TargetMode="External"/><Relationship Id="rId17" Type="http://schemas.openxmlformats.org/officeDocument/2006/relationships/hyperlink" Target="https://doi.org/10.5123/inj.2024.1.inj3" TargetMode="External"/><Relationship Id="rId25" Type="http://schemas.openxmlformats.org/officeDocument/2006/relationships/hyperlink" Target="https://www.eminternational.com/journals/ecology-environment-conservation/archieved-issues" TargetMode="External"/><Relationship Id="rId33" Type="http://schemas.openxmlformats.org/officeDocument/2006/relationships/hyperlink" Target="https://doi.org/10.3390/ijms24098044" TargetMode="External"/><Relationship Id="rId38" Type="http://schemas.openxmlformats.org/officeDocument/2006/relationships/hyperlink" Target="https://doi.org/10.24925/turjaf.v4i10.882-886.816" TargetMode="External"/><Relationship Id="rId46" Type="http://schemas.openxmlformats.org/officeDocument/2006/relationships/hyperlink" Target="https://www.ajol.info/index.php/ejas/article/view/259000" TargetMode="External"/><Relationship Id="rId59" Type="http://schemas.openxmlformats.org/officeDocument/2006/relationships/header" Target="header2.xml"/><Relationship Id="rId20" Type="http://schemas.openxmlformats.org/officeDocument/2006/relationships/hyperlink" Target="https://doi.org/10.1155/2022/8744788" TargetMode="External"/><Relationship Id="rId41" Type="http://schemas.openxmlformats.org/officeDocument/2006/relationships/hyperlink" Target="https://doi.org/10.14336/AD.2020.0603" TargetMode="External"/><Relationship Id="rId54" Type="http://schemas.openxmlformats.org/officeDocument/2006/relationships/hyperlink" Target="https://doi.org/10.3390/molecules26196060"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47504/IJAGRI.2020.5119" TargetMode="External"/><Relationship Id="rId23" Type="http://schemas.openxmlformats.org/officeDocument/2006/relationships/hyperlink" Target="https://doi.org/10.1371/journal.pone.0287532" TargetMode="External"/><Relationship Id="rId28" Type="http://schemas.openxmlformats.org/officeDocument/2006/relationships/hyperlink" Target="https://doi.org/10.3389/fnut.2023.1279208" TargetMode="External"/><Relationship Id="rId36" Type="http://schemas.openxmlformats.org/officeDocument/2006/relationships/hyperlink" Target="https://doi.org/10.37745/ejfst.2013" TargetMode="External"/><Relationship Id="rId49" Type="http://schemas.openxmlformats.org/officeDocument/2006/relationships/hyperlink" Target="https://doi.org/10.13040/IJPSR.0975-8232.9(11).4859-64" TargetMode="External"/><Relationship Id="rId57" Type="http://schemas.openxmlformats.org/officeDocument/2006/relationships/hyperlink" Target="https://doi.org/10.3390/nu15030704" TargetMode="External"/><Relationship Id="rId10" Type="http://schemas.openxmlformats.org/officeDocument/2006/relationships/hyperlink" Target="https://doi.org/10.58578/ajbmbr.v2i2.5892" TargetMode="External"/><Relationship Id="rId31" Type="http://schemas.openxmlformats.org/officeDocument/2006/relationships/hyperlink" Target="http://www.questjournals.org/jrees/v5-i1.html" TargetMode="External"/><Relationship Id="rId44" Type="http://schemas.openxmlformats.org/officeDocument/2006/relationships/hyperlink" Target="https://doi.org/10.58489/2836-3590/024" TargetMode="External"/><Relationship Id="rId52" Type="http://schemas.openxmlformats.org/officeDocument/2006/relationships/hyperlink" Target="https://doi.org/10.3390/app15031655"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topics/medicine-and-dentistry/immune-system-function" TargetMode="External"/><Relationship Id="rId13" Type="http://schemas.openxmlformats.org/officeDocument/2006/relationships/hyperlink" Target="https://doi.org/10.11648/j.ajhr.20200805.13" TargetMode="External"/><Relationship Id="rId18" Type="http://schemas.openxmlformats.org/officeDocument/2006/relationships/hyperlink" Target="https://doi.org/10.2105/SMWW.2882.043" TargetMode="External"/><Relationship Id="rId39" Type="http://schemas.openxmlformats.org/officeDocument/2006/relationships/hyperlink" Target="http://www.ijcmas.com/special-issue-11/Ladl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15</Pages>
  <Words>7141</Words>
  <Characters>40708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Chukwunonso Anthony</dc:creator>
  <cp:keywords/>
  <dc:description/>
  <cp:lastModifiedBy>SDI 1022</cp:lastModifiedBy>
  <cp:revision>6</cp:revision>
  <dcterms:created xsi:type="dcterms:W3CDTF">2025-12-20T11:18:00Z</dcterms:created>
  <dcterms:modified xsi:type="dcterms:W3CDTF">2025-12-23T05:40:00Z</dcterms:modified>
</cp:coreProperties>
</file>