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D66E6" w14:textId="77777777" w:rsidR="005C62DE" w:rsidRPr="00D615DF" w:rsidRDefault="007A3D66" w:rsidP="00D615DF">
      <w:pPr>
        <w:pStyle w:val="Heading3"/>
        <w:rPr>
          <w:rFonts w:eastAsia="Times New Roman"/>
          <w:noProof/>
          <w:lang w:eastAsia="zh-TW"/>
        </w:rPr>
      </w:pPr>
      <w:r w:rsidRPr="00D615DF">
        <w:rPr>
          <w:rFonts w:eastAsia="Times New Roman"/>
          <w:noProof/>
        </w:rPr>
        <w:drawing>
          <wp:anchor distT="0" distB="0" distL="114300" distR="114300" simplePos="0" relativeHeight="251657728" behindDoc="1" locked="0" layoutInCell="1" allowOverlap="1" wp14:anchorId="4A7B6ADC" wp14:editId="0ACF45C5">
            <wp:simplePos x="0" y="0"/>
            <wp:positionH relativeFrom="column">
              <wp:posOffset>8890</wp:posOffset>
            </wp:positionH>
            <wp:positionV relativeFrom="paragraph">
              <wp:posOffset>-269240</wp:posOffset>
            </wp:positionV>
            <wp:extent cx="768985" cy="1090295"/>
            <wp:effectExtent l="0" t="0" r="0" b="0"/>
            <wp:wrapTight wrapText="bothSides">
              <wp:wrapPolygon edited="0">
                <wp:start x="0" y="0"/>
                <wp:lineTo x="0" y="21135"/>
                <wp:lineTo x="20869" y="21135"/>
                <wp:lineTo x="20869"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68985" cy="1090295"/>
                    </a:xfrm>
                    <a:prstGeom prst="rect">
                      <a:avLst/>
                    </a:prstGeom>
                    <a:noFill/>
                    <a:ln w="9525">
                      <a:noFill/>
                      <a:miter lim="800000"/>
                      <a:headEnd/>
                      <a:tailEnd/>
                    </a:ln>
                  </pic:spPr>
                </pic:pic>
              </a:graphicData>
            </a:graphic>
            <wp14:sizeRelV relativeFrom="margin">
              <wp14:pctHeight>0</wp14:pctHeight>
            </wp14:sizeRelV>
          </wp:anchor>
        </w:drawing>
      </w:r>
      <w:r w:rsidR="00CE6D2D" w:rsidRPr="00D615DF">
        <w:rPr>
          <w:rFonts w:eastAsia="Times New Roman"/>
          <w:noProof/>
        </w:rPr>
        <w:t>Asian Journal of Food Research and Nutrition</w:t>
      </w:r>
    </w:p>
    <w:p w14:paraId="1A4140C0" w14:textId="77777777" w:rsidR="00F029E5" w:rsidRPr="00D615DF" w:rsidRDefault="00F029E5" w:rsidP="00D615DF">
      <w:pPr>
        <w:spacing w:after="0" w:line="240" w:lineRule="auto"/>
        <w:ind w:left="2160"/>
        <w:rPr>
          <w:rFonts w:ascii="Arial" w:eastAsia="Times New Roman" w:hAnsi="Arial" w:cs="Arial"/>
          <w:b/>
          <w:i/>
          <w:sz w:val="24"/>
          <w:szCs w:val="16"/>
        </w:rPr>
      </w:pPr>
    </w:p>
    <w:p w14:paraId="545DCC42" w14:textId="02BE1955" w:rsidR="005C62DE" w:rsidRPr="00D615DF" w:rsidRDefault="007F796E" w:rsidP="00D615DF">
      <w:pPr>
        <w:pStyle w:val="Heading4"/>
        <w:rPr>
          <w:rFonts w:eastAsia="Times New Roman"/>
        </w:rPr>
      </w:pPr>
      <w:r w:rsidRPr="00D615DF">
        <w:rPr>
          <w:rFonts w:eastAsia="Times New Roman"/>
        </w:rPr>
        <w:t>Volume XXX, Issue XX, Page XX-XX, 20</w:t>
      </w:r>
      <w:r w:rsidR="00A32BAB" w:rsidRPr="00D615DF">
        <w:rPr>
          <w:rFonts w:eastAsia="Times New Roman"/>
        </w:rPr>
        <w:t>YY</w:t>
      </w:r>
      <w:r w:rsidR="00255CEC" w:rsidRPr="00D615DF">
        <w:rPr>
          <w:rFonts w:eastAsia="Times New Roman"/>
        </w:rPr>
        <w:t>;</w:t>
      </w:r>
      <w:r w:rsidR="005C62DE" w:rsidRPr="00D615DF">
        <w:rPr>
          <w:rFonts w:eastAsia="Times New Roman"/>
        </w:rPr>
        <w:t xml:space="preserve"> Article </w:t>
      </w:r>
      <w:proofErr w:type="gramStart"/>
      <w:r w:rsidR="005C62DE" w:rsidRPr="00D615DF">
        <w:rPr>
          <w:rFonts w:eastAsia="Times New Roman"/>
        </w:rPr>
        <w:t>no.</w:t>
      </w:r>
      <w:r w:rsidR="003E7228" w:rsidRPr="00D615DF">
        <w:rPr>
          <w:rFonts w:eastAsia="Times New Roman"/>
        </w:rPr>
        <w:t>AJFRN</w:t>
      </w:r>
      <w:proofErr w:type="gramEnd"/>
      <w:r w:rsidR="002761F2" w:rsidRPr="00D615DF">
        <w:rPr>
          <w:rFonts w:eastAsia="Times New Roman"/>
        </w:rPr>
        <w:t>.150095</w:t>
      </w:r>
    </w:p>
    <w:p w14:paraId="2D71E543" w14:textId="77777777" w:rsidR="005C62DE" w:rsidRPr="00D615DF" w:rsidRDefault="005C62DE" w:rsidP="00D615DF">
      <w:pPr>
        <w:spacing w:after="0" w:line="240" w:lineRule="auto"/>
        <w:ind w:left="2160"/>
        <w:rPr>
          <w:rFonts w:ascii="Arial" w:eastAsia="Times New Roman" w:hAnsi="Arial" w:cs="Arial"/>
          <w:b/>
          <w:i/>
          <w:sz w:val="18"/>
          <w:szCs w:val="20"/>
        </w:rPr>
      </w:pPr>
    </w:p>
    <w:p w14:paraId="05750CDE" w14:textId="77777777" w:rsidR="005C62DE" w:rsidRPr="00D615DF" w:rsidRDefault="00AB376C" w:rsidP="00D615DF">
      <w:pPr>
        <w:spacing w:after="0" w:line="240" w:lineRule="auto"/>
        <w:rPr>
          <w:rFonts w:ascii="Arial" w:eastAsia="Times New Roman" w:hAnsi="Arial" w:cs="Arial"/>
          <w:b/>
          <w:sz w:val="14"/>
          <w:szCs w:val="20"/>
        </w:rPr>
      </w:pPr>
      <w:r w:rsidRPr="00D615DF">
        <w:rPr>
          <w:rFonts w:ascii="Arial" w:eastAsia="Times New Roman" w:hAnsi="Arial" w:cs="Arial"/>
          <w:b/>
          <w:sz w:val="14"/>
          <w:szCs w:val="20"/>
        </w:rPr>
        <w:t xml:space="preserve">      </w:t>
      </w:r>
      <w:r w:rsidRPr="00D615DF">
        <w:rPr>
          <w:rFonts w:ascii="Arial" w:eastAsia="Times New Roman" w:hAnsi="Arial" w:cs="Arial"/>
          <w:b/>
          <w:sz w:val="12"/>
          <w:szCs w:val="20"/>
        </w:rPr>
        <w:t xml:space="preserve"> </w:t>
      </w:r>
      <w:r w:rsidRPr="00D615DF">
        <w:rPr>
          <w:rFonts w:ascii="Arial" w:eastAsia="Times New Roman" w:hAnsi="Arial" w:cs="Arial"/>
          <w:b/>
          <w:sz w:val="14"/>
          <w:szCs w:val="20"/>
        </w:rPr>
        <w:t xml:space="preserve">                            </w:t>
      </w:r>
    </w:p>
    <w:p w14:paraId="767B45BC" w14:textId="77777777" w:rsidR="00F029E5" w:rsidRPr="00D615DF" w:rsidRDefault="00F029E5" w:rsidP="00D615DF">
      <w:pPr>
        <w:spacing w:after="0" w:line="240" w:lineRule="auto"/>
        <w:rPr>
          <w:rFonts w:ascii="Arial" w:eastAsia="Times New Roman" w:hAnsi="Arial" w:cs="Arial"/>
          <w:b/>
          <w:sz w:val="14"/>
          <w:szCs w:val="20"/>
        </w:rPr>
      </w:pPr>
    </w:p>
    <w:p w14:paraId="722F3A20" w14:textId="77777777" w:rsidR="005C62DE" w:rsidRPr="00D615DF" w:rsidRDefault="003A7396" w:rsidP="00D615DF">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6DBBE3E3">
          <v:shapetype id="_x0000_t32" coordsize="21600,21600" o:spt="32" o:oned="t" path="m,l21600,21600e" filled="f">
            <v:path arrowok="t" fillok="f" o:connecttype="none"/>
            <o:lock v:ext="edit" shapetype="t"/>
          </v:shapetype>
          <v:shape id="AutoShape 54" o:spid="_x0000_s1041"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18D5CF25" w14:textId="77777777" w:rsidR="00444654" w:rsidRPr="00D615DF" w:rsidRDefault="00444654" w:rsidP="00D615DF">
      <w:pPr>
        <w:tabs>
          <w:tab w:val="left" w:pos="90"/>
        </w:tabs>
        <w:spacing w:after="0" w:line="240" w:lineRule="auto"/>
        <w:jc w:val="right"/>
        <w:rPr>
          <w:rFonts w:ascii="Arial" w:eastAsia="Times New Roman" w:hAnsi="Arial" w:cs="Arial"/>
          <w:b/>
          <w:bCs/>
          <w:color w:val="000000"/>
          <w:sz w:val="20"/>
          <w:szCs w:val="36"/>
        </w:rPr>
      </w:pPr>
    </w:p>
    <w:p w14:paraId="4470D7D7" w14:textId="77777777" w:rsidR="00AD12DD" w:rsidRPr="00D615DF" w:rsidRDefault="00AD12DD" w:rsidP="00D615DF">
      <w:pPr>
        <w:pStyle w:val="Heading1"/>
        <w:rPr>
          <w:rFonts w:eastAsia="Times New Roman"/>
          <w:kern w:val="28"/>
          <w:sz w:val="48"/>
          <w:szCs w:val="48"/>
        </w:rPr>
      </w:pPr>
      <w:r w:rsidRPr="00D615DF">
        <w:rPr>
          <w:rFonts w:eastAsia="Times New Roman"/>
          <w:kern w:val="28"/>
          <w:sz w:val="48"/>
          <w:szCs w:val="48"/>
        </w:rPr>
        <w:t xml:space="preserve">Habit and Availability as Determinants of School-canteen Food Choices among Adolescents in </w:t>
      </w:r>
      <w:proofErr w:type="spellStart"/>
      <w:r w:rsidRPr="00D615DF">
        <w:rPr>
          <w:rFonts w:eastAsia="Times New Roman"/>
          <w:kern w:val="28"/>
          <w:sz w:val="48"/>
          <w:szCs w:val="48"/>
        </w:rPr>
        <w:t>Nansana</w:t>
      </w:r>
      <w:proofErr w:type="spellEnd"/>
      <w:r w:rsidRPr="00D615DF">
        <w:rPr>
          <w:rFonts w:eastAsia="Times New Roman"/>
          <w:kern w:val="28"/>
          <w:sz w:val="48"/>
          <w:szCs w:val="48"/>
        </w:rPr>
        <w:t xml:space="preserve"> Municipality, Uganda: A </w:t>
      </w:r>
    </w:p>
    <w:p w14:paraId="5D78791C" w14:textId="38152AB3" w:rsidR="0049098D" w:rsidRPr="00D615DF" w:rsidRDefault="00AD12DD" w:rsidP="00D615DF">
      <w:pPr>
        <w:pStyle w:val="Heading1"/>
        <w:rPr>
          <w:rFonts w:eastAsia="Times New Roman"/>
          <w:kern w:val="28"/>
          <w:sz w:val="48"/>
          <w:szCs w:val="48"/>
        </w:rPr>
      </w:pPr>
      <w:r w:rsidRPr="00D615DF">
        <w:rPr>
          <w:rFonts w:eastAsia="Times New Roman"/>
          <w:kern w:val="28"/>
          <w:sz w:val="48"/>
          <w:szCs w:val="48"/>
        </w:rPr>
        <w:t>Cross-sectional Study</w:t>
      </w:r>
    </w:p>
    <w:p w14:paraId="71CB09A0" w14:textId="77777777" w:rsidR="0049098D" w:rsidRPr="00D615DF" w:rsidRDefault="0049098D" w:rsidP="00D615DF">
      <w:pPr>
        <w:spacing w:after="0" w:line="240" w:lineRule="auto"/>
        <w:contextualSpacing/>
        <w:jc w:val="right"/>
        <w:rPr>
          <w:rFonts w:ascii="Arial" w:eastAsia="Times New Roman" w:hAnsi="Arial" w:cs="Arial"/>
          <w:b/>
          <w:bCs/>
          <w:sz w:val="36"/>
          <w:szCs w:val="20"/>
        </w:rPr>
      </w:pPr>
    </w:p>
    <w:p w14:paraId="153D32E4" w14:textId="77777777" w:rsidR="0049098D" w:rsidRPr="00D615DF" w:rsidRDefault="0049098D" w:rsidP="00D615DF">
      <w:pPr>
        <w:spacing w:before="10" w:after="0" w:line="240" w:lineRule="auto"/>
        <w:jc w:val="right"/>
        <w:rPr>
          <w:rFonts w:ascii="Arial" w:eastAsia="Times New Roman" w:hAnsi="Arial" w:cs="Arial"/>
          <w:b/>
          <w:bCs/>
          <w:sz w:val="32"/>
          <w:szCs w:val="32"/>
        </w:rPr>
      </w:pPr>
      <w:r w:rsidRPr="00D615DF">
        <w:rPr>
          <w:rFonts w:ascii="Arial" w:eastAsia="Times New Roman" w:hAnsi="Arial" w:cs="Arial"/>
          <w:b/>
          <w:bCs/>
          <w:sz w:val="32"/>
          <w:szCs w:val="32"/>
        </w:rPr>
        <w:t>Authors’ Name……………………………………………………</w:t>
      </w:r>
    </w:p>
    <w:p w14:paraId="67D620BA" w14:textId="77777777" w:rsidR="0049098D" w:rsidRPr="00D615DF" w:rsidRDefault="0049098D" w:rsidP="00D615DF">
      <w:pPr>
        <w:spacing w:after="0" w:line="280" w:lineRule="exact"/>
        <w:jc w:val="right"/>
        <w:rPr>
          <w:rFonts w:ascii="Arial" w:eastAsia="Times New Roman" w:hAnsi="Arial" w:cs="Arial"/>
          <w:b/>
          <w:bCs/>
          <w:sz w:val="24"/>
          <w:szCs w:val="20"/>
        </w:rPr>
      </w:pPr>
    </w:p>
    <w:p w14:paraId="1CB27FDA" w14:textId="77777777" w:rsidR="0049098D" w:rsidRPr="00D615DF" w:rsidRDefault="0049098D" w:rsidP="00D615DF">
      <w:pPr>
        <w:spacing w:after="0" w:line="240" w:lineRule="auto"/>
        <w:jc w:val="right"/>
        <w:rPr>
          <w:rFonts w:ascii="Arial" w:eastAsia="Times New Roman" w:hAnsi="Arial" w:cs="Arial"/>
          <w:bCs/>
          <w:i/>
          <w:sz w:val="20"/>
          <w:szCs w:val="20"/>
        </w:rPr>
      </w:pPr>
      <w:r w:rsidRPr="00D615DF">
        <w:rPr>
          <w:rFonts w:ascii="Arial" w:eastAsia="Times New Roman" w:hAnsi="Arial" w:cs="Arial"/>
          <w:bCs/>
          <w:i/>
          <w:sz w:val="20"/>
          <w:szCs w:val="20"/>
        </w:rPr>
        <w:t>Affiliations……………………………………………………….………………</w:t>
      </w:r>
    </w:p>
    <w:p w14:paraId="06DF807A" w14:textId="77777777" w:rsidR="005C62DE" w:rsidRPr="00D615DF" w:rsidRDefault="005C62DE" w:rsidP="00D615DF">
      <w:pPr>
        <w:spacing w:after="0" w:line="240" w:lineRule="auto"/>
        <w:jc w:val="right"/>
        <w:rPr>
          <w:rFonts w:ascii="Arial" w:hAnsi="Arial" w:cs="Arial"/>
          <w:i/>
          <w:iCs/>
          <w:sz w:val="20"/>
          <w:szCs w:val="20"/>
        </w:rPr>
      </w:pPr>
    </w:p>
    <w:p w14:paraId="4750773A" w14:textId="616A12B6" w:rsidR="005C62DE" w:rsidRPr="00D615DF" w:rsidRDefault="00C24C8D" w:rsidP="00D615DF">
      <w:pPr>
        <w:spacing w:after="0" w:line="240" w:lineRule="auto"/>
        <w:jc w:val="right"/>
        <w:rPr>
          <w:rFonts w:ascii="Arial" w:eastAsia="Times New Roman" w:hAnsi="Arial" w:cs="Arial"/>
          <w:b/>
          <w:i/>
          <w:color w:val="FF0000"/>
          <w:sz w:val="20"/>
          <w:szCs w:val="20"/>
        </w:rPr>
      </w:pPr>
      <w:r w:rsidRPr="00D615DF">
        <w:rPr>
          <w:rFonts w:ascii="Arial" w:eastAsia="Times New Roman" w:hAnsi="Arial" w:cs="Arial"/>
          <w:b/>
          <w:i/>
          <w:sz w:val="20"/>
          <w:szCs w:val="20"/>
        </w:rPr>
        <w:t>Authors’ contributions</w:t>
      </w:r>
    </w:p>
    <w:p w14:paraId="74FABAAB" w14:textId="77777777" w:rsidR="00C24C8D" w:rsidRPr="00D615DF" w:rsidRDefault="00C24C8D" w:rsidP="00D615DF">
      <w:pPr>
        <w:spacing w:after="0" w:line="240" w:lineRule="auto"/>
        <w:jc w:val="right"/>
        <w:rPr>
          <w:rFonts w:ascii="Arial" w:hAnsi="Arial" w:cs="Arial"/>
          <w:b/>
          <w:i/>
          <w:color w:val="FF0000"/>
          <w:sz w:val="20"/>
          <w:szCs w:val="20"/>
          <w:lang w:eastAsia="ja-JP"/>
        </w:rPr>
      </w:pPr>
    </w:p>
    <w:p w14:paraId="51D820B7" w14:textId="77777777" w:rsidR="00950101" w:rsidRPr="00D615DF" w:rsidRDefault="00950101" w:rsidP="00D615DF">
      <w:pPr>
        <w:spacing w:after="0" w:line="240" w:lineRule="auto"/>
        <w:jc w:val="right"/>
        <w:rPr>
          <w:rFonts w:ascii="Arial" w:eastAsia="Times New Roman" w:hAnsi="Arial" w:cs="Arial"/>
          <w:i/>
          <w:sz w:val="20"/>
          <w:szCs w:val="20"/>
        </w:rPr>
      </w:pPr>
      <w:r w:rsidRPr="00D615DF">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6B6BEA37" w14:textId="77777777" w:rsidR="005C62DE" w:rsidRPr="00D615DF" w:rsidRDefault="005C62DE" w:rsidP="00D615DF">
      <w:pPr>
        <w:spacing w:after="0" w:line="240" w:lineRule="auto"/>
        <w:jc w:val="right"/>
        <w:rPr>
          <w:rFonts w:ascii="Arial" w:hAnsi="Arial" w:cs="Arial"/>
          <w:i/>
          <w:iCs/>
          <w:sz w:val="20"/>
          <w:szCs w:val="20"/>
        </w:rPr>
      </w:pPr>
    </w:p>
    <w:p w14:paraId="260522BD" w14:textId="77777777" w:rsidR="005C62DE" w:rsidRPr="00D615DF" w:rsidRDefault="005C62DE" w:rsidP="00D615DF">
      <w:pPr>
        <w:spacing w:after="0" w:line="240" w:lineRule="auto"/>
        <w:jc w:val="right"/>
        <w:rPr>
          <w:rFonts w:ascii="Arial" w:hAnsi="Arial" w:cs="Arial"/>
          <w:b/>
          <w:i/>
          <w:sz w:val="20"/>
          <w:szCs w:val="20"/>
        </w:rPr>
      </w:pPr>
      <w:r w:rsidRPr="00D615DF">
        <w:rPr>
          <w:rFonts w:ascii="Arial" w:hAnsi="Arial" w:cs="Arial"/>
          <w:b/>
          <w:i/>
          <w:sz w:val="20"/>
          <w:szCs w:val="20"/>
        </w:rPr>
        <w:t>Article Information</w:t>
      </w:r>
    </w:p>
    <w:p w14:paraId="2E126FB9" w14:textId="77777777" w:rsidR="005C62DE" w:rsidRPr="00D615DF" w:rsidRDefault="005C62DE" w:rsidP="00D615DF">
      <w:pPr>
        <w:spacing w:after="0" w:line="240" w:lineRule="auto"/>
        <w:jc w:val="right"/>
        <w:rPr>
          <w:rFonts w:ascii="Arial" w:hAnsi="Arial" w:cs="Arial"/>
          <w:b/>
          <w:i/>
          <w:sz w:val="16"/>
          <w:szCs w:val="20"/>
        </w:rPr>
      </w:pPr>
    </w:p>
    <w:p w14:paraId="1E2B1A5C" w14:textId="7247C833" w:rsidR="00DE4592" w:rsidRPr="00D615DF" w:rsidRDefault="00DE4592" w:rsidP="00D615DF">
      <w:pPr>
        <w:spacing w:after="0" w:line="240" w:lineRule="auto"/>
        <w:jc w:val="right"/>
        <w:rPr>
          <w:rFonts w:ascii="Arial" w:hAnsi="Arial" w:cs="Arial"/>
          <w:b/>
          <w:i/>
          <w:sz w:val="16"/>
          <w:szCs w:val="20"/>
        </w:rPr>
      </w:pPr>
      <w:r w:rsidRPr="00D615DF">
        <w:rPr>
          <w:rFonts w:ascii="Arial" w:eastAsia="Times New Roman" w:hAnsi="Arial" w:cs="Arial"/>
          <w:sz w:val="16"/>
          <w:szCs w:val="16"/>
        </w:rPr>
        <w:t>DOI: 10.9734/AJFRN/202</w:t>
      </w:r>
      <w:r w:rsidR="007B7F54" w:rsidRPr="00D615DF">
        <w:rPr>
          <w:rFonts w:ascii="Arial" w:eastAsia="Times New Roman" w:hAnsi="Arial" w:cs="Arial"/>
          <w:sz w:val="16"/>
          <w:szCs w:val="16"/>
        </w:rPr>
        <w:t>5</w:t>
      </w:r>
      <w:r w:rsidRPr="00D615DF">
        <w:rPr>
          <w:rFonts w:ascii="Arial" w:eastAsia="Times New Roman" w:hAnsi="Arial" w:cs="Arial"/>
          <w:sz w:val="16"/>
          <w:szCs w:val="16"/>
        </w:rPr>
        <w:t>/XXXXX</w:t>
      </w:r>
    </w:p>
    <w:p w14:paraId="4AC11968" w14:textId="77777777" w:rsidR="00DE4592" w:rsidRPr="00D615DF" w:rsidRDefault="00DE4592" w:rsidP="00D615DF">
      <w:pPr>
        <w:spacing w:after="0" w:line="240" w:lineRule="auto"/>
        <w:jc w:val="right"/>
        <w:rPr>
          <w:rFonts w:ascii="Arial" w:hAnsi="Arial" w:cs="Arial"/>
          <w:b/>
          <w:i/>
          <w:sz w:val="16"/>
          <w:szCs w:val="20"/>
        </w:rPr>
      </w:pPr>
    </w:p>
    <w:p w14:paraId="1454D57D" w14:textId="77777777" w:rsidR="0071730D" w:rsidRPr="00D615DF" w:rsidRDefault="0071730D" w:rsidP="00D615DF">
      <w:pPr>
        <w:spacing w:after="0" w:line="240" w:lineRule="auto"/>
        <w:jc w:val="right"/>
        <w:rPr>
          <w:rFonts w:ascii="Arial" w:eastAsia="Times New Roman" w:hAnsi="Arial" w:cs="Arial"/>
          <w:b/>
          <w:sz w:val="16"/>
          <w:szCs w:val="16"/>
        </w:rPr>
      </w:pPr>
      <w:r w:rsidRPr="00D615DF">
        <w:rPr>
          <w:rFonts w:ascii="Arial" w:eastAsia="Times New Roman" w:hAnsi="Arial" w:cs="Arial"/>
          <w:b/>
          <w:sz w:val="16"/>
          <w:szCs w:val="16"/>
        </w:rPr>
        <w:t>Open Peer Review History:</w:t>
      </w:r>
    </w:p>
    <w:p w14:paraId="158EE89D" w14:textId="729ED7BA" w:rsidR="0071730D" w:rsidRPr="00D615DF" w:rsidRDefault="0071730D" w:rsidP="00D615DF">
      <w:pPr>
        <w:spacing w:after="0" w:line="240" w:lineRule="auto"/>
        <w:jc w:val="right"/>
        <w:rPr>
          <w:rFonts w:ascii="Arial" w:eastAsia="Times New Roman" w:hAnsi="Arial" w:cs="Arial"/>
          <w:sz w:val="16"/>
          <w:szCs w:val="16"/>
        </w:rPr>
      </w:pPr>
      <w:r w:rsidRPr="00D615DF">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D615DF">
        <w:rPr>
          <w:rFonts w:ascii="Arial" w:eastAsia="Times New Roman" w:hAnsi="Arial" w:cs="Arial"/>
          <w:sz w:val="16"/>
          <w:szCs w:val="16"/>
        </w:rPr>
        <w:t>etc</w:t>
      </w:r>
      <w:proofErr w:type="spellEnd"/>
      <w:r w:rsidRPr="00D615DF">
        <w:rPr>
          <w:rFonts w:ascii="Arial" w:eastAsia="Times New Roman" w:hAnsi="Arial" w:cs="Arial"/>
          <w:sz w:val="16"/>
          <w:szCs w:val="16"/>
        </w:rPr>
        <w:t xml:space="preserve"> are available here:</w:t>
      </w:r>
    </w:p>
    <w:p w14:paraId="267E9E76" w14:textId="77777777" w:rsidR="00444654" w:rsidRPr="00D615DF" w:rsidRDefault="00444654" w:rsidP="00D615DF">
      <w:pPr>
        <w:spacing w:after="0" w:line="240" w:lineRule="auto"/>
        <w:jc w:val="right"/>
        <w:rPr>
          <w:rFonts w:ascii="Arial" w:eastAsia="Times New Roman" w:hAnsi="Arial" w:cs="Arial"/>
          <w:b/>
          <w:sz w:val="16"/>
          <w:szCs w:val="20"/>
        </w:rPr>
      </w:pPr>
    </w:p>
    <w:p w14:paraId="6291DD05" w14:textId="77777777" w:rsidR="00444654" w:rsidRPr="00D615DF" w:rsidRDefault="00444654" w:rsidP="00D615DF">
      <w:pPr>
        <w:spacing w:after="0" w:line="240" w:lineRule="auto"/>
        <w:jc w:val="right"/>
        <w:rPr>
          <w:rFonts w:ascii="Arial" w:eastAsia="Times New Roman" w:hAnsi="Arial" w:cs="Arial"/>
          <w:b/>
          <w:sz w:val="20"/>
          <w:szCs w:val="20"/>
        </w:rPr>
      </w:pPr>
    </w:p>
    <w:p w14:paraId="70C5FBCA" w14:textId="77777777" w:rsidR="001F084D" w:rsidRPr="00D615DF" w:rsidRDefault="001F084D" w:rsidP="00D615DF">
      <w:pPr>
        <w:spacing w:after="0" w:line="240" w:lineRule="auto"/>
        <w:jc w:val="right"/>
        <w:rPr>
          <w:rFonts w:ascii="Arial" w:eastAsia="Times New Roman" w:hAnsi="Arial" w:cs="Arial"/>
          <w:b/>
          <w:sz w:val="20"/>
          <w:szCs w:val="20"/>
        </w:rPr>
      </w:pPr>
    </w:p>
    <w:p w14:paraId="5D5C7862" w14:textId="2E8E2BB0" w:rsidR="00444654" w:rsidRPr="00D615DF" w:rsidRDefault="00444654" w:rsidP="00D615DF">
      <w:pPr>
        <w:autoSpaceDE w:val="0"/>
        <w:autoSpaceDN w:val="0"/>
        <w:adjustRightInd w:val="0"/>
        <w:spacing w:after="0" w:line="240" w:lineRule="auto"/>
        <w:jc w:val="right"/>
        <w:rPr>
          <w:rFonts w:ascii="Arial" w:eastAsia="Times New Roman" w:hAnsi="Arial" w:cs="Arial"/>
          <w:b/>
          <w:i/>
          <w:sz w:val="20"/>
          <w:szCs w:val="16"/>
        </w:rPr>
      </w:pPr>
      <w:r w:rsidRPr="00D615DF">
        <w:rPr>
          <w:rFonts w:ascii="Arial" w:eastAsia="Times New Roman" w:hAnsi="Arial" w:cs="Arial"/>
          <w:b/>
          <w:i/>
          <w:sz w:val="20"/>
          <w:szCs w:val="16"/>
        </w:rPr>
        <w:t>Received</w:t>
      </w:r>
      <w:r w:rsidR="007A3D66" w:rsidRPr="00D615DF">
        <w:rPr>
          <w:rFonts w:ascii="Arial" w:eastAsia="Times New Roman" w:hAnsi="Arial" w:cs="Arial"/>
          <w:b/>
          <w:i/>
          <w:sz w:val="20"/>
          <w:szCs w:val="16"/>
        </w:rPr>
        <w:t>:</w:t>
      </w:r>
      <w:r w:rsidRPr="00D615DF">
        <w:rPr>
          <w:rFonts w:ascii="Arial" w:eastAsia="Times New Roman" w:hAnsi="Arial" w:cs="Arial"/>
          <w:b/>
          <w:i/>
          <w:sz w:val="20"/>
          <w:szCs w:val="16"/>
        </w:rPr>
        <w:t xml:space="preserve"> </w:t>
      </w:r>
      <w:r w:rsidR="007A3D66" w:rsidRPr="00D615DF">
        <w:rPr>
          <w:rFonts w:ascii="Arial" w:eastAsia="Times New Roman" w:hAnsi="Arial" w:cs="Arial"/>
          <w:b/>
          <w:i/>
          <w:sz w:val="20"/>
          <w:szCs w:val="16"/>
        </w:rPr>
        <w:t>DD/MM/20YY</w:t>
      </w:r>
      <w:r w:rsidR="003A7396">
        <w:rPr>
          <w:rFonts w:ascii="Arial" w:hAnsi="Arial" w:cs="Arial"/>
          <w:i/>
          <w:noProof/>
          <w:sz w:val="20"/>
          <w:szCs w:val="20"/>
        </w:rPr>
        <w:pict w14:anchorId="5C22657D">
          <v:rect id="_x0000_s1039" style="position:absolute;left:0;text-align:left;margin-left:3pt;margin-top:2pt;width:137.6pt;height:18.65pt;z-index:251668480;mso-position-horizontal-relative:text;mso-position-vertical-relative:text">
            <v:textbox style="mso-next-textbox:#_x0000_s1039" inset=",2.16pt,,2.16pt">
              <w:txbxContent>
                <w:p w14:paraId="74FB9419" w14:textId="0AB84FDD" w:rsidR="009439D9" w:rsidRPr="00081439" w:rsidRDefault="00AD12DD" w:rsidP="009439D9">
                  <w:pPr>
                    <w:jc w:val="center"/>
                    <w:rPr>
                      <w:rFonts w:ascii="Arial" w:hAnsi="Arial" w:cs="Arial"/>
                      <w:b/>
                      <w:i/>
                      <w:sz w:val="20"/>
                    </w:rPr>
                  </w:pPr>
                  <w:r w:rsidRPr="00AD12DD">
                    <w:rPr>
                      <w:rFonts w:ascii="Arial" w:hAnsi="Arial" w:cs="Arial"/>
                      <w:b/>
                      <w:i/>
                      <w:sz w:val="20"/>
                    </w:rPr>
                    <w:t>Original Research Article</w:t>
                  </w:r>
                </w:p>
              </w:txbxContent>
            </v:textbox>
          </v:rect>
        </w:pict>
      </w:r>
    </w:p>
    <w:p w14:paraId="3F8330BA" w14:textId="77777777" w:rsidR="00444654" w:rsidRPr="00D615DF" w:rsidRDefault="00444654" w:rsidP="00D615DF">
      <w:pPr>
        <w:tabs>
          <w:tab w:val="left" w:pos="360"/>
        </w:tabs>
        <w:autoSpaceDE w:val="0"/>
        <w:autoSpaceDN w:val="0"/>
        <w:adjustRightInd w:val="0"/>
        <w:spacing w:after="0" w:line="240" w:lineRule="auto"/>
        <w:jc w:val="right"/>
        <w:rPr>
          <w:rFonts w:ascii="Arial" w:eastAsia="Times New Roman" w:hAnsi="Arial" w:cs="Arial"/>
          <w:b/>
          <w:i/>
          <w:sz w:val="24"/>
          <w:szCs w:val="20"/>
        </w:rPr>
      </w:pPr>
      <w:r w:rsidRPr="00D615DF">
        <w:rPr>
          <w:rFonts w:ascii="Arial" w:eastAsia="Times New Roman" w:hAnsi="Arial" w:cs="Arial"/>
          <w:b/>
          <w:i/>
          <w:sz w:val="20"/>
          <w:szCs w:val="16"/>
        </w:rPr>
        <w:t>Published</w:t>
      </w:r>
      <w:r w:rsidR="007A3D66" w:rsidRPr="00D615DF">
        <w:rPr>
          <w:rFonts w:ascii="Arial" w:eastAsia="Times New Roman" w:hAnsi="Arial" w:cs="Arial"/>
          <w:b/>
          <w:i/>
          <w:sz w:val="20"/>
          <w:szCs w:val="16"/>
        </w:rPr>
        <w:t>: DD/MM/20YY</w:t>
      </w:r>
    </w:p>
    <w:p w14:paraId="26F12358" w14:textId="77777777" w:rsidR="00444654" w:rsidRPr="00D615DF" w:rsidRDefault="003A7396" w:rsidP="00D615DF">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3C62555F">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BE59D4C" w14:textId="77777777" w:rsidR="00444654" w:rsidRPr="00D615DF" w:rsidRDefault="00444654" w:rsidP="00D615DF">
      <w:pPr>
        <w:keepNext/>
        <w:spacing w:after="0" w:line="240" w:lineRule="auto"/>
        <w:rPr>
          <w:rFonts w:ascii="Arial" w:eastAsia="Times New Roman" w:hAnsi="Arial" w:cs="Arial"/>
          <w:b/>
          <w:caps/>
          <w:sz w:val="20"/>
          <w:szCs w:val="20"/>
        </w:rPr>
      </w:pPr>
    </w:p>
    <w:p w14:paraId="02D0142D" w14:textId="77777777" w:rsidR="00444654" w:rsidRPr="00D615DF" w:rsidRDefault="00444654" w:rsidP="00D615DF">
      <w:pPr>
        <w:pStyle w:val="Heading2"/>
      </w:pPr>
      <w:r w:rsidRPr="00D615DF">
        <w:t>ABSTRACT</w:t>
      </w:r>
    </w:p>
    <w:p w14:paraId="03A2B23B" w14:textId="77777777" w:rsidR="00444654" w:rsidRPr="00D615DF" w:rsidRDefault="00444654" w:rsidP="00D615DF">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44654" w:rsidRPr="00D615DF" w14:paraId="6CE79B06" w14:textId="77777777" w:rsidTr="000E42FC">
        <w:trPr>
          <w:trHeight w:val="20"/>
          <w:jc w:val="center"/>
        </w:trPr>
        <w:tc>
          <w:tcPr>
            <w:tcW w:w="9108" w:type="dxa"/>
          </w:tcPr>
          <w:p w14:paraId="248EDAAD" w14:textId="77777777" w:rsidR="00AD12DD" w:rsidRPr="00D615DF" w:rsidRDefault="00AD12DD" w:rsidP="00D615DF">
            <w:pPr>
              <w:jc w:val="both"/>
              <w:rPr>
                <w:rFonts w:ascii="Arial" w:eastAsia="DengXian" w:hAnsi="Arial" w:cs="Arial"/>
                <w:kern w:val="2"/>
                <w:lang w:eastAsia="zh-CN"/>
              </w:rPr>
            </w:pPr>
            <w:r w:rsidRPr="008A1C34">
              <w:rPr>
                <w:rFonts w:ascii="Arial" w:eastAsia="DengXian" w:hAnsi="Arial" w:cs="Arial"/>
                <w:b/>
                <w:bCs/>
                <w:kern w:val="2"/>
                <w:lang w:eastAsia="zh-CN"/>
              </w:rPr>
              <w:t>Purpose:</w:t>
            </w:r>
            <w:r w:rsidRPr="00D615DF">
              <w:rPr>
                <w:rFonts w:ascii="Arial" w:eastAsia="DengXian" w:hAnsi="Arial" w:cs="Arial"/>
                <w:kern w:val="2"/>
                <w:lang w:eastAsia="zh-CN"/>
              </w:rPr>
              <w:t xml:space="preserve"> The study predicted the determinants of school canteen food choices among school-going adolescents in </w:t>
            </w:r>
            <w:proofErr w:type="spellStart"/>
            <w:r w:rsidRPr="00D615DF">
              <w:rPr>
                <w:rFonts w:ascii="Arial" w:eastAsia="DengXian" w:hAnsi="Arial" w:cs="Arial"/>
                <w:kern w:val="2"/>
                <w:lang w:eastAsia="zh-CN"/>
              </w:rPr>
              <w:t>Nansana</w:t>
            </w:r>
            <w:proofErr w:type="spellEnd"/>
            <w:r w:rsidRPr="00D615DF">
              <w:rPr>
                <w:rFonts w:ascii="Arial" w:eastAsia="DengXian" w:hAnsi="Arial" w:cs="Arial"/>
                <w:kern w:val="2"/>
                <w:lang w:eastAsia="zh-CN"/>
              </w:rPr>
              <w:t xml:space="preserve"> Municipality in Uganda. </w:t>
            </w:r>
          </w:p>
          <w:p w14:paraId="1767ED27" w14:textId="77777777" w:rsidR="00AD12DD" w:rsidRPr="00D615DF" w:rsidRDefault="00AD12DD" w:rsidP="00D615DF">
            <w:pPr>
              <w:jc w:val="both"/>
              <w:rPr>
                <w:rFonts w:ascii="Arial" w:eastAsia="DengXian" w:hAnsi="Arial" w:cs="Arial"/>
                <w:kern w:val="2"/>
                <w:lang w:eastAsia="zh-CN"/>
              </w:rPr>
            </w:pPr>
            <w:r w:rsidRPr="008A1C34">
              <w:rPr>
                <w:rFonts w:ascii="Arial" w:eastAsia="DengXian" w:hAnsi="Arial" w:cs="Arial"/>
                <w:b/>
                <w:bCs/>
                <w:kern w:val="2"/>
                <w:lang w:eastAsia="zh-CN"/>
              </w:rPr>
              <w:t>Methods:</w:t>
            </w:r>
            <w:r w:rsidRPr="00D615DF">
              <w:rPr>
                <w:rFonts w:ascii="Arial" w:eastAsia="DengXian" w:hAnsi="Arial" w:cs="Arial"/>
                <w:kern w:val="2"/>
                <w:lang w:eastAsia="zh-CN"/>
              </w:rPr>
              <w:t xml:space="preserve"> An observational cross-sectional design was employed. The data were primarily collected from 4900 adolescents, aged 10-19 years, in senior one through senior three classes attending different secondary schools in </w:t>
            </w:r>
            <w:proofErr w:type="spellStart"/>
            <w:r w:rsidRPr="00D615DF">
              <w:rPr>
                <w:rFonts w:ascii="Arial" w:eastAsia="DengXian" w:hAnsi="Arial" w:cs="Arial"/>
                <w:kern w:val="2"/>
                <w:lang w:eastAsia="zh-CN"/>
              </w:rPr>
              <w:t>Nansana</w:t>
            </w:r>
            <w:proofErr w:type="spellEnd"/>
            <w:r w:rsidRPr="00D615DF">
              <w:rPr>
                <w:rFonts w:ascii="Arial" w:eastAsia="DengXian" w:hAnsi="Arial" w:cs="Arial"/>
                <w:kern w:val="2"/>
                <w:lang w:eastAsia="zh-CN"/>
              </w:rPr>
              <w:t xml:space="preserve"> Municipality. Sample size was computed using the Taro Yamane formula, which yielded a sample of 1174. The multiple regression model was employed to </w:t>
            </w:r>
            <w:r w:rsidRPr="00D615DF">
              <w:rPr>
                <w:rFonts w:ascii="Arial" w:eastAsia="DengXian" w:hAnsi="Arial" w:cs="Arial"/>
                <w:kern w:val="2"/>
                <w:lang w:eastAsia="zh-CN"/>
              </w:rPr>
              <w:lastRenderedPageBreak/>
              <w:t xml:space="preserve">analyze the relationship between the choices of adolescents and the nutrition practices. The model was tested for the assumptions of linearity and normality. </w:t>
            </w:r>
          </w:p>
          <w:p w14:paraId="09019D87" w14:textId="77777777" w:rsidR="00AD12DD" w:rsidRPr="00D615DF" w:rsidRDefault="00AD12DD" w:rsidP="00D615DF">
            <w:pPr>
              <w:jc w:val="both"/>
              <w:rPr>
                <w:rFonts w:ascii="Arial" w:eastAsia="DengXian" w:hAnsi="Arial" w:cs="Arial"/>
                <w:kern w:val="2"/>
                <w:lang w:eastAsia="zh-CN"/>
              </w:rPr>
            </w:pPr>
            <w:r w:rsidRPr="008A1C34">
              <w:rPr>
                <w:rFonts w:ascii="Arial" w:eastAsia="DengXian" w:hAnsi="Arial" w:cs="Arial"/>
                <w:b/>
                <w:bCs/>
                <w:kern w:val="2"/>
                <w:lang w:eastAsia="zh-CN"/>
              </w:rPr>
              <w:t>Results:</w:t>
            </w:r>
            <w:r w:rsidRPr="00D615DF">
              <w:rPr>
                <w:rFonts w:ascii="Arial" w:eastAsia="DengXian" w:hAnsi="Arial" w:cs="Arial"/>
                <w:kern w:val="2"/>
                <w:lang w:eastAsia="zh-CN"/>
              </w:rPr>
              <w:t xml:space="preserve"> The regression model based on skewed data for only adolescents was a good fit but with a low explanatory power. The results indicated that while the taste of food at the canteen and the availability of consumption were significant, the single most significant determinant of unhealthy food choices at school canteens by the adolescents was the routine dietary practices. </w:t>
            </w:r>
          </w:p>
          <w:p w14:paraId="1E050BE7" w14:textId="77777777" w:rsidR="00AD12DD" w:rsidRPr="00D615DF" w:rsidRDefault="00AD12DD" w:rsidP="00D615DF">
            <w:pPr>
              <w:jc w:val="both"/>
              <w:rPr>
                <w:rFonts w:ascii="Arial" w:eastAsia="DengXian" w:hAnsi="Arial" w:cs="Arial"/>
                <w:kern w:val="2"/>
                <w:lang w:eastAsia="zh-CN"/>
              </w:rPr>
            </w:pPr>
            <w:r w:rsidRPr="008A1C34">
              <w:rPr>
                <w:rFonts w:ascii="Arial" w:eastAsia="DengXian" w:hAnsi="Arial" w:cs="Arial"/>
                <w:b/>
                <w:bCs/>
                <w:kern w:val="2"/>
                <w:lang w:eastAsia="zh-CN"/>
              </w:rPr>
              <w:t>Conclusions:</w:t>
            </w:r>
            <w:r w:rsidRPr="00D615DF">
              <w:rPr>
                <w:rFonts w:ascii="Arial" w:eastAsia="DengXian" w:hAnsi="Arial" w:cs="Arial"/>
                <w:kern w:val="2"/>
                <w:lang w:eastAsia="zh-CN"/>
              </w:rPr>
              <w:t xml:space="preserve"> The study shows that school-going adolescent students easily gravitate towards foods they are used to eating, reflecting a stronger effect of habitual eating patterns.  </w:t>
            </w:r>
          </w:p>
          <w:p w14:paraId="2C73B350" w14:textId="42A657D0" w:rsidR="0049098D" w:rsidRPr="00D615DF" w:rsidRDefault="00AD12DD" w:rsidP="00D615DF">
            <w:pPr>
              <w:jc w:val="both"/>
              <w:rPr>
                <w:rFonts w:ascii="Arial" w:hAnsi="Arial" w:cs="Arial"/>
              </w:rPr>
            </w:pPr>
            <w:r w:rsidRPr="008A1C34">
              <w:rPr>
                <w:rFonts w:ascii="Arial" w:eastAsia="DengXian" w:hAnsi="Arial" w:cs="Arial"/>
                <w:b/>
                <w:bCs/>
                <w:kern w:val="2"/>
                <w:lang w:eastAsia="zh-CN"/>
              </w:rPr>
              <w:t>Policy Implications:</w:t>
            </w:r>
            <w:r w:rsidRPr="00D615DF">
              <w:rPr>
                <w:rFonts w:ascii="Arial" w:eastAsia="DengXian" w:hAnsi="Arial" w:cs="Arial"/>
                <w:kern w:val="2"/>
                <w:lang w:eastAsia="zh-CN"/>
              </w:rPr>
              <w:t xml:space="preserve"> There is a need for a shift in intervention from simply individual taste and environment to more habitual patterns and improving the availability of healthier options, while also ensuring those options are palatable.</w:t>
            </w:r>
          </w:p>
          <w:p w14:paraId="2998FB26" w14:textId="77777777" w:rsidR="00444654" w:rsidRPr="00D615DF" w:rsidRDefault="00444654" w:rsidP="00D615DF">
            <w:pPr>
              <w:rPr>
                <w:rFonts w:ascii="Arial" w:eastAsia="Times New Roman" w:hAnsi="Arial" w:cs="Arial"/>
                <w:bCs/>
              </w:rPr>
            </w:pPr>
          </w:p>
        </w:tc>
      </w:tr>
    </w:tbl>
    <w:p w14:paraId="0C331431" w14:textId="77777777" w:rsidR="00444654" w:rsidRPr="00D615DF" w:rsidRDefault="00444654" w:rsidP="00D615DF">
      <w:pPr>
        <w:spacing w:after="0" w:line="240" w:lineRule="auto"/>
        <w:ind w:left="990" w:hanging="990"/>
        <w:jc w:val="both"/>
        <w:textAlignment w:val="top"/>
        <w:rPr>
          <w:rFonts w:ascii="Arial" w:eastAsia="Times New Roman" w:hAnsi="Arial" w:cs="Arial"/>
          <w:i/>
          <w:sz w:val="20"/>
          <w:szCs w:val="20"/>
        </w:rPr>
      </w:pPr>
    </w:p>
    <w:p w14:paraId="22B79342" w14:textId="052621DD" w:rsidR="00444654" w:rsidRPr="00D615DF" w:rsidRDefault="00444654" w:rsidP="00D615DF">
      <w:pPr>
        <w:spacing w:after="0" w:line="240" w:lineRule="auto"/>
        <w:ind w:left="1080" w:hanging="1080"/>
        <w:jc w:val="both"/>
        <w:rPr>
          <w:rFonts w:ascii="Arial" w:eastAsia="Times New Roman" w:hAnsi="Arial" w:cs="Arial"/>
          <w:bCs/>
          <w:i/>
          <w:iCs/>
          <w:sz w:val="20"/>
          <w:szCs w:val="20"/>
        </w:rPr>
      </w:pPr>
      <w:r w:rsidRPr="00D615DF">
        <w:rPr>
          <w:rFonts w:ascii="Arial" w:eastAsia="Times New Roman" w:hAnsi="Arial" w:cs="Arial"/>
          <w:i/>
          <w:sz w:val="20"/>
          <w:szCs w:val="20"/>
        </w:rPr>
        <w:t xml:space="preserve">Keywords: </w:t>
      </w:r>
      <w:r w:rsidR="00AD12DD" w:rsidRPr="00D615DF">
        <w:rPr>
          <w:rFonts w:ascii="Arial" w:eastAsia="Times New Roman" w:hAnsi="Arial" w:cs="Arial"/>
          <w:bCs/>
          <w:i/>
          <w:iCs/>
          <w:sz w:val="20"/>
          <w:szCs w:val="20"/>
        </w:rPr>
        <w:t>Food choices; dietary intakes and preferences; school-going adolescents; regression model; students.</w:t>
      </w:r>
    </w:p>
    <w:p w14:paraId="285DD7CD" w14:textId="77777777" w:rsidR="00AD12DD" w:rsidRPr="00D615DF" w:rsidRDefault="00AD12DD" w:rsidP="00D615DF">
      <w:pPr>
        <w:spacing w:after="0" w:line="240" w:lineRule="auto"/>
        <w:ind w:left="1080" w:hanging="1080"/>
        <w:jc w:val="both"/>
        <w:rPr>
          <w:rFonts w:ascii="Arial" w:eastAsia="Times New Roman" w:hAnsi="Arial" w:cs="Arial"/>
          <w:bCs/>
          <w:i/>
          <w:iCs/>
          <w:sz w:val="20"/>
          <w:szCs w:val="20"/>
        </w:rPr>
      </w:pPr>
    </w:p>
    <w:p w14:paraId="3A50CBB3" w14:textId="77777777" w:rsidR="000E42FC" w:rsidRPr="00D615DF" w:rsidRDefault="000E42FC" w:rsidP="00D615DF">
      <w:pPr>
        <w:pStyle w:val="Heading2"/>
        <w:rPr>
          <w:rFonts w:eastAsia="DengXian"/>
          <w:lang w:eastAsia="zh-CN"/>
        </w:rPr>
        <w:sectPr w:rsidR="000E42FC" w:rsidRPr="00D615DF" w:rsidSect="00235C7E">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3E86FB9C" w14:textId="675F2164" w:rsidR="00AD12DD" w:rsidRPr="00D615DF" w:rsidRDefault="00AD12DD" w:rsidP="00D615DF">
      <w:pPr>
        <w:pStyle w:val="Heading2"/>
        <w:rPr>
          <w:rFonts w:eastAsia="DengXian"/>
          <w:lang w:eastAsia="zh-CN"/>
        </w:rPr>
      </w:pPr>
      <w:r w:rsidRPr="00D615DF">
        <w:rPr>
          <w:rFonts w:eastAsia="DengXian"/>
          <w:lang w:eastAsia="zh-CN"/>
        </w:rPr>
        <w:t>1. INTRODUCTION</w:t>
      </w:r>
    </w:p>
    <w:p w14:paraId="16DD0F21" w14:textId="77777777" w:rsidR="00AD12DD" w:rsidRPr="00D615DF" w:rsidRDefault="00AD12DD" w:rsidP="00D615DF">
      <w:pPr>
        <w:spacing w:after="0" w:line="240" w:lineRule="auto"/>
        <w:ind w:left="720"/>
        <w:jc w:val="both"/>
        <w:rPr>
          <w:rFonts w:ascii="Arial" w:eastAsia="DengXian" w:hAnsi="Arial" w:cs="Arial"/>
          <w:b/>
          <w:bCs/>
          <w:kern w:val="2"/>
          <w:sz w:val="20"/>
          <w:szCs w:val="20"/>
          <w:lang w:eastAsia="zh-CN"/>
        </w:rPr>
      </w:pPr>
    </w:p>
    <w:p w14:paraId="5B6F61B8" w14:textId="77777777"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Food choices and diet quality have become a global area of concern, especially among school-going adolescents, amidst the rising cases of non-communicable diseases in developing countries </w:t>
      </w:r>
      <w:r w:rsidRPr="00D615DF">
        <w:rPr>
          <w:rFonts w:ascii="Arial" w:eastAsia="DengXian" w:hAnsi="Arial" w:cs="Arial"/>
          <w:noProof/>
          <w:kern w:val="2"/>
          <w:sz w:val="20"/>
          <w:szCs w:val="20"/>
          <w:lang w:eastAsia="zh-CN"/>
        </w:rPr>
        <w:t>(Chattaraj, 2025)</w:t>
      </w:r>
      <w:r w:rsidRPr="00D615DF">
        <w:rPr>
          <w:rFonts w:ascii="Arial" w:eastAsia="DengXian" w:hAnsi="Arial" w:cs="Arial"/>
          <w:kern w:val="2"/>
          <w:sz w:val="20"/>
          <w:szCs w:val="20"/>
          <w:lang w:eastAsia="zh-CN"/>
        </w:rPr>
        <w:t xml:space="preserve">. School canteens have become a hub for the intake of an unhealthy diet among school-going adolescents, associated with a potential lack of physical activity, which worsens the global risks to health </w:t>
      </w:r>
      <w:r w:rsidRPr="00D615DF">
        <w:rPr>
          <w:rFonts w:ascii="Arial" w:eastAsia="DengXian" w:hAnsi="Arial" w:cs="Arial"/>
          <w:noProof/>
          <w:kern w:val="2"/>
          <w:sz w:val="20"/>
          <w:szCs w:val="20"/>
          <w:lang w:eastAsia="zh-CN"/>
        </w:rPr>
        <w:t>(Balakrishnan, 2025)</w:t>
      </w:r>
      <w:r w:rsidRPr="00D615DF">
        <w:rPr>
          <w:rFonts w:ascii="Arial" w:eastAsia="DengXian" w:hAnsi="Arial" w:cs="Arial"/>
          <w:kern w:val="2"/>
          <w:sz w:val="20"/>
          <w:szCs w:val="20"/>
          <w:lang w:eastAsia="zh-CN"/>
        </w:rPr>
        <w:t xml:space="preserve">. In Mexico, there was a recent ban on ultra-processed foods and sugar-sweetened beverages in schools due to rising fears of excess calories, higher glucose levels, and increasing risks such as obesity and diabetes </w:t>
      </w:r>
      <w:r w:rsidRPr="00D615DF">
        <w:rPr>
          <w:rFonts w:ascii="Arial" w:eastAsia="DengXian" w:hAnsi="Arial" w:cs="Arial"/>
          <w:noProof/>
          <w:kern w:val="2"/>
          <w:sz w:val="20"/>
          <w:szCs w:val="20"/>
          <w:lang w:eastAsia="zh-CN"/>
        </w:rPr>
        <w:t>(Balakrishnan, 2025)</w:t>
      </w:r>
      <w:r w:rsidRPr="00D615DF">
        <w:rPr>
          <w:rFonts w:ascii="Arial" w:eastAsia="DengXian" w:hAnsi="Arial" w:cs="Arial"/>
          <w:kern w:val="2"/>
          <w:sz w:val="20"/>
          <w:szCs w:val="20"/>
          <w:lang w:eastAsia="zh-CN"/>
        </w:rPr>
        <w:t xml:space="preserve">. Many studies have pointed out school canteens as dangerous spots for delivering more than just food. For instance, </w:t>
      </w:r>
      <w:r w:rsidRPr="00D615DF">
        <w:rPr>
          <w:rFonts w:ascii="Arial" w:eastAsia="DengXian" w:hAnsi="Arial" w:cs="Arial"/>
          <w:noProof/>
          <w:kern w:val="2"/>
          <w:sz w:val="20"/>
          <w:szCs w:val="20"/>
          <w:lang w:eastAsia="zh-CN"/>
        </w:rPr>
        <w:t>Bennett et al. (2025)</w:t>
      </w:r>
      <w:r w:rsidRPr="00D615DF">
        <w:rPr>
          <w:rFonts w:ascii="Arial" w:eastAsia="DengXian" w:hAnsi="Arial" w:cs="Arial"/>
          <w:kern w:val="2"/>
          <w:sz w:val="20"/>
          <w:szCs w:val="20"/>
          <w:lang w:eastAsia="zh-CN"/>
        </w:rPr>
        <w:t xml:space="preserve"> views school lunchboxes as a collective, multiscale social problem. </w:t>
      </w:r>
      <w:r w:rsidRPr="00D615DF">
        <w:rPr>
          <w:rFonts w:ascii="Arial" w:eastAsia="DengXian" w:hAnsi="Arial" w:cs="Arial"/>
          <w:noProof/>
          <w:kern w:val="2"/>
          <w:sz w:val="20"/>
          <w:szCs w:val="20"/>
          <w:lang w:eastAsia="zh-CN"/>
        </w:rPr>
        <w:t>Whitton et al. (2025)</w:t>
      </w:r>
      <w:r w:rsidRPr="00D615DF">
        <w:rPr>
          <w:rFonts w:ascii="Arial" w:eastAsia="DengXian" w:hAnsi="Arial" w:cs="Arial"/>
          <w:kern w:val="2"/>
          <w:sz w:val="20"/>
          <w:szCs w:val="20"/>
          <w:lang w:eastAsia="zh-CN"/>
        </w:rPr>
        <w:t xml:space="preserve"> revealed that the most fascinating outdoor food advertisements comprise unhealthy foods. Another study by </w:t>
      </w:r>
      <w:r w:rsidRPr="00D615DF">
        <w:rPr>
          <w:rFonts w:ascii="Arial" w:eastAsia="DengXian" w:hAnsi="Arial" w:cs="Arial"/>
          <w:noProof/>
          <w:kern w:val="2"/>
          <w:sz w:val="20"/>
          <w:szCs w:val="20"/>
          <w:lang w:eastAsia="zh-CN"/>
        </w:rPr>
        <w:t>Lauren D Devine, Alison M Gallagher, et al. (2023)</w:t>
      </w:r>
      <w:r w:rsidRPr="00D615DF">
        <w:rPr>
          <w:rFonts w:ascii="Arial" w:eastAsia="DengXian" w:hAnsi="Arial" w:cs="Arial"/>
          <w:kern w:val="2"/>
          <w:sz w:val="20"/>
          <w:szCs w:val="20"/>
          <w:lang w:eastAsia="zh-CN"/>
        </w:rPr>
        <w:t xml:space="preserve"> indicated that many adolescents prioritize the sensory appeal of food, such as taste, over its health benefits in the canteen. </w:t>
      </w:r>
      <w:r w:rsidRPr="00D615DF">
        <w:rPr>
          <w:rFonts w:ascii="Arial" w:eastAsia="DengXian" w:hAnsi="Arial" w:cs="Arial"/>
          <w:noProof/>
          <w:kern w:val="2"/>
          <w:sz w:val="20"/>
          <w:szCs w:val="20"/>
          <w:lang w:val="fr-FR" w:eastAsia="zh-CN"/>
        </w:rPr>
        <w:t>(Lauren D Devine, Alison M Gallagher, et al., 2023; Kubik et al., 2003)</w:t>
      </w:r>
      <w:r w:rsidRPr="00D615DF">
        <w:rPr>
          <w:rFonts w:ascii="Arial" w:eastAsia="DengXian" w:hAnsi="Arial" w:cs="Arial"/>
          <w:kern w:val="2"/>
          <w:sz w:val="20"/>
          <w:szCs w:val="20"/>
          <w:lang w:val="fr-FR" w:eastAsia="zh-CN"/>
        </w:rPr>
        <w:t xml:space="preserve">. </w:t>
      </w:r>
      <w:r w:rsidRPr="00D615DF">
        <w:rPr>
          <w:rFonts w:ascii="Arial" w:eastAsia="DengXian" w:hAnsi="Arial" w:cs="Arial"/>
          <w:kern w:val="2"/>
          <w:sz w:val="20"/>
          <w:szCs w:val="20"/>
          <w:lang w:eastAsia="zh-CN"/>
        </w:rPr>
        <w:t xml:space="preserve">In the UK, </w:t>
      </w:r>
      <w:r w:rsidRPr="00D615DF">
        <w:rPr>
          <w:rFonts w:ascii="Arial" w:eastAsia="DengXian" w:hAnsi="Arial" w:cs="Arial"/>
          <w:noProof/>
          <w:kern w:val="2"/>
          <w:sz w:val="20"/>
          <w:szCs w:val="20"/>
          <w:lang w:eastAsia="zh-CN"/>
        </w:rPr>
        <w:t>Lauren D Devine, Alyson J Hill and Alison M Gallagher (2023)</w:t>
      </w:r>
      <w:r w:rsidRPr="00D615DF">
        <w:rPr>
          <w:rFonts w:ascii="Arial" w:eastAsia="DengXian" w:hAnsi="Arial" w:cs="Arial"/>
          <w:kern w:val="2"/>
          <w:sz w:val="20"/>
          <w:szCs w:val="20"/>
          <w:lang w:eastAsia="zh-CN"/>
        </w:rPr>
        <w:t xml:space="preserve"> criticized post-primary schools for promoting unhealthy diets at their canteens as compared to primary and lower classes. </w:t>
      </w:r>
      <w:r w:rsidRPr="00D615DF">
        <w:rPr>
          <w:rFonts w:ascii="Arial" w:eastAsia="DengXian" w:hAnsi="Arial" w:cs="Arial"/>
          <w:noProof/>
          <w:kern w:val="2"/>
          <w:sz w:val="20"/>
          <w:szCs w:val="20"/>
          <w:lang w:eastAsia="zh-CN"/>
        </w:rPr>
        <w:t>Cartagena (2014)</w:t>
      </w:r>
      <w:r w:rsidRPr="00D615DF">
        <w:rPr>
          <w:rFonts w:ascii="Arial" w:eastAsia="DengXian" w:hAnsi="Arial" w:cs="Arial"/>
          <w:kern w:val="2"/>
          <w:sz w:val="20"/>
          <w:szCs w:val="20"/>
          <w:lang w:eastAsia="zh-CN"/>
        </w:rPr>
        <w:t xml:space="preserve"> also indicated that the majority of students across all academic levels purchase and consume unhealthy foods and drinks at the school canteens </w:t>
      </w:r>
      <w:r w:rsidRPr="00D615DF">
        <w:rPr>
          <w:rFonts w:ascii="Arial" w:eastAsia="DengXian" w:hAnsi="Arial" w:cs="Arial"/>
          <w:noProof/>
          <w:kern w:val="2"/>
          <w:sz w:val="20"/>
          <w:szCs w:val="20"/>
          <w:lang w:eastAsia="zh-CN"/>
        </w:rPr>
        <w:t>(Cartagena, 2014)</w:t>
      </w:r>
      <w:r w:rsidRPr="00D615DF">
        <w:rPr>
          <w:rFonts w:ascii="Arial" w:eastAsia="DengXian" w:hAnsi="Arial" w:cs="Arial"/>
          <w:kern w:val="2"/>
          <w:sz w:val="20"/>
          <w:szCs w:val="20"/>
          <w:lang w:eastAsia="zh-CN"/>
        </w:rPr>
        <w:t xml:space="preserve">. Moreover, studies indicated that even with a supportive, healthier canteen implementation in Dutch schools, learners are not willing to change their dietary behaviors </w:t>
      </w:r>
      <w:r w:rsidRPr="00D615DF">
        <w:rPr>
          <w:rFonts w:ascii="Arial" w:eastAsia="DengXian" w:hAnsi="Arial" w:cs="Arial"/>
          <w:noProof/>
          <w:kern w:val="2"/>
          <w:sz w:val="20"/>
          <w:szCs w:val="20"/>
          <w:lang w:eastAsia="zh-CN"/>
        </w:rPr>
        <w:t>(Evenhuis et al., 2020)</w:t>
      </w:r>
      <w:r w:rsidRPr="00D615DF">
        <w:rPr>
          <w:rFonts w:ascii="Arial" w:eastAsia="DengXian" w:hAnsi="Arial" w:cs="Arial"/>
          <w:kern w:val="2"/>
          <w:sz w:val="20"/>
          <w:szCs w:val="20"/>
          <w:lang w:eastAsia="zh-CN"/>
        </w:rPr>
        <w:t xml:space="preserve">. </w:t>
      </w:r>
      <w:r w:rsidRPr="00D615DF">
        <w:rPr>
          <w:rFonts w:ascii="Arial" w:eastAsia="DengXian" w:hAnsi="Arial" w:cs="Arial"/>
          <w:noProof/>
          <w:kern w:val="2"/>
          <w:sz w:val="20"/>
          <w:szCs w:val="20"/>
          <w:lang w:eastAsia="zh-CN"/>
        </w:rPr>
        <w:t>Gubbels (2020)</w:t>
      </w:r>
      <w:r w:rsidRPr="00D615DF">
        <w:rPr>
          <w:rFonts w:ascii="Arial" w:eastAsia="DengXian" w:hAnsi="Arial" w:cs="Arial"/>
          <w:kern w:val="2"/>
          <w:sz w:val="20"/>
          <w:szCs w:val="20"/>
          <w:lang w:eastAsia="zh-CN"/>
        </w:rPr>
        <w:t xml:space="preserve"> revealed that the school's physical environment influences the dietary choices of students. This was supported by </w:t>
      </w:r>
      <w:r w:rsidRPr="00D615DF">
        <w:rPr>
          <w:rFonts w:ascii="Arial" w:eastAsia="DengXian" w:hAnsi="Arial" w:cs="Arial"/>
          <w:noProof/>
          <w:kern w:val="2"/>
          <w:sz w:val="20"/>
          <w:szCs w:val="20"/>
          <w:lang w:eastAsia="zh-CN"/>
        </w:rPr>
        <w:t>Azeredo et al. (2016)</w:t>
      </w:r>
      <w:r w:rsidRPr="00D615DF">
        <w:rPr>
          <w:rFonts w:ascii="Arial" w:eastAsia="DengXian" w:hAnsi="Arial" w:cs="Arial"/>
          <w:kern w:val="2"/>
          <w:sz w:val="20"/>
          <w:szCs w:val="20"/>
          <w:lang w:eastAsia="zh-CN"/>
        </w:rPr>
        <w:t xml:space="preserve"> and </w:t>
      </w:r>
      <w:r w:rsidRPr="00D615DF">
        <w:rPr>
          <w:rFonts w:ascii="Arial" w:eastAsia="DengXian" w:hAnsi="Arial" w:cs="Arial"/>
          <w:noProof/>
          <w:kern w:val="2"/>
          <w:sz w:val="20"/>
          <w:szCs w:val="20"/>
          <w:lang w:eastAsia="zh-CN"/>
        </w:rPr>
        <w:t>Story et al. (2009)</w:t>
      </w:r>
      <w:r w:rsidRPr="00D615DF">
        <w:rPr>
          <w:rFonts w:ascii="Arial" w:eastAsia="DengXian" w:hAnsi="Arial" w:cs="Arial"/>
          <w:kern w:val="2"/>
          <w:sz w:val="20"/>
          <w:szCs w:val="20"/>
          <w:lang w:eastAsia="zh-CN"/>
        </w:rPr>
        <w:t xml:space="preserve"> who revealed that canteen food availability was associated with poor and unhealthy dietary intake. Additionally, </w:t>
      </w:r>
      <w:r w:rsidRPr="00D615DF">
        <w:rPr>
          <w:rFonts w:ascii="Arial" w:eastAsia="DengXian" w:hAnsi="Arial" w:cs="Arial"/>
          <w:noProof/>
          <w:kern w:val="2"/>
          <w:sz w:val="20"/>
          <w:szCs w:val="20"/>
          <w:lang w:eastAsia="zh-CN"/>
        </w:rPr>
        <w:t>Andretti et al. (2021)</w:t>
      </w:r>
      <w:r w:rsidRPr="00D615DF">
        <w:rPr>
          <w:rFonts w:ascii="Arial" w:eastAsia="DengXian" w:hAnsi="Arial" w:cs="Arial"/>
          <w:kern w:val="2"/>
          <w:sz w:val="20"/>
          <w:szCs w:val="20"/>
          <w:lang w:eastAsia="zh-CN"/>
        </w:rPr>
        <w:t xml:space="preserve"> revealed that about 60% of the school canteen foods contain zero nutritional value. Nonetheless, </w:t>
      </w:r>
      <w:r w:rsidRPr="00D615DF">
        <w:rPr>
          <w:rFonts w:ascii="Arial" w:eastAsia="DengXian" w:hAnsi="Arial" w:cs="Arial"/>
          <w:noProof/>
          <w:kern w:val="2"/>
          <w:sz w:val="20"/>
          <w:szCs w:val="20"/>
          <w:lang w:eastAsia="zh-CN"/>
        </w:rPr>
        <w:t>Hermans et al. (2017)</w:t>
      </w:r>
      <w:r w:rsidRPr="00D615DF">
        <w:rPr>
          <w:rFonts w:ascii="Arial" w:eastAsia="DengXian" w:hAnsi="Arial" w:cs="Arial"/>
          <w:kern w:val="2"/>
          <w:sz w:val="20"/>
          <w:szCs w:val="20"/>
          <w:lang w:eastAsia="zh-CN"/>
        </w:rPr>
        <w:t xml:space="preserve"> maintained that if communities and schools seek to promote healthy food choices at canteens, then they ought to think about the price and taste as factors. </w:t>
      </w:r>
    </w:p>
    <w:p w14:paraId="1EFE30E0" w14:textId="77777777" w:rsidR="00AD12DD" w:rsidRPr="00D615DF" w:rsidRDefault="00AD12DD" w:rsidP="00D615DF">
      <w:pPr>
        <w:spacing w:after="0" w:line="240" w:lineRule="auto"/>
        <w:jc w:val="both"/>
        <w:rPr>
          <w:rFonts w:ascii="Arial" w:eastAsia="DengXian" w:hAnsi="Arial" w:cs="Arial"/>
          <w:kern w:val="2"/>
          <w:sz w:val="20"/>
          <w:szCs w:val="20"/>
          <w:lang w:eastAsia="zh-CN"/>
        </w:rPr>
      </w:pPr>
    </w:p>
    <w:p w14:paraId="5B04A5B6" w14:textId="77777777" w:rsidR="00AD12DD" w:rsidRPr="00D615DF" w:rsidRDefault="00AD12DD" w:rsidP="00D615DF">
      <w:pPr>
        <w:spacing w:after="0" w:line="240" w:lineRule="auto"/>
        <w:jc w:val="both"/>
        <w:rPr>
          <w:rFonts w:ascii="Arial" w:eastAsia="DengXian" w:hAnsi="Arial" w:cs="Arial"/>
          <w:kern w:val="2"/>
          <w:sz w:val="20"/>
          <w:szCs w:val="20"/>
          <w:shd w:val="pct15" w:color="auto" w:fill="FFFFFF"/>
          <w:lang w:eastAsia="zh-CN"/>
        </w:rPr>
      </w:pPr>
      <w:r w:rsidRPr="00D615DF">
        <w:rPr>
          <w:rFonts w:ascii="Arial" w:eastAsia="DengXian" w:hAnsi="Arial" w:cs="Arial"/>
          <w:kern w:val="2"/>
          <w:sz w:val="20"/>
          <w:szCs w:val="20"/>
          <w:shd w:val="clear" w:color="auto" w:fill="FFFFFF"/>
          <w:lang w:eastAsia="zh-CN"/>
        </w:rPr>
        <w:t xml:space="preserve">Studies in Sub-Saharan Africa show that dietary choices among school-going adolescents are determined by demographic, socioeconomic, individual student, and school factors. For example, </w:t>
      </w:r>
      <w:r w:rsidRPr="00D615DF">
        <w:rPr>
          <w:rFonts w:ascii="Arial" w:eastAsia="DengXian" w:hAnsi="Arial" w:cs="Arial"/>
          <w:noProof/>
          <w:kern w:val="2"/>
          <w:sz w:val="20"/>
          <w:szCs w:val="20"/>
          <w:shd w:val="clear" w:color="auto" w:fill="FFFFFF"/>
          <w:lang w:eastAsia="zh-CN"/>
        </w:rPr>
        <w:t>Madzorera et al. (2025)</w:t>
      </w:r>
      <w:r w:rsidRPr="00D615DF">
        <w:rPr>
          <w:rFonts w:ascii="Arial" w:eastAsia="DengXian" w:hAnsi="Arial" w:cs="Arial"/>
          <w:kern w:val="2"/>
          <w:sz w:val="20"/>
          <w:szCs w:val="20"/>
          <w:shd w:val="clear" w:color="auto" w:fill="FFFFFF"/>
          <w:lang w:eastAsia="zh-CN"/>
        </w:rPr>
        <w:t xml:space="preserve"> revealed that in Sub-Saharan Africa, diet quality did not vary by adolescent age or sex, but older adolescents had higher fish and lower red meat consumption, and boys consumed unhealthy foods less frequently. A study in Ghana revealed that family practices are positively associated with better diet quality </w:t>
      </w:r>
      <w:r w:rsidRPr="00D615DF">
        <w:rPr>
          <w:rFonts w:ascii="Arial" w:eastAsia="DengXian" w:hAnsi="Arial" w:cs="Arial"/>
          <w:noProof/>
          <w:kern w:val="2"/>
          <w:sz w:val="20"/>
          <w:szCs w:val="20"/>
          <w:shd w:val="clear" w:color="auto" w:fill="FFFFFF"/>
          <w:lang w:eastAsia="zh-CN"/>
        </w:rPr>
        <w:t>(Klemm et al., 2025)</w:t>
      </w:r>
      <w:r w:rsidRPr="00D615DF">
        <w:rPr>
          <w:rFonts w:ascii="Arial" w:eastAsia="DengXian" w:hAnsi="Arial" w:cs="Arial"/>
          <w:kern w:val="2"/>
          <w:sz w:val="20"/>
          <w:szCs w:val="20"/>
          <w:shd w:val="clear" w:color="auto" w:fill="FFFFFF"/>
          <w:lang w:eastAsia="zh-CN"/>
        </w:rPr>
        <w:t xml:space="preserve">. In the same context, </w:t>
      </w:r>
      <w:r w:rsidRPr="00D615DF">
        <w:rPr>
          <w:rFonts w:ascii="Arial" w:eastAsia="DengXian" w:hAnsi="Arial" w:cs="Arial"/>
          <w:noProof/>
          <w:kern w:val="2"/>
          <w:sz w:val="20"/>
          <w:szCs w:val="20"/>
          <w:shd w:val="clear" w:color="auto" w:fill="FFFFFF"/>
          <w:lang w:eastAsia="zh-CN"/>
        </w:rPr>
        <w:t>Hormenu (2022)</w:t>
      </w:r>
      <w:r w:rsidRPr="00D615DF">
        <w:rPr>
          <w:rFonts w:ascii="Arial" w:eastAsia="DengXian" w:hAnsi="Arial" w:cs="Arial"/>
          <w:kern w:val="2"/>
          <w:sz w:val="20"/>
          <w:szCs w:val="20"/>
          <w:shd w:val="clear" w:color="auto" w:fill="FFFFFF"/>
          <w:lang w:eastAsia="zh-CN"/>
        </w:rPr>
        <w:t xml:space="preserve"> showed increased frequency in the consumption of soft drinks and</w:t>
      </w:r>
      <w:r w:rsidRPr="00D615DF">
        <w:rPr>
          <w:rFonts w:ascii="Arial" w:eastAsia="DengXian" w:hAnsi="Arial" w:cs="Arial"/>
          <w:kern w:val="2"/>
          <w:sz w:val="20"/>
          <w:szCs w:val="20"/>
          <w:shd w:val="pct15" w:color="auto" w:fill="FFFFFF"/>
          <w:lang w:eastAsia="zh-CN"/>
        </w:rPr>
        <w:t xml:space="preserve"> </w:t>
      </w:r>
      <w:r w:rsidRPr="00D615DF">
        <w:rPr>
          <w:rFonts w:ascii="Arial" w:eastAsia="DengXian" w:hAnsi="Arial" w:cs="Arial"/>
          <w:kern w:val="2"/>
          <w:sz w:val="20"/>
          <w:szCs w:val="20"/>
          <w:shd w:val="clear" w:color="auto" w:fill="FFFFFF"/>
          <w:lang w:eastAsia="zh-CN"/>
        </w:rPr>
        <w:t xml:space="preserve">sweets among the in-school adolescents. In Zambia, </w:t>
      </w:r>
      <w:r w:rsidRPr="00D615DF">
        <w:rPr>
          <w:rFonts w:ascii="Arial" w:eastAsia="DengXian" w:hAnsi="Arial" w:cs="Arial"/>
          <w:noProof/>
          <w:kern w:val="2"/>
          <w:sz w:val="20"/>
          <w:szCs w:val="20"/>
          <w:shd w:val="clear" w:color="auto" w:fill="FFFFFF"/>
          <w:lang w:eastAsia="zh-CN"/>
        </w:rPr>
        <w:t>Mukanu et al. (2022)</w:t>
      </w:r>
      <w:r w:rsidRPr="00D615DF">
        <w:rPr>
          <w:rFonts w:ascii="Arial" w:eastAsia="DengXian" w:hAnsi="Arial" w:cs="Arial"/>
          <w:kern w:val="2"/>
          <w:sz w:val="20"/>
          <w:szCs w:val="20"/>
          <w:shd w:val="clear" w:color="auto" w:fill="FFFFFF"/>
          <w:lang w:eastAsia="zh-CN"/>
        </w:rPr>
        <w:t xml:space="preserve"> showed that individual factors such as weekly pocket money, self-identified poverty, and a guardian's employment. </w:t>
      </w:r>
      <w:r w:rsidRPr="00D615DF">
        <w:rPr>
          <w:rFonts w:ascii="Arial" w:eastAsia="DengXian" w:hAnsi="Arial" w:cs="Arial"/>
          <w:noProof/>
          <w:kern w:val="2"/>
          <w:sz w:val="20"/>
          <w:szCs w:val="20"/>
          <w:shd w:val="clear" w:color="auto" w:fill="FFFFFF"/>
          <w:lang w:eastAsia="zh-CN"/>
        </w:rPr>
        <w:t>Iyassu et al. (2024)</w:t>
      </w:r>
      <w:r w:rsidRPr="00D615DF">
        <w:rPr>
          <w:rFonts w:ascii="Arial" w:eastAsia="DengXian" w:hAnsi="Arial" w:cs="Arial"/>
          <w:kern w:val="2"/>
          <w:sz w:val="20"/>
          <w:szCs w:val="20"/>
          <w:shd w:val="clear" w:color="auto" w:fill="FFFFFF"/>
          <w:lang w:eastAsia="zh-CN"/>
        </w:rPr>
        <w:t xml:space="preserve"> indicated that the dietary choice of adolescents is influenced by peer influence, nutrition knowledge and perceptions, availability/accessibility, and safety of foods. A study in Gambia highlighted social and cultural factors (gender norms, mother-led decision-making, and ceremonies) as key determinants of dietary intakes among school-going adolescents </w:t>
      </w:r>
      <w:r w:rsidRPr="00D615DF">
        <w:rPr>
          <w:rFonts w:ascii="Arial" w:eastAsia="DengXian" w:hAnsi="Arial" w:cs="Arial"/>
          <w:noProof/>
          <w:kern w:val="2"/>
          <w:sz w:val="20"/>
          <w:szCs w:val="20"/>
          <w:shd w:val="clear" w:color="auto" w:fill="FFFFFF"/>
          <w:lang w:eastAsia="zh-CN"/>
        </w:rPr>
        <w:lastRenderedPageBreak/>
        <w:t>(Janha et al., 2021)</w:t>
      </w:r>
      <w:r w:rsidRPr="00D615DF">
        <w:rPr>
          <w:rFonts w:ascii="Arial" w:eastAsia="DengXian" w:hAnsi="Arial" w:cs="Arial"/>
          <w:kern w:val="2"/>
          <w:sz w:val="20"/>
          <w:szCs w:val="20"/>
          <w:shd w:val="clear" w:color="auto" w:fill="FFFFFF"/>
          <w:lang w:eastAsia="zh-CN"/>
        </w:rPr>
        <w:t>. This brings us to a very interesting discussion of how these choices are made.</w:t>
      </w:r>
      <w:r w:rsidRPr="00D615DF">
        <w:rPr>
          <w:rFonts w:ascii="Arial" w:eastAsia="DengXian" w:hAnsi="Arial" w:cs="Arial"/>
          <w:kern w:val="2"/>
          <w:sz w:val="20"/>
          <w:szCs w:val="20"/>
          <w:shd w:val="pct15" w:color="auto" w:fill="FFFFFF"/>
          <w:lang w:eastAsia="zh-CN"/>
        </w:rPr>
        <w:t xml:space="preserve"> </w:t>
      </w:r>
    </w:p>
    <w:p w14:paraId="29C70D78" w14:textId="77777777" w:rsidR="00AD12DD" w:rsidRPr="00D615DF" w:rsidRDefault="00AD12DD" w:rsidP="00D615DF">
      <w:pPr>
        <w:spacing w:after="0" w:line="240" w:lineRule="auto"/>
        <w:jc w:val="both"/>
        <w:rPr>
          <w:rFonts w:ascii="Arial" w:eastAsia="DengXian" w:hAnsi="Arial" w:cs="Arial"/>
          <w:kern w:val="2"/>
          <w:sz w:val="20"/>
          <w:szCs w:val="20"/>
          <w:shd w:val="pct15" w:color="auto" w:fill="FFFFFF"/>
          <w:lang w:eastAsia="zh-CN"/>
        </w:rPr>
      </w:pPr>
    </w:p>
    <w:p w14:paraId="5C561719" w14:textId="77777777"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According to the World Health Organization, school-based healthy diet intake thwarts malnutrition in all forms, preventing a wide range of noncommunicable diseases (NCDs). However, this is determined by a range of factors, including urbanization, changing lifestyles, and other multifaceted factors. </w:t>
      </w:r>
      <w:r w:rsidRPr="00D615DF">
        <w:rPr>
          <w:rFonts w:ascii="Arial" w:eastAsia="DengXian" w:hAnsi="Arial" w:cs="Arial"/>
          <w:noProof/>
          <w:kern w:val="2"/>
          <w:sz w:val="20"/>
          <w:szCs w:val="20"/>
          <w:lang w:eastAsia="zh-CN"/>
        </w:rPr>
        <w:t>Karunanayaka (2024)</w:t>
      </w:r>
      <w:r w:rsidRPr="00D615DF">
        <w:rPr>
          <w:rFonts w:ascii="Arial" w:eastAsia="DengXian" w:hAnsi="Arial" w:cs="Arial"/>
          <w:kern w:val="2"/>
          <w:sz w:val="20"/>
          <w:szCs w:val="20"/>
          <w:lang w:eastAsia="zh-CN"/>
        </w:rPr>
        <w:t xml:space="preserve"> and </w:t>
      </w:r>
      <w:r w:rsidRPr="00D615DF">
        <w:rPr>
          <w:rFonts w:ascii="Arial" w:eastAsia="DengXian" w:hAnsi="Arial" w:cs="Arial"/>
          <w:noProof/>
          <w:kern w:val="2"/>
          <w:sz w:val="20"/>
          <w:szCs w:val="20"/>
          <w:lang w:eastAsia="zh-CN"/>
        </w:rPr>
        <w:t>Kubik et al. (2003)</w:t>
      </w:r>
      <w:r w:rsidRPr="00D615DF">
        <w:rPr>
          <w:rFonts w:ascii="Arial" w:eastAsia="DengXian" w:hAnsi="Arial" w:cs="Arial"/>
          <w:kern w:val="2"/>
          <w:sz w:val="20"/>
          <w:szCs w:val="20"/>
          <w:lang w:eastAsia="zh-CN"/>
        </w:rPr>
        <w:t xml:space="preserve"> highlighted individual and school-based factors as food choices. Another study showed that pupil-led initiatives, peer influence, and the school environment were to blame for the rampant poor food choices at school canteens </w:t>
      </w:r>
      <w:r w:rsidRPr="00D615DF">
        <w:rPr>
          <w:rFonts w:ascii="Arial" w:eastAsia="DengXian" w:hAnsi="Arial" w:cs="Arial"/>
          <w:noProof/>
          <w:kern w:val="2"/>
          <w:sz w:val="20"/>
          <w:szCs w:val="20"/>
          <w:lang w:eastAsia="zh-CN"/>
        </w:rPr>
        <w:t>(L. D. Devine et al., 2023)</w:t>
      </w:r>
      <w:r w:rsidRPr="00D615DF">
        <w:rPr>
          <w:rFonts w:ascii="Arial" w:eastAsia="DengXian" w:hAnsi="Arial" w:cs="Arial"/>
          <w:kern w:val="2"/>
          <w:sz w:val="20"/>
          <w:szCs w:val="20"/>
          <w:lang w:eastAsia="zh-CN"/>
        </w:rPr>
        <w:t xml:space="preserve">. Various studies point out taste as the leading cause of poor dietary choices in school canteens, see, for instance, </w:t>
      </w:r>
      <w:r w:rsidRPr="00D615DF">
        <w:rPr>
          <w:rFonts w:ascii="Arial" w:eastAsia="DengXian" w:hAnsi="Arial" w:cs="Arial"/>
          <w:noProof/>
          <w:kern w:val="2"/>
          <w:sz w:val="20"/>
          <w:szCs w:val="20"/>
          <w:lang w:val="fr-FR" w:eastAsia="zh-CN"/>
        </w:rPr>
        <w:t>Neumark-Sztainer et al. (1999); Shannon et al. (2002)</w:t>
      </w:r>
      <w:r w:rsidRPr="00D615DF">
        <w:rPr>
          <w:rFonts w:ascii="Arial" w:eastAsia="DengXian" w:hAnsi="Arial" w:cs="Arial"/>
          <w:kern w:val="2"/>
          <w:sz w:val="20"/>
          <w:szCs w:val="20"/>
          <w:lang w:val="fr-FR" w:eastAsia="zh-CN"/>
        </w:rPr>
        <w:t xml:space="preserve"> and </w:t>
      </w:r>
      <w:r w:rsidRPr="00D615DF">
        <w:rPr>
          <w:rFonts w:ascii="Arial" w:eastAsia="DengXian" w:hAnsi="Arial" w:cs="Arial"/>
          <w:noProof/>
          <w:kern w:val="2"/>
          <w:sz w:val="20"/>
          <w:szCs w:val="20"/>
          <w:lang w:val="fr-FR" w:eastAsia="zh-CN"/>
        </w:rPr>
        <w:t xml:space="preserve">Ghaffar et al. </w:t>
      </w:r>
      <w:r w:rsidRPr="00D615DF">
        <w:rPr>
          <w:rFonts w:ascii="Arial" w:eastAsia="DengXian" w:hAnsi="Arial" w:cs="Arial"/>
          <w:noProof/>
          <w:kern w:val="2"/>
          <w:sz w:val="20"/>
          <w:szCs w:val="20"/>
          <w:lang w:eastAsia="zh-CN"/>
        </w:rPr>
        <w:t>(2019)</w:t>
      </w:r>
      <w:r w:rsidRPr="00D615DF">
        <w:rPr>
          <w:rFonts w:ascii="Arial" w:eastAsia="DengXian" w:hAnsi="Arial" w:cs="Arial"/>
          <w:kern w:val="2"/>
          <w:sz w:val="20"/>
          <w:szCs w:val="20"/>
          <w:lang w:eastAsia="zh-CN"/>
        </w:rPr>
        <w:t xml:space="preserve">. Other scholars point to the lack of better alternatives as a key factor in promoting unhealthy foods </w:t>
      </w:r>
      <w:r w:rsidRPr="00D615DF">
        <w:rPr>
          <w:rFonts w:ascii="Arial" w:eastAsia="DengXian" w:hAnsi="Arial" w:cs="Arial"/>
          <w:noProof/>
          <w:kern w:val="2"/>
          <w:sz w:val="20"/>
          <w:szCs w:val="20"/>
          <w:lang w:eastAsia="zh-CN"/>
        </w:rPr>
        <w:t>Bhatt et al. (2019)</w:t>
      </w:r>
      <w:r w:rsidRPr="00D615DF">
        <w:rPr>
          <w:rFonts w:ascii="Arial" w:eastAsia="DengXian" w:hAnsi="Arial" w:cs="Arial"/>
          <w:kern w:val="2"/>
          <w:sz w:val="20"/>
          <w:szCs w:val="20"/>
          <w:lang w:eastAsia="zh-CN"/>
        </w:rPr>
        <w:t xml:space="preserve">, while </w:t>
      </w:r>
      <w:r w:rsidRPr="00D615DF">
        <w:rPr>
          <w:rFonts w:ascii="Arial" w:eastAsia="DengXian" w:hAnsi="Arial" w:cs="Arial"/>
          <w:noProof/>
          <w:kern w:val="2"/>
          <w:sz w:val="20"/>
          <w:szCs w:val="20"/>
          <w:lang w:eastAsia="zh-CN"/>
        </w:rPr>
        <w:t>Gilmour et al. (2020)</w:t>
      </w:r>
      <w:r w:rsidRPr="00D615DF">
        <w:rPr>
          <w:rFonts w:ascii="Arial" w:eastAsia="DengXian" w:hAnsi="Arial" w:cs="Arial"/>
          <w:kern w:val="2"/>
          <w:sz w:val="20"/>
          <w:szCs w:val="20"/>
          <w:lang w:eastAsia="zh-CN"/>
        </w:rPr>
        <w:t xml:space="preserve"> points out convenience in a bid to avoid longer queues, leaving the students with no choice but to junk. Other studies assume that the price of the foods at various school canteens plays a significant role in determining choice </w:t>
      </w:r>
      <w:r w:rsidRPr="00D615DF">
        <w:rPr>
          <w:rFonts w:ascii="Arial" w:eastAsia="DengXian" w:hAnsi="Arial" w:cs="Arial"/>
          <w:noProof/>
          <w:kern w:val="2"/>
          <w:sz w:val="20"/>
          <w:szCs w:val="20"/>
          <w:lang w:eastAsia="zh-CN"/>
        </w:rPr>
        <w:t>(French, 2003)</w:t>
      </w:r>
      <w:r w:rsidRPr="00D615DF">
        <w:rPr>
          <w:rFonts w:ascii="Arial" w:eastAsia="DengXian" w:hAnsi="Arial" w:cs="Arial"/>
          <w:kern w:val="2"/>
          <w:sz w:val="20"/>
          <w:szCs w:val="20"/>
          <w:lang w:eastAsia="zh-CN"/>
        </w:rPr>
        <w:t xml:space="preserve">. Other studies attribute it to the students' lack of knowledge about nutrient content </w:t>
      </w:r>
      <w:r w:rsidRPr="00D615DF">
        <w:rPr>
          <w:rFonts w:ascii="Arial" w:eastAsia="DengXian" w:hAnsi="Arial" w:cs="Arial"/>
          <w:noProof/>
          <w:kern w:val="2"/>
          <w:sz w:val="20"/>
          <w:szCs w:val="20"/>
          <w:lang w:eastAsia="zh-CN"/>
        </w:rPr>
        <w:t>(Gracey et al., 1996)</w:t>
      </w:r>
      <w:r w:rsidRPr="00D615DF">
        <w:rPr>
          <w:rFonts w:ascii="Arial" w:eastAsia="DengXian" w:hAnsi="Arial" w:cs="Arial"/>
          <w:kern w:val="2"/>
          <w:sz w:val="20"/>
          <w:szCs w:val="20"/>
          <w:lang w:eastAsia="zh-CN"/>
        </w:rPr>
        <w:t xml:space="preserve">. On the other hand, </w:t>
      </w:r>
      <w:r w:rsidRPr="00D615DF">
        <w:rPr>
          <w:rFonts w:ascii="Arial" w:eastAsia="DengXian" w:hAnsi="Arial" w:cs="Arial"/>
          <w:noProof/>
          <w:kern w:val="2"/>
          <w:sz w:val="20"/>
          <w:szCs w:val="20"/>
          <w:lang w:eastAsia="zh-CN"/>
        </w:rPr>
        <w:t>Iyassu et al. (2024)</w:t>
      </w:r>
      <w:r w:rsidRPr="00D615DF">
        <w:rPr>
          <w:rFonts w:ascii="Arial" w:eastAsia="DengXian" w:hAnsi="Arial" w:cs="Arial"/>
          <w:kern w:val="2"/>
          <w:sz w:val="20"/>
          <w:szCs w:val="20"/>
          <w:lang w:eastAsia="zh-CN"/>
        </w:rPr>
        <w:t xml:space="preserve"> acknowledged students' lack of knowledge about nutrient content as a contributing factor to their unhealthy food choices. Differently, </w:t>
      </w:r>
      <w:r w:rsidRPr="00D615DF">
        <w:rPr>
          <w:rFonts w:ascii="Arial" w:eastAsia="DengXian" w:hAnsi="Arial" w:cs="Arial"/>
          <w:noProof/>
          <w:kern w:val="2"/>
          <w:sz w:val="20"/>
          <w:szCs w:val="20"/>
          <w:lang w:eastAsia="zh-CN"/>
        </w:rPr>
        <w:t>Neumark-Sztainer et al. (2005)</w:t>
      </w:r>
      <w:r w:rsidRPr="00D615DF">
        <w:rPr>
          <w:rFonts w:ascii="Arial" w:eastAsia="DengXian" w:hAnsi="Arial" w:cs="Arial"/>
          <w:kern w:val="2"/>
          <w:sz w:val="20"/>
          <w:szCs w:val="20"/>
          <w:lang w:eastAsia="zh-CN"/>
        </w:rPr>
        <w:t xml:space="preserve"> looks more into media messages and social norms as determinants of unhealthy eating habits at school canteens. Furthermore, the availability of attractive snacks and soft drinks strongly influences their food choices </w:t>
      </w:r>
      <w:r w:rsidRPr="00D615DF">
        <w:rPr>
          <w:rFonts w:ascii="Arial" w:eastAsia="DengXian" w:hAnsi="Arial" w:cs="Arial"/>
          <w:noProof/>
          <w:kern w:val="2"/>
          <w:sz w:val="20"/>
          <w:szCs w:val="20"/>
          <w:lang w:eastAsia="zh-CN"/>
        </w:rPr>
        <w:t>(Wouters et al., 2010)</w:t>
      </w:r>
      <w:r w:rsidRPr="00D615DF">
        <w:rPr>
          <w:rFonts w:ascii="Arial" w:eastAsia="DengXian" w:hAnsi="Arial" w:cs="Arial"/>
          <w:kern w:val="2"/>
          <w:sz w:val="20"/>
          <w:szCs w:val="20"/>
          <w:lang w:eastAsia="zh-CN"/>
        </w:rPr>
        <w:t xml:space="preserve">. This was in line with </w:t>
      </w:r>
      <w:r w:rsidRPr="00D615DF">
        <w:rPr>
          <w:rFonts w:ascii="Arial" w:eastAsia="DengXian" w:hAnsi="Arial" w:cs="Arial"/>
          <w:noProof/>
          <w:kern w:val="2"/>
          <w:sz w:val="20"/>
          <w:szCs w:val="20"/>
          <w:lang w:eastAsia="zh-CN"/>
        </w:rPr>
        <w:t>Mesch et al. (2025)</w:t>
      </w:r>
      <w:r w:rsidRPr="00D615DF">
        <w:rPr>
          <w:rFonts w:ascii="Arial" w:eastAsia="DengXian" w:hAnsi="Arial" w:cs="Arial"/>
          <w:kern w:val="2"/>
          <w:sz w:val="20"/>
          <w:szCs w:val="20"/>
          <w:lang w:eastAsia="zh-CN"/>
        </w:rPr>
        <w:t xml:space="preserve"> who revealed that the appealing nature of canteen foods attracts the students to adopt a poor feeding practice. Therefore, there is a multiplicity of factors that shape the student' choices of their food at their canteens. However, what remains unclear is that factors such as habitual food preference and food familiarity have not been extensively explored. </w:t>
      </w:r>
    </w:p>
    <w:p w14:paraId="6DC10E12" w14:textId="77777777" w:rsidR="00AD12DD" w:rsidRPr="00D615DF" w:rsidRDefault="00AD12DD" w:rsidP="00D615DF">
      <w:pPr>
        <w:spacing w:after="0" w:line="240" w:lineRule="auto"/>
        <w:jc w:val="both"/>
        <w:rPr>
          <w:rFonts w:ascii="Arial" w:eastAsia="DengXian" w:hAnsi="Arial" w:cs="Arial"/>
          <w:kern w:val="2"/>
          <w:sz w:val="20"/>
          <w:szCs w:val="20"/>
          <w:lang w:eastAsia="zh-CN"/>
        </w:rPr>
      </w:pPr>
    </w:p>
    <w:p w14:paraId="657BA916" w14:textId="33EBECC5" w:rsidR="00AD12DD" w:rsidRPr="00D615DF" w:rsidRDefault="00AD12DD" w:rsidP="00D615DF">
      <w:pPr>
        <w:pStyle w:val="Heading2"/>
        <w:rPr>
          <w:rFonts w:eastAsia="DengXian"/>
          <w:lang w:eastAsia="zh-CN"/>
        </w:rPr>
      </w:pPr>
      <w:r w:rsidRPr="00D615DF">
        <w:rPr>
          <w:rFonts w:eastAsia="DengXian"/>
          <w:lang w:eastAsia="zh-CN"/>
        </w:rPr>
        <w:t>2. METHODOLOGY</w:t>
      </w:r>
    </w:p>
    <w:p w14:paraId="7D191245" w14:textId="77777777" w:rsidR="00AD12DD" w:rsidRPr="00D615DF" w:rsidRDefault="00AD12DD" w:rsidP="00D615DF">
      <w:pPr>
        <w:spacing w:after="0" w:line="240" w:lineRule="auto"/>
        <w:ind w:left="720"/>
        <w:jc w:val="both"/>
        <w:rPr>
          <w:rFonts w:ascii="Arial" w:eastAsia="DengXian" w:hAnsi="Arial" w:cs="Arial"/>
          <w:b/>
          <w:bCs/>
          <w:kern w:val="2"/>
          <w:sz w:val="20"/>
          <w:szCs w:val="20"/>
          <w:lang w:eastAsia="zh-CN"/>
        </w:rPr>
      </w:pPr>
    </w:p>
    <w:p w14:paraId="541295D8" w14:textId="77777777" w:rsidR="00AD12DD" w:rsidRPr="00D615DF" w:rsidRDefault="00AD12DD" w:rsidP="00D615DF">
      <w:pPr>
        <w:spacing w:after="0" w:line="240" w:lineRule="auto"/>
        <w:jc w:val="both"/>
        <w:rPr>
          <w:rFonts w:ascii="Arial" w:eastAsia="DengXian" w:hAnsi="Arial" w:cs="Arial"/>
          <w:b/>
          <w:bCs/>
          <w:kern w:val="2"/>
          <w:lang w:eastAsia="zh-CN"/>
        </w:rPr>
      </w:pPr>
      <w:r w:rsidRPr="00D615DF">
        <w:rPr>
          <w:rFonts w:ascii="Arial" w:eastAsia="DengXian" w:hAnsi="Arial" w:cs="Arial"/>
          <w:b/>
          <w:bCs/>
          <w:kern w:val="2"/>
          <w:lang w:eastAsia="zh-CN"/>
        </w:rPr>
        <w:t>2.1 Introduction</w:t>
      </w:r>
    </w:p>
    <w:p w14:paraId="48471FA3" w14:textId="77777777" w:rsidR="00AD12DD" w:rsidRPr="00D615DF" w:rsidRDefault="00AD12DD" w:rsidP="00D615DF">
      <w:pPr>
        <w:spacing w:after="0" w:line="240" w:lineRule="auto"/>
        <w:jc w:val="both"/>
        <w:rPr>
          <w:rFonts w:ascii="Arial" w:eastAsia="DengXian" w:hAnsi="Arial" w:cs="Arial"/>
          <w:b/>
          <w:bCs/>
          <w:kern w:val="2"/>
          <w:sz w:val="20"/>
          <w:szCs w:val="20"/>
          <w:lang w:eastAsia="zh-CN"/>
        </w:rPr>
      </w:pPr>
    </w:p>
    <w:p w14:paraId="680B6C0A" w14:textId="77777777"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This part of the paper provides the methods used. It comprises the study design, the study </w:t>
      </w:r>
      <w:r w:rsidRPr="00D615DF">
        <w:rPr>
          <w:rFonts w:ascii="Arial" w:eastAsia="DengXian" w:hAnsi="Arial" w:cs="Arial"/>
          <w:kern w:val="2"/>
          <w:sz w:val="20"/>
          <w:szCs w:val="20"/>
          <w:lang w:eastAsia="zh-CN"/>
        </w:rPr>
        <w:t xml:space="preserve">population, the sample size, the data collection methods, the data analysis techniques, and the ethical considerations as follows. </w:t>
      </w:r>
    </w:p>
    <w:p w14:paraId="60AAA61B" w14:textId="77777777" w:rsidR="00AD12DD" w:rsidRPr="00D615DF" w:rsidRDefault="00AD12DD" w:rsidP="00D615DF">
      <w:pPr>
        <w:spacing w:after="0" w:line="240" w:lineRule="auto"/>
        <w:jc w:val="both"/>
        <w:rPr>
          <w:rFonts w:ascii="Arial" w:eastAsia="DengXian" w:hAnsi="Arial" w:cs="Arial"/>
          <w:kern w:val="2"/>
          <w:sz w:val="20"/>
          <w:szCs w:val="20"/>
          <w:lang w:eastAsia="zh-CN"/>
        </w:rPr>
      </w:pPr>
    </w:p>
    <w:p w14:paraId="193C9D0B" w14:textId="77777777" w:rsidR="00AD12DD" w:rsidRPr="00D615DF" w:rsidRDefault="00AD12DD" w:rsidP="00D615DF">
      <w:pPr>
        <w:spacing w:after="0" w:line="240" w:lineRule="auto"/>
        <w:jc w:val="both"/>
        <w:rPr>
          <w:rFonts w:ascii="Arial" w:eastAsia="DengXian" w:hAnsi="Arial" w:cs="Arial"/>
          <w:b/>
          <w:bCs/>
          <w:kern w:val="2"/>
          <w:lang w:eastAsia="zh-CN"/>
        </w:rPr>
      </w:pPr>
      <w:r w:rsidRPr="00D615DF">
        <w:rPr>
          <w:rFonts w:ascii="Arial" w:eastAsia="DengXian" w:hAnsi="Arial" w:cs="Arial"/>
          <w:b/>
          <w:bCs/>
          <w:kern w:val="2"/>
          <w:lang w:eastAsia="zh-CN"/>
        </w:rPr>
        <w:t>2.2 Study Design</w:t>
      </w:r>
    </w:p>
    <w:p w14:paraId="2F1635E0" w14:textId="77777777" w:rsidR="00AD12DD" w:rsidRPr="00D615DF" w:rsidRDefault="00AD12DD" w:rsidP="00D615DF">
      <w:pPr>
        <w:spacing w:after="0" w:line="240" w:lineRule="auto"/>
        <w:jc w:val="both"/>
        <w:rPr>
          <w:rFonts w:ascii="Arial" w:eastAsia="DengXian" w:hAnsi="Arial" w:cs="Arial"/>
          <w:b/>
          <w:bCs/>
          <w:kern w:val="2"/>
          <w:sz w:val="20"/>
          <w:szCs w:val="20"/>
          <w:lang w:eastAsia="zh-CN"/>
        </w:rPr>
      </w:pPr>
    </w:p>
    <w:p w14:paraId="45616791" w14:textId="77777777"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An observational study design was utilized. It involved collecting data, analyzing it, and writing the results based on the stated study hypotheses. Particularly, a cross-sectional study design was employed. This involved collecting a snapshot of information from both the exposures and the outcomes that have already occurred, without making follow-ups. </w:t>
      </w:r>
    </w:p>
    <w:p w14:paraId="440072B5" w14:textId="77777777" w:rsidR="00AD12DD" w:rsidRPr="00D615DF" w:rsidRDefault="00AD12DD" w:rsidP="00D615DF">
      <w:pPr>
        <w:spacing w:after="0" w:line="240" w:lineRule="auto"/>
        <w:jc w:val="both"/>
        <w:rPr>
          <w:rFonts w:ascii="Arial" w:eastAsia="DengXian" w:hAnsi="Arial" w:cs="Arial"/>
          <w:kern w:val="2"/>
          <w:sz w:val="20"/>
          <w:szCs w:val="20"/>
          <w:lang w:eastAsia="zh-CN"/>
        </w:rPr>
      </w:pPr>
    </w:p>
    <w:p w14:paraId="44CF04D6" w14:textId="77777777" w:rsidR="00AD12DD" w:rsidRPr="00D615DF" w:rsidRDefault="00AD12DD" w:rsidP="00D615DF">
      <w:pPr>
        <w:spacing w:after="0" w:line="240" w:lineRule="auto"/>
        <w:jc w:val="both"/>
        <w:rPr>
          <w:rFonts w:ascii="Arial" w:eastAsia="DengXian" w:hAnsi="Arial" w:cs="Arial"/>
          <w:b/>
          <w:bCs/>
          <w:kern w:val="2"/>
          <w:lang w:eastAsia="zh-CN"/>
        </w:rPr>
      </w:pPr>
      <w:r w:rsidRPr="00D615DF">
        <w:rPr>
          <w:rFonts w:ascii="Arial" w:eastAsia="DengXian" w:hAnsi="Arial" w:cs="Arial"/>
          <w:b/>
          <w:bCs/>
          <w:kern w:val="2"/>
          <w:lang w:eastAsia="zh-CN"/>
        </w:rPr>
        <w:t>2.3 Study Population</w:t>
      </w:r>
    </w:p>
    <w:p w14:paraId="309B0A71" w14:textId="77777777" w:rsidR="00AD12DD" w:rsidRPr="00D615DF" w:rsidRDefault="00AD12DD" w:rsidP="00D615DF">
      <w:pPr>
        <w:spacing w:after="0" w:line="240" w:lineRule="auto"/>
        <w:jc w:val="both"/>
        <w:rPr>
          <w:rFonts w:ascii="Arial" w:eastAsia="DengXian" w:hAnsi="Arial" w:cs="Arial"/>
          <w:b/>
          <w:bCs/>
          <w:kern w:val="2"/>
          <w:sz w:val="20"/>
          <w:szCs w:val="20"/>
          <w:lang w:eastAsia="zh-CN"/>
        </w:rPr>
      </w:pPr>
    </w:p>
    <w:p w14:paraId="54F95371" w14:textId="77777777"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A population of 4900 adolescents aged 10-19 years in senior one, two and three, attending different government-owned or government-aided secondary schools in </w:t>
      </w:r>
      <w:proofErr w:type="spellStart"/>
      <w:r w:rsidRPr="00D615DF">
        <w:rPr>
          <w:rFonts w:ascii="Arial" w:eastAsia="DengXian" w:hAnsi="Arial" w:cs="Arial"/>
          <w:kern w:val="2"/>
          <w:sz w:val="20"/>
          <w:szCs w:val="20"/>
          <w:lang w:eastAsia="zh-CN"/>
        </w:rPr>
        <w:t>Nansana</w:t>
      </w:r>
      <w:proofErr w:type="spellEnd"/>
      <w:r w:rsidRPr="00D615DF">
        <w:rPr>
          <w:rFonts w:ascii="Arial" w:eastAsia="DengXian" w:hAnsi="Arial" w:cs="Arial"/>
          <w:kern w:val="2"/>
          <w:sz w:val="20"/>
          <w:szCs w:val="20"/>
          <w:lang w:eastAsia="zh-CN"/>
        </w:rPr>
        <w:t xml:space="preserve"> Municipality, Wakiso District, Uganda was considered. </w:t>
      </w:r>
    </w:p>
    <w:p w14:paraId="777CD69C" w14:textId="77777777" w:rsidR="00AD12DD" w:rsidRPr="00D615DF" w:rsidRDefault="00AD12DD" w:rsidP="00D615DF">
      <w:pPr>
        <w:spacing w:after="0" w:line="240" w:lineRule="auto"/>
        <w:jc w:val="both"/>
        <w:rPr>
          <w:rFonts w:ascii="Arial" w:eastAsia="DengXian" w:hAnsi="Arial" w:cs="Arial"/>
          <w:kern w:val="2"/>
          <w:sz w:val="20"/>
          <w:szCs w:val="20"/>
          <w:lang w:eastAsia="zh-CN"/>
        </w:rPr>
      </w:pPr>
    </w:p>
    <w:p w14:paraId="7C02FDC0" w14:textId="47255AA5" w:rsidR="00AD12DD" w:rsidRPr="00D615DF" w:rsidRDefault="00AD12DD" w:rsidP="00D615DF">
      <w:pPr>
        <w:spacing w:after="0" w:line="240" w:lineRule="auto"/>
        <w:jc w:val="both"/>
        <w:rPr>
          <w:rFonts w:ascii="Arial" w:eastAsia="DengXian" w:hAnsi="Arial" w:cs="Arial"/>
          <w:b/>
          <w:bCs/>
          <w:kern w:val="2"/>
          <w:lang w:eastAsia="zh-CN"/>
        </w:rPr>
      </w:pPr>
      <w:r w:rsidRPr="00D615DF">
        <w:rPr>
          <w:rFonts w:ascii="Arial" w:eastAsia="DengXian" w:hAnsi="Arial" w:cs="Arial"/>
          <w:b/>
          <w:bCs/>
          <w:kern w:val="2"/>
          <w:lang w:eastAsia="zh-CN"/>
        </w:rPr>
        <w:t>2.4 Sample Size</w:t>
      </w:r>
    </w:p>
    <w:p w14:paraId="7F688E91" w14:textId="77777777" w:rsidR="00AD12DD" w:rsidRPr="00D615DF" w:rsidRDefault="00AD12DD" w:rsidP="00D615DF">
      <w:pPr>
        <w:spacing w:after="0" w:line="240" w:lineRule="auto"/>
        <w:jc w:val="both"/>
        <w:rPr>
          <w:rFonts w:ascii="Arial" w:eastAsia="DengXian" w:hAnsi="Arial" w:cs="Arial"/>
          <w:b/>
          <w:bCs/>
          <w:kern w:val="2"/>
          <w:sz w:val="20"/>
          <w:szCs w:val="20"/>
          <w:lang w:eastAsia="zh-CN"/>
        </w:rPr>
      </w:pPr>
    </w:p>
    <w:p w14:paraId="19CD9794" w14:textId="77777777" w:rsidR="00AD12DD" w:rsidRPr="00D615DF" w:rsidRDefault="00AD12DD" w:rsidP="00D615DF">
      <w:pPr>
        <w:spacing w:after="0" w:line="240" w:lineRule="auto"/>
        <w:jc w:val="both"/>
        <w:rPr>
          <w:rFonts w:ascii="Arial" w:eastAsia="DengXian" w:hAnsi="Arial" w:cs="Arial"/>
          <w:kern w:val="2"/>
          <w:sz w:val="20"/>
          <w:szCs w:val="20"/>
        </w:rPr>
      </w:pPr>
      <w:r w:rsidRPr="00D615DF">
        <w:rPr>
          <w:rFonts w:ascii="Arial" w:eastAsia="DengXian" w:hAnsi="Arial" w:cs="Arial"/>
          <w:kern w:val="2"/>
          <w:sz w:val="20"/>
          <w:szCs w:val="20"/>
        </w:rPr>
        <w:t xml:space="preserve">The Taro Yamane formula (1967) was employed to compute the sample size from a population of 4900, using the margin of error of 2.54% as seen in Equation 1. This approach, as emphasized in a study by </w:t>
      </w:r>
      <w:proofErr w:type="spellStart"/>
      <w:r w:rsidRPr="00D615DF">
        <w:rPr>
          <w:rFonts w:ascii="Arial" w:eastAsia="DengXian" w:hAnsi="Arial" w:cs="Arial"/>
          <w:kern w:val="2"/>
          <w:sz w:val="20"/>
          <w:szCs w:val="20"/>
        </w:rPr>
        <w:t>Chaokromthong</w:t>
      </w:r>
      <w:proofErr w:type="spellEnd"/>
      <w:r w:rsidRPr="00D615DF">
        <w:rPr>
          <w:rFonts w:ascii="Arial" w:eastAsia="DengXian" w:hAnsi="Arial" w:cs="Arial"/>
          <w:kern w:val="2"/>
          <w:sz w:val="20"/>
          <w:szCs w:val="20"/>
        </w:rPr>
        <w:t xml:space="preserve"> and </w:t>
      </w:r>
      <w:proofErr w:type="spellStart"/>
      <w:r w:rsidRPr="00D615DF">
        <w:rPr>
          <w:rFonts w:ascii="Arial" w:eastAsia="DengXian" w:hAnsi="Arial" w:cs="Arial"/>
          <w:kern w:val="2"/>
          <w:sz w:val="20"/>
          <w:szCs w:val="20"/>
        </w:rPr>
        <w:t>Sintao</w:t>
      </w:r>
      <w:proofErr w:type="spellEnd"/>
      <w:r w:rsidRPr="00D615DF">
        <w:rPr>
          <w:rFonts w:ascii="Arial" w:eastAsia="DengXian" w:hAnsi="Arial" w:cs="Arial"/>
          <w:kern w:val="2"/>
          <w:sz w:val="20"/>
          <w:szCs w:val="20"/>
        </w:rPr>
        <w:t xml:space="preserve"> (2021) provides an appropriate way of estimating the sample size when the finite population is known with a certain level of precision. </w:t>
      </w:r>
    </w:p>
    <w:p w14:paraId="4C9D1F4E" w14:textId="77777777" w:rsidR="00AD12DD" w:rsidRPr="00D615DF" w:rsidRDefault="00AD12DD" w:rsidP="00D615DF">
      <w:pPr>
        <w:spacing w:after="0" w:line="240" w:lineRule="auto"/>
        <w:jc w:val="both"/>
        <w:rPr>
          <w:rFonts w:ascii="Arial" w:eastAsia="DengXian" w:hAnsi="Arial" w:cs="Arial"/>
          <w:kern w:val="2"/>
          <w:sz w:val="20"/>
          <w:szCs w:val="20"/>
        </w:rPr>
      </w:pPr>
    </w:p>
    <w:p w14:paraId="58BAE06F" w14:textId="36D30B3A" w:rsidR="00AD12DD" w:rsidRPr="00D615DF" w:rsidRDefault="000E42FC" w:rsidP="00D615DF">
      <w:pPr>
        <w:spacing w:after="0" w:line="240" w:lineRule="auto"/>
        <w:rPr>
          <w:rFonts w:ascii="Arial" w:eastAsia="DengXian" w:hAnsi="Arial" w:cs="Arial"/>
          <w:iCs/>
          <w:kern w:val="2"/>
          <w:sz w:val="20"/>
          <w:szCs w:val="20"/>
        </w:rPr>
      </w:pPr>
      <w:bookmarkStart w:id="0" w:name="_Ref213859670"/>
      <m:oMath>
        <m:r>
          <m:rPr>
            <m:sty m:val="p"/>
          </m:rPr>
          <w:rPr>
            <w:rFonts w:ascii="Cambria Math" w:eastAsia="DengXian" w:hAnsi="Cambria Math" w:cs="Arial"/>
            <w:kern w:val="2"/>
            <w:sz w:val="20"/>
            <w:szCs w:val="20"/>
          </w:rPr>
          <m:t xml:space="preserve">n= </m:t>
        </m:r>
        <m:f>
          <m:fPr>
            <m:ctrlPr>
              <w:rPr>
                <w:rFonts w:ascii="Cambria Math" w:eastAsia="DengXian" w:hAnsi="Cambria Math" w:cs="Arial"/>
                <w:iCs/>
                <w:kern w:val="2"/>
                <w:sz w:val="20"/>
                <w:szCs w:val="20"/>
              </w:rPr>
            </m:ctrlPr>
          </m:fPr>
          <m:num>
            <m:r>
              <m:rPr>
                <m:sty m:val="p"/>
              </m:rPr>
              <w:rPr>
                <w:rFonts w:ascii="Cambria Math" w:eastAsia="DengXian" w:hAnsi="Cambria Math" w:cs="Arial"/>
                <w:kern w:val="2"/>
                <w:sz w:val="20"/>
                <w:szCs w:val="20"/>
              </w:rPr>
              <m:t>N</m:t>
            </m:r>
          </m:num>
          <m:den>
            <m:r>
              <m:rPr>
                <m:sty m:val="p"/>
              </m:rPr>
              <w:rPr>
                <w:rFonts w:ascii="Cambria Math" w:eastAsia="DengXian" w:hAnsi="Cambria Math" w:cs="Arial"/>
                <w:kern w:val="2"/>
                <w:sz w:val="20"/>
                <w:szCs w:val="20"/>
              </w:rPr>
              <m:t xml:space="preserve">1+N </m:t>
            </m:r>
            <m:sSup>
              <m:sSupPr>
                <m:ctrlPr>
                  <w:rPr>
                    <w:rFonts w:ascii="Cambria Math" w:eastAsia="DengXian" w:hAnsi="Cambria Math" w:cs="Arial"/>
                    <w:iCs/>
                    <w:kern w:val="2"/>
                    <w:sz w:val="20"/>
                    <w:szCs w:val="20"/>
                  </w:rPr>
                </m:ctrlPr>
              </m:sSupPr>
              <m:e>
                <m:d>
                  <m:dPr>
                    <m:ctrlPr>
                      <w:rPr>
                        <w:rFonts w:ascii="Cambria Math" w:eastAsia="DengXian" w:hAnsi="Cambria Math" w:cs="Arial"/>
                        <w:iCs/>
                        <w:kern w:val="2"/>
                        <w:sz w:val="20"/>
                        <w:szCs w:val="20"/>
                      </w:rPr>
                    </m:ctrlPr>
                  </m:dPr>
                  <m:e>
                    <m:r>
                      <m:rPr>
                        <m:sty m:val="p"/>
                      </m:rPr>
                      <w:rPr>
                        <w:rFonts w:ascii="Cambria Math" w:eastAsia="DengXian" w:hAnsi="Cambria Math" w:cs="Arial"/>
                        <w:kern w:val="2"/>
                        <w:sz w:val="20"/>
                        <w:szCs w:val="20"/>
                      </w:rPr>
                      <m:t>e</m:t>
                    </m:r>
                  </m:e>
                </m:d>
              </m:e>
              <m:sup>
                <m:r>
                  <m:rPr>
                    <m:sty m:val="p"/>
                  </m:rPr>
                  <w:rPr>
                    <w:rFonts w:ascii="Cambria Math" w:eastAsia="DengXian" w:hAnsi="Cambria Math" w:cs="Arial"/>
                    <w:kern w:val="2"/>
                    <w:sz w:val="20"/>
                    <w:szCs w:val="20"/>
                  </w:rPr>
                  <m:t>2</m:t>
                </m:r>
              </m:sup>
            </m:sSup>
          </m:den>
        </m:f>
        <m:r>
          <m:rPr>
            <m:sty m:val="p"/>
          </m:rPr>
          <w:rPr>
            <w:rFonts w:ascii="Cambria Math" w:eastAsia="DengXian" w:hAnsi="Cambria Math" w:cs="Arial"/>
            <w:kern w:val="2"/>
            <w:sz w:val="20"/>
            <w:szCs w:val="20"/>
          </w:rPr>
          <m:t xml:space="preserve">       </m:t>
        </m:r>
      </m:oMath>
      <w:r w:rsidR="00AD12DD" w:rsidRPr="00D615DF">
        <w:rPr>
          <w:rFonts w:ascii="Arial" w:eastAsia="DengXian" w:hAnsi="Arial" w:cs="Arial"/>
          <w:iCs/>
          <w:kern w:val="2"/>
          <w:sz w:val="20"/>
          <w:szCs w:val="20"/>
        </w:rPr>
        <w:t xml:space="preserve"> </w:t>
      </w:r>
      <w:bookmarkEnd w:id="0"/>
      <w:r w:rsidRPr="00D615DF">
        <w:rPr>
          <w:rFonts w:ascii="Arial" w:eastAsia="DengXian" w:hAnsi="Arial" w:cs="Arial"/>
          <w:iCs/>
          <w:kern w:val="2"/>
          <w:sz w:val="20"/>
          <w:szCs w:val="20"/>
        </w:rPr>
        <w:t xml:space="preserve">                                         (Eq. 1)</w:t>
      </w:r>
    </w:p>
    <w:p w14:paraId="2FB8E34A" w14:textId="77777777" w:rsidR="000E42FC" w:rsidRPr="00D615DF" w:rsidRDefault="000E42FC" w:rsidP="00D615DF">
      <w:pPr>
        <w:spacing w:after="0" w:line="240" w:lineRule="auto"/>
        <w:jc w:val="both"/>
        <w:rPr>
          <w:rFonts w:ascii="Arial" w:eastAsia="DengXian" w:hAnsi="Arial" w:cs="Arial"/>
          <w:kern w:val="2"/>
          <w:sz w:val="20"/>
          <w:szCs w:val="20"/>
        </w:rPr>
      </w:pPr>
    </w:p>
    <w:p w14:paraId="1440F125" w14:textId="47DACB5F" w:rsidR="00AD12DD" w:rsidRPr="00D615DF" w:rsidRDefault="00AD12DD" w:rsidP="00D615DF">
      <w:pPr>
        <w:spacing w:after="0" w:line="240" w:lineRule="auto"/>
        <w:jc w:val="both"/>
        <w:rPr>
          <w:rFonts w:ascii="Arial" w:eastAsia="DengXian" w:hAnsi="Arial" w:cs="Arial"/>
          <w:kern w:val="2"/>
          <w:sz w:val="20"/>
          <w:szCs w:val="20"/>
        </w:rPr>
      </w:pPr>
      <w:r w:rsidRPr="00D615DF">
        <w:rPr>
          <w:rFonts w:ascii="Arial" w:eastAsia="DengXian" w:hAnsi="Arial" w:cs="Arial"/>
          <w:kern w:val="2"/>
          <w:sz w:val="20"/>
          <w:szCs w:val="20"/>
        </w:rPr>
        <w:t>Whereby, n = desired sample size, N = finite population, and e = margin of error. Substituting the figures above into the equation yields the following</w:t>
      </w:r>
    </w:p>
    <w:p w14:paraId="2B9D2A15" w14:textId="77777777" w:rsidR="00AD12DD" w:rsidRPr="00D615DF" w:rsidRDefault="00AD12DD" w:rsidP="00D615DF">
      <w:pPr>
        <w:spacing w:after="0" w:line="240" w:lineRule="auto"/>
        <w:jc w:val="both"/>
        <w:rPr>
          <w:rFonts w:ascii="Arial" w:eastAsia="DengXian" w:hAnsi="Arial" w:cs="Arial"/>
          <w:kern w:val="2"/>
          <w:sz w:val="18"/>
          <w:szCs w:val="18"/>
        </w:rPr>
      </w:pPr>
    </w:p>
    <w:p w14:paraId="1A6FE4B9" w14:textId="4813D2C8" w:rsidR="00AD12DD" w:rsidRPr="00D615DF" w:rsidRDefault="003A7396" w:rsidP="00D615DF">
      <w:pPr>
        <w:spacing w:after="0" w:line="240" w:lineRule="auto"/>
        <w:ind w:left="360"/>
        <w:rPr>
          <w:rFonts w:ascii="Arial" w:eastAsia="DengXian" w:hAnsi="Arial" w:cs="Arial"/>
          <w:kern w:val="2"/>
          <w:sz w:val="20"/>
          <w:szCs w:val="20"/>
        </w:rPr>
      </w:pPr>
      <m:oMath>
        <m:f>
          <m:fPr>
            <m:ctrlPr>
              <w:rPr>
                <w:rFonts w:ascii="Cambria Math" w:eastAsia="DengXian" w:hAnsi="Cambria Math" w:cs="Arial"/>
                <w:i/>
                <w:kern w:val="2"/>
                <w:sz w:val="20"/>
                <w:szCs w:val="20"/>
              </w:rPr>
            </m:ctrlPr>
          </m:fPr>
          <m:num>
            <m:r>
              <w:rPr>
                <w:rFonts w:ascii="Cambria Math" w:eastAsia="DengXian" w:hAnsi="Cambria Math" w:cs="Arial"/>
                <w:kern w:val="2"/>
                <w:sz w:val="20"/>
                <w:szCs w:val="20"/>
              </w:rPr>
              <m:t>4900</m:t>
            </m:r>
          </m:num>
          <m:den>
            <m:r>
              <w:rPr>
                <w:rFonts w:ascii="Cambria Math" w:eastAsia="DengXian" w:hAnsi="Cambria Math" w:cs="Arial"/>
                <w:kern w:val="2"/>
                <w:sz w:val="20"/>
                <w:szCs w:val="20"/>
              </w:rPr>
              <m:t>1+4900</m:t>
            </m:r>
            <m:sSup>
              <m:sSupPr>
                <m:ctrlPr>
                  <w:rPr>
                    <w:rFonts w:ascii="Cambria Math" w:eastAsia="DengXian" w:hAnsi="Cambria Math" w:cs="Arial"/>
                    <w:i/>
                    <w:kern w:val="2"/>
                    <w:sz w:val="20"/>
                    <w:szCs w:val="20"/>
                  </w:rPr>
                </m:ctrlPr>
              </m:sSupPr>
              <m:e>
                <m:r>
                  <w:rPr>
                    <w:rFonts w:ascii="Cambria Math" w:eastAsia="DengXian" w:hAnsi="Cambria Math" w:cs="Arial"/>
                    <w:kern w:val="2"/>
                    <w:sz w:val="20"/>
                    <w:szCs w:val="20"/>
                  </w:rPr>
                  <m:t>(0.0254)</m:t>
                </m:r>
              </m:e>
              <m:sup>
                <m:r>
                  <w:rPr>
                    <w:rFonts w:ascii="Cambria Math" w:eastAsia="DengXian" w:hAnsi="Cambria Math" w:cs="Arial"/>
                    <w:kern w:val="2"/>
                    <w:sz w:val="20"/>
                    <w:szCs w:val="20"/>
                  </w:rPr>
                  <m:t>2</m:t>
                </m:r>
              </m:sup>
            </m:sSup>
          </m:den>
        </m:f>
      </m:oMath>
      <w:r w:rsidR="00AD12DD" w:rsidRPr="00D615DF">
        <w:rPr>
          <w:rFonts w:ascii="Arial" w:eastAsia="DengXian" w:hAnsi="Arial" w:cs="Arial"/>
          <w:kern w:val="2"/>
          <w:sz w:val="20"/>
          <w:szCs w:val="20"/>
        </w:rPr>
        <w:t xml:space="preserve"> = 1178</w:t>
      </w:r>
    </w:p>
    <w:p w14:paraId="6C27CAA7" w14:textId="77777777" w:rsidR="00AD12DD" w:rsidRPr="00D615DF" w:rsidRDefault="00AD12DD" w:rsidP="00D615DF">
      <w:pPr>
        <w:spacing w:after="0" w:line="240" w:lineRule="auto"/>
        <w:jc w:val="both"/>
        <w:rPr>
          <w:rFonts w:ascii="Arial" w:eastAsia="DengXian" w:hAnsi="Arial" w:cs="Arial"/>
          <w:kern w:val="2"/>
          <w:sz w:val="18"/>
          <w:szCs w:val="18"/>
        </w:rPr>
      </w:pPr>
    </w:p>
    <w:p w14:paraId="51A63D3C" w14:textId="77777777" w:rsidR="00AD12DD" w:rsidRPr="00D615DF" w:rsidRDefault="00AD12DD" w:rsidP="00D615DF">
      <w:pPr>
        <w:spacing w:after="0" w:line="240" w:lineRule="auto"/>
        <w:jc w:val="both"/>
        <w:rPr>
          <w:rFonts w:ascii="Arial" w:eastAsia="DengXian" w:hAnsi="Arial" w:cs="Arial"/>
          <w:kern w:val="2"/>
          <w:sz w:val="20"/>
          <w:szCs w:val="20"/>
        </w:rPr>
      </w:pPr>
      <w:r w:rsidRPr="00D615DF">
        <w:rPr>
          <w:rFonts w:ascii="Arial" w:eastAsia="DengXian" w:hAnsi="Arial" w:cs="Arial"/>
          <w:kern w:val="2"/>
          <w:sz w:val="20"/>
          <w:szCs w:val="20"/>
        </w:rPr>
        <w:t xml:space="preserve">Therefore, out of 1178 school-going adolescents, 1174 were included in the study, accounting for the non-response of four adolescents. The desired sample size was not acquired because four school-going adolescents did not consent to the questionnaire. </w:t>
      </w:r>
    </w:p>
    <w:p w14:paraId="1A4B527D" w14:textId="77777777" w:rsidR="00AD12DD" w:rsidRPr="00D615DF" w:rsidRDefault="00AD12DD" w:rsidP="00D615DF">
      <w:pPr>
        <w:spacing w:after="0" w:line="240" w:lineRule="auto"/>
        <w:jc w:val="both"/>
        <w:rPr>
          <w:rFonts w:ascii="Arial" w:eastAsia="DengXian" w:hAnsi="Arial" w:cs="Arial"/>
          <w:kern w:val="2"/>
          <w:sz w:val="18"/>
          <w:szCs w:val="18"/>
        </w:rPr>
      </w:pPr>
    </w:p>
    <w:p w14:paraId="71881131" w14:textId="77777777" w:rsidR="00AD12DD" w:rsidRPr="00D615DF" w:rsidRDefault="00AD12DD" w:rsidP="00D615DF">
      <w:pPr>
        <w:spacing w:after="0" w:line="240" w:lineRule="auto"/>
        <w:jc w:val="both"/>
        <w:rPr>
          <w:rFonts w:ascii="Arial" w:eastAsia="DengXian" w:hAnsi="Arial" w:cs="Arial"/>
          <w:b/>
          <w:bCs/>
          <w:kern w:val="2"/>
          <w:lang w:eastAsia="zh-CN"/>
        </w:rPr>
      </w:pPr>
      <w:r w:rsidRPr="00D615DF">
        <w:rPr>
          <w:rFonts w:ascii="Arial" w:eastAsia="DengXian" w:hAnsi="Arial" w:cs="Arial"/>
          <w:b/>
          <w:bCs/>
          <w:kern w:val="2"/>
          <w:lang w:eastAsia="zh-CN"/>
        </w:rPr>
        <w:t>2.5 Data Collection Methods</w:t>
      </w:r>
    </w:p>
    <w:p w14:paraId="102ABC2A" w14:textId="77777777" w:rsidR="00AD12DD" w:rsidRPr="00D615DF" w:rsidRDefault="00AD12DD" w:rsidP="00D615DF">
      <w:pPr>
        <w:spacing w:after="0" w:line="240" w:lineRule="auto"/>
        <w:jc w:val="both"/>
        <w:rPr>
          <w:rFonts w:ascii="Arial" w:eastAsia="DengXian" w:hAnsi="Arial" w:cs="Arial"/>
          <w:b/>
          <w:bCs/>
          <w:kern w:val="2"/>
          <w:sz w:val="18"/>
          <w:szCs w:val="18"/>
          <w:lang w:eastAsia="zh-CN"/>
        </w:rPr>
      </w:pPr>
    </w:p>
    <w:p w14:paraId="0C08824F" w14:textId="77777777"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Data collection was conducted using paper-based questionnaires. Data entry, sorting, cleaning, and verification were done in MS Excel, and analysis was done in Stata version 18. Each </w:t>
      </w:r>
      <w:r w:rsidRPr="00D615DF">
        <w:rPr>
          <w:rFonts w:ascii="Arial" w:eastAsia="DengXian" w:hAnsi="Arial" w:cs="Arial"/>
          <w:kern w:val="2"/>
          <w:sz w:val="20"/>
          <w:szCs w:val="20"/>
          <w:lang w:eastAsia="zh-CN"/>
        </w:rPr>
        <w:lastRenderedPageBreak/>
        <w:t xml:space="preserve">participant was assigned an identity number to ensure accurate tracking and avoid duplication. The database was scrutinized for errors stemming from flawed measurements or data entry mistakes. Quantitative data were gathered using five-point Likert scale statements to facilitate analytical insights. </w:t>
      </w:r>
    </w:p>
    <w:p w14:paraId="45703C38" w14:textId="77777777" w:rsidR="00AD12DD" w:rsidRPr="00D615DF" w:rsidRDefault="00AD12DD" w:rsidP="00D615DF">
      <w:pPr>
        <w:spacing w:after="0" w:line="240" w:lineRule="auto"/>
        <w:jc w:val="both"/>
        <w:rPr>
          <w:rFonts w:ascii="Arial" w:eastAsia="DengXian" w:hAnsi="Arial" w:cs="Arial"/>
          <w:kern w:val="2"/>
          <w:sz w:val="20"/>
          <w:szCs w:val="20"/>
          <w:lang w:eastAsia="zh-CN"/>
        </w:rPr>
      </w:pPr>
    </w:p>
    <w:p w14:paraId="3D7BCDC4" w14:textId="77777777" w:rsidR="00AD12DD" w:rsidRPr="00D615DF" w:rsidRDefault="00AD12DD" w:rsidP="00D615DF">
      <w:pPr>
        <w:spacing w:after="0" w:line="240" w:lineRule="auto"/>
        <w:jc w:val="both"/>
        <w:rPr>
          <w:rFonts w:ascii="Arial" w:eastAsia="DengXian" w:hAnsi="Arial" w:cs="Arial"/>
          <w:b/>
          <w:bCs/>
          <w:kern w:val="2"/>
          <w:lang w:eastAsia="zh-CN"/>
        </w:rPr>
      </w:pPr>
      <w:r w:rsidRPr="00D615DF">
        <w:rPr>
          <w:rFonts w:ascii="Arial" w:eastAsia="DengXian" w:hAnsi="Arial" w:cs="Arial"/>
          <w:b/>
          <w:bCs/>
          <w:kern w:val="2"/>
          <w:lang w:eastAsia="zh-CN"/>
        </w:rPr>
        <w:t>2.6 Data Analysis Techniques</w:t>
      </w:r>
    </w:p>
    <w:p w14:paraId="3DAFA727" w14:textId="77777777" w:rsidR="00AD12DD" w:rsidRPr="00D615DF" w:rsidRDefault="00AD12DD" w:rsidP="00D615DF">
      <w:pPr>
        <w:spacing w:after="0" w:line="240" w:lineRule="auto"/>
        <w:jc w:val="both"/>
        <w:rPr>
          <w:rFonts w:ascii="Arial" w:eastAsia="DengXian" w:hAnsi="Arial" w:cs="Arial"/>
          <w:b/>
          <w:bCs/>
          <w:kern w:val="2"/>
          <w:sz w:val="20"/>
          <w:szCs w:val="20"/>
          <w:lang w:eastAsia="zh-CN"/>
        </w:rPr>
      </w:pPr>
    </w:p>
    <w:p w14:paraId="5191B377" w14:textId="77777777"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The study performed a quantitative analysis. The outcome variable was nutrition practice, while the independent variables were factors expected to influence the students’ choice of dietary intakes. These were taste, color, bandwagon, what is available at the canteen, what is consumed at home, and what the student is used to eating at home. The study aimed to estimate the average food diet regression line, predicting the factors that influence the choice of food diet at the canteen. Therefore, a multiple linear regression was performed under two key assumptions. The first assumption was the linearity of the dependent variable (nutrition diet) and the normality of the error terms (zero mean and constant variance of the error term). </w:t>
      </w:r>
    </w:p>
    <w:p w14:paraId="02AE39E1" w14:textId="77777777" w:rsidR="00AD12DD" w:rsidRPr="00D615DF" w:rsidRDefault="00AD12DD" w:rsidP="00D615DF">
      <w:pPr>
        <w:spacing w:after="0" w:line="240" w:lineRule="auto"/>
        <w:jc w:val="both"/>
        <w:rPr>
          <w:rFonts w:ascii="Arial" w:eastAsia="DengXian" w:hAnsi="Arial" w:cs="Arial"/>
          <w:kern w:val="2"/>
          <w:sz w:val="16"/>
          <w:szCs w:val="16"/>
          <w:lang w:eastAsia="zh-CN"/>
        </w:rPr>
      </w:pPr>
    </w:p>
    <w:p w14:paraId="2E1A526F" w14:textId="206DA27D"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w:t>
      </w:r>
    </w:p>
    <w:p w14:paraId="42D941AB" w14:textId="20124965" w:rsidR="00AD12DD" w:rsidRPr="00D615DF" w:rsidRDefault="00AD12DD" w:rsidP="00D615DF">
      <w:pPr>
        <w:pStyle w:val="Heading2"/>
        <w:rPr>
          <w:rFonts w:eastAsia="DengXian"/>
          <w:lang w:eastAsia="zh-CN"/>
        </w:rPr>
      </w:pPr>
      <w:r w:rsidRPr="00D615DF">
        <w:rPr>
          <w:rFonts w:eastAsia="DengXian"/>
          <w:lang w:eastAsia="zh-CN"/>
        </w:rPr>
        <w:t>3. RESULTS AND DISCUSSION</w:t>
      </w:r>
    </w:p>
    <w:p w14:paraId="43AAAE67" w14:textId="77777777" w:rsidR="00AD12DD" w:rsidRPr="00D615DF" w:rsidRDefault="00AD12DD" w:rsidP="00D615DF">
      <w:pPr>
        <w:spacing w:after="0" w:line="240" w:lineRule="auto"/>
        <w:ind w:left="720"/>
        <w:jc w:val="both"/>
        <w:rPr>
          <w:rFonts w:ascii="Arial" w:eastAsia="DengXian" w:hAnsi="Arial" w:cs="Arial"/>
          <w:b/>
          <w:bCs/>
          <w:kern w:val="2"/>
          <w:sz w:val="20"/>
          <w:szCs w:val="20"/>
          <w:lang w:eastAsia="zh-CN"/>
        </w:rPr>
      </w:pPr>
    </w:p>
    <w:p w14:paraId="23B912B1" w14:textId="3B7F9C69" w:rsidR="00AD12DD" w:rsidRPr="00D615DF" w:rsidRDefault="00AD12DD" w:rsidP="00D615DF">
      <w:pPr>
        <w:spacing w:after="0" w:line="240" w:lineRule="auto"/>
        <w:ind w:left="450" w:hanging="450"/>
        <w:jc w:val="both"/>
        <w:rPr>
          <w:rFonts w:ascii="Arial" w:eastAsia="DengXian" w:hAnsi="Arial" w:cs="Arial"/>
          <w:b/>
          <w:bCs/>
          <w:kern w:val="2"/>
          <w:lang w:eastAsia="zh-CN"/>
        </w:rPr>
      </w:pPr>
      <w:r w:rsidRPr="00D615DF">
        <w:rPr>
          <w:rFonts w:ascii="Arial" w:eastAsia="DengXian" w:hAnsi="Arial" w:cs="Arial"/>
          <w:b/>
          <w:bCs/>
          <w:kern w:val="2"/>
          <w:lang w:eastAsia="zh-CN"/>
        </w:rPr>
        <w:t>3.1</w:t>
      </w:r>
      <w:r w:rsidR="000E42FC" w:rsidRPr="00D615DF">
        <w:rPr>
          <w:rFonts w:ascii="Arial" w:eastAsia="DengXian" w:hAnsi="Arial" w:cs="Arial"/>
          <w:b/>
          <w:bCs/>
          <w:kern w:val="2"/>
          <w:lang w:eastAsia="zh-CN"/>
        </w:rPr>
        <w:tab/>
      </w:r>
      <w:r w:rsidRPr="00D615DF">
        <w:rPr>
          <w:rFonts w:ascii="Arial" w:eastAsia="DengXian" w:hAnsi="Arial" w:cs="Arial"/>
          <w:b/>
          <w:bCs/>
          <w:kern w:val="2"/>
          <w:lang w:eastAsia="zh-CN"/>
        </w:rPr>
        <w:t>Demographic Profile for the Adolescents</w:t>
      </w:r>
    </w:p>
    <w:p w14:paraId="19C07A47" w14:textId="77777777" w:rsidR="00AD12DD" w:rsidRPr="00D615DF" w:rsidRDefault="00AD12DD" w:rsidP="00D615DF">
      <w:pPr>
        <w:spacing w:after="0" w:line="240" w:lineRule="auto"/>
        <w:jc w:val="both"/>
        <w:rPr>
          <w:rFonts w:ascii="Arial" w:eastAsia="DengXian" w:hAnsi="Arial" w:cs="Arial"/>
          <w:b/>
          <w:bCs/>
          <w:kern w:val="2"/>
          <w:sz w:val="20"/>
          <w:szCs w:val="20"/>
          <w:lang w:eastAsia="zh-CN"/>
        </w:rPr>
      </w:pPr>
    </w:p>
    <w:p w14:paraId="0E0ED46A" w14:textId="77777777"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The study comprised adolescents primarily aged 14–16 years (middle adolescence), who constituted the largest proportion of participants (71%), followed by those aged 17–19 years (22%), and a smaller group aged 10–13 years (7%). Females represented a greater share of the sample (59%) compared to males (41%), indicating a fairly balanced but female-leaning distribution. Participants were almost evenly drawn across lower secondary school classes, with 35% in Senior Three (S.3), 34% in Senior One (S.1), and 31% in Senior Two (S.2). Overall, the demographic distribution reflects adequate representation across gender, age brackets, and school classes, providing a diverse sample suitable for understanding adolescent nutrition-related behaviors.</w:t>
      </w:r>
    </w:p>
    <w:p w14:paraId="05466994" w14:textId="77777777" w:rsidR="000E42FC" w:rsidRPr="00D615DF" w:rsidRDefault="000E42FC" w:rsidP="00D615DF">
      <w:pPr>
        <w:spacing w:after="0" w:line="240" w:lineRule="auto"/>
        <w:jc w:val="both"/>
        <w:rPr>
          <w:rFonts w:ascii="Arial" w:eastAsia="DengXian" w:hAnsi="Arial" w:cs="Arial"/>
          <w:kern w:val="2"/>
          <w:sz w:val="20"/>
          <w:szCs w:val="20"/>
          <w:lang w:eastAsia="zh-CN"/>
        </w:rPr>
      </w:pPr>
    </w:p>
    <w:p w14:paraId="1C32DCB9" w14:textId="1F1CB231" w:rsidR="000E42FC" w:rsidRPr="00D615DF" w:rsidRDefault="000E42FC" w:rsidP="00D615DF">
      <w:pPr>
        <w:spacing w:after="0" w:line="240" w:lineRule="auto"/>
        <w:ind w:left="450" w:hanging="450"/>
        <w:jc w:val="both"/>
        <w:rPr>
          <w:rFonts w:ascii="Arial" w:eastAsia="DengXian" w:hAnsi="Arial" w:cs="Arial"/>
          <w:b/>
          <w:bCs/>
          <w:kern w:val="2"/>
          <w:lang w:eastAsia="zh-CN"/>
        </w:rPr>
      </w:pPr>
      <w:r w:rsidRPr="00D615DF">
        <w:rPr>
          <w:rFonts w:ascii="Arial" w:eastAsia="DengXian" w:hAnsi="Arial" w:cs="Arial"/>
          <w:b/>
          <w:bCs/>
          <w:kern w:val="2"/>
          <w:lang w:eastAsia="zh-CN"/>
        </w:rPr>
        <w:t>3.2</w:t>
      </w:r>
      <w:r w:rsidRPr="00D615DF">
        <w:rPr>
          <w:rFonts w:ascii="Arial" w:eastAsia="DengXian" w:hAnsi="Arial" w:cs="Arial"/>
          <w:b/>
          <w:bCs/>
          <w:kern w:val="2"/>
          <w:lang w:eastAsia="zh-CN"/>
        </w:rPr>
        <w:tab/>
        <w:t>Assessment of Linearity, Homo-</w:t>
      </w:r>
      <w:proofErr w:type="spellStart"/>
      <w:r w:rsidRPr="00D615DF">
        <w:rPr>
          <w:rFonts w:ascii="Arial" w:eastAsia="DengXian" w:hAnsi="Arial" w:cs="Arial"/>
          <w:b/>
          <w:bCs/>
          <w:kern w:val="2"/>
          <w:lang w:eastAsia="zh-CN"/>
        </w:rPr>
        <w:t>scedasticity</w:t>
      </w:r>
      <w:proofErr w:type="spellEnd"/>
      <w:r w:rsidRPr="00D615DF">
        <w:rPr>
          <w:rFonts w:ascii="Arial" w:eastAsia="DengXian" w:hAnsi="Arial" w:cs="Arial"/>
          <w:b/>
          <w:bCs/>
          <w:kern w:val="2"/>
          <w:lang w:eastAsia="zh-CN"/>
        </w:rPr>
        <w:t>, and Normality of Residual</w:t>
      </w:r>
    </w:p>
    <w:p w14:paraId="664A560F" w14:textId="77777777" w:rsidR="000E42FC" w:rsidRPr="00D615DF" w:rsidRDefault="000E42FC" w:rsidP="00D615DF">
      <w:pPr>
        <w:spacing w:after="0" w:line="240" w:lineRule="auto"/>
        <w:jc w:val="both"/>
        <w:rPr>
          <w:rFonts w:ascii="Arial" w:eastAsia="DengXian" w:hAnsi="Arial" w:cs="Arial"/>
          <w:b/>
          <w:bCs/>
          <w:kern w:val="2"/>
          <w:sz w:val="20"/>
          <w:szCs w:val="20"/>
          <w:lang w:eastAsia="zh-CN"/>
        </w:rPr>
      </w:pPr>
    </w:p>
    <w:p w14:paraId="537878AC" w14:textId="04E880E5" w:rsidR="002761F2" w:rsidRPr="00D615DF" w:rsidRDefault="000E42FC"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The residual versus fitted plot, as seen in Fig. </w:t>
      </w:r>
      <w:r w:rsidRPr="00D615DF">
        <w:rPr>
          <w:rFonts w:ascii="Arial" w:eastAsia="DengXian" w:hAnsi="Arial" w:cs="Arial"/>
          <w:noProof/>
          <w:kern w:val="2"/>
          <w:sz w:val="20"/>
          <w:szCs w:val="20"/>
          <w:lang w:eastAsia="zh-CN"/>
        </w:rPr>
        <w:t>1</w:t>
      </w:r>
      <w:r w:rsidRPr="00D615DF">
        <w:rPr>
          <w:rFonts w:ascii="Arial" w:eastAsia="DengXian" w:hAnsi="Arial" w:cs="Arial"/>
          <w:kern w:val="2"/>
          <w:sz w:val="20"/>
          <w:szCs w:val="20"/>
          <w:lang w:eastAsia="zh-CN"/>
        </w:rPr>
        <w:t xml:space="preserve"> indicates no observable pattern, an indication that linearity could be reasonable. Secondly, the plot shows an even spread of points across a range of fitted values, omitting the violation of heteroskedasticity. Also, although a few                   points fall far from zero, they are not so extreme as to suggest possible identifier and outlier values. </w:t>
      </w:r>
    </w:p>
    <w:p w14:paraId="35CD7CCD" w14:textId="77777777" w:rsidR="002761F2" w:rsidRPr="00D615DF" w:rsidRDefault="002761F2" w:rsidP="00D615DF">
      <w:pPr>
        <w:spacing w:after="0" w:line="240" w:lineRule="auto"/>
        <w:jc w:val="both"/>
        <w:rPr>
          <w:rFonts w:ascii="Arial" w:eastAsia="DengXian" w:hAnsi="Arial" w:cs="Arial"/>
          <w:kern w:val="2"/>
          <w:sz w:val="20"/>
          <w:szCs w:val="20"/>
          <w:lang w:eastAsia="zh-CN"/>
        </w:rPr>
      </w:pPr>
    </w:p>
    <w:p w14:paraId="72F6449F" w14:textId="77777777" w:rsidR="002761F2" w:rsidRPr="00D615DF" w:rsidRDefault="002761F2"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The normality test was conducted with the aid of the histogram of the residuals. This test was conducted under the null hypothesis that the residuals were normally distributed against non-normality for the alternative. A clear observation of Fig. </w:t>
      </w:r>
      <w:r w:rsidRPr="00D615DF">
        <w:rPr>
          <w:rFonts w:ascii="Arial" w:eastAsia="DengXian" w:hAnsi="Arial" w:cs="Arial"/>
          <w:noProof/>
          <w:kern w:val="2"/>
          <w:sz w:val="20"/>
          <w:szCs w:val="20"/>
          <w:lang w:eastAsia="zh-CN"/>
        </w:rPr>
        <w:t>2</w:t>
      </w:r>
      <w:r w:rsidRPr="00D615DF">
        <w:rPr>
          <w:rFonts w:ascii="Arial" w:eastAsia="DengXian" w:hAnsi="Arial" w:cs="Arial"/>
          <w:kern w:val="2"/>
          <w:sz w:val="20"/>
          <w:szCs w:val="20"/>
          <w:lang w:eastAsia="zh-CN"/>
        </w:rPr>
        <w:t xml:space="preserve"> shows that the residuals are roughly bell-shaped, suggesting symmetry. Also, the normal curve aligns well with the bars, implying the residuals follow the normal pattern closely. The whole Fig. </w:t>
      </w:r>
      <w:r w:rsidRPr="00D615DF">
        <w:rPr>
          <w:rFonts w:ascii="Arial" w:eastAsia="DengXian" w:hAnsi="Arial" w:cs="Arial"/>
          <w:noProof/>
          <w:kern w:val="2"/>
          <w:sz w:val="20"/>
          <w:szCs w:val="20"/>
          <w:lang w:eastAsia="zh-CN"/>
        </w:rPr>
        <w:t>2</w:t>
      </w:r>
      <w:r w:rsidRPr="00D615DF">
        <w:rPr>
          <w:rFonts w:ascii="Arial" w:eastAsia="DengXian" w:hAnsi="Arial" w:cs="Arial"/>
          <w:kern w:val="2"/>
          <w:sz w:val="20"/>
          <w:szCs w:val="20"/>
          <w:lang w:eastAsia="zh-CN"/>
        </w:rPr>
        <w:t xml:space="preserve"> does not indicate any form of skewness in the tails and kurtosis on the peaks and dips of the residual curve. </w:t>
      </w:r>
    </w:p>
    <w:p w14:paraId="050C0C83" w14:textId="77777777" w:rsidR="002761F2" w:rsidRPr="00D615DF" w:rsidRDefault="002761F2" w:rsidP="00D615DF">
      <w:pPr>
        <w:spacing w:after="0" w:line="240" w:lineRule="auto"/>
        <w:jc w:val="both"/>
        <w:rPr>
          <w:rFonts w:ascii="Arial" w:eastAsia="DengXian" w:hAnsi="Arial" w:cs="Arial"/>
          <w:kern w:val="2"/>
          <w:sz w:val="20"/>
          <w:szCs w:val="20"/>
          <w:lang w:eastAsia="zh-CN"/>
        </w:rPr>
      </w:pPr>
    </w:p>
    <w:p w14:paraId="4351161D" w14:textId="77777777" w:rsidR="002761F2" w:rsidRPr="00D615DF" w:rsidRDefault="002761F2" w:rsidP="00D615DF">
      <w:pPr>
        <w:spacing w:after="0" w:line="240" w:lineRule="auto"/>
        <w:ind w:left="450" w:hanging="450"/>
        <w:jc w:val="both"/>
        <w:rPr>
          <w:rFonts w:ascii="Arial" w:eastAsia="DengXian" w:hAnsi="Arial" w:cs="Arial"/>
          <w:b/>
          <w:bCs/>
          <w:kern w:val="2"/>
          <w:lang w:eastAsia="zh-CN"/>
        </w:rPr>
      </w:pPr>
      <w:r w:rsidRPr="00D615DF">
        <w:rPr>
          <w:rFonts w:ascii="Arial" w:eastAsia="DengXian" w:hAnsi="Arial" w:cs="Arial"/>
          <w:b/>
          <w:bCs/>
          <w:kern w:val="2"/>
          <w:lang w:eastAsia="zh-CN"/>
        </w:rPr>
        <w:t>3.3</w:t>
      </w:r>
      <w:r w:rsidRPr="00D615DF">
        <w:rPr>
          <w:rFonts w:ascii="Arial" w:eastAsia="DengXian" w:hAnsi="Arial" w:cs="Arial"/>
          <w:b/>
          <w:bCs/>
          <w:kern w:val="2"/>
          <w:lang w:eastAsia="zh-CN"/>
        </w:rPr>
        <w:tab/>
        <w:t>Regression Model for Predicting School Canteen Food Choices Among Adolescents</w:t>
      </w:r>
    </w:p>
    <w:p w14:paraId="18CA2C08" w14:textId="77777777" w:rsidR="002761F2" w:rsidRPr="00D615DF" w:rsidRDefault="002761F2" w:rsidP="00D615DF">
      <w:pPr>
        <w:spacing w:after="0" w:line="240" w:lineRule="auto"/>
        <w:jc w:val="both"/>
        <w:rPr>
          <w:rFonts w:ascii="Arial" w:eastAsia="DengXian" w:hAnsi="Arial" w:cs="Arial"/>
          <w:kern w:val="2"/>
          <w:sz w:val="20"/>
          <w:szCs w:val="20"/>
          <w:lang w:eastAsia="zh-CN"/>
        </w:rPr>
      </w:pPr>
    </w:p>
    <w:p w14:paraId="48A35EC1" w14:textId="4450F739" w:rsidR="002761F2" w:rsidRPr="00D615DF" w:rsidRDefault="002761F2" w:rsidP="00D615DF">
      <w:pPr>
        <w:spacing w:after="0" w:line="240" w:lineRule="auto"/>
        <w:jc w:val="both"/>
        <w:rPr>
          <w:rFonts w:ascii="Arial" w:eastAsia="DengXian" w:hAnsi="Arial" w:cs="Arial"/>
          <w:kern w:val="2"/>
          <w:sz w:val="20"/>
          <w:szCs w:val="20"/>
          <w:lang w:eastAsia="zh-CN"/>
        </w:rPr>
        <w:sectPr w:rsidR="002761F2" w:rsidRPr="00D615DF" w:rsidSect="000E42FC">
          <w:type w:val="continuous"/>
          <w:pgSz w:w="11909" w:h="16834" w:code="9"/>
          <w:pgMar w:top="1440" w:right="1440" w:bottom="1440" w:left="1440" w:header="720" w:footer="864" w:gutter="0"/>
          <w:cols w:num="2" w:space="288"/>
          <w:titlePg/>
          <w:docGrid w:linePitch="360"/>
        </w:sectPr>
      </w:pPr>
      <w:r w:rsidRPr="00D615DF">
        <w:rPr>
          <w:rFonts w:ascii="Arial" w:eastAsia="DengXian" w:hAnsi="Arial" w:cs="Arial"/>
          <w:kern w:val="2"/>
          <w:sz w:val="20"/>
          <w:szCs w:val="20"/>
          <w:lang w:eastAsia="zh-CN"/>
        </w:rPr>
        <w:t>The coefficient of determination indicates that approximately 3% of the variation in the nutrition practices is explained by variation in the considered factors. The regression coefficient suggests that if the taste of food goes up by one unit, the average nutrition practices would go up by about 4% (</w:t>
      </w:r>
      <w:proofErr w:type="spellStart"/>
      <w:r w:rsidRPr="00D615DF">
        <w:rPr>
          <w:rFonts w:ascii="Arial" w:eastAsia="DengXian" w:hAnsi="Arial" w:cs="Arial"/>
          <w:kern w:val="2"/>
          <w:sz w:val="20"/>
          <w:szCs w:val="20"/>
          <w:lang w:eastAsia="zh-CN"/>
        </w:rPr>
        <w:t>Coef</w:t>
      </w:r>
      <w:proofErr w:type="spellEnd"/>
      <w:r w:rsidRPr="00D615DF">
        <w:rPr>
          <w:rFonts w:ascii="Arial" w:eastAsia="DengXian" w:hAnsi="Arial" w:cs="Arial"/>
          <w:kern w:val="2"/>
          <w:sz w:val="20"/>
          <w:szCs w:val="20"/>
          <w:lang w:eastAsia="zh-CN"/>
        </w:rPr>
        <w:t xml:space="preserve"> = </w:t>
      </w:r>
      <w:r w:rsidRPr="00D615DF">
        <w:rPr>
          <w:rFonts w:ascii="Arial" w:eastAsia="DengXian" w:hAnsi="Arial" w:cs="Arial"/>
          <w:sz w:val="20"/>
          <w:szCs w:val="20"/>
          <w:lang w:eastAsia="zh-CN"/>
        </w:rPr>
        <w:t>.037</w:t>
      </w:r>
      <w:r w:rsidRPr="00D615DF">
        <w:rPr>
          <w:rFonts w:ascii="Arial" w:eastAsia="DengXian" w:hAnsi="Arial" w:cs="Arial"/>
          <w:kern w:val="2"/>
          <w:sz w:val="20"/>
          <w:szCs w:val="20"/>
          <w:lang w:eastAsia="zh-CN"/>
        </w:rPr>
        <w:t xml:space="preserve">, SE = </w:t>
      </w:r>
      <w:r w:rsidRPr="00D615DF">
        <w:rPr>
          <w:rFonts w:ascii="Arial" w:eastAsia="DengXian" w:hAnsi="Arial" w:cs="Arial"/>
          <w:sz w:val="20"/>
          <w:szCs w:val="20"/>
          <w:lang w:eastAsia="zh-CN"/>
        </w:rPr>
        <w:t>.017</w:t>
      </w:r>
      <w:r w:rsidRPr="00D615DF">
        <w:rPr>
          <w:rFonts w:ascii="Arial" w:eastAsia="DengXian" w:hAnsi="Arial" w:cs="Arial"/>
          <w:kern w:val="2"/>
          <w:sz w:val="20"/>
          <w:szCs w:val="20"/>
          <w:lang w:eastAsia="zh-CN"/>
        </w:rPr>
        <w:t xml:space="preserve">, t = </w:t>
      </w:r>
      <w:r w:rsidRPr="00D615DF">
        <w:rPr>
          <w:rFonts w:ascii="Arial" w:eastAsia="DengXian" w:hAnsi="Arial" w:cs="Arial"/>
          <w:sz w:val="20"/>
          <w:szCs w:val="20"/>
          <w:lang w:eastAsia="zh-CN"/>
        </w:rPr>
        <w:t>2.18</w:t>
      </w:r>
      <w:r w:rsidRPr="00D615DF">
        <w:rPr>
          <w:rFonts w:ascii="Arial" w:eastAsia="DengXian" w:hAnsi="Arial" w:cs="Arial"/>
          <w:kern w:val="2"/>
          <w:sz w:val="20"/>
          <w:szCs w:val="20"/>
          <w:lang w:eastAsia="zh-CN"/>
        </w:rPr>
        <w:t>, p &lt; 0.01, 95% CI [</w:t>
      </w:r>
      <w:r w:rsidRPr="00D615DF">
        <w:rPr>
          <w:rFonts w:ascii="Arial" w:eastAsia="DengXian" w:hAnsi="Arial" w:cs="Arial"/>
          <w:sz w:val="20"/>
          <w:szCs w:val="20"/>
          <w:lang w:eastAsia="zh-CN"/>
        </w:rPr>
        <w:t>.004</w:t>
      </w:r>
      <w:r w:rsidRPr="00D615DF">
        <w:rPr>
          <w:rFonts w:ascii="Arial" w:eastAsia="DengXian" w:hAnsi="Arial" w:cs="Arial"/>
          <w:kern w:val="2"/>
          <w:sz w:val="20"/>
          <w:szCs w:val="20"/>
          <w:lang w:eastAsia="zh-CN"/>
        </w:rPr>
        <w:t xml:space="preserve">, </w:t>
      </w:r>
      <w:r w:rsidRPr="00D615DF">
        <w:rPr>
          <w:rFonts w:ascii="Arial" w:eastAsia="DengXian" w:hAnsi="Arial" w:cs="Arial"/>
          <w:sz w:val="20"/>
          <w:szCs w:val="20"/>
          <w:lang w:eastAsia="zh-CN"/>
        </w:rPr>
        <w:t>.07</w:t>
      </w:r>
      <w:r w:rsidRPr="00D615DF">
        <w:rPr>
          <w:rFonts w:ascii="Arial" w:eastAsia="DengXian" w:hAnsi="Arial" w:cs="Arial"/>
          <w:kern w:val="2"/>
          <w:sz w:val="20"/>
          <w:szCs w:val="20"/>
          <w:lang w:eastAsia="zh-CN"/>
        </w:rPr>
        <w:t xml:space="preserve">]). Consistent with the previous findings, the taste of the item sold at the canteen is crucial in detecting nutritional diet intakes. For instance, </w:t>
      </w:r>
      <w:r w:rsidRPr="00D615DF">
        <w:rPr>
          <w:rFonts w:ascii="Arial" w:eastAsia="DengXian" w:hAnsi="Arial" w:cs="Arial"/>
          <w:noProof/>
          <w:kern w:val="2"/>
          <w:sz w:val="20"/>
          <w:szCs w:val="20"/>
          <w:lang w:eastAsia="zh-CN"/>
        </w:rPr>
        <w:t>Fagerberg et al. (2019)</w:t>
      </w:r>
      <w:r w:rsidRPr="00D615DF">
        <w:rPr>
          <w:rFonts w:ascii="Arial" w:eastAsia="DengXian" w:hAnsi="Arial" w:cs="Arial"/>
          <w:kern w:val="2"/>
          <w:sz w:val="20"/>
          <w:szCs w:val="20"/>
          <w:lang w:eastAsia="zh-CN"/>
        </w:rPr>
        <w:t xml:space="preserve"> found that food taste is a significant predictor for variations in food intake among adolescents at canteens. </w:t>
      </w:r>
      <w:r w:rsidRPr="00D615DF">
        <w:rPr>
          <w:rFonts w:ascii="Arial" w:eastAsia="DengXian" w:hAnsi="Arial" w:cs="Arial"/>
          <w:noProof/>
          <w:kern w:val="2"/>
          <w:sz w:val="20"/>
          <w:szCs w:val="20"/>
          <w:lang w:eastAsia="zh-CN"/>
        </w:rPr>
        <w:t>van Kleef et al. (2019)</w:t>
      </w:r>
      <w:r w:rsidRPr="00D615DF">
        <w:rPr>
          <w:rFonts w:ascii="Arial" w:eastAsia="DengXian" w:hAnsi="Arial" w:cs="Arial"/>
          <w:kern w:val="2"/>
          <w:sz w:val="20"/>
          <w:szCs w:val="20"/>
          <w:lang w:eastAsia="zh-CN"/>
        </w:rPr>
        <w:t xml:space="preserve"> added that unhealthy snacks in the canteen are more appealing and have better taste than healthy foods.  Moving on, results indicated that when available items go up by one unit, the nutrition practices improve by 4 percent, leaving other factors constant (</w:t>
      </w:r>
      <w:proofErr w:type="spellStart"/>
      <w:r w:rsidRPr="00D615DF">
        <w:rPr>
          <w:rFonts w:ascii="Arial" w:eastAsia="DengXian" w:hAnsi="Arial" w:cs="Arial"/>
          <w:kern w:val="2"/>
          <w:sz w:val="20"/>
          <w:szCs w:val="20"/>
          <w:lang w:eastAsia="zh-CN"/>
        </w:rPr>
        <w:t>Coef</w:t>
      </w:r>
      <w:proofErr w:type="spellEnd"/>
      <w:r w:rsidRPr="00D615DF">
        <w:rPr>
          <w:rFonts w:ascii="Arial" w:eastAsia="DengXian" w:hAnsi="Arial" w:cs="Arial"/>
          <w:kern w:val="2"/>
          <w:sz w:val="20"/>
          <w:szCs w:val="20"/>
          <w:lang w:eastAsia="zh-CN"/>
        </w:rPr>
        <w:t xml:space="preserve"> = </w:t>
      </w:r>
      <w:r w:rsidRPr="00D615DF">
        <w:rPr>
          <w:rFonts w:ascii="Arial" w:eastAsia="DengXian" w:hAnsi="Arial" w:cs="Arial"/>
          <w:sz w:val="20"/>
          <w:szCs w:val="20"/>
          <w:lang w:eastAsia="zh-CN"/>
        </w:rPr>
        <w:t>.04</w:t>
      </w:r>
      <w:r w:rsidRPr="00D615DF">
        <w:rPr>
          <w:rFonts w:ascii="Arial" w:eastAsia="DengXian" w:hAnsi="Arial" w:cs="Arial"/>
          <w:kern w:val="2"/>
          <w:sz w:val="20"/>
          <w:szCs w:val="20"/>
          <w:lang w:eastAsia="zh-CN"/>
        </w:rPr>
        <w:t xml:space="preserve">, SE = </w:t>
      </w:r>
      <w:r w:rsidRPr="00D615DF">
        <w:rPr>
          <w:rFonts w:ascii="Arial" w:eastAsia="DengXian" w:hAnsi="Arial" w:cs="Arial"/>
          <w:sz w:val="20"/>
          <w:szCs w:val="20"/>
          <w:lang w:eastAsia="zh-CN"/>
        </w:rPr>
        <w:t>.</w:t>
      </w:r>
      <w:proofErr w:type="gramStart"/>
      <w:r w:rsidRPr="00D615DF">
        <w:rPr>
          <w:rFonts w:ascii="Arial" w:eastAsia="DengXian" w:hAnsi="Arial" w:cs="Arial"/>
          <w:sz w:val="20"/>
          <w:szCs w:val="20"/>
          <w:lang w:eastAsia="zh-CN"/>
        </w:rPr>
        <w:t>017</w:t>
      </w:r>
      <w:r w:rsidRPr="00D615DF">
        <w:rPr>
          <w:rFonts w:ascii="Arial" w:eastAsia="DengXian" w:hAnsi="Arial" w:cs="Arial"/>
          <w:kern w:val="2"/>
          <w:sz w:val="20"/>
          <w:szCs w:val="20"/>
          <w:lang w:eastAsia="zh-CN"/>
        </w:rPr>
        <w:t xml:space="preserve">,   </w:t>
      </w:r>
      <w:proofErr w:type="gramEnd"/>
      <w:r w:rsidRPr="00D615DF">
        <w:rPr>
          <w:rFonts w:ascii="Arial" w:eastAsia="DengXian" w:hAnsi="Arial" w:cs="Arial"/>
          <w:kern w:val="2"/>
          <w:sz w:val="20"/>
          <w:szCs w:val="20"/>
          <w:lang w:eastAsia="zh-CN"/>
        </w:rPr>
        <w:t xml:space="preserve">             t = </w:t>
      </w:r>
      <w:r w:rsidRPr="00D615DF">
        <w:rPr>
          <w:rFonts w:ascii="Arial" w:eastAsia="DengXian" w:hAnsi="Arial" w:cs="Arial"/>
          <w:sz w:val="20"/>
          <w:szCs w:val="20"/>
          <w:lang w:eastAsia="zh-CN"/>
        </w:rPr>
        <w:t>2.36</w:t>
      </w:r>
      <w:r w:rsidRPr="00D615DF">
        <w:rPr>
          <w:rFonts w:ascii="Arial" w:eastAsia="DengXian" w:hAnsi="Arial" w:cs="Arial"/>
          <w:kern w:val="2"/>
          <w:sz w:val="20"/>
          <w:szCs w:val="20"/>
          <w:lang w:eastAsia="zh-CN"/>
        </w:rPr>
        <w:t xml:space="preserve">, p &lt; 0.01, 95% CI </w:t>
      </w:r>
      <w:r w:rsidRPr="00D615DF">
        <w:rPr>
          <w:rFonts w:ascii="Arial" w:eastAsia="DengXian" w:hAnsi="Arial" w:cs="Arial"/>
          <w:sz w:val="20"/>
          <w:szCs w:val="20"/>
          <w:lang w:eastAsia="zh-CN"/>
        </w:rPr>
        <w:t>.007</w:t>
      </w:r>
      <w:r w:rsidRPr="00D615DF">
        <w:rPr>
          <w:rFonts w:ascii="Arial" w:eastAsia="DengXian" w:hAnsi="Arial" w:cs="Arial"/>
          <w:kern w:val="2"/>
          <w:sz w:val="20"/>
          <w:szCs w:val="20"/>
          <w:lang w:eastAsia="zh-CN"/>
        </w:rPr>
        <w:t xml:space="preserve">, </w:t>
      </w:r>
      <w:r w:rsidRPr="00D615DF">
        <w:rPr>
          <w:rFonts w:ascii="Arial" w:eastAsia="DengXian" w:hAnsi="Arial" w:cs="Arial"/>
          <w:sz w:val="20"/>
          <w:szCs w:val="20"/>
          <w:lang w:eastAsia="zh-CN"/>
        </w:rPr>
        <w:t>.073</w:t>
      </w:r>
      <w:r w:rsidRPr="00D615DF">
        <w:rPr>
          <w:rFonts w:ascii="Arial" w:eastAsia="DengXian" w:hAnsi="Arial" w:cs="Arial"/>
          <w:kern w:val="2"/>
          <w:sz w:val="20"/>
          <w:szCs w:val="20"/>
          <w:lang w:eastAsia="zh-CN"/>
        </w:rPr>
        <w:t>]).</w:t>
      </w:r>
      <w:r w:rsidR="00D615DF" w:rsidRPr="00D615DF">
        <w:rPr>
          <w:rFonts w:ascii="Arial" w:eastAsia="DengXian" w:hAnsi="Arial" w:cs="Arial"/>
          <w:kern w:val="2"/>
          <w:sz w:val="20"/>
          <w:szCs w:val="20"/>
          <w:lang w:eastAsia="zh-CN"/>
        </w:rPr>
        <w:t xml:space="preserve"> This is consistent with the argument advanced by </w:t>
      </w:r>
      <w:r w:rsidR="00D615DF" w:rsidRPr="00D615DF">
        <w:rPr>
          <w:rFonts w:ascii="Arial" w:eastAsia="DengXian" w:hAnsi="Arial" w:cs="Arial"/>
          <w:noProof/>
          <w:kern w:val="2"/>
          <w:sz w:val="20"/>
          <w:szCs w:val="20"/>
          <w:lang w:eastAsia="zh-CN"/>
        </w:rPr>
        <w:t>Lauren D Devine, Alison M Gallagher, et al. (2023)</w:t>
      </w:r>
      <w:r w:rsidR="00D615DF" w:rsidRPr="00D615DF">
        <w:rPr>
          <w:rFonts w:ascii="Arial" w:eastAsia="DengXian" w:hAnsi="Arial" w:cs="Arial"/>
          <w:kern w:val="2"/>
          <w:sz w:val="20"/>
          <w:szCs w:val="20"/>
          <w:lang w:eastAsia="zh-CN"/>
        </w:rPr>
        <w:t xml:space="preserve"> who reported that dietary intakes are determined by the prevailing setup of the canteens, such as queue length, seating availability, and food availability.</w:t>
      </w:r>
    </w:p>
    <w:p w14:paraId="43455CC9" w14:textId="77777777" w:rsidR="00D615DF" w:rsidRPr="00D615DF" w:rsidRDefault="00D615DF" w:rsidP="00D615DF">
      <w:pPr>
        <w:spacing w:after="0" w:line="240" w:lineRule="auto"/>
        <w:jc w:val="center"/>
        <w:rPr>
          <w:rFonts w:ascii="Arial" w:eastAsia="Times New Roman" w:hAnsi="Arial" w:cs="Arial"/>
          <w:b/>
          <w:bCs/>
          <w:sz w:val="20"/>
          <w:szCs w:val="20"/>
        </w:rPr>
      </w:pPr>
      <w:bookmarkStart w:id="1" w:name="_Toc206965187"/>
      <w:bookmarkStart w:id="2" w:name="_Hlk208422705"/>
    </w:p>
    <w:p w14:paraId="329D1381" w14:textId="2F35F003" w:rsidR="00AD12DD" w:rsidRPr="00AD12DD" w:rsidRDefault="00AD12DD" w:rsidP="00D615DF">
      <w:pPr>
        <w:spacing w:after="0" w:line="240" w:lineRule="auto"/>
        <w:jc w:val="center"/>
        <w:rPr>
          <w:rFonts w:ascii="Arial" w:eastAsia="Times New Roman" w:hAnsi="Arial" w:cs="Arial"/>
          <w:b/>
          <w:bCs/>
          <w:sz w:val="20"/>
          <w:szCs w:val="20"/>
        </w:rPr>
      </w:pPr>
      <w:r w:rsidRPr="00AD12DD">
        <w:rPr>
          <w:rFonts w:ascii="Arial" w:eastAsia="Times New Roman" w:hAnsi="Arial" w:cs="Arial"/>
          <w:b/>
          <w:bCs/>
          <w:sz w:val="20"/>
          <w:szCs w:val="20"/>
        </w:rPr>
        <w:lastRenderedPageBreak/>
        <w:t>Table 1</w:t>
      </w:r>
      <w:bookmarkStart w:id="3" w:name="_Hlk216384212"/>
      <w:r w:rsidR="000E42FC" w:rsidRPr="00D615DF">
        <w:rPr>
          <w:rFonts w:ascii="Arial" w:eastAsia="Times New Roman" w:hAnsi="Arial" w:cs="Arial"/>
          <w:b/>
          <w:bCs/>
          <w:sz w:val="20"/>
          <w:szCs w:val="20"/>
        </w:rPr>
        <w:t xml:space="preserve">. </w:t>
      </w:r>
      <w:r w:rsidRPr="00AD12DD">
        <w:rPr>
          <w:rFonts w:ascii="Arial" w:eastAsia="Times New Roman" w:hAnsi="Arial" w:cs="Arial"/>
          <w:b/>
          <w:bCs/>
          <w:sz w:val="20"/>
          <w:szCs w:val="20"/>
        </w:rPr>
        <w:t xml:space="preserve">Demographic </w:t>
      </w:r>
      <w:r w:rsidR="002761F2" w:rsidRPr="00D615DF">
        <w:rPr>
          <w:rFonts w:ascii="Arial" w:eastAsia="Times New Roman" w:hAnsi="Arial" w:cs="Arial"/>
          <w:b/>
          <w:bCs/>
          <w:sz w:val="20"/>
          <w:szCs w:val="20"/>
        </w:rPr>
        <w:t xml:space="preserve">profile for </w:t>
      </w:r>
      <w:bookmarkEnd w:id="1"/>
      <w:r w:rsidR="002761F2" w:rsidRPr="00D615DF">
        <w:rPr>
          <w:rFonts w:ascii="Arial" w:eastAsia="Times New Roman" w:hAnsi="Arial" w:cs="Arial"/>
          <w:b/>
          <w:bCs/>
          <w:sz w:val="20"/>
          <w:szCs w:val="20"/>
        </w:rPr>
        <w:t>the adolescents</w:t>
      </w:r>
      <w:bookmarkEnd w:id="3"/>
    </w:p>
    <w:p w14:paraId="4F01F914" w14:textId="77777777" w:rsidR="00AD12DD" w:rsidRPr="00AD12DD" w:rsidRDefault="00AD12DD" w:rsidP="00D615DF">
      <w:pPr>
        <w:spacing w:after="0" w:line="240" w:lineRule="auto"/>
        <w:jc w:val="both"/>
        <w:rPr>
          <w:rFonts w:ascii="Arial" w:eastAsia="Times New Roman" w:hAnsi="Arial" w:cs="Arial"/>
          <w:b/>
          <w:bCs/>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3600"/>
        <w:gridCol w:w="2134"/>
        <w:gridCol w:w="1870"/>
      </w:tblGrid>
      <w:tr w:rsidR="000E42FC" w:rsidRPr="00D615DF" w14:paraId="75FA6662" w14:textId="77777777" w:rsidTr="000E42FC">
        <w:trPr>
          <w:trHeight w:val="20"/>
          <w:jc w:val="center"/>
        </w:trPr>
        <w:tc>
          <w:tcPr>
            <w:tcW w:w="1456" w:type="dxa"/>
            <w:tcBorders>
              <w:bottom w:val="single" w:sz="4" w:space="0" w:color="auto"/>
            </w:tcBorders>
            <w:noWrap/>
            <w:hideMark/>
          </w:tcPr>
          <w:bookmarkEnd w:id="2"/>
          <w:p w14:paraId="19BD5D78" w14:textId="77777777" w:rsidR="00AD12DD" w:rsidRPr="00D615DF" w:rsidRDefault="00AD12DD" w:rsidP="00D615DF">
            <w:pPr>
              <w:rPr>
                <w:rFonts w:ascii="Arial" w:eastAsia="Times New Roman" w:hAnsi="Arial" w:cs="Arial"/>
                <w:b/>
                <w:bCs/>
                <w:color w:val="000000"/>
                <w:kern w:val="2"/>
                <w:lang w:eastAsia="zh-CN"/>
              </w:rPr>
            </w:pPr>
            <w:r w:rsidRPr="00D615DF">
              <w:rPr>
                <w:rFonts w:ascii="Arial" w:eastAsia="Times New Roman" w:hAnsi="Arial" w:cs="Arial"/>
                <w:b/>
                <w:bCs/>
                <w:color w:val="000000"/>
                <w:kern w:val="2"/>
                <w:lang w:eastAsia="zh-CN"/>
              </w:rPr>
              <w:t>Variable</w:t>
            </w:r>
          </w:p>
        </w:tc>
        <w:tc>
          <w:tcPr>
            <w:tcW w:w="3600" w:type="dxa"/>
            <w:tcBorders>
              <w:bottom w:val="single" w:sz="4" w:space="0" w:color="auto"/>
            </w:tcBorders>
            <w:noWrap/>
            <w:hideMark/>
          </w:tcPr>
          <w:p w14:paraId="10B778F9" w14:textId="77777777" w:rsidR="00AD12DD" w:rsidRPr="00D615DF" w:rsidRDefault="00AD12DD" w:rsidP="00D615DF">
            <w:pPr>
              <w:rPr>
                <w:rFonts w:ascii="Arial" w:eastAsia="Times New Roman" w:hAnsi="Arial" w:cs="Arial"/>
                <w:b/>
                <w:bCs/>
                <w:color w:val="000000"/>
                <w:kern w:val="2"/>
                <w:lang w:eastAsia="zh-CN"/>
              </w:rPr>
            </w:pPr>
            <w:r w:rsidRPr="00D615DF">
              <w:rPr>
                <w:rFonts w:ascii="Arial" w:eastAsia="Times New Roman" w:hAnsi="Arial" w:cs="Arial"/>
                <w:b/>
                <w:bCs/>
                <w:color w:val="000000"/>
                <w:kern w:val="2"/>
                <w:lang w:eastAsia="zh-CN"/>
              </w:rPr>
              <w:t>Category</w:t>
            </w:r>
          </w:p>
        </w:tc>
        <w:tc>
          <w:tcPr>
            <w:tcW w:w="2134" w:type="dxa"/>
            <w:tcBorders>
              <w:bottom w:val="single" w:sz="4" w:space="0" w:color="auto"/>
            </w:tcBorders>
            <w:noWrap/>
            <w:hideMark/>
          </w:tcPr>
          <w:p w14:paraId="69A89AA8" w14:textId="77777777" w:rsidR="00AD12DD" w:rsidRPr="00D615DF" w:rsidRDefault="00AD12DD" w:rsidP="00D615DF">
            <w:pPr>
              <w:rPr>
                <w:rFonts w:ascii="Arial" w:eastAsia="Times New Roman" w:hAnsi="Arial" w:cs="Arial"/>
                <w:b/>
                <w:bCs/>
                <w:color w:val="000000"/>
                <w:kern w:val="2"/>
                <w:lang w:eastAsia="zh-CN"/>
              </w:rPr>
            </w:pPr>
            <w:r w:rsidRPr="00D615DF">
              <w:rPr>
                <w:rFonts w:ascii="Arial" w:eastAsia="Times New Roman" w:hAnsi="Arial" w:cs="Arial"/>
                <w:b/>
                <w:bCs/>
                <w:color w:val="000000"/>
                <w:kern w:val="2"/>
                <w:lang w:eastAsia="zh-CN"/>
              </w:rPr>
              <w:t>Frequency (Freq.)</w:t>
            </w:r>
          </w:p>
        </w:tc>
        <w:tc>
          <w:tcPr>
            <w:tcW w:w="1870" w:type="dxa"/>
            <w:tcBorders>
              <w:bottom w:val="single" w:sz="4" w:space="0" w:color="auto"/>
            </w:tcBorders>
            <w:noWrap/>
            <w:hideMark/>
          </w:tcPr>
          <w:p w14:paraId="044213B3" w14:textId="77777777" w:rsidR="00AD12DD" w:rsidRPr="00D615DF" w:rsidRDefault="00AD12DD" w:rsidP="00D615DF">
            <w:pPr>
              <w:rPr>
                <w:rFonts w:ascii="Arial" w:eastAsia="Times New Roman" w:hAnsi="Arial" w:cs="Arial"/>
                <w:b/>
                <w:bCs/>
                <w:color w:val="000000"/>
                <w:kern w:val="2"/>
                <w:lang w:eastAsia="zh-CN"/>
              </w:rPr>
            </w:pPr>
            <w:r w:rsidRPr="00D615DF">
              <w:rPr>
                <w:rFonts w:ascii="Arial" w:eastAsia="Times New Roman" w:hAnsi="Arial" w:cs="Arial"/>
                <w:b/>
                <w:bCs/>
                <w:color w:val="000000"/>
                <w:kern w:val="2"/>
                <w:lang w:eastAsia="zh-CN"/>
              </w:rPr>
              <w:t>Percent</w:t>
            </w:r>
          </w:p>
        </w:tc>
      </w:tr>
      <w:tr w:rsidR="000E42FC" w:rsidRPr="00D615DF" w14:paraId="52A58D85" w14:textId="77777777" w:rsidTr="000E42FC">
        <w:trPr>
          <w:trHeight w:val="20"/>
          <w:jc w:val="center"/>
        </w:trPr>
        <w:tc>
          <w:tcPr>
            <w:tcW w:w="1456" w:type="dxa"/>
            <w:tcBorders>
              <w:top w:val="single" w:sz="4" w:space="0" w:color="auto"/>
              <w:bottom w:val="nil"/>
            </w:tcBorders>
            <w:noWrap/>
            <w:hideMark/>
          </w:tcPr>
          <w:p w14:paraId="2236ABD3"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Gender</w:t>
            </w:r>
          </w:p>
        </w:tc>
        <w:tc>
          <w:tcPr>
            <w:tcW w:w="3600" w:type="dxa"/>
            <w:tcBorders>
              <w:top w:val="single" w:sz="4" w:space="0" w:color="auto"/>
              <w:bottom w:val="nil"/>
            </w:tcBorders>
            <w:noWrap/>
            <w:hideMark/>
          </w:tcPr>
          <w:p w14:paraId="266A789F"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Male</w:t>
            </w:r>
          </w:p>
        </w:tc>
        <w:tc>
          <w:tcPr>
            <w:tcW w:w="2134" w:type="dxa"/>
            <w:tcBorders>
              <w:top w:val="single" w:sz="4" w:space="0" w:color="auto"/>
              <w:bottom w:val="nil"/>
            </w:tcBorders>
            <w:noWrap/>
            <w:hideMark/>
          </w:tcPr>
          <w:p w14:paraId="5DA243BA"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474</w:t>
            </w:r>
          </w:p>
        </w:tc>
        <w:tc>
          <w:tcPr>
            <w:tcW w:w="1870" w:type="dxa"/>
            <w:tcBorders>
              <w:top w:val="single" w:sz="4" w:space="0" w:color="auto"/>
              <w:bottom w:val="nil"/>
            </w:tcBorders>
            <w:noWrap/>
            <w:hideMark/>
          </w:tcPr>
          <w:p w14:paraId="350D19DA"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41%</w:t>
            </w:r>
          </w:p>
        </w:tc>
      </w:tr>
      <w:tr w:rsidR="000E42FC" w:rsidRPr="00D615DF" w14:paraId="3E3285F6" w14:textId="77777777" w:rsidTr="000E42FC">
        <w:trPr>
          <w:trHeight w:val="20"/>
          <w:jc w:val="center"/>
        </w:trPr>
        <w:tc>
          <w:tcPr>
            <w:tcW w:w="1456" w:type="dxa"/>
            <w:tcBorders>
              <w:top w:val="nil"/>
              <w:bottom w:val="nil"/>
            </w:tcBorders>
            <w:noWrap/>
            <w:hideMark/>
          </w:tcPr>
          <w:p w14:paraId="3433128A"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 </w:t>
            </w:r>
          </w:p>
        </w:tc>
        <w:tc>
          <w:tcPr>
            <w:tcW w:w="3600" w:type="dxa"/>
            <w:tcBorders>
              <w:top w:val="nil"/>
              <w:bottom w:val="nil"/>
            </w:tcBorders>
            <w:noWrap/>
            <w:hideMark/>
          </w:tcPr>
          <w:p w14:paraId="265B0F34"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Female</w:t>
            </w:r>
          </w:p>
        </w:tc>
        <w:tc>
          <w:tcPr>
            <w:tcW w:w="2134" w:type="dxa"/>
            <w:tcBorders>
              <w:top w:val="nil"/>
              <w:bottom w:val="nil"/>
            </w:tcBorders>
            <w:noWrap/>
            <w:hideMark/>
          </w:tcPr>
          <w:p w14:paraId="0E62F3EB"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691</w:t>
            </w:r>
          </w:p>
        </w:tc>
        <w:tc>
          <w:tcPr>
            <w:tcW w:w="1870" w:type="dxa"/>
            <w:tcBorders>
              <w:top w:val="nil"/>
              <w:bottom w:val="nil"/>
            </w:tcBorders>
            <w:noWrap/>
            <w:hideMark/>
          </w:tcPr>
          <w:p w14:paraId="0534306D"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59%</w:t>
            </w:r>
          </w:p>
        </w:tc>
      </w:tr>
      <w:tr w:rsidR="000E42FC" w:rsidRPr="00D615DF" w14:paraId="459EF381" w14:textId="77777777" w:rsidTr="000E42FC">
        <w:trPr>
          <w:trHeight w:val="20"/>
          <w:jc w:val="center"/>
        </w:trPr>
        <w:tc>
          <w:tcPr>
            <w:tcW w:w="1456" w:type="dxa"/>
            <w:tcBorders>
              <w:top w:val="nil"/>
              <w:bottom w:val="single" w:sz="4" w:space="0" w:color="auto"/>
            </w:tcBorders>
            <w:noWrap/>
          </w:tcPr>
          <w:p w14:paraId="334A0955"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 xml:space="preserve">Total </w:t>
            </w:r>
          </w:p>
        </w:tc>
        <w:tc>
          <w:tcPr>
            <w:tcW w:w="3600" w:type="dxa"/>
            <w:tcBorders>
              <w:top w:val="nil"/>
              <w:bottom w:val="single" w:sz="4" w:space="0" w:color="auto"/>
            </w:tcBorders>
            <w:noWrap/>
          </w:tcPr>
          <w:p w14:paraId="3A54C8FD"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 </w:t>
            </w:r>
          </w:p>
        </w:tc>
        <w:tc>
          <w:tcPr>
            <w:tcW w:w="2134" w:type="dxa"/>
            <w:tcBorders>
              <w:top w:val="nil"/>
              <w:bottom w:val="single" w:sz="4" w:space="0" w:color="auto"/>
            </w:tcBorders>
            <w:noWrap/>
          </w:tcPr>
          <w:p w14:paraId="61AF53D8"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1165</w:t>
            </w:r>
          </w:p>
        </w:tc>
        <w:tc>
          <w:tcPr>
            <w:tcW w:w="1870" w:type="dxa"/>
            <w:tcBorders>
              <w:top w:val="nil"/>
              <w:bottom w:val="single" w:sz="4" w:space="0" w:color="auto"/>
            </w:tcBorders>
            <w:noWrap/>
          </w:tcPr>
          <w:p w14:paraId="1E307FAE"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100%</w:t>
            </w:r>
          </w:p>
        </w:tc>
      </w:tr>
      <w:tr w:rsidR="000E42FC" w:rsidRPr="00D615DF" w14:paraId="170BC9B0" w14:textId="77777777" w:rsidTr="000E42FC">
        <w:trPr>
          <w:trHeight w:val="20"/>
          <w:jc w:val="center"/>
        </w:trPr>
        <w:tc>
          <w:tcPr>
            <w:tcW w:w="1456" w:type="dxa"/>
            <w:tcBorders>
              <w:top w:val="single" w:sz="4" w:space="0" w:color="auto"/>
            </w:tcBorders>
            <w:noWrap/>
            <w:hideMark/>
          </w:tcPr>
          <w:p w14:paraId="7DF065AA"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Age Bracket</w:t>
            </w:r>
          </w:p>
        </w:tc>
        <w:tc>
          <w:tcPr>
            <w:tcW w:w="3600" w:type="dxa"/>
            <w:tcBorders>
              <w:top w:val="single" w:sz="4" w:space="0" w:color="auto"/>
            </w:tcBorders>
            <w:noWrap/>
            <w:hideMark/>
          </w:tcPr>
          <w:p w14:paraId="0A7927BE"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10–13 years (Early adolescents)</w:t>
            </w:r>
          </w:p>
        </w:tc>
        <w:tc>
          <w:tcPr>
            <w:tcW w:w="2134" w:type="dxa"/>
            <w:tcBorders>
              <w:top w:val="single" w:sz="4" w:space="0" w:color="auto"/>
            </w:tcBorders>
            <w:noWrap/>
            <w:hideMark/>
          </w:tcPr>
          <w:p w14:paraId="64F65699"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80</w:t>
            </w:r>
          </w:p>
        </w:tc>
        <w:tc>
          <w:tcPr>
            <w:tcW w:w="1870" w:type="dxa"/>
            <w:tcBorders>
              <w:top w:val="single" w:sz="4" w:space="0" w:color="auto"/>
            </w:tcBorders>
            <w:noWrap/>
            <w:hideMark/>
          </w:tcPr>
          <w:p w14:paraId="59651CB9"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7%</w:t>
            </w:r>
          </w:p>
        </w:tc>
      </w:tr>
      <w:tr w:rsidR="000E42FC" w:rsidRPr="00D615DF" w14:paraId="6269BFD4" w14:textId="77777777" w:rsidTr="000E42FC">
        <w:trPr>
          <w:trHeight w:val="20"/>
          <w:jc w:val="center"/>
        </w:trPr>
        <w:tc>
          <w:tcPr>
            <w:tcW w:w="1456" w:type="dxa"/>
            <w:noWrap/>
            <w:hideMark/>
          </w:tcPr>
          <w:p w14:paraId="3A452EAB"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 </w:t>
            </w:r>
          </w:p>
        </w:tc>
        <w:tc>
          <w:tcPr>
            <w:tcW w:w="3600" w:type="dxa"/>
            <w:noWrap/>
            <w:hideMark/>
          </w:tcPr>
          <w:p w14:paraId="0B1C25C6"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14–16 years (Middle adolescents)</w:t>
            </w:r>
          </w:p>
        </w:tc>
        <w:tc>
          <w:tcPr>
            <w:tcW w:w="2134" w:type="dxa"/>
            <w:noWrap/>
            <w:hideMark/>
          </w:tcPr>
          <w:p w14:paraId="51E1D3A0"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832</w:t>
            </w:r>
          </w:p>
        </w:tc>
        <w:tc>
          <w:tcPr>
            <w:tcW w:w="1870" w:type="dxa"/>
            <w:noWrap/>
            <w:hideMark/>
          </w:tcPr>
          <w:p w14:paraId="5F8091E4"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71%</w:t>
            </w:r>
          </w:p>
        </w:tc>
      </w:tr>
      <w:tr w:rsidR="000E42FC" w:rsidRPr="00D615DF" w14:paraId="386B4981" w14:textId="77777777" w:rsidTr="000E42FC">
        <w:trPr>
          <w:trHeight w:val="20"/>
          <w:jc w:val="center"/>
        </w:trPr>
        <w:tc>
          <w:tcPr>
            <w:tcW w:w="1456" w:type="dxa"/>
            <w:noWrap/>
            <w:hideMark/>
          </w:tcPr>
          <w:p w14:paraId="0DF1065B"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 </w:t>
            </w:r>
          </w:p>
        </w:tc>
        <w:tc>
          <w:tcPr>
            <w:tcW w:w="3600" w:type="dxa"/>
            <w:noWrap/>
            <w:hideMark/>
          </w:tcPr>
          <w:p w14:paraId="728D7878"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17–19 years (Late adolescents)</w:t>
            </w:r>
          </w:p>
        </w:tc>
        <w:tc>
          <w:tcPr>
            <w:tcW w:w="2134" w:type="dxa"/>
            <w:noWrap/>
            <w:hideMark/>
          </w:tcPr>
          <w:p w14:paraId="38538243"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257</w:t>
            </w:r>
          </w:p>
        </w:tc>
        <w:tc>
          <w:tcPr>
            <w:tcW w:w="1870" w:type="dxa"/>
            <w:noWrap/>
            <w:hideMark/>
          </w:tcPr>
          <w:p w14:paraId="76B9291E"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22%</w:t>
            </w:r>
          </w:p>
        </w:tc>
      </w:tr>
      <w:tr w:rsidR="000E42FC" w:rsidRPr="00D615DF" w14:paraId="3427F14A" w14:textId="77777777" w:rsidTr="000E42FC">
        <w:trPr>
          <w:trHeight w:val="20"/>
          <w:jc w:val="center"/>
        </w:trPr>
        <w:tc>
          <w:tcPr>
            <w:tcW w:w="1456" w:type="dxa"/>
            <w:tcBorders>
              <w:bottom w:val="single" w:sz="4" w:space="0" w:color="auto"/>
            </w:tcBorders>
            <w:noWrap/>
            <w:hideMark/>
          </w:tcPr>
          <w:p w14:paraId="06EF9908"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 </w:t>
            </w:r>
          </w:p>
        </w:tc>
        <w:tc>
          <w:tcPr>
            <w:tcW w:w="3600" w:type="dxa"/>
            <w:tcBorders>
              <w:bottom w:val="single" w:sz="4" w:space="0" w:color="auto"/>
            </w:tcBorders>
            <w:noWrap/>
            <w:hideMark/>
          </w:tcPr>
          <w:p w14:paraId="30CE801B"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 </w:t>
            </w:r>
          </w:p>
        </w:tc>
        <w:tc>
          <w:tcPr>
            <w:tcW w:w="2134" w:type="dxa"/>
            <w:tcBorders>
              <w:bottom w:val="single" w:sz="4" w:space="0" w:color="auto"/>
            </w:tcBorders>
            <w:noWrap/>
            <w:hideMark/>
          </w:tcPr>
          <w:p w14:paraId="7D15481F"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1169</w:t>
            </w:r>
          </w:p>
        </w:tc>
        <w:tc>
          <w:tcPr>
            <w:tcW w:w="1870" w:type="dxa"/>
            <w:tcBorders>
              <w:bottom w:val="single" w:sz="4" w:space="0" w:color="auto"/>
            </w:tcBorders>
            <w:noWrap/>
            <w:hideMark/>
          </w:tcPr>
          <w:p w14:paraId="347CD5EF"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100%</w:t>
            </w:r>
          </w:p>
        </w:tc>
      </w:tr>
      <w:tr w:rsidR="000E42FC" w:rsidRPr="00D615DF" w14:paraId="08360437" w14:textId="77777777" w:rsidTr="000E42FC">
        <w:trPr>
          <w:trHeight w:val="20"/>
          <w:jc w:val="center"/>
        </w:trPr>
        <w:tc>
          <w:tcPr>
            <w:tcW w:w="1456" w:type="dxa"/>
            <w:tcBorders>
              <w:top w:val="single" w:sz="4" w:space="0" w:color="auto"/>
              <w:bottom w:val="nil"/>
            </w:tcBorders>
            <w:noWrap/>
            <w:hideMark/>
          </w:tcPr>
          <w:p w14:paraId="7B6077F3"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Class</w:t>
            </w:r>
          </w:p>
        </w:tc>
        <w:tc>
          <w:tcPr>
            <w:tcW w:w="3600" w:type="dxa"/>
            <w:tcBorders>
              <w:top w:val="single" w:sz="4" w:space="0" w:color="auto"/>
              <w:bottom w:val="nil"/>
            </w:tcBorders>
            <w:noWrap/>
            <w:hideMark/>
          </w:tcPr>
          <w:p w14:paraId="3EE69DD6"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S.1</w:t>
            </w:r>
          </w:p>
        </w:tc>
        <w:tc>
          <w:tcPr>
            <w:tcW w:w="2134" w:type="dxa"/>
            <w:tcBorders>
              <w:top w:val="single" w:sz="4" w:space="0" w:color="auto"/>
              <w:bottom w:val="nil"/>
            </w:tcBorders>
            <w:noWrap/>
            <w:hideMark/>
          </w:tcPr>
          <w:p w14:paraId="3041FE9F"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399</w:t>
            </w:r>
          </w:p>
        </w:tc>
        <w:tc>
          <w:tcPr>
            <w:tcW w:w="1870" w:type="dxa"/>
            <w:tcBorders>
              <w:top w:val="single" w:sz="4" w:space="0" w:color="auto"/>
              <w:bottom w:val="nil"/>
            </w:tcBorders>
            <w:noWrap/>
            <w:hideMark/>
          </w:tcPr>
          <w:p w14:paraId="6ED1F878"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34%</w:t>
            </w:r>
          </w:p>
        </w:tc>
      </w:tr>
      <w:tr w:rsidR="000E42FC" w:rsidRPr="00D615DF" w14:paraId="222893B2" w14:textId="77777777" w:rsidTr="000E42FC">
        <w:trPr>
          <w:trHeight w:val="20"/>
          <w:jc w:val="center"/>
        </w:trPr>
        <w:tc>
          <w:tcPr>
            <w:tcW w:w="1456" w:type="dxa"/>
            <w:tcBorders>
              <w:top w:val="nil"/>
            </w:tcBorders>
            <w:noWrap/>
            <w:hideMark/>
          </w:tcPr>
          <w:p w14:paraId="1B4C65C2"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 </w:t>
            </w:r>
          </w:p>
        </w:tc>
        <w:tc>
          <w:tcPr>
            <w:tcW w:w="3600" w:type="dxa"/>
            <w:tcBorders>
              <w:top w:val="nil"/>
            </w:tcBorders>
            <w:noWrap/>
            <w:hideMark/>
          </w:tcPr>
          <w:p w14:paraId="5CE88AA8"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S.2</w:t>
            </w:r>
          </w:p>
        </w:tc>
        <w:tc>
          <w:tcPr>
            <w:tcW w:w="2134" w:type="dxa"/>
            <w:tcBorders>
              <w:top w:val="nil"/>
            </w:tcBorders>
            <w:noWrap/>
            <w:hideMark/>
          </w:tcPr>
          <w:p w14:paraId="601C3E4C"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361</w:t>
            </w:r>
          </w:p>
        </w:tc>
        <w:tc>
          <w:tcPr>
            <w:tcW w:w="1870" w:type="dxa"/>
            <w:tcBorders>
              <w:top w:val="nil"/>
            </w:tcBorders>
            <w:noWrap/>
            <w:hideMark/>
          </w:tcPr>
          <w:p w14:paraId="368EDFB2"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31%</w:t>
            </w:r>
          </w:p>
        </w:tc>
      </w:tr>
      <w:tr w:rsidR="000E42FC" w:rsidRPr="00D615DF" w14:paraId="6EDF88B4" w14:textId="77777777" w:rsidTr="000E42FC">
        <w:trPr>
          <w:trHeight w:val="20"/>
          <w:jc w:val="center"/>
        </w:trPr>
        <w:tc>
          <w:tcPr>
            <w:tcW w:w="1456" w:type="dxa"/>
            <w:noWrap/>
            <w:hideMark/>
          </w:tcPr>
          <w:p w14:paraId="09B6D9F3"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 </w:t>
            </w:r>
          </w:p>
        </w:tc>
        <w:tc>
          <w:tcPr>
            <w:tcW w:w="3600" w:type="dxa"/>
            <w:noWrap/>
            <w:hideMark/>
          </w:tcPr>
          <w:p w14:paraId="46D4014A"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S.3</w:t>
            </w:r>
          </w:p>
        </w:tc>
        <w:tc>
          <w:tcPr>
            <w:tcW w:w="2134" w:type="dxa"/>
            <w:noWrap/>
            <w:hideMark/>
          </w:tcPr>
          <w:p w14:paraId="4E424EB2"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411</w:t>
            </w:r>
          </w:p>
        </w:tc>
        <w:tc>
          <w:tcPr>
            <w:tcW w:w="1870" w:type="dxa"/>
            <w:noWrap/>
            <w:hideMark/>
          </w:tcPr>
          <w:p w14:paraId="60D1E232"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35%</w:t>
            </w:r>
          </w:p>
        </w:tc>
      </w:tr>
      <w:tr w:rsidR="000E42FC" w:rsidRPr="00D615DF" w14:paraId="0BF4BCDD" w14:textId="77777777" w:rsidTr="000E42FC">
        <w:trPr>
          <w:trHeight w:val="20"/>
          <w:jc w:val="center"/>
        </w:trPr>
        <w:tc>
          <w:tcPr>
            <w:tcW w:w="1456" w:type="dxa"/>
            <w:noWrap/>
            <w:hideMark/>
          </w:tcPr>
          <w:p w14:paraId="108C5ADA"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 </w:t>
            </w:r>
          </w:p>
        </w:tc>
        <w:tc>
          <w:tcPr>
            <w:tcW w:w="3600" w:type="dxa"/>
            <w:noWrap/>
            <w:hideMark/>
          </w:tcPr>
          <w:p w14:paraId="7386219A"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 </w:t>
            </w:r>
          </w:p>
        </w:tc>
        <w:tc>
          <w:tcPr>
            <w:tcW w:w="2134" w:type="dxa"/>
            <w:noWrap/>
            <w:hideMark/>
          </w:tcPr>
          <w:p w14:paraId="7BC40AED"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1171</w:t>
            </w:r>
          </w:p>
        </w:tc>
        <w:tc>
          <w:tcPr>
            <w:tcW w:w="1870" w:type="dxa"/>
            <w:noWrap/>
            <w:hideMark/>
          </w:tcPr>
          <w:p w14:paraId="2AE41B36" w14:textId="77777777" w:rsidR="00AD12DD" w:rsidRPr="00D615DF" w:rsidRDefault="00AD12DD" w:rsidP="00D615DF">
            <w:pPr>
              <w:rPr>
                <w:rFonts w:ascii="Arial" w:eastAsia="Times New Roman" w:hAnsi="Arial" w:cs="Arial"/>
                <w:color w:val="000000"/>
                <w:kern w:val="2"/>
                <w:lang w:eastAsia="zh-CN"/>
              </w:rPr>
            </w:pPr>
            <w:r w:rsidRPr="00D615DF">
              <w:rPr>
                <w:rFonts w:ascii="Arial" w:eastAsia="Times New Roman" w:hAnsi="Arial" w:cs="Arial"/>
                <w:color w:val="000000"/>
                <w:kern w:val="2"/>
                <w:lang w:eastAsia="zh-CN"/>
              </w:rPr>
              <w:t>100%</w:t>
            </w:r>
          </w:p>
        </w:tc>
      </w:tr>
    </w:tbl>
    <w:p w14:paraId="3DA4163B" w14:textId="77777777" w:rsidR="00AD12DD" w:rsidRPr="00D615DF" w:rsidRDefault="00AD12DD" w:rsidP="00D615DF">
      <w:pPr>
        <w:spacing w:after="0" w:line="240" w:lineRule="auto"/>
        <w:jc w:val="both"/>
        <w:rPr>
          <w:rFonts w:ascii="Arial" w:eastAsia="DengXian" w:hAnsi="Arial" w:cs="Arial"/>
          <w:b/>
          <w:bCs/>
          <w:kern w:val="2"/>
          <w:sz w:val="20"/>
          <w:szCs w:val="20"/>
          <w:lang w:eastAsia="zh-CN"/>
        </w:rPr>
      </w:pPr>
    </w:p>
    <w:p w14:paraId="75440A40" w14:textId="77777777" w:rsidR="000E42FC" w:rsidRPr="00D615DF" w:rsidRDefault="000E42FC" w:rsidP="00D615DF">
      <w:pPr>
        <w:spacing w:after="0" w:line="240" w:lineRule="auto"/>
        <w:jc w:val="both"/>
        <w:rPr>
          <w:rFonts w:ascii="Arial" w:eastAsia="DengXian" w:hAnsi="Arial" w:cs="Arial"/>
          <w:kern w:val="2"/>
          <w:sz w:val="20"/>
          <w:szCs w:val="20"/>
          <w:lang w:eastAsia="zh-CN"/>
        </w:rPr>
        <w:sectPr w:rsidR="000E42FC" w:rsidRPr="00D615DF" w:rsidSect="002761F2">
          <w:type w:val="continuous"/>
          <w:pgSz w:w="11909" w:h="16834" w:code="9"/>
          <w:pgMar w:top="1440" w:right="1440" w:bottom="1440" w:left="1440" w:header="720" w:footer="864" w:gutter="0"/>
          <w:cols w:space="720"/>
          <w:docGrid w:linePitch="360"/>
        </w:sectPr>
      </w:pPr>
    </w:p>
    <w:p w14:paraId="47766EFC" w14:textId="663F195D" w:rsidR="00AD12DD" w:rsidRPr="00D615DF" w:rsidRDefault="00AD12DD" w:rsidP="00D615DF">
      <w:pPr>
        <w:spacing w:after="0" w:line="240" w:lineRule="auto"/>
        <w:jc w:val="center"/>
        <w:rPr>
          <w:rFonts w:ascii="Arial" w:eastAsia="DengXian" w:hAnsi="Arial" w:cs="Arial"/>
          <w:b/>
          <w:bCs/>
          <w:kern w:val="2"/>
          <w:sz w:val="20"/>
          <w:szCs w:val="20"/>
          <w:lang w:eastAsia="zh-CN"/>
        </w:rPr>
      </w:pPr>
      <w:r w:rsidRPr="00D615DF">
        <w:rPr>
          <w:rFonts w:ascii="Arial" w:eastAsia="DengXian" w:hAnsi="Arial" w:cs="Arial"/>
          <w:b/>
          <w:bCs/>
          <w:kern w:val="2"/>
          <w:sz w:val="20"/>
          <w:szCs w:val="20"/>
          <w:lang w:eastAsia="zh-CN"/>
        </w:rPr>
        <w:t xml:space="preserve">Table 2. </w:t>
      </w:r>
      <w:bookmarkStart w:id="4" w:name="_Hlk216384741"/>
      <w:r w:rsidRPr="00D615DF">
        <w:rPr>
          <w:rFonts w:ascii="Arial" w:eastAsia="DengXian" w:hAnsi="Arial" w:cs="Arial"/>
          <w:b/>
          <w:bCs/>
          <w:kern w:val="2"/>
          <w:sz w:val="20"/>
          <w:szCs w:val="20"/>
          <w:lang w:eastAsia="zh-CN"/>
        </w:rPr>
        <w:t xml:space="preserve">Regression </w:t>
      </w:r>
      <w:r w:rsidR="000E42FC" w:rsidRPr="00D615DF">
        <w:rPr>
          <w:rFonts w:ascii="Arial" w:eastAsia="DengXian" w:hAnsi="Arial" w:cs="Arial"/>
          <w:b/>
          <w:bCs/>
          <w:kern w:val="2"/>
          <w:sz w:val="20"/>
          <w:szCs w:val="20"/>
          <w:lang w:eastAsia="zh-CN"/>
        </w:rPr>
        <w:t>model for predicting school canteen food choices among adolescents</w:t>
      </w:r>
      <w:bookmarkEnd w:id="4"/>
    </w:p>
    <w:p w14:paraId="1C7E0A00" w14:textId="77777777" w:rsidR="000E42FC" w:rsidRPr="00D615DF" w:rsidRDefault="000E42FC" w:rsidP="00D615DF">
      <w:pPr>
        <w:spacing w:after="0" w:line="240" w:lineRule="auto"/>
        <w:jc w:val="both"/>
        <w:rPr>
          <w:rFonts w:ascii="Arial" w:eastAsia="DengXian" w:hAnsi="Arial" w:cs="Arial"/>
          <w:kern w:val="2"/>
          <w:sz w:val="20"/>
          <w:szCs w:val="20"/>
          <w:lang w:eastAsia="zh-C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6"/>
        <w:gridCol w:w="810"/>
        <w:gridCol w:w="1080"/>
        <w:gridCol w:w="298"/>
        <w:gridCol w:w="692"/>
        <w:gridCol w:w="990"/>
        <w:gridCol w:w="635"/>
        <w:gridCol w:w="625"/>
        <w:gridCol w:w="1080"/>
        <w:gridCol w:w="674"/>
      </w:tblGrid>
      <w:tr w:rsidR="000E42FC" w:rsidRPr="00D615DF" w14:paraId="60B84493" w14:textId="77777777" w:rsidTr="000E42FC">
        <w:trPr>
          <w:trHeight w:val="20"/>
          <w:jc w:val="center"/>
        </w:trPr>
        <w:tc>
          <w:tcPr>
            <w:tcW w:w="2176" w:type="dxa"/>
            <w:tcBorders>
              <w:top w:val="single" w:sz="4" w:space="0" w:color="auto"/>
              <w:bottom w:val="single" w:sz="4" w:space="0" w:color="auto"/>
            </w:tcBorders>
          </w:tcPr>
          <w:p w14:paraId="258C99AF" w14:textId="77777777" w:rsidR="00AD12DD" w:rsidRPr="00D615DF" w:rsidRDefault="00AD12DD" w:rsidP="00D615DF">
            <w:pPr>
              <w:widowControl w:val="0"/>
              <w:autoSpaceDE w:val="0"/>
              <w:autoSpaceDN w:val="0"/>
              <w:adjustRightInd w:val="0"/>
              <w:rPr>
                <w:rFonts w:ascii="Arial" w:eastAsia="DengXian" w:hAnsi="Arial" w:cs="Arial"/>
                <w:b/>
                <w:bCs/>
                <w:lang w:eastAsia="zh-CN"/>
              </w:rPr>
            </w:pPr>
            <w:r w:rsidRPr="00D615DF">
              <w:rPr>
                <w:rFonts w:ascii="Arial" w:eastAsia="DengXian" w:hAnsi="Arial" w:cs="Arial"/>
                <w:b/>
                <w:bCs/>
                <w:lang w:eastAsia="zh-CN"/>
              </w:rPr>
              <w:t xml:space="preserve"> Nutrition factor</w:t>
            </w:r>
          </w:p>
        </w:tc>
        <w:tc>
          <w:tcPr>
            <w:tcW w:w="810" w:type="dxa"/>
            <w:tcBorders>
              <w:top w:val="single" w:sz="4" w:space="0" w:color="auto"/>
              <w:bottom w:val="single" w:sz="4" w:space="0" w:color="auto"/>
            </w:tcBorders>
          </w:tcPr>
          <w:p w14:paraId="1DF083C7" w14:textId="77777777" w:rsidR="00AD12DD" w:rsidRPr="00D615DF" w:rsidRDefault="00AD12DD" w:rsidP="00D615DF">
            <w:pPr>
              <w:widowControl w:val="0"/>
              <w:autoSpaceDE w:val="0"/>
              <w:autoSpaceDN w:val="0"/>
              <w:adjustRightInd w:val="0"/>
              <w:rPr>
                <w:rFonts w:ascii="Arial" w:eastAsia="DengXian" w:hAnsi="Arial" w:cs="Arial"/>
                <w:b/>
                <w:bCs/>
                <w:lang w:eastAsia="zh-CN"/>
              </w:rPr>
            </w:pPr>
            <w:r w:rsidRPr="00D615DF">
              <w:rPr>
                <w:rFonts w:ascii="Arial" w:eastAsia="DengXian" w:hAnsi="Arial" w:cs="Arial"/>
                <w:b/>
                <w:bCs/>
                <w:lang w:eastAsia="zh-CN"/>
              </w:rPr>
              <w:t xml:space="preserve"> Coef.</w:t>
            </w:r>
          </w:p>
        </w:tc>
        <w:tc>
          <w:tcPr>
            <w:tcW w:w="1080" w:type="dxa"/>
            <w:tcBorders>
              <w:top w:val="single" w:sz="4" w:space="0" w:color="auto"/>
              <w:bottom w:val="single" w:sz="4" w:space="0" w:color="auto"/>
            </w:tcBorders>
          </w:tcPr>
          <w:p w14:paraId="2EFC1B6C" w14:textId="77777777" w:rsidR="00AD12DD" w:rsidRPr="00D615DF" w:rsidRDefault="00AD12DD" w:rsidP="00D615DF">
            <w:pPr>
              <w:widowControl w:val="0"/>
              <w:autoSpaceDE w:val="0"/>
              <w:autoSpaceDN w:val="0"/>
              <w:adjustRightInd w:val="0"/>
              <w:rPr>
                <w:rFonts w:ascii="Arial" w:eastAsia="DengXian" w:hAnsi="Arial" w:cs="Arial"/>
                <w:b/>
                <w:bCs/>
                <w:lang w:eastAsia="zh-CN"/>
              </w:rPr>
            </w:pPr>
            <w:r w:rsidRPr="00D615DF">
              <w:rPr>
                <w:rFonts w:ascii="Arial" w:eastAsia="DengXian" w:hAnsi="Arial" w:cs="Arial"/>
                <w:b/>
                <w:bCs/>
                <w:lang w:eastAsia="zh-CN"/>
              </w:rPr>
              <w:t xml:space="preserve"> </w:t>
            </w:r>
            <w:proofErr w:type="spellStart"/>
            <w:proofErr w:type="gramStart"/>
            <w:r w:rsidRPr="00D615DF">
              <w:rPr>
                <w:rFonts w:ascii="Arial" w:eastAsia="DengXian" w:hAnsi="Arial" w:cs="Arial"/>
                <w:b/>
                <w:bCs/>
                <w:lang w:eastAsia="zh-CN"/>
              </w:rPr>
              <w:t>St.Err</w:t>
            </w:r>
            <w:proofErr w:type="spellEnd"/>
            <w:proofErr w:type="gramEnd"/>
            <w:r w:rsidRPr="00D615DF">
              <w:rPr>
                <w:rFonts w:ascii="Arial" w:eastAsia="DengXian" w:hAnsi="Arial" w:cs="Arial"/>
                <w:b/>
                <w:bCs/>
                <w:lang w:eastAsia="zh-CN"/>
              </w:rPr>
              <w:t>.</w:t>
            </w:r>
          </w:p>
        </w:tc>
        <w:tc>
          <w:tcPr>
            <w:tcW w:w="990" w:type="dxa"/>
            <w:gridSpan w:val="2"/>
            <w:tcBorders>
              <w:top w:val="single" w:sz="4" w:space="0" w:color="auto"/>
              <w:bottom w:val="single" w:sz="4" w:space="0" w:color="auto"/>
            </w:tcBorders>
          </w:tcPr>
          <w:p w14:paraId="18B4C592" w14:textId="77777777" w:rsidR="00AD12DD" w:rsidRPr="00D615DF" w:rsidRDefault="00AD12DD" w:rsidP="00D615DF">
            <w:pPr>
              <w:widowControl w:val="0"/>
              <w:autoSpaceDE w:val="0"/>
              <w:autoSpaceDN w:val="0"/>
              <w:adjustRightInd w:val="0"/>
              <w:rPr>
                <w:rFonts w:ascii="Arial" w:eastAsia="DengXian" w:hAnsi="Arial" w:cs="Arial"/>
                <w:b/>
                <w:bCs/>
                <w:lang w:eastAsia="zh-CN"/>
              </w:rPr>
            </w:pPr>
            <w:r w:rsidRPr="00D615DF">
              <w:rPr>
                <w:rFonts w:ascii="Arial" w:eastAsia="DengXian" w:hAnsi="Arial" w:cs="Arial"/>
                <w:b/>
                <w:bCs/>
                <w:lang w:eastAsia="zh-CN"/>
              </w:rPr>
              <w:t xml:space="preserve"> t-value</w:t>
            </w:r>
          </w:p>
        </w:tc>
        <w:tc>
          <w:tcPr>
            <w:tcW w:w="990" w:type="dxa"/>
            <w:tcBorders>
              <w:top w:val="single" w:sz="4" w:space="0" w:color="auto"/>
              <w:bottom w:val="single" w:sz="4" w:space="0" w:color="auto"/>
            </w:tcBorders>
          </w:tcPr>
          <w:p w14:paraId="6A0C2284" w14:textId="77777777" w:rsidR="00AD12DD" w:rsidRPr="00D615DF" w:rsidRDefault="00AD12DD" w:rsidP="00D615DF">
            <w:pPr>
              <w:widowControl w:val="0"/>
              <w:autoSpaceDE w:val="0"/>
              <w:autoSpaceDN w:val="0"/>
              <w:adjustRightInd w:val="0"/>
              <w:rPr>
                <w:rFonts w:ascii="Arial" w:eastAsia="DengXian" w:hAnsi="Arial" w:cs="Arial"/>
                <w:b/>
                <w:bCs/>
                <w:lang w:eastAsia="zh-CN"/>
              </w:rPr>
            </w:pPr>
            <w:r w:rsidRPr="00D615DF">
              <w:rPr>
                <w:rFonts w:ascii="Arial" w:eastAsia="DengXian" w:hAnsi="Arial" w:cs="Arial"/>
                <w:b/>
                <w:bCs/>
                <w:lang w:eastAsia="zh-CN"/>
              </w:rPr>
              <w:t xml:space="preserve"> p-value</w:t>
            </w:r>
          </w:p>
        </w:tc>
        <w:tc>
          <w:tcPr>
            <w:tcW w:w="1260" w:type="dxa"/>
            <w:gridSpan w:val="2"/>
            <w:tcBorders>
              <w:top w:val="single" w:sz="4" w:space="0" w:color="auto"/>
              <w:bottom w:val="single" w:sz="4" w:space="0" w:color="auto"/>
            </w:tcBorders>
          </w:tcPr>
          <w:p w14:paraId="6E950FCC" w14:textId="77777777" w:rsidR="00AD12DD" w:rsidRPr="00D615DF" w:rsidRDefault="00AD12DD" w:rsidP="00D615DF">
            <w:pPr>
              <w:widowControl w:val="0"/>
              <w:autoSpaceDE w:val="0"/>
              <w:autoSpaceDN w:val="0"/>
              <w:adjustRightInd w:val="0"/>
              <w:rPr>
                <w:rFonts w:ascii="Arial" w:eastAsia="DengXian" w:hAnsi="Arial" w:cs="Arial"/>
                <w:b/>
                <w:bCs/>
                <w:lang w:eastAsia="zh-CN"/>
              </w:rPr>
            </w:pPr>
            <w:r w:rsidRPr="00D615DF">
              <w:rPr>
                <w:rFonts w:ascii="Arial" w:eastAsia="DengXian" w:hAnsi="Arial" w:cs="Arial"/>
                <w:b/>
                <w:bCs/>
                <w:lang w:eastAsia="zh-CN"/>
              </w:rPr>
              <w:t xml:space="preserve"> [95% Conf</w:t>
            </w:r>
          </w:p>
        </w:tc>
        <w:tc>
          <w:tcPr>
            <w:tcW w:w="1080" w:type="dxa"/>
            <w:tcBorders>
              <w:top w:val="single" w:sz="4" w:space="0" w:color="auto"/>
              <w:bottom w:val="single" w:sz="4" w:space="0" w:color="auto"/>
            </w:tcBorders>
          </w:tcPr>
          <w:p w14:paraId="678BE9E3" w14:textId="77777777" w:rsidR="00AD12DD" w:rsidRPr="00D615DF" w:rsidRDefault="00AD12DD" w:rsidP="00D615DF">
            <w:pPr>
              <w:widowControl w:val="0"/>
              <w:autoSpaceDE w:val="0"/>
              <w:autoSpaceDN w:val="0"/>
              <w:adjustRightInd w:val="0"/>
              <w:rPr>
                <w:rFonts w:ascii="Arial" w:eastAsia="DengXian" w:hAnsi="Arial" w:cs="Arial"/>
                <w:b/>
                <w:bCs/>
                <w:lang w:eastAsia="zh-CN"/>
              </w:rPr>
            </w:pPr>
            <w:r w:rsidRPr="00D615DF">
              <w:rPr>
                <w:rFonts w:ascii="Arial" w:eastAsia="DengXian" w:hAnsi="Arial" w:cs="Arial"/>
                <w:b/>
                <w:bCs/>
                <w:lang w:eastAsia="zh-CN"/>
              </w:rPr>
              <w:t xml:space="preserve"> Interval]</w:t>
            </w:r>
          </w:p>
        </w:tc>
        <w:tc>
          <w:tcPr>
            <w:tcW w:w="674" w:type="dxa"/>
            <w:tcBorders>
              <w:top w:val="single" w:sz="4" w:space="0" w:color="auto"/>
              <w:bottom w:val="single" w:sz="4" w:space="0" w:color="auto"/>
            </w:tcBorders>
          </w:tcPr>
          <w:p w14:paraId="7D988F24" w14:textId="77777777" w:rsidR="00AD12DD" w:rsidRPr="00D615DF" w:rsidRDefault="00AD12DD" w:rsidP="00D615DF">
            <w:pPr>
              <w:widowControl w:val="0"/>
              <w:autoSpaceDE w:val="0"/>
              <w:autoSpaceDN w:val="0"/>
              <w:adjustRightInd w:val="0"/>
              <w:rPr>
                <w:rFonts w:ascii="Arial" w:eastAsia="DengXian" w:hAnsi="Arial" w:cs="Arial"/>
                <w:b/>
                <w:bCs/>
                <w:lang w:eastAsia="zh-CN"/>
              </w:rPr>
            </w:pPr>
            <w:r w:rsidRPr="00D615DF">
              <w:rPr>
                <w:rFonts w:ascii="Arial" w:eastAsia="DengXian" w:hAnsi="Arial" w:cs="Arial"/>
                <w:b/>
                <w:bCs/>
                <w:lang w:eastAsia="zh-CN"/>
              </w:rPr>
              <w:t xml:space="preserve"> Sig</w:t>
            </w:r>
          </w:p>
        </w:tc>
      </w:tr>
      <w:tr w:rsidR="000E42FC" w:rsidRPr="00D615DF" w14:paraId="0ED51ECD" w14:textId="77777777" w:rsidTr="000E42FC">
        <w:trPr>
          <w:trHeight w:val="20"/>
          <w:jc w:val="center"/>
        </w:trPr>
        <w:tc>
          <w:tcPr>
            <w:tcW w:w="2176" w:type="dxa"/>
            <w:tcBorders>
              <w:top w:val="single" w:sz="4" w:space="0" w:color="auto"/>
            </w:tcBorders>
          </w:tcPr>
          <w:p w14:paraId="182B95D8"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Taste</w:t>
            </w:r>
          </w:p>
        </w:tc>
        <w:tc>
          <w:tcPr>
            <w:tcW w:w="810" w:type="dxa"/>
            <w:tcBorders>
              <w:top w:val="single" w:sz="4" w:space="0" w:color="auto"/>
            </w:tcBorders>
          </w:tcPr>
          <w:p w14:paraId="5B203C29"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.037</w:t>
            </w:r>
          </w:p>
        </w:tc>
        <w:tc>
          <w:tcPr>
            <w:tcW w:w="1080" w:type="dxa"/>
            <w:tcBorders>
              <w:top w:val="single" w:sz="4" w:space="0" w:color="auto"/>
            </w:tcBorders>
          </w:tcPr>
          <w:p w14:paraId="7EB0CFAD"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.017</w:t>
            </w:r>
          </w:p>
        </w:tc>
        <w:tc>
          <w:tcPr>
            <w:tcW w:w="990" w:type="dxa"/>
            <w:gridSpan w:val="2"/>
            <w:tcBorders>
              <w:top w:val="single" w:sz="4" w:space="0" w:color="auto"/>
            </w:tcBorders>
          </w:tcPr>
          <w:p w14:paraId="601C176E"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2.18</w:t>
            </w:r>
          </w:p>
        </w:tc>
        <w:tc>
          <w:tcPr>
            <w:tcW w:w="990" w:type="dxa"/>
            <w:tcBorders>
              <w:top w:val="single" w:sz="4" w:space="0" w:color="auto"/>
            </w:tcBorders>
          </w:tcPr>
          <w:p w14:paraId="30BBD345"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.029</w:t>
            </w:r>
          </w:p>
        </w:tc>
        <w:tc>
          <w:tcPr>
            <w:tcW w:w="1260" w:type="dxa"/>
            <w:gridSpan w:val="2"/>
            <w:tcBorders>
              <w:top w:val="single" w:sz="4" w:space="0" w:color="auto"/>
            </w:tcBorders>
          </w:tcPr>
          <w:p w14:paraId="30A4BEA8"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.004</w:t>
            </w:r>
          </w:p>
        </w:tc>
        <w:tc>
          <w:tcPr>
            <w:tcW w:w="1080" w:type="dxa"/>
            <w:tcBorders>
              <w:top w:val="single" w:sz="4" w:space="0" w:color="auto"/>
            </w:tcBorders>
          </w:tcPr>
          <w:p w14:paraId="3B32FC89"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.07</w:t>
            </w:r>
          </w:p>
        </w:tc>
        <w:tc>
          <w:tcPr>
            <w:tcW w:w="674" w:type="dxa"/>
            <w:tcBorders>
              <w:top w:val="single" w:sz="4" w:space="0" w:color="auto"/>
            </w:tcBorders>
          </w:tcPr>
          <w:p w14:paraId="2E0EF4E1"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w:t>
            </w:r>
          </w:p>
        </w:tc>
      </w:tr>
      <w:tr w:rsidR="000E42FC" w:rsidRPr="00D615DF" w14:paraId="1DD669B9" w14:textId="77777777" w:rsidTr="000E42FC">
        <w:trPr>
          <w:trHeight w:val="20"/>
          <w:jc w:val="center"/>
        </w:trPr>
        <w:tc>
          <w:tcPr>
            <w:tcW w:w="2176" w:type="dxa"/>
          </w:tcPr>
          <w:p w14:paraId="210B67C1"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Color</w:t>
            </w:r>
          </w:p>
        </w:tc>
        <w:tc>
          <w:tcPr>
            <w:tcW w:w="810" w:type="dxa"/>
          </w:tcPr>
          <w:p w14:paraId="4D982351"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.008</w:t>
            </w:r>
          </w:p>
        </w:tc>
        <w:tc>
          <w:tcPr>
            <w:tcW w:w="1080" w:type="dxa"/>
          </w:tcPr>
          <w:p w14:paraId="608FA9D9"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.018</w:t>
            </w:r>
          </w:p>
        </w:tc>
        <w:tc>
          <w:tcPr>
            <w:tcW w:w="990" w:type="dxa"/>
            <w:gridSpan w:val="2"/>
          </w:tcPr>
          <w:p w14:paraId="0273D85B"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0.46</w:t>
            </w:r>
          </w:p>
        </w:tc>
        <w:tc>
          <w:tcPr>
            <w:tcW w:w="990" w:type="dxa"/>
          </w:tcPr>
          <w:p w14:paraId="313FCB77"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.645</w:t>
            </w:r>
          </w:p>
        </w:tc>
        <w:tc>
          <w:tcPr>
            <w:tcW w:w="1260" w:type="dxa"/>
            <w:gridSpan w:val="2"/>
          </w:tcPr>
          <w:p w14:paraId="776D54BE"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-.027</w:t>
            </w:r>
          </w:p>
        </w:tc>
        <w:tc>
          <w:tcPr>
            <w:tcW w:w="1080" w:type="dxa"/>
          </w:tcPr>
          <w:p w14:paraId="3858FCED"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.044</w:t>
            </w:r>
          </w:p>
        </w:tc>
        <w:tc>
          <w:tcPr>
            <w:tcW w:w="674" w:type="dxa"/>
          </w:tcPr>
          <w:p w14:paraId="48EBEC56" w14:textId="77777777" w:rsidR="00AD12DD" w:rsidRPr="00D615DF" w:rsidRDefault="00AD12DD" w:rsidP="00D615DF">
            <w:pPr>
              <w:widowControl w:val="0"/>
              <w:autoSpaceDE w:val="0"/>
              <w:autoSpaceDN w:val="0"/>
              <w:adjustRightInd w:val="0"/>
              <w:rPr>
                <w:rFonts w:ascii="Arial" w:eastAsia="DengXian" w:hAnsi="Arial" w:cs="Arial"/>
                <w:lang w:eastAsia="zh-CN"/>
              </w:rPr>
            </w:pPr>
          </w:p>
        </w:tc>
      </w:tr>
      <w:tr w:rsidR="000E42FC" w:rsidRPr="00D615DF" w14:paraId="11630E58" w14:textId="77777777" w:rsidTr="000E42FC">
        <w:trPr>
          <w:trHeight w:val="20"/>
          <w:jc w:val="center"/>
        </w:trPr>
        <w:tc>
          <w:tcPr>
            <w:tcW w:w="2176" w:type="dxa"/>
          </w:tcPr>
          <w:p w14:paraId="45A2A6D0"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Bandwagon effect</w:t>
            </w:r>
          </w:p>
        </w:tc>
        <w:tc>
          <w:tcPr>
            <w:tcW w:w="810" w:type="dxa"/>
          </w:tcPr>
          <w:p w14:paraId="0BE653C8"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.001</w:t>
            </w:r>
          </w:p>
        </w:tc>
        <w:tc>
          <w:tcPr>
            <w:tcW w:w="1080" w:type="dxa"/>
          </w:tcPr>
          <w:p w14:paraId="1E28C772"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.019</w:t>
            </w:r>
          </w:p>
        </w:tc>
        <w:tc>
          <w:tcPr>
            <w:tcW w:w="990" w:type="dxa"/>
            <w:gridSpan w:val="2"/>
          </w:tcPr>
          <w:p w14:paraId="1D782533"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0.06</w:t>
            </w:r>
          </w:p>
        </w:tc>
        <w:tc>
          <w:tcPr>
            <w:tcW w:w="990" w:type="dxa"/>
          </w:tcPr>
          <w:p w14:paraId="2537E5A1"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.951</w:t>
            </w:r>
          </w:p>
        </w:tc>
        <w:tc>
          <w:tcPr>
            <w:tcW w:w="1260" w:type="dxa"/>
            <w:gridSpan w:val="2"/>
          </w:tcPr>
          <w:p w14:paraId="6C710BA1"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-.036</w:t>
            </w:r>
          </w:p>
        </w:tc>
        <w:tc>
          <w:tcPr>
            <w:tcW w:w="1080" w:type="dxa"/>
          </w:tcPr>
          <w:p w14:paraId="47D81DE4"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.039</w:t>
            </w:r>
          </w:p>
        </w:tc>
        <w:tc>
          <w:tcPr>
            <w:tcW w:w="674" w:type="dxa"/>
          </w:tcPr>
          <w:p w14:paraId="48FF9E27" w14:textId="77777777" w:rsidR="00AD12DD" w:rsidRPr="00D615DF" w:rsidRDefault="00AD12DD" w:rsidP="00D615DF">
            <w:pPr>
              <w:widowControl w:val="0"/>
              <w:autoSpaceDE w:val="0"/>
              <w:autoSpaceDN w:val="0"/>
              <w:adjustRightInd w:val="0"/>
              <w:rPr>
                <w:rFonts w:ascii="Arial" w:eastAsia="DengXian" w:hAnsi="Arial" w:cs="Arial"/>
                <w:lang w:eastAsia="zh-CN"/>
              </w:rPr>
            </w:pPr>
          </w:p>
        </w:tc>
      </w:tr>
      <w:tr w:rsidR="000E42FC" w:rsidRPr="00D615DF" w14:paraId="6B991431" w14:textId="77777777" w:rsidTr="000E42FC">
        <w:trPr>
          <w:trHeight w:val="20"/>
          <w:jc w:val="center"/>
        </w:trPr>
        <w:tc>
          <w:tcPr>
            <w:tcW w:w="2176" w:type="dxa"/>
          </w:tcPr>
          <w:p w14:paraId="202A0715"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Anything available at the canteen</w:t>
            </w:r>
          </w:p>
        </w:tc>
        <w:tc>
          <w:tcPr>
            <w:tcW w:w="810" w:type="dxa"/>
          </w:tcPr>
          <w:p w14:paraId="075E848D"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.04</w:t>
            </w:r>
          </w:p>
        </w:tc>
        <w:tc>
          <w:tcPr>
            <w:tcW w:w="1080" w:type="dxa"/>
          </w:tcPr>
          <w:p w14:paraId="500FD97B"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.017</w:t>
            </w:r>
          </w:p>
        </w:tc>
        <w:tc>
          <w:tcPr>
            <w:tcW w:w="990" w:type="dxa"/>
            <w:gridSpan w:val="2"/>
          </w:tcPr>
          <w:p w14:paraId="0B172FBC"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2.36</w:t>
            </w:r>
          </w:p>
        </w:tc>
        <w:tc>
          <w:tcPr>
            <w:tcW w:w="990" w:type="dxa"/>
          </w:tcPr>
          <w:p w14:paraId="138EEFEE"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.019</w:t>
            </w:r>
          </w:p>
        </w:tc>
        <w:tc>
          <w:tcPr>
            <w:tcW w:w="1260" w:type="dxa"/>
            <w:gridSpan w:val="2"/>
          </w:tcPr>
          <w:p w14:paraId="6D972C83"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.007</w:t>
            </w:r>
          </w:p>
        </w:tc>
        <w:tc>
          <w:tcPr>
            <w:tcW w:w="1080" w:type="dxa"/>
          </w:tcPr>
          <w:p w14:paraId="5B93A07D"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.073</w:t>
            </w:r>
          </w:p>
        </w:tc>
        <w:tc>
          <w:tcPr>
            <w:tcW w:w="674" w:type="dxa"/>
          </w:tcPr>
          <w:p w14:paraId="4980C1D6"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w:t>
            </w:r>
          </w:p>
        </w:tc>
      </w:tr>
      <w:tr w:rsidR="000E42FC" w:rsidRPr="00D615DF" w14:paraId="113B780B" w14:textId="77777777" w:rsidTr="000E42FC">
        <w:trPr>
          <w:trHeight w:val="20"/>
          <w:jc w:val="center"/>
        </w:trPr>
        <w:tc>
          <w:tcPr>
            <w:tcW w:w="2176" w:type="dxa"/>
          </w:tcPr>
          <w:p w14:paraId="6AA899C1"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What we eat at home</w:t>
            </w:r>
          </w:p>
        </w:tc>
        <w:tc>
          <w:tcPr>
            <w:tcW w:w="810" w:type="dxa"/>
          </w:tcPr>
          <w:p w14:paraId="611F67FD"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.012</w:t>
            </w:r>
          </w:p>
        </w:tc>
        <w:tc>
          <w:tcPr>
            <w:tcW w:w="1080" w:type="dxa"/>
          </w:tcPr>
          <w:p w14:paraId="0CE53DD0"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.017</w:t>
            </w:r>
          </w:p>
        </w:tc>
        <w:tc>
          <w:tcPr>
            <w:tcW w:w="990" w:type="dxa"/>
            <w:gridSpan w:val="2"/>
          </w:tcPr>
          <w:p w14:paraId="5181136D"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0.69</w:t>
            </w:r>
          </w:p>
        </w:tc>
        <w:tc>
          <w:tcPr>
            <w:tcW w:w="990" w:type="dxa"/>
          </w:tcPr>
          <w:p w14:paraId="5FD325A5"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.492</w:t>
            </w:r>
          </w:p>
        </w:tc>
        <w:tc>
          <w:tcPr>
            <w:tcW w:w="1260" w:type="dxa"/>
            <w:gridSpan w:val="2"/>
          </w:tcPr>
          <w:p w14:paraId="42581E1B"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-.021</w:t>
            </w:r>
          </w:p>
        </w:tc>
        <w:tc>
          <w:tcPr>
            <w:tcW w:w="1080" w:type="dxa"/>
          </w:tcPr>
          <w:p w14:paraId="4987D29E"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.044</w:t>
            </w:r>
          </w:p>
        </w:tc>
        <w:tc>
          <w:tcPr>
            <w:tcW w:w="674" w:type="dxa"/>
          </w:tcPr>
          <w:p w14:paraId="7AA7C4F2" w14:textId="77777777" w:rsidR="00AD12DD" w:rsidRPr="00D615DF" w:rsidRDefault="00AD12DD" w:rsidP="00D615DF">
            <w:pPr>
              <w:widowControl w:val="0"/>
              <w:autoSpaceDE w:val="0"/>
              <w:autoSpaceDN w:val="0"/>
              <w:adjustRightInd w:val="0"/>
              <w:rPr>
                <w:rFonts w:ascii="Arial" w:eastAsia="DengXian" w:hAnsi="Arial" w:cs="Arial"/>
                <w:lang w:eastAsia="zh-CN"/>
              </w:rPr>
            </w:pPr>
          </w:p>
        </w:tc>
      </w:tr>
      <w:tr w:rsidR="000E42FC" w:rsidRPr="00D615DF" w14:paraId="12CA55A1" w14:textId="77777777" w:rsidTr="000E42FC">
        <w:trPr>
          <w:trHeight w:val="20"/>
          <w:jc w:val="center"/>
        </w:trPr>
        <w:tc>
          <w:tcPr>
            <w:tcW w:w="2176" w:type="dxa"/>
            <w:tcBorders>
              <w:bottom w:val="nil"/>
            </w:tcBorders>
          </w:tcPr>
          <w:p w14:paraId="317908DA"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What I am used to eating</w:t>
            </w:r>
          </w:p>
        </w:tc>
        <w:tc>
          <w:tcPr>
            <w:tcW w:w="810" w:type="dxa"/>
            <w:tcBorders>
              <w:bottom w:val="nil"/>
            </w:tcBorders>
          </w:tcPr>
          <w:p w14:paraId="0B555848"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.059</w:t>
            </w:r>
          </w:p>
        </w:tc>
        <w:tc>
          <w:tcPr>
            <w:tcW w:w="1080" w:type="dxa"/>
            <w:tcBorders>
              <w:bottom w:val="nil"/>
            </w:tcBorders>
          </w:tcPr>
          <w:p w14:paraId="642887C3"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.017</w:t>
            </w:r>
          </w:p>
        </w:tc>
        <w:tc>
          <w:tcPr>
            <w:tcW w:w="990" w:type="dxa"/>
            <w:gridSpan w:val="2"/>
            <w:tcBorders>
              <w:bottom w:val="nil"/>
            </w:tcBorders>
          </w:tcPr>
          <w:p w14:paraId="01ED3A3B"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3.54</w:t>
            </w:r>
          </w:p>
        </w:tc>
        <w:tc>
          <w:tcPr>
            <w:tcW w:w="990" w:type="dxa"/>
            <w:tcBorders>
              <w:bottom w:val="nil"/>
            </w:tcBorders>
          </w:tcPr>
          <w:p w14:paraId="04DF9C9D"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.000</w:t>
            </w:r>
          </w:p>
        </w:tc>
        <w:tc>
          <w:tcPr>
            <w:tcW w:w="1260" w:type="dxa"/>
            <w:gridSpan w:val="2"/>
            <w:tcBorders>
              <w:bottom w:val="nil"/>
            </w:tcBorders>
          </w:tcPr>
          <w:p w14:paraId="1187E8D7"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.027</w:t>
            </w:r>
          </w:p>
        </w:tc>
        <w:tc>
          <w:tcPr>
            <w:tcW w:w="1080" w:type="dxa"/>
            <w:tcBorders>
              <w:bottom w:val="nil"/>
            </w:tcBorders>
          </w:tcPr>
          <w:p w14:paraId="25FC3440"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.092</w:t>
            </w:r>
          </w:p>
        </w:tc>
        <w:tc>
          <w:tcPr>
            <w:tcW w:w="674" w:type="dxa"/>
            <w:tcBorders>
              <w:bottom w:val="nil"/>
            </w:tcBorders>
          </w:tcPr>
          <w:p w14:paraId="576D2FA9"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w:t>
            </w:r>
          </w:p>
        </w:tc>
      </w:tr>
      <w:tr w:rsidR="000E42FC" w:rsidRPr="00D615DF" w14:paraId="49E151A9" w14:textId="77777777" w:rsidTr="000E42FC">
        <w:trPr>
          <w:trHeight w:val="20"/>
          <w:jc w:val="center"/>
        </w:trPr>
        <w:tc>
          <w:tcPr>
            <w:tcW w:w="2176" w:type="dxa"/>
            <w:tcBorders>
              <w:top w:val="nil"/>
              <w:bottom w:val="single" w:sz="4" w:space="0" w:color="auto"/>
            </w:tcBorders>
          </w:tcPr>
          <w:p w14:paraId="7743BA95"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Constant</w:t>
            </w:r>
          </w:p>
        </w:tc>
        <w:tc>
          <w:tcPr>
            <w:tcW w:w="810" w:type="dxa"/>
            <w:tcBorders>
              <w:top w:val="nil"/>
              <w:bottom w:val="single" w:sz="4" w:space="0" w:color="auto"/>
            </w:tcBorders>
          </w:tcPr>
          <w:p w14:paraId="7C59CFB3"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-.505</w:t>
            </w:r>
          </w:p>
        </w:tc>
        <w:tc>
          <w:tcPr>
            <w:tcW w:w="1080" w:type="dxa"/>
            <w:tcBorders>
              <w:top w:val="nil"/>
              <w:bottom w:val="single" w:sz="4" w:space="0" w:color="auto"/>
            </w:tcBorders>
          </w:tcPr>
          <w:p w14:paraId="1C8203AF"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.1</w:t>
            </w:r>
          </w:p>
        </w:tc>
        <w:tc>
          <w:tcPr>
            <w:tcW w:w="990" w:type="dxa"/>
            <w:gridSpan w:val="2"/>
            <w:tcBorders>
              <w:top w:val="nil"/>
              <w:bottom w:val="single" w:sz="4" w:space="0" w:color="auto"/>
            </w:tcBorders>
          </w:tcPr>
          <w:p w14:paraId="42D41B94"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-5.06</w:t>
            </w:r>
          </w:p>
        </w:tc>
        <w:tc>
          <w:tcPr>
            <w:tcW w:w="990" w:type="dxa"/>
            <w:tcBorders>
              <w:top w:val="nil"/>
              <w:bottom w:val="single" w:sz="4" w:space="0" w:color="auto"/>
            </w:tcBorders>
          </w:tcPr>
          <w:p w14:paraId="5E32CFC9"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.000</w:t>
            </w:r>
          </w:p>
        </w:tc>
        <w:tc>
          <w:tcPr>
            <w:tcW w:w="1260" w:type="dxa"/>
            <w:gridSpan w:val="2"/>
            <w:tcBorders>
              <w:top w:val="nil"/>
              <w:bottom w:val="single" w:sz="4" w:space="0" w:color="auto"/>
            </w:tcBorders>
          </w:tcPr>
          <w:p w14:paraId="5E5A35BF"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-.7</w:t>
            </w:r>
          </w:p>
        </w:tc>
        <w:tc>
          <w:tcPr>
            <w:tcW w:w="1080" w:type="dxa"/>
            <w:tcBorders>
              <w:top w:val="nil"/>
              <w:bottom w:val="single" w:sz="4" w:space="0" w:color="auto"/>
            </w:tcBorders>
          </w:tcPr>
          <w:p w14:paraId="45CCD786"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-.309</w:t>
            </w:r>
          </w:p>
        </w:tc>
        <w:tc>
          <w:tcPr>
            <w:tcW w:w="674" w:type="dxa"/>
            <w:tcBorders>
              <w:top w:val="nil"/>
              <w:bottom w:val="single" w:sz="4" w:space="0" w:color="auto"/>
            </w:tcBorders>
          </w:tcPr>
          <w:p w14:paraId="5E75022D"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w:t>
            </w:r>
          </w:p>
        </w:tc>
      </w:tr>
      <w:tr w:rsidR="000E42FC" w:rsidRPr="00D615DF" w14:paraId="2FA75116" w14:textId="77777777" w:rsidTr="000E42FC">
        <w:trPr>
          <w:trHeight w:val="20"/>
          <w:jc w:val="center"/>
        </w:trPr>
        <w:tc>
          <w:tcPr>
            <w:tcW w:w="2176" w:type="dxa"/>
            <w:tcBorders>
              <w:top w:val="single" w:sz="4" w:space="0" w:color="auto"/>
            </w:tcBorders>
          </w:tcPr>
          <w:p w14:paraId="3643251F"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Mean dependent var</w:t>
            </w:r>
          </w:p>
        </w:tc>
        <w:tc>
          <w:tcPr>
            <w:tcW w:w="2188" w:type="dxa"/>
            <w:gridSpan w:val="3"/>
            <w:tcBorders>
              <w:top w:val="single" w:sz="4" w:space="0" w:color="auto"/>
            </w:tcBorders>
          </w:tcPr>
          <w:p w14:paraId="48F3D461"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-0.000</w:t>
            </w:r>
          </w:p>
        </w:tc>
        <w:tc>
          <w:tcPr>
            <w:tcW w:w="2317" w:type="dxa"/>
            <w:gridSpan w:val="3"/>
            <w:tcBorders>
              <w:top w:val="single" w:sz="4" w:space="0" w:color="auto"/>
            </w:tcBorders>
          </w:tcPr>
          <w:p w14:paraId="4D2756F8"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 xml:space="preserve">SD dependent var </w:t>
            </w:r>
          </w:p>
        </w:tc>
        <w:tc>
          <w:tcPr>
            <w:tcW w:w="2379" w:type="dxa"/>
            <w:gridSpan w:val="3"/>
            <w:tcBorders>
              <w:top w:val="single" w:sz="4" w:space="0" w:color="auto"/>
            </w:tcBorders>
          </w:tcPr>
          <w:p w14:paraId="794037BD"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0.775</w:t>
            </w:r>
          </w:p>
        </w:tc>
      </w:tr>
      <w:tr w:rsidR="000E42FC" w:rsidRPr="00D615DF" w14:paraId="18124252" w14:textId="77777777" w:rsidTr="000E42FC">
        <w:trPr>
          <w:trHeight w:val="20"/>
          <w:jc w:val="center"/>
        </w:trPr>
        <w:tc>
          <w:tcPr>
            <w:tcW w:w="2176" w:type="dxa"/>
          </w:tcPr>
          <w:p w14:paraId="40DE838C"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 xml:space="preserve">R-squared </w:t>
            </w:r>
          </w:p>
        </w:tc>
        <w:tc>
          <w:tcPr>
            <w:tcW w:w="2188" w:type="dxa"/>
            <w:gridSpan w:val="3"/>
          </w:tcPr>
          <w:p w14:paraId="3369616F"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0.027</w:t>
            </w:r>
          </w:p>
        </w:tc>
        <w:tc>
          <w:tcPr>
            <w:tcW w:w="2317" w:type="dxa"/>
            <w:gridSpan w:val="3"/>
          </w:tcPr>
          <w:p w14:paraId="6CCBB56A"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 xml:space="preserve">Number of </w:t>
            </w:r>
            <w:proofErr w:type="spellStart"/>
            <w:r w:rsidRPr="00D615DF">
              <w:rPr>
                <w:rFonts w:ascii="Arial" w:eastAsia="DengXian" w:hAnsi="Arial" w:cs="Arial"/>
                <w:lang w:eastAsia="zh-CN"/>
              </w:rPr>
              <w:t>obs</w:t>
            </w:r>
            <w:proofErr w:type="spellEnd"/>
            <w:r w:rsidRPr="00D615DF">
              <w:rPr>
                <w:rFonts w:ascii="Arial" w:eastAsia="DengXian" w:hAnsi="Arial" w:cs="Arial"/>
                <w:lang w:eastAsia="zh-CN"/>
              </w:rPr>
              <w:t xml:space="preserve">  </w:t>
            </w:r>
          </w:p>
        </w:tc>
        <w:tc>
          <w:tcPr>
            <w:tcW w:w="2379" w:type="dxa"/>
            <w:gridSpan w:val="3"/>
          </w:tcPr>
          <w:p w14:paraId="5DFB9865"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1153</w:t>
            </w:r>
          </w:p>
        </w:tc>
      </w:tr>
      <w:tr w:rsidR="000E42FC" w:rsidRPr="00D615DF" w14:paraId="4ABA8DB2" w14:textId="77777777" w:rsidTr="00D615DF">
        <w:trPr>
          <w:trHeight w:val="20"/>
          <w:jc w:val="center"/>
        </w:trPr>
        <w:tc>
          <w:tcPr>
            <w:tcW w:w="2176" w:type="dxa"/>
            <w:tcBorders>
              <w:bottom w:val="nil"/>
            </w:tcBorders>
          </w:tcPr>
          <w:p w14:paraId="0F86FF49"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 xml:space="preserve">F-test  </w:t>
            </w:r>
          </w:p>
        </w:tc>
        <w:tc>
          <w:tcPr>
            <w:tcW w:w="2188" w:type="dxa"/>
            <w:gridSpan w:val="3"/>
            <w:tcBorders>
              <w:bottom w:val="nil"/>
            </w:tcBorders>
          </w:tcPr>
          <w:p w14:paraId="48FC4F89"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5.325</w:t>
            </w:r>
          </w:p>
        </w:tc>
        <w:tc>
          <w:tcPr>
            <w:tcW w:w="2317" w:type="dxa"/>
            <w:gridSpan w:val="3"/>
            <w:tcBorders>
              <w:bottom w:val="nil"/>
            </w:tcBorders>
          </w:tcPr>
          <w:p w14:paraId="12842792"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 xml:space="preserve">Prob &gt; F </w:t>
            </w:r>
          </w:p>
        </w:tc>
        <w:tc>
          <w:tcPr>
            <w:tcW w:w="2379" w:type="dxa"/>
            <w:gridSpan w:val="3"/>
            <w:tcBorders>
              <w:bottom w:val="nil"/>
            </w:tcBorders>
          </w:tcPr>
          <w:p w14:paraId="72EEB59F"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0.000</w:t>
            </w:r>
          </w:p>
        </w:tc>
      </w:tr>
      <w:tr w:rsidR="000E42FC" w:rsidRPr="00D615DF" w14:paraId="03714A24" w14:textId="77777777" w:rsidTr="00D615DF">
        <w:trPr>
          <w:trHeight w:val="20"/>
          <w:jc w:val="center"/>
        </w:trPr>
        <w:tc>
          <w:tcPr>
            <w:tcW w:w="2176" w:type="dxa"/>
            <w:tcBorders>
              <w:top w:val="nil"/>
              <w:bottom w:val="nil"/>
            </w:tcBorders>
          </w:tcPr>
          <w:p w14:paraId="71DAC618"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Akaike crit. (AIC)</w:t>
            </w:r>
          </w:p>
        </w:tc>
        <w:tc>
          <w:tcPr>
            <w:tcW w:w="2188" w:type="dxa"/>
            <w:gridSpan w:val="3"/>
            <w:tcBorders>
              <w:top w:val="nil"/>
              <w:bottom w:val="nil"/>
            </w:tcBorders>
          </w:tcPr>
          <w:p w14:paraId="70EE7E27"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2666.216</w:t>
            </w:r>
          </w:p>
        </w:tc>
        <w:tc>
          <w:tcPr>
            <w:tcW w:w="2317" w:type="dxa"/>
            <w:gridSpan w:val="3"/>
            <w:tcBorders>
              <w:top w:val="nil"/>
              <w:bottom w:val="nil"/>
            </w:tcBorders>
          </w:tcPr>
          <w:p w14:paraId="086A8CB1"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Bayesian crit. (BIC)</w:t>
            </w:r>
          </w:p>
        </w:tc>
        <w:tc>
          <w:tcPr>
            <w:tcW w:w="2379" w:type="dxa"/>
            <w:gridSpan w:val="3"/>
            <w:tcBorders>
              <w:top w:val="nil"/>
              <w:bottom w:val="nil"/>
            </w:tcBorders>
          </w:tcPr>
          <w:p w14:paraId="7AA412C7" w14:textId="77777777" w:rsidR="00AD12DD" w:rsidRPr="00D615DF" w:rsidRDefault="00AD12DD" w:rsidP="00D615DF">
            <w:pPr>
              <w:widowControl w:val="0"/>
              <w:autoSpaceDE w:val="0"/>
              <w:autoSpaceDN w:val="0"/>
              <w:adjustRightInd w:val="0"/>
              <w:rPr>
                <w:rFonts w:ascii="Arial" w:eastAsia="DengXian" w:hAnsi="Arial" w:cs="Arial"/>
                <w:lang w:eastAsia="zh-CN"/>
              </w:rPr>
            </w:pPr>
            <w:r w:rsidRPr="00D615DF">
              <w:rPr>
                <w:rFonts w:ascii="Arial" w:eastAsia="DengXian" w:hAnsi="Arial" w:cs="Arial"/>
                <w:lang w:eastAsia="zh-CN"/>
              </w:rPr>
              <w:t>2701.567</w:t>
            </w:r>
          </w:p>
        </w:tc>
      </w:tr>
      <w:tr w:rsidR="00D615DF" w:rsidRPr="00D615DF" w14:paraId="2F83581E" w14:textId="77777777" w:rsidTr="00D615DF">
        <w:trPr>
          <w:trHeight w:val="20"/>
          <w:jc w:val="center"/>
        </w:trPr>
        <w:tc>
          <w:tcPr>
            <w:tcW w:w="9060" w:type="dxa"/>
            <w:gridSpan w:val="10"/>
            <w:tcBorders>
              <w:top w:val="nil"/>
              <w:bottom w:val="nil"/>
            </w:tcBorders>
          </w:tcPr>
          <w:p w14:paraId="6A3C8335" w14:textId="77777777" w:rsidR="00D615DF" w:rsidRPr="00D615DF" w:rsidRDefault="00D615DF" w:rsidP="00D615DF">
            <w:pPr>
              <w:widowControl w:val="0"/>
              <w:autoSpaceDE w:val="0"/>
              <w:autoSpaceDN w:val="0"/>
              <w:adjustRightInd w:val="0"/>
              <w:jc w:val="center"/>
              <w:rPr>
                <w:rFonts w:ascii="Arial" w:eastAsia="DengXian" w:hAnsi="Arial" w:cs="Arial"/>
                <w:i/>
                <w:iCs/>
                <w:sz w:val="18"/>
                <w:szCs w:val="18"/>
                <w:lang w:eastAsia="zh-CN"/>
              </w:rPr>
            </w:pPr>
          </w:p>
          <w:p w14:paraId="2F249BF8" w14:textId="4E83904B" w:rsidR="00D615DF" w:rsidRPr="00D615DF" w:rsidRDefault="00D615DF" w:rsidP="00D615DF">
            <w:pPr>
              <w:pBdr>
                <w:top w:val="single" w:sz="4" w:space="1" w:color="auto"/>
              </w:pBdr>
              <w:jc w:val="center"/>
              <w:rPr>
                <w:rFonts w:ascii="Arial" w:eastAsia="DengXian" w:hAnsi="Arial" w:cs="Arial"/>
                <w:i/>
                <w:iCs/>
                <w:noProof/>
                <w:kern w:val="2"/>
                <w:sz w:val="18"/>
                <w:szCs w:val="18"/>
                <w:lang w:eastAsia="zh-CN"/>
              </w:rPr>
            </w:pPr>
            <w:r w:rsidRPr="00D615DF">
              <w:rPr>
                <w:rFonts w:ascii="Arial" w:eastAsia="DengXian" w:hAnsi="Arial" w:cs="Arial"/>
                <w:i/>
                <w:iCs/>
                <w:noProof/>
                <w:kern w:val="2"/>
                <w:sz w:val="18"/>
                <w:szCs w:val="18"/>
                <w:lang w:eastAsia="zh-CN"/>
              </w:rPr>
              <w:t>*** p&lt;.01, ** p&lt;.05, * p&lt;.1</w:t>
            </w:r>
          </w:p>
          <w:p w14:paraId="4FCA929A" w14:textId="77777777" w:rsidR="00D615DF" w:rsidRPr="00D615DF" w:rsidRDefault="00D615DF" w:rsidP="00D615DF">
            <w:pPr>
              <w:jc w:val="center"/>
              <w:rPr>
                <w:rFonts w:ascii="Arial" w:eastAsia="DengXian" w:hAnsi="Arial" w:cs="Arial"/>
                <w:noProof/>
                <w:kern w:val="2"/>
                <w:lang w:eastAsia="zh-CN"/>
              </w:rPr>
            </w:pPr>
          </w:p>
          <w:p w14:paraId="0F1C9D29" w14:textId="36AE178F" w:rsidR="00D615DF" w:rsidRPr="00D615DF" w:rsidRDefault="00D615DF" w:rsidP="00D615DF">
            <w:pPr>
              <w:jc w:val="center"/>
              <w:rPr>
                <w:rFonts w:ascii="Arial" w:eastAsia="DengXian" w:hAnsi="Arial" w:cs="Arial"/>
                <w:kern w:val="2"/>
                <w:lang w:eastAsia="zh-CN"/>
              </w:rPr>
            </w:pPr>
            <w:r w:rsidRPr="00D615DF">
              <w:rPr>
                <w:rFonts w:ascii="Arial" w:eastAsia="DengXian" w:hAnsi="Arial" w:cs="Arial"/>
                <w:noProof/>
                <w:kern w:val="2"/>
                <w:lang w:eastAsia="zh-CN"/>
              </w:rPr>
              <w:drawing>
                <wp:inline distT="0" distB="0" distL="0" distR="0" wp14:anchorId="3C0CBF28" wp14:editId="7E111547">
                  <wp:extent cx="4319699" cy="2385064"/>
                  <wp:effectExtent l="0" t="0" r="0" b="0"/>
                  <wp:docPr id="853767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67599" name=""/>
                          <pic:cNvPicPr/>
                        </pic:nvPicPr>
                        <pic:blipFill>
                          <a:blip r:embed="rId14"/>
                          <a:stretch>
                            <a:fillRect/>
                          </a:stretch>
                        </pic:blipFill>
                        <pic:spPr>
                          <a:xfrm>
                            <a:off x="0" y="0"/>
                            <a:ext cx="4371118" cy="2413454"/>
                          </a:xfrm>
                          <a:prstGeom prst="rect">
                            <a:avLst/>
                          </a:prstGeom>
                        </pic:spPr>
                      </pic:pic>
                    </a:graphicData>
                  </a:graphic>
                </wp:inline>
              </w:drawing>
            </w:r>
          </w:p>
          <w:p w14:paraId="57C5E39E" w14:textId="77777777" w:rsidR="00D615DF" w:rsidRPr="00D615DF" w:rsidRDefault="00D615DF" w:rsidP="00D615DF">
            <w:pPr>
              <w:jc w:val="center"/>
              <w:rPr>
                <w:rFonts w:ascii="Arial" w:eastAsia="DengXian" w:hAnsi="Arial" w:cs="Arial"/>
                <w:kern w:val="2"/>
                <w:lang w:eastAsia="zh-CN"/>
              </w:rPr>
            </w:pPr>
          </w:p>
          <w:p w14:paraId="5DBA074D" w14:textId="77777777" w:rsidR="00D615DF" w:rsidRPr="00D615DF" w:rsidRDefault="00D615DF" w:rsidP="00D615DF">
            <w:pPr>
              <w:jc w:val="center"/>
              <w:rPr>
                <w:rFonts w:ascii="Arial" w:eastAsia="DengXian" w:hAnsi="Arial" w:cs="Arial"/>
                <w:b/>
                <w:bCs/>
                <w:kern w:val="2"/>
                <w:lang w:eastAsia="zh-CN"/>
              </w:rPr>
            </w:pPr>
            <w:bookmarkStart w:id="5" w:name="_Ref216361784"/>
            <w:r w:rsidRPr="00D615DF">
              <w:rPr>
                <w:rFonts w:ascii="Arial" w:eastAsia="DengXian" w:hAnsi="Arial" w:cs="Arial"/>
                <w:b/>
                <w:bCs/>
                <w:kern w:val="2"/>
                <w:lang w:eastAsia="zh-CN"/>
              </w:rPr>
              <w:t xml:space="preserve">Fig. </w:t>
            </w:r>
            <w:r w:rsidRPr="00D615DF">
              <w:rPr>
                <w:rFonts w:ascii="Arial" w:eastAsia="DengXian" w:hAnsi="Arial" w:cs="Arial"/>
                <w:b/>
                <w:bCs/>
                <w:noProof/>
                <w:kern w:val="2"/>
                <w:lang w:eastAsia="zh-CN"/>
              </w:rPr>
              <w:t>1</w:t>
            </w:r>
            <w:bookmarkEnd w:id="5"/>
            <w:r w:rsidRPr="00D615DF">
              <w:rPr>
                <w:rFonts w:ascii="Arial" w:eastAsia="DengXian" w:hAnsi="Arial" w:cs="Arial"/>
                <w:b/>
                <w:bCs/>
                <w:kern w:val="2"/>
                <w:lang w:eastAsia="zh-CN"/>
              </w:rPr>
              <w:t>. Residual versus fitted plot</w:t>
            </w:r>
          </w:p>
          <w:p w14:paraId="62011118" w14:textId="4E7ECF19" w:rsidR="00D615DF" w:rsidRPr="00D615DF" w:rsidRDefault="00D615DF" w:rsidP="00D615DF">
            <w:pPr>
              <w:jc w:val="center"/>
              <w:rPr>
                <w:rFonts w:ascii="Arial" w:eastAsia="DengXian" w:hAnsi="Arial" w:cs="Arial"/>
                <w:b/>
                <w:bCs/>
                <w:kern w:val="2"/>
                <w:lang w:eastAsia="zh-CN"/>
              </w:rPr>
            </w:pPr>
            <w:bookmarkStart w:id="6" w:name="_Ref216361758"/>
            <w:r w:rsidRPr="00D615DF">
              <w:rPr>
                <w:rFonts w:ascii="Arial" w:eastAsia="DengXian" w:hAnsi="Arial" w:cs="Arial"/>
                <w:noProof/>
                <w:kern w:val="2"/>
                <w:lang w:eastAsia="zh-CN"/>
              </w:rPr>
              <w:lastRenderedPageBreak/>
              <w:drawing>
                <wp:inline distT="0" distB="0" distL="0" distR="0" wp14:anchorId="71DBD835" wp14:editId="594CB048">
                  <wp:extent cx="3901850" cy="2080772"/>
                  <wp:effectExtent l="0" t="0" r="0" b="0"/>
                  <wp:docPr id="1353638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38980" name=""/>
                          <pic:cNvPicPr/>
                        </pic:nvPicPr>
                        <pic:blipFill>
                          <a:blip r:embed="rId15"/>
                          <a:stretch>
                            <a:fillRect/>
                          </a:stretch>
                        </pic:blipFill>
                        <pic:spPr>
                          <a:xfrm>
                            <a:off x="0" y="0"/>
                            <a:ext cx="3953408" cy="2108267"/>
                          </a:xfrm>
                          <a:prstGeom prst="rect">
                            <a:avLst/>
                          </a:prstGeom>
                        </pic:spPr>
                      </pic:pic>
                    </a:graphicData>
                  </a:graphic>
                </wp:inline>
              </w:drawing>
            </w:r>
          </w:p>
          <w:p w14:paraId="4DDDD1F0" w14:textId="77777777" w:rsidR="00D615DF" w:rsidRPr="00D615DF" w:rsidRDefault="00D615DF" w:rsidP="00D615DF">
            <w:pPr>
              <w:jc w:val="center"/>
              <w:rPr>
                <w:rFonts w:ascii="Arial" w:eastAsia="DengXian" w:hAnsi="Arial" w:cs="Arial"/>
                <w:b/>
                <w:bCs/>
                <w:kern w:val="2"/>
                <w:lang w:eastAsia="zh-CN"/>
              </w:rPr>
            </w:pPr>
          </w:p>
          <w:p w14:paraId="3A9D3526" w14:textId="5DF9A939" w:rsidR="00D615DF" w:rsidRPr="00D615DF" w:rsidRDefault="00D615DF" w:rsidP="00D615DF">
            <w:pPr>
              <w:jc w:val="center"/>
              <w:rPr>
                <w:rFonts w:ascii="Arial" w:eastAsia="DengXian" w:hAnsi="Arial" w:cs="Arial"/>
                <w:b/>
                <w:bCs/>
                <w:kern w:val="2"/>
                <w:lang w:eastAsia="zh-CN"/>
              </w:rPr>
            </w:pPr>
            <w:r w:rsidRPr="00D615DF">
              <w:rPr>
                <w:rFonts w:ascii="Arial" w:eastAsia="DengXian" w:hAnsi="Arial" w:cs="Arial"/>
                <w:b/>
                <w:bCs/>
                <w:kern w:val="2"/>
                <w:lang w:eastAsia="zh-CN"/>
              </w:rPr>
              <w:t xml:space="preserve">Fig. </w:t>
            </w:r>
            <w:r w:rsidRPr="00D615DF">
              <w:rPr>
                <w:rFonts w:ascii="Arial" w:eastAsia="DengXian" w:hAnsi="Arial" w:cs="Arial"/>
                <w:b/>
                <w:bCs/>
                <w:noProof/>
                <w:kern w:val="2"/>
                <w:lang w:eastAsia="zh-CN"/>
              </w:rPr>
              <w:t>2</w:t>
            </w:r>
            <w:bookmarkEnd w:id="6"/>
            <w:r w:rsidRPr="00D615DF">
              <w:rPr>
                <w:rFonts w:ascii="Arial" w:eastAsia="DengXian" w:hAnsi="Arial" w:cs="Arial"/>
                <w:b/>
                <w:bCs/>
                <w:kern w:val="2"/>
                <w:lang w:eastAsia="zh-CN"/>
              </w:rPr>
              <w:t>. Normality assumption of the residuals</w:t>
            </w:r>
          </w:p>
          <w:p w14:paraId="2C3605A5" w14:textId="77777777" w:rsidR="002761F2" w:rsidRPr="00D615DF" w:rsidRDefault="002761F2" w:rsidP="00D615DF">
            <w:pPr>
              <w:widowControl w:val="0"/>
              <w:autoSpaceDE w:val="0"/>
              <w:autoSpaceDN w:val="0"/>
              <w:adjustRightInd w:val="0"/>
              <w:jc w:val="center"/>
              <w:rPr>
                <w:rFonts w:ascii="Arial" w:eastAsia="DengXian" w:hAnsi="Arial" w:cs="Arial"/>
                <w:sz w:val="18"/>
                <w:szCs w:val="18"/>
                <w:lang w:eastAsia="zh-CN"/>
              </w:rPr>
            </w:pPr>
          </w:p>
        </w:tc>
      </w:tr>
    </w:tbl>
    <w:p w14:paraId="757F66ED" w14:textId="77777777" w:rsidR="000E42FC" w:rsidRPr="00D615DF" w:rsidRDefault="000E42FC" w:rsidP="00D615DF">
      <w:pPr>
        <w:spacing w:after="0" w:line="240" w:lineRule="auto"/>
        <w:jc w:val="both"/>
        <w:rPr>
          <w:rFonts w:ascii="Arial" w:eastAsia="DengXian" w:hAnsi="Arial" w:cs="Arial"/>
          <w:kern w:val="2"/>
          <w:sz w:val="20"/>
          <w:szCs w:val="20"/>
          <w:lang w:eastAsia="zh-CN"/>
        </w:rPr>
        <w:sectPr w:rsidR="000E42FC" w:rsidRPr="00D615DF" w:rsidSect="00235C7E">
          <w:type w:val="continuous"/>
          <w:pgSz w:w="11909" w:h="16834" w:code="9"/>
          <w:pgMar w:top="1440" w:right="1440" w:bottom="1440" w:left="1440" w:header="720" w:footer="864" w:gutter="0"/>
          <w:cols w:space="720"/>
          <w:titlePg/>
          <w:docGrid w:linePitch="360"/>
        </w:sectPr>
      </w:pPr>
    </w:p>
    <w:p w14:paraId="72226E61" w14:textId="52411789"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On the contrary, a Dutch study by </w:t>
      </w:r>
      <w:r w:rsidRPr="00D615DF">
        <w:rPr>
          <w:rFonts w:ascii="Arial" w:eastAsia="DengXian" w:hAnsi="Arial" w:cs="Arial"/>
          <w:noProof/>
          <w:kern w:val="2"/>
          <w:sz w:val="20"/>
          <w:szCs w:val="20"/>
          <w:lang w:eastAsia="zh-CN"/>
        </w:rPr>
        <w:t>Evenhuis et al. (2020)</w:t>
      </w:r>
      <w:r w:rsidRPr="00D615DF">
        <w:rPr>
          <w:rFonts w:ascii="Arial" w:eastAsia="DengXian" w:hAnsi="Arial" w:cs="Arial"/>
          <w:kern w:val="2"/>
          <w:sz w:val="20"/>
          <w:szCs w:val="20"/>
          <w:lang w:eastAsia="zh-CN"/>
        </w:rPr>
        <w:t xml:space="preserve"> revealed that 90% of their students brought food items from home, and a few relied on canteen food availability. Lastly, and most importantly, the expected dietary intake would improve by approximately 6% if routine eating practices go up by one unit, ceteris paribus (</w:t>
      </w:r>
      <w:proofErr w:type="spellStart"/>
      <w:r w:rsidRPr="00D615DF">
        <w:rPr>
          <w:rFonts w:ascii="Arial" w:eastAsia="DengXian" w:hAnsi="Arial" w:cs="Arial"/>
          <w:kern w:val="2"/>
          <w:sz w:val="20"/>
          <w:szCs w:val="20"/>
          <w:lang w:eastAsia="zh-CN"/>
        </w:rPr>
        <w:t>Coef</w:t>
      </w:r>
      <w:proofErr w:type="spellEnd"/>
      <w:r w:rsidRPr="00D615DF">
        <w:rPr>
          <w:rFonts w:ascii="Arial" w:eastAsia="DengXian" w:hAnsi="Arial" w:cs="Arial"/>
          <w:kern w:val="2"/>
          <w:sz w:val="20"/>
          <w:szCs w:val="20"/>
          <w:lang w:eastAsia="zh-CN"/>
        </w:rPr>
        <w:t xml:space="preserve"> = 0.059, SE = 0.017, t = 3.54, p &lt; 0.01, 95% CI [0.027, 0.092]). These findings are </w:t>
      </w:r>
      <w:r w:rsidR="00D615DF" w:rsidRPr="00D615DF">
        <w:rPr>
          <w:rFonts w:ascii="Arial" w:eastAsia="DengXian" w:hAnsi="Arial" w:cs="Arial"/>
          <w:kern w:val="2"/>
          <w:sz w:val="20"/>
          <w:szCs w:val="20"/>
          <w:lang w:eastAsia="zh-CN"/>
        </w:rPr>
        <w:t xml:space="preserve">                          </w:t>
      </w:r>
      <w:r w:rsidRPr="00D615DF">
        <w:rPr>
          <w:rFonts w:ascii="Arial" w:eastAsia="DengXian" w:hAnsi="Arial" w:cs="Arial"/>
          <w:kern w:val="2"/>
          <w:sz w:val="20"/>
          <w:szCs w:val="20"/>
          <w:lang w:eastAsia="zh-CN"/>
        </w:rPr>
        <w:t xml:space="preserve">reflective of earlier findings that dietary quality is exacerbated as children grow up, suggesting that evolving eating habits lead to lower </w:t>
      </w:r>
      <w:r w:rsidR="00D615DF" w:rsidRPr="00D615DF">
        <w:rPr>
          <w:rFonts w:ascii="Arial" w:eastAsia="DengXian" w:hAnsi="Arial" w:cs="Arial"/>
          <w:kern w:val="2"/>
          <w:sz w:val="20"/>
          <w:szCs w:val="20"/>
          <w:lang w:eastAsia="zh-CN"/>
        </w:rPr>
        <w:t xml:space="preserve">                  </w:t>
      </w:r>
      <w:r w:rsidRPr="00D615DF">
        <w:rPr>
          <w:rFonts w:ascii="Arial" w:eastAsia="DengXian" w:hAnsi="Arial" w:cs="Arial"/>
          <w:kern w:val="2"/>
          <w:sz w:val="20"/>
          <w:szCs w:val="20"/>
          <w:lang w:eastAsia="zh-CN"/>
        </w:rPr>
        <w:t xml:space="preserve">consumption of healthy foods </w:t>
      </w:r>
      <w:r w:rsidRPr="00D615DF">
        <w:rPr>
          <w:rFonts w:ascii="Arial" w:eastAsia="DengXian" w:hAnsi="Arial" w:cs="Arial"/>
          <w:noProof/>
          <w:kern w:val="2"/>
          <w:sz w:val="20"/>
          <w:szCs w:val="20"/>
          <w:lang w:eastAsia="zh-CN"/>
        </w:rPr>
        <w:t>(Naeeni et al., 2014)</w:t>
      </w:r>
      <w:r w:rsidRPr="00D615DF">
        <w:rPr>
          <w:rFonts w:ascii="Arial" w:eastAsia="DengXian" w:hAnsi="Arial" w:cs="Arial"/>
          <w:kern w:val="2"/>
          <w:sz w:val="20"/>
          <w:szCs w:val="20"/>
          <w:lang w:eastAsia="zh-CN"/>
        </w:rPr>
        <w:t xml:space="preserve">. </w:t>
      </w:r>
    </w:p>
    <w:p w14:paraId="62A37722" w14:textId="77777777" w:rsidR="00AD12DD" w:rsidRPr="00D615DF" w:rsidRDefault="00AD12DD" w:rsidP="00D615DF">
      <w:pPr>
        <w:spacing w:after="0" w:line="240" w:lineRule="auto"/>
        <w:jc w:val="both"/>
        <w:rPr>
          <w:rFonts w:ascii="Arial" w:eastAsia="DengXian" w:hAnsi="Arial" w:cs="Arial"/>
          <w:kern w:val="2"/>
          <w:sz w:val="20"/>
          <w:szCs w:val="20"/>
          <w:lang w:eastAsia="zh-CN"/>
        </w:rPr>
      </w:pPr>
    </w:p>
    <w:p w14:paraId="2DF1813E" w14:textId="6C280EF9" w:rsidR="00AD12DD" w:rsidRPr="00D615DF" w:rsidRDefault="00AD12DD" w:rsidP="00D615DF">
      <w:pPr>
        <w:pStyle w:val="Heading2"/>
        <w:rPr>
          <w:rFonts w:eastAsia="DengXian"/>
          <w:lang w:eastAsia="zh-CN"/>
        </w:rPr>
      </w:pPr>
      <w:r w:rsidRPr="00D615DF">
        <w:rPr>
          <w:rFonts w:eastAsia="DengXian"/>
          <w:lang w:eastAsia="zh-CN"/>
        </w:rPr>
        <w:t>4. CONCLUSION</w:t>
      </w:r>
    </w:p>
    <w:p w14:paraId="05147E57" w14:textId="77777777" w:rsidR="00AD12DD" w:rsidRPr="00D615DF" w:rsidRDefault="00AD12DD" w:rsidP="00D615DF">
      <w:pPr>
        <w:spacing w:after="0" w:line="240" w:lineRule="auto"/>
        <w:ind w:left="720"/>
        <w:jc w:val="both"/>
        <w:rPr>
          <w:rFonts w:ascii="Arial" w:eastAsia="DengXian" w:hAnsi="Arial" w:cs="Arial"/>
          <w:b/>
          <w:bCs/>
          <w:kern w:val="2"/>
          <w:sz w:val="20"/>
          <w:szCs w:val="20"/>
          <w:lang w:eastAsia="zh-CN"/>
        </w:rPr>
      </w:pPr>
    </w:p>
    <w:p w14:paraId="24F7E0B2" w14:textId="77777777"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Findings indicate that the school diet nutrition choice among secondary school-going adolescents was determined partly by taste, canteen available items, and by the routine dietary preference and practices. Specifically, the study showed that food choices of school-going adolescents in </w:t>
      </w:r>
      <w:proofErr w:type="spellStart"/>
      <w:r w:rsidRPr="00D615DF">
        <w:rPr>
          <w:rFonts w:ascii="Arial" w:eastAsia="DengXian" w:hAnsi="Arial" w:cs="Arial"/>
          <w:kern w:val="2"/>
          <w:sz w:val="20"/>
          <w:szCs w:val="20"/>
          <w:lang w:eastAsia="zh-CN"/>
        </w:rPr>
        <w:t>Nansana</w:t>
      </w:r>
      <w:proofErr w:type="spellEnd"/>
      <w:r w:rsidRPr="00D615DF">
        <w:rPr>
          <w:rFonts w:ascii="Arial" w:eastAsia="DengXian" w:hAnsi="Arial" w:cs="Arial"/>
          <w:kern w:val="2"/>
          <w:sz w:val="20"/>
          <w:szCs w:val="20"/>
          <w:lang w:eastAsia="zh-CN"/>
        </w:rPr>
        <w:t xml:space="preserve"> Municipality are driven by a mix of sensory, environmental, and habitual consumption patterns. Taste was found to play a key role, as students were found to purchase canteen items, they found appealing and fascinating. Secondly, the availability of food items also played a key role in determining their practices, with students tending to consume what is easily and readily available at the school canteens. Besides, the study found routine dietary preference as the single most important determinant of dietary intake. The study shows that school-going adolescent students easily gravitate towards foods they are used to eating, reflecting a stronger effect of habitual eating patterns.  </w:t>
      </w:r>
    </w:p>
    <w:p w14:paraId="5473D6D8" w14:textId="77777777" w:rsidR="00AD12DD" w:rsidRPr="00D615DF" w:rsidRDefault="00AD12DD" w:rsidP="00D615DF">
      <w:pPr>
        <w:spacing w:after="0" w:line="240" w:lineRule="auto"/>
        <w:jc w:val="both"/>
        <w:rPr>
          <w:rFonts w:ascii="Arial" w:eastAsia="DengXian" w:hAnsi="Arial" w:cs="Arial"/>
          <w:kern w:val="2"/>
          <w:sz w:val="20"/>
          <w:szCs w:val="20"/>
          <w:lang w:eastAsia="zh-CN"/>
        </w:rPr>
      </w:pPr>
    </w:p>
    <w:p w14:paraId="7B05EF90" w14:textId="6A876644" w:rsidR="00AD12DD" w:rsidRPr="00D615DF" w:rsidRDefault="00AD12DD" w:rsidP="00D615DF">
      <w:pPr>
        <w:pStyle w:val="Heading2"/>
        <w:rPr>
          <w:rFonts w:eastAsia="DengXian"/>
          <w:lang w:eastAsia="zh-CN"/>
        </w:rPr>
      </w:pPr>
      <w:r w:rsidRPr="00D615DF">
        <w:rPr>
          <w:rFonts w:eastAsia="DengXian"/>
          <w:lang w:eastAsia="zh-CN"/>
        </w:rPr>
        <w:t>5. POLICY IMPLICATIONS</w:t>
      </w:r>
    </w:p>
    <w:p w14:paraId="64163324" w14:textId="77777777" w:rsidR="00AD12DD" w:rsidRPr="00D615DF" w:rsidRDefault="00AD12DD" w:rsidP="00D615DF">
      <w:pPr>
        <w:spacing w:after="0" w:line="240" w:lineRule="auto"/>
        <w:ind w:left="720"/>
        <w:jc w:val="both"/>
        <w:rPr>
          <w:rFonts w:ascii="Arial" w:eastAsia="DengXian" w:hAnsi="Arial" w:cs="Arial"/>
          <w:b/>
          <w:bCs/>
          <w:kern w:val="2"/>
          <w:sz w:val="20"/>
          <w:szCs w:val="20"/>
          <w:lang w:eastAsia="zh-CN"/>
        </w:rPr>
      </w:pPr>
    </w:p>
    <w:p w14:paraId="2DC45203" w14:textId="77777777"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Interventions aiming to shift adolescents’ canteen choices in </w:t>
      </w:r>
      <w:proofErr w:type="spellStart"/>
      <w:r w:rsidRPr="00D615DF">
        <w:rPr>
          <w:rFonts w:ascii="Arial" w:eastAsia="DengXian" w:hAnsi="Arial" w:cs="Arial"/>
          <w:kern w:val="2"/>
          <w:sz w:val="20"/>
          <w:szCs w:val="20"/>
          <w:lang w:eastAsia="zh-CN"/>
        </w:rPr>
        <w:t>Nansana</w:t>
      </w:r>
      <w:proofErr w:type="spellEnd"/>
      <w:r w:rsidRPr="00D615DF">
        <w:rPr>
          <w:rFonts w:ascii="Arial" w:eastAsia="DengXian" w:hAnsi="Arial" w:cs="Arial"/>
          <w:kern w:val="2"/>
          <w:sz w:val="20"/>
          <w:szCs w:val="20"/>
          <w:lang w:eastAsia="zh-CN"/>
        </w:rPr>
        <w:t xml:space="preserve"> should prioritize changing habitual patterns and improving the availability of healthier options, while also ensuring those options are palatable; however, because the model explains little variance, complementary qualitative work or additional predictors (price, peer influence, parental education, canteen pricing/marketing) would likely be needed to design effective programs.</w:t>
      </w:r>
    </w:p>
    <w:p w14:paraId="345984A4" w14:textId="77777777" w:rsidR="00AD12DD" w:rsidRPr="00D615DF" w:rsidRDefault="00AD12DD" w:rsidP="00D615DF">
      <w:pPr>
        <w:spacing w:after="0" w:line="240" w:lineRule="auto"/>
        <w:jc w:val="both"/>
        <w:rPr>
          <w:rFonts w:ascii="Arial" w:eastAsia="DengXian" w:hAnsi="Arial" w:cs="Arial"/>
          <w:kern w:val="2"/>
          <w:sz w:val="20"/>
          <w:szCs w:val="20"/>
          <w:lang w:eastAsia="zh-CN"/>
        </w:rPr>
      </w:pPr>
    </w:p>
    <w:p w14:paraId="5F8B09BD" w14:textId="39F9D561" w:rsidR="00AD12DD" w:rsidRPr="00D615DF" w:rsidRDefault="00AD12DD" w:rsidP="00D615DF">
      <w:pPr>
        <w:pStyle w:val="Heading2"/>
        <w:rPr>
          <w:rFonts w:eastAsia="Times New Roman"/>
        </w:rPr>
      </w:pPr>
      <w:r w:rsidRPr="00D615DF">
        <w:rPr>
          <w:rFonts w:eastAsia="Times New Roman"/>
        </w:rPr>
        <w:t xml:space="preserve">CONSENT </w:t>
      </w:r>
    </w:p>
    <w:p w14:paraId="2E812702" w14:textId="77777777" w:rsidR="00AD12DD" w:rsidRPr="00AD12DD" w:rsidRDefault="00AD12DD" w:rsidP="00D615DF">
      <w:pPr>
        <w:keepNext/>
        <w:spacing w:after="0" w:line="240" w:lineRule="auto"/>
        <w:jc w:val="both"/>
        <w:rPr>
          <w:rFonts w:ascii="Arial" w:eastAsia="Times New Roman" w:hAnsi="Arial" w:cs="Arial"/>
          <w:b/>
          <w:bCs/>
          <w:caps/>
          <w:sz w:val="20"/>
          <w:szCs w:val="20"/>
        </w:rPr>
      </w:pPr>
    </w:p>
    <w:p w14:paraId="740190E4" w14:textId="5C910548" w:rsidR="00AD12DD" w:rsidRPr="00D615DF" w:rsidRDefault="003169B5" w:rsidP="00D615DF">
      <w:pPr>
        <w:keepNext/>
        <w:spacing w:after="0" w:line="240" w:lineRule="auto"/>
        <w:jc w:val="both"/>
        <w:rPr>
          <w:rFonts w:ascii="Arial" w:eastAsia="Times New Roman" w:hAnsi="Arial" w:cs="Arial"/>
          <w:sz w:val="20"/>
          <w:szCs w:val="20"/>
        </w:rPr>
      </w:pPr>
      <w:r>
        <w:rPr>
          <w:rFonts w:ascii="Arial" w:eastAsia="Times New Roman" w:hAnsi="Arial" w:cs="Arial"/>
          <w:sz w:val="20"/>
          <w:szCs w:val="20"/>
        </w:rPr>
        <w:t>Written informed</w:t>
      </w:r>
      <w:r w:rsidR="00AD12DD" w:rsidRPr="00AD12DD">
        <w:rPr>
          <w:rFonts w:ascii="Arial" w:eastAsia="Times New Roman" w:hAnsi="Arial" w:cs="Arial"/>
          <w:sz w:val="20"/>
          <w:szCs w:val="20"/>
        </w:rPr>
        <w:t xml:space="preserve"> consent was obtained from the adolescent students. </w:t>
      </w:r>
    </w:p>
    <w:p w14:paraId="65D373CF" w14:textId="77777777" w:rsidR="00AD12DD" w:rsidRPr="00AD12DD" w:rsidRDefault="00AD12DD" w:rsidP="00D615DF">
      <w:pPr>
        <w:keepNext/>
        <w:spacing w:after="0" w:line="240" w:lineRule="auto"/>
        <w:jc w:val="both"/>
        <w:rPr>
          <w:rFonts w:ascii="Arial" w:eastAsia="Times New Roman" w:hAnsi="Arial" w:cs="Arial"/>
          <w:sz w:val="18"/>
          <w:szCs w:val="18"/>
        </w:rPr>
      </w:pPr>
    </w:p>
    <w:p w14:paraId="7B2076FB" w14:textId="389D999B" w:rsidR="00AD12DD" w:rsidRPr="00D615DF" w:rsidRDefault="00AD12DD" w:rsidP="00D615DF">
      <w:pPr>
        <w:pStyle w:val="Heading2"/>
        <w:rPr>
          <w:rFonts w:eastAsia="Times New Roman"/>
        </w:rPr>
      </w:pPr>
      <w:r w:rsidRPr="00D615DF">
        <w:rPr>
          <w:rFonts w:eastAsia="Times New Roman"/>
        </w:rPr>
        <w:t xml:space="preserve">ETHICAL APPROVAL </w:t>
      </w:r>
    </w:p>
    <w:p w14:paraId="5AFBA8AC" w14:textId="77777777" w:rsidR="00AD12DD" w:rsidRPr="00AD12DD" w:rsidRDefault="00AD12DD" w:rsidP="00D615DF">
      <w:pPr>
        <w:keepNext/>
        <w:spacing w:after="0" w:line="240" w:lineRule="auto"/>
        <w:jc w:val="both"/>
        <w:rPr>
          <w:rFonts w:ascii="Arial" w:eastAsia="Times New Roman" w:hAnsi="Arial" w:cs="Arial"/>
          <w:b/>
          <w:bCs/>
          <w:caps/>
          <w:sz w:val="18"/>
          <w:szCs w:val="18"/>
        </w:rPr>
      </w:pPr>
    </w:p>
    <w:p w14:paraId="27817AA3" w14:textId="77777777" w:rsidR="00AD12DD" w:rsidRPr="00AD12DD" w:rsidRDefault="00AD12DD" w:rsidP="00D615DF">
      <w:pPr>
        <w:spacing w:after="0" w:line="240" w:lineRule="auto"/>
        <w:jc w:val="both"/>
        <w:rPr>
          <w:rFonts w:ascii="Arial" w:eastAsia="Times New Roman" w:hAnsi="Arial" w:cs="Arial"/>
          <w:sz w:val="20"/>
          <w:szCs w:val="20"/>
        </w:rPr>
      </w:pPr>
      <w:r w:rsidRPr="00AD12DD">
        <w:rPr>
          <w:rFonts w:ascii="Arial" w:eastAsia="Times New Roman" w:hAnsi="Arial" w:cs="Arial"/>
          <w:sz w:val="20"/>
          <w:szCs w:val="20"/>
        </w:rPr>
        <w:t xml:space="preserve">The ethical approval </w:t>
      </w:r>
      <w:bookmarkStart w:id="7" w:name="_Hlk216382551"/>
      <w:r w:rsidRPr="00AD12DD">
        <w:rPr>
          <w:rFonts w:ascii="Arial" w:eastAsia="Times New Roman" w:hAnsi="Arial" w:cs="Arial"/>
          <w:sz w:val="20"/>
          <w:szCs w:val="20"/>
        </w:rPr>
        <w:t xml:space="preserve">(Ref: MUREC-2025-1761) </w:t>
      </w:r>
      <w:bookmarkEnd w:id="7"/>
      <w:r w:rsidRPr="00AD12DD">
        <w:rPr>
          <w:rFonts w:ascii="Arial" w:eastAsia="Times New Roman" w:hAnsi="Arial" w:cs="Arial"/>
          <w:sz w:val="20"/>
          <w:szCs w:val="20"/>
        </w:rPr>
        <w:t>was granted by the Mildmay Uganda Research Ethics Committee.</w:t>
      </w:r>
    </w:p>
    <w:p w14:paraId="034400AC" w14:textId="77777777" w:rsidR="00AD12DD" w:rsidRPr="00D615DF" w:rsidRDefault="00AD12DD" w:rsidP="00D615DF">
      <w:pPr>
        <w:pStyle w:val="Heading2"/>
        <w:rPr>
          <w:rFonts w:eastAsia="Times New Roman"/>
          <w:sz w:val="20"/>
          <w:szCs w:val="20"/>
        </w:rPr>
      </w:pPr>
    </w:p>
    <w:p w14:paraId="78322E03" w14:textId="5E0E302E" w:rsidR="00AD12DD" w:rsidRDefault="00AA3BD0" w:rsidP="00D615DF">
      <w:pPr>
        <w:spacing w:after="0" w:line="240" w:lineRule="auto"/>
        <w:jc w:val="both"/>
        <w:rPr>
          <w:rFonts w:ascii="Arial" w:eastAsia="DengXian" w:hAnsi="Arial" w:cstheme="majorBidi"/>
          <w:b/>
          <w:bCs/>
          <w:sz w:val="21"/>
          <w:szCs w:val="21"/>
          <w:lang w:eastAsia="zh-CN"/>
        </w:rPr>
      </w:pPr>
      <w:bookmarkStart w:id="8" w:name="_GoBack"/>
      <w:r w:rsidRPr="004822D2">
        <w:rPr>
          <w:rFonts w:ascii="Arial" w:eastAsia="DengXian" w:hAnsi="Arial" w:cstheme="majorBidi"/>
          <w:b/>
          <w:bCs/>
          <w:sz w:val="21"/>
          <w:szCs w:val="21"/>
          <w:lang w:eastAsia="zh-CN"/>
        </w:rPr>
        <w:t xml:space="preserve">DISCLAIMER </w:t>
      </w:r>
      <w:bookmarkEnd w:id="8"/>
      <w:r w:rsidR="004822D2" w:rsidRPr="004822D2">
        <w:rPr>
          <w:rFonts w:ascii="Arial" w:eastAsia="DengXian" w:hAnsi="Arial" w:cstheme="majorBidi"/>
          <w:b/>
          <w:bCs/>
          <w:sz w:val="21"/>
          <w:szCs w:val="21"/>
          <w:lang w:eastAsia="zh-CN"/>
        </w:rPr>
        <w:t>(Artificial intelligence)</w:t>
      </w:r>
    </w:p>
    <w:p w14:paraId="5B3AC748" w14:textId="77777777" w:rsidR="004822D2" w:rsidRPr="00D615DF" w:rsidRDefault="004822D2" w:rsidP="00D615DF">
      <w:pPr>
        <w:spacing w:after="0" w:line="240" w:lineRule="auto"/>
        <w:jc w:val="both"/>
        <w:rPr>
          <w:rFonts w:ascii="Arial" w:eastAsia="DengXian" w:hAnsi="Arial" w:cs="Arial"/>
          <w:b/>
          <w:bCs/>
          <w:kern w:val="2"/>
          <w:sz w:val="20"/>
          <w:szCs w:val="20"/>
          <w:lang w:eastAsia="zh-CN"/>
        </w:rPr>
      </w:pPr>
    </w:p>
    <w:p w14:paraId="39C41DF6" w14:textId="0F0696EA" w:rsidR="00AD12DD" w:rsidRPr="00D615DF" w:rsidRDefault="00AD12DD" w:rsidP="00D615DF">
      <w:pPr>
        <w:spacing w:after="0" w:line="240" w:lineRule="auto"/>
        <w:jc w:val="both"/>
        <w:rPr>
          <w:rFonts w:ascii="Arial" w:eastAsia="DengXian" w:hAnsi="Arial" w:cs="Arial"/>
          <w:kern w:val="2"/>
          <w:sz w:val="20"/>
          <w:szCs w:val="20"/>
          <w:lang w:eastAsia="zh-CN"/>
        </w:rPr>
      </w:pPr>
      <w:r w:rsidRPr="00D615DF">
        <w:rPr>
          <w:rFonts w:ascii="Arial" w:eastAsia="DengXian" w:hAnsi="Arial" w:cs="Arial"/>
          <w:kern w:val="2"/>
          <w:sz w:val="20"/>
          <w:szCs w:val="20"/>
          <w:lang w:eastAsia="zh-CN"/>
        </w:rPr>
        <w:t xml:space="preserve">Authors hereby declare that NO generative AI technologies such as Large Language Models (ChatGPT, COPILOT, etc.) and text-to-image generators have been used during the writing or editing of this manuscript. </w:t>
      </w:r>
    </w:p>
    <w:p w14:paraId="23A1160F" w14:textId="77777777" w:rsidR="00D615DF" w:rsidRPr="00D615DF" w:rsidRDefault="00D615DF" w:rsidP="00D615DF">
      <w:pPr>
        <w:spacing w:after="0" w:line="240" w:lineRule="auto"/>
        <w:jc w:val="both"/>
        <w:rPr>
          <w:rFonts w:ascii="Arial" w:eastAsia="DengXian" w:hAnsi="Arial" w:cs="Arial"/>
          <w:kern w:val="2"/>
          <w:sz w:val="20"/>
          <w:szCs w:val="20"/>
          <w:lang w:eastAsia="zh-CN"/>
        </w:rPr>
      </w:pPr>
    </w:p>
    <w:p w14:paraId="28E23752" w14:textId="77777777" w:rsidR="00D615DF" w:rsidRPr="00D615DF" w:rsidRDefault="00D615DF" w:rsidP="00D615DF">
      <w:pPr>
        <w:pStyle w:val="Heading2"/>
        <w:rPr>
          <w:rFonts w:eastAsia="Times New Roman"/>
          <w:szCs w:val="22"/>
        </w:rPr>
      </w:pPr>
      <w:r w:rsidRPr="00D615DF">
        <w:rPr>
          <w:rFonts w:eastAsia="Times New Roman"/>
          <w:szCs w:val="22"/>
        </w:rPr>
        <w:t xml:space="preserve">COMPETING INTERESTS </w:t>
      </w:r>
    </w:p>
    <w:p w14:paraId="097119C3" w14:textId="77777777" w:rsidR="00D615DF" w:rsidRPr="00AD12DD" w:rsidRDefault="00D615DF" w:rsidP="00D615DF">
      <w:pPr>
        <w:spacing w:after="0" w:line="240" w:lineRule="auto"/>
        <w:jc w:val="both"/>
        <w:rPr>
          <w:rFonts w:ascii="Arial" w:eastAsia="Times New Roman" w:hAnsi="Arial" w:cs="Arial"/>
          <w:b/>
          <w:bCs/>
          <w:sz w:val="18"/>
          <w:szCs w:val="18"/>
        </w:rPr>
      </w:pPr>
    </w:p>
    <w:p w14:paraId="52F60091" w14:textId="0907112B" w:rsidR="00D615DF" w:rsidRPr="00D615DF" w:rsidRDefault="00D615DF" w:rsidP="00D615DF">
      <w:pPr>
        <w:spacing w:after="0" w:line="240" w:lineRule="auto"/>
        <w:jc w:val="both"/>
        <w:rPr>
          <w:rFonts w:ascii="Arial" w:eastAsia="Times New Roman" w:hAnsi="Arial" w:cs="Arial"/>
          <w:sz w:val="20"/>
          <w:szCs w:val="20"/>
        </w:rPr>
      </w:pPr>
      <w:r w:rsidRPr="00AD12DD">
        <w:rPr>
          <w:rFonts w:ascii="Arial" w:eastAsia="Times New Roman" w:hAnsi="Arial" w:cs="Arial"/>
          <w:sz w:val="20"/>
          <w:szCs w:val="20"/>
        </w:rPr>
        <w:t>Authors have declared that they have no known competing financial interests OR non-financial interests, OR personal relationships that could have appeared to influence the work reported in this paper.</w:t>
      </w:r>
    </w:p>
    <w:p w14:paraId="7C5BB690" w14:textId="77777777" w:rsidR="00D615DF" w:rsidRPr="00D615DF" w:rsidRDefault="00D615DF" w:rsidP="00D615DF">
      <w:pPr>
        <w:spacing w:after="0" w:line="240" w:lineRule="auto"/>
        <w:jc w:val="both"/>
        <w:rPr>
          <w:rFonts w:ascii="Arial" w:eastAsia="DengXian" w:hAnsi="Arial" w:cs="Arial"/>
          <w:kern w:val="2"/>
          <w:sz w:val="20"/>
          <w:szCs w:val="20"/>
          <w:lang w:eastAsia="zh-CN"/>
        </w:rPr>
      </w:pPr>
    </w:p>
    <w:p w14:paraId="33BE4647" w14:textId="07ADD791" w:rsidR="00AD12DD" w:rsidRPr="00D615DF" w:rsidRDefault="00AD12DD" w:rsidP="00D615DF">
      <w:pPr>
        <w:pStyle w:val="Heading2"/>
        <w:rPr>
          <w:rFonts w:eastAsia="DengXian"/>
          <w:lang w:eastAsia="zh-CN"/>
        </w:rPr>
      </w:pPr>
      <w:r w:rsidRPr="00D615DF">
        <w:rPr>
          <w:rFonts w:eastAsia="DengXian"/>
          <w:lang w:eastAsia="zh-CN"/>
        </w:rPr>
        <w:lastRenderedPageBreak/>
        <w:t>REFERENCES</w:t>
      </w:r>
    </w:p>
    <w:p w14:paraId="0FA3FEAB" w14:textId="77777777" w:rsidR="002761F2" w:rsidRPr="00D615DF" w:rsidRDefault="002761F2" w:rsidP="00D615DF">
      <w:pPr>
        <w:spacing w:after="0" w:line="240" w:lineRule="auto"/>
        <w:ind w:left="547" w:hanging="547"/>
        <w:jc w:val="both"/>
        <w:rPr>
          <w:rFonts w:ascii="Arial" w:eastAsia="Calibri" w:hAnsi="Arial" w:cs="Arial"/>
          <w:kern w:val="2"/>
          <w:sz w:val="18"/>
          <w:szCs w:val="18"/>
          <w:lang w:val="en-GB"/>
        </w:rPr>
      </w:pPr>
    </w:p>
    <w:p w14:paraId="216D981A"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Andretti, B., </w:t>
      </w:r>
      <w:proofErr w:type="spellStart"/>
      <w:r w:rsidRPr="002761F2">
        <w:rPr>
          <w:rFonts w:ascii="Arial" w:eastAsia="Times New Roman" w:hAnsi="Arial" w:cs="Arial"/>
          <w:sz w:val="20"/>
          <w:szCs w:val="20"/>
          <w:lang w:val="en-GB" w:eastAsia="en-GB"/>
        </w:rPr>
        <w:t>Goldszmidt</w:t>
      </w:r>
      <w:proofErr w:type="spellEnd"/>
      <w:r w:rsidRPr="002761F2">
        <w:rPr>
          <w:rFonts w:ascii="Arial" w:eastAsia="Times New Roman" w:hAnsi="Arial" w:cs="Arial"/>
          <w:sz w:val="20"/>
          <w:szCs w:val="20"/>
          <w:lang w:val="en-GB" w:eastAsia="en-GB"/>
        </w:rPr>
        <w:t xml:space="preserve">, R. B., &amp; Andrade, E. B. (2021). How changes in menu quality associate with subsequent expenditure on (un)healthy foods and beverages in school cafeterias: A three-year longitudinal study. </w:t>
      </w:r>
      <w:r w:rsidRPr="002761F2">
        <w:rPr>
          <w:rFonts w:ascii="Arial" w:eastAsia="Times New Roman" w:hAnsi="Arial" w:cs="Arial"/>
          <w:i/>
          <w:iCs/>
          <w:sz w:val="20"/>
          <w:szCs w:val="20"/>
          <w:lang w:val="en-GB" w:eastAsia="en-GB"/>
        </w:rPr>
        <w:t>Preventive Medicine, 146</w:t>
      </w:r>
      <w:r w:rsidRPr="002761F2">
        <w:rPr>
          <w:rFonts w:ascii="Arial" w:eastAsia="Times New Roman" w:hAnsi="Arial" w:cs="Arial"/>
          <w:sz w:val="20"/>
          <w:szCs w:val="20"/>
          <w:lang w:val="en-GB" w:eastAsia="en-GB"/>
        </w:rPr>
        <w:t>, 106456.</w:t>
      </w:r>
    </w:p>
    <w:p w14:paraId="0470D6D8"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Azeredo, C. M., de Rezende, L. F. M., Canella, D. S., Claro, R. M., Peres, M. F. T., do Carmo Luiz, O., França-Junior, I., Kinra, S., Hawkesworth, S., &amp; Levy, R. B. (2016). Food environments in schools and in the immediate vicinity are associated with unhealthy food consumption among Brazilian adolescents. </w:t>
      </w:r>
      <w:r w:rsidRPr="002761F2">
        <w:rPr>
          <w:rFonts w:ascii="Arial" w:eastAsia="Times New Roman" w:hAnsi="Arial" w:cs="Arial"/>
          <w:i/>
          <w:iCs/>
          <w:sz w:val="20"/>
          <w:szCs w:val="20"/>
          <w:lang w:val="en-GB" w:eastAsia="en-GB"/>
        </w:rPr>
        <w:t>Preventive Medicine, 88</w:t>
      </w:r>
      <w:r w:rsidRPr="002761F2">
        <w:rPr>
          <w:rFonts w:ascii="Arial" w:eastAsia="Times New Roman" w:hAnsi="Arial" w:cs="Arial"/>
          <w:sz w:val="20"/>
          <w:szCs w:val="20"/>
          <w:lang w:val="en-GB" w:eastAsia="en-GB"/>
        </w:rPr>
        <w:t>, 73–79.</w:t>
      </w:r>
    </w:p>
    <w:p w14:paraId="77EED530"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Balakrishnan, V. S. (2025). Mexico's school junk food ban to foster healthier futures. </w:t>
      </w:r>
      <w:r w:rsidRPr="002761F2">
        <w:rPr>
          <w:rFonts w:ascii="Arial" w:eastAsia="Times New Roman" w:hAnsi="Arial" w:cs="Arial"/>
          <w:i/>
          <w:iCs/>
          <w:sz w:val="20"/>
          <w:szCs w:val="20"/>
          <w:lang w:val="en-GB" w:eastAsia="en-GB"/>
        </w:rPr>
        <w:t>The Lancet Child &amp; Adolescent Health, 9</w:t>
      </w:r>
      <w:r w:rsidRPr="002761F2">
        <w:rPr>
          <w:rFonts w:ascii="Arial" w:eastAsia="Times New Roman" w:hAnsi="Arial" w:cs="Arial"/>
          <w:sz w:val="20"/>
          <w:szCs w:val="20"/>
          <w:lang w:val="en-GB" w:eastAsia="en-GB"/>
        </w:rPr>
        <w:t>(11), 761–762.</w:t>
      </w:r>
    </w:p>
    <w:p w14:paraId="20757F89"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Bennett, J., Broom, A., &amp; </w:t>
      </w:r>
      <w:proofErr w:type="spellStart"/>
      <w:r w:rsidRPr="002761F2">
        <w:rPr>
          <w:rFonts w:ascii="Arial" w:eastAsia="Times New Roman" w:hAnsi="Arial" w:cs="Arial"/>
          <w:sz w:val="20"/>
          <w:szCs w:val="20"/>
          <w:lang w:val="en-GB" w:eastAsia="en-GB"/>
        </w:rPr>
        <w:t>Raubenheimer</w:t>
      </w:r>
      <w:proofErr w:type="spellEnd"/>
      <w:r w:rsidRPr="002761F2">
        <w:rPr>
          <w:rFonts w:ascii="Arial" w:eastAsia="Times New Roman" w:hAnsi="Arial" w:cs="Arial"/>
          <w:sz w:val="20"/>
          <w:szCs w:val="20"/>
          <w:lang w:val="en-GB" w:eastAsia="en-GB"/>
        </w:rPr>
        <w:t xml:space="preserve">, D. (2025). The school lunchbox as a social problem. </w:t>
      </w:r>
      <w:r w:rsidRPr="002761F2">
        <w:rPr>
          <w:rFonts w:ascii="Arial" w:eastAsia="Times New Roman" w:hAnsi="Arial" w:cs="Arial"/>
          <w:i/>
          <w:iCs/>
          <w:sz w:val="20"/>
          <w:szCs w:val="20"/>
          <w:lang w:val="en-GB" w:eastAsia="en-GB"/>
        </w:rPr>
        <w:t>Health</w:t>
      </w:r>
      <w:r w:rsidRPr="002761F2">
        <w:rPr>
          <w:rFonts w:ascii="Arial" w:eastAsia="Times New Roman" w:hAnsi="Arial" w:cs="Arial"/>
          <w:sz w:val="20"/>
          <w:szCs w:val="20"/>
          <w:lang w:val="en-GB" w:eastAsia="en-GB"/>
        </w:rPr>
        <w:t>, 13634593251397669.</w:t>
      </w:r>
    </w:p>
    <w:p w14:paraId="56AA703A"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Bhatt, R., Madan, J., &amp; Moitra, P. (2019). Determinants of food choice in a school environment. </w:t>
      </w:r>
      <w:r w:rsidRPr="002761F2">
        <w:rPr>
          <w:rFonts w:ascii="Arial" w:eastAsia="Times New Roman" w:hAnsi="Arial" w:cs="Arial"/>
          <w:i/>
          <w:iCs/>
          <w:sz w:val="20"/>
          <w:szCs w:val="20"/>
          <w:lang w:val="en-GB" w:eastAsia="en-GB"/>
        </w:rPr>
        <w:t>Indian Journal of Public Health Research &amp; Development, 10</w:t>
      </w:r>
      <w:r w:rsidRPr="002761F2">
        <w:rPr>
          <w:rFonts w:ascii="Arial" w:eastAsia="Times New Roman" w:hAnsi="Arial" w:cs="Arial"/>
          <w:sz w:val="20"/>
          <w:szCs w:val="20"/>
          <w:lang w:val="en-GB" w:eastAsia="en-GB"/>
        </w:rPr>
        <w:t>(9).</w:t>
      </w:r>
    </w:p>
    <w:p w14:paraId="63A04985"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Cartagena, R. S. (2014). Are the foods and drinks in your school canteen healthy? An assessment of the nutritional value of the foods and drinks sold at the school canteens of De La Salle Araneta University. </w:t>
      </w:r>
      <w:r w:rsidRPr="002761F2">
        <w:rPr>
          <w:rFonts w:ascii="Arial" w:eastAsia="Times New Roman" w:hAnsi="Arial" w:cs="Arial"/>
          <w:i/>
          <w:iCs/>
          <w:sz w:val="20"/>
          <w:szCs w:val="20"/>
          <w:lang w:val="en-GB" w:eastAsia="en-GB"/>
        </w:rPr>
        <w:t>Research Congress.</w:t>
      </w:r>
    </w:p>
    <w:p w14:paraId="1731551A"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proofErr w:type="spellStart"/>
      <w:r w:rsidRPr="002761F2">
        <w:rPr>
          <w:rFonts w:ascii="Arial" w:eastAsia="Times New Roman" w:hAnsi="Arial" w:cs="Arial"/>
          <w:sz w:val="20"/>
          <w:szCs w:val="20"/>
          <w:lang w:val="en-GB" w:eastAsia="en-GB"/>
        </w:rPr>
        <w:t>Chaokromthong</w:t>
      </w:r>
      <w:proofErr w:type="spellEnd"/>
      <w:r w:rsidRPr="002761F2">
        <w:rPr>
          <w:rFonts w:ascii="Arial" w:eastAsia="Times New Roman" w:hAnsi="Arial" w:cs="Arial"/>
          <w:sz w:val="20"/>
          <w:szCs w:val="20"/>
          <w:lang w:val="en-GB" w:eastAsia="en-GB"/>
        </w:rPr>
        <w:t xml:space="preserve">, K., &amp; </w:t>
      </w:r>
      <w:proofErr w:type="spellStart"/>
      <w:r w:rsidRPr="002761F2">
        <w:rPr>
          <w:rFonts w:ascii="Arial" w:eastAsia="Times New Roman" w:hAnsi="Arial" w:cs="Arial"/>
          <w:sz w:val="20"/>
          <w:szCs w:val="20"/>
          <w:lang w:val="en-GB" w:eastAsia="en-GB"/>
        </w:rPr>
        <w:t>Sintao</w:t>
      </w:r>
      <w:proofErr w:type="spellEnd"/>
      <w:r w:rsidRPr="002761F2">
        <w:rPr>
          <w:rFonts w:ascii="Arial" w:eastAsia="Times New Roman" w:hAnsi="Arial" w:cs="Arial"/>
          <w:sz w:val="20"/>
          <w:szCs w:val="20"/>
          <w:lang w:val="en-GB" w:eastAsia="en-GB"/>
        </w:rPr>
        <w:t xml:space="preserve">, N. (2021). Sample size estimation using Yamane and Cochran and </w:t>
      </w:r>
      <w:proofErr w:type="spellStart"/>
      <w:r w:rsidRPr="002761F2">
        <w:rPr>
          <w:rFonts w:ascii="Arial" w:eastAsia="Times New Roman" w:hAnsi="Arial" w:cs="Arial"/>
          <w:sz w:val="20"/>
          <w:szCs w:val="20"/>
          <w:lang w:val="en-GB" w:eastAsia="en-GB"/>
        </w:rPr>
        <w:t>Krejcie</w:t>
      </w:r>
      <w:proofErr w:type="spellEnd"/>
      <w:r w:rsidRPr="002761F2">
        <w:rPr>
          <w:rFonts w:ascii="Arial" w:eastAsia="Times New Roman" w:hAnsi="Arial" w:cs="Arial"/>
          <w:sz w:val="20"/>
          <w:szCs w:val="20"/>
          <w:lang w:val="en-GB" w:eastAsia="en-GB"/>
        </w:rPr>
        <w:t xml:space="preserve"> and Morgan and Green formulas and Cohen statistical power analysis by G* Power and comparisons. </w:t>
      </w:r>
      <w:proofErr w:type="spellStart"/>
      <w:r w:rsidRPr="002761F2">
        <w:rPr>
          <w:rFonts w:ascii="Arial" w:eastAsia="Times New Roman" w:hAnsi="Arial" w:cs="Arial"/>
          <w:i/>
          <w:iCs/>
          <w:sz w:val="20"/>
          <w:szCs w:val="20"/>
          <w:lang w:val="en-GB" w:eastAsia="en-GB"/>
        </w:rPr>
        <w:t>Apheit</w:t>
      </w:r>
      <w:proofErr w:type="spellEnd"/>
      <w:r w:rsidRPr="002761F2">
        <w:rPr>
          <w:rFonts w:ascii="Arial" w:eastAsia="Times New Roman" w:hAnsi="Arial" w:cs="Arial"/>
          <w:i/>
          <w:iCs/>
          <w:sz w:val="20"/>
          <w:szCs w:val="20"/>
          <w:lang w:val="en-GB" w:eastAsia="en-GB"/>
        </w:rPr>
        <w:t xml:space="preserve"> International Journal of Interdisciplinary Social Sciences and Technology, 10</w:t>
      </w:r>
      <w:r w:rsidRPr="002761F2">
        <w:rPr>
          <w:rFonts w:ascii="Arial" w:eastAsia="Times New Roman" w:hAnsi="Arial" w:cs="Arial"/>
          <w:sz w:val="20"/>
          <w:szCs w:val="20"/>
          <w:lang w:val="en-GB" w:eastAsia="en-GB"/>
        </w:rPr>
        <w:t>(2), 76–86.</w:t>
      </w:r>
    </w:p>
    <w:p w14:paraId="5A9A7B7E"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Chattaraj, D. (2025). Food literacy and the Global South. In </w:t>
      </w:r>
      <w:r w:rsidRPr="002761F2">
        <w:rPr>
          <w:rFonts w:ascii="Arial" w:eastAsia="Times New Roman" w:hAnsi="Arial" w:cs="Arial"/>
          <w:i/>
          <w:iCs/>
          <w:sz w:val="20"/>
          <w:szCs w:val="20"/>
          <w:lang w:val="en-GB" w:eastAsia="en-GB"/>
        </w:rPr>
        <w:t>Food literacy, curriculum, and the Global South: Examples from South Asia</w:t>
      </w:r>
      <w:r w:rsidRPr="002761F2">
        <w:rPr>
          <w:rFonts w:ascii="Arial" w:eastAsia="Times New Roman" w:hAnsi="Arial" w:cs="Arial"/>
          <w:sz w:val="20"/>
          <w:szCs w:val="20"/>
          <w:lang w:val="en-GB" w:eastAsia="en-GB"/>
        </w:rPr>
        <w:t xml:space="preserve"> (pp. 31–60). Springer.</w:t>
      </w:r>
    </w:p>
    <w:p w14:paraId="738081B0"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Devine, L. D., Gallagher, A. M., Briggs, S., &amp; Hill, A. J. (2023). Factors that influence food choices in secondary school canteens: A qualitative study of pupil and staff perspectives. </w:t>
      </w:r>
      <w:r w:rsidRPr="002761F2">
        <w:rPr>
          <w:rFonts w:ascii="Arial" w:eastAsia="Times New Roman" w:hAnsi="Arial" w:cs="Arial"/>
          <w:i/>
          <w:iCs/>
          <w:sz w:val="20"/>
          <w:szCs w:val="20"/>
          <w:lang w:val="en-GB" w:eastAsia="en-GB"/>
        </w:rPr>
        <w:t>Frontiers in Public Health, 11</w:t>
      </w:r>
      <w:r w:rsidRPr="002761F2">
        <w:rPr>
          <w:rFonts w:ascii="Arial" w:eastAsia="Times New Roman" w:hAnsi="Arial" w:cs="Arial"/>
          <w:sz w:val="20"/>
          <w:szCs w:val="20"/>
          <w:lang w:val="en-GB" w:eastAsia="en-GB"/>
        </w:rPr>
        <w:t xml:space="preserve">, 1227075. </w:t>
      </w:r>
      <w:hyperlink r:id="rId16" w:tgtFrame="_new" w:history="1">
        <w:r w:rsidRPr="002761F2">
          <w:rPr>
            <w:rFonts w:ascii="Arial" w:eastAsia="Times New Roman" w:hAnsi="Arial" w:cs="Arial"/>
            <w:sz w:val="20"/>
            <w:szCs w:val="20"/>
            <w:lang w:val="en-GB" w:eastAsia="en-GB"/>
          </w:rPr>
          <w:t>https://doi.org/10.3389/fpubh.2023.1227075</w:t>
        </w:r>
      </w:hyperlink>
    </w:p>
    <w:p w14:paraId="23FC32E0"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Devine, L. D., Hill, A. J., &amp; Gallagher, A. M. (2023). Improving adolescents' dietary behaviours in the school-setting: </w:t>
      </w:r>
      <w:r w:rsidRPr="002761F2">
        <w:rPr>
          <w:rFonts w:ascii="Arial" w:eastAsia="Times New Roman" w:hAnsi="Arial" w:cs="Arial"/>
          <w:sz w:val="20"/>
          <w:szCs w:val="20"/>
          <w:lang w:val="en-GB" w:eastAsia="en-GB"/>
        </w:rPr>
        <w:t xml:space="preserve">Challenges and opportunities. </w:t>
      </w:r>
      <w:r w:rsidRPr="002761F2">
        <w:rPr>
          <w:rFonts w:ascii="Arial" w:eastAsia="Times New Roman" w:hAnsi="Arial" w:cs="Arial"/>
          <w:i/>
          <w:iCs/>
          <w:sz w:val="20"/>
          <w:szCs w:val="20"/>
          <w:lang w:val="en-GB" w:eastAsia="en-GB"/>
        </w:rPr>
        <w:t>Proceedings of the Nutrition Society, 82</w:t>
      </w:r>
      <w:r w:rsidRPr="002761F2">
        <w:rPr>
          <w:rFonts w:ascii="Arial" w:eastAsia="Times New Roman" w:hAnsi="Arial" w:cs="Arial"/>
          <w:sz w:val="20"/>
          <w:szCs w:val="20"/>
          <w:lang w:val="en-GB" w:eastAsia="en-GB"/>
        </w:rPr>
        <w:t>(2), 172–185.</w:t>
      </w:r>
    </w:p>
    <w:p w14:paraId="1D38919F"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proofErr w:type="spellStart"/>
      <w:r w:rsidRPr="002761F2">
        <w:rPr>
          <w:rFonts w:ascii="Arial" w:eastAsia="Times New Roman" w:hAnsi="Arial" w:cs="Arial"/>
          <w:sz w:val="20"/>
          <w:szCs w:val="20"/>
          <w:lang w:val="en-GB" w:eastAsia="en-GB"/>
        </w:rPr>
        <w:t>Evenhuis</w:t>
      </w:r>
      <w:proofErr w:type="spellEnd"/>
      <w:r w:rsidRPr="002761F2">
        <w:rPr>
          <w:rFonts w:ascii="Arial" w:eastAsia="Times New Roman" w:hAnsi="Arial" w:cs="Arial"/>
          <w:sz w:val="20"/>
          <w:szCs w:val="20"/>
          <w:lang w:val="en-GB" w:eastAsia="en-GB"/>
        </w:rPr>
        <w:t xml:space="preserve">, I. J., Jacobs, S. M., Vyth, E. L., Veldhuis, L., de Boer, M. R., Seidell, J. C., &amp; Renders, C. M. (2020). The effect of supportive implementation of healthier canteen guidelines on changes in Dutch school canteens and student purchase behaviour. </w:t>
      </w:r>
      <w:r w:rsidRPr="002761F2">
        <w:rPr>
          <w:rFonts w:ascii="Arial" w:eastAsia="Times New Roman" w:hAnsi="Arial" w:cs="Arial"/>
          <w:i/>
          <w:iCs/>
          <w:sz w:val="20"/>
          <w:szCs w:val="20"/>
          <w:lang w:val="en-GB" w:eastAsia="en-GB"/>
        </w:rPr>
        <w:t>Nutrients, 12</w:t>
      </w:r>
      <w:r w:rsidRPr="002761F2">
        <w:rPr>
          <w:rFonts w:ascii="Arial" w:eastAsia="Times New Roman" w:hAnsi="Arial" w:cs="Arial"/>
          <w:sz w:val="20"/>
          <w:szCs w:val="20"/>
          <w:lang w:val="en-GB" w:eastAsia="en-GB"/>
        </w:rPr>
        <w:t>(8), 2419.</w:t>
      </w:r>
    </w:p>
    <w:p w14:paraId="1E3736DD"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Fagerberg, P., Langlet, B., Glossner, A., &amp; </w:t>
      </w:r>
      <w:proofErr w:type="spellStart"/>
      <w:r w:rsidRPr="002761F2">
        <w:rPr>
          <w:rFonts w:ascii="Arial" w:eastAsia="Times New Roman" w:hAnsi="Arial" w:cs="Arial"/>
          <w:sz w:val="20"/>
          <w:szCs w:val="20"/>
          <w:lang w:val="en-GB" w:eastAsia="en-GB"/>
        </w:rPr>
        <w:t>Ioakimidis</w:t>
      </w:r>
      <w:proofErr w:type="spellEnd"/>
      <w:r w:rsidRPr="002761F2">
        <w:rPr>
          <w:rFonts w:ascii="Arial" w:eastAsia="Times New Roman" w:hAnsi="Arial" w:cs="Arial"/>
          <w:sz w:val="20"/>
          <w:szCs w:val="20"/>
          <w:lang w:val="en-GB" w:eastAsia="en-GB"/>
        </w:rPr>
        <w:t xml:space="preserve">, I. (2019). Food intake during school lunch is better explained by objectively measured eating </w:t>
      </w:r>
      <w:proofErr w:type="spellStart"/>
      <w:r w:rsidRPr="002761F2">
        <w:rPr>
          <w:rFonts w:ascii="Arial" w:eastAsia="Times New Roman" w:hAnsi="Arial" w:cs="Arial"/>
          <w:sz w:val="20"/>
          <w:szCs w:val="20"/>
          <w:lang w:val="en-GB" w:eastAsia="en-GB"/>
        </w:rPr>
        <w:t>behaviors</w:t>
      </w:r>
      <w:proofErr w:type="spellEnd"/>
      <w:r w:rsidRPr="002761F2">
        <w:rPr>
          <w:rFonts w:ascii="Arial" w:eastAsia="Times New Roman" w:hAnsi="Arial" w:cs="Arial"/>
          <w:sz w:val="20"/>
          <w:szCs w:val="20"/>
          <w:lang w:val="en-GB" w:eastAsia="en-GB"/>
        </w:rPr>
        <w:t xml:space="preserve"> than by subjectively rated food taste and fullness: A cross-sectional study. </w:t>
      </w:r>
      <w:r w:rsidRPr="002761F2">
        <w:rPr>
          <w:rFonts w:ascii="Arial" w:eastAsia="Times New Roman" w:hAnsi="Arial" w:cs="Arial"/>
          <w:i/>
          <w:iCs/>
          <w:sz w:val="20"/>
          <w:szCs w:val="20"/>
          <w:lang w:val="en-GB" w:eastAsia="en-GB"/>
        </w:rPr>
        <w:t>Nutrients, 11</w:t>
      </w:r>
      <w:r w:rsidRPr="002761F2">
        <w:rPr>
          <w:rFonts w:ascii="Arial" w:eastAsia="Times New Roman" w:hAnsi="Arial" w:cs="Arial"/>
          <w:sz w:val="20"/>
          <w:szCs w:val="20"/>
          <w:lang w:val="en-GB" w:eastAsia="en-GB"/>
        </w:rPr>
        <w:t>(3), 597.</w:t>
      </w:r>
    </w:p>
    <w:p w14:paraId="4740754E"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French, S. A. (2003). Pricing effects on food choices. </w:t>
      </w:r>
      <w:r w:rsidRPr="002761F2">
        <w:rPr>
          <w:rFonts w:ascii="Arial" w:eastAsia="Times New Roman" w:hAnsi="Arial" w:cs="Arial"/>
          <w:i/>
          <w:iCs/>
          <w:sz w:val="20"/>
          <w:szCs w:val="20"/>
          <w:lang w:val="en-GB" w:eastAsia="en-GB"/>
        </w:rPr>
        <w:t>The Journal of Nutrition, 133</w:t>
      </w:r>
      <w:r w:rsidRPr="002761F2">
        <w:rPr>
          <w:rFonts w:ascii="Arial" w:eastAsia="Times New Roman" w:hAnsi="Arial" w:cs="Arial"/>
          <w:sz w:val="20"/>
          <w:szCs w:val="20"/>
          <w:lang w:val="en-GB" w:eastAsia="en-GB"/>
        </w:rPr>
        <w:t>(3), 841S–843S.</w:t>
      </w:r>
    </w:p>
    <w:p w14:paraId="0EE113F2"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Ghaffar, S. A., Talib, R. A., &amp; Karim, N. A. (2019). Food choices and diet quality in the school food environment: A qualitative insight from the perspective of adolescents. </w:t>
      </w:r>
      <w:r w:rsidRPr="002761F2">
        <w:rPr>
          <w:rFonts w:ascii="Arial" w:eastAsia="Times New Roman" w:hAnsi="Arial" w:cs="Arial"/>
          <w:i/>
          <w:iCs/>
          <w:sz w:val="20"/>
          <w:szCs w:val="20"/>
          <w:lang w:val="en-GB" w:eastAsia="en-GB"/>
        </w:rPr>
        <w:t>Malaysian Journal of Medical and Health Sciences, 45</w:t>
      </w:r>
      <w:r w:rsidRPr="002761F2">
        <w:rPr>
          <w:rFonts w:ascii="Arial" w:eastAsia="Times New Roman" w:hAnsi="Arial" w:cs="Arial"/>
          <w:sz w:val="20"/>
          <w:szCs w:val="20"/>
          <w:lang w:val="en-GB" w:eastAsia="en-GB"/>
        </w:rPr>
        <w:t>, 15.</w:t>
      </w:r>
    </w:p>
    <w:p w14:paraId="6BC6DFE3"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Gilmour, A., Gill, S., &amp; Loudon, G. (2020). Young adolescents’ experiences and views on eating and food. </w:t>
      </w:r>
      <w:r w:rsidRPr="002761F2">
        <w:rPr>
          <w:rFonts w:ascii="Arial" w:eastAsia="Times New Roman" w:hAnsi="Arial" w:cs="Arial"/>
          <w:i/>
          <w:iCs/>
          <w:sz w:val="20"/>
          <w:szCs w:val="20"/>
          <w:lang w:val="en-GB" w:eastAsia="en-GB"/>
        </w:rPr>
        <w:t>Young Consumers, 21</w:t>
      </w:r>
      <w:r w:rsidRPr="002761F2">
        <w:rPr>
          <w:rFonts w:ascii="Arial" w:eastAsia="Times New Roman" w:hAnsi="Arial" w:cs="Arial"/>
          <w:sz w:val="20"/>
          <w:szCs w:val="20"/>
          <w:lang w:val="en-GB" w:eastAsia="en-GB"/>
        </w:rPr>
        <w:t>(4), 389–402.</w:t>
      </w:r>
    </w:p>
    <w:p w14:paraId="4787F16A"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Gracey, D., Stanley, N., Burke, V., Corti, B., &amp; Beilin, L. (1996). Nutritional knowledge, beliefs and behaviours in teenage school students. </w:t>
      </w:r>
      <w:r w:rsidRPr="002761F2">
        <w:rPr>
          <w:rFonts w:ascii="Arial" w:eastAsia="Times New Roman" w:hAnsi="Arial" w:cs="Arial"/>
          <w:i/>
          <w:iCs/>
          <w:sz w:val="20"/>
          <w:szCs w:val="20"/>
          <w:lang w:val="en-GB" w:eastAsia="en-GB"/>
        </w:rPr>
        <w:t>Health Education Research, 11</w:t>
      </w:r>
      <w:r w:rsidRPr="002761F2">
        <w:rPr>
          <w:rFonts w:ascii="Arial" w:eastAsia="Times New Roman" w:hAnsi="Arial" w:cs="Arial"/>
          <w:sz w:val="20"/>
          <w:szCs w:val="20"/>
          <w:lang w:val="en-GB" w:eastAsia="en-GB"/>
        </w:rPr>
        <w:t>(2), 187–204.</w:t>
      </w:r>
    </w:p>
    <w:p w14:paraId="4545435A"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Gubbels, J. S. (2020). Environmental influences on dietary intake of children and adolescents. </w:t>
      </w:r>
      <w:r w:rsidRPr="002761F2">
        <w:rPr>
          <w:rFonts w:ascii="Arial" w:eastAsia="Times New Roman" w:hAnsi="Arial" w:cs="Arial"/>
          <w:i/>
          <w:iCs/>
          <w:sz w:val="20"/>
          <w:szCs w:val="20"/>
          <w:lang w:val="en-GB" w:eastAsia="en-GB"/>
        </w:rPr>
        <w:t>MDPI, 12</w:t>
      </w:r>
      <w:r w:rsidRPr="002761F2">
        <w:rPr>
          <w:rFonts w:ascii="Arial" w:eastAsia="Times New Roman" w:hAnsi="Arial" w:cs="Arial"/>
          <w:sz w:val="20"/>
          <w:szCs w:val="20"/>
          <w:lang w:val="en-GB" w:eastAsia="en-GB"/>
        </w:rPr>
        <w:t>, 922.</w:t>
      </w:r>
    </w:p>
    <w:p w14:paraId="0D35B75A"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Hermans, R. C., De Bruin, H., Larsen, J. K., Mensink, F., &amp; Hoek, A. C. (2017). Adolescents’ responses to a school-based prevention program promoting healthy eating at school. </w:t>
      </w:r>
      <w:r w:rsidRPr="002761F2">
        <w:rPr>
          <w:rFonts w:ascii="Arial" w:eastAsia="Times New Roman" w:hAnsi="Arial" w:cs="Arial"/>
          <w:i/>
          <w:iCs/>
          <w:sz w:val="20"/>
          <w:szCs w:val="20"/>
          <w:lang w:val="en-GB" w:eastAsia="en-GB"/>
        </w:rPr>
        <w:t>Frontiers in Public Health, 5</w:t>
      </w:r>
      <w:r w:rsidRPr="002761F2">
        <w:rPr>
          <w:rFonts w:ascii="Arial" w:eastAsia="Times New Roman" w:hAnsi="Arial" w:cs="Arial"/>
          <w:sz w:val="20"/>
          <w:szCs w:val="20"/>
          <w:lang w:val="en-GB" w:eastAsia="en-GB"/>
        </w:rPr>
        <w:t>, 309.</w:t>
      </w:r>
    </w:p>
    <w:p w14:paraId="60C7C17F"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proofErr w:type="spellStart"/>
      <w:r w:rsidRPr="002761F2">
        <w:rPr>
          <w:rFonts w:ascii="Arial" w:eastAsia="Times New Roman" w:hAnsi="Arial" w:cs="Arial"/>
          <w:sz w:val="20"/>
          <w:szCs w:val="20"/>
          <w:lang w:val="en-GB" w:eastAsia="en-GB"/>
        </w:rPr>
        <w:t>Hormenu</w:t>
      </w:r>
      <w:proofErr w:type="spellEnd"/>
      <w:r w:rsidRPr="002761F2">
        <w:rPr>
          <w:rFonts w:ascii="Arial" w:eastAsia="Times New Roman" w:hAnsi="Arial" w:cs="Arial"/>
          <w:sz w:val="20"/>
          <w:szCs w:val="20"/>
          <w:lang w:val="en-GB" w:eastAsia="en-GB"/>
        </w:rPr>
        <w:t xml:space="preserve">, T. (2022). Dietary intake and its associated factors among in-school adolescents in Ghana. </w:t>
      </w:r>
      <w:proofErr w:type="spellStart"/>
      <w:r w:rsidRPr="002761F2">
        <w:rPr>
          <w:rFonts w:ascii="Arial" w:eastAsia="Times New Roman" w:hAnsi="Arial" w:cs="Arial"/>
          <w:i/>
          <w:iCs/>
          <w:sz w:val="20"/>
          <w:szCs w:val="20"/>
          <w:lang w:val="en-GB" w:eastAsia="en-GB"/>
        </w:rPr>
        <w:t>PLoS</w:t>
      </w:r>
      <w:proofErr w:type="spellEnd"/>
      <w:r w:rsidRPr="002761F2">
        <w:rPr>
          <w:rFonts w:ascii="Arial" w:eastAsia="Times New Roman" w:hAnsi="Arial" w:cs="Arial"/>
          <w:i/>
          <w:iCs/>
          <w:sz w:val="20"/>
          <w:szCs w:val="20"/>
          <w:lang w:val="en-GB" w:eastAsia="en-GB"/>
        </w:rPr>
        <w:t xml:space="preserve"> ONE, 17</w:t>
      </w:r>
      <w:r w:rsidRPr="002761F2">
        <w:rPr>
          <w:rFonts w:ascii="Arial" w:eastAsia="Times New Roman" w:hAnsi="Arial" w:cs="Arial"/>
          <w:sz w:val="20"/>
          <w:szCs w:val="20"/>
          <w:lang w:val="en-GB" w:eastAsia="en-GB"/>
        </w:rPr>
        <w:t>(5), e0268319.</w:t>
      </w:r>
    </w:p>
    <w:p w14:paraId="6A57221D"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Iyassu, A., Laillou, A., Tilahun, K., Workneh, F., </w:t>
      </w:r>
      <w:proofErr w:type="spellStart"/>
      <w:r w:rsidRPr="002761F2">
        <w:rPr>
          <w:rFonts w:ascii="Arial" w:eastAsia="Times New Roman" w:hAnsi="Arial" w:cs="Arial"/>
          <w:sz w:val="20"/>
          <w:szCs w:val="20"/>
          <w:lang w:val="en-GB" w:eastAsia="en-GB"/>
        </w:rPr>
        <w:t>Mogues</w:t>
      </w:r>
      <w:proofErr w:type="spellEnd"/>
      <w:r w:rsidRPr="002761F2">
        <w:rPr>
          <w:rFonts w:ascii="Arial" w:eastAsia="Times New Roman" w:hAnsi="Arial" w:cs="Arial"/>
          <w:sz w:val="20"/>
          <w:szCs w:val="20"/>
          <w:lang w:val="en-GB" w:eastAsia="en-GB"/>
        </w:rPr>
        <w:t xml:space="preserve">, S., </w:t>
      </w:r>
      <w:proofErr w:type="spellStart"/>
      <w:r w:rsidRPr="002761F2">
        <w:rPr>
          <w:rFonts w:ascii="Arial" w:eastAsia="Times New Roman" w:hAnsi="Arial" w:cs="Arial"/>
          <w:sz w:val="20"/>
          <w:szCs w:val="20"/>
          <w:lang w:val="en-GB" w:eastAsia="en-GB"/>
        </w:rPr>
        <w:t>Chitekwe</w:t>
      </w:r>
      <w:proofErr w:type="spellEnd"/>
      <w:r w:rsidRPr="002761F2">
        <w:rPr>
          <w:rFonts w:ascii="Arial" w:eastAsia="Times New Roman" w:hAnsi="Arial" w:cs="Arial"/>
          <w:sz w:val="20"/>
          <w:szCs w:val="20"/>
          <w:lang w:val="en-GB" w:eastAsia="en-GB"/>
        </w:rPr>
        <w:t xml:space="preserve">, S., &amp; Baye, K. (2024). The influence of adolescents' nutrition knowledge and school food environment on adolescents' dietary </w:t>
      </w:r>
      <w:proofErr w:type="spellStart"/>
      <w:r w:rsidRPr="002761F2">
        <w:rPr>
          <w:rFonts w:ascii="Arial" w:eastAsia="Times New Roman" w:hAnsi="Arial" w:cs="Arial"/>
          <w:sz w:val="20"/>
          <w:szCs w:val="20"/>
          <w:lang w:val="en-GB" w:eastAsia="en-GB"/>
        </w:rPr>
        <w:t>behaviors</w:t>
      </w:r>
      <w:proofErr w:type="spellEnd"/>
      <w:r w:rsidRPr="002761F2">
        <w:rPr>
          <w:rFonts w:ascii="Arial" w:eastAsia="Times New Roman" w:hAnsi="Arial" w:cs="Arial"/>
          <w:sz w:val="20"/>
          <w:szCs w:val="20"/>
          <w:lang w:val="en-GB" w:eastAsia="en-GB"/>
        </w:rPr>
        <w:t xml:space="preserve"> in urban Ethiopia: A qualitative study. </w:t>
      </w:r>
      <w:r w:rsidRPr="002761F2">
        <w:rPr>
          <w:rFonts w:ascii="Arial" w:eastAsia="Times New Roman" w:hAnsi="Arial" w:cs="Arial"/>
          <w:i/>
          <w:iCs/>
          <w:sz w:val="20"/>
          <w:szCs w:val="20"/>
          <w:lang w:val="en-GB" w:eastAsia="en-GB"/>
        </w:rPr>
        <w:t>Maternal &amp; Child Nutrition, 20</w:t>
      </w:r>
      <w:r w:rsidRPr="002761F2">
        <w:rPr>
          <w:rFonts w:ascii="Arial" w:eastAsia="Times New Roman" w:hAnsi="Arial" w:cs="Arial"/>
          <w:sz w:val="20"/>
          <w:szCs w:val="20"/>
          <w:lang w:val="en-GB" w:eastAsia="en-GB"/>
        </w:rPr>
        <w:t>, e13527.</w:t>
      </w:r>
    </w:p>
    <w:p w14:paraId="2BC4B1D7"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Janha, R. E., Hardy-Johnson, P., Kehoe, S. H., Mendy, M. B., Camara, I., </w:t>
      </w:r>
      <w:proofErr w:type="spellStart"/>
      <w:r w:rsidRPr="002761F2">
        <w:rPr>
          <w:rFonts w:ascii="Arial" w:eastAsia="Times New Roman" w:hAnsi="Arial" w:cs="Arial"/>
          <w:sz w:val="20"/>
          <w:szCs w:val="20"/>
          <w:lang w:val="en-GB" w:eastAsia="en-GB"/>
        </w:rPr>
        <w:t>Jarjou</w:t>
      </w:r>
      <w:proofErr w:type="spellEnd"/>
      <w:r w:rsidRPr="002761F2">
        <w:rPr>
          <w:rFonts w:ascii="Arial" w:eastAsia="Times New Roman" w:hAnsi="Arial" w:cs="Arial"/>
          <w:sz w:val="20"/>
          <w:szCs w:val="20"/>
          <w:lang w:val="en-GB" w:eastAsia="en-GB"/>
        </w:rPr>
        <w:t xml:space="preserve">, L., Ward, </w:t>
      </w:r>
      <w:r w:rsidRPr="002761F2">
        <w:rPr>
          <w:rFonts w:ascii="Arial" w:eastAsia="Times New Roman" w:hAnsi="Arial" w:cs="Arial"/>
          <w:sz w:val="20"/>
          <w:szCs w:val="20"/>
          <w:lang w:val="en-GB" w:eastAsia="en-GB"/>
        </w:rPr>
        <w:lastRenderedPageBreak/>
        <w:t xml:space="preserve">K., Moore, S. E., Fall, C., &amp; Barker, M. (2021). Exploring influences on adolescent diet and physical activity in rural Gambia, West Africa: Food insecurity, culture and the natural environment. </w:t>
      </w:r>
      <w:r w:rsidRPr="002761F2">
        <w:rPr>
          <w:rFonts w:ascii="Arial" w:eastAsia="Times New Roman" w:hAnsi="Arial" w:cs="Arial"/>
          <w:i/>
          <w:iCs/>
          <w:sz w:val="20"/>
          <w:szCs w:val="20"/>
          <w:lang w:val="en-GB" w:eastAsia="en-GB"/>
        </w:rPr>
        <w:t>Public Health Nutrition, 24</w:t>
      </w:r>
      <w:r w:rsidRPr="002761F2">
        <w:rPr>
          <w:rFonts w:ascii="Arial" w:eastAsia="Times New Roman" w:hAnsi="Arial" w:cs="Arial"/>
          <w:sz w:val="20"/>
          <w:szCs w:val="20"/>
          <w:lang w:val="en-GB" w:eastAsia="en-GB"/>
        </w:rPr>
        <w:t>(16), 5277–5287.</w:t>
      </w:r>
    </w:p>
    <w:p w14:paraId="33E74FE3"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proofErr w:type="spellStart"/>
      <w:r w:rsidRPr="002761F2">
        <w:rPr>
          <w:rFonts w:ascii="Arial" w:eastAsia="Times New Roman" w:hAnsi="Arial" w:cs="Arial"/>
          <w:sz w:val="20"/>
          <w:szCs w:val="20"/>
          <w:lang w:val="en-GB" w:eastAsia="en-GB"/>
        </w:rPr>
        <w:t>Karunanayaka</w:t>
      </w:r>
      <w:proofErr w:type="spellEnd"/>
      <w:r w:rsidRPr="002761F2">
        <w:rPr>
          <w:rFonts w:ascii="Arial" w:eastAsia="Times New Roman" w:hAnsi="Arial" w:cs="Arial"/>
          <w:sz w:val="20"/>
          <w:szCs w:val="20"/>
          <w:lang w:val="en-GB" w:eastAsia="en-GB"/>
        </w:rPr>
        <w:t xml:space="preserve">, M. M. S. T., Rajapaksha, I., Madurangi, A., </w:t>
      </w:r>
      <w:proofErr w:type="spellStart"/>
      <w:r w:rsidRPr="002761F2">
        <w:rPr>
          <w:rFonts w:ascii="Arial" w:eastAsia="Times New Roman" w:hAnsi="Arial" w:cs="Arial"/>
          <w:sz w:val="20"/>
          <w:szCs w:val="20"/>
          <w:lang w:val="en-GB" w:eastAsia="en-GB"/>
        </w:rPr>
        <w:t>Indramali</w:t>
      </w:r>
      <w:proofErr w:type="spellEnd"/>
      <w:r w:rsidRPr="002761F2">
        <w:rPr>
          <w:rFonts w:ascii="Arial" w:eastAsia="Times New Roman" w:hAnsi="Arial" w:cs="Arial"/>
          <w:sz w:val="20"/>
          <w:szCs w:val="20"/>
          <w:lang w:val="en-GB" w:eastAsia="en-GB"/>
        </w:rPr>
        <w:t xml:space="preserve">, O., Perera, T., </w:t>
      </w:r>
      <w:proofErr w:type="spellStart"/>
      <w:r w:rsidRPr="002761F2">
        <w:rPr>
          <w:rFonts w:ascii="Arial" w:eastAsia="Times New Roman" w:hAnsi="Arial" w:cs="Arial"/>
          <w:sz w:val="20"/>
          <w:szCs w:val="20"/>
          <w:lang w:val="en-GB" w:eastAsia="en-GB"/>
        </w:rPr>
        <w:t>Mohotti</w:t>
      </w:r>
      <w:proofErr w:type="spellEnd"/>
      <w:r w:rsidRPr="002761F2">
        <w:rPr>
          <w:rFonts w:ascii="Arial" w:eastAsia="Times New Roman" w:hAnsi="Arial" w:cs="Arial"/>
          <w:sz w:val="20"/>
          <w:szCs w:val="20"/>
          <w:lang w:val="en-GB" w:eastAsia="en-GB"/>
        </w:rPr>
        <w:t xml:space="preserve">, J., Hunter, D., &amp; Silva. (2024). Drivers of adolescents’ food choices: Exploring the influence of the school food environment. </w:t>
      </w:r>
      <w:r w:rsidRPr="002761F2">
        <w:rPr>
          <w:rFonts w:ascii="Arial" w:eastAsia="Times New Roman" w:hAnsi="Arial" w:cs="Arial"/>
          <w:i/>
          <w:iCs/>
          <w:sz w:val="20"/>
          <w:szCs w:val="20"/>
          <w:lang w:val="en-GB" w:eastAsia="en-GB"/>
        </w:rPr>
        <w:t>2024 Delivering for Nutrition in South Asia Conference</w:t>
      </w:r>
      <w:r w:rsidRPr="002761F2">
        <w:rPr>
          <w:rFonts w:ascii="Arial" w:eastAsia="Times New Roman" w:hAnsi="Arial" w:cs="Arial"/>
          <w:sz w:val="20"/>
          <w:szCs w:val="20"/>
          <w:lang w:val="en-GB" w:eastAsia="en-GB"/>
        </w:rPr>
        <w:t>, Sri Lanka.</w:t>
      </w:r>
    </w:p>
    <w:p w14:paraId="4BF07594" w14:textId="30BEE3DA"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Klemm, J., Muli, S., </w:t>
      </w:r>
      <w:proofErr w:type="spellStart"/>
      <w:r w:rsidRPr="002761F2">
        <w:rPr>
          <w:rFonts w:ascii="Arial" w:eastAsia="Times New Roman" w:hAnsi="Arial" w:cs="Arial"/>
          <w:sz w:val="20"/>
          <w:szCs w:val="20"/>
          <w:lang w:val="en-GB" w:eastAsia="en-GB"/>
        </w:rPr>
        <w:t>Oluwagbemigun</w:t>
      </w:r>
      <w:proofErr w:type="spellEnd"/>
      <w:r w:rsidRPr="002761F2">
        <w:rPr>
          <w:rFonts w:ascii="Arial" w:eastAsia="Times New Roman" w:hAnsi="Arial" w:cs="Arial"/>
          <w:sz w:val="20"/>
          <w:szCs w:val="20"/>
          <w:lang w:val="en-GB" w:eastAsia="en-GB"/>
        </w:rPr>
        <w:t xml:space="preserve">, K., </w:t>
      </w:r>
      <w:proofErr w:type="spellStart"/>
      <w:r w:rsidRPr="002761F2">
        <w:rPr>
          <w:rFonts w:ascii="Arial" w:eastAsia="Times New Roman" w:hAnsi="Arial" w:cs="Arial"/>
          <w:sz w:val="20"/>
          <w:szCs w:val="20"/>
          <w:lang w:val="en-GB" w:eastAsia="en-GB"/>
        </w:rPr>
        <w:t>Parlasca</w:t>
      </w:r>
      <w:proofErr w:type="spellEnd"/>
      <w:r w:rsidRPr="002761F2">
        <w:rPr>
          <w:rFonts w:ascii="Arial" w:eastAsia="Times New Roman" w:hAnsi="Arial" w:cs="Arial"/>
          <w:sz w:val="20"/>
          <w:szCs w:val="20"/>
          <w:lang w:val="en-GB" w:eastAsia="en-GB"/>
        </w:rPr>
        <w:t xml:space="preserve">, M., </w:t>
      </w:r>
      <w:proofErr w:type="spellStart"/>
      <w:r w:rsidRPr="002761F2">
        <w:rPr>
          <w:rFonts w:ascii="Arial" w:eastAsia="Times New Roman" w:hAnsi="Arial" w:cs="Arial"/>
          <w:sz w:val="20"/>
          <w:szCs w:val="20"/>
          <w:lang w:val="en-GB" w:eastAsia="en-GB"/>
        </w:rPr>
        <w:t>Crentsil</w:t>
      </w:r>
      <w:proofErr w:type="spellEnd"/>
      <w:r w:rsidRPr="002761F2">
        <w:rPr>
          <w:rFonts w:ascii="Arial" w:eastAsia="Times New Roman" w:hAnsi="Arial" w:cs="Arial"/>
          <w:sz w:val="20"/>
          <w:szCs w:val="20"/>
          <w:lang w:val="en-GB" w:eastAsia="en-GB"/>
        </w:rPr>
        <w:t xml:space="preserve">, A., Ogum, D., Quartey, P., Laar, A., Lartey, A., &amp; </w:t>
      </w:r>
      <w:proofErr w:type="spellStart"/>
      <w:r w:rsidRPr="002761F2">
        <w:rPr>
          <w:rFonts w:ascii="Arial" w:eastAsia="Times New Roman" w:hAnsi="Arial" w:cs="Arial"/>
          <w:sz w:val="20"/>
          <w:szCs w:val="20"/>
          <w:lang w:val="en-GB" w:eastAsia="en-GB"/>
        </w:rPr>
        <w:t>Borgemeister</w:t>
      </w:r>
      <w:proofErr w:type="spellEnd"/>
      <w:r w:rsidRPr="002761F2">
        <w:rPr>
          <w:rFonts w:ascii="Arial" w:eastAsia="Times New Roman" w:hAnsi="Arial" w:cs="Arial"/>
          <w:sz w:val="20"/>
          <w:szCs w:val="20"/>
          <w:lang w:val="en-GB" w:eastAsia="en-GB"/>
        </w:rPr>
        <w:t xml:space="preserve">, C. (2025). Individual-level drivers of food choices and diet quality among adolescents in urban </w:t>
      </w:r>
      <w:r w:rsidR="008A1C34">
        <w:rPr>
          <w:rFonts w:ascii="Arial" w:eastAsia="Times New Roman" w:hAnsi="Arial" w:cs="Arial"/>
          <w:sz w:val="20"/>
          <w:szCs w:val="20"/>
          <w:lang w:val="en-GB" w:eastAsia="en-GB"/>
        </w:rPr>
        <w:t xml:space="preserve">                             </w:t>
      </w:r>
      <w:r w:rsidRPr="002761F2">
        <w:rPr>
          <w:rFonts w:ascii="Arial" w:eastAsia="Times New Roman" w:hAnsi="Arial" w:cs="Arial"/>
          <w:sz w:val="20"/>
          <w:szCs w:val="20"/>
          <w:lang w:val="en-GB" w:eastAsia="en-GB"/>
        </w:rPr>
        <w:t xml:space="preserve">West Africa: Evidence from Accra, Ghana. </w:t>
      </w:r>
      <w:r w:rsidRPr="002761F2">
        <w:rPr>
          <w:rFonts w:ascii="Arial" w:eastAsia="Times New Roman" w:hAnsi="Arial" w:cs="Arial"/>
          <w:i/>
          <w:iCs/>
          <w:sz w:val="20"/>
          <w:szCs w:val="20"/>
          <w:lang w:val="en-GB" w:eastAsia="en-GB"/>
        </w:rPr>
        <w:t>Maternal &amp; Child Nutrition, 21</w:t>
      </w:r>
      <w:r w:rsidRPr="002761F2">
        <w:rPr>
          <w:rFonts w:ascii="Arial" w:eastAsia="Times New Roman" w:hAnsi="Arial" w:cs="Arial"/>
          <w:sz w:val="20"/>
          <w:szCs w:val="20"/>
          <w:lang w:val="en-GB" w:eastAsia="en-GB"/>
        </w:rPr>
        <w:t>(2</w:t>
      </w:r>
      <w:proofErr w:type="gramStart"/>
      <w:r w:rsidRPr="002761F2">
        <w:rPr>
          <w:rFonts w:ascii="Arial" w:eastAsia="Times New Roman" w:hAnsi="Arial" w:cs="Arial"/>
          <w:sz w:val="20"/>
          <w:szCs w:val="20"/>
          <w:lang w:val="en-GB" w:eastAsia="en-GB"/>
        </w:rPr>
        <w:t xml:space="preserve">), </w:t>
      </w:r>
      <w:r w:rsidR="008A1C34">
        <w:rPr>
          <w:rFonts w:ascii="Arial" w:eastAsia="Times New Roman" w:hAnsi="Arial" w:cs="Arial"/>
          <w:sz w:val="20"/>
          <w:szCs w:val="20"/>
          <w:lang w:val="en-GB" w:eastAsia="en-GB"/>
        </w:rPr>
        <w:t xml:space="preserve">  </w:t>
      </w:r>
      <w:proofErr w:type="gramEnd"/>
      <w:r w:rsidR="008A1C34">
        <w:rPr>
          <w:rFonts w:ascii="Arial" w:eastAsia="Times New Roman" w:hAnsi="Arial" w:cs="Arial"/>
          <w:sz w:val="20"/>
          <w:szCs w:val="20"/>
          <w:lang w:val="en-GB" w:eastAsia="en-GB"/>
        </w:rPr>
        <w:t xml:space="preserve">               </w:t>
      </w:r>
      <w:r w:rsidRPr="002761F2">
        <w:rPr>
          <w:rFonts w:ascii="Arial" w:eastAsia="Times New Roman" w:hAnsi="Arial" w:cs="Arial"/>
          <w:sz w:val="20"/>
          <w:szCs w:val="20"/>
          <w:lang w:val="en-GB" w:eastAsia="en-GB"/>
        </w:rPr>
        <w:t>e13775.</w:t>
      </w:r>
    </w:p>
    <w:p w14:paraId="62DB9EDB"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Kubik, M. Y., Lytle, L. A., Hannan, P. J., Perry, C. L., &amp; Story, M. (2003). The association of the school food environment with dietary </w:t>
      </w:r>
      <w:proofErr w:type="spellStart"/>
      <w:r w:rsidRPr="002761F2">
        <w:rPr>
          <w:rFonts w:ascii="Arial" w:eastAsia="Times New Roman" w:hAnsi="Arial" w:cs="Arial"/>
          <w:sz w:val="20"/>
          <w:szCs w:val="20"/>
          <w:lang w:val="en-GB" w:eastAsia="en-GB"/>
        </w:rPr>
        <w:t>behaviors</w:t>
      </w:r>
      <w:proofErr w:type="spellEnd"/>
      <w:r w:rsidRPr="002761F2">
        <w:rPr>
          <w:rFonts w:ascii="Arial" w:eastAsia="Times New Roman" w:hAnsi="Arial" w:cs="Arial"/>
          <w:sz w:val="20"/>
          <w:szCs w:val="20"/>
          <w:lang w:val="en-GB" w:eastAsia="en-GB"/>
        </w:rPr>
        <w:t xml:space="preserve"> of young adolescents. </w:t>
      </w:r>
      <w:r w:rsidRPr="002761F2">
        <w:rPr>
          <w:rFonts w:ascii="Arial" w:eastAsia="Times New Roman" w:hAnsi="Arial" w:cs="Arial"/>
          <w:i/>
          <w:iCs/>
          <w:sz w:val="20"/>
          <w:szCs w:val="20"/>
          <w:lang w:val="en-GB" w:eastAsia="en-GB"/>
        </w:rPr>
        <w:t>American Journal of Public Health, 93</w:t>
      </w:r>
      <w:r w:rsidRPr="002761F2">
        <w:rPr>
          <w:rFonts w:ascii="Arial" w:eastAsia="Times New Roman" w:hAnsi="Arial" w:cs="Arial"/>
          <w:sz w:val="20"/>
          <w:szCs w:val="20"/>
          <w:lang w:val="en-GB" w:eastAsia="en-GB"/>
        </w:rPr>
        <w:t>(7), 1168–1173.</w:t>
      </w:r>
    </w:p>
    <w:p w14:paraId="1E6A2D93"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proofErr w:type="spellStart"/>
      <w:r w:rsidRPr="002761F2">
        <w:rPr>
          <w:rFonts w:ascii="Arial" w:eastAsia="Times New Roman" w:hAnsi="Arial" w:cs="Arial"/>
          <w:sz w:val="20"/>
          <w:szCs w:val="20"/>
          <w:lang w:val="en-GB" w:eastAsia="en-GB"/>
        </w:rPr>
        <w:t>Madzorera</w:t>
      </w:r>
      <w:proofErr w:type="spellEnd"/>
      <w:r w:rsidRPr="002761F2">
        <w:rPr>
          <w:rFonts w:ascii="Arial" w:eastAsia="Times New Roman" w:hAnsi="Arial" w:cs="Arial"/>
          <w:sz w:val="20"/>
          <w:szCs w:val="20"/>
          <w:lang w:val="en-GB" w:eastAsia="en-GB"/>
        </w:rPr>
        <w:t xml:space="preserve">, I., Bromage, S., </w:t>
      </w:r>
      <w:proofErr w:type="spellStart"/>
      <w:r w:rsidRPr="002761F2">
        <w:rPr>
          <w:rFonts w:ascii="Arial" w:eastAsia="Times New Roman" w:hAnsi="Arial" w:cs="Arial"/>
          <w:sz w:val="20"/>
          <w:szCs w:val="20"/>
          <w:lang w:val="en-GB" w:eastAsia="en-GB"/>
        </w:rPr>
        <w:t>Mwanyika</w:t>
      </w:r>
      <w:proofErr w:type="spellEnd"/>
      <w:r w:rsidRPr="002761F2">
        <w:rPr>
          <w:rFonts w:ascii="Arial" w:eastAsia="Times New Roman" w:hAnsi="Arial" w:cs="Arial"/>
          <w:sz w:val="20"/>
          <w:szCs w:val="20"/>
          <w:lang w:val="en-GB" w:eastAsia="en-GB"/>
        </w:rPr>
        <w:t xml:space="preserve">-Sando, M., </w:t>
      </w:r>
      <w:proofErr w:type="spellStart"/>
      <w:r w:rsidRPr="002761F2">
        <w:rPr>
          <w:rFonts w:ascii="Arial" w:eastAsia="Times New Roman" w:hAnsi="Arial" w:cs="Arial"/>
          <w:sz w:val="20"/>
          <w:szCs w:val="20"/>
          <w:lang w:val="en-GB" w:eastAsia="en-GB"/>
        </w:rPr>
        <w:t>Vandormael</w:t>
      </w:r>
      <w:proofErr w:type="spellEnd"/>
      <w:r w:rsidRPr="002761F2">
        <w:rPr>
          <w:rFonts w:ascii="Arial" w:eastAsia="Times New Roman" w:hAnsi="Arial" w:cs="Arial"/>
          <w:sz w:val="20"/>
          <w:szCs w:val="20"/>
          <w:lang w:val="en-GB" w:eastAsia="en-GB"/>
        </w:rPr>
        <w:t xml:space="preserve">, A., Sherfi, H., Worku, A., Shinde, S., Noor, R. A., </w:t>
      </w:r>
      <w:proofErr w:type="spellStart"/>
      <w:r w:rsidRPr="002761F2">
        <w:rPr>
          <w:rFonts w:ascii="Arial" w:eastAsia="Times New Roman" w:hAnsi="Arial" w:cs="Arial"/>
          <w:sz w:val="20"/>
          <w:szCs w:val="20"/>
          <w:lang w:val="en-GB" w:eastAsia="en-GB"/>
        </w:rPr>
        <w:t>Baernighausen</w:t>
      </w:r>
      <w:proofErr w:type="spellEnd"/>
      <w:r w:rsidRPr="002761F2">
        <w:rPr>
          <w:rFonts w:ascii="Arial" w:eastAsia="Times New Roman" w:hAnsi="Arial" w:cs="Arial"/>
          <w:sz w:val="20"/>
          <w:szCs w:val="20"/>
          <w:lang w:val="en-GB" w:eastAsia="en-GB"/>
        </w:rPr>
        <w:t xml:space="preserve">, T., &amp; Sharma, D. (2025). Dietary intake and quality for young adolescents in sub-Saharan Africa: Status and influencing factors. </w:t>
      </w:r>
      <w:r w:rsidRPr="002761F2">
        <w:rPr>
          <w:rFonts w:ascii="Arial" w:eastAsia="Times New Roman" w:hAnsi="Arial" w:cs="Arial"/>
          <w:i/>
          <w:iCs/>
          <w:sz w:val="20"/>
          <w:szCs w:val="20"/>
          <w:lang w:val="en-GB" w:eastAsia="en-GB"/>
        </w:rPr>
        <w:t>Maternal &amp; Child Nutrition, 21</w:t>
      </w:r>
      <w:r w:rsidRPr="002761F2">
        <w:rPr>
          <w:rFonts w:ascii="Arial" w:eastAsia="Times New Roman" w:hAnsi="Arial" w:cs="Arial"/>
          <w:sz w:val="20"/>
          <w:szCs w:val="20"/>
          <w:lang w:val="en-GB" w:eastAsia="en-GB"/>
        </w:rPr>
        <w:t>, e13463.</w:t>
      </w:r>
    </w:p>
    <w:p w14:paraId="6A631719"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Mesch, A., </w:t>
      </w:r>
      <w:proofErr w:type="spellStart"/>
      <w:r w:rsidRPr="002761F2">
        <w:rPr>
          <w:rFonts w:ascii="Arial" w:eastAsia="Times New Roman" w:hAnsi="Arial" w:cs="Arial"/>
          <w:sz w:val="20"/>
          <w:szCs w:val="20"/>
          <w:lang w:val="en-GB" w:eastAsia="en-GB"/>
        </w:rPr>
        <w:t>Hoefnagels</w:t>
      </w:r>
      <w:proofErr w:type="spellEnd"/>
      <w:r w:rsidRPr="002761F2">
        <w:rPr>
          <w:rFonts w:ascii="Arial" w:eastAsia="Times New Roman" w:hAnsi="Arial" w:cs="Arial"/>
          <w:sz w:val="20"/>
          <w:szCs w:val="20"/>
          <w:lang w:val="en-GB" w:eastAsia="en-GB"/>
        </w:rPr>
        <w:t xml:space="preserve">, F., Gulikers, J., Wesselink, R., </w:t>
      </w:r>
      <w:proofErr w:type="spellStart"/>
      <w:r w:rsidRPr="002761F2">
        <w:rPr>
          <w:rFonts w:ascii="Arial" w:eastAsia="Times New Roman" w:hAnsi="Arial" w:cs="Arial"/>
          <w:sz w:val="20"/>
          <w:szCs w:val="20"/>
          <w:lang w:val="en-GB" w:eastAsia="en-GB"/>
        </w:rPr>
        <w:t>Winkens</w:t>
      </w:r>
      <w:proofErr w:type="spellEnd"/>
      <w:r w:rsidRPr="002761F2">
        <w:rPr>
          <w:rFonts w:ascii="Arial" w:eastAsia="Times New Roman" w:hAnsi="Arial" w:cs="Arial"/>
          <w:sz w:val="20"/>
          <w:szCs w:val="20"/>
          <w:lang w:val="en-GB" w:eastAsia="en-GB"/>
        </w:rPr>
        <w:t xml:space="preserve">, L. H., </w:t>
      </w:r>
      <w:proofErr w:type="spellStart"/>
      <w:r w:rsidRPr="002761F2">
        <w:rPr>
          <w:rFonts w:ascii="Arial" w:eastAsia="Times New Roman" w:hAnsi="Arial" w:cs="Arial"/>
          <w:sz w:val="20"/>
          <w:szCs w:val="20"/>
          <w:lang w:val="en-GB" w:eastAsia="en-GB"/>
        </w:rPr>
        <w:t>Raghoebar</w:t>
      </w:r>
      <w:proofErr w:type="spellEnd"/>
      <w:r w:rsidRPr="002761F2">
        <w:rPr>
          <w:rFonts w:ascii="Arial" w:eastAsia="Times New Roman" w:hAnsi="Arial" w:cs="Arial"/>
          <w:sz w:val="20"/>
          <w:szCs w:val="20"/>
          <w:lang w:val="en-GB" w:eastAsia="en-GB"/>
        </w:rPr>
        <w:t xml:space="preserve">, S., &amp; Haveman-Nies, A. (2025). The food environment through the eyes of adolescents: Exploring socioecological factors and opportunities for healthy and sustainable food choices. </w:t>
      </w:r>
      <w:r w:rsidRPr="002761F2">
        <w:rPr>
          <w:rFonts w:ascii="Arial" w:eastAsia="Times New Roman" w:hAnsi="Arial" w:cs="Arial"/>
          <w:i/>
          <w:iCs/>
          <w:sz w:val="20"/>
          <w:szCs w:val="20"/>
          <w:lang w:val="en-GB" w:eastAsia="en-GB"/>
        </w:rPr>
        <w:t>BMC Public Health, 25</w:t>
      </w:r>
      <w:r w:rsidRPr="002761F2">
        <w:rPr>
          <w:rFonts w:ascii="Arial" w:eastAsia="Times New Roman" w:hAnsi="Arial" w:cs="Arial"/>
          <w:sz w:val="20"/>
          <w:szCs w:val="20"/>
          <w:lang w:val="en-GB" w:eastAsia="en-GB"/>
        </w:rPr>
        <w:t>(1), 2177.</w:t>
      </w:r>
    </w:p>
    <w:p w14:paraId="767A0AD9"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Mukanu, M. M., </w:t>
      </w:r>
      <w:proofErr w:type="spellStart"/>
      <w:r w:rsidRPr="002761F2">
        <w:rPr>
          <w:rFonts w:ascii="Arial" w:eastAsia="Times New Roman" w:hAnsi="Arial" w:cs="Arial"/>
          <w:sz w:val="20"/>
          <w:szCs w:val="20"/>
          <w:lang w:val="en-GB" w:eastAsia="en-GB"/>
        </w:rPr>
        <w:t>Delobelle</w:t>
      </w:r>
      <w:proofErr w:type="spellEnd"/>
      <w:r w:rsidRPr="002761F2">
        <w:rPr>
          <w:rFonts w:ascii="Arial" w:eastAsia="Times New Roman" w:hAnsi="Arial" w:cs="Arial"/>
          <w:sz w:val="20"/>
          <w:szCs w:val="20"/>
          <w:lang w:val="en-GB" w:eastAsia="en-GB"/>
        </w:rPr>
        <w:t xml:space="preserve">, P., Thow, A. M., &amp; </w:t>
      </w:r>
      <w:proofErr w:type="spellStart"/>
      <w:r w:rsidRPr="002761F2">
        <w:rPr>
          <w:rFonts w:ascii="Arial" w:eastAsia="Times New Roman" w:hAnsi="Arial" w:cs="Arial"/>
          <w:sz w:val="20"/>
          <w:szCs w:val="20"/>
          <w:lang w:val="en-GB" w:eastAsia="en-GB"/>
        </w:rPr>
        <w:t>Mchiza</w:t>
      </w:r>
      <w:proofErr w:type="spellEnd"/>
      <w:r w:rsidRPr="002761F2">
        <w:rPr>
          <w:rFonts w:ascii="Arial" w:eastAsia="Times New Roman" w:hAnsi="Arial" w:cs="Arial"/>
          <w:sz w:val="20"/>
          <w:szCs w:val="20"/>
          <w:lang w:val="en-GB" w:eastAsia="en-GB"/>
        </w:rPr>
        <w:t xml:space="preserve">, Z. J.-R. (2022). Determinants of dietary patterns in school going adolescents in urban Zambia. </w:t>
      </w:r>
      <w:r w:rsidRPr="002761F2">
        <w:rPr>
          <w:rFonts w:ascii="Arial" w:eastAsia="Times New Roman" w:hAnsi="Arial" w:cs="Arial"/>
          <w:i/>
          <w:iCs/>
          <w:sz w:val="20"/>
          <w:szCs w:val="20"/>
          <w:lang w:val="en-GB" w:eastAsia="en-GB"/>
        </w:rPr>
        <w:t>Frontiers in Nutrition, 9</w:t>
      </w:r>
      <w:r w:rsidRPr="002761F2">
        <w:rPr>
          <w:rFonts w:ascii="Arial" w:eastAsia="Times New Roman" w:hAnsi="Arial" w:cs="Arial"/>
          <w:sz w:val="20"/>
          <w:szCs w:val="20"/>
          <w:lang w:val="en-GB" w:eastAsia="en-GB"/>
        </w:rPr>
        <w:t>, 956109.</w:t>
      </w:r>
    </w:p>
    <w:p w14:paraId="42FF0ED5"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proofErr w:type="spellStart"/>
      <w:r w:rsidRPr="002761F2">
        <w:rPr>
          <w:rFonts w:ascii="Arial" w:eastAsia="Times New Roman" w:hAnsi="Arial" w:cs="Arial"/>
          <w:sz w:val="20"/>
          <w:szCs w:val="20"/>
          <w:lang w:val="en-GB" w:eastAsia="en-GB"/>
        </w:rPr>
        <w:t>Naeeni</w:t>
      </w:r>
      <w:proofErr w:type="spellEnd"/>
      <w:r w:rsidRPr="002761F2">
        <w:rPr>
          <w:rFonts w:ascii="Arial" w:eastAsia="Times New Roman" w:hAnsi="Arial" w:cs="Arial"/>
          <w:sz w:val="20"/>
          <w:szCs w:val="20"/>
          <w:lang w:val="en-GB" w:eastAsia="en-GB"/>
        </w:rPr>
        <w:t xml:space="preserve">, M. M., Jafari, S., </w:t>
      </w:r>
      <w:proofErr w:type="spellStart"/>
      <w:r w:rsidRPr="002761F2">
        <w:rPr>
          <w:rFonts w:ascii="Arial" w:eastAsia="Times New Roman" w:hAnsi="Arial" w:cs="Arial"/>
          <w:sz w:val="20"/>
          <w:szCs w:val="20"/>
          <w:lang w:val="en-GB" w:eastAsia="en-GB"/>
        </w:rPr>
        <w:t>Fouladgar</w:t>
      </w:r>
      <w:proofErr w:type="spellEnd"/>
      <w:r w:rsidRPr="002761F2">
        <w:rPr>
          <w:rFonts w:ascii="Arial" w:eastAsia="Times New Roman" w:hAnsi="Arial" w:cs="Arial"/>
          <w:sz w:val="20"/>
          <w:szCs w:val="20"/>
          <w:lang w:val="en-GB" w:eastAsia="en-GB"/>
        </w:rPr>
        <w:t xml:space="preserve">, M., Heidari, K., </w:t>
      </w:r>
      <w:proofErr w:type="spellStart"/>
      <w:r w:rsidRPr="002761F2">
        <w:rPr>
          <w:rFonts w:ascii="Arial" w:eastAsia="Times New Roman" w:hAnsi="Arial" w:cs="Arial"/>
          <w:sz w:val="20"/>
          <w:szCs w:val="20"/>
          <w:lang w:val="en-GB" w:eastAsia="en-GB"/>
        </w:rPr>
        <w:t>Farajzadegan</w:t>
      </w:r>
      <w:proofErr w:type="spellEnd"/>
      <w:r w:rsidRPr="002761F2">
        <w:rPr>
          <w:rFonts w:ascii="Arial" w:eastAsia="Times New Roman" w:hAnsi="Arial" w:cs="Arial"/>
          <w:sz w:val="20"/>
          <w:szCs w:val="20"/>
          <w:lang w:val="en-GB" w:eastAsia="en-GB"/>
        </w:rPr>
        <w:t xml:space="preserve">, Z., Fakhri, M., Karami, P., &amp; Omidi, R. (2014). Nutritional knowledge, practice, and dietary habits among school children and adolescents. </w:t>
      </w:r>
      <w:r w:rsidRPr="002761F2">
        <w:rPr>
          <w:rFonts w:ascii="Arial" w:eastAsia="Times New Roman" w:hAnsi="Arial" w:cs="Arial"/>
          <w:i/>
          <w:iCs/>
          <w:sz w:val="20"/>
          <w:szCs w:val="20"/>
          <w:lang w:val="en-GB" w:eastAsia="en-GB"/>
        </w:rPr>
        <w:t>International Journal of Preventive Medicine, 5</w:t>
      </w:r>
      <w:r w:rsidRPr="002761F2">
        <w:rPr>
          <w:rFonts w:ascii="Arial" w:eastAsia="Times New Roman" w:hAnsi="Arial" w:cs="Arial"/>
          <w:sz w:val="20"/>
          <w:szCs w:val="20"/>
          <w:lang w:val="en-GB" w:eastAsia="en-GB"/>
        </w:rPr>
        <w:t>(</w:t>
      </w:r>
      <w:proofErr w:type="spellStart"/>
      <w:r w:rsidRPr="002761F2">
        <w:rPr>
          <w:rFonts w:ascii="Arial" w:eastAsia="Times New Roman" w:hAnsi="Arial" w:cs="Arial"/>
          <w:sz w:val="20"/>
          <w:szCs w:val="20"/>
          <w:lang w:val="en-GB" w:eastAsia="en-GB"/>
        </w:rPr>
        <w:t>Suppl</w:t>
      </w:r>
      <w:proofErr w:type="spellEnd"/>
      <w:r w:rsidRPr="002761F2">
        <w:rPr>
          <w:rFonts w:ascii="Arial" w:eastAsia="Times New Roman" w:hAnsi="Arial" w:cs="Arial"/>
          <w:sz w:val="20"/>
          <w:szCs w:val="20"/>
          <w:lang w:val="en-GB" w:eastAsia="en-GB"/>
        </w:rPr>
        <w:t xml:space="preserve"> 2), S171.</w:t>
      </w:r>
    </w:p>
    <w:p w14:paraId="4DE8DFB7"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proofErr w:type="spellStart"/>
      <w:r w:rsidRPr="002761F2">
        <w:rPr>
          <w:rFonts w:ascii="Arial" w:eastAsia="Times New Roman" w:hAnsi="Arial" w:cs="Arial"/>
          <w:sz w:val="20"/>
          <w:szCs w:val="20"/>
          <w:lang w:val="en-GB" w:eastAsia="en-GB"/>
        </w:rPr>
        <w:t>Neumark-Sztainer</w:t>
      </w:r>
      <w:proofErr w:type="spellEnd"/>
      <w:r w:rsidRPr="002761F2">
        <w:rPr>
          <w:rFonts w:ascii="Arial" w:eastAsia="Times New Roman" w:hAnsi="Arial" w:cs="Arial"/>
          <w:sz w:val="20"/>
          <w:szCs w:val="20"/>
          <w:lang w:val="en-GB" w:eastAsia="en-GB"/>
        </w:rPr>
        <w:t xml:space="preserve">, D., French, S. A., Hannan, P. J., Story, M., &amp; Fulkerson, J. A. (2005). School lunch and snacking patterns among high school students: Associations with school food environment and policies. </w:t>
      </w:r>
      <w:r w:rsidRPr="002761F2">
        <w:rPr>
          <w:rFonts w:ascii="Arial" w:eastAsia="Times New Roman" w:hAnsi="Arial" w:cs="Arial"/>
          <w:i/>
          <w:iCs/>
          <w:sz w:val="20"/>
          <w:szCs w:val="20"/>
          <w:lang w:val="en-GB" w:eastAsia="en-GB"/>
        </w:rPr>
        <w:t xml:space="preserve">International Journal of </w:t>
      </w:r>
      <w:proofErr w:type="spellStart"/>
      <w:r w:rsidRPr="002761F2">
        <w:rPr>
          <w:rFonts w:ascii="Arial" w:eastAsia="Times New Roman" w:hAnsi="Arial" w:cs="Arial"/>
          <w:i/>
          <w:iCs/>
          <w:sz w:val="20"/>
          <w:szCs w:val="20"/>
          <w:lang w:val="en-GB" w:eastAsia="en-GB"/>
        </w:rPr>
        <w:t>Behavioral</w:t>
      </w:r>
      <w:proofErr w:type="spellEnd"/>
      <w:r w:rsidRPr="002761F2">
        <w:rPr>
          <w:rFonts w:ascii="Arial" w:eastAsia="Times New Roman" w:hAnsi="Arial" w:cs="Arial"/>
          <w:i/>
          <w:iCs/>
          <w:sz w:val="20"/>
          <w:szCs w:val="20"/>
          <w:lang w:val="en-GB" w:eastAsia="en-GB"/>
        </w:rPr>
        <w:t xml:space="preserve"> Nutrition and Physical Activity, 2</w:t>
      </w:r>
      <w:r w:rsidRPr="002761F2">
        <w:rPr>
          <w:rFonts w:ascii="Arial" w:eastAsia="Times New Roman" w:hAnsi="Arial" w:cs="Arial"/>
          <w:sz w:val="20"/>
          <w:szCs w:val="20"/>
          <w:lang w:val="en-GB" w:eastAsia="en-GB"/>
        </w:rPr>
        <w:t>(1), 14.</w:t>
      </w:r>
    </w:p>
    <w:p w14:paraId="79DB3D41"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proofErr w:type="spellStart"/>
      <w:r w:rsidRPr="002761F2">
        <w:rPr>
          <w:rFonts w:ascii="Arial" w:eastAsia="Times New Roman" w:hAnsi="Arial" w:cs="Arial"/>
          <w:sz w:val="20"/>
          <w:szCs w:val="20"/>
          <w:lang w:val="en-GB" w:eastAsia="en-GB"/>
        </w:rPr>
        <w:t>Neumark-Sztainer</w:t>
      </w:r>
      <w:proofErr w:type="spellEnd"/>
      <w:r w:rsidRPr="002761F2">
        <w:rPr>
          <w:rFonts w:ascii="Arial" w:eastAsia="Times New Roman" w:hAnsi="Arial" w:cs="Arial"/>
          <w:sz w:val="20"/>
          <w:szCs w:val="20"/>
          <w:lang w:val="en-GB" w:eastAsia="en-GB"/>
        </w:rPr>
        <w:t xml:space="preserve">, D., Story, M., Perry, C., &amp; Casey, M. A. (1999). Factors influencing food choices of adolescents: Findings from focus-group discussions with adolescents. </w:t>
      </w:r>
      <w:r w:rsidRPr="002761F2">
        <w:rPr>
          <w:rFonts w:ascii="Arial" w:eastAsia="Times New Roman" w:hAnsi="Arial" w:cs="Arial"/>
          <w:i/>
          <w:iCs/>
          <w:sz w:val="20"/>
          <w:szCs w:val="20"/>
          <w:lang w:val="en-GB" w:eastAsia="en-GB"/>
        </w:rPr>
        <w:t>Journal of the American Dietetic Association, 99</w:t>
      </w:r>
      <w:r w:rsidRPr="002761F2">
        <w:rPr>
          <w:rFonts w:ascii="Arial" w:eastAsia="Times New Roman" w:hAnsi="Arial" w:cs="Arial"/>
          <w:sz w:val="20"/>
          <w:szCs w:val="20"/>
          <w:lang w:val="en-GB" w:eastAsia="en-GB"/>
        </w:rPr>
        <w:t>(8), 929–937.</w:t>
      </w:r>
    </w:p>
    <w:p w14:paraId="6AC9D548"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Shannon, C., Story, M., Fulkerson, J. A., &amp; French, S. A. (2002). Factors in the school cafeteria influencing food choices by high school students. </w:t>
      </w:r>
      <w:r w:rsidRPr="002761F2">
        <w:rPr>
          <w:rFonts w:ascii="Arial" w:eastAsia="Times New Roman" w:hAnsi="Arial" w:cs="Arial"/>
          <w:i/>
          <w:iCs/>
          <w:sz w:val="20"/>
          <w:szCs w:val="20"/>
          <w:lang w:val="en-GB" w:eastAsia="en-GB"/>
        </w:rPr>
        <w:t>Journal of School Health, 72</w:t>
      </w:r>
      <w:r w:rsidRPr="002761F2">
        <w:rPr>
          <w:rFonts w:ascii="Arial" w:eastAsia="Times New Roman" w:hAnsi="Arial" w:cs="Arial"/>
          <w:sz w:val="20"/>
          <w:szCs w:val="20"/>
          <w:lang w:val="en-GB" w:eastAsia="en-GB"/>
        </w:rPr>
        <w:t>(6), 229–234.</w:t>
      </w:r>
    </w:p>
    <w:p w14:paraId="5C080FEF"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Story, M., Nanney, M. S., &amp; Schwartz, M. B. (2009). Schools and obesity prevention: Creating school environments and policies to promote healthy eating and physical activity. </w:t>
      </w:r>
      <w:r w:rsidRPr="002761F2">
        <w:rPr>
          <w:rFonts w:ascii="Arial" w:eastAsia="Times New Roman" w:hAnsi="Arial" w:cs="Arial"/>
          <w:i/>
          <w:iCs/>
          <w:sz w:val="20"/>
          <w:szCs w:val="20"/>
          <w:lang w:val="en-GB" w:eastAsia="en-GB"/>
        </w:rPr>
        <w:t>The Milbank Quarterly, 87</w:t>
      </w:r>
      <w:r w:rsidRPr="002761F2">
        <w:rPr>
          <w:rFonts w:ascii="Arial" w:eastAsia="Times New Roman" w:hAnsi="Arial" w:cs="Arial"/>
          <w:sz w:val="20"/>
          <w:szCs w:val="20"/>
          <w:lang w:val="en-GB" w:eastAsia="en-GB"/>
        </w:rPr>
        <w:t>(1), 71–100.</w:t>
      </w:r>
    </w:p>
    <w:p w14:paraId="3C582981"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van Kleef, E., Meeuwsen, T., Rigterink, J., &amp; Van </w:t>
      </w:r>
      <w:proofErr w:type="spellStart"/>
      <w:r w:rsidRPr="002761F2">
        <w:rPr>
          <w:rFonts w:ascii="Arial" w:eastAsia="Times New Roman" w:hAnsi="Arial" w:cs="Arial"/>
          <w:sz w:val="20"/>
          <w:szCs w:val="20"/>
          <w:lang w:val="en-GB" w:eastAsia="en-GB"/>
        </w:rPr>
        <w:t>Trijp</w:t>
      </w:r>
      <w:proofErr w:type="spellEnd"/>
      <w:r w:rsidRPr="002761F2">
        <w:rPr>
          <w:rFonts w:ascii="Arial" w:eastAsia="Times New Roman" w:hAnsi="Arial" w:cs="Arial"/>
          <w:sz w:val="20"/>
          <w:szCs w:val="20"/>
          <w:lang w:val="en-GB" w:eastAsia="en-GB"/>
        </w:rPr>
        <w:t xml:space="preserve">, H. (2019). Moving towards a healthier assortment in secondary and vocational school food environments: Perspectives of Dutch students and school food policy professionals. </w:t>
      </w:r>
      <w:r w:rsidRPr="002761F2">
        <w:rPr>
          <w:rFonts w:ascii="Arial" w:eastAsia="Times New Roman" w:hAnsi="Arial" w:cs="Arial"/>
          <w:i/>
          <w:iCs/>
          <w:sz w:val="20"/>
          <w:szCs w:val="20"/>
          <w:lang w:val="en-GB" w:eastAsia="en-GB"/>
        </w:rPr>
        <w:t>British Food Journal, 121</w:t>
      </w:r>
      <w:r w:rsidRPr="002761F2">
        <w:rPr>
          <w:rFonts w:ascii="Arial" w:eastAsia="Times New Roman" w:hAnsi="Arial" w:cs="Arial"/>
          <w:sz w:val="20"/>
          <w:szCs w:val="20"/>
          <w:lang w:val="en-GB" w:eastAsia="en-GB"/>
        </w:rPr>
        <w:t>(9), 2052–2066.</w:t>
      </w:r>
    </w:p>
    <w:p w14:paraId="1D3D0000" w14:textId="77777777" w:rsidR="002761F2" w:rsidRPr="002761F2"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Whitton, C., Klug, F., </w:t>
      </w:r>
      <w:proofErr w:type="spellStart"/>
      <w:r w:rsidRPr="002761F2">
        <w:rPr>
          <w:rFonts w:ascii="Arial" w:eastAsia="Times New Roman" w:hAnsi="Arial" w:cs="Arial"/>
          <w:sz w:val="20"/>
          <w:szCs w:val="20"/>
          <w:lang w:val="en-GB" w:eastAsia="en-GB"/>
        </w:rPr>
        <w:t>Bivoltsis</w:t>
      </w:r>
      <w:proofErr w:type="spellEnd"/>
      <w:r w:rsidRPr="002761F2">
        <w:rPr>
          <w:rFonts w:ascii="Arial" w:eastAsia="Times New Roman" w:hAnsi="Arial" w:cs="Arial"/>
          <w:sz w:val="20"/>
          <w:szCs w:val="20"/>
          <w:lang w:val="en-GB" w:eastAsia="en-GB"/>
        </w:rPr>
        <w:t xml:space="preserve">, A., Trapp, G. S., &amp; Pulker, C. E. (2025). Restricting outdoor advertising of unhealthy food: Can Australia’s food category-based classification system be applied consistently? </w:t>
      </w:r>
      <w:r w:rsidRPr="002761F2">
        <w:rPr>
          <w:rFonts w:ascii="Arial" w:eastAsia="Times New Roman" w:hAnsi="Arial" w:cs="Arial"/>
          <w:i/>
          <w:iCs/>
          <w:sz w:val="20"/>
          <w:szCs w:val="20"/>
          <w:lang w:val="en-GB" w:eastAsia="en-GB"/>
        </w:rPr>
        <w:t>Health Promotion International, 40</w:t>
      </w:r>
      <w:r w:rsidRPr="002761F2">
        <w:rPr>
          <w:rFonts w:ascii="Arial" w:eastAsia="Times New Roman" w:hAnsi="Arial" w:cs="Arial"/>
          <w:sz w:val="20"/>
          <w:szCs w:val="20"/>
          <w:lang w:val="en-GB" w:eastAsia="en-GB"/>
        </w:rPr>
        <w:t>(4), daaf128.</w:t>
      </w:r>
    </w:p>
    <w:p w14:paraId="29A4463A" w14:textId="4AEA62A9" w:rsidR="002761F2" w:rsidRPr="00D615DF" w:rsidRDefault="002761F2" w:rsidP="00D615DF">
      <w:pPr>
        <w:spacing w:after="0" w:line="240" w:lineRule="auto"/>
        <w:ind w:left="547" w:hanging="547"/>
        <w:jc w:val="both"/>
        <w:rPr>
          <w:rFonts w:ascii="Arial" w:eastAsia="Times New Roman" w:hAnsi="Arial" w:cs="Arial"/>
          <w:sz w:val="20"/>
          <w:szCs w:val="20"/>
          <w:lang w:val="en-GB" w:eastAsia="en-GB"/>
        </w:rPr>
      </w:pPr>
      <w:r w:rsidRPr="002761F2">
        <w:rPr>
          <w:rFonts w:ascii="Arial" w:eastAsia="Times New Roman" w:hAnsi="Arial" w:cs="Arial"/>
          <w:sz w:val="20"/>
          <w:szCs w:val="20"/>
          <w:lang w:val="en-GB" w:eastAsia="en-GB"/>
        </w:rPr>
        <w:t xml:space="preserve">Wouters, E. J., Larsen, J. K., Kremers, S. P., Dagnelie, P. C., &amp; Geenen, R. (2010). Peer influence on snacking </w:t>
      </w:r>
      <w:proofErr w:type="spellStart"/>
      <w:r w:rsidRPr="002761F2">
        <w:rPr>
          <w:rFonts w:ascii="Arial" w:eastAsia="Times New Roman" w:hAnsi="Arial" w:cs="Arial"/>
          <w:sz w:val="20"/>
          <w:szCs w:val="20"/>
          <w:lang w:val="en-GB" w:eastAsia="en-GB"/>
        </w:rPr>
        <w:t>behavior</w:t>
      </w:r>
      <w:proofErr w:type="spellEnd"/>
      <w:r w:rsidRPr="002761F2">
        <w:rPr>
          <w:rFonts w:ascii="Arial" w:eastAsia="Times New Roman" w:hAnsi="Arial" w:cs="Arial"/>
          <w:sz w:val="20"/>
          <w:szCs w:val="20"/>
          <w:lang w:val="en-GB" w:eastAsia="en-GB"/>
        </w:rPr>
        <w:t xml:space="preserve"> in adolescence. </w:t>
      </w:r>
      <w:r w:rsidRPr="002761F2">
        <w:rPr>
          <w:rFonts w:ascii="Arial" w:eastAsia="Times New Roman" w:hAnsi="Arial" w:cs="Arial"/>
          <w:i/>
          <w:iCs/>
          <w:sz w:val="20"/>
          <w:szCs w:val="20"/>
          <w:lang w:val="en-GB" w:eastAsia="en-GB"/>
        </w:rPr>
        <w:t>Appetite, 55</w:t>
      </w:r>
      <w:r w:rsidRPr="002761F2">
        <w:rPr>
          <w:rFonts w:ascii="Arial" w:eastAsia="Times New Roman" w:hAnsi="Arial" w:cs="Arial"/>
          <w:sz w:val="20"/>
          <w:szCs w:val="20"/>
          <w:lang w:val="en-GB" w:eastAsia="en-GB"/>
        </w:rPr>
        <w:t>(1), 11–17.</w:t>
      </w:r>
    </w:p>
    <w:p w14:paraId="339C87BC" w14:textId="77777777" w:rsidR="002761F2" w:rsidRPr="00D615DF" w:rsidRDefault="002761F2" w:rsidP="00D615DF">
      <w:pPr>
        <w:spacing w:after="0" w:line="240" w:lineRule="auto"/>
        <w:jc w:val="both"/>
        <w:rPr>
          <w:rFonts w:ascii="Arial" w:eastAsia="DengXian" w:hAnsi="Arial" w:cs="Arial"/>
          <w:b/>
          <w:bCs/>
          <w:kern w:val="2"/>
          <w:sz w:val="20"/>
          <w:szCs w:val="20"/>
          <w:lang w:eastAsia="zh-CN"/>
        </w:rPr>
        <w:sectPr w:rsidR="002761F2" w:rsidRPr="00D615DF" w:rsidSect="000E42FC">
          <w:type w:val="continuous"/>
          <w:pgSz w:w="11909" w:h="16834" w:code="9"/>
          <w:pgMar w:top="1440" w:right="1440" w:bottom="1440" w:left="1440" w:header="720" w:footer="864" w:gutter="0"/>
          <w:cols w:num="2" w:space="288"/>
          <w:docGrid w:linePitch="360"/>
        </w:sectPr>
      </w:pPr>
    </w:p>
    <w:p w14:paraId="7780D5F5" w14:textId="6EB0FFAD" w:rsidR="00AD12DD" w:rsidRPr="00D615DF" w:rsidRDefault="00AD12DD" w:rsidP="00D615DF">
      <w:pPr>
        <w:spacing w:after="0" w:line="240" w:lineRule="auto"/>
        <w:ind w:left="720"/>
        <w:jc w:val="both"/>
        <w:rPr>
          <w:rFonts w:ascii="Arial" w:eastAsia="DengXian" w:hAnsi="Arial" w:cs="Arial"/>
          <w:noProof/>
          <w:kern w:val="2"/>
          <w:sz w:val="20"/>
          <w:szCs w:val="20"/>
          <w:lang w:eastAsia="zh-CN"/>
        </w:rPr>
      </w:pPr>
      <w:r w:rsidRPr="00D615DF">
        <w:rPr>
          <w:rFonts w:ascii="Arial" w:eastAsia="DengXian" w:hAnsi="Arial" w:cs="Arial"/>
          <w:noProof/>
          <w:kern w:val="2"/>
          <w:sz w:val="20"/>
          <w:szCs w:val="20"/>
          <w:lang w:eastAsia="zh-CN"/>
        </w:rPr>
        <w:t xml:space="preserve"> </w:t>
      </w:r>
    </w:p>
    <w:p w14:paraId="59BE6C85" w14:textId="1E6A2CC3" w:rsidR="007E1ABC" w:rsidRPr="00D615DF" w:rsidRDefault="007F591D" w:rsidP="00D615DF">
      <w:pPr>
        <w:spacing w:after="0" w:line="240" w:lineRule="auto"/>
        <w:jc w:val="both"/>
        <w:rPr>
          <w:rFonts w:ascii="Arial" w:eastAsia="Times New Roman" w:hAnsi="Arial" w:cs="Arial"/>
          <w:sz w:val="15"/>
          <w:szCs w:val="15"/>
        </w:rPr>
      </w:pPr>
      <w:r w:rsidRPr="00D615DF">
        <w:rPr>
          <w:rFonts w:ascii="Arial" w:eastAsia="Calibri" w:hAnsi="Arial" w:cs="Arial"/>
          <w:b/>
          <w:bCs/>
          <w:kern w:val="2"/>
          <w:sz w:val="15"/>
          <w:szCs w:val="15"/>
          <w:lang w:val="en-GB"/>
        </w:rPr>
        <w:t xml:space="preserve">Disclaimer/Publisher’s Note: </w:t>
      </w:r>
      <w:r w:rsidRPr="00D615DF">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79560C05" w14:textId="77777777" w:rsidR="00444654" w:rsidRPr="00D615DF" w:rsidRDefault="00444654" w:rsidP="00D615DF">
      <w:pPr>
        <w:spacing w:after="0" w:line="240" w:lineRule="auto"/>
        <w:ind w:left="360" w:hanging="360"/>
        <w:jc w:val="center"/>
        <w:rPr>
          <w:rFonts w:ascii="Arial" w:eastAsia="Times New Roman" w:hAnsi="Arial" w:cs="Arial"/>
          <w:sz w:val="20"/>
          <w:szCs w:val="20"/>
        </w:rPr>
      </w:pPr>
      <w:r w:rsidRPr="00D615DF">
        <w:rPr>
          <w:rFonts w:ascii="Arial" w:eastAsia="Times New Roman" w:hAnsi="Arial" w:cs="Arial"/>
          <w:sz w:val="20"/>
          <w:szCs w:val="20"/>
        </w:rPr>
        <w:t>______________________</w:t>
      </w:r>
      <w:r w:rsidR="00021DF1" w:rsidRPr="00D615DF">
        <w:rPr>
          <w:rFonts w:ascii="Arial" w:eastAsia="Times New Roman" w:hAnsi="Arial" w:cs="Arial"/>
          <w:sz w:val="20"/>
          <w:szCs w:val="20"/>
        </w:rPr>
        <w:t>________</w:t>
      </w:r>
      <w:r w:rsidRPr="00D615DF">
        <w:rPr>
          <w:rFonts w:ascii="Arial" w:eastAsia="Times New Roman" w:hAnsi="Arial" w:cs="Arial"/>
          <w:sz w:val="20"/>
          <w:szCs w:val="20"/>
        </w:rPr>
        <w:t>___________________________________________________</w:t>
      </w:r>
    </w:p>
    <w:p w14:paraId="7518169F" w14:textId="6F0521B8" w:rsidR="00444654" w:rsidRPr="004F407B" w:rsidRDefault="00F1320D" w:rsidP="00D615DF">
      <w:pPr>
        <w:spacing w:after="0" w:line="240" w:lineRule="auto"/>
        <w:jc w:val="both"/>
        <w:rPr>
          <w:rFonts w:ascii="Arial" w:eastAsia="Times New Roman" w:hAnsi="Arial" w:cs="Arial"/>
          <w:i/>
          <w:sz w:val="16"/>
          <w:szCs w:val="18"/>
        </w:rPr>
      </w:pPr>
      <w:r w:rsidRPr="00D615DF">
        <w:rPr>
          <w:rFonts w:ascii="Arial" w:eastAsia="Calibri" w:hAnsi="Arial" w:cs="Arial"/>
          <w:i/>
          <w:iCs/>
          <w:kern w:val="2"/>
          <w:sz w:val="16"/>
          <w:szCs w:val="16"/>
          <w:lang w:val="en-GB"/>
        </w:rPr>
        <w:t>© Copyright (202</w:t>
      </w:r>
      <w:r w:rsidR="007B7F54" w:rsidRPr="00D615DF">
        <w:rPr>
          <w:rFonts w:ascii="Arial" w:eastAsia="Calibri" w:hAnsi="Arial" w:cs="Arial"/>
          <w:i/>
          <w:iCs/>
          <w:kern w:val="2"/>
          <w:sz w:val="16"/>
          <w:szCs w:val="16"/>
          <w:lang w:val="en-GB"/>
        </w:rPr>
        <w:t>5</w:t>
      </w:r>
      <w:r w:rsidRPr="00D615DF">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D615DF">
        <w:rPr>
          <w:rFonts w:ascii="Arial" w:eastAsia="Calibri" w:hAnsi="Arial" w:cs="Arial"/>
          <w:i/>
          <w:iCs/>
          <w:color w:val="0000FF"/>
          <w:kern w:val="2"/>
          <w:sz w:val="16"/>
          <w:szCs w:val="16"/>
          <w:lang w:val="en-GB"/>
        </w:rPr>
        <w:t>http://creativecommons.org/licenses/by/4.0</w:t>
      </w:r>
      <w:r w:rsidRPr="00D615DF">
        <w:rPr>
          <w:rFonts w:ascii="Arial" w:eastAsia="Calibri" w:hAnsi="Arial" w:cs="Arial"/>
          <w:i/>
          <w:iCs/>
          <w:kern w:val="2"/>
          <w:sz w:val="16"/>
          <w:szCs w:val="16"/>
          <w:lang w:val="en-GB"/>
        </w:rPr>
        <w:t>), which permits unrestricted use, distribution, and reproduction in any medium, provided the original work is properly cited.</w:t>
      </w:r>
    </w:p>
    <w:p w14:paraId="0F62559F" w14:textId="77777777" w:rsidR="0085334C" w:rsidRPr="006E1FAF" w:rsidRDefault="0085334C" w:rsidP="00D615DF">
      <w:pPr>
        <w:rPr>
          <w:rFonts w:ascii="Arial" w:hAnsi="Arial" w:cs="Arial"/>
        </w:rPr>
      </w:pPr>
    </w:p>
    <w:sectPr w:rsidR="0085334C" w:rsidRPr="006E1FAF" w:rsidSect="00235C7E">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89AF9" w14:textId="77777777" w:rsidR="003A7396" w:rsidRDefault="003A7396" w:rsidP="004336DD">
      <w:pPr>
        <w:spacing w:after="0" w:line="240" w:lineRule="auto"/>
      </w:pPr>
      <w:r>
        <w:separator/>
      </w:r>
    </w:p>
  </w:endnote>
  <w:endnote w:type="continuationSeparator" w:id="0">
    <w:p w14:paraId="77B071D5" w14:textId="77777777" w:rsidR="003A7396" w:rsidRDefault="003A7396"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676AF" w14:textId="77777777" w:rsidR="00D615DF" w:rsidRDefault="00D6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EF36" w14:textId="77777777" w:rsidR="00B03434" w:rsidRPr="007D1D8E" w:rsidRDefault="00B03434">
    <w:pPr>
      <w:pStyle w:val="Footer"/>
      <w:jc w:val="center"/>
      <w:rPr>
        <w:rFonts w:ascii="Arial" w:hAnsi="Arial" w:cs="Arial"/>
        <w:sz w:val="28"/>
      </w:rPr>
    </w:pPr>
  </w:p>
  <w:p w14:paraId="470BA8A8" w14:textId="77777777" w:rsidR="00B03434" w:rsidRDefault="003A7396">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E415E4" w:rsidRPr="00817E1D">
          <w:rPr>
            <w:rFonts w:ascii="Arial" w:hAnsi="Arial" w:cs="Arial"/>
            <w:sz w:val="20"/>
          </w:rPr>
          <w:fldChar w:fldCharType="begin"/>
        </w:r>
        <w:r w:rsidR="00987EC7" w:rsidRPr="00817E1D">
          <w:rPr>
            <w:rFonts w:ascii="Arial" w:hAnsi="Arial" w:cs="Arial"/>
            <w:sz w:val="20"/>
          </w:rPr>
          <w:instrText xml:space="preserve"> PAGE   \* MERGEFORMAT </w:instrText>
        </w:r>
        <w:r w:rsidR="00E415E4" w:rsidRPr="00817E1D">
          <w:rPr>
            <w:rFonts w:ascii="Arial" w:hAnsi="Arial" w:cs="Arial"/>
            <w:sz w:val="20"/>
          </w:rPr>
          <w:fldChar w:fldCharType="separate"/>
        </w:r>
        <w:r w:rsidR="00A32BAB">
          <w:rPr>
            <w:rFonts w:ascii="Arial" w:hAnsi="Arial" w:cs="Arial"/>
            <w:noProof/>
            <w:sz w:val="20"/>
          </w:rPr>
          <w:t>10</w:t>
        </w:r>
        <w:r w:rsidR="00E415E4" w:rsidRPr="00817E1D">
          <w:rPr>
            <w:rFonts w:ascii="Arial" w:hAnsi="Arial" w:cs="Arial"/>
            <w:sz w:val="20"/>
          </w:rPr>
          <w:fldChar w:fldCharType="end"/>
        </w:r>
      </w:sdtContent>
    </w:sdt>
  </w:p>
  <w:p w14:paraId="25521E28" w14:textId="77777777" w:rsidR="007D1D8E" w:rsidRPr="007D1D8E" w:rsidRDefault="007D1D8E">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A3EAA"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0302A753"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17D9CB09"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roofErr w:type="gramStart"/>
    <w:r w:rsidRPr="00B552F7">
      <w:rPr>
        <w:rFonts w:ascii="Arial" w:eastAsia="Times New Roman" w:hAnsi="Arial" w:cs="Arial"/>
        <w:i/>
        <w:sz w:val="16"/>
        <w:szCs w:val="16"/>
      </w:rPr>
      <w:t>…..</w:t>
    </w:r>
    <w:proofErr w:type="gramEnd"/>
    <w:r w:rsidRPr="00B552F7">
      <w:rPr>
        <w:rFonts w:ascii="Arial" w:eastAsia="Times New Roman" w:hAnsi="Arial" w:cs="Arial"/>
        <w:i/>
        <w:sz w:val="16"/>
        <w:szCs w:val="16"/>
      </w:rPr>
      <w:t>;</w:t>
    </w:r>
  </w:p>
  <w:p w14:paraId="194ECE5F" w14:textId="77777777" w:rsidR="007F796E" w:rsidRDefault="007F796E" w:rsidP="00B552F7">
    <w:pPr>
      <w:tabs>
        <w:tab w:val="center" w:pos="4320"/>
        <w:tab w:val="right" w:pos="8640"/>
      </w:tabs>
      <w:spacing w:after="0" w:line="240" w:lineRule="auto"/>
      <w:jc w:val="both"/>
      <w:rPr>
        <w:rFonts w:ascii="Arial" w:eastAsia="Times New Roman" w:hAnsi="Arial" w:cs="Arial"/>
        <w:i/>
        <w:sz w:val="16"/>
        <w:szCs w:val="16"/>
      </w:rPr>
    </w:pPr>
  </w:p>
  <w:p w14:paraId="6D7078D4" w14:textId="77777777" w:rsidR="003767FE" w:rsidRDefault="003767FE" w:rsidP="003767FE">
    <w:pPr>
      <w:pStyle w:val="Footer"/>
      <w:jc w:val="both"/>
      <w:rPr>
        <w:rFonts w:ascii="Arial" w:hAnsi="Arial" w:cs="Arial"/>
        <w:b/>
        <w:bCs/>
        <w:i/>
        <w:sz w:val="16"/>
      </w:rPr>
    </w:pPr>
    <w:r w:rsidRPr="00932C11">
      <w:rPr>
        <w:rFonts w:ascii="Arial" w:hAnsi="Arial" w:cs="Arial"/>
        <w:b/>
        <w:bCs/>
        <w:i/>
        <w:sz w:val="16"/>
      </w:rPr>
      <w:t>Cite as:</w:t>
    </w:r>
  </w:p>
  <w:p w14:paraId="0ED83F7A" w14:textId="77777777" w:rsidR="003767FE" w:rsidRDefault="003767FE" w:rsidP="003767FE">
    <w:pPr>
      <w:pStyle w:val="Footer"/>
      <w:jc w:val="both"/>
      <w:rPr>
        <w:rFonts w:ascii="Arial" w:hAnsi="Arial" w:cs="Arial"/>
        <w:i/>
        <w:sz w:val="16"/>
      </w:rPr>
    </w:pPr>
  </w:p>
  <w:p w14:paraId="2CE6F653" w14:textId="77777777" w:rsidR="007F591D" w:rsidRDefault="007F591D" w:rsidP="003767FE">
    <w:pPr>
      <w:pStyle w:val="Footer"/>
      <w:jc w:val="both"/>
      <w:rPr>
        <w:rFonts w:ascii="Arial" w:hAnsi="Arial" w:cs="Arial"/>
        <w:i/>
        <w:sz w:val="16"/>
      </w:rPr>
    </w:pPr>
  </w:p>
  <w:p w14:paraId="1907D283" w14:textId="77777777" w:rsidR="003767FE" w:rsidRPr="00932C11" w:rsidRDefault="003767FE" w:rsidP="003767FE">
    <w:pPr>
      <w:pStyle w:val="Footer"/>
      <w:jc w:val="both"/>
      <w:rPr>
        <w:rFonts w:ascii="Arial" w:hAnsi="Arial" w:cs="Arial"/>
        <w:i/>
        <w:sz w:val="16"/>
      </w:rPr>
    </w:pPr>
  </w:p>
  <w:p w14:paraId="36B27B4F" w14:textId="77777777" w:rsidR="00B03434" w:rsidRPr="003767FE"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1986FEAB" w14:textId="77777777" w:rsidR="007D1D8E" w:rsidRPr="003767FE" w:rsidRDefault="007D1D8E"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39DF0" w14:textId="77777777" w:rsidR="003A7396" w:rsidRDefault="003A7396" w:rsidP="004336DD">
      <w:pPr>
        <w:spacing w:after="0" w:line="240" w:lineRule="auto"/>
      </w:pPr>
      <w:r>
        <w:separator/>
      </w:r>
    </w:p>
  </w:footnote>
  <w:footnote w:type="continuationSeparator" w:id="0">
    <w:p w14:paraId="09C3A14A" w14:textId="77777777" w:rsidR="003A7396" w:rsidRDefault="003A7396"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16B7A" w14:textId="19457168" w:rsidR="00D615DF" w:rsidRDefault="003A7396">
    <w:pPr>
      <w:pStyle w:val="Header"/>
    </w:pPr>
    <w:r>
      <w:rPr>
        <w:noProof/>
      </w:rPr>
      <w:pict w14:anchorId="6908F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3688"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8A68" w14:textId="3A503F8D" w:rsidR="006C56FD" w:rsidRDefault="003A7396"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7045A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3689"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32B8A1CE"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024367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384B9E19" w14:textId="77777777" w:rsidR="006C56FD" w:rsidRPr="002761F2"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47FCF794" w14:textId="3A6CBA67" w:rsidR="006C56FD" w:rsidRDefault="00392C95" w:rsidP="006C56FD">
    <w:pPr>
      <w:tabs>
        <w:tab w:val="center" w:pos="4320"/>
        <w:tab w:val="right" w:pos="8640"/>
      </w:tabs>
      <w:spacing w:after="0" w:line="240" w:lineRule="auto"/>
      <w:jc w:val="right"/>
      <w:rPr>
        <w:rFonts w:ascii="Arial" w:eastAsia="Times New Roman" w:hAnsi="Arial" w:cs="Arial"/>
        <w:i/>
        <w:sz w:val="16"/>
        <w:szCs w:val="20"/>
      </w:rPr>
    </w:pPr>
    <w:r w:rsidRPr="002761F2">
      <w:rPr>
        <w:rFonts w:ascii="Arial" w:eastAsia="Times New Roman" w:hAnsi="Arial" w:cs="Arial"/>
        <w:i/>
        <w:sz w:val="16"/>
        <w:szCs w:val="20"/>
      </w:rPr>
      <w:t xml:space="preserve">Author name; </w:t>
    </w:r>
    <w:r w:rsidR="007A3D66" w:rsidRPr="002761F2">
      <w:rPr>
        <w:rFonts w:ascii="Arial" w:eastAsia="Times New Roman" w:hAnsi="Arial" w:cs="Arial"/>
        <w:i/>
        <w:sz w:val="16"/>
        <w:szCs w:val="20"/>
      </w:rPr>
      <w:t>Asian J. Food Res. Nutri., vol. xx, no. xx, pp. xx-xx, 20</w:t>
    </w:r>
    <w:r w:rsidR="00A32BAB" w:rsidRPr="002761F2">
      <w:rPr>
        <w:rFonts w:ascii="Arial" w:eastAsia="Times New Roman" w:hAnsi="Arial" w:cs="Arial"/>
        <w:i/>
        <w:sz w:val="16"/>
        <w:szCs w:val="20"/>
      </w:rPr>
      <w:t>YY</w:t>
    </w:r>
    <w:r w:rsidRPr="002761F2">
      <w:rPr>
        <w:rFonts w:ascii="Arial" w:eastAsia="Times New Roman" w:hAnsi="Arial" w:cs="Arial"/>
        <w:i/>
        <w:sz w:val="16"/>
        <w:szCs w:val="20"/>
      </w:rPr>
      <w:t xml:space="preserve">; Article </w:t>
    </w:r>
    <w:proofErr w:type="gramStart"/>
    <w:r w:rsidRPr="002761F2">
      <w:rPr>
        <w:rFonts w:ascii="Arial" w:eastAsia="Times New Roman" w:hAnsi="Arial" w:cs="Arial"/>
        <w:i/>
        <w:sz w:val="16"/>
        <w:szCs w:val="20"/>
      </w:rPr>
      <w:t>no.</w:t>
    </w:r>
    <w:r w:rsidR="003E7228" w:rsidRPr="002761F2">
      <w:rPr>
        <w:rFonts w:ascii="Arial" w:eastAsia="Times New Roman" w:hAnsi="Arial" w:cs="Arial"/>
        <w:i/>
        <w:iCs/>
        <w:sz w:val="16"/>
        <w:szCs w:val="20"/>
      </w:rPr>
      <w:t>AJFRN</w:t>
    </w:r>
    <w:proofErr w:type="gramEnd"/>
    <w:r w:rsidR="002761F2" w:rsidRPr="002761F2">
      <w:rPr>
        <w:rFonts w:ascii="Arial" w:eastAsia="Times New Roman" w:hAnsi="Arial" w:cs="Arial"/>
        <w:i/>
        <w:iCs/>
        <w:sz w:val="16"/>
        <w:szCs w:val="20"/>
      </w:rPr>
      <w:t>.150095</w:t>
    </w:r>
  </w:p>
  <w:p w14:paraId="4EB2C214" w14:textId="77777777" w:rsidR="00392C95" w:rsidRDefault="00392C95" w:rsidP="006C56FD">
    <w:pPr>
      <w:tabs>
        <w:tab w:val="center" w:pos="4320"/>
        <w:tab w:val="right" w:pos="8640"/>
      </w:tabs>
      <w:spacing w:after="0" w:line="240" w:lineRule="auto"/>
      <w:jc w:val="right"/>
      <w:rPr>
        <w:rFonts w:ascii="Arial" w:eastAsia="Times New Roman" w:hAnsi="Arial" w:cs="Arial"/>
        <w:i/>
        <w:sz w:val="16"/>
        <w:szCs w:val="20"/>
      </w:rPr>
    </w:pPr>
  </w:p>
  <w:p w14:paraId="3ACC66E3"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B02A" w14:textId="53ECFA71" w:rsidR="00D615DF" w:rsidRDefault="003A7396">
    <w:pPr>
      <w:pStyle w:val="Header"/>
    </w:pPr>
    <w:r>
      <w:rPr>
        <w:noProof/>
      </w:rPr>
      <w:pict w14:anchorId="5CD43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3687"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05E2"/>
    <w:multiLevelType w:val="hybridMultilevel"/>
    <w:tmpl w:val="A14C4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61F2F"/>
    <w:multiLevelType w:val="hybridMultilevel"/>
    <w:tmpl w:val="3732F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xMzI0NjW2NDWyMDdT0lEKTi0uzszPAykwrAUAhL5K1SwAAAA="/>
  </w:docVars>
  <w:rsids>
    <w:rsidRoot w:val="006E1FAF"/>
    <w:rsid w:val="00000E44"/>
    <w:rsid w:val="000143C5"/>
    <w:rsid w:val="00017E73"/>
    <w:rsid w:val="000210E7"/>
    <w:rsid w:val="00021DF1"/>
    <w:rsid w:val="00037C27"/>
    <w:rsid w:val="00065814"/>
    <w:rsid w:val="00075658"/>
    <w:rsid w:val="000A688F"/>
    <w:rsid w:val="000D1EC1"/>
    <w:rsid w:val="000E42FC"/>
    <w:rsid w:val="000F30A5"/>
    <w:rsid w:val="00114CDA"/>
    <w:rsid w:val="00122265"/>
    <w:rsid w:val="00140319"/>
    <w:rsid w:val="001424F2"/>
    <w:rsid w:val="00145FA3"/>
    <w:rsid w:val="00161ED7"/>
    <w:rsid w:val="00182FAB"/>
    <w:rsid w:val="00186E86"/>
    <w:rsid w:val="0019004A"/>
    <w:rsid w:val="00194F66"/>
    <w:rsid w:val="001977C9"/>
    <w:rsid w:val="001A0C23"/>
    <w:rsid w:val="001B1D2D"/>
    <w:rsid w:val="001C3908"/>
    <w:rsid w:val="001C7E8D"/>
    <w:rsid w:val="001E1435"/>
    <w:rsid w:val="001F084D"/>
    <w:rsid w:val="001F49B1"/>
    <w:rsid w:val="0020723B"/>
    <w:rsid w:val="00213C02"/>
    <w:rsid w:val="00215DE1"/>
    <w:rsid w:val="00215F8D"/>
    <w:rsid w:val="00216ADD"/>
    <w:rsid w:val="00235C7E"/>
    <w:rsid w:val="00250191"/>
    <w:rsid w:val="00255CEC"/>
    <w:rsid w:val="00257FF1"/>
    <w:rsid w:val="00260707"/>
    <w:rsid w:val="00262F20"/>
    <w:rsid w:val="002761F2"/>
    <w:rsid w:val="00284A2D"/>
    <w:rsid w:val="002862B8"/>
    <w:rsid w:val="002A5DD6"/>
    <w:rsid w:val="002B1354"/>
    <w:rsid w:val="002C3F2C"/>
    <w:rsid w:val="002F209E"/>
    <w:rsid w:val="002F6FD7"/>
    <w:rsid w:val="00303830"/>
    <w:rsid w:val="003055EA"/>
    <w:rsid w:val="00307680"/>
    <w:rsid w:val="003169B5"/>
    <w:rsid w:val="0032261B"/>
    <w:rsid w:val="00331E84"/>
    <w:rsid w:val="003467C7"/>
    <w:rsid w:val="003570B1"/>
    <w:rsid w:val="003767FE"/>
    <w:rsid w:val="00392C95"/>
    <w:rsid w:val="003A7396"/>
    <w:rsid w:val="003D43F4"/>
    <w:rsid w:val="003D4B65"/>
    <w:rsid w:val="003E4687"/>
    <w:rsid w:val="003E5CF4"/>
    <w:rsid w:val="003E62CF"/>
    <w:rsid w:val="003E7228"/>
    <w:rsid w:val="003F3F89"/>
    <w:rsid w:val="004018D1"/>
    <w:rsid w:val="0042538D"/>
    <w:rsid w:val="004277E4"/>
    <w:rsid w:val="004336DD"/>
    <w:rsid w:val="00444654"/>
    <w:rsid w:val="004453CD"/>
    <w:rsid w:val="00451BC8"/>
    <w:rsid w:val="004548E7"/>
    <w:rsid w:val="00457D25"/>
    <w:rsid w:val="00463915"/>
    <w:rsid w:val="004641C7"/>
    <w:rsid w:val="004822D2"/>
    <w:rsid w:val="00483528"/>
    <w:rsid w:val="00487978"/>
    <w:rsid w:val="004908DA"/>
    <w:rsid w:val="0049098D"/>
    <w:rsid w:val="00493A15"/>
    <w:rsid w:val="00495BBE"/>
    <w:rsid w:val="004A2402"/>
    <w:rsid w:val="004A4822"/>
    <w:rsid w:val="004B7E8E"/>
    <w:rsid w:val="004F407B"/>
    <w:rsid w:val="00531A2B"/>
    <w:rsid w:val="00532B18"/>
    <w:rsid w:val="00533F69"/>
    <w:rsid w:val="0054433A"/>
    <w:rsid w:val="0055073F"/>
    <w:rsid w:val="00593283"/>
    <w:rsid w:val="005C62DE"/>
    <w:rsid w:val="005D3550"/>
    <w:rsid w:val="00602332"/>
    <w:rsid w:val="00627F28"/>
    <w:rsid w:val="00647A13"/>
    <w:rsid w:val="00676ADB"/>
    <w:rsid w:val="0068600C"/>
    <w:rsid w:val="0069134E"/>
    <w:rsid w:val="006A64E4"/>
    <w:rsid w:val="006B4AF8"/>
    <w:rsid w:val="006B62F9"/>
    <w:rsid w:val="006C56FD"/>
    <w:rsid w:val="006E1FAF"/>
    <w:rsid w:val="00701980"/>
    <w:rsid w:val="0071730D"/>
    <w:rsid w:val="00740951"/>
    <w:rsid w:val="0074791D"/>
    <w:rsid w:val="00760230"/>
    <w:rsid w:val="007667F4"/>
    <w:rsid w:val="00783657"/>
    <w:rsid w:val="007A3474"/>
    <w:rsid w:val="007A3D66"/>
    <w:rsid w:val="007B7F54"/>
    <w:rsid w:val="007C3CE3"/>
    <w:rsid w:val="007D1D8E"/>
    <w:rsid w:val="007E1ABC"/>
    <w:rsid w:val="007F591D"/>
    <w:rsid w:val="007F796E"/>
    <w:rsid w:val="00806B2A"/>
    <w:rsid w:val="00817E1D"/>
    <w:rsid w:val="00825F35"/>
    <w:rsid w:val="0085334C"/>
    <w:rsid w:val="00870B13"/>
    <w:rsid w:val="00871561"/>
    <w:rsid w:val="008A1C34"/>
    <w:rsid w:val="008B50A9"/>
    <w:rsid w:val="008C1E01"/>
    <w:rsid w:val="0090089D"/>
    <w:rsid w:val="0091530E"/>
    <w:rsid w:val="009164FE"/>
    <w:rsid w:val="00934B57"/>
    <w:rsid w:val="00937A9E"/>
    <w:rsid w:val="00940019"/>
    <w:rsid w:val="00940B5A"/>
    <w:rsid w:val="009416CA"/>
    <w:rsid w:val="009439D9"/>
    <w:rsid w:val="009458C4"/>
    <w:rsid w:val="00950101"/>
    <w:rsid w:val="00950842"/>
    <w:rsid w:val="00987EC7"/>
    <w:rsid w:val="00996196"/>
    <w:rsid w:val="009B19D3"/>
    <w:rsid w:val="009C28F9"/>
    <w:rsid w:val="009C3BFF"/>
    <w:rsid w:val="009C6035"/>
    <w:rsid w:val="009D6E5A"/>
    <w:rsid w:val="009E7FB4"/>
    <w:rsid w:val="009F49F8"/>
    <w:rsid w:val="00A170EC"/>
    <w:rsid w:val="00A32BAB"/>
    <w:rsid w:val="00A40016"/>
    <w:rsid w:val="00A406E4"/>
    <w:rsid w:val="00A60CB6"/>
    <w:rsid w:val="00A66C32"/>
    <w:rsid w:val="00A67566"/>
    <w:rsid w:val="00A72E99"/>
    <w:rsid w:val="00A92735"/>
    <w:rsid w:val="00AA3BD0"/>
    <w:rsid w:val="00AA3D5F"/>
    <w:rsid w:val="00AB376C"/>
    <w:rsid w:val="00AC501A"/>
    <w:rsid w:val="00AD12DD"/>
    <w:rsid w:val="00B03434"/>
    <w:rsid w:val="00B41438"/>
    <w:rsid w:val="00B552F7"/>
    <w:rsid w:val="00B62272"/>
    <w:rsid w:val="00B62FBA"/>
    <w:rsid w:val="00B86BB6"/>
    <w:rsid w:val="00B96A73"/>
    <w:rsid w:val="00BE03CF"/>
    <w:rsid w:val="00BE129D"/>
    <w:rsid w:val="00BF088B"/>
    <w:rsid w:val="00C114B2"/>
    <w:rsid w:val="00C1167E"/>
    <w:rsid w:val="00C14BB1"/>
    <w:rsid w:val="00C150EC"/>
    <w:rsid w:val="00C24C8D"/>
    <w:rsid w:val="00C45D19"/>
    <w:rsid w:val="00C4683B"/>
    <w:rsid w:val="00C64490"/>
    <w:rsid w:val="00C701F2"/>
    <w:rsid w:val="00C861FD"/>
    <w:rsid w:val="00C86D76"/>
    <w:rsid w:val="00C9653A"/>
    <w:rsid w:val="00CA3F8A"/>
    <w:rsid w:val="00CB703B"/>
    <w:rsid w:val="00CC667C"/>
    <w:rsid w:val="00CD3884"/>
    <w:rsid w:val="00CE6D2D"/>
    <w:rsid w:val="00CE74E9"/>
    <w:rsid w:val="00D12A50"/>
    <w:rsid w:val="00D17316"/>
    <w:rsid w:val="00D40E6D"/>
    <w:rsid w:val="00D615DF"/>
    <w:rsid w:val="00D7184C"/>
    <w:rsid w:val="00D7379A"/>
    <w:rsid w:val="00D76F25"/>
    <w:rsid w:val="00D953A9"/>
    <w:rsid w:val="00DA1734"/>
    <w:rsid w:val="00DA183C"/>
    <w:rsid w:val="00DB4514"/>
    <w:rsid w:val="00DC3BCE"/>
    <w:rsid w:val="00DC5DF6"/>
    <w:rsid w:val="00DC645F"/>
    <w:rsid w:val="00DD7247"/>
    <w:rsid w:val="00DE0EF3"/>
    <w:rsid w:val="00DE4592"/>
    <w:rsid w:val="00E33355"/>
    <w:rsid w:val="00E3625D"/>
    <w:rsid w:val="00E415E4"/>
    <w:rsid w:val="00E7662C"/>
    <w:rsid w:val="00E90C92"/>
    <w:rsid w:val="00E9318A"/>
    <w:rsid w:val="00EA0F71"/>
    <w:rsid w:val="00EC686F"/>
    <w:rsid w:val="00EE2357"/>
    <w:rsid w:val="00EE4C42"/>
    <w:rsid w:val="00EE5979"/>
    <w:rsid w:val="00EE67FE"/>
    <w:rsid w:val="00F029E5"/>
    <w:rsid w:val="00F04E40"/>
    <w:rsid w:val="00F1320D"/>
    <w:rsid w:val="00F32617"/>
    <w:rsid w:val="00F3460B"/>
    <w:rsid w:val="00F71E15"/>
    <w:rsid w:val="00F826D8"/>
    <w:rsid w:val="00F867AA"/>
    <w:rsid w:val="00F86925"/>
    <w:rsid w:val="00FB09DC"/>
    <w:rsid w:val="00FC27FE"/>
    <w:rsid w:val="00FE7382"/>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54"/>
        <o:r id="V:Rule2" type="connector" idref="#_x0000_s1040"/>
      </o:rules>
    </o:shapelayout>
  </w:shapeDefaults>
  <w:decimalSymbol w:val="."/>
  <w:listSeparator w:val=","/>
  <w14:docId w14:val="0645E686"/>
  <w15:docId w15:val="{591582A2-B652-4220-A0AC-AB0E9FD3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69134E"/>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647A1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C45D1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FF3EBE"/>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3055EA"/>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69134E"/>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647A1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C45D1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FF3EBE"/>
    <w:rPr>
      <w:rFonts w:ascii="Arial" w:eastAsiaTheme="majorEastAsia" w:hAnsi="Arial" w:cstheme="majorBidi"/>
      <w:b/>
      <w:bCs/>
      <w:i/>
      <w:iCs/>
      <w:sz w:val="20"/>
    </w:rPr>
  </w:style>
  <w:style w:type="table" w:customStyle="1" w:styleId="TableGridLight1">
    <w:name w:val="Table Grid Light1"/>
    <w:basedOn w:val="TableNormal"/>
    <w:next w:val="TableNormal"/>
    <w:uiPriority w:val="40"/>
    <w:rsid w:val="00AD12DD"/>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4646">
      <w:bodyDiv w:val="1"/>
      <w:marLeft w:val="0"/>
      <w:marRight w:val="0"/>
      <w:marTop w:val="0"/>
      <w:marBottom w:val="0"/>
      <w:divBdr>
        <w:top w:val="none" w:sz="0" w:space="0" w:color="auto"/>
        <w:left w:val="none" w:sz="0" w:space="0" w:color="auto"/>
        <w:bottom w:val="none" w:sz="0" w:space="0" w:color="auto"/>
        <w:right w:val="none" w:sz="0" w:space="0" w:color="auto"/>
      </w:divBdr>
    </w:div>
    <w:div w:id="988748434">
      <w:bodyDiv w:val="1"/>
      <w:marLeft w:val="0"/>
      <w:marRight w:val="0"/>
      <w:marTop w:val="0"/>
      <w:marBottom w:val="0"/>
      <w:divBdr>
        <w:top w:val="none" w:sz="0" w:space="0" w:color="auto"/>
        <w:left w:val="none" w:sz="0" w:space="0" w:color="auto"/>
        <w:bottom w:val="none" w:sz="0" w:space="0" w:color="auto"/>
        <w:right w:val="none" w:sz="0" w:space="0" w:color="auto"/>
      </w:divBdr>
    </w:div>
    <w:div w:id="1244416464">
      <w:bodyDiv w:val="1"/>
      <w:marLeft w:val="0"/>
      <w:marRight w:val="0"/>
      <w:marTop w:val="0"/>
      <w:marBottom w:val="0"/>
      <w:divBdr>
        <w:top w:val="none" w:sz="0" w:space="0" w:color="auto"/>
        <w:left w:val="none" w:sz="0" w:space="0" w:color="auto"/>
        <w:bottom w:val="none" w:sz="0" w:space="0" w:color="auto"/>
        <w:right w:val="none" w:sz="0" w:space="0" w:color="auto"/>
      </w:divBdr>
    </w:div>
    <w:div w:id="1271738356">
      <w:bodyDiv w:val="1"/>
      <w:marLeft w:val="0"/>
      <w:marRight w:val="0"/>
      <w:marTop w:val="0"/>
      <w:marBottom w:val="0"/>
      <w:divBdr>
        <w:top w:val="none" w:sz="0" w:space="0" w:color="auto"/>
        <w:left w:val="none" w:sz="0" w:space="0" w:color="auto"/>
        <w:bottom w:val="none" w:sz="0" w:space="0" w:color="auto"/>
        <w:right w:val="none" w:sz="0" w:space="0" w:color="auto"/>
      </w:divBdr>
    </w:div>
    <w:div w:id="1602180171">
      <w:bodyDiv w:val="1"/>
      <w:marLeft w:val="0"/>
      <w:marRight w:val="0"/>
      <w:marTop w:val="0"/>
      <w:marBottom w:val="0"/>
      <w:divBdr>
        <w:top w:val="none" w:sz="0" w:space="0" w:color="auto"/>
        <w:left w:val="none" w:sz="0" w:space="0" w:color="auto"/>
        <w:bottom w:val="none" w:sz="0" w:space="0" w:color="auto"/>
        <w:right w:val="none" w:sz="0" w:space="0" w:color="auto"/>
      </w:divBdr>
    </w:div>
    <w:div w:id="1660959498">
      <w:bodyDiv w:val="1"/>
      <w:marLeft w:val="0"/>
      <w:marRight w:val="0"/>
      <w:marTop w:val="0"/>
      <w:marBottom w:val="0"/>
      <w:divBdr>
        <w:top w:val="none" w:sz="0" w:space="0" w:color="auto"/>
        <w:left w:val="none" w:sz="0" w:space="0" w:color="auto"/>
        <w:bottom w:val="none" w:sz="0" w:space="0" w:color="auto"/>
        <w:right w:val="none" w:sz="0" w:space="0" w:color="auto"/>
      </w:divBdr>
    </w:div>
    <w:div w:id="1836414672">
      <w:bodyDiv w:val="1"/>
      <w:marLeft w:val="0"/>
      <w:marRight w:val="0"/>
      <w:marTop w:val="0"/>
      <w:marBottom w:val="0"/>
      <w:divBdr>
        <w:top w:val="none" w:sz="0" w:space="0" w:color="auto"/>
        <w:left w:val="none" w:sz="0" w:space="0" w:color="auto"/>
        <w:bottom w:val="none" w:sz="0" w:space="0" w:color="auto"/>
        <w:right w:val="none" w:sz="0" w:space="0" w:color="auto"/>
      </w:divBdr>
    </w:div>
    <w:div w:id="2105956259">
      <w:bodyDiv w:val="1"/>
      <w:marLeft w:val="0"/>
      <w:marRight w:val="0"/>
      <w:marTop w:val="0"/>
      <w:marBottom w:val="0"/>
      <w:divBdr>
        <w:top w:val="none" w:sz="0" w:space="0" w:color="auto"/>
        <w:left w:val="none" w:sz="0" w:space="0" w:color="auto"/>
        <w:bottom w:val="none" w:sz="0" w:space="0" w:color="auto"/>
        <w:right w:val="none" w:sz="0" w:space="0" w:color="auto"/>
      </w:divBdr>
    </w:div>
    <w:div w:id="21159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89/fpubh.2023.12270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4142</Words>
  <Characters>23616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1020</cp:lastModifiedBy>
  <cp:revision>146</cp:revision>
  <dcterms:created xsi:type="dcterms:W3CDTF">2014-09-22T13:32:00Z</dcterms:created>
  <dcterms:modified xsi:type="dcterms:W3CDTF">2025-12-29T06:29:00Z</dcterms:modified>
</cp:coreProperties>
</file>