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FEB79" w14:textId="57A8E7B6" w:rsidR="003C6A5A" w:rsidRPr="003C6A5A" w:rsidRDefault="003C6A5A" w:rsidP="003C6A5A">
      <w:pPr>
        <w:spacing w:line="360" w:lineRule="auto"/>
        <w:jc w:val="left"/>
        <w:rPr>
          <w:rFonts w:ascii="Arial" w:hAnsi="Arial" w:cs="Arial"/>
          <w:b/>
          <w:bCs/>
          <w:szCs w:val="22"/>
          <w:u w:val="single"/>
        </w:rPr>
      </w:pPr>
      <w:r w:rsidRPr="003C6A5A">
        <w:rPr>
          <w:rFonts w:ascii="Arial" w:hAnsi="Arial" w:cs="Arial"/>
          <w:b/>
          <w:bCs/>
          <w:szCs w:val="22"/>
          <w:u w:val="single"/>
        </w:rPr>
        <w:t>Original Research Article</w:t>
      </w:r>
    </w:p>
    <w:p w14:paraId="3759CA16" w14:textId="77777777" w:rsidR="003C6A5A" w:rsidRDefault="003C6A5A" w:rsidP="00AB77E2">
      <w:pPr>
        <w:spacing w:line="360" w:lineRule="auto"/>
        <w:jc w:val="center"/>
        <w:rPr>
          <w:rFonts w:ascii="Arial" w:hAnsi="Arial" w:cs="Arial"/>
          <w:b/>
          <w:bCs/>
          <w:szCs w:val="22"/>
        </w:rPr>
      </w:pPr>
    </w:p>
    <w:p w14:paraId="0FB32E8C" w14:textId="28D7D885" w:rsidR="008A62B0" w:rsidRPr="001736B5" w:rsidRDefault="008A62B0" w:rsidP="00AB77E2">
      <w:pPr>
        <w:spacing w:line="360" w:lineRule="auto"/>
        <w:jc w:val="center"/>
        <w:rPr>
          <w:rFonts w:ascii="Arial" w:hAnsi="Arial" w:cs="Arial"/>
          <w:b/>
          <w:bCs/>
          <w:szCs w:val="22"/>
        </w:rPr>
      </w:pPr>
      <w:r w:rsidRPr="008A62B0">
        <w:rPr>
          <w:rFonts w:ascii="Arial" w:hAnsi="Arial" w:cs="Arial"/>
          <w:b/>
          <w:bCs/>
          <w:szCs w:val="22"/>
          <w:lang w:val="en-GB"/>
        </w:rPr>
        <w:t>Habit and availability as determinants of school-canteen food choices among adolescents in Nansana Municipality, Uganda: a cross-sectional study</w:t>
      </w:r>
      <w:r w:rsidR="00FD104F">
        <w:rPr>
          <w:rFonts w:ascii="Arial" w:hAnsi="Arial" w:cs="Arial"/>
          <w:b/>
          <w:bCs/>
          <w:szCs w:val="22"/>
          <w:lang w:val="en-GB"/>
        </w:rPr>
        <w:t>.</w:t>
      </w:r>
    </w:p>
    <w:p w14:paraId="29F1A732" w14:textId="77777777" w:rsidR="00543829" w:rsidRPr="001A5BEF" w:rsidRDefault="00543829" w:rsidP="00AB77E2">
      <w:pPr>
        <w:spacing w:line="360" w:lineRule="auto"/>
        <w:rPr>
          <w:rFonts w:ascii="Arial" w:hAnsi="Arial" w:cs="Arial"/>
          <w:b/>
          <w:bCs/>
          <w:szCs w:val="22"/>
          <w:lang w:val="pt-BR"/>
        </w:rPr>
      </w:pPr>
    </w:p>
    <w:p w14:paraId="7ACAA1D8" w14:textId="36A7FF2F" w:rsidR="00CD6A99" w:rsidRPr="001736B5" w:rsidRDefault="00CD6A99" w:rsidP="00AB77E2">
      <w:pPr>
        <w:spacing w:line="360" w:lineRule="auto"/>
        <w:rPr>
          <w:rFonts w:ascii="Arial" w:hAnsi="Arial" w:cs="Arial"/>
          <w:b/>
          <w:bCs/>
          <w:szCs w:val="22"/>
        </w:rPr>
      </w:pPr>
      <w:r w:rsidRPr="001736B5">
        <w:rPr>
          <w:rFonts w:ascii="Arial" w:hAnsi="Arial" w:cs="Arial"/>
          <w:b/>
          <w:bCs/>
          <w:szCs w:val="22"/>
        </w:rPr>
        <w:t>ABSTRACT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41"/>
      </w:tblGrid>
      <w:tr w:rsidR="00CD6A99" w:rsidRPr="001736B5" w14:paraId="38271637" w14:textId="77777777" w:rsidTr="007C3C01">
        <w:trPr>
          <w:trHeight w:val="6983"/>
        </w:trPr>
        <w:tc>
          <w:tcPr>
            <w:tcW w:w="9541" w:type="dxa"/>
            <w:shd w:val="clear" w:color="auto" w:fill="F2F2F2"/>
          </w:tcPr>
          <w:p w14:paraId="6938BE13" w14:textId="0C487D9B" w:rsidR="00CD6A99" w:rsidRPr="001736B5" w:rsidRDefault="00CD6A99" w:rsidP="00CD6A99">
            <w:pPr>
              <w:spacing w:line="360" w:lineRule="auto"/>
              <w:rPr>
                <w:rFonts w:ascii="Arial" w:hAnsi="Arial" w:cs="Arial"/>
                <w:szCs w:val="22"/>
              </w:rPr>
            </w:pPr>
            <w:r w:rsidRPr="001736B5">
              <w:rPr>
                <w:rFonts w:ascii="Arial" w:hAnsi="Arial" w:cs="Arial"/>
                <w:b/>
                <w:bCs/>
                <w:szCs w:val="22"/>
              </w:rPr>
              <w:t>Purpose</w:t>
            </w:r>
            <w:r w:rsidRPr="001736B5">
              <w:rPr>
                <w:rFonts w:ascii="Arial" w:hAnsi="Arial" w:cs="Arial"/>
                <w:szCs w:val="22"/>
              </w:rPr>
              <w:t xml:space="preserve">: The study predicted the determinants of </w:t>
            </w:r>
            <w:r w:rsidR="00537321">
              <w:rPr>
                <w:rFonts w:ascii="Arial" w:hAnsi="Arial" w:cs="Arial"/>
                <w:szCs w:val="22"/>
              </w:rPr>
              <w:t xml:space="preserve">school </w:t>
            </w:r>
            <w:r w:rsidRPr="001736B5">
              <w:rPr>
                <w:rFonts w:ascii="Arial" w:hAnsi="Arial" w:cs="Arial"/>
                <w:szCs w:val="22"/>
              </w:rPr>
              <w:t xml:space="preserve">canteen food choices among school-going adolescents in Nansana Municipality in Uganda. </w:t>
            </w:r>
          </w:p>
          <w:p w14:paraId="40E0C69A" w14:textId="1454AE09" w:rsidR="00CD6A99" w:rsidRPr="001736B5" w:rsidRDefault="00CD6A99" w:rsidP="00CD6A99">
            <w:pPr>
              <w:spacing w:line="360" w:lineRule="auto"/>
              <w:rPr>
                <w:rFonts w:ascii="Arial" w:hAnsi="Arial" w:cs="Arial"/>
                <w:szCs w:val="22"/>
              </w:rPr>
            </w:pPr>
            <w:r w:rsidRPr="001736B5">
              <w:rPr>
                <w:rFonts w:ascii="Arial" w:hAnsi="Arial" w:cs="Arial"/>
                <w:b/>
                <w:bCs/>
                <w:szCs w:val="22"/>
              </w:rPr>
              <w:t>Methods</w:t>
            </w:r>
            <w:r w:rsidRPr="001736B5">
              <w:rPr>
                <w:rFonts w:ascii="Arial" w:hAnsi="Arial" w:cs="Arial"/>
                <w:szCs w:val="22"/>
              </w:rPr>
              <w:t>: An observational cross-sectional design was employed. The data were primarily collected from</w:t>
            </w:r>
            <w:r w:rsidR="0079626F">
              <w:rPr>
                <w:rFonts w:ascii="Arial" w:hAnsi="Arial" w:cs="Arial"/>
                <w:szCs w:val="22"/>
              </w:rPr>
              <w:t xml:space="preserve"> </w:t>
            </w:r>
            <w:r w:rsidR="00505257">
              <w:rPr>
                <w:rFonts w:ascii="Arial" w:hAnsi="Arial" w:cs="Arial"/>
                <w:szCs w:val="22"/>
              </w:rPr>
              <w:t>4</w:t>
            </w:r>
            <w:r w:rsidR="002337CB">
              <w:rPr>
                <w:rFonts w:ascii="Arial" w:hAnsi="Arial" w:cs="Arial"/>
                <w:szCs w:val="22"/>
              </w:rPr>
              <w:t>90</w:t>
            </w:r>
            <w:r w:rsidR="00505257">
              <w:rPr>
                <w:rFonts w:ascii="Arial" w:hAnsi="Arial" w:cs="Arial"/>
                <w:szCs w:val="22"/>
              </w:rPr>
              <w:t xml:space="preserve">0 </w:t>
            </w:r>
            <w:r w:rsidRPr="001736B5">
              <w:rPr>
                <w:rFonts w:ascii="Arial" w:hAnsi="Arial" w:cs="Arial"/>
                <w:szCs w:val="22"/>
              </w:rPr>
              <w:t xml:space="preserve">adolescents, aged 10-19 years, in senior one through senior three classes attending different secondary schools in Nansana Municipality. Sample size was computed using the Taro Yamane formula, which yielded a sample of 1174. The multiple regression model was employed to analyze the relationship between the choices of adolescents and the nutrition practices. The model was tested for the assumptions of linearity and normality. </w:t>
            </w:r>
          </w:p>
          <w:p w14:paraId="0A2FEAC6" w14:textId="00A71601" w:rsidR="00CD6A99" w:rsidRPr="001736B5" w:rsidRDefault="00CD6A99" w:rsidP="00CD6A99">
            <w:pPr>
              <w:spacing w:line="360" w:lineRule="auto"/>
              <w:rPr>
                <w:rFonts w:ascii="Arial" w:hAnsi="Arial" w:cs="Arial"/>
                <w:szCs w:val="22"/>
              </w:rPr>
            </w:pPr>
            <w:r w:rsidRPr="001736B5">
              <w:rPr>
                <w:rFonts w:ascii="Arial" w:hAnsi="Arial" w:cs="Arial"/>
                <w:b/>
                <w:bCs/>
                <w:szCs w:val="22"/>
              </w:rPr>
              <w:t>Results</w:t>
            </w:r>
            <w:r w:rsidRPr="001736B5">
              <w:rPr>
                <w:rFonts w:ascii="Arial" w:hAnsi="Arial" w:cs="Arial"/>
                <w:szCs w:val="22"/>
              </w:rPr>
              <w:t xml:space="preserve">: </w:t>
            </w:r>
            <w:r w:rsidR="00D31A4F">
              <w:rPr>
                <w:rFonts w:ascii="Arial" w:hAnsi="Arial" w:cs="Arial"/>
                <w:szCs w:val="22"/>
              </w:rPr>
              <w:t xml:space="preserve">The regression model based on skewed data for only adolescents was a good fit but with a low explanatory power. </w:t>
            </w:r>
            <w:r w:rsidRPr="001736B5">
              <w:rPr>
                <w:rFonts w:ascii="Arial" w:hAnsi="Arial" w:cs="Arial"/>
                <w:szCs w:val="22"/>
              </w:rPr>
              <w:t xml:space="preserve">The results indicated that while the taste of food at the canteen and the availability of consumption were significant, the single most significant determinant of unhealthy food choices at school canteens by the adolescents was the routine dietary practices. </w:t>
            </w:r>
          </w:p>
          <w:p w14:paraId="6B4E65D3" w14:textId="77777777" w:rsidR="00CD6A99" w:rsidRPr="001736B5" w:rsidRDefault="00CD6A99" w:rsidP="00CD6A99">
            <w:pPr>
              <w:spacing w:line="360" w:lineRule="auto"/>
              <w:rPr>
                <w:rFonts w:ascii="Arial" w:hAnsi="Arial" w:cs="Arial"/>
                <w:szCs w:val="22"/>
              </w:rPr>
            </w:pPr>
            <w:r w:rsidRPr="001736B5">
              <w:rPr>
                <w:rFonts w:ascii="Arial" w:hAnsi="Arial" w:cs="Arial"/>
                <w:b/>
                <w:bCs/>
                <w:szCs w:val="22"/>
              </w:rPr>
              <w:t>Conclusions</w:t>
            </w:r>
            <w:r w:rsidRPr="001736B5">
              <w:rPr>
                <w:rFonts w:ascii="Arial" w:hAnsi="Arial" w:cs="Arial"/>
                <w:szCs w:val="22"/>
              </w:rPr>
              <w:t xml:space="preserve">: The study shows that school-going adolescent students easily gravitate towards foods they are used to eating, reflecting a stronger effect of habitual eating patterns.  </w:t>
            </w:r>
          </w:p>
          <w:p w14:paraId="4F562DC7" w14:textId="6C1BCAF4" w:rsidR="00CD6A99" w:rsidRPr="001736B5" w:rsidRDefault="00CD6A99" w:rsidP="007C3C01">
            <w:pPr>
              <w:spacing w:line="360" w:lineRule="auto"/>
              <w:rPr>
                <w:rFonts w:ascii="Arial" w:hAnsi="Arial" w:cs="Arial"/>
                <w:szCs w:val="22"/>
              </w:rPr>
            </w:pPr>
            <w:r w:rsidRPr="001736B5">
              <w:rPr>
                <w:rFonts w:ascii="Arial" w:hAnsi="Arial" w:cs="Arial"/>
                <w:b/>
                <w:bCs/>
                <w:szCs w:val="22"/>
              </w:rPr>
              <w:t>Policy Implications</w:t>
            </w:r>
            <w:r w:rsidRPr="001736B5">
              <w:rPr>
                <w:rFonts w:ascii="Arial" w:hAnsi="Arial" w:cs="Arial"/>
                <w:szCs w:val="22"/>
              </w:rPr>
              <w:t>: There is a need for a shift in intervention from simply individual taste and environment to more habitual patterns and improving the availability of healthier options, while also ensuring those options are palatable.</w:t>
            </w:r>
          </w:p>
        </w:tc>
      </w:tr>
    </w:tbl>
    <w:p w14:paraId="4FCD33D5" w14:textId="77777777" w:rsidR="007C3C01" w:rsidRPr="001736B5" w:rsidRDefault="007C3C01" w:rsidP="00CD6A99">
      <w:pPr>
        <w:spacing w:line="360" w:lineRule="auto"/>
        <w:rPr>
          <w:rFonts w:ascii="Helvetica" w:hAnsi="Helvetica" w:cs="Arial"/>
          <w:b/>
          <w:bCs/>
          <w:szCs w:val="22"/>
        </w:rPr>
      </w:pPr>
    </w:p>
    <w:p w14:paraId="40CE9D98" w14:textId="5CEB73FA" w:rsidR="00CD6A99" w:rsidRPr="001736B5" w:rsidRDefault="00CD6A99" w:rsidP="00CD6A99">
      <w:pPr>
        <w:spacing w:line="360" w:lineRule="auto"/>
        <w:rPr>
          <w:rFonts w:ascii="Helvetica" w:hAnsi="Helvetica" w:cs="Arial"/>
          <w:szCs w:val="22"/>
        </w:rPr>
      </w:pPr>
      <w:r w:rsidRPr="001736B5">
        <w:rPr>
          <w:rFonts w:ascii="Helvetica" w:hAnsi="Helvetica" w:cs="Arial"/>
          <w:b/>
          <w:bCs/>
          <w:szCs w:val="22"/>
        </w:rPr>
        <w:t>Key words</w:t>
      </w:r>
      <w:r w:rsidRPr="001736B5">
        <w:rPr>
          <w:rFonts w:ascii="Helvetica" w:hAnsi="Helvetica" w:cs="Arial"/>
          <w:szCs w:val="22"/>
        </w:rPr>
        <w:t xml:space="preserve">: </w:t>
      </w:r>
      <w:r w:rsidRPr="001736B5">
        <w:rPr>
          <w:rFonts w:ascii="Helvetica" w:hAnsi="Helvetica" w:cs="Arial"/>
          <w:i/>
          <w:iCs/>
          <w:szCs w:val="22"/>
        </w:rPr>
        <w:t>Food Choices, Dietary Intakes and Preferences, School-Going Adolescents, Regression Model, Students</w:t>
      </w:r>
    </w:p>
    <w:p w14:paraId="1A7B3864" w14:textId="77777777" w:rsidR="00CD6A99" w:rsidRPr="001736B5" w:rsidRDefault="00CD6A99" w:rsidP="00AB77E2">
      <w:pPr>
        <w:spacing w:line="360" w:lineRule="auto"/>
        <w:rPr>
          <w:rFonts w:ascii="Arial" w:hAnsi="Arial" w:cs="Arial"/>
          <w:b/>
          <w:bCs/>
          <w:szCs w:val="22"/>
        </w:rPr>
      </w:pPr>
    </w:p>
    <w:p w14:paraId="1B2B9CEF" w14:textId="77777777" w:rsidR="00CD6A99" w:rsidRPr="001736B5" w:rsidRDefault="00CD6A99" w:rsidP="00AB77E2">
      <w:pPr>
        <w:spacing w:line="360" w:lineRule="auto"/>
        <w:rPr>
          <w:rFonts w:ascii="Arial" w:hAnsi="Arial" w:cs="Arial"/>
          <w:b/>
          <w:bCs/>
          <w:szCs w:val="22"/>
        </w:rPr>
      </w:pPr>
    </w:p>
    <w:p w14:paraId="08551B1A" w14:textId="6493F258" w:rsidR="00A166A7" w:rsidRPr="003A4D48" w:rsidRDefault="00A166A7" w:rsidP="003A4D48">
      <w:pPr>
        <w:pStyle w:val="ListParagraph"/>
        <w:numPr>
          <w:ilvl w:val="0"/>
          <w:numId w:val="2"/>
        </w:numPr>
        <w:spacing w:before="100" w:beforeAutospacing="1" w:after="100" w:afterAutospacing="1" w:line="360" w:lineRule="auto"/>
        <w:rPr>
          <w:rFonts w:ascii="Arial" w:hAnsi="Arial" w:cs="Arial"/>
          <w:b/>
          <w:bCs/>
          <w:szCs w:val="22"/>
        </w:rPr>
      </w:pPr>
      <w:r w:rsidRPr="003A4D48">
        <w:rPr>
          <w:rFonts w:ascii="Arial" w:hAnsi="Arial" w:cs="Arial"/>
          <w:b/>
          <w:bCs/>
          <w:szCs w:val="22"/>
        </w:rPr>
        <w:lastRenderedPageBreak/>
        <w:t>Introduction</w:t>
      </w:r>
    </w:p>
    <w:p w14:paraId="34EE00D2" w14:textId="51B7FB8B" w:rsidR="009D1C06" w:rsidRDefault="0039274F" w:rsidP="00AB77E2">
      <w:pPr>
        <w:spacing w:after="0" w:line="360" w:lineRule="auto"/>
        <w:rPr>
          <w:rFonts w:ascii="Arial" w:hAnsi="Arial" w:cs="Arial"/>
          <w:szCs w:val="22"/>
        </w:rPr>
      </w:pPr>
      <w:r w:rsidRPr="001736B5">
        <w:rPr>
          <w:rFonts w:ascii="Arial" w:hAnsi="Arial" w:cs="Arial"/>
          <w:szCs w:val="22"/>
        </w:rPr>
        <w:t>Food choices and diet quality have become a global area of concern, especially among school-going adolescents, amidst the rising cases of non-communicable diseases in developing countries</w:t>
      </w:r>
      <w:r w:rsidR="004B3B6F" w:rsidRPr="001736B5">
        <w:rPr>
          <w:rFonts w:ascii="Arial" w:hAnsi="Arial" w:cs="Arial"/>
          <w:szCs w:val="22"/>
        </w:rPr>
        <w:t xml:space="preserve"> </w:t>
      </w:r>
      <w:r w:rsidR="004B3B6F" w:rsidRPr="001736B5">
        <w:rPr>
          <w:rFonts w:ascii="Arial" w:hAnsi="Arial" w:cs="Arial"/>
          <w:szCs w:val="22"/>
        </w:rPr>
        <w:fldChar w:fldCharType="begin"/>
      </w:r>
      <w:r w:rsidR="004B3B6F" w:rsidRPr="001736B5">
        <w:rPr>
          <w:rFonts w:ascii="Arial" w:hAnsi="Arial" w:cs="Arial"/>
          <w:szCs w:val="22"/>
        </w:rPr>
        <w:instrText xml:space="preserve"> ADDIN EN.CITE &lt;EndNote&gt;&lt;Cite&gt;&lt;Author&gt;Chattaraj&lt;/Author&gt;&lt;Year&gt;2025&lt;/Year&gt;&lt;RecNum&gt;1&lt;/RecNum&gt;&lt;DisplayText&gt;(Chattaraj, 2025)&lt;/DisplayText&gt;&lt;record&gt;&lt;rec-number&gt;1&lt;/rec-number&gt;&lt;foreign-keys&gt;&lt;key app="EN" db-id="szaastx2j2ex5rewp0fv02p62fe9v9dfxe0a" timestamp="1765450391"&gt;1&lt;/key&gt;&lt;/foreign-keys&gt;&lt;ref-type name="Book Section"&gt;5&lt;/ref-type&gt;&lt;contributors&gt;&lt;authors&gt;&lt;author&gt;Chattaraj, Dishari&lt;/author&gt;&lt;/authors&gt;&lt;/contributors&gt;&lt;titles&gt;&lt;title&gt;Food Literacy and the Global South&lt;/title&gt;&lt;secondary-title&gt;Food Literacy, Curriculum, and The Global South: Examples from South Asia&lt;/secondary-title&gt;&lt;/titles&gt;&lt;pages&gt;31-60&lt;/pages&gt;&lt;dates&gt;&lt;year&gt;2025&lt;/year&gt;&lt;/dates&gt;&lt;publisher&gt;Springer&lt;/publisher&gt;&lt;urls&gt;&lt;/urls&gt;&lt;/record&gt;&lt;/Cite&gt;&lt;/EndNote&gt;</w:instrText>
      </w:r>
      <w:r w:rsidR="004B3B6F" w:rsidRPr="001736B5">
        <w:rPr>
          <w:rFonts w:ascii="Arial" w:hAnsi="Arial" w:cs="Arial"/>
          <w:szCs w:val="22"/>
        </w:rPr>
        <w:fldChar w:fldCharType="separate"/>
      </w:r>
      <w:r w:rsidR="004B3B6F" w:rsidRPr="001736B5">
        <w:rPr>
          <w:rFonts w:ascii="Arial" w:hAnsi="Arial" w:cs="Arial"/>
          <w:noProof/>
          <w:szCs w:val="22"/>
        </w:rPr>
        <w:t>(Chattaraj, 2025)</w:t>
      </w:r>
      <w:r w:rsidR="004B3B6F" w:rsidRPr="001736B5">
        <w:rPr>
          <w:rFonts w:ascii="Arial" w:hAnsi="Arial" w:cs="Arial"/>
          <w:szCs w:val="22"/>
        </w:rPr>
        <w:fldChar w:fldCharType="end"/>
      </w:r>
      <w:r w:rsidRPr="001736B5">
        <w:rPr>
          <w:rFonts w:ascii="Arial" w:hAnsi="Arial" w:cs="Arial"/>
          <w:szCs w:val="22"/>
        </w:rPr>
        <w:t xml:space="preserve">. </w:t>
      </w:r>
      <w:r w:rsidR="004B3B6F" w:rsidRPr="001736B5">
        <w:rPr>
          <w:rFonts w:ascii="Arial" w:hAnsi="Arial" w:cs="Arial"/>
          <w:szCs w:val="22"/>
        </w:rPr>
        <w:t xml:space="preserve">School canteens have become a hub for the intake of an unhealthy diet among school-going adolescents, associated with a potential lack of physical activity, which worsens the global risks to health </w:t>
      </w:r>
      <w:r w:rsidR="004B3B6F" w:rsidRPr="001736B5">
        <w:rPr>
          <w:rFonts w:ascii="Arial" w:hAnsi="Arial" w:cs="Arial"/>
          <w:szCs w:val="22"/>
        </w:rPr>
        <w:fldChar w:fldCharType="begin"/>
      </w:r>
      <w:r w:rsidR="004B3B6F" w:rsidRPr="001736B5">
        <w:rPr>
          <w:rFonts w:ascii="Arial" w:hAnsi="Arial" w:cs="Arial"/>
          <w:szCs w:val="22"/>
        </w:rPr>
        <w:instrText xml:space="preserve"> ADDIN EN.CITE &lt;EndNote&gt;&lt;Cite&gt;&lt;Author&gt;Balakrishnan&lt;/Author&gt;&lt;Year&gt;2025&lt;/Year&gt;&lt;RecNum&gt;2&lt;/RecNum&gt;&lt;DisplayText&gt;(Balakrishnan, 2025)&lt;/DisplayText&gt;&lt;record&gt;&lt;rec-number&gt;2&lt;/rec-number&gt;&lt;foreign-keys&gt;&lt;key app="EN" db-id="szaastx2j2ex5rewp0fv02p62fe9v9dfxe0a" timestamp="1765450441"&gt;2&lt;/key&gt;&lt;/foreign-keys&gt;&lt;ref-type name="Journal Article"&gt;17&lt;/ref-type&gt;&lt;contributors&gt;&lt;authors&gt;&lt;author&gt;Balakrishnan, Vijay Shankar&lt;/author&gt;&lt;/authors&gt;&lt;/contributors&gt;&lt;titles&gt;&lt;title&gt;Mexico&amp;apos;s school junk food ban to foster healthier futures&lt;/title&gt;&lt;secondary-title&gt;The Lancet Child &amp;amp; Adolescent Health&lt;/secondary-title&gt;&lt;/titles&gt;&lt;periodical&gt;&lt;full-title&gt;The Lancet Child &amp;amp; Adolescent Health&lt;/full-title&gt;&lt;/periodical&gt;&lt;pages&gt;761-762&lt;/pages&gt;&lt;volume&gt;9&lt;/volume&gt;&lt;number&gt;11&lt;/number&gt;&lt;dates&gt;&lt;year&gt;2025&lt;/year&gt;&lt;/dates&gt;&lt;isbn&gt;2352-4642&lt;/isbn&gt;&lt;urls&gt;&lt;/urls&gt;&lt;/record&gt;&lt;/Cite&gt;&lt;/EndNote&gt;</w:instrText>
      </w:r>
      <w:r w:rsidR="004B3B6F" w:rsidRPr="001736B5">
        <w:rPr>
          <w:rFonts w:ascii="Arial" w:hAnsi="Arial" w:cs="Arial"/>
          <w:szCs w:val="22"/>
        </w:rPr>
        <w:fldChar w:fldCharType="separate"/>
      </w:r>
      <w:r w:rsidR="004B3B6F" w:rsidRPr="001736B5">
        <w:rPr>
          <w:rFonts w:ascii="Arial" w:hAnsi="Arial" w:cs="Arial"/>
          <w:noProof/>
          <w:szCs w:val="22"/>
        </w:rPr>
        <w:t>(Balakrishnan, 2025)</w:t>
      </w:r>
      <w:r w:rsidR="004B3B6F" w:rsidRPr="001736B5">
        <w:rPr>
          <w:rFonts w:ascii="Arial" w:hAnsi="Arial" w:cs="Arial"/>
          <w:szCs w:val="22"/>
        </w:rPr>
        <w:fldChar w:fldCharType="end"/>
      </w:r>
      <w:r w:rsidR="004B3B6F" w:rsidRPr="001736B5">
        <w:rPr>
          <w:rFonts w:ascii="Arial" w:hAnsi="Arial" w:cs="Arial"/>
          <w:szCs w:val="22"/>
        </w:rPr>
        <w:t xml:space="preserve">. In Mexico, there was a recent ban on ultra-processed foods and sugar-sweetened beverages in schools due to rising fears of excess calories, higher glucose levels, and increasing risks such as obesity and diabetes </w:t>
      </w:r>
      <w:r w:rsidR="004B3B6F" w:rsidRPr="001736B5">
        <w:rPr>
          <w:rFonts w:ascii="Arial" w:hAnsi="Arial" w:cs="Arial"/>
          <w:szCs w:val="22"/>
        </w:rPr>
        <w:fldChar w:fldCharType="begin"/>
      </w:r>
      <w:r w:rsidR="004B3B6F" w:rsidRPr="001736B5">
        <w:rPr>
          <w:rFonts w:ascii="Arial" w:hAnsi="Arial" w:cs="Arial"/>
          <w:szCs w:val="22"/>
        </w:rPr>
        <w:instrText xml:space="preserve"> ADDIN EN.CITE &lt;EndNote&gt;&lt;Cite&gt;&lt;Author&gt;Balakrishnan&lt;/Author&gt;&lt;Year&gt;2025&lt;/Year&gt;&lt;RecNum&gt;2&lt;/RecNum&gt;&lt;DisplayText&gt;(Balakrishnan, 2025)&lt;/DisplayText&gt;&lt;record&gt;&lt;rec-number&gt;2&lt;/rec-number&gt;&lt;foreign-keys&gt;&lt;key app="EN" db-id="szaastx2j2ex5rewp0fv02p62fe9v9dfxe0a" timestamp="1765450441"&gt;2&lt;/key&gt;&lt;/foreign-keys&gt;&lt;ref-type name="Journal Article"&gt;17&lt;/ref-type&gt;&lt;contributors&gt;&lt;authors&gt;&lt;author&gt;Balakrishnan, Vijay Shankar&lt;/author&gt;&lt;/authors&gt;&lt;/contributors&gt;&lt;titles&gt;&lt;title&gt;Mexico&amp;apos;s school junk food ban to foster healthier futures&lt;/title&gt;&lt;secondary-title&gt;The Lancet Child &amp;amp; Adolescent Health&lt;/secondary-title&gt;&lt;/titles&gt;&lt;periodical&gt;&lt;full-title&gt;The Lancet Child &amp;amp; Adolescent Health&lt;/full-title&gt;&lt;/periodical&gt;&lt;pages&gt;761-762&lt;/pages&gt;&lt;volume&gt;9&lt;/volume&gt;&lt;number&gt;11&lt;/number&gt;&lt;dates&gt;&lt;year&gt;2025&lt;/year&gt;&lt;/dates&gt;&lt;isbn&gt;2352-4642&lt;/isbn&gt;&lt;urls&gt;&lt;/urls&gt;&lt;/record&gt;&lt;/Cite&gt;&lt;/EndNote&gt;</w:instrText>
      </w:r>
      <w:r w:rsidR="004B3B6F" w:rsidRPr="001736B5">
        <w:rPr>
          <w:rFonts w:ascii="Arial" w:hAnsi="Arial" w:cs="Arial"/>
          <w:szCs w:val="22"/>
        </w:rPr>
        <w:fldChar w:fldCharType="separate"/>
      </w:r>
      <w:r w:rsidR="004B3B6F" w:rsidRPr="001736B5">
        <w:rPr>
          <w:rFonts w:ascii="Arial" w:hAnsi="Arial" w:cs="Arial"/>
          <w:noProof/>
          <w:szCs w:val="22"/>
        </w:rPr>
        <w:t>(Balakrishnan, 2025)</w:t>
      </w:r>
      <w:r w:rsidR="004B3B6F" w:rsidRPr="001736B5">
        <w:rPr>
          <w:rFonts w:ascii="Arial" w:hAnsi="Arial" w:cs="Arial"/>
          <w:szCs w:val="22"/>
        </w:rPr>
        <w:fldChar w:fldCharType="end"/>
      </w:r>
      <w:r w:rsidR="004B3B6F" w:rsidRPr="001736B5">
        <w:rPr>
          <w:rFonts w:ascii="Arial" w:hAnsi="Arial" w:cs="Arial"/>
          <w:szCs w:val="22"/>
        </w:rPr>
        <w:t>. Many studies have pointed out school canteens as dangerous spot</w:t>
      </w:r>
      <w:r w:rsidR="007C7F9C" w:rsidRPr="001736B5">
        <w:rPr>
          <w:rFonts w:ascii="Arial" w:hAnsi="Arial" w:cs="Arial"/>
          <w:szCs w:val="22"/>
        </w:rPr>
        <w:t>s</w:t>
      </w:r>
      <w:r w:rsidR="004B3B6F" w:rsidRPr="001736B5">
        <w:rPr>
          <w:rFonts w:ascii="Arial" w:hAnsi="Arial" w:cs="Arial"/>
          <w:szCs w:val="22"/>
        </w:rPr>
        <w:t xml:space="preserve"> for delivering </w:t>
      </w:r>
      <w:r w:rsidR="006E1A19" w:rsidRPr="001736B5">
        <w:rPr>
          <w:rFonts w:ascii="Arial" w:hAnsi="Arial" w:cs="Arial"/>
          <w:szCs w:val="22"/>
        </w:rPr>
        <w:t xml:space="preserve">more than just food. For instance, </w:t>
      </w:r>
      <w:r w:rsidR="006E1A19" w:rsidRPr="001736B5">
        <w:rPr>
          <w:rFonts w:ascii="Arial" w:hAnsi="Arial" w:cs="Arial"/>
          <w:szCs w:val="22"/>
        </w:rPr>
        <w:fldChar w:fldCharType="begin"/>
      </w:r>
      <w:r w:rsidR="006E1A19" w:rsidRPr="001736B5">
        <w:rPr>
          <w:rFonts w:ascii="Arial" w:hAnsi="Arial" w:cs="Arial"/>
          <w:szCs w:val="22"/>
        </w:rPr>
        <w:instrText xml:space="preserve"> ADDIN EN.CITE &lt;EndNote&gt;&lt;Cite AuthorYear="1"&gt;&lt;Author&gt;Bennett&lt;/Author&gt;&lt;Year&gt;2025&lt;/Year&gt;&lt;RecNum&gt;3&lt;/RecNum&gt;&lt;DisplayText&gt;Bennett et al. (2025)&lt;/DisplayText&gt;&lt;record&gt;&lt;rec-number&gt;3&lt;/rec-number&gt;&lt;foreign-keys&gt;&lt;key app="EN" db-id="szaastx2j2ex5rewp0fv02p62fe9v9dfxe0a" timestamp="1765450653"&gt;3&lt;/key&gt;&lt;/foreign-keys&gt;&lt;ref-type name="Journal Article"&gt;17&lt;/ref-type&gt;&lt;contributors&gt;&lt;authors&gt;&lt;author&gt;Bennett, Juliet&lt;/author&gt;&lt;author&gt;Broom, Alex&lt;/author&gt;&lt;author&gt;Raubenheimer, David&lt;/author&gt;&lt;/authors&gt;&lt;/contributors&gt;&lt;titles&gt;&lt;title&gt;The school lunchbox as a social problem&lt;/title&gt;&lt;secondary-title&gt;Health&lt;/secondary-title&gt;&lt;/titles&gt;&lt;periodical&gt;&lt;full-title&gt;Health&lt;/full-title&gt;&lt;/periodical&gt;&lt;pages&gt;13634593251397669&lt;/pages&gt;&lt;dates&gt;&lt;year&gt;2025&lt;/year&gt;&lt;/dates&gt;&lt;isbn&gt;1363-4593&lt;/isbn&gt;&lt;urls&gt;&lt;/urls&gt;&lt;/record&gt;&lt;/Cite&gt;&lt;/EndNote&gt;</w:instrText>
      </w:r>
      <w:r w:rsidR="006E1A19" w:rsidRPr="001736B5">
        <w:rPr>
          <w:rFonts w:ascii="Arial" w:hAnsi="Arial" w:cs="Arial"/>
          <w:szCs w:val="22"/>
        </w:rPr>
        <w:fldChar w:fldCharType="separate"/>
      </w:r>
      <w:r w:rsidR="006E1A19" w:rsidRPr="001736B5">
        <w:rPr>
          <w:rFonts w:ascii="Arial" w:hAnsi="Arial" w:cs="Arial"/>
          <w:noProof/>
          <w:szCs w:val="22"/>
        </w:rPr>
        <w:t>Bennett et al. (2025)</w:t>
      </w:r>
      <w:r w:rsidR="006E1A19" w:rsidRPr="001736B5">
        <w:rPr>
          <w:rFonts w:ascii="Arial" w:hAnsi="Arial" w:cs="Arial"/>
          <w:szCs w:val="22"/>
        </w:rPr>
        <w:fldChar w:fldCharType="end"/>
      </w:r>
      <w:r w:rsidR="006E1A19" w:rsidRPr="001736B5">
        <w:rPr>
          <w:rFonts w:ascii="Arial" w:hAnsi="Arial" w:cs="Arial"/>
          <w:szCs w:val="22"/>
        </w:rPr>
        <w:t xml:space="preserve"> views school lunchboxes as a collective, multiscale social problem. </w:t>
      </w:r>
      <w:r w:rsidR="007C7F9C" w:rsidRPr="001736B5">
        <w:rPr>
          <w:rFonts w:ascii="Arial" w:hAnsi="Arial" w:cs="Arial"/>
          <w:szCs w:val="22"/>
        </w:rPr>
        <w:fldChar w:fldCharType="begin"/>
      </w:r>
      <w:r w:rsidR="007C7F9C" w:rsidRPr="001736B5">
        <w:rPr>
          <w:rFonts w:ascii="Arial" w:hAnsi="Arial" w:cs="Arial"/>
          <w:szCs w:val="22"/>
        </w:rPr>
        <w:instrText xml:space="preserve"> ADDIN EN.CITE &lt;EndNote&gt;&lt;Cite AuthorYear="1"&gt;&lt;Author&gt;Whitton&lt;/Author&gt;&lt;Year&gt;2025&lt;/Year&gt;&lt;RecNum&gt;4&lt;/RecNum&gt;&lt;DisplayText&gt;Whitton et al. (2025)&lt;/DisplayText&gt;&lt;record&gt;&lt;rec-number&gt;4&lt;/rec-number&gt;&lt;foreign-keys&gt;&lt;key app="EN" db-id="szaastx2j2ex5rewp0fv02p62fe9v9dfxe0a" timestamp="1765451075"&gt;4&lt;/key&gt;&lt;/foreign-keys&gt;&lt;ref-type name="Journal Article"&gt;17&lt;/ref-type&gt;&lt;contributors&gt;&lt;authors&gt;&lt;author&gt;Whitton, Clare&lt;/author&gt;&lt;author&gt;Klug, Frith&lt;/author&gt;&lt;author&gt;Bivoltsis, Alexia&lt;/author&gt;&lt;author&gt;Trapp, Georgina SA&lt;/author&gt;&lt;author&gt;Pulker, Claire E&lt;/author&gt;&lt;/authors&gt;&lt;/contributors&gt;&lt;titles&gt;&lt;title&gt;Restricting outdoor advertising of unhealthy food: can Australia’s food category-based classification system be applied consistently?&lt;/title&gt;&lt;secondary-title&gt;Health Promotion International&lt;/secondary-title&gt;&lt;/titles&gt;&lt;periodical&gt;&lt;full-title&gt;Health Promotion International&lt;/full-title&gt;&lt;/periodical&gt;&lt;pages&gt;daaf128&lt;/pages&gt;&lt;volume&gt;40&lt;/volume&gt;&lt;number&gt;4&lt;/number&gt;&lt;dates&gt;&lt;year&gt;2025&lt;/year&gt;&lt;/dates&gt;&lt;isbn&gt;0957-4824&lt;/isbn&gt;&lt;urls&gt;&lt;/urls&gt;&lt;/record&gt;&lt;/Cite&gt;&lt;/EndNote&gt;</w:instrText>
      </w:r>
      <w:r w:rsidR="007C7F9C" w:rsidRPr="001736B5">
        <w:rPr>
          <w:rFonts w:ascii="Arial" w:hAnsi="Arial" w:cs="Arial"/>
          <w:szCs w:val="22"/>
        </w:rPr>
        <w:fldChar w:fldCharType="separate"/>
      </w:r>
      <w:r w:rsidR="007C7F9C" w:rsidRPr="001736B5">
        <w:rPr>
          <w:rFonts w:ascii="Arial" w:hAnsi="Arial" w:cs="Arial"/>
          <w:noProof/>
          <w:szCs w:val="22"/>
        </w:rPr>
        <w:t>Whitton et al. (2025)</w:t>
      </w:r>
      <w:r w:rsidR="007C7F9C" w:rsidRPr="001736B5">
        <w:rPr>
          <w:rFonts w:ascii="Arial" w:hAnsi="Arial" w:cs="Arial"/>
          <w:szCs w:val="22"/>
        </w:rPr>
        <w:fldChar w:fldCharType="end"/>
      </w:r>
      <w:r w:rsidR="007C7F9C" w:rsidRPr="001736B5">
        <w:rPr>
          <w:rFonts w:ascii="Arial" w:hAnsi="Arial" w:cs="Arial"/>
          <w:szCs w:val="22"/>
        </w:rPr>
        <w:t xml:space="preserve"> revealed that the most fascinating outdoor food advertisements comprise unhealthy foods. </w:t>
      </w:r>
      <w:r w:rsidR="00E36C0D" w:rsidRPr="001736B5">
        <w:rPr>
          <w:rFonts w:ascii="Arial" w:hAnsi="Arial" w:cs="Arial"/>
          <w:szCs w:val="22"/>
        </w:rPr>
        <w:t xml:space="preserve">Another study by </w:t>
      </w:r>
      <w:r w:rsidR="00E36C0D" w:rsidRPr="001736B5">
        <w:rPr>
          <w:rFonts w:ascii="Arial" w:hAnsi="Arial" w:cs="Arial"/>
          <w:szCs w:val="22"/>
        </w:rPr>
        <w:fldChar w:fldCharType="begin"/>
      </w:r>
      <w:r w:rsidR="00FF3CC1">
        <w:rPr>
          <w:rFonts w:ascii="Arial" w:hAnsi="Arial" w:cs="Arial"/>
          <w:szCs w:val="22"/>
        </w:rPr>
        <w:instrText xml:space="preserve"> ADDIN EN.CITE &lt;EndNote&gt;&lt;Cite AuthorYear="1"&gt;&lt;Author&gt;Devine&lt;/Author&gt;&lt;Year&gt;2023&lt;/Year&gt;&lt;RecNum&gt;206&lt;/RecNum&gt;&lt;DisplayText&gt;Lauren D Devine, Alison M Gallagher, et al. (2023)&lt;/DisplayText&gt;&lt;record&gt;&lt;rec-number&gt;206&lt;/rec-number&gt;&lt;foreign-keys&gt;&lt;key app="EN" db-id="0s9eefvfzs9pwhew92s5eaw2rzs0frxxdvdz" timestamp="1765883951"&gt;206&lt;/key&gt;&lt;/foreign-keys&gt;&lt;ref-type name="Journal Article"&gt;17&lt;/ref-type&gt;&lt;contributors&gt;&lt;authors&gt;&lt;author&gt;Devine, Lauren D&lt;/author&gt;&lt;author&gt;Gallagher, Alison M&lt;/author&gt;&lt;author&gt;Briggs, Stephen&lt;/author&gt;&lt;author&gt;Hill, Alyson J&lt;/author&gt;&lt;/authors&gt;&lt;/contributors&gt;&lt;titles&gt;&lt;title&gt;Factors that influence food choices in secondary school canteens: a qualitative study of pupil and staff perspectives&lt;/title&gt;&lt;secondary-title&gt;Frontiers in public health&lt;/secondary-title&gt;&lt;/titles&gt;&lt;periodical&gt;&lt;full-title&gt;Frontiers in Public Health&lt;/full-title&gt;&lt;/periodical&gt;&lt;pages&gt;1227075&lt;/pages&gt;&lt;volume&gt;11&lt;/volume&gt;&lt;dates&gt;&lt;year&gt;2023&lt;/year&gt;&lt;/dates&gt;&lt;isbn&gt;2296-2565&lt;/isbn&gt;&lt;urls&gt;&lt;/urls&gt;&lt;/record&gt;&lt;/Cite&gt;&lt;/EndNote&gt;</w:instrText>
      </w:r>
      <w:r w:rsidR="00E36C0D" w:rsidRPr="001736B5">
        <w:rPr>
          <w:rFonts w:ascii="Arial" w:hAnsi="Arial" w:cs="Arial"/>
          <w:szCs w:val="22"/>
        </w:rPr>
        <w:fldChar w:fldCharType="separate"/>
      </w:r>
      <w:r w:rsidR="00E438AC" w:rsidRPr="001736B5">
        <w:rPr>
          <w:rFonts w:ascii="Arial" w:hAnsi="Arial" w:cs="Arial"/>
          <w:noProof/>
          <w:szCs w:val="22"/>
        </w:rPr>
        <w:t>Lauren D Devine, Alison M Gallagher, et al. (2023)</w:t>
      </w:r>
      <w:r w:rsidR="00E36C0D" w:rsidRPr="001736B5">
        <w:rPr>
          <w:rFonts w:ascii="Arial" w:hAnsi="Arial" w:cs="Arial"/>
          <w:szCs w:val="22"/>
        </w:rPr>
        <w:fldChar w:fldCharType="end"/>
      </w:r>
      <w:r w:rsidR="00E36C0D" w:rsidRPr="001736B5">
        <w:rPr>
          <w:rFonts w:ascii="Arial" w:hAnsi="Arial" w:cs="Arial"/>
          <w:szCs w:val="22"/>
        </w:rPr>
        <w:t xml:space="preserve"> indicated that many adolescents prioritize the sensory appeal of food, such as taste, over its health benefits in the canteen. </w:t>
      </w:r>
      <w:r w:rsidR="00E36C0D" w:rsidRPr="001736B5">
        <w:rPr>
          <w:rFonts w:ascii="Arial" w:hAnsi="Arial" w:cs="Arial"/>
          <w:szCs w:val="22"/>
        </w:rPr>
        <w:fldChar w:fldCharType="begin"/>
      </w:r>
      <w:r w:rsidR="00FF3CC1">
        <w:rPr>
          <w:rFonts w:ascii="Arial" w:hAnsi="Arial" w:cs="Arial"/>
          <w:szCs w:val="22"/>
        </w:rPr>
        <w:instrText xml:space="preserve"> ADDIN EN.CITE &lt;EndNote&gt;&lt;Cite&gt;&lt;Author&gt;Devine&lt;/Author&gt;&lt;Year&gt;2023&lt;/Year&gt;&lt;RecNum&gt;206&lt;/RecNum&gt;&lt;DisplayText&gt;(Lauren D Devine, Alison M Gallagher, et al., 2023; Kubik et al., 2003)&lt;/DisplayText&gt;&lt;record&gt;&lt;rec-number&gt;206&lt;/rec-number&gt;&lt;foreign-keys&gt;&lt;key app="EN" db-id="0s9eefvfzs9pwhew92s5eaw2rzs0frxxdvdz" timestamp="1765883951"&gt;206&lt;/key&gt;&lt;/foreign-keys&gt;&lt;ref-type name="Journal Article"&gt;17&lt;/ref-type&gt;&lt;contributors&gt;&lt;authors&gt;&lt;author&gt;Devine, Lauren D&lt;/author&gt;&lt;author&gt;Gallagher, Alison M&lt;/author&gt;&lt;author&gt;Briggs, Stephen&lt;/author&gt;&lt;author&gt;Hill, Alyson J&lt;/author&gt;&lt;/authors&gt;&lt;/contributors&gt;&lt;titles&gt;&lt;title&gt;Factors that influence food choices in secondary school canteens: a qualitative study of pupil and staff perspectives&lt;/title&gt;&lt;secondary-title&gt;Frontiers in public health&lt;/secondary-title&gt;&lt;/titles&gt;&lt;periodical&gt;&lt;full-title&gt;Frontiers in Public Health&lt;/full-title&gt;&lt;/periodical&gt;&lt;pages&gt;1227075&lt;/pages&gt;&lt;volume&gt;11&lt;/volume&gt;&lt;dates&gt;&lt;year&gt;2023&lt;/year&gt;&lt;/dates&gt;&lt;isbn&gt;2296-2565&lt;/isbn&gt;&lt;urls&gt;&lt;/urls&gt;&lt;/record&gt;&lt;/Cite&gt;&lt;Cite&gt;&lt;Author&gt;Kubik&lt;/Author&gt;&lt;Year&gt;2003&lt;/Year&gt;&lt;RecNum&gt;220&lt;/RecNum&gt;&lt;record&gt;&lt;rec-number&gt;220&lt;/rec-number&gt;&lt;foreign-keys&gt;&lt;key app="EN" db-id="0s9eefvfzs9pwhew92s5eaw2rzs0frxxdvdz" timestamp="1765883951"&gt;220&lt;/key&gt;&lt;/foreign-keys&gt;&lt;ref-type name="Journal Article"&gt;17&lt;/ref-type&gt;&lt;contributors&gt;&lt;authors&gt;&lt;author&gt;Kubik, Martha Y&lt;/author&gt;&lt;author&gt;Lytle, Leslie A&lt;/author&gt;&lt;author&gt;Hannan, Peter J&lt;/author&gt;&lt;author&gt;Perry, Cheryl L&lt;/author&gt;&lt;author&gt;Story, Mary&lt;/author&gt;&lt;/authors&gt;&lt;/contributors&gt;&lt;titles&gt;&lt;title&gt;The association of the school food environment with dietary behaviors of young adolescents&lt;/title&gt;&lt;secondary-title&gt;American journal of public health&lt;/secondary-title&gt;&lt;/titles&gt;&lt;periodical&gt;&lt;full-title&gt;American journal of public health&lt;/full-title&gt;&lt;/periodical&gt;&lt;pages&gt;1168-1173&lt;/pages&gt;&lt;volume&gt;93&lt;/volume&gt;&lt;number&gt;7&lt;/number&gt;&lt;dates&gt;&lt;year&gt;2003&lt;/year&gt;&lt;/dates&gt;&lt;isbn&gt;0090-0036&lt;/isbn&gt;&lt;urls&gt;&lt;/urls&gt;&lt;/record&gt;&lt;/Cite&gt;&lt;/EndNote&gt;</w:instrText>
      </w:r>
      <w:r w:rsidR="00E36C0D" w:rsidRPr="001736B5">
        <w:rPr>
          <w:rFonts w:ascii="Arial" w:hAnsi="Arial" w:cs="Arial"/>
          <w:szCs w:val="22"/>
        </w:rPr>
        <w:fldChar w:fldCharType="separate"/>
      </w:r>
      <w:r w:rsidR="00E438AC" w:rsidRPr="001A5BEF">
        <w:rPr>
          <w:rFonts w:ascii="Arial" w:hAnsi="Arial" w:cs="Arial"/>
          <w:noProof/>
          <w:szCs w:val="22"/>
          <w:lang w:val="fr-FR"/>
        </w:rPr>
        <w:t>(Lauren D Devine, Alison M Gallagher, et al., 2023; Kubik et al., 2003)</w:t>
      </w:r>
      <w:r w:rsidR="00E36C0D" w:rsidRPr="001736B5">
        <w:rPr>
          <w:rFonts w:ascii="Arial" w:hAnsi="Arial" w:cs="Arial"/>
          <w:szCs w:val="22"/>
        </w:rPr>
        <w:fldChar w:fldCharType="end"/>
      </w:r>
      <w:r w:rsidR="00E36C0D" w:rsidRPr="001A5BEF">
        <w:rPr>
          <w:rFonts w:ascii="Arial" w:hAnsi="Arial" w:cs="Arial"/>
          <w:szCs w:val="22"/>
          <w:lang w:val="fr-FR"/>
        </w:rPr>
        <w:t xml:space="preserve">. </w:t>
      </w:r>
      <w:r w:rsidR="00E36C0D" w:rsidRPr="001736B5">
        <w:rPr>
          <w:rFonts w:ascii="Arial" w:hAnsi="Arial" w:cs="Arial"/>
          <w:szCs w:val="22"/>
        </w:rPr>
        <w:t xml:space="preserve">In the UK, </w:t>
      </w:r>
      <w:r w:rsidR="00E36C0D" w:rsidRPr="001736B5">
        <w:rPr>
          <w:rFonts w:ascii="Arial" w:hAnsi="Arial" w:cs="Arial"/>
          <w:szCs w:val="22"/>
        </w:rPr>
        <w:fldChar w:fldCharType="begin"/>
      </w:r>
      <w:r w:rsidR="00FF3CC1">
        <w:rPr>
          <w:rFonts w:ascii="Arial" w:hAnsi="Arial" w:cs="Arial"/>
          <w:szCs w:val="22"/>
        </w:rPr>
        <w:instrText xml:space="preserve"> ADDIN EN.CITE &lt;EndNote&gt;&lt;Cite AuthorYear="1"&gt;&lt;Author&gt;Devine&lt;/Author&gt;&lt;Year&gt;2023&lt;/Year&gt;&lt;RecNum&gt;207&lt;/RecNum&gt;&lt;DisplayText&gt;Lauren D Devine, Alyson J Hill and Alison M Gallagher (2023)&lt;/DisplayText&gt;&lt;record&gt;&lt;rec-number&gt;207&lt;/rec-number&gt;&lt;foreign-keys&gt;&lt;key app="EN" db-id="0s9eefvfzs9pwhew92s5eaw2rzs0frxxdvdz" timestamp="1765883951"&gt;207&lt;/key&gt;&lt;/foreign-keys&gt;&lt;ref-type name="Journal Article"&gt;17&lt;/ref-type&gt;&lt;contributors&gt;&lt;authors&gt;&lt;author&gt;Devine, Lauren D&lt;/author&gt;&lt;author&gt;Hill, Alyson J&lt;/author&gt;&lt;author&gt;Gallagher, Alison M&lt;/author&gt;&lt;/authors&gt;&lt;/contributors&gt;&lt;titles&gt;&lt;title&gt;Improving adolescents&amp;apos; dietary behaviours in the school-setting: challenges and opportunities&lt;/title&gt;&lt;secondary-title&gt;Proceedings of the Nutrition Society&lt;/secondary-title&gt;&lt;/titles&gt;&lt;periodical&gt;&lt;full-title&gt;Proceedings of the Nutrition Society&lt;/full-title&gt;&lt;/periodical&gt;&lt;pages&gt;172-185&lt;/pages&gt;&lt;volume&gt;82&lt;/volume&gt;&lt;number&gt;2&lt;/number&gt;&lt;dates&gt;&lt;year&gt;2023&lt;/year&gt;&lt;/dates&gt;&lt;isbn&gt;0029-6651&lt;/isbn&gt;&lt;urls&gt;&lt;/urls&gt;&lt;/record&gt;&lt;/Cite&gt;&lt;/EndNote&gt;</w:instrText>
      </w:r>
      <w:r w:rsidR="00E36C0D" w:rsidRPr="001736B5">
        <w:rPr>
          <w:rFonts w:ascii="Arial" w:hAnsi="Arial" w:cs="Arial"/>
          <w:szCs w:val="22"/>
        </w:rPr>
        <w:fldChar w:fldCharType="separate"/>
      </w:r>
      <w:r w:rsidR="00E438AC" w:rsidRPr="001736B5">
        <w:rPr>
          <w:rFonts w:ascii="Arial" w:hAnsi="Arial" w:cs="Arial"/>
          <w:noProof/>
          <w:szCs w:val="22"/>
        </w:rPr>
        <w:t>Lauren D Devine, Alyson J Hill and Alison M Gallagher (2023)</w:t>
      </w:r>
      <w:r w:rsidR="00E36C0D" w:rsidRPr="001736B5">
        <w:rPr>
          <w:rFonts w:ascii="Arial" w:hAnsi="Arial" w:cs="Arial"/>
          <w:szCs w:val="22"/>
        </w:rPr>
        <w:fldChar w:fldCharType="end"/>
      </w:r>
      <w:r w:rsidR="00E36C0D" w:rsidRPr="001736B5">
        <w:rPr>
          <w:rFonts w:ascii="Arial" w:hAnsi="Arial" w:cs="Arial"/>
          <w:szCs w:val="22"/>
        </w:rPr>
        <w:t xml:space="preserve"> criticized post-primary schools for promoting unhealthy diets at their canteens as compared to primary and lower classes. </w:t>
      </w:r>
      <w:r w:rsidR="00E36C0D" w:rsidRPr="001736B5">
        <w:rPr>
          <w:rFonts w:ascii="Arial" w:hAnsi="Arial" w:cs="Arial"/>
          <w:szCs w:val="22"/>
        </w:rPr>
        <w:fldChar w:fldCharType="begin"/>
      </w:r>
      <w:r w:rsidR="00FF3CC1">
        <w:rPr>
          <w:rFonts w:ascii="Arial" w:hAnsi="Arial" w:cs="Arial"/>
          <w:szCs w:val="22"/>
        </w:rPr>
        <w:instrText xml:space="preserve"> ADDIN EN.CITE &lt;EndNote&gt;&lt;Cite AuthorYear="1"&gt;&lt;Author&gt;Cartagena&lt;/Author&gt;&lt;Year&gt;2014&lt;/Year&gt;&lt;RecNum&gt;208&lt;/RecNum&gt;&lt;DisplayText&gt;Cartagena (2014)&lt;/DisplayText&gt;&lt;record&gt;&lt;rec-number&gt;208&lt;/rec-number&gt;&lt;foreign-keys&gt;&lt;key app="EN" db-id="0s9eefvfzs9pwhew92s5eaw2rzs0frxxdvdz" timestamp="1765883951"&gt;208&lt;/key&gt;&lt;/foreign-keys&gt;&lt;ref-type name="Conference Proceedings"&gt;10&lt;/ref-type&gt;&lt;contributors&gt;&lt;authors&gt;&lt;author&gt;Cartagena, Roland S&lt;/author&gt;&lt;/authors&gt;&lt;/contributors&gt;&lt;titles&gt;&lt;title&gt;Are the foods and drinks in your school canteen healthy? An Assessment of the Nutritional Value of the Foods and Drinks sold at the School Canteens of De La Salle Araneta University&lt;/title&gt;&lt;secondary-title&gt;Research congress&lt;/secondary-title&gt;&lt;/titles&gt;&lt;dates&gt;&lt;year&gt;2014&lt;/year&gt;&lt;/dates&gt;&lt;urls&gt;&lt;/urls&gt;&lt;/record&gt;&lt;/Cite&gt;&lt;/EndNote&gt;</w:instrText>
      </w:r>
      <w:r w:rsidR="00E36C0D" w:rsidRPr="001736B5">
        <w:rPr>
          <w:rFonts w:ascii="Arial" w:hAnsi="Arial" w:cs="Arial"/>
          <w:szCs w:val="22"/>
        </w:rPr>
        <w:fldChar w:fldCharType="separate"/>
      </w:r>
      <w:r w:rsidR="00E36C0D" w:rsidRPr="001736B5">
        <w:rPr>
          <w:rFonts w:ascii="Arial" w:hAnsi="Arial" w:cs="Arial"/>
          <w:noProof/>
          <w:szCs w:val="22"/>
        </w:rPr>
        <w:t>Cartagena (2014)</w:t>
      </w:r>
      <w:r w:rsidR="00E36C0D" w:rsidRPr="001736B5">
        <w:rPr>
          <w:rFonts w:ascii="Arial" w:hAnsi="Arial" w:cs="Arial"/>
          <w:szCs w:val="22"/>
        </w:rPr>
        <w:fldChar w:fldCharType="end"/>
      </w:r>
      <w:r w:rsidR="00E36C0D" w:rsidRPr="001736B5">
        <w:rPr>
          <w:rFonts w:ascii="Arial" w:hAnsi="Arial" w:cs="Arial"/>
          <w:szCs w:val="22"/>
        </w:rPr>
        <w:t xml:space="preserve"> also indicated that the majority of students across all academic levels purchase and consume unhealthy foods and drinks at the school canteens </w:t>
      </w:r>
      <w:r w:rsidR="00E36C0D" w:rsidRPr="001736B5">
        <w:rPr>
          <w:rFonts w:ascii="Arial" w:hAnsi="Arial" w:cs="Arial"/>
          <w:szCs w:val="22"/>
        </w:rPr>
        <w:fldChar w:fldCharType="begin"/>
      </w:r>
      <w:r w:rsidR="00FF3CC1">
        <w:rPr>
          <w:rFonts w:ascii="Arial" w:hAnsi="Arial" w:cs="Arial"/>
          <w:szCs w:val="22"/>
        </w:rPr>
        <w:instrText xml:space="preserve"> ADDIN EN.CITE &lt;EndNote&gt;&lt;Cite&gt;&lt;Author&gt;Cartagena&lt;/Author&gt;&lt;Year&gt;2014&lt;/Year&gt;&lt;RecNum&gt;208&lt;/RecNum&gt;&lt;DisplayText&gt;(Cartagena, 2014)&lt;/DisplayText&gt;&lt;record&gt;&lt;rec-number&gt;208&lt;/rec-number&gt;&lt;foreign-keys&gt;&lt;key app="EN" db-id="0s9eefvfzs9pwhew92s5eaw2rzs0frxxdvdz" timestamp="1765883951"&gt;208&lt;/key&gt;&lt;/foreign-keys&gt;&lt;ref-type name="Conference Proceedings"&gt;10&lt;/ref-type&gt;&lt;contributors&gt;&lt;authors&gt;&lt;author&gt;Cartagena, Roland S&lt;/author&gt;&lt;/authors&gt;&lt;/contributors&gt;&lt;titles&gt;&lt;title&gt;Are the foods and drinks in your school canteen healthy? An Assessment of the Nutritional Value of the Foods and Drinks sold at the School Canteens of De La Salle Araneta University&lt;/title&gt;&lt;secondary-title&gt;Research congress&lt;/secondary-title&gt;&lt;/titles&gt;&lt;dates&gt;&lt;year&gt;2014&lt;/year&gt;&lt;/dates&gt;&lt;urls&gt;&lt;/urls&gt;&lt;/record&gt;&lt;/Cite&gt;&lt;/EndNote&gt;</w:instrText>
      </w:r>
      <w:r w:rsidR="00E36C0D" w:rsidRPr="001736B5">
        <w:rPr>
          <w:rFonts w:ascii="Arial" w:hAnsi="Arial" w:cs="Arial"/>
          <w:szCs w:val="22"/>
        </w:rPr>
        <w:fldChar w:fldCharType="separate"/>
      </w:r>
      <w:r w:rsidR="00E36C0D" w:rsidRPr="001736B5">
        <w:rPr>
          <w:rFonts w:ascii="Arial" w:hAnsi="Arial" w:cs="Arial"/>
          <w:noProof/>
          <w:szCs w:val="22"/>
        </w:rPr>
        <w:t>(Cartagena, 2014)</w:t>
      </w:r>
      <w:r w:rsidR="00E36C0D" w:rsidRPr="001736B5">
        <w:rPr>
          <w:rFonts w:ascii="Arial" w:hAnsi="Arial" w:cs="Arial"/>
          <w:szCs w:val="22"/>
        </w:rPr>
        <w:fldChar w:fldCharType="end"/>
      </w:r>
      <w:r w:rsidR="00E36C0D" w:rsidRPr="001736B5">
        <w:rPr>
          <w:rFonts w:ascii="Arial" w:hAnsi="Arial" w:cs="Arial"/>
          <w:szCs w:val="22"/>
        </w:rPr>
        <w:t>. Moreover, studies indicated that even with a supportive</w:t>
      </w:r>
      <w:r w:rsidR="00D353B7" w:rsidRPr="001736B5">
        <w:rPr>
          <w:rFonts w:ascii="Arial" w:hAnsi="Arial" w:cs="Arial"/>
          <w:szCs w:val="22"/>
        </w:rPr>
        <w:t>,</w:t>
      </w:r>
      <w:r w:rsidR="00E36C0D" w:rsidRPr="001736B5">
        <w:rPr>
          <w:rFonts w:ascii="Arial" w:hAnsi="Arial" w:cs="Arial"/>
          <w:szCs w:val="22"/>
        </w:rPr>
        <w:t xml:space="preserve"> healthier canteen implementation in Dutch schools, learners are not willing to change their dietary behaviors </w:t>
      </w:r>
      <w:r w:rsidR="00E36C0D" w:rsidRPr="001736B5">
        <w:rPr>
          <w:rFonts w:ascii="Arial" w:hAnsi="Arial" w:cs="Arial"/>
          <w:szCs w:val="22"/>
        </w:rPr>
        <w:fldChar w:fldCharType="begin"/>
      </w:r>
      <w:r w:rsidR="00FF3CC1">
        <w:rPr>
          <w:rFonts w:ascii="Arial" w:hAnsi="Arial" w:cs="Arial"/>
          <w:szCs w:val="22"/>
        </w:rPr>
        <w:instrText xml:space="preserve"> ADDIN EN.CITE &lt;EndNote&gt;&lt;Cite&gt;&lt;Author&gt;Evenhuis&lt;/Author&gt;&lt;Year&gt;2020&lt;/Year&gt;&lt;RecNum&gt;209&lt;/RecNum&gt;&lt;DisplayText&gt;(Evenhuis et al., 2020)&lt;/DisplayText&gt;&lt;record&gt;&lt;rec-number&gt;209&lt;/rec-number&gt;&lt;foreign-keys&gt;&lt;key app="EN" db-id="0s9eefvfzs9pwhew92s5eaw2rzs0frxxdvdz" timestamp="1765883951"&gt;209&lt;/key&gt;&lt;/foreign-keys&gt;&lt;ref-type name="Journal Article"&gt;17&lt;/ref-type&gt;&lt;contributors&gt;&lt;authors&gt;&lt;author&gt;Evenhuis, Irma J&lt;/author&gt;&lt;author&gt;Jacobs, Suzanne M&lt;/author&gt;&lt;author&gt;Vyth, Ellis L&lt;/author&gt;&lt;author&gt;Veldhuis, Lydian&lt;/author&gt;&lt;author&gt;de Boer, Michiel R&lt;/author&gt;&lt;author&gt;Seidell, Jacob C&lt;/author&gt;&lt;author&gt;Renders, Carry M&lt;/author&gt;&lt;/authors&gt;&lt;/contributors&gt;&lt;titles&gt;&lt;title&gt;The effect of supportive implementation of healthier canteen guidelines on changes in Dutch school canteens and student purchase behaviour&lt;/title&gt;&lt;secondary-title&gt;Nutrients&lt;/secondary-title&gt;&lt;/titles&gt;&lt;periodical&gt;&lt;full-title&gt;Nutrients&lt;/full-title&gt;&lt;/periodical&gt;&lt;pages&gt;2419&lt;/pages&gt;&lt;volume&gt;12&lt;/volume&gt;&lt;number&gt;8&lt;/number&gt;&lt;dates&gt;&lt;year&gt;2020&lt;/year&gt;&lt;/dates&gt;&lt;isbn&gt;2072-6643&lt;/isbn&gt;&lt;urls&gt;&lt;/urls&gt;&lt;/record&gt;&lt;/Cite&gt;&lt;/EndNote&gt;</w:instrText>
      </w:r>
      <w:r w:rsidR="00E36C0D" w:rsidRPr="001736B5">
        <w:rPr>
          <w:rFonts w:ascii="Arial" w:hAnsi="Arial" w:cs="Arial"/>
          <w:szCs w:val="22"/>
        </w:rPr>
        <w:fldChar w:fldCharType="separate"/>
      </w:r>
      <w:r w:rsidR="00E36C0D" w:rsidRPr="001736B5">
        <w:rPr>
          <w:rFonts w:ascii="Arial" w:hAnsi="Arial" w:cs="Arial"/>
          <w:noProof/>
          <w:szCs w:val="22"/>
        </w:rPr>
        <w:t>(Evenhuis et al., 2020)</w:t>
      </w:r>
      <w:r w:rsidR="00E36C0D" w:rsidRPr="001736B5">
        <w:rPr>
          <w:rFonts w:ascii="Arial" w:hAnsi="Arial" w:cs="Arial"/>
          <w:szCs w:val="22"/>
        </w:rPr>
        <w:fldChar w:fldCharType="end"/>
      </w:r>
      <w:r w:rsidR="00E36C0D" w:rsidRPr="001736B5">
        <w:rPr>
          <w:rFonts w:ascii="Arial" w:hAnsi="Arial" w:cs="Arial"/>
          <w:szCs w:val="22"/>
        </w:rPr>
        <w:t>.</w:t>
      </w:r>
      <w:r w:rsidR="00D353B7" w:rsidRPr="001736B5">
        <w:rPr>
          <w:rFonts w:ascii="Arial" w:hAnsi="Arial" w:cs="Arial"/>
          <w:szCs w:val="22"/>
        </w:rPr>
        <w:t xml:space="preserve"> </w:t>
      </w:r>
      <w:r w:rsidR="00D353B7" w:rsidRPr="001736B5">
        <w:rPr>
          <w:rFonts w:ascii="Arial" w:hAnsi="Arial" w:cs="Arial"/>
          <w:szCs w:val="22"/>
        </w:rPr>
        <w:fldChar w:fldCharType="begin"/>
      </w:r>
      <w:r w:rsidR="00FF3CC1">
        <w:rPr>
          <w:rFonts w:ascii="Arial" w:hAnsi="Arial" w:cs="Arial"/>
          <w:szCs w:val="22"/>
        </w:rPr>
        <w:instrText xml:space="preserve"> ADDIN EN.CITE &lt;EndNote&gt;&lt;Cite AuthorYear="1"&gt;&lt;Author&gt;Gubbels&lt;/Author&gt;&lt;Year&gt;2020&lt;/Year&gt;&lt;RecNum&gt;210&lt;/RecNum&gt;&lt;DisplayText&gt;Gubbels (2020)&lt;/DisplayText&gt;&lt;record&gt;&lt;rec-number&gt;210&lt;/rec-number&gt;&lt;foreign-keys&gt;&lt;key app="EN" db-id="0s9eefvfzs9pwhew92s5eaw2rzs0frxxdvdz" timestamp="1765883951"&gt;210&lt;/key&gt;&lt;/foreign-keys&gt;&lt;ref-type name="Generic"&gt;13&lt;/ref-type&gt;&lt;contributors&gt;&lt;authors&gt;&lt;author&gt;Gubbels, Jessica S&lt;/author&gt;&lt;/authors&gt;&lt;/contributors&gt;&lt;titles&gt;&lt;title&gt;Environmental influences on dietary intake of children and adolescents&lt;/title&gt;&lt;/titles&gt;&lt;pages&gt;922&lt;/pages&gt;&lt;volume&gt;12&lt;/volume&gt;&lt;number&gt;4&lt;/number&gt;&lt;dates&gt;&lt;year&gt;2020&lt;/year&gt;&lt;/dates&gt;&lt;publisher&gt;MDPI&lt;/publisher&gt;&lt;isbn&gt;2072-6643&lt;/isbn&gt;&lt;urls&gt;&lt;/urls&gt;&lt;/record&gt;&lt;/Cite&gt;&lt;/EndNote&gt;</w:instrText>
      </w:r>
      <w:r w:rsidR="00D353B7" w:rsidRPr="001736B5">
        <w:rPr>
          <w:rFonts w:ascii="Arial" w:hAnsi="Arial" w:cs="Arial"/>
          <w:szCs w:val="22"/>
        </w:rPr>
        <w:fldChar w:fldCharType="separate"/>
      </w:r>
      <w:r w:rsidR="00D353B7" w:rsidRPr="001736B5">
        <w:rPr>
          <w:rFonts w:ascii="Arial" w:hAnsi="Arial" w:cs="Arial"/>
          <w:noProof/>
          <w:szCs w:val="22"/>
        </w:rPr>
        <w:t>Gubbels (2020)</w:t>
      </w:r>
      <w:r w:rsidR="00D353B7" w:rsidRPr="001736B5">
        <w:rPr>
          <w:rFonts w:ascii="Arial" w:hAnsi="Arial" w:cs="Arial"/>
          <w:szCs w:val="22"/>
        </w:rPr>
        <w:fldChar w:fldCharType="end"/>
      </w:r>
      <w:r w:rsidR="00D353B7" w:rsidRPr="001736B5">
        <w:rPr>
          <w:rFonts w:ascii="Arial" w:hAnsi="Arial" w:cs="Arial"/>
          <w:szCs w:val="22"/>
        </w:rPr>
        <w:t xml:space="preserve"> revealed that the school's physical environment influences the dietary choices of students. </w:t>
      </w:r>
      <w:r w:rsidR="00AA73FF" w:rsidRPr="001736B5">
        <w:rPr>
          <w:rFonts w:ascii="Arial" w:hAnsi="Arial" w:cs="Arial"/>
          <w:szCs w:val="22"/>
        </w:rPr>
        <w:t xml:space="preserve">This was supported by </w:t>
      </w:r>
      <w:r w:rsidR="00AA73FF" w:rsidRPr="001736B5">
        <w:rPr>
          <w:rFonts w:ascii="Arial" w:hAnsi="Arial" w:cs="Arial"/>
          <w:szCs w:val="22"/>
        </w:rPr>
        <w:fldChar w:fldCharType="begin"/>
      </w:r>
      <w:r w:rsidR="00FF3CC1">
        <w:rPr>
          <w:rFonts w:ascii="Arial" w:hAnsi="Arial" w:cs="Arial"/>
          <w:szCs w:val="22"/>
        </w:rPr>
        <w:instrText xml:space="preserve"> ADDIN EN.CITE &lt;EndNote&gt;&lt;Cite AuthorYear="1"&gt;&lt;Author&gt;Azeredo&lt;/Author&gt;&lt;Year&gt;2016&lt;/Year&gt;&lt;RecNum&gt;211&lt;/RecNum&gt;&lt;DisplayText&gt;Azeredo et al. (2016)&lt;/DisplayText&gt;&lt;record&gt;&lt;rec-number&gt;211&lt;/rec-number&gt;&lt;foreign-keys&gt;&lt;key app="EN" db-id="0s9eefvfzs9pwhew92s5eaw2rzs0frxxdvdz" timestamp="1765883951"&gt;211&lt;/key&gt;&lt;/foreign-keys&gt;&lt;ref-type name="Journal Article"&gt;17&lt;/ref-type&gt;&lt;contributors&gt;&lt;authors&gt;&lt;author&gt;Azeredo, Catarina Machado&lt;/author&gt;&lt;author&gt;de Rezende, Leandro Fórnias Machado&lt;/author&gt;&lt;author&gt;Canella, Daniela Silva&lt;/author&gt;&lt;author&gt;Claro, Rafael Moreira&lt;/author&gt;&lt;author&gt;Peres, Maria Fernanda Tourinho&lt;/author&gt;&lt;author&gt;do Carmo Luiz, Olinda&lt;/author&gt;&lt;author&gt;França-Junior, Ivan&lt;/author&gt;&lt;author&gt;Kinra, Sanjay&lt;/author&gt;&lt;author&gt;Hawkesworth, Sophie&lt;/author&gt;&lt;author&gt;Levy, Renata Bertazzi&lt;/author&gt;&lt;/authors&gt;&lt;/contributors&gt;&lt;titles&gt;&lt;title&gt;Food environments in schools and in the immediate vicinity are associated with unhealthy food consumption among Brazilian adolescents&lt;/title&gt;&lt;secondary-title&gt;Preventive medicine&lt;/secondary-title&gt;&lt;/titles&gt;&lt;periodical&gt;&lt;full-title&gt;Preventive Medicine&lt;/full-title&gt;&lt;/periodical&gt;&lt;pages&gt;73-79&lt;/pages&gt;&lt;volume&gt;88&lt;/volume&gt;&lt;dates&gt;&lt;year&gt;2016&lt;/year&gt;&lt;/dates&gt;&lt;isbn&gt;0091-7435&lt;/isbn&gt;&lt;urls&gt;&lt;/urls&gt;&lt;/record&gt;&lt;/Cite&gt;&lt;/EndNote&gt;</w:instrText>
      </w:r>
      <w:r w:rsidR="00AA73FF" w:rsidRPr="001736B5">
        <w:rPr>
          <w:rFonts w:ascii="Arial" w:hAnsi="Arial" w:cs="Arial"/>
          <w:szCs w:val="22"/>
        </w:rPr>
        <w:fldChar w:fldCharType="separate"/>
      </w:r>
      <w:r w:rsidR="00AA73FF" w:rsidRPr="001736B5">
        <w:rPr>
          <w:rFonts w:ascii="Arial" w:hAnsi="Arial" w:cs="Arial"/>
          <w:noProof/>
          <w:szCs w:val="22"/>
        </w:rPr>
        <w:t>Azeredo et al. (2016)</w:t>
      </w:r>
      <w:r w:rsidR="00AA73FF" w:rsidRPr="001736B5">
        <w:rPr>
          <w:rFonts w:ascii="Arial" w:hAnsi="Arial" w:cs="Arial"/>
          <w:szCs w:val="22"/>
        </w:rPr>
        <w:fldChar w:fldCharType="end"/>
      </w:r>
      <w:r w:rsidR="00AA73FF" w:rsidRPr="001736B5">
        <w:rPr>
          <w:rFonts w:ascii="Arial" w:hAnsi="Arial" w:cs="Arial"/>
          <w:szCs w:val="22"/>
        </w:rPr>
        <w:t xml:space="preserve"> and </w:t>
      </w:r>
      <w:r w:rsidR="00AA73FF" w:rsidRPr="001736B5">
        <w:rPr>
          <w:rFonts w:ascii="Arial" w:hAnsi="Arial" w:cs="Arial"/>
          <w:szCs w:val="22"/>
        </w:rPr>
        <w:fldChar w:fldCharType="begin"/>
      </w:r>
      <w:r w:rsidR="00FF3CC1">
        <w:rPr>
          <w:rFonts w:ascii="Arial" w:hAnsi="Arial" w:cs="Arial"/>
          <w:szCs w:val="22"/>
        </w:rPr>
        <w:instrText xml:space="preserve"> ADDIN EN.CITE &lt;EndNote&gt;&lt;Cite AuthorYear="1"&gt;&lt;Author&gt;Story&lt;/Author&gt;&lt;Year&gt;2009&lt;/Year&gt;&lt;RecNum&gt;212&lt;/RecNum&gt;&lt;DisplayText&gt;Story et al. (2009)&lt;/DisplayText&gt;&lt;record&gt;&lt;rec-number&gt;212&lt;/rec-number&gt;&lt;foreign-keys&gt;&lt;key app="EN" db-id="0s9eefvfzs9pwhew92s5eaw2rzs0frxxdvdz" timestamp="1765883951"&gt;212&lt;/key&gt;&lt;/foreign-keys&gt;&lt;ref-type name="Journal Article"&gt;17&lt;/ref-type&gt;&lt;contributors&gt;&lt;authors&gt;&lt;author&gt;Story, Mary&lt;/author&gt;&lt;author&gt;Nanney, Marilyn S&lt;/author&gt;&lt;author&gt;Schwartz, Marlene B&lt;/author&gt;&lt;/authors&gt;&lt;/contributors&gt;&lt;titles&gt;&lt;title&gt;Schools and obesity prevention: creating school environments and policies to promote healthy eating and physical activity&lt;/title&gt;&lt;secondary-title&gt;The Milbank Quarterly&lt;/secondary-title&gt;&lt;/titles&gt;&lt;periodical&gt;&lt;full-title&gt;The Milbank Quarterly&lt;/full-title&gt;&lt;/periodical&gt;&lt;pages&gt;71-100&lt;/pages&gt;&lt;volume&gt;87&lt;/volume&gt;&lt;number&gt;1&lt;/number&gt;&lt;dates&gt;&lt;year&gt;2009&lt;/year&gt;&lt;/dates&gt;&lt;isbn&gt;0887-378X&lt;/isbn&gt;&lt;urls&gt;&lt;/urls&gt;&lt;/record&gt;&lt;/Cite&gt;&lt;/EndNote&gt;</w:instrText>
      </w:r>
      <w:r w:rsidR="00AA73FF" w:rsidRPr="001736B5">
        <w:rPr>
          <w:rFonts w:ascii="Arial" w:hAnsi="Arial" w:cs="Arial"/>
          <w:szCs w:val="22"/>
        </w:rPr>
        <w:fldChar w:fldCharType="separate"/>
      </w:r>
      <w:r w:rsidR="00AA73FF" w:rsidRPr="001736B5">
        <w:rPr>
          <w:rFonts w:ascii="Arial" w:hAnsi="Arial" w:cs="Arial"/>
          <w:noProof/>
          <w:szCs w:val="22"/>
        </w:rPr>
        <w:t>Story et al. (2009)</w:t>
      </w:r>
      <w:r w:rsidR="00AA73FF" w:rsidRPr="001736B5">
        <w:rPr>
          <w:rFonts w:ascii="Arial" w:hAnsi="Arial" w:cs="Arial"/>
          <w:szCs w:val="22"/>
        </w:rPr>
        <w:fldChar w:fldCharType="end"/>
      </w:r>
      <w:r w:rsidR="00AA73FF" w:rsidRPr="001736B5">
        <w:rPr>
          <w:rFonts w:ascii="Arial" w:hAnsi="Arial" w:cs="Arial"/>
          <w:szCs w:val="22"/>
        </w:rPr>
        <w:t xml:space="preserve"> who revealed that canteen food availability was associated with poor and unhealthy dietary intake. Additionally, </w:t>
      </w:r>
      <w:r w:rsidR="00AA73FF" w:rsidRPr="001736B5">
        <w:rPr>
          <w:rFonts w:ascii="Arial" w:hAnsi="Arial" w:cs="Arial"/>
          <w:szCs w:val="22"/>
        </w:rPr>
        <w:fldChar w:fldCharType="begin"/>
      </w:r>
      <w:r w:rsidR="00FF3CC1">
        <w:rPr>
          <w:rFonts w:ascii="Arial" w:hAnsi="Arial" w:cs="Arial"/>
          <w:szCs w:val="22"/>
        </w:rPr>
        <w:instrText xml:space="preserve"> ADDIN EN.CITE &lt;EndNote&gt;&lt;Cite AuthorYear="1"&gt;&lt;Author&gt;Andretti&lt;/Author&gt;&lt;Year&gt;2021&lt;/Year&gt;&lt;RecNum&gt;213&lt;/RecNum&gt;&lt;DisplayText&gt;Andretti et al. (2021)&lt;/DisplayText&gt;&lt;record&gt;&lt;rec-number&gt;213&lt;/rec-number&gt;&lt;foreign-keys&gt;&lt;key app="EN" db-id="0s9eefvfzs9pwhew92s5eaw2rzs0frxxdvdz" timestamp="1765883951"&gt;213&lt;/key&gt;&lt;/foreign-keys&gt;&lt;ref-type name="Journal Article"&gt;17&lt;/ref-type&gt;&lt;contributors&gt;&lt;authors&gt;&lt;author&gt;Andretti, Bernardo&lt;/author&gt;&lt;author&gt;Goldszmidt, Rafael B&lt;/author&gt;&lt;author&gt;Andrade, Eduardo B&lt;/author&gt;&lt;/authors&gt;&lt;/contributors&gt;&lt;titles&gt;&lt;title&gt;How changes in menu quality associate with subsequent expenditure on (un) healthy foods and beverages in school cafeterias: A three-year longitudinal study&lt;/title&gt;&lt;secondary-title&gt;Preventive Medicine&lt;/secondary-title&gt;&lt;/titles&gt;&lt;periodical&gt;&lt;full-title&gt;Preventive Medicine&lt;/full-title&gt;&lt;/periodical&gt;&lt;pages&gt;106456&lt;/pages&gt;&lt;volume&gt;146&lt;/volume&gt;&lt;dates&gt;&lt;year&gt;2021&lt;/year&gt;&lt;/dates&gt;&lt;isbn&gt;0091-7435&lt;/isbn&gt;&lt;urls&gt;&lt;/urls&gt;&lt;/record&gt;&lt;/Cite&gt;&lt;/EndNote&gt;</w:instrText>
      </w:r>
      <w:r w:rsidR="00AA73FF" w:rsidRPr="001736B5">
        <w:rPr>
          <w:rFonts w:ascii="Arial" w:hAnsi="Arial" w:cs="Arial"/>
          <w:szCs w:val="22"/>
        </w:rPr>
        <w:fldChar w:fldCharType="separate"/>
      </w:r>
      <w:r w:rsidR="00AA73FF" w:rsidRPr="001736B5">
        <w:rPr>
          <w:rFonts w:ascii="Arial" w:hAnsi="Arial" w:cs="Arial"/>
          <w:noProof/>
          <w:szCs w:val="22"/>
        </w:rPr>
        <w:t>Andretti et al. (2021)</w:t>
      </w:r>
      <w:r w:rsidR="00AA73FF" w:rsidRPr="001736B5">
        <w:rPr>
          <w:rFonts w:ascii="Arial" w:hAnsi="Arial" w:cs="Arial"/>
          <w:szCs w:val="22"/>
        </w:rPr>
        <w:fldChar w:fldCharType="end"/>
      </w:r>
      <w:r w:rsidR="00AA73FF" w:rsidRPr="001736B5">
        <w:rPr>
          <w:rFonts w:ascii="Arial" w:hAnsi="Arial" w:cs="Arial"/>
          <w:szCs w:val="22"/>
        </w:rPr>
        <w:t xml:space="preserve"> revealed that about 60% of the school canteen foods contain zero nutritional value. Nonetheless, </w:t>
      </w:r>
      <w:r w:rsidR="00AA73FF" w:rsidRPr="001736B5">
        <w:rPr>
          <w:rFonts w:ascii="Arial" w:hAnsi="Arial" w:cs="Arial"/>
          <w:szCs w:val="22"/>
        </w:rPr>
        <w:fldChar w:fldCharType="begin"/>
      </w:r>
      <w:r w:rsidR="00FF3CC1">
        <w:rPr>
          <w:rFonts w:ascii="Arial" w:hAnsi="Arial" w:cs="Arial"/>
          <w:szCs w:val="22"/>
        </w:rPr>
        <w:instrText xml:space="preserve"> ADDIN EN.CITE &lt;EndNote&gt;&lt;Cite AuthorYear="1"&gt;&lt;Author&gt;Hermans&lt;/Author&gt;&lt;Year&gt;2017&lt;/Year&gt;&lt;RecNum&gt;214&lt;/RecNum&gt;&lt;DisplayText&gt;Hermans et al. (2017)&lt;/DisplayText&gt;&lt;record&gt;&lt;rec-number&gt;214&lt;/rec-number&gt;&lt;foreign-keys&gt;&lt;key app="EN" db-id="0s9eefvfzs9pwhew92s5eaw2rzs0frxxdvdz" timestamp="1765883951"&gt;214&lt;/key&gt;&lt;/foreign-keys&gt;&lt;ref-type name="Journal Article"&gt;17&lt;/ref-type&gt;&lt;contributors&gt;&lt;authors&gt;&lt;author&gt;Hermans, Roel CJ&lt;/author&gt;&lt;author&gt;De Bruin, Hanneke&lt;/author&gt;&lt;author&gt;Larsen, Junilla K&lt;/author&gt;&lt;author&gt;Mensink, Fréderike&lt;/author&gt;&lt;author&gt;Hoek, Annet C&lt;/author&gt;&lt;/authors&gt;&lt;/contributors&gt;&lt;titles&gt;&lt;title&gt;Adolescents’ responses to a school-based prevention program promoting healthy eating at school&lt;/title&gt;&lt;secondary-title&gt;Frontiers in Public Health&lt;/secondary-title&gt;&lt;/titles&gt;&lt;periodical&gt;&lt;full-title&gt;Frontiers in Public Health&lt;/full-title&gt;&lt;/periodical&gt;&lt;pages&gt;309&lt;/pages&gt;&lt;volume&gt;5&lt;/volume&gt;&lt;dates&gt;&lt;year&gt;2017&lt;/year&gt;&lt;/dates&gt;&lt;isbn&gt;2296-2565&lt;/isbn&gt;&lt;urls&gt;&lt;/urls&gt;&lt;/record&gt;&lt;/Cite&gt;&lt;/EndNote&gt;</w:instrText>
      </w:r>
      <w:r w:rsidR="00AA73FF" w:rsidRPr="001736B5">
        <w:rPr>
          <w:rFonts w:ascii="Arial" w:hAnsi="Arial" w:cs="Arial"/>
          <w:szCs w:val="22"/>
        </w:rPr>
        <w:fldChar w:fldCharType="separate"/>
      </w:r>
      <w:r w:rsidR="00AA73FF" w:rsidRPr="001736B5">
        <w:rPr>
          <w:rFonts w:ascii="Arial" w:hAnsi="Arial" w:cs="Arial"/>
          <w:noProof/>
          <w:szCs w:val="22"/>
        </w:rPr>
        <w:t>Hermans et al. (2017)</w:t>
      </w:r>
      <w:r w:rsidR="00AA73FF" w:rsidRPr="001736B5">
        <w:rPr>
          <w:rFonts w:ascii="Arial" w:hAnsi="Arial" w:cs="Arial"/>
          <w:szCs w:val="22"/>
        </w:rPr>
        <w:fldChar w:fldCharType="end"/>
      </w:r>
      <w:r w:rsidR="00AA73FF" w:rsidRPr="001736B5">
        <w:rPr>
          <w:rFonts w:ascii="Arial" w:hAnsi="Arial" w:cs="Arial"/>
          <w:szCs w:val="22"/>
        </w:rPr>
        <w:t xml:space="preserve"> maintained that if communities and schools seek to promote healthy food choices at canteens, then they ought to think about the price and taste as factors. </w:t>
      </w:r>
    </w:p>
    <w:p w14:paraId="2A2FCA04" w14:textId="15AFF338" w:rsidR="00AA73FF" w:rsidRPr="00090FEE" w:rsidRDefault="00FF3CC1" w:rsidP="00AB77E2">
      <w:pPr>
        <w:spacing w:after="0" w:line="360" w:lineRule="auto"/>
        <w:rPr>
          <w:rFonts w:ascii="Arial" w:hAnsi="Arial" w:cs="Arial"/>
          <w:szCs w:val="22"/>
          <w:shd w:val="pct15" w:color="auto" w:fill="FFFFFF"/>
        </w:rPr>
      </w:pPr>
      <w:r w:rsidRPr="003B3E94">
        <w:rPr>
          <w:rFonts w:ascii="Arial" w:hAnsi="Arial" w:cs="Arial"/>
          <w:szCs w:val="22"/>
          <w:shd w:val="clear" w:color="auto" w:fill="FFFFFF" w:themeFill="background1"/>
        </w:rPr>
        <w:t xml:space="preserve">Studies in </w:t>
      </w:r>
      <w:r w:rsidR="009D1C06" w:rsidRPr="003B3E94">
        <w:rPr>
          <w:rFonts w:ascii="Arial" w:hAnsi="Arial" w:cs="Arial"/>
          <w:szCs w:val="22"/>
          <w:shd w:val="clear" w:color="auto" w:fill="FFFFFF" w:themeFill="background1"/>
        </w:rPr>
        <w:t>Sub-Saharan Africa</w:t>
      </w:r>
      <w:r w:rsidRPr="003B3E94">
        <w:rPr>
          <w:rFonts w:ascii="Arial" w:hAnsi="Arial" w:cs="Arial"/>
          <w:szCs w:val="22"/>
          <w:shd w:val="clear" w:color="auto" w:fill="FFFFFF" w:themeFill="background1"/>
        </w:rPr>
        <w:t xml:space="preserve"> show that dietary choices among school-going adolescents are determined by demographic, socioeconomic, individual student, and school factors. For example, </w:t>
      </w:r>
      <w:r w:rsidRPr="003B3E94">
        <w:rPr>
          <w:rFonts w:ascii="Arial" w:hAnsi="Arial" w:cs="Arial"/>
          <w:szCs w:val="22"/>
          <w:shd w:val="clear" w:color="auto" w:fill="FFFFFF" w:themeFill="background1"/>
        </w:rPr>
        <w:fldChar w:fldCharType="begin"/>
      </w:r>
      <w:r w:rsidRPr="003B3E94">
        <w:rPr>
          <w:rFonts w:ascii="Arial" w:hAnsi="Arial" w:cs="Arial"/>
          <w:szCs w:val="22"/>
          <w:shd w:val="clear" w:color="auto" w:fill="FFFFFF" w:themeFill="background1"/>
        </w:rPr>
        <w:instrText xml:space="preserve"> ADDIN EN.CITE &lt;EndNote&gt;&lt;Cite AuthorYear="1"&gt;&lt;Author&gt;Madzorera&lt;/Author&gt;&lt;Year&gt;2025&lt;/Year&gt;&lt;RecNum&gt;287&lt;/RecNum&gt;&lt;DisplayText&gt;Madzorera et al. (2025)&lt;/DisplayText&gt;&lt;record&gt;&lt;rec-number&gt;287&lt;/rec-number&gt;&lt;foreign-keys&gt;&lt;key app="EN" db-id="0s9eefvfzs9pwhew92s5eaw2rz</w:instrText>
      </w:r>
      <w:r w:rsidRPr="003B3E94">
        <w:rPr>
          <w:rFonts w:ascii="Arial" w:hAnsi="Arial" w:cs="Arial" w:hint="eastAsia"/>
          <w:szCs w:val="22"/>
          <w:shd w:val="clear" w:color="auto" w:fill="FFFFFF" w:themeFill="background1"/>
        </w:rPr>
        <w:instrText>s0frxxdvdz" timestamp="1765883951"&gt;287&lt;/key&gt;&lt;/foreign-keys&gt;&lt;ref-type name="Journal Article"&gt;17&lt;/ref-type&gt;&lt;contributors&gt;&lt;authors&gt;&lt;author&gt;Madzorera, Isabel&lt;/author&gt;&lt;author&gt;Bromage, Sabri&lt;/author&gt;&lt;author&gt;Mwanyika</w:instrText>
      </w:r>
      <w:r w:rsidRPr="003B3E94">
        <w:rPr>
          <w:rFonts w:ascii="Arial" w:hAnsi="Arial" w:cs="Arial" w:hint="eastAsia"/>
          <w:szCs w:val="22"/>
          <w:shd w:val="clear" w:color="auto" w:fill="FFFFFF" w:themeFill="background1"/>
        </w:rPr>
        <w:instrText>‐</w:instrText>
      </w:r>
      <w:r w:rsidRPr="003B3E94">
        <w:rPr>
          <w:rFonts w:ascii="Arial" w:hAnsi="Arial" w:cs="Arial" w:hint="eastAsia"/>
          <w:szCs w:val="22"/>
          <w:shd w:val="clear" w:color="auto" w:fill="FFFFFF" w:themeFill="background1"/>
        </w:rPr>
        <w:instrText>Sando, Mary&lt;/author&gt;&lt;author&gt;Vandormael, Alain</w:instrText>
      </w:r>
      <w:r w:rsidRPr="003B3E94">
        <w:rPr>
          <w:rFonts w:ascii="Arial" w:hAnsi="Arial" w:cs="Arial"/>
          <w:szCs w:val="22"/>
          <w:shd w:val="clear" w:color="auto" w:fill="FFFFFF" w:themeFill="background1"/>
        </w:rPr>
        <w:instrText xml:space="preserve">&lt;/author&gt;&lt;author&gt;Sherfi, Huda&lt;/author&gt;&lt;author&gt;Worku, Amare&lt;/author&gt;&lt;author&gt;Shinde, Sachin&lt;/author&gt;&lt;author&gt;Noor, Ramadhani Abdallah&lt;/author&gt;&lt;author&gt;Baernighausen, Till&lt;/author&gt;&lt;author&gt;Sharma, Deepika&lt;/author&gt;&lt;/authors&gt;&lt;/contributors&gt;&lt;titles&gt;&lt;title&gt;Dietary </w:instrText>
      </w:r>
      <w:r w:rsidRPr="003B3E94">
        <w:rPr>
          <w:rFonts w:ascii="Arial" w:hAnsi="Arial" w:cs="Arial" w:hint="eastAsia"/>
          <w:szCs w:val="22"/>
          <w:shd w:val="clear" w:color="auto" w:fill="FFFFFF" w:themeFill="background1"/>
        </w:rPr>
        <w:instrText>intake and quality for young adolescents in sub</w:instrText>
      </w:r>
      <w:r w:rsidRPr="003B3E94">
        <w:rPr>
          <w:rFonts w:ascii="Arial" w:hAnsi="Arial" w:cs="Arial" w:hint="eastAsia"/>
          <w:szCs w:val="22"/>
          <w:shd w:val="clear" w:color="auto" w:fill="FFFFFF" w:themeFill="background1"/>
        </w:rPr>
        <w:instrText>‐</w:instrText>
      </w:r>
      <w:r w:rsidRPr="003B3E94">
        <w:rPr>
          <w:rFonts w:ascii="Arial" w:hAnsi="Arial" w:cs="Arial" w:hint="eastAsia"/>
          <w:szCs w:val="22"/>
          <w:shd w:val="clear" w:color="auto" w:fill="FFFFFF" w:themeFill="background1"/>
        </w:rPr>
        <w:instrText>Saharan Africa: Status and influencing factors&lt;/title&gt;&lt;secondary-title&gt;Maternal &amp;amp; child nutrition&lt;/secondary-title&gt;&lt;/titles&gt;&lt;periodical&gt;&lt;full-title&gt;Maternal &amp;amp; Child Nutrition&lt;/full-title&gt;&lt;/periodical</w:instrText>
      </w:r>
      <w:r w:rsidRPr="003B3E94">
        <w:rPr>
          <w:rFonts w:ascii="Arial" w:hAnsi="Arial" w:cs="Arial"/>
          <w:szCs w:val="22"/>
          <w:shd w:val="clear" w:color="auto" w:fill="FFFFFF" w:themeFill="background1"/>
        </w:rPr>
        <w:instrText>&gt;&lt;pages&gt;e13463&lt;/pages&gt;&lt;volume&gt;21&lt;/volume&gt;&lt;dates&gt;&lt;year&gt;2025&lt;/year&gt;&lt;/dates&gt;&lt;isbn&gt;1740-8695&lt;/isbn&gt;&lt;urls&gt;&lt;/urls&gt;&lt;/record&gt;&lt;/Cite&gt;&lt;/EndNote&gt;</w:instrText>
      </w:r>
      <w:r w:rsidRPr="003B3E94">
        <w:rPr>
          <w:rFonts w:ascii="Arial" w:hAnsi="Arial" w:cs="Arial"/>
          <w:szCs w:val="22"/>
          <w:shd w:val="clear" w:color="auto" w:fill="FFFFFF" w:themeFill="background1"/>
        </w:rPr>
        <w:fldChar w:fldCharType="separate"/>
      </w:r>
      <w:r w:rsidRPr="003B3E94">
        <w:rPr>
          <w:rFonts w:ascii="Arial" w:hAnsi="Arial" w:cs="Arial"/>
          <w:noProof/>
          <w:szCs w:val="22"/>
          <w:shd w:val="clear" w:color="auto" w:fill="FFFFFF" w:themeFill="background1"/>
        </w:rPr>
        <w:t>Madzorera et al. (2025)</w:t>
      </w:r>
      <w:r w:rsidRPr="003B3E94">
        <w:rPr>
          <w:rFonts w:ascii="Arial" w:hAnsi="Arial" w:cs="Arial"/>
          <w:szCs w:val="22"/>
          <w:shd w:val="clear" w:color="auto" w:fill="FFFFFF" w:themeFill="background1"/>
        </w:rPr>
        <w:fldChar w:fldCharType="end"/>
      </w:r>
      <w:r w:rsidRPr="003B3E94">
        <w:rPr>
          <w:rFonts w:ascii="Arial" w:hAnsi="Arial" w:cs="Arial"/>
          <w:szCs w:val="22"/>
          <w:shd w:val="clear" w:color="auto" w:fill="FFFFFF" w:themeFill="background1"/>
        </w:rPr>
        <w:t xml:space="preserve"> revealed that in Sub-Saharan Africa, diet quality did not vary by adolescent age or sex, but older adolescents had higher fish and lower red meat consumption, and boys consumed unhealthy foods less frequently. A study in Ghana revealed that family practices are positively associated with better diet quality </w:t>
      </w:r>
      <w:r w:rsidRPr="003B3E94">
        <w:rPr>
          <w:rFonts w:ascii="Arial" w:hAnsi="Arial" w:cs="Arial"/>
          <w:szCs w:val="22"/>
          <w:shd w:val="clear" w:color="auto" w:fill="FFFFFF" w:themeFill="background1"/>
        </w:rPr>
        <w:fldChar w:fldCharType="begin"/>
      </w:r>
      <w:r w:rsidRPr="003B3E94">
        <w:rPr>
          <w:rFonts w:ascii="Arial" w:hAnsi="Arial" w:cs="Arial"/>
          <w:szCs w:val="22"/>
          <w:shd w:val="clear" w:color="auto" w:fill="FFFFFF" w:themeFill="background1"/>
        </w:rPr>
        <w:instrText xml:space="preserve"> ADDIN EN.CITE &lt;EndNote&gt;&lt;Cite&gt;&lt;Author&gt;Klemm&lt;/Author&gt;&lt;Year&gt;2025&lt;/Year&gt;&lt;RecNum&gt;288&lt;/RecNum&gt;&lt;DisplayText&gt;(Klemm et al., 2025)&lt;/DisplayText&gt;&lt;record&gt;&lt;rec-number&gt;288&lt;/rec-number&gt;&lt;foreign-keys&gt;&lt;key app="EN" db-id="0s9eefvfzs9pwhew92s5eaw2rzs0frxxdvdz" timestamp="1765883951"&gt;288&lt;/key&gt;&lt;/foreign-keys&gt;&lt;ref-type name="Journal Article"&gt;17&lt;/ref-type&gt;&lt;contributors&gt;&lt;authors&gt;&lt;author&gt;Klemm, Janosch&lt;/author&gt;&lt;author&gt;Muli, Samuel&lt;/author&gt;&lt;author&gt;Oluwagbemigun, Kolade&lt;/author&gt;&lt;author&gt;Parlasca, Martin&lt;/author&gt;&lt;author&gt;Crentsil, </w:instrText>
      </w:r>
      <w:r w:rsidRPr="003B3E94">
        <w:rPr>
          <w:rFonts w:ascii="Arial" w:hAnsi="Arial" w:cs="Arial" w:hint="eastAsia"/>
          <w:szCs w:val="22"/>
          <w:shd w:val="clear" w:color="auto" w:fill="FFFFFF" w:themeFill="background1"/>
        </w:rPr>
        <w:instrText>Aba&lt;/author&gt;&lt;author&gt;Ogum, Deda&lt;/author&gt;&lt;author&gt;Quartey, Peter&lt;/author&gt;&lt;author&gt;Laar, Amos&lt;/author&gt;&lt;author&gt;Lartey, Anna&lt;/author&gt;&lt;author&gt;Borgemeister, Christian&lt;/author&gt;&lt;/authors&gt;&lt;/contributors&gt;&lt;titles&gt;&lt;title&gt;Individual</w:instrText>
      </w:r>
      <w:r w:rsidRPr="003B3E94">
        <w:rPr>
          <w:rFonts w:ascii="Arial" w:hAnsi="Arial" w:cs="Arial" w:hint="eastAsia"/>
          <w:szCs w:val="22"/>
          <w:shd w:val="clear" w:color="auto" w:fill="FFFFFF" w:themeFill="background1"/>
        </w:rPr>
        <w:instrText>‐</w:instrText>
      </w:r>
      <w:r w:rsidRPr="003B3E94">
        <w:rPr>
          <w:rFonts w:ascii="Arial" w:hAnsi="Arial" w:cs="Arial" w:hint="eastAsia"/>
          <w:szCs w:val="22"/>
          <w:shd w:val="clear" w:color="auto" w:fill="FFFFFF" w:themeFill="background1"/>
        </w:rPr>
        <w:instrText>Level Drivers of Food Choices and Diet</w:instrText>
      </w:r>
      <w:r w:rsidRPr="003B3E94">
        <w:rPr>
          <w:rFonts w:ascii="Arial" w:hAnsi="Arial" w:cs="Arial"/>
          <w:szCs w:val="22"/>
          <w:shd w:val="clear" w:color="auto" w:fill="FFFFFF" w:themeFill="background1"/>
        </w:rPr>
        <w:instrText xml:space="preserve"> Quality Among Adolescents in Urban West Africa: Evidence From Accra, Ghana&lt;/title&gt;&lt;secondary-title&gt;Maternal &amp;amp; Child Nutrition&lt;/secondary-title&gt;&lt;/titles&gt;&lt;periodical&gt;&lt;full-title&gt;Maternal &amp;amp; Child Nutrition&lt;/full-title&gt;&lt;/periodical&gt;&lt;pages&gt;e13775&lt;/pages&gt;&lt;volume&gt;21&lt;/volume&gt;&lt;number&gt;2&lt;/number&gt;&lt;dates&gt;&lt;year&gt;2025&lt;/year&gt;&lt;/dates&gt;&lt;isbn&gt;1740-8695&lt;/isbn&gt;&lt;urls&gt;&lt;/urls&gt;&lt;/record&gt;&lt;/Cite&gt;&lt;/EndNote&gt;</w:instrText>
      </w:r>
      <w:r w:rsidRPr="003B3E94">
        <w:rPr>
          <w:rFonts w:ascii="Arial" w:hAnsi="Arial" w:cs="Arial"/>
          <w:szCs w:val="22"/>
          <w:shd w:val="clear" w:color="auto" w:fill="FFFFFF" w:themeFill="background1"/>
        </w:rPr>
        <w:fldChar w:fldCharType="separate"/>
      </w:r>
      <w:r w:rsidRPr="003B3E94">
        <w:rPr>
          <w:rFonts w:ascii="Arial" w:hAnsi="Arial" w:cs="Arial"/>
          <w:noProof/>
          <w:szCs w:val="22"/>
          <w:shd w:val="clear" w:color="auto" w:fill="FFFFFF" w:themeFill="background1"/>
        </w:rPr>
        <w:t>(Klemm et al., 2025)</w:t>
      </w:r>
      <w:r w:rsidRPr="003B3E94">
        <w:rPr>
          <w:rFonts w:ascii="Arial" w:hAnsi="Arial" w:cs="Arial"/>
          <w:szCs w:val="22"/>
          <w:shd w:val="clear" w:color="auto" w:fill="FFFFFF" w:themeFill="background1"/>
        </w:rPr>
        <w:fldChar w:fldCharType="end"/>
      </w:r>
      <w:r w:rsidRPr="003B3E94">
        <w:rPr>
          <w:rFonts w:ascii="Arial" w:hAnsi="Arial" w:cs="Arial"/>
          <w:szCs w:val="22"/>
          <w:shd w:val="clear" w:color="auto" w:fill="FFFFFF" w:themeFill="background1"/>
        </w:rPr>
        <w:t xml:space="preserve">. In the same context, </w:t>
      </w:r>
      <w:r w:rsidRPr="003B3E94">
        <w:rPr>
          <w:rFonts w:ascii="Arial" w:hAnsi="Arial" w:cs="Arial"/>
          <w:szCs w:val="22"/>
          <w:shd w:val="clear" w:color="auto" w:fill="FFFFFF" w:themeFill="background1"/>
        </w:rPr>
        <w:fldChar w:fldCharType="begin"/>
      </w:r>
      <w:r w:rsidRPr="003B3E94">
        <w:rPr>
          <w:rFonts w:ascii="Arial" w:hAnsi="Arial" w:cs="Arial"/>
          <w:szCs w:val="22"/>
          <w:shd w:val="clear" w:color="auto" w:fill="FFFFFF" w:themeFill="background1"/>
        </w:rPr>
        <w:instrText xml:space="preserve"> ADDIN EN.CITE &lt;EndNote&gt;&lt;Cite AuthorYear="1"&gt;&lt;Author&gt;Hormenu&lt;/Author&gt;&lt;Year&gt;2022&lt;/Year&gt;&lt;RecNum&gt;289&lt;/RecNum&gt;&lt;DisplayText&gt;Hormenu (2022)&lt;/DisplayText&gt;&lt;record&gt;&lt;rec-number&gt;289&lt;/rec-number&gt;&lt;foreign-keys&gt;&lt;key app="EN" db-id="0s9eefvfzs9pwhew92s5eaw2rzs0frxxdvdz" timestamp="1765883951"&gt;289&lt;/key&gt;&lt;/foreign-keys&gt;&lt;ref-type name="Journal Article"&gt;17&lt;/ref-type&gt;&lt;contributors&gt;&lt;authors&gt;&lt;author&gt;Hormenu, Thomas&lt;/author&gt;&lt;/authors&gt;&lt;/contributors&gt;&lt;titles&gt;&lt;title&gt;Dietary intake and its associated factors among in-school adolescents in Ghana&lt;/title&gt;&lt;secondary-title&gt;PloS one&lt;/secondary-title&gt;&lt;/titles&gt;&lt;periodical&gt;&lt;full-title&gt;PLoS One&lt;/full-title&gt;&lt;/periodical&gt;&lt;pages&gt;e0268319&lt;/pages&gt;&lt;volume&gt;17&lt;/volume&gt;&lt;number&gt;5&lt;/number&gt;&lt;dates&gt;&lt;year&gt;2022&lt;/year&gt;&lt;/dates&gt;&lt;isbn&gt;1932-6203&lt;/isbn&gt;&lt;urls&gt;&lt;/urls&gt;&lt;/record&gt;&lt;/Cite&gt;&lt;/EndNote&gt;</w:instrText>
      </w:r>
      <w:r w:rsidRPr="003B3E94">
        <w:rPr>
          <w:rFonts w:ascii="Arial" w:hAnsi="Arial" w:cs="Arial"/>
          <w:szCs w:val="22"/>
          <w:shd w:val="clear" w:color="auto" w:fill="FFFFFF" w:themeFill="background1"/>
        </w:rPr>
        <w:fldChar w:fldCharType="separate"/>
      </w:r>
      <w:r w:rsidRPr="003B3E94">
        <w:rPr>
          <w:rFonts w:ascii="Arial" w:hAnsi="Arial" w:cs="Arial"/>
          <w:noProof/>
          <w:szCs w:val="22"/>
          <w:shd w:val="clear" w:color="auto" w:fill="FFFFFF" w:themeFill="background1"/>
        </w:rPr>
        <w:t>Hormenu (2022)</w:t>
      </w:r>
      <w:r w:rsidRPr="003B3E94">
        <w:rPr>
          <w:rFonts w:ascii="Arial" w:hAnsi="Arial" w:cs="Arial"/>
          <w:szCs w:val="22"/>
          <w:shd w:val="clear" w:color="auto" w:fill="FFFFFF" w:themeFill="background1"/>
        </w:rPr>
        <w:fldChar w:fldCharType="end"/>
      </w:r>
      <w:r w:rsidRPr="003B3E94">
        <w:rPr>
          <w:rFonts w:ascii="Arial" w:hAnsi="Arial" w:cs="Arial"/>
          <w:szCs w:val="22"/>
          <w:shd w:val="clear" w:color="auto" w:fill="FFFFFF" w:themeFill="background1"/>
        </w:rPr>
        <w:t xml:space="preserve"> showed increased frequency in the consumption of soft drinks and</w:t>
      </w:r>
      <w:r w:rsidRPr="00090FEE">
        <w:rPr>
          <w:rFonts w:ascii="Arial" w:hAnsi="Arial" w:cs="Arial"/>
          <w:szCs w:val="22"/>
          <w:shd w:val="pct15" w:color="auto" w:fill="FFFFFF"/>
        </w:rPr>
        <w:t xml:space="preserve"> </w:t>
      </w:r>
      <w:r w:rsidRPr="003B3E94">
        <w:rPr>
          <w:rFonts w:ascii="Arial" w:hAnsi="Arial" w:cs="Arial"/>
          <w:szCs w:val="22"/>
          <w:shd w:val="clear" w:color="auto" w:fill="FFFFFF" w:themeFill="background1"/>
        </w:rPr>
        <w:lastRenderedPageBreak/>
        <w:t xml:space="preserve">sweets among the in-school adolescents. </w:t>
      </w:r>
      <w:r w:rsidR="00207AE9" w:rsidRPr="003B3E94">
        <w:rPr>
          <w:rFonts w:ascii="Arial" w:hAnsi="Arial" w:cs="Arial"/>
          <w:szCs w:val="22"/>
          <w:shd w:val="clear" w:color="auto" w:fill="FFFFFF" w:themeFill="background1"/>
        </w:rPr>
        <w:t xml:space="preserve">In Zambia, </w:t>
      </w:r>
      <w:r w:rsidR="00207AE9" w:rsidRPr="003B3E94">
        <w:rPr>
          <w:rFonts w:ascii="Arial" w:hAnsi="Arial" w:cs="Arial"/>
          <w:szCs w:val="22"/>
          <w:shd w:val="clear" w:color="auto" w:fill="FFFFFF" w:themeFill="background1"/>
        </w:rPr>
        <w:fldChar w:fldCharType="begin"/>
      </w:r>
      <w:r w:rsidR="00207AE9" w:rsidRPr="003B3E94">
        <w:rPr>
          <w:rFonts w:ascii="Arial" w:hAnsi="Arial" w:cs="Arial"/>
          <w:szCs w:val="22"/>
          <w:shd w:val="clear" w:color="auto" w:fill="FFFFFF" w:themeFill="background1"/>
        </w:rPr>
        <w:instrText xml:space="preserve"> ADDIN EN.CITE &lt;EndNote&gt;&lt;Cite AuthorYear="1"&gt;&lt;Author&gt;Mukanu&lt;/Author&gt;&lt;Year&gt;2022&lt;/Year&gt;&lt;RecNum&gt;290&lt;/RecNum&gt;&lt;DisplayText&gt;Mukanu et al. (2022)&lt;/DisplayText&gt;&lt;record&gt;&lt;rec-number&gt;290&lt;/rec-number&gt;&lt;foreign-keys&gt;&lt;key app="EN" db-id="0s9eefvfzs9pwhew92s5eaw2rzs0frxxdvdz" timestamp="1765883951"&gt;290&lt;/key&gt;&lt;/foreign-keys&gt;&lt;ref-type name="Journal Article"&gt;17&lt;/ref-type&gt;&lt;contributors&gt;&lt;authors&gt;&lt;author&gt;Mukanu, Mulenga Mary&lt;/author&gt;&lt;author&gt;Delobelle, Peter&lt;/author&gt;&lt;author&gt;Thow, Anne Marie&lt;/author&gt;&lt;author&gt;Mchiza, Zandile June-Rose&lt;/author&gt;&lt;/authors&gt;&lt;/contributors&gt;&lt;titles&gt;&lt;title&gt;Determinants of dietary patterns in school going adolescents in Urban Zambia&lt;/title&gt;&lt;secondary-title&gt;Frontiers in Nutrition&lt;/secondary-title&gt;&lt;/titles&gt;&lt;periodical&gt;&lt;full-title&gt;Frontiers in Nutrition&lt;/full-title&gt;&lt;/periodical&gt;&lt;pages&gt;956109&lt;/pages&gt;&lt;volume&gt;9&lt;/volume&gt;&lt;dates&gt;&lt;year&gt;2022&lt;/year&gt;&lt;/dates&gt;&lt;isbn&gt;2296-861X&lt;/isbn&gt;&lt;urls&gt;&lt;/urls&gt;&lt;/record&gt;&lt;/Cite&gt;&lt;/EndNote&gt;</w:instrText>
      </w:r>
      <w:r w:rsidR="00207AE9" w:rsidRPr="003B3E94">
        <w:rPr>
          <w:rFonts w:ascii="Arial" w:hAnsi="Arial" w:cs="Arial"/>
          <w:szCs w:val="22"/>
          <w:shd w:val="clear" w:color="auto" w:fill="FFFFFF" w:themeFill="background1"/>
        </w:rPr>
        <w:fldChar w:fldCharType="separate"/>
      </w:r>
      <w:r w:rsidR="00207AE9" w:rsidRPr="003B3E94">
        <w:rPr>
          <w:rFonts w:ascii="Arial" w:hAnsi="Arial" w:cs="Arial"/>
          <w:noProof/>
          <w:szCs w:val="22"/>
          <w:shd w:val="clear" w:color="auto" w:fill="FFFFFF" w:themeFill="background1"/>
        </w:rPr>
        <w:t>Mukanu et al. (2022)</w:t>
      </w:r>
      <w:r w:rsidR="00207AE9" w:rsidRPr="003B3E94">
        <w:rPr>
          <w:rFonts w:ascii="Arial" w:hAnsi="Arial" w:cs="Arial"/>
          <w:szCs w:val="22"/>
          <w:shd w:val="clear" w:color="auto" w:fill="FFFFFF" w:themeFill="background1"/>
        </w:rPr>
        <w:fldChar w:fldCharType="end"/>
      </w:r>
      <w:r w:rsidR="00207AE9" w:rsidRPr="003B3E94">
        <w:rPr>
          <w:rFonts w:ascii="Arial" w:hAnsi="Arial" w:cs="Arial"/>
          <w:szCs w:val="22"/>
          <w:shd w:val="clear" w:color="auto" w:fill="FFFFFF" w:themeFill="background1"/>
        </w:rPr>
        <w:t xml:space="preserve"> showed that individual factors such as weekly pocket money, self-identified poverty, and a guardian's employment. </w:t>
      </w:r>
      <w:r w:rsidR="00207AE9" w:rsidRPr="003B3E94">
        <w:rPr>
          <w:rFonts w:ascii="Arial" w:hAnsi="Arial" w:cs="Arial"/>
          <w:szCs w:val="22"/>
          <w:shd w:val="clear" w:color="auto" w:fill="FFFFFF" w:themeFill="background1"/>
        </w:rPr>
        <w:fldChar w:fldCharType="begin"/>
      </w:r>
      <w:r w:rsidR="00207AE9" w:rsidRPr="003B3E94">
        <w:rPr>
          <w:rFonts w:ascii="Arial" w:hAnsi="Arial" w:cs="Arial"/>
          <w:szCs w:val="22"/>
          <w:shd w:val="clear" w:color="auto" w:fill="FFFFFF" w:themeFill="background1"/>
        </w:rPr>
        <w:instrText xml:space="preserve"> ADDIN EN.CITE &lt;EndNote&gt;&lt;Cite AuthorYear="1"&gt;&lt;Author&gt;Iyassu&lt;/Author&gt;&lt;Year&gt;2024&lt;/Year&gt;&lt;RecNum&gt;23&lt;/RecNum&gt;&lt;DisplayText&gt;Iyassu et al. (2024)&lt;/DisplayText&gt;&lt;record&gt;&lt;rec-number&gt;23&lt;/rec-number&gt;&lt;foreign-keys&gt;&lt;key app="EN" db-id="5pe0tt9fzdaspze2fe5pzxwrzraax9aep0w9" timestamp="1765883936"&gt;23&lt;/key&gt;&lt;/foreign-keys&gt;&lt;ref-type name="Journal Article"&gt;17&lt;/ref-type&gt;&lt;contributors&gt;&lt;authors&gt;&lt;author&gt;Iyassu, Abreham&lt;/author&gt;&lt;author&gt;Laillou, Arnaud&lt;/author&gt;&lt;author&gt;Tilahun, Kassahun&lt;/author&gt;&lt;author&gt;Workneh, Fitsum&lt;/author&gt;&lt;author&gt;Mogues, Sinksar&lt;/author&gt;&lt;author&gt;Chitekwe, Stanley&lt;/author&gt;&lt;author&gt;Baye, Kaleab&lt;/author&gt;&lt;/authors&gt;&lt;/contributors&gt;&lt;titles&gt;&lt;title&gt;The influence of adolescents&amp;apos; nutrition knowledge and school food environment on adolescents&amp;apos; dietary behaviors in urban Ethiopia: A qualitative study&lt;/title&gt;&lt;secondary-title&gt;Maternal &amp;amp; Child Nutrition&lt;/secondary-title&gt;&lt;/titles&gt;&lt;pages&gt;e13527&lt;/pages&gt;&lt;volume&gt;20&lt;/volume&gt;&lt;dates&gt;&lt;year&gt;2024&lt;/year&gt;&lt;/dates&gt;&lt;isbn&gt;1740-8695&lt;/isbn&gt;&lt;urls&gt;&lt;/urls&gt;&lt;/record&gt;&lt;/Cite&gt;&lt;/EndNote&gt;</w:instrText>
      </w:r>
      <w:r w:rsidR="00207AE9" w:rsidRPr="003B3E94">
        <w:rPr>
          <w:rFonts w:ascii="Arial" w:hAnsi="Arial" w:cs="Arial"/>
          <w:szCs w:val="22"/>
          <w:shd w:val="clear" w:color="auto" w:fill="FFFFFF" w:themeFill="background1"/>
        </w:rPr>
        <w:fldChar w:fldCharType="separate"/>
      </w:r>
      <w:r w:rsidR="00207AE9" w:rsidRPr="003B3E94">
        <w:rPr>
          <w:rFonts w:ascii="Arial" w:hAnsi="Arial" w:cs="Arial"/>
          <w:noProof/>
          <w:szCs w:val="22"/>
          <w:shd w:val="clear" w:color="auto" w:fill="FFFFFF" w:themeFill="background1"/>
        </w:rPr>
        <w:t>Iyassu et al. (2024)</w:t>
      </w:r>
      <w:r w:rsidR="00207AE9" w:rsidRPr="003B3E94">
        <w:rPr>
          <w:rFonts w:ascii="Arial" w:hAnsi="Arial" w:cs="Arial"/>
          <w:szCs w:val="22"/>
          <w:shd w:val="clear" w:color="auto" w:fill="FFFFFF" w:themeFill="background1"/>
        </w:rPr>
        <w:fldChar w:fldCharType="end"/>
      </w:r>
      <w:r w:rsidR="00207AE9" w:rsidRPr="003B3E94">
        <w:rPr>
          <w:rFonts w:ascii="Arial" w:hAnsi="Arial" w:cs="Arial"/>
          <w:szCs w:val="22"/>
          <w:shd w:val="clear" w:color="auto" w:fill="FFFFFF" w:themeFill="background1"/>
        </w:rPr>
        <w:t xml:space="preserve"> indicated that the dietary choice of adolescents is influenced by peer influence, nutrition knowledge and perceptions, availability/accessibility, and safety of foods. A study in Gambia highlighted social and cultural factors (gender norms, mother-led decision-making, and ceremonies) as key determinants of dietary intakes among school-going adolescents </w:t>
      </w:r>
      <w:r w:rsidR="00207AE9" w:rsidRPr="003B3E94">
        <w:rPr>
          <w:rFonts w:ascii="Arial" w:hAnsi="Arial" w:cs="Arial"/>
          <w:szCs w:val="22"/>
          <w:shd w:val="clear" w:color="auto" w:fill="FFFFFF" w:themeFill="background1"/>
        </w:rPr>
        <w:fldChar w:fldCharType="begin"/>
      </w:r>
      <w:r w:rsidR="00207AE9" w:rsidRPr="003B3E94">
        <w:rPr>
          <w:rFonts w:ascii="Arial" w:hAnsi="Arial" w:cs="Arial"/>
          <w:szCs w:val="22"/>
          <w:shd w:val="clear" w:color="auto" w:fill="FFFFFF" w:themeFill="background1"/>
        </w:rPr>
        <w:instrText xml:space="preserve"> ADDIN EN.CITE &lt;EndNote&gt;&lt;Cite&gt;&lt;Author&gt;Janha&lt;/Author&gt;&lt;Year&gt;2021&lt;/Year&gt;&lt;RecNum&gt;292&lt;/RecNum&gt;&lt;DisplayText&gt;(Janha et al., 2021)&lt;/DisplayText&gt;&lt;record&gt;&lt;rec-number&gt;292&lt;/rec-number&gt;&lt;foreign-keys&gt;&lt;key app="EN" db-id="0s9eefvfzs9pwhew92s5eaw2rzs0frxxdvdz" timestamp="1765883951"&gt;292&lt;/key&gt;&lt;/foreign-keys&gt;&lt;ref-type name="Journal Article"&gt;17&lt;/ref-type&gt;&lt;contributors&gt;&lt;authors&gt;&lt;author&gt;Janha, Ramatoulie E&lt;/author&gt;&lt;author&gt;Hardy-Johnson, Polly&lt;/author&gt;&lt;author&gt;Kehoe, Sarah H&lt;/author&gt;&lt;author&gt;Mendy, Michael B&lt;/author&gt;&lt;author&gt;Camara, Isatou&lt;/author&gt;&lt;author&gt;Jarjou, Landing&lt;/author&gt;&lt;author&gt;Ward, Kathryn&lt;/author&gt;&lt;author&gt;Moore, Sophie E&lt;/author&gt;&lt;author&gt;Fall, Caroline&lt;/author&gt;&lt;author&gt;Barker, Mary&lt;/author&gt;&lt;/authors&gt;&lt;/contributors&gt;&lt;titles&gt;&lt;title&gt;Exploring influences on adolescent diet and physical activity in rural Gambia, West Africa: food insecurity, culture and the natural environment&lt;/title&gt;&lt;secondary-title&gt;Public health nutrition&lt;/secondary-title&gt;&lt;/titles&gt;&lt;periodical&gt;&lt;full-title&gt;Public Health Nutrition&lt;/full-title&gt;&lt;/periodical&gt;&lt;pages&gt;5277-5287&lt;/pages&gt;&lt;volume&gt;24&lt;/volume&gt;&lt;number&gt;16&lt;/number&gt;&lt;dates&gt;&lt;year&gt;2021&lt;/year&gt;&lt;/dates&gt;&lt;isbn&gt;1368-9800&lt;/isbn&gt;&lt;urls&gt;&lt;/urls&gt;&lt;/record&gt;&lt;/Cite&gt;&lt;/EndNote&gt;</w:instrText>
      </w:r>
      <w:r w:rsidR="00207AE9" w:rsidRPr="003B3E94">
        <w:rPr>
          <w:rFonts w:ascii="Arial" w:hAnsi="Arial" w:cs="Arial"/>
          <w:szCs w:val="22"/>
          <w:shd w:val="clear" w:color="auto" w:fill="FFFFFF" w:themeFill="background1"/>
        </w:rPr>
        <w:fldChar w:fldCharType="separate"/>
      </w:r>
      <w:r w:rsidR="00207AE9" w:rsidRPr="003B3E94">
        <w:rPr>
          <w:rFonts w:ascii="Arial" w:hAnsi="Arial" w:cs="Arial"/>
          <w:noProof/>
          <w:szCs w:val="22"/>
          <w:shd w:val="clear" w:color="auto" w:fill="FFFFFF" w:themeFill="background1"/>
        </w:rPr>
        <w:t>(Janha et al., 2021)</w:t>
      </w:r>
      <w:r w:rsidR="00207AE9" w:rsidRPr="003B3E94">
        <w:rPr>
          <w:rFonts w:ascii="Arial" w:hAnsi="Arial" w:cs="Arial"/>
          <w:szCs w:val="22"/>
          <w:shd w:val="clear" w:color="auto" w:fill="FFFFFF" w:themeFill="background1"/>
        </w:rPr>
        <w:fldChar w:fldCharType="end"/>
      </w:r>
      <w:r w:rsidR="00207AE9" w:rsidRPr="003B3E94">
        <w:rPr>
          <w:rFonts w:ascii="Arial" w:hAnsi="Arial" w:cs="Arial"/>
          <w:szCs w:val="22"/>
          <w:shd w:val="clear" w:color="auto" w:fill="FFFFFF" w:themeFill="background1"/>
        </w:rPr>
        <w:t xml:space="preserve">. </w:t>
      </w:r>
      <w:r w:rsidR="00AA73FF" w:rsidRPr="003B3E94">
        <w:rPr>
          <w:rFonts w:ascii="Arial" w:hAnsi="Arial" w:cs="Arial"/>
          <w:szCs w:val="22"/>
          <w:shd w:val="clear" w:color="auto" w:fill="FFFFFF" w:themeFill="background1"/>
        </w:rPr>
        <w:t>This brings us to a very interesting discussion of how these choices are made.</w:t>
      </w:r>
      <w:r w:rsidR="00AA73FF" w:rsidRPr="00090FEE">
        <w:rPr>
          <w:rFonts w:ascii="Arial" w:hAnsi="Arial" w:cs="Arial"/>
          <w:szCs w:val="22"/>
          <w:shd w:val="pct15" w:color="auto" w:fill="FFFFFF"/>
        </w:rPr>
        <w:t xml:space="preserve"> </w:t>
      </w:r>
    </w:p>
    <w:p w14:paraId="180A9CC5" w14:textId="77C79E80" w:rsidR="00DA461F" w:rsidRDefault="00DA461F" w:rsidP="00B9375A">
      <w:pPr>
        <w:spacing w:before="100" w:beforeAutospacing="1" w:after="100" w:afterAutospacing="1" w:line="360" w:lineRule="auto"/>
        <w:rPr>
          <w:rFonts w:ascii="Arial" w:hAnsi="Arial" w:cs="Arial"/>
          <w:szCs w:val="22"/>
        </w:rPr>
      </w:pPr>
      <w:r w:rsidRPr="001736B5">
        <w:rPr>
          <w:rFonts w:ascii="Arial" w:hAnsi="Arial" w:cs="Arial"/>
          <w:szCs w:val="22"/>
        </w:rPr>
        <w:t xml:space="preserve">According to the World Health Organization, </w:t>
      </w:r>
      <w:r w:rsidR="00D81CDA" w:rsidRPr="001736B5">
        <w:rPr>
          <w:rFonts w:ascii="Arial" w:hAnsi="Arial" w:cs="Arial"/>
          <w:szCs w:val="22"/>
        </w:rPr>
        <w:t xml:space="preserve">school-based </w:t>
      </w:r>
      <w:r w:rsidRPr="001736B5">
        <w:rPr>
          <w:rFonts w:ascii="Arial" w:hAnsi="Arial" w:cs="Arial"/>
          <w:szCs w:val="22"/>
        </w:rPr>
        <w:t xml:space="preserve">healthy diet intake </w:t>
      </w:r>
      <w:r w:rsidR="00D81CDA" w:rsidRPr="001736B5">
        <w:rPr>
          <w:rFonts w:ascii="Arial" w:hAnsi="Arial" w:cs="Arial"/>
          <w:szCs w:val="22"/>
        </w:rPr>
        <w:t xml:space="preserve">thwarts malnutrition in all forms, preventing a wide range of noncommunicable diseases (NCDs). However, this is determined by a range of factors, including urbanization, changing </w:t>
      </w:r>
      <w:r w:rsidR="000907E5" w:rsidRPr="001736B5">
        <w:rPr>
          <w:rFonts w:ascii="Arial" w:hAnsi="Arial" w:cs="Arial"/>
          <w:szCs w:val="22"/>
        </w:rPr>
        <w:t>lifestyles</w:t>
      </w:r>
      <w:r w:rsidR="00D81CDA" w:rsidRPr="001736B5">
        <w:rPr>
          <w:rFonts w:ascii="Arial" w:hAnsi="Arial" w:cs="Arial"/>
          <w:szCs w:val="22"/>
        </w:rPr>
        <w:t xml:space="preserve">, and other multifaceted factors. </w:t>
      </w:r>
      <w:r w:rsidR="000907E5" w:rsidRPr="001736B5">
        <w:rPr>
          <w:rFonts w:ascii="Arial" w:hAnsi="Arial" w:cs="Arial"/>
          <w:szCs w:val="22"/>
        </w:rPr>
        <w:fldChar w:fldCharType="begin"/>
      </w:r>
      <w:r w:rsidR="000907E5" w:rsidRPr="001736B5">
        <w:rPr>
          <w:rFonts w:ascii="Arial" w:hAnsi="Arial" w:cs="Arial"/>
          <w:szCs w:val="22"/>
        </w:rPr>
        <w:instrText xml:space="preserve"> ADDIN EN.CITE &lt;EndNote&gt;&lt;Cite AuthorYear="1"&gt;&lt;Author&gt;Karunanayaka&lt;/Author&gt;&lt;Year&gt;2024&lt;/Year&gt;&lt;RecNum&gt;17&lt;/RecNum&gt;&lt;DisplayText&gt;Karunanayaka (2024)&lt;/DisplayText&gt;&lt;record&gt;&lt;rec-number&gt;17&lt;/rec-number&gt;&lt;foreign-keys&gt;&lt;key app="EN" db-id="szaastx2j2ex5rewp0fv02p62fe9v9dfxe0a" timestamp="1765453350"&gt;17&lt;/key&gt;&lt;/foreign-keys&gt;&lt;ref-type name="Conference Paper"&gt;47&lt;/ref-type&gt;&lt;contributors&gt;&lt;authors&gt;&lt;author&gt;Karunanayaka, M.M.S.; Thalwaththa, T.; Rajapaksha, I.; Madurangi, A.; Indramali, O.; Perera, T.; Mohotti, J.; Hunter, D.; Silva&lt;/author&gt;&lt;/authors&gt;&lt;/contributors&gt;&lt;titles&gt;&lt;title&gt;Drivers of adolescents’ food choices: exploring the influence of the school food environment.&lt;/title&gt;&lt;secondary-title&gt;2024 Delivering for Nutrition in South Asia Conference.&lt;/secondary-title&gt;&lt;/titles&gt;&lt;dates&gt;&lt;year&gt;2024&lt;/year&gt;&lt;/dates&gt;&lt;pub-location&gt;Sri Lanka&lt;/pub-location&gt;&lt;publisher&gt;The Alliance of Bioversity International and CIAT is part of CGIAR&lt;/publisher&gt;&lt;urls&gt;&lt;/urls&gt;&lt;/record&gt;&lt;/Cite&gt;&lt;/EndNote&gt;</w:instrText>
      </w:r>
      <w:r w:rsidR="000907E5" w:rsidRPr="001736B5">
        <w:rPr>
          <w:rFonts w:ascii="Arial" w:hAnsi="Arial" w:cs="Arial"/>
          <w:szCs w:val="22"/>
        </w:rPr>
        <w:fldChar w:fldCharType="separate"/>
      </w:r>
      <w:r w:rsidR="000907E5" w:rsidRPr="001736B5">
        <w:rPr>
          <w:rFonts w:ascii="Arial" w:hAnsi="Arial" w:cs="Arial"/>
          <w:noProof/>
          <w:szCs w:val="22"/>
        </w:rPr>
        <w:t>Karunanayaka (2024)</w:t>
      </w:r>
      <w:r w:rsidR="000907E5" w:rsidRPr="001736B5">
        <w:rPr>
          <w:rFonts w:ascii="Arial" w:hAnsi="Arial" w:cs="Arial"/>
          <w:szCs w:val="22"/>
        </w:rPr>
        <w:fldChar w:fldCharType="end"/>
      </w:r>
      <w:r w:rsidR="000907E5" w:rsidRPr="001736B5">
        <w:rPr>
          <w:rFonts w:ascii="Arial" w:hAnsi="Arial" w:cs="Arial"/>
          <w:szCs w:val="22"/>
        </w:rPr>
        <w:t xml:space="preserve"> </w:t>
      </w:r>
      <w:r w:rsidR="00E438AC" w:rsidRPr="001736B5">
        <w:rPr>
          <w:rFonts w:ascii="Arial" w:hAnsi="Arial" w:cs="Arial"/>
          <w:szCs w:val="22"/>
        </w:rPr>
        <w:t xml:space="preserve">and </w:t>
      </w:r>
      <w:r w:rsidR="00E438AC" w:rsidRPr="001736B5">
        <w:rPr>
          <w:rFonts w:ascii="Arial" w:hAnsi="Arial" w:cs="Arial"/>
          <w:szCs w:val="22"/>
        </w:rPr>
        <w:fldChar w:fldCharType="begin"/>
      </w:r>
      <w:r w:rsidR="00FF3CC1">
        <w:rPr>
          <w:rFonts w:ascii="Arial" w:hAnsi="Arial" w:cs="Arial"/>
          <w:szCs w:val="22"/>
        </w:rPr>
        <w:instrText xml:space="preserve"> ADDIN EN.CITE &lt;EndNote&gt;&lt;Cite AuthorYear="1"&gt;&lt;Author&gt;Kubik&lt;/Author&gt;&lt;Year&gt;2003&lt;/Year&gt;&lt;RecNum&gt;220&lt;/RecNum&gt;&lt;DisplayText&gt;Kubik et al. (2003)&lt;/DisplayText&gt;&lt;record&gt;&lt;rec-number&gt;220&lt;/rec-number&gt;&lt;foreign-keys&gt;&lt;key app="EN" db-id="0s9eefvfzs9pwhew92s5eaw2rzs0frxxdvdz" timestamp="1765883951"&gt;220&lt;/key&gt;&lt;/foreign-keys&gt;&lt;ref-type name="Journal Article"&gt;17&lt;/ref-type&gt;&lt;contributors&gt;&lt;authors&gt;&lt;author&gt;Kubik, Martha Y&lt;/author&gt;&lt;author&gt;Lytle, Leslie A&lt;/author&gt;&lt;author&gt;Hannan, Peter J&lt;/author&gt;&lt;author&gt;Perry, Cheryl L&lt;/author&gt;&lt;author&gt;Story, Mary&lt;/author&gt;&lt;/authors&gt;&lt;/contributors&gt;&lt;titles&gt;&lt;title&gt;The association of the school food environment with dietary behaviors of young adolescents&lt;/title&gt;&lt;secondary-title&gt;American journal of public health&lt;/secondary-title&gt;&lt;/titles&gt;&lt;periodical&gt;&lt;full-title&gt;American journal of public health&lt;/full-title&gt;&lt;/periodical&gt;&lt;pages&gt;1168-1173&lt;/pages&gt;&lt;volume&gt;93&lt;/volume&gt;&lt;number&gt;7&lt;/number&gt;&lt;dates&gt;&lt;year&gt;2003&lt;/year&gt;&lt;/dates&gt;&lt;isbn&gt;0090-0036&lt;/isbn&gt;&lt;urls&gt;&lt;/urls&gt;&lt;/record&gt;&lt;/Cite&gt;&lt;/EndNote&gt;</w:instrText>
      </w:r>
      <w:r w:rsidR="00E438AC" w:rsidRPr="001736B5">
        <w:rPr>
          <w:rFonts w:ascii="Arial" w:hAnsi="Arial" w:cs="Arial"/>
          <w:szCs w:val="22"/>
        </w:rPr>
        <w:fldChar w:fldCharType="separate"/>
      </w:r>
      <w:r w:rsidR="00E438AC" w:rsidRPr="001736B5">
        <w:rPr>
          <w:rFonts w:ascii="Arial" w:hAnsi="Arial" w:cs="Arial"/>
          <w:noProof/>
          <w:szCs w:val="22"/>
        </w:rPr>
        <w:t>Kubik et al. (2003)</w:t>
      </w:r>
      <w:r w:rsidR="00E438AC" w:rsidRPr="001736B5">
        <w:rPr>
          <w:rFonts w:ascii="Arial" w:hAnsi="Arial" w:cs="Arial"/>
          <w:szCs w:val="22"/>
        </w:rPr>
        <w:fldChar w:fldCharType="end"/>
      </w:r>
      <w:r w:rsidR="00E438AC" w:rsidRPr="001736B5">
        <w:rPr>
          <w:rFonts w:ascii="Arial" w:hAnsi="Arial" w:cs="Arial"/>
          <w:szCs w:val="22"/>
        </w:rPr>
        <w:t xml:space="preserve"> </w:t>
      </w:r>
      <w:r w:rsidR="000907E5" w:rsidRPr="001736B5">
        <w:rPr>
          <w:rFonts w:ascii="Arial" w:hAnsi="Arial" w:cs="Arial"/>
          <w:szCs w:val="22"/>
        </w:rPr>
        <w:t xml:space="preserve">highlighted individual and school-based factors as food choices. </w:t>
      </w:r>
      <w:r w:rsidR="00E438AC" w:rsidRPr="001736B5">
        <w:rPr>
          <w:rFonts w:ascii="Arial" w:hAnsi="Arial" w:cs="Arial"/>
          <w:szCs w:val="22"/>
        </w:rPr>
        <w:t xml:space="preserve">Another study showed that pupil-led initiatives, peer influence, and the school environment were to blame for the rampant poor food choices at school canteens </w:t>
      </w:r>
      <w:r w:rsidR="00E438AC" w:rsidRPr="001736B5">
        <w:rPr>
          <w:rFonts w:ascii="Arial" w:hAnsi="Arial" w:cs="Arial"/>
          <w:szCs w:val="22"/>
        </w:rPr>
        <w:fldChar w:fldCharType="begin"/>
      </w:r>
      <w:r w:rsidR="00E438AC" w:rsidRPr="001736B5">
        <w:rPr>
          <w:rFonts w:ascii="Arial" w:hAnsi="Arial" w:cs="Arial"/>
          <w:szCs w:val="22"/>
        </w:rPr>
        <w:instrText xml:space="preserve"> ADDIN EN.CITE &lt;EndNote&gt;&lt;Cite&gt;&lt;Author&gt;Devine&lt;/Author&gt;&lt;Year&gt;2023&lt;/Year&gt;&lt;RecNum&gt;18&lt;/RecNum&gt;&lt;DisplayText&gt;(L. D. Devine et al., 2023)&lt;/DisplayText&gt;&lt;record&gt;&lt;rec-number&gt;18&lt;/rec-number&gt;&lt;foreign-keys&gt;&lt;key app="EN" db-id="szaastx2j2ex5rewp0fv02p62fe9v9dfxe0a" timestamp="1765453701"&gt;18&lt;/key&gt;&lt;/foreign-keys&gt;&lt;ref-type name="Journal Article"&gt;17&lt;/ref-type&gt;&lt;contributors&gt;&lt;authors&gt;&lt;author&gt;Devine, L. D.&lt;/author&gt;&lt;author&gt;Gallagher, A. M.&lt;/author&gt;&lt;author&gt;Briggs, S.&lt;/author&gt;&lt;author&gt;Hill, A. J.&lt;/author&gt;&lt;/authors&gt;&lt;/contributors&gt;&lt;auth-address&gt;Nutrition Innovation Centre for Food and Health, School of Biomedical Sciences, Ulster University, Coleraine, United Kingdom.&amp;#xD;Education Authority, Armagh, United Kingdom.&lt;/auth-address&gt;&lt;titles&gt;&lt;title&gt;Factors that influence food choices in secondary school canteens: a qualitative study of pupil and staff perspectives&lt;/title&gt;&lt;secondary-title&gt;Front Public Health&lt;/secondary-title&gt;&lt;/titles&gt;&lt;periodical&gt;&lt;full-title&gt;Front Public Health&lt;/full-title&gt;&lt;/periodical&gt;&lt;pages&gt;1227075&lt;/pages&gt;&lt;volume&gt;11&lt;/volume&gt;&lt;edition&gt;20230714&lt;/edition&gt;&lt;keywords&gt;&lt;keyword&gt;Adolescent&lt;/keyword&gt;&lt;keyword&gt;Humans&lt;/keyword&gt;&lt;keyword&gt;*Schools&lt;/keyword&gt;&lt;keyword&gt;*Diet&lt;/keyword&gt;&lt;keyword&gt;Educational Status&lt;/keyword&gt;&lt;keyword&gt;Qualitative Research&lt;/keyword&gt;&lt;keyword&gt;Focus Groups&lt;/keyword&gt;&lt;keyword&gt;adolescence&lt;/keyword&gt;&lt;keyword&gt;canteen&lt;/keyword&gt;&lt;keyword&gt;food choice&lt;/keyword&gt;&lt;keyword&gt;pupil&lt;/keyword&gt;&lt;keyword&gt;school staff&lt;/keyword&gt;&lt;keyword&gt;secondary school&lt;/keyword&gt;&lt;/keywords&gt;&lt;dates&gt;&lt;year&gt;2023&lt;/year&gt;&lt;/dates&gt;&lt;isbn&gt;2296-2565&lt;/isbn&gt;&lt;accession-num&gt;37522007&lt;/accession-num&gt;&lt;urls&gt;&lt;/urls&gt;&lt;custom1&gt;The authors declare that the research was conducted in the absence of any commercial or financial relationships that could be construed as a potential conflict of interest.&lt;/custom1&gt;&lt;custom2&gt;PMC10375012&lt;/custom2&gt;&lt;electronic-resource-num&gt;10.3389/fpubh.2023.1227075&lt;/electronic-resource-num&gt;&lt;remote-database-provider&gt;NLM&lt;/remote-database-provider&gt;&lt;language&gt;eng&lt;/language&gt;&lt;/record&gt;&lt;/Cite&gt;&lt;/EndNote&gt;</w:instrText>
      </w:r>
      <w:r w:rsidR="00E438AC" w:rsidRPr="001736B5">
        <w:rPr>
          <w:rFonts w:ascii="Arial" w:hAnsi="Arial" w:cs="Arial"/>
          <w:szCs w:val="22"/>
        </w:rPr>
        <w:fldChar w:fldCharType="separate"/>
      </w:r>
      <w:r w:rsidR="00E438AC" w:rsidRPr="001736B5">
        <w:rPr>
          <w:rFonts w:ascii="Arial" w:hAnsi="Arial" w:cs="Arial"/>
          <w:noProof/>
          <w:szCs w:val="22"/>
        </w:rPr>
        <w:t>(L. D. Devine et al., 2023)</w:t>
      </w:r>
      <w:r w:rsidR="00E438AC" w:rsidRPr="001736B5">
        <w:rPr>
          <w:rFonts w:ascii="Arial" w:hAnsi="Arial" w:cs="Arial"/>
          <w:szCs w:val="22"/>
        </w:rPr>
        <w:fldChar w:fldCharType="end"/>
      </w:r>
      <w:r w:rsidR="00E438AC" w:rsidRPr="001736B5">
        <w:rPr>
          <w:rFonts w:ascii="Arial" w:hAnsi="Arial" w:cs="Arial"/>
          <w:szCs w:val="22"/>
        </w:rPr>
        <w:t xml:space="preserve">. Various studies point out taste as the leading cause of poor dietary choices in school canteens, see, for instance, </w:t>
      </w:r>
      <w:r w:rsidR="00E438AC" w:rsidRPr="001736B5">
        <w:rPr>
          <w:rFonts w:ascii="Arial" w:hAnsi="Arial" w:cs="Arial"/>
          <w:szCs w:val="22"/>
        </w:rPr>
        <w:fldChar w:fldCharType="begin"/>
      </w:r>
      <w:r w:rsidR="00FF3CC1">
        <w:rPr>
          <w:rFonts w:ascii="Arial" w:hAnsi="Arial" w:cs="Arial"/>
          <w:szCs w:val="22"/>
        </w:rPr>
        <w:instrText xml:space="preserve"> ADDIN EN.CITE &lt;EndNote&gt;&lt;Cite AuthorYear="1"&gt;&lt;Author&gt;Neumark-Sztainer&lt;/Author&gt;&lt;Year&gt;1999&lt;/Year&gt;&lt;RecNum&gt;215&lt;/RecNum&gt;&lt;DisplayText&gt;Neumark-Sztainer et al. (1999); Shannon et al. (2002)&lt;/DisplayText&gt;&lt;record&gt;&lt;rec-number&gt;215&lt;/rec-number&gt;&lt;foreign-keys&gt;&lt;key app="EN" db-id="0s9eefvfzs9pwhew92s5eaw2rzs0frxxdvdz" timestamp="1765883951"&gt;215&lt;/key&gt;&lt;/foreign-keys&gt;&lt;ref-type name="Journal Article"&gt;17&lt;/ref-type&gt;&lt;contributors&gt;&lt;authors&gt;&lt;author&gt;Neumark-Sztainer, Dianne&lt;/author&gt;&lt;author&gt;Story, Mary&lt;/author&gt;&lt;author&gt;Perry, Cheryl&lt;/author&gt;&lt;author&gt;Casey, Mary Anne&lt;/author&gt;&lt;/authors&gt;&lt;/contributors&gt;&lt;titles&gt;&lt;title&gt;Factors influencing food choices of adolescents: findings from focus-group discussions with adolescents&lt;/title&gt;&lt;secondary-title&gt;Journal of the American dietetic association&lt;/secondary-title&gt;&lt;/titles&gt;&lt;periodical&gt;&lt;full-title&gt;Journal of the American Dietetic Association&lt;/full-title&gt;&lt;/periodical&gt;&lt;pages&gt;929-937&lt;/pages&gt;&lt;volume&gt;99&lt;/volume&gt;&lt;number&gt;8&lt;/number&gt;&lt;dates&gt;&lt;year&gt;1999&lt;/year&gt;&lt;/dates&gt;&lt;isbn&gt;0002-8223&lt;/isbn&gt;&lt;urls&gt;&lt;/urls&gt;&lt;/record&gt;&lt;/Cite&gt;&lt;Cite AuthorYear="1"&gt;&lt;Author&gt;Shannon&lt;/Author&gt;&lt;Year&gt;2002&lt;/Year&gt;&lt;RecNum&gt;217&lt;/RecNum&gt;&lt;record&gt;&lt;rec-number&gt;217&lt;/rec-number&gt;&lt;foreign-keys&gt;&lt;key app="EN" db-id="0s9eefvfzs9pwhew92s5eaw2rzs0frxxdvdz" timestamp="1765883951"&gt;217&lt;/key&gt;&lt;/foreign-keys&gt;&lt;ref-type name="Journal Article"&gt;17&lt;/ref-type&gt;&lt;contributors&gt;&lt;authors&gt;&lt;author&gt;Shannon, Christine&lt;/author&gt;&lt;author&gt;Story, Mary&lt;/author&gt;&lt;author&gt;Fulkerson, Jayne A&lt;/author&gt;&lt;author&gt;French, Simone A&lt;/author&gt;&lt;/authors&gt;&lt;/contributors&gt;&lt;titles&gt;&lt;title&gt;Factors in the school cafeteria influencing food choices by high school students&lt;/title&gt;&lt;secondary-title&gt;Journal of School Health&lt;/secondary-title&gt;&lt;/titles&gt;&lt;periodical&gt;&lt;full-title&gt;Journal of School Health&lt;/full-title&gt;&lt;/periodical&gt;&lt;pages&gt;229-234&lt;/pages&gt;&lt;volume&gt;72&lt;/volume&gt;&lt;number&gt;6&lt;/number&gt;&lt;dates&gt;&lt;year&gt;2002&lt;/year&gt;&lt;/dates&gt;&lt;isbn&gt;0022-4391&lt;/isbn&gt;&lt;urls&gt;&lt;/urls&gt;&lt;/record&gt;&lt;/Cite&gt;&lt;/EndNote&gt;</w:instrText>
      </w:r>
      <w:r w:rsidR="00E438AC" w:rsidRPr="001736B5">
        <w:rPr>
          <w:rFonts w:ascii="Arial" w:hAnsi="Arial" w:cs="Arial"/>
          <w:szCs w:val="22"/>
        </w:rPr>
        <w:fldChar w:fldCharType="separate"/>
      </w:r>
      <w:r w:rsidR="00E438AC" w:rsidRPr="001A5BEF">
        <w:rPr>
          <w:rFonts w:ascii="Arial" w:hAnsi="Arial" w:cs="Arial"/>
          <w:noProof/>
          <w:szCs w:val="22"/>
          <w:lang w:val="fr-FR"/>
        </w:rPr>
        <w:t>Neumark-Sztainer et al. (1999); Shannon et al. (2002)</w:t>
      </w:r>
      <w:r w:rsidR="00E438AC" w:rsidRPr="001736B5">
        <w:rPr>
          <w:rFonts w:ascii="Arial" w:hAnsi="Arial" w:cs="Arial"/>
          <w:szCs w:val="22"/>
        </w:rPr>
        <w:fldChar w:fldCharType="end"/>
      </w:r>
      <w:r w:rsidR="0035112D" w:rsidRPr="001A5BEF">
        <w:rPr>
          <w:rFonts w:ascii="Arial" w:hAnsi="Arial" w:cs="Arial"/>
          <w:szCs w:val="22"/>
          <w:lang w:val="fr-FR"/>
        </w:rPr>
        <w:t xml:space="preserve"> and </w:t>
      </w:r>
      <w:r w:rsidR="0035112D" w:rsidRPr="001736B5">
        <w:rPr>
          <w:rFonts w:ascii="Arial" w:hAnsi="Arial" w:cs="Arial"/>
          <w:szCs w:val="22"/>
        </w:rPr>
        <w:fldChar w:fldCharType="begin"/>
      </w:r>
      <w:r w:rsidR="00FF3CC1">
        <w:rPr>
          <w:rFonts w:ascii="Arial" w:hAnsi="Arial" w:cs="Arial"/>
          <w:szCs w:val="22"/>
        </w:rPr>
        <w:instrText xml:space="preserve"> ADDIN EN.CITE &lt;EndNote&gt;&lt;Cite AuthorYear="1"&gt;&lt;Author&gt;Ghaffar&lt;/Author&gt;&lt;Year&gt;2019&lt;/Year&gt;&lt;RecNum&gt;227&lt;/RecNum&gt;&lt;DisplayText&gt;Ghaffar et al. (2019)&lt;/DisplayText&gt;&lt;record&gt;&lt;rec-number&gt;227&lt;/rec-number&gt;&lt;foreign-keys&gt;&lt;key app="EN" db-id="0s9eefvfzs9pwhew92s5eaw2rzs0frxxdvdz" timestamp="1765883951"&gt;227&lt;/key&gt;&lt;/foreign-keys&gt;&lt;ref-type name="Journal Article"&gt;17&lt;/ref-type&gt;&lt;contributors&gt;&lt;authors&gt;&lt;author&gt;Ghaffar, Suhaila Abdul&lt;/author&gt;&lt;author&gt;Talib, Ruzita Abdul&lt;/author&gt;&lt;author&gt;Karim, Norimah A&lt;/author&gt;&lt;/authors&gt;&lt;/contributors&gt;&lt;titles&gt;&lt;title&gt;Food choices and diet quality in the school food environment: a qualitative insight from the perspective of adolescents&lt;/title&gt;&lt;secondary-title&gt;Malays J Med Health Sci&lt;/secondary-title&gt;&lt;/titles&gt;&lt;periodical&gt;&lt;full-title&gt;Malays J Med Health Sci&lt;/full-title&gt;&lt;/periodical&gt;&lt;pages&gt;15&lt;/pages&gt;&lt;volume&gt;45&lt;/volume&gt;&lt;dates&gt;&lt;year&gt;2019&lt;/year&gt;&lt;/dates&gt;&lt;urls&gt;&lt;/urls&gt;&lt;/record&gt;&lt;/Cite&gt;&lt;/EndNote&gt;</w:instrText>
      </w:r>
      <w:r w:rsidR="0035112D" w:rsidRPr="001736B5">
        <w:rPr>
          <w:rFonts w:ascii="Arial" w:hAnsi="Arial" w:cs="Arial"/>
          <w:szCs w:val="22"/>
        </w:rPr>
        <w:fldChar w:fldCharType="separate"/>
      </w:r>
      <w:r w:rsidR="0035112D" w:rsidRPr="001A5BEF">
        <w:rPr>
          <w:rFonts w:ascii="Arial" w:hAnsi="Arial" w:cs="Arial"/>
          <w:noProof/>
          <w:szCs w:val="22"/>
          <w:lang w:val="fr-FR"/>
        </w:rPr>
        <w:t xml:space="preserve">Ghaffar et al. </w:t>
      </w:r>
      <w:r w:rsidR="0035112D" w:rsidRPr="001736B5">
        <w:rPr>
          <w:rFonts w:ascii="Arial" w:hAnsi="Arial" w:cs="Arial"/>
          <w:noProof/>
          <w:szCs w:val="22"/>
        </w:rPr>
        <w:t>(2019)</w:t>
      </w:r>
      <w:r w:rsidR="0035112D" w:rsidRPr="001736B5">
        <w:rPr>
          <w:rFonts w:ascii="Arial" w:hAnsi="Arial" w:cs="Arial"/>
          <w:szCs w:val="22"/>
        </w:rPr>
        <w:fldChar w:fldCharType="end"/>
      </w:r>
      <w:r w:rsidR="00E438AC" w:rsidRPr="001736B5">
        <w:rPr>
          <w:rFonts w:ascii="Arial" w:hAnsi="Arial" w:cs="Arial"/>
          <w:szCs w:val="22"/>
        </w:rPr>
        <w:t xml:space="preserve">. Other scholars point to the lack of better alternatives as a key factor in promoting unhealthy foods </w:t>
      </w:r>
      <w:r w:rsidR="00E438AC" w:rsidRPr="001736B5">
        <w:rPr>
          <w:rFonts w:ascii="Arial" w:hAnsi="Arial" w:cs="Arial"/>
          <w:szCs w:val="22"/>
        </w:rPr>
        <w:fldChar w:fldCharType="begin"/>
      </w:r>
      <w:r w:rsidR="00FF3CC1">
        <w:rPr>
          <w:rFonts w:ascii="Arial" w:hAnsi="Arial" w:cs="Arial"/>
          <w:szCs w:val="22"/>
        </w:rPr>
        <w:instrText xml:space="preserve"> ADDIN EN.CITE &lt;EndNote&gt;&lt;Cite AuthorYear="1"&gt;&lt;Author&gt;Bhatt&lt;/Author&gt;&lt;Year&gt;2019&lt;/Year&gt;&lt;RecNum&gt;216&lt;/RecNum&gt;&lt;DisplayText&gt;Bhatt et al. (2019)&lt;/DisplayText&gt;&lt;record&gt;&lt;rec-number&gt;216&lt;/rec-number&gt;&lt;foreign-keys&gt;&lt;key app="EN" db-id="0s9eefvfzs9pwhew92s5eaw2rzs0frxxdvdz" timestamp="1765883951"&gt;216&lt;/key&gt;&lt;/foreign-keys&gt;&lt;ref-type name="Journal Article"&gt;17&lt;/ref-type&gt;&lt;contributors&gt;&lt;authors&gt;&lt;author&gt;Bhatt, Rashmi&lt;/author&gt;&lt;author&gt;Madan, Jagmeet&lt;/author&gt;&lt;author&gt;Moitra, Panchali&lt;/author&gt;&lt;/authors&gt;&lt;/contributors&gt;&lt;titles&gt;&lt;title&gt;Determinants of Food Choice in a School Environment&lt;/title&gt;&lt;secondary-title&gt;Indian Journal of Public Health Research &amp;amp; Development&lt;/secondary-title&gt;&lt;/titles&gt;&lt;periodical&gt;&lt;full-title&gt;Indian Journal of Public Health Research &amp;amp; Development&lt;/full-title&gt;&lt;/periodical&gt;&lt;volume&gt;10&lt;/volume&gt;&lt;number&gt;9&lt;/number&gt;&lt;dates&gt;&lt;year&gt;2019&lt;/year&gt;&lt;/dates&gt;&lt;isbn&gt;0976-0245&lt;/isbn&gt;&lt;urls&gt;&lt;/urls&gt;&lt;/record&gt;&lt;/Cite&gt;&lt;/EndNote&gt;</w:instrText>
      </w:r>
      <w:r w:rsidR="00E438AC" w:rsidRPr="001736B5">
        <w:rPr>
          <w:rFonts w:ascii="Arial" w:hAnsi="Arial" w:cs="Arial"/>
          <w:szCs w:val="22"/>
        </w:rPr>
        <w:fldChar w:fldCharType="separate"/>
      </w:r>
      <w:r w:rsidR="00E438AC" w:rsidRPr="001736B5">
        <w:rPr>
          <w:rFonts w:ascii="Arial" w:hAnsi="Arial" w:cs="Arial"/>
          <w:noProof/>
          <w:szCs w:val="22"/>
        </w:rPr>
        <w:t>Bhatt et al. (2019)</w:t>
      </w:r>
      <w:r w:rsidR="00E438AC" w:rsidRPr="001736B5">
        <w:rPr>
          <w:rFonts w:ascii="Arial" w:hAnsi="Arial" w:cs="Arial"/>
          <w:szCs w:val="22"/>
        </w:rPr>
        <w:fldChar w:fldCharType="end"/>
      </w:r>
      <w:r w:rsidR="00E438AC" w:rsidRPr="001736B5">
        <w:rPr>
          <w:rFonts w:ascii="Arial" w:hAnsi="Arial" w:cs="Arial"/>
          <w:szCs w:val="22"/>
        </w:rPr>
        <w:t xml:space="preserve">, </w:t>
      </w:r>
      <w:r w:rsidR="00160A7A" w:rsidRPr="001736B5">
        <w:rPr>
          <w:rFonts w:ascii="Arial" w:hAnsi="Arial" w:cs="Arial"/>
          <w:szCs w:val="22"/>
        </w:rPr>
        <w:t xml:space="preserve">while </w:t>
      </w:r>
      <w:r w:rsidR="00160A7A" w:rsidRPr="001736B5">
        <w:rPr>
          <w:rFonts w:ascii="Arial" w:hAnsi="Arial" w:cs="Arial"/>
          <w:szCs w:val="22"/>
        </w:rPr>
        <w:fldChar w:fldCharType="begin"/>
      </w:r>
      <w:r w:rsidR="000728D2">
        <w:rPr>
          <w:rFonts w:ascii="Arial" w:hAnsi="Arial" w:cs="Arial"/>
          <w:szCs w:val="22"/>
        </w:rPr>
        <w:instrText xml:space="preserve"> ADDIN EN.CITE &lt;EndNote&gt;&lt;Cite AuthorYear="1"&gt;&lt;Author&gt;Gilmour&lt;/Author&gt;&lt;Year&gt;2020&lt;/Year&gt;&lt;RecNum&gt;305&lt;/RecNum&gt;&lt;DisplayText&gt;Gilmour et al. (2020)&lt;/DisplayText&gt;&lt;record&gt;&lt;rec-number&gt;305&lt;/rec-number&gt;&lt;foreign-keys&gt;&lt;key app="EN" db-id="0s9eefvfzs9pwhew92s5eaw2rzs0frxxdvdz" timestamp="1765885740"&gt;305&lt;/key&gt;&lt;/foreign-keys&gt;&lt;ref-type name="Journal Article"&gt;17&lt;/ref-type&gt;&lt;contributors&gt;&lt;authors&gt;&lt;author&gt;Gilmour, Alice&lt;/author&gt;&lt;author&gt;Gill, Steve&lt;/author&gt;&lt;author&gt;Loudon, Gareth&lt;/author&gt;&lt;/authors&gt;&lt;/contributors&gt;&lt;titles&gt;&lt;title&gt;Young adolescents’ experiences and views on eating and food&lt;/title&gt;&lt;secondary-title&gt;Young Consumers&lt;/secondary-title&gt;&lt;/titles&gt;&lt;periodical&gt;&lt;full-title&gt;Young Consumers&lt;/full-title&gt;&lt;/periodical&gt;&lt;pages&gt;389-402&lt;/pages&gt;&lt;volume&gt;21&lt;/volume&gt;&lt;number&gt;4&lt;/number&gt;&lt;dates&gt;&lt;year&gt;2020&lt;/year&gt;&lt;/dates&gt;&lt;isbn&gt;1747-3616&lt;/isbn&gt;&lt;urls&gt;&lt;/urls&gt;&lt;/record&gt;&lt;/Cite&gt;&lt;/EndNote&gt;</w:instrText>
      </w:r>
      <w:r w:rsidR="00160A7A" w:rsidRPr="001736B5">
        <w:rPr>
          <w:rFonts w:ascii="Arial" w:hAnsi="Arial" w:cs="Arial"/>
          <w:szCs w:val="22"/>
        </w:rPr>
        <w:fldChar w:fldCharType="separate"/>
      </w:r>
      <w:r w:rsidR="00160A7A" w:rsidRPr="001736B5">
        <w:rPr>
          <w:rFonts w:ascii="Arial" w:hAnsi="Arial" w:cs="Arial"/>
          <w:noProof/>
          <w:szCs w:val="22"/>
        </w:rPr>
        <w:t>Gilmour et al. (2020)</w:t>
      </w:r>
      <w:r w:rsidR="00160A7A" w:rsidRPr="001736B5">
        <w:rPr>
          <w:rFonts w:ascii="Arial" w:hAnsi="Arial" w:cs="Arial"/>
          <w:szCs w:val="22"/>
        </w:rPr>
        <w:fldChar w:fldCharType="end"/>
      </w:r>
      <w:r w:rsidR="00160A7A" w:rsidRPr="001736B5">
        <w:rPr>
          <w:rFonts w:ascii="Arial" w:hAnsi="Arial" w:cs="Arial"/>
          <w:szCs w:val="22"/>
        </w:rPr>
        <w:t xml:space="preserve"> points out convenience in a bid to avoid longer queues, leaving the students with no choice but to junk</w:t>
      </w:r>
      <w:r w:rsidR="00E438AC" w:rsidRPr="001736B5">
        <w:rPr>
          <w:rFonts w:ascii="Arial" w:hAnsi="Arial" w:cs="Arial"/>
          <w:szCs w:val="22"/>
        </w:rPr>
        <w:t xml:space="preserve">. Other studies assume that the price of the foods at various school canteens plays a significant role in determining choice </w:t>
      </w:r>
      <w:r w:rsidR="00E438AC" w:rsidRPr="001736B5">
        <w:rPr>
          <w:rFonts w:ascii="Arial" w:hAnsi="Arial" w:cs="Arial"/>
          <w:szCs w:val="22"/>
        </w:rPr>
        <w:fldChar w:fldCharType="begin"/>
      </w:r>
      <w:r w:rsidR="00FF3CC1">
        <w:rPr>
          <w:rFonts w:ascii="Arial" w:hAnsi="Arial" w:cs="Arial"/>
          <w:szCs w:val="22"/>
        </w:rPr>
        <w:instrText xml:space="preserve"> ADDIN EN.CITE &lt;EndNote&gt;&lt;Cite&gt;&lt;Author&gt;French&lt;/Author&gt;&lt;Year&gt;2003&lt;/Year&gt;&lt;RecNum&gt;218&lt;/RecNum&gt;&lt;DisplayText&gt;(French, 2003)&lt;/DisplayText&gt;&lt;record&gt;&lt;rec-number&gt;218&lt;/rec-number&gt;&lt;foreign-keys&gt;&lt;key app="EN" db-id="0s9eefvfzs9pwhew92s5eaw2rzs0frxxdvdz" timestamp="1765883951"&gt;218&lt;/key&gt;&lt;/foreign-keys&gt;&lt;ref-type name="Journal Article"&gt;17&lt;/ref-type&gt;&lt;contributors&gt;&lt;authors&gt;&lt;author&gt;French, Simone A&lt;/author&gt;&lt;/authors&gt;&lt;/contributors&gt;&lt;titles&gt;&lt;title&gt;Pricing effects on food choices&lt;/title&gt;&lt;secondary-title&gt;The Journal of nutrition&lt;/secondary-title&gt;&lt;/titles&gt;&lt;periodical&gt;&lt;full-title&gt;The Journal of nutrition&lt;/full-title&gt;&lt;/periodical&gt;&lt;pages&gt;841S-843S&lt;/pages&gt;&lt;volume&gt;133&lt;/volume&gt;&lt;number&gt;3&lt;/number&gt;&lt;dates&gt;&lt;year&gt;2003&lt;/year&gt;&lt;/dates&gt;&lt;isbn&gt;0022-3166&lt;/isbn&gt;&lt;urls&gt;&lt;/urls&gt;&lt;/record&gt;&lt;/Cite&gt;&lt;/EndNote&gt;</w:instrText>
      </w:r>
      <w:r w:rsidR="00E438AC" w:rsidRPr="001736B5">
        <w:rPr>
          <w:rFonts w:ascii="Arial" w:hAnsi="Arial" w:cs="Arial"/>
          <w:szCs w:val="22"/>
        </w:rPr>
        <w:fldChar w:fldCharType="separate"/>
      </w:r>
      <w:r w:rsidR="00E438AC" w:rsidRPr="001736B5">
        <w:rPr>
          <w:rFonts w:ascii="Arial" w:hAnsi="Arial" w:cs="Arial"/>
          <w:noProof/>
          <w:szCs w:val="22"/>
        </w:rPr>
        <w:t>(French, 2003)</w:t>
      </w:r>
      <w:r w:rsidR="00E438AC" w:rsidRPr="001736B5">
        <w:rPr>
          <w:rFonts w:ascii="Arial" w:hAnsi="Arial" w:cs="Arial"/>
          <w:szCs w:val="22"/>
        </w:rPr>
        <w:fldChar w:fldCharType="end"/>
      </w:r>
      <w:r w:rsidR="00E438AC" w:rsidRPr="001736B5">
        <w:rPr>
          <w:rFonts w:ascii="Arial" w:hAnsi="Arial" w:cs="Arial"/>
          <w:szCs w:val="22"/>
        </w:rPr>
        <w:t xml:space="preserve">. Other studies attribute it to the students' lack of knowledge about nutrient content </w:t>
      </w:r>
      <w:r w:rsidR="00E438AC" w:rsidRPr="001736B5">
        <w:rPr>
          <w:rFonts w:ascii="Arial" w:hAnsi="Arial" w:cs="Arial"/>
          <w:szCs w:val="22"/>
        </w:rPr>
        <w:fldChar w:fldCharType="begin"/>
      </w:r>
      <w:r w:rsidR="00FF3CC1">
        <w:rPr>
          <w:rFonts w:ascii="Arial" w:hAnsi="Arial" w:cs="Arial"/>
          <w:szCs w:val="22"/>
        </w:rPr>
        <w:instrText xml:space="preserve"> ADDIN EN.CITE &lt;EndNote&gt;&lt;Cite&gt;&lt;Author&gt;Gracey&lt;/Author&gt;&lt;Year&gt;1996&lt;/Year&gt;&lt;RecNum&gt;219&lt;/RecNum&gt;&lt;DisplayText&gt;(Gracey et al., 1996)&lt;/DisplayText&gt;&lt;record&gt;&lt;rec-number&gt;219&lt;/rec-number&gt;&lt;foreign-keys&gt;&lt;key app="EN" db-id="0s9eefvfzs9pwhew92s5eaw2rzs0frxxdvdz" timestamp="1765883951"&gt;219&lt;/key&gt;&lt;/foreign-keys&gt;&lt;ref-type name="Journal Article"&gt;17&lt;/ref-type&gt;&lt;contributors&gt;&lt;authors&gt;&lt;author&gt;Gracey, David&lt;/author&gt;&lt;author&gt;Stanley, N&lt;/author&gt;&lt;author&gt;Burke, Valerie&lt;/author&gt;&lt;author&gt;Corti, Billie&lt;/author&gt;&lt;author&gt;Beilin, LJ&lt;/author&gt;&lt;/authors&gt;&lt;/contributors&gt;&lt;titles&gt;&lt;title&gt;Nutritional knowledge, beliefs and behaviours in teenage school students&lt;/title&gt;&lt;secondary-title&gt;Health education research&lt;/secondary-title&gt;&lt;/titles&gt;&lt;periodical&gt;&lt;full-title&gt;Health education research&lt;/full-title&gt;&lt;/periodical&gt;&lt;pages&gt;187-204&lt;/pages&gt;&lt;volume&gt;11&lt;/volume&gt;&lt;number&gt;2&lt;/number&gt;&lt;dates&gt;&lt;year&gt;1996&lt;/year&gt;&lt;/dates&gt;&lt;isbn&gt;1465-3648&lt;/isbn&gt;&lt;urls&gt;&lt;/urls&gt;&lt;/record&gt;&lt;/Cite&gt;&lt;/EndNote&gt;</w:instrText>
      </w:r>
      <w:r w:rsidR="00E438AC" w:rsidRPr="001736B5">
        <w:rPr>
          <w:rFonts w:ascii="Arial" w:hAnsi="Arial" w:cs="Arial"/>
          <w:szCs w:val="22"/>
        </w:rPr>
        <w:fldChar w:fldCharType="separate"/>
      </w:r>
      <w:r w:rsidR="00E438AC" w:rsidRPr="001736B5">
        <w:rPr>
          <w:rFonts w:ascii="Arial" w:hAnsi="Arial" w:cs="Arial"/>
          <w:noProof/>
          <w:szCs w:val="22"/>
        </w:rPr>
        <w:t>(Gracey et al., 1996)</w:t>
      </w:r>
      <w:r w:rsidR="00E438AC" w:rsidRPr="001736B5">
        <w:rPr>
          <w:rFonts w:ascii="Arial" w:hAnsi="Arial" w:cs="Arial"/>
          <w:szCs w:val="22"/>
        </w:rPr>
        <w:fldChar w:fldCharType="end"/>
      </w:r>
      <w:r w:rsidR="00E438AC" w:rsidRPr="001736B5">
        <w:rPr>
          <w:rFonts w:ascii="Arial" w:hAnsi="Arial" w:cs="Arial"/>
          <w:szCs w:val="22"/>
        </w:rPr>
        <w:t xml:space="preserve">. </w:t>
      </w:r>
      <w:r w:rsidR="00160A7A" w:rsidRPr="001736B5">
        <w:rPr>
          <w:rFonts w:ascii="Arial" w:hAnsi="Arial" w:cs="Arial"/>
          <w:szCs w:val="22"/>
        </w:rPr>
        <w:t xml:space="preserve">On the other hand, </w:t>
      </w:r>
      <w:r w:rsidR="00160A7A" w:rsidRPr="001736B5">
        <w:rPr>
          <w:rFonts w:ascii="Arial" w:hAnsi="Arial" w:cs="Arial"/>
          <w:szCs w:val="22"/>
        </w:rPr>
        <w:fldChar w:fldCharType="begin"/>
      </w:r>
      <w:r w:rsidR="00FF3CC1">
        <w:rPr>
          <w:rFonts w:ascii="Arial" w:hAnsi="Arial" w:cs="Arial"/>
          <w:szCs w:val="22"/>
        </w:rPr>
        <w:instrText xml:space="preserve"> ADDIN EN.CITE &lt;EndNote&gt;&lt;Cite AuthorYear="1"&gt;&lt;Author&gt;Iyassu&lt;/Author&gt;&lt;Year&gt;2024&lt;/Year&gt;&lt;RecNum&gt;221&lt;/RecNum&gt;&lt;DisplayText&gt;Iyassu et al. (2024)&lt;/DisplayText&gt;&lt;record&gt;&lt;rec-number&gt;221&lt;/rec-number&gt;&lt;foreign-keys&gt;&lt;key app="EN" db-id="0s9eefvfzs9pwhew92s5eaw2rzs0frxxdvdz" timestamp="1765883951"&gt;221&lt;/key&gt;&lt;/foreign-keys&gt;&lt;ref-type name="Journal Article"&gt;17&lt;/ref-type&gt;&lt;contributors&gt;&lt;authors&gt;&lt;author&gt;Iyassu, Abreham&lt;/author&gt;&lt;author&gt;Laillou, Arnaud&lt;/author&gt;&lt;author&gt;Tilahun, Kassahun&lt;/author&gt;&lt;author&gt;Workneh, Fitsum&lt;/author&gt;&lt;author&gt;Mogues, Sinksar&lt;/author&gt;&lt;author&gt;Chitekwe, Stanley&lt;/author&gt;&lt;author&gt;Baye, Kaleab&lt;/author&gt;&lt;/authors&gt;&lt;/contributors&gt;&lt;titles&gt;&lt;title&gt;The influence of adolescents&amp;apos; nutrition knowledge and school food environment on adolescents&amp;apos; dietary behaviors in urban Ethiopia: A qualitative study&lt;/title&gt;&lt;secondary-title&gt;Maternal &amp;amp; Child Nutrition&lt;/secondary-title&gt;&lt;/titles&gt;&lt;periodical&gt;&lt;full-title&gt;Maternal &amp;amp; Child Nutrition&lt;/full-title&gt;&lt;/periodical&gt;&lt;pages&gt;e13527&lt;/pages&gt;&lt;volume&gt;20&lt;/volume&gt;&lt;dates&gt;&lt;year&gt;2024&lt;/year&gt;&lt;/dates&gt;&lt;isbn&gt;1740-8695&lt;/isbn&gt;&lt;urls&gt;&lt;/urls&gt;&lt;/record&gt;&lt;/Cite&gt;&lt;/EndNote&gt;</w:instrText>
      </w:r>
      <w:r w:rsidR="00160A7A" w:rsidRPr="001736B5">
        <w:rPr>
          <w:rFonts w:ascii="Arial" w:hAnsi="Arial" w:cs="Arial"/>
          <w:szCs w:val="22"/>
        </w:rPr>
        <w:fldChar w:fldCharType="separate"/>
      </w:r>
      <w:r w:rsidR="00160A7A" w:rsidRPr="001736B5">
        <w:rPr>
          <w:rFonts w:ascii="Arial" w:hAnsi="Arial" w:cs="Arial"/>
          <w:noProof/>
          <w:szCs w:val="22"/>
        </w:rPr>
        <w:t>Iyassu et al. (2024)</w:t>
      </w:r>
      <w:r w:rsidR="00160A7A" w:rsidRPr="001736B5">
        <w:rPr>
          <w:rFonts w:ascii="Arial" w:hAnsi="Arial" w:cs="Arial"/>
          <w:szCs w:val="22"/>
        </w:rPr>
        <w:fldChar w:fldCharType="end"/>
      </w:r>
      <w:r w:rsidR="00160A7A" w:rsidRPr="001736B5">
        <w:rPr>
          <w:rFonts w:ascii="Arial" w:hAnsi="Arial" w:cs="Arial"/>
          <w:szCs w:val="22"/>
        </w:rPr>
        <w:t xml:space="preserve"> acknowledged students' lack of knowledge about nutrient content as a contributing factor to their unhealthy food choices. Differently, </w:t>
      </w:r>
      <w:r w:rsidR="00160A7A" w:rsidRPr="001736B5">
        <w:rPr>
          <w:rFonts w:ascii="Arial" w:hAnsi="Arial" w:cs="Arial"/>
          <w:szCs w:val="22"/>
        </w:rPr>
        <w:fldChar w:fldCharType="begin"/>
      </w:r>
      <w:r w:rsidR="00FF3CC1">
        <w:rPr>
          <w:rFonts w:ascii="Arial" w:hAnsi="Arial" w:cs="Arial"/>
          <w:szCs w:val="22"/>
        </w:rPr>
        <w:instrText xml:space="preserve"> ADDIN EN.CITE &lt;EndNote&gt;&lt;Cite AuthorYear="1"&gt;&lt;Author&gt;Neumark-Sztainer&lt;/Author&gt;&lt;Year&gt;2005&lt;/Year&gt;&lt;RecNum&gt;222&lt;/RecNum&gt;&lt;DisplayText&gt;Neumark-Sztainer et al. (2005)&lt;/DisplayText&gt;&lt;record&gt;&lt;rec-number&gt;222&lt;/rec-number&gt;&lt;foreign-keys&gt;&lt;key app="EN" db-id="0s9eefvfzs9pwhew92s5eaw2rzs0frxxdvdz" timestamp="1765883951"&gt;222&lt;/key&gt;&lt;/foreign-keys&gt;&lt;ref-type name="Journal Article"&gt;17&lt;/ref-type&gt;&lt;contributors&gt;&lt;authors&gt;&lt;author&gt;Neumark-Sztainer, Dianne&lt;/author&gt;&lt;author&gt;French, Simone A&lt;/author&gt;&lt;author&gt;Hannan, Peter J&lt;/author&gt;&lt;author&gt;Story, Mary&lt;/author&gt;&lt;author&gt;Fulkerson, Jayne A&lt;/author&gt;&lt;/authors&gt;&lt;/contributors&gt;&lt;titles&gt;&lt;title&gt;School lunch and snacking patterns among high school students: associations with school food environment and policies&lt;/title&gt;&lt;secondary-title&gt;International Journal of Behavioral Nutrition and Physical Activity&lt;/secondary-title&gt;&lt;/titles&gt;&lt;periodical&gt;&lt;full-title&gt;International Journal of Behavioral Nutrition and Physical Activity&lt;/full-title&gt;&lt;/periodical&gt;&lt;pages&gt;14&lt;/pages&gt;&lt;volume&gt;2&lt;/volume&gt;&lt;number&gt;1&lt;/number&gt;&lt;dates&gt;&lt;year&gt;2005&lt;/year&gt;&lt;/dates&gt;&lt;isbn&gt;1479-5868&lt;/isbn&gt;&lt;urls&gt;&lt;/urls&gt;&lt;/record&gt;&lt;/Cite&gt;&lt;/EndNote&gt;</w:instrText>
      </w:r>
      <w:r w:rsidR="00160A7A" w:rsidRPr="001736B5">
        <w:rPr>
          <w:rFonts w:ascii="Arial" w:hAnsi="Arial" w:cs="Arial"/>
          <w:szCs w:val="22"/>
        </w:rPr>
        <w:fldChar w:fldCharType="separate"/>
      </w:r>
      <w:r w:rsidR="00160A7A" w:rsidRPr="001736B5">
        <w:rPr>
          <w:rFonts w:ascii="Arial" w:hAnsi="Arial" w:cs="Arial"/>
          <w:noProof/>
          <w:szCs w:val="22"/>
        </w:rPr>
        <w:t>Neumark-Sztainer et al. (2005)</w:t>
      </w:r>
      <w:r w:rsidR="00160A7A" w:rsidRPr="001736B5">
        <w:rPr>
          <w:rFonts w:ascii="Arial" w:hAnsi="Arial" w:cs="Arial"/>
          <w:szCs w:val="22"/>
        </w:rPr>
        <w:fldChar w:fldCharType="end"/>
      </w:r>
      <w:r w:rsidR="00160A7A" w:rsidRPr="001736B5">
        <w:rPr>
          <w:rFonts w:ascii="Arial" w:hAnsi="Arial" w:cs="Arial"/>
          <w:szCs w:val="22"/>
        </w:rPr>
        <w:t xml:space="preserve"> looks more into media messages and social norms as determinants of unhealthy eating habits at school canteens. Furthermore, the availability of attractive snacks and soft drinks </w:t>
      </w:r>
      <w:r w:rsidR="00E22246" w:rsidRPr="001736B5">
        <w:rPr>
          <w:rFonts w:ascii="Arial" w:hAnsi="Arial" w:cs="Arial"/>
          <w:szCs w:val="22"/>
        </w:rPr>
        <w:t xml:space="preserve">strongly influences their food choices </w:t>
      </w:r>
      <w:r w:rsidR="00E22246" w:rsidRPr="001736B5">
        <w:rPr>
          <w:rFonts w:ascii="Arial" w:hAnsi="Arial" w:cs="Arial"/>
          <w:szCs w:val="22"/>
        </w:rPr>
        <w:fldChar w:fldCharType="begin"/>
      </w:r>
      <w:r w:rsidR="00FF3CC1">
        <w:rPr>
          <w:rFonts w:ascii="Arial" w:hAnsi="Arial" w:cs="Arial"/>
          <w:szCs w:val="22"/>
        </w:rPr>
        <w:instrText xml:space="preserve"> ADDIN EN.CITE &lt;EndNote&gt;&lt;Cite&gt;&lt;Author&gt;Wouters&lt;/Author&gt;&lt;Year&gt;2010&lt;/Year&gt;&lt;RecNum&gt;224&lt;/RecNum&gt;&lt;DisplayText&gt;(Wouters et al., 2010)&lt;/DisplayText&gt;&lt;record&gt;&lt;rec-number&gt;224&lt;/rec-number&gt;&lt;foreign-keys&gt;&lt;key app="EN" db-id="0s9eefvfzs9pwhew92s5eaw2rzs0frxxdvdz" timestamp="1765883951"&gt;224&lt;/key&gt;&lt;/foreign-keys&gt;&lt;ref-type name="Journal Article"&gt;17&lt;/ref-type&gt;&lt;contributors&gt;&lt;authors&gt;&lt;author&gt;Wouters, Eveline J&lt;/author&gt;&lt;author&gt;Larsen, Junilla K&lt;/author&gt;&lt;author&gt;Kremers, Stef P&lt;/author&gt;&lt;author&gt;Dagnelie, Pieter C&lt;/author&gt;&lt;author&gt;Geenen, Rinie&lt;/author&gt;&lt;/authors&gt;&lt;/contributors&gt;&lt;titles&gt;&lt;title&gt;Peer influence on snacking behavior in adolescence&lt;/title&gt;&lt;secondary-title&gt;Appetite&lt;/secondary-title&gt;&lt;/titles&gt;&lt;periodical&gt;&lt;full-title&gt;Appetite&lt;/full-title&gt;&lt;/periodical&gt;&lt;pages&gt;11-17&lt;/pages&gt;&lt;volume&gt;55&lt;/volume&gt;&lt;number&gt;1&lt;/number&gt;&lt;dates&gt;&lt;year&gt;2010&lt;/year&gt;&lt;/dates&gt;&lt;isbn&gt;0195-6663&lt;/isbn&gt;&lt;urls&gt;&lt;/urls&gt;&lt;/record&gt;&lt;/Cite&gt;&lt;/EndNote&gt;</w:instrText>
      </w:r>
      <w:r w:rsidR="00E22246" w:rsidRPr="001736B5">
        <w:rPr>
          <w:rFonts w:ascii="Arial" w:hAnsi="Arial" w:cs="Arial"/>
          <w:szCs w:val="22"/>
        </w:rPr>
        <w:fldChar w:fldCharType="separate"/>
      </w:r>
      <w:r w:rsidR="00E22246" w:rsidRPr="001736B5">
        <w:rPr>
          <w:rFonts w:ascii="Arial" w:hAnsi="Arial" w:cs="Arial"/>
          <w:noProof/>
          <w:szCs w:val="22"/>
        </w:rPr>
        <w:t>(Wouters et al., 2010)</w:t>
      </w:r>
      <w:r w:rsidR="00E22246" w:rsidRPr="001736B5">
        <w:rPr>
          <w:rFonts w:ascii="Arial" w:hAnsi="Arial" w:cs="Arial"/>
          <w:szCs w:val="22"/>
        </w:rPr>
        <w:fldChar w:fldCharType="end"/>
      </w:r>
      <w:r w:rsidR="00E22246" w:rsidRPr="001736B5">
        <w:rPr>
          <w:rFonts w:ascii="Arial" w:hAnsi="Arial" w:cs="Arial"/>
          <w:szCs w:val="22"/>
        </w:rPr>
        <w:t xml:space="preserve">. </w:t>
      </w:r>
      <w:r w:rsidR="0035112D" w:rsidRPr="001736B5">
        <w:rPr>
          <w:rFonts w:ascii="Arial" w:hAnsi="Arial" w:cs="Arial"/>
          <w:szCs w:val="22"/>
        </w:rPr>
        <w:t xml:space="preserve">This was in line with </w:t>
      </w:r>
      <w:r w:rsidR="0035112D" w:rsidRPr="001736B5">
        <w:rPr>
          <w:rFonts w:ascii="Arial" w:hAnsi="Arial" w:cs="Arial"/>
          <w:szCs w:val="22"/>
        </w:rPr>
        <w:fldChar w:fldCharType="begin"/>
      </w:r>
      <w:r w:rsidR="00FF3CC1">
        <w:rPr>
          <w:rFonts w:ascii="Arial" w:hAnsi="Arial" w:cs="Arial"/>
          <w:szCs w:val="22"/>
        </w:rPr>
        <w:instrText xml:space="preserve"> ADDIN EN.CITE &lt;EndNote&gt;&lt;Cite AuthorYear="1"&gt;&lt;Author&gt;Mesch&lt;/Author&gt;&lt;Year&gt;2025&lt;/Year&gt;&lt;RecNum&gt;225&lt;/RecNum&gt;&lt;DisplayText&gt;Mesch et al. (2025)&lt;/DisplayText&gt;&lt;record&gt;&lt;rec-number&gt;225&lt;/rec-number&gt;&lt;foreign-keys&gt;&lt;key app="EN" db-id="0s9eefvfzs9pwhew92s5eaw2rzs0frxxdvdz" timestamp="1765883951"&gt;225&lt;/key&gt;&lt;/foreign-keys&gt;&lt;ref-type name="Journal Article"&gt;17&lt;/ref-type&gt;&lt;contributors&gt;&lt;authors&gt;&lt;author&gt;Mesch, Anouk&lt;/author&gt;&lt;author&gt;Hoefnagels, Femke&lt;/author&gt;&lt;author&gt;Gulikers, Judith&lt;/author&gt;&lt;author&gt;Wesselink, Renate&lt;/author&gt;&lt;author&gt;Winkens, Laura HH&lt;/author&gt;&lt;author&gt;Raghoebar, Sanne&lt;/author&gt;&lt;author&gt;Haveman-Nies, Annemien&lt;/author&gt;&lt;/authors&gt;&lt;/contributors&gt;&lt;titles&gt;&lt;title&gt;The food environment through the eyes of adolescents: exploring socioecological factors and opportunities for healthy and sustainable food choices&lt;/title&gt;&lt;secondary-title&gt;BMC Public Health&lt;/secondary-title&gt;&lt;/titles&gt;&lt;periodical&gt;&lt;full-title&gt;BMC Public Health&lt;/full-title&gt;&lt;/periodical&gt;&lt;pages&gt;2177&lt;/pages&gt;&lt;volume&gt;25&lt;/volume&gt;&lt;number&gt;1&lt;/number&gt;&lt;dates&gt;&lt;year&gt;2025&lt;/year&gt;&lt;/dates&gt;&lt;isbn&gt;1471-2458&lt;/isbn&gt;&lt;urls&gt;&lt;/urls&gt;&lt;/record&gt;&lt;/Cite&gt;&lt;/EndNote&gt;</w:instrText>
      </w:r>
      <w:r w:rsidR="0035112D" w:rsidRPr="001736B5">
        <w:rPr>
          <w:rFonts w:ascii="Arial" w:hAnsi="Arial" w:cs="Arial"/>
          <w:szCs w:val="22"/>
        </w:rPr>
        <w:fldChar w:fldCharType="separate"/>
      </w:r>
      <w:r w:rsidR="0035112D" w:rsidRPr="001736B5">
        <w:rPr>
          <w:rFonts w:ascii="Arial" w:hAnsi="Arial" w:cs="Arial"/>
          <w:noProof/>
          <w:szCs w:val="22"/>
        </w:rPr>
        <w:t>Mesch et al. (2025)</w:t>
      </w:r>
      <w:r w:rsidR="0035112D" w:rsidRPr="001736B5">
        <w:rPr>
          <w:rFonts w:ascii="Arial" w:hAnsi="Arial" w:cs="Arial"/>
          <w:szCs w:val="22"/>
        </w:rPr>
        <w:fldChar w:fldCharType="end"/>
      </w:r>
      <w:r w:rsidR="0035112D" w:rsidRPr="001736B5">
        <w:rPr>
          <w:rFonts w:ascii="Arial" w:hAnsi="Arial" w:cs="Arial"/>
          <w:szCs w:val="22"/>
        </w:rPr>
        <w:t xml:space="preserve"> who revealed that the appealing nature of canteen foods attracts the students to adopt a poor feeding practice. Therefore, there is a multiplicity of factors that shape the student' choices of their food at their canteens. However, what remains unclear is that factors such as habitual food preference and food familiarity have not been extensively explored. </w:t>
      </w:r>
    </w:p>
    <w:p w14:paraId="37C3E045" w14:textId="77777777" w:rsidR="003B3E94" w:rsidRDefault="003B3E94" w:rsidP="00B9375A">
      <w:pPr>
        <w:spacing w:before="100" w:beforeAutospacing="1" w:after="100" w:afterAutospacing="1" w:line="360" w:lineRule="auto"/>
        <w:rPr>
          <w:rFonts w:ascii="Arial" w:hAnsi="Arial" w:cs="Arial"/>
          <w:szCs w:val="22"/>
        </w:rPr>
      </w:pPr>
    </w:p>
    <w:p w14:paraId="672F19BD" w14:textId="77777777" w:rsidR="003B3E94" w:rsidRPr="001736B5" w:rsidRDefault="003B3E94" w:rsidP="00B9375A">
      <w:pPr>
        <w:spacing w:before="100" w:beforeAutospacing="1" w:after="100" w:afterAutospacing="1" w:line="360" w:lineRule="auto"/>
        <w:rPr>
          <w:rFonts w:ascii="Arial" w:hAnsi="Arial" w:cs="Arial"/>
          <w:szCs w:val="22"/>
        </w:rPr>
      </w:pPr>
    </w:p>
    <w:p w14:paraId="087222ED" w14:textId="33EE7A74" w:rsidR="00A166A7" w:rsidRPr="003A4D48" w:rsidRDefault="00A166A7" w:rsidP="003A4D48">
      <w:pPr>
        <w:pStyle w:val="ListParagraph"/>
        <w:numPr>
          <w:ilvl w:val="0"/>
          <w:numId w:val="2"/>
        </w:numPr>
        <w:spacing w:after="0" w:line="360" w:lineRule="auto"/>
        <w:rPr>
          <w:rFonts w:ascii="Arial" w:hAnsi="Arial" w:cs="Arial"/>
          <w:b/>
          <w:bCs/>
          <w:szCs w:val="22"/>
        </w:rPr>
      </w:pPr>
      <w:r w:rsidRPr="003A4D48">
        <w:rPr>
          <w:rFonts w:ascii="Arial" w:hAnsi="Arial" w:cs="Arial"/>
          <w:b/>
          <w:bCs/>
          <w:szCs w:val="22"/>
        </w:rPr>
        <w:lastRenderedPageBreak/>
        <w:t>Method</w:t>
      </w:r>
      <w:r w:rsidR="00C221F5" w:rsidRPr="003A4D48">
        <w:rPr>
          <w:rFonts w:ascii="Arial" w:hAnsi="Arial" w:cs="Arial"/>
          <w:b/>
          <w:bCs/>
          <w:szCs w:val="22"/>
        </w:rPr>
        <w:t>ology</w:t>
      </w:r>
    </w:p>
    <w:p w14:paraId="5772BDE0" w14:textId="4BA17A47"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2.1 </w:t>
      </w:r>
      <w:r w:rsidR="00FC564B" w:rsidRPr="001736B5">
        <w:rPr>
          <w:rFonts w:ascii="Arial" w:hAnsi="Arial" w:cs="Arial"/>
          <w:b/>
          <w:bCs/>
          <w:szCs w:val="22"/>
        </w:rPr>
        <w:t>Introduction</w:t>
      </w:r>
    </w:p>
    <w:p w14:paraId="67EB2718" w14:textId="5073CBC1" w:rsidR="00FC564B" w:rsidRPr="001736B5" w:rsidRDefault="00FC564B" w:rsidP="00AB77E2">
      <w:pPr>
        <w:spacing w:after="0" w:line="360" w:lineRule="auto"/>
        <w:rPr>
          <w:rFonts w:ascii="Arial" w:hAnsi="Arial" w:cs="Arial"/>
          <w:szCs w:val="22"/>
        </w:rPr>
      </w:pPr>
      <w:r w:rsidRPr="001736B5">
        <w:rPr>
          <w:rFonts w:ascii="Arial" w:hAnsi="Arial" w:cs="Arial"/>
          <w:szCs w:val="22"/>
        </w:rPr>
        <w:t xml:space="preserve">This </w:t>
      </w:r>
      <w:r w:rsidR="004151B7" w:rsidRPr="001736B5">
        <w:rPr>
          <w:rFonts w:ascii="Arial" w:hAnsi="Arial" w:cs="Arial"/>
          <w:szCs w:val="22"/>
        </w:rPr>
        <w:t>part of the paper provides</w:t>
      </w:r>
      <w:r w:rsidRPr="001736B5">
        <w:rPr>
          <w:rFonts w:ascii="Arial" w:hAnsi="Arial" w:cs="Arial"/>
          <w:szCs w:val="22"/>
        </w:rPr>
        <w:t xml:space="preserve"> the methods used. It comprises the study design, the study population, the sample size, the data collection methods, the data analysis techniques, and the ethical considerations as follows. </w:t>
      </w:r>
    </w:p>
    <w:p w14:paraId="4347B310" w14:textId="4C7600B2"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2.2 </w:t>
      </w:r>
      <w:r w:rsidR="00FC564B" w:rsidRPr="001736B5">
        <w:rPr>
          <w:rFonts w:ascii="Arial" w:hAnsi="Arial" w:cs="Arial"/>
          <w:b/>
          <w:bCs/>
          <w:szCs w:val="22"/>
        </w:rPr>
        <w:t>Study Design</w:t>
      </w:r>
    </w:p>
    <w:p w14:paraId="30AD4381" w14:textId="333C9300" w:rsidR="00FC564B" w:rsidRPr="001736B5" w:rsidRDefault="00FC564B" w:rsidP="00AB77E2">
      <w:pPr>
        <w:spacing w:after="0" w:line="360" w:lineRule="auto"/>
        <w:rPr>
          <w:rFonts w:ascii="Arial" w:hAnsi="Arial" w:cs="Arial"/>
          <w:szCs w:val="22"/>
        </w:rPr>
      </w:pPr>
      <w:r w:rsidRPr="001736B5">
        <w:rPr>
          <w:rFonts w:ascii="Arial" w:hAnsi="Arial" w:cs="Arial"/>
          <w:szCs w:val="22"/>
        </w:rPr>
        <w:t xml:space="preserve">An </w:t>
      </w:r>
      <w:r w:rsidR="004151B7" w:rsidRPr="001736B5">
        <w:rPr>
          <w:rFonts w:ascii="Arial" w:hAnsi="Arial" w:cs="Arial"/>
          <w:szCs w:val="22"/>
        </w:rPr>
        <w:t>observational study</w:t>
      </w:r>
      <w:r w:rsidRPr="001736B5">
        <w:rPr>
          <w:rFonts w:ascii="Arial" w:hAnsi="Arial" w:cs="Arial"/>
          <w:szCs w:val="22"/>
        </w:rPr>
        <w:t xml:space="preserve"> design was utilized. It involved collecting data, analyzing it, and writing the results based on the stated study hypotheses. Particularly, </w:t>
      </w:r>
      <w:r w:rsidR="004151B7" w:rsidRPr="001736B5">
        <w:rPr>
          <w:rFonts w:ascii="Arial" w:hAnsi="Arial" w:cs="Arial"/>
          <w:szCs w:val="22"/>
        </w:rPr>
        <w:t>a cross</w:t>
      </w:r>
      <w:r w:rsidRPr="001736B5">
        <w:rPr>
          <w:rFonts w:ascii="Arial" w:hAnsi="Arial" w:cs="Arial"/>
          <w:szCs w:val="22"/>
        </w:rPr>
        <w:t xml:space="preserve">-sectional study design was employed. This involved collecting a snapshot of information from both the exposures and the outcomes that have already occurred, without making follow-ups. </w:t>
      </w:r>
    </w:p>
    <w:p w14:paraId="02038BC7" w14:textId="1AE1E502"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2.3 </w:t>
      </w:r>
      <w:r w:rsidR="00FC564B" w:rsidRPr="001736B5">
        <w:rPr>
          <w:rFonts w:ascii="Arial" w:hAnsi="Arial" w:cs="Arial"/>
          <w:b/>
          <w:bCs/>
          <w:szCs w:val="22"/>
        </w:rPr>
        <w:t>Study Population</w:t>
      </w:r>
    </w:p>
    <w:p w14:paraId="5D15F196" w14:textId="4A724D76" w:rsidR="00FC564B" w:rsidRDefault="00AD66A7" w:rsidP="00AB77E2">
      <w:pPr>
        <w:spacing w:after="0" w:line="360" w:lineRule="auto"/>
        <w:rPr>
          <w:rFonts w:ascii="Arial" w:hAnsi="Arial" w:cs="Arial"/>
          <w:szCs w:val="22"/>
        </w:rPr>
      </w:pPr>
      <w:r w:rsidRPr="001736B5">
        <w:rPr>
          <w:rFonts w:ascii="Arial" w:hAnsi="Arial" w:cs="Arial"/>
          <w:szCs w:val="22"/>
        </w:rPr>
        <w:t xml:space="preserve">A </w:t>
      </w:r>
      <w:r w:rsidR="00FC564B" w:rsidRPr="001736B5">
        <w:rPr>
          <w:rFonts w:ascii="Arial" w:hAnsi="Arial" w:cs="Arial"/>
          <w:szCs w:val="22"/>
        </w:rPr>
        <w:t>population of 4900 adolescents</w:t>
      </w:r>
      <w:r>
        <w:rPr>
          <w:rFonts w:ascii="Arial" w:hAnsi="Arial" w:cs="Arial"/>
          <w:szCs w:val="22"/>
        </w:rPr>
        <w:t xml:space="preserve"> aged 10-19 years in senior one, two and three,</w:t>
      </w:r>
      <w:r w:rsidR="00FC564B" w:rsidRPr="001736B5">
        <w:rPr>
          <w:rFonts w:ascii="Arial" w:hAnsi="Arial" w:cs="Arial"/>
          <w:szCs w:val="22"/>
        </w:rPr>
        <w:t xml:space="preserve"> </w:t>
      </w:r>
      <w:r>
        <w:rPr>
          <w:rFonts w:ascii="Arial" w:hAnsi="Arial" w:cs="Arial"/>
          <w:szCs w:val="22"/>
        </w:rPr>
        <w:t xml:space="preserve">attending different </w:t>
      </w:r>
      <w:r w:rsidR="00FC564B" w:rsidRPr="001736B5">
        <w:rPr>
          <w:rFonts w:ascii="Arial" w:hAnsi="Arial" w:cs="Arial"/>
          <w:szCs w:val="22"/>
        </w:rPr>
        <w:t>government-owned or government-aided secondary schools in Nansana Municipality, Wakiso District, Uganda</w:t>
      </w:r>
      <w:r>
        <w:rPr>
          <w:rFonts w:ascii="Arial" w:hAnsi="Arial" w:cs="Arial"/>
          <w:szCs w:val="22"/>
        </w:rPr>
        <w:t xml:space="preserve"> was considered</w:t>
      </w:r>
      <w:r w:rsidR="00FC564B" w:rsidRPr="001736B5">
        <w:rPr>
          <w:rFonts w:ascii="Arial" w:hAnsi="Arial" w:cs="Arial"/>
          <w:szCs w:val="22"/>
        </w:rPr>
        <w:t xml:space="preserve">. </w:t>
      </w:r>
    </w:p>
    <w:p w14:paraId="2DE1EC59" w14:textId="0945900E"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2.4 </w:t>
      </w:r>
      <w:r w:rsidR="00FC564B" w:rsidRPr="001736B5">
        <w:rPr>
          <w:rFonts w:ascii="Arial" w:hAnsi="Arial" w:cs="Arial"/>
          <w:b/>
          <w:bCs/>
          <w:szCs w:val="22"/>
        </w:rPr>
        <w:t>Sample size</w:t>
      </w:r>
    </w:p>
    <w:p w14:paraId="40D0FF89" w14:textId="1F56A859" w:rsidR="00FC564B" w:rsidRPr="001736B5" w:rsidRDefault="00FC564B" w:rsidP="00AB77E2">
      <w:pPr>
        <w:spacing w:after="0" w:line="360" w:lineRule="auto"/>
        <w:rPr>
          <w:rFonts w:ascii="Arial" w:hAnsi="Arial" w:cs="Arial"/>
          <w:szCs w:val="22"/>
          <w:lang w:eastAsia="en-US"/>
        </w:rPr>
      </w:pPr>
      <w:r w:rsidRPr="001736B5">
        <w:rPr>
          <w:rFonts w:ascii="Arial" w:hAnsi="Arial" w:cs="Arial"/>
          <w:szCs w:val="22"/>
          <w:lang w:eastAsia="en-US"/>
        </w:rPr>
        <w:t>The Taro Yamane formula (1967) was employed to compute the sample size from a population of 4</w:t>
      </w:r>
      <w:r w:rsidR="002337CB">
        <w:rPr>
          <w:rFonts w:ascii="Arial" w:hAnsi="Arial" w:cs="Arial"/>
          <w:szCs w:val="22"/>
          <w:lang w:eastAsia="en-US"/>
        </w:rPr>
        <w:t>90</w:t>
      </w:r>
      <w:r w:rsidRPr="001736B5">
        <w:rPr>
          <w:rFonts w:ascii="Arial" w:hAnsi="Arial" w:cs="Arial"/>
          <w:szCs w:val="22"/>
          <w:lang w:eastAsia="en-US"/>
        </w:rPr>
        <w:t xml:space="preserve">0, using the margin of error of 2.54% as seen in </w:t>
      </w:r>
      <w:r w:rsidRPr="001736B5">
        <w:rPr>
          <w:rFonts w:ascii="Arial" w:hAnsi="Arial" w:cs="Arial"/>
          <w:szCs w:val="22"/>
          <w:lang w:eastAsia="en-US"/>
        </w:rPr>
        <w:fldChar w:fldCharType="begin"/>
      </w:r>
      <w:r w:rsidRPr="001736B5">
        <w:rPr>
          <w:rFonts w:ascii="Arial" w:hAnsi="Arial" w:cs="Arial"/>
          <w:szCs w:val="22"/>
          <w:lang w:eastAsia="en-US"/>
        </w:rPr>
        <w:instrText xml:space="preserve"> REF _Ref213859759 \h  \* MERGEFORMAT </w:instrText>
      </w:r>
      <w:r w:rsidRPr="001736B5">
        <w:rPr>
          <w:rFonts w:ascii="Arial" w:hAnsi="Arial" w:cs="Arial"/>
          <w:szCs w:val="22"/>
          <w:lang w:eastAsia="en-US"/>
        </w:rPr>
      </w:r>
      <w:r w:rsidRPr="001736B5">
        <w:rPr>
          <w:rFonts w:ascii="Arial" w:hAnsi="Arial" w:cs="Arial"/>
          <w:szCs w:val="22"/>
          <w:lang w:eastAsia="en-US"/>
        </w:rPr>
        <w:fldChar w:fldCharType="separate"/>
      </w:r>
      <w:r w:rsidRPr="001736B5">
        <w:rPr>
          <w:rFonts w:ascii="Arial" w:hAnsi="Arial" w:cs="Arial"/>
          <w:szCs w:val="22"/>
          <w:lang w:eastAsia="en-US"/>
        </w:rPr>
        <w:t>Equation 1</w:t>
      </w:r>
      <w:r w:rsidRPr="001736B5">
        <w:rPr>
          <w:rFonts w:ascii="Arial" w:hAnsi="Arial" w:cs="Arial"/>
          <w:szCs w:val="22"/>
          <w:lang w:eastAsia="en-US"/>
        </w:rPr>
        <w:fldChar w:fldCharType="end"/>
      </w:r>
      <w:r w:rsidRPr="001736B5">
        <w:rPr>
          <w:rFonts w:ascii="Arial" w:hAnsi="Arial" w:cs="Arial"/>
          <w:szCs w:val="22"/>
          <w:lang w:eastAsia="en-US"/>
        </w:rPr>
        <w:t xml:space="preserve">. This approach, as emphasized in a study by </w:t>
      </w:r>
      <w:r w:rsidRPr="001736B5">
        <w:rPr>
          <w:rFonts w:ascii="Arial" w:hAnsi="Arial" w:cs="Arial"/>
          <w:szCs w:val="22"/>
          <w:lang w:eastAsia="en-US"/>
        </w:rPr>
        <w:fldChar w:fldCharType="begin"/>
      </w:r>
      <w:r w:rsidRPr="001736B5">
        <w:rPr>
          <w:rFonts w:ascii="Arial" w:hAnsi="Arial" w:cs="Arial"/>
          <w:szCs w:val="22"/>
          <w:lang w:eastAsia="en-US"/>
        </w:rPr>
        <w:instrText xml:space="preserve"> ADDIN EN.CITE &lt;EndNote&gt;&lt;Cite AuthorYear="1"&gt;&lt;Author&gt;Chaokromthong&lt;/Author&gt;&lt;Year&gt;2021&lt;/Year&gt;&lt;RecNum&gt;4&lt;/RecNum&gt;&lt;DisplayText&gt;Chaokromthong and Sintao (2021)&lt;/DisplayText&gt;&lt;record&gt;&lt;rec-number&gt;4&lt;/rec-number&gt;&lt;foreign-keys&gt;&lt;key app="EN" db-id="tfdfz0fdktrfwlefza75sszez09fs9ftd5dd" timestamp="1762956232"&gt;4&lt;/key&gt;&lt;/foreign-keys&gt;&lt;ref-type name="Journal Article"&gt;17&lt;/ref-type&gt;&lt;contributors&gt;&lt;authors&gt;&lt;author&gt;Chaokromthong, Kajohnsak&lt;/author&gt;&lt;author&gt;Sintao, Nittaya&lt;/author&gt;&lt;/authors&gt;&lt;/contributors&gt;&lt;titles&gt;&lt;title&gt;Sample size estimation using Yamane and Cochran and Krejcie and Morgan and green formulas and Cohen statistical power analysis by G* Power and comparisions&lt;/title&gt;&lt;secondary-title&gt;Apheit international journal of interdisciplinary social sciences and technology&lt;/secondary-title&gt;&lt;/titles&gt;&lt;periodical&gt;&lt;full-title&gt;Apheit international journal of interdisciplinary social sciences and technology&lt;/full-title&gt;&lt;/periodical&gt;&lt;pages&gt;76-86&lt;/pages&gt;&lt;volume&gt;10&lt;/volume&gt;&lt;number&gt;2&lt;/number&gt;&lt;dates&gt;&lt;year&gt;2021&lt;/year&gt;&lt;/dates&gt;&lt;isbn&gt;3056-977X&lt;/isbn&gt;&lt;urls&gt;&lt;/urls&gt;&lt;/record&gt;&lt;/Cite&gt;&lt;/EndNote&gt;</w:instrText>
      </w:r>
      <w:r w:rsidRPr="001736B5">
        <w:rPr>
          <w:rFonts w:ascii="Arial" w:hAnsi="Arial" w:cs="Arial"/>
          <w:szCs w:val="22"/>
          <w:lang w:eastAsia="en-US"/>
        </w:rPr>
        <w:fldChar w:fldCharType="separate"/>
      </w:r>
      <w:r w:rsidRPr="001736B5">
        <w:rPr>
          <w:rFonts w:ascii="Arial" w:hAnsi="Arial" w:cs="Arial"/>
          <w:szCs w:val="22"/>
          <w:lang w:eastAsia="en-US"/>
        </w:rPr>
        <w:t>Chaokromthong and Sintao (2021)</w:t>
      </w:r>
      <w:r w:rsidRPr="001736B5">
        <w:rPr>
          <w:rFonts w:ascii="Arial" w:hAnsi="Arial" w:cs="Arial"/>
          <w:szCs w:val="22"/>
          <w:lang w:eastAsia="en-US"/>
        </w:rPr>
        <w:fldChar w:fldCharType="end"/>
      </w:r>
      <w:r w:rsidRPr="001736B5">
        <w:rPr>
          <w:rFonts w:ascii="Arial" w:hAnsi="Arial" w:cs="Arial"/>
          <w:szCs w:val="22"/>
          <w:lang w:eastAsia="en-US"/>
        </w:rPr>
        <w:t xml:space="preserve"> provides an appropriate way of estimating the sample size when the finite population is known with a certain level of precision. </w:t>
      </w:r>
    </w:p>
    <w:p w14:paraId="2CE7FD91" w14:textId="77777777" w:rsidR="00FC564B" w:rsidRPr="001736B5" w:rsidRDefault="00FC564B" w:rsidP="00AB77E2">
      <w:pPr>
        <w:spacing w:after="0" w:line="360" w:lineRule="auto"/>
        <w:rPr>
          <w:rFonts w:ascii="Arial" w:hAnsi="Arial" w:cs="Arial"/>
          <w:i/>
          <w:iCs/>
          <w:szCs w:val="22"/>
          <w:lang w:eastAsia="en-US"/>
        </w:rPr>
      </w:pPr>
      <w:bookmarkStart w:id="0" w:name="_Ref213859759"/>
      <w:r w:rsidRPr="001736B5">
        <w:rPr>
          <w:rFonts w:ascii="Arial" w:hAnsi="Arial" w:cs="Arial"/>
          <w:i/>
          <w:iCs/>
          <w:szCs w:val="22"/>
          <w:lang w:eastAsia="en-US"/>
        </w:rPr>
        <w:t xml:space="preserve">Equation </w:t>
      </w:r>
      <w:r w:rsidRPr="001736B5">
        <w:rPr>
          <w:rFonts w:ascii="Arial" w:hAnsi="Arial" w:cs="Arial"/>
          <w:i/>
          <w:iCs/>
          <w:szCs w:val="22"/>
          <w:lang w:eastAsia="en-US"/>
        </w:rPr>
        <w:fldChar w:fldCharType="begin"/>
      </w:r>
      <w:r w:rsidRPr="001736B5">
        <w:rPr>
          <w:rFonts w:ascii="Arial" w:hAnsi="Arial" w:cs="Arial"/>
          <w:i/>
          <w:iCs/>
          <w:szCs w:val="22"/>
          <w:lang w:eastAsia="en-US"/>
        </w:rPr>
        <w:instrText xml:space="preserve"> SEQ Equation \* ARABIC </w:instrText>
      </w:r>
      <w:r w:rsidRPr="001736B5">
        <w:rPr>
          <w:rFonts w:ascii="Arial" w:hAnsi="Arial" w:cs="Arial"/>
          <w:i/>
          <w:iCs/>
          <w:szCs w:val="22"/>
          <w:lang w:eastAsia="en-US"/>
        </w:rPr>
        <w:fldChar w:fldCharType="separate"/>
      </w:r>
      <w:r w:rsidRPr="001736B5">
        <w:rPr>
          <w:rFonts w:ascii="Arial" w:hAnsi="Arial" w:cs="Arial"/>
          <w:i/>
          <w:iCs/>
          <w:szCs w:val="22"/>
          <w:lang w:eastAsia="en-US"/>
        </w:rPr>
        <w:t>1</w:t>
      </w:r>
      <w:r w:rsidRPr="001736B5">
        <w:rPr>
          <w:rFonts w:ascii="Arial" w:hAnsi="Arial" w:cs="Arial"/>
          <w:szCs w:val="22"/>
          <w:lang w:eastAsia="en-US"/>
        </w:rPr>
        <w:fldChar w:fldCharType="end"/>
      </w:r>
      <w:bookmarkEnd w:id="0"/>
    </w:p>
    <w:p w14:paraId="5AF77280" w14:textId="7C144467" w:rsidR="00FC564B" w:rsidRPr="001736B5" w:rsidRDefault="00FC564B" w:rsidP="00AB77E2">
      <w:pPr>
        <w:spacing w:after="0" w:line="360" w:lineRule="auto"/>
        <w:rPr>
          <w:rFonts w:ascii="Arial" w:hAnsi="Arial" w:cs="Arial"/>
          <w:i/>
          <w:iCs/>
          <w:szCs w:val="22"/>
          <w:lang w:eastAsia="en-US"/>
        </w:rPr>
      </w:pPr>
      <w:bookmarkStart w:id="1" w:name="_Ref213859670"/>
      <m:oMath>
        <m:r>
          <w:rPr>
            <w:rFonts w:ascii="Cambria Math" w:hAnsi="Cambria Math" w:cs="Arial"/>
            <w:szCs w:val="22"/>
            <w:lang w:eastAsia="en-US"/>
          </w:rPr>
          <m:t xml:space="preserve">n= </m:t>
        </m:r>
        <m:f>
          <m:fPr>
            <m:ctrlPr>
              <w:rPr>
                <w:rFonts w:ascii="Cambria Math" w:hAnsi="Cambria Math" w:cs="Arial"/>
                <w:i/>
                <w:szCs w:val="22"/>
                <w:lang w:eastAsia="en-US"/>
              </w:rPr>
            </m:ctrlPr>
          </m:fPr>
          <m:num>
            <m:r>
              <w:rPr>
                <w:rFonts w:ascii="Cambria Math" w:hAnsi="Cambria Math" w:cs="Arial"/>
                <w:szCs w:val="22"/>
                <w:lang w:eastAsia="en-US"/>
              </w:rPr>
              <m:t>N</m:t>
            </m:r>
          </m:num>
          <m:den>
            <m:r>
              <w:rPr>
                <w:rFonts w:ascii="Cambria Math" w:hAnsi="Cambria Math" w:cs="Arial"/>
                <w:szCs w:val="22"/>
                <w:lang w:eastAsia="en-US"/>
              </w:rPr>
              <m:t xml:space="preserve">1+N </m:t>
            </m:r>
            <m:sSup>
              <m:sSupPr>
                <m:ctrlPr>
                  <w:rPr>
                    <w:rFonts w:ascii="Cambria Math" w:hAnsi="Cambria Math" w:cs="Arial"/>
                    <w:i/>
                    <w:szCs w:val="22"/>
                    <w:lang w:eastAsia="en-US"/>
                  </w:rPr>
                </m:ctrlPr>
              </m:sSupPr>
              <m:e>
                <m:r>
                  <w:rPr>
                    <w:rFonts w:ascii="Cambria Math" w:hAnsi="Cambria Math" w:cs="Arial"/>
                    <w:szCs w:val="22"/>
                    <w:lang w:eastAsia="en-US"/>
                  </w:rPr>
                  <m:t>(e)</m:t>
                </m:r>
              </m:e>
              <m:sup>
                <m:r>
                  <w:rPr>
                    <w:rFonts w:ascii="Cambria Math" w:hAnsi="Cambria Math" w:cs="Arial"/>
                    <w:szCs w:val="22"/>
                    <w:lang w:eastAsia="en-US"/>
                  </w:rPr>
                  <m:t>2</m:t>
                </m:r>
              </m:sup>
            </m:sSup>
          </m:den>
        </m:f>
        <m:r>
          <w:rPr>
            <w:rFonts w:ascii="Cambria Math" w:hAnsi="Cambria Math" w:cs="Arial"/>
            <w:szCs w:val="22"/>
            <w:lang w:eastAsia="en-US"/>
          </w:rPr>
          <m:t xml:space="preserve">                                                                                                                                                 </m:t>
        </m:r>
      </m:oMath>
      <w:r w:rsidRPr="001736B5">
        <w:rPr>
          <w:rFonts w:ascii="Arial" w:hAnsi="Arial" w:cs="Arial"/>
          <w:i/>
          <w:iCs/>
          <w:szCs w:val="22"/>
          <w:lang w:eastAsia="en-US"/>
        </w:rPr>
        <w:t xml:space="preserve">  </w:t>
      </w:r>
      <w:bookmarkEnd w:id="1"/>
    </w:p>
    <w:p w14:paraId="61F075A2" w14:textId="77777777" w:rsidR="00FC564B" w:rsidRPr="001736B5" w:rsidRDefault="00FC564B" w:rsidP="00AB77E2">
      <w:pPr>
        <w:spacing w:after="0" w:line="360" w:lineRule="auto"/>
        <w:rPr>
          <w:rFonts w:ascii="Arial" w:hAnsi="Arial" w:cs="Arial"/>
          <w:szCs w:val="22"/>
          <w:lang w:eastAsia="en-US"/>
        </w:rPr>
      </w:pPr>
      <w:r w:rsidRPr="001736B5">
        <w:rPr>
          <w:rFonts w:ascii="Arial" w:hAnsi="Arial" w:cs="Arial"/>
          <w:szCs w:val="22"/>
          <w:lang w:eastAsia="en-US"/>
        </w:rPr>
        <w:t>Whereby, n = desired sample size, N = finite population, and e = margin of error. Substituting the figures above into the equation yields the following</w:t>
      </w:r>
    </w:p>
    <w:p w14:paraId="60DDBF96" w14:textId="001EC55E" w:rsidR="00FC564B" w:rsidRPr="001736B5" w:rsidRDefault="00EC7A6C" w:rsidP="00AB77E2">
      <w:pPr>
        <w:spacing w:after="0" w:line="360" w:lineRule="auto"/>
        <w:rPr>
          <w:rFonts w:ascii="Arial" w:hAnsi="Arial" w:cs="Arial"/>
          <w:szCs w:val="22"/>
          <w:lang w:eastAsia="en-US"/>
        </w:rPr>
      </w:pPr>
      <m:oMath>
        <m:f>
          <m:fPr>
            <m:ctrlPr>
              <w:rPr>
                <w:rFonts w:ascii="Cambria Math" w:hAnsi="Cambria Math" w:cs="Arial"/>
                <w:i/>
                <w:szCs w:val="22"/>
                <w:lang w:eastAsia="en-US"/>
              </w:rPr>
            </m:ctrlPr>
          </m:fPr>
          <m:num>
            <m:r>
              <w:rPr>
                <w:rFonts w:ascii="Cambria Math" w:hAnsi="Cambria Math" w:cs="Arial"/>
                <w:szCs w:val="22"/>
                <w:lang w:eastAsia="en-US"/>
              </w:rPr>
              <m:t>4900</m:t>
            </m:r>
          </m:num>
          <m:den>
            <m:r>
              <w:rPr>
                <w:rFonts w:ascii="Cambria Math" w:hAnsi="Cambria Math" w:cs="Arial"/>
                <w:szCs w:val="22"/>
                <w:lang w:eastAsia="en-US"/>
              </w:rPr>
              <m:t>1+4900</m:t>
            </m:r>
            <m:sSup>
              <m:sSupPr>
                <m:ctrlPr>
                  <w:rPr>
                    <w:rFonts w:ascii="Cambria Math" w:hAnsi="Cambria Math" w:cs="Arial"/>
                    <w:i/>
                    <w:szCs w:val="22"/>
                    <w:lang w:eastAsia="en-US"/>
                  </w:rPr>
                </m:ctrlPr>
              </m:sSupPr>
              <m:e>
                <m:r>
                  <w:rPr>
                    <w:rFonts w:ascii="Cambria Math" w:hAnsi="Cambria Math" w:cs="Arial"/>
                    <w:szCs w:val="22"/>
                    <w:lang w:eastAsia="en-US"/>
                  </w:rPr>
                  <m:t>(0.0254)</m:t>
                </m:r>
              </m:e>
              <m:sup>
                <m:r>
                  <w:rPr>
                    <w:rFonts w:ascii="Cambria Math" w:hAnsi="Cambria Math" w:cs="Arial"/>
                    <w:szCs w:val="22"/>
                    <w:lang w:eastAsia="en-US"/>
                  </w:rPr>
                  <m:t>2</m:t>
                </m:r>
              </m:sup>
            </m:sSup>
          </m:den>
        </m:f>
      </m:oMath>
      <w:r w:rsidR="00FC564B" w:rsidRPr="001736B5">
        <w:rPr>
          <w:rFonts w:ascii="Arial" w:hAnsi="Arial" w:cs="Arial"/>
          <w:szCs w:val="22"/>
          <w:lang w:eastAsia="en-US"/>
        </w:rPr>
        <w:t xml:space="preserve"> = 117</w:t>
      </w:r>
      <w:r w:rsidR="002337CB">
        <w:rPr>
          <w:rFonts w:ascii="Arial" w:hAnsi="Arial" w:cs="Arial"/>
          <w:szCs w:val="22"/>
          <w:lang w:eastAsia="en-US"/>
        </w:rPr>
        <w:t>8</w:t>
      </w:r>
      <w:r w:rsidR="00FC564B" w:rsidRPr="001736B5">
        <w:rPr>
          <w:rFonts w:ascii="Arial" w:hAnsi="Arial" w:cs="Arial"/>
          <w:szCs w:val="22"/>
          <w:lang w:eastAsia="en-US"/>
        </w:rPr>
        <w:t xml:space="preserve">  </w:t>
      </w:r>
    </w:p>
    <w:p w14:paraId="360BC15F" w14:textId="14CA6498" w:rsidR="00FC564B" w:rsidRPr="001736B5" w:rsidRDefault="00FC564B" w:rsidP="00AB77E2">
      <w:pPr>
        <w:spacing w:after="0" w:line="360" w:lineRule="auto"/>
        <w:rPr>
          <w:rFonts w:ascii="Arial" w:hAnsi="Arial" w:cs="Arial"/>
          <w:szCs w:val="22"/>
          <w:lang w:eastAsia="en-US"/>
        </w:rPr>
      </w:pPr>
      <w:r w:rsidRPr="001736B5">
        <w:rPr>
          <w:rFonts w:ascii="Arial" w:hAnsi="Arial" w:cs="Arial"/>
          <w:szCs w:val="22"/>
          <w:lang w:eastAsia="en-US"/>
        </w:rPr>
        <w:t>Therefore,</w:t>
      </w:r>
      <w:r w:rsidR="002337CB">
        <w:rPr>
          <w:rFonts w:ascii="Arial" w:hAnsi="Arial" w:cs="Arial"/>
          <w:szCs w:val="22"/>
          <w:lang w:eastAsia="en-US"/>
        </w:rPr>
        <w:t xml:space="preserve"> out of 1178 </w:t>
      </w:r>
      <w:r w:rsidR="00954D5B">
        <w:rPr>
          <w:rFonts w:ascii="Arial" w:hAnsi="Arial" w:cs="Arial"/>
          <w:szCs w:val="22"/>
          <w:lang w:eastAsia="en-US"/>
        </w:rPr>
        <w:t>school-going</w:t>
      </w:r>
      <w:r w:rsidR="002337CB">
        <w:rPr>
          <w:rFonts w:ascii="Arial" w:hAnsi="Arial" w:cs="Arial"/>
          <w:szCs w:val="22"/>
          <w:lang w:eastAsia="en-US"/>
        </w:rPr>
        <w:t xml:space="preserve"> adolescents, </w:t>
      </w:r>
      <w:r w:rsidRPr="001736B5">
        <w:rPr>
          <w:rFonts w:ascii="Arial" w:hAnsi="Arial" w:cs="Arial"/>
          <w:szCs w:val="22"/>
          <w:lang w:eastAsia="en-US"/>
        </w:rPr>
        <w:t>117</w:t>
      </w:r>
      <w:r w:rsidR="00E41680">
        <w:rPr>
          <w:rFonts w:ascii="Arial" w:hAnsi="Arial" w:cs="Arial"/>
          <w:szCs w:val="22"/>
          <w:lang w:eastAsia="en-US"/>
        </w:rPr>
        <w:t>4</w:t>
      </w:r>
      <w:r w:rsidR="002337CB">
        <w:rPr>
          <w:rFonts w:ascii="Arial" w:hAnsi="Arial" w:cs="Arial"/>
          <w:szCs w:val="22"/>
          <w:lang w:eastAsia="en-US"/>
        </w:rPr>
        <w:t xml:space="preserve"> were </w:t>
      </w:r>
      <w:r w:rsidR="00954D5B">
        <w:rPr>
          <w:rFonts w:ascii="Arial" w:hAnsi="Arial" w:cs="Arial"/>
          <w:szCs w:val="22"/>
          <w:lang w:eastAsia="en-US"/>
        </w:rPr>
        <w:t>included</w:t>
      </w:r>
      <w:r w:rsidR="002337CB">
        <w:rPr>
          <w:rFonts w:ascii="Arial" w:hAnsi="Arial" w:cs="Arial"/>
          <w:szCs w:val="22"/>
          <w:lang w:eastAsia="en-US"/>
        </w:rPr>
        <w:t xml:space="preserve"> </w:t>
      </w:r>
      <w:r w:rsidR="00954D5B">
        <w:rPr>
          <w:rFonts w:ascii="Arial" w:hAnsi="Arial" w:cs="Arial"/>
          <w:szCs w:val="22"/>
          <w:lang w:eastAsia="en-US"/>
        </w:rPr>
        <w:t>in</w:t>
      </w:r>
      <w:r w:rsidR="002337CB">
        <w:rPr>
          <w:rFonts w:ascii="Arial" w:hAnsi="Arial" w:cs="Arial"/>
          <w:szCs w:val="22"/>
          <w:lang w:eastAsia="en-US"/>
        </w:rPr>
        <w:t xml:space="preserve"> the study</w:t>
      </w:r>
      <w:r w:rsidR="00954D5B">
        <w:rPr>
          <w:rFonts w:ascii="Arial" w:hAnsi="Arial" w:cs="Arial"/>
          <w:szCs w:val="22"/>
          <w:lang w:eastAsia="en-US"/>
        </w:rPr>
        <w:t>,</w:t>
      </w:r>
      <w:r w:rsidR="002337CB">
        <w:rPr>
          <w:rFonts w:ascii="Arial" w:hAnsi="Arial" w:cs="Arial"/>
          <w:szCs w:val="22"/>
          <w:lang w:eastAsia="en-US"/>
        </w:rPr>
        <w:t xml:space="preserve"> accounting for </w:t>
      </w:r>
      <w:r w:rsidR="00954D5B">
        <w:rPr>
          <w:rFonts w:ascii="Arial" w:hAnsi="Arial" w:cs="Arial"/>
          <w:szCs w:val="22"/>
          <w:lang w:eastAsia="en-US"/>
        </w:rPr>
        <w:t xml:space="preserve">the </w:t>
      </w:r>
      <w:r w:rsidR="002337CB">
        <w:rPr>
          <w:rFonts w:ascii="Arial" w:hAnsi="Arial" w:cs="Arial"/>
          <w:szCs w:val="22"/>
          <w:lang w:eastAsia="en-US"/>
        </w:rPr>
        <w:t>non</w:t>
      </w:r>
      <w:r w:rsidR="00954D5B">
        <w:rPr>
          <w:rFonts w:ascii="Arial" w:hAnsi="Arial" w:cs="Arial"/>
          <w:szCs w:val="22"/>
          <w:lang w:eastAsia="en-US"/>
        </w:rPr>
        <w:t>-</w:t>
      </w:r>
      <w:r w:rsidR="002337CB">
        <w:rPr>
          <w:rFonts w:ascii="Arial" w:hAnsi="Arial" w:cs="Arial"/>
          <w:szCs w:val="22"/>
          <w:lang w:eastAsia="en-US"/>
        </w:rPr>
        <w:t xml:space="preserve">response of four adolescents. The desired sample size was not acquired because four </w:t>
      </w:r>
      <w:r w:rsidR="00954D5B">
        <w:rPr>
          <w:rFonts w:ascii="Arial" w:hAnsi="Arial" w:cs="Arial"/>
          <w:szCs w:val="22"/>
          <w:lang w:eastAsia="en-US"/>
        </w:rPr>
        <w:t>school-going</w:t>
      </w:r>
      <w:r w:rsidR="002337CB">
        <w:rPr>
          <w:rFonts w:ascii="Arial" w:hAnsi="Arial" w:cs="Arial"/>
          <w:szCs w:val="22"/>
          <w:lang w:eastAsia="en-US"/>
        </w:rPr>
        <w:t xml:space="preserve"> adolescents did not consent to the questionnaire.</w:t>
      </w:r>
      <w:r w:rsidRPr="001736B5">
        <w:rPr>
          <w:rFonts w:ascii="Arial" w:hAnsi="Arial" w:cs="Arial"/>
          <w:szCs w:val="22"/>
          <w:lang w:eastAsia="en-US"/>
        </w:rPr>
        <w:t xml:space="preserve"> </w:t>
      </w:r>
    </w:p>
    <w:p w14:paraId="4D639F91" w14:textId="465FF210"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2.5 </w:t>
      </w:r>
      <w:r w:rsidR="00FC564B" w:rsidRPr="001736B5">
        <w:rPr>
          <w:rFonts w:ascii="Arial" w:hAnsi="Arial" w:cs="Arial"/>
          <w:b/>
          <w:bCs/>
          <w:szCs w:val="22"/>
        </w:rPr>
        <w:t>Data Collection Methods</w:t>
      </w:r>
    </w:p>
    <w:p w14:paraId="01ED6681" w14:textId="5BD2BF31" w:rsidR="00FC564B" w:rsidRPr="001736B5" w:rsidRDefault="00FC564B" w:rsidP="00AB77E2">
      <w:pPr>
        <w:spacing w:after="0" w:line="360" w:lineRule="auto"/>
        <w:rPr>
          <w:rFonts w:ascii="Arial" w:hAnsi="Arial" w:cs="Arial"/>
          <w:szCs w:val="22"/>
        </w:rPr>
      </w:pPr>
      <w:r w:rsidRPr="001736B5">
        <w:rPr>
          <w:rFonts w:ascii="Arial" w:hAnsi="Arial" w:cs="Arial"/>
          <w:szCs w:val="22"/>
        </w:rPr>
        <w:t xml:space="preserve">Data collection was conducted using paper-based questionnaires. Data entry, sorting, cleaning, and verification were done in MS Excel, and analysis </w:t>
      </w:r>
      <w:r w:rsidR="0079053C" w:rsidRPr="001736B5">
        <w:rPr>
          <w:rFonts w:ascii="Arial" w:hAnsi="Arial" w:cs="Arial"/>
          <w:szCs w:val="22"/>
        </w:rPr>
        <w:t xml:space="preserve">was done </w:t>
      </w:r>
      <w:r w:rsidRPr="001736B5">
        <w:rPr>
          <w:rFonts w:ascii="Arial" w:hAnsi="Arial" w:cs="Arial"/>
          <w:szCs w:val="22"/>
        </w:rPr>
        <w:t xml:space="preserve">in Stata version 18. Each participant was assigned an identity number to ensure accurate tracking and avoid duplication. </w:t>
      </w:r>
      <w:r w:rsidRPr="001736B5">
        <w:rPr>
          <w:rFonts w:ascii="Arial" w:hAnsi="Arial" w:cs="Arial"/>
          <w:szCs w:val="22"/>
        </w:rPr>
        <w:lastRenderedPageBreak/>
        <w:t xml:space="preserve">The database was scrutinized for errors stemming from flawed measurements or data entry mistakes. Quantitative data were gathered using five-point Likert scale statements to facilitate analytical insights. </w:t>
      </w:r>
    </w:p>
    <w:p w14:paraId="0B821AC3" w14:textId="3BA3D9B9" w:rsidR="00FC564B" w:rsidRPr="001736B5" w:rsidRDefault="003A4D48" w:rsidP="006C6F5E">
      <w:pPr>
        <w:spacing w:before="100" w:beforeAutospacing="1" w:after="100" w:afterAutospacing="1" w:line="360" w:lineRule="auto"/>
        <w:rPr>
          <w:rFonts w:ascii="Arial" w:hAnsi="Arial" w:cs="Arial"/>
          <w:b/>
          <w:bCs/>
          <w:szCs w:val="22"/>
        </w:rPr>
      </w:pPr>
      <w:r>
        <w:rPr>
          <w:rFonts w:ascii="Arial" w:hAnsi="Arial" w:cs="Arial"/>
          <w:b/>
          <w:bCs/>
          <w:szCs w:val="22"/>
        </w:rPr>
        <w:t xml:space="preserve">2.6 </w:t>
      </w:r>
      <w:r w:rsidR="00FC564B" w:rsidRPr="001736B5">
        <w:rPr>
          <w:rFonts w:ascii="Arial" w:hAnsi="Arial" w:cs="Arial"/>
          <w:b/>
          <w:bCs/>
          <w:szCs w:val="22"/>
        </w:rPr>
        <w:t>Data Analysis Techniques</w:t>
      </w:r>
    </w:p>
    <w:p w14:paraId="36A7174F" w14:textId="379B1AF4" w:rsidR="00993F1C" w:rsidRDefault="005C3966" w:rsidP="00AB77E2">
      <w:pPr>
        <w:spacing w:after="0" w:line="360" w:lineRule="auto"/>
        <w:rPr>
          <w:rFonts w:ascii="Arial" w:hAnsi="Arial" w:cs="Arial"/>
          <w:szCs w:val="22"/>
        </w:rPr>
      </w:pPr>
      <w:r w:rsidRPr="001736B5">
        <w:rPr>
          <w:rFonts w:ascii="Arial" w:hAnsi="Arial" w:cs="Arial"/>
          <w:szCs w:val="22"/>
        </w:rPr>
        <w:t xml:space="preserve">The </w:t>
      </w:r>
      <w:r w:rsidR="00993F1C" w:rsidRPr="001736B5">
        <w:rPr>
          <w:rFonts w:ascii="Arial" w:hAnsi="Arial" w:cs="Arial"/>
          <w:szCs w:val="22"/>
        </w:rPr>
        <w:t xml:space="preserve">study performed a quantitative analysis. The outcome variable was nutrition practice, while the independent variables were factors expected to influence the students’ choice of dietary intakes. These were taste, color, bandwagon, what is available at the canteen, what is consumed at home, and what the student is used to eating at home. The study aimed to estimate the average food diet regression line, predicting the factors that influence the choice of food diet at the canteen. </w:t>
      </w:r>
      <w:r w:rsidR="006400DA" w:rsidRPr="001736B5">
        <w:rPr>
          <w:rFonts w:ascii="Arial" w:hAnsi="Arial" w:cs="Arial"/>
          <w:szCs w:val="22"/>
        </w:rPr>
        <w:t xml:space="preserve">Therefore, a multiple linear regression was performed under two key assumptions. The first assumption was the linearity of the dependent variable (nutrition diet) and the normality of the error terms (zero mean and constant variance of the error term). </w:t>
      </w:r>
    </w:p>
    <w:p w14:paraId="2D22552D" w14:textId="08CC5AF4" w:rsidR="00FC564B" w:rsidRPr="001736B5" w:rsidRDefault="003A4D48" w:rsidP="00B9375A">
      <w:pPr>
        <w:spacing w:before="100" w:beforeAutospacing="1" w:after="100" w:afterAutospacing="1" w:line="360" w:lineRule="auto"/>
        <w:rPr>
          <w:rFonts w:ascii="Arial" w:hAnsi="Arial" w:cs="Arial"/>
          <w:b/>
          <w:bCs/>
          <w:szCs w:val="22"/>
        </w:rPr>
      </w:pPr>
      <w:r>
        <w:rPr>
          <w:rFonts w:ascii="Arial" w:hAnsi="Arial" w:cs="Arial"/>
          <w:b/>
          <w:bCs/>
          <w:szCs w:val="22"/>
        </w:rPr>
        <w:t xml:space="preserve">2.7 </w:t>
      </w:r>
      <w:r w:rsidR="00FC564B" w:rsidRPr="001736B5">
        <w:rPr>
          <w:rFonts w:ascii="Arial" w:hAnsi="Arial" w:cs="Arial"/>
          <w:b/>
          <w:bCs/>
          <w:szCs w:val="22"/>
        </w:rPr>
        <w:t>Ethical consideration</w:t>
      </w:r>
    </w:p>
    <w:p w14:paraId="1E4941AA" w14:textId="41B38741" w:rsidR="00FC564B" w:rsidRPr="001736B5" w:rsidRDefault="00FC564B" w:rsidP="00AB77E2">
      <w:pPr>
        <w:spacing w:after="0" w:line="360" w:lineRule="auto"/>
        <w:rPr>
          <w:rFonts w:ascii="Arial" w:hAnsi="Arial" w:cs="Arial"/>
          <w:szCs w:val="22"/>
        </w:rPr>
      </w:pPr>
      <w:r w:rsidRPr="001736B5">
        <w:rPr>
          <w:rFonts w:ascii="Arial" w:hAnsi="Arial" w:cs="Arial"/>
          <w:szCs w:val="22"/>
        </w:rPr>
        <w:t xml:space="preserve">This study was approved by the Mildmay Uganda Research and Ethics Committee </w:t>
      </w:r>
      <w:r w:rsidR="00EF4FD6" w:rsidRPr="001736B5">
        <w:rPr>
          <w:rFonts w:ascii="Arial" w:eastAsia="Times New Roman" w:hAnsi="Arial" w:cs="Arial"/>
          <w:kern w:val="0"/>
          <w:szCs w:val="22"/>
          <w:lang w:eastAsia="en-US"/>
          <w14:ligatures w14:val="none"/>
        </w:rPr>
        <w:t>(Ref: MUREC-2025-1761)</w:t>
      </w:r>
      <w:r w:rsidR="00EF4FD6">
        <w:rPr>
          <w:rFonts w:ascii="Arial" w:eastAsia="Times New Roman" w:hAnsi="Arial" w:cs="Arial"/>
          <w:kern w:val="0"/>
          <w:szCs w:val="22"/>
          <w:lang w:eastAsia="en-US"/>
          <w14:ligatures w14:val="none"/>
        </w:rPr>
        <w:t>.</w:t>
      </w:r>
      <w:r w:rsidRPr="001736B5">
        <w:rPr>
          <w:rFonts w:ascii="Arial" w:hAnsi="Arial" w:cs="Arial"/>
          <w:szCs w:val="22"/>
        </w:rPr>
        <w:t xml:space="preserve"> The participants were briefed about the purpose of the study and assured of their voluntary participation. Those who endured were compensated for their time spent during the interviews. No registered risks occurred to the study participants whatsoever.  </w:t>
      </w:r>
    </w:p>
    <w:p w14:paraId="45A22BFA" w14:textId="6F5CEFF1" w:rsidR="00A166A7" w:rsidRPr="003A4D48" w:rsidRDefault="00A166A7" w:rsidP="003A4D48">
      <w:pPr>
        <w:pStyle w:val="ListParagraph"/>
        <w:numPr>
          <w:ilvl w:val="0"/>
          <w:numId w:val="2"/>
        </w:numPr>
        <w:spacing w:before="100" w:beforeAutospacing="1" w:after="100" w:afterAutospacing="1" w:line="360" w:lineRule="auto"/>
        <w:rPr>
          <w:rFonts w:ascii="Arial" w:hAnsi="Arial" w:cs="Arial"/>
          <w:b/>
          <w:bCs/>
          <w:szCs w:val="22"/>
        </w:rPr>
      </w:pPr>
      <w:r w:rsidRPr="003A4D48">
        <w:rPr>
          <w:rFonts w:ascii="Arial" w:hAnsi="Arial" w:cs="Arial"/>
          <w:b/>
          <w:bCs/>
          <w:szCs w:val="22"/>
        </w:rPr>
        <w:t>Results</w:t>
      </w:r>
      <w:r w:rsidR="003E0CFE">
        <w:rPr>
          <w:rFonts w:ascii="Arial" w:hAnsi="Arial" w:cs="Arial"/>
          <w:b/>
          <w:bCs/>
          <w:szCs w:val="22"/>
        </w:rPr>
        <w:t xml:space="preserve"> &amp; Discussion</w:t>
      </w:r>
    </w:p>
    <w:p w14:paraId="690FDF2E" w14:textId="3F628477" w:rsidR="00360C21" w:rsidRDefault="003A4D48" w:rsidP="00096691">
      <w:pPr>
        <w:spacing w:before="100" w:beforeAutospacing="1" w:after="100" w:afterAutospacing="1" w:line="360" w:lineRule="auto"/>
        <w:rPr>
          <w:rFonts w:ascii="Arial" w:hAnsi="Arial" w:cs="Arial"/>
          <w:b/>
          <w:bCs/>
          <w:szCs w:val="22"/>
        </w:rPr>
      </w:pPr>
      <w:r>
        <w:rPr>
          <w:rFonts w:ascii="Arial" w:hAnsi="Arial" w:cs="Arial"/>
          <w:b/>
          <w:bCs/>
          <w:szCs w:val="22"/>
        </w:rPr>
        <w:t xml:space="preserve">3.1 </w:t>
      </w:r>
      <w:r w:rsidR="00360C21" w:rsidRPr="00E77AE9">
        <w:rPr>
          <w:rFonts w:ascii="Arial" w:hAnsi="Arial" w:cs="Arial"/>
          <w:b/>
          <w:bCs/>
          <w:szCs w:val="22"/>
        </w:rPr>
        <w:t xml:space="preserve">Demographic Profile for </w:t>
      </w:r>
      <w:r w:rsidR="00360C21" w:rsidRPr="00360C21">
        <w:rPr>
          <w:rFonts w:ascii="Arial" w:hAnsi="Arial" w:cs="Arial"/>
          <w:b/>
          <w:bCs/>
          <w:szCs w:val="22"/>
        </w:rPr>
        <w:t>the</w:t>
      </w:r>
      <w:r w:rsidR="00360C21" w:rsidRPr="00E77AE9">
        <w:rPr>
          <w:rFonts w:ascii="Arial" w:hAnsi="Arial" w:cs="Arial"/>
          <w:b/>
          <w:bCs/>
          <w:szCs w:val="22"/>
        </w:rPr>
        <w:t xml:space="preserve"> Adolescents</w:t>
      </w:r>
    </w:p>
    <w:p w14:paraId="641044ED" w14:textId="3B95B58D" w:rsidR="00360C21" w:rsidRDefault="00360C21" w:rsidP="00096691">
      <w:pPr>
        <w:spacing w:before="100" w:beforeAutospacing="1" w:after="100" w:afterAutospacing="1" w:line="360" w:lineRule="auto"/>
        <w:rPr>
          <w:rFonts w:ascii="Arial" w:hAnsi="Arial" w:cs="Arial"/>
          <w:szCs w:val="22"/>
        </w:rPr>
      </w:pPr>
      <w:r w:rsidRPr="00360C21">
        <w:rPr>
          <w:rFonts w:ascii="Arial" w:hAnsi="Arial" w:cs="Arial"/>
          <w:szCs w:val="22"/>
        </w:rPr>
        <w:t xml:space="preserve">The study comprised adolescents primarily aged 14–16 years (middle adolescence), who constituted the largest proportion of participants (71%), followed by those aged 17–19 years (22%), and a smaller group aged 10–13 years (7%). Females represented a greater share of the sample (59%) compared to males (41%), indicating a fairly balanced but female-leaning distribution. Participants were almost evenly drawn across lower secondary school classes, with 35% in Senior Three (S.3), 34% in Senior One (S.1), and 31% in Senior Two (S.2). Overall, the demographic distribution reflects adequate representation across gender, age brackets, and school classes, providing a diverse sample suitable for understanding adolescent nutrition-related </w:t>
      </w:r>
      <w:r w:rsidR="00245FF2" w:rsidRPr="00360C21">
        <w:rPr>
          <w:rFonts w:ascii="Arial" w:hAnsi="Arial" w:cs="Arial"/>
          <w:szCs w:val="22"/>
        </w:rPr>
        <w:t>behaviors</w:t>
      </w:r>
      <w:r w:rsidRPr="00360C21">
        <w:rPr>
          <w:rFonts w:ascii="Arial" w:hAnsi="Arial" w:cs="Arial"/>
          <w:szCs w:val="22"/>
        </w:rPr>
        <w:t>.</w:t>
      </w:r>
    </w:p>
    <w:p w14:paraId="087F40FC" w14:textId="77777777" w:rsidR="003B3E94" w:rsidRDefault="003B3E94" w:rsidP="00096691">
      <w:pPr>
        <w:spacing w:before="100" w:beforeAutospacing="1" w:after="100" w:afterAutospacing="1" w:line="360" w:lineRule="auto"/>
        <w:rPr>
          <w:rFonts w:ascii="Arial" w:hAnsi="Arial" w:cs="Arial"/>
          <w:szCs w:val="22"/>
        </w:rPr>
      </w:pPr>
    </w:p>
    <w:p w14:paraId="55BDCF4D" w14:textId="77777777" w:rsidR="003B3E94" w:rsidRPr="00360C21" w:rsidRDefault="003B3E94" w:rsidP="00096691">
      <w:pPr>
        <w:spacing w:before="100" w:beforeAutospacing="1" w:after="100" w:afterAutospacing="1" w:line="360" w:lineRule="auto"/>
        <w:rPr>
          <w:rFonts w:ascii="Arial" w:hAnsi="Arial" w:cs="Arial"/>
          <w:szCs w:val="22"/>
        </w:rPr>
      </w:pPr>
    </w:p>
    <w:p w14:paraId="22BB87DA" w14:textId="5F63376A" w:rsidR="00E77AE9" w:rsidRDefault="00360C21" w:rsidP="00E77AE9">
      <w:pPr>
        <w:spacing w:after="0"/>
        <w:jc w:val="left"/>
        <w:rPr>
          <w:rFonts w:ascii="Helvetica" w:eastAsia="Times New Roman" w:hAnsi="Helvetica" w:cs="Times New Roman"/>
          <w:b/>
          <w:bCs/>
          <w:kern w:val="0"/>
          <w:sz w:val="20"/>
          <w:szCs w:val="20"/>
          <w:lang w:eastAsia="en-US"/>
          <w14:ligatures w14:val="none"/>
        </w:rPr>
      </w:pPr>
      <w:bookmarkStart w:id="2" w:name="_Toc206965187"/>
      <w:bookmarkStart w:id="3" w:name="_Hlk208422705"/>
      <w:r>
        <w:rPr>
          <w:rFonts w:ascii="Helvetica" w:eastAsia="Times New Roman" w:hAnsi="Helvetica" w:cs="Times New Roman"/>
          <w:b/>
          <w:bCs/>
          <w:kern w:val="0"/>
          <w:sz w:val="20"/>
          <w:szCs w:val="20"/>
          <w:lang w:eastAsia="en-US"/>
          <w14:ligatures w14:val="none"/>
        </w:rPr>
        <w:lastRenderedPageBreak/>
        <w:t xml:space="preserve">Table 1: </w:t>
      </w:r>
      <w:bookmarkStart w:id="4" w:name="_Hlk216384212"/>
      <w:r w:rsidR="00E77AE9" w:rsidRPr="00E77AE9">
        <w:rPr>
          <w:rFonts w:ascii="Helvetica" w:eastAsia="Times New Roman" w:hAnsi="Helvetica" w:cs="Times New Roman"/>
          <w:b/>
          <w:bCs/>
          <w:kern w:val="0"/>
          <w:sz w:val="20"/>
          <w:szCs w:val="20"/>
          <w:lang w:eastAsia="en-US"/>
          <w14:ligatures w14:val="none"/>
        </w:rPr>
        <w:t xml:space="preserve">Demographic Profile for </w:t>
      </w:r>
      <w:bookmarkEnd w:id="2"/>
      <w:r w:rsidR="00E77AE9">
        <w:rPr>
          <w:rFonts w:ascii="Helvetica" w:eastAsia="Times New Roman" w:hAnsi="Helvetica" w:cs="Times New Roman"/>
          <w:b/>
          <w:bCs/>
          <w:kern w:val="0"/>
          <w:sz w:val="20"/>
          <w:szCs w:val="20"/>
          <w:lang w:eastAsia="en-US"/>
          <w14:ligatures w14:val="none"/>
        </w:rPr>
        <w:t>the</w:t>
      </w:r>
      <w:r w:rsidR="00E77AE9" w:rsidRPr="00E77AE9">
        <w:rPr>
          <w:rFonts w:ascii="Helvetica" w:eastAsia="Times New Roman" w:hAnsi="Helvetica" w:cs="Times New Roman"/>
          <w:b/>
          <w:bCs/>
          <w:kern w:val="0"/>
          <w:sz w:val="20"/>
          <w:szCs w:val="20"/>
          <w:lang w:eastAsia="en-US"/>
          <w14:ligatures w14:val="none"/>
        </w:rPr>
        <w:t xml:space="preserve"> Adolescents</w:t>
      </w:r>
      <w:bookmarkEnd w:id="4"/>
    </w:p>
    <w:p w14:paraId="600D465A" w14:textId="77777777" w:rsidR="003801F0" w:rsidRPr="00E77AE9" w:rsidRDefault="003801F0" w:rsidP="00E77AE9">
      <w:pPr>
        <w:spacing w:after="0"/>
        <w:jc w:val="left"/>
        <w:rPr>
          <w:rFonts w:ascii="Helvetica" w:eastAsia="Times New Roman" w:hAnsi="Helvetica" w:cs="Times New Roman"/>
          <w:b/>
          <w:bCs/>
          <w:kern w:val="0"/>
          <w:sz w:val="20"/>
          <w:szCs w:val="20"/>
          <w:lang w:eastAsia="en-US"/>
          <w14:ligatures w14:val="none"/>
        </w:rPr>
      </w:pPr>
    </w:p>
    <w:tbl>
      <w:tblPr>
        <w:tblStyle w:val="TableGridLight1"/>
        <w:tblW w:w="889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3372"/>
        <w:gridCol w:w="1256"/>
        <w:gridCol w:w="1835"/>
      </w:tblGrid>
      <w:tr w:rsidR="00E77AE9" w:rsidRPr="00E77AE9" w14:paraId="3AFD830A" w14:textId="77777777" w:rsidTr="00E77AE9">
        <w:trPr>
          <w:trHeight w:val="218"/>
        </w:trPr>
        <w:tc>
          <w:tcPr>
            <w:tcW w:w="2428" w:type="dxa"/>
            <w:tcBorders>
              <w:top w:val="single" w:sz="4" w:space="0" w:color="auto"/>
              <w:left w:val="single" w:sz="4" w:space="0" w:color="auto"/>
              <w:bottom w:val="single" w:sz="4" w:space="0" w:color="auto"/>
              <w:right w:val="single" w:sz="4" w:space="0" w:color="auto"/>
            </w:tcBorders>
            <w:noWrap/>
            <w:hideMark/>
          </w:tcPr>
          <w:bookmarkEnd w:id="3"/>
          <w:p w14:paraId="1509EAFC"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Variable</w:t>
            </w:r>
          </w:p>
        </w:tc>
        <w:tc>
          <w:tcPr>
            <w:tcW w:w="3372" w:type="dxa"/>
            <w:tcBorders>
              <w:top w:val="single" w:sz="4" w:space="0" w:color="auto"/>
              <w:left w:val="single" w:sz="4" w:space="0" w:color="auto"/>
              <w:bottom w:val="single" w:sz="4" w:space="0" w:color="auto"/>
            </w:tcBorders>
            <w:noWrap/>
            <w:hideMark/>
          </w:tcPr>
          <w:p w14:paraId="388876ED"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Category</w:t>
            </w:r>
          </w:p>
        </w:tc>
        <w:tc>
          <w:tcPr>
            <w:tcW w:w="1256" w:type="dxa"/>
            <w:tcBorders>
              <w:top w:val="single" w:sz="4" w:space="0" w:color="auto"/>
              <w:bottom w:val="single" w:sz="4" w:space="0" w:color="auto"/>
            </w:tcBorders>
            <w:noWrap/>
            <w:hideMark/>
          </w:tcPr>
          <w:p w14:paraId="66473078"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Frequency (Freq.)</w:t>
            </w:r>
          </w:p>
        </w:tc>
        <w:tc>
          <w:tcPr>
            <w:tcW w:w="1835" w:type="dxa"/>
            <w:tcBorders>
              <w:top w:val="single" w:sz="4" w:space="0" w:color="auto"/>
              <w:bottom w:val="single" w:sz="4" w:space="0" w:color="auto"/>
              <w:right w:val="single" w:sz="4" w:space="0" w:color="auto"/>
            </w:tcBorders>
            <w:noWrap/>
            <w:hideMark/>
          </w:tcPr>
          <w:p w14:paraId="541B6BA5"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Percent</w:t>
            </w:r>
          </w:p>
        </w:tc>
      </w:tr>
      <w:tr w:rsidR="00E77AE9" w:rsidRPr="00E77AE9" w14:paraId="44E8CEDC" w14:textId="77777777" w:rsidTr="00E77AE9">
        <w:trPr>
          <w:trHeight w:val="218"/>
        </w:trPr>
        <w:tc>
          <w:tcPr>
            <w:tcW w:w="2428" w:type="dxa"/>
            <w:tcBorders>
              <w:top w:val="single" w:sz="4" w:space="0" w:color="auto"/>
              <w:left w:val="single" w:sz="4" w:space="0" w:color="auto"/>
              <w:bottom w:val="nil"/>
              <w:right w:val="single" w:sz="4" w:space="0" w:color="auto"/>
            </w:tcBorders>
            <w:noWrap/>
            <w:hideMark/>
          </w:tcPr>
          <w:p w14:paraId="2A98F844"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Gender</w:t>
            </w:r>
          </w:p>
        </w:tc>
        <w:tc>
          <w:tcPr>
            <w:tcW w:w="3372" w:type="dxa"/>
            <w:tcBorders>
              <w:top w:val="single" w:sz="4" w:space="0" w:color="auto"/>
              <w:left w:val="single" w:sz="4" w:space="0" w:color="auto"/>
              <w:bottom w:val="nil"/>
            </w:tcBorders>
            <w:noWrap/>
            <w:hideMark/>
          </w:tcPr>
          <w:p w14:paraId="4979162E"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Male</w:t>
            </w:r>
          </w:p>
        </w:tc>
        <w:tc>
          <w:tcPr>
            <w:tcW w:w="1256" w:type="dxa"/>
            <w:tcBorders>
              <w:top w:val="single" w:sz="4" w:space="0" w:color="auto"/>
              <w:bottom w:val="nil"/>
            </w:tcBorders>
            <w:noWrap/>
            <w:hideMark/>
          </w:tcPr>
          <w:p w14:paraId="4554B582"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474</w:t>
            </w:r>
          </w:p>
        </w:tc>
        <w:tc>
          <w:tcPr>
            <w:tcW w:w="1835" w:type="dxa"/>
            <w:tcBorders>
              <w:top w:val="single" w:sz="4" w:space="0" w:color="auto"/>
              <w:bottom w:val="nil"/>
              <w:right w:val="single" w:sz="4" w:space="0" w:color="auto"/>
            </w:tcBorders>
            <w:noWrap/>
            <w:hideMark/>
          </w:tcPr>
          <w:p w14:paraId="5DC40B0D"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41%</w:t>
            </w:r>
          </w:p>
        </w:tc>
      </w:tr>
      <w:tr w:rsidR="00E77AE9" w:rsidRPr="00E77AE9" w14:paraId="7BD1A932" w14:textId="77777777" w:rsidTr="00E77AE9">
        <w:trPr>
          <w:trHeight w:val="218"/>
        </w:trPr>
        <w:tc>
          <w:tcPr>
            <w:tcW w:w="2428" w:type="dxa"/>
            <w:tcBorders>
              <w:top w:val="nil"/>
              <w:left w:val="single" w:sz="4" w:space="0" w:color="auto"/>
              <w:bottom w:val="single" w:sz="4" w:space="0" w:color="auto"/>
              <w:right w:val="single" w:sz="4" w:space="0" w:color="auto"/>
            </w:tcBorders>
            <w:noWrap/>
            <w:hideMark/>
          </w:tcPr>
          <w:p w14:paraId="32549F4C"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 </w:t>
            </w:r>
          </w:p>
        </w:tc>
        <w:tc>
          <w:tcPr>
            <w:tcW w:w="3372" w:type="dxa"/>
            <w:tcBorders>
              <w:top w:val="nil"/>
              <w:left w:val="single" w:sz="4" w:space="0" w:color="auto"/>
              <w:bottom w:val="single" w:sz="4" w:space="0" w:color="auto"/>
            </w:tcBorders>
            <w:noWrap/>
            <w:hideMark/>
          </w:tcPr>
          <w:p w14:paraId="736FE41F" w14:textId="77777777" w:rsidR="00E77AE9" w:rsidRPr="00E77AE9" w:rsidRDefault="00E77AE9" w:rsidP="00D139DB">
            <w:pPr>
              <w:rPr>
                <w:rFonts w:ascii="Arial" w:eastAsia="Times New Roman" w:hAnsi="Arial" w:cs="Arial"/>
                <w:color w:val="000000"/>
              </w:rPr>
            </w:pPr>
            <w:r w:rsidRPr="00E77AE9">
              <w:rPr>
                <w:rFonts w:ascii="Arial" w:eastAsia="Times New Roman" w:hAnsi="Arial" w:cs="Arial"/>
                <w:color w:val="000000"/>
              </w:rPr>
              <w:t>Female</w:t>
            </w:r>
          </w:p>
        </w:tc>
        <w:tc>
          <w:tcPr>
            <w:tcW w:w="1256" w:type="dxa"/>
            <w:tcBorders>
              <w:top w:val="nil"/>
              <w:bottom w:val="single" w:sz="4" w:space="0" w:color="auto"/>
            </w:tcBorders>
            <w:noWrap/>
            <w:hideMark/>
          </w:tcPr>
          <w:p w14:paraId="268F7E56"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691</w:t>
            </w:r>
          </w:p>
        </w:tc>
        <w:tc>
          <w:tcPr>
            <w:tcW w:w="1835" w:type="dxa"/>
            <w:tcBorders>
              <w:top w:val="nil"/>
              <w:bottom w:val="single" w:sz="4" w:space="0" w:color="auto"/>
              <w:right w:val="single" w:sz="4" w:space="0" w:color="auto"/>
            </w:tcBorders>
            <w:noWrap/>
            <w:hideMark/>
          </w:tcPr>
          <w:p w14:paraId="69EE737E" w14:textId="77777777" w:rsidR="00E77AE9" w:rsidRPr="00E77AE9" w:rsidRDefault="00E77AE9" w:rsidP="00D139DB">
            <w:pPr>
              <w:jc w:val="center"/>
              <w:rPr>
                <w:rFonts w:ascii="Arial" w:eastAsia="Times New Roman" w:hAnsi="Arial" w:cs="Arial"/>
                <w:color w:val="000000"/>
              </w:rPr>
            </w:pPr>
            <w:r w:rsidRPr="00E77AE9">
              <w:rPr>
                <w:rFonts w:ascii="Arial" w:eastAsia="Times New Roman" w:hAnsi="Arial" w:cs="Arial"/>
                <w:color w:val="000000"/>
              </w:rPr>
              <w:t>59%</w:t>
            </w:r>
          </w:p>
        </w:tc>
      </w:tr>
      <w:tr w:rsidR="00E77AE9" w:rsidRPr="00E77AE9" w14:paraId="5E6CD06F" w14:textId="77777777" w:rsidTr="00E77AE9">
        <w:trPr>
          <w:trHeight w:val="218"/>
        </w:trPr>
        <w:tc>
          <w:tcPr>
            <w:tcW w:w="2428" w:type="dxa"/>
            <w:tcBorders>
              <w:top w:val="single" w:sz="4" w:space="0" w:color="auto"/>
              <w:left w:val="single" w:sz="4" w:space="0" w:color="auto"/>
              <w:right w:val="single" w:sz="4" w:space="0" w:color="auto"/>
            </w:tcBorders>
            <w:noWrap/>
          </w:tcPr>
          <w:p w14:paraId="4C0A8E8F" w14:textId="2E911179"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xml:space="preserve">Total </w:t>
            </w:r>
          </w:p>
        </w:tc>
        <w:tc>
          <w:tcPr>
            <w:tcW w:w="3372" w:type="dxa"/>
            <w:tcBorders>
              <w:top w:val="single" w:sz="4" w:space="0" w:color="auto"/>
              <w:left w:val="single" w:sz="4" w:space="0" w:color="auto"/>
            </w:tcBorders>
            <w:noWrap/>
          </w:tcPr>
          <w:p w14:paraId="4C0BE3A2" w14:textId="0E581000"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1256" w:type="dxa"/>
            <w:tcBorders>
              <w:top w:val="single" w:sz="4" w:space="0" w:color="auto"/>
            </w:tcBorders>
            <w:noWrap/>
          </w:tcPr>
          <w:p w14:paraId="7F2895F7" w14:textId="636A7696"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1165</w:t>
            </w:r>
          </w:p>
        </w:tc>
        <w:tc>
          <w:tcPr>
            <w:tcW w:w="1835" w:type="dxa"/>
            <w:tcBorders>
              <w:top w:val="single" w:sz="4" w:space="0" w:color="auto"/>
              <w:right w:val="single" w:sz="4" w:space="0" w:color="auto"/>
            </w:tcBorders>
            <w:noWrap/>
          </w:tcPr>
          <w:p w14:paraId="530E15F2" w14:textId="0654473D"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100%</w:t>
            </w:r>
          </w:p>
        </w:tc>
      </w:tr>
      <w:tr w:rsidR="00E77AE9" w:rsidRPr="00E77AE9" w14:paraId="416DD858" w14:textId="77777777" w:rsidTr="00E77AE9">
        <w:trPr>
          <w:trHeight w:val="218"/>
        </w:trPr>
        <w:tc>
          <w:tcPr>
            <w:tcW w:w="2428" w:type="dxa"/>
            <w:tcBorders>
              <w:left w:val="single" w:sz="4" w:space="0" w:color="auto"/>
              <w:right w:val="single" w:sz="4" w:space="0" w:color="auto"/>
            </w:tcBorders>
            <w:noWrap/>
            <w:hideMark/>
          </w:tcPr>
          <w:p w14:paraId="1658C07F"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Age Bracket</w:t>
            </w:r>
          </w:p>
        </w:tc>
        <w:tc>
          <w:tcPr>
            <w:tcW w:w="3372" w:type="dxa"/>
            <w:tcBorders>
              <w:left w:val="single" w:sz="4" w:space="0" w:color="auto"/>
            </w:tcBorders>
            <w:noWrap/>
            <w:hideMark/>
          </w:tcPr>
          <w:p w14:paraId="65DD7996"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10–13 years (Early adolescents)</w:t>
            </w:r>
          </w:p>
        </w:tc>
        <w:tc>
          <w:tcPr>
            <w:tcW w:w="1256" w:type="dxa"/>
            <w:noWrap/>
            <w:hideMark/>
          </w:tcPr>
          <w:p w14:paraId="7C8E6B32"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80</w:t>
            </w:r>
          </w:p>
        </w:tc>
        <w:tc>
          <w:tcPr>
            <w:tcW w:w="1835" w:type="dxa"/>
            <w:tcBorders>
              <w:right w:val="single" w:sz="4" w:space="0" w:color="auto"/>
            </w:tcBorders>
            <w:noWrap/>
            <w:hideMark/>
          </w:tcPr>
          <w:p w14:paraId="7EB35918"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7%</w:t>
            </w:r>
          </w:p>
        </w:tc>
      </w:tr>
      <w:tr w:rsidR="00E77AE9" w:rsidRPr="00E77AE9" w14:paraId="60DAFAAC" w14:textId="77777777" w:rsidTr="00E77AE9">
        <w:trPr>
          <w:trHeight w:val="218"/>
        </w:trPr>
        <w:tc>
          <w:tcPr>
            <w:tcW w:w="2428" w:type="dxa"/>
            <w:tcBorders>
              <w:left w:val="single" w:sz="4" w:space="0" w:color="auto"/>
              <w:right w:val="single" w:sz="4" w:space="0" w:color="auto"/>
            </w:tcBorders>
            <w:noWrap/>
            <w:hideMark/>
          </w:tcPr>
          <w:p w14:paraId="2E116DBA"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left w:val="single" w:sz="4" w:space="0" w:color="auto"/>
            </w:tcBorders>
            <w:noWrap/>
            <w:hideMark/>
          </w:tcPr>
          <w:p w14:paraId="6DAB5687" w14:textId="0DB2B400" w:rsidR="00E77AE9" w:rsidRPr="00E77AE9" w:rsidRDefault="00E77AE9" w:rsidP="00E77AE9">
            <w:pPr>
              <w:jc w:val="left"/>
              <w:rPr>
                <w:rFonts w:ascii="Arial" w:eastAsia="Times New Roman" w:hAnsi="Arial" w:cs="Arial"/>
                <w:color w:val="000000"/>
              </w:rPr>
            </w:pPr>
            <w:r w:rsidRPr="00E77AE9">
              <w:rPr>
                <w:rFonts w:ascii="Arial" w:eastAsia="Times New Roman" w:hAnsi="Arial" w:cs="Arial"/>
                <w:color w:val="000000"/>
              </w:rPr>
              <w:t>14–16</w:t>
            </w:r>
            <w:r>
              <w:rPr>
                <w:rFonts w:ascii="Arial" w:eastAsia="Times New Roman" w:hAnsi="Arial" w:cs="Arial"/>
                <w:color w:val="000000"/>
              </w:rPr>
              <w:t xml:space="preserve"> </w:t>
            </w:r>
            <w:r w:rsidRPr="00E77AE9">
              <w:rPr>
                <w:rFonts w:ascii="Arial" w:eastAsia="Times New Roman" w:hAnsi="Arial" w:cs="Arial"/>
                <w:color w:val="000000"/>
              </w:rPr>
              <w:t>years (Middle adolescents)</w:t>
            </w:r>
          </w:p>
        </w:tc>
        <w:tc>
          <w:tcPr>
            <w:tcW w:w="1256" w:type="dxa"/>
            <w:noWrap/>
            <w:hideMark/>
          </w:tcPr>
          <w:p w14:paraId="612370B4"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832</w:t>
            </w:r>
          </w:p>
        </w:tc>
        <w:tc>
          <w:tcPr>
            <w:tcW w:w="1835" w:type="dxa"/>
            <w:tcBorders>
              <w:right w:val="single" w:sz="4" w:space="0" w:color="auto"/>
            </w:tcBorders>
            <w:noWrap/>
            <w:hideMark/>
          </w:tcPr>
          <w:p w14:paraId="27A78661"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71%</w:t>
            </w:r>
          </w:p>
        </w:tc>
      </w:tr>
      <w:tr w:rsidR="00E77AE9" w:rsidRPr="00E77AE9" w14:paraId="08E02F5E" w14:textId="77777777" w:rsidTr="00E77AE9">
        <w:trPr>
          <w:trHeight w:val="218"/>
        </w:trPr>
        <w:tc>
          <w:tcPr>
            <w:tcW w:w="2428" w:type="dxa"/>
            <w:tcBorders>
              <w:left w:val="single" w:sz="4" w:space="0" w:color="auto"/>
              <w:bottom w:val="nil"/>
              <w:right w:val="single" w:sz="4" w:space="0" w:color="auto"/>
            </w:tcBorders>
            <w:noWrap/>
            <w:hideMark/>
          </w:tcPr>
          <w:p w14:paraId="4BCF849B"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left w:val="single" w:sz="4" w:space="0" w:color="auto"/>
              <w:bottom w:val="nil"/>
            </w:tcBorders>
            <w:noWrap/>
            <w:hideMark/>
          </w:tcPr>
          <w:p w14:paraId="731F0C44"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17–19 years (Late adolescents)</w:t>
            </w:r>
          </w:p>
        </w:tc>
        <w:tc>
          <w:tcPr>
            <w:tcW w:w="1256" w:type="dxa"/>
            <w:tcBorders>
              <w:bottom w:val="nil"/>
            </w:tcBorders>
            <w:noWrap/>
            <w:hideMark/>
          </w:tcPr>
          <w:p w14:paraId="0926845E"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257</w:t>
            </w:r>
          </w:p>
        </w:tc>
        <w:tc>
          <w:tcPr>
            <w:tcW w:w="1835" w:type="dxa"/>
            <w:tcBorders>
              <w:bottom w:val="nil"/>
              <w:right w:val="single" w:sz="4" w:space="0" w:color="auto"/>
            </w:tcBorders>
            <w:noWrap/>
            <w:hideMark/>
          </w:tcPr>
          <w:p w14:paraId="25B0C0C6"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22%</w:t>
            </w:r>
          </w:p>
        </w:tc>
      </w:tr>
      <w:tr w:rsidR="00E77AE9" w:rsidRPr="00E77AE9" w14:paraId="29B1F33B" w14:textId="77777777" w:rsidTr="00E77AE9">
        <w:trPr>
          <w:trHeight w:val="218"/>
        </w:trPr>
        <w:tc>
          <w:tcPr>
            <w:tcW w:w="2428" w:type="dxa"/>
            <w:tcBorders>
              <w:top w:val="nil"/>
              <w:left w:val="single" w:sz="4" w:space="0" w:color="auto"/>
              <w:bottom w:val="single" w:sz="4" w:space="0" w:color="auto"/>
              <w:right w:val="single" w:sz="4" w:space="0" w:color="auto"/>
            </w:tcBorders>
            <w:noWrap/>
            <w:hideMark/>
          </w:tcPr>
          <w:p w14:paraId="1B85EEE9"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top w:val="nil"/>
              <w:left w:val="single" w:sz="4" w:space="0" w:color="auto"/>
              <w:bottom w:val="single" w:sz="4" w:space="0" w:color="auto"/>
            </w:tcBorders>
            <w:noWrap/>
            <w:hideMark/>
          </w:tcPr>
          <w:p w14:paraId="7C2B183D"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1256" w:type="dxa"/>
            <w:tcBorders>
              <w:top w:val="nil"/>
              <w:bottom w:val="single" w:sz="4" w:space="0" w:color="auto"/>
            </w:tcBorders>
            <w:noWrap/>
            <w:hideMark/>
          </w:tcPr>
          <w:p w14:paraId="1C4DD3D3"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1169</w:t>
            </w:r>
          </w:p>
        </w:tc>
        <w:tc>
          <w:tcPr>
            <w:tcW w:w="1835" w:type="dxa"/>
            <w:tcBorders>
              <w:top w:val="nil"/>
              <w:bottom w:val="single" w:sz="4" w:space="0" w:color="auto"/>
              <w:right w:val="single" w:sz="4" w:space="0" w:color="auto"/>
            </w:tcBorders>
            <w:noWrap/>
            <w:hideMark/>
          </w:tcPr>
          <w:p w14:paraId="70C3FC46"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100%</w:t>
            </w:r>
          </w:p>
        </w:tc>
      </w:tr>
      <w:tr w:rsidR="00E77AE9" w:rsidRPr="00E77AE9" w14:paraId="1A8978E0" w14:textId="77777777" w:rsidTr="00E77AE9">
        <w:trPr>
          <w:trHeight w:val="218"/>
        </w:trPr>
        <w:tc>
          <w:tcPr>
            <w:tcW w:w="2428" w:type="dxa"/>
            <w:tcBorders>
              <w:top w:val="single" w:sz="4" w:space="0" w:color="auto"/>
              <w:left w:val="single" w:sz="4" w:space="0" w:color="auto"/>
              <w:right w:val="single" w:sz="4" w:space="0" w:color="auto"/>
            </w:tcBorders>
            <w:noWrap/>
            <w:hideMark/>
          </w:tcPr>
          <w:p w14:paraId="2E6C6720"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Class</w:t>
            </w:r>
          </w:p>
        </w:tc>
        <w:tc>
          <w:tcPr>
            <w:tcW w:w="3372" w:type="dxa"/>
            <w:tcBorders>
              <w:top w:val="single" w:sz="4" w:space="0" w:color="auto"/>
              <w:left w:val="single" w:sz="4" w:space="0" w:color="auto"/>
            </w:tcBorders>
            <w:noWrap/>
            <w:hideMark/>
          </w:tcPr>
          <w:p w14:paraId="0FBCF3FF"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S.1</w:t>
            </w:r>
          </w:p>
        </w:tc>
        <w:tc>
          <w:tcPr>
            <w:tcW w:w="1256" w:type="dxa"/>
            <w:tcBorders>
              <w:top w:val="single" w:sz="4" w:space="0" w:color="auto"/>
            </w:tcBorders>
            <w:noWrap/>
            <w:hideMark/>
          </w:tcPr>
          <w:p w14:paraId="5EE9280B"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399</w:t>
            </w:r>
          </w:p>
        </w:tc>
        <w:tc>
          <w:tcPr>
            <w:tcW w:w="1835" w:type="dxa"/>
            <w:tcBorders>
              <w:top w:val="single" w:sz="4" w:space="0" w:color="auto"/>
              <w:right w:val="single" w:sz="4" w:space="0" w:color="auto"/>
            </w:tcBorders>
            <w:noWrap/>
            <w:hideMark/>
          </w:tcPr>
          <w:p w14:paraId="31B226DB"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34%</w:t>
            </w:r>
          </w:p>
        </w:tc>
      </w:tr>
      <w:tr w:rsidR="00E77AE9" w:rsidRPr="00E77AE9" w14:paraId="52506C17" w14:textId="77777777" w:rsidTr="00E77AE9">
        <w:trPr>
          <w:trHeight w:val="218"/>
        </w:trPr>
        <w:tc>
          <w:tcPr>
            <w:tcW w:w="2428" w:type="dxa"/>
            <w:tcBorders>
              <w:left w:val="single" w:sz="4" w:space="0" w:color="auto"/>
              <w:right w:val="single" w:sz="4" w:space="0" w:color="auto"/>
            </w:tcBorders>
            <w:noWrap/>
            <w:hideMark/>
          </w:tcPr>
          <w:p w14:paraId="26EEF0A2"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left w:val="single" w:sz="4" w:space="0" w:color="auto"/>
            </w:tcBorders>
            <w:noWrap/>
            <w:hideMark/>
          </w:tcPr>
          <w:p w14:paraId="379246BA"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S.2</w:t>
            </w:r>
          </w:p>
        </w:tc>
        <w:tc>
          <w:tcPr>
            <w:tcW w:w="1256" w:type="dxa"/>
            <w:noWrap/>
            <w:hideMark/>
          </w:tcPr>
          <w:p w14:paraId="01B0192D"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361</w:t>
            </w:r>
          </w:p>
        </w:tc>
        <w:tc>
          <w:tcPr>
            <w:tcW w:w="1835" w:type="dxa"/>
            <w:tcBorders>
              <w:right w:val="single" w:sz="4" w:space="0" w:color="auto"/>
            </w:tcBorders>
            <w:noWrap/>
            <w:hideMark/>
          </w:tcPr>
          <w:p w14:paraId="5BC29163"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31%</w:t>
            </w:r>
          </w:p>
        </w:tc>
      </w:tr>
      <w:tr w:rsidR="00E77AE9" w:rsidRPr="00E77AE9" w14:paraId="1C4F9EC9" w14:textId="77777777" w:rsidTr="00E77AE9">
        <w:trPr>
          <w:trHeight w:val="218"/>
        </w:trPr>
        <w:tc>
          <w:tcPr>
            <w:tcW w:w="2428" w:type="dxa"/>
            <w:tcBorders>
              <w:left w:val="single" w:sz="4" w:space="0" w:color="auto"/>
              <w:bottom w:val="nil"/>
              <w:right w:val="single" w:sz="4" w:space="0" w:color="auto"/>
            </w:tcBorders>
            <w:noWrap/>
            <w:hideMark/>
          </w:tcPr>
          <w:p w14:paraId="724F9920"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left w:val="single" w:sz="4" w:space="0" w:color="auto"/>
              <w:bottom w:val="nil"/>
            </w:tcBorders>
            <w:noWrap/>
            <w:hideMark/>
          </w:tcPr>
          <w:p w14:paraId="72B25A9B"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S.3</w:t>
            </w:r>
          </w:p>
        </w:tc>
        <w:tc>
          <w:tcPr>
            <w:tcW w:w="1256" w:type="dxa"/>
            <w:tcBorders>
              <w:bottom w:val="nil"/>
            </w:tcBorders>
            <w:noWrap/>
            <w:hideMark/>
          </w:tcPr>
          <w:p w14:paraId="3F4AE16C"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411</w:t>
            </w:r>
          </w:p>
        </w:tc>
        <w:tc>
          <w:tcPr>
            <w:tcW w:w="1835" w:type="dxa"/>
            <w:tcBorders>
              <w:bottom w:val="nil"/>
              <w:right w:val="single" w:sz="4" w:space="0" w:color="auto"/>
            </w:tcBorders>
            <w:noWrap/>
            <w:hideMark/>
          </w:tcPr>
          <w:p w14:paraId="36B6C27A"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35%</w:t>
            </w:r>
          </w:p>
        </w:tc>
      </w:tr>
      <w:tr w:rsidR="00E77AE9" w:rsidRPr="00E77AE9" w14:paraId="7C96C8AF" w14:textId="77777777" w:rsidTr="00E77AE9">
        <w:trPr>
          <w:trHeight w:val="68"/>
        </w:trPr>
        <w:tc>
          <w:tcPr>
            <w:tcW w:w="2428" w:type="dxa"/>
            <w:tcBorders>
              <w:top w:val="nil"/>
              <w:left w:val="single" w:sz="4" w:space="0" w:color="auto"/>
              <w:bottom w:val="single" w:sz="4" w:space="0" w:color="auto"/>
              <w:right w:val="single" w:sz="4" w:space="0" w:color="auto"/>
            </w:tcBorders>
            <w:noWrap/>
            <w:hideMark/>
          </w:tcPr>
          <w:p w14:paraId="358B3E0A"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3372" w:type="dxa"/>
            <w:tcBorders>
              <w:top w:val="nil"/>
              <w:left w:val="single" w:sz="4" w:space="0" w:color="auto"/>
              <w:bottom w:val="single" w:sz="4" w:space="0" w:color="auto"/>
            </w:tcBorders>
            <w:noWrap/>
            <w:hideMark/>
          </w:tcPr>
          <w:p w14:paraId="39D7E83D" w14:textId="77777777" w:rsidR="00E77AE9" w:rsidRPr="00E77AE9" w:rsidRDefault="00E77AE9" w:rsidP="00E77AE9">
            <w:pPr>
              <w:rPr>
                <w:rFonts w:ascii="Arial" w:eastAsia="Times New Roman" w:hAnsi="Arial" w:cs="Arial"/>
                <w:color w:val="000000"/>
              </w:rPr>
            </w:pPr>
            <w:r w:rsidRPr="00E77AE9">
              <w:rPr>
                <w:rFonts w:ascii="Arial" w:eastAsia="Times New Roman" w:hAnsi="Arial" w:cs="Arial"/>
                <w:color w:val="000000"/>
              </w:rPr>
              <w:t> </w:t>
            </w:r>
          </w:p>
        </w:tc>
        <w:tc>
          <w:tcPr>
            <w:tcW w:w="1256" w:type="dxa"/>
            <w:tcBorders>
              <w:top w:val="nil"/>
              <w:bottom w:val="single" w:sz="4" w:space="0" w:color="auto"/>
            </w:tcBorders>
            <w:noWrap/>
            <w:hideMark/>
          </w:tcPr>
          <w:p w14:paraId="2AF54780"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1171</w:t>
            </w:r>
          </w:p>
        </w:tc>
        <w:tc>
          <w:tcPr>
            <w:tcW w:w="1835" w:type="dxa"/>
            <w:tcBorders>
              <w:top w:val="nil"/>
              <w:bottom w:val="single" w:sz="4" w:space="0" w:color="auto"/>
              <w:right w:val="single" w:sz="4" w:space="0" w:color="auto"/>
            </w:tcBorders>
            <w:noWrap/>
            <w:hideMark/>
          </w:tcPr>
          <w:p w14:paraId="1EC4BD16" w14:textId="77777777" w:rsidR="00E77AE9" w:rsidRPr="00E77AE9" w:rsidRDefault="00E77AE9" w:rsidP="00E77AE9">
            <w:pPr>
              <w:jc w:val="center"/>
              <w:rPr>
                <w:rFonts w:ascii="Arial" w:eastAsia="Times New Roman" w:hAnsi="Arial" w:cs="Arial"/>
                <w:color w:val="000000"/>
              </w:rPr>
            </w:pPr>
            <w:r w:rsidRPr="00E77AE9">
              <w:rPr>
                <w:rFonts w:ascii="Arial" w:eastAsia="Times New Roman" w:hAnsi="Arial" w:cs="Arial"/>
                <w:color w:val="000000"/>
              </w:rPr>
              <w:t>100%</w:t>
            </w:r>
          </w:p>
        </w:tc>
      </w:tr>
    </w:tbl>
    <w:p w14:paraId="65B09716" w14:textId="392BF8AF" w:rsidR="00360C21" w:rsidRPr="001736B5" w:rsidRDefault="003A4D48" w:rsidP="00096691">
      <w:pPr>
        <w:spacing w:before="100" w:beforeAutospacing="1" w:after="100" w:afterAutospacing="1" w:line="360" w:lineRule="auto"/>
        <w:rPr>
          <w:rFonts w:ascii="Arial" w:hAnsi="Arial" w:cs="Arial"/>
          <w:b/>
          <w:bCs/>
          <w:szCs w:val="22"/>
        </w:rPr>
      </w:pPr>
      <w:r>
        <w:rPr>
          <w:rFonts w:ascii="Arial" w:hAnsi="Arial" w:cs="Arial"/>
          <w:b/>
          <w:bCs/>
          <w:szCs w:val="22"/>
        </w:rPr>
        <w:t xml:space="preserve">3.2 </w:t>
      </w:r>
      <w:r w:rsidR="00360C21" w:rsidRPr="00360C21">
        <w:rPr>
          <w:rFonts w:ascii="Arial" w:hAnsi="Arial" w:cs="Arial"/>
          <w:b/>
          <w:bCs/>
          <w:szCs w:val="22"/>
        </w:rPr>
        <w:t>Assessment of Linearity, Homoscedasticity, and Normality of Residual</w:t>
      </w:r>
    </w:p>
    <w:p w14:paraId="5EEDA7CB" w14:textId="5320A7E2" w:rsidR="009E6C9E" w:rsidRPr="001736B5" w:rsidRDefault="009E6C9E" w:rsidP="00AB77E2">
      <w:pPr>
        <w:spacing w:line="360" w:lineRule="auto"/>
        <w:rPr>
          <w:rFonts w:ascii="Arial" w:hAnsi="Arial" w:cs="Arial"/>
          <w:szCs w:val="22"/>
        </w:rPr>
      </w:pPr>
      <w:r w:rsidRPr="001736B5">
        <w:rPr>
          <w:rFonts w:ascii="Arial" w:hAnsi="Arial" w:cs="Arial"/>
          <w:szCs w:val="22"/>
        </w:rPr>
        <w:t>The residual versus fitted plot</w:t>
      </w:r>
      <w:r w:rsidR="006F0879" w:rsidRPr="001736B5">
        <w:rPr>
          <w:rFonts w:ascii="Arial" w:hAnsi="Arial" w:cs="Arial"/>
          <w:szCs w:val="22"/>
        </w:rPr>
        <w:t>,</w:t>
      </w:r>
      <w:r w:rsidRPr="001736B5">
        <w:rPr>
          <w:rFonts w:ascii="Arial" w:hAnsi="Arial" w:cs="Arial"/>
          <w:szCs w:val="22"/>
        </w:rPr>
        <w:t xml:space="preserve"> </w:t>
      </w:r>
      <w:r w:rsidR="00A07249" w:rsidRPr="001736B5">
        <w:rPr>
          <w:rFonts w:ascii="Arial" w:hAnsi="Arial" w:cs="Arial"/>
          <w:szCs w:val="22"/>
        </w:rPr>
        <w:t xml:space="preserve">as seen in </w:t>
      </w:r>
      <w:r w:rsidR="00A07249" w:rsidRPr="001736B5">
        <w:rPr>
          <w:rFonts w:ascii="Arial" w:hAnsi="Arial" w:cs="Arial"/>
          <w:szCs w:val="22"/>
        </w:rPr>
        <w:fldChar w:fldCharType="begin"/>
      </w:r>
      <w:r w:rsidR="00A07249" w:rsidRPr="001736B5">
        <w:rPr>
          <w:rFonts w:ascii="Arial" w:hAnsi="Arial" w:cs="Arial"/>
          <w:szCs w:val="22"/>
        </w:rPr>
        <w:instrText xml:space="preserve"> REF _Ref216361784 \h </w:instrText>
      </w:r>
      <w:r w:rsidR="00AB77E2" w:rsidRPr="001736B5">
        <w:rPr>
          <w:rFonts w:ascii="Arial" w:hAnsi="Arial" w:cs="Arial"/>
          <w:szCs w:val="22"/>
        </w:rPr>
        <w:instrText xml:space="preserve"> \* MERGEFORMAT </w:instrText>
      </w:r>
      <w:r w:rsidR="00A07249" w:rsidRPr="001736B5">
        <w:rPr>
          <w:rFonts w:ascii="Arial" w:hAnsi="Arial" w:cs="Arial"/>
          <w:szCs w:val="22"/>
        </w:rPr>
      </w:r>
      <w:r w:rsidR="00A07249" w:rsidRPr="001736B5">
        <w:rPr>
          <w:rFonts w:ascii="Arial" w:hAnsi="Arial" w:cs="Arial"/>
          <w:szCs w:val="22"/>
        </w:rPr>
        <w:fldChar w:fldCharType="separate"/>
      </w:r>
      <w:r w:rsidR="00A07249" w:rsidRPr="001736B5">
        <w:rPr>
          <w:rFonts w:ascii="Arial" w:hAnsi="Arial" w:cs="Arial"/>
          <w:szCs w:val="22"/>
        </w:rPr>
        <w:t xml:space="preserve">Figure </w:t>
      </w:r>
      <w:r w:rsidR="00A07249" w:rsidRPr="001736B5">
        <w:rPr>
          <w:rFonts w:ascii="Arial" w:hAnsi="Arial" w:cs="Arial"/>
          <w:noProof/>
          <w:szCs w:val="22"/>
        </w:rPr>
        <w:t>1</w:t>
      </w:r>
      <w:r w:rsidR="00A07249" w:rsidRPr="001736B5">
        <w:rPr>
          <w:rFonts w:ascii="Arial" w:hAnsi="Arial" w:cs="Arial"/>
          <w:szCs w:val="22"/>
        </w:rPr>
        <w:fldChar w:fldCharType="end"/>
      </w:r>
      <w:r w:rsidR="00A07249" w:rsidRPr="001736B5">
        <w:rPr>
          <w:rFonts w:ascii="Arial" w:hAnsi="Arial" w:cs="Arial"/>
          <w:szCs w:val="22"/>
        </w:rPr>
        <w:t xml:space="preserve"> </w:t>
      </w:r>
      <w:r w:rsidRPr="001736B5">
        <w:rPr>
          <w:rFonts w:ascii="Arial" w:hAnsi="Arial" w:cs="Arial"/>
          <w:szCs w:val="22"/>
        </w:rPr>
        <w:t xml:space="preserve">indicates no observable pattern, an indication that linearity could be reasonable. Secondly, the plot shows an even spread of points across a range of fitted values, omitting the violation of heteroskedasticity. Also, although </w:t>
      </w:r>
      <w:r w:rsidR="003529F3" w:rsidRPr="001736B5">
        <w:rPr>
          <w:rFonts w:ascii="Arial" w:hAnsi="Arial" w:cs="Arial"/>
          <w:szCs w:val="22"/>
        </w:rPr>
        <w:t xml:space="preserve">a </w:t>
      </w:r>
      <w:r w:rsidRPr="001736B5">
        <w:rPr>
          <w:rFonts w:ascii="Arial" w:hAnsi="Arial" w:cs="Arial"/>
          <w:szCs w:val="22"/>
        </w:rPr>
        <w:t xml:space="preserve">few points fall far from zero, they are not so extreme </w:t>
      </w:r>
      <w:r w:rsidR="003529F3" w:rsidRPr="001736B5">
        <w:rPr>
          <w:rFonts w:ascii="Arial" w:hAnsi="Arial" w:cs="Arial"/>
          <w:szCs w:val="22"/>
        </w:rPr>
        <w:t xml:space="preserve">as </w:t>
      </w:r>
      <w:r w:rsidRPr="001736B5">
        <w:rPr>
          <w:rFonts w:ascii="Arial" w:hAnsi="Arial" w:cs="Arial"/>
          <w:szCs w:val="22"/>
        </w:rPr>
        <w:t xml:space="preserve">to suggest possible identifier and outlier values. </w:t>
      </w:r>
    </w:p>
    <w:p w14:paraId="6DA3BB90" w14:textId="39DC08F9" w:rsidR="009E6C9E" w:rsidRPr="001736B5" w:rsidRDefault="009E6C9E" w:rsidP="00AB77E2">
      <w:pPr>
        <w:spacing w:line="360" w:lineRule="auto"/>
        <w:rPr>
          <w:rFonts w:ascii="Arial" w:hAnsi="Arial" w:cs="Arial"/>
          <w:szCs w:val="22"/>
        </w:rPr>
      </w:pPr>
      <w:r w:rsidRPr="001736B5">
        <w:rPr>
          <w:rFonts w:ascii="Arial" w:hAnsi="Arial" w:cs="Arial"/>
          <w:noProof/>
          <w:szCs w:val="22"/>
        </w:rPr>
        <w:drawing>
          <wp:inline distT="0" distB="0" distL="0" distR="0" wp14:anchorId="49510E40" wp14:editId="26382986">
            <wp:extent cx="4724400" cy="2324100"/>
            <wp:effectExtent l="0" t="0" r="0" b="0"/>
            <wp:docPr id="853767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67599" name=""/>
                    <pic:cNvPicPr/>
                  </pic:nvPicPr>
                  <pic:blipFill>
                    <a:blip r:embed="rId8"/>
                    <a:stretch>
                      <a:fillRect/>
                    </a:stretch>
                  </pic:blipFill>
                  <pic:spPr>
                    <a:xfrm>
                      <a:off x="0" y="0"/>
                      <a:ext cx="4724400" cy="2324100"/>
                    </a:xfrm>
                    <a:prstGeom prst="rect">
                      <a:avLst/>
                    </a:prstGeom>
                  </pic:spPr>
                </pic:pic>
              </a:graphicData>
            </a:graphic>
          </wp:inline>
        </w:drawing>
      </w:r>
    </w:p>
    <w:p w14:paraId="61F2E663" w14:textId="52EA810B" w:rsidR="009E6C9E" w:rsidRPr="0051492A" w:rsidRDefault="009E6C9E" w:rsidP="000316EF">
      <w:pPr>
        <w:pStyle w:val="Caption"/>
        <w:spacing w:line="360" w:lineRule="auto"/>
        <w:ind w:firstLine="720"/>
        <w:rPr>
          <w:rFonts w:ascii="Arial" w:hAnsi="Arial" w:cs="Arial"/>
          <w:color w:val="auto"/>
          <w:sz w:val="22"/>
          <w:szCs w:val="22"/>
        </w:rPr>
      </w:pPr>
      <w:bookmarkStart w:id="5" w:name="_Ref216361784"/>
      <w:r w:rsidRPr="0051492A">
        <w:rPr>
          <w:rFonts w:ascii="Arial" w:hAnsi="Arial" w:cs="Arial"/>
          <w:color w:val="auto"/>
          <w:sz w:val="22"/>
          <w:szCs w:val="22"/>
        </w:rPr>
        <w:t xml:space="preserve">Figure </w:t>
      </w:r>
      <w:r w:rsidR="00A07249" w:rsidRPr="0051492A">
        <w:rPr>
          <w:rFonts w:ascii="Arial" w:hAnsi="Arial" w:cs="Arial"/>
          <w:color w:val="auto"/>
          <w:sz w:val="22"/>
          <w:szCs w:val="22"/>
        </w:rPr>
        <w:fldChar w:fldCharType="begin"/>
      </w:r>
      <w:r w:rsidR="00A07249" w:rsidRPr="0051492A">
        <w:rPr>
          <w:rFonts w:ascii="Arial" w:hAnsi="Arial" w:cs="Arial"/>
          <w:color w:val="auto"/>
          <w:sz w:val="22"/>
          <w:szCs w:val="22"/>
        </w:rPr>
        <w:instrText xml:space="preserve"> SEQ Figure \* ARABIC </w:instrText>
      </w:r>
      <w:r w:rsidR="00A07249" w:rsidRPr="0051492A">
        <w:rPr>
          <w:rFonts w:ascii="Arial" w:hAnsi="Arial" w:cs="Arial"/>
          <w:color w:val="auto"/>
          <w:sz w:val="22"/>
          <w:szCs w:val="22"/>
        </w:rPr>
        <w:fldChar w:fldCharType="separate"/>
      </w:r>
      <w:r w:rsidR="00A07249" w:rsidRPr="0051492A">
        <w:rPr>
          <w:rFonts w:ascii="Arial" w:hAnsi="Arial" w:cs="Arial"/>
          <w:noProof/>
          <w:color w:val="auto"/>
          <w:sz w:val="22"/>
          <w:szCs w:val="22"/>
        </w:rPr>
        <w:t>1</w:t>
      </w:r>
      <w:r w:rsidR="00A07249" w:rsidRPr="0051492A">
        <w:rPr>
          <w:rFonts w:ascii="Arial" w:hAnsi="Arial" w:cs="Arial"/>
          <w:noProof/>
          <w:color w:val="auto"/>
          <w:sz w:val="22"/>
          <w:szCs w:val="22"/>
        </w:rPr>
        <w:fldChar w:fldCharType="end"/>
      </w:r>
      <w:bookmarkEnd w:id="5"/>
      <w:r w:rsidRPr="0051492A">
        <w:rPr>
          <w:rFonts w:ascii="Arial" w:hAnsi="Arial" w:cs="Arial"/>
          <w:color w:val="auto"/>
          <w:sz w:val="22"/>
          <w:szCs w:val="22"/>
        </w:rPr>
        <w:t>. Residual versus fitted plot</w:t>
      </w:r>
    </w:p>
    <w:p w14:paraId="7C1939AB" w14:textId="12958E37" w:rsidR="00A07249" w:rsidRPr="001736B5" w:rsidRDefault="00A07249" w:rsidP="00AB77E2">
      <w:pPr>
        <w:spacing w:after="0" w:line="360" w:lineRule="auto"/>
        <w:rPr>
          <w:rFonts w:ascii="Arial" w:hAnsi="Arial" w:cs="Arial"/>
          <w:szCs w:val="22"/>
        </w:rPr>
      </w:pPr>
      <w:r w:rsidRPr="001736B5">
        <w:rPr>
          <w:rFonts w:ascii="Arial" w:hAnsi="Arial" w:cs="Arial"/>
          <w:szCs w:val="22"/>
        </w:rPr>
        <w:t xml:space="preserve">The normality test was conducted with the aid of the histogram of the residuals. This test was conducted under the null hypothesis that the residuals were normally distributed against non-normality for the alternative. A clear observation of </w:t>
      </w:r>
      <w:r w:rsidRPr="001736B5">
        <w:rPr>
          <w:rFonts w:ascii="Arial" w:hAnsi="Arial" w:cs="Arial"/>
          <w:szCs w:val="22"/>
        </w:rPr>
        <w:fldChar w:fldCharType="begin"/>
      </w:r>
      <w:r w:rsidRPr="001736B5">
        <w:rPr>
          <w:rFonts w:ascii="Arial" w:hAnsi="Arial" w:cs="Arial"/>
          <w:szCs w:val="22"/>
        </w:rPr>
        <w:instrText xml:space="preserve"> REF _Ref216361758 \h </w:instrText>
      </w:r>
      <w:r w:rsidR="00EC6E80" w:rsidRPr="001736B5">
        <w:rPr>
          <w:rFonts w:ascii="Arial" w:hAnsi="Arial" w:cs="Arial"/>
          <w:szCs w:val="22"/>
        </w:rPr>
        <w:instrText xml:space="preserve"> \* MERGEFORMAT </w:instrText>
      </w:r>
      <w:r w:rsidRPr="001736B5">
        <w:rPr>
          <w:rFonts w:ascii="Arial" w:hAnsi="Arial" w:cs="Arial"/>
          <w:szCs w:val="22"/>
        </w:rPr>
      </w:r>
      <w:r w:rsidRPr="001736B5">
        <w:rPr>
          <w:rFonts w:ascii="Arial" w:hAnsi="Arial" w:cs="Arial"/>
          <w:szCs w:val="22"/>
        </w:rPr>
        <w:fldChar w:fldCharType="separate"/>
      </w:r>
      <w:r w:rsidRPr="001736B5">
        <w:rPr>
          <w:rFonts w:ascii="Arial" w:hAnsi="Arial" w:cs="Arial"/>
          <w:szCs w:val="22"/>
        </w:rPr>
        <w:t xml:space="preserve">Figure </w:t>
      </w:r>
      <w:r w:rsidRPr="001736B5">
        <w:rPr>
          <w:rFonts w:ascii="Arial" w:hAnsi="Arial" w:cs="Arial"/>
          <w:noProof/>
          <w:szCs w:val="22"/>
        </w:rPr>
        <w:t>2</w:t>
      </w:r>
      <w:r w:rsidRPr="001736B5">
        <w:rPr>
          <w:rFonts w:ascii="Arial" w:hAnsi="Arial" w:cs="Arial"/>
          <w:szCs w:val="22"/>
        </w:rPr>
        <w:fldChar w:fldCharType="end"/>
      </w:r>
      <w:r w:rsidRPr="001736B5">
        <w:rPr>
          <w:rFonts w:ascii="Arial" w:hAnsi="Arial" w:cs="Arial"/>
          <w:szCs w:val="22"/>
        </w:rPr>
        <w:t xml:space="preserve"> shows that the residuals are roughly bell-shaped, suggesting symmetry. Also, the normal curve aligns well with the bars, implying the </w:t>
      </w:r>
      <w:r w:rsidRPr="001736B5">
        <w:rPr>
          <w:rFonts w:ascii="Arial" w:hAnsi="Arial" w:cs="Arial"/>
          <w:szCs w:val="22"/>
        </w:rPr>
        <w:lastRenderedPageBreak/>
        <w:t xml:space="preserve">residuals follow the normal pattern closely. The whole </w:t>
      </w:r>
      <w:r w:rsidRPr="001736B5">
        <w:rPr>
          <w:rFonts w:ascii="Arial" w:hAnsi="Arial" w:cs="Arial"/>
          <w:szCs w:val="22"/>
        </w:rPr>
        <w:fldChar w:fldCharType="begin"/>
      </w:r>
      <w:r w:rsidRPr="001736B5">
        <w:rPr>
          <w:rFonts w:ascii="Arial" w:hAnsi="Arial" w:cs="Arial"/>
          <w:szCs w:val="22"/>
        </w:rPr>
        <w:instrText xml:space="preserve"> REF _Ref216361758 \h </w:instrText>
      </w:r>
      <w:r w:rsidR="00EC6E80" w:rsidRPr="001736B5">
        <w:rPr>
          <w:rFonts w:ascii="Arial" w:hAnsi="Arial" w:cs="Arial"/>
          <w:szCs w:val="22"/>
        </w:rPr>
        <w:instrText xml:space="preserve"> \* MERGEFORMAT </w:instrText>
      </w:r>
      <w:r w:rsidRPr="001736B5">
        <w:rPr>
          <w:rFonts w:ascii="Arial" w:hAnsi="Arial" w:cs="Arial"/>
          <w:szCs w:val="22"/>
        </w:rPr>
      </w:r>
      <w:r w:rsidRPr="001736B5">
        <w:rPr>
          <w:rFonts w:ascii="Arial" w:hAnsi="Arial" w:cs="Arial"/>
          <w:szCs w:val="22"/>
        </w:rPr>
        <w:fldChar w:fldCharType="separate"/>
      </w:r>
      <w:r w:rsidRPr="001736B5">
        <w:rPr>
          <w:rFonts w:ascii="Arial" w:hAnsi="Arial" w:cs="Arial"/>
          <w:szCs w:val="22"/>
        </w:rPr>
        <w:t xml:space="preserve">Figure </w:t>
      </w:r>
      <w:r w:rsidRPr="001736B5">
        <w:rPr>
          <w:rFonts w:ascii="Arial" w:hAnsi="Arial" w:cs="Arial"/>
          <w:noProof/>
          <w:szCs w:val="22"/>
        </w:rPr>
        <w:t>2</w:t>
      </w:r>
      <w:r w:rsidRPr="001736B5">
        <w:rPr>
          <w:rFonts w:ascii="Arial" w:hAnsi="Arial" w:cs="Arial"/>
          <w:szCs w:val="22"/>
        </w:rPr>
        <w:fldChar w:fldCharType="end"/>
      </w:r>
      <w:r w:rsidRPr="001736B5">
        <w:rPr>
          <w:rFonts w:ascii="Arial" w:hAnsi="Arial" w:cs="Arial"/>
          <w:szCs w:val="22"/>
        </w:rPr>
        <w:t xml:space="preserve"> does not </w:t>
      </w:r>
      <w:r w:rsidR="00375FFE" w:rsidRPr="001736B5">
        <w:rPr>
          <w:rFonts w:ascii="Arial" w:hAnsi="Arial" w:cs="Arial"/>
          <w:szCs w:val="22"/>
        </w:rPr>
        <w:t xml:space="preserve">indicate any form of skewness in the tails and kurtosis on the peaks and dips of the residual curve. </w:t>
      </w:r>
    </w:p>
    <w:p w14:paraId="110154A1" w14:textId="77777777" w:rsidR="00A07249" w:rsidRPr="001736B5" w:rsidRDefault="003529F3" w:rsidP="00AB77E2">
      <w:pPr>
        <w:spacing w:line="360" w:lineRule="auto"/>
        <w:jc w:val="left"/>
        <w:rPr>
          <w:rFonts w:ascii="Arial" w:hAnsi="Arial" w:cs="Arial"/>
          <w:szCs w:val="22"/>
        </w:rPr>
      </w:pPr>
      <w:r w:rsidRPr="001736B5">
        <w:rPr>
          <w:rFonts w:ascii="Arial" w:hAnsi="Arial" w:cs="Arial"/>
          <w:noProof/>
          <w:szCs w:val="22"/>
        </w:rPr>
        <w:drawing>
          <wp:inline distT="0" distB="0" distL="0" distR="0" wp14:anchorId="6ADF31BD" wp14:editId="6F8723B9">
            <wp:extent cx="5059680" cy="2293620"/>
            <wp:effectExtent l="0" t="0" r="7620" b="0"/>
            <wp:docPr id="1353638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38980" name=""/>
                    <pic:cNvPicPr/>
                  </pic:nvPicPr>
                  <pic:blipFill>
                    <a:blip r:embed="rId9"/>
                    <a:stretch>
                      <a:fillRect/>
                    </a:stretch>
                  </pic:blipFill>
                  <pic:spPr>
                    <a:xfrm>
                      <a:off x="0" y="0"/>
                      <a:ext cx="5059680" cy="2293620"/>
                    </a:xfrm>
                    <a:prstGeom prst="rect">
                      <a:avLst/>
                    </a:prstGeom>
                  </pic:spPr>
                </pic:pic>
              </a:graphicData>
            </a:graphic>
          </wp:inline>
        </w:drawing>
      </w:r>
    </w:p>
    <w:p w14:paraId="04713AC3" w14:textId="77777777" w:rsidR="00EC6E80" w:rsidRPr="0051492A" w:rsidRDefault="00A07249" w:rsidP="005A2338">
      <w:pPr>
        <w:pStyle w:val="Caption"/>
        <w:spacing w:line="360" w:lineRule="auto"/>
        <w:ind w:firstLine="720"/>
        <w:rPr>
          <w:rFonts w:ascii="Arial" w:hAnsi="Arial" w:cs="Arial"/>
          <w:color w:val="auto"/>
          <w:sz w:val="22"/>
          <w:szCs w:val="22"/>
        </w:rPr>
      </w:pPr>
      <w:bookmarkStart w:id="6" w:name="_Ref216361758"/>
      <w:r w:rsidRPr="0051492A">
        <w:rPr>
          <w:rFonts w:ascii="Arial" w:hAnsi="Arial" w:cs="Arial"/>
          <w:color w:val="auto"/>
          <w:sz w:val="22"/>
          <w:szCs w:val="22"/>
        </w:rPr>
        <w:t xml:space="preserve">Figure </w:t>
      </w:r>
      <w:r w:rsidRPr="0051492A">
        <w:rPr>
          <w:rFonts w:ascii="Arial" w:hAnsi="Arial" w:cs="Arial"/>
          <w:color w:val="auto"/>
          <w:sz w:val="22"/>
          <w:szCs w:val="22"/>
        </w:rPr>
        <w:fldChar w:fldCharType="begin"/>
      </w:r>
      <w:r w:rsidRPr="0051492A">
        <w:rPr>
          <w:rFonts w:ascii="Arial" w:hAnsi="Arial" w:cs="Arial"/>
          <w:color w:val="auto"/>
          <w:sz w:val="22"/>
          <w:szCs w:val="22"/>
        </w:rPr>
        <w:instrText xml:space="preserve"> SEQ Figure \* ARABIC </w:instrText>
      </w:r>
      <w:r w:rsidRPr="0051492A">
        <w:rPr>
          <w:rFonts w:ascii="Arial" w:hAnsi="Arial" w:cs="Arial"/>
          <w:color w:val="auto"/>
          <w:sz w:val="22"/>
          <w:szCs w:val="22"/>
        </w:rPr>
        <w:fldChar w:fldCharType="separate"/>
      </w:r>
      <w:r w:rsidRPr="0051492A">
        <w:rPr>
          <w:rFonts w:ascii="Arial" w:hAnsi="Arial" w:cs="Arial"/>
          <w:noProof/>
          <w:color w:val="auto"/>
          <w:sz w:val="22"/>
          <w:szCs w:val="22"/>
        </w:rPr>
        <w:t>2</w:t>
      </w:r>
      <w:r w:rsidRPr="0051492A">
        <w:rPr>
          <w:rFonts w:ascii="Arial" w:hAnsi="Arial" w:cs="Arial"/>
          <w:noProof/>
          <w:color w:val="auto"/>
          <w:sz w:val="22"/>
          <w:szCs w:val="22"/>
        </w:rPr>
        <w:fldChar w:fldCharType="end"/>
      </w:r>
      <w:bookmarkEnd w:id="6"/>
      <w:r w:rsidRPr="0051492A">
        <w:rPr>
          <w:rFonts w:ascii="Arial" w:hAnsi="Arial" w:cs="Arial"/>
          <w:color w:val="auto"/>
          <w:sz w:val="22"/>
          <w:szCs w:val="22"/>
        </w:rPr>
        <w:t>. Normality assumption of the residuals</w:t>
      </w:r>
    </w:p>
    <w:p w14:paraId="621C098A" w14:textId="7141DE6B" w:rsidR="00AB7653" w:rsidRPr="00AB7653" w:rsidRDefault="003A4D48" w:rsidP="00AB77E2">
      <w:pPr>
        <w:pStyle w:val="Caption"/>
        <w:spacing w:line="360" w:lineRule="auto"/>
        <w:rPr>
          <w:rFonts w:ascii="Arial" w:hAnsi="Arial" w:cs="Arial"/>
          <w:b/>
          <w:bCs/>
          <w:i w:val="0"/>
          <w:iCs w:val="0"/>
          <w:color w:val="auto"/>
          <w:sz w:val="22"/>
          <w:szCs w:val="22"/>
        </w:rPr>
      </w:pPr>
      <w:r>
        <w:rPr>
          <w:rFonts w:ascii="Arial" w:hAnsi="Arial" w:cs="Arial"/>
          <w:b/>
          <w:bCs/>
          <w:i w:val="0"/>
          <w:iCs w:val="0"/>
          <w:color w:val="auto"/>
          <w:sz w:val="22"/>
          <w:szCs w:val="22"/>
        </w:rPr>
        <w:t xml:space="preserve">3.3 </w:t>
      </w:r>
      <w:r w:rsidR="00AB7653" w:rsidRPr="00AB7653">
        <w:rPr>
          <w:rFonts w:ascii="Arial" w:hAnsi="Arial" w:cs="Arial"/>
          <w:b/>
          <w:bCs/>
          <w:i w:val="0"/>
          <w:iCs w:val="0"/>
          <w:color w:val="auto"/>
          <w:sz w:val="22"/>
          <w:szCs w:val="22"/>
        </w:rPr>
        <w:t>Regression Model for Predicting School Canteen Food Choices Among Adolescents</w:t>
      </w:r>
    </w:p>
    <w:p w14:paraId="37A6917C" w14:textId="3D5D55F6" w:rsidR="001E1D70" w:rsidRPr="0051492A" w:rsidRDefault="006F0879" w:rsidP="00AB7653">
      <w:pPr>
        <w:pStyle w:val="Caption"/>
        <w:spacing w:line="360" w:lineRule="auto"/>
        <w:jc w:val="center"/>
        <w:rPr>
          <w:rFonts w:ascii="Arial" w:hAnsi="Arial" w:cs="Arial"/>
          <w:i w:val="0"/>
          <w:iCs w:val="0"/>
          <w:color w:val="auto"/>
          <w:sz w:val="22"/>
          <w:szCs w:val="22"/>
        </w:rPr>
      </w:pPr>
      <w:r w:rsidRPr="0051492A">
        <w:rPr>
          <w:rFonts w:ascii="Arial" w:hAnsi="Arial" w:cs="Arial"/>
          <w:i w:val="0"/>
          <w:iCs w:val="0"/>
          <w:color w:val="auto"/>
          <w:sz w:val="22"/>
          <w:szCs w:val="22"/>
        </w:rPr>
        <w:t xml:space="preserve">Table </w:t>
      </w:r>
      <w:r w:rsidR="00AB7653" w:rsidRPr="0051492A">
        <w:rPr>
          <w:rFonts w:ascii="Arial" w:hAnsi="Arial" w:cs="Arial"/>
          <w:i w:val="0"/>
          <w:iCs w:val="0"/>
          <w:color w:val="auto"/>
          <w:sz w:val="22"/>
          <w:szCs w:val="22"/>
        </w:rPr>
        <w:t>2</w:t>
      </w:r>
      <w:r w:rsidRPr="0051492A">
        <w:rPr>
          <w:rFonts w:ascii="Arial" w:hAnsi="Arial" w:cs="Arial"/>
          <w:i w:val="0"/>
          <w:iCs w:val="0"/>
          <w:color w:val="auto"/>
          <w:sz w:val="22"/>
          <w:szCs w:val="22"/>
        </w:rPr>
        <w:t xml:space="preserve">. </w:t>
      </w:r>
      <w:bookmarkStart w:id="7" w:name="_Hlk216384741"/>
      <w:r w:rsidRPr="0051492A">
        <w:rPr>
          <w:rFonts w:ascii="Arial" w:hAnsi="Arial" w:cs="Arial"/>
          <w:i w:val="0"/>
          <w:iCs w:val="0"/>
          <w:color w:val="auto"/>
          <w:sz w:val="22"/>
          <w:szCs w:val="22"/>
        </w:rPr>
        <w:t>Regression Model for Predicting School Canteen Food Choices Among Adolescents</w:t>
      </w:r>
      <w:bookmarkEnd w:id="7"/>
    </w:p>
    <w:tbl>
      <w:tblPr>
        <w:tblW w:w="0" w:type="auto"/>
        <w:jc w:val="center"/>
        <w:tblLayout w:type="fixed"/>
        <w:tblLook w:val="0000" w:firstRow="0" w:lastRow="0" w:firstColumn="0" w:lastColumn="0" w:noHBand="0" w:noVBand="0"/>
      </w:tblPr>
      <w:tblGrid>
        <w:gridCol w:w="2339"/>
        <w:gridCol w:w="901"/>
        <w:gridCol w:w="991"/>
        <w:gridCol w:w="108"/>
        <w:gridCol w:w="801"/>
        <w:gridCol w:w="963"/>
        <w:gridCol w:w="539"/>
        <w:gridCol w:w="738"/>
        <w:gridCol w:w="1063"/>
        <w:gridCol w:w="565"/>
      </w:tblGrid>
      <w:tr w:rsidR="001E1D70" w:rsidRPr="001736B5" w14:paraId="5CD746E1" w14:textId="77777777" w:rsidTr="00FA509D">
        <w:trPr>
          <w:trHeight w:val="721"/>
          <w:jc w:val="center"/>
        </w:trPr>
        <w:tc>
          <w:tcPr>
            <w:tcW w:w="2339" w:type="dxa"/>
            <w:tcBorders>
              <w:top w:val="single" w:sz="4" w:space="0" w:color="auto"/>
              <w:left w:val="nil"/>
              <w:bottom w:val="single" w:sz="8" w:space="0" w:color="auto"/>
              <w:right w:val="nil"/>
            </w:tcBorders>
          </w:tcPr>
          <w:p w14:paraId="0C2817C5" w14:textId="41E4547B"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 </w:t>
            </w:r>
            <w:r w:rsidR="000316EF" w:rsidRPr="001736B5">
              <w:rPr>
                <w:rFonts w:ascii="Arial" w:hAnsi="Arial" w:cs="Arial"/>
                <w:kern w:val="0"/>
                <w:szCs w:val="22"/>
              </w:rPr>
              <w:t>N</w:t>
            </w:r>
            <w:r w:rsidR="00B2327D" w:rsidRPr="001736B5">
              <w:rPr>
                <w:rFonts w:ascii="Arial" w:hAnsi="Arial" w:cs="Arial"/>
                <w:kern w:val="0"/>
                <w:szCs w:val="22"/>
              </w:rPr>
              <w:t>utrition factor</w:t>
            </w:r>
          </w:p>
        </w:tc>
        <w:tc>
          <w:tcPr>
            <w:tcW w:w="901" w:type="dxa"/>
            <w:tcBorders>
              <w:top w:val="single" w:sz="4" w:space="0" w:color="auto"/>
              <w:left w:val="nil"/>
              <w:bottom w:val="single" w:sz="8" w:space="0" w:color="auto"/>
              <w:right w:val="nil"/>
            </w:tcBorders>
          </w:tcPr>
          <w:p w14:paraId="79248C3F"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Coef.</w:t>
            </w:r>
          </w:p>
        </w:tc>
        <w:tc>
          <w:tcPr>
            <w:tcW w:w="991" w:type="dxa"/>
            <w:tcBorders>
              <w:top w:val="single" w:sz="4" w:space="0" w:color="auto"/>
              <w:left w:val="nil"/>
              <w:bottom w:val="single" w:sz="8" w:space="0" w:color="auto"/>
              <w:right w:val="nil"/>
            </w:tcBorders>
          </w:tcPr>
          <w:p w14:paraId="0A25491F"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St.Err.</w:t>
            </w:r>
          </w:p>
        </w:tc>
        <w:tc>
          <w:tcPr>
            <w:tcW w:w="909" w:type="dxa"/>
            <w:gridSpan w:val="2"/>
            <w:tcBorders>
              <w:top w:val="single" w:sz="4" w:space="0" w:color="auto"/>
              <w:left w:val="nil"/>
              <w:bottom w:val="single" w:sz="8" w:space="0" w:color="auto"/>
              <w:right w:val="nil"/>
            </w:tcBorders>
          </w:tcPr>
          <w:p w14:paraId="5372E40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t-value</w:t>
            </w:r>
          </w:p>
        </w:tc>
        <w:tc>
          <w:tcPr>
            <w:tcW w:w="963" w:type="dxa"/>
            <w:tcBorders>
              <w:top w:val="single" w:sz="4" w:space="0" w:color="auto"/>
              <w:left w:val="nil"/>
              <w:bottom w:val="single" w:sz="8" w:space="0" w:color="auto"/>
              <w:right w:val="nil"/>
            </w:tcBorders>
          </w:tcPr>
          <w:p w14:paraId="79A2E277"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p-value</w:t>
            </w:r>
          </w:p>
        </w:tc>
        <w:tc>
          <w:tcPr>
            <w:tcW w:w="1277" w:type="dxa"/>
            <w:gridSpan w:val="2"/>
            <w:tcBorders>
              <w:top w:val="single" w:sz="4" w:space="0" w:color="auto"/>
              <w:left w:val="nil"/>
              <w:bottom w:val="single" w:sz="8" w:space="0" w:color="auto"/>
              <w:right w:val="nil"/>
            </w:tcBorders>
          </w:tcPr>
          <w:p w14:paraId="78D6EE1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[95% Conf</w:t>
            </w:r>
          </w:p>
        </w:tc>
        <w:tc>
          <w:tcPr>
            <w:tcW w:w="1063" w:type="dxa"/>
            <w:tcBorders>
              <w:top w:val="single" w:sz="4" w:space="0" w:color="auto"/>
              <w:left w:val="nil"/>
              <w:bottom w:val="single" w:sz="8" w:space="0" w:color="auto"/>
              <w:right w:val="nil"/>
            </w:tcBorders>
          </w:tcPr>
          <w:p w14:paraId="68788966"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Interval]</w:t>
            </w:r>
          </w:p>
        </w:tc>
        <w:tc>
          <w:tcPr>
            <w:tcW w:w="565" w:type="dxa"/>
            <w:tcBorders>
              <w:top w:val="single" w:sz="4" w:space="0" w:color="auto"/>
              <w:left w:val="nil"/>
              <w:bottom w:val="single" w:sz="8" w:space="0" w:color="auto"/>
              <w:right w:val="nil"/>
            </w:tcBorders>
          </w:tcPr>
          <w:p w14:paraId="733BEBF0"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 xml:space="preserve"> Sig</w:t>
            </w:r>
          </w:p>
        </w:tc>
      </w:tr>
      <w:tr w:rsidR="001E1D70" w:rsidRPr="001736B5" w14:paraId="6D86D013" w14:textId="77777777" w:rsidTr="00FA509D">
        <w:trPr>
          <w:trHeight w:val="354"/>
          <w:jc w:val="center"/>
        </w:trPr>
        <w:tc>
          <w:tcPr>
            <w:tcW w:w="2339" w:type="dxa"/>
            <w:tcBorders>
              <w:top w:val="nil"/>
              <w:left w:val="nil"/>
              <w:bottom w:val="nil"/>
              <w:right w:val="nil"/>
            </w:tcBorders>
          </w:tcPr>
          <w:p w14:paraId="49C706C5"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Taste</w:t>
            </w:r>
          </w:p>
        </w:tc>
        <w:tc>
          <w:tcPr>
            <w:tcW w:w="901" w:type="dxa"/>
            <w:tcBorders>
              <w:top w:val="nil"/>
              <w:left w:val="nil"/>
              <w:bottom w:val="nil"/>
              <w:right w:val="nil"/>
            </w:tcBorders>
          </w:tcPr>
          <w:p w14:paraId="735B960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.037</w:t>
            </w:r>
          </w:p>
        </w:tc>
        <w:tc>
          <w:tcPr>
            <w:tcW w:w="991" w:type="dxa"/>
            <w:tcBorders>
              <w:top w:val="nil"/>
              <w:left w:val="nil"/>
              <w:bottom w:val="nil"/>
              <w:right w:val="nil"/>
            </w:tcBorders>
          </w:tcPr>
          <w:p w14:paraId="1B97319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.017</w:t>
            </w:r>
          </w:p>
        </w:tc>
        <w:tc>
          <w:tcPr>
            <w:tcW w:w="909" w:type="dxa"/>
            <w:gridSpan w:val="2"/>
            <w:tcBorders>
              <w:top w:val="nil"/>
              <w:left w:val="nil"/>
              <w:bottom w:val="nil"/>
              <w:right w:val="nil"/>
            </w:tcBorders>
          </w:tcPr>
          <w:p w14:paraId="1255ED09"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2.18</w:t>
            </w:r>
          </w:p>
        </w:tc>
        <w:tc>
          <w:tcPr>
            <w:tcW w:w="963" w:type="dxa"/>
            <w:tcBorders>
              <w:top w:val="nil"/>
              <w:left w:val="nil"/>
              <w:bottom w:val="nil"/>
              <w:right w:val="nil"/>
            </w:tcBorders>
          </w:tcPr>
          <w:p w14:paraId="057325D3"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.029</w:t>
            </w:r>
          </w:p>
        </w:tc>
        <w:tc>
          <w:tcPr>
            <w:tcW w:w="1277" w:type="dxa"/>
            <w:gridSpan w:val="2"/>
            <w:tcBorders>
              <w:top w:val="nil"/>
              <w:left w:val="nil"/>
              <w:bottom w:val="nil"/>
              <w:right w:val="nil"/>
            </w:tcBorders>
          </w:tcPr>
          <w:p w14:paraId="2D7EC1EE"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.004</w:t>
            </w:r>
          </w:p>
        </w:tc>
        <w:tc>
          <w:tcPr>
            <w:tcW w:w="1063" w:type="dxa"/>
            <w:tcBorders>
              <w:top w:val="nil"/>
              <w:left w:val="nil"/>
              <w:bottom w:val="nil"/>
              <w:right w:val="nil"/>
            </w:tcBorders>
          </w:tcPr>
          <w:p w14:paraId="72E29CBA"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.07</w:t>
            </w:r>
          </w:p>
        </w:tc>
        <w:tc>
          <w:tcPr>
            <w:tcW w:w="565" w:type="dxa"/>
            <w:tcBorders>
              <w:top w:val="nil"/>
              <w:left w:val="nil"/>
              <w:bottom w:val="nil"/>
              <w:right w:val="nil"/>
            </w:tcBorders>
          </w:tcPr>
          <w:p w14:paraId="7AA3808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p>
        </w:tc>
      </w:tr>
      <w:tr w:rsidR="001E1D70" w:rsidRPr="001736B5" w14:paraId="7E26C952" w14:textId="77777777" w:rsidTr="00FA509D">
        <w:trPr>
          <w:trHeight w:val="366"/>
          <w:jc w:val="center"/>
        </w:trPr>
        <w:tc>
          <w:tcPr>
            <w:tcW w:w="2339" w:type="dxa"/>
            <w:tcBorders>
              <w:top w:val="nil"/>
              <w:left w:val="nil"/>
              <w:bottom w:val="nil"/>
              <w:right w:val="nil"/>
            </w:tcBorders>
          </w:tcPr>
          <w:p w14:paraId="67E94DAE"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Color</w:t>
            </w:r>
          </w:p>
        </w:tc>
        <w:tc>
          <w:tcPr>
            <w:tcW w:w="901" w:type="dxa"/>
            <w:tcBorders>
              <w:top w:val="nil"/>
              <w:left w:val="nil"/>
              <w:bottom w:val="nil"/>
              <w:right w:val="nil"/>
            </w:tcBorders>
          </w:tcPr>
          <w:p w14:paraId="7C55F1E3"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.008</w:t>
            </w:r>
          </w:p>
        </w:tc>
        <w:tc>
          <w:tcPr>
            <w:tcW w:w="991" w:type="dxa"/>
            <w:tcBorders>
              <w:top w:val="nil"/>
              <w:left w:val="nil"/>
              <w:bottom w:val="nil"/>
              <w:right w:val="nil"/>
            </w:tcBorders>
          </w:tcPr>
          <w:p w14:paraId="082D7DF7"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.018</w:t>
            </w:r>
          </w:p>
        </w:tc>
        <w:tc>
          <w:tcPr>
            <w:tcW w:w="909" w:type="dxa"/>
            <w:gridSpan w:val="2"/>
            <w:tcBorders>
              <w:top w:val="nil"/>
              <w:left w:val="nil"/>
              <w:bottom w:val="nil"/>
              <w:right w:val="nil"/>
            </w:tcBorders>
          </w:tcPr>
          <w:p w14:paraId="544620CE"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0.46</w:t>
            </w:r>
          </w:p>
        </w:tc>
        <w:tc>
          <w:tcPr>
            <w:tcW w:w="963" w:type="dxa"/>
            <w:tcBorders>
              <w:top w:val="nil"/>
              <w:left w:val="nil"/>
              <w:bottom w:val="nil"/>
              <w:right w:val="nil"/>
            </w:tcBorders>
          </w:tcPr>
          <w:p w14:paraId="216561E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.645</w:t>
            </w:r>
          </w:p>
        </w:tc>
        <w:tc>
          <w:tcPr>
            <w:tcW w:w="1277" w:type="dxa"/>
            <w:gridSpan w:val="2"/>
            <w:tcBorders>
              <w:top w:val="nil"/>
              <w:left w:val="nil"/>
              <w:bottom w:val="nil"/>
              <w:right w:val="nil"/>
            </w:tcBorders>
          </w:tcPr>
          <w:p w14:paraId="4969469D"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-.027</w:t>
            </w:r>
          </w:p>
        </w:tc>
        <w:tc>
          <w:tcPr>
            <w:tcW w:w="1063" w:type="dxa"/>
            <w:tcBorders>
              <w:top w:val="nil"/>
              <w:left w:val="nil"/>
              <w:bottom w:val="nil"/>
              <w:right w:val="nil"/>
            </w:tcBorders>
          </w:tcPr>
          <w:p w14:paraId="66C6C641"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.044</w:t>
            </w:r>
          </w:p>
        </w:tc>
        <w:tc>
          <w:tcPr>
            <w:tcW w:w="565" w:type="dxa"/>
            <w:tcBorders>
              <w:top w:val="nil"/>
              <w:left w:val="nil"/>
              <w:bottom w:val="nil"/>
              <w:right w:val="nil"/>
            </w:tcBorders>
          </w:tcPr>
          <w:p w14:paraId="72B0A7EB"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p>
        </w:tc>
      </w:tr>
      <w:tr w:rsidR="001E1D70" w:rsidRPr="001736B5" w14:paraId="0AA49660" w14:textId="77777777" w:rsidTr="00FA509D">
        <w:trPr>
          <w:trHeight w:val="366"/>
          <w:jc w:val="center"/>
        </w:trPr>
        <w:tc>
          <w:tcPr>
            <w:tcW w:w="2339" w:type="dxa"/>
            <w:tcBorders>
              <w:top w:val="nil"/>
              <w:left w:val="nil"/>
              <w:bottom w:val="nil"/>
              <w:right w:val="nil"/>
            </w:tcBorders>
          </w:tcPr>
          <w:p w14:paraId="31063ECF"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Bandwagon effect</w:t>
            </w:r>
          </w:p>
        </w:tc>
        <w:tc>
          <w:tcPr>
            <w:tcW w:w="901" w:type="dxa"/>
            <w:tcBorders>
              <w:top w:val="nil"/>
              <w:left w:val="nil"/>
              <w:bottom w:val="nil"/>
              <w:right w:val="nil"/>
            </w:tcBorders>
          </w:tcPr>
          <w:p w14:paraId="57A453F4"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.001</w:t>
            </w:r>
          </w:p>
        </w:tc>
        <w:tc>
          <w:tcPr>
            <w:tcW w:w="991" w:type="dxa"/>
            <w:tcBorders>
              <w:top w:val="nil"/>
              <w:left w:val="nil"/>
              <w:bottom w:val="nil"/>
              <w:right w:val="nil"/>
            </w:tcBorders>
          </w:tcPr>
          <w:p w14:paraId="56359FCA"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.019</w:t>
            </w:r>
          </w:p>
        </w:tc>
        <w:tc>
          <w:tcPr>
            <w:tcW w:w="909" w:type="dxa"/>
            <w:gridSpan w:val="2"/>
            <w:tcBorders>
              <w:top w:val="nil"/>
              <w:left w:val="nil"/>
              <w:bottom w:val="nil"/>
              <w:right w:val="nil"/>
            </w:tcBorders>
          </w:tcPr>
          <w:p w14:paraId="623FF4A7"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0.06</w:t>
            </w:r>
          </w:p>
        </w:tc>
        <w:tc>
          <w:tcPr>
            <w:tcW w:w="963" w:type="dxa"/>
            <w:tcBorders>
              <w:top w:val="nil"/>
              <w:left w:val="nil"/>
              <w:bottom w:val="nil"/>
              <w:right w:val="nil"/>
            </w:tcBorders>
          </w:tcPr>
          <w:p w14:paraId="4A999690"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.951</w:t>
            </w:r>
          </w:p>
        </w:tc>
        <w:tc>
          <w:tcPr>
            <w:tcW w:w="1277" w:type="dxa"/>
            <w:gridSpan w:val="2"/>
            <w:tcBorders>
              <w:top w:val="nil"/>
              <w:left w:val="nil"/>
              <w:bottom w:val="nil"/>
              <w:right w:val="nil"/>
            </w:tcBorders>
          </w:tcPr>
          <w:p w14:paraId="013201BC"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-.036</w:t>
            </w:r>
          </w:p>
        </w:tc>
        <w:tc>
          <w:tcPr>
            <w:tcW w:w="1063" w:type="dxa"/>
            <w:tcBorders>
              <w:top w:val="nil"/>
              <w:left w:val="nil"/>
              <w:bottom w:val="nil"/>
              <w:right w:val="nil"/>
            </w:tcBorders>
          </w:tcPr>
          <w:p w14:paraId="76794097"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.039</w:t>
            </w:r>
          </w:p>
        </w:tc>
        <w:tc>
          <w:tcPr>
            <w:tcW w:w="565" w:type="dxa"/>
            <w:tcBorders>
              <w:top w:val="nil"/>
              <w:left w:val="nil"/>
              <w:bottom w:val="nil"/>
              <w:right w:val="nil"/>
            </w:tcBorders>
          </w:tcPr>
          <w:p w14:paraId="24AFE302"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p>
        </w:tc>
      </w:tr>
      <w:tr w:rsidR="001E1D70" w:rsidRPr="001736B5" w14:paraId="669BAED6" w14:textId="77777777" w:rsidTr="00FA509D">
        <w:trPr>
          <w:trHeight w:val="721"/>
          <w:jc w:val="center"/>
        </w:trPr>
        <w:tc>
          <w:tcPr>
            <w:tcW w:w="2339" w:type="dxa"/>
            <w:tcBorders>
              <w:top w:val="nil"/>
              <w:left w:val="nil"/>
              <w:bottom w:val="nil"/>
              <w:right w:val="nil"/>
            </w:tcBorders>
          </w:tcPr>
          <w:p w14:paraId="6729A1C3" w14:textId="70A9AC10"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Anything available</w:t>
            </w:r>
            <w:r w:rsidR="000316EF" w:rsidRPr="001736B5">
              <w:rPr>
                <w:rFonts w:ascii="Arial" w:hAnsi="Arial" w:cs="Arial"/>
                <w:kern w:val="0"/>
                <w:szCs w:val="22"/>
              </w:rPr>
              <w:t xml:space="preserve"> at the </w:t>
            </w:r>
            <w:r w:rsidRPr="001736B5">
              <w:rPr>
                <w:rFonts w:ascii="Arial" w:hAnsi="Arial" w:cs="Arial"/>
                <w:kern w:val="0"/>
                <w:szCs w:val="22"/>
              </w:rPr>
              <w:t>canteen</w:t>
            </w:r>
          </w:p>
        </w:tc>
        <w:tc>
          <w:tcPr>
            <w:tcW w:w="901" w:type="dxa"/>
            <w:tcBorders>
              <w:top w:val="nil"/>
              <w:left w:val="nil"/>
              <w:bottom w:val="nil"/>
              <w:right w:val="nil"/>
            </w:tcBorders>
          </w:tcPr>
          <w:p w14:paraId="432F9B3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.04</w:t>
            </w:r>
          </w:p>
        </w:tc>
        <w:tc>
          <w:tcPr>
            <w:tcW w:w="991" w:type="dxa"/>
            <w:tcBorders>
              <w:top w:val="nil"/>
              <w:left w:val="nil"/>
              <w:bottom w:val="nil"/>
              <w:right w:val="nil"/>
            </w:tcBorders>
          </w:tcPr>
          <w:p w14:paraId="146283F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.017</w:t>
            </w:r>
          </w:p>
        </w:tc>
        <w:tc>
          <w:tcPr>
            <w:tcW w:w="909" w:type="dxa"/>
            <w:gridSpan w:val="2"/>
            <w:tcBorders>
              <w:top w:val="nil"/>
              <w:left w:val="nil"/>
              <w:bottom w:val="nil"/>
              <w:right w:val="nil"/>
            </w:tcBorders>
          </w:tcPr>
          <w:p w14:paraId="226D85A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2.36</w:t>
            </w:r>
          </w:p>
        </w:tc>
        <w:tc>
          <w:tcPr>
            <w:tcW w:w="963" w:type="dxa"/>
            <w:tcBorders>
              <w:top w:val="nil"/>
              <w:left w:val="nil"/>
              <w:bottom w:val="nil"/>
              <w:right w:val="nil"/>
            </w:tcBorders>
          </w:tcPr>
          <w:p w14:paraId="5EAD3939"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.019</w:t>
            </w:r>
          </w:p>
        </w:tc>
        <w:tc>
          <w:tcPr>
            <w:tcW w:w="1277" w:type="dxa"/>
            <w:gridSpan w:val="2"/>
            <w:tcBorders>
              <w:top w:val="nil"/>
              <w:left w:val="nil"/>
              <w:bottom w:val="nil"/>
              <w:right w:val="nil"/>
            </w:tcBorders>
          </w:tcPr>
          <w:p w14:paraId="36792C94"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.007</w:t>
            </w:r>
          </w:p>
        </w:tc>
        <w:tc>
          <w:tcPr>
            <w:tcW w:w="1063" w:type="dxa"/>
            <w:tcBorders>
              <w:top w:val="nil"/>
              <w:left w:val="nil"/>
              <w:bottom w:val="nil"/>
              <w:right w:val="nil"/>
            </w:tcBorders>
          </w:tcPr>
          <w:p w14:paraId="61B000AE"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.073</w:t>
            </w:r>
          </w:p>
        </w:tc>
        <w:tc>
          <w:tcPr>
            <w:tcW w:w="565" w:type="dxa"/>
            <w:tcBorders>
              <w:top w:val="nil"/>
              <w:left w:val="nil"/>
              <w:bottom w:val="nil"/>
              <w:right w:val="nil"/>
            </w:tcBorders>
          </w:tcPr>
          <w:p w14:paraId="38170806"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p>
        </w:tc>
      </w:tr>
      <w:tr w:rsidR="001E1D70" w:rsidRPr="001736B5" w14:paraId="1461494A" w14:textId="77777777" w:rsidTr="00FA509D">
        <w:trPr>
          <w:trHeight w:val="354"/>
          <w:jc w:val="center"/>
        </w:trPr>
        <w:tc>
          <w:tcPr>
            <w:tcW w:w="2339" w:type="dxa"/>
            <w:tcBorders>
              <w:top w:val="nil"/>
              <w:left w:val="nil"/>
              <w:bottom w:val="nil"/>
              <w:right w:val="nil"/>
            </w:tcBorders>
          </w:tcPr>
          <w:p w14:paraId="7D8F2DB7"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What we eat at home</w:t>
            </w:r>
          </w:p>
        </w:tc>
        <w:tc>
          <w:tcPr>
            <w:tcW w:w="901" w:type="dxa"/>
            <w:tcBorders>
              <w:top w:val="nil"/>
              <w:left w:val="nil"/>
              <w:bottom w:val="nil"/>
              <w:right w:val="nil"/>
            </w:tcBorders>
          </w:tcPr>
          <w:p w14:paraId="78D9CDD9"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.012</w:t>
            </w:r>
          </w:p>
        </w:tc>
        <w:tc>
          <w:tcPr>
            <w:tcW w:w="991" w:type="dxa"/>
            <w:tcBorders>
              <w:top w:val="nil"/>
              <w:left w:val="nil"/>
              <w:bottom w:val="nil"/>
              <w:right w:val="nil"/>
            </w:tcBorders>
          </w:tcPr>
          <w:p w14:paraId="56BAEE26"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.017</w:t>
            </w:r>
          </w:p>
        </w:tc>
        <w:tc>
          <w:tcPr>
            <w:tcW w:w="909" w:type="dxa"/>
            <w:gridSpan w:val="2"/>
            <w:tcBorders>
              <w:top w:val="nil"/>
              <w:left w:val="nil"/>
              <w:bottom w:val="nil"/>
              <w:right w:val="nil"/>
            </w:tcBorders>
          </w:tcPr>
          <w:p w14:paraId="5C4F0C6F"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0.69</w:t>
            </w:r>
          </w:p>
        </w:tc>
        <w:tc>
          <w:tcPr>
            <w:tcW w:w="963" w:type="dxa"/>
            <w:tcBorders>
              <w:top w:val="nil"/>
              <w:left w:val="nil"/>
              <w:bottom w:val="nil"/>
              <w:right w:val="nil"/>
            </w:tcBorders>
          </w:tcPr>
          <w:p w14:paraId="5F9CD5FD"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.492</w:t>
            </w:r>
          </w:p>
        </w:tc>
        <w:tc>
          <w:tcPr>
            <w:tcW w:w="1277" w:type="dxa"/>
            <w:gridSpan w:val="2"/>
            <w:tcBorders>
              <w:top w:val="nil"/>
              <w:left w:val="nil"/>
              <w:bottom w:val="nil"/>
              <w:right w:val="nil"/>
            </w:tcBorders>
          </w:tcPr>
          <w:p w14:paraId="1ECA38AF"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-.021</w:t>
            </w:r>
          </w:p>
        </w:tc>
        <w:tc>
          <w:tcPr>
            <w:tcW w:w="1063" w:type="dxa"/>
            <w:tcBorders>
              <w:top w:val="nil"/>
              <w:left w:val="nil"/>
              <w:bottom w:val="nil"/>
              <w:right w:val="nil"/>
            </w:tcBorders>
          </w:tcPr>
          <w:p w14:paraId="4EED490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.044</w:t>
            </w:r>
          </w:p>
        </w:tc>
        <w:tc>
          <w:tcPr>
            <w:tcW w:w="565" w:type="dxa"/>
            <w:tcBorders>
              <w:top w:val="nil"/>
              <w:left w:val="nil"/>
              <w:bottom w:val="nil"/>
              <w:right w:val="nil"/>
            </w:tcBorders>
          </w:tcPr>
          <w:p w14:paraId="00172E8B"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p>
        </w:tc>
      </w:tr>
      <w:tr w:rsidR="001E1D70" w:rsidRPr="001736B5" w14:paraId="23434A2E" w14:textId="77777777" w:rsidTr="00FA509D">
        <w:trPr>
          <w:trHeight w:val="732"/>
          <w:jc w:val="center"/>
        </w:trPr>
        <w:tc>
          <w:tcPr>
            <w:tcW w:w="2339" w:type="dxa"/>
            <w:tcBorders>
              <w:top w:val="nil"/>
              <w:left w:val="nil"/>
              <w:bottom w:val="nil"/>
              <w:right w:val="nil"/>
            </w:tcBorders>
          </w:tcPr>
          <w:p w14:paraId="73455799" w14:textId="7CA4DA92"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What I am used to </w:t>
            </w:r>
            <w:r w:rsidR="00F0226D" w:rsidRPr="001736B5">
              <w:rPr>
                <w:rFonts w:ascii="Arial" w:hAnsi="Arial" w:cs="Arial"/>
                <w:kern w:val="0"/>
                <w:szCs w:val="22"/>
              </w:rPr>
              <w:t>eating</w:t>
            </w:r>
          </w:p>
        </w:tc>
        <w:tc>
          <w:tcPr>
            <w:tcW w:w="901" w:type="dxa"/>
            <w:tcBorders>
              <w:top w:val="nil"/>
              <w:left w:val="nil"/>
              <w:bottom w:val="nil"/>
              <w:right w:val="nil"/>
            </w:tcBorders>
          </w:tcPr>
          <w:p w14:paraId="463E8D86"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.059</w:t>
            </w:r>
          </w:p>
        </w:tc>
        <w:tc>
          <w:tcPr>
            <w:tcW w:w="991" w:type="dxa"/>
            <w:tcBorders>
              <w:top w:val="nil"/>
              <w:left w:val="nil"/>
              <w:bottom w:val="nil"/>
              <w:right w:val="nil"/>
            </w:tcBorders>
          </w:tcPr>
          <w:p w14:paraId="68C82891"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.017</w:t>
            </w:r>
          </w:p>
        </w:tc>
        <w:tc>
          <w:tcPr>
            <w:tcW w:w="909" w:type="dxa"/>
            <w:gridSpan w:val="2"/>
            <w:tcBorders>
              <w:top w:val="nil"/>
              <w:left w:val="nil"/>
              <w:bottom w:val="nil"/>
              <w:right w:val="nil"/>
            </w:tcBorders>
          </w:tcPr>
          <w:p w14:paraId="61C9292D"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3.54</w:t>
            </w:r>
          </w:p>
        </w:tc>
        <w:tc>
          <w:tcPr>
            <w:tcW w:w="963" w:type="dxa"/>
            <w:tcBorders>
              <w:top w:val="nil"/>
              <w:left w:val="nil"/>
              <w:bottom w:val="nil"/>
              <w:right w:val="nil"/>
            </w:tcBorders>
          </w:tcPr>
          <w:p w14:paraId="7D3D8FC4" w14:textId="3F363188" w:rsidR="001E1D70" w:rsidRPr="001736B5" w:rsidRDefault="00FC06C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r w:rsidR="001E1D70" w:rsidRPr="001736B5">
              <w:rPr>
                <w:rFonts w:ascii="Arial" w:hAnsi="Arial" w:cs="Arial"/>
                <w:kern w:val="0"/>
                <w:szCs w:val="22"/>
              </w:rPr>
              <w:t>0</w:t>
            </w:r>
            <w:r w:rsidRPr="001736B5">
              <w:rPr>
                <w:rFonts w:ascii="Arial" w:hAnsi="Arial" w:cs="Arial"/>
                <w:kern w:val="0"/>
                <w:szCs w:val="22"/>
              </w:rPr>
              <w:t>00</w:t>
            </w:r>
          </w:p>
        </w:tc>
        <w:tc>
          <w:tcPr>
            <w:tcW w:w="1277" w:type="dxa"/>
            <w:gridSpan w:val="2"/>
            <w:tcBorders>
              <w:top w:val="nil"/>
              <w:left w:val="nil"/>
              <w:bottom w:val="nil"/>
              <w:right w:val="nil"/>
            </w:tcBorders>
          </w:tcPr>
          <w:p w14:paraId="3DC14C09"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.027</w:t>
            </w:r>
          </w:p>
        </w:tc>
        <w:tc>
          <w:tcPr>
            <w:tcW w:w="1063" w:type="dxa"/>
            <w:tcBorders>
              <w:top w:val="nil"/>
              <w:left w:val="nil"/>
              <w:bottom w:val="nil"/>
              <w:right w:val="nil"/>
            </w:tcBorders>
          </w:tcPr>
          <w:p w14:paraId="3B8EDC99"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.092</w:t>
            </w:r>
          </w:p>
        </w:tc>
        <w:tc>
          <w:tcPr>
            <w:tcW w:w="565" w:type="dxa"/>
            <w:tcBorders>
              <w:top w:val="nil"/>
              <w:left w:val="nil"/>
              <w:bottom w:val="nil"/>
              <w:right w:val="nil"/>
            </w:tcBorders>
          </w:tcPr>
          <w:p w14:paraId="72B19F90"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p>
        </w:tc>
      </w:tr>
      <w:tr w:rsidR="001E1D70" w:rsidRPr="001736B5" w14:paraId="242A0C9E" w14:textId="77777777" w:rsidTr="00FA509D">
        <w:trPr>
          <w:trHeight w:val="354"/>
          <w:jc w:val="center"/>
        </w:trPr>
        <w:tc>
          <w:tcPr>
            <w:tcW w:w="2339" w:type="dxa"/>
            <w:tcBorders>
              <w:top w:val="nil"/>
              <w:left w:val="nil"/>
              <w:bottom w:val="nil"/>
              <w:right w:val="nil"/>
            </w:tcBorders>
          </w:tcPr>
          <w:p w14:paraId="67818BB8"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Constant</w:t>
            </w:r>
          </w:p>
        </w:tc>
        <w:tc>
          <w:tcPr>
            <w:tcW w:w="901" w:type="dxa"/>
            <w:tcBorders>
              <w:top w:val="nil"/>
              <w:left w:val="nil"/>
              <w:bottom w:val="nil"/>
              <w:right w:val="nil"/>
            </w:tcBorders>
          </w:tcPr>
          <w:p w14:paraId="6FD9F6D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-.505</w:t>
            </w:r>
          </w:p>
        </w:tc>
        <w:tc>
          <w:tcPr>
            <w:tcW w:w="991" w:type="dxa"/>
            <w:tcBorders>
              <w:top w:val="nil"/>
              <w:left w:val="nil"/>
              <w:bottom w:val="nil"/>
              <w:right w:val="nil"/>
            </w:tcBorders>
          </w:tcPr>
          <w:p w14:paraId="17DFB6FB"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.1</w:t>
            </w:r>
          </w:p>
        </w:tc>
        <w:tc>
          <w:tcPr>
            <w:tcW w:w="909" w:type="dxa"/>
            <w:gridSpan w:val="2"/>
            <w:tcBorders>
              <w:top w:val="nil"/>
              <w:left w:val="nil"/>
              <w:bottom w:val="nil"/>
              <w:right w:val="nil"/>
            </w:tcBorders>
          </w:tcPr>
          <w:p w14:paraId="7C7B6E0E"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-5.06</w:t>
            </w:r>
          </w:p>
        </w:tc>
        <w:tc>
          <w:tcPr>
            <w:tcW w:w="963" w:type="dxa"/>
            <w:tcBorders>
              <w:top w:val="nil"/>
              <w:left w:val="nil"/>
              <w:bottom w:val="nil"/>
              <w:right w:val="nil"/>
            </w:tcBorders>
          </w:tcPr>
          <w:p w14:paraId="263A1C1A" w14:textId="31ACEE9A" w:rsidR="001E1D70" w:rsidRPr="001736B5" w:rsidRDefault="00FC06C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r w:rsidR="001E1D70" w:rsidRPr="001736B5">
              <w:rPr>
                <w:rFonts w:ascii="Arial" w:hAnsi="Arial" w:cs="Arial"/>
                <w:kern w:val="0"/>
                <w:szCs w:val="22"/>
              </w:rPr>
              <w:t>0</w:t>
            </w:r>
            <w:r w:rsidRPr="001736B5">
              <w:rPr>
                <w:rFonts w:ascii="Arial" w:hAnsi="Arial" w:cs="Arial"/>
                <w:kern w:val="0"/>
                <w:szCs w:val="22"/>
              </w:rPr>
              <w:t>00</w:t>
            </w:r>
          </w:p>
        </w:tc>
        <w:tc>
          <w:tcPr>
            <w:tcW w:w="1277" w:type="dxa"/>
            <w:gridSpan w:val="2"/>
            <w:tcBorders>
              <w:top w:val="nil"/>
              <w:left w:val="nil"/>
              <w:bottom w:val="nil"/>
              <w:right w:val="nil"/>
            </w:tcBorders>
          </w:tcPr>
          <w:p w14:paraId="1E54E59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-.7</w:t>
            </w:r>
          </w:p>
        </w:tc>
        <w:tc>
          <w:tcPr>
            <w:tcW w:w="1063" w:type="dxa"/>
            <w:tcBorders>
              <w:top w:val="nil"/>
              <w:left w:val="nil"/>
              <w:bottom w:val="nil"/>
              <w:right w:val="nil"/>
            </w:tcBorders>
          </w:tcPr>
          <w:p w14:paraId="39F8AB05"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-.309</w:t>
            </w:r>
          </w:p>
        </w:tc>
        <w:tc>
          <w:tcPr>
            <w:tcW w:w="565" w:type="dxa"/>
            <w:tcBorders>
              <w:top w:val="nil"/>
              <w:left w:val="nil"/>
              <w:bottom w:val="nil"/>
              <w:right w:val="nil"/>
            </w:tcBorders>
          </w:tcPr>
          <w:p w14:paraId="13C5BE81"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w:t>
            </w:r>
          </w:p>
        </w:tc>
      </w:tr>
      <w:tr w:rsidR="001E1D70" w:rsidRPr="001736B5" w14:paraId="450586B2" w14:textId="77777777" w:rsidTr="00FA509D">
        <w:trPr>
          <w:trHeight w:val="366"/>
          <w:jc w:val="center"/>
        </w:trPr>
        <w:tc>
          <w:tcPr>
            <w:tcW w:w="9008" w:type="dxa"/>
            <w:gridSpan w:val="10"/>
            <w:tcBorders>
              <w:top w:val="nil"/>
              <w:left w:val="nil"/>
              <w:bottom w:val="single" w:sz="4" w:space="0" w:color="auto"/>
              <w:right w:val="nil"/>
            </w:tcBorders>
          </w:tcPr>
          <w:p w14:paraId="7C32D440"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p>
        </w:tc>
      </w:tr>
      <w:tr w:rsidR="001E1D70" w:rsidRPr="001736B5" w14:paraId="37353989" w14:textId="77777777" w:rsidTr="00FA509D">
        <w:trPr>
          <w:trHeight w:val="354"/>
          <w:jc w:val="center"/>
        </w:trPr>
        <w:tc>
          <w:tcPr>
            <w:tcW w:w="2339" w:type="dxa"/>
            <w:tcBorders>
              <w:top w:val="nil"/>
              <w:left w:val="nil"/>
              <w:bottom w:val="nil"/>
              <w:right w:val="nil"/>
            </w:tcBorders>
          </w:tcPr>
          <w:p w14:paraId="000D46CA"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Mean dependent var</w:t>
            </w:r>
          </w:p>
        </w:tc>
        <w:tc>
          <w:tcPr>
            <w:tcW w:w="2000" w:type="dxa"/>
            <w:gridSpan w:val="3"/>
            <w:tcBorders>
              <w:top w:val="nil"/>
              <w:left w:val="nil"/>
              <w:bottom w:val="nil"/>
              <w:right w:val="nil"/>
            </w:tcBorders>
          </w:tcPr>
          <w:p w14:paraId="18616AFB"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-0.000</w:t>
            </w:r>
          </w:p>
        </w:tc>
        <w:tc>
          <w:tcPr>
            <w:tcW w:w="2303" w:type="dxa"/>
            <w:gridSpan w:val="3"/>
            <w:tcBorders>
              <w:top w:val="nil"/>
              <w:left w:val="nil"/>
              <w:bottom w:val="nil"/>
              <w:right w:val="nil"/>
            </w:tcBorders>
          </w:tcPr>
          <w:p w14:paraId="6C51F07B"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SD dependent var </w:t>
            </w:r>
          </w:p>
        </w:tc>
        <w:tc>
          <w:tcPr>
            <w:tcW w:w="2366" w:type="dxa"/>
            <w:gridSpan w:val="3"/>
            <w:tcBorders>
              <w:top w:val="nil"/>
              <w:left w:val="nil"/>
              <w:bottom w:val="nil"/>
              <w:right w:val="nil"/>
            </w:tcBorders>
          </w:tcPr>
          <w:p w14:paraId="1E838941"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0.775</w:t>
            </w:r>
          </w:p>
        </w:tc>
      </w:tr>
      <w:tr w:rsidR="001E1D70" w:rsidRPr="001736B5" w14:paraId="2A59F1FF" w14:textId="77777777" w:rsidTr="00FA509D">
        <w:trPr>
          <w:trHeight w:val="366"/>
          <w:jc w:val="center"/>
        </w:trPr>
        <w:tc>
          <w:tcPr>
            <w:tcW w:w="2339" w:type="dxa"/>
            <w:tcBorders>
              <w:top w:val="nil"/>
              <w:left w:val="nil"/>
              <w:bottom w:val="nil"/>
              <w:right w:val="nil"/>
            </w:tcBorders>
          </w:tcPr>
          <w:p w14:paraId="0FED1C15"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R-squared </w:t>
            </w:r>
          </w:p>
        </w:tc>
        <w:tc>
          <w:tcPr>
            <w:tcW w:w="2000" w:type="dxa"/>
            <w:gridSpan w:val="3"/>
            <w:tcBorders>
              <w:top w:val="nil"/>
              <w:left w:val="nil"/>
              <w:bottom w:val="nil"/>
              <w:right w:val="nil"/>
            </w:tcBorders>
          </w:tcPr>
          <w:p w14:paraId="165B06E8"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0.027</w:t>
            </w:r>
          </w:p>
        </w:tc>
        <w:tc>
          <w:tcPr>
            <w:tcW w:w="2303" w:type="dxa"/>
            <w:gridSpan w:val="3"/>
            <w:tcBorders>
              <w:top w:val="nil"/>
              <w:left w:val="nil"/>
              <w:bottom w:val="nil"/>
              <w:right w:val="nil"/>
            </w:tcBorders>
          </w:tcPr>
          <w:p w14:paraId="3D24AB61"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Number of obs  </w:t>
            </w:r>
          </w:p>
        </w:tc>
        <w:tc>
          <w:tcPr>
            <w:tcW w:w="2366" w:type="dxa"/>
            <w:gridSpan w:val="3"/>
            <w:tcBorders>
              <w:top w:val="nil"/>
              <w:left w:val="nil"/>
              <w:bottom w:val="nil"/>
              <w:right w:val="nil"/>
            </w:tcBorders>
          </w:tcPr>
          <w:p w14:paraId="42CF6B73"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1153</w:t>
            </w:r>
          </w:p>
        </w:tc>
      </w:tr>
      <w:tr w:rsidR="001E1D70" w:rsidRPr="001736B5" w14:paraId="1DB04D8E" w14:textId="77777777" w:rsidTr="00FA509D">
        <w:trPr>
          <w:trHeight w:val="366"/>
          <w:jc w:val="center"/>
        </w:trPr>
        <w:tc>
          <w:tcPr>
            <w:tcW w:w="2339" w:type="dxa"/>
            <w:tcBorders>
              <w:top w:val="nil"/>
              <w:left w:val="nil"/>
              <w:bottom w:val="nil"/>
              <w:right w:val="nil"/>
            </w:tcBorders>
          </w:tcPr>
          <w:p w14:paraId="57A58798"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F-test  </w:t>
            </w:r>
          </w:p>
        </w:tc>
        <w:tc>
          <w:tcPr>
            <w:tcW w:w="2000" w:type="dxa"/>
            <w:gridSpan w:val="3"/>
            <w:tcBorders>
              <w:top w:val="nil"/>
              <w:left w:val="nil"/>
              <w:bottom w:val="nil"/>
              <w:right w:val="nil"/>
            </w:tcBorders>
          </w:tcPr>
          <w:p w14:paraId="044FC8C2"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5.325</w:t>
            </w:r>
          </w:p>
        </w:tc>
        <w:tc>
          <w:tcPr>
            <w:tcW w:w="2303" w:type="dxa"/>
            <w:gridSpan w:val="3"/>
            <w:tcBorders>
              <w:top w:val="nil"/>
              <w:left w:val="nil"/>
              <w:bottom w:val="nil"/>
              <w:right w:val="nil"/>
            </w:tcBorders>
          </w:tcPr>
          <w:p w14:paraId="03D57B98"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 xml:space="preserve">Prob &gt; F </w:t>
            </w:r>
          </w:p>
        </w:tc>
        <w:tc>
          <w:tcPr>
            <w:tcW w:w="2366" w:type="dxa"/>
            <w:gridSpan w:val="3"/>
            <w:tcBorders>
              <w:top w:val="nil"/>
              <w:left w:val="nil"/>
              <w:bottom w:val="nil"/>
              <w:right w:val="nil"/>
            </w:tcBorders>
          </w:tcPr>
          <w:p w14:paraId="2FF323C7"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0.000</w:t>
            </w:r>
          </w:p>
        </w:tc>
      </w:tr>
      <w:tr w:rsidR="001E1D70" w:rsidRPr="001736B5" w14:paraId="72856E6C" w14:textId="77777777" w:rsidTr="00FA509D">
        <w:trPr>
          <w:trHeight w:val="354"/>
          <w:jc w:val="center"/>
        </w:trPr>
        <w:tc>
          <w:tcPr>
            <w:tcW w:w="2339" w:type="dxa"/>
            <w:tcBorders>
              <w:top w:val="nil"/>
              <w:left w:val="nil"/>
              <w:bottom w:val="nil"/>
              <w:right w:val="nil"/>
            </w:tcBorders>
          </w:tcPr>
          <w:p w14:paraId="0F9C0646"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Akaike crit. (AIC)</w:t>
            </w:r>
          </w:p>
        </w:tc>
        <w:tc>
          <w:tcPr>
            <w:tcW w:w="2000" w:type="dxa"/>
            <w:gridSpan w:val="3"/>
            <w:tcBorders>
              <w:top w:val="nil"/>
              <w:left w:val="nil"/>
              <w:bottom w:val="nil"/>
              <w:right w:val="nil"/>
            </w:tcBorders>
          </w:tcPr>
          <w:p w14:paraId="6FA95C0E"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2666.216</w:t>
            </w:r>
          </w:p>
        </w:tc>
        <w:tc>
          <w:tcPr>
            <w:tcW w:w="2303" w:type="dxa"/>
            <w:gridSpan w:val="3"/>
            <w:tcBorders>
              <w:top w:val="nil"/>
              <w:left w:val="nil"/>
              <w:bottom w:val="nil"/>
              <w:right w:val="nil"/>
            </w:tcBorders>
          </w:tcPr>
          <w:p w14:paraId="4F3D80DE"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kern w:val="0"/>
                <w:szCs w:val="22"/>
              </w:rPr>
              <w:t>Bayesian crit. (BIC)</w:t>
            </w:r>
          </w:p>
        </w:tc>
        <w:tc>
          <w:tcPr>
            <w:tcW w:w="2366" w:type="dxa"/>
            <w:gridSpan w:val="3"/>
            <w:tcBorders>
              <w:top w:val="nil"/>
              <w:left w:val="nil"/>
              <w:bottom w:val="nil"/>
              <w:right w:val="nil"/>
            </w:tcBorders>
          </w:tcPr>
          <w:p w14:paraId="0585A130" w14:textId="77777777" w:rsidR="001E1D70" w:rsidRPr="001736B5" w:rsidRDefault="001E1D70" w:rsidP="00AB77E2">
            <w:pPr>
              <w:widowControl w:val="0"/>
              <w:autoSpaceDE w:val="0"/>
              <w:autoSpaceDN w:val="0"/>
              <w:adjustRightInd w:val="0"/>
              <w:spacing w:after="0" w:line="360" w:lineRule="auto"/>
              <w:jc w:val="right"/>
              <w:rPr>
                <w:rFonts w:ascii="Arial" w:hAnsi="Arial" w:cs="Arial"/>
                <w:kern w:val="0"/>
                <w:szCs w:val="22"/>
              </w:rPr>
            </w:pPr>
            <w:r w:rsidRPr="001736B5">
              <w:rPr>
                <w:rFonts w:ascii="Arial" w:hAnsi="Arial" w:cs="Arial"/>
                <w:kern w:val="0"/>
                <w:szCs w:val="22"/>
              </w:rPr>
              <w:t>2701.567</w:t>
            </w:r>
          </w:p>
        </w:tc>
      </w:tr>
      <w:tr w:rsidR="001E1D70" w:rsidRPr="001736B5" w14:paraId="495D436A" w14:textId="77777777" w:rsidTr="00FA509D">
        <w:trPr>
          <w:trHeight w:val="366"/>
          <w:jc w:val="center"/>
        </w:trPr>
        <w:tc>
          <w:tcPr>
            <w:tcW w:w="9008" w:type="dxa"/>
            <w:gridSpan w:val="10"/>
            <w:tcBorders>
              <w:top w:val="single" w:sz="6" w:space="0" w:color="auto"/>
              <w:left w:val="nil"/>
              <w:bottom w:val="nil"/>
              <w:right w:val="nil"/>
            </w:tcBorders>
          </w:tcPr>
          <w:p w14:paraId="03EA2A16" w14:textId="77777777" w:rsidR="001E1D70" w:rsidRPr="001736B5" w:rsidRDefault="001E1D70" w:rsidP="00AB77E2">
            <w:pPr>
              <w:widowControl w:val="0"/>
              <w:autoSpaceDE w:val="0"/>
              <w:autoSpaceDN w:val="0"/>
              <w:adjustRightInd w:val="0"/>
              <w:spacing w:after="0" w:line="360" w:lineRule="auto"/>
              <w:rPr>
                <w:rFonts w:ascii="Arial" w:hAnsi="Arial" w:cs="Arial"/>
                <w:kern w:val="0"/>
                <w:szCs w:val="22"/>
              </w:rPr>
            </w:pPr>
            <w:r w:rsidRPr="001736B5">
              <w:rPr>
                <w:rFonts w:ascii="Arial" w:hAnsi="Arial" w:cs="Arial"/>
                <w:i/>
                <w:iCs/>
                <w:kern w:val="0"/>
                <w:szCs w:val="22"/>
              </w:rPr>
              <w:t>*** p&lt;.01, ** p&lt;.05, * p&lt;.1</w:t>
            </w:r>
          </w:p>
        </w:tc>
      </w:tr>
    </w:tbl>
    <w:p w14:paraId="337B81D8" w14:textId="5173257A" w:rsidR="00B22767" w:rsidRDefault="00B2327D" w:rsidP="00AB77E2">
      <w:pPr>
        <w:spacing w:after="0" w:line="360" w:lineRule="auto"/>
        <w:rPr>
          <w:rFonts w:ascii="Arial" w:hAnsi="Arial" w:cs="Arial"/>
          <w:szCs w:val="22"/>
        </w:rPr>
      </w:pPr>
      <w:r w:rsidRPr="001736B5">
        <w:rPr>
          <w:rFonts w:ascii="Arial" w:hAnsi="Arial" w:cs="Arial"/>
          <w:szCs w:val="22"/>
        </w:rPr>
        <w:lastRenderedPageBreak/>
        <w:t>The coefficient of determination</w:t>
      </w:r>
      <w:r w:rsidR="007E2D7B" w:rsidRPr="001736B5">
        <w:rPr>
          <w:rFonts w:ascii="Arial" w:hAnsi="Arial" w:cs="Arial"/>
          <w:szCs w:val="22"/>
        </w:rPr>
        <w:t xml:space="preserve"> indicates that</w:t>
      </w:r>
      <w:r w:rsidRPr="001736B5">
        <w:rPr>
          <w:rFonts w:ascii="Arial" w:hAnsi="Arial" w:cs="Arial"/>
          <w:szCs w:val="22"/>
        </w:rPr>
        <w:t xml:space="preserve"> </w:t>
      </w:r>
      <w:r w:rsidR="007E2D7B" w:rsidRPr="001736B5">
        <w:rPr>
          <w:rFonts w:ascii="Arial" w:hAnsi="Arial" w:cs="Arial"/>
          <w:szCs w:val="22"/>
        </w:rPr>
        <w:t xml:space="preserve">approximately 3% of the variation in the nutrition practices is explained by variation in the considered factors. The regression coefficient suggests that if the taste of food goes up by one unit, the average nutrition practices would go up by about 4% (Coef = </w:t>
      </w:r>
      <w:r w:rsidR="007E2D7B" w:rsidRPr="001736B5">
        <w:rPr>
          <w:rFonts w:ascii="Arial" w:hAnsi="Arial" w:cs="Arial"/>
          <w:kern w:val="0"/>
          <w:szCs w:val="22"/>
        </w:rPr>
        <w:t>.037</w:t>
      </w:r>
      <w:r w:rsidR="007E2D7B" w:rsidRPr="001736B5">
        <w:rPr>
          <w:rFonts w:ascii="Arial" w:hAnsi="Arial" w:cs="Arial"/>
          <w:szCs w:val="22"/>
        </w:rPr>
        <w:t xml:space="preserve">, SE = </w:t>
      </w:r>
      <w:r w:rsidR="007E2D7B" w:rsidRPr="001736B5">
        <w:rPr>
          <w:rFonts w:ascii="Arial" w:hAnsi="Arial" w:cs="Arial"/>
          <w:kern w:val="0"/>
          <w:szCs w:val="22"/>
        </w:rPr>
        <w:t>.017</w:t>
      </w:r>
      <w:r w:rsidR="007E2D7B" w:rsidRPr="001736B5">
        <w:rPr>
          <w:rFonts w:ascii="Arial" w:hAnsi="Arial" w:cs="Arial"/>
          <w:szCs w:val="22"/>
        </w:rPr>
        <w:t xml:space="preserve">, t = </w:t>
      </w:r>
      <w:r w:rsidR="007E2D7B" w:rsidRPr="001736B5">
        <w:rPr>
          <w:rFonts w:ascii="Arial" w:hAnsi="Arial" w:cs="Arial"/>
          <w:kern w:val="0"/>
          <w:szCs w:val="22"/>
        </w:rPr>
        <w:t>2.18</w:t>
      </w:r>
      <w:r w:rsidR="007E2D7B" w:rsidRPr="001736B5">
        <w:rPr>
          <w:rFonts w:ascii="Arial" w:hAnsi="Arial" w:cs="Arial"/>
          <w:szCs w:val="22"/>
        </w:rPr>
        <w:t>, p &lt; 0.01, 95% CI [</w:t>
      </w:r>
      <w:r w:rsidR="007E2D7B" w:rsidRPr="001736B5">
        <w:rPr>
          <w:rFonts w:ascii="Arial" w:hAnsi="Arial" w:cs="Arial"/>
          <w:kern w:val="0"/>
          <w:szCs w:val="22"/>
        </w:rPr>
        <w:t>.004</w:t>
      </w:r>
      <w:r w:rsidR="007E2D7B" w:rsidRPr="001736B5">
        <w:rPr>
          <w:rFonts w:ascii="Arial" w:hAnsi="Arial" w:cs="Arial"/>
          <w:szCs w:val="22"/>
        </w:rPr>
        <w:t xml:space="preserve">, </w:t>
      </w:r>
      <w:r w:rsidR="007E2D7B" w:rsidRPr="001736B5">
        <w:rPr>
          <w:rFonts w:ascii="Arial" w:hAnsi="Arial" w:cs="Arial"/>
          <w:kern w:val="0"/>
          <w:szCs w:val="22"/>
        </w:rPr>
        <w:t>.07</w:t>
      </w:r>
      <w:r w:rsidR="007E2D7B" w:rsidRPr="001736B5">
        <w:rPr>
          <w:rFonts w:ascii="Arial" w:hAnsi="Arial" w:cs="Arial"/>
          <w:szCs w:val="22"/>
        </w:rPr>
        <w:t xml:space="preserve">]). </w:t>
      </w:r>
      <w:r w:rsidR="000728D2">
        <w:rPr>
          <w:rFonts w:ascii="Arial" w:hAnsi="Arial" w:cs="Arial"/>
          <w:szCs w:val="22"/>
        </w:rPr>
        <w:t xml:space="preserve">Consistent with the previous findings, the taste of the item sold at the canteen is crucial in detecting nutritional diet intakes. For instance, </w:t>
      </w:r>
      <w:r w:rsidR="000728D2">
        <w:rPr>
          <w:rFonts w:ascii="Arial" w:hAnsi="Arial" w:cs="Arial"/>
          <w:szCs w:val="22"/>
        </w:rPr>
        <w:fldChar w:fldCharType="begin"/>
      </w:r>
      <w:r w:rsidR="000728D2">
        <w:rPr>
          <w:rFonts w:ascii="Arial" w:hAnsi="Arial" w:cs="Arial"/>
          <w:szCs w:val="22"/>
        </w:rPr>
        <w:instrText xml:space="preserve"> ADDIN EN.CITE &lt;EndNote&gt;&lt;Cite AuthorYear="1"&gt;&lt;Author&gt;Fagerberg&lt;/Author&gt;&lt;Year&gt;2019&lt;/Year&gt;&lt;RecNum&gt;303&lt;/RecNum&gt;&lt;DisplayText&gt;Fagerberg et al. (2019)&lt;/DisplayText&gt;&lt;record&gt;&lt;rec-number&gt;303&lt;/rec-number&gt;&lt;foreign-keys&gt;&lt;key app="EN" db-id="0s9eefvfzs9pwhew92s5eaw2rzs0frxxdvdz" timestamp="1765885740"&gt;303&lt;/key&gt;&lt;/foreign-keys&gt;&lt;ref-type name="Journal Article"&gt;17&lt;/ref-type&gt;&lt;contributors&gt;&lt;authors&gt;&lt;author&gt;Fagerberg, Petter&lt;/author&gt;&lt;author&gt;Langlet, Billy&lt;/author&gt;&lt;author&gt;Glossner, Andrew&lt;/author&gt;&lt;author&gt;Ioakimidis, Ioannis&lt;/author&gt;&lt;/authors&gt;&lt;/contributors&gt;&lt;titles&gt;&lt;title&gt;Food intake during school lunch is better explained by objectively measured eating behaviors than by subjectively rated food taste and fullness: A cross-sectional study&lt;/title&gt;&lt;secondary-title&gt;Nutrients&lt;/secondary-title&gt;&lt;/titles&gt;&lt;periodical&gt;&lt;full-title&gt;Nutrients&lt;/full-title&gt;&lt;/periodical&gt;&lt;pages&gt;597&lt;/pages&gt;&lt;volume&gt;11&lt;/volume&gt;&lt;number&gt;3&lt;/number&gt;&lt;dates&gt;&lt;year&gt;2019&lt;/year&gt;&lt;/dates&gt;&lt;isbn&gt;2072-6643&lt;/isbn&gt;&lt;urls&gt;&lt;/urls&gt;&lt;/record&gt;&lt;/Cite&gt;&lt;/EndNote&gt;</w:instrText>
      </w:r>
      <w:r w:rsidR="000728D2">
        <w:rPr>
          <w:rFonts w:ascii="Arial" w:hAnsi="Arial" w:cs="Arial"/>
          <w:szCs w:val="22"/>
        </w:rPr>
        <w:fldChar w:fldCharType="separate"/>
      </w:r>
      <w:r w:rsidR="000728D2">
        <w:rPr>
          <w:rFonts w:ascii="Arial" w:hAnsi="Arial" w:cs="Arial"/>
          <w:noProof/>
          <w:szCs w:val="22"/>
        </w:rPr>
        <w:t>Fagerberg et al. (2019)</w:t>
      </w:r>
      <w:r w:rsidR="000728D2">
        <w:rPr>
          <w:rFonts w:ascii="Arial" w:hAnsi="Arial" w:cs="Arial"/>
          <w:szCs w:val="22"/>
        </w:rPr>
        <w:fldChar w:fldCharType="end"/>
      </w:r>
      <w:r w:rsidR="000728D2">
        <w:rPr>
          <w:rFonts w:ascii="Arial" w:hAnsi="Arial" w:cs="Arial"/>
          <w:szCs w:val="22"/>
        </w:rPr>
        <w:t xml:space="preserve"> found that </w:t>
      </w:r>
      <w:r w:rsidR="000728D2" w:rsidRPr="000728D2">
        <w:rPr>
          <w:rFonts w:ascii="Arial" w:hAnsi="Arial" w:cs="Arial"/>
          <w:szCs w:val="22"/>
        </w:rPr>
        <w:t xml:space="preserve">food taste is a significant </w:t>
      </w:r>
      <w:r w:rsidR="000728D2">
        <w:rPr>
          <w:rFonts w:ascii="Arial" w:hAnsi="Arial" w:cs="Arial"/>
          <w:szCs w:val="22"/>
        </w:rPr>
        <w:t>predictor</w:t>
      </w:r>
      <w:r w:rsidR="000728D2" w:rsidRPr="000728D2">
        <w:rPr>
          <w:rFonts w:ascii="Arial" w:hAnsi="Arial" w:cs="Arial"/>
          <w:szCs w:val="22"/>
        </w:rPr>
        <w:t xml:space="preserve"> for variations in food intake</w:t>
      </w:r>
      <w:r w:rsidR="000728D2">
        <w:rPr>
          <w:rFonts w:ascii="Arial" w:hAnsi="Arial" w:cs="Arial"/>
          <w:szCs w:val="22"/>
        </w:rPr>
        <w:t xml:space="preserve"> among adolescents at canteens. </w:t>
      </w:r>
      <w:r w:rsidR="000728D2">
        <w:rPr>
          <w:rFonts w:ascii="Arial" w:hAnsi="Arial" w:cs="Arial"/>
          <w:szCs w:val="22"/>
        </w:rPr>
        <w:fldChar w:fldCharType="begin"/>
      </w:r>
      <w:r w:rsidR="000728D2">
        <w:rPr>
          <w:rFonts w:ascii="Arial" w:hAnsi="Arial" w:cs="Arial"/>
          <w:szCs w:val="22"/>
        </w:rPr>
        <w:instrText xml:space="preserve"> ADDIN EN.CITE &lt;EndNote&gt;&lt;Cite AuthorYear="1"&gt;&lt;Author&gt;van Kleef&lt;/Author&gt;&lt;Year&gt;2019&lt;/Year&gt;&lt;RecNum&gt;304&lt;/RecNum&gt;&lt;DisplayText&gt;van Kleef et al. (2019)&lt;/DisplayText&gt;&lt;record&gt;&lt;rec-number&gt;304&lt;/rec-number&gt;&lt;foreign-keys&gt;&lt;key app="EN" db-id="0s9eefvfzs9pwhew92s5eaw2rzs0frxxdvdz" timestamp="1765885740"&gt;304&lt;/key&gt;&lt;/foreign-keys&gt;&lt;ref-type name="Journal Article"&gt;17&lt;/ref-type&gt;&lt;contributors&gt;&lt;authors&gt;&lt;author&gt;van Kleef, Ellen&lt;/author&gt;&lt;author&gt;Meeuwsen, Tanja&lt;/author&gt;&lt;author&gt;Rigterink, Jetteke&lt;/author&gt;&lt;author&gt;Van Trijp, Hans&lt;/author&gt;&lt;/authors&gt;&lt;/contributors&gt;&lt;titles&gt;&lt;title&gt;Moving towards a healthier assortment in secondary and vocational school food environments: Perspectives of Dutch students and school food policy professionals&lt;/title&gt;&lt;secondary-title&gt;British Food Journal&lt;/secondary-title&gt;&lt;/titles&gt;&lt;periodical&gt;&lt;full-title&gt;British Food Journal&lt;/full-title&gt;&lt;/periodical&gt;&lt;pages&gt;2052-2066&lt;/pages&gt;&lt;volume&gt;121&lt;/volume&gt;&lt;number&gt;9&lt;/number&gt;&lt;dates&gt;&lt;year&gt;2019&lt;/year&gt;&lt;/dates&gt;&lt;isbn&gt;0007-070X&lt;/isbn&gt;&lt;urls&gt;&lt;/urls&gt;&lt;/record&gt;&lt;/Cite&gt;&lt;/EndNote&gt;</w:instrText>
      </w:r>
      <w:r w:rsidR="000728D2">
        <w:rPr>
          <w:rFonts w:ascii="Arial" w:hAnsi="Arial" w:cs="Arial"/>
          <w:szCs w:val="22"/>
        </w:rPr>
        <w:fldChar w:fldCharType="separate"/>
      </w:r>
      <w:r w:rsidR="000728D2">
        <w:rPr>
          <w:rFonts w:ascii="Arial" w:hAnsi="Arial" w:cs="Arial"/>
          <w:noProof/>
          <w:szCs w:val="22"/>
        </w:rPr>
        <w:t>van Kleef et al. (2019)</w:t>
      </w:r>
      <w:r w:rsidR="000728D2">
        <w:rPr>
          <w:rFonts w:ascii="Arial" w:hAnsi="Arial" w:cs="Arial"/>
          <w:szCs w:val="22"/>
        </w:rPr>
        <w:fldChar w:fldCharType="end"/>
      </w:r>
      <w:r w:rsidR="000728D2">
        <w:rPr>
          <w:rFonts w:ascii="Arial" w:hAnsi="Arial" w:cs="Arial"/>
          <w:szCs w:val="22"/>
        </w:rPr>
        <w:t xml:space="preserve"> added that </w:t>
      </w:r>
      <w:r w:rsidR="000728D2" w:rsidRPr="000728D2">
        <w:rPr>
          <w:rFonts w:ascii="Arial" w:hAnsi="Arial" w:cs="Arial"/>
          <w:szCs w:val="22"/>
        </w:rPr>
        <w:t>unhealthy snacks in the canteen are more appealing </w:t>
      </w:r>
      <w:r w:rsidR="000728D2">
        <w:rPr>
          <w:rFonts w:ascii="Arial" w:hAnsi="Arial" w:cs="Arial"/>
          <w:szCs w:val="22"/>
        </w:rPr>
        <w:t xml:space="preserve">and </w:t>
      </w:r>
      <w:r w:rsidR="00B22767">
        <w:rPr>
          <w:rFonts w:ascii="Arial" w:hAnsi="Arial" w:cs="Arial"/>
          <w:szCs w:val="22"/>
        </w:rPr>
        <w:t>have</w:t>
      </w:r>
      <w:r w:rsidR="000728D2">
        <w:rPr>
          <w:rFonts w:ascii="Arial" w:hAnsi="Arial" w:cs="Arial"/>
          <w:szCs w:val="22"/>
        </w:rPr>
        <w:t xml:space="preserve"> better taste than healthy foods.  </w:t>
      </w:r>
      <w:r w:rsidR="00B22767">
        <w:rPr>
          <w:rFonts w:ascii="Arial" w:hAnsi="Arial" w:cs="Arial"/>
          <w:szCs w:val="22"/>
        </w:rPr>
        <w:t>Moving on</w:t>
      </w:r>
      <w:r w:rsidR="007E2D7B" w:rsidRPr="001736B5">
        <w:rPr>
          <w:rFonts w:ascii="Arial" w:hAnsi="Arial" w:cs="Arial"/>
          <w:szCs w:val="22"/>
        </w:rPr>
        <w:t>, results indicate</w:t>
      </w:r>
      <w:r w:rsidR="00B22767">
        <w:rPr>
          <w:rFonts w:ascii="Arial" w:hAnsi="Arial" w:cs="Arial"/>
          <w:szCs w:val="22"/>
        </w:rPr>
        <w:t>d</w:t>
      </w:r>
      <w:r w:rsidR="007E2D7B" w:rsidRPr="001736B5">
        <w:rPr>
          <w:rFonts w:ascii="Arial" w:hAnsi="Arial" w:cs="Arial"/>
          <w:szCs w:val="22"/>
        </w:rPr>
        <w:t xml:space="preserve"> that </w:t>
      </w:r>
      <w:r w:rsidR="00B22767">
        <w:rPr>
          <w:rFonts w:ascii="Arial" w:hAnsi="Arial" w:cs="Arial"/>
          <w:szCs w:val="22"/>
        </w:rPr>
        <w:t>when available item</w:t>
      </w:r>
      <w:r w:rsidR="00B22767" w:rsidRPr="001736B5">
        <w:rPr>
          <w:rFonts w:ascii="Arial" w:hAnsi="Arial" w:cs="Arial"/>
          <w:szCs w:val="22"/>
        </w:rPr>
        <w:t>s go</w:t>
      </w:r>
      <w:r w:rsidR="007E2D7B" w:rsidRPr="001736B5">
        <w:rPr>
          <w:rFonts w:ascii="Arial" w:hAnsi="Arial" w:cs="Arial"/>
          <w:szCs w:val="22"/>
        </w:rPr>
        <w:t xml:space="preserve"> up by one unit, the nutrition practices improve by 4 percent, leaving other factors constant (Coef = </w:t>
      </w:r>
      <w:r w:rsidR="007E2D7B" w:rsidRPr="001736B5">
        <w:rPr>
          <w:rFonts w:ascii="Arial" w:hAnsi="Arial" w:cs="Arial"/>
          <w:kern w:val="0"/>
          <w:szCs w:val="22"/>
        </w:rPr>
        <w:t>.04</w:t>
      </w:r>
      <w:r w:rsidR="007E2D7B" w:rsidRPr="001736B5">
        <w:rPr>
          <w:rFonts w:ascii="Arial" w:hAnsi="Arial" w:cs="Arial"/>
          <w:szCs w:val="22"/>
        </w:rPr>
        <w:t xml:space="preserve">, SE = </w:t>
      </w:r>
      <w:r w:rsidR="007E2D7B" w:rsidRPr="001736B5">
        <w:rPr>
          <w:rFonts w:ascii="Arial" w:hAnsi="Arial" w:cs="Arial"/>
          <w:kern w:val="0"/>
          <w:szCs w:val="22"/>
        </w:rPr>
        <w:t>.017</w:t>
      </w:r>
      <w:r w:rsidR="007E2D7B" w:rsidRPr="001736B5">
        <w:rPr>
          <w:rFonts w:ascii="Arial" w:hAnsi="Arial" w:cs="Arial"/>
          <w:szCs w:val="22"/>
        </w:rPr>
        <w:t xml:space="preserve">, t = </w:t>
      </w:r>
      <w:r w:rsidR="007E2D7B" w:rsidRPr="001736B5">
        <w:rPr>
          <w:rFonts w:ascii="Arial" w:hAnsi="Arial" w:cs="Arial"/>
          <w:kern w:val="0"/>
          <w:szCs w:val="22"/>
        </w:rPr>
        <w:t>2.36</w:t>
      </w:r>
      <w:r w:rsidR="007E2D7B" w:rsidRPr="001736B5">
        <w:rPr>
          <w:rFonts w:ascii="Arial" w:hAnsi="Arial" w:cs="Arial"/>
          <w:szCs w:val="22"/>
        </w:rPr>
        <w:t xml:space="preserve">, p &lt; 0.01, 95% CI </w:t>
      </w:r>
      <w:r w:rsidR="007E2D7B" w:rsidRPr="001736B5">
        <w:rPr>
          <w:rFonts w:ascii="Arial" w:hAnsi="Arial" w:cs="Arial"/>
          <w:kern w:val="0"/>
          <w:szCs w:val="22"/>
        </w:rPr>
        <w:t>.007</w:t>
      </w:r>
      <w:r w:rsidR="007E2D7B" w:rsidRPr="001736B5">
        <w:rPr>
          <w:rFonts w:ascii="Arial" w:hAnsi="Arial" w:cs="Arial"/>
          <w:szCs w:val="22"/>
        </w:rPr>
        <w:t xml:space="preserve">, </w:t>
      </w:r>
      <w:r w:rsidR="007E2D7B" w:rsidRPr="001736B5">
        <w:rPr>
          <w:rFonts w:ascii="Arial" w:hAnsi="Arial" w:cs="Arial"/>
          <w:kern w:val="0"/>
          <w:szCs w:val="22"/>
        </w:rPr>
        <w:t>.073</w:t>
      </w:r>
      <w:r w:rsidR="007E2D7B" w:rsidRPr="001736B5">
        <w:rPr>
          <w:rFonts w:ascii="Arial" w:hAnsi="Arial" w:cs="Arial"/>
          <w:szCs w:val="22"/>
        </w:rPr>
        <w:t>]).</w:t>
      </w:r>
      <w:r w:rsidR="00B22767">
        <w:rPr>
          <w:rFonts w:ascii="Arial" w:hAnsi="Arial" w:cs="Arial"/>
          <w:szCs w:val="22"/>
        </w:rPr>
        <w:t xml:space="preserve"> </w:t>
      </w:r>
      <w:r w:rsidR="00640B8A">
        <w:rPr>
          <w:rFonts w:ascii="Arial" w:hAnsi="Arial" w:cs="Arial"/>
          <w:szCs w:val="22"/>
        </w:rPr>
        <w:t xml:space="preserve">This is consistent with the argument advanced by </w:t>
      </w:r>
      <w:r w:rsidR="00640B8A">
        <w:rPr>
          <w:rFonts w:ascii="Arial" w:hAnsi="Arial" w:cs="Arial"/>
          <w:szCs w:val="22"/>
        </w:rPr>
        <w:fldChar w:fldCharType="begin"/>
      </w:r>
      <w:r w:rsidR="00640B8A">
        <w:rPr>
          <w:rFonts w:ascii="Arial" w:hAnsi="Arial" w:cs="Arial"/>
          <w:szCs w:val="22"/>
        </w:rPr>
        <w:instrText xml:space="preserve"> ADDIN EN.CITE &lt;EndNote&gt;&lt;Cite AuthorYear="1"&gt;&lt;Author&gt;Devine&lt;/Author&gt;&lt;Year&gt;2023&lt;/Year&gt;&lt;RecNum&gt;206&lt;/RecNum&gt;&lt;DisplayText&gt;Lauren D Devine, Alison M Gallagher, et al. (2023)&lt;/DisplayText&gt;&lt;record&gt;&lt;rec-number&gt;206&lt;/rec-number&gt;&lt;foreign-keys&gt;&lt;key app="EN" db-id="0s9eefvfzs9pwhew92s5eaw2rzs0frxxdvdz" timestamp="1765883951"&gt;206&lt;/key&gt;&lt;/foreign-keys&gt;&lt;ref-type name="Journal Article"&gt;17&lt;/ref-type&gt;&lt;contributors&gt;&lt;authors&gt;&lt;author&gt;Devine, Lauren D&lt;/author&gt;&lt;author&gt;Gallagher, Alison M&lt;/author&gt;&lt;author&gt;Briggs, Stephen&lt;/author&gt;&lt;author&gt;Hill, Alyson J&lt;/author&gt;&lt;/authors&gt;&lt;/contributors&gt;&lt;titles&gt;&lt;title&gt;Factors that influence food choices in secondary school canteens: a qualitative study of pupil and staff perspectives&lt;/title&gt;&lt;secondary-title&gt;Frontiers in public health&lt;/secondary-title&gt;&lt;/titles&gt;&lt;periodical&gt;&lt;full-title&gt;Frontiers in Public Health&lt;/full-title&gt;&lt;/periodical&gt;&lt;pages&gt;1227075&lt;/pages&gt;&lt;volume&gt;11&lt;/volume&gt;&lt;dates&gt;&lt;year&gt;2023&lt;/year&gt;&lt;/dates&gt;&lt;isbn&gt;2296-2565&lt;/isbn&gt;&lt;urls&gt;&lt;/urls&gt;&lt;/record&gt;&lt;/Cite&gt;&lt;/EndNote&gt;</w:instrText>
      </w:r>
      <w:r w:rsidR="00640B8A">
        <w:rPr>
          <w:rFonts w:ascii="Arial" w:hAnsi="Arial" w:cs="Arial"/>
          <w:szCs w:val="22"/>
        </w:rPr>
        <w:fldChar w:fldCharType="separate"/>
      </w:r>
      <w:r w:rsidR="00640B8A">
        <w:rPr>
          <w:rFonts w:ascii="Arial" w:hAnsi="Arial" w:cs="Arial"/>
          <w:noProof/>
          <w:szCs w:val="22"/>
        </w:rPr>
        <w:t>Lauren D Devine, Alison M Gallagher, et al. (2023)</w:t>
      </w:r>
      <w:r w:rsidR="00640B8A">
        <w:rPr>
          <w:rFonts w:ascii="Arial" w:hAnsi="Arial" w:cs="Arial"/>
          <w:szCs w:val="22"/>
        </w:rPr>
        <w:fldChar w:fldCharType="end"/>
      </w:r>
      <w:r w:rsidR="00640B8A">
        <w:rPr>
          <w:rFonts w:ascii="Arial" w:hAnsi="Arial" w:cs="Arial"/>
          <w:szCs w:val="22"/>
        </w:rPr>
        <w:t xml:space="preserve"> who reported that dietary intakes are determined by the prevailing setup of the canteens, such as </w:t>
      </w:r>
    </w:p>
    <w:p w14:paraId="5F6079CD" w14:textId="3B7D742A" w:rsidR="00695159" w:rsidRPr="001736B5" w:rsidRDefault="00640B8A" w:rsidP="00AB77E2">
      <w:pPr>
        <w:spacing w:after="0" w:line="360" w:lineRule="auto"/>
        <w:rPr>
          <w:rFonts w:ascii="Arial" w:hAnsi="Arial" w:cs="Arial"/>
          <w:szCs w:val="22"/>
        </w:rPr>
      </w:pPr>
      <w:r w:rsidRPr="00640B8A">
        <w:rPr>
          <w:rFonts w:ascii="Arial" w:hAnsi="Arial" w:cs="Arial"/>
          <w:szCs w:val="22"/>
        </w:rPr>
        <w:t xml:space="preserve">queue length, seating availability, </w:t>
      </w:r>
      <w:r>
        <w:rPr>
          <w:rFonts w:ascii="Arial" w:hAnsi="Arial" w:cs="Arial"/>
          <w:szCs w:val="22"/>
        </w:rPr>
        <w:t xml:space="preserve">and food availability. On the contrary, a Dutch study by </w:t>
      </w:r>
      <w:r>
        <w:rPr>
          <w:rFonts w:ascii="Arial" w:hAnsi="Arial" w:cs="Arial"/>
          <w:szCs w:val="22"/>
        </w:rPr>
        <w:fldChar w:fldCharType="begin"/>
      </w:r>
      <w:r>
        <w:rPr>
          <w:rFonts w:ascii="Arial" w:hAnsi="Arial" w:cs="Arial"/>
          <w:szCs w:val="22"/>
        </w:rPr>
        <w:instrText xml:space="preserve"> ADDIN EN.CITE &lt;EndNote&gt;&lt;Cite AuthorYear="1"&gt;&lt;Author&gt;Evenhuis&lt;/Author&gt;&lt;Year&gt;2020&lt;/Year&gt;&lt;RecNum&gt;209&lt;/RecNum&gt;&lt;DisplayText&gt;Evenhuis et al. (2020)&lt;/DisplayText&gt;&lt;record&gt;&lt;rec-number&gt;209&lt;/rec-number&gt;&lt;foreign-keys&gt;&lt;key app="EN" db-id="0s9eefvfzs9pwhew92s5eaw2rzs0frxxdvdz" timestamp="1765883951"&gt;209&lt;/key&gt;&lt;/foreign-keys&gt;&lt;ref-type name="Journal Article"&gt;17&lt;/ref-type&gt;&lt;contributors&gt;&lt;authors&gt;&lt;author&gt;Evenhuis, Irma J&lt;/author&gt;&lt;author&gt;Jacobs, Suzanne M&lt;/author&gt;&lt;author&gt;Vyth, Ellis L&lt;/author&gt;&lt;author&gt;Veldhuis, Lydian&lt;/author&gt;&lt;author&gt;de Boer, Michiel R&lt;/author&gt;&lt;author&gt;Seidell, Jacob C&lt;/author&gt;&lt;author&gt;Renders, Carry M&lt;/author&gt;&lt;/authors&gt;&lt;/contributors&gt;&lt;titles&gt;&lt;title&gt;The effect of supportive implementation of healthier canteen guidelines on changes in Dutch school canteens and student purchase behaviour&lt;/title&gt;&lt;secondary-title&gt;Nutrients&lt;/secondary-title&gt;&lt;/titles&gt;&lt;periodical&gt;&lt;full-title&gt;Nutrients&lt;/full-title&gt;&lt;/periodical&gt;&lt;pages&gt;2419&lt;/pages&gt;&lt;volume&gt;12&lt;/volume&gt;&lt;number&gt;8&lt;/number&gt;&lt;dates&gt;&lt;year&gt;2020&lt;/year&gt;&lt;/dates&gt;&lt;isbn&gt;2072-6643&lt;/isbn&gt;&lt;urls&gt;&lt;/urls&gt;&lt;/record&gt;&lt;/Cite&gt;&lt;/EndNote&gt;</w:instrText>
      </w:r>
      <w:r>
        <w:rPr>
          <w:rFonts w:ascii="Arial" w:hAnsi="Arial" w:cs="Arial"/>
          <w:szCs w:val="22"/>
        </w:rPr>
        <w:fldChar w:fldCharType="separate"/>
      </w:r>
      <w:r>
        <w:rPr>
          <w:rFonts w:ascii="Arial" w:hAnsi="Arial" w:cs="Arial"/>
          <w:noProof/>
          <w:szCs w:val="22"/>
        </w:rPr>
        <w:t>Evenhuis et al. (2020)</w:t>
      </w:r>
      <w:r>
        <w:rPr>
          <w:rFonts w:ascii="Arial" w:hAnsi="Arial" w:cs="Arial"/>
          <w:szCs w:val="22"/>
        </w:rPr>
        <w:fldChar w:fldCharType="end"/>
      </w:r>
      <w:r>
        <w:rPr>
          <w:rFonts w:ascii="Arial" w:hAnsi="Arial" w:cs="Arial"/>
          <w:szCs w:val="22"/>
        </w:rPr>
        <w:t xml:space="preserve"> revealed that 90% of their students brought food items from home, and a few relied on canteen food availability. </w:t>
      </w:r>
      <w:r w:rsidR="007E2D7B" w:rsidRPr="001736B5">
        <w:rPr>
          <w:rFonts w:ascii="Arial" w:hAnsi="Arial" w:cs="Arial"/>
          <w:szCs w:val="22"/>
        </w:rPr>
        <w:t xml:space="preserve">Lastly, and most importantly, the expected </w:t>
      </w:r>
      <w:r>
        <w:rPr>
          <w:rFonts w:ascii="Arial" w:hAnsi="Arial" w:cs="Arial"/>
          <w:szCs w:val="22"/>
        </w:rPr>
        <w:t>dietary intake</w:t>
      </w:r>
      <w:r w:rsidR="007E2D7B" w:rsidRPr="001736B5">
        <w:rPr>
          <w:rFonts w:ascii="Arial" w:hAnsi="Arial" w:cs="Arial"/>
          <w:szCs w:val="22"/>
        </w:rPr>
        <w:t xml:space="preserve"> would improve by approximately 6% </w:t>
      </w:r>
      <w:r w:rsidRPr="001736B5">
        <w:rPr>
          <w:rFonts w:ascii="Arial" w:hAnsi="Arial" w:cs="Arial"/>
          <w:szCs w:val="22"/>
        </w:rPr>
        <w:t>if routine eating practices go up by one</w:t>
      </w:r>
      <w:r>
        <w:rPr>
          <w:rFonts w:ascii="Arial" w:hAnsi="Arial" w:cs="Arial"/>
          <w:szCs w:val="22"/>
        </w:rPr>
        <w:t xml:space="preserve"> unit</w:t>
      </w:r>
      <w:r w:rsidR="00695159">
        <w:rPr>
          <w:rFonts w:ascii="Arial" w:hAnsi="Arial" w:cs="Arial"/>
          <w:szCs w:val="22"/>
        </w:rPr>
        <w:t>, ceteris paribus</w:t>
      </w:r>
      <w:r>
        <w:rPr>
          <w:rFonts w:ascii="Arial" w:hAnsi="Arial" w:cs="Arial"/>
          <w:szCs w:val="22"/>
        </w:rPr>
        <w:t xml:space="preserve"> </w:t>
      </w:r>
      <w:r w:rsidR="007E2D7B" w:rsidRPr="001736B5">
        <w:rPr>
          <w:rFonts w:ascii="Arial" w:hAnsi="Arial" w:cs="Arial"/>
          <w:szCs w:val="22"/>
        </w:rPr>
        <w:t xml:space="preserve">(Coef = 0.059, SE = 0.017, t = 3.54, p &lt; 0.01, 95% CI [0.027, 0.092]). </w:t>
      </w:r>
      <w:r w:rsidR="00695159">
        <w:rPr>
          <w:rFonts w:ascii="Arial" w:hAnsi="Arial" w:cs="Arial"/>
          <w:szCs w:val="22"/>
        </w:rPr>
        <w:t>These findings are reflective of earlier findings that d</w:t>
      </w:r>
      <w:r w:rsidR="00695159" w:rsidRPr="00695159">
        <w:rPr>
          <w:rFonts w:ascii="Arial" w:hAnsi="Arial" w:cs="Arial"/>
          <w:szCs w:val="22"/>
        </w:rPr>
        <w:t>ietary quality is exacerbated as children grow up, suggesting that evolving eating habits lead to lower consumption of healthy foods</w:t>
      </w:r>
      <w:r w:rsidR="00695159">
        <w:rPr>
          <w:rFonts w:ascii="Arial" w:hAnsi="Arial" w:cs="Arial"/>
          <w:szCs w:val="22"/>
        </w:rPr>
        <w:t xml:space="preserve"> </w:t>
      </w:r>
      <w:r w:rsidR="00695159">
        <w:rPr>
          <w:rFonts w:ascii="Arial" w:hAnsi="Arial" w:cs="Arial"/>
          <w:szCs w:val="22"/>
        </w:rPr>
        <w:fldChar w:fldCharType="begin"/>
      </w:r>
      <w:r w:rsidR="00695159">
        <w:rPr>
          <w:rFonts w:ascii="Arial" w:hAnsi="Arial" w:cs="Arial"/>
          <w:szCs w:val="22"/>
        </w:rPr>
        <w:instrText xml:space="preserve"> ADDIN EN.CITE &lt;EndNote&gt;&lt;Cite&gt;&lt;Author&gt;Naeeni&lt;/Author&gt;&lt;Year&gt;2014&lt;/Year&gt;&lt;RecNum&gt;306&lt;/RecNum&gt;&lt;DisplayText&gt;(Naeeni et al., 2014)&lt;/DisplayText&gt;&lt;record&gt;&lt;rec-number&gt;306&lt;/rec-number&gt;&lt;foreign-keys&gt;&lt;key app="EN" db-id="0s9eefvfzs9pwhew92s5eaw2rzs0frxxdvdz" timestamp="1765886483"&gt;306&lt;/key&gt;&lt;/foreign-keys&gt;&lt;ref-type name="Journal Article"&gt;17&lt;/ref-type&gt;&lt;contributors&gt;&lt;authors&gt;&lt;author&gt;Naeeni, Marjan Manouchehri&lt;/author&gt;&lt;author&gt;Jafari, Sakineh&lt;/author&gt;&lt;author&gt;Fouladgar, Maryam&lt;/author&gt;&lt;author&gt;Heidari, Kamal&lt;/author&gt;&lt;author&gt;Farajzadegan, Ziba&lt;/author&gt;&lt;author&gt;Fakhri, Maryam&lt;/author&gt;&lt;author&gt;Karami, Parvaneh&lt;/author&gt;&lt;author&gt;Omidi, Razieh&lt;/author&gt;&lt;/authors&gt;&lt;/contributors&gt;&lt;titles&gt;&lt;title&gt;Nutritional knowledge, practice, and dietary habits among school children and adolescents&lt;/title&gt;&lt;secondary-title&gt;International journal of preventive medicine&lt;/secondary-title&gt;&lt;/titles&gt;&lt;periodical&gt;&lt;full-title&gt;International journal of preventive medicine&lt;/full-title&gt;&lt;/periodical&gt;&lt;pages&gt;S171&lt;/pages&gt;&lt;volume&gt;5&lt;/volume&gt;&lt;number&gt;Suppl 2&lt;/number&gt;&lt;dates&gt;&lt;year&gt;2014&lt;/year&gt;&lt;/dates&gt;&lt;urls&gt;&lt;/urls&gt;&lt;/record&gt;&lt;/Cite&gt;&lt;/EndNote&gt;</w:instrText>
      </w:r>
      <w:r w:rsidR="00695159">
        <w:rPr>
          <w:rFonts w:ascii="Arial" w:hAnsi="Arial" w:cs="Arial"/>
          <w:szCs w:val="22"/>
        </w:rPr>
        <w:fldChar w:fldCharType="separate"/>
      </w:r>
      <w:r w:rsidR="00695159">
        <w:rPr>
          <w:rFonts w:ascii="Arial" w:hAnsi="Arial" w:cs="Arial"/>
          <w:noProof/>
          <w:szCs w:val="22"/>
        </w:rPr>
        <w:t>(Naeeni et al., 2014)</w:t>
      </w:r>
      <w:r w:rsidR="00695159">
        <w:rPr>
          <w:rFonts w:ascii="Arial" w:hAnsi="Arial" w:cs="Arial"/>
          <w:szCs w:val="22"/>
        </w:rPr>
        <w:fldChar w:fldCharType="end"/>
      </w:r>
      <w:r w:rsidR="00695159">
        <w:rPr>
          <w:rFonts w:ascii="Arial" w:hAnsi="Arial" w:cs="Arial"/>
          <w:szCs w:val="22"/>
        </w:rPr>
        <w:t xml:space="preserve">. </w:t>
      </w:r>
    </w:p>
    <w:p w14:paraId="7CE7638F" w14:textId="752C38D1" w:rsidR="00A166A7" w:rsidRPr="003A4D48" w:rsidRDefault="00A166A7" w:rsidP="00D50DAB">
      <w:pPr>
        <w:pStyle w:val="ListParagraph"/>
        <w:numPr>
          <w:ilvl w:val="0"/>
          <w:numId w:val="2"/>
        </w:numPr>
        <w:spacing w:before="100" w:beforeAutospacing="1" w:line="360" w:lineRule="auto"/>
        <w:rPr>
          <w:rFonts w:ascii="Arial" w:hAnsi="Arial" w:cs="Arial"/>
          <w:b/>
          <w:bCs/>
          <w:szCs w:val="22"/>
        </w:rPr>
      </w:pPr>
      <w:r w:rsidRPr="003A4D48">
        <w:rPr>
          <w:rFonts w:ascii="Arial" w:hAnsi="Arial" w:cs="Arial"/>
          <w:b/>
          <w:bCs/>
          <w:szCs w:val="22"/>
        </w:rPr>
        <w:t>Conclusions</w:t>
      </w:r>
    </w:p>
    <w:p w14:paraId="6C501A73" w14:textId="3BA1E9E0" w:rsidR="00F934E3" w:rsidRDefault="00F934E3" w:rsidP="00AB77E2">
      <w:pPr>
        <w:spacing w:line="360" w:lineRule="auto"/>
        <w:rPr>
          <w:rFonts w:ascii="Arial" w:hAnsi="Arial" w:cs="Arial"/>
          <w:szCs w:val="22"/>
        </w:rPr>
      </w:pPr>
      <w:r w:rsidRPr="001736B5">
        <w:rPr>
          <w:rFonts w:ascii="Arial" w:hAnsi="Arial" w:cs="Arial"/>
          <w:szCs w:val="22"/>
        </w:rPr>
        <w:t>Findings indicate that the school diet nutrition choice among secondary school-going adolescents was determined partly by taste, canteen available items, and by the routine dietary preference and practices.</w:t>
      </w:r>
      <w:r w:rsidR="008B7B6C" w:rsidRPr="001736B5">
        <w:rPr>
          <w:rFonts w:ascii="Arial" w:hAnsi="Arial" w:cs="Arial"/>
          <w:szCs w:val="22"/>
        </w:rPr>
        <w:t xml:space="preserve"> Specifically, the study showed that food choices of school-going adolescents in Nansana Municipality are driven by a mix of sensory, environmental, and habitual consumption patterns. Taste was found to play a key role, as students were found to purchase canteen items, they found appealing and fascinating. Secondly, the availability of food items also played a key role in determining their practices, with students tending to consume what is easily and readily available at the school canteens. Besides, the study found routine dietary preference as the single most important determinant of dietary intake. The study shows that school-going adolescent students easily gravitate towards foods they are used to eating, reflecting a stronger effect of habitual eating patterns.  </w:t>
      </w:r>
    </w:p>
    <w:p w14:paraId="1156618E" w14:textId="77777777" w:rsidR="00842550" w:rsidRPr="001736B5" w:rsidRDefault="00842550" w:rsidP="00AB77E2">
      <w:pPr>
        <w:spacing w:line="360" w:lineRule="auto"/>
        <w:rPr>
          <w:rFonts w:ascii="Arial" w:hAnsi="Arial" w:cs="Arial"/>
          <w:szCs w:val="22"/>
        </w:rPr>
      </w:pPr>
    </w:p>
    <w:p w14:paraId="1220F4E3" w14:textId="7D59F1FF" w:rsidR="00B2327D" w:rsidRPr="003A4D48" w:rsidRDefault="00B2327D" w:rsidP="003A4D48">
      <w:pPr>
        <w:pStyle w:val="ListParagraph"/>
        <w:numPr>
          <w:ilvl w:val="0"/>
          <w:numId w:val="2"/>
        </w:numPr>
        <w:spacing w:line="360" w:lineRule="auto"/>
        <w:rPr>
          <w:rFonts w:ascii="Arial" w:hAnsi="Arial" w:cs="Arial"/>
          <w:b/>
          <w:bCs/>
          <w:szCs w:val="22"/>
        </w:rPr>
      </w:pPr>
      <w:r w:rsidRPr="003A4D48">
        <w:rPr>
          <w:rFonts w:ascii="Arial" w:hAnsi="Arial" w:cs="Arial"/>
          <w:b/>
          <w:bCs/>
          <w:szCs w:val="22"/>
        </w:rPr>
        <w:lastRenderedPageBreak/>
        <w:t>Policy Implications</w:t>
      </w:r>
    </w:p>
    <w:p w14:paraId="74A7942E" w14:textId="3EAE37BE" w:rsidR="00B2327D" w:rsidRPr="001736B5" w:rsidRDefault="00B2327D" w:rsidP="00AB77E2">
      <w:pPr>
        <w:spacing w:line="360" w:lineRule="auto"/>
        <w:rPr>
          <w:rFonts w:ascii="Arial" w:hAnsi="Arial" w:cs="Arial"/>
          <w:szCs w:val="22"/>
        </w:rPr>
      </w:pPr>
      <w:r w:rsidRPr="001736B5">
        <w:rPr>
          <w:rFonts w:ascii="Arial" w:hAnsi="Arial" w:cs="Arial"/>
          <w:szCs w:val="22"/>
        </w:rPr>
        <w:t>Interventions aiming to shift adolescents’ canteen choices in Nansana should prioritize changing habitual patterns and improving the availability of healthier options, while also ensuring those options are palatable; however, because the model explains little variance, complementary qualitative work or additional predictors (price, peer influence, parental education, canteen pricing/marketing) would likely be needed to design effective programs.</w:t>
      </w:r>
    </w:p>
    <w:p w14:paraId="49861427" w14:textId="77777777" w:rsidR="001736B5" w:rsidRPr="001736B5" w:rsidRDefault="001736B5" w:rsidP="00EF4FD6">
      <w:pPr>
        <w:keepNext/>
        <w:spacing w:before="100" w:beforeAutospacing="1" w:after="0" w:line="360" w:lineRule="auto"/>
        <w:rPr>
          <w:rFonts w:ascii="Arial" w:eastAsia="Times New Roman" w:hAnsi="Arial" w:cs="Arial"/>
          <w:b/>
          <w:bCs/>
          <w:caps/>
          <w:kern w:val="0"/>
          <w:szCs w:val="22"/>
          <w:lang w:eastAsia="en-US"/>
          <w14:ligatures w14:val="none"/>
        </w:rPr>
      </w:pPr>
      <w:r w:rsidRPr="001736B5">
        <w:rPr>
          <w:rFonts w:ascii="Arial" w:eastAsia="Times New Roman" w:hAnsi="Arial" w:cs="Arial"/>
          <w:b/>
          <w:bCs/>
          <w:caps/>
          <w:kern w:val="0"/>
          <w:szCs w:val="22"/>
          <w:lang w:eastAsia="en-US"/>
          <w14:ligatures w14:val="none"/>
        </w:rPr>
        <w:t xml:space="preserve">Consent </w:t>
      </w:r>
    </w:p>
    <w:p w14:paraId="4D4708B9" w14:textId="1C755B46" w:rsidR="00EF4FD6" w:rsidRPr="00EF4FD6" w:rsidRDefault="001736B5" w:rsidP="00EF4FD6">
      <w:pPr>
        <w:keepNext/>
        <w:spacing w:after="100" w:afterAutospacing="1" w:line="360" w:lineRule="auto"/>
        <w:rPr>
          <w:rFonts w:ascii="Arial" w:eastAsia="Times New Roman" w:hAnsi="Arial" w:cs="Arial"/>
          <w:kern w:val="0"/>
          <w:szCs w:val="22"/>
          <w:lang w:eastAsia="en-US"/>
          <w14:ligatures w14:val="none"/>
        </w:rPr>
      </w:pPr>
      <w:r w:rsidRPr="001736B5">
        <w:rPr>
          <w:rFonts w:ascii="Arial" w:eastAsia="Times New Roman" w:hAnsi="Arial" w:cs="Arial"/>
          <w:kern w:val="0"/>
          <w:szCs w:val="22"/>
          <w:lang w:eastAsia="en-US"/>
          <w14:ligatures w14:val="none"/>
        </w:rPr>
        <w:t xml:space="preserve">Verbal consent was obtained from the adolescent students. </w:t>
      </w:r>
    </w:p>
    <w:p w14:paraId="46753C70" w14:textId="0E1B6D91" w:rsidR="001736B5" w:rsidRPr="001736B5" w:rsidRDefault="001736B5" w:rsidP="00EF4FD6">
      <w:pPr>
        <w:keepNext/>
        <w:spacing w:before="100" w:beforeAutospacing="1" w:after="0" w:line="360" w:lineRule="auto"/>
        <w:rPr>
          <w:rFonts w:ascii="Arial" w:eastAsia="Times New Roman" w:hAnsi="Arial" w:cs="Arial"/>
          <w:b/>
          <w:bCs/>
          <w:caps/>
          <w:kern w:val="0"/>
          <w:szCs w:val="22"/>
          <w:lang w:eastAsia="en-US"/>
          <w14:ligatures w14:val="none"/>
        </w:rPr>
      </w:pPr>
      <w:r w:rsidRPr="001736B5">
        <w:rPr>
          <w:rFonts w:ascii="Arial" w:eastAsia="Times New Roman" w:hAnsi="Arial" w:cs="Arial"/>
          <w:b/>
          <w:bCs/>
          <w:caps/>
          <w:kern w:val="0"/>
          <w:szCs w:val="22"/>
          <w:lang w:eastAsia="en-US"/>
          <w14:ligatures w14:val="none"/>
        </w:rPr>
        <w:t xml:space="preserve">Ethical approval </w:t>
      </w:r>
    </w:p>
    <w:p w14:paraId="07B816BB" w14:textId="77777777" w:rsidR="001736B5" w:rsidRDefault="001736B5" w:rsidP="00EF4FD6">
      <w:pPr>
        <w:spacing w:line="360" w:lineRule="auto"/>
        <w:rPr>
          <w:rFonts w:ascii="Arial" w:eastAsia="Times New Roman" w:hAnsi="Arial" w:cs="Arial"/>
          <w:kern w:val="0"/>
          <w:szCs w:val="22"/>
          <w:lang w:eastAsia="en-US"/>
          <w14:ligatures w14:val="none"/>
        </w:rPr>
      </w:pPr>
      <w:r w:rsidRPr="001736B5">
        <w:rPr>
          <w:rFonts w:ascii="Arial" w:eastAsia="Times New Roman" w:hAnsi="Arial" w:cs="Arial"/>
          <w:kern w:val="0"/>
          <w:szCs w:val="22"/>
          <w:lang w:eastAsia="en-US"/>
          <w14:ligatures w14:val="none"/>
        </w:rPr>
        <w:t xml:space="preserve">The ethical approval </w:t>
      </w:r>
      <w:bookmarkStart w:id="8" w:name="_Hlk216382551"/>
      <w:r w:rsidRPr="001736B5">
        <w:rPr>
          <w:rFonts w:ascii="Arial" w:eastAsia="Times New Roman" w:hAnsi="Arial" w:cs="Arial"/>
          <w:kern w:val="0"/>
          <w:szCs w:val="22"/>
          <w:lang w:eastAsia="en-US"/>
          <w14:ligatures w14:val="none"/>
        </w:rPr>
        <w:t xml:space="preserve">(Ref: MUREC-2025-1761) </w:t>
      </w:r>
      <w:bookmarkEnd w:id="8"/>
      <w:r w:rsidRPr="001736B5">
        <w:rPr>
          <w:rFonts w:ascii="Arial" w:eastAsia="Times New Roman" w:hAnsi="Arial" w:cs="Arial"/>
          <w:kern w:val="0"/>
          <w:szCs w:val="22"/>
          <w:lang w:eastAsia="en-US"/>
          <w14:ligatures w14:val="none"/>
        </w:rPr>
        <w:t>was granted by the Mildmay Uganda Research Ethics Committee.</w:t>
      </w:r>
    </w:p>
    <w:p w14:paraId="7A5B8FC9" w14:textId="77777777" w:rsidR="00783E8A" w:rsidRPr="00936860" w:rsidRDefault="00783E8A" w:rsidP="00783E8A">
      <w:pPr>
        <w:spacing w:line="360" w:lineRule="auto"/>
        <w:rPr>
          <w:rFonts w:ascii="Arial" w:eastAsia="Times New Roman" w:hAnsi="Arial" w:cs="Arial"/>
          <w:b/>
          <w:bCs/>
          <w:kern w:val="0"/>
          <w:szCs w:val="22"/>
          <w:lang w:eastAsia="en-US"/>
          <w14:ligatures w14:val="none"/>
        </w:rPr>
      </w:pPr>
      <w:r w:rsidRPr="00936860">
        <w:rPr>
          <w:rFonts w:ascii="Arial" w:eastAsia="Times New Roman" w:hAnsi="Arial" w:cs="Arial"/>
          <w:b/>
          <w:bCs/>
          <w:kern w:val="0"/>
          <w:szCs w:val="22"/>
          <w:lang w:eastAsia="en-US"/>
          <w14:ligatures w14:val="none"/>
        </w:rPr>
        <w:t>COMPETING INTERESTS DISCLAIMER:</w:t>
      </w:r>
    </w:p>
    <w:p w14:paraId="5947945C" w14:textId="645AE375" w:rsidR="00783E8A" w:rsidRPr="001736B5" w:rsidRDefault="00783E8A" w:rsidP="00783E8A">
      <w:pPr>
        <w:spacing w:line="360" w:lineRule="auto"/>
        <w:rPr>
          <w:rFonts w:ascii="Arial" w:eastAsia="Times New Roman" w:hAnsi="Arial" w:cs="Arial"/>
          <w:kern w:val="0"/>
          <w:szCs w:val="22"/>
          <w:lang w:eastAsia="en-US"/>
          <w14:ligatures w14:val="none"/>
        </w:rPr>
      </w:pPr>
      <w:r w:rsidRPr="00783E8A">
        <w:rPr>
          <w:rFonts w:ascii="Arial" w:eastAsia="Times New Roman" w:hAnsi="Arial" w:cs="Arial"/>
          <w:kern w:val="0"/>
          <w:szCs w:val="22"/>
          <w:lang w:eastAsia="en-US"/>
          <w14:ligatures w14:val="none"/>
        </w:rPr>
        <w:t>Authors have declared that they have no known competing financial interests OR non-financial interests</w:t>
      </w:r>
      <w:r w:rsidR="0073497F">
        <w:rPr>
          <w:rFonts w:ascii="Arial" w:eastAsia="Times New Roman" w:hAnsi="Arial" w:cs="Arial"/>
          <w:kern w:val="0"/>
          <w:szCs w:val="22"/>
          <w:lang w:eastAsia="en-US"/>
          <w14:ligatures w14:val="none"/>
        </w:rPr>
        <w:t>,</w:t>
      </w:r>
      <w:r w:rsidRPr="00783E8A">
        <w:rPr>
          <w:rFonts w:ascii="Arial" w:eastAsia="Times New Roman" w:hAnsi="Arial" w:cs="Arial"/>
          <w:kern w:val="0"/>
          <w:szCs w:val="22"/>
          <w:lang w:eastAsia="en-US"/>
          <w14:ligatures w14:val="none"/>
        </w:rPr>
        <w:t xml:space="preserve"> OR personal relationships that could have appeared to influence the work reported in this paper.</w:t>
      </w:r>
    </w:p>
    <w:p w14:paraId="705215A5" w14:textId="5EBB9B7F" w:rsidR="00A6585D" w:rsidRPr="00936860" w:rsidRDefault="0073497F" w:rsidP="00936860">
      <w:pPr>
        <w:spacing w:line="360" w:lineRule="auto"/>
        <w:rPr>
          <w:rFonts w:ascii="Arial" w:hAnsi="Arial" w:cs="Arial"/>
          <w:b/>
          <w:bCs/>
        </w:rPr>
      </w:pPr>
      <w:r w:rsidRPr="00936860">
        <w:rPr>
          <w:rFonts w:ascii="Arial" w:hAnsi="Arial" w:cs="Arial"/>
          <w:b/>
          <w:bCs/>
        </w:rPr>
        <w:t>Disclaimer Option</w:t>
      </w:r>
      <w:r w:rsidR="00936860">
        <w:rPr>
          <w:rFonts w:ascii="Arial" w:hAnsi="Arial" w:cs="Arial"/>
          <w:b/>
          <w:bCs/>
        </w:rPr>
        <w:t xml:space="preserve"> (AI technologies)</w:t>
      </w:r>
      <w:r w:rsidR="00A6585D" w:rsidRPr="00936860">
        <w:rPr>
          <w:rFonts w:ascii="Arial" w:hAnsi="Arial" w:cs="Arial"/>
          <w:b/>
          <w:bCs/>
        </w:rPr>
        <w:t xml:space="preserve"> </w:t>
      </w:r>
    </w:p>
    <w:p w14:paraId="1815557D" w14:textId="77E344EB" w:rsidR="00A6585D" w:rsidRPr="00936860" w:rsidRDefault="00A6585D" w:rsidP="00936860">
      <w:pPr>
        <w:spacing w:line="360" w:lineRule="auto"/>
        <w:rPr>
          <w:rFonts w:ascii="Arial" w:hAnsi="Arial" w:cs="Arial"/>
        </w:rPr>
      </w:pPr>
      <w:r w:rsidRPr="00936860">
        <w:rPr>
          <w:rFonts w:ascii="Arial" w:hAnsi="Arial" w:cs="Arial"/>
        </w:rPr>
        <w:t>Author</w:t>
      </w:r>
      <w:r w:rsidR="0073497F" w:rsidRPr="00936860">
        <w:rPr>
          <w:rFonts w:ascii="Arial" w:hAnsi="Arial" w:cs="Arial"/>
        </w:rPr>
        <w:t xml:space="preserve">s </w:t>
      </w:r>
      <w:r w:rsidRPr="00936860">
        <w:rPr>
          <w:rFonts w:ascii="Arial" w:hAnsi="Arial" w:cs="Arial"/>
        </w:rPr>
        <w:t xml:space="preserve">hereby declare that NO generative AI technologies such as Large Language Models (ChatGPT, COPILOT, etc.) and text-to-image generators have been used during the writing or editing of this manuscript. </w:t>
      </w:r>
    </w:p>
    <w:p w14:paraId="43BBBC9D" w14:textId="1745A33A" w:rsidR="00A166A7" w:rsidRPr="001736B5" w:rsidRDefault="00A166A7" w:rsidP="00AB77E2">
      <w:pPr>
        <w:spacing w:line="360" w:lineRule="auto"/>
        <w:rPr>
          <w:rFonts w:ascii="Arial" w:hAnsi="Arial" w:cs="Arial"/>
          <w:szCs w:val="22"/>
        </w:rPr>
      </w:pPr>
    </w:p>
    <w:p w14:paraId="774C0F5B" w14:textId="3F75497E" w:rsidR="00E537F6" w:rsidRPr="00842550" w:rsidRDefault="00E537F6" w:rsidP="00842550">
      <w:pPr>
        <w:spacing w:line="360" w:lineRule="auto"/>
        <w:jc w:val="center"/>
        <w:rPr>
          <w:rFonts w:ascii="Arial" w:hAnsi="Arial" w:cs="Arial"/>
          <w:b/>
          <w:bCs/>
          <w:szCs w:val="22"/>
        </w:rPr>
      </w:pPr>
      <w:r w:rsidRPr="00842550">
        <w:rPr>
          <w:rFonts w:ascii="Arial" w:hAnsi="Arial" w:cs="Arial"/>
          <w:b/>
          <w:bCs/>
          <w:szCs w:val="22"/>
        </w:rPr>
        <w:t>R</w:t>
      </w:r>
      <w:r w:rsidR="00D60245" w:rsidRPr="00842550">
        <w:rPr>
          <w:rFonts w:ascii="Arial" w:hAnsi="Arial" w:cs="Arial"/>
          <w:b/>
          <w:bCs/>
          <w:szCs w:val="22"/>
        </w:rPr>
        <w:t>EFERENCES</w:t>
      </w:r>
    </w:p>
    <w:p w14:paraId="2FFB4F22"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fldChar w:fldCharType="begin"/>
      </w:r>
      <w:r w:rsidRPr="00842550">
        <w:rPr>
          <w:rFonts w:ascii="Arial" w:hAnsi="Arial" w:cs="Arial"/>
          <w:sz w:val="22"/>
          <w:szCs w:val="22"/>
        </w:rPr>
        <w:instrText xml:space="preserve"> ADDIN EN.REFLIST </w:instrText>
      </w:r>
      <w:r w:rsidRPr="00842550">
        <w:rPr>
          <w:rFonts w:ascii="Arial" w:hAnsi="Arial" w:cs="Arial"/>
          <w:sz w:val="22"/>
          <w:szCs w:val="22"/>
        </w:rPr>
        <w:fldChar w:fldCharType="separate"/>
      </w:r>
      <w:r w:rsidRPr="00842550">
        <w:rPr>
          <w:rFonts w:ascii="Arial" w:hAnsi="Arial" w:cs="Arial"/>
          <w:sz w:val="22"/>
          <w:szCs w:val="22"/>
        </w:rPr>
        <w:t xml:space="preserve">Andretti, B., Goldszmidt, R. B., &amp; Andrade, E. B. (2021). How changes in menu quality associate with subsequent expenditure on (un) healthy foods and beverages in school cafeterias: A three-year longitudinal study. </w:t>
      </w:r>
      <w:r w:rsidRPr="00842550">
        <w:rPr>
          <w:rFonts w:ascii="Arial" w:hAnsi="Arial" w:cs="Arial"/>
          <w:i/>
          <w:sz w:val="22"/>
          <w:szCs w:val="22"/>
        </w:rPr>
        <w:t>Preventive Medicine</w:t>
      </w:r>
      <w:r w:rsidRPr="00842550">
        <w:rPr>
          <w:rFonts w:ascii="Arial" w:hAnsi="Arial" w:cs="Arial"/>
          <w:sz w:val="22"/>
          <w:szCs w:val="22"/>
        </w:rPr>
        <w:t>,</w:t>
      </w:r>
      <w:r w:rsidRPr="00842550">
        <w:rPr>
          <w:rFonts w:ascii="Arial" w:hAnsi="Arial" w:cs="Arial"/>
          <w:i/>
          <w:sz w:val="22"/>
          <w:szCs w:val="22"/>
        </w:rPr>
        <w:t xml:space="preserve"> 146</w:t>
      </w:r>
      <w:r w:rsidRPr="00842550">
        <w:rPr>
          <w:rFonts w:ascii="Arial" w:hAnsi="Arial" w:cs="Arial"/>
          <w:sz w:val="22"/>
          <w:szCs w:val="22"/>
        </w:rPr>
        <w:t xml:space="preserve">, 106456. </w:t>
      </w:r>
    </w:p>
    <w:p w14:paraId="571796BA"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Azeredo, C. M., de Rezende, L. F. M., Canella, D. S., Claro, R. M., Peres, M. F. T., do Carmo Luiz, O., França-Junior, I., Kinra, S., Hawkesworth, S., &amp; Levy, R. B. (2016). Food environments in schools and in the immediate vicinity are associated with unhealthy food consumption among Brazilian adolescents. </w:t>
      </w:r>
      <w:r w:rsidRPr="00842550">
        <w:rPr>
          <w:rFonts w:ascii="Arial" w:hAnsi="Arial" w:cs="Arial"/>
          <w:i/>
          <w:sz w:val="22"/>
          <w:szCs w:val="22"/>
        </w:rPr>
        <w:t>Preventive Medicine</w:t>
      </w:r>
      <w:r w:rsidRPr="00842550">
        <w:rPr>
          <w:rFonts w:ascii="Arial" w:hAnsi="Arial" w:cs="Arial"/>
          <w:sz w:val="22"/>
          <w:szCs w:val="22"/>
        </w:rPr>
        <w:t>,</w:t>
      </w:r>
      <w:r w:rsidRPr="00842550">
        <w:rPr>
          <w:rFonts w:ascii="Arial" w:hAnsi="Arial" w:cs="Arial"/>
          <w:i/>
          <w:sz w:val="22"/>
          <w:szCs w:val="22"/>
        </w:rPr>
        <w:t xml:space="preserve"> 88</w:t>
      </w:r>
      <w:r w:rsidRPr="00842550">
        <w:rPr>
          <w:rFonts w:ascii="Arial" w:hAnsi="Arial" w:cs="Arial"/>
          <w:sz w:val="22"/>
          <w:szCs w:val="22"/>
        </w:rPr>
        <w:t xml:space="preserve">, 73-79. </w:t>
      </w:r>
    </w:p>
    <w:p w14:paraId="3EFE536F"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lastRenderedPageBreak/>
        <w:t xml:space="preserve">Balakrishnan, V. S. (2025). Mexico's school junk food ban to foster healthier futures. </w:t>
      </w:r>
      <w:r w:rsidRPr="00842550">
        <w:rPr>
          <w:rFonts w:ascii="Arial" w:hAnsi="Arial" w:cs="Arial"/>
          <w:i/>
          <w:sz w:val="22"/>
          <w:szCs w:val="22"/>
        </w:rPr>
        <w:t>The Lancet Child &amp; Adolescent Health</w:t>
      </w:r>
      <w:r w:rsidRPr="00842550">
        <w:rPr>
          <w:rFonts w:ascii="Arial" w:hAnsi="Arial" w:cs="Arial"/>
          <w:sz w:val="22"/>
          <w:szCs w:val="22"/>
        </w:rPr>
        <w:t>,</w:t>
      </w:r>
      <w:r w:rsidRPr="00842550">
        <w:rPr>
          <w:rFonts w:ascii="Arial" w:hAnsi="Arial" w:cs="Arial"/>
          <w:i/>
          <w:sz w:val="22"/>
          <w:szCs w:val="22"/>
        </w:rPr>
        <w:t xml:space="preserve"> 9</w:t>
      </w:r>
      <w:r w:rsidRPr="00842550">
        <w:rPr>
          <w:rFonts w:ascii="Arial" w:hAnsi="Arial" w:cs="Arial"/>
          <w:sz w:val="22"/>
          <w:szCs w:val="22"/>
        </w:rPr>
        <w:t xml:space="preserve">(11), 761-762. </w:t>
      </w:r>
    </w:p>
    <w:p w14:paraId="3DD39873"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Bennett, J., Broom, A., &amp; Raubenheimer, D. (2025). The school lunchbox as a social problem. </w:t>
      </w:r>
      <w:r w:rsidRPr="00842550">
        <w:rPr>
          <w:rFonts w:ascii="Arial" w:hAnsi="Arial" w:cs="Arial"/>
          <w:i/>
          <w:sz w:val="22"/>
          <w:szCs w:val="22"/>
        </w:rPr>
        <w:t>Health</w:t>
      </w:r>
      <w:r w:rsidRPr="00842550">
        <w:rPr>
          <w:rFonts w:ascii="Arial" w:hAnsi="Arial" w:cs="Arial"/>
          <w:sz w:val="22"/>
          <w:szCs w:val="22"/>
        </w:rPr>
        <w:t xml:space="preserve">, 13634593251397669. </w:t>
      </w:r>
    </w:p>
    <w:p w14:paraId="798C466C"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Bhatt, R., Madan, J., &amp; Moitra, P. (2019). Determinants of Food Choice in a School Environment. </w:t>
      </w:r>
      <w:r w:rsidRPr="00842550">
        <w:rPr>
          <w:rFonts w:ascii="Arial" w:hAnsi="Arial" w:cs="Arial"/>
          <w:i/>
          <w:sz w:val="22"/>
          <w:szCs w:val="22"/>
        </w:rPr>
        <w:t>Indian Journal of Public Health Research &amp; Development</w:t>
      </w:r>
      <w:r w:rsidRPr="00842550">
        <w:rPr>
          <w:rFonts w:ascii="Arial" w:hAnsi="Arial" w:cs="Arial"/>
          <w:sz w:val="22"/>
          <w:szCs w:val="22"/>
        </w:rPr>
        <w:t>,</w:t>
      </w:r>
      <w:r w:rsidRPr="00842550">
        <w:rPr>
          <w:rFonts w:ascii="Arial" w:hAnsi="Arial" w:cs="Arial"/>
          <w:i/>
          <w:sz w:val="22"/>
          <w:szCs w:val="22"/>
        </w:rPr>
        <w:t xml:space="preserve"> 10</w:t>
      </w:r>
      <w:r w:rsidRPr="00842550">
        <w:rPr>
          <w:rFonts w:ascii="Arial" w:hAnsi="Arial" w:cs="Arial"/>
          <w:sz w:val="22"/>
          <w:szCs w:val="22"/>
        </w:rPr>
        <w:t xml:space="preserve">(9). </w:t>
      </w:r>
    </w:p>
    <w:p w14:paraId="1576847D"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Cartagena, R. S. (2014). Are the foods and drinks in your school canteen healthy? An Assessment of the Nutritional Value of the Foods and Drinks sold at the School Canteens of De La Salle Araneta University. Research congress, </w:t>
      </w:r>
    </w:p>
    <w:p w14:paraId="7EC56E92"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Chaokromthong, K., &amp; Sintao, N. (2021). Sample size estimation using Yamane and Cochran and Krejcie and Morgan and green formulas and Cohen statistical power analysis by G* Power and comparisions. </w:t>
      </w:r>
      <w:r w:rsidRPr="00842550">
        <w:rPr>
          <w:rFonts w:ascii="Arial" w:hAnsi="Arial" w:cs="Arial"/>
          <w:i/>
          <w:sz w:val="22"/>
          <w:szCs w:val="22"/>
        </w:rPr>
        <w:t>Apheit international journal of interdisciplinary social sciences and technology</w:t>
      </w:r>
      <w:r w:rsidRPr="00842550">
        <w:rPr>
          <w:rFonts w:ascii="Arial" w:hAnsi="Arial" w:cs="Arial"/>
          <w:sz w:val="22"/>
          <w:szCs w:val="22"/>
        </w:rPr>
        <w:t>,</w:t>
      </w:r>
      <w:r w:rsidRPr="00842550">
        <w:rPr>
          <w:rFonts w:ascii="Arial" w:hAnsi="Arial" w:cs="Arial"/>
          <w:i/>
          <w:sz w:val="22"/>
          <w:szCs w:val="22"/>
        </w:rPr>
        <w:t xml:space="preserve"> 10</w:t>
      </w:r>
      <w:r w:rsidRPr="00842550">
        <w:rPr>
          <w:rFonts w:ascii="Arial" w:hAnsi="Arial" w:cs="Arial"/>
          <w:sz w:val="22"/>
          <w:szCs w:val="22"/>
        </w:rPr>
        <w:t xml:space="preserve">(2), 76-86. </w:t>
      </w:r>
    </w:p>
    <w:p w14:paraId="772FDBF5"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Chattaraj, D. (2025). Food Literacy and the Global South. In </w:t>
      </w:r>
      <w:r w:rsidRPr="00842550">
        <w:rPr>
          <w:rFonts w:ascii="Arial" w:hAnsi="Arial" w:cs="Arial"/>
          <w:i/>
          <w:sz w:val="22"/>
          <w:szCs w:val="22"/>
        </w:rPr>
        <w:t>Food Literacy, Curriculum, and The Global South: Examples from South Asia</w:t>
      </w:r>
      <w:r w:rsidRPr="00842550">
        <w:rPr>
          <w:rFonts w:ascii="Arial" w:hAnsi="Arial" w:cs="Arial"/>
          <w:sz w:val="22"/>
          <w:szCs w:val="22"/>
        </w:rPr>
        <w:t xml:space="preserve"> (pp. 31-60). Springer. </w:t>
      </w:r>
    </w:p>
    <w:p w14:paraId="02164F34"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Devine, L. D., Gallagher, A. M., Briggs, S., &amp; Hill, A. J. (2023). Factors that influence food choices in secondary school canteens: a qualitative study of pupil and staff perspectives. </w:t>
      </w:r>
      <w:r w:rsidRPr="00842550">
        <w:rPr>
          <w:rFonts w:ascii="Arial" w:hAnsi="Arial" w:cs="Arial"/>
          <w:i/>
          <w:sz w:val="22"/>
          <w:szCs w:val="22"/>
        </w:rPr>
        <w:t>Frontiers in Public Health</w:t>
      </w:r>
      <w:r w:rsidRPr="00842550">
        <w:rPr>
          <w:rFonts w:ascii="Arial" w:hAnsi="Arial" w:cs="Arial"/>
          <w:sz w:val="22"/>
          <w:szCs w:val="22"/>
        </w:rPr>
        <w:t>,</w:t>
      </w:r>
      <w:r w:rsidRPr="00842550">
        <w:rPr>
          <w:rFonts w:ascii="Arial" w:hAnsi="Arial" w:cs="Arial"/>
          <w:i/>
          <w:sz w:val="22"/>
          <w:szCs w:val="22"/>
        </w:rPr>
        <w:t xml:space="preserve"> 11</w:t>
      </w:r>
      <w:r w:rsidRPr="00842550">
        <w:rPr>
          <w:rFonts w:ascii="Arial" w:hAnsi="Arial" w:cs="Arial"/>
          <w:sz w:val="22"/>
          <w:szCs w:val="22"/>
        </w:rPr>
        <w:t xml:space="preserve">, 1227075. </w:t>
      </w:r>
    </w:p>
    <w:p w14:paraId="2CE9217C"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Devine, L. D., Gallagher, A. M., Briggs, S., &amp; Hill, A. J. (2023). Factors that influence food choices in secondary school canteens: a qualitative study of pupil and staff perspectives. </w:t>
      </w:r>
      <w:r w:rsidRPr="00842550">
        <w:rPr>
          <w:rFonts w:ascii="Arial" w:hAnsi="Arial" w:cs="Arial"/>
          <w:i/>
          <w:sz w:val="22"/>
          <w:szCs w:val="22"/>
        </w:rPr>
        <w:t>Front Public Health</w:t>
      </w:r>
      <w:r w:rsidRPr="00842550">
        <w:rPr>
          <w:rFonts w:ascii="Arial" w:hAnsi="Arial" w:cs="Arial"/>
          <w:sz w:val="22"/>
          <w:szCs w:val="22"/>
        </w:rPr>
        <w:t>,</w:t>
      </w:r>
      <w:r w:rsidRPr="00842550">
        <w:rPr>
          <w:rFonts w:ascii="Arial" w:hAnsi="Arial" w:cs="Arial"/>
          <w:i/>
          <w:sz w:val="22"/>
          <w:szCs w:val="22"/>
        </w:rPr>
        <w:t xml:space="preserve"> 11</w:t>
      </w:r>
      <w:r w:rsidRPr="00842550">
        <w:rPr>
          <w:rFonts w:ascii="Arial" w:hAnsi="Arial" w:cs="Arial"/>
          <w:sz w:val="22"/>
          <w:szCs w:val="22"/>
        </w:rPr>
        <w:t xml:space="preserve">, 1227075. </w:t>
      </w:r>
      <w:hyperlink r:id="rId10" w:history="1">
        <w:r w:rsidRPr="00842550">
          <w:rPr>
            <w:rStyle w:val="Hyperlink"/>
            <w:rFonts w:ascii="Arial" w:hAnsi="Arial" w:cs="Arial"/>
            <w:sz w:val="22"/>
            <w:szCs w:val="22"/>
          </w:rPr>
          <w:t>https://doi.org/10.3389/fpubh.2023.1227075</w:t>
        </w:r>
      </w:hyperlink>
      <w:r w:rsidRPr="00842550">
        <w:rPr>
          <w:rFonts w:ascii="Arial" w:hAnsi="Arial" w:cs="Arial"/>
          <w:sz w:val="22"/>
          <w:szCs w:val="22"/>
        </w:rPr>
        <w:t xml:space="preserve"> </w:t>
      </w:r>
    </w:p>
    <w:p w14:paraId="06B6503E"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Devine, L. D., Hill, A. J., &amp; Gallagher, A. M. (2023). Improving adolescents' dietary behaviours in the school-setting: challenges and opportunities. </w:t>
      </w:r>
      <w:r w:rsidRPr="00842550">
        <w:rPr>
          <w:rFonts w:ascii="Arial" w:hAnsi="Arial" w:cs="Arial"/>
          <w:i/>
          <w:sz w:val="22"/>
          <w:szCs w:val="22"/>
        </w:rPr>
        <w:t>Proceedings of the Nutrition Society</w:t>
      </w:r>
      <w:r w:rsidRPr="00842550">
        <w:rPr>
          <w:rFonts w:ascii="Arial" w:hAnsi="Arial" w:cs="Arial"/>
          <w:sz w:val="22"/>
          <w:szCs w:val="22"/>
        </w:rPr>
        <w:t>,</w:t>
      </w:r>
      <w:r w:rsidRPr="00842550">
        <w:rPr>
          <w:rFonts w:ascii="Arial" w:hAnsi="Arial" w:cs="Arial"/>
          <w:i/>
          <w:sz w:val="22"/>
          <w:szCs w:val="22"/>
        </w:rPr>
        <w:t xml:space="preserve"> 82</w:t>
      </w:r>
      <w:r w:rsidRPr="00842550">
        <w:rPr>
          <w:rFonts w:ascii="Arial" w:hAnsi="Arial" w:cs="Arial"/>
          <w:sz w:val="22"/>
          <w:szCs w:val="22"/>
        </w:rPr>
        <w:t xml:space="preserve">(2), 172-185. </w:t>
      </w:r>
    </w:p>
    <w:p w14:paraId="1B311BDD"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Evenhuis, I. J., Jacobs, S. M., Vyth, E. L., Veldhuis, L., de Boer, M. R., Seidell, J. C., &amp; Renders, C. M. (2020). The effect of supportive implementation of healthier canteen guidelines on changes in Dutch school canteens and student purchase behaviour. </w:t>
      </w:r>
      <w:r w:rsidRPr="00842550">
        <w:rPr>
          <w:rFonts w:ascii="Arial" w:hAnsi="Arial" w:cs="Arial"/>
          <w:i/>
          <w:sz w:val="22"/>
          <w:szCs w:val="22"/>
        </w:rPr>
        <w:t>Nutrients</w:t>
      </w:r>
      <w:r w:rsidRPr="00842550">
        <w:rPr>
          <w:rFonts w:ascii="Arial" w:hAnsi="Arial" w:cs="Arial"/>
          <w:sz w:val="22"/>
          <w:szCs w:val="22"/>
        </w:rPr>
        <w:t>,</w:t>
      </w:r>
      <w:r w:rsidRPr="00842550">
        <w:rPr>
          <w:rFonts w:ascii="Arial" w:hAnsi="Arial" w:cs="Arial"/>
          <w:i/>
          <w:sz w:val="22"/>
          <w:szCs w:val="22"/>
        </w:rPr>
        <w:t xml:space="preserve"> 12</w:t>
      </w:r>
      <w:r w:rsidRPr="00842550">
        <w:rPr>
          <w:rFonts w:ascii="Arial" w:hAnsi="Arial" w:cs="Arial"/>
          <w:sz w:val="22"/>
          <w:szCs w:val="22"/>
        </w:rPr>
        <w:t xml:space="preserve">(8), 2419. </w:t>
      </w:r>
    </w:p>
    <w:p w14:paraId="4606AFBF"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Fagerberg, P., Langlet, B., Glossner, A., &amp; Ioakimidis, I. (2019). Food intake during school lunch is better explained by objectively measured eating behaviors than by subjectively rated food taste and fullness: A cross-sectional study. </w:t>
      </w:r>
      <w:r w:rsidRPr="00842550">
        <w:rPr>
          <w:rFonts w:ascii="Arial" w:hAnsi="Arial" w:cs="Arial"/>
          <w:i/>
          <w:sz w:val="22"/>
          <w:szCs w:val="22"/>
        </w:rPr>
        <w:t>Nutrients</w:t>
      </w:r>
      <w:r w:rsidRPr="00842550">
        <w:rPr>
          <w:rFonts w:ascii="Arial" w:hAnsi="Arial" w:cs="Arial"/>
          <w:sz w:val="22"/>
          <w:szCs w:val="22"/>
        </w:rPr>
        <w:t>,</w:t>
      </w:r>
      <w:r w:rsidRPr="00842550">
        <w:rPr>
          <w:rFonts w:ascii="Arial" w:hAnsi="Arial" w:cs="Arial"/>
          <w:i/>
          <w:sz w:val="22"/>
          <w:szCs w:val="22"/>
        </w:rPr>
        <w:t xml:space="preserve"> 11</w:t>
      </w:r>
      <w:r w:rsidRPr="00842550">
        <w:rPr>
          <w:rFonts w:ascii="Arial" w:hAnsi="Arial" w:cs="Arial"/>
          <w:sz w:val="22"/>
          <w:szCs w:val="22"/>
        </w:rPr>
        <w:t xml:space="preserve">(3), 597. </w:t>
      </w:r>
    </w:p>
    <w:p w14:paraId="099110A6"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French, S. A. (2003). Pricing effects on food choices. </w:t>
      </w:r>
      <w:r w:rsidRPr="00842550">
        <w:rPr>
          <w:rFonts w:ascii="Arial" w:hAnsi="Arial" w:cs="Arial"/>
          <w:i/>
          <w:sz w:val="22"/>
          <w:szCs w:val="22"/>
        </w:rPr>
        <w:t>The Journal of nutrition</w:t>
      </w:r>
      <w:r w:rsidRPr="00842550">
        <w:rPr>
          <w:rFonts w:ascii="Arial" w:hAnsi="Arial" w:cs="Arial"/>
          <w:sz w:val="22"/>
          <w:szCs w:val="22"/>
        </w:rPr>
        <w:t>,</w:t>
      </w:r>
      <w:r w:rsidRPr="00842550">
        <w:rPr>
          <w:rFonts w:ascii="Arial" w:hAnsi="Arial" w:cs="Arial"/>
          <w:i/>
          <w:sz w:val="22"/>
          <w:szCs w:val="22"/>
        </w:rPr>
        <w:t xml:space="preserve"> 133</w:t>
      </w:r>
      <w:r w:rsidRPr="00842550">
        <w:rPr>
          <w:rFonts w:ascii="Arial" w:hAnsi="Arial" w:cs="Arial"/>
          <w:sz w:val="22"/>
          <w:szCs w:val="22"/>
        </w:rPr>
        <w:t xml:space="preserve">(3), 841S-843S. </w:t>
      </w:r>
    </w:p>
    <w:p w14:paraId="1D38771D"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lastRenderedPageBreak/>
        <w:t xml:space="preserve">Ghaffar, S. A., Talib, R. A., &amp; Karim, N. A. (2019). Food choices and diet quality in the school food environment: a qualitative insight from the perspective of adolescents. </w:t>
      </w:r>
      <w:r w:rsidRPr="00842550">
        <w:rPr>
          <w:rFonts w:ascii="Arial" w:hAnsi="Arial" w:cs="Arial"/>
          <w:i/>
          <w:sz w:val="22"/>
          <w:szCs w:val="22"/>
        </w:rPr>
        <w:t>Malays J Med Health Sci</w:t>
      </w:r>
      <w:r w:rsidRPr="00842550">
        <w:rPr>
          <w:rFonts w:ascii="Arial" w:hAnsi="Arial" w:cs="Arial"/>
          <w:sz w:val="22"/>
          <w:szCs w:val="22"/>
        </w:rPr>
        <w:t>,</w:t>
      </w:r>
      <w:r w:rsidRPr="00842550">
        <w:rPr>
          <w:rFonts w:ascii="Arial" w:hAnsi="Arial" w:cs="Arial"/>
          <w:i/>
          <w:sz w:val="22"/>
          <w:szCs w:val="22"/>
        </w:rPr>
        <w:t xml:space="preserve"> 45</w:t>
      </w:r>
      <w:r w:rsidRPr="00842550">
        <w:rPr>
          <w:rFonts w:ascii="Arial" w:hAnsi="Arial" w:cs="Arial"/>
          <w:sz w:val="22"/>
          <w:szCs w:val="22"/>
        </w:rPr>
        <w:t xml:space="preserve">, 15. </w:t>
      </w:r>
    </w:p>
    <w:p w14:paraId="1A3E5FF7"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Gilmour, A., Gill, S., &amp; Loudon, G. (2020). Young adolescents’ experiences and views on eating and food. </w:t>
      </w:r>
      <w:r w:rsidRPr="00842550">
        <w:rPr>
          <w:rFonts w:ascii="Arial" w:hAnsi="Arial" w:cs="Arial"/>
          <w:i/>
          <w:sz w:val="22"/>
          <w:szCs w:val="22"/>
        </w:rPr>
        <w:t>Young Consumers</w:t>
      </w:r>
      <w:r w:rsidRPr="00842550">
        <w:rPr>
          <w:rFonts w:ascii="Arial" w:hAnsi="Arial" w:cs="Arial"/>
          <w:sz w:val="22"/>
          <w:szCs w:val="22"/>
        </w:rPr>
        <w:t>,</w:t>
      </w:r>
      <w:r w:rsidRPr="00842550">
        <w:rPr>
          <w:rFonts w:ascii="Arial" w:hAnsi="Arial" w:cs="Arial"/>
          <w:i/>
          <w:sz w:val="22"/>
          <w:szCs w:val="22"/>
        </w:rPr>
        <w:t xml:space="preserve"> 21</w:t>
      </w:r>
      <w:r w:rsidRPr="00842550">
        <w:rPr>
          <w:rFonts w:ascii="Arial" w:hAnsi="Arial" w:cs="Arial"/>
          <w:sz w:val="22"/>
          <w:szCs w:val="22"/>
        </w:rPr>
        <w:t xml:space="preserve">(4), 389-402. </w:t>
      </w:r>
    </w:p>
    <w:p w14:paraId="65F444B2"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Gracey, D., Stanley, N., Burke, V., Corti, B., &amp; Beilin, L. (1996). Nutritional knowledge, beliefs and behaviours in teenage school students. </w:t>
      </w:r>
      <w:r w:rsidRPr="00842550">
        <w:rPr>
          <w:rFonts w:ascii="Arial" w:hAnsi="Arial" w:cs="Arial"/>
          <w:i/>
          <w:sz w:val="22"/>
          <w:szCs w:val="22"/>
        </w:rPr>
        <w:t>Health education research</w:t>
      </w:r>
      <w:r w:rsidRPr="00842550">
        <w:rPr>
          <w:rFonts w:ascii="Arial" w:hAnsi="Arial" w:cs="Arial"/>
          <w:sz w:val="22"/>
          <w:szCs w:val="22"/>
        </w:rPr>
        <w:t>,</w:t>
      </w:r>
      <w:r w:rsidRPr="00842550">
        <w:rPr>
          <w:rFonts w:ascii="Arial" w:hAnsi="Arial" w:cs="Arial"/>
          <w:i/>
          <w:sz w:val="22"/>
          <w:szCs w:val="22"/>
        </w:rPr>
        <w:t xml:space="preserve"> 11</w:t>
      </w:r>
      <w:r w:rsidRPr="00842550">
        <w:rPr>
          <w:rFonts w:ascii="Arial" w:hAnsi="Arial" w:cs="Arial"/>
          <w:sz w:val="22"/>
          <w:szCs w:val="22"/>
        </w:rPr>
        <w:t xml:space="preserve">(2), 187-204. </w:t>
      </w:r>
    </w:p>
    <w:p w14:paraId="66FC42D1"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Gubbels, J. S. (2020). Environmental influences on dietary intake of children and adolescents. In (Vol. 12, pp. 922): MDPI.</w:t>
      </w:r>
    </w:p>
    <w:p w14:paraId="769C4A2D"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Hermans, R. C., De Bruin, H., Larsen, J. K., Mensink, F., &amp; Hoek, A. C. (2017). Adolescents’ responses to a school-based prevention program promoting healthy eating at school. </w:t>
      </w:r>
      <w:r w:rsidRPr="00842550">
        <w:rPr>
          <w:rFonts w:ascii="Arial" w:hAnsi="Arial" w:cs="Arial"/>
          <w:i/>
          <w:sz w:val="22"/>
          <w:szCs w:val="22"/>
        </w:rPr>
        <w:t>Frontiers in Public Health</w:t>
      </w:r>
      <w:r w:rsidRPr="00842550">
        <w:rPr>
          <w:rFonts w:ascii="Arial" w:hAnsi="Arial" w:cs="Arial"/>
          <w:sz w:val="22"/>
          <w:szCs w:val="22"/>
        </w:rPr>
        <w:t>,</w:t>
      </w:r>
      <w:r w:rsidRPr="00842550">
        <w:rPr>
          <w:rFonts w:ascii="Arial" w:hAnsi="Arial" w:cs="Arial"/>
          <w:i/>
          <w:sz w:val="22"/>
          <w:szCs w:val="22"/>
        </w:rPr>
        <w:t xml:space="preserve"> 5</w:t>
      </w:r>
      <w:r w:rsidRPr="00842550">
        <w:rPr>
          <w:rFonts w:ascii="Arial" w:hAnsi="Arial" w:cs="Arial"/>
          <w:sz w:val="22"/>
          <w:szCs w:val="22"/>
        </w:rPr>
        <w:t xml:space="preserve">, 309. </w:t>
      </w:r>
    </w:p>
    <w:p w14:paraId="64D6A305"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Hormenu, T. (2022). Dietary intake and its associated factors among in-school adolescents in Ghana. </w:t>
      </w:r>
      <w:r w:rsidRPr="00842550">
        <w:rPr>
          <w:rFonts w:ascii="Arial" w:hAnsi="Arial" w:cs="Arial"/>
          <w:i/>
          <w:sz w:val="22"/>
          <w:szCs w:val="22"/>
        </w:rPr>
        <w:t>PLoS One</w:t>
      </w:r>
      <w:r w:rsidRPr="00842550">
        <w:rPr>
          <w:rFonts w:ascii="Arial" w:hAnsi="Arial" w:cs="Arial"/>
          <w:sz w:val="22"/>
          <w:szCs w:val="22"/>
        </w:rPr>
        <w:t>,</w:t>
      </w:r>
      <w:r w:rsidRPr="00842550">
        <w:rPr>
          <w:rFonts w:ascii="Arial" w:hAnsi="Arial" w:cs="Arial"/>
          <w:i/>
          <w:sz w:val="22"/>
          <w:szCs w:val="22"/>
        </w:rPr>
        <w:t xml:space="preserve"> 17</w:t>
      </w:r>
      <w:r w:rsidRPr="00842550">
        <w:rPr>
          <w:rFonts w:ascii="Arial" w:hAnsi="Arial" w:cs="Arial"/>
          <w:sz w:val="22"/>
          <w:szCs w:val="22"/>
        </w:rPr>
        <w:t xml:space="preserve">(5), e0268319. </w:t>
      </w:r>
    </w:p>
    <w:p w14:paraId="1938EEA1"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Iyassu, A., Laillou, A., Tilahun, K., Workneh, F., Mogues, S., Chitekwe, S., &amp; Baye, K. (2024). The influence of adolescents' nutrition knowledge and school food environment on adolescents' dietary behaviors in urban Ethiopia: A qualitative study. </w:t>
      </w:r>
      <w:r w:rsidRPr="00842550">
        <w:rPr>
          <w:rFonts w:ascii="Arial" w:hAnsi="Arial" w:cs="Arial"/>
          <w:i/>
          <w:sz w:val="22"/>
          <w:szCs w:val="22"/>
        </w:rPr>
        <w:t>Maternal &amp; Child Nutrition</w:t>
      </w:r>
      <w:r w:rsidRPr="00842550">
        <w:rPr>
          <w:rFonts w:ascii="Arial" w:hAnsi="Arial" w:cs="Arial"/>
          <w:sz w:val="22"/>
          <w:szCs w:val="22"/>
        </w:rPr>
        <w:t>,</w:t>
      </w:r>
      <w:r w:rsidRPr="00842550">
        <w:rPr>
          <w:rFonts w:ascii="Arial" w:hAnsi="Arial" w:cs="Arial"/>
          <w:i/>
          <w:sz w:val="22"/>
          <w:szCs w:val="22"/>
        </w:rPr>
        <w:t xml:space="preserve"> 20</w:t>
      </w:r>
      <w:r w:rsidRPr="00842550">
        <w:rPr>
          <w:rFonts w:ascii="Arial" w:hAnsi="Arial" w:cs="Arial"/>
          <w:sz w:val="22"/>
          <w:szCs w:val="22"/>
        </w:rPr>
        <w:t xml:space="preserve">, e13527. </w:t>
      </w:r>
    </w:p>
    <w:p w14:paraId="38275AF9"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Janha, R. E., Hardy-Johnson, P., Kehoe, S. H., Mendy, M. B., Camara, I., Jarjou, L., Ward, K., Moore, S. E., Fall, C., &amp; Barker, M. (2021). Exploring influences on adolescent diet and physical activity in rural Gambia, West Africa: food insecurity, culture and the natural environment. </w:t>
      </w:r>
      <w:r w:rsidRPr="00842550">
        <w:rPr>
          <w:rFonts w:ascii="Arial" w:hAnsi="Arial" w:cs="Arial"/>
          <w:i/>
          <w:sz w:val="22"/>
          <w:szCs w:val="22"/>
        </w:rPr>
        <w:t>Public Health Nutrition</w:t>
      </w:r>
      <w:r w:rsidRPr="00842550">
        <w:rPr>
          <w:rFonts w:ascii="Arial" w:hAnsi="Arial" w:cs="Arial"/>
          <w:sz w:val="22"/>
          <w:szCs w:val="22"/>
        </w:rPr>
        <w:t>,</w:t>
      </w:r>
      <w:r w:rsidRPr="00842550">
        <w:rPr>
          <w:rFonts w:ascii="Arial" w:hAnsi="Arial" w:cs="Arial"/>
          <w:i/>
          <w:sz w:val="22"/>
          <w:szCs w:val="22"/>
        </w:rPr>
        <w:t xml:space="preserve"> 24</w:t>
      </w:r>
      <w:r w:rsidRPr="00842550">
        <w:rPr>
          <w:rFonts w:ascii="Arial" w:hAnsi="Arial" w:cs="Arial"/>
          <w:sz w:val="22"/>
          <w:szCs w:val="22"/>
        </w:rPr>
        <w:t xml:space="preserve">(16), 5277-5287. </w:t>
      </w:r>
    </w:p>
    <w:p w14:paraId="58D9DD0B"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Karunanayaka, M. M. S. T., T.; Rajapaksha, I.; Madurangi, A.; Indramali, O.; Perera, T.; Mohotti, J.; Hunter, D.; Silva. (2024). </w:t>
      </w:r>
      <w:r w:rsidRPr="00842550">
        <w:rPr>
          <w:rFonts w:ascii="Arial" w:hAnsi="Arial" w:cs="Arial"/>
          <w:i/>
          <w:sz w:val="22"/>
          <w:szCs w:val="22"/>
        </w:rPr>
        <w:t>Drivers of adolescents’ food choices: exploring the influence of the school food environment.</w:t>
      </w:r>
      <w:r w:rsidRPr="00842550">
        <w:rPr>
          <w:rFonts w:ascii="Arial" w:hAnsi="Arial" w:cs="Arial"/>
          <w:sz w:val="22"/>
          <w:szCs w:val="22"/>
        </w:rPr>
        <w:t xml:space="preserve"> 2024 Delivering for Nutrition in South Asia Conference., Sri Lanka. </w:t>
      </w:r>
    </w:p>
    <w:p w14:paraId="3901DFFD"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Klemm, J., Muli, S., Oluwagbemigun, K., Parlasca, M., Crentsil, A., Ogum, D., Quartey, P., Laar, A., Lartey, A., &amp; Borgemeister, C. (2025). Individual</w:t>
      </w:r>
      <w:r w:rsidRPr="00842550">
        <w:rPr>
          <w:rFonts w:ascii="Cambria Math" w:hAnsi="Cambria Math" w:cs="Cambria Math"/>
          <w:sz w:val="22"/>
          <w:szCs w:val="22"/>
        </w:rPr>
        <w:t>‐</w:t>
      </w:r>
      <w:r w:rsidRPr="00842550">
        <w:rPr>
          <w:rFonts w:ascii="Arial" w:hAnsi="Arial" w:cs="Arial"/>
          <w:sz w:val="22"/>
          <w:szCs w:val="22"/>
        </w:rPr>
        <w:t xml:space="preserve">Level Drivers of Food Choices and Diet Quality Among Adolescents in Urban West Africa: Evidence From Accra, Ghana. </w:t>
      </w:r>
      <w:r w:rsidRPr="00842550">
        <w:rPr>
          <w:rFonts w:ascii="Arial" w:hAnsi="Arial" w:cs="Arial"/>
          <w:i/>
          <w:sz w:val="22"/>
          <w:szCs w:val="22"/>
        </w:rPr>
        <w:t>Maternal &amp; Child Nutrition</w:t>
      </w:r>
      <w:r w:rsidRPr="00842550">
        <w:rPr>
          <w:rFonts w:ascii="Arial" w:hAnsi="Arial" w:cs="Arial"/>
          <w:sz w:val="22"/>
          <w:szCs w:val="22"/>
        </w:rPr>
        <w:t>,</w:t>
      </w:r>
      <w:r w:rsidRPr="00842550">
        <w:rPr>
          <w:rFonts w:ascii="Arial" w:hAnsi="Arial" w:cs="Arial"/>
          <w:i/>
          <w:sz w:val="22"/>
          <w:szCs w:val="22"/>
        </w:rPr>
        <w:t xml:space="preserve"> 21</w:t>
      </w:r>
      <w:r w:rsidRPr="00842550">
        <w:rPr>
          <w:rFonts w:ascii="Arial" w:hAnsi="Arial" w:cs="Arial"/>
          <w:sz w:val="22"/>
          <w:szCs w:val="22"/>
        </w:rPr>
        <w:t xml:space="preserve">(2), e13775. </w:t>
      </w:r>
    </w:p>
    <w:p w14:paraId="17FAC375"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Kubik, M. Y., Lytle, L. A., Hannan, P. J., Perry, C. L., &amp; Story, M. (2003). The association of the school food environment with dietary behaviors of young adolescents. </w:t>
      </w:r>
      <w:r w:rsidRPr="00842550">
        <w:rPr>
          <w:rFonts w:ascii="Arial" w:hAnsi="Arial" w:cs="Arial"/>
          <w:i/>
          <w:sz w:val="22"/>
          <w:szCs w:val="22"/>
        </w:rPr>
        <w:t>American journal of public health</w:t>
      </w:r>
      <w:r w:rsidRPr="00842550">
        <w:rPr>
          <w:rFonts w:ascii="Arial" w:hAnsi="Arial" w:cs="Arial"/>
          <w:sz w:val="22"/>
          <w:szCs w:val="22"/>
        </w:rPr>
        <w:t>,</w:t>
      </w:r>
      <w:r w:rsidRPr="00842550">
        <w:rPr>
          <w:rFonts w:ascii="Arial" w:hAnsi="Arial" w:cs="Arial"/>
          <w:i/>
          <w:sz w:val="22"/>
          <w:szCs w:val="22"/>
        </w:rPr>
        <w:t xml:space="preserve"> 93</w:t>
      </w:r>
      <w:r w:rsidRPr="00842550">
        <w:rPr>
          <w:rFonts w:ascii="Arial" w:hAnsi="Arial" w:cs="Arial"/>
          <w:sz w:val="22"/>
          <w:szCs w:val="22"/>
        </w:rPr>
        <w:t xml:space="preserve">(7), 1168-1173. </w:t>
      </w:r>
    </w:p>
    <w:p w14:paraId="0A290B1E"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lastRenderedPageBreak/>
        <w:t>Madzorera, I., Bromage, S., Mwanyika</w:t>
      </w:r>
      <w:r w:rsidRPr="00842550">
        <w:rPr>
          <w:rFonts w:ascii="Cambria Math" w:hAnsi="Cambria Math" w:cs="Cambria Math"/>
          <w:sz w:val="22"/>
          <w:szCs w:val="22"/>
        </w:rPr>
        <w:t>‐</w:t>
      </w:r>
      <w:r w:rsidRPr="00842550">
        <w:rPr>
          <w:rFonts w:ascii="Arial" w:hAnsi="Arial" w:cs="Arial"/>
          <w:sz w:val="22"/>
          <w:szCs w:val="22"/>
        </w:rPr>
        <w:t>Sando, M., Vandormael, A., Sherfi, H., Worku, A., Shinde, S., Noor, R. A., Baernighausen, T., &amp; Sharma, D. (2025). Dietary intake and quality for young adolescents in sub</w:t>
      </w:r>
      <w:r w:rsidRPr="00842550">
        <w:rPr>
          <w:rFonts w:ascii="Cambria Math" w:hAnsi="Cambria Math" w:cs="Cambria Math"/>
          <w:sz w:val="22"/>
          <w:szCs w:val="22"/>
        </w:rPr>
        <w:t>‐</w:t>
      </w:r>
      <w:r w:rsidRPr="00842550">
        <w:rPr>
          <w:rFonts w:ascii="Arial" w:hAnsi="Arial" w:cs="Arial"/>
          <w:sz w:val="22"/>
          <w:szCs w:val="22"/>
        </w:rPr>
        <w:t xml:space="preserve">Saharan Africa: Status and influencing factors. </w:t>
      </w:r>
      <w:r w:rsidRPr="00842550">
        <w:rPr>
          <w:rFonts w:ascii="Arial" w:hAnsi="Arial" w:cs="Arial"/>
          <w:i/>
          <w:sz w:val="22"/>
          <w:szCs w:val="22"/>
        </w:rPr>
        <w:t>Maternal &amp; Child Nutrition</w:t>
      </w:r>
      <w:r w:rsidRPr="00842550">
        <w:rPr>
          <w:rFonts w:ascii="Arial" w:hAnsi="Arial" w:cs="Arial"/>
          <w:sz w:val="22"/>
          <w:szCs w:val="22"/>
        </w:rPr>
        <w:t>,</w:t>
      </w:r>
      <w:r w:rsidRPr="00842550">
        <w:rPr>
          <w:rFonts w:ascii="Arial" w:hAnsi="Arial" w:cs="Arial"/>
          <w:i/>
          <w:sz w:val="22"/>
          <w:szCs w:val="22"/>
        </w:rPr>
        <w:t xml:space="preserve"> 21</w:t>
      </w:r>
      <w:r w:rsidRPr="00842550">
        <w:rPr>
          <w:rFonts w:ascii="Arial" w:hAnsi="Arial" w:cs="Arial"/>
          <w:sz w:val="22"/>
          <w:szCs w:val="22"/>
        </w:rPr>
        <w:t xml:space="preserve">, e13463. </w:t>
      </w:r>
    </w:p>
    <w:p w14:paraId="639C266F"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Mesch, A., Hoefnagels, F., Gulikers, J., Wesselink, R., Winkens, L. H., Raghoebar, S., &amp; Haveman-Nies, A. (2025). The food environment through the eyes of adolescents: exploring socioecological factors and opportunities for healthy and sustainable food choices. </w:t>
      </w:r>
      <w:r w:rsidRPr="00842550">
        <w:rPr>
          <w:rFonts w:ascii="Arial" w:hAnsi="Arial" w:cs="Arial"/>
          <w:i/>
          <w:sz w:val="22"/>
          <w:szCs w:val="22"/>
        </w:rPr>
        <w:t>BMC Public Health</w:t>
      </w:r>
      <w:r w:rsidRPr="00842550">
        <w:rPr>
          <w:rFonts w:ascii="Arial" w:hAnsi="Arial" w:cs="Arial"/>
          <w:sz w:val="22"/>
          <w:szCs w:val="22"/>
        </w:rPr>
        <w:t>,</w:t>
      </w:r>
      <w:r w:rsidRPr="00842550">
        <w:rPr>
          <w:rFonts w:ascii="Arial" w:hAnsi="Arial" w:cs="Arial"/>
          <w:i/>
          <w:sz w:val="22"/>
          <w:szCs w:val="22"/>
        </w:rPr>
        <w:t xml:space="preserve"> 25</w:t>
      </w:r>
      <w:r w:rsidRPr="00842550">
        <w:rPr>
          <w:rFonts w:ascii="Arial" w:hAnsi="Arial" w:cs="Arial"/>
          <w:sz w:val="22"/>
          <w:szCs w:val="22"/>
        </w:rPr>
        <w:t xml:space="preserve">(1), 2177. </w:t>
      </w:r>
    </w:p>
    <w:p w14:paraId="787B546D"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Mukanu, M. M., Delobelle, P., Thow, A. M., &amp; Mchiza, Z. J.-R. (2022). Determinants of dietary patterns in school going adolescents in Urban Zambia. </w:t>
      </w:r>
      <w:r w:rsidRPr="00842550">
        <w:rPr>
          <w:rFonts w:ascii="Arial" w:hAnsi="Arial" w:cs="Arial"/>
          <w:i/>
          <w:sz w:val="22"/>
          <w:szCs w:val="22"/>
        </w:rPr>
        <w:t>Frontiers in Nutrition</w:t>
      </w:r>
      <w:r w:rsidRPr="00842550">
        <w:rPr>
          <w:rFonts w:ascii="Arial" w:hAnsi="Arial" w:cs="Arial"/>
          <w:sz w:val="22"/>
          <w:szCs w:val="22"/>
        </w:rPr>
        <w:t>,</w:t>
      </w:r>
      <w:r w:rsidRPr="00842550">
        <w:rPr>
          <w:rFonts w:ascii="Arial" w:hAnsi="Arial" w:cs="Arial"/>
          <w:i/>
          <w:sz w:val="22"/>
          <w:szCs w:val="22"/>
        </w:rPr>
        <w:t xml:space="preserve"> 9</w:t>
      </w:r>
      <w:r w:rsidRPr="00842550">
        <w:rPr>
          <w:rFonts w:ascii="Arial" w:hAnsi="Arial" w:cs="Arial"/>
          <w:sz w:val="22"/>
          <w:szCs w:val="22"/>
        </w:rPr>
        <w:t xml:space="preserve">, 956109. </w:t>
      </w:r>
    </w:p>
    <w:p w14:paraId="2E62CD37"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Naeeni, M. M., Jafari, S., Fouladgar, M., Heidari, K., Farajzadegan, Z., Fakhri, M., Karami, P., &amp; Omidi, R. (2014). Nutritional knowledge, practice, and dietary habits among school children and adolescents. </w:t>
      </w:r>
      <w:r w:rsidRPr="00842550">
        <w:rPr>
          <w:rFonts w:ascii="Arial" w:hAnsi="Arial" w:cs="Arial"/>
          <w:i/>
          <w:sz w:val="22"/>
          <w:szCs w:val="22"/>
        </w:rPr>
        <w:t>International journal of preventive medicine</w:t>
      </w:r>
      <w:r w:rsidRPr="00842550">
        <w:rPr>
          <w:rFonts w:ascii="Arial" w:hAnsi="Arial" w:cs="Arial"/>
          <w:sz w:val="22"/>
          <w:szCs w:val="22"/>
        </w:rPr>
        <w:t>,</w:t>
      </w:r>
      <w:r w:rsidRPr="00842550">
        <w:rPr>
          <w:rFonts w:ascii="Arial" w:hAnsi="Arial" w:cs="Arial"/>
          <w:i/>
          <w:sz w:val="22"/>
          <w:szCs w:val="22"/>
        </w:rPr>
        <w:t xml:space="preserve"> 5</w:t>
      </w:r>
      <w:r w:rsidRPr="00842550">
        <w:rPr>
          <w:rFonts w:ascii="Arial" w:hAnsi="Arial" w:cs="Arial"/>
          <w:sz w:val="22"/>
          <w:szCs w:val="22"/>
        </w:rPr>
        <w:t xml:space="preserve">(Suppl 2), S171. </w:t>
      </w:r>
    </w:p>
    <w:p w14:paraId="1F6774F3"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Neumark-Sztainer, D., French, S. A., Hannan, P. J., Story, M., &amp; Fulkerson, J. A. (2005). School lunch and snacking patterns among high school students: associations with school food environment and policies. </w:t>
      </w:r>
      <w:r w:rsidRPr="00842550">
        <w:rPr>
          <w:rFonts w:ascii="Arial" w:hAnsi="Arial" w:cs="Arial"/>
          <w:i/>
          <w:sz w:val="22"/>
          <w:szCs w:val="22"/>
        </w:rPr>
        <w:t>International Journal of Behavioral Nutrition and Physical Activity</w:t>
      </w:r>
      <w:r w:rsidRPr="00842550">
        <w:rPr>
          <w:rFonts w:ascii="Arial" w:hAnsi="Arial" w:cs="Arial"/>
          <w:sz w:val="22"/>
          <w:szCs w:val="22"/>
        </w:rPr>
        <w:t>,</w:t>
      </w:r>
      <w:r w:rsidRPr="00842550">
        <w:rPr>
          <w:rFonts w:ascii="Arial" w:hAnsi="Arial" w:cs="Arial"/>
          <w:i/>
          <w:sz w:val="22"/>
          <w:szCs w:val="22"/>
        </w:rPr>
        <w:t xml:space="preserve"> 2</w:t>
      </w:r>
      <w:r w:rsidRPr="00842550">
        <w:rPr>
          <w:rFonts w:ascii="Arial" w:hAnsi="Arial" w:cs="Arial"/>
          <w:sz w:val="22"/>
          <w:szCs w:val="22"/>
        </w:rPr>
        <w:t xml:space="preserve">(1), 14. </w:t>
      </w:r>
    </w:p>
    <w:p w14:paraId="5EFE4A12"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Neumark-Sztainer, D., Story, M., Perry, C., &amp; Casey, M. A. (1999). Factors influencing food choices of adolescents: findings from focus-group discussions with adolescents. </w:t>
      </w:r>
      <w:r w:rsidRPr="00842550">
        <w:rPr>
          <w:rFonts w:ascii="Arial" w:hAnsi="Arial" w:cs="Arial"/>
          <w:i/>
          <w:sz w:val="22"/>
          <w:szCs w:val="22"/>
        </w:rPr>
        <w:t>Journal of the American Dietetic Association</w:t>
      </w:r>
      <w:r w:rsidRPr="00842550">
        <w:rPr>
          <w:rFonts w:ascii="Arial" w:hAnsi="Arial" w:cs="Arial"/>
          <w:sz w:val="22"/>
          <w:szCs w:val="22"/>
        </w:rPr>
        <w:t>,</w:t>
      </w:r>
      <w:r w:rsidRPr="00842550">
        <w:rPr>
          <w:rFonts w:ascii="Arial" w:hAnsi="Arial" w:cs="Arial"/>
          <w:i/>
          <w:sz w:val="22"/>
          <w:szCs w:val="22"/>
        </w:rPr>
        <w:t xml:space="preserve"> 99</w:t>
      </w:r>
      <w:r w:rsidRPr="00842550">
        <w:rPr>
          <w:rFonts w:ascii="Arial" w:hAnsi="Arial" w:cs="Arial"/>
          <w:sz w:val="22"/>
          <w:szCs w:val="22"/>
        </w:rPr>
        <w:t xml:space="preserve">(8), 929-937. </w:t>
      </w:r>
    </w:p>
    <w:p w14:paraId="5C6C6C6E"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Shannon, C., Story, M., Fulkerson, J. A., &amp; French, S. A. (2002). Factors in the school cafeteria influencing food choices by high school students. </w:t>
      </w:r>
      <w:r w:rsidRPr="00842550">
        <w:rPr>
          <w:rFonts w:ascii="Arial" w:hAnsi="Arial" w:cs="Arial"/>
          <w:i/>
          <w:sz w:val="22"/>
          <w:szCs w:val="22"/>
        </w:rPr>
        <w:t>Journal of School Health</w:t>
      </w:r>
      <w:r w:rsidRPr="00842550">
        <w:rPr>
          <w:rFonts w:ascii="Arial" w:hAnsi="Arial" w:cs="Arial"/>
          <w:sz w:val="22"/>
          <w:szCs w:val="22"/>
        </w:rPr>
        <w:t>,</w:t>
      </w:r>
      <w:r w:rsidRPr="00842550">
        <w:rPr>
          <w:rFonts w:ascii="Arial" w:hAnsi="Arial" w:cs="Arial"/>
          <w:i/>
          <w:sz w:val="22"/>
          <w:szCs w:val="22"/>
        </w:rPr>
        <w:t xml:space="preserve"> 72</w:t>
      </w:r>
      <w:r w:rsidRPr="00842550">
        <w:rPr>
          <w:rFonts w:ascii="Arial" w:hAnsi="Arial" w:cs="Arial"/>
          <w:sz w:val="22"/>
          <w:szCs w:val="22"/>
        </w:rPr>
        <w:t xml:space="preserve">(6), 229-234. </w:t>
      </w:r>
    </w:p>
    <w:p w14:paraId="46889446"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Story, M., Nanney, M. S., &amp; Schwartz, M. B. (2009). Schools and obesity prevention: creating school environments and policies to promote healthy eating and physical activity. </w:t>
      </w:r>
      <w:r w:rsidRPr="00842550">
        <w:rPr>
          <w:rFonts w:ascii="Arial" w:hAnsi="Arial" w:cs="Arial"/>
          <w:i/>
          <w:sz w:val="22"/>
          <w:szCs w:val="22"/>
        </w:rPr>
        <w:t>The Milbank Quarterly</w:t>
      </w:r>
      <w:r w:rsidRPr="00842550">
        <w:rPr>
          <w:rFonts w:ascii="Arial" w:hAnsi="Arial" w:cs="Arial"/>
          <w:sz w:val="22"/>
          <w:szCs w:val="22"/>
        </w:rPr>
        <w:t>,</w:t>
      </w:r>
      <w:r w:rsidRPr="00842550">
        <w:rPr>
          <w:rFonts w:ascii="Arial" w:hAnsi="Arial" w:cs="Arial"/>
          <w:i/>
          <w:sz w:val="22"/>
          <w:szCs w:val="22"/>
        </w:rPr>
        <w:t xml:space="preserve"> 87</w:t>
      </w:r>
      <w:r w:rsidRPr="00842550">
        <w:rPr>
          <w:rFonts w:ascii="Arial" w:hAnsi="Arial" w:cs="Arial"/>
          <w:sz w:val="22"/>
          <w:szCs w:val="22"/>
        </w:rPr>
        <w:t xml:space="preserve">(1), 71-100. </w:t>
      </w:r>
    </w:p>
    <w:p w14:paraId="00AD12E2"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van Kleef, E., Meeuwsen, T., Rigterink, J., &amp; Van Trijp, H. (2019). Moving towards a healthier assortment in secondary and vocational school food environments: Perspectives of Dutch students and school food policy professionals. </w:t>
      </w:r>
      <w:r w:rsidRPr="00842550">
        <w:rPr>
          <w:rFonts w:ascii="Arial" w:hAnsi="Arial" w:cs="Arial"/>
          <w:i/>
          <w:sz w:val="22"/>
          <w:szCs w:val="22"/>
        </w:rPr>
        <w:t>British Food Journal</w:t>
      </w:r>
      <w:r w:rsidRPr="00842550">
        <w:rPr>
          <w:rFonts w:ascii="Arial" w:hAnsi="Arial" w:cs="Arial"/>
          <w:sz w:val="22"/>
          <w:szCs w:val="22"/>
        </w:rPr>
        <w:t>,</w:t>
      </w:r>
      <w:r w:rsidRPr="00842550">
        <w:rPr>
          <w:rFonts w:ascii="Arial" w:hAnsi="Arial" w:cs="Arial"/>
          <w:i/>
          <w:sz w:val="22"/>
          <w:szCs w:val="22"/>
        </w:rPr>
        <w:t xml:space="preserve"> 121</w:t>
      </w:r>
      <w:r w:rsidRPr="00842550">
        <w:rPr>
          <w:rFonts w:ascii="Arial" w:hAnsi="Arial" w:cs="Arial"/>
          <w:sz w:val="22"/>
          <w:szCs w:val="22"/>
        </w:rPr>
        <w:t xml:space="preserve">(9), 2052-2066. </w:t>
      </w:r>
    </w:p>
    <w:p w14:paraId="0ABA063A" w14:textId="77777777" w:rsidR="004C6B67" w:rsidRPr="00842550" w:rsidRDefault="004C6B67" w:rsidP="004C6B67">
      <w:pPr>
        <w:pStyle w:val="EndNoteBibliography"/>
        <w:numPr>
          <w:ilvl w:val="0"/>
          <w:numId w:val="4"/>
        </w:numPr>
        <w:spacing w:after="0" w:line="360" w:lineRule="auto"/>
        <w:rPr>
          <w:rFonts w:ascii="Arial" w:hAnsi="Arial" w:cs="Arial"/>
          <w:sz w:val="22"/>
          <w:szCs w:val="22"/>
        </w:rPr>
      </w:pPr>
      <w:r w:rsidRPr="00842550">
        <w:rPr>
          <w:rFonts w:ascii="Arial" w:hAnsi="Arial" w:cs="Arial"/>
          <w:sz w:val="22"/>
          <w:szCs w:val="22"/>
        </w:rPr>
        <w:t xml:space="preserve">Whitton, C., Klug, F., Bivoltsis, A., Trapp, G. S., &amp; Pulker, C. E. (2025). Restricting outdoor advertising of unhealthy food: can Australia’s food category-based classification system be applied consistently? </w:t>
      </w:r>
      <w:r w:rsidRPr="00842550">
        <w:rPr>
          <w:rFonts w:ascii="Arial" w:hAnsi="Arial" w:cs="Arial"/>
          <w:i/>
          <w:sz w:val="22"/>
          <w:szCs w:val="22"/>
        </w:rPr>
        <w:t>Health Promotion International</w:t>
      </w:r>
      <w:r w:rsidRPr="00842550">
        <w:rPr>
          <w:rFonts w:ascii="Arial" w:hAnsi="Arial" w:cs="Arial"/>
          <w:sz w:val="22"/>
          <w:szCs w:val="22"/>
        </w:rPr>
        <w:t>,</w:t>
      </w:r>
      <w:r w:rsidRPr="00842550">
        <w:rPr>
          <w:rFonts w:ascii="Arial" w:hAnsi="Arial" w:cs="Arial"/>
          <w:i/>
          <w:sz w:val="22"/>
          <w:szCs w:val="22"/>
        </w:rPr>
        <w:t xml:space="preserve"> 40</w:t>
      </w:r>
      <w:r w:rsidRPr="00842550">
        <w:rPr>
          <w:rFonts w:ascii="Arial" w:hAnsi="Arial" w:cs="Arial"/>
          <w:sz w:val="22"/>
          <w:szCs w:val="22"/>
        </w:rPr>
        <w:t xml:space="preserve">(4), daaf128. </w:t>
      </w:r>
    </w:p>
    <w:p w14:paraId="1D8D934D" w14:textId="77777777" w:rsidR="004C6B67" w:rsidRPr="00842550" w:rsidRDefault="004C6B67" w:rsidP="004C6B67">
      <w:pPr>
        <w:pStyle w:val="EndNoteBibliography"/>
        <w:numPr>
          <w:ilvl w:val="0"/>
          <w:numId w:val="4"/>
        </w:numPr>
        <w:spacing w:line="360" w:lineRule="auto"/>
        <w:rPr>
          <w:rFonts w:ascii="Arial" w:hAnsi="Arial" w:cs="Arial"/>
          <w:sz w:val="22"/>
          <w:szCs w:val="22"/>
        </w:rPr>
      </w:pPr>
      <w:r w:rsidRPr="00842550">
        <w:rPr>
          <w:rFonts w:ascii="Arial" w:hAnsi="Arial" w:cs="Arial"/>
          <w:sz w:val="22"/>
          <w:szCs w:val="22"/>
        </w:rPr>
        <w:lastRenderedPageBreak/>
        <w:t xml:space="preserve">Wouters, E. J., Larsen, J. K., Kremers, S. P., Dagnelie, P. C., &amp; Geenen, R. (2010). Peer influence on snacking behavior in adolescence. </w:t>
      </w:r>
      <w:r w:rsidRPr="00842550">
        <w:rPr>
          <w:rFonts w:ascii="Arial" w:hAnsi="Arial" w:cs="Arial"/>
          <w:i/>
          <w:sz w:val="22"/>
          <w:szCs w:val="22"/>
        </w:rPr>
        <w:t>Appetite</w:t>
      </w:r>
      <w:r w:rsidRPr="00842550">
        <w:rPr>
          <w:rFonts w:ascii="Arial" w:hAnsi="Arial" w:cs="Arial"/>
          <w:sz w:val="22"/>
          <w:szCs w:val="22"/>
        </w:rPr>
        <w:t>,</w:t>
      </w:r>
      <w:r w:rsidRPr="00842550">
        <w:rPr>
          <w:rFonts w:ascii="Arial" w:hAnsi="Arial" w:cs="Arial"/>
          <w:i/>
          <w:sz w:val="22"/>
          <w:szCs w:val="22"/>
        </w:rPr>
        <w:t xml:space="preserve"> 55</w:t>
      </w:r>
      <w:r w:rsidRPr="00842550">
        <w:rPr>
          <w:rFonts w:ascii="Arial" w:hAnsi="Arial" w:cs="Arial"/>
          <w:sz w:val="22"/>
          <w:szCs w:val="22"/>
        </w:rPr>
        <w:t xml:space="preserve">(1), 11-17. </w:t>
      </w:r>
    </w:p>
    <w:p w14:paraId="5B58A0BD" w14:textId="77777777" w:rsidR="004C6B67" w:rsidRDefault="004C6B67" w:rsidP="004C6B67">
      <w:r w:rsidRPr="00842550">
        <w:rPr>
          <w:rFonts w:ascii="Arial" w:hAnsi="Arial" w:cs="Arial"/>
          <w:szCs w:val="22"/>
        </w:rPr>
        <w:fldChar w:fldCharType="end"/>
      </w:r>
    </w:p>
    <w:p w14:paraId="0AB70077" w14:textId="419FF15D" w:rsidR="0083657D" w:rsidRPr="009D5136" w:rsidRDefault="0083657D" w:rsidP="00842550">
      <w:pPr>
        <w:spacing w:line="360" w:lineRule="auto"/>
        <w:ind w:left="360"/>
        <w:rPr>
          <w:rFonts w:ascii="Arial" w:hAnsi="Arial" w:cs="Arial"/>
          <w:szCs w:val="22"/>
        </w:rPr>
      </w:pPr>
      <w:bookmarkStart w:id="9" w:name="_GoBack"/>
      <w:bookmarkEnd w:id="9"/>
    </w:p>
    <w:sectPr w:rsidR="0083657D" w:rsidRPr="009D5136">
      <w:headerReference w:type="even" r:id="rId11"/>
      <w:headerReference w:type="default" r:id="rId12"/>
      <w:footerReference w:type="default" r:id="rId13"/>
      <w:headerReference w:type="firs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D94DF" w14:textId="77777777" w:rsidR="00EC7A6C" w:rsidRDefault="00EC7A6C">
      <w:pPr>
        <w:spacing w:after="0"/>
      </w:pPr>
      <w:r>
        <w:separator/>
      </w:r>
    </w:p>
  </w:endnote>
  <w:endnote w:type="continuationSeparator" w:id="0">
    <w:p w14:paraId="478B6AF6" w14:textId="77777777" w:rsidR="00EC7A6C" w:rsidRDefault="00EC7A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7AE6" w14:textId="77777777" w:rsidR="000E1760" w:rsidRDefault="00A60D28">
    <w:pPr>
      <w:widowControl w:val="0"/>
      <w:autoSpaceDE w:val="0"/>
      <w:autoSpaceDN w:val="0"/>
      <w:adjustRightInd w:val="0"/>
      <w:spacing w:after="0"/>
      <w:jc w:val="center"/>
      <w:rPr>
        <w:rFonts w:ascii="Garamond" w:hAnsi="Garamond" w:cs="Garamond"/>
        <w:kern w:val="0"/>
        <w:sz w:val="20"/>
        <w:szCs w:val="20"/>
      </w:rPr>
    </w:pPr>
    <w:r>
      <w:rPr>
        <w:rFonts w:ascii="Garamond" w:hAnsi="Garamond" w:cs="Garamond"/>
        <w:kern w:val="0"/>
        <w:sz w:val="20"/>
        <w:szCs w:val="20"/>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AE7C4" w14:textId="77777777" w:rsidR="00EC7A6C" w:rsidRDefault="00EC7A6C">
      <w:pPr>
        <w:spacing w:after="0"/>
      </w:pPr>
      <w:r>
        <w:separator/>
      </w:r>
    </w:p>
  </w:footnote>
  <w:footnote w:type="continuationSeparator" w:id="0">
    <w:p w14:paraId="7CCD8363" w14:textId="77777777" w:rsidR="00EC7A6C" w:rsidRDefault="00EC7A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6DD3" w14:textId="0FBCAE56" w:rsidR="007D00FE" w:rsidRDefault="00EC7A6C">
    <w:pPr>
      <w:pStyle w:val="Header"/>
    </w:pPr>
    <w:r>
      <w:rPr>
        <w:noProof/>
      </w:rPr>
      <w:pict w14:anchorId="701C7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613047"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9FF6D" w14:textId="7F6E62F6" w:rsidR="007D00FE" w:rsidRDefault="00EC7A6C">
    <w:pPr>
      <w:pStyle w:val="Header"/>
    </w:pPr>
    <w:r>
      <w:rPr>
        <w:noProof/>
      </w:rPr>
      <w:pict w14:anchorId="2B629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613048"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6738" w14:textId="54F8E86C" w:rsidR="007D00FE" w:rsidRDefault="00EC7A6C">
    <w:pPr>
      <w:pStyle w:val="Header"/>
    </w:pPr>
    <w:r>
      <w:rPr>
        <w:noProof/>
      </w:rPr>
      <w:pict w14:anchorId="4676C1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613046"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05E2"/>
    <w:multiLevelType w:val="hybridMultilevel"/>
    <w:tmpl w:val="A14C4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16B57"/>
    <w:multiLevelType w:val="hybridMultilevel"/>
    <w:tmpl w:val="814E20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292632"/>
    <w:multiLevelType w:val="hybridMultilevel"/>
    <w:tmpl w:val="0F0A3A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D661F2F"/>
    <w:multiLevelType w:val="hybridMultilevel"/>
    <w:tmpl w:val="3732F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9eefvfzs9pwhew92s5eaw2rzs0frxxdvdz&quot;&gt;Joshua EndNote Library&lt;record-ids&gt;&lt;item&gt;206&lt;/item&gt;&lt;item&gt;207&lt;/item&gt;&lt;item&gt;208&lt;/item&gt;&lt;item&gt;209&lt;/item&gt;&lt;item&gt;210&lt;/item&gt;&lt;item&gt;211&lt;/item&gt;&lt;item&gt;212&lt;/item&gt;&lt;item&gt;213&lt;/item&gt;&lt;item&gt;214&lt;/item&gt;&lt;item&gt;215&lt;/item&gt;&lt;item&gt;216&lt;/item&gt;&lt;item&gt;217&lt;/item&gt;&lt;item&gt;218&lt;/item&gt;&lt;item&gt;219&lt;/item&gt;&lt;item&gt;220&lt;/item&gt;&lt;item&gt;221&lt;/item&gt;&lt;item&gt;222&lt;/item&gt;&lt;item&gt;224&lt;/item&gt;&lt;item&gt;225&lt;/item&gt;&lt;item&gt;227&lt;/item&gt;&lt;item&gt;287&lt;/item&gt;&lt;item&gt;288&lt;/item&gt;&lt;item&gt;289&lt;/item&gt;&lt;item&gt;290&lt;/item&gt;&lt;item&gt;292&lt;/item&gt;&lt;item&gt;303&lt;/item&gt;&lt;item&gt;304&lt;/item&gt;&lt;item&gt;305&lt;/item&gt;&lt;item&gt;306&lt;/item&gt;&lt;/record-ids&gt;&lt;/item&gt;&lt;/Libraries&gt;"/>
  </w:docVars>
  <w:rsids>
    <w:rsidRoot w:val="0083657D"/>
    <w:rsid w:val="0001338A"/>
    <w:rsid w:val="000316EF"/>
    <w:rsid w:val="000728D2"/>
    <w:rsid w:val="000737E8"/>
    <w:rsid w:val="000907E5"/>
    <w:rsid w:val="00090FEE"/>
    <w:rsid w:val="00096691"/>
    <w:rsid w:val="000A26AF"/>
    <w:rsid w:val="000B02DB"/>
    <w:rsid w:val="000E1760"/>
    <w:rsid w:val="000F7837"/>
    <w:rsid w:val="001062EF"/>
    <w:rsid w:val="00117091"/>
    <w:rsid w:val="00160A7A"/>
    <w:rsid w:val="001736B5"/>
    <w:rsid w:val="001A5BEF"/>
    <w:rsid w:val="001B27EB"/>
    <w:rsid w:val="001E1D70"/>
    <w:rsid w:val="00207AE9"/>
    <w:rsid w:val="00213B7D"/>
    <w:rsid w:val="002337CB"/>
    <w:rsid w:val="002348F1"/>
    <w:rsid w:val="00245FF2"/>
    <w:rsid w:val="002533AA"/>
    <w:rsid w:val="00254092"/>
    <w:rsid w:val="002A7423"/>
    <w:rsid w:val="002B3F72"/>
    <w:rsid w:val="002D48D8"/>
    <w:rsid w:val="002E11A4"/>
    <w:rsid w:val="00346AC7"/>
    <w:rsid w:val="0035112D"/>
    <w:rsid w:val="003529F3"/>
    <w:rsid w:val="00360C21"/>
    <w:rsid w:val="0036388A"/>
    <w:rsid w:val="00375FFE"/>
    <w:rsid w:val="003801F0"/>
    <w:rsid w:val="0039194B"/>
    <w:rsid w:val="0039274F"/>
    <w:rsid w:val="003A4D48"/>
    <w:rsid w:val="003A7154"/>
    <w:rsid w:val="003B3E94"/>
    <w:rsid w:val="003C6A5A"/>
    <w:rsid w:val="003D7A6F"/>
    <w:rsid w:val="003E0CFE"/>
    <w:rsid w:val="003E2773"/>
    <w:rsid w:val="003F17E6"/>
    <w:rsid w:val="00400B5D"/>
    <w:rsid w:val="004151B7"/>
    <w:rsid w:val="00415E2B"/>
    <w:rsid w:val="004200BB"/>
    <w:rsid w:val="004503C0"/>
    <w:rsid w:val="004912F5"/>
    <w:rsid w:val="00491DB0"/>
    <w:rsid w:val="004B3B6F"/>
    <w:rsid w:val="004C6B67"/>
    <w:rsid w:val="004E4F38"/>
    <w:rsid w:val="004E6F75"/>
    <w:rsid w:val="00505257"/>
    <w:rsid w:val="00510BE6"/>
    <w:rsid w:val="0051492A"/>
    <w:rsid w:val="00515362"/>
    <w:rsid w:val="00522C71"/>
    <w:rsid w:val="00537321"/>
    <w:rsid w:val="00543829"/>
    <w:rsid w:val="005600EA"/>
    <w:rsid w:val="00591C1D"/>
    <w:rsid w:val="005A2338"/>
    <w:rsid w:val="005A77B5"/>
    <w:rsid w:val="005C3966"/>
    <w:rsid w:val="005D3391"/>
    <w:rsid w:val="005D710B"/>
    <w:rsid w:val="006400DA"/>
    <w:rsid w:val="00640B8A"/>
    <w:rsid w:val="006577B6"/>
    <w:rsid w:val="00684E68"/>
    <w:rsid w:val="00695159"/>
    <w:rsid w:val="006B5DBA"/>
    <w:rsid w:val="006C6F5E"/>
    <w:rsid w:val="006E1A19"/>
    <w:rsid w:val="006F0879"/>
    <w:rsid w:val="007007BF"/>
    <w:rsid w:val="00705867"/>
    <w:rsid w:val="0073497F"/>
    <w:rsid w:val="00777EA3"/>
    <w:rsid w:val="00783E8A"/>
    <w:rsid w:val="0079053C"/>
    <w:rsid w:val="0079626F"/>
    <w:rsid w:val="007A3C59"/>
    <w:rsid w:val="007C3C01"/>
    <w:rsid w:val="007C7F9C"/>
    <w:rsid w:val="007D00FE"/>
    <w:rsid w:val="007E2D7B"/>
    <w:rsid w:val="007F0018"/>
    <w:rsid w:val="00807047"/>
    <w:rsid w:val="0082469E"/>
    <w:rsid w:val="0083657D"/>
    <w:rsid w:val="00842550"/>
    <w:rsid w:val="0084403E"/>
    <w:rsid w:val="00893B62"/>
    <w:rsid w:val="008A62B0"/>
    <w:rsid w:val="008B050B"/>
    <w:rsid w:val="008B7B6C"/>
    <w:rsid w:val="008D24BB"/>
    <w:rsid w:val="008D699D"/>
    <w:rsid w:val="00902CFB"/>
    <w:rsid w:val="009068E1"/>
    <w:rsid w:val="00910DF9"/>
    <w:rsid w:val="00926279"/>
    <w:rsid w:val="00936860"/>
    <w:rsid w:val="00953A52"/>
    <w:rsid w:val="00954D5B"/>
    <w:rsid w:val="009555DC"/>
    <w:rsid w:val="00960432"/>
    <w:rsid w:val="009710D0"/>
    <w:rsid w:val="00974787"/>
    <w:rsid w:val="00974D13"/>
    <w:rsid w:val="00993F1C"/>
    <w:rsid w:val="009B4B8B"/>
    <w:rsid w:val="009D1C06"/>
    <w:rsid w:val="009D5136"/>
    <w:rsid w:val="009E1241"/>
    <w:rsid w:val="009E6C9E"/>
    <w:rsid w:val="009E6DBA"/>
    <w:rsid w:val="009F131A"/>
    <w:rsid w:val="00A07249"/>
    <w:rsid w:val="00A166A7"/>
    <w:rsid w:val="00A43740"/>
    <w:rsid w:val="00A5705A"/>
    <w:rsid w:val="00A60D28"/>
    <w:rsid w:val="00A62E53"/>
    <w:rsid w:val="00A6585D"/>
    <w:rsid w:val="00AA73FF"/>
    <w:rsid w:val="00AB1A42"/>
    <w:rsid w:val="00AB7653"/>
    <w:rsid w:val="00AB77E2"/>
    <w:rsid w:val="00AD49C4"/>
    <w:rsid w:val="00AD66A7"/>
    <w:rsid w:val="00B22767"/>
    <w:rsid w:val="00B2327D"/>
    <w:rsid w:val="00B5331E"/>
    <w:rsid w:val="00B64976"/>
    <w:rsid w:val="00B9375A"/>
    <w:rsid w:val="00BA62FE"/>
    <w:rsid w:val="00BD16A4"/>
    <w:rsid w:val="00BD16EE"/>
    <w:rsid w:val="00BE0D59"/>
    <w:rsid w:val="00BE4D12"/>
    <w:rsid w:val="00BF0FC2"/>
    <w:rsid w:val="00C06AE9"/>
    <w:rsid w:val="00C20AD1"/>
    <w:rsid w:val="00C221F5"/>
    <w:rsid w:val="00C40368"/>
    <w:rsid w:val="00C74D18"/>
    <w:rsid w:val="00C919E4"/>
    <w:rsid w:val="00CD6A99"/>
    <w:rsid w:val="00D170A1"/>
    <w:rsid w:val="00D31A4F"/>
    <w:rsid w:val="00D353B7"/>
    <w:rsid w:val="00D455EA"/>
    <w:rsid w:val="00D47F41"/>
    <w:rsid w:val="00D50DAB"/>
    <w:rsid w:val="00D60245"/>
    <w:rsid w:val="00D81CDA"/>
    <w:rsid w:val="00D86DF5"/>
    <w:rsid w:val="00D93A84"/>
    <w:rsid w:val="00DA461F"/>
    <w:rsid w:val="00E22246"/>
    <w:rsid w:val="00E27DF4"/>
    <w:rsid w:val="00E36C0D"/>
    <w:rsid w:val="00E41680"/>
    <w:rsid w:val="00E438AC"/>
    <w:rsid w:val="00E537F6"/>
    <w:rsid w:val="00E77AE9"/>
    <w:rsid w:val="00EB198F"/>
    <w:rsid w:val="00EC6E80"/>
    <w:rsid w:val="00EC7878"/>
    <w:rsid w:val="00EC7A6C"/>
    <w:rsid w:val="00EE754C"/>
    <w:rsid w:val="00EF4FD6"/>
    <w:rsid w:val="00F0226D"/>
    <w:rsid w:val="00F231B9"/>
    <w:rsid w:val="00F414D4"/>
    <w:rsid w:val="00F50CF9"/>
    <w:rsid w:val="00F5113C"/>
    <w:rsid w:val="00F70622"/>
    <w:rsid w:val="00F934E3"/>
    <w:rsid w:val="00FA509D"/>
    <w:rsid w:val="00FA66A5"/>
    <w:rsid w:val="00FA7450"/>
    <w:rsid w:val="00FB5541"/>
    <w:rsid w:val="00FC06C0"/>
    <w:rsid w:val="00FC564B"/>
    <w:rsid w:val="00FD104F"/>
    <w:rsid w:val="00FF3CC1"/>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E15CD0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3FF"/>
    <w:pPr>
      <w:spacing w:line="240" w:lineRule="auto"/>
      <w:jc w:val="both"/>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4B3B6F"/>
    <w:pPr>
      <w:spacing w:after="0"/>
      <w:jc w:val="center"/>
    </w:pPr>
    <w:rPr>
      <w:rFonts w:ascii="Aptos" w:hAnsi="Aptos"/>
      <w:noProof/>
      <w:sz w:val="24"/>
    </w:rPr>
  </w:style>
  <w:style w:type="character" w:customStyle="1" w:styleId="EndNoteBibliographyTitleChar">
    <w:name w:val="EndNote Bibliography Title Char"/>
    <w:basedOn w:val="DefaultParagraphFont"/>
    <w:link w:val="EndNoteBibliographyTitle"/>
    <w:rsid w:val="004B3B6F"/>
    <w:rPr>
      <w:rFonts w:ascii="Aptos" w:hAnsi="Aptos"/>
      <w:noProof/>
    </w:rPr>
  </w:style>
  <w:style w:type="paragraph" w:customStyle="1" w:styleId="EndNoteBibliography">
    <w:name w:val="EndNote Bibliography"/>
    <w:basedOn w:val="Normal"/>
    <w:link w:val="EndNoteBibliographyChar"/>
    <w:rsid w:val="004B3B6F"/>
    <w:rPr>
      <w:rFonts w:ascii="Aptos" w:hAnsi="Aptos"/>
      <w:noProof/>
      <w:sz w:val="24"/>
    </w:rPr>
  </w:style>
  <w:style w:type="character" w:customStyle="1" w:styleId="EndNoteBibliographyChar">
    <w:name w:val="EndNote Bibliography Char"/>
    <w:basedOn w:val="DefaultParagraphFont"/>
    <w:link w:val="EndNoteBibliography"/>
    <w:rsid w:val="004B3B6F"/>
    <w:rPr>
      <w:rFonts w:ascii="Aptos" w:hAnsi="Aptos"/>
      <w:noProof/>
    </w:rPr>
  </w:style>
  <w:style w:type="character" w:styleId="Hyperlink">
    <w:name w:val="Hyperlink"/>
    <w:basedOn w:val="DefaultParagraphFont"/>
    <w:uiPriority w:val="99"/>
    <w:unhideWhenUsed/>
    <w:rsid w:val="00E438AC"/>
    <w:rPr>
      <w:color w:val="467886" w:themeColor="hyperlink"/>
      <w:u w:val="single"/>
    </w:rPr>
  </w:style>
  <w:style w:type="character" w:styleId="UnresolvedMention">
    <w:name w:val="Unresolved Mention"/>
    <w:basedOn w:val="DefaultParagraphFont"/>
    <w:uiPriority w:val="99"/>
    <w:semiHidden/>
    <w:unhideWhenUsed/>
    <w:rsid w:val="00E438AC"/>
    <w:rPr>
      <w:color w:val="605E5C"/>
      <w:shd w:val="clear" w:color="auto" w:fill="E1DFDD"/>
    </w:rPr>
  </w:style>
  <w:style w:type="paragraph" w:styleId="Caption">
    <w:name w:val="caption"/>
    <w:basedOn w:val="Normal"/>
    <w:next w:val="Normal"/>
    <w:uiPriority w:val="35"/>
    <w:unhideWhenUsed/>
    <w:qFormat/>
    <w:rsid w:val="009E6C9E"/>
    <w:pPr>
      <w:spacing w:after="200"/>
    </w:pPr>
    <w:rPr>
      <w:i/>
      <w:iCs/>
      <w:color w:val="0E2841" w:themeColor="text2"/>
      <w:sz w:val="18"/>
      <w:szCs w:val="18"/>
    </w:rPr>
  </w:style>
  <w:style w:type="paragraph" w:styleId="Header">
    <w:name w:val="header"/>
    <w:basedOn w:val="Normal"/>
    <w:link w:val="HeaderChar"/>
    <w:uiPriority w:val="99"/>
    <w:unhideWhenUsed/>
    <w:rsid w:val="00400B5D"/>
    <w:pPr>
      <w:tabs>
        <w:tab w:val="center" w:pos="4513"/>
        <w:tab w:val="right" w:pos="9026"/>
      </w:tabs>
      <w:spacing w:after="0"/>
    </w:pPr>
  </w:style>
  <w:style w:type="character" w:customStyle="1" w:styleId="HeaderChar">
    <w:name w:val="Header Char"/>
    <w:basedOn w:val="DefaultParagraphFont"/>
    <w:link w:val="Header"/>
    <w:uiPriority w:val="99"/>
    <w:rsid w:val="00400B5D"/>
    <w:rPr>
      <w:rFonts w:ascii="Calibri" w:hAnsi="Calibri"/>
      <w:sz w:val="22"/>
    </w:rPr>
  </w:style>
  <w:style w:type="paragraph" w:styleId="Footer">
    <w:name w:val="footer"/>
    <w:basedOn w:val="Normal"/>
    <w:link w:val="FooterChar"/>
    <w:uiPriority w:val="99"/>
    <w:unhideWhenUsed/>
    <w:rsid w:val="00400B5D"/>
    <w:pPr>
      <w:tabs>
        <w:tab w:val="center" w:pos="4513"/>
        <w:tab w:val="right" w:pos="9026"/>
      </w:tabs>
      <w:spacing w:after="0"/>
    </w:pPr>
  </w:style>
  <w:style w:type="character" w:customStyle="1" w:styleId="FooterChar">
    <w:name w:val="Footer Char"/>
    <w:basedOn w:val="DefaultParagraphFont"/>
    <w:link w:val="Footer"/>
    <w:uiPriority w:val="99"/>
    <w:rsid w:val="00400B5D"/>
    <w:rPr>
      <w:rFonts w:ascii="Calibri" w:hAnsi="Calibri"/>
      <w:sz w:val="22"/>
    </w:rPr>
  </w:style>
  <w:style w:type="table" w:customStyle="1" w:styleId="TableGridLight1">
    <w:name w:val="Table Grid Light1"/>
    <w:basedOn w:val="TableNormal"/>
    <w:next w:val="TableNormal"/>
    <w:uiPriority w:val="40"/>
    <w:rsid w:val="00E77AE9"/>
    <w:pPr>
      <w:spacing w:after="0" w:line="240" w:lineRule="auto"/>
    </w:pPr>
    <w:rPr>
      <w:rFonts w:eastAsia="Calibri"/>
      <w:kern w:val="0"/>
      <w:sz w:val="22"/>
      <w:szCs w:val="22"/>
      <w:lang w:eastAsia="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Paragraph">
    <w:name w:val="List Paragraph"/>
    <w:basedOn w:val="Normal"/>
    <w:uiPriority w:val="34"/>
    <w:qFormat/>
    <w:rsid w:val="003A4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3389/fpubh.2023.122707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CC968-BA17-4038-96FB-2E68F1B3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10301</Words>
  <Characters>58719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2025-12-16T12:03:00Z</dcterms:created>
  <dcterms:modified xsi:type="dcterms:W3CDTF">2025-12-17T06:52:00Z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a8d7fa9a-43e8-4848-b0b6-4fdf034da36b</vt:lpwstr>
  </property>
</Properties>
</file>